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5AD9E7">
      <w:pPr>
        <w:spacing w:line="360" w:lineRule="auto"/>
        <w:ind w:firstLine="160" w:firstLineChars="50"/>
        <w:rPr>
          <w:rFonts w:hint="eastAsia" w:ascii="宋体" w:hAnsi="宋体"/>
          <w:sz w:val="32"/>
          <w:szCs w:val="32"/>
        </w:rPr>
      </w:pPr>
      <w:r>
        <w:rPr>
          <w:rFonts w:ascii="宋体" w:hAnsi="宋体"/>
          <w:sz w:val="32"/>
          <w:szCs w:val="32"/>
        </w:rPr>
        <w:t>京财采购〔2023〕1528 号附件 4</w:t>
      </w:r>
    </w:p>
    <w:p w14:paraId="6D663FB8">
      <w:pPr>
        <w:pStyle w:val="71"/>
        <w:rPr>
          <w:lang w:val="en-US"/>
        </w:rPr>
      </w:pPr>
      <w:bookmarkStart w:id="1767" w:name="_GoBack"/>
      <w:bookmarkEnd w:id="1767"/>
    </w:p>
    <w:p w14:paraId="06A756A8">
      <w:pPr>
        <w:spacing w:line="360" w:lineRule="auto"/>
        <w:ind w:firstLine="1205"/>
        <w:jc w:val="center"/>
        <w:rPr>
          <w:b/>
          <w:bCs/>
          <w:sz w:val="60"/>
          <w:szCs w:val="60"/>
        </w:rPr>
      </w:pPr>
      <w:r>
        <w:rPr>
          <w:rFonts w:hint="eastAsia"/>
          <w:b/>
          <w:bCs/>
          <w:sz w:val="60"/>
          <w:szCs w:val="60"/>
        </w:rPr>
        <w:t>北京市政府采购项目</w:t>
      </w:r>
    </w:p>
    <w:p w14:paraId="5CB41238">
      <w:pPr>
        <w:spacing w:line="360" w:lineRule="auto"/>
        <w:ind w:firstLine="1205"/>
        <w:jc w:val="center"/>
        <w:rPr>
          <w:b/>
          <w:bCs/>
          <w:sz w:val="60"/>
          <w:szCs w:val="60"/>
        </w:rPr>
      </w:pPr>
      <w:r>
        <w:rPr>
          <w:rFonts w:hint="eastAsia"/>
          <w:b/>
          <w:bCs/>
          <w:sz w:val="60"/>
          <w:szCs w:val="60"/>
        </w:rPr>
        <w:t>竞争性磋商文件示范文本</w:t>
      </w:r>
    </w:p>
    <w:p w14:paraId="032BC81D">
      <w:pPr>
        <w:spacing w:line="360" w:lineRule="auto"/>
        <w:ind w:firstLine="1205"/>
        <w:jc w:val="center"/>
        <w:rPr>
          <w:rFonts w:hint="eastAsia" w:ascii="宋体" w:hAnsi="宋体"/>
          <w:b/>
          <w:bCs/>
          <w:sz w:val="60"/>
          <w:szCs w:val="60"/>
        </w:rPr>
      </w:pPr>
      <w:r>
        <w:rPr>
          <w:rFonts w:hint="eastAsia"/>
          <w:b/>
          <w:bCs/>
          <w:sz w:val="60"/>
          <w:szCs w:val="60"/>
        </w:rPr>
        <w:t>（2023 年版）</w:t>
      </w:r>
      <w:r>
        <w:rPr>
          <w:b/>
          <w:bCs/>
          <w:sz w:val="60"/>
          <w:szCs w:val="60"/>
        </w:rPr>
        <w:cr/>
      </w:r>
    </w:p>
    <w:p w14:paraId="41A8A4E0">
      <w:pPr>
        <w:spacing w:line="360" w:lineRule="auto"/>
        <w:ind w:firstLine="1205"/>
        <w:rPr>
          <w:rFonts w:hint="eastAsia" w:ascii="宋体" w:hAnsi="宋体"/>
          <w:b/>
          <w:bCs/>
          <w:sz w:val="60"/>
          <w:szCs w:val="60"/>
        </w:rPr>
      </w:pPr>
    </w:p>
    <w:p w14:paraId="7DCA02E2">
      <w:pPr>
        <w:spacing w:line="360" w:lineRule="auto"/>
        <w:ind w:firstLine="1205"/>
        <w:rPr>
          <w:rFonts w:hint="eastAsia" w:ascii="宋体" w:hAnsi="宋体"/>
          <w:b/>
          <w:bCs/>
          <w:sz w:val="60"/>
          <w:szCs w:val="60"/>
        </w:rPr>
      </w:pPr>
    </w:p>
    <w:p w14:paraId="49DDA351">
      <w:pPr>
        <w:tabs>
          <w:tab w:val="left" w:pos="5609"/>
        </w:tabs>
        <w:spacing w:line="360" w:lineRule="auto"/>
        <w:ind w:firstLine="360" w:firstLineChars="100"/>
        <w:jc w:val="left"/>
        <w:rPr>
          <w:bCs/>
          <w:sz w:val="36"/>
          <w:szCs w:val="36"/>
        </w:rPr>
      </w:pPr>
      <w:r>
        <w:rPr>
          <w:bCs/>
          <w:sz w:val="36"/>
          <w:szCs w:val="36"/>
        </w:rPr>
        <w:t>项目名称：</w:t>
      </w:r>
      <w:bookmarkStart w:id="0" w:name="_Hlk184045462"/>
      <w:r>
        <w:rPr>
          <w:rFonts w:hint="eastAsia"/>
          <w:bCs/>
          <w:sz w:val="36"/>
          <w:szCs w:val="36"/>
        </w:rPr>
        <w:t>颐和园园内水电及基础设施维修（第一标段：</w:t>
      </w:r>
      <w:r>
        <w:rPr>
          <w:rFonts w:hint="eastAsia"/>
          <w:bCs/>
          <w:color w:val="FF0000"/>
          <w:sz w:val="36"/>
          <w:szCs w:val="36"/>
        </w:rPr>
        <w:t>配电设备设施</w:t>
      </w:r>
      <w:r>
        <w:rPr>
          <w:rFonts w:hint="eastAsia"/>
          <w:bCs/>
          <w:color w:val="FF0000"/>
          <w:sz w:val="36"/>
          <w:szCs w:val="36"/>
          <w:lang w:eastAsia="zh-CN"/>
        </w:rPr>
        <w:t>运维</w:t>
      </w:r>
      <w:r>
        <w:rPr>
          <w:rFonts w:hint="eastAsia"/>
          <w:bCs/>
          <w:sz w:val="36"/>
          <w:szCs w:val="36"/>
        </w:rPr>
        <w:t>）</w:t>
      </w:r>
      <w:bookmarkEnd w:id="0"/>
      <w:r>
        <w:rPr>
          <w:rFonts w:hint="eastAsia"/>
          <w:bCs/>
          <w:sz w:val="36"/>
          <w:szCs w:val="36"/>
        </w:rPr>
        <w:t xml:space="preserve"> </w:t>
      </w:r>
    </w:p>
    <w:p w14:paraId="56CF4725">
      <w:pPr>
        <w:tabs>
          <w:tab w:val="left" w:pos="3240"/>
          <w:tab w:val="left" w:pos="3420"/>
        </w:tabs>
        <w:spacing w:line="360" w:lineRule="auto"/>
        <w:ind w:firstLine="360" w:firstLineChars="100"/>
        <w:jc w:val="left"/>
        <w:rPr>
          <w:rFonts w:hint="default" w:eastAsia="宋体"/>
          <w:bCs/>
          <w:sz w:val="36"/>
          <w:szCs w:val="36"/>
          <w:lang w:val="en-US" w:eastAsia="zh-CN"/>
        </w:rPr>
      </w:pPr>
      <w:r>
        <w:rPr>
          <w:bCs/>
          <w:sz w:val="36"/>
          <w:szCs w:val="36"/>
        </w:rPr>
        <w:t>项目编号/包号：</w:t>
      </w:r>
      <w:r>
        <w:rPr>
          <w:rFonts w:hint="eastAsia"/>
          <w:bCs/>
          <w:sz w:val="36"/>
          <w:szCs w:val="36"/>
        </w:rPr>
        <w:t>11000025210200152639-XM001</w:t>
      </w:r>
      <w:r>
        <w:rPr>
          <w:rFonts w:hint="eastAsia"/>
          <w:bCs/>
          <w:sz w:val="36"/>
          <w:szCs w:val="36"/>
          <w:lang w:val="en-US" w:eastAsia="zh-CN"/>
        </w:rPr>
        <w:t>-1</w:t>
      </w:r>
    </w:p>
    <w:p w14:paraId="68E945C8">
      <w:pPr>
        <w:tabs>
          <w:tab w:val="left" w:pos="3240"/>
          <w:tab w:val="left" w:pos="3420"/>
        </w:tabs>
        <w:spacing w:line="360" w:lineRule="auto"/>
        <w:ind w:firstLine="360" w:firstLineChars="100"/>
        <w:jc w:val="left"/>
        <w:rPr>
          <w:bCs/>
          <w:sz w:val="36"/>
          <w:szCs w:val="36"/>
        </w:rPr>
      </w:pPr>
      <w:r>
        <w:rPr>
          <w:bCs/>
          <w:sz w:val="36"/>
          <w:szCs w:val="36"/>
        </w:rPr>
        <w:t>采 购 人：</w:t>
      </w:r>
      <w:r>
        <w:rPr>
          <w:rFonts w:hint="eastAsia"/>
          <w:bCs/>
          <w:sz w:val="36"/>
          <w:szCs w:val="36"/>
        </w:rPr>
        <w:t>北京市颐和园管理处</w:t>
      </w:r>
    </w:p>
    <w:p w14:paraId="582706B6">
      <w:pPr>
        <w:tabs>
          <w:tab w:val="left" w:pos="3240"/>
          <w:tab w:val="left" w:pos="3420"/>
        </w:tabs>
        <w:spacing w:line="360" w:lineRule="auto"/>
        <w:ind w:left="307" w:leftChars="146"/>
        <w:jc w:val="left"/>
        <w:rPr>
          <w:bCs/>
          <w:sz w:val="36"/>
          <w:szCs w:val="36"/>
        </w:rPr>
      </w:pPr>
      <w:r>
        <w:rPr>
          <w:rFonts w:hint="eastAsia"/>
          <w:bCs/>
          <w:sz w:val="36"/>
          <w:szCs w:val="36"/>
        </w:rPr>
        <w:t>采购</w:t>
      </w:r>
      <w:r>
        <w:rPr>
          <w:bCs/>
          <w:sz w:val="36"/>
          <w:szCs w:val="36"/>
        </w:rPr>
        <w:t>代理机构：</w:t>
      </w:r>
      <w:r>
        <w:rPr>
          <w:rFonts w:hint="eastAsia"/>
          <w:bCs/>
          <w:sz w:val="36"/>
          <w:szCs w:val="36"/>
        </w:rPr>
        <w:t>北京古筑华园工程造价咨询有限公司</w:t>
      </w:r>
    </w:p>
    <w:p w14:paraId="6C395406">
      <w:pPr>
        <w:widowControl/>
        <w:ind w:firstLine="480"/>
        <w:jc w:val="left"/>
      </w:pPr>
    </w:p>
    <w:p w14:paraId="6E595733">
      <w:pPr>
        <w:widowControl/>
        <w:ind w:firstLine="720"/>
        <w:jc w:val="center"/>
        <w:rPr>
          <w:sz w:val="36"/>
          <w:szCs w:val="36"/>
        </w:rPr>
        <w:sectPr>
          <w:type w:val="nextColumn"/>
          <w:pgSz w:w="11906" w:h="16838"/>
          <w:pgMar w:top="1911" w:right="1474" w:bottom="1882" w:left="1587" w:header="851" w:footer="992" w:gutter="0"/>
          <w:cols w:space="720" w:num="1"/>
          <w:docGrid w:linePitch="312" w:charSpace="0"/>
        </w:sectPr>
      </w:pPr>
      <w:r>
        <w:rPr>
          <w:rFonts w:hint="eastAsia"/>
          <w:sz w:val="36"/>
          <w:szCs w:val="36"/>
        </w:rPr>
        <w:t>2025年11月</w:t>
      </w:r>
    </w:p>
    <w:p w14:paraId="74732474">
      <w:pPr>
        <w:widowControl/>
        <w:ind w:firstLine="723"/>
        <w:jc w:val="center"/>
        <w:rPr>
          <w:rFonts w:hint="eastAsia" w:ascii="宋体" w:hAnsi="宋体"/>
          <w:b/>
          <w:sz w:val="36"/>
          <w:szCs w:val="36"/>
        </w:rPr>
      </w:pPr>
      <w:r>
        <w:rPr>
          <w:rFonts w:hint="eastAsia" w:ascii="宋体" w:hAnsi="宋体"/>
          <w:b/>
          <w:sz w:val="36"/>
          <w:szCs w:val="36"/>
        </w:rPr>
        <w:t>目</w:t>
      </w:r>
      <w:r>
        <w:rPr>
          <w:rFonts w:ascii="宋体" w:hAnsi="宋体"/>
          <w:b/>
          <w:sz w:val="36"/>
          <w:szCs w:val="36"/>
        </w:rPr>
        <w:t xml:space="preserve">      </w:t>
      </w:r>
      <w:r>
        <w:rPr>
          <w:rFonts w:hint="eastAsia" w:ascii="宋体" w:hAnsi="宋体"/>
          <w:b/>
          <w:sz w:val="36"/>
          <w:szCs w:val="36"/>
        </w:rPr>
        <w:t>录</w:t>
      </w:r>
    </w:p>
    <w:p w14:paraId="004A69C2">
      <w:pPr>
        <w:ind w:firstLine="480"/>
        <w:rPr>
          <w:rFonts w:hint="eastAsia" w:ascii="宋体" w:hAnsi="宋体"/>
        </w:rPr>
      </w:pPr>
    </w:p>
    <w:p w14:paraId="41C7F571">
      <w:pPr>
        <w:ind w:firstLine="480"/>
        <w:rPr>
          <w:rFonts w:hint="eastAsia" w:ascii="宋体" w:hAnsi="宋体"/>
        </w:rPr>
      </w:pPr>
    </w:p>
    <w:p w14:paraId="2F1FD236">
      <w:pPr>
        <w:ind w:firstLine="480"/>
        <w:rPr>
          <w:rFonts w:hint="eastAsia" w:ascii="宋体" w:hAnsi="宋体"/>
        </w:rPr>
      </w:pPr>
    </w:p>
    <w:p w14:paraId="72D02187">
      <w:pPr>
        <w:ind w:firstLine="480"/>
        <w:rPr>
          <w:rFonts w:hint="eastAsia" w:ascii="宋体" w:hAnsi="宋体"/>
        </w:rPr>
      </w:pPr>
    </w:p>
    <w:p w14:paraId="35A335EC">
      <w:pPr>
        <w:pStyle w:val="36"/>
        <w:rPr>
          <w:rFonts w:asciiTheme="minorHAnsi" w:hAnsiTheme="minorHAnsi" w:eastAsiaTheme="minorEastAsia" w:cstheme="minorBidi"/>
          <w:b w:val="0"/>
          <w:sz w:val="21"/>
          <w:szCs w:val="22"/>
          <w14:ligatures w14:val="standardContextual"/>
        </w:rPr>
      </w:pPr>
      <w:r>
        <w:rPr>
          <w:b w:val="0"/>
        </w:rPr>
        <w:fldChar w:fldCharType="begin"/>
      </w:r>
      <w:r>
        <w:rPr>
          <w:b w:val="0"/>
        </w:rPr>
        <w:instrText xml:space="preserve"> TOC \o "1-1" \h \z \u </w:instrText>
      </w:r>
      <w:r>
        <w:rPr>
          <w:b w:val="0"/>
        </w:rPr>
        <w:fldChar w:fldCharType="separate"/>
      </w:r>
      <w:r>
        <w:fldChar w:fldCharType="begin"/>
      </w:r>
      <w:r>
        <w:instrText xml:space="preserve"> HYPERLINK \l "_Toc183434174" </w:instrText>
      </w:r>
      <w:r>
        <w:fldChar w:fldCharType="separate"/>
      </w:r>
      <w:r>
        <w:rPr>
          <w:rStyle w:val="67"/>
          <w:rFonts w:hint="eastAsia"/>
        </w:rPr>
        <w:t>第一章   采购邀请</w:t>
      </w:r>
      <w:r>
        <w:rPr>
          <w:rFonts w:hint="eastAsia"/>
        </w:rPr>
        <w:tab/>
      </w:r>
      <w:r>
        <w:rPr>
          <w:rFonts w:hint="eastAsia"/>
        </w:rPr>
        <w:fldChar w:fldCharType="begin"/>
      </w:r>
      <w:r>
        <w:rPr>
          <w:rFonts w:hint="eastAsia"/>
        </w:rPr>
        <w:instrText xml:space="preserve"> </w:instrText>
      </w:r>
      <w:r>
        <w:instrText xml:space="preserve">PAGEREF _Toc183434174 \h</w:instrText>
      </w:r>
      <w:r>
        <w:rPr>
          <w:rFonts w:hint="eastAsia"/>
        </w:rPr>
        <w:instrText xml:space="preserve"> </w:instrText>
      </w:r>
      <w:r>
        <w:rPr>
          <w:rFonts w:hint="eastAsia"/>
        </w:rPr>
        <w:fldChar w:fldCharType="separate"/>
      </w:r>
      <w:r>
        <w:rPr>
          <w:rFonts w:hint="eastAsia"/>
        </w:rPr>
        <w:t>1</w:t>
      </w:r>
      <w:r>
        <w:rPr>
          <w:rFonts w:hint="eastAsia"/>
        </w:rPr>
        <w:fldChar w:fldCharType="end"/>
      </w:r>
      <w:r>
        <w:rPr>
          <w:rFonts w:hint="eastAsia"/>
        </w:rPr>
        <w:fldChar w:fldCharType="end"/>
      </w:r>
    </w:p>
    <w:p w14:paraId="51587E91">
      <w:pPr>
        <w:pStyle w:val="36"/>
        <w:rPr>
          <w:rFonts w:asciiTheme="minorHAnsi" w:hAnsiTheme="minorHAnsi" w:eastAsiaTheme="minorEastAsia" w:cstheme="minorBidi"/>
          <w:b w:val="0"/>
          <w:sz w:val="21"/>
          <w:szCs w:val="22"/>
          <w14:ligatures w14:val="standardContextual"/>
        </w:rPr>
      </w:pPr>
      <w:r>
        <w:fldChar w:fldCharType="begin"/>
      </w:r>
      <w:r>
        <w:instrText xml:space="preserve"> HYPERLINK \l "_Toc183434175" </w:instrText>
      </w:r>
      <w:r>
        <w:fldChar w:fldCharType="separate"/>
      </w:r>
      <w:r>
        <w:rPr>
          <w:rStyle w:val="67"/>
          <w:rFonts w:hint="eastAsia"/>
        </w:rPr>
        <w:t>第二章   供应商须知</w:t>
      </w:r>
      <w:r>
        <w:rPr>
          <w:rFonts w:hint="eastAsia"/>
        </w:rPr>
        <w:tab/>
      </w:r>
      <w:r>
        <w:rPr>
          <w:rFonts w:hint="eastAsia"/>
        </w:rPr>
        <w:fldChar w:fldCharType="begin"/>
      </w:r>
      <w:r>
        <w:rPr>
          <w:rFonts w:hint="eastAsia"/>
        </w:rPr>
        <w:instrText xml:space="preserve"> </w:instrText>
      </w:r>
      <w:r>
        <w:instrText xml:space="preserve">PAGEREF _Toc183434175 \h</w:instrText>
      </w:r>
      <w:r>
        <w:rPr>
          <w:rFonts w:hint="eastAsia"/>
        </w:rPr>
        <w:instrText xml:space="preserve"> </w:instrText>
      </w:r>
      <w:r>
        <w:rPr>
          <w:rFonts w:hint="eastAsia"/>
        </w:rPr>
        <w:fldChar w:fldCharType="separate"/>
      </w:r>
      <w:r>
        <w:rPr>
          <w:rFonts w:hint="eastAsia"/>
        </w:rPr>
        <w:t>6</w:t>
      </w:r>
      <w:r>
        <w:rPr>
          <w:rFonts w:hint="eastAsia"/>
        </w:rPr>
        <w:fldChar w:fldCharType="end"/>
      </w:r>
      <w:r>
        <w:rPr>
          <w:rFonts w:hint="eastAsia"/>
        </w:rPr>
        <w:fldChar w:fldCharType="end"/>
      </w:r>
    </w:p>
    <w:p w14:paraId="4AFC66BA">
      <w:pPr>
        <w:pStyle w:val="36"/>
        <w:rPr>
          <w:rFonts w:asciiTheme="minorHAnsi" w:hAnsiTheme="minorHAnsi" w:eastAsiaTheme="minorEastAsia" w:cstheme="minorBidi"/>
          <w:b w:val="0"/>
          <w:sz w:val="21"/>
          <w:szCs w:val="22"/>
          <w14:ligatures w14:val="standardContextual"/>
        </w:rPr>
      </w:pPr>
      <w:r>
        <w:fldChar w:fldCharType="begin"/>
      </w:r>
      <w:r>
        <w:instrText xml:space="preserve"> HYPERLINK \l "_Toc183434176" </w:instrText>
      </w:r>
      <w:r>
        <w:fldChar w:fldCharType="separate"/>
      </w:r>
      <w:r>
        <w:rPr>
          <w:rStyle w:val="67"/>
          <w:rFonts w:hint="eastAsia"/>
        </w:rPr>
        <w:t>第三章   评审方法和评审标准</w:t>
      </w:r>
      <w:r>
        <w:rPr>
          <w:rFonts w:hint="eastAsia"/>
        </w:rPr>
        <w:tab/>
      </w:r>
      <w:r>
        <w:rPr>
          <w:rFonts w:hint="eastAsia"/>
        </w:rPr>
        <w:fldChar w:fldCharType="begin"/>
      </w:r>
      <w:r>
        <w:rPr>
          <w:rFonts w:hint="eastAsia"/>
        </w:rPr>
        <w:instrText xml:space="preserve"> </w:instrText>
      </w:r>
      <w:r>
        <w:instrText xml:space="preserve">PAGEREF _Toc183434176 \h</w:instrText>
      </w:r>
      <w:r>
        <w:rPr>
          <w:rFonts w:hint="eastAsia"/>
        </w:rPr>
        <w:instrText xml:space="preserve"> </w:instrText>
      </w:r>
      <w:r>
        <w:rPr>
          <w:rFonts w:hint="eastAsia"/>
        </w:rPr>
        <w:fldChar w:fldCharType="separate"/>
      </w:r>
      <w:r>
        <w:rPr>
          <w:rFonts w:hint="eastAsia"/>
        </w:rPr>
        <w:t>22</w:t>
      </w:r>
      <w:r>
        <w:rPr>
          <w:rFonts w:hint="eastAsia"/>
        </w:rPr>
        <w:fldChar w:fldCharType="end"/>
      </w:r>
      <w:r>
        <w:rPr>
          <w:rFonts w:hint="eastAsia"/>
        </w:rPr>
        <w:fldChar w:fldCharType="end"/>
      </w:r>
    </w:p>
    <w:p w14:paraId="4FFDD68B">
      <w:pPr>
        <w:pStyle w:val="36"/>
        <w:rPr>
          <w:rFonts w:asciiTheme="minorHAnsi" w:hAnsiTheme="minorHAnsi" w:eastAsiaTheme="minorEastAsia" w:cstheme="minorBidi"/>
          <w:b w:val="0"/>
          <w:sz w:val="21"/>
          <w:szCs w:val="22"/>
          <w14:ligatures w14:val="standardContextual"/>
        </w:rPr>
      </w:pPr>
      <w:r>
        <w:fldChar w:fldCharType="begin"/>
      </w:r>
      <w:r>
        <w:instrText xml:space="preserve"> HYPERLINK \l "_Toc183434177" </w:instrText>
      </w:r>
      <w:r>
        <w:fldChar w:fldCharType="separate"/>
      </w:r>
      <w:r>
        <w:rPr>
          <w:rStyle w:val="67"/>
          <w:rFonts w:hint="eastAsia"/>
        </w:rPr>
        <w:t>第四章   技术标准规范及项目需求</w:t>
      </w:r>
      <w:r>
        <w:rPr>
          <w:rFonts w:hint="eastAsia"/>
        </w:rPr>
        <w:tab/>
      </w:r>
      <w:r>
        <w:rPr>
          <w:rFonts w:hint="eastAsia"/>
        </w:rPr>
        <w:fldChar w:fldCharType="begin"/>
      </w:r>
      <w:r>
        <w:rPr>
          <w:rFonts w:hint="eastAsia"/>
        </w:rPr>
        <w:instrText xml:space="preserve"> </w:instrText>
      </w:r>
      <w:r>
        <w:instrText xml:space="preserve">PAGEREF _Toc183434177 \h</w:instrText>
      </w:r>
      <w:r>
        <w:rPr>
          <w:rFonts w:hint="eastAsia"/>
        </w:rPr>
        <w:instrText xml:space="preserve"> </w:instrText>
      </w:r>
      <w:r>
        <w:rPr>
          <w:rFonts w:hint="eastAsia"/>
        </w:rPr>
        <w:fldChar w:fldCharType="separate"/>
      </w:r>
      <w:r>
        <w:rPr>
          <w:rFonts w:hint="eastAsia"/>
        </w:rPr>
        <w:t>31</w:t>
      </w:r>
      <w:r>
        <w:rPr>
          <w:rFonts w:hint="eastAsia"/>
        </w:rPr>
        <w:fldChar w:fldCharType="end"/>
      </w:r>
      <w:r>
        <w:rPr>
          <w:rFonts w:hint="eastAsia"/>
        </w:rPr>
        <w:fldChar w:fldCharType="end"/>
      </w:r>
    </w:p>
    <w:p w14:paraId="581C7EB1">
      <w:pPr>
        <w:pStyle w:val="36"/>
        <w:rPr>
          <w:rFonts w:asciiTheme="minorHAnsi" w:hAnsiTheme="minorHAnsi" w:eastAsiaTheme="minorEastAsia" w:cstheme="minorBidi"/>
          <w:b w:val="0"/>
          <w:sz w:val="21"/>
          <w:szCs w:val="22"/>
          <w14:ligatures w14:val="standardContextual"/>
        </w:rPr>
      </w:pPr>
      <w:r>
        <w:fldChar w:fldCharType="begin"/>
      </w:r>
      <w:r>
        <w:instrText xml:space="preserve"> HYPERLINK \l "_Toc183434178" </w:instrText>
      </w:r>
      <w:r>
        <w:fldChar w:fldCharType="separate"/>
      </w:r>
      <w:r>
        <w:rPr>
          <w:rStyle w:val="67"/>
          <w:rFonts w:hint="eastAsia"/>
        </w:rPr>
        <w:t>第五章   合同条款</w:t>
      </w:r>
      <w:r>
        <w:rPr>
          <w:rFonts w:hint="eastAsia"/>
        </w:rPr>
        <w:tab/>
      </w:r>
      <w:r>
        <w:rPr>
          <w:rFonts w:hint="eastAsia"/>
        </w:rPr>
        <w:fldChar w:fldCharType="begin"/>
      </w:r>
      <w:r>
        <w:rPr>
          <w:rFonts w:hint="eastAsia"/>
        </w:rPr>
        <w:instrText xml:space="preserve"> </w:instrText>
      </w:r>
      <w:r>
        <w:instrText xml:space="preserve">PAGEREF _Toc183434178 \h</w:instrText>
      </w:r>
      <w:r>
        <w:rPr>
          <w:rFonts w:hint="eastAsia"/>
        </w:rPr>
        <w:instrText xml:space="preserve"> </w:instrText>
      </w:r>
      <w:r>
        <w:rPr>
          <w:rFonts w:hint="eastAsia"/>
        </w:rPr>
        <w:fldChar w:fldCharType="separate"/>
      </w:r>
      <w:r>
        <w:rPr>
          <w:rFonts w:hint="eastAsia"/>
        </w:rPr>
        <w:t>33</w:t>
      </w:r>
      <w:r>
        <w:rPr>
          <w:rFonts w:hint="eastAsia"/>
        </w:rPr>
        <w:fldChar w:fldCharType="end"/>
      </w:r>
      <w:r>
        <w:rPr>
          <w:rFonts w:hint="eastAsia"/>
        </w:rPr>
        <w:fldChar w:fldCharType="end"/>
      </w:r>
    </w:p>
    <w:p w14:paraId="5835313A">
      <w:pPr>
        <w:pStyle w:val="36"/>
        <w:rPr>
          <w:rFonts w:asciiTheme="minorHAnsi" w:hAnsiTheme="minorHAnsi" w:eastAsiaTheme="minorEastAsia" w:cstheme="minorBidi"/>
          <w:b w:val="0"/>
          <w:sz w:val="21"/>
          <w:szCs w:val="22"/>
          <w14:ligatures w14:val="standardContextual"/>
        </w:rPr>
      </w:pPr>
      <w:r>
        <w:fldChar w:fldCharType="begin"/>
      </w:r>
      <w:r>
        <w:instrText xml:space="preserve"> HYPERLINK \l "_Toc183434179" </w:instrText>
      </w:r>
      <w:r>
        <w:fldChar w:fldCharType="separate"/>
      </w:r>
      <w:r>
        <w:rPr>
          <w:rStyle w:val="67"/>
          <w:rFonts w:hint="eastAsia"/>
        </w:rPr>
        <w:t>第六章   响应文件格式</w:t>
      </w:r>
      <w:r>
        <w:rPr>
          <w:rFonts w:hint="eastAsia"/>
        </w:rPr>
        <w:tab/>
      </w:r>
      <w:r>
        <w:rPr>
          <w:rFonts w:hint="eastAsia"/>
        </w:rPr>
        <w:fldChar w:fldCharType="begin"/>
      </w:r>
      <w:r>
        <w:rPr>
          <w:rFonts w:hint="eastAsia"/>
        </w:rPr>
        <w:instrText xml:space="preserve"> </w:instrText>
      </w:r>
      <w:r>
        <w:instrText xml:space="preserve">PAGEREF _Toc183434179 \h</w:instrText>
      </w:r>
      <w:r>
        <w:rPr>
          <w:rFonts w:hint="eastAsia"/>
        </w:rPr>
        <w:instrText xml:space="preserve"> </w:instrText>
      </w:r>
      <w:r>
        <w:rPr>
          <w:rFonts w:hint="eastAsia"/>
        </w:rPr>
        <w:fldChar w:fldCharType="separate"/>
      </w:r>
      <w:r>
        <w:rPr>
          <w:rFonts w:hint="eastAsia"/>
        </w:rPr>
        <w:t>43</w:t>
      </w:r>
      <w:r>
        <w:rPr>
          <w:rFonts w:hint="eastAsia"/>
        </w:rPr>
        <w:fldChar w:fldCharType="end"/>
      </w:r>
      <w:r>
        <w:rPr>
          <w:rFonts w:hint="eastAsia"/>
        </w:rPr>
        <w:fldChar w:fldCharType="end"/>
      </w:r>
    </w:p>
    <w:p w14:paraId="0BAE719D">
      <w:pPr>
        <w:pStyle w:val="36"/>
        <w:rPr>
          <w:rFonts w:asciiTheme="minorHAnsi" w:hAnsiTheme="minorHAnsi" w:eastAsiaTheme="minorEastAsia" w:cstheme="minorBidi"/>
          <w:b w:val="0"/>
          <w:sz w:val="21"/>
          <w:szCs w:val="22"/>
          <w14:ligatures w14:val="standardContextual"/>
        </w:rPr>
      </w:pPr>
      <w:r>
        <w:fldChar w:fldCharType="begin"/>
      </w:r>
      <w:r>
        <w:instrText xml:space="preserve"> HYPERLINK \l "_Toc183434180" </w:instrText>
      </w:r>
      <w:r>
        <w:fldChar w:fldCharType="separate"/>
      </w:r>
      <w:r>
        <w:rPr>
          <w:rStyle w:val="67"/>
          <w:rFonts w:hint="eastAsia"/>
        </w:rPr>
        <w:t>第七章   工程量清单</w:t>
      </w:r>
      <w:r>
        <w:rPr>
          <w:rFonts w:hint="eastAsia"/>
        </w:rPr>
        <w:tab/>
      </w:r>
      <w:r>
        <w:rPr>
          <w:rFonts w:hint="eastAsia"/>
        </w:rPr>
        <w:fldChar w:fldCharType="begin"/>
      </w:r>
      <w:r>
        <w:rPr>
          <w:rFonts w:hint="eastAsia"/>
        </w:rPr>
        <w:instrText xml:space="preserve"> </w:instrText>
      </w:r>
      <w:r>
        <w:instrText xml:space="preserve">PAGEREF _Toc183434180 \h</w:instrText>
      </w:r>
      <w:r>
        <w:rPr>
          <w:rFonts w:hint="eastAsia"/>
        </w:rPr>
        <w:instrText xml:space="preserve"> </w:instrText>
      </w:r>
      <w:r>
        <w:rPr>
          <w:rFonts w:hint="eastAsia"/>
        </w:rPr>
        <w:fldChar w:fldCharType="separate"/>
      </w:r>
      <w:r>
        <w:rPr>
          <w:rFonts w:hint="eastAsia"/>
        </w:rPr>
        <w:t>75</w:t>
      </w:r>
      <w:r>
        <w:rPr>
          <w:rFonts w:hint="eastAsia"/>
        </w:rPr>
        <w:fldChar w:fldCharType="end"/>
      </w:r>
      <w:r>
        <w:rPr>
          <w:rFonts w:hint="eastAsia"/>
        </w:rPr>
        <w:fldChar w:fldCharType="end"/>
      </w:r>
    </w:p>
    <w:p w14:paraId="3E494AF5">
      <w:pPr>
        <w:pStyle w:val="36"/>
        <w:spacing w:line="360" w:lineRule="auto"/>
        <w:rPr>
          <w:rFonts w:hint="eastAsia"/>
          <w:b w:val="0"/>
        </w:rPr>
      </w:pPr>
      <w:r>
        <w:rPr>
          <w:b w:val="0"/>
        </w:rPr>
        <w:fldChar w:fldCharType="end"/>
      </w:r>
    </w:p>
    <w:p w14:paraId="1CCD7851">
      <w:pPr>
        <w:pStyle w:val="36"/>
        <w:spacing w:line="360" w:lineRule="auto"/>
        <w:ind w:firstLine="720"/>
        <w:rPr>
          <w:rFonts w:hint="eastAsia"/>
          <w:b w:val="0"/>
          <w:sz w:val="36"/>
          <w:szCs w:val="36"/>
        </w:rPr>
      </w:pPr>
    </w:p>
    <w:p w14:paraId="118D70B4">
      <w:pPr>
        <w:spacing w:line="360" w:lineRule="auto"/>
        <w:ind w:firstLine="723"/>
        <w:jc w:val="center"/>
        <w:outlineLvl w:val="0"/>
        <w:rPr>
          <w:rFonts w:hint="eastAsia" w:ascii="宋体" w:hAnsi="宋体"/>
          <w:b/>
          <w:sz w:val="36"/>
          <w:szCs w:val="36"/>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720" w:num="1"/>
          <w:titlePg/>
          <w:docGrid w:linePitch="462" w:charSpace="0"/>
        </w:sectPr>
      </w:pPr>
    </w:p>
    <w:p w14:paraId="7A29627C">
      <w:pPr>
        <w:spacing w:line="360" w:lineRule="auto"/>
        <w:ind w:firstLine="723"/>
        <w:jc w:val="center"/>
        <w:outlineLvl w:val="0"/>
        <w:rPr>
          <w:rFonts w:hint="eastAsia" w:ascii="宋体" w:hAnsi="宋体"/>
          <w:b/>
          <w:sz w:val="36"/>
          <w:szCs w:val="36"/>
        </w:rPr>
      </w:pPr>
      <w:bookmarkStart w:id="1" w:name="_Toc183434174"/>
      <w:r>
        <w:rPr>
          <w:rFonts w:ascii="宋体" w:hAnsi="宋体"/>
          <w:b/>
          <w:sz w:val="36"/>
          <w:szCs w:val="36"/>
        </w:rPr>
        <w:t>第一章   采购邀请</w:t>
      </w:r>
      <w:bookmarkEnd w:id="1"/>
      <w:bookmarkStart w:id="2" w:name="_Toc35393621"/>
      <w:bookmarkStart w:id="3" w:name="_Toc35393790"/>
      <w:bookmarkStart w:id="4" w:name="_Toc28359002"/>
      <w:bookmarkStart w:id="5" w:name="_Toc28359079"/>
      <w:bookmarkStart w:id="6" w:name="_Hlk24379207"/>
    </w:p>
    <w:p w14:paraId="20B418A0">
      <w:pPr>
        <w:pStyle w:val="3"/>
        <w:spacing w:before="0" w:line="360" w:lineRule="auto"/>
        <w:ind w:firstLine="482"/>
        <w:jc w:val="left"/>
        <w:rPr>
          <w:rFonts w:hint="eastAsia" w:ascii="宋体" w:hAnsi="宋体" w:eastAsia="宋体"/>
          <w:sz w:val="24"/>
          <w:szCs w:val="24"/>
        </w:rPr>
      </w:pPr>
      <w:r>
        <w:rPr>
          <w:rFonts w:ascii="宋体" w:hAnsi="宋体" w:eastAsia="宋体"/>
          <w:sz w:val="24"/>
          <w:szCs w:val="24"/>
        </w:rPr>
        <w:t>一、项目基本情况</w:t>
      </w:r>
      <w:bookmarkEnd w:id="2"/>
      <w:bookmarkEnd w:id="3"/>
      <w:bookmarkEnd w:id="4"/>
      <w:bookmarkEnd w:id="5"/>
    </w:p>
    <w:p w14:paraId="3821630E">
      <w:pPr>
        <w:spacing w:line="360" w:lineRule="auto"/>
        <w:ind w:firstLine="480" w:firstLineChars="200"/>
        <w:rPr>
          <w:rFonts w:hint="eastAsia" w:ascii="宋体" w:hAnsi="宋体"/>
          <w:sz w:val="24"/>
        </w:rPr>
      </w:pPr>
      <w:r>
        <w:rPr>
          <w:rFonts w:ascii="宋体" w:hAnsi="宋体"/>
          <w:sz w:val="24"/>
        </w:rPr>
        <w:t>1.项目编号:</w:t>
      </w:r>
      <w:r>
        <w:t xml:space="preserve"> </w:t>
      </w:r>
      <w:r>
        <w:rPr>
          <w:rFonts w:hint="eastAsia"/>
        </w:rPr>
        <w:t>11000025210200152639-XM001</w:t>
      </w:r>
    </w:p>
    <w:p w14:paraId="73E1DB03">
      <w:pPr>
        <w:spacing w:line="360" w:lineRule="auto"/>
        <w:ind w:firstLine="480" w:firstLineChars="200"/>
        <w:rPr>
          <w:rFonts w:hint="eastAsia" w:ascii="宋体" w:hAnsi="宋体"/>
          <w:sz w:val="24"/>
        </w:rPr>
      </w:pPr>
      <w:r>
        <w:rPr>
          <w:rFonts w:ascii="宋体" w:hAnsi="宋体"/>
          <w:sz w:val="24"/>
        </w:rPr>
        <w:t>2.项目名称：</w:t>
      </w:r>
      <w:r>
        <w:rPr>
          <w:rFonts w:hint="eastAsia" w:ascii="宋体" w:hAnsi="宋体"/>
          <w:sz w:val="24"/>
        </w:rPr>
        <w:t>颐和园园内水电及基础设施维修（第一标段：</w:t>
      </w:r>
      <w:r>
        <w:rPr>
          <w:rFonts w:hint="eastAsia" w:ascii="宋体" w:hAnsi="宋体"/>
          <w:color w:val="FF0000"/>
          <w:sz w:val="24"/>
        </w:rPr>
        <w:t>配电设备设施运维</w:t>
      </w:r>
      <w:r>
        <w:rPr>
          <w:rFonts w:hint="eastAsia" w:ascii="宋体" w:hAnsi="宋体"/>
          <w:sz w:val="24"/>
        </w:rPr>
        <w:t>）</w:t>
      </w:r>
    </w:p>
    <w:p w14:paraId="3A9BF482">
      <w:pPr>
        <w:spacing w:line="360" w:lineRule="auto"/>
        <w:ind w:firstLine="480" w:firstLineChars="200"/>
        <w:rPr>
          <w:rFonts w:hint="eastAsia" w:ascii="宋体" w:hAnsi="宋体"/>
          <w:sz w:val="24"/>
        </w:rPr>
      </w:pPr>
      <w:r>
        <w:rPr>
          <w:rFonts w:ascii="宋体" w:hAnsi="宋体"/>
          <w:sz w:val="24"/>
        </w:rPr>
        <w:t>3.采购方式：竞争性磋商</w:t>
      </w:r>
    </w:p>
    <w:bookmarkEnd w:id="6"/>
    <w:p w14:paraId="0BFFE0CB">
      <w:pPr>
        <w:spacing w:line="360" w:lineRule="auto"/>
        <w:ind w:firstLine="480" w:firstLineChars="200"/>
        <w:rPr>
          <w:rFonts w:hint="eastAsia" w:ascii="宋体" w:hAnsi="宋体"/>
          <w:sz w:val="24"/>
        </w:rPr>
      </w:pPr>
      <w:r>
        <w:rPr>
          <w:rFonts w:ascii="宋体" w:hAnsi="宋体"/>
          <w:sz w:val="24"/>
        </w:rPr>
        <w:t>4.项目预算金额：</w:t>
      </w:r>
      <w:r>
        <w:rPr>
          <w:rFonts w:hint="eastAsia" w:ascii="宋体" w:hAnsi="宋体"/>
          <w:sz w:val="24"/>
        </w:rPr>
        <w:t>148.65万</w:t>
      </w:r>
      <w:r>
        <w:rPr>
          <w:rFonts w:ascii="宋体" w:hAnsi="宋体"/>
          <w:sz w:val="24"/>
        </w:rPr>
        <w:t>元、项目最高限价：148</w:t>
      </w:r>
      <w:r>
        <w:rPr>
          <w:rFonts w:hint="eastAsia" w:ascii="宋体" w:hAnsi="宋体"/>
          <w:sz w:val="24"/>
        </w:rPr>
        <w:t>.</w:t>
      </w:r>
      <w:r>
        <w:rPr>
          <w:rFonts w:ascii="宋体" w:hAnsi="宋体"/>
          <w:sz w:val="24"/>
        </w:rPr>
        <w:t>6381</w:t>
      </w:r>
      <w:r>
        <w:rPr>
          <w:rFonts w:hint="eastAsia" w:ascii="宋体" w:hAnsi="宋体"/>
          <w:sz w:val="24"/>
        </w:rPr>
        <w:t>万元</w:t>
      </w:r>
    </w:p>
    <w:p w14:paraId="725F7CBF">
      <w:pPr>
        <w:spacing w:line="360" w:lineRule="auto"/>
        <w:ind w:firstLine="480" w:firstLineChars="200"/>
        <w:rPr>
          <w:rFonts w:hint="eastAsia" w:ascii="宋体" w:hAnsi="宋体"/>
          <w:sz w:val="24"/>
        </w:rPr>
      </w:pPr>
      <w:r>
        <w:rPr>
          <w:rFonts w:ascii="宋体" w:hAnsi="宋体"/>
          <w:sz w:val="24"/>
        </w:rPr>
        <w:t>5.采购需求：</w:t>
      </w:r>
    </w:p>
    <w:tbl>
      <w:tblPr>
        <w:tblStyle w:val="57"/>
        <w:tblW w:w="9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239"/>
        <w:gridCol w:w="1701"/>
        <w:gridCol w:w="737"/>
        <w:gridCol w:w="3346"/>
      </w:tblGrid>
      <w:tr w14:paraId="1C15D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8" w:type="dxa"/>
            <w:vAlign w:val="center"/>
          </w:tcPr>
          <w:p w14:paraId="5441A3A5">
            <w:pPr>
              <w:jc w:val="center"/>
              <w:rPr>
                <w:rFonts w:hint="eastAsia" w:ascii="宋体" w:hAnsi="宋体"/>
                <w:sz w:val="24"/>
              </w:rPr>
            </w:pPr>
            <w:r>
              <w:rPr>
                <w:rFonts w:hint="eastAsia" w:ascii="宋体" w:hAnsi="宋体"/>
                <w:sz w:val="24"/>
              </w:rPr>
              <w:t>包号</w:t>
            </w:r>
          </w:p>
        </w:tc>
        <w:tc>
          <w:tcPr>
            <w:tcW w:w="2239" w:type="dxa"/>
            <w:vAlign w:val="center"/>
          </w:tcPr>
          <w:p w14:paraId="752FDF4F">
            <w:pPr>
              <w:jc w:val="center"/>
              <w:rPr>
                <w:rFonts w:hint="eastAsia" w:ascii="宋体" w:hAnsi="宋体"/>
                <w:sz w:val="24"/>
              </w:rPr>
            </w:pPr>
            <w:r>
              <w:rPr>
                <w:rFonts w:ascii="宋体" w:hAnsi="宋体"/>
                <w:sz w:val="24"/>
              </w:rPr>
              <w:t>标的名称</w:t>
            </w:r>
          </w:p>
        </w:tc>
        <w:tc>
          <w:tcPr>
            <w:tcW w:w="1701" w:type="dxa"/>
            <w:vAlign w:val="center"/>
          </w:tcPr>
          <w:p w14:paraId="4896C8E5">
            <w:pPr>
              <w:jc w:val="center"/>
              <w:rPr>
                <w:rFonts w:hint="eastAsia" w:ascii="宋体" w:hAnsi="宋体"/>
                <w:sz w:val="24"/>
              </w:rPr>
            </w:pPr>
            <w:r>
              <w:rPr>
                <w:rFonts w:ascii="宋体" w:hAnsi="宋体"/>
                <w:sz w:val="24"/>
              </w:rPr>
              <w:t>采购包预算金额（万元）</w:t>
            </w:r>
          </w:p>
        </w:tc>
        <w:tc>
          <w:tcPr>
            <w:tcW w:w="737" w:type="dxa"/>
            <w:vAlign w:val="center"/>
          </w:tcPr>
          <w:p w14:paraId="5BA5C1F2">
            <w:pPr>
              <w:jc w:val="center"/>
              <w:rPr>
                <w:rFonts w:hint="eastAsia" w:ascii="宋体" w:hAnsi="宋体"/>
                <w:sz w:val="24"/>
              </w:rPr>
            </w:pPr>
            <w:r>
              <w:rPr>
                <w:rFonts w:ascii="宋体" w:hAnsi="宋体"/>
                <w:sz w:val="24"/>
              </w:rPr>
              <w:t>数量</w:t>
            </w:r>
          </w:p>
        </w:tc>
        <w:tc>
          <w:tcPr>
            <w:tcW w:w="3346" w:type="dxa"/>
            <w:vAlign w:val="center"/>
          </w:tcPr>
          <w:p w14:paraId="010E4912">
            <w:pPr>
              <w:jc w:val="center"/>
              <w:rPr>
                <w:rFonts w:hint="eastAsia" w:ascii="宋体" w:hAnsi="宋体"/>
                <w:sz w:val="24"/>
              </w:rPr>
            </w:pPr>
            <w:r>
              <w:rPr>
                <w:rFonts w:ascii="宋体" w:hAnsi="宋体"/>
                <w:sz w:val="24"/>
              </w:rPr>
              <w:t>简要技术需求或服务要求</w:t>
            </w:r>
          </w:p>
        </w:tc>
      </w:tr>
      <w:tr w14:paraId="60C24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88" w:type="dxa"/>
            <w:vAlign w:val="center"/>
          </w:tcPr>
          <w:p w14:paraId="0CE92C88">
            <w:pPr>
              <w:jc w:val="center"/>
              <w:rPr>
                <w:rFonts w:hint="eastAsia" w:ascii="宋体" w:hAnsi="宋体"/>
                <w:sz w:val="24"/>
              </w:rPr>
            </w:pPr>
            <w:r>
              <w:rPr>
                <w:rFonts w:hint="eastAsia" w:ascii="宋体" w:hAnsi="宋体"/>
                <w:sz w:val="24"/>
              </w:rPr>
              <w:t>1</w:t>
            </w:r>
          </w:p>
        </w:tc>
        <w:tc>
          <w:tcPr>
            <w:tcW w:w="2239" w:type="dxa"/>
            <w:vAlign w:val="center"/>
          </w:tcPr>
          <w:p w14:paraId="685E0B99">
            <w:pPr>
              <w:jc w:val="left"/>
              <w:rPr>
                <w:rFonts w:hint="eastAsia" w:ascii="宋体" w:hAnsi="宋体"/>
                <w:sz w:val="24"/>
              </w:rPr>
            </w:pPr>
            <w:r>
              <w:rPr>
                <w:rFonts w:hint="eastAsia" w:ascii="宋体" w:hAnsi="宋体"/>
                <w:sz w:val="24"/>
              </w:rPr>
              <w:t>颐和园园内水电及基础设施维修（第一标段：配电设备设施运维）</w:t>
            </w:r>
          </w:p>
        </w:tc>
        <w:tc>
          <w:tcPr>
            <w:tcW w:w="1701" w:type="dxa"/>
            <w:vAlign w:val="center"/>
          </w:tcPr>
          <w:p w14:paraId="7AEFD8E3">
            <w:pPr>
              <w:jc w:val="center"/>
              <w:rPr>
                <w:rFonts w:hint="eastAsia" w:ascii="宋体" w:hAnsi="宋体"/>
                <w:sz w:val="24"/>
              </w:rPr>
            </w:pPr>
            <w:r>
              <w:rPr>
                <w:rFonts w:hint="eastAsia" w:ascii="宋体" w:hAnsi="宋体"/>
                <w:sz w:val="24"/>
              </w:rPr>
              <w:t>148.65</w:t>
            </w:r>
          </w:p>
        </w:tc>
        <w:tc>
          <w:tcPr>
            <w:tcW w:w="737" w:type="dxa"/>
            <w:vAlign w:val="center"/>
          </w:tcPr>
          <w:p w14:paraId="5E607EFD">
            <w:pPr>
              <w:jc w:val="center"/>
              <w:rPr>
                <w:rFonts w:hint="eastAsia" w:ascii="宋体" w:hAnsi="宋体"/>
                <w:sz w:val="24"/>
              </w:rPr>
            </w:pPr>
            <w:r>
              <w:rPr>
                <w:rFonts w:ascii="宋体" w:hAnsi="宋体"/>
                <w:sz w:val="24"/>
              </w:rPr>
              <w:t>1</w:t>
            </w:r>
          </w:p>
        </w:tc>
        <w:tc>
          <w:tcPr>
            <w:tcW w:w="3346" w:type="dxa"/>
            <w:vAlign w:val="center"/>
          </w:tcPr>
          <w:p w14:paraId="36F499EF">
            <w:pPr>
              <w:spacing w:line="360" w:lineRule="auto"/>
              <w:rPr>
                <w:rFonts w:hint="eastAsia" w:ascii="宋体" w:hAnsi="宋体"/>
                <w:sz w:val="24"/>
              </w:rPr>
            </w:pPr>
            <w:r>
              <w:rPr>
                <w:rFonts w:hint="eastAsia" w:ascii="宋体" w:hAnsi="宋体"/>
                <w:sz w:val="24"/>
              </w:rPr>
              <w:t>颐和园范围内配电设备设施日常维修、三处高压配电室及十处高压箱式变压器春秋两次清扫维护、综合楼配电室24小时巡检值守、云松巢配电室白天8小时巡检值守以及全园低压供电24小时电工巡检值守和任务保障等，具体内容见清单。</w:t>
            </w:r>
          </w:p>
        </w:tc>
      </w:tr>
    </w:tbl>
    <w:p w14:paraId="1730CD03">
      <w:pPr>
        <w:spacing w:line="360" w:lineRule="auto"/>
        <w:rPr>
          <w:rFonts w:hint="eastAsia" w:ascii="宋体" w:hAnsi="宋体" w:cs="宋体"/>
          <w:sz w:val="24"/>
        </w:rPr>
      </w:pPr>
      <w:bookmarkStart w:id="7" w:name="_Hlk182211035"/>
      <w:r>
        <w:rPr>
          <w:rFonts w:hint="eastAsia" w:ascii="宋体" w:hAnsi="宋体" w:cs="宋体"/>
          <w:sz w:val="24"/>
        </w:rPr>
        <w:t>注：为确保项目的进度和质量，本项目采用“兼投不兼中”模式。投标人可参加本项目第一-三标段中多个标段的投标，但只能中标1个标段，即“兼投不兼中”。本项目按照第一标段→第二标段→第三标段的顺序进行评审。如果投标人为第一标段的第一中标候选人，将不再获得后续标段的中标资格。无论第一中标候选人放弃中标或其他原因导致第一标段采购合同无法履行，第二标段及第三标段的评标结果或采购合同履行均不受此影响。</w:t>
      </w:r>
    </w:p>
    <w:bookmarkEnd w:id="7"/>
    <w:p w14:paraId="46359826">
      <w:pPr>
        <w:spacing w:line="360" w:lineRule="auto"/>
        <w:ind w:left="420" w:leftChars="200"/>
        <w:rPr>
          <w:rFonts w:hint="eastAsia" w:ascii="宋体" w:hAnsi="宋体"/>
          <w:sz w:val="24"/>
        </w:rPr>
      </w:pPr>
      <w:r>
        <w:rPr>
          <w:rFonts w:ascii="宋体" w:hAnsi="宋体"/>
          <w:sz w:val="24"/>
        </w:rPr>
        <w:t>6.合同履行期限：</w:t>
      </w:r>
      <w:bookmarkStart w:id="8" w:name="_Hlk182211041"/>
      <w:r>
        <w:rPr>
          <w:rFonts w:hint="eastAsia" w:ascii="宋体" w:hAnsi="宋体"/>
          <w:color w:val="000000"/>
          <w:sz w:val="24"/>
          <w:u w:val="single"/>
        </w:rPr>
        <w:t xml:space="preserve"> 365</w:t>
      </w:r>
      <w:r>
        <w:rPr>
          <w:rFonts w:hint="eastAsia" w:ascii="宋体" w:hAnsi="宋体"/>
          <w:color w:val="000000"/>
          <w:sz w:val="24"/>
        </w:rPr>
        <w:t>日历天，开工日期为</w:t>
      </w:r>
      <w:r>
        <w:rPr>
          <w:rFonts w:hint="eastAsia" w:ascii="宋体" w:hAnsi="宋体"/>
          <w:color w:val="000000"/>
          <w:sz w:val="24"/>
          <w:u w:val="single"/>
        </w:rPr>
        <w:t xml:space="preserve">2026 </w:t>
      </w:r>
      <w:r>
        <w:rPr>
          <w:rFonts w:hint="eastAsia" w:ascii="宋体" w:hAnsi="宋体"/>
          <w:color w:val="000000"/>
          <w:sz w:val="24"/>
        </w:rPr>
        <w:t>年</w:t>
      </w:r>
      <w:r>
        <w:rPr>
          <w:rFonts w:hint="eastAsia" w:ascii="宋体" w:hAnsi="宋体"/>
          <w:color w:val="000000"/>
          <w:sz w:val="24"/>
          <w:u w:val="single"/>
        </w:rPr>
        <w:t xml:space="preserve"> 1 </w:t>
      </w:r>
      <w:r>
        <w:rPr>
          <w:rFonts w:hint="eastAsia" w:ascii="宋体" w:hAnsi="宋体"/>
          <w:color w:val="000000"/>
          <w:sz w:val="24"/>
        </w:rPr>
        <w:t>月</w:t>
      </w:r>
      <w:r>
        <w:rPr>
          <w:rFonts w:hint="eastAsia" w:ascii="宋体" w:hAnsi="宋体"/>
          <w:color w:val="000000"/>
          <w:sz w:val="24"/>
          <w:u w:val="single"/>
        </w:rPr>
        <w:t xml:space="preserve"> 1 </w:t>
      </w:r>
      <w:r>
        <w:rPr>
          <w:rFonts w:hint="eastAsia" w:ascii="宋体" w:hAnsi="宋体"/>
          <w:color w:val="000000"/>
          <w:sz w:val="24"/>
        </w:rPr>
        <w:t>日，竣工日期为</w:t>
      </w:r>
      <w:r>
        <w:rPr>
          <w:rFonts w:hint="eastAsia" w:ascii="宋体" w:hAnsi="宋体"/>
          <w:color w:val="000000"/>
          <w:sz w:val="24"/>
          <w:u w:val="single"/>
        </w:rPr>
        <w:t xml:space="preserve"> 2026  </w:t>
      </w:r>
      <w:r>
        <w:rPr>
          <w:rFonts w:hint="eastAsia" w:ascii="宋体" w:hAnsi="宋体"/>
          <w:color w:val="000000"/>
          <w:sz w:val="24"/>
        </w:rPr>
        <w:t>年</w:t>
      </w:r>
      <w:r>
        <w:rPr>
          <w:rFonts w:hint="eastAsia" w:ascii="宋体" w:hAnsi="宋体"/>
          <w:color w:val="000000"/>
          <w:sz w:val="24"/>
          <w:u w:val="single"/>
        </w:rPr>
        <w:t xml:space="preserve"> 12  </w:t>
      </w:r>
      <w:r>
        <w:rPr>
          <w:rFonts w:hint="eastAsia" w:ascii="宋体" w:hAnsi="宋体"/>
          <w:color w:val="000000"/>
          <w:sz w:val="24"/>
        </w:rPr>
        <w:t>月</w:t>
      </w:r>
      <w:r>
        <w:rPr>
          <w:rFonts w:hint="eastAsia" w:ascii="宋体" w:hAnsi="宋体"/>
          <w:color w:val="000000"/>
          <w:sz w:val="24"/>
          <w:u w:val="single"/>
        </w:rPr>
        <w:t xml:space="preserve"> 31  </w:t>
      </w:r>
      <w:r>
        <w:rPr>
          <w:rFonts w:hint="eastAsia" w:ascii="宋体" w:hAnsi="宋体"/>
          <w:color w:val="000000"/>
          <w:sz w:val="24"/>
        </w:rPr>
        <w:t>日</w:t>
      </w:r>
      <w:bookmarkEnd w:id="8"/>
      <w:r>
        <w:rPr>
          <w:rFonts w:hint="eastAsia" w:ascii="宋体" w:hAnsi="宋体"/>
          <w:sz w:val="24"/>
        </w:rPr>
        <w:t>。</w:t>
      </w:r>
    </w:p>
    <w:p w14:paraId="111ABC27">
      <w:pPr>
        <w:spacing w:line="360" w:lineRule="auto"/>
        <w:ind w:firstLine="480" w:firstLineChars="200"/>
        <w:rPr>
          <w:rFonts w:hint="eastAsia" w:ascii="宋体" w:hAnsi="宋体"/>
          <w:sz w:val="24"/>
        </w:rPr>
      </w:pPr>
      <w:r>
        <w:rPr>
          <w:rFonts w:ascii="宋体" w:hAnsi="宋体"/>
          <w:sz w:val="24"/>
        </w:rPr>
        <w:t>7.本项目是否接受联合体：</w:t>
      </w:r>
      <w:r>
        <w:rPr>
          <w:rFonts w:ascii="宋体" w:hAnsi="宋体"/>
        </w:rPr>
        <w:t>□</w:t>
      </w:r>
      <w:r>
        <w:rPr>
          <w:rFonts w:ascii="宋体" w:hAnsi="宋体"/>
          <w:sz w:val="24"/>
        </w:rPr>
        <w:t xml:space="preserve">是  </w:t>
      </w:r>
      <w:r>
        <w:rPr>
          <w:rFonts w:ascii="宋体" w:hAnsi="宋体"/>
          <w:b/>
          <w:sz w:val="24"/>
        </w:rPr>
        <w:t>■</w:t>
      </w:r>
      <w:r>
        <w:rPr>
          <w:rFonts w:ascii="宋体" w:hAnsi="宋体"/>
          <w:sz w:val="24"/>
        </w:rPr>
        <w:t>否。</w:t>
      </w:r>
    </w:p>
    <w:p w14:paraId="49B0EF8C">
      <w:pPr>
        <w:spacing w:line="360" w:lineRule="auto"/>
        <w:ind w:firstLine="480" w:firstLineChars="200"/>
        <w:rPr>
          <w:rFonts w:hint="eastAsia" w:ascii="宋体" w:hAnsi="宋体"/>
          <w:sz w:val="24"/>
        </w:rPr>
      </w:pPr>
    </w:p>
    <w:p w14:paraId="23E29D5C">
      <w:pPr>
        <w:pStyle w:val="3"/>
        <w:spacing w:before="0" w:line="360" w:lineRule="auto"/>
        <w:ind w:firstLine="482"/>
        <w:jc w:val="left"/>
        <w:rPr>
          <w:rFonts w:hint="eastAsia" w:ascii="宋体" w:hAnsi="宋体" w:eastAsia="宋体"/>
          <w:sz w:val="24"/>
          <w:szCs w:val="24"/>
        </w:rPr>
      </w:pPr>
      <w:bookmarkStart w:id="9" w:name="_Toc35393791"/>
      <w:bookmarkStart w:id="10" w:name="_Toc28359003"/>
      <w:bookmarkStart w:id="11" w:name="_Toc28359080"/>
      <w:bookmarkStart w:id="12" w:name="_Toc35393622"/>
      <w:r>
        <w:rPr>
          <w:rFonts w:ascii="宋体" w:hAnsi="宋体" w:eastAsia="宋体"/>
          <w:sz w:val="24"/>
          <w:szCs w:val="24"/>
        </w:rPr>
        <w:t>二、申请人的资格要求（须同时满足）</w:t>
      </w:r>
      <w:bookmarkEnd w:id="9"/>
      <w:bookmarkEnd w:id="10"/>
      <w:bookmarkEnd w:id="11"/>
      <w:bookmarkEnd w:id="12"/>
    </w:p>
    <w:p w14:paraId="47BBA18C">
      <w:pPr>
        <w:spacing w:line="360" w:lineRule="auto"/>
        <w:ind w:firstLine="480" w:firstLineChars="200"/>
        <w:rPr>
          <w:rFonts w:hint="eastAsia" w:ascii="宋体" w:hAnsi="宋体"/>
          <w:sz w:val="24"/>
        </w:rPr>
      </w:pPr>
      <w:r>
        <w:rPr>
          <w:rFonts w:ascii="宋体" w:hAnsi="宋体"/>
          <w:sz w:val="24"/>
        </w:rPr>
        <w:t>1.满足《中华人民共和国政府采购法》第二十二条规定；</w:t>
      </w:r>
    </w:p>
    <w:p w14:paraId="04314A82">
      <w:pPr>
        <w:spacing w:line="360" w:lineRule="auto"/>
        <w:ind w:firstLine="480" w:firstLineChars="200"/>
        <w:rPr>
          <w:rFonts w:hint="eastAsia" w:ascii="宋体" w:hAnsi="宋体"/>
          <w:sz w:val="24"/>
        </w:rPr>
      </w:pPr>
      <w:bookmarkStart w:id="13" w:name="_Toc28359004"/>
      <w:bookmarkStart w:id="14" w:name="_Toc28359081"/>
      <w:r>
        <w:rPr>
          <w:rFonts w:ascii="宋体" w:hAnsi="宋体"/>
          <w:sz w:val="24"/>
        </w:rPr>
        <w:t>2.落实政府采购政策需满足的资格要求：</w:t>
      </w:r>
    </w:p>
    <w:p w14:paraId="72041E1D">
      <w:pPr>
        <w:spacing w:line="360" w:lineRule="auto"/>
        <w:ind w:firstLine="480" w:firstLineChars="200"/>
        <w:rPr>
          <w:rFonts w:hint="eastAsia" w:ascii="宋体" w:hAnsi="宋体"/>
          <w:sz w:val="24"/>
        </w:rPr>
      </w:pPr>
      <w:r>
        <w:rPr>
          <w:rFonts w:ascii="宋体" w:hAnsi="宋体"/>
          <w:sz w:val="24"/>
        </w:rPr>
        <w:t>2.1 中小企业政策</w:t>
      </w:r>
    </w:p>
    <w:p w14:paraId="230423EA">
      <w:pPr>
        <w:spacing w:line="360" w:lineRule="auto"/>
        <w:ind w:firstLine="420" w:firstLineChars="200"/>
        <w:rPr>
          <w:rFonts w:hint="eastAsia" w:ascii="宋体" w:hAnsi="宋体"/>
          <w:sz w:val="24"/>
        </w:rPr>
      </w:pPr>
      <w:r>
        <w:rPr>
          <w:rFonts w:ascii="宋体" w:hAnsi="宋体"/>
        </w:rPr>
        <w:t>□</w:t>
      </w:r>
      <w:r>
        <w:rPr>
          <w:rFonts w:ascii="宋体" w:hAnsi="宋体"/>
          <w:sz w:val="24"/>
        </w:rPr>
        <w:t>本项目不专门面向中小企业预留采购份额。</w:t>
      </w:r>
    </w:p>
    <w:p w14:paraId="70E298B4">
      <w:pPr>
        <w:spacing w:line="360" w:lineRule="auto"/>
        <w:ind w:firstLine="482" w:firstLineChars="200"/>
        <w:rPr>
          <w:rFonts w:hint="eastAsia" w:ascii="宋体" w:hAnsi="宋体"/>
          <w:sz w:val="24"/>
        </w:rPr>
      </w:pPr>
      <w:r>
        <w:rPr>
          <w:rFonts w:ascii="宋体" w:hAnsi="宋体"/>
          <w:b/>
          <w:sz w:val="24"/>
        </w:rPr>
        <w:t>■</w:t>
      </w:r>
      <w:r>
        <w:rPr>
          <w:rFonts w:ascii="宋体" w:hAnsi="宋体"/>
          <w:sz w:val="24"/>
        </w:rPr>
        <w:t xml:space="preserve">本项目专门面向  </w:t>
      </w:r>
      <w:r>
        <w:rPr>
          <w:rFonts w:ascii="宋体" w:hAnsi="宋体"/>
          <w:b/>
          <w:sz w:val="24"/>
        </w:rPr>
        <w:t>■</w:t>
      </w:r>
      <w:r>
        <w:rPr>
          <w:rFonts w:ascii="宋体" w:hAnsi="宋体"/>
          <w:sz w:val="24"/>
        </w:rPr>
        <w:t xml:space="preserve">中小 </w:t>
      </w:r>
      <w:r>
        <w:rPr>
          <w:rFonts w:ascii="宋体" w:hAnsi="宋体"/>
        </w:rPr>
        <w:t>□</w:t>
      </w:r>
      <w:r>
        <w:rPr>
          <w:rFonts w:ascii="宋体" w:hAnsi="宋体"/>
          <w:sz w:val="24"/>
        </w:rPr>
        <w:t>小微企业  采购。即：提供的货物全部由符合政策要求的中小/小微企业制造、服务全部由符合政策要求的中小/小微企业承接。</w:t>
      </w:r>
    </w:p>
    <w:p w14:paraId="40092348">
      <w:pPr>
        <w:spacing w:line="360" w:lineRule="auto"/>
        <w:ind w:firstLine="420" w:firstLineChars="200"/>
        <w:rPr>
          <w:rFonts w:hint="eastAsia" w:ascii="宋体" w:hAnsi="宋体"/>
          <w:sz w:val="24"/>
        </w:rPr>
      </w:pPr>
      <w:r>
        <w:rPr>
          <w:rFonts w:ascii="宋体" w:hAnsi="宋体"/>
        </w:rPr>
        <w:t>□</w:t>
      </w:r>
      <w:r>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本项目预留部分采购项目预算专门面向中小企业采购。对于预留份额，提供的货物由符合政策要求的中小企业制造、服务由符合政策要求的中小企业承接。预留份额通过以下措施进行：_____</w:t>
      </w:r>
      <w:r>
        <w:rPr>
          <w:rFonts w:hint="eastAsia" w:ascii="宋体" w:hAnsi="宋体"/>
          <w:sz w:val="24"/>
          <w:u w:val="single"/>
        </w:rPr>
        <w:t>/</w:t>
      </w:r>
      <w:r>
        <w:rPr>
          <w:rFonts w:ascii="宋体" w:hAnsi="宋体"/>
          <w:sz w:val="24"/>
        </w:rPr>
        <w:t>______</w:t>
      </w:r>
      <w:r>
        <w:rPr>
          <w:rFonts w:hint="eastAsia" w:ascii="宋体" w:hAnsi="宋体"/>
          <w:sz w:val="24"/>
        </w:rPr>
        <w:t>。</w:t>
      </w:r>
    </w:p>
    <w:p w14:paraId="399B5E98">
      <w:pPr>
        <w:spacing w:line="360" w:lineRule="auto"/>
        <w:ind w:firstLine="480" w:firstLineChars="200"/>
        <w:rPr>
          <w:rFonts w:hint="eastAsia" w:ascii="宋体" w:hAnsi="宋体"/>
          <w:sz w:val="24"/>
        </w:rPr>
      </w:pPr>
      <w:r>
        <w:rPr>
          <w:rFonts w:ascii="宋体" w:hAnsi="宋体"/>
          <w:sz w:val="24"/>
        </w:rPr>
        <w:t>2.2 其它落实政府采购政策的资格要求（如有）：___</w:t>
      </w:r>
      <w:r>
        <w:rPr>
          <w:rFonts w:hint="eastAsia" w:ascii="宋体" w:hAnsi="宋体"/>
          <w:sz w:val="24"/>
          <w:u w:val="single"/>
        </w:rPr>
        <w:t>/</w:t>
      </w:r>
      <w:r>
        <w:rPr>
          <w:rFonts w:ascii="宋体" w:hAnsi="宋体"/>
          <w:sz w:val="24"/>
        </w:rPr>
        <w:t>____</w:t>
      </w:r>
      <w:r>
        <w:rPr>
          <w:rFonts w:hint="eastAsia" w:ascii="宋体" w:hAnsi="宋体"/>
          <w:sz w:val="24"/>
        </w:rPr>
        <w:t>。</w:t>
      </w:r>
    </w:p>
    <w:p w14:paraId="1888B41B">
      <w:pPr>
        <w:spacing w:line="360" w:lineRule="auto"/>
        <w:ind w:firstLine="480" w:firstLineChars="200"/>
        <w:rPr>
          <w:rFonts w:hint="eastAsia" w:ascii="宋体" w:hAnsi="宋体"/>
          <w:sz w:val="24"/>
        </w:rPr>
      </w:pPr>
      <w:r>
        <w:rPr>
          <w:rFonts w:ascii="宋体" w:hAnsi="宋体"/>
          <w:sz w:val="24"/>
        </w:rPr>
        <w:t>3.本项目的特定资格要求：</w:t>
      </w:r>
    </w:p>
    <w:p w14:paraId="4F721CD7">
      <w:pPr>
        <w:tabs>
          <w:tab w:val="left" w:pos="900"/>
          <w:tab w:val="left" w:pos="1134"/>
          <w:tab w:val="left" w:pos="1589"/>
          <w:tab w:val="left" w:pos="5521"/>
        </w:tabs>
        <w:snapToGrid w:val="0"/>
        <w:spacing w:line="360" w:lineRule="auto"/>
        <w:ind w:firstLine="480" w:firstLineChars="200"/>
        <w:rPr>
          <w:rFonts w:hint="eastAsia" w:ascii="宋体" w:hAnsi="宋体"/>
          <w:sz w:val="24"/>
        </w:rPr>
      </w:pPr>
      <w:r>
        <w:rPr>
          <w:rFonts w:ascii="宋体" w:hAnsi="宋体"/>
          <w:sz w:val="24"/>
        </w:rPr>
        <w:t>3.1本项目是否接受分支机构参与响应：</w:t>
      </w:r>
      <w:r>
        <w:rPr>
          <w:rFonts w:ascii="宋体" w:hAnsi="宋体"/>
        </w:rPr>
        <w:t>□</w:t>
      </w:r>
      <w:r>
        <w:rPr>
          <w:rFonts w:ascii="宋体" w:hAnsi="宋体"/>
          <w:sz w:val="24"/>
        </w:rPr>
        <w:t xml:space="preserve">是   </w:t>
      </w:r>
      <w:r>
        <w:rPr>
          <w:rFonts w:ascii="宋体" w:hAnsi="宋体"/>
          <w:b/>
          <w:sz w:val="24"/>
        </w:rPr>
        <w:t>■</w:t>
      </w:r>
      <w:r>
        <w:rPr>
          <w:rFonts w:ascii="宋体" w:hAnsi="宋体"/>
          <w:sz w:val="24"/>
        </w:rPr>
        <w:t>否；（</w:t>
      </w:r>
      <w:r>
        <w:rPr>
          <w:rFonts w:ascii="宋体" w:hAnsi="宋体"/>
          <w:i/>
          <w:sz w:val="24"/>
        </w:rPr>
        <w:t>仅当项目涉及银行、保险、石油石化、电力、电信等行业有特殊情况的，可以接受分支机构参与</w:t>
      </w:r>
      <w:r>
        <w:rPr>
          <w:rFonts w:ascii="宋体" w:hAnsi="宋体"/>
          <w:sz w:val="24"/>
        </w:rPr>
        <w:t>）</w:t>
      </w:r>
    </w:p>
    <w:p w14:paraId="67C94450">
      <w:pPr>
        <w:tabs>
          <w:tab w:val="left" w:pos="900"/>
          <w:tab w:val="left" w:pos="1134"/>
          <w:tab w:val="left" w:pos="1589"/>
          <w:tab w:val="left" w:pos="5521"/>
        </w:tabs>
        <w:snapToGrid w:val="0"/>
        <w:spacing w:line="360" w:lineRule="auto"/>
        <w:ind w:firstLine="480" w:firstLineChars="200"/>
        <w:rPr>
          <w:rFonts w:hint="eastAsia" w:ascii="宋体" w:hAnsi="宋体"/>
          <w:sz w:val="24"/>
        </w:rPr>
      </w:pPr>
      <w:r>
        <w:rPr>
          <w:rFonts w:ascii="宋体" w:hAnsi="宋体"/>
          <w:sz w:val="24"/>
        </w:rPr>
        <w:t>3.2 本项目是否属于政府购买服务：</w:t>
      </w:r>
    </w:p>
    <w:p w14:paraId="2F4E9398">
      <w:pPr>
        <w:tabs>
          <w:tab w:val="left" w:pos="900"/>
          <w:tab w:val="left" w:pos="1134"/>
          <w:tab w:val="left" w:pos="1589"/>
          <w:tab w:val="left" w:pos="5521"/>
        </w:tabs>
        <w:snapToGrid w:val="0"/>
        <w:spacing w:line="360" w:lineRule="auto"/>
        <w:ind w:left="991" w:leftChars="472" w:firstLine="480"/>
        <w:rPr>
          <w:rFonts w:hint="eastAsia" w:ascii="宋体" w:hAnsi="宋体"/>
          <w:sz w:val="24"/>
        </w:rPr>
      </w:pPr>
      <w:r>
        <w:rPr>
          <w:rFonts w:ascii="宋体" w:hAnsi="宋体"/>
          <w:sz w:val="24"/>
        </w:rPr>
        <w:t>■否</w:t>
      </w:r>
    </w:p>
    <w:p w14:paraId="74810296">
      <w:pPr>
        <w:tabs>
          <w:tab w:val="left" w:pos="900"/>
          <w:tab w:val="left" w:pos="1134"/>
          <w:tab w:val="left" w:pos="1589"/>
          <w:tab w:val="left" w:pos="5521"/>
        </w:tabs>
        <w:snapToGrid w:val="0"/>
        <w:spacing w:line="360" w:lineRule="auto"/>
        <w:ind w:left="991" w:leftChars="472" w:firstLine="480"/>
        <w:rPr>
          <w:rFonts w:hint="eastAsia" w:ascii="宋体" w:hAnsi="宋体"/>
          <w:sz w:val="24"/>
        </w:rPr>
      </w:pPr>
      <w:r>
        <w:rPr>
          <w:rFonts w:ascii="宋体" w:hAnsi="宋体"/>
        </w:rPr>
        <w:t>□</w:t>
      </w:r>
      <w:r>
        <w:rPr>
          <w:rFonts w:ascii="宋体" w:hAnsi="宋体"/>
          <w:sz w:val="24"/>
        </w:rPr>
        <w:t>是，公益一类事业单位、使用事业编制且由财政拨款保障的群团组织，不得作为承接主体；</w:t>
      </w:r>
    </w:p>
    <w:p w14:paraId="144D2291">
      <w:pPr>
        <w:tabs>
          <w:tab w:val="left" w:pos="900"/>
          <w:tab w:val="left" w:pos="1134"/>
          <w:tab w:val="left" w:pos="1589"/>
          <w:tab w:val="left" w:pos="5521"/>
        </w:tabs>
        <w:snapToGrid w:val="0"/>
        <w:spacing w:line="360" w:lineRule="auto"/>
        <w:ind w:firstLine="480" w:firstLineChars="200"/>
        <w:rPr>
          <w:rFonts w:hint="eastAsia" w:ascii="宋体" w:hAnsi="宋体"/>
          <w:sz w:val="24"/>
        </w:rPr>
      </w:pPr>
      <w:r>
        <w:rPr>
          <w:rFonts w:ascii="宋体" w:hAnsi="宋体"/>
          <w:sz w:val="24"/>
        </w:rPr>
        <w:t>3.3其他特定资格要求：</w:t>
      </w:r>
    </w:p>
    <w:p w14:paraId="6E33C1B5">
      <w:pPr>
        <w:spacing w:line="360" w:lineRule="auto"/>
        <w:ind w:firstLine="480" w:firstLineChars="200"/>
        <w:rPr>
          <w:rFonts w:hint="eastAsia" w:ascii="宋体" w:hAnsi="宋体"/>
          <w:sz w:val="24"/>
        </w:rPr>
      </w:pPr>
      <w:r>
        <w:rPr>
          <w:rFonts w:hint="eastAsia" w:ascii="宋体" w:hAnsi="宋体"/>
          <w:sz w:val="24"/>
        </w:rPr>
        <w:t>1）投标人具备输变电工程专业承包三级（含）以上资质，并在人员、设备、资金等方面具有相应的施工能力，其中，投标人拟派项目经理须具备机电工程专业二级（含）以上注册建造师执业资格，具备有效的安全生产考核合格证书（B本）；外地进京企业须具备外地进京企业管理手册且在有效期内；</w:t>
      </w:r>
    </w:p>
    <w:p w14:paraId="529B1CF6">
      <w:pPr>
        <w:spacing w:line="360" w:lineRule="auto"/>
        <w:ind w:firstLine="480" w:firstLineChars="200"/>
        <w:rPr>
          <w:rFonts w:hint="eastAsia" w:ascii="宋体" w:hAnsi="宋体"/>
          <w:sz w:val="24"/>
        </w:rPr>
      </w:pPr>
      <w:r>
        <w:rPr>
          <w:rFonts w:hint="eastAsia" w:ascii="宋体" w:hAnsi="宋体"/>
          <w:sz w:val="24"/>
        </w:rPr>
        <w:t>2）投标人具有建设行政主管部门颁发的有效安全生产许可证；</w:t>
      </w:r>
    </w:p>
    <w:p w14:paraId="23B2EBE6">
      <w:pPr>
        <w:spacing w:line="360" w:lineRule="auto"/>
        <w:ind w:firstLine="480" w:firstLineChars="200"/>
        <w:rPr>
          <w:rFonts w:hint="eastAsia" w:ascii="宋体" w:hAnsi="宋体"/>
          <w:sz w:val="24"/>
        </w:rPr>
      </w:pPr>
      <w:r>
        <w:rPr>
          <w:rFonts w:hint="eastAsia" w:ascii="宋体" w:hAnsi="宋体"/>
          <w:sz w:val="24"/>
        </w:rPr>
        <w:t>3)</w:t>
      </w:r>
      <w:r>
        <w:rPr>
          <w:rFonts w:hint="eastAsia" w:ascii="宋体" w:hAnsi="宋体"/>
          <w:sz w:val="24"/>
        </w:rPr>
        <w:tab/>
      </w:r>
      <w:r>
        <w:rPr>
          <w:rFonts w:hint="eastAsia" w:ascii="宋体" w:hAnsi="宋体"/>
          <w:sz w:val="24"/>
        </w:rPr>
        <w:t>投标人不得被信用中国网站（www.creditchina.gov.cn）列入失信被执行人或重大税收违法案件当事人名单，也不得被中国政府采购网（www.ccgp.gov.cn）列入政府采购严重违法失信行为记录名单。</w:t>
      </w:r>
    </w:p>
    <w:p w14:paraId="2210AAED">
      <w:pPr>
        <w:spacing w:line="360" w:lineRule="auto"/>
        <w:ind w:firstLine="480" w:firstLineChars="200"/>
        <w:rPr>
          <w:rFonts w:hint="eastAsia" w:ascii="宋体" w:hAnsi="宋体"/>
          <w:sz w:val="24"/>
        </w:rPr>
      </w:pPr>
      <w:r>
        <w:rPr>
          <w:rFonts w:hint="eastAsia" w:ascii="宋体" w:hAnsi="宋体"/>
          <w:sz w:val="24"/>
        </w:rPr>
        <w:t>4）响应单位负责人为同一人或者存在直接控股、管理关系的不同投标人，不得参加同一合同项下政府采购活动。</w:t>
      </w:r>
    </w:p>
    <w:p w14:paraId="747A0DCD">
      <w:pPr>
        <w:spacing w:line="360" w:lineRule="auto"/>
        <w:ind w:firstLine="480" w:firstLineChars="200"/>
        <w:rPr>
          <w:rFonts w:hint="eastAsia" w:ascii="宋体" w:hAnsi="宋体"/>
          <w:sz w:val="24"/>
        </w:rPr>
      </w:pPr>
    </w:p>
    <w:bookmarkEnd w:id="13"/>
    <w:bookmarkEnd w:id="14"/>
    <w:p w14:paraId="09706B29">
      <w:pPr>
        <w:pStyle w:val="3"/>
        <w:widowControl/>
        <w:spacing w:before="0" w:line="360" w:lineRule="auto"/>
        <w:ind w:firstLine="482"/>
        <w:jc w:val="left"/>
        <w:rPr>
          <w:rFonts w:hint="eastAsia" w:ascii="宋体" w:hAnsi="宋体" w:eastAsia="宋体"/>
          <w:sz w:val="24"/>
          <w:szCs w:val="24"/>
        </w:rPr>
      </w:pPr>
      <w:bookmarkStart w:id="15" w:name="_Toc35393623"/>
      <w:bookmarkStart w:id="16" w:name="_Toc35393792"/>
      <w:r>
        <w:rPr>
          <w:rFonts w:ascii="宋体" w:hAnsi="宋体" w:eastAsia="宋体"/>
          <w:sz w:val="24"/>
          <w:szCs w:val="24"/>
        </w:rPr>
        <w:t>三、获取采购文件</w:t>
      </w:r>
      <w:bookmarkEnd w:id="15"/>
      <w:bookmarkEnd w:id="16"/>
    </w:p>
    <w:p w14:paraId="38CBB6C6">
      <w:pPr>
        <w:adjustRightInd w:val="0"/>
        <w:snapToGrid w:val="0"/>
        <w:spacing w:line="360" w:lineRule="auto"/>
        <w:ind w:firstLine="480" w:firstLineChars="200"/>
        <w:rPr>
          <w:rFonts w:hint="eastAsia" w:ascii="宋体" w:hAnsi="宋体"/>
          <w:sz w:val="24"/>
        </w:rPr>
      </w:pPr>
      <w:r>
        <w:rPr>
          <w:rFonts w:ascii="宋体" w:hAnsi="宋体"/>
          <w:sz w:val="24"/>
        </w:rPr>
        <w:t>1.时间：202</w:t>
      </w:r>
      <w:r>
        <w:rPr>
          <w:rFonts w:hint="eastAsia" w:ascii="宋体" w:hAnsi="宋体"/>
          <w:sz w:val="24"/>
        </w:rPr>
        <w:t>5</w:t>
      </w:r>
      <w:r>
        <w:rPr>
          <w:rFonts w:ascii="宋体" w:hAnsi="宋体"/>
          <w:sz w:val="24"/>
        </w:rPr>
        <w:t>年</w:t>
      </w:r>
      <w:r>
        <w:rPr>
          <w:rFonts w:hint="eastAsia" w:ascii="宋体" w:hAnsi="宋体"/>
          <w:sz w:val="24"/>
          <w:lang w:val="en-US" w:eastAsia="zh-CN"/>
        </w:rPr>
        <w:t>11</w:t>
      </w:r>
      <w:r>
        <w:rPr>
          <w:rFonts w:ascii="宋体" w:hAnsi="宋体"/>
          <w:sz w:val="24"/>
        </w:rPr>
        <w:t>月</w:t>
      </w:r>
      <w:r>
        <w:rPr>
          <w:rFonts w:hint="eastAsia" w:ascii="宋体" w:hAnsi="宋体"/>
          <w:sz w:val="24"/>
          <w:lang w:val="en-US" w:eastAsia="zh-CN"/>
        </w:rPr>
        <w:t>22</w:t>
      </w:r>
      <w:r>
        <w:rPr>
          <w:rFonts w:ascii="宋体" w:hAnsi="宋体"/>
          <w:sz w:val="24"/>
        </w:rPr>
        <w:t>日至202</w:t>
      </w:r>
      <w:r>
        <w:rPr>
          <w:rFonts w:hint="eastAsia" w:ascii="宋体" w:hAnsi="宋体"/>
          <w:sz w:val="24"/>
        </w:rPr>
        <w:t>5</w:t>
      </w:r>
      <w:r>
        <w:rPr>
          <w:rFonts w:ascii="宋体" w:hAnsi="宋体"/>
          <w:sz w:val="24"/>
        </w:rPr>
        <w:t>年</w:t>
      </w:r>
      <w:r>
        <w:rPr>
          <w:rFonts w:hint="eastAsia" w:ascii="宋体" w:hAnsi="宋体"/>
          <w:sz w:val="24"/>
          <w:lang w:val="en-US" w:eastAsia="zh-CN"/>
        </w:rPr>
        <w:t>11</w:t>
      </w:r>
      <w:r>
        <w:rPr>
          <w:rFonts w:ascii="宋体" w:hAnsi="宋体"/>
          <w:sz w:val="24"/>
        </w:rPr>
        <w:t>月</w:t>
      </w:r>
      <w:r>
        <w:rPr>
          <w:rFonts w:hint="eastAsia" w:ascii="宋体" w:hAnsi="宋体"/>
          <w:sz w:val="24"/>
          <w:lang w:val="en-US" w:eastAsia="zh-CN"/>
        </w:rPr>
        <w:t>28</w:t>
      </w:r>
      <w:r>
        <w:rPr>
          <w:rFonts w:ascii="宋体" w:hAnsi="宋体"/>
          <w:sz w:val="24"/>
        </w:rPr>
        <w:t>日，每天上午9:00至1</w:t>
      </w:r>
      <w:r>
        <w:rPr>
          <w:rFonts w:hint="eastAsia" w:ascii="宋体" w:hAnsi="宋体"/>
          <w:sz w:val="24"/>
        </w:rPr>
        <w:t>2</w:t>
      </w:r>
      <w:r>
        <w:rPr>
          <w:rFonts w:ascii="宋体" w:hAnsi="宋体"/>
          <w:sz w:val="24"/>
        </w:rPr>
        <w:t>:</w:t>
      </w:r>
      <w:r>
        <w:rPr>
          <w:rFonts w:hint="eastAsia" w:ascii="宋体" w:hAnsi="宋体"/>
          <w:sz w:val="24"/>
        </w:rPr>
        <w:t>0</w:t>
      </w:r>
      <w:r>
        <w:rPr>
          <w:rFonts w:ascii="宋体" w:hAnsi="宋体"/>
          <w:sz w:val="24"/>
        </w:rPr>
        <w:t>0，下午1</w:t>
      </w:r>
      <w:r>
        <w:rPr>
          <w:rFonts w:hint="eastAsia" w:ascii="宋体" w:hAnsi="宋体"/>
          <w:sz w:val="24"/>
        </w:rPr>
        <w:t>2</w:t>
      </w:r>
      <w:r>
        <w:rPr>
          <w:rFonts w:ascii="宋体" w:hAnsi="宋体"/>
          <w:sz w:val="24"/>
        </w:rPr>
        <w:t>:</w:t>
      </w:r>
      <w:r>
        <w:rPr>
          <w:rFonts w:hint="eastAsia" w:ascii="宋体" w:hAnsi="宋体"/>
          <w:sz w:val="24"/>
        </w:rPr>
        <w:t>0</w:t>
      </w:r>
      <w:r>
        <w:rPr>
          <w:rFonts w:ascii="宋体" w:hAnsi="宋体"/>
          <w:sz w:val="24"/>
        </w:rPr>
        <w:t>0至17:00（北京时间，法定节假日除外）。</w:t>
      </w:r>
    </w:p>
    <w:p w14:paraId="7A2F8A37">
      <w:pPr>
        <w:adjustRightInd w:val="0"/>
        <w:snapToGrid w:val="0"/>
        <w:spacing w:line="360" w:lineRule="auto"/>
        <w:ind w:firstLine="480" w:firstLineChars="200"/>
        <w:rPr>
          <w:rFonts w:hint="eastAsia" w:ascii="宋体" w:hAnsi="宋体"/>
          <w:sz w:val="24"/>
        </w:rPr>
      </w:pPr>
      <w:r>
        <w:rPr>
          <w:rFonts w:ascii="宋体" w:hAnsi="宋体"/>
          <w:sz w:val="24"/>
        </w:rPr>
        <w:t>2.地点：</w:t>
      </w:r>
      <w:r>
        <w:rPr>
          <w:rFonts w:hint="eastAsia" w:ascii="宋体" w:hAnsi="宋体" w:cs="宋体"/>
          <w:sz w:val="24"/>
          <w:lang w:bidi="ar"/>
        </w:rPr>
        <w:t>北京市政府采购电子交易平台</w:t>
      </w:r>
      <w:r>
        <w:rPr>
          <w:rFonts w:hint="eastAsia"/>
          <w:sz w:val="24"/>
        </w:rPr>
        <w:t>。</w:t>
      </w:r>
    </w:p>
    <w:p w14:paraId="0CD65A58">
      <w:pPr>
        <w:widowControl/>
        <w:adjustRightInd w:val="0"/>
        <w:snapToGrid w:val="0"/>
        <w:spacing w:line="360" w:lineRule="auto"/>
        <w:ind w:firstLine="480" w:firstLineChars="200"/>
        <w:jc w:val="left"/>
        <w:rPr>
          <w:rFonts w:hint="eastAsia" w:ascii="宋体" w:hAnsi="宋体"/>
          <w:sz w:val="24"/>
        </w:rPr>
      </w:pPr>
      <w:r>
        <w:rPr>
          <w:rFonts w:ascii="宋体" w:hAnsi="宋体"/>
          <w:sz w:val="24"/>
        </w:rPr>
        <w:t>3.方式：</w:t>
      </w:r>
      <w:r>
        <w:rPr>
          <w:rFonts w:hint="eastAsia" w:ascii="宋体" w:hAnsi="宋体" w:cs="宋体"/>
          <w:sz w:val="24"/>
          <w:lang w:bidi="ar"/>
        </w:rPr>
        <w:t>供应商使用CA数字证书或电子营业执照登录北京市政府采购电子交易平台（http：//zbcg-bjzc.zhongcy.com/bjczj-portal-site/index.html#/home）获取电子版竞争性磋商文件</w:t>
      </w:r>
      <w:r>
        <w:rPr>
          <w:rFonts w:ascii="宋体" w:hAnsi="宋体"/>
          <w:sz w:val="24"/>
        </w:rPr>
        <w:t>。</w:t>
      </w:r>
    </w:p>
    <w:p w14:paraId="165486E9">
      <w:pPr>
        <w:widowControl/>
        <w:adjustRightInd w:val="0"/>
        <w:snapToGrid w:val="0"/>
        <w:spacing w:line="360" w:lineRule="auto"/>
        <w:ind w:firstLine="480" w:firstLineChars="200"/>
        <w:jc w:val="left"/>
        <w:rPr>
          <w:rFonts w:hint="eastAsia" w:ascii="宋体" w:hAnsi="宋体"/>
          <w:sz w:val="24"/>
        </w:rPr>
      </w:pPr>
      <w:r>
        <w:rPr>
          <w:rFonts w:ascii="宋体" w:hAnsi="宋体"/>
          <w:sz w:val="24"/>
        </w:rPr>
        <w:t>4.售价：</w:t>
      </w:r>
      <w:r>
        <w:rPr>
          <w:rFonts w:hint="eastAsia" w:ascii="宋体" w:hAnsi="宋体"/>
          <w:sz w:val="24"/>
        </w:rPr>
        <w:t xml:space="preserve"> 0元</w:t>
      </w:r>
      <w:r>
        <w:rPr>
          <w:rFonts w:ascii="宋体" w:hAnsi="宋体"/>
          <w:sz w:val="24"/>
        </w:rPr>
        <w:t>。</w:t>
      </w:r>
    </w:p>
    <w:p w14:paraId="43C8612D">
      <w:pPr>
        <w:tabs>
          <w:tab w:val="left" w:pos="900"/>
          <w:tab w:val="left" w:pos="1980"/>
        </w:tabs>
        <w:snapToGrid w:val="0"/>
        <w:spacing w:line="360" w:lineRule="auto"/>
        <w:ind w:left="840"/>
        <w:rPr>
          <w:rFonts w:hint="eastAsia" w:ascii="宋体" w:hAnsi="宋体"/>
          <w:sz w:val="24"/>
        </w:rPr>
      </w:pPr>
    </w:p>
    <w:p w14:paraId="7944CE97">
      <w:pPr>
        <w:pStyle w:val="3"/>
        <w:widowControl/>
        <w:spacing w:before="0" w:line="360" w:lineRule="auto"/>
        <w:ind w:firstLine="482"/>
        <w:jc w:val="left"/>
        <w:rPr>
          <w:rFonts w:hint="eastAsia" w:ascii="宋体" w:hAnsi="宋体" w:eastAsia="宋体"/>
          <w:sz w:val="24"/>
          <w:szCs w:val="24"/>
        </w:rPr>
      </w:pPr>
      <w:bookmarkStart w:id="17" w:name="_Toc35393793"/>
      <w:bookmarkStart w:id="18" w:name="_Toc28359005"/>
      <w:bookmarkStart w:id="19" w:name="_Toc35393624"/>
      <w:bookmarkStart w:id="20" w:name="_Toc28359082"/>
      <w:r>
        <w:rPr>
          <w:rFonts w:ascii="宋体" w:hAnsi="宋体" w:eastAsia="宋体"/>
          <w:sz w:val="24"/>
          <w:szCs w:val="24"/>
        </w:rPr>
        <w:t>四、</w:t>
      </w:r>
      <w:bookmarkEnd w:id="17"/>
      <w:bookmarkEnd w:id="18"/>
      <w:bookmarkEnd w:id="19"/>
      <w:bookmarkEnd w:id="20"/>
      <w:r>
        <w:rPr>
          <w:rFonts w:ascii="宋体" w:hAnsi="宋体" w:eastAsia="宋体"/>
          <w:sz w:val="24"/>
          <w:szCs w:val="24"/>
        </w:rPr>
        <w:t>响应文件提交</w:t>
      </w:r>
    </w:p>
    <w:p w14:paraId="5FB66F7D">
      <w:pPr>
        <w:spacing w:line="360" w:lineRule="auto"/>
        <w:ind w:firstLine="480" w:firstLineChars="200"/>
        <w:rPr>
          <w:rFonts w:hint="eastAsia" w:ascii="宋体" w:hAnsi="宋体"/>
          <w:bCs/>
          <w:sz w:val="24"/>
          <w:u w:val="single"/>
        </w:rPr>
      </w:pPr>
      <w:r>
        <w:rPr>
          <w:rFonts w:ascii="宋体" w:hAnsi="宋体"/>
          <w:sz w:val="24"/>
        </w:rPr>
        <w:t>截止时间：202</w:t>
      </w:r>
      <w:r>
        <w:rPr>
          <w:rFonts w:hint="eastAsia" w:ascii="宋体" w:hAnsi="宋体"/>
          <w:sz w:val="24"/>
        </w:rPr>
        <w:t>5</w:t>
      </w:r>
      <w:r>
        <w:rPr>
          <w:rFonts w:ascii="宋体" w:hAnsi="宋体"/>
          <w:sz w:val="24"/>
        </w:rPr>
        <w:t>年</w:t>
      </w:r>
      <w:r>
        <w:rPr>
          <w:rFonts w:hint="eastAsia" w:ascii="宋体" w:hAnsi="宋体"/>
          <w:sz w:val="24"/>
          <w:lang w:val="en-US" w:eastAsia="zh-CN"/>
        </w:rPr>
        <w:t>12</w:t>
      </w:r>
      <w:r>
        <w:rPr>
          <w:rFonts w:ascii="宋体" w:hAnsi="宋体"/>
          <w:sz w:val="24"/>
        </w:rPr>
        <w:t>月</w:t>
      </w:r>
      <w:r>
        <w:rPr>
          <w:rFonts w:hint="eastAsia" w:ascii="宋体" w:hAnsi="宋体"/>
          <w:sz w:val="24"/>
          <w:lang w:val="en-US" w:eastAsia="zh-CN"/>
        </w:rPr>
        <w:t>03</w:t>
      </w:r>
      <w:r>
        <w:rPr>
          <w:rFonts w:ascii="宋体" w:hAnsi="宋体"/>
          <w:sz w:val="24"/>
        </w:rPr>
        <w:t>日</w:t>
      </w:r>
      <w:r>
        <w:rPr>
          <w:rFonts w:hint="eastAsia" w:ascii="宋体" w:hAnsi="宋体"/>
          <w:sz w:val="24"/>
        </w:rPr>
        <w:t>9</w:t>
      </w:r>
      <w:r>
        <w:rPr>
          <w:rFonts w:ascii="宋体" w:hAnsi="宋体"/>
          <w:sz w:val="24"/>
        </w:rPr>
        <w:t>点</w:t>
      </w:r>
      <w:r>
        <w:rPr>
          <w:rFonts w:hint="eastAsia" w:ascii="宋体" w:hAnsi="宋体"/>
          <w:sz w:val="24"/>
        </w:rPr>
        <w:t>3</w:t>
      </w:r>
      <w:r>
        <w:rPr>
          <w:rFonts w:ascii="宋体" w:hAnsi="宋体"/>
          <w:sz w:val="24"/>
        </w:rPr>
        <w:t>0分</w:t>
      </w:r>
      <w:r>
        <w:rPr>
          <w:rFonts w:ascii="宋体" w:hAnsi="宋体"/>
          <w:bCs/>
          <w:sz w:val="24"/>
        </w:rPr>
        <w:t>（北京时间）</w:t>
      </w:r>
      <w:r>
        <w:rPr>
          <w:rFonts w:ascii="宋体" w:hAnsi="宋体"/>
          <w:iCs/>
          <w:sz w:val="24"/>
        </w:rPr>
        <w:t>。</w:t>
      </w:r>
    </w:p>
    <w:p w14:paraId="74DFF954">
      <w:pPr>
        <w:spacing w:line="360" w:lineRule="auto"/>
        <w:ind w:firstLine="480" w:firstLineChars="200"/>
        <w:rPr>
          <w:rFonts w:hint="eastAsia" w:ascii="宋体" w:hAnsi="宋体"/>
          <w:sz w:val="24"/>
          <w:lang w:val="zh-TW"/>
        </w:rPr>
      </w:pPr>
      <w:r>
        <w:rPr>
          <w:rFonts w:ascii="宋体" w:hAnsi="宋体"/>
          <w:sz w:val="24"/>
        </w:rPr>
        <w:t>地点：</w:t>
      </w:r>
      <w:r>
        <w:rPr>
          <w:rFonts w:hint="eastAsia" w:ascii="宋体" w:hAnsi="宋体"/>
          <w:sz w:val="24"/>
        </w:rPr>
        <w:t>北京市石景山区古城西街26号院1号楼中海大厦CD座04层02单元</w:t>
      </w:r>
      <w:r>
        <w:rPr>
          <w:rFonts w:ascii="宋体" w:hAnsi="宋体"/>
          <w:sz w:val="24"/>
          <w:lang w:val="zh-TW"/>
        </w:rPr>
        <w:t>。</w:t>
      </w:r>
    </w:p>
    <w:p w14:paraId="4F6D136F">
      <w:pPr>
        <w:spacing w:line="360" w:lineRule="auto"/>
        <w:ind w:firstLine="480" w:firstLineChars="200"/>
        <w:rPr>
          <w:rFonts w:hint="eastAsia" w:ascii="宋体" w:hAnsi="宋体"/>
          <w:sz w:val="24"/>
          <w:lang w:val="zh-TW"/>
        </w:rPr>
      </w:pPr>
    </w:p>
    <w:p w14:paraId="268F7659">
      <w:pPr>
        <w:pStyle w:val="3"/>
        <w:spacing w:before="0" w:line="360" w:lineRule="auto"/>
        <w:ind w:firstLine="482"/>
        <w:jc w:val="left"/>
        <w:rPr>
          <w:rFonts w:hint="eastAsia" w:ascii="宋体" w:hAnsi="宋体" w:eastAsia="宋体"/>
          <w:sz w:val="24"/>
          <w:szCs w:val="24"/>
        </w:rPr>
      </w:pPr>
      <w:r>
        <w:rPr>
          <w:rFonts w:ascii="宋体" w:hAnsi="宋体" w:eastAsia="宋体"/>
          <w:sz w:val="24"/>
          <w:szCs w:val="24"/>
        </w:rPr>
        <w:t>五、开启</w:t>
      </w:r>
    </w:p>
    <w:p w14:paraId="68BBF2D2">
      <w:pPr>
        <w:spacing w:line="360" w:lineRule="auto"/>
        <w:ind w:firstLine="480" w:firstLineChars="200"/>
        <w:rPr>
          <w:rFonts w:hint="eastAsia" w:ascii="宋体" w:hAnsi="宋体"/>
          <w:bCs/>
          <w:sz w:val="24"/>
          <w:u w:val="single"/>
        </w:rPr>
      </w:pPr>
      <w:r>
        <w:rPr>
          <w:rFonts w:ascii="宋体" w:hAnsi="宋体"/>
          <w:sz w:val="24"/>
        </w:rPr>
        <w:t>时间：202</w:t>
      </w:r>
      <w:r>
        <w:rPr>
          <w:rFonts w:hint="eastAsia" w:ascii="宋体" w:hAnsi="宋体"/>
          <w:sz w:val="24"/>
        </w:rPr>
        <w:t>5</w:t>
      </w:r>
      <w:r>
        <w:rPr>
          <w:rFonts w:ascii="宋体" w:hAnsi="宋体"/>
          <w:sz w:val="24"/>
        </w:rPr>
        <w:t>年</w:t>
      </w:r>
      <w:r>
        <w:rPr>
          <w:rFonts w:hint="eastAsia" w:ascii="宋体" w:hAnsi="宋体"/>
          <w:sz w:val="24"/>
          <w:lang w:val="en-US" w:eastAsia="zh-CN"/>
        </w:rPr>
        <w:t>12</w:t>
      </w:r>
      <w:r>
        <w:rPr>
          <w:rFonts w:ascii="宋体" w:hAnsi="宋体"/>
          <w:sz w:val="24"/>
        </w:rPr>
        <w:t>月</w:t>
      </w:r>
      <w:r>
        <w:rPr>
          <w:rFonts w:hint="eastAsia" w:ascii="宋体" w:hAnsi="宋体"/>
          <w:sz w:val="24"/>
          <w:lang w:val="en-US" w:eastAsia="zh-CN"/>
        </w:rPr>
        <w:t>03</w:t>
      </w:r>
      <w:r>
        <w:rPr>
          <w:rFonts w:ascii="宋体" w:hAnsi="宋体"/>
          <w:sz w:val="24"/>
        </w:rPr>
        <w:t>日</w:t>
      </w:r>
      <w:r>
        <w:rPr>
          <w:rFonts w:hint="eastAsia" w:ascii="宋体" w:hAnsi="宋体"/>
          <w:sz w:val="24"/>
        </w:rPr>
        <w:t>9</w:t>
      </w:r>
      <w:r>
        <w:rPr>
          <w:rFonts w:ascii="宋体" w:hAnsi="宋体"/>
          <w:sz w:val="24"/>
        </w:rPr>
        <w:t>点</w:t>
      </w:r>
      <w:r>
        <w:rPr>
          <w:rFonts w:hint="eastAsia" w:ascii="宋体" w:hAnsi="宋体"/>
          <w:sz w:val="24"/>
        </w:rPr>
        <w:t>3</w:t>
      </w:r>
      <w:r>
        <w:rPr>
          <w:rFonts w:ascii="宋体" w:hAnsi="宋体"/>
          <w:sz w:val="24"/>
        </w:rPr>
        <w:t>0分</w:t>
      </w:r>
      <w:r>
        <w:rPr>
          <w:rFonts w:ascii="宋体" w:hAnsi="宋体"/>
          <w:bCs/>
          <w:sz w:val="24"/>
        </w:rPr>
        <w:t>（北京时间）</w:t>
      </w:r>
      <w:r>
        <w:rPr>
          <w:rFonts w:ascii="宋体" w:hAnsi="宋体"/>
          <w:iCs/>
          <w:sz w:val="24"/>
        </w:rPr>
        <w:t>。</w:t>
      </w:r>
    </w:p>
    <w:p w14:paraId="0D5F4EDD">
      <w:pPr>
        <w:spacing w:line="360" w:lineRule="auto"/>
        <w:ind w:firstLine="480" w:firstLineChars="200"/>
        <w:rPr>
          <w:rFonts w:hint="eastAsia" w:ascii="宋体" w:hAnsi="宋体"/>
          <w:sz w:val="24"/>
          <w:lang w:val="zh-TW"/>
        </w:rPr>
      </w:pPr>
      <w:r>
        <w:rPr>
          <w:rFonts w:ascii="宋体" w:hAnsi="宋体"/>
          <w:sz w:val="24"/>
        </w:rPr>
        <w:t>地点：</w:t>
      </w:r>
      <w:r>
        <w:rPr>
          <w:rFonts w:hint="eastAsia" w:ascii="宋体" w:hAnsi="宋体"/>
          <w:sz w:val="24"/>
        </w:rPr>
        <w:t>北京市石景山区古城西街26号院1号楼中海大厦CD座04层02单元</w:t>
      </w:r>
      <w:r>
        <w:rPr>
          <w:rFonts w:ascii="宋体" w:hAnsi="宋体"/>
          <w:sz w:val="24"/>
          <w:lang w:val="zh-TW"/>
        </w:rPr>
        <w:t>。</w:t>
      </w:r>
    </w:p>
    <w:p w14:paraId="1C612F55">
      <w:pPr>
        <w:spacing w:line="360" w:lineRule="auto"/>
        <w:ind w:firstLine="480" w:firstLineChars="200"/>
        <w:rPr>
          <w:rFonts w:hint="eastAsia" w:ascii="宋体" w:hAnsi="宋体"/>
          <w:sz w:val="24"/>
          <w:lang w:val="zh-TW"/>
        </w:rPr>
      </w:pPr>
    </w:p>
    <w:p w14:paraId="57618873">
      <w:pPr>
        <w:pStyle w:val="3"/>
        <w:spacing w:before="0" w:line="360" w:lineRule="auto"/>
        <w:ind w:firstLine="482"/>
        <w:jc w:val="left"/>
        <w:rPr>
          <w:rFonts w:hint="eastAsia" w:ascii="宋体" w:hAnsi="宋体" w:eastAsia="宋体"/>
          <w:sz w:val="24"/>
          <w:szCs w:val="24"/>
        </w:rPr>
      </w:pPr>
      <w:bookmarkStart w:id="21" w:name="_Toc35393794"/>
      <w:bookmarkStart w:id="22" w:name="_Toc35393625"/>
      <w:bookmarkStart w:id="23" w:name="_Toc28359084"/>
      <w:bookmarkStart w:id="24" w:name="_Toc28359007"/>
      <w:r>
        <w:rPr>
          <w:rFonts w:ascii="宋体" w:hAnsi="宋体" w:eastAsia="宋体"/>
          <w:sz w:val="24"/>
          <w:szCs w:val="24"/>
        </w:rPr>
        <w:t>六、公告期限</w:t>
      </w:r>
      <w:bookmarkEnd w:id="21"/>
      <w:bookmarkEnd w:id="22"/>
      <w:bookmarkEnd w:id="23"/>
      <w:bookmarkEnd w:id="24"/>
    </w:p>
    <w:p w14:paraId="53BC82EF">
      <w:pPr>
        <w:spacing w:line="360" w:lineRule="auto"/>
        <w:ind w:firstLine="480" w:firstLineChars="200"/>
        <w:rPr>
          <w:rFonts w:hint="eastAsia" w:ascii="宋体" w:hAnsi="宋体"/>
          <w:kern w:val="0"/>
          <w:sz w:val="24"/>
        </w:rPr>
      </w:pPr>
      <w:r>
        <w:rPr>
          <w:rFonts w:ascii="宋体" w:hAnsi="宋体"/>
          <w:kern w:val="0"/>
          <w:sz w:val="24"/>
        </w:rPr>
        <w:t>自本公告发布之日起3个工作日。</w:t>
      </w:r>
    </w:p>
    <w:p w14:paraId="01F7FEE4">
      <w:pPr>
        <w:spacing w:line="360" w:lineRule="auto"/>
        <w:ind w:firstLine="480" w:firstLineChars="200"/>
        <w:rPr>
          <w:rFonts w:hint="eastAsia" w:ascii="宋体" w:hAnsi="宋体"/>
          <w:kern w:val="0"/>
          <w:sz w:val="24"/>
        </w:rPr>
      </w:pPr>
    </w:p>
    <w:p w14:paraId="21FA322B">
      <w:pPr>
        <w:pStyle w:val="3"/>
        <w:spacing w:before="0" w:line="360" w:lineRule="auto"/>
        <w:ind w:firstLine="482"/>
        <w:jc w:val="left"/>
        <w:rPr>
          <w:rFonts w:hint="eastAsia" w:ascii="宋体" w:hAnsi="宋体" w:eastAsia="宋体"/>
          <w:sz w:val="24"/>
          <w:szCs w:val="24"/>
        </w:rPr>
      </w:pPr>
      <w:bookmarkStart w:id="25" w:name="_Toc35393795"/>
      <w:bookmarkStart w:id="26" w:name="_Toc35393626"/>
      <w:r>
        <w:rPr>
          <w:rFonts w:ascii="宋体" w:hAnsi="宋体" w:eastAsia="宋体"/>
          <w:sz w:val="24"/>
          <w:szCs w:val="24"/>
        </w:rPr>
        <w:t>七、其他补充事宜</w:t>
      </w:r>
      <w:bookmarkEnd w:id="25"/>
      <w:bookmarkEnd w:id="26"/>
    </w:p>
    <w:p w14:paraId="16635E16">
      <w:pPr>
        <w:spacing w:line="360" w:lineRule="auto"/>
        <w:ind w:firstLine="480" w:firstLineChars="200"/>
        <w:rPr>
          <w:rFonts w:hint="eastAsia" w:ascii="宋体" w:hAnsi="宋体"/>
          <w:sz w:val="24"/>
        </w:rPr>
      </w:pPr>
      <w:r>
        <w:rPr>
          <w:rFonts w:hint="eastAsia" w:ascii="宋体" w:hAnsi="宋体" w:cs="宋体"/>
          <w:sz w:val="24"/>
          <w:lang w:bidi="ar"/>
        </w:rPr>
        <w:t>1.</w:t>
      </w:r>
      <w:r>
        <w:rPr>
          <w:rFonts w:ascii="宋体" w:hAnsi="宋体"/>
          <w:sz w:val="24"/>
        </w:rPr>
        <w:t xml:space="preserve"> 本项目需要落实的政府采购政策：</w:t>
      </w:r>
    </w:p>
    <w:p w14:paraId="7D1D40E3">
      <w:pPr>
        <w:pStyle w:val="74"/>
        <w:numPr>
          <w:ilvl w:val="0"/>
          <w:numId w:val="8"/>
        </w:numPr>
        <w:tabs>
          <w:tab w:val="left" w:pos="900"/>
          <w:tab w:val="left" w:pos="1134"/>
          <w:tab w:val="left" w:pos="1589"/>
          <w:tab w:val="left" w:pos="5521"/>
        </w:tabs>
        <w:snapToGrid w:val="0"/>
        <w:spacing w:line="360" w:lineRule="auto"/>
        <w:ind w:firstLineChars="0"/>
        <w:rPr>
          <w:rFonts w:hint="eastAsia" w:ascii="宋体" w:hAnsi="宋体"/>
          <w:sz w:val="24"/>
          <w:szCs w:val="24"/>
        </w:rPr>
      </w:pPr>
      <w:r>
        <w:rPr>
          <w:rFonts w:hint="eastAsia" w:ascii="宋体" w:hAnsi="宋体"/>
          <w:sz w:val="24"/>
          <w:szCs w:val="24"/>
        </w:rPr>
        <w:t>节能产品强制采购；</w:t>
      </w:r>
    </w:p>
    <w:p w14:paraId="664F4EEE">
      <w:pPr>
        <w:pStyle w:val="74"/>
        <w:numPr>
          <w:ilvl w:val="0"/>
          <w:numId w:val="8"/>
        </w:numPr>
        <w:tabs>
          <w:tab w:val="left" w:pos="900"/>
          <w:tab w:val="left" w:pos="1134"/>
          <w:tab w:val="left" w:pos="1589"/>
          <w:tab w:val="left" w:pos="5521"/>
        </w:tabs>
        <w:snapToGrid w:val="0"/>
        <w:spacing w:line="360" w:lineRule="auto"/>
        <w:ind w:firstLineChars="0"/>
        <w:rPr>
          <w:rFonts w:hint="eastAsia" w:ascii="宋体" w:hAnsi="宋体"/>
          <w:sz w:val="24"/>
          <w:szCs w:val="24"/>
        </w:rPr>
      </w:pPr>
      <w:r>
        <w:rPr>
          <w:rFonts w:hint="eastAsia" w:ascii="宋体" w:hAnsi="宋体"/>
          <w:sz w:val="24"/>
          <w:szCs w:val="24"/>
        </w:rPr>
        <w:t>节能产品、环境标志产品优先采购；</w:t>
      </w:r>
    </w:p>
    <w:p w14:paraId="0B93F414">
      <w:pPr>
        <w:pStyle w:val="74"/>
        <w:numPr>
          <w:ilvl w:val="0"/>
          <w:numId w:val="8"/>
        </w:numPr>
        <w:tabs>
          <w:tab w:val="left" w:pos="900"/>
          <w:tab w:val="left" w:pos="1134"/>
          <w:tab w:val="left" w:pos="1589"/>
          <w:tab w:val="left" w:pos="5521"/>
        </w:tabs>
        <w:snapToGrid w:val="0"/>
        <w:spacing w:line="360" w:lineRule="auto"/>
        <w:ind w:firstLineChars="0"/>
        <w:rPr>
          <w:rFonts w:hint="eastAsia" w:ascii="宋体" w:hAnsi="宋体"/>
          <w:sz w:val="24"/>
          <w:szCs w:val="24"/>
        </w:rPr>
      </w:pPr>
      <w:r>
        <w:rPr>
          <w:rFonts w:hint="eastAsia" w:ascii="宋体" w:hAnsi="宋体"/>
          <w:sz w:val="24"/>
          <w:szCs w:val="24"/>
        </w:rPr>
        <w:t>政府采购促进中小企业发展；</w:t>
      </w:r>
    </w:p>
    <w:p w14:paraId="46076128">
      <w:pPr>
        <w:pStyle w:val="74"/>
        <w:numPr>
          <w:ilvl w:val="0"/>
          <w:numId w:val="8"/>
        </w:numPr>
        <w:tabs>
          <w:tab w:val="left" w:pos="900"/>
          <w:tab w:val="left" w:pos="1134"/>
          <w:tab w:val="left" w:pos="1589"/>
          <w:tab w:val="left" w:pos="5521"/>
        </w:tabs>
        <w:snapToGrid w:val="0"/>
        <w:spacing w:line="360" w:lineRule="auto"/>
        <w:ind w:firstLineChars="0"/>
        <w:rPr>
          <w:rFonts w:hint="eastAsia" w:ascii="宋体" w:hAnsi="宋体"/>
          <w:sz w:val="24"/>
          <w:szCs w:val="24"/>
        </w:rPr>
      </w:pPr>
      <w:r>
        <w:rPr>
          <w:rFonts w:hint="eastAsia" w:ascii="宋体" w:hAnsi="宋体"/>
          <w:sz w:val="24"/>
          <w:szCs w:val="24"/>
        </w:rPr>
        <w:t>政府采购支持监狱企业发展；</w:t>
      </w:r>
    </w:p>
    <w:p w14:paraId="242716B9">
      <w:pPr>
        <w:pStyle w:val="74"/>
        <w:numPr>
          <w:ilvl w:val="0"/>
          <w:numId w:val="8"/>
        </w:numPr>
        <w:tabs>
          <w:tab w:val="left" w:pos="900"/>
          <w:tab w:val="left" w:pos="1134"/>
          <w:tab w:val="left" w:pos="1589"/>
          <w:tab w:val="left" w:pos="5521"/>
        </w:tabs>
        <w:snapToGrid w:val="0"/>
        <w:spacing w:line="360" w:lineRule="auto"/>
        <w:ind w:firstLineChars="0"/>
        <w:rPr>
          <w:rFonts w:hint="eastAsia" w:ascii="宋体" w:hAnsi="宋体"/>
          <w:sz w:val="24"/>
          <w:szCs w:val="24"/>
        </w:rPr>
      </w:pPr>
      <w:r>
        <w:rPr>
          <w:rFonts w:hint="eastAsia" w:ascii="宋体" w:hAnsi="宋体"/>
          <w:sz w:val="24"/>
          <w:szCs w:val="24"/>
        </w:rPr>
        <w:t>政府采购促进残疾人就业；</w:t>
      </w:r>
    </w:p>
    <w:p w14:paraId="0A9F6CDC">
      <w:pPr>
        <w:pStyle w:val="74"/>
        <w:numPr>
          <w:ilvl w:val="0"/>
          <w:numId w:val="8"/>
        </w:numPr>
        <w:tabs>
          <w:tab w:val="left" w:pos="900"/>
          <w:tab w:val="left" w:pos="1134"/>
          <w:tab w:val="left" w:pos="1589"/>
          <w:tab w:val="left" w:pos="5521"/>
        </w:tabs>
        <w:snapToGrid w:val="0"/>
        <w:spacing w:line="360" w:lineRule="auto"/>
        <w:ind w:firstLineChars="0"/>
        <w:rPr>
          <w:rFonts w:hint="eastAsia" w:ascii="宋体" w:hAnsi="宋体"/>
          <w:sz w:val="24"/>
          <w:szCs w:val="24"/>
        </w:rPr>
      </w:pPr>
      <w:r>
        <w:rPr>
          <w:rFonts w:hint="eastAsia" w:ascii="宋体" w:hAnsi="宋体"/>
          <w:sz w:val="24"/>
          <w:szCs w:val="24"/>
        </w:rPr>
        <w:t>政府采购扶持贫困地区；</w:t>
      </w:r>
    </w:p>
    <w:p w14:paraId="211FE97F">
      <w:pPr>
        <w:pStyle w:val="74"/>
        <w:numPr>
          <w:ilvl w:val="0"/>
          <w:numId w:val="8"/>
        </w:numPr>
        <w:tabs>
          <w:tab w:val="left" w:pos="900"/>
          <w:tab w:val="left" w:pos="1134"/>
          <w:tab w:val="left" w:pos="1589"/>
          <w:tab w:val="left" w:pos="5521"/>
        </w:tabs>
        <w:snapToGrid w:val="0"/>
        <w:spacing w:line="360" w:lineRule="auto"/>
        <w:ind w:firstLineChars="0"/>
        <w:rPr>
          <w:rFonts w:hint="eastAsia" w:ascii="宋体" w:hAnsi="宋体"/>
          <w:sz w:val="24"/>
          <w:szCs w:val="24"/>
        </w:rPr>
      </w:pPr>
      <w:r>
        <w:rPr>
          <w:rFonts w:hint="eastAsia" w:ascii="宋体" w:hAnsi="宋体"/>
          <w:sz w:val="24"/>
          <w:szCs w:val="24"/>
        </w:rPr>
        <w:t>政府采购信用担保；</w:t>
      </w:r>
    </w:p>
    <w:p w14:paraId="604D821B">
      <w:pPr>
        <w:pStyle w:val="74"/>
        <w:numPr>
          <w:ilvl w:val="0"/>
          <w:numId w:val="8"/>
        </w:numPr>
        <w:tabs>
          <w:tab w:val="left" w:pos="900"/>
          <w:tab w:val="left" w:pos="1134"/>
          <w:tab w:val="left" w:pos="1589"/>
          <w:tab w:val="left" w:pos="5521"/>
        </w:tabs>
        <w:snapToGrid w:val="0"/>
        <w:spacing w:line="360" w:lineRule="auto"/>
        <w:ind w:firstLineChars="0"/>
        <w:rPr>
          <w:rFonts w:hint="eastAsia" w:ascii="宋体" w:hAnsi="宋体"/>
          <w:sz w:val="24"/>
        </w:rPr>
      </w:pPr>
      <w:r>
        <w:rPr>
          <w:rFonts w:hint="eastAsia" w:ascii="宋体" w:hAnsi="宋体"/>
          <w:sz w:val="24"/>
          <w:szCs w:val="24"/>
        </w:rPr>
        <w:t>进口产品管理：进口产品规定：依据财政部关于印发《政府采购进口产品管理办法》的通知（财库〔2007〕119号）的规定，本项目不允许进口产品参加投标</w:t>
      </w:r>
    </w:p>
    <w:p w14:paraId="18851EE7">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2.本项目采用电子化采购方式（</w:t>
      </w:r>
      <w:r>
        <w:rPr>
          <w:rFonts w:hint="eastAsia" w:ascii="宋体" w:hAnsi="宋体" w:cs="宋体"/>
          <w:color w:val="FF0000"/>
          <w:sz w:val="24"/>
          <w:lang w:bidi="ar"/>
        </w:rPr>
        <w:t>线上线下相结合形式</w:t>
      </w:r>
      <w:r>
        <w:rPr>
          <w:rFonts w:hint="eastAsia" w:ascii="宋体" w:hAnsi="宋体" w:cs="宋体"/>
          <w:sz w:val="24"/>
          <w:lang w:bidi="ar"/>
        </w:rPr>
        <w:t>，线上免费下载竞争性磋商文件，线下递交纸质版响应文件），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45FF3645">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CA 数字证书服务热线 010-58511086</w:t>
      </w:r>
    </w:p>
    <w:p w14:paraId="6AD1D14D">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电子营业执照服务热线 400-699-7000</w:t>
      </w:r>
    </w:p>
    <w:p w14:paraId="0E5767D1">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技术支持服务热线 010-86483801</w:t>
      </w:r>
    </w:p>
    <w:p w14:paraId="4A3685AE">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2.1 办理 CA 数字证书或电子营业执照</w:t>
      </w:r>
    </w:p>
    <w:p w14:paraId="28B34C5D">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供应商登录北京市政府采购电子交易平台查阅“用户指南”-“操作指南”一“市场主体 CA 办理操作流程指引”</w:t>
      </w:r>
      <w:r>
        <w:rPr>
          <w:rFonts w:hint="eastAsia" w:ascii="宋体" w:hAnsi="宋体" w:cs="宋体"/>
          <w:b/>
          <w:bCs/>
          <w:sz w:val="24"/>
          <w:lang w:bidi="ar"/>
        </w:rPr>
        <w:t>/</w:t>
      </w:r>
      <w:r>
        <w:rPr>
          <w:rFonts w:hint="eastAsia" w:ascii="宋体" w:hAnsi="宋体" w:cs="宋体"/>
          <w:sz w:val="24"/>
          <w:lang w:bidi="ar"/>
        </w:rPr>
        <w:t>“电子营业执照使用指南”，按照程序要求办理。</w:t>
      </w:r>
    </w:p>
    <w:p w14:paraId="018551B3">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2.2 注册</w:t>
      </w:r>
    </w:p>
    <w:p w14:paraId="729BDF32">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供应商登录北京市政府采购电子交易平台“用户指南”一“操作指南”一“市场主体注册入库操作流程指引”进行自助注册绑定。</w:t>
      </w:r>
    </w:p>
    <w:p w14:paraId="60CE7095">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2.3 驱动、客户端下载</w:t>
      </w:r>
    </w:p>
    <w:p w14:paraId="6AC1ED67">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供应商登录北京市政府采购电子交易平台“用户指南”一“工具下载”一“招标采购系统文件驱动安装包”下载相关驱动。</w:t>
      </w:r>
    </w:p>
    <w:p w14:paraId="2CBD6A20">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供应商登录北京市政府采购电子交易平台“用户指南”一“工具下载”一“响应文件编制工具”下载相关客户端，</w:t>
      </w:r>
    </w:p>
    <w:p w14:paraId="799D2211">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2.4 获取电子竞争性磋商文件</w:t>
      </w:r>
    </w:p>
    <w:p w14:paraId="1C30DB37">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供应商使用 CA 数字证书或电子营业执照登录北京市政府采购电子交易平台获取电子竞争性磋商文件。未在规定期限内按上述操作获取电子竞争性磋商文件，其</w:t>
      </w:r>
      <w:r>
        <w:rPr>
          <w:rFonts w:hint="eastAsia" w:ascii="宋体" w:hAnsi="宋体" w:cs="宋体"/>
          <w:b/>
          <w:bCs/>
          <w:sz w:val="24"/>
          <w:lang w:bidi="ar"/>
        </w:rPr>
        <w:t>响应无效</w:t>
      </w:r>
      <w:r>
        <w:rPr>
          <w:rFonts w:hint="eastAsia" w:ascii="宋体" w:hAnsi="宋体" w:cs="宋体"/>
          <w:sz w:val="24"/>
          <w:lang w:bidi="ar"/>
        </w:rPr>
        <w:t>。</w:t>
      </w:r>
    </w:p>
    <w:p w14:paraId="19569C55">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供应商如计划参与多个采购包的响应，应在登录北京市政府采购电子交易平台后，在【我的项目】栏目依次选择对应采购包，进入项目工作台招标</w:t>
      </w:r>
      <w:r>
        <w:rPr>
          <w:rFonts w:hint="eastAsia" w:ascii="宋体" w:hAnsi="宋体" w:cs="宋体"/>
          <w:b/>
          <w:bCs/>
          <w:sz w:val="24"/>
          <w:lang w:bidi="ar"/>
        </w:rPr>
        <w:t>/</w:t>
      </w:r>
      <w:r>
        <w:rPr>
          <w:rFonts w:hint="eastAsia" w:ascii="宋体" w:hAnsi="宋体" w:cs="宋体"/>
          <w:sz w:val="24"/>
          <w:lang w:bidi="ar"/>
        </w:rPr>
        <w:t>采购文件环节分别按采购包下载竞争性磋商文件电子版。未在规定期限内按上述操作获取文件的采购包，其</w:t>
      </w:r>
      <w:r>
        <w:rPr>
          <w:rFonts w:hint="eastAsia" w:ascii="宋体" w:hAnsi="宋体" w:cs="宋体"/>
          <w:b/>
          <w:bCs/>
          <w:sz w:val="24"/>
          <w:lang w:bidi="ar"/>
        </w:rPr>
        <w:t>响应无效</w:t>
      </w:r>
      <w:r>
        <w:rPr>
          <w:rFonts w:hint="eastAsia" w:ascii="宋体" w:hAnsi="宋体" w:cs="宋体"/>
          <w:sz w:val="24"/>
          <w:lang w:bidi="ar"/>
        </w:rPr>
        <w:t>。</w:t>
      </w:r>
    </w:p>
    <w:p w14:paraId="2AB82A11">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3.公告发布媒介为中国政府采购网（由北京市政府采购网推送）和北京市政府采购网。</w:t>
      </w:r>
    </w:p>
    <w:p w14:paraId="7632A910">
      <w:pPr>
        <w:adjustRightInd w:val="0"/>
        <w:snapToGrid w:val="0"/>
        <w:spacing w:line="360" w:lineRule="auto"/>
        <w:ind w:firstLine="480" w:firstLineChars="200"/>
        <w:rPr>
          <w:rFonts w:hint="eastAsia" w:ascii="宋体" w:hAnsi="宋体" w:cs="宋体"/>
          <w:sz w:val="24"/>
          <w:lang w:bidi="ar"/>
        </w:rPr>
      </w:pPr>
    </w:p>
    <w:p w14:paraId="108CB151">
      <w:pPr>
        <w:pStyle w:val="3"/>
        <w:spacing w:before="0" w:line="360" w:lineRule="auto"/>
        <w:ind w:firstLine="482"/>
        <w:jc w:val="left"/>
        <w:rPr>
          <w:rFonts w:hint="eastAsia" w:ascii="宋体" w:hAnsi="宋体" w:eastAsia="宋体"/>
          <w:sz w:val="24"/>
          <w:szCs w:val="24"/>
        </w:rPr>
      </w:pPr>
      <w:bookmarkStart w:id="27" w:name="_Toc28359085"/>
      <w:bookmarkStart w:id="28" w:name="_Toc35393796"/>
      <w:bookmarkStart w:id="29" w:name="_Toc28359008"/>
      <w:bookmarkStart w:id="30" w:name="_Toc35393627"/>
      <w:r>
        <w:rPr>
          <w:rFonts w:ascii="宋体" w:hAnsi="宋体" w:eastAsia="宋体"/>
          <w:sz w:val="24"/>
          <w:szCs w:val="24"/>
        </w:rPr>
        <w:t>八、对本项目提出询问，请按以下方式联系。</w:t>
      </w:r>
      <w:bookmarkEnd w:id="27"/>
      <w:bookmarkEnd w:id="28"/>
      <w:bookmarkEnd w:id="29"/>
      <w:bookmarkEnd w:id="30"/>
    </w:p>
    <w:p w14:paraId="007B367D">
      <w:pPr>
        <w:widowControl/>
        <w:spacing w:line="360" w:lineRule="auto"/>
        <w:jc w:val="left"/>
        <w:rPr>
          <w:rFonts w:hint="eastAsia" w:ascii="宋体" w:hAnsi="宋体"/>
          <w:b/>
          <w:sz w:val="24"/>
        </w:rPr>
      </w:pPr>
      <w:r>
        <w:rPr>
          <w:rFonts w:ascii="宋体" w:hAnsi="宋体"/>
          <w:sz w:val="24"/>
        </w:rPr>
        <w:t>　　　</w:t>
      </w:r>
      <w:r>
        <w:rPr>
          <w:rFonts w:ascii="宋体" w:hAnsi="宋体"/>
          <w:b/>
          <w:sz w:val="24"/>
        </w:rPr>
        <w:t>1.采购人信息</w:t>
      </w:r>
    </w:p>
    <w:p w14:paraId="11E60685">
      <w:pPr>
        <w:spacing w:line="360" w:lineRule="auto"/>
        <w:ind w:left="1079" w:leftChars="371" w:hanging="300" w:hangingChars="125"/>
        <w:jc w:val="left"/>
        <w:rPr>
          <w:rFonts w:hint="eastAsia" w:ascii="宋体" w:hAnsi="宋体"/>
          <w:sz w:val="24"/>
        </w:rPr>
      </w:pPr>
      <w:bookmarkStart w:id="31" w:name="_Toc28359009"/>
      <w:bookmarkStart w:id="32" w:name="_Toc28359086"/>
      <w:r>
        <w:rPr>
          <w:rFonts w:ascii="宋体" w:hAnsi="宋体"/>
          <w:sz w:val="24"/>
        </w:rPr>
        <w:t>名    称：</w:t>
      </w:r>
      <w:r>
        <w:rPr>
          <w:rFonts w:hint="eastAsia"/>
          <w:sz w:val="24"/>
        </w:rPr>
        <w:t>北京市颐和园管理处</w:t>
      </w:r>
      <w:r>
        <w:rPr>
          <w:rFonts w:ascii="宋体" w:hAnsi="宋体"/>
          <w:sz w:val="24"/>
        </w:rPr>
        <w:t xml:space="preserve"> </w:t>
      </w:r>
    </w:p>
    <w:p w14:paraId="4094DD21">
      <w:pPr>
        <w:spacing w:line="360" w:lineRule="auto"/>
        <w:ind w:left="1079" w:leftChars="371" w:hanging="300" w:hangingChars="125"/>
        <w:jc w:val="left"/>
        <w:rPr>
          <w:rFonts w:hint="eastAsia" w:ascii="宋体" w:hAnsi="宋体"/>
          <w:sz w:val="24"/>
        </w:rPr>
      </w:pPr>
      <w:r>
        <w:rPr>
          <w:rFonts w:ascii="宋体" w:hAnsi="宋体"/>
          <w:sz w:val="24"/>
        </w:rPr>
        <w:t>地    址：</w:t>
      </w:r>
      <w:r>
        <w:rPr>
          <w:rFonts w:hint="eastAsia"/>
          <w:sz w:val="24"/>
        </w:rPr>
        <w:t>北京市海淀区新建宫门路19号</w:t>
      </w:r>
    </w:p>
    <w:p w14:paraId="29F424E7">
      <w:pPr>
        <w:spacing w:line="360" w:lineRule="auto"/>
        <w:ind w:left="1079" w:leftChars="371" w:hanging="300" w:hangingChars="125"/>
        <w:jc w:val="left"/>
        <w:rPr>
          <w:rFonts w:hint="eastAsia" w:ascii="宋体" w:hAnsi="宋体"/>
          <w:sz w:val="24"/>
          <w:u w:val="single"/>
        </w:rPr>
      </w:pPr>
      <w:r>
        <w:rPr>
          <w:rFonts w:ascii="宋体" w:hAnsi="宋体"/>
          <w:sz w:val="24"/>
        </w:rPr>
        <w:t>联系方式：</w:t>
      </w:r>
      <w:r>
        <w:rPr>
          <w:rFonts w:hint="eastAsia" w:ascii="宋体" w:hAnsi="宋体"/>
          <w:sz w:val="24"/>
        </w:rPr>
        <w:t>62881144-6740</w:t>
      </w:r>
    </w:p>
    <w:p w14:paraId="16386EEA">
      <w:pPr>
        <w:spacing w:line="360" w:lineRule="auto"/>
        <w:ind w:left="1078" w:leftChars="371" w:hanging="299" w:hangingChars="124"/>
        <w:jc w:val="left"/>
        <w:rPr>
          <w:rFonts w:hint="eastAsia" w:ascii="宋体" w:hAnsi="宋体"/>
          <w:b/>
          <w:sz w:val="24"/>
        </w:rPr>
      </w:pPr>
      <w:r>
        <w:rPr>
          <w:rFonts w:ascii="宋体" w:hAnsi="宋体"/>
          <w:b/>
          <w:sz w:val="24"/>
        </w:rPr>
        <w:t>2.采购代理机构信息</w:t>
      </w:r>
      <w:bookmarkEnd w:id="31"/>
      <w:bookmarkEnd w:id="32"/>
    </w:p>
    <w:p w14:paraId="0E03B4F1">
      <w:pPr>
        <w:spacing w:line="360" w:lineRule="auto"/>
        <w:ind w:left="1076" w:leftChars="371" w:hanging="297" w:hangingChars="124"/>
        <w:jc w:val="left"/>
        <w:rPr>
          <w:rFonts w:hint="eastAsia" w:ascii="宋体" w:hAnsi="宋体"/>
          <w:sz w:val="24"/>
        </w:rPr>
      </w:pPr>
      <w:bookmarkStart w:id="33" w:name="_Toc28359087"/>
      <w:bookmarkStart w:id="34" w:name="_Toc28359010"/>
      <w:r>
        <w:rPr>
          <w:rFonts w:ascii="宋体" w:hAnsi="宋体"/>
          <w:sz w:val="24"/>
        </w:rPr>
        <w:t>名    称：</w:t>
      </w:r>
      <w:r>
        <w:rPr>
          <w:rFonts w:hint="eastAsia" w:ascii="宋体" w:hAnsi="宋体"/>
          <w:sz w:val="24"/>
        </w:rPr>
        <w:t>北京古筑华园工程造价咨询有限公司</w:t>
      </w:r>
    </w:p>
    <w:p w14:paraId="3F41424A">
      <w:pPr>
        <w:spacing w:line="360" w:lineRule="auto"/>
        <w:ind w:left="1076" w:leftChars="371" w:hanging="297" w:hangingChars="124"/>
        <w:jc w:val="left"/>
        <w:rPr>
          <w:rFonts w:hint="eastAsia" w:ascii="宋体" w:hAnsi="宋体"/>
          <w:sz w:val="24"/>
        </w:rPr>
      </w:pPr>
      <w:r>
        <w:rPr>
          <w:rFonts w:ascii="宋体" w:hAnsi="宋体"/>
          <w:sz w:val="24"/>
        </w:rPr>
        <w:t>地    址：</w:t>
      </w:r>
      <w:r>
        <w:rPr>
          <w:rFonts w:hint="eastAsia" w:ascii="宋体" w:hAnsi="宋体"/>
          <w:sz w:val="24"/>
        </w:rPr>
        <w:t>北京市海淀区西苑操场乙3号</w:t>
      </w:r>
    </w:p>
    <w:p w14:paraId="4598E853">
      <w:pPr>
        <w:spacing w:line="360" w:lineRule="auto"/>
        <w:ind w:left="1076" w:leftChars="371" w:hanging="297" w:hangingChars="124"/>
        <w:jc w:val="left"/>
        <w:rPr>
          <w:rFonts w:hint="eastAsia" w:ascii="宋体" w:hAnsi="宋体"/>
          <w:sz w:val="24"/>
          <w:u w:val="single"/>
        </w:rPr>
      </w:pPr>
      <w:r>
        <w:rPr>
          <w:rFonts w:ascii="宋体" w:hAnsi="宋体"/>
          <w:sz w:val="24"/>
        </w:rPr>
        <w:t>联系方式：18511289757</w:t>
      </w:r>
      <w:r>
        <w:rPr>
          <w:rFonts w:hint="eastAsia" w:ascii="宋体" w:hAnsi="宋体"/>
          <w:sz w:val="24"/>
        </w:rPr>
        <w:t xml:space="preserve"> </w:t>
      </w:r>
    </w:p>
    <w:p w14:paraId="16159105">
      <w:pPr>
        <w:spacing w:line="360" w:lineRule="auto"/>
        <w:ind w:left="1078" w:leftChars="371" w:hanging="299" w:hangingChars="124"/>
        <w:rPr>
          <w:rFonts w:hint="eastAsia" w:ascii="宋体" w:hAnsi="宋体"/>
          <w:b/>
          <w:sz w:val="24"/>
          <w:u w:val="single"/>
        </w:rPr>
      </w:pPr>
      <w:r>
        <w:rPr>
          <w:rFonts w:ascii="宋体" w:hAnsi="宋体"/>
          <w:b/>
          <w:sz w:val="24"/>
        </w:rPr>
        <w:t>3.项目联系方式</w:t>
      </w:r>
      <w:bookmarkEnd w:id="33"/>
      <w:bookmarkEnd w:id="34"/>
    </w:p>
    <w:p w14:paraId="546930A0">
      <w:pPr>
        <w:pStyle w:val="28"/>
        <w:spacing w:line="360" w:lineRule="auto"/>
        <w:ind w:left="1076" w:leftChars="371" w:hanging="297" w:hangingChars="124"/>
        <w:rPr>
          <w:rFonts w:hAnsi="宋体"/>
          <w:sz w:val="24"/>
          <w:u w:val="single"/>
        </w:rPr>
      </w:pPr>
      <w:r>
        <w:rPr>
          <w:rFonts w:hint="default" w:hAnsi="宋体"/>
          <w:sz w:val="24"/>
          <w:szCs w:val="24"/>
        </w:rPr>
        <w:t>项目联系人：</w:t>
      </w:r>
      <w:r>
        <w:rPr>
          <w:rFonts w:hAnsi="宋体"/>
          <w:sz w:val="24"/>
          <w:szCs w:val="24"/>
        </w:rPr>
        <w:t>苗工</w:t>
      </w:r>
    </w:p>
    <w:p w14:paraId="627B52B9">
      <w:pPr>
        <w:pStyle w:val="28"/>
        <w:spacing w:line="360" w:lineRule="auto"/>
        <w:ind w:left="1076" w:leftChars="371" w:hanging="297" w:hangingChars="124"/>
        <w:rPr>
          <w:rFonts w:hAnsi="宋体"/>
          <w:sz w:val="24"/>
        </w:rPr>
      </w:pPr>
      <w:r>
        <w:rPr>
          <w:rFonts w:hint="default" w:hAnsi="宋体"/>
          <w:sz w:val="24"/>
        </w:rPr>
        <w:t>电      话：</w:t>
      </w:r>
      <w:r>
        <w:rPr>
          <w:rFonts w:hAnsi="宋体"/>
          <w:sz w:val="24"/>
        </w:rPr>
        <w:t xml:space="preserve">18511289757   </w:t>
      </w:r>
    </w:p>
    <w:p w14:paraId="302172ED">
      <w:pPr>
        <w:pStyle w:val="71"/>
        <w:rPr>
          <w:szCs w:val="20"/>
        </w:rPr>
      </w:pPr>
      <w:r>
        <w:br w:type="page"/>
      </w:r>
    </w:p>
    <w:p w14:paraId="0E42C145">
      <w:pPr>
        <w:spacing w:line="360" w:lineRule="auto"/>
        <w:ind w:firstLine="723"/>
        <w:jc w:val="center"/>
        <w:outlineLvl w:val="0"/>
        <w:rPr>
          <w:rFonts w:hint="eastAsia" w:ascii="宋体" w:hAnsi="宋体"/>
          <w:b/>
          <w:sz w:val="32"/>
          <w:szCs w:val="32"/>
        </w:rPr>
      </w:pPr>
      <w:bookmarkStart w:id="35" w:name="_Toc127161488"/>
      <w:bookmarkStart w:id="36" w:name="_Toc353873938"/>
      <w:bookmarkStart w:id="37" w:name="_Toc265228423"/>
      <w:bookmarkStart w:id="38" w:name="_Toc512937850"/>
      <w:bookmarkStart w:id="39" w:name="_Toc305158854"/>
      <w:bookmarkStart w:id="40" w:name="_Toc264969275"/>
      <w:bookmarkStart w:id="41" w:name="_Toc150774783"/>
      <w:bookmarkStart w:id="42" w:name="_Toc353825548"/>
      <w:bookmarkStart w:id="43" w:name="_Toc226965856"/>
      <w:bookmarkStart w:id="44" w:name="_Toc183434175"/>
      <w:bookmarkStart w:id="45" w:name="_Toc127151777"/>
      <w:bookmarkStart w:id="46" w:name="_Toc195842950"/>
      <w:bookmarkStart w:id="47" w:name="_Toc305158928"/>
      <w:r>
        <w:rPr>
          <w:rFonts w:ascii="宋体" w:hAnsi="宋体"/>
          <w:b/>
          <w:sz w:val="36"/>
          <w:szCs w:val="36"/>
        </w:rPr>
        <w:t>第二章   供应商须知</w:t>
      </w:r>
      <w:bookmarkEnd w:id="35"/>
      <w:bookmarkEnd w:id="36"/>
      <w:bookmarkEnd w:id="37"/>
      <w:bookmarkEnd w:id="38"/>
      <w:bookmarkEnd w:id="39"/>
      <w:bookmarkEnd w:id="40"/>
      <w:bookmarkEnd w:id="41"/>
      <w:bookmarkEnd w:id="42"/>
      <w:bookmarkEnd w:id="43"/>
      <w:bookmarkEnd w:id="44"/>
      <w:bookmarkEnd w:id="45"/>
      <w:bookmarkEnd w:id="46"/>
      <w:bookmarkEnd w:id="47"/>
    </w:p>
    <w:p w14:paraId="31FD3F5F">
      <w:pPr>
        <w:pStyle w:val="3"/>
        <w:tabs>
          <w:tab w:val="center" w:pos="4592"/>
          <w:tab w:val="left" w:pos="7860"/>
        </w:tabs>
        <w:spacing w:before="0" w:line="360" w:lineRule="auto"/>
        <w:ind w:firstLine="562"/>
        <w:rPr>
          <w:rFonts w:hint="eastAsia" w:ascii="宋体" w:hAnsi="宋体" w:eastAsia="宋体"/>
          <w:b w:val="0"/>
          <w:sz w:val="28"/>
        </w:rPr>
      </w:pPr>
      <w:bookmarkStart w:id="48" w:name="_Toc195842884"/>
      <w:bookmarkStart w:id="49" w:name="_Toc127161433"/>
      <w:bookmarkStart w:id="50" w:name="_Toc151193833"/>
      <w:bookmarkStart w:id="51" w:name="_Toc150774724"/>
      <w:bookmarkStart w:id="52" w:name="_Toc226965709"/>
      <w:bookmarkStart w:id="53" w:name="_Toc142311021"/>
      <w:bookmarkStart w:id="54" w:name="_Toc151193761"/>
      <w:bookmarkStart w:id="55" w:name="_Toc127151519"/>
      <w:bookmarkStart w:id="56" w:name="_Toc164351613"/>
      <w:bookmarkStart w:id="57" w:name="_Toc151193907"/>
      <w:bookmarkStart w:id="58" w:name="_Toc226337215"/>
      <w:bookmarkStart w:id="59" w:name="_Toc164229360"/>
      <w:bookmarkStart w:id="60" w:name="_Toc149720812"/>
      <w:bookmarkStart w:id="61" w:name="_Toc150480757"/>
      <w:bookmarkStart w:id="62" w:name="_Toc151193617"/>
      <w:bookmarkStart w:id="63" w:name="_Toc151193689"/>
      <w:bookmarkStart w:id="64" w:name="_Toc127151720"/>
      <w:bookmarkStart w:id="65" w:name="_Toc151190146"/>
      <w:bookmarkStart w:id="66" w:name="_Toc150509270"/>
      <w:bookmarkStart w:id="67" w:name="_Toc520356144"/>
      <w:bookmarkStart w:id="68" w:name="_Toc164608633"/>
      <w:bookmarkStart w:id="69" w:name="_Toc150774619"/>
      <w:bookmarkStart w:id="70" w:name="_Toc226309763"/>
      <w:bookmarkStart w:id="71" w:name="_Toc164229214"/>
      <w:bookmarkStart w:id="72" w:name="_Toc164608788"/>
      <w:bookmarkStart w:id="73" w:name="_Toc226965792"/>
      <w:r>
        <w:rPr>
          <w:rFonts w:ascii="宋体" w:hAnsi="宋体" w:eastAsia="宋体"/>
          <w:sz w:val="28"/>
        </w:rPr>
        <w:t>供应商须知资料表</w:t>
      </w:r>
    </w:p>
    <w:p w14:paraId="5B74E80A">
      <w:pPr>
        <w:ind w:firstLine="562"/>
        <w:jc w:val="center"/>
        <w:rPr>
          <w:rFonts w:hint="eastAsia" w:ascii="宋体" w:hAnsi="宋体"/>
          <w:b/>
          <w:sz w:val="28"/>
          <w:szCs w:val="28"/>
        </w:rPr>
      </w:pPr>
    </w:p>
    <w:p w14:paraId="2EF6C13E">
      <w:pPr>
        <w:spacing w:line="360" w:lineRule="auto"/>
        <w:ind w:firstLine="480"/>
        <w:rPr>
          <w:rFonts w:hint="eastAsia" w:ascii="宋体" w:hAnsi="宋体"/>
          <w:sz w:val="24"/>
        </w:rPr>
      </w:pPr>
      <w:r>
        <w:rPr>
          <w:rFonts w:ascii="宋体" w:hAnsi="宋体"/>
          <w:sz w:val="24"/>
        </w:rPr>
        <w:t>本表是对供应商须知的具体补充和修改，如有矛盾，均以本资料表为准。标记“</w:t>
      </w:r>
      <w:r>
        <w:rPr>
          <w:rFonts w:ascii="宋体" w:hAnsi="宋体"/>
          <w:b/>
          <w:sz w:val="24"/>
        </w:rPr>
        <w:t>■</w:t>
      </w:r>
      <w:r>
        <w:rPr>
          <w:rFonts w:ascii="宋体" w:hAnsi="宋体"/>
          <w:sz w:val="24"/>
        </w:rPr>
        <w:t>”的选项意为适用于本项目，标记“</w:t>
      </w:r>
      <w:r>
        <w:rPr>
          <w:rFonts w:ascii="宋体" w:hAnsi="宋体"/>
        </w:rPr>
        <w:t>□</w:t>
      </w:r>
      <w:r>
        <w:rPr>
          <w:rFonts w:ascii="宋体" w:hAnsi="宋体"/>
          <w:sz w:val="24"/>
        </w:rPr>
        <w:t>”的选项意为不适用于本项目。</w:t>
      </w:r>
    </w:p>
    <w:tbl>
      <w:tblPr>
        <w:tblStyle w:val="57"/>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70AA8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4B6039CB">
            <w:pPr>
              <w:rPr>
                <w:rFonts w:hint="eastAsia" w:ascii="宋体" w:hAnsi="宋体"/>
                <w:b/>
                <w:bCs/>
                <w:sz w:val="24"/>
              </w:rPr>
            </w:pPr>
            <w:r>
              <w:rPr>
                <w:rFonts w:ascii="宋体" w:hAnsi="宋体"/>
                <w:b/>
                <w:sz w:val="24"/>
              </w:rPr>
              <w:t>条款号</w:t>
            </w:r>
          </w:p>
        </w:tc>
        <w:tc>
          <w:tcPr>
            <w:tcW w:w="1701" w:type="dxa"/>
            <w:vAlign w:val="center"/>
          </w:tcPr>
          <w:p w14:paraId="45960B85">
            <w:pPr>
              <w:ind w:firstLine="482"/>
              <w:jc w:val="center"/>
              <w:rPr>
                <w:rFonts w:hint="eastAsia" w:ascii="宋体" w:hAnsi="宋体"/>
                <w:b/>
                <w:bCs/>
                <w:sz w:val="24"/>
              </w:rPr>
            </w:pPr>
            <w:r>
              <w:rPr>
                <w:rFonts w:ascii="宋体" w:hAnsi="宋体"/>
                <w:b/>
                <w:bCs/>
                <w:sz w:val="24"/>
              </w:rPr>
              <w:t>条目</w:t>
            </w:r>
          </w:p>
        </w:tc>
        <w:tc>
          <w:tcPr>
            <w:tcW w:w="7253" w:type="dxa"/>
            <w:vAlign w:val="center"/>
          </w:tcPr>
          <w:p w14:paraId="2844C0F0">
            <w:pPr>
              <w:ind w:firstLine="482"/>
              <w:jc w:val="center"/>
              <w:rPr>
                <w:rFonts w:hint="eastAsia" w:ascii="宋体" w:hAnsi="宋体"/>
                <w:b/>
                <w:bCs/>
                <w:sz w:val="24"/>
              </w:rPr>
            </w:pPr>
            <w:r>
              <w:rPr>
                <w:rFonts w:ascii="宋体" w:hAnsi="宋体"/>
                <w:b/>
                <w:bCs/>
                <w:sz w:val="24"/>
              </w:rPr>
              <w:t>内容</w:t>
            </w:r>
          </w:p>
        </w:tc>
      </w:tr>
      <w:tr w14:paraId="08EBC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8E11E5B">
            <w:pPr>
              <w:pStyle w:val="28"/>
              <w:adjustRightInd w:val="0"/>
              <w:snapToGrid w:val="0"/>
              <w:jc w:val="center"/>
              <w:rPr>
                <w:rFonts w:hAnsi="宋体"/>
                <w:sz w:val="24"/>
                <w:szCs w:val="24"/>
              </w:rPr>
            </w:pPr>
            <w:r>
              <w:rPr>
                <w:rFonts w:hint="default" w:hAnsi="宋体"/>
                <w:sz w:val="24"/>
                <w:szCs w:val="24"/>
              </w:rPr>
              <w:t>2.2</w:t>
            </w:r>
          </w:p>
        </w:tc>
        <w:tc>
          <w:tcPr>
            <w:tcW w:w="1701" w:type="dxa"/>
            <w:vAlign w:val="center"/>
          </w:tcPr>
          <w:p w14:paraId="4F565EB3">
            <w:pPr>
              <w:jc w:val="center"/>
              <w:rPr>
                <w:rFonts w:hint="eastAsia" w:ascii="宋体" w:hAnsi="宋体"/>
                <w:sz w:val="24"/>
              </w:rPr>
            </w:pPr>
            <w:r>
              <w:rPr>
                <w:rFonts w:ascii="宋体" w:hAnsi="宋体"/>
                <w:sz w:val="24"/>
              </w:rPr>
              <w:t>项目属性</w:t>
            </w:r>
          </w:p>
        </w:tc>
        <w:tc>
          <w:tcPr>
            <w:tcW w:w="7253" w:type="dxa"/>
            <w:vAlign w:val="center"/>
          </w:tcPr>
          <w:p w14:paraId="3F7BEA78">
            <w:pPr>
              <w:jc w:val="left"/>
              <w:rPr>
                <w:rFonts w:hint="eastAsia" w:ascii="宋体" w:hAnsi="宋体"/>
                <w:sz w:val="24"/>
              </w:rPr>
            </w:pPr>
            <w:r>
              <w:rPr>
                <w:rFonts w:ascii="宋体" w:hAnsi="宋体"/>
                <w:sz w:val="24"/>
              </w:rPr>
              <w:t>项目属性：</w:t>
            </w:r>
          </w:p>
          <w:p w14:paraId="0FDED796">
            <w:pPr>
              <w:jc w:val="left"/>
              <w:rPr>
                <w:rFonts w:hint="eastAsia" w:ascii="宋体" w:hAnsi="宋体"/>
                <w:sz w:val="24"/>
              </w:rPr>
            </w:pPr>
            <w:r>
              <w:rPr>
                <w:rFonts w:ascii="宋体" w:hAnsi="宋体"/>
              </w:rPr>
              <w:t>□</w:t>
            </w:r>
            <w:r>
              <w:rPr>
                <w:rFonts w:ascii="宋体" w:hAnsi="宋体"/>
                <w:sz w:val="24"/>
              </w:rPr>
              <w:t>服务</w:t>
            </w:r>
          </w:p>
          <w:p w14:paraId="73014EBC">
            <w:pPr>
              <w:jc w:val="left"/>
              <w:rPr>
                <w:rFonts w:hint="eastAsia" w:ascii="宋体" w:hAnsi="宋体"/>
                <w:sz w:val="24"/>
              </w:rPr>
            </w:pPr>
            <w:r>
              <w:rPr>
                <w:rFonts w:ascii="宋体" w:hAnsi="宋体"/>
              </w:rPr>
              <w:t>□</w:t>
            </w:r>
            <w:r>
              <w:rPr>
                <w:rFonts w:ascii="宋体" w:hAnsi="宋体"/>
                <w:sz w:val="24"/>
              </w:rPr>
              <w:t>货物</w:t>
            </w:r>
          </w:p>
          <w:p w14:paraId="143679CF">
            <w:pPr>
              <w:jc w:val="left"/>
              <w:rPr>
                <w:rFonts w:hint="eastAsia" w:ascii="宋体" w:hAnsi="宋体"/>
                <w:sz w:val="24"/>
                <w:u w:val="single"/>
              </w:rPr>
            </w:pPr>
            <w:r>
              <w:rPr>
                <w:rFonts w:ascii="宋体" w:hAnsi="宋体"/>
                <w:b/>
                <w:sz w:val="24"/>
              </w:rPr>
              <w:t>■</w:t>
            </w:r>
            <w:r>
              <w:rPr>
                <w:rFonts w:hint="eastAsia" w:ascii="宋体" w:hAnsi="宋体"/>
                <w:sz w:val="24"/>
              </w:rPr>
              <w:t>工程</w:t>
            </w:r>
          </w:p>
        </w:tc>
      </w:tr>
      <w:tr w14:paraId="0CA8C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89467ED">
            <w:pPr>
              <w:pStyle w:val="28"/>
              <w:adjustRightInd w:val="0"/>
              <w:snapToGrid w:val="0"/>
              <w:jc w:val="center"/>
              <w:rPr>
                <w:rFonts w:hAnsi="宋体"/>
                <w:sz w:val="24"/>
                <w:szCs w:val="24"/>
              </w:rPr>
            </w:pPr>
            <w:r>
              <w:rPr>
                <w:rFonts w:hint="default" w:hAnsi="宋体"/>
                <w:sz w:val="24"/>
                <w:szCs w:val="24"/>
              </w:rPr>
              <w:t>2.3</w:t>
            </w:r>
          </w:p>
        </w:tc>
        <w:tc>
          <w:tcPr>
            <w:tcW w:w="1701" w:type="dxa"/>
            <w:vAlign w:val="center"/>
          </w:tcPr>
          <w:p w14:paraId="5063DA78">
            <w:pPr>
              <w:jc w:val="center"/>
              <w:rPr>
                <w:rFonts w:hint="eastAsia" w:ascii="宋体" w:hAnsi="宋体"/>
                <w:sz w:val="24"/>
              </w:rPr>
            </w:pPr>
            <w:r>
              <w:rPr>
                <w:rFonts w:ascii="宋体" w:hAnsi="宋体"/>
                <w:sz w:val="24"/>
              </w:rPr>
              <w:t>科研仪器设备</w:t>
            </w:r>
          </w:p>
        </w:tc>
        <w:tc>
          <w:tcPr>
            <w:tcW w:w="7253" w:type="dxa"/>
            <w:vAlign w:val="center"/>
          </w:tcPr>
          <w:p w14:paraId="21C11299">
            <w:pPr>
              <w:jc w:val="left"/>
              <w:rPr>
                <w:rFonts w:hint="eastAsia" w:ascii="宋体" w:hAnsi="宋体"/>
                <w:sz w:val="24"/>
              </w:rPr>
            </w:pPr>
            <w:r>
              <w:rPr>
                <w:rFonts w:ascii="宋体" w:hAnsi="宋体"/>
                <w:sz w:val="24"/>
              </w:rPr>
              <w:t>是否属于科研仪器设备采购项目：</w:t>
            </w:r>
          </w:p>
          <w:p w14:paraId="06F34BBB">
            <w:pPr>
              <w:jc w:val="left"/>
              <w:rPr>
                <w:rFonts w:hint="eastAsia" w:ascii="宋体" w:hAnsi="宋体"/>
                <w:sz w:val="24"/>
              </w:rPr>
            </w:pPr>
            <w:r>
              <w:rPr>
                <w:rFonts w:ascii="宋体" w:hAnsi="宋体"/>
              </w:rPr>
              <w:t>□</w:t>
            </w:r>
            <w:r>
              <w:rPr>
                <w:rFonts w:ascii="宋体" w:hAnsi="宋体"/>
                <w:sz w:val="24"/>
              </w:rPr>
              <w:t>是</w:t>
            </w:r>
          </w:p>
          <w:p w14:paraId="3EACF7BC">
            <w:pPr>
              <w:jc w:val="left"/>
              <w:rPr>
                <w:rFonts w:hint="eastAsia" w:ascii="宋体" w:hAnsi="宋体"/>
                <w:sz w:val="24"/>
              </w:rPr>
            </w:pPr>
            <w:r>
              <w:rPr>
                <w:rFonts w:ascii="宋体" w:hAnsi="宋体"/>
                <w:b/>
                <w:sz w:val="24"/>
              </w:rPr>
              <w:t>■</w:t>
            </w:r>
            <w:r>
              <w:rPr>
                <w:rFonts w:ascii="宋体" w:hAnsi="宋体"/>
                <w:sz w:val="24"/>
              </w:rPr>
              <w:t>否</w:t>
            </w:r>
          </w:p>
        </w:tc>
      </w:tr>
      <w:tr w14:paraId="40BBE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1E6634D">
            <w:pPr>
              <w:pStyle w:val="28"/>
              <w:adjustRightInd w:val="0"/>
              <w:snapToGrid w:val="0"/>
              <w:jc w:val="center"/>
              <w:rPr>
                <w:rFonts w:hAnsi="宋体"/>
                <w:sz w:val="24"/>
                <w:szCs w:val="24"/>
              </w:rPr>
            </w:pPr>
            <w:r>
              <w:rPr>
                <w:rFonts w:hAnsi="宋体"/>
                <w:sz w:val="24"/>
                <w:szCs w:val="24"/>
              </w:rPr>
              <w:t>2.4</w:t>
            </w:r>
          </w:p>
        </w:tc>
        <w:tc>
          <w:tcPr>
            <w:tcW w:w="1701" w:type="dxa"/>
            <w:vAlign w:val="center"/>
          </w:tcPr>
          <w:p w14:paraId="3E7C4BD4">
            <w:pPr>
              <w:jc w:val="center"/>
              <w:rPr>
                <w:rFonts w:hint="eastAsia" w:ascii="宋体" w:hAnsi="宋体"/>
                <w:sz w:val="24"/>
              </w:rPr>
            </w:pPr>
            <w:r>
              <w:rPr>
                <w:rFonts w:hint="eastAsia" w:ascii="宋体" w:hAnsi="宋体"/>
                <w:sz w:val="24"/>
              </w:rPr>
              <w:t>核心产品</w:t>
            </w:r>
          </w:p>
        </w:tc>
        <w:tc>
          <w:tcPr>
            <w:tcW w:w="7253" w:type="dxa"/>
            <w:vAlign w:val="center"/>
          </w:tcPr>
          <w:p w14:paraId="4175C91A">
            <w:pPr>
              <w:pStyle w:val="28"/>
              <w:adjustRightInd w:val="0"/>
              <w:snapToGrid w:val="0"/>
              <w:rPr>
                <w:rFonts w:hAnsi="宋体"/>
                <w:sz w:val="24"/>
                <w:szCs w:val="24"/>
              </w:rPr>
            </w:pPr>
            <w:r>
              <w:rPr>
                <w:rFonts w:hAnsi="宋体"/>
                <w:b/>
                <w:sz w:val="24"/>
              </w:rPr>
              <w:t>■</w:t>
            </w:r>
            <w:r>
              <w:rPr>
                <w:rFonts w:hint="default" w:hAnsi="宋体"/>
                <w:sz w:val="24"/>
                <w:szCs w:val="24"/>
              </w:rPr>
              <w:t>关于核心产品本项目_</w:t>
            </w:r>
            <w:r>
              <w:rPr>
                <w:rFonts w:hAnsi="宋体"/>
                <w:sz w:val="24"/>
                <w:szCs w:val="24"/>
                <w:u w:val="single"/>
              </w:rPr>
              <w:t>第1</w:t>
            </w:r>
            <w:r>
              <w:rPr>
                <w:rFonts w:hint="default" w:hAnsi="宋体"/>
                <w:sz w:val="24"/>
                <w:szCs w:val="24"/>
              </w:rPr>
              <w:t>_包不适用。</w:t>
            </w:r>
          </w:p>
          <w:p w14:paraId="5EB0B00D">
            <w:pPr>
              <w:pStyle w:val="28"/>
              <w:adjustRightInd w:val="0"/>
              <w:snapToGrid w:val="0"/>
              <w:rPr>
                <w:rFonts w:hAnsi="宋体"/>
                <w:sz w:val="24"/>
                <w:szCs w:val="24"/>
              </w:rPr>
            </w:pPr>
            <w:r>
              <w:rPr>
                <w:rFonts w:hint="default" w:hAnsi="宋体"/>
                <w:sz w:val="24"/>
                <w:szCs w:val="24"/>
              </w:rPr>
              <w:t>□本项目_</w:t>
            </w:r>
            <w:r>
              <w:rPr>
                <w:rFonts w:hAnsi="宋体"/>
                <w:sz w:val="24"/>
                <w:szCs w:val="24"/>
                <w:u w:val="single"/>
              </w:rPr>
              <w:t>/</w:t>
            </w:r>
            <w:r>
              <w:rPr>
                <w:rFonts w:hint="default" w:hAnsi="宋体"/>
                <w:sz w:val="24"/>
                <w:szCs w:val="24"/>
              </w:rPr>
              <w:t>_包为单一产品采购项目。</w:t>
            </w:r>
          </w:p>
          <w:p w14:paraId="3B5ED91C">
            <w:pPr>
              <w:jc w:val="left"/>
              <w:rPr>
                <w:rFonts w:hint="eastAsia" w:ascii="宋体" w:hAnsi="宋体"/>
                <w:sz w:val="24"/>
              </w:rPr>
            </w:pPr>
            <w:r>
              <w:rPr>
                <w:rFonts w:hAnsi="宋体"/>
                <w:sz w:val="24"/>
              </w:rPr>
              <w:t>□</w:t>
            </w:r>
            <w:r>
              <w:rPr>
                <w:rFonts w:ascii="宋体" w:hAnsi="宋体"/>
                <w:sz w:val="24"/>
              </w:rPr>
              <w:t>本项目为非单一产品采购项目，核心产品为：</w:t>
            </w:r>
            <w:r>
              <w:rPr>
                <w:rFonts w:hint="eastAsia"/>
                <w:u w:val="single"/>
              </w:rPr>
              <w:t xml:space="preserve">  /     </w:t>
            </w:r>
          </w:p>
        </w:tc>
      </w:tr>
      <w:tr w14:paraId="57452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2A88248">
            <w:pPr>
              <w:pStyle w:val="28"/>
              <w:adjustRightInd w:val="0"/>
              <w:snapToGrid w:val="0"/>
              <w:jc w:val="center"/>
              <w:rPr>
                <w:rFonts w:hAnsi="宋体"/>
                <w:sz w:val="24"/>
                <w:szCs w:val="24"/>
              </w:rPr>
            </w:pPr>
            <w:r>
              <w:rPr>
                <w:rFonts w:hAnsi="宋体"/>
                <w:sz w:val="24"/>
                <w:szCs w:val="24"/>
              </w:rPr>
              <w:t>2.5</w:t>
            </w:r>
          </w:p>
        </w:tc>
        <w:tc>
          <w:tcPr>
            <w:tcW w:w="1701" w:type="dxa"/>
            <w:vAlign w:val="center"/>
          </w:tcPr>
          <w:p w14:paraId="159AC7AB">
            <w:pPr>
              <w:jc w:val="center"/>
              <w:rPr>
                <w:rFonts w:hint="eastAsia" w:ascii="宋体" w:hAnsi="宋体"/>
                <w:sz w:val="24"/>
              </w:rPr>
            </w:pPr>
            <w:r>
              <w:rPr>
                <w:rFonts w:hint="eastAsia" w:ascii="宋体" w:hAnsi="宋体"/>
                <w:sz w:val="24"/>
              </w:rPr>
              <w:t>招标控制价</w:t>
            </w:r>
          </w:p>
        </w:tc>
        <w:tc>
          <w:tcPr>
            <w:tcW w:w="7253" w:type="dxa"/>
            <w:vAlign w:val="center"/>
          </w:tcPr>
          <w:p w14:paraId="6DEAB7D9">
            <w:pPr>
              <w:rPr>
                <w:rFonts w:ascii="宋体" w:cs="Arial"/>
                <w:sz w:val="24"/>
              </w:rPr>
            </w:pPr>
            <w:r>
              <w:rPr>
                <w:rFonts w:hint="eastAsia" w:ascii="宋体" w:hAnsi="宋体" w:cs="Arial"/>
                <w:iCs/>
                <w:sz w:val="24"/>
              </w:rPr>
              <w:t>本工程招标控制价为：</w:t>
            </w:r>
            <w:r>
              <w:rPr>
                <w:rFonts w:ascii="宋体" w:hAnsi="宋体" w:cs="Arial"/>
                <w:iCs/>
                <w:sz w:val="24"/>
                <w:u w:val="single"/>
              </w:rPr>
              <w:t>1486381</w:t>
            </w:r>
            <w:r>
              <w:rPr>
                <w:rFonts w:hint="eastAsia" w:ascii="宋体" w:hAnsi="宋体" w:cs="Arial"/>
                <w:iCs/>
                <w:sz w:val="24"/>
                <w:u w:val="single"/>
              </w:rPr>
              <w:t xml:space="preserve"> </w:t>
            </w:r>
            <w:r>
              <w:rPr>
                <w:rFonts w:hint="eastAsia" w:ascii="宋体" w:hAnsi="宋体" w:cs="Arial"/>
                <w:iCs/>
                <w:sz w:val="24"/>
              </w:rPr>
              <w:t>元。</w:t>
            </w:r>
          </w:p>
          <w:p w14:paraId="609BF0AC">
            <w:pPr>
              <w:rPr>
                <w:rFonts w:ascii="宋体" w:cs="Arial"/>
                <w:sz w:val="24"/>
              </w:rPr>
            </w:pPr>
            <w:r>
              <w:rPr>
                <w:rFonts w:hint="eastAsia" w:ascii="Arial" w:hAnsi="Arial" w:cs="Arial"/>
                <w:bCs/>
                <w:sz w:val="24"/>
              </w:rPr>
              <w:t>其中：分部分项工程合价为：</w:t>
            </w:r>
            <w:r>
              <w:rPr>
                <w:rFonts w:ascii="宋体" w:hAnsi="宋体" w:cs="Arial"/>
                <w:bCs/>
                <w:sz w:val="24"/>
                <w:u w:val="single"/>
              </w:rPr>
              <w:t>1134535.31</w:t>
            </w:r>
            <w:r>
              <w:rPr>
                <w:rFonts w:hint="eastAsia" w:ascii="宋体" w:hAnsi="宋体" w:cs="Arial"/>
                <w:bCs/>
                <w:sz w:val="24"/>
              </w:rPr>
              <w:t>元；</w:t>
            </w:r>
          </w:p>
          <w:p w14:paraId="596CE59A">
            <w:pPr>
              <w:ind w:firstLine="720" w:firstLineChars="300"/>
              <w:rPr>
                <w:rFonts w:ascii="宋体" w:cs="Arial"/>
                <w:bCs/>
                <w:sz w:val="24"/>
                <w:u w:val="single"/>
              </w:rPr>
            </w:pPr>
            <w:r>
              <w:rPr>
                <w:rFonts w:hint="eastAsia" w:ascii="宋体" w:hAnsi="宋体" w:cs="Arial"/>
                <w:bCs/>
                <w:sz w:val="24"/>
              </w:rPr>
              <w:t>措施项目合价为：</w:t>
            </w:r>
            <w:r>
              <w:rPr>
                <w:rFonts w:hint="eastAsia" w:ascii="宋体" w:hAnsi="宋体" w:cs="Arial"/>
                <w:bCs/>
                <w:sz w:val="24"/>
                <w:u w:val="single"/>
              </w:rPr>
              <w:t xml:space="preserve"> </w:t>
            </w:r>
            <w:r>
              <w:rPr>
                <w:rFonts w:ascii="宋体" w:hAnsi="宋体" w:cs="Arial"/>
                <w:bCs/>
                <w:sz w:val="24"/>
                <w:u w:val="single"/>
              </w:rPr>
              <w:t>229116.98</w:t>
            </w:r>
            <w:r>
              <w:rPr>
                <w:rFonts w:hint="eastAsia" w:ascii="宋体" w:hAnsi="宋体" w:cs="Arial"/>
                <w:bCs/>
                <w:sz w:val="24"/>
                <w:u w:val="single"/>
              </w:rPr>
              <w:t xml:space="preserve"> </w:t>
            </w:r>
            <w:r>
              <w:rPr>
                <w:rFonts w:hint="eastAsia" w:ascii="宋体" w:hAnsi="宋体" w:cs="Arial"/>
                <w:bCs/>
                <w:sz w:val="24"/>
              </w:rPr>
              <w:t>元；</w:t>
            </w:r>
          </w:p>
          <w:p w14:paraId="41B12D19">
            <w:pPr>
              <w:ind w:firstLine="720" w:firstLineChars="300"/>
              <w:rPr>
                <w:rFonts w:ascii="宋体" w:cs="Arial"/>
                <w:bCs/>
                <w:sz w:val="24"/>
                <w:u w:val="single"/>
              </w:rPr>
            </w:pPr>
            <w:r>
              <w:rPr>
                <w:rFonts w:hint="eastAsia" w:ascii="宋体" w:hAnsi="宋体" w:cs="Arial"/>
                <w:bCs/>
                <w:sz w:val="24"/>
              </w:rPr>
              <w:t>其他项目合价为：</w:t>
            </w:r>
            <w:r>
              <w:rPr>
                <w:rFonts w:ascii="宋体" w:hAnsi="宋体" w:cs="Arial"/>
                <w:bCs/>
                <w:sz w:val="24"/>
                <w:u w:val="single"/>
              </w:rPr>
              <w:t xml:space="preserve"> </w:t>
            </w:r>
            <w:r>
              <w:rPr>
                <w:rFonts w:hint="eastAsia" w:ascii="宋体" w:hAnsi="宋体" w:cs="Arial"/>
                <w:bCs/>
                <w:sz w:val="24"/>
                <w:u w:val="single"/>
              </w:rPr>
              <w:t xml:space="preserve"> 0  </w:t>
            </w:r>
            <w:r>
              <w:rPr>
                <w:rFonts w:hint="eastAsia" w:ascii="宋体" w:hAnsi="宋体" w:cs="Arial"/>
                <w:bCs/>
                <w:sz w:val="24"/>
              </w:rPr>
              <w:t>元；</w:t>
            </w:r>
          </w:p>
          <w:p w14:paraId="59201ECE">
            <w:pPr>
              <w:ind w:firstLine="720" w:firstLineChars="300"/>
              <w:rPr>
                <w:rFonts w:ascii="宋体" w:cs="Arial"/>
                <w:bCs/>
                <w:sz w:val="24"/>
                <w:u w:val="single"/>
              </w:rPr>
            </w:pPr>
            <w:r>
              <w:rPr>
                <w:rFonts w:hint="eastAsia" w:ascii="宋体" w:hAnsi="宋体" w:cs="Arial"/>
                <w:bCs/>
                <w:sz w:val="24"/>
              </w:rPr>
              <w:t>增值税的合价为：</w:t>
            </w:r>
            <w:r>
              <w:rPr>
                <w:rFonts w:ascii="宋体" w:hAnsi="宋体" w:cs="Arial"/>
                <w:bCs/>
                <w:sz w:val="24"/>
                <w:u w:val="single"/>
              </w:rPr>
              <w:t>122728.71</w:t>
            </w:r>
            <w:r>
              <w:rPr>
                <w:rFonts w:hint="eastAsia" w:ascii="宋体" w:hAnsi="宋体" w:cs="Arial"/>
                <w:bCs/>
                <w:sz w:val="24"/>
              </w:rPr>
              <w:t>元。</w:t>
            </w:r>
          </w:p>
          <w:p w14:paraId="404AB441">
            <w:pPr>
              <w:rPr>
                <w:rFonts w:hint="eastAsia" w:ascii="宋体" w:hAnsi="宋体" w:cs="Arial"/>
                <w:bCs/>
                <w:sz w:val="24"/>
              </w:rPr>
            </w:pPr>
            <w:r>
              <w:rPr>
                <w:rFonts w:hint="eastAsia" w:ascii="宋体" w:hAnsi="宋体" w:cs="Arial"/>
                <w:bCs/>
                <w:sz w:val="24"/>
              </w:rPr>
              <w:t>其他说明：</w:t>
            </w:r>
          </w:p>
          <w:p w14:paraId="0CF1FF47">
            <w:pPr>
              <w:ind w:firstLine="720" w:firstLineChars="300"/>
              <w:rPr>
                <w:rFonts w:ascii="宋体" w:cs="Arial"/>
                <w:bCs/>
                <w:sz w:val="24"/>
                <w:u w:val="single"/>
              </w:rPr>
            </w:pPr>
            <w:r>
              <w:rPr>
                <w:rFonts w:hint="eastAsia" w:ascii="宋体" w:hAnsi="宋体" w:cs="Arial"/>
                <w:sz w:val="24"/>
              </w:rPr>
              <w:t>专业工程暂估价</w:t>
            </w:r>
            <w:r>
              <w:rPr>
                <w:rFonts w:ascii="宋体" w:hAnsi="宋体" w:cs="Arial"/>
                <w:sz w:val="24"/>
              </w:rPr>
              <w:t>(</w:t>
            </w:r>
            <w:r>
              <w:rPr>
                <w:rFonts w:hint="eastAsia" w:ascii="宋体" w:hAnsi="宋体"/>
                <w:sz w:val="24"/>
              </w:rPr>
              <w:t>含税</w:t>
            </w:r>
            <w:r>
              <w:rPr>
                <w:rFonts w:ascii="宋体" w:hAnsi="宋体" w:cs="Arial"/>
                <w:sz w:val="24"/>
              </w:rPr>
              <w:t>)</w:t>
            </w:r>
            <w:r>
              <w:rPr>
                <w:rFonts w:hint="eastAsia" w:ascii="宋体" w:hAnsi="宋体" w:cs="Arial"/>
                <w:sz w:val="24"/>
              </w:rPr>
              <w:t>合计金额</w:t>
            </w:r>
            <w:r>
              <w:rPr>
                <w:rFonts w:hint="eastAsia" w:ascii="宋体" w:hAnsi="宋体" w:cs="Arial"/>
                <w:bCs/>
                <w:sz w:val="24"/>
              </w:rPr>
              <w:t>：</w:t>
            </w:r>
            <w:r>
              <w:rPr>
                <w:rFonts w:ascii="宋体" w:hAnsi="宋体" w:cs="Arial"/>
                <w:bCs/>
                <w:sz w:val="24"/>
                <w:u w:val="single"/>
              </w:rPr>
              <w:t xml:space="preserve"> </w:t>
            </w:r>
            <w:r>
              <w:rPr>
                <w:rFonts w:hint="eastAsia" w:ascii="宋体" w:hAnsi="宋体" w:cs="Arial"/>
                <w:bCs/>
                <w:sz w:val="24"/>
                <w:u w:val="single"/>
              </w:rPr>
              <w:t xml:space="preserve">0  </w:t>
            </w:r>
            <w:r>
              <w:rPr>
                <w:rFonts w:hint="eastAsia" w:ascii="宋体" w:hAnsi="宋体" w:cs="Arial"/>
                <w:bCs/>
                <w:sz w:val="24"/>
              </w:rPr>
              <w:t>元；</w:t>
            </w:r>
          </w:p>
          <w:p w14:paraId="3ADAFC38">
            <w:pPr>
              <w:ind w:firstLine="720" w:firstLineChars="300"/>
              <w:rPr>
                <w:rFonts w:ascii="宋体" w:cs="Arial"/>
                <w:bCs/>
                <w:sz w:val="24"/>
              </w:rPr>
            </w:pPr>
            <w:r>
              <w:rPr>
                <w:rFonts w:hint="eastAsia" w:ascii="宋体" w:hAnsi="宋体"/>
                <w:sz w:val="24"/>
              </w:rPr>
              <w:t>材料和工程设备暂估价</w:t>
            </w:r>
            <w:r>
              <w:rPr>
                <w:rFonts w:ascii="宋体" w:hAnsi="宋体" w:cs="Arial"/>
                <w:sz w:val="24"/>
              </w:rPr>
              <w:t>(</w:t>
            </w:r>
            <w:r>
              <w:rPr>
                <w:rFonts w:hint="eastAsia" w:ascii="宋体" w:hAnsi="宋体"/>
                <w:sz w:val="24"/>
              </w:rPr>
              <w:t>含税</w:t>
            </w:r>
            <w:r>
              <w:rPr>
                <w:rFonts w:ascii="宋体" w:hAnsi="宋体" w:cs="Arial"/>
                <w:sz w:val="24"/>
              </w:rPr>
              <w:t>)</w:t>
            </w:r>
            <w:r>
              <w:rPr>
                <w:rFonts w:hint="eastAsia" w:ascii="宋体" w:hAnsi="宋体" w:cs="Arial"/>
                <w:bCs/>
                <w:sz w:val="24"/>
              </w:rPr>
              <w:t>合计金额：</w:t>
            </w:r>
            <w:r>
              <w:rPr>
                <w:rFonts w:ascii="宋体" w:hAnsi="宋体" w:cs="Arial"/>
                <w:bCs/>
                <w:sz w:val="24"/>
                <w:u w:val="single"/>
              </w:rPr>
              <w:t xml:space="preserve"> </w:t>
            </w:r>
            <w:r>
              <w:rPr>
                <w:rFonts w:hint="eastAsia" w:ascii="宋体" w:hAnsi="宋体" w:cs="Arial"/>
                <w:bCs/>
                <w:sz w:val="24"/>
                <w:u w:val="single"/>
              </w:rPr>
              <w:t xml:space="preserve"> 0  </w:t>
            </w:r>
            <w:r>
              <w:rPr>
                <w:rFonts w:hint="eastAsia" w:ascii="宋体" w:hAnsi="宋体" w:cs="Arial"/>
                <w:bCs/>
                <w:sz w:val="24"/>
              </w:rPr>
              <w:t>元；</w:t>
            </w:r>
          </w:p>
          <w:p w14:paraId="7E0AB75F">
            <w:pPr>
              <w:ind w:firstLine="720" w:firstLineChars="300"/>
              <w:rPr>
                <w:rFonts w:hint="eastAsia" w:ascii="宋体" w:hAnsi="宋体" w:cs="Arial"/>
                <w:bCs/>
                <w:sz w:val="24"/>
              </w:rPr>
            </w:pPr>
            <w:r>
              <w:rPr>
                <w:rFonts w:hint="eastAsia" w:ascii="宋体" w:hAnsi="宋体" w:cs="Arial"/>
                <w:sz w:val="24"/>
              </w:rPr>
              <w:t>暂列金额（不含计日工）（</w:t>
            </w:r>
            <w:r>
              <w:rPr>
                <w:rFonts w:hint="eastAsia" w:ascii="宋体" w:hAnsi="宋体"/>
                <w:sz w:val="24"/>
              </w:rPr>
              <w:t>含税</w:t>
            </w:r>
            <w:r>
              <w:rPr>
                <w:rFonts w:hint="eastAsia" w:ascii="宋体" w:hAnsi="宋体" w:cs="Arial"/>
                <w:sz w:val="24"/>
              </w:rPr>
              <w:t>）合计金额：</w:t>
            </w:r>
            <w:r>
              <w:rPr>
                <w:rFonts w:ascii="宋体" w:hAnsi="宋体" w:cs="Arial"/>
                <w:bCs/>
                <w:sz w:val="24"/>
                <w:u w:val="single"/>
              </w:rPr>
              <w:t xml:space="preserve"> </w:t>
            </w:r>
            <w:r>
              <w:rPr>
                <w:rFonts w:hint="eastAsia" w:ascii="宋体" w:hAnsi="宋体" w:cs="Arial"/>
                <w:bCs/>
                <w:sz w:val="24"/>
                <w:u w:val="single"/>
              </w:rPr>
              <w:t xml:space="preserve"> 0 </w:t>
            </w:r>
            <w:r>
              <w:rPr>
                <w:rFonts w:hint="eastAsia" w:ascii="宋体" w:hAnsi="宋体" w:cs="Arial"/>
                <w:bCs/>
                <w:sz w:val="24"/>
              </w:rPr>
              <w:t>元；</w:t>
            </w:r>
          </w:p>
          <w:p w14:paraId="7C29BF34">
            <w:pPr>
              <w:ind w:firstLine="720" w:firstLineChars="300"/>
              <w:rPr>
                <w:rFonts w:hint="eastAsia" w:ascii="宋体" w:hAnsi="宋体" w:cs="Arial"/>
                <w:bCs/>
                <w:sz w:val="24"/>
              </w:rPr>
            </w:pPr>
            <w:r>
              <w:rPr>
                <w:rFonts w:hint="eastAsia" w:ascii="宋体" w:hAnsi="宋体" w:cs="Arial"/>
                <w:bCs/>
                <w:sz w:val="24"/>
              </w:rPr>
              <w:t>安全文明施工费（含税）合计金额：</w:t>
            </w:r>
            <w:r>
              <w:rPr>
                <w:rFonts w:hint="eastAsia" w:ascii="宋体" w:hAnsi="宋体" w:cs="Arial"/>
                <w:bCs/>
                <w:sz w:val="24"/>
                <w:u w:val="single"/>
              </w:rPr>
              <w:t xml:space="preserve"> 169203.89 </w:t>
            </w:r>
            <w:r>
              <w:rPr>
                <w:rFonts w:hint="eastAsia" w:ascii="宋体" w:hAnsi="宋体" w:cs="Arial"/>
                <w:bCs/>
                <w:szCs w:val="21"/>
              </w:rPr>
              <w:t>元；</w:t>
            </w:r>
          </w:p>
          <w:p w14:paraId="68992C4B">
            <w:pPr>
              <w:pStyle w:val="28"/>
              <w:adjustRightInd w:val="0"/>
              <w:snapToGrid w:val="0"/>
              <w:rPr>
                <w:rFonts w:hAnsi="宋体"/>
                <w:b/>
                <w:sz w:val="24"/>
              </w:rPr>
            </w:pPr>
            <w:r>
              <w:rPr>
                <w:rFonts w:hAnsi="宋体" w:cs="Arial"/>
                <w:bCs/>
                <w:sz w:val="24"/>
              </w:rPr>
              <w:t>赶工增加费（含税）合计金额（如有）：</w:t>
            </w:r>
            <w:r>
              <w:rPr>
                <w:rFonts w:hAnsi="宋体" w:cs="Arial"/>
                <w:bCs/>
                <w:sz w:val="24"/>
                <w:u w:val="single"/>
              </w:rPr>
              <w:t xml:space="preserve">   0   </w:t>
            </w:r>
            <w:r>
              <w:rPr>
                <w:rFonts w:hAnsi="宋体" w:cs="Arial"/>
                <w:bCs/>
                <w:sz w:val="24"/>
              </w:rPr>
              <w:t>元；</w:t>
            </w:r>
          </w:p>
        </w:tc>
      </w:tr>
      <w:tr w14:paraId="0956E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12726837">
            <w:pPr>
              <w:pStyle w:val="28"/>
              <w:adjustRightInd w:val="0"/>
              <w:snapToGrid w:val="0"/>
              <w:jc w:val="center"/>
              <w:rPr>
                <w:rFonts w:hAnsi="宋体"/>
                <w:sz w:val="24"/>
                <w:szCs w:val="24"/>
              </w:rPr>
            </w:pPr>
            <w:r>
              <w:rPr>
                <w:rFonts w:hint="default" w:hAnsi="宋体"/>
                <w:sz w:val="24"/>
                <w:szCs w:val="24"/>
              </w:rPr>
              <w:t>3.1</w:t>
            </w:r>
          </w:p>
        </w:tc>
        <w:tc>
          <w:tcPr>
            <w:tcW w:w="1701" w:type="dxa"/>
            <w:vAlign w:val="center"/>
          </w:tcPr>
          <w:p w14:paraId="4A14C718">
            <w:pPr>
              <w:jc w:val="center"/>
              <w:rPr>
                <w:rFonts w:hint="eastAsia" w:ascii="宋体" w:hAnsi="宋体"/>
                <w:sz w:val="24"/>
              </w:rPr>
            </w:pPr>
            <w:r>
              <w:rPr>
                <w:rFonts w:ascii="宋体" w:hAnsi="宋体"/>
                <w:sz w:val="24"/>
              </w:rPr>
              <w:t>现场考察</w:t>
            </w:r>
          </w:p>
        </w:tc>
        <w:tc>
          <w:tcPr>
            <w:tcW w:w="7253" w:type="dxa"/>
            <w:vAlign w:val="center"/>
          </w:tcPr>
          <w:p w14:paraId="1A26B7A4">
            <w:pPr>
              <w:jc w:val="left"/>
              <w:rPr>
                <w:rFonts w:hint="eastAsia" w:ascii="宋体" w:hAnsi="宋体"/>
                <w:sz w:val="24"/>
              </w:rPr>
            </w:pPr>
            <w:r>
              <w:rPr>
                <w:rFonts w:ascii="宋体" w:hAnsi="宋体"/>
                <w:b/>
                <w:sz w:val="24"/>
              </w:rPr>
              <w:t>■</w:t>
            </w:r>
            <w:r>
              <w:rPr>
                <w:rFonts w:ascii="宋体" w:hAnsi="宋体"/>
                <w:sz w:val="24"/>
              </w:rPr>
              <w:t>不组织</w:t>
            </w:r>
          </w:p>
          <w:p w14:paraId="5A5FD2D6">
            <w:pPr>
              <w:jc w:val="left"/>
              <w:rPr>
                <w:rFonts w:hint="eastAsia" w:ascii="宋体" w:hAnsi="宋体"/>
                <w:bCs/>
                <w:sz w:val="24"/>
              </w:rPr>
            </w:pPr>
            <w:r>
              <w:rPr>
                <w:rFonts w:ascii="宋体" w:hAnsi="宋体"/>
              </w:rPr>
              <w:t>□</w:t>
            </w:r>
            <w:r>
              <w:rPr>
                <w:rFonts w:ascii="宋体" w:hAnsi="宋体"/>
                <w:sz w:val="24"/>
              </w:rPr>
              <w:t>组织，考察时间：_</w:t>
            </w:r>
            <w:r>
              <w:rPr>
                <w:rFonts w:hint="eastAsia" w:ascii="宋体" w:hAnsi="宋体"/>
                <w:sz w:val="24"/>
                <w:u w:val="single"/>
              </w:rPr>
              <w:t>/</w:t>
            </w:r>
            <w:r>
              <w:rPr>
                <w:rFonts w:ascii="宋体" w:hAnsi="宋体"/>
                <w:sz w:val="24"/>
              </w:rPr>
              <w:t>__年__</w:t>
            </w:r>
            <w:r>
              <w:rPr>
                <w:rFonts w:hint="eastAsia" w:ascii="宋体" w:hAnsi="宋体"/>
                <w:sz w:val="24"/>
                <w:u w:val="single"/>
              </w:rPr>
              <w:t>/</w:t>
            </w:r>
            <w:r>
              <w:rPr>
                <w:rFonts w:ascii="宋体" w:hAnsi="宋体"/>
                <w:sz w:val="24"/>
              </w:rPr>
              <w:t>_月__</w:t>
            </w:r>
            <w:r>
              <w:rPr>
                <w:rFonts w:hint="eastAsia" w:ascii="宋体" w:hAnsi="宋体"/>
                <w:sz w:val="24"/>
                <w:u w:val="single"/>
              </w:rPr>
              <w:t>/</w:t>
            </w:r>
            <w:r>
              <w:rPr>
                <w:rFonts w:ascii="宋体" w:hAnsi="宋体"/>
                <w:sz w:val="24"/>
              </w:rPr>
              <w:t>_日_</w:t>
            </w:r>
            <w:r>
              <w:rPr>
                <w:rFonts w:hint="eastAsia" w:ascii="宋体" w:hAnsi="宋体"/>
                <w:sz w:val="24"/>
                <w:u w:val="single"/>
              </w:rPr>
              <w:t>/</w:t>
            </w:r>
            <w:r>
              <w:rPr>
                <w:rFonts w:ascii="宋体" w:hAnsi="宋体"/>
                <w:sz w:val="24"/>
              </w:rPr>
              <w:t>__点__</w:t>
            </w:r>
            <w:r>
              <w:rPr>
                <w:rFonts w:hint="eastAsia" w:ascii="宋体" w:hAnsi="宋体"/>
                <w:sz w:val="24"/>
                <w:u w:val="single"/>
              </w:rPr>
              <w:t>/</w:t>
            </w:r>
            <w:r>
              <w:rPr>
                <w:rFonts w:ascii="宋体" w:hAnsi="宋体"/>
                <w:sz w:val="24"/>
              </w:rPr>
              <w:t>_分</w:t>
            </w:r>
          </w:p>
          <w:p w14:paraId="292847CA">
            <w:pPr>
              <w:pStyle w:val="28"/>
              <w:adjustRightInd w:val="0"/>
              <w:snapToGrid w:val="0"/>
              <w:rPr>
                <w:rFonts w:hAnsi="宋体"/>
                <w:sz w:val="24"/>
                <w:szCs w:val="24"/>
              </w:rPr>
            </w:pPr>
            <w:r>
              <w:rPr>
                <w:rFonts w:hint="default" w:hAnsi="宋体"/>
                <w:sz w:val="24"/>
              </w:rPr>
              <w:t>考察地点：___</w:t>
            </w:r>
            <w:r>
              <w:rPr>
                <w:rFonts w:hAnsi="宋体"/>
                <w:sz w:val="24"/>
                <w:u w:val="single"/>
              </w:rPr>
              <w:t>/</w:t>
            </w:r>
            <w:r>
              <w:rPr>
                <w:rFonts w:hint="default" w:hAnsi="宋体"/>
                <w:sz w:val="24"/>
              </w:rPr>
              <w:t>________</w:t>
            </w:r>
            <w:r>
              <w:rPr>
                <w:rFonts w:hAnsi="宋体"/>
                <w:sz w:val="24"/>
              </w:rPr>
              <w:t>。</w:t>
            </w:r>
          </w:p>
        </w:tc>
      </w:tr>
      <w:tr w14:paraId="0A26B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65F7234B">
            <w:pPr>
              <w:pStyle w:val="28"/>
              <w:adjustRightInd w:val="0"/>
              <w:snapToGrid w:val="0"/>
              <w:jc w:val="center"/>
              <w:rPr>
                <w:rFonts w:hAnsi="宋体"/>
                <w:sz w:val="24"/>
                <w:szCs w:val="24"/>
              </w:rPr>
            </w:pPr>
          </w:p>
        </w:tc>
        <w:tc>
          <w:tcPr>
            <w:tcW w:w="1701" w:type="dxa"/>
            <w:vAlign w:val="center"/>
          </w:tcPr>
          <w:p w14:paraId="5511D0C8">
            <w:pPr>
              <w:jc w:val="center"/>
              <w:rPr>
                <w:rFonts w:hint="eastAsia" w:ascii="宋体" w:hAnsi="宋体"/>
                <w:sz w:val="24"/>
              </w:rPr>
            </w:pPr>
            <w:r>
              <w:rPr>
                <w:rFonts w:ascii="宋体" w:hAnsi="宋体"/>
                <w:sz w:val="24"/>
              </w:rPr>
              <w:t>磋商前答疑会</w:t>
            </w:r>
          </w:p>
        </w:tc>
        <w:tc>
          <w:tcPr>
            <w:tcW w:w="7253" w:type="dxa"/>
            <w:vAlign w:val="center"/>
          </w:tcPr>
          <w:p w14:paraId="27836F03">
            <w:pPr>
              <w:jc w:val="left"/>
              <w:rPr>
                <w:rFonts w:hint="eastAsia" w:ascii="宋体" w:hAnsi="宋体"/>
                <w:sz w:val="24"/>
              </w:rPr>
            </w:pPr>
            <w:r>
              <w:rPr>
                <w:rFonts w:ascii="宋体" w:hAnsi="宋体"/>
                <w:b/>
                <w:sz w:val="24"/>
              </w:rPr>
              <w:t>■</w:t>
            </w:r>
            <w:r>
              <w:rPr>
                <w:rFonts w:ascii="宋体" w:hAnsi="宋体"/>
                <w:sz w:val="24"/>
              </w:rPr>
              <w:t>不召开</w:t>
            </w:r>
          </w:p>
          <w:p w14:paraId="78467E35">
            <w:pPr>
              <w:jc w:val="left"/>
              <w:rPr>
                <w:rFonts w:hint="eastAsia" w:ascii="宋体" w:hAnsi="宋体"/>
                <w:sz w:val="24"/>
              </w:rPr>
            </w:pPr>
            <w:r>
              <w:rPr>
                <w:rFonts w:ascii="宋体" w:hAnsi="宋体"/>
              </w:rPr>
              <w:t>□</w:t>
            </w:r>
            <w:r>
              <w:rPr>
                <w:rFonts w:ascii="宋体" w:hAnsi="宋体"/>
                <w:sz w:val="24"/>
              </w:rPr>
              <w:t>召开，召开时间：__</w:t>
            </w:r>
            <w:r>
              <w:rPr>
                <w:rFonts w:hint="eastAsia" w:ascii="宋体" w:hAnsi="宋体"/>
                <w:sz w:val="24"/>
                <w:u w:val="single"/>
              </w:rPr>
              <w:t>/</w:t>
            </w:r>
            <w:r>
              <w:rPr>
                <w:rFonts w:ascii="宋体" w:hAnsi="宋体"/>
                <w:sz w:val="24"/>
              </w:rPr>
              <w:t>_年_</w:t>
            </w:r>
            <w:r>
              <w:rPr>
                <w:rFonts w:hint="eastAsia" w:ascii="宋体" w:hAnsi="宋体"/>
                <w:sz w:val="24"/>
                <w:u w:val="single"/>
              </w:rPr>
              <w:t>/</w:t>
            </w:r>
            <w:r>
              <w:rPr>
                <w:rFonts w:ascii="宋体" w:hAnsi="宋体"/>
                <w:sz w:val="24"/>
              </w:rPr>
              <w:t>__月__</w:t>
            </w:r>
            <w:r>
              <w:rPr>
                <w:rFonts w:hint="eastAsia" w:ascii="宋体" w:hAnsi="宋体"/>
                <w:sz w:val="24"/>
                <w:u w:val="single"/>
              </w:rPr>
              <w:t>/</w:t>
            </w:r>
            <w:r>
              <w:rPr>
                <w:rFonts w:ascii="宋体" w:hAnsi="宋体"/>
                <w:sz w:val="24"/>
              </w:rPr>
              <w:t>_日__</w:t>
            </w:r>
            <w:r>
              <w:rPr>
                <w:rFonts w:hint="eastAsia" w:ascii="宋体" w:hAnsi="宋体"/>
                <w:sz w:val="24"/>
                <w:u w:val="single"/>
              </w:rPr>
              <w:t>/</w:t>
            </w:r>
            <w:r>
              <w:rPr>
                <w:rFonts w:ascii="宋体" w:hAnsi="宋体"/>
                <w:sz w:val="24"/>
              </w:rPr>
              <w:t>_点_</w:t>
            </w:r>
            <w:r>
              <w:rPr>
                <w:rFonts w:hint="eastAsia" w:ascii="宋体" w:hAnsi="宋体"/>
                <w:sz w:val="24"/>
                <w:u w:val="single"/>
              </w:rPr>
              <w:t>/</w:t>
            </w:r>
            <w:r>
              <w:rPr>
                <w:rFonts w:ascii="宋体" w:hAnsi="宋体"/>
                <w:sz w:val="24"/>
              </w:rPr>
              <w:t>__分</w:t>
            </w:r>
          </w:p>
          <w:p w14:paraId="4364B954">
            <w:pPr>
              <w:jc w:val="left"/>
              <w:rPr>
                <w:rFonts w:hint="eastAsia" w:ascii="宋体" w:hAnsi="宋体"/>
                <w:sz w:val="24"/>
              </w:rPr>
            </w:pPr>
            <w:r>
              <w:rPr>
                <w:rFonts w:ascii="宋体" w:hAnsi="宋体"/>
                <w:sz w:val="24"/>
              </w:rPr>
              <w:t>召开地点：_____</w:t>
            </w:r>
            <w:r>
              <w:rPr>
                <w:rFonts w:hint="eastAsia" w:ascii="宋体" w:hAnsi="宋体"/>
                <w:sz w:val="24"/>
                <w:u w:val="single"/>
              </w:rPr>
              <w:t>/</w:t>
            </w:r>
            <w:r>
              <w:rPr>
                <w:rFonts w:ascii="宋体" w:hAnsi="宋体"/>
                <w:sz w:val="24"/>
              </w:rPr>
              <w:t>______</w:t>
            </w:r>
            <w:r>
              <w:rPr>
                <w:rFonts w:hint="eastAsia" w:ascii="宋体" w:hAnsi="宋体"/>
                <w:sz w:val="24"/>
              </w:rPr>
              <w:t>。</w:t>
            </w:r>
          </w:p>
        </w:tc>
      </w:tr>
      <w:tr w14:paraId="55B4B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88" w:type="dxa"/>
            <w:vAlign w:val="center"/>
          </w:tcPr>
          <w:p w14:paraId="09855002">
            <w:pPr>
              <w:pStyle w:val="28"/>
              <w:adjustRightInd w:val="0"/>
              <w:snapToGrid w:val="0"/>
              <w:jc w:val="center"/>
              <w:rPr>
                <w:rFonts w:hAnsi="宋体"/>
                <w:sz w:val="24"/>
                <w:szCs w:val="24"/>
              </w:rPr>
            </w:pPr>
            <w:r>
              <w:rPr>
                <w:rFonts w:hint="default" w:hAnsi="宋体"/>
                <w:sz w:val="24"/>
                <w:szCs w:val="24"/>
              </w:rPr>
              <w:t>4.2.5</w:t>
            </w:r>
          </w:p>
        </w:tc>
        <w:tc>
          <w:tcPr>
            <w:tcW w:w="1701" w:type="dxa"/>
            <w:vAlign w:val="center"/>
          </w:tcPr>
          <w:p w14:paraId="5A5B0DF4">
            <w:pPr>
              <w:jc w:val="center"/>
              <w:rPr>
                <w:rFonts w:hint="eastAsia" w:ascii="宋体" w:hAnsi="宋体"/>
                <w:sz w:val="24"/>
              </w:rPr>
            </w:pPr>
            <w:r>
              <w:rPr>
                <w:rFonts w:ascii="宋体" w:hAnsi="宋体"/>
                <w:sz w:val="24"/>
              </w:rPr>
              <w:t>标的所属行业</w:t>
            </w:r>
          </w:p>
        </w:tc>
        <w:tc>
          <w:tcPr>
            <w:tcW w:w="7253" w:type="dxa"/>
            <w:vAlign w:val="center"/>
          </w:tcPr>
          <w:p w14:paraId="72333071">
            <w:pPr>
              <w:jc w:val="left"/>
              <w:rPr>
                <w:rFonts w:hint="eastAsia" w:ascii="宋体" w:hAnsi="宋体"/>
                <w:sz w:val="24"/>
              </w:rPr>
            </w:pPr>
            <w:r>
              <w:rPr>
                <w:rFonts w:ascii="宋体" w:hAnsi="宋体"/>
                <w:sz w:val="24"/>
              </w:rPr>
              <w:t>本项目采购标的对应的中小企业划分标准所属行业：</w:t>
            </w:r>
          </w:p>
          <w:tbl>
            <w:tblPr>
              <w:tblStyle w:val="57"/>
              <w:tblW w:w="6971" w:type="dxa"/>
              <w:tblInd w:w="0" w:type="dxa"/>
              <w:tblLayout w:type="fixed"/>
              <w:tblCellMar>
                <w:top w:w="0" w:type="dxa"/>
                <w:left w:w="108" w:type="dxa"/>
                <w:bottom w:w="0" w:type="dxa"/>
                <w:right w:w="108" w:type="dxa"/>
              </w:tblCellMar>
            </w:tblPr>
            <w:tblGrid>
              <w:gridCol w:w="876"/>
              <w:gridCol w:w="2835"/>
              <w:gridCol w:w="3260"/>
            </w:tblGrid>
            <w:tr w14:paraId="0D32B7D9">
              <w:tblPrEx>
                <w:tblCellMar>
                  <w:top w:w="0" w:type="dxa"/>
                  <w:left w:w="108" w:type="dxa"/>
                  <w:bottom w:w="0" w:type="dxa"/>
                  <w:right w:w="108" w:type="dxa"/>
                </w:tblCellMar>
              </w:tblPrEx>
              <w:trPr>
                <w:trHeight w:val="270" w:hRule="atLeast"/>
              </w:trPr>
              <w:tc>
                <w:tcPr>
                  <w:tcW w:w="876" w:type="dxa"/>
                  <w:tcBorders>
                    <w:top w:val="single" w:color="000000" w:sz="4" w:space="0"/>
                    <w:left w:val="single" w:color="000000" w:sz="4" w:space="0"/>
                    <w:bottom w:val="single" w:color="000000" w:sz="4" w:space="0"/>
                    <w:right w:val="single" w:color="000000" w:sz="4" w:space="0"/>
                  </w:tcBorders>
                  <w:vAlign w:val="center"/>
                </w:tcPr>
                <w:p w14:paraId="30D640FC">
                  <w:pPr>
                    <w:widowControl/>
                    <w:jc w:val="center"/>
                    <w:textAlignment w:val="center"/>
                    <w:rPr>
                      <w:rFonts w:hint="eastAsia" w:ascii="宋体" w:hAnsi="宋体"/>
                      <w:sz w:val="24"/>
                    </w:rPr>
                  </w:pPr>
                  <w:r>
                    <w:rPr>
                      <w:rFonts w:hint="eastAsia" w:ascii="宋体" w:hAnsi="宋体"/>
                      <w:sz w:val="24"/>
                    </w:rPr>
                    <w:t>序号</w:t>
                  </w:r>
                </w:p>
              </w:tc>
              <w:tc>
                <w:tcPr>
                  <w:tcW w:w="2835" w:type="dxa"/>
                  <w:tcBorders>
                    <w:top w:val="single" w:color="000000" w:sz="4" w:space="0"/>
                    <w:left w:val="single" w:color="000000" w:sz="4" w:space="0"/>
                    <w:bottom w:val="single" w:color="000000" w:sz="4" w:space="0"/>
                    <w:right w:val="single" w:color="000000" w:sz="4" w:space="0"/>
                  </w:tcBorders>
                  <w:vAlign w:val="center"/>
                </w:tcPr>
                <w:p w14:paraId="2687C69C">
                  <w:pPr>
                    <w:widowControl/>
                    <w:jc w:val="center"/>
                    <w:textAlignment w:val="center"/>
                    <w:rPr>
                      <w:rFonts w:hint="eastAsia" w:ascii="宋体" w:hAnsi="宋体"/>
                      <w:sz w:val="24"/>
                    </w:rPr>
                  </w:pPr>
                  <w:r>
                    <w:rPr>
                      <w:rFonts w:hint="eastAsia" w:ascii="宋体" w:hAnsi="宋体"/>
                      <w:sz w:val="24"/>
                    </w:rPr>
                    <w:t>标的名称</w:t>
                  </w:r>
                </w:p>
              </w:tc>
              <w:tc>
                <w:tcPr>
                  <w:tcW w:w="3260" w:type="dxa"/>
                  <w:tcBorders>
                    <w:top w:val="single" w:color="000000" w:sz="4" w:space="0"/>
                    <w:left w:val="single" w:color="000000" w:sz="4" w:space="0"/>
                    <w:bottom w:val="single" w:color="000000" w:sz="4" w:space="0"/>
                    <w:right w:val="single" w:color="000000" w:sz="4" w:space="0"/>
                  </w:tcBorders>
                  <w:vAlign w:val="center"/>
                </w:tcPr>
                <w:p w14:paraId="41DB17F4">
                  <w:pPr>
                    <w:widowControl/>
                    <w:jc w:val="center"/>
                    <w:textAlignment w:val="center"/>
                    <w:rPr>
                      <w:rFonts w:hint="eastAsia" w:ascii="宋体" w:hAnsi="宋体"/>
                      <w:sz w:val="24"/>
                    </w:rPr>
                  </w:pPr>
                  <w:r>
                    <w:rPr>
                      <w:rFonts w:hint="eastAsia" w:ascii="宋体" w:hAnsi="宋体"/>
                      <w:sz w:val="24"/>
                    </w:rPr>
                    <w:t>中小企业划分标准所属行业</w:t>
                  </w:r>
                </w:p>
              </w:tc>
            </w:tr>
            <w:tr w14:paraId="12C5C7D5">
              <w:tblPrEx>
                <w:tblCellMar>
                  <w:top w:w="0" w:type="dxa"/>
                  <w:left w:w="108" w:type="dxa"/>
                  <w:bottom w:w="0" w:type="dxa"/>
                  <w:right w:w="108" w:type="dxa"/>
                </w:tblCellMar>
              </w:tblPrEx>
              <w:trPr>
                <w:trHeight w:val="493" w:hRule="atLeast"/>
              </w:trPr>
              <w:tc>
                <w:tcPr>
                  <w:tcW w:w="876" w:type="dxa"/>
                  <w:tcBorders>
                    <w:top w:val="single" w:color="000000" w:sz="4" w:space="0"/>
                    <w:left w:val="single" w:color="000000" w:sz="4" w:space="0"/>
                    <w:bottom w:val="single" w:color="000000" w:sz="4" w:space="0"/>
                    <w:right w:val="single" w:color="000000" w:sz="4" w:space="0"/>
                  </w:tcBorders>
                  <w:vAlign w:val="center"/>
                </w:tcPr>
                <w:p w14:paraId="6DC3A8E4">
                  <w:pPr>
                    <w:widowControl/>
                    <w:jc w:val="center"/>
                    <w:textAlignment w:val="center"/>
                    <w:rPr>
                      <w:rFonts w:hint="eastAsia" w:ascii="宋体" w:hAnsi="宋体"/>
                      <w:sz w:val="24"/>
                    </w:rPr>
                  </w:pPr>
                  <w:r>
                    <w:rPr>
                      <w:rFonts w:hint="eastAsia" w:ascii="宋体" w:hAnsi="宋体"/>
                      <w:sz w:val="24"/>
                    </w:rPr>
                    <w:t>1</w:t>
                  </w:r>
                </w:p>
              </w:tc>
              <w:tc>
                <w:tcPr>
                  <w:tcW w:w="2835" w:type="dxa"/>
                  <w:tcBorders>
                    <w:top w:val="single" w:color="000000" w:sz="4" w:space="0"/>
                    <w:left w:val="single" w:color="000000" w:sz="4" w:space="0"/>
                    <w:bottom w:val="single" w:color="000000" w:sz="4" w:space="0"/>
                    <w:right w:val="single" w:color="000000" w:sz="4" w:space="0"/>
                  </w:tcBorders>
                  <w:vAlign w:val="center"/>
                </w:tcPr>
                <w:p w14:paraId="0633215A">
                  <w:pPr>
                    <w:widowControl/>
                    <w:jc w:val="center"/>
                    <w:textAlignment w:val="center"/>
                    <w:rPr>
                      <w:rFonts w:hint="eastAsia" w:ascii="宋体" w:hAnsi="宋体"/>
                      <w:sz w:val="24"/>
                    </w:rPr>
                  </w:pPr>
                  <w:r>
                    <w:rPr>
                      <w:rFonts w:hint="eastAsia" w:ascii="宋体" w:hAnsi="宋体"/>
                      <w:sz w:val="24"/>
                    </w:rPr>
                    <w:t>第一标段：配电设备设施</w:t>
                  </w:r>
                  <w:r>
                    <w:rPr>
                      <w:rFonts w:hint="eastAsia" w:ascii="宋体" w:hAnsi="宋体"/>
                      <w:sz w:val="24"/>
                      <w:lang w:eastAsia="zh-CN"/>
                    </w:rPr>
                    <w:t>运维</w:t>
                  </w:r>
                </w:p>
              </w:tc>
              <w:tc>
                <w:tcPr>
                  <w:tcW w:w="3260" w:type="dxa"/>
                  <w:tcBorders>
                    <w:top w:val="single" w:color="000000" w:sz="4" w:space="0"/>
                    <w:left w:val="single" w:color="000000" w:sz="4" w:space="0"/>
                    <w:bottom w:val="single" w:color="000000" w:sz="4" w:space="0"/>
                    <w:right w:val="single" w:color="000000" w:sz="4" w:space="0"/>
                  </w:tcBorders>
                  <w:vAlign w:val="center"/>
                </w:tcPr>
                <w:p w14:paraId="72932A2C">
                  <w:pPr>
                    <w:widowControl/>
                    <w:jc w:val="center"/>
                    <w:textAlignment w:val="center"/>
                    <w:rPr>
                      <w:rFonts w:hint="eastAsia" w:ascii="宋体" w:hAnsi="宋体"/>
                      <w:sz w:val="24"/>
                    </w:rPr>
                  </w:pPr>
                  <w:r>
                    <w:rPr>
                      <w:rFonts w:hint="eastAsia" w:ascii="宋体" w:hAnsi="宋体"/>
                      <w:sz w:val="24"/>
                    </w:rPr>
                    <w:t>建筑业</w:t>
                  </w:r>
                </w:p>
              </w:tc>
            </w:tr>
          </w:tbl>
          <w:p w14:paraId="488FF4F2">
            <w:pPr>
              <w:jc w:val="left"/>
              <w:rPr>
                <w:rFonts w:hint="eastAsia" w:ascii="宋体" w:hAnsi="宋体"/>
                <w:sz w:val="24"/>
              </w:rPr>
            </w:pPr>
          </w:p>
        </w:tc>
      </w:tr>
      <w:tr w14:paraId="1C78E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88" w:type="dxa"/>
            <w:vAlign w:val="center"/>
          </w:tcPr>
          <w:p w14:paraId="109410A5">
            <w:pPr>
              <w:pStyle w:val="28"/>
              <w:adjustRightInd w:val="0"/>
              <w:snapToGrid w:val="0"/>
              <w:jc w:val="center"/>
              <w:rPr>
                <w:rFonts w:hAnsi="宋体"/>
                <w:sz w:val="24"/>
                <w:szCs w:val="24"/>
              </w:rPr>
            </w:pPr>
            <w:r>
              <w:rPr>
                <w:rFonts w:hint="default" w:hAnsi="宋体"/>
                <w:sz w:val="24"/>
                <w:szCs w:val="24"/>
              </w:rPr>
              <w:t>10.2</w:t>
            </w:r>
          </w:p>
        </w:tc>
        <w:tc>
          <w:tcPr>
            <w:tcW w:w="1701" w:type="dxa"/>
            <w:vAlign w:val="center"/>
          </w:tcPr>
          <w:p w14:paraId="1B4F42E4">
            <w:pPr>
              <w:jc w:val="center"/>
              <w:rPr>
                <w:rFonts w:hint="eastAsia" w:ascii="宋体" w:hAnsi="宋体"/>
                <w:sz w:val="24"/>
              </w:rPr>
            </w:pPr>
            <w:r>
              <w:rPr>
                <w:rFonts w:ascii="宋体" w:hAnsi="宋体"/>
                <w:sz w:val="24"/>
              </w:rPr>
              <w:t>报价</w:t>
            </w:r>
          </w:p>
        </w:tc>
        <w:tc>
          <w:tcPr>
            <w:tcW w:w="7253" w:type="dxa"/>
            <w:vAlign w:val="center"/>
          </w:tcPr>
          <w:p w14:paraId="4AC5DA1A">
            <w:pPr>
              <w:jc w:val="left"/>
              <w:rPr>
                <w:rFonts w:hint="eastAsia" w:ascii="宋体" w:hAnsi="宋体"/>
                <w:sz w:val="24"/>
              </w:rPr>
            </w:pPr>
            <w:r>
              <w:rPr>
                <w:rFonts w:ascii="宋体" w:hAnsi="宋体"/>
                <w:sz w:val="24"/>
              </w:rPr>
              <w:t>报价的特殊规定：</w:t>
            </w:r>
          </w:p>
          <w:p w14:paraId="234CF6E8">
            <w:pPr>
              <w:jc w:val="left"/>
              <w:rPr>
                <w:rFonts w:hint="eastAsia" w:ascii="宋体" w:hAnsi="宋体"/>
                <w:sz w:val="24"/>
              </w:rPr>
            </w:pPr>
            <w:r>
              <w:rPr>
                <w:rFonts w:ascii="宋体" w:hAnsi="宋体"/>
                <w:b/>
                <w:sz w:val="24"/>
              </w:rPr>
              <w:t>■</w:t>
            </w:r>
            <w:r>
              <w:rPr>
                <w:rFonts w:ascii="宋体" w:hAnsi="宋体"/>
                <w:sz w:val="24"/>
              </w:rPr>
              <w:t>无</w:t>
            </w:r>
          </w:p>
          <w:p w14:paraId="5AA8E57E">
            <w:pPr>
              <w:jc w:val="left"/>
              <w:rPr>
                <w:rFonts w:hint="eastAsia" w:ascii="宋体" w:hAnsi="宋体"/>
                <w:sz w:val="24"/>
              </w:rPr>
            </w:pPr>
            <w:r>
              <w:rPr>
                <w:rFonts w:ascii="宋体" w:hAnsi="宋体"/>
              </w:rPr>
              <w:t>□</w:t>
            </w:r>
            <w:r>
              <w:rPr>
                <w:rFonts w:ascii="宋体" w:hAnsi="宋体"/>
                <w:sz w:val="24"/>
              </w:rPr>
              <w:t>有，具体情形：</w:t>
            </w:r>
            <w:r>
              <w:rPr>
                <w:rFonts w:ascii="宋体" w:hAnsi="宋体"/>
                <w:sz w:val="24"/>
                <w:u w:val="single"/>
              </w:rPr>
              <w:t>_</w:t>
            </w:r>
            <w:r>
              <w:rPr>
                <w:rFonts w:hint="eastAsia" w:ascii="宋体" w:hAnsi="宋体"/>
                <w:sz w:val="24"/>
                <w:u w:val="single"/>
              </w:rPr>
              <w:t xml:space="preserve">     </w:t>
            </w:r>
            <w:r>
              <w:rPr>
                <w:rFonts w:ascii="宋体" w:hAnsi="宋体"/>
                <w:sz w:val="24"/>
              </w:rPr>
              <w:t>_。</w:t>
            </w:r>
          </w:p>
        </w:tc>
      </w:tr>
      <w:tr w14:paraId="33A9A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5B5793B">
            <w:pPr>
              <w:pStyle w:val="28"/>
              <w:adjustRightInd w:val="0"/>
              <w:snapToGrid w:val="0"/>
              <w:jc w:val="center"/>
              <w:rPr>
                <w:rFonts w:hAnsi="宋体"/>
                <w:sz w:val="24"/>
                <w:szCs w:val="24"/>
              </w:rPr>
            </w:pPr>
            <w:r>
              <w:rPr>
                <w:rFonts w:hint="default" w:hAnsi="宋体"/>
                <w:sz w:val="24"/>
                <w:szCs w:val="24"/>
              </w:rPr>
              <w:t>11.1</w:t>
            </w:r>
          </w:p>
        </w:tc>
        <w:tc>
          <w:tcPr>
            <w:tcW w:w="1701" w:type="dxa"/>
            <w:vMerge w:val="restart"/>
            <w:vAlign w:val="center"/>
          </w:tcPr>
          <w:p w14:paraId="7DF8C2F7">
            <w:pPr>
              <w:jc w:val="center"/>
              <w:rPr>
                <w:rFonts w:hint="eastAsia" w:ascii="宋体" w:hAnsi="宋体"/>
                <w:sz w:val="24"/>
              </w:rPr>
            </w:pPr>
            <w:r>
              <w:rPr>
                <w:rFonts w:ascii="宋体" w:hAnsi="宋体"/>
                <w:sz w:val="24"/>
              </w:rPr>
              <w:t>磋商保证金</w:t>
            </w:r>
          </w:p>
        </w:tc>
        <w:tc>
          <w:tcPr>
            <w:tcW w:w="7253" w:type="dxa"/>
            <w:vAlign w:val="center"/>
          </w:tcPr>
          <w:p w14:paraId="4B5C8B92">
            <w:pPr>
              <w:pStyle w:val="28"/>
              <w:adjustRightInd w:val="0"/>
              <w:snapToGrid w:val="0"/>
              <w:rPr>
                <w:rFonts w:hAnsi="宋体"/>
                <w:sz w:val="24"/>
                <w:szCs w:val="24"/>
              </w:rPr>
            </w:pPr>
            <w:r>
              <w:rPr>
                <w:rFonts w:hint="default" w:hAnsi="宋体"/>
                <w:sz w:val="24"/>
                <w:szCs w:val="24"/>
              </w:rPr>
              <w:t>磋商保证金金额：</w:t>
            </w:r>
            <w:r>
              <w:rPr>
                <w:rFonts w:hAnsi="宋体"/>
                <w:b/>
                <w:bCs/>
                <w:snapToGrid w:val="0"/>
                <w:sz w:val="24"/>
                <w:szCs w:val="24"/>
                <w:u w:val="single"/>
              </w:rPr>
              <w:t xml:space="preserve"> 14865.00（元）    </w:t>
            </w:r>
          </w:p>
          <w:p w14:paraId="38633409">
            <w:pPr>
              <w:pStyle w:val="28"/>
              <w:tabs>
                <w:tab w:val="left" w:pos="7352"/>
              </w:tabs>
              <w:adjustRightInd w:val="0"/>
              <w:snapToGrid w:val="0"/>
              <w:jc w:val="left"/>
              <w:rPr>
                <w:rFonts w:hAnsi="宋体"/>
                <w:sz w:val="24"/>
                <w:szCs w:val="24"/>
              </w:rPr>
            </w:pPr>
            <w:r>
              <w:rPr>
                <w:rFonts w:hAnsi="宋体"/>
                <w:sz w:val="24"/>
                <w:szCs w:val="24"/>
              </w:rPr>
              <w:t>响应保证金形式：支票、汇票、本票、网上银行支付、金融机构或担保机构出具的保函等非现金形式。</w:t>
            </w:r>
          </w:p>
          <w:p w14:paraId="50D0087F">
            <w:pPr>
              <w:pStyle w:val="28"/>
              <w:tabs>
                <w:tab w:val="left" w:pos="7352"/>
              </w:tabs>
              <w:adjustRightInd w:val="0"/>
              <w:snapToGrid w:val="0"/>
              <w:jc w:val="left"/>
              <w:rPr>
                <w:rFonts w:hAnsi="宋体"/>
                <w:sz w:val="24"/>
                <w:szCs w:val="24"/>
              </w:rPr>
            </w:pPr>
            <w:r>
              <w:rPr>
                <w:rFonts w:hAnsi="宋体"/>
                <w:sz w:val="24"/>
                <w:szCs w:val="24"/>
              </w:rPr>
              <w:t>响应保证金提交截止时间：供应商应在投标截止时间前按磋商文件规定的金额、形式等，将响应保证金缴纳至</w:t>
            </w:r>
            <w:r>
              <w:rPr>
                <w:rFonts w:ascii="Times New Roman" w:hAnsi="Times New Roman"/>
                <w:sz w:val="24"/>
                <w:szCs w:val="24"/>
              </w:rPr>
              <w:t>代理公司</w:t>
            </w:r>
            <w:r>
              <w:rPr>
                <w:rFonts w:hAnsi="宋体"/>
                <w:sz w:val="24"/>
                <w:szCs w:val="24"/>
              </w:rPr>
              <w:t>（采用电汇或网上银行支付的，须在投标截止时间前账）。</w:t>
            </w:r>
          </w:p>
          <w:p w14:paraId="57E2D810">
            <w:pPr>
              <w:pStyle w:val="28"/>
              <w:tabs>
                <w:tab w:val="left" w:pos="7352"/>
              </w:tabs>
              <w:adjustRightInd w:val="0"/>
              <w:snapToGrid w:val="0"/>
              <w:jc w:val="left"/>
              <w:rPr>
                <w:rFonts w:hAnsi="宋体"/>
                <w:sz w:val="24"/>
                <w:szCs w:val="24"/>
              </w:rPr>
            </w:pPr>
            <w:r>
              <w:rPr>
                <w:rFonts w:hAnsi="宋体"/>
                <w:sz w:val="24"/>
                <w:szCs w:val="24"/>
              </w:rPr>
              <w:t>响应保证金银行账号：</w:t>
            </w:r>
          </w:p>
          <w:p w14:paraId="3487B52E">
            <w:pPr>
              <w:jc w:val="left"/>
              <w:rPr>
                <w:sz w:val="24"/>
              </w:rPr>
            </w:pPr>
            <w:r>
              <w:rPr>
                <w:sz w:val="24"/>
              </w:rPr>
              <w:t>开户名：</w:t>
            </w:r>
            <w:r>
              <w:rPr>
                <w:rFonts w:hint="eastAsia"/>
                <w:sz w:val="24"/>
              </w:rPr>
              <w:t>北京古筑华园工程造价咨询有限公司</w:t>
            </w:r>
            <w:r>
              <w:rPr>
                <w:sz w:val="24"/>
              </w:rPr>
              <w:t xml:space="preserve"> </w:t>
            </w:r>
          </w:p>
          <w:p w14:paraId="553E779B">
            <w:pPr>
              <w:jc w:val="left"/>
              <w:rPr>
                <w:sz w:val="24"/>
              </w:rPr>
            </w:pPr>
            <w:r>
              <w:rPr>
                <w:sz w:val="24"/>
              </w:rPr>
              <w:t xml:space="preserve">开户行：北京银行灯市口支行                </w:t>
            </w:r>
          </w:p>
          <w:p w14:paraId="587F639A">
            <w:pPr>
              <w:jc w:val="left"/>
              <w:rPr>
                <w:sz w:val="24"/>
              </w:rPr>
            </w:pPr>
            <w:r>
              <w:rPr>
                <w:sz w:val="24"/>
              </w:rPr>
              <w:t>账</w:t>
            </w:r>
            <w:r>
              <w:rPr>
                <w:rFonts w:hint="eastAsia"/>
                <w:sz w:val="24"/>
              </w:rPr>
              <w:t xml:space="preserve">  </w:t>
            </w:r>
            <w:r>
              <w:rPr>
                <w:sz w:val="24"/>
              </w:rPr>
              <w:t>号：01090342700120109070046</w:t>
            </w:r>
          </w:p>
          <w:p w14:paraId="2A1CF32C">
            <w:pPr>
              <w:jc w:val="left"/>
              <w:rPr>
                <w:rFonts w:hint="eastAsia" w:ascii="宋体" w:hAnsi="宋体"/>
                <w:sz w:val="24"/>
              </w:rPr>
            </w:pPr>
            <w:r>
              <w:rPr>
                <w:sz w:val="24"/>
              </w:rPr>
              <w:t>注：为便于采购代理机构及时准确地核实投标人的保证金是否到账，投标人电汇投标保证金时应在电汇汇款附言中注明：招标编号或项目简称，如“** 投标保证金”。</w:t>
            </w:r>
          </w:p>
        </w:tc>
      </w:tr>
      <w:tr w14:paraId="3D542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F32FEB3">
            <w:pPr>
              <w:pStyle w:val="28"/>
              <w:adjustRightInd w:val="0"/>
              <w:snapToGrid w:val="0"/>
              <w:jc w:val="center"/>
              <w:rPr>
                <w:rFonts w:hAnsi="宋体"/>
                <w:sz w:val="24"/>
                <w:szCs w:val="24"/>
              </w:rPr>
            </w:pPr>
            <w:r>
              <w:rPr>
                <w:rFonts w:hint="default" w:hAnsi="宋体"/>
                <w:sz w:val="24"/>
                <w:szCs w:val="24"/>
              </w:rPr>
              <w:t>11.7.5</w:t>
            </w:r>
          </w:p>
        </w:tc>
        <w:tc>
          <w:tcPr>
            <w:tcW w:w="1701" w:type="dxa"/>
            <w:vMerge w:val="continue"/>
            <w:vAlign w:val="center"/>
          </w:tcPr>
          <w:p w14:paraId="3261E275">
            <w:pPr>
              <w:jc w:val="center"/>
              <w:rPr>
                <w:rFonts w:hint="eastAsia" w:ascii="宋体" w:hAnsi="宋体"/>
                <w:sz w:val="24"/>
              </w:rPr>
            </w:pPr>
          </w:p>
        </w:tc>
        <w:tc>
          <w:tcPr>
            <w:tcW w:w="7253" w:type="dxa"/>
            <w:vAlign w:val="center"/>
          </w:tcPr>
          <w:p w14:paraId="70397CA4">
            <w:pPr>
              <w:jc w:val="left"/>
              <w:rPr>
                <w:rFonts w:hint="eastAsia" w:ascii="宋体" w:hAnsi="宋体"/>
                <w:sz w:val="24"/>
              </w:rPr>
            </w:pPr>
            <w:r>
              <w:rPr>
                <w:rFonts w:ascii="宋体" w:hAnsi="宋体"/>
                <w:sz w:val="24"/>
              </w:rPr>
              <w:t>磋商保证金不予退还的其他情形：</w:t>
            </w:r>
          </w:p>
          <w:p w14:paraId="686F8D1F">
            <w:pPr>
              <w:jc w:val="left"/>
              <w:rPr>
                <w:rFonts w:hint="eastAsia" w:ascii="宋体" w:hAnsi="宋体"/>
                <w:sz w:val="24"/>
              </w:rPr>
            </w:pPr>
            <w:r>
              <w:rPr>
                <w:rFonts w:ascii="宋体" w:hAnsi="宋体"/>
              </w:rPr>
              <w:t>□</w:t>
            </w:r>
            <w:r>
              <w:rPr>
                <w:rFonts w:ascii="宋体" w:hAnsi="宋体"/>
                <w:sz w:val="24"/>
              </w:rPr>
              <w:t>无</w:t>
            </w:r>
          </w:p>
          <w:p w14:paraId="1A85CDAF">
            <w:pPr>
              <w:pStyle w:val="28"/>
              <w:adjustRightInd w:val="0"/>
              <w:snapToGrid w:val="0"/>
              <w:rPr>
                <w:rFonts w:hAnsi="宋体"/>
                <w:sz w:val="24"/>
              </w:rPr>
            </w:pPr>
            <w:r>
              <w:rPr>
                <w:rFonts w:hAnsi="宋体"/>
                <w:b/>
                <w:sz w:val="24"/>
                <w:szCs w:val="24"/>
              </w:rPr>
              <w:t>■</w:t>
            </w:r>
            <w:r>
              <w:rPr>
                <w:rFonts w:hint="default" w:hAnsi="宋体"/>
                <w:sz w:val="24"/>
              </w:rPr>
              <w:t>有，具体情形：</w:t>
            </w:r>
          </w:p>
          <w:p w14:paraId="1A3069E0">
            <w:pPr>
              <w:pStyle w:val="28"/>
              <w:tabs>
                <w:tab w:val="left" w:pos="7352"/>
              </w:tabs>
              <w:adjustRightInd w:val="0"/>
              <w:snapToGrid w:val="0"/>
              <w:jc w:val="left"/>
              <w:rPr>
                <w:rFonts w:hAnsi="宋体"/>
                <w:sz w:val="24"/>
                <w:szCs w:val="24"/>
              </w:rPr>
            </w:pPr>
            <w:r>
              <w:rPr>
                <w:rFonts w:hAnsi="宋体"/>
                <w:sz w:val="24"/>
                <w:szCs w:val="24"/>
              </w:rPr>
              <w:t>投标有效期内投标人撤销投标的；</w:t>
            </w:r>
          </w:p>
          <w:p w14:paraId="4E5A6BCC">
            <w:pPr>
              <w:pStyle w:val="28"/>
              <w:tabs>
                <w:tab w:val="left" w:pos="7352"/>
              </w:tabs>
              <w:adjustRightInd w:val="0"/>
              <w:snapToGrid w:val="0"/>
              <w:rPr>
                <w:rFonts w:hAnsi="宋体"/>
                <w:sz w:val="24"/>
                <w:szCs w:val="24"/>
              </w:rPr>
            </w:pPr>
            <w:r>
              <w:rPr>
                <w:rFonts w:hAnsi="宋体"/>
                <w:sz w:val="24"/>
                <w:szCs w:val="24"/>
              </w:rPr>
              <w:t>投标文件中提供虚假材料的；</w:t>
            </w:r>
          </w:p>
          <w:p w14:paraId="7DE65E80">
            <w:pPr>
              <w:pStyle w:val="28"/>
              <w:tabs>
                <w:tab w:val="left" w:pos="7352"/>
              </w:tabs>
              <w:adjustRightInd w:val="0"/>
              <w:snapToGrid w:val="0"/>
              <w:rPr>
                <w:rFonts w:hAnsi="宋体"/>
                <w:sz w:val="24"/>
                <w:szCs w:val="24"/>
              </w:rPr>
            </w:pPr>
            <w:r>
              <w:rPr>
                <w:rFonts w:hAnsi="宋体"/>
                <w:sz w:val="24"/>
                <w:szCs w:val="24"/>
              </w:rPr>
              <w:t>除因不可抗力或招标文件认可的情形以外，中标人不与采购人签订合同的；</w:t>
            </w:r>
          </w:p>
          <w:p w14:paraId="09C45C33">
            <w:pPr>
              <w:pStyle w:val="28"/>
              <w:tabs>
                <w:tab w:val="left" w:pos="7352"/>
              </w:tabs>
              <w:adjustRightInd w:val="0"/>
              <w:snapToGrid w:val="0"/>
              <w:rPr>
                <w:rFonts w:hAnsi="宋体"/>
                <w:sz w:val="24"/>
                <w:szCs w:val="24"/>
              </w:rPr>
            </w:pPr>
            <w:r>
              <w:rPr>
                <w:rFonts w:hAnsi="宋体"/>
                <w:sz w:val="24"/>
                <w:szCs w:val="24"/>
              </w:rPr>
              <w:t>投标人与采购人、其他投标人或者采购代理机构恶意串通的；</w:t>
            </w:r>
          </w:p>
          <w:p w14:paraId="4D11C234">
            <w:pPr>
              <w:pStyle w:val="28"/>
              <w:adjustRightInd w:val="0"/>
              <w:snapToGrid w:val="0"/>
              <w:rPr>
                <w:rFonts w:hAnsi="宋体"/>
                <w:sz w:val="24"/>
                <w:szCs w:val="24"/>
              </w:rPr>
            </w:pPr>
            <w:r>
              <w:rPr>
                <w:rFonts w:hAnsi="宋体"/>
                <w:sz w:val="24"/>
                <w:szCs w:val="24"/>
              </w:rPr>
              <w:t>招标文件规定的其他情形。</w:t>
            </w:r>
          </w:p>
        </w:tc>
      </w:tr>
      <w:tr w14:paraId="72D6E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1A14148">
            <w:pPr>
              <w:pStyle w:val="28"/>
              <w:adjustRightInd w:val="0"/>
              <w:snapToGrid w:val="0"/>
              <w:jc w:val="center"/>
              <w:rPr>
                <w:rFonts w:hAnsi="宋体"/>
                <w:sz w:val="24"/>
                <w:szCs w:val="24"/>
              </w:rPr>
            </w:pPr>
            <w:r>
              <w:rPr>
                <w:rFonts w:hint="default" w:hAnsi="宋体"/>
                <w:sz w:val="24"/>
                <w:szCs w:val="24"/>
              </w:rPr>
              <w:t>12.1</w:t>
            </w:r>
          </w:p>
        </w:tc>
        <w:tc>
          <w:tcPr>
            <w:tcW w:w="1701" w:type="dxa"/>
            <w:vAlign w:val="center"/>
          </w:tcPr>
          <w:p w14:paraId="025252C2">
            <w:pPr>
              <w:jc w:val="center"/>
              <w:rPr>
                <w:rFonts w:hint="eastAsia" w:ascii="宋体" w:hAnsi="宋体"/>
                <w:sz w:val="24"/>
              </w:rPr>
            </w:pPr>
            <w:r>
              <w:rPr>
                <w:rFonts w:ascii="宋体" w:hAnsi="宋体"/>
                <w:sz w:val="24"/>
              </w:rPr>
              <w:t>响应有效期</w:t>
            </w:r>
          </w:p>
        </w:tc>
        <w:tc>
          <w:tcPr>
            <w:tcW w:w="7253" w:type="dxa"/>
            <w:vAlign w:val="center"/>
          </w:tcPr>
          <w:p w14:paraId="2B3D89A9">
            <w:pPr>
              <w:jc w:val="left"/>
              <w:rPr>
                <w:rFonts w:hint="eastAsia" w:ascii="宋体" w:hAnsi="宋体"/>
                <w:sz w:val="24"/>
              </w:rPr>
            </w:pPr>
            <w:r>
              <w:rPr>
                <w:rFonts w:ascii="宋体" w:hAnsi="宋体"/>
                <w:sz w:val="24"/>
              </w:rPr>
              <w:t>自提交响应文件的截止之日起算90日历天。</w:t>
            </w:r>
          </w:p>
        </w:tc>
      </w:tr>
      <w:tr w14:paraId="33A39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8630FA4">
            <w:pPr>
              <w:pStyle w:val="28"/>
              <w:adjustRightInd w:val="0"/>
              <w:snapToGrid w:val="0"/>
              <w:jc w:val="center"/>
              <w:rPr>
                <w:rFonts w:hAnsi="宋体"/>
                <w:sz w:val="24"/>
                <w:szCs w:val="24"/>
              </w:rPr>
            </w:pPr>
            <w:r>
              <w:rPr>
                <w:rFonts w:hAnsi="宋体"/>
                <w:sz w:val="24"/>
                <w:szCs w:val="24"/>
              </w:rPr>
              <w:t>1</w:t>
            </w:r>
            <w:r>
              <w:rPr>
                <w:rFonts w:hint="default" w:hAnsi="宋体"/>
                <w:sz w:val="24"/>
                <w:szCs w:val="24"/>
              </w:rPr>
              <w:t>3.1</w:t>
            </w:r>
          </w:p>
        </w:tc>
        <w:tc>
          <w:tcPr>
            <w:tcW w:w="1701" w:type="dxa"/>
            <w:vAlign w:val="center"/>
          </w:tcPr>
          <w:p w14:paraId="4B5BD2A1">
            <w:pPr>
              <w:pStyle w:val="28"/>
              <w:adjustRightInd w:val="0"/>
              <w:snapToGrid w:val="0"/>
              <w:jc w:val="center"/>
              <w:rPr>
                <w:rFonts w:hAnsi="宋体"/>
                <w:snapToGrid w:val="0"/>
                <w:sz w:val="24"/>
                <w:szCs w:val="24"/>
              </w:rPr>
            </w:pPr>
            <w:r>
              <w:rPr>
                <w:rFonts w:hAnsi="宋体"/>
                <w:snapToGrid w:val="0"/>
                <w:sz w:val="24"/>
                <w:szCs w:val="24"/>
              </w:rPr>
              <w:t>响应文件份数</w:t>
            </w:r>
          </w:p>
        </w:tc>
        <w:tc>
          <w:tcPr>
            <w:tcW w:w="7253" w:type="dxa"/>
            <w:vAlign w:val="center"/>
          </w:tcPr>
          <w:p w14:paraId="1CAC5257">
            <w:pPr>
              <w:pStyle w:val="28"/>
              <w:adjustRightInd w:val="0"/>
              <w:snapToGrid w:val="0"/>
              <w:rPr>
                <w:rFonts w:hAnsi="宋体"/>
                <w:sz w:val="24"/>
                <w:szCs w:val="24"/>
              </w:rPr>
            </w:pPr>
            <w:r>
              <w:rPr>
                <w:rFonts w:hAnsi="宋体"/>
                <w:sz w:val="24"/>
                <w:szCs w:val="24"/>
              </w:rPr>
              <w:t>正本一份，副本三份，电子版一份（U盘形式）。</w:t>
            </w:r>
          </w:p>
          <w:p w14:paraId="19DFA402">
            <w:pPr>
              <w:pStyle w:val="28"/>
              <w:adjustRightInd w:val="0"/>
              <w:snapToGrid w:val="0"/>
              <w:rPr>
                <w:rFonts w:hAnsi="宋体"/>
                <w:snapToGrid w:val="0"/>
                <w:sz w:val="24"/>
                <w:szCs w:val="24"/>
              </w:rPr>
            </w:pPr>
            <w:r>
              <w:rPr>
                <w:rFonts w:hAnsi="宋体"/>
                <w:sz w:val="24"/>
                <w:szCs w:val="24"/>
              </w:rPr>
              <w:t>响应文件提倡采用双面打印，装订方式为胶装，不得为活页装订。</w:t>
            </w:r>
          </w:p>
        </w:tc>
      </w:tr>
      <w:tr w14:paraId="0AF7E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4E6C729">
            <w:pPr>
              <w:pStyle w:val="28"/>
              <w:adjustRightInd w:val="0"/>
              <w:snapToGrid w:val="0"/>
              <w:jc w:val="center"/>
              <w:rPr>
                <w:rFonts w:hAnsi="宋体"/>
                <w:sz w:val="24"/>
                <w:szCs w:val="24"/>
              </w:rPr>
            </w:pPr>
            <w:r>
              <w:rPr>
                <w:rFonts w:hint="default" w:hAnsi="宋体"/>
                <w:sz w:val="24"/>
                <w:szCs w:val="24"/>
              </w:rPr>
              <w:t>20.1</w:t>
            </w:r>
          </w:p>
        </w:tc>
        <w:tc>
          <w:tcPr>
            <w:tcW w:w="1701" w:type="dxa"/>
            <w:vAlign w:val="center"/>
          </w:tcPr>
          <w:p w14:paraId="44733547">
            <w:pPr>
              <w:jc w:val="center"/>
              <w:rPr>
                <w:rFonts w:hint="eastAsia" w:ascii="宋体" w:hAnsi="宋体"/>
                <w:sz w:val="24"/>
              </w:rPr>
            </w:pPr>
            <w:r>
              <w:rPr>
                <w:rFonts w:ascii="宋体" w:hAnsi="宋体"/>
                <w:sz w:val="24"/>
              </w:rPr>
              <w:t>成交供应商的确认</w:t>
            </w:r>
          </w:p>
        </w:tc>
        <w:tc>
          <w:tcPr>
            <w:tcW w:w="7253" w:type="dxa"/>
            <w:vAlign w:val="center"/>
          </w:tcPr>
          <w:p w14:paraId="12CFC647">
            <w:pPr>
              <w:pStyle w:val="28"/>
              <w:adjustRightInd w:val="0"/>
              <w:snapToGrid w:val="0"/>
              <w:rPr>
                <w:rFonts w:hAnsi="宋体"/>
                <w:sz w:val="24"/>
              </w:rPr>
            </w:pPr>
            <w:r>
              <w:rPr>
                <w:rFonts w:hint="default" w:hAnsi="宋体"/>
                <w:sz w:val="24"/>
              </w:rPr>
              <w:t>采购人是否授权磋商小组直接确定成交供应商：</w:t>
            </w:r>
          </w:p>
          <w:p w14:paraId="47F65155">
            <w:pPr>
              <w:pStyle w:val="28"/>
              <w:adjustRightInd w:val="0"/>
              <w:snapToGrid w:val="0"/>
              <w:rPr>
                <w:rFonts w:hAnsi="宋体"/>
                <w:sz w:val="24"/>
              </w:rPr>
            </w:pPr>
            <w:r>
              <w:rPr>
                <w:rFonts w:hAnsi="宋体"/>
                <w:b/>
                <w:sz w:val="24"/>
              </w:rPr>
              <w:t>■</w:t>
            </w:r>
            <w:r>
              <w:rPr>
                <w:rFonts w:hint="default" w:hAnsi="宋体"/>
                <w:sz w:val="24"/>
              </w:rPr>
              <w:t>否</w:t>
            </w:r>
          </w:p>
          <w:p w14:paraId="4F9B04EB">
            <w:pPr>
              <w:jc w:val="left"/>
              <w:rPr>
                <w:rFonts w:hint="eastAsia" w:ascii="宋体" w:hAnsi="宋体"/>
                <w:sz w:val="24"/>
              </w:rPr>
            </w:pPr>
            <w:r>
              <w:rPr>
                <w:rFonts w:ascii="宋体" w:hAnsi="宋体"/>
              </w:rPr>
              <w:t>□</w:t>
            </w:r>
            <w:r>
              <w:rPr>
                <w:rFonts w:ascii="宋体" w:hAnsi="宋体"/>
                <w:sz w:val="24"/>
              </w:rPr>
              <w:t>是</w:t>
            </w:r>
          </w:p>
          <w:p w14:paraId="09187973">
            <w:pPr>
              <w:jc w:val="left"/>
              <w:rPr>
                <w:sz w:val="24"/>
                <w:u w:val="single"/>
              </w:rPr>
            </w:pPr>
            <w:r>
              <w:rPr>
                <w:rFonts w:ascii="宋体" w:hAnsi="宋体"/>
                <w:sz w:val="24"/>
              </w:rPr>
              <w:t>成交候选人并列的，按照以下方式确定成交供应商：</w:t>
            </w:r>
            <w:r>
              <w:rPr>
                <w:rFonts w:hint="eastAsia"/>
                <w:sz w:val="24"/>
              </w:rPr>
              <w:t>得分且投标报价均相同的，以</w:t>
            </w:r>
            <w:r>
              <w:rPr>
                <w:rFonts w:hint="eastAsia"/>
                <w:sz w:val="24"/>
                <w:u w:val="single"/>
              </w:rPr>
              <w:t>按照最后报价由低到高的顺序推荐。评审得分且最后报价相同的，按照技术部分优劣顺序推荐。</w:t>
            </w:r>
            <w:r>
              <w:rPr>
                <w:rFonts w:hint="eastAsia"/>
                <w:sz w:val="24"/>
              </w:rPr>
              <w:t>，得分高者为中标人</w:t>
            </w:r>
            <w:r>
              <w:rPr>
                <w:rFonts w:ascii="宋体" w:hAnsi="宋体"/>
                <w:sz w:val="24"/>
              </w:rPr>
              <w:t>。</w:t>
            </w:r>
          </w:p>
        </w:tc>
      </w:tr>
      <w:tr w14:paraId="16831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4891170">
            <w:pPr>
              <w:pStyle w:val="28"/>
              <w:adjustRightInd w:val="0"/>
              <w:snapToGrid w:val="0"/>
              <w:jc w:val="center"/>
              <w:rPr>
                <w:rFonts w:hAnsi="宋体"/>
                <w:sz w:val="24"/>
                <w:szCs w:val="24"/>
              </w:rPr>
            </w:pPr>
            <w:r>
              <w:rPr>
                <w:rFonts w:hint="default" w:hAnsi="宋体"/>
                <w:sz w:val="24"/>
                <w:szCs w:val="24"/>
              </w:rPr>
              <w:t>23.5</w:t>
            </w:r>
          </w:p>
        </w:tc>
        <w:tc>
          <w:tcPr>
            <w:tcW w:w="1701" w:type="dxa"/>
            <w:vAlign w:val="center"/>
          </w:tcPr>
          <w:p w14:paraId="796ED5D1">
            <w:pPr>
              <w:jc w:val="center"/>
              <w:rPr>
                <w:rFonts w:hint="eastAsia" w:ascii="宋体" w:hAnsi="宋体"/>
                <w:sz w:val="24"/>
              </w:rPr>
            </w:pPr>
            <w:r>
              <w:rPr>
                <w:rFonts w:ascii="宋体" w:hAnsi="宋体"/>
                <w:sz w:val="24"/>
              </w:rPr>
              <w:t>分包</w:t>
            </w:r>
          </w:p>
        </w:tc>
        <w:tc>
          <w:tcPr>
            <w:tcW w:w="7253" w:type="dxa"/>
            <w:vAlign w:val="center"/>
          </w:tcPr>
          <w:p w14:paraId="2C0DB4DA">
            <w:pPr>
              <w:jc w:val="left"/>
              <w:rPr>
                <w:rFonts w:hint="eastAsia" w:ascii="宋体" w:hAnsi="宋体"/>
                <w:sz w:val="24"/>
              </w:rPr>
            </w:pPr>
            <w:r>
              <w:rPr>
                <w:rFonts w:ascii="宋体" w:hAnsi="宋体"/>
                <w:sz w:val="24"/>
              </w:rPr>
              <w:t xml:space="preserve">本项目是否允许分包： </w:t>
            </w:r>
          </w:p>
          <w:p w14:paraId="24DFE7D6">
            <w:pPr>
              <w:jc w:val="left"/>
              <w:rPr>
                <w:rFonts w:hint="eastAsia" w:ascii="宋体" w:hAnsi="宋体"/>
                <w:sz w:val="24"/>
              </w:rPr>
            </w:pPr>
            <w:r>
              <w:rPr>
                <w:rFonts w:ascii="宋体" w:hAnsi="宋体"/>
                <w:b/>
                <w:sz w:val="24"/>
              </w:rPr>
              <w:t>■</w:t>
            </w:r>
            <w:r>
              <w:rPr>
                <w:rFonts w:ascii="宋体" w:hAnsi="宋体"/>
                <w:sz w:val="24"/>
              </w:rPr>
              <w:t>不允许</w:t>
            </w:r>
          </w:p>
          <w:p w14:paraId="3CCDD203">
            <w:pPr>
              <w:jc w:val="left"/>
              <w:rPr>
                <w:rFonts w:hint="eastAsia" w:ascii="宋体" w:hAnsi="宋体"/>
                <w:sz w:val="24"/>
              </w:rPr>
            </w:pPr>
            <w:r>
              <w:rPr>
                <w:rFonts w:ascii="宋体" w:hAnsi="宋体"/>
              </w:rPr>
              <w:t>□</w:t>
            </w:r>
            <w:r>
              <w:rPr>
                <w:rFonts w:ascii="宋体" w:hAnsi="宋体"/>
                <w:sz w:val="24"/>
              </w:rPr>
              <w:t>允许，具体要求：</w:t>
            </w:r>
            <w:r>
              <w:rPr>
                <w:rFonts w:ascii="宋体" w:hAnsi="宋体"/>
                <w:sz w:val="24"/>
                <w:u w:val="single"/>
              </w:rPr>
              <w:t>_</w:t>
            </w:r>
            <w:r>
              <w:rPr>
                <w:rFonts w:hint="eastAsia" w:ascii="宋体" w:hAnsi="宋体"/>
                <w:sz w:val="24"/>
                <w:u w:val="single"/>
              </w:rPr>
              <w:t xml:space="preserve"> </w:t>
            </w:r>
            <w:r>
              <w:rPr>
                <w:rFonts w:ascii="宋体" w:hAnsi="宋体"/>
                <w:sz w:val="24"/>
                <w:u w:val="single"/>
              </w:rPr>
              <w:t xml:space="preserve">   ___</w:t>
            </w:r>
            <w:r>
              <w:rPr>
                <w:rFonts w:ascii="宋体" w:hAnsi="宋体"/>
                <w:sz w:val="24"/>
              </w:rPr>
              <w:t>。</w:t>
            </w:r>
          </w:p>
          <w:p w14:paraId="3EFE8BB1">
            <w:pPr>
              <w:jc w:val="left"/>
              <w:rPr>
                <w:rFonts w:hint="eastAsia" w:ascii="宋体" w:hAnsi="宋体"/>
                <w:sz w:val="24"/>
                <w:u w:val="single"/>
              </w:rPr>
            </w:pPr>
            <w:r>
              <w:rPr>
                <w:rFonts w:ascii="宋体" w:hAnsi="宋体"/>
                <w:sz w:val="24"/>
              </w:rPr>
              <w:t>（1）可以分包履行的具体内容：</w:t>
            </w:r>
            <w:r>
              <w:rPr>
                <w:rFonts w:ascii="宋体" w:hAnsi="宋体"/>
                <w:sz w:val="24"/>
                <w:u w:val="single"/>
              </w:rPr>
              <w:t xml:space="preserve">            __；</w:t>
            </w:r>
          </w:p>
          <w:p w14:paraId="4641CD88">
            <w:pPr>
              <w:jc w:val="left"/>
              <w:rPr>
                <w:rFonts w:hint="eastAsia" w:ascii="宋体" w:hAnsi="宋体"/>
                <w:sz w:val="24"/>
                <w:u w:val="single"/>
              </w:rPr>
            </w:pPr>
            <w:r>
              <w:rPr>
                <w:rFonts w:ascii="宋体" w:hAnsi="宋体"/>
                <w:sz w:val="24"/>
              </w:rPr>
              <w:t>（2）允许分包的金额或者比例</w:t>
            </w:r>
            <w:r>
              <w:rPr>
                <w:rFonts w:ascii="宋体" w:hAnsi="宋体"/>
                <w:sz w:val="24"/>
                <w:u w:val="single"/>
              </w:rPr>
              <w:t>：              ；</w:t>
            </w:r>
          </w:p>
          <w:p w14:paraId="6576B824">
            <w:pPr>
              <w:jc w:val="left"/>
              <w:rPr>
                <w:rFonts w:hint="eastAsia" w:ascii="宋体" w:hAnsi="宋体"/>
                <w:sz w:val="24"/>
                <w:u w:val="single"/>
              </w:rPr>
            </w:pPr>
            <w:r>
              <w:rPr>
                <w:rFonts w:ascii="宋体" w:hAnsi="宋体"/>
                <w:sz w:val="24"/>
              </w:rPr>
              <w:t>（3）其他要求：_</w:t>
            </w:r>
            <w:r>
              <w:rPr>
                <w:rFonts w:ascii="宋体" w:hAnsi="宋体"/>
                <w:sz w:val="24"/>
                <w:u w:val="single"/>
              </w:rPr>
              <w:t>_    _</w:t>
            </w:r>
            <w:r>
              <w:rPr>
                <w:rFonts w:ascii="宋体" w:hAnsi="宋体"/>
                <w:sz w:val="24"/>
              </w:rPr>
              <w:t>__。</w:t>
            </w:r>
          </w:p>
        </w:tc>
      </w:tr>
      <w:tr w14:paraId="2F36A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F6917A7">
            <w:pPr>
              <w:pStyle w:val="28"/>
              <w:adjustRightInd w:val="0"/>
              <w:snapToGrid w:val="0"/>
              <w:jc w:val="center"/>
              <w:rPr>
                <w:rFonts w:hAnsi="宋体"/>
                <w:sz w:val="24"/>
                <w:szCs w:val="24"/>
              </w:rPr>
            </w:pPr>
            <w:r>
              <w:rPr>
                <w:rFonts w:hint="default" w:hAnsi="宋体"/>
                <w:sz w:val="24"/>
                <w:szCs w:val="24"/>
              </w:rPr>
              <w:t>24.1.1</w:t>
            </w:r>
          </w:p>
        </w:tc>
        <w:tc>
          <w:tcPr>
            <w:tcW w:w="1701" w:type="dxa"/>
            <w:vAlign w:val="center"/>
          </w:tcPr>
          <w:p w14:paraId="3DBD4360">
            <w:pPr>
              <w:jc w:val="center"/>
              <w:rPr>
                <w:rFonts w:hint="eastAsia" w:ascii="宋体" w:hAnsi="宋体"/>
                <w:sz w:val="24"/>
              </w:rPr>
            </w:pPr>
            <w:r>
              <w:rPr>
                <w:rFonts w:ascii="宋体" w:hAnsi="宋体"/>
                <w:sz w:val="24"/>
              </w:rPr>
              <w:t>询问</w:t>
            </w:r>
          </w:p>
        </w:tc>
        <w:tc>
          <w:tcPr>
            <w:tcW w:w="7253" w:type="dxa"/>
            <w:vAlign w:val="center"/>
          </w:tcPr>
          <w:p w14:paraId="20CE8E52">
            <w:pPr>
              <w:jc w:val="left"/>
              <w:rPr>
                <w:rFonts w:hint="eastAsia" w:ascii="宋体" w:hAnsi="宋体"/>
                <w:sz w:val="24"/>
              </w:rPr>
            </w:pPr>
            <w:r>
              <w:rPr>
                <w:rFonts w:ascii="宋体" w:hAnsi="宋体"/>
                <w:sz w:val="24"/>
              </w:rPr>
              <w:t>询问送达形式：</w:t>
            </w:r>
            <w:r>
              <w:rPr>
                <w:rFonts w:hint="eastAsia" w:ascii="宋体" w:hAnsi="宋体"/>
                <w:sz w:val="24"/>
                <w:u w:val="single"/>
              </w:rPr>
              <w:t>请先电话联系</w:t>
            </w:r>
            <w:r>
              <w:rPr>
                <w:rFonts w:hint="eastAsia" w:ascii="Calibri" w:hAnsi="Calibri"/>
                <w:sz w:val="24"/>
                <w:u w:val="single"/>
              </w:rPr>
              <w:t>北京古筑华园工程造价咨询有限公司</w:t>
            </w:r>
            <w:r>
              <w:rPr>
                <w:rFonts w:hint="eastAsia"/>
                <w:sz w:val="24"/>
                <w:u w:val="single"/>
              </w:rPr>
              <w:t>，后将纸质询问文件盖章版发送至邮箱</w:t>
            </w:r>
            <w:r>
              <w:rPr>
                <w:sz w:val="24"/>
                <w:u w:val="single"/>
              </w:rPr>
              <w:t>guzhuhuayuan@163.com</w:t>
            </w:r>
            <w:r>
              <w:rPr>
                <w:rFonts w:ascii="宋体" w:hAnsi="宋体"/>
                <w:sz w:val="24"/>
              </w:rPr>
              <w:t>。</w:t>
            </w:r>
          </w:p>
        </w:tc>
      </w:tr>
      <w:tr w14:paraId="06195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FCFDA6E">
            <w:pPr>
              <w:pStyle w:val="28"/>
              <w:adjustRightInd w:val="0"/>
              <w:snapToGrid w:val="0"/>
              <w:jc w:val="center"/>
              <w:rPr>
                <w:rFonts w:hAnsi="宋体"/>
                <w:sz w:val="24"/>
                <w:szCs w:val="24"/>
              </w:rPr>
            </w:pPr>
            <w:r>
              <w:rPr>
                <w:rFonts w:hint="default" w:hAnsi="宋体"/>
                <w:sz w:val="24"/>
                <w:szCs w:val="24"/>
              </w:rPr>
              <w:t>24.3</w:t>
            </w:r>
          </w:p>
        </w:tc>
        <w:tc>
          <w:tcPr>
            <w:tcW w:w="1701" w:type="dxa"/>
            <w:vAlign w:val="center"/>
          </w:tcPr>
          <w:p w14:paraId="43FB8793">
            <w:pPr>
              <w:jc w:val="center"/>
              <w:rPr>
                <w:rFonts w:hint="eastAsia" w:ascii="宋体" w:hAnsi="宋体"/>
                <w:sz w:val="24"/>
              </w:rPr>
            </w:pPr>
            <w:r>
              <w:rPr>
                <w:rFonts w:ascii="宋体" w:hAnsi="宋体"/>
                <w:sz w:val="24"/>
              </w:rPr>
              <w:t>联系方式</w:t>
            </w:r>
          </w:p>
        </w:tc>
        <w:tc>
          <w:tcPr>
            <w:tcW w:w="7253" w:type="dxa"/>
            <w:vAlign w:val="center"/>
          </w:tcPr>
          <w:p w14:paraId="238CF589">
            <w:pPr>
              <w:jc w:val="left"/>
              <w:rPr>
                <w:rFonts w:hint="eastAsia" w:ascii="宋体" w:hAnsi="宋体"/>
                <w:sz w:val="24"/>
              </w:rPr>
            </w:pPr>
            <w:r>
              <w:rPr>
                <w:rFonts w:ascii="宋体" w:hAnsi="宋体"/>
                <w:sz w:val="24"/>
              </w:rPr>
              <w:t>接收询问和质疑的联系方式</w:t>
            </w:r>
          </w:p>
          <w:p w14:paraId="71B44828">
            <w:pPr>
              <w:jc w:val="left"/>
              <w:rPr>
                <w:rFonts w:hint="eastAsia" w:ascii="宋体" w:hAnsi="宋体"/>
                <w:sz w:val="24"/>
              </w:rPr>
            </w:pPr>
            <w:r>
              <w:rPr>
                <w:rFonts w:ascii="宋体" w:hAnsi="宋体"/>
                <w:sz w:val="24"/>
              </w:rPr>
              <w:t>联系部门：</w:t>
            </w:r>
            <w:r>
              <w:rPr>
                <w:rFonts w:hint="eastAsia"/>
                <w:sz w:val="24"/>
              </w:rPr>
              <w:t>北京古筑华园工程造价咨询有限公司</w:t>
            </w:r>
            <w:r>
              <w:rPr>
                <w:rFonts w:ascii="宋体" w:hAnsi="宋体"/>
                <w:sz w:val="24"/>
              </w:rPr>
              <w:t>；</w:t>
            </w:r>
          </w:p>
          <w:p w14:paraId="2C4119FF">
            <w:pPr>
              <w:jc w:val="left"/>
              <w:rPr>
                <w:rFonts w:hint="eastAsia" w:ascii="宋体" w:hAnsi="宋体"/>
                <w:sz w:val="24"/>
              </w:rPr>
            </w:pPr>
            <w:r>
              <w:rPr>
                <w:rFonts w:ascii="宋体" w:hAnsi="宋体"/>
                <w:sz w:val="24"/>
              </w:rPr>
              <w:t>联系电话：</w:t>
            </w:r>
            <w:r>
              <w:rPr>
                <w:sz w:val="24"/>
              </w:rPr>
              <w:t>010-53391292</w:t>
            </w:r>
            <w:r>
              <w:rPr>
                <w:rFonts w:ascii="宋体" w:hAnsi="宋体"/>
                <w:sz w:val="24"/>
              </w:rPr>
              <w:t>；</w:t>
            </w:r>
          </w:p>
          <w:p w14:paraId="588F2207">
            <w:pPr>
              <w:jc w:val="left"/>
              <w:rPr>
                <w:rFonts w:hint="eastAsia" w:ascii="宋体" w:hAnsi="宋体"/>
                <w:sz w:val="24"/>
              </w:rPr>
            </w:pPr>
            <w:r>
              <w:rPr>
                <w:rFonts w:ascii="宋体" w:hAnsi="宋体"/>
                <w:sz w:val="24"/>
              </w:rPr>
              <w:t>通讯地址：</w:t>
            </w:r>
            <w:r>
              <w:rPr>
                <w:rFonts w:hint="eastAsia" w:ascii="宋体" w:hAnsi="宋体"/>
                <w:sz w:val="24"/>
              </w:rPr>
              <w:t>北京市石景山区古城西街26号院中海大厦CD座04层02单元</w:t>
            </w:r>
            <w:r>
              <w:rPr>
                <w:rFonts w:ascii="宋体" w:hAnsi="宋体"/>
                <w:sz w:val="24"/>
              </w:rPr>
              <w:t>。</w:t>
            </w:r>
          </w:p>
        </w:tc>
      </w:tr>
      <w:tr w14:paraId="5A835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44304B2">
            <w:pPr>
              <w:pStyle w:val="28"/>
              <w:adjustRightInd w:val="0"/>
              <w:snapToGrid w:val="0"/>
              <w:jc w:val="center"/>
              <w:rPr>
                <w:rFonts w:hAnsi="宋体"/>
                <w:sz w:val="24"/>
                <w:szCs w:val="24"/>
              </w:rPr>
            </w:pPr>
            <w:r>
              <w:rPr>
                <w:rFonts w:hint="default" w:hAnsi="宋体"/>
                <w:sz w:val="24"/>
                <w:szCs w:val="24"/>
              </w:rPr>
              <w:t>25</w:t>
            </w:r>
          </w:p>
        </w:tc>
        <w:tc>
          <w:tcPr>
            <w:tcW w:w="1701" w:type="dxa"/>
            <w:vAlign w:val="center"/>
          </w:tcPr>
          <w:p w14:paraId="6A17DDA7">
            <w:pPr>
              <w:jc w:val="center"/>
              <w:rPr>
                <w:rFonts w:hint="eastAsia" w:ascii="宋体" w:hAnsi="宋体"/>
                <w:color w:val="000000"/>
                <w:sz w:val="24"/>
              </w:rPr>
            </w:pPr>
            <w:r>
              <w:rPr>
                <w:rFonts w:ascii="宋体" w:hAnsi="宋体"/>
                <w:color w:val="000000"/>
                <w:sz w:val="24"/>
              </w:rPr>
              <w:t>代理费</w:t>
            </w:r>
          </w:p>
        </w:tc>
        <w:tc>
          <w:tcPr>
            <w:tcW w:w="7253" w:type="dxa"/>
            <w:vAlign w:val="center"/>
          </w:tcPr>
          <w:p w14:paraId="309F4A54">
            <w:pPr>
              <w:jc w:val="left"/>
              <w:rPr>
                <w:rFonts w:hint="eastAsia" w:ascii="宋体" w:hAnsi="宋体"/>
                <w:color w:val="000000"/>
                <w:sz w:val="24"/>
              </w:rPr>
            </w:pPr>
            <w:r>
              <w:rPr>
                <w:rFonts w:ascii="宋体" w:hAnsi="宋体"/>
                <w:color w:val="000000"/>
                <w:sz w:val="24"/>
              </w:rPr>
              <w:t>收费对象：</w:t>
            </w:r>
          </w:p>
          <w:p w14:paraId="69F33940">
            <w:pPr>
              <w:jc w:val="left"/>
              <w:rPr>
                <w:rFonts w:hint="eastAsia" w:ascii="宋体" w:hAnsi="宋体"/>
                <w:color w:val="000000"/>
                <w:sz w:val="24"/>
              </w:rPr>
            </w:pPr>
            <w:r>
              <w:rPr>
                <w:rFonts w:ascii="宋体" w:hAnsi="宋体"/>
                <w:b/>
                <w:color w:val="000000"/>
                <w:sz w:val="24"/>
              </w:rPr>
              <w:t>■</w:t>
            </w:r>
            <w:r>
              <w:rPr>
                <w:rFonts w:ascii="宋体" w:hAnsi="宋体"/>
                <w:color w:val="000000"/>
                <w:sz w:val="24"/>
              </w:rPr>
              <w:t>采购人</w:t>
            </w:r>
          </w:p>
          <w:p w14:paraId="32E84A0E">
            <w:pPr>
              <w:jc w:val="left"/>
              <w:rPr>
                <w:rFonts w:hint="eastAsia" w:ascii="宋体" w:hAnsi="宋体"/>
                <w:color w:val="000000"/>
                <w:sz w:val="24"/>
              </w:rPr>
            </w:pPr>
            <w:r>
              <w:rPr>
                <w:rFonts w:hint="eastAsia"/>
                <w:color w:val="000000"/>
                <w:sz w:val="24"/>
              </w:rPr>
              <w:t>□</w:t>
            </w:r>
            <w:r>
              <w:rPr>
                <w:rFonts w:ascii="宋体" w:hAnsi="宋体"/>
                <w:color w:val="000000"/>
                <w:sz w:val="24"/>
              </w:rPr>
              <w:t>成交供应商</w:t>
            </w:r>
          </w:p>
          <w:p w14:paraId="146DD3F4">
            <w:pPr>
              <w:jc w:val="left"/>
              <w:rPr>
                <w:color w:val="000000"/>
                <w:sz w:val="24"/>
              </w:rPr>
            </w:pPr>
            <w:r>
              <w:rPr>
                <w:color w:val="000000"/>
                <w:sz w:val="24"/>
              </w:rPr>
              <w:t>收费标准：</w:t>
            </w:r>
            <w:r>
              <w:rPr>
                <w:rFonts w:hint="eastAsia" w:ascii="宋体" w:hAnsi="宋体"/>
                <w:snapToGrid w:val="0"/>
                <w:sz w:val="24"/>
                <w:u w:val="single"/>
              </w:rPr>
              <w:t>参照《招标代理服务收费管理暂行办法》计价格</w:t>
            </w:r>
            <w:r>
              <w:rPr>
                <w:rFonts w:ascii="宋体" w:hAnsi="宋体"/>
                <w:snapToGrid w:val="0"/>
                <w:sz w:val="24"/>
                <w:u w:val="single"/>
              </w:rPr>
              <w:t>[2002]1980号文和发改价格</w:t>
            </w:r>
            <w:r>
              <w:rPr>
                <w:rFonts w:hint="eastAsia" w:ascii="宋体" w:hAnsi="宋体"/>
                <w:snapToGrid w:val="0"/>
                <w:sz w:val="24"/>
                <w:u w:val="single"/>
              </w:rPr>
              <w:t>[2003]857号</w:t>
            </w:r>
            <w:r>
              <w:rPr>
                <w:rFonts w:ascii="宋体" w:hAnsi="宋体"/>
                <w:snapToGrid w:val="0"/>
                <w:sz w:val="24"/>
                <w:u w:val="single"/>
              </w:rPr>
              <w:t>按</w:t>
            </w:r>
            <w:r>
              <w:rPr>
                <w:rFonts w:hint="eastAsia" w:ascii="宋体" w:hAnsi="宋体" w:cs="MS Mincho"/>
                <w:snapToGrid w:val="0"/>
                <w:sz w:val="24"/>
                <w:u w:val="single"/>
              </w:rPr>
              <w:t>（□</w:t>
            </w:r>
            <w:r>
              <w:rPr>
                <w:rFonts w:hint="eastAsia" w:ascii="宋体" w:hAnsi="宋体"/>
                <w:snapToGrid w:val="0"/>
                <w:sz w:val="24"/>
                <w:u w:val="single"/>
              </w:rPr>
              <w:t>货</w:t>
            </w:r>
            <w:r>
              <w:rPr>
                <w:rFonts w:hint="eastAsia" w:ascii="宋体" w:hAnsi="宋体" w:cs="MS Mincho"/>
                <w:snapToGrid w:val="0"/>
                <w:sz w:val="24"/>
                <w:u w:val="single"/>
              </w:rPr>
              <w:t>物</w:t>
            </w:r>
            <w:r>
              <w:rPr>
                <w:rFonts w:hint="eastAsia" w:ascii="宋体" w:hAnsi="宋体"/>
                <w:snapToGrid w:val="0"/>
                <w:sz w:val="24"/>
                <w:u w:val="single"/>
              </w:rPr>
              <w:t>类</w:t>
            </w:r>
            <w:r>
              <w:rPr>
                <w:rFonts w:hint="eastAsia" w:ascii="宋体" w:hAnsi="宋体" w:cs="MS Mincho"/>
                <w:snapToGrid w:val="0"/>
                <w:sz w:val="24"/>
                <w:u w:val="single"/>
              </w:rPr>
              <w:t>□服</w:t>
            </w:r>
            <w:r>
              <w:rPr>
                <w:rFonts w:hint="eastAsia" w:ascii="宋体" w:hAnsi="宋体"/>
                <w:snapToGrid w:val="0"/>
                <w:sz w:val="24"/>
                <w:u w:val="single"/>
              </w:rPr>
              <w:t>务类■</w:t>
            </w:r>
            <w:r>
              <w:rPr>
                <w:rFonts w:hint="eastAsia" w:ascii="宋体" w:hAnsi="宋体" w:cs="MS Mincho"/>
                <w:snapToGrid w:val="0"/>
                <w:sz w:val="24"/>
                <w:u w:val="single"/>
              </w:rPr>
              <w:t>工程</w:t>
            </w:r>
            <w:r>
              <w:rPr>
                <w:rFonts w:hint="eastAsia" w:ascii="宋体" w:hAnsi="宋体"/>
                <w:snapToGrid w:val="0"/>
                <w:sz w:val="24"/>
                <w:u w:val="single"/>
              </w:rPr>
              <w:t>类</w:t>
            </w:r>
            <w:r>
              <w:rPr>
                <w:rFonts w:hint="eastAsia" w:ascii="宋体" w:hAnsi="宋体" w:cs="MS Mincho"/>
                <w:snapToGrid w:val="0"/>
                <w:sz w:val="24"/>
                <w:u w:val="single"/>
              </w:rPr>
              <w:t>）</w:t>
            </w:r>
            <w:r>
              <w:rPr>
                <w:rFonts w:ascii="宋体" w:hAnsi="宋体"/>
                <w:snapToGrid w:val="0"/>
                <w:sz w:val="24"/>
                <w:u w:val="single"/>
              </w:rPr>
              <w:t>收取，按中标金额差额定率累进法计算</w:t>
            </w:r>
            <w:r>
              <w:rPr>
                <w:color w:val="000000"/>
                <w:sz w:val="24"/>
              </w:rPr>
              <w:t>；</w:t>
            </w:r>
          </w:p>
          <w:p w14:paraId="5468FB73">
            <w:pPr>
              <w:jc w:val="left"/>
              <w:rPr>
                <w:rFonts w:hint="eastAsia" w:ascii="宋体" w:hAnsi="宋体"/>
                <w:color w:val="000000"/>
                <w:sz w:val="24"/>
              </w:rPr>
            </w:pPr>
            <w:r>
              <w:rPr>
                <w:color w:val="000000"/>
                <w:sz w:val="24"/>
              </w:rPr>
              <w:t>缴纳时间：</w:t>
            </w:r>
            <w:r>
              <w:rPr>
                <w:color w:val="000000"/>
                <w:sz w:val="24"/>
                <w:u w:val="single"/>
              </w:rPr>
              <w:t>由</w:t>
            </w:r>
            <w:r>
              <w:rPr>
                <w:rFonts w:hint="eastAsia"/>
                <w:color w:val="000000"/>
                <w:sz w:val="24"/>
                <w:u w:val="single"/>
              </w:rPr>
              <w:t>成交供应商</w:t>
            </w:r>
            <w:r>
              <w:rPr>
                <w:color w:val="000000"/>
                <w:sz w:val="24"/>
                <w:u w:val="single"/>
              </w:rPr>
              <w:t>支付时</w:t>
            </w:r>
            <w:r>
              <w:rPr>
                <w:rFonts w:hint="eastAsia"/>
                <w:color w:val="000000"/>
                <w:sz w:val="24"/>
                <w:u w:val="single"/>
              </w:rPr>
              <w:t>，成交供应商在</w:t>
            </w:r>
            <w:r>
              <w:rPr>
                <w:color w:val="000000"/>
                <w:sz w:val="24"/>
                <w:u w:val="single"/>
              </w:rPr>
              <w:t>领取中标通知书时一次性支付</w:t>
            </w:r>
            <w:r>
              <w:rPr>
                <w:color w:val="000000"/>
                <w:sz w:val="24"/>
              </w:rPr>
              <w:t>。</w:t>
            </w:r>
          </w:p>
        </w:tc>
      </w:tr>
    </w:tbl>
    <w:p w14:paraId="7B227997">
      <w:pPr>
        <w:tabs>
          <w:tab w:val="left" w:pos="5580"/>
        </w:tabs>
        <w:adjustRightInd w:val="0"/>
        <w:spacing w:line="360" w:lineRule="auto"/>
        <w:jc w:val="distribute"/>
        <w:rPr>
          <w:rFonts w:hint="eastAsia" w:ascii="宋体" w:hAnsi="宋体"/>
          <w:sz w:val="24"/>
        </w:rPr>
        <w:sectPr>
          <w:footerReference r:id="rId9" w:type="first"/>
          <w:footerReference r:id="rId8" w:type="default"/>
          <w:pgSz w:w="11907" w:h="16840"/>
          <w:pgMar w:top="1418" w:right="1134" w:bottom="1418" w:left="1701" w:header="851" w:footer="851" w:gutter="0"/>
          <w:pgNumType w:start="1"/>
          <w:cols w:space="720" w:num="1"/>
          <w:titlePg/>
          <w:docGrid w:linePitch="462" w:charSpace="0"/>
        </w:sectPr>
      </w:pPr>
    </w:p>
    <w:p w14:paraId="749F8F63">
      <w:pPr>
        <w:spacing w:before="240" w:beforeLines="100" w:after="240" w:afterLines="100"/>
        <w:jc w:val="center"/>
        <w:rPr>
          <w:rFonts w:hint="eastAsia" w:ascii="宋体" w:hAnsi="宋体"/>
          <w:b/>
          <w:sz w:val="28"/>
          <w:szCs w:val="28"/>
        </w:rPr>
      </w:pPr>
      <w:r>
        <w:rPr>
          <w:rFonts w:ascii="宋体" w:hAnsi="宋体"/>
          <w:b/>
          <w:sz w:val="28"/>
          <w:szCs w:val="28"/>
        </w:rPr>
        <w:t>供应商须知</w:t>
      </w:r>
    </w:p>
    <w:p w14:paraId="284CBAC8">
      <w:pPr>
        <w:pStyle w:val="3"/>
        <w:tabs>
          <w:tab w:val="center" w:pos="4592"/>
          <w:tab w:val="left" w:pos="7860"/>
        </w:tabs>
        <w:spacing w:before="0" w:line="360" w:lineRule="auto"/>
        <w:jc w:val="left"/>
        <w:rPr>
          <w:rFonts w:hint="eastAsia" w:ascii="宋体" w:hAnsi="宋体" w:eastAsia="宋体"/>
          <w:sz w:val="28"/>
        </w:rPr>
      </w:pPr>
      <w:bookmarkStart w:id="74" w:name="_Toc520356143"/>
      <w:bookmarkStart w:id="75" w:name="_Toc127151518"/>
      <w:r>
        <w:rPr>
          <w:rFonts w:ascii="宋体" w:hAnsi="宋体" w:eastAsia="宋体"/>
          <w:sz w:val="28"/>
        </w:rPr>
        <w:tab/>
      </w:r>
      <w:bookmarkStart w:id="76" w:name="_Toc226309762"/>
      <w:bookmarkStart w:id="77" w:name="_Toc150774618"/>
      <w:bookmarkStart w:id="78" w:name="_Toc264969208"/>
      <w:bookmarkStart w:id="79" w:name="_Toc151193688"/>
      <w:bookmarkStart w:id="80" w:name="_Toc142311020"/>
      <w:bookmarkStart w:id="81" w:name="_Toc305158786"/>
      <w:bookmarkStart w:id="82" w:name="_Toc150480756"/>
      <w:bookmarkStart w:id="83" w:name="_Toc151193832"/>
      <w:bookmarkStart w:id="84" w:name="_Toc265228356"/>
      <w:bookmarkStart w:id="85" w:name="_Toc226965708"/>
      <w:bookmarkStart w:id="86" w:name="_Toc226965791"/>
      <w:bookmarkStart w:id="87" w:name="_Toc195842883"/>
      <w:bookmarkStart w:id="88" w:name="_Toc151190145"/>
      <w:bookmarkStart w:id="89" w:name="_Toc226337214"/>
      <w:bookmarkStart w:id="90" w:name="_Toc151193760"/>
      <w:bookmarkStart w:id="91" w:name="_Toc150774723"/>
      <w:bookmarkStart w:id="92" w:name="_Toc305158860"/>
      <w:bookmarkStart w:id="93" w:name="_Toc151193616"/>
      <w:bookmarkStart w:id="94" w:name="_Toc151193906"/>
      <w:bookmarkStart w:id="95" w:name="_Toc150509269"/>
      <w:r>
        <w:rPr>
          <w:rFonts w:ascii="宋体" w:hAnsi="宋体" w:eastAsia="宋体"/>
          <w:sz w:val="28"/>
        </w:rPr>
        <w:t>一   说  明</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宋体" w:hAnsi="宋体" w:eastAsia="宋体"/>
          <w:sz w:val="28"/>
        </w:rPr>
        <w:tab/>
      </w:r>
    </w:p>
    <w:p w14:paraId="22A66133">
      <w:pPr>
        <w:numPr>
          <w:ilvl w:val="0"/>
          <w:numId w:val="9"/>
        </w:numPr>
        <w:tabs>
          <w:tab w:val="left" w:pos="360"/>
          <w:tab w:val="clear" w:pos="900"/>
        </w:tabs>
        <w:snapToGrid w:val="0"/>
        <w:spacing w:line="360" w:lineRule="auto"/>
        <w:ind w:left="357" w:hanging="357"/>
        <w:outlineLvl w:val="1"/>
        <w:rPr>
          <w:rFonts w:hint="eastAsia" w:ascii="宋体" w:hAnsi="宋体"/>
          <w:sz w:val="24"/>
        </w:rPr>
      </w:pPr>
      <w:bookmarkStart w:id="96" w:name="_Toc264969209"/>
      <w:bookmarkStart w:id="97" w:name="_Toc305158787"/>
      <w:bookmarkStart w:id="98" w:name="_Toc265228357"/>
      <w:bookmarkStart w:id="99" w:name="_Toc305158861"/>
      <w:r>
        <w:rPr>
          <w:rFonts w:ascii="宋体" w:hAnsi="宋体"/>
          <w:sz w:val="24"/>
        </w:rPr>
        <w:t>采购人、采购代理机构、供应商</w:t>
      </w:r>
      <w:bookmarkEnd w:id="96"/>
      <w:bookmarkEnd w:id="97"/>
      <w:bookmarkEnd w:id="98"/>
      <w:bookmarkEnd w:id="99"/>
      <w:r>
        <w:rPr>
          <w:rFonts w:ascii="宋体" w:hAnsi="宋体"/>
          <w:sz w:val="24"/>
        </w:rPr>
        <w:t>、联合体</w:t>
      </w:r>
    </w:p>
    <w:p w14:paraId="63EBB37F">
      <w:pPr>
        <w:numPr>
          <w:ilvl w:val="1"/>
          <w:numId w:val="9"/>
        </w:numPr>
        <w:tabs>
          <w:tab w:val="left" w:pos="1080"/>
          <w:tab w:val="left" w:pos="2014"/>
          <w:tab w:val="left" w:pos="5521"/>
        </w:tabs>
        <w:snapToGrid w:val="0"/>
        <w:spacing w:line="360" w:lineRule="auto"/>
        <w:ind w:left="1080" w:hanging="720"/>
        <w:rPr>
          <w:rFonts w:hint="eastAsia" w:ascii="宋体" w:hAnsi="宋体"/>
          <w:sz w:val="24"/>
        </w:rPr>
      </w:pPr>
      <w:r>
        <w:rPr>
          <w:rFonts w:ascii="宋体" w:hAnsi="宋体"/>
          <w:sz w:val="24"/>
        </w:rPr>
        <w:t>采购人、采购代理机构：指依法进行政府采购的国家机关、事业单位、团体组织，及其委托的采购代理机构。本项目采购人、采购代理机构见第一章《采购邀请》。</w:t>
      </w:r>
    </w:p>
    <w:p w14:paraId="64520466">
      <w:pPr>
        <w:numPr>
          <w:ilvl w:val="1"/>
          <w:numId w:val="9"/>
        </w:numPr>
        <w:tabs>
          <w:tab w:val="left" w:pos="1080"/>
          <w:tab w:val="left" w:pos="2014"/>
          <w:tab w:val="left" w:pos="5521"/>
        </w:tabs>
        <w:snapToGrid w:val="0"/>
        <w:spacing w:line="360" w:lineRule="auto"/>
        <w:ind w:left="1080" w:hanging="720"/>
        <w:rPr>
          <w:rFonts w:hint="eastAsia" w:ascii="宋体" w:hAnsi="宋体"/>
          <w:sz w:val="24"/>
        </w:rPr>
      </w:pPr>
      <w:r>
        <w:rPr>
          <w:rFonts w:ascii="宋体" w:hAnsi="宋体"/>
          <w:sz w:val="24"/>
        </w:rPr>
        <w:t>供应商（也称“申请人”）：指向采购人提供货物、工程或者服务的法人、其他组织或者自然人。</w:t>
      </w:r>
    </w:p>
    <w:p w14:paraId="397FA129">
      <w:pPr>
        <w:numPr>
          <w:ilvl w:val="1"/>
          <w:numId w:val="9"/>
        </w:numPr>
        <w:tabs>
          <w:tab w:val="left" w:pos="1080"/>
          <w:tab w:val="left" w:pos="2014"/>
          <w:tab w:val="left" w:pos="5521"/>
        </w:tabs>
        <w:snapToGrid w:val="0"/>
        <w:spacing w:line="360" w:lineRule="auto"/>
        <w:ind w:left="1080" w:hanging="720"/>
        <w:rPr>
          <w:rFonts w:hint="eastAsia" w:ascii="宋体" w:hAnsi="宋体"/>
          <w:sz w:val="24"/>
        </w:rPr>
      </w:pPr>
      <w:r>
        <w:rPr>
          <w:rFonts w:ascii="宋体" w:hAnsi="宋体"/>
          <w:sz w:val="24"/>
        </w:rPr>
        <w:t>联合体：指两个以上的自然人、法人或者其他组织组成一个联合体，以一个供应商的身份共同参加政府采购。</w:t>
      </w:r>
    </w:p>
    <w:p w14:paraId="70566F25">
      <w:pPr>
        <w:numPr>
          <w:ilvl w:val="0"/>
          <w:numId w:val="9"/>
        </w:numPr>
        <w:tabs>
          <w:tab w:val="left" w:pos="360"/>
          <w:tab w:val="clear" w:pos="900"/>
        </w:tabs>
        <w:snapToGrid w:val="0"/>
        <w:spacing w:line="360" w:lineRule="auto"/>
        <w:ind w:left="357" w:hanging="357"/>
        <w:outlineLvl w:val="1"/>
        <w:rPr>
          <w:rFonts w:hint="eastAsia" w:ascii="宋体" w:hAnsi="宋体"/>
          <w:sz w:val="24"/>
        </w:rPr>
      </w:pPr>
      <w:bookmarkStart w:id="100" w:name="_Toc226965793"/>
      <w:bookmarkStart w:id="101" w:name="_Toc150509271"/>
      <w:bookmarkStart w:id="102" w:name="_Toc164608789"/>
      <w:bookmarkStart w:id="103" w:name="_Toc265228358"/>
      <w:bookmarkStart w:id="104" w:name="_Toc151193690"/>
      <w:bookmarkStart w:id="105" w:name="_Toc264969210"/>
      <w:bookmarkStart w:id="106" w:name="_Toc127161434"/>
      <w:bookmarkStart w:id="107" w:name="_Toc305158862"/>
      <w:bookmarkStart w:id="108" w:name="_Toc150774620"/>
      <w:bookmarkStart w:id="109" w:name="_Toc151193908"/>
      <w:bookmarkStart w:id="110" w:name="_Toc164229361"/>
      <w:bookmarkStart w:id="111" w:name="_Toc305158788"/>
      <w:bookmarkStart w:id="112" w:name="_Toc151190147"/>
      <w:bookmarkStart w:id="113" w:name="_Toc150480758"/>
      <w:bookmarkStart w:id="114" w:name="_Toc226309764"/>
      <w:bookmarkStart w:id="115" w:name="_Toc142311022"/>
      <w:bookmarkStart w:id="116" w:name="_Toc151193618"/>
      <w:bookmarkStart w:id="117" w:name="_Toc150774725"/>
      <w:bookmarkStart w:id="118" w:name="_Toc127151721"/>
      <w:bookmarkStart w:id="119" w:name="_Toc149720813"/>
      <w:bookmarkStart w:id="120" w:name="_Toc151193762"/>
      <w:bookmarkStart w:id="121" w:name="_Toc164608634"/>
      <w:bookmarkStart w:id="122" w:name="_Toc151193834"/>
      <w:bookmarkStart w:id="123" w:name="_Toc127151520"/>
      <w:bookmarkStart w:id="124" w:name="_Toc226337216"/>
      <w:bookmarkStart w:id="125" w:name="_Toc226965710"/>
      <w:bookmarkStart w:id="126" w:name="_Toc164351614"/>
      <w:bookmarkStart w:id="127" w:name="_Toc164229215"/>
      <w:bookmarkStart w:id="128" w:name="_Toc195842885"/>
      <w:r>
        <w:rPr>
          <w:rFonts w:ascii="宋体" w:hAnsi="宋体"/>
          <w:sz w:val="24"/>
        </w:rPr>
        <w:t>资金来源</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Pr>
          <w:rFonts w:ascii="宋体" w:hAnsi="宋体"/>
          <w:sz w:val="24"/>
        </w:rPr>
        <w:t>、项目属性、科研仪器设备采购</w:t>
      </w:r>
    </w:p>
    <w:p w14:paraId="3EF2C2B2">
      <w:pPr>
        <w:numPr>
          <w:ilvl w:val="1"/>
          <w:numId w:val="9"/>
        </w:numPr>
        <w:tabs>
          <w:tab w:val="left" w:pos="1080"/>
          <w:tab w:val="left" w:pos="2014"/>
        </w:tabs>
        <w:snapToGrid w:val="0"/>
        <w:spacing w:line="360" w:lineRule="auto"/>
        <w:ind w:left="1080" w:hanging="720"/>
        <w:rPr>
          <w:rFonts w:hint="eastAsia" w:ascii="宋体" w:hAnsi="宋体"/>
          <w:sz w:val="24"/>
        </w:rPr>
      </w:pPr>
      <w:r>
        <w:rPr>
          <w:rFonts w:ascii="宋体" w:hAnsi="宋体"/>
          <w:sz w:val="24"/>
        </w:rPr>
        <w:t>资金来源为财政性资金和/或本项目采购中无法与财政性资金分割的非财政性资金。</w:t>
      </w:r>
    </w:p>
    <w:p w14:paraId="02240201">
      <w:pPr>
        <w:numPr>
          <w:ilvl w:val="1"/>
          <w:numId w:val="9"/>
        </w:numPr>
        <w:tabs>
          <w:tab w:val="left" w:pos="1080"/>
          <w:tab w:val="left" w:pos="2014"/>
        </w:tabs>
        <w:snapToGrid w:val="0"/>
        <w:spacing w:line="360" w:lineRule="auto"/>
        <w:ind w:left="1080" w:hanging="720"/>
        <w:rPr>
          <w:rFonts w:hint="eastAsia" w:ascii="宋体" w:hAnsi="宋体"/>
          <w:sz w:val="24"/>
        </w:rPr>
      </w:pPr>
      <w:r>
        <w:rPr>
          <w:rFonts w:ascii="宋体" w:hAnsi="宋体"/>
          <w:sz w:val="24"/>
        </w:rPr>
        <w:t>项目属性见《供应商须知资料表》。</w:t>
      </w:r>
    </w:p>
    <w:p w14:paraId="3A6DA3F3">
      <w:pPr>
        <w:numPr>
          <w:ilvl w:val="1"/>
          <w:numId w:val="9"/>
        </w:numPr>
        <w:tabs>
          <w:tab w:val="left" w:pos="1080"/>
          <w:tab w:val="left" w:pos="2014"/>
        </w:tabs>
        <w:snapToGrid w:val="0"/>
        <w:spacing w:line="360" w:lineRule="auto"/>
        <w:ind w:left="1080" w:hanging="720"/>
        <w:rPr>
          <w:rFonts w:hint="eastAsia" w:ascii="宋体" w:hAnsi="宋体"/>
          <w:sz w:val="24"/>
        </w:rPr>
      </w:pPr>
      <w:r>
        <w:rPr>
          <w:rFonts w:ascii="宋体" w:hAnsi="宋体"/>
          <w:sz w:val="24"/>
        </w:rPr>
        <w:t>是否属于科研仪器设备采购见《供应商须知资料表》。</w:t>
      </w:r>
    </w:p>
    <w:p w14:paraId="1B3774FA">
      <w:pPr>
        <w:numPr>
          <w:ilvl w:val="1"/>
          <w:numId w:val="9"/>
        </w:numPr>
        <w:tabs>
          <w:tab w:val="left" w:pos="1080"/>
          <w:tab w:val="left" w:pos="2014"/>
        </w:tabs>
        <w:snapToGrid w:val="0"/>
        <w:spacing w:line="360" w:lineRule="auto"/>
        <w:ind w:left="1080" w:hanging="720"/>
        <w:rPr>
          <w:rFonts w:hint="eastAsia" w:ascii="宋体" w:hAnsi="宋体"/>
          <w:sz w:val="24"/>
        </w:rPr>
      </w:pPr>
      <w:r>
        <w:rPr>
          <w:rFonts w:hint="eastAsia" w:ascii="宋体" w:hAnsi="宋体"/>
          <w:sz w:val="24"/>
        </w:rPr>
        <w:t>核心产品见《投标人须知资料表》。</w:t>
      </w:r>
    </w:p>
    <w:p w14:paraId="398F612E">
      <w:pPr>
        <w:numPr>
          <w:ilvl w:val="1"/>
          <w:numId w:val="9"/>
        </w:numPr>
        <w:tabs>
          <w:tab w:val="left" w:pos="1080"/>
          <w:tab w:val="left" w:pos="2014"/>
        </w:tabs>
        <w:snapToGrid w:val="0"/>
        <w:spacing w:line="360" w:lineRule="auto"/>
        <w:ind w:left="1080" w:hanging="720"/>
        <w:rPr>
          <w:rFonts w:hint="eastAsia" w:ascii="宋体" w:hAnsi="宋体"/>
          <w:sz w:val="24"/>
        </w:rPr>
      </w:pPr>
      <w:r>
        <w:rPr>
          <w:rFonts w:hint="eastAsia" w:ascii="宋体" w:hAnsi="宋体"/>
          <w:sz w:val="24"/>
        </w:rPr>
        <w:t>招标控制价《投标人须知资料表》。</w:t>
      </w:r>
    </w:p>
    <w:p w14:paraId="4C8FEAB1">
      <w:pPr>
        <w:numPr>
          <w:ilvl w:val="0"/>
          <w:numId w:val="9"/>
        </w:numPr>
        <w:tabs>
          <w:tab w:val="left" w:pos="360"/>
        </w:tabs>
        <w:snapToGrid w:val="0"/>
        <w:spacing w:line="360" w:lineRule="auto"/>
        <w:ind w:left="357" w:hanging="357"/>
        <w:outlineLvl w:val="1"/>
        <w:rPr>
          <w:rFonts w:hint="eastAsia" w:ascii="宋体" w:hAnsi="宋体"/>
          <w:sz w:val="24"/>
        </w:rPr>
      </w:pPr>
      <w:r>
        <w:rPr>
          <w:rFonts w:ascii="宋体" w:hAnsi="宋体"/>
          <w:sz w:val="24"/>
        </w:rPr>
        <w:t>现场考察、磋商前答疑会</w:t>
      </w:r>
    </w:p>
    <w:p w14:paraId="482B5EFE">
      <w:pPr>
        <w:numPr>
          <w:ilvl w:val="1"/>
          <w:numId w:val="9"/>
        </w:numPr>
        <w:tabs>
          <w:tab w:val="left" w:pos="1080"/>
          <w:tab w:val="left" w:pos="2014"/>
        </w:tabs>
        <w:snapToGrid w:val="0"/>
        <w:spacing w:line="360" w:lineRule="auto"/>
        <w:ind w:left="1080" w:hanging="720"/>
        <w:rPr>
          <w:rFonts w:hint="eastAsia" w:ascii="宋体" w:hAnsi="宋体"/>
          <w:sz w:val="28"/>
        </w:rPr>
      </w:pPr>
      <w:r>
        <w:rPr>
          <w:rFonts w:ascii="宋体" w:hAnsi="宋体"/>
          <w:sz w:val="24"/>
        </w:rPr>
        <w:t>若《供应商须知资料表》中规定了组织现场考察、召开磋商前答疑会，则供应商应按要求在规定的时间和地点参加。</w:t>
      </w:r>
      <w:bookmarkStart w:id="129" w:name="_Toc151193836"/>
      <w:bookmarkStart w:id="130" w:name="_Toc151193764"/>
      <w:bookmarkStart w:id="131" w:name="_Toc142311024"/>
      <w:bookmarkStart w:id="132" w:name="_Toc264969212"/>
      <w:bookmarkStart w:id="133" w:name="_Toc151193692"/>
      <w:bookmarkStart w:id="134" w:name="_Toc127151522"/>
      <w:bookmarkStart w:id="135" w:name="_Toc151190149"/>
      <w:bookmarkStart w:id="136" w:name="_Toc265228360"/>
      <w:bookmarkStart w:id="137" w:name="_Toc226309766"/>
      <w:bookmarkStart w:id="138" w:name="_Toc150480760"/>
      <w:bookmarkStart w:id="139" w:name="_Toc151193620"/>
      <w:bookmarkStart w:id="140" w:name="_Toc151193910"/>
      <w:bookmarkStart w:id="141" w:name="_Toc305158790"/>
      <w:bookmarkStart w:id="142" w:name="_Toc150774727"/>
      <w:bookmarkStart w:id="143" w:name="_Toc226965795"/>
      <w:bookmarkStart w:id="144" w:name="_Toc195842887"/>
      <w:bookmarkStart w:id="145" w:name="_Toc520356146"/>
      <w:bookmarkStart w:id="146" w:name="_Toc150509273"/>
      <w:bookmarkStart w:id="147" w:name="_Toc305158864"/>
      <w:bookmarkStart w:id="148" w:name="_Toc226965712"/>
      <w:bookmarkStart w:id="149" w:name="_Toc226337218"/>
      <w:bookmarkStart w:id="150" w:name="_Toc150774622"/>
    </w:p>
    <w:p w14:paraId="42E8162F">
      <w:pPr>
        <w:numPr>
          <w:ilvl w:val="1"/>
          <w:numId w:val="9"/>
        </w:numPr>
        <w:tabs>
          <w:tab w:val="left" w:pos="1080"/>
          <w:tab w:val="left" w:pos="2014"/>
        </w:tabs>
        <w:snapToGrid w:val="0"/>
        <w:spacing w:line="360" w:lineRule="auto"/>
        <w:ind w:left="1080" w:hanging="720"/>
        <w:rPr>
          <w:rFonts w:hint="eastAsia" w:ascii="宋体" w:hAnsi="宋体"/>
          <w:sz w:val="24"/>
        </w:rPr>
      </w:pPr>
      <w:r>
        <w:rPr>
          <w:rFonts w:ascii="宋体" w:hAnsi="宋体"/>
          <w:sz w:val="24"/>
        </w:rPr>
        <w:t>由于未参加现场考察或磋商前答疑会而导致对项目实际情况不了解，影响响应文件编制、报价准确性、综合因素响应不全面等问题的，由供应商自行承担不利评审后果。</w:t>
      </w:r>
    </w:p>
    <w:p w14:paraId="5CA7CFBB">
      <w:pPr>
        <w:numPr>
          <w:ilvl w:val="0"/>
          <w:numId w:val="9"/>
        </w:numPr>
        <w:tabs>
          <w:tab w:val="left" w:pos="360"/>
          <w:tab w:val="clear" w:pos="900"/>
        </w:tabs>
        <w:snapToGrid w:val="0"/>
        <w:spacing w:line="360" w:lineRule="auto"/>
        <w:ind w:left="357" w:hanging="357"/>
        <w:outlineLvl w:val="1"/>
        <w:rPr>
          <w:rFonts w:hint="eastAsia" w:ascii="宋体" w:hAnsi="宋体"/>
          <w:sz w:val="24"/>
        </w:rPr>
      </w:pPr>
      <w:r>
        <w:rPr>
          <w:rFonts w:ascii="宋体" w:hAnsi="宋体"/>
          <w:sz w:val="24"/>
        </w:rPr>
        <w:t>政府采购政策（包括但不限于下列具体政策要求）</w:t>
      </w:r>
    </w:p>
    <w:p w14:paraId="2CD91DCA">
      <w:pPr>
        <w:numPr>
          <w:ilvl w:val="1"/>
          <w:numId w:val="9"/>
        </w:numPr>
        <w:tabs>
          <w:tab w:val="left" w:pos="1080"/>
          <w:tab w:val="left" w:pos="2014"/>
        </w:tabs>
        <w:snapToGrid w:val="0"/>
        <w:spacing w:line="360" w:lineRule="auto"/>
        <w:ind w:left="1080" w:hanging="720"/>
        <w:rPr>
          <w:rFonts w:hint="eastAsia" w:ascii="宋体" w:hAnsi="宋体"/>
          <w:sz w:val="24"/>
        </w:rPr>
      </w:pPr>
      <w:r>
        <w:rPr>
          <w:rFonts w:ascii="宋体" w:hAnsi="宋体"/>
          <w:sz w:val="24"/>
        </w:rPr>
        <w:t>进口产品</w:t>
      </w:r>
    </w:p>
    <w:p w14:paraId="20589498">
      <w:pPr>
        <w:numPr>
          <w:ilvl w:val="2"/>
          <w:numId w:val="9"/>
        </w:numPr>
        <w:tabs>
          <w:tab w:val="left" w:pos="2014"/>
        </w:tabs>
        <w:snapToGrid w:val="0"/>
        <w:spacing w:line="360" w:lineRule="auto"/>
        <w:rPr>
          <w:rFonts w:hint="eastAsia" w:ascii="宋体" w:hAnsi="宋体"/>
          <w:sz w:val="24"/>
        </w:rPr>
      </w:pPr>
      <w:r>
        <w:rPr>
          <w:rFonts w:ascii="宋体" w:hAnsi="宋体"/>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01494644">
      <w:pPr>
        <w:numPr>
          <w:ilvl w:val="2"/>
          <w:numId w:val="9"/>
        </w:numPr>
        <w:tabs>
          <w:tab w:val="left" w:pos="2014"/>
        </w:tabs>
        <w:snapToGrid w:val="0"/>
        <w:spacing w:line="360" w:lineRule="auto"/>
        <w:rPr>
          <w:rFonts w:hint="eastAsia" w:ascii="宋体" w:hAnsi="宋体"/>
          <w:sz w:val="24"/>
        </w:rPr>
      </w:pPr>
      <w:r>
        <w:rPr>
          <w:rFonts w:ascii="宋体" w:hAnsi="宋体"/>
          <w:sz w:val="24"/>
        </w:rPr>
        <w:t>本项目是否接受进口产品见第四章《采购需求》。</w:t>
      </w:r>
    </w:p>
    <w:p w14:paraId="73195745">
      <w:pPr>
        <w:numPr>
          <w:ilvl w:val="1"/>
          <w:numId w:val="9"/>
        </w:numPr>
        <w:tabs>
          <w:tab w:val="left" w:pos="1080"/>
          <w:tab w:val="left" w:pos="2014"/>
        </w:tabs>
        <w:snapToGrid w:val="0"/>
        <w:spacing w:line="360" w:lineRule="auto"/>
        <w:ind w:left="1080" w:hanging="720"/>
        <w:rPr>
          <w:rFonts w:hint="eastAsia" w:ascii="宋体" w:hAnsi="宋体"/>
          <w:sz w:val="24"/>
        </w:rPr>
      </w:pPr>
      <w:r>
        <w:rPr>
          <w:rFonts w:ascii="宋体" w:hAnsi="宋体"/>
          <w:sz w:val="24"/>
        </w:rPr>
        <w:t>中小企业、监狱企业及残疾人福利性单位</w:t>
      </w:r>
    </w:p>
    <w:p w14:paraId="2E35F797">
      <w:pPr>
        <w:numPr>
          <w:ilvl w:val="2"/>
          <w:numId w:val="9"/>
        </w:numPr>
        <w:snapToGrid w:val="0"/>
        <w:spacing w:line="360" w:lineRule="auto"/>
        <w:rPr>
          <w:rFonts w:hint="eastAsia" w:ascii="宋体" w:hAnsi="宋体"/>
          <w:sz w:val="24"/>
        </w:rPr>
      </w:pPr>
      <w:r>
        <w:rPr>
          <w:rFonts w:ascii="宋体" w:hAnsi="宋体"/>
          <w:sz w:val="24"/>
        </w:rPr>
        <w:t>中小企业定义：</w:t>
      </w:r>
    </w:p>
    <w:p w14:paraId="67683518">
      <w:pPr>
        <w:pStyle w:val="244"/>
        <w:numPr>
          <w:ilvl w:val="0"/>
          <w:numId w:val="10"/>
        </w:numPr>
        <w:tabs>
          <w:tab w:val="left" w:pos="1980"/>
          <w:tab w:val="left" w:pos="2035"/>
          <w:tab w:val="left" w:pos="2977"/>
        </w:tabs>
        <w:snapToGrid w:val="0"/>
        <w:spacing w:line="360" w:lineRule="auto"/>
        <w:ind w:firstLineChars="0"/>
        <w:rPr>
          <w:rFonts w:hint="eastAsia" w:ascii="宋体" w:hAnsi="宋体"/>
          <w:vanish/>
          <w:sz w:val="24"/>
        </w:rPr>
      </w:pPr>
    </w:p>
    <w:p w14:paraId="23C9C05F">
      <w:pPr>
        <w:pStyle w:val="244"/>
        <w:numPr>
          <w:ilvl w:val="0"/>
          <w:numId w:val="10"/>
        </w:numPr>
        <w:tabs>
          <w:tab w:val="left" w:pos="1980"/>
          <w:tab w:val="left" w:pos="2035"/>
          <w:tab w:val="left" w:pos="2977"/>
        </w:tabs>
        <w:snapToGrid w:val="0"/>
        <w:spacing w:line="360" w:lineRule="auto"/>
        <w:ind w:firstLineChars="0"/>
        <w:rPr>
          <w:rFonts w:hint="eastAsia" w:ascii="宋体" w:hAnsi="宋体"/>
          <w:vanish/>
          <w:sz w:val="24"/>
        </w:rPr>
      </w:pPr>
    </w:p>
    <w:p w14:paraId="0DE5D082">
      <w:pPr>
        <w:pStyle w:val="244"/>
        <w:numPr>
          <w:ilvl w:val="0"/>
          <w:numId w:val="10"/>
        </w:numPr>
        <w:tabs>
          <w:tab w:val="left" w:pos="1980"/>
          <w:tab w:val="left" w:pos="2035"/>
          <w:tab w:val="left" w:pos="2977"/>
        </w:tabs>
        <w:snapToGrid w:val="0"/>
        <w:spacing w:line="360" w:lineRule="auto"/>
        <w:ind w:firstLineChars="0"/>
        <w:rPr>
          <w:rFonts w:hint="eastAsia" w:ascii="宋体" w:hAnsi="宋体"/>
          <w:vanish/>
          <w:sz w:val="24"/>
        </w:rPr>
      </w:pPr>
    </w:p>
    <w:p w14:paraId="447CD674">
      <w:pPr>
        <w:pStyle w:val="244"/>
        <w:numPr>
          <w:ilvl w:val="0"/>
          <w:numId w:val="10"/>
        </w:numPr>
        <w:tabs>
          <w:tab w:val="left" w:pos="1980"/>
          <w:tab w:val="left" w:pos="2035"/>
          <w:tab w:val="left" w:pos="2977"/>
        </w:tabs>
        <w:snapToGrid w:val="0"/>
        <w:spacing w:line="360" w:lineRule="auto"/>
        <w:ind w:firstLineChars="0"/>
        <w:rPr>
          <w:rFonts w:hint="eastAsia" w:ascii="宋体" w:hAnsi="宋体"/>
          <w:vanish/>
          <w:sz w:val="24"/>
        </w:rPr>
      </w:pPr>
    </w:p>
    <w:p w14:paraId="043C0812">
      <w:pPr>
        <w:pStyle w:val="244"/>
        <w:numPr>
          <w:ilvl w:val="1"/>
          <w:numId w:val="10"/>
        </w:numPr>
        <w:tabs>
          <w:tab w:val="left" w:pos="1980"/>
          <w:tab w:val="left" w:pos="2035"/>
          <w:tab w:val="left" w:pos="2977"/>
        </w:tabs>
        <w:snapToGrid w:val="0"/>
        <w:spacing w:line="360" w:lineRule="auto"/>
        <w:ind w:firstLineChars="0"/>
        <w:rPr>
          <w:rFonts w:hint="eastAsia" w:ascii="宋体" w:hAnsi="宋体"/>
          <w:vanish/>
          <w:sz w:val="24"/>
        </w:rPr>
      </w:pPr>
    </w:p>
    <w:p w14:paraId="0E0E4B8C">
      <w:pPr>
        <w:pStyle w:val="244"/>
        <w:numPr>
          <w:ilvl w:val="1"/>
          <w:numId w:val="10"/>
        </w:numPr>
        <w:tabs>
          <w:tab w:val="left" w:pos="1980"/>
          <w:tab w:val="left" w:pos="2035"/>
          <w:tab w:val="left" w:pos="2977"/>
        </w:tabs>
        <w:snapToGrid w:val="0"/>
        <w:spacing w:line="360" w:lineRule="auto"/>
        <w:ind w:firstLineChars="0"/>
        <w:rPr>
          <w:rFonts w:hint="eastAsia" w:ascii="宋体" w:hAnsi="宋体"/>
          <w:vanish/>
          <w:sz w:val="24"/>
        </w:rPr>
      </w:pPr>
    </w:p>
    <w:p w14:paraId="5574E564">
      <w:pPr>
        <w:pStyle w:val="244"/>
        <w:numPr>
          <w:ilvl w:val="2"/>
          <w:numId w:val="10"/>
        </w:numPr>
        <w:tabs>
          <w:tab w:val="left" w:pos="2035"/>
          <w:tab w:val="left" w:pos="2977"/>
        </w:tabs>
        <w:snapToGrid w:val="0"/>
        <w:spacing w:line="360" w:lineRule="auto"/>
        <w:ind w:firstLineChars="0"/>
        <w:rPr>
          <w:rFonts w:hint="eastAsia" w:ascii="宋体" w:hAnsi="宋体"/>
          <w:vanish/>
          <w:sz w:val="24"/>
        </w:rPr>
      </w:pPr>
    </w:p>
    <w:p w14:paraId="00911BA0">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sz w:val="24"/>
        </w:rPr>
      </w:pPr>
      <w:r>
        <w:rPr>
          <w:rFonts w:ascii="宋体" w:hAnsi="宋体"/>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r>
        <w:rPr>
          <w:rFonts w:hint="eastAsia"/>
          <w:sz w:val="24"/>
        </w:rPr>
        <w:t>、北京市财政局关于落实好政府采购支持中小企业发展的通知(京财采购〔2022〕1143号)（ 财库〔2022〕19号)</w:t>
      </w:r>
      <w:r>
        <w:rPr>
          <w:rFonts w:ascii="宋体" w:hAnsi="宋体"/>
          <w:sz w:val="24"/>
        </w:rPr>
        <w:t>。</w:t>
      </w:r>
    </w:p>
    <w:p w14:paraId="59DD8AFC">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sz w:val="24"/>
        </w:rPr>
      </w:pPr>
      <w:r>
        <w:rPr>
          <w:rFonts w:ascii="宋体" w:hAnsi="宋体"/>
          <w:sz w:val="24"/>
        </w:rPr>
        <w:t>供应商提供的货物、工程或者服务符合下列情形的，享受中小企业扶持政策：</w:t>
      </w:r>
    </w:p>
    <w:p w14:paraId="2329D8CA">
      <w:pPr>
        <w:tabs>
          <w:tab w:val="left" w:pos="1980"/>
        </w:tabs>
        <w:snapToGrid w:val="0"/>
        <w:spacing w:line="360" w:lineRule="auto"/>
        <w:ind w:left="2835" w:leftChars="1350"/>
        <w:rPr>
          <w:rFonts w:hint="eastAsia" w:ascii="宋体" w:hAnsi="宋体"/>
          <w:sz w:val="24"/>
        </w:rPr>
      </w:pPr>
      <w:r>
        <w:rPr>
          <w:rFonts w:ascii="宋体" w:hAnsi="宋体"/>
          <w:sz w:val="24"/>
        </w:rPr>
        <w:t>（1）在货物采购项目中，货物由中小企业制造，即货物由中小企业生产且使用该中小企业商号或者注册商标；</w:t>
      </w:r>
    </w:p>
    <w:p w14:paraId="176E8A43">
      <w:pPr>
        <w:tabs>
          <w:tab w:val="left" w:pos="1980"/>
        </w:tabs>
        <w:snapToGrid w:val="0"/>
        <w:spacing w:line="360" w:lineRule="auto"/>
        <w:ind w:left="2835" w:leftChars="1350"/>
        <w:rPr>
          <w:rFonts w:hint="eastAsia" w:ascii="宋体" w:hAnsi="宋体"/>
          <w:sz w:val="24"/>
        </w:rPr>
      </w:pPr>
      <w:r>
        <w:rPr>
          <w:rFonts w:ascii="宋体" w:hAnsi="宋体"/>
          <w:sz w:val="24"/>
        </w:rPr>
        <w:t>（2）在工程采购项目中，工程由中小企业承建，即工程施工单位为中小企业；</w:t>
      </w:r>
    </w:p>
    <w:p w14:paraId="06BAEDC2">
      <w:pPr>
        <w:tabs>
          <w:tab w:val="left" w:pos="1980"/>
        </w:tabs>
        <w:snapToGrid w:val="0"/>
        <w:spacing w:line="360" w:lineRule="auto"/>
        <w:ind w:left="2835" w:leftChars="1350"/>
        <w:rPr>
          <w:rFonts w:hint="eastAsia" w:ascii="宋体" w:hAnsi="宋体"/>
          <w:sz w:val="24"/>
        </w:rPr>
      </w:pPr>
      <w:r>
        <w:rPr>
          <w:rFonts w:ascii="宋体" w:hAnsi="宋体"/>
          <w:sz w:val="24"/>
        </w:rPr>
        <w:t>（3）在服务采购项目中，服务由中小企业承接，即提供服务的人员为中小企业依照《中华人民共和国劳动合同法》订立劳动合同的从业人员。</w:t>
      </w:r>
    </w:p>
    <w:p w14:paraId="4C3FCE8B">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sz w:val="24"/>
        </w:rPr>
      </w:pPr>
      <w:r>
        <w:rPr>
          <w:rFonts w:ascii="宋体" w:hAnsi="宋体"/>
          <w:sz w:val="24"/>
        </w:rPr>
        <w:t>在货物采购项目中，供应商提供的货物既有中小企业制造货物，也有大型企业制造货物的，不享受中小企业扶持政策。</w:t>
      </w:r>
    </w:p>
    <w:p w14:paraId="46E384A2">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sz w:val="24"/>
        </w:rPr>
      </w:pPr>
      <w:r>
        <w:rPr>
          <w:rFonts w:ascii="宋体" w:hAnsi="宋体"/>
          <w:sz w:val="24"/>
        </w:rPr>
        <w:t>以联合体形式参加政府采购活动，联合体各方均为中小企业的，联合体视同中小企业。其中，联合体各方均为小微企业的，联合体视同小微企业。</w:t>
      </w:r>
    </w:p>
    <w:p w14:paraId="21642866">
      <w:pPr>
        <w:numPr>
          <w:ilvl w:val="2"/>
          <w:numId w:val="9"/>
        </w:numPr>
        <w:snapToGrid w:val="0"/>
        <w:spacing w:line="360" w:lineRule="auto"/>
        <w:rPr>
          <w:rFonts w:hint="eastAsia" w:ascii="宋体" w:hAnsi="宋体"/>
          <w:sz w:val="24"/>
        </w:rPr>
      </w:pPr>
      <w:r>
        <w:rPr>
          <w:rFonts w:ascii="宋体" w:hAnsi="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A6E99F6">
      <w:pPr>
        <w:numPr>
          <w:ilvl w:val="2"/>
          <w:numId w:val="9"/>
        </w:numPr>
        <w:snapToGrid w:val="0"/>
        <w:spacing w:line="360" w:lineRule="auto"/>
        <w:rPr>
          <w:rFonts w:hint="eastAsia" w:ascii="宋体" w:hAnsi="宋体"/>
          <w:sz w:val="24"/>
        </w:rPr>
      </w:pPr>
      <w:r>
        <w:rPr>
          <w:rFonts w:ascii="宋体" w:hAnsi="宋体"/>
          <w:sz w:val="24"/>
        </w:rPr>
        <w:t>残疾人福利单位定义：享受政府采购支持政策的残疾人福利性单位应当同时满足以下条件：</w:t>
      </w:r>
    </w:p>
    <w:p w14:paraId="20154218">
      <w:pPr>
        <w:pStyle w:val="244"/>
        <w:numPr>
          <w:ilvl w:val="2"/>
          <w:numId w:val="10"/>
        </w:numPr>
        <w:tabs>
          <w:tab w:val="left" w:pos="2035"/>
          <w:tab w:val="left" w:pos="2977"/>
        </w:tabs>
        <w:snapToGrid w:val="0"/>
        <w:spacing w:line="360" w:lineRule="auto"/>
        <w:ind w:firstLineChars="0"/>
        <w:rPr>
          <w:rFonts w:hint="eastAsia" w:ascii="宋体" w:hAnsi="宋体"/>
          <w:vanish/>
          <w:sz w:val="24"/>
        </w:rPr>
      </w:pPr>
    </w:p>
    <w:p w14:paraId="6A955062">
      <w:pPr>
        <w:pStyle w:val="244"/>
        <w:numPr>
          <w:ilvl w:val="2"/>
          <w:numId w:val="10"/>
        </w:numPr>
        <w:tabs>
          <w:tab w:val="left" w:pos="2035"/>
          <w:tab w:val="left" w:pos="2977"/>
        </w:tabs>
        <w:snapToGrid w:val="0"/>
        <w:spacing w:line="360" w:lineRule="auto"/>
        <w:ind w:firstLineChars="0"/>
        <w:rPr>
          <w:rFonts w:hint="eastAsia" w:ascii="宋体" w:hAnsi="宋体"/>
          <w:vanish/>
          <w:sz w:val="24"/>
        </w:rPr>
      </w:pPr>
    </w:p>
    <w:p w14:paraId="7D39AC3F">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sz w:val="24"/>
        </w:rPr>
      </w:pPr>
      <w:r>
        <w:rPr>
          <w:rFonts w:ascii="宋体" w:hAnsi="宋体"/>
          <w:sz w:val="24"/>
        </w:rPr>
        <w:t>安置的残疾人占本单位在职职工人数的比例不低于25%（含25%），并且安置的残疾人人数不少于10 人（含10 人）；</w:t>
      </w:r>
    </w:p>
    <w:p w14:paraId="2891D543">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sz w:val="24"/>
        </w:rPr>
      </w:pPr>
      <w:r>
        <w:rPr>
          <w:rFonts w:ascii="宋体" w:hAnsi="宋体"/>
          <w:sz w:val="24"/>
        </w:rPr>
        <w:t>依法与安置的每位残疾人签订了一年以上（含一年）的劳动合同或服务协议；</w:t>
      </w:r>
    </w:p>
    <w:p w14:paraId="7DAF4639">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sz w:val="24"/>
        </w:rPr>
      </w:pPr>
      <w:r>
        <w:rPr>
          <w:rFonts w:ascii="宋体" w:hAnsi="宋体"/>
          <w:sz w:val="24"/>
        </w:rPr>
        <w:t>为安置的每位残疾人按月足额缴纳了基本养老保险、基本医疗保险、失业保险、工伤保险和生育保险等社会保险费；</w:t>
      </w:r>
    </w:p>
    <w:p w14:paraId="48260592">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sz w:val="24"/>
        </w:rPr>
      </w:pPr>
      <w:r>
        <w:rPr>
          <w:rFonts w:ascii="宋体" w:hAnsi="宋体"/>
          <w:sz w:val="24"/>
        </w:rPr>
        <w:t>通过银行等金融机构向安置的每位残疾人，按月支付了不低于单位所在区县适用的经省级人民政府批准的月最低工资标准的工资；</w:t>
      </w:r>
    </w:p>
    <w:p w14:paraId="75B09E75">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sz w:val="24"/>
        </w:rPr>
      </w:pPr>
      <w:r>
        <w:rPr>
          <w:rFonts w:ascii="宋体" w:hAnsi="宋体"/>
          <w:sz w:val="24"/>
        </w:rPr>
        <w:t>提供本单位制造的货物、承担的工程或者服务（以下简称产品），或者提供其他残疾人福利性单位制造的货物（不包括使用非残疾人福利性单位注册商标的货物）；</w:t>
      </w:r>
    </w:p>
    <w:p w14:paraId="13BBE857">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sz w:val="24"/>
        </w:rPr>
      </w:pPr>
      <w:r>
        <w:rPr>
          <w:rFonts w:ascii="宋体" w:hAnsi="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2ACD1292">
      <w:pPr>
        <w:numPr>
          <w:ilvl w:val="2"/>
          <w:numId w:val="9"/>
        </w:numPr>
        <w:snapToGrid w:val="0"/>
        <w:spacing w:line="360" w:lineRule="auto"/>
        <w:rPr>
          <w:rFonts w:hint="eastAsia" w:ascii="宋体" w:hAnsi="宋体"/>
          <w:sz w:val="24"/>
        </w:rPr>
      </w:pPr>
      <w:r>
        <w:rPr>
          <w:rFonts w:ascii="宋体" w:hAnsi="宋体"/>
          <w:sz w:val="24"/>
        </w:rPr>
        <w:t>本项目是否专门面向中小企业预留采购份额见第一章《采购邀请》。</w:t>
      </w:r>
    </w:p>
    <w:p w14:paraId="184E3106">
      <w:pPr>
        <w:numPr>
          <w:ilvl w:val="2"/>
          <w:numId w:val="9"/>
        </w:numPr>
        <w:snapToGrid w:val="0"/>
        <w:spacing w:line="360" w:lineRule="auto"/>
        <w:rPr>
          <w:rFonts w:hint="eastAsia" w:ascii="宋体" w:hAnsi="宋体"/>
          <w:sz w:val="24"/>
        </w:rPr>
      </w:pPr>
      <w:r>
        <w:rPr>
          <w:rFonts w:ascii="宋体" w:hAnsi="宋体"/>
          <w:sz w:val="24"/>
        </w:rPr>
        <w:t>采购标的对应的中小企业划分标准所属行业见《供应商须知资料表》。</w:t>
      </w:r>
    </w:p>
    <w:p w14:paraId="0ABB7FAF">
      <w:pPr>
        <w:numPr>
          <w:ilvl w:val="2"/>
          <w:numId w:val="9"/>
        </w:numPr>
        <w:snapToGrid w:val="0"/>
        <w:spacing w:line="360" w:lineRule="auto"/>
        <w:rPr>
          <w:rFonts w:hint="eastAsia" w:ascii="宋体" w:hAnsi="宋体"/>
          <w:sz w:val="24"/>
        </w:rPr>
      </w:pPr>
      <w:r>
        <w:rPr>
          <w:rFonts w:ascii="宋体" w:hAnsi="宋体"/>
          <w:sz w:val="24"/>
        </w:rPr>
        <w:t>小微企业价格评审优惠的政策调整：见第三章《评审方法和评审标准》。</w:t>
      </w:r>
    </w:p>
    <w:p w14:paraId="561E2182">
      <w:pPr>
        <w:numPr>
          <w:ilvl w:val="1"/>
          <w:numId w:val="9"/>
        </w:numPr>
        <w:tabs>
          <w:tab w:val="left" w:pos="1080"/>
          <w:tab w:val="left" w:pos="2014"/>
        </w:tabs>
        <w:snapToGrid w:val="0"/>
        <w:spacing w:line="360" w:lineRule="auto"/>
        <w:ind w:left="1080" w:hanging="720"/>
        <w:rPr>
          <w:rFonts w:hint="eastAsia" w:ascii="宋体" w:hAnsi="宋体"/>
          <w:sz w:val="24"/>
        </w:rPr>
      </w:pPr>
      <w:r>
        <w:rPr>
          <w:rFonts w:ascii="宋体" w:hAnsi="宋体"/>
          <w:sz w:val="24"/>
        </w:rPr>
        <w:t>政府采购节能产品、环境标志产品</w:t>
      </w:r>
    </w:p>
    <w:p w14:paraId="5CF85643">
      <w:pPr>
        <w:numPr>
          <w:ilvl w:val="2"/>
          <w:numId w:val="9"/>
        </w:numPr>
        <w:snapToGrid w:val="0"/>
        <w:spacing w:line="360" w:lineRule="auto"/>
        <w:rPr>
          <w:rFonts w:hint="eastAsia" w:ascii="宋体" w:hAnsi="宋体"/>
          <w:sz w:val="24"/>
        </w:rPr>
      </w:pP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E12209B">
      <w:pPr>
        <w:numPr>
          <w:ilvl w:val="2"/>
          <w:numId w:val="9"/>
        </w:numPr>
        <w:snapToGrid w:val="0"/>
        <w:spacing w:line="360" w:lineRule="auto"/>
        <w:rPr>
          <w:rFonts w:hint="eastAsia" w:ascii="宋体" w:hAnsi="宋体"/>
          <w:sz w:val="24"/>
        </w:rPr>
      </w:pPr>
      <w:r>
        <w:rPr>
          <w:rFonts w:ascii="宋体" w:hAnsi="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5879B319">
      <w:pPr>
        <w:numPr>
          <w:ilvl w:val="2"/>
          <w:numId w:val="9"/>
        </w:numPr>
        <w:snapToGrid w:val="0"/>
        <w:spacing w:line="360" w:lineRule="auto"/>
        <w:rPr>
          <w:rFonts w:hint="eastAsia" w:ascii="宋体" w:hAnsi="宋体"/>
          <w:sz w:val="24"/>
        </w:rPr>
      </w:pPr>
      <w:r>
        <w:rPr>
          <w:rFonts w:ascii="宋体" w:hAnsi="宋体"/>
          <w:sz w:val="24"/>
        </w:rPr>
        <w:t>如本项目采购产品属于实施政府强制采购品目清单范围的节能产品，则供应商所报产品必须获得国家确定的认证机构出具的、处于有效期之内的节能产品认证证书，</w:t>
      </w:r>
      <w:r>
        <w:rPr>
          <w:rFonts w:ascii="宋体" w:hAnsi="宋体"/>
          <w:kern w:val="0"/>
          <w:sz w:val="24"/>
        </w:rPr>
        <w:t>否则</w:t>
      </w:r>
      <w:r>
        <w:rPr>
          <w:rFonts w:ascii="宋体" w:hAnsi="宋体"/>
          <w:b/>
          <w:kern w:val="0"/>
          <w:sz w:val="24"/>
        </w:rPr>
        <w:t>响应无效</w:t>
      </w:r>
      <w:r>
        <w:rPr>
          <w:rFonts w:ascii="宋体" w:hAnsi="宋体"/>
          <w:sz w:val="24"/>
        </w:rPr>
        <w:t>；</w:t>
      </w:r>
    </w:p>
    <w:p w14:paraId="4FD8A949">
      <w:pPr>
        <w:numPr>
          <w:ilvl w:val="2"/>
          <w:numId w:val="9"/>
        </w:numPr>
        <w:snapToGrid w:val="0"/>
        <w:spacing w:line="360" w:lineRule="auto"/>
        <w:rPr>
          <w:rFonts w:hint="eastAsia" w:ascii="宋体" w:hAnsi="宋体"/>
          <w:sz w:val="24"/>
        </w:rPr>
      </w:pPr>
      <w:r>
        <w:rPr>
          <w:rFonts w:ascii="宋体" w:hAnsi="宋体"/>
          <w:sz w:val="24"/>
        </w:rPr>
        <w:t>非政府强制采购的节能产品或环境标志产品，依据品目清单和认证证书实施政府优先采购。优先采购的具体规定见第三章《评审方法和评审标准》（如涉及）。</w:t>
      </w:r>
    </w:p>
    <w:p w14:paraId="45E3423E">
      <w:pPr>
        <w:numPr>
          <w:ilvl w:val="1"/>
          <w:numId w:val="9"/>
        </w:numPr>
        <w:tabs>
          <w:tab w:val="left" w:pos="1080"/>
          <w:tab w:val="left" w:pos="2014"/>
        </w:tabs>
        <w:snapToGrid w:val="0"/>
        <w:spacing w:line="360" w:lineRule="auto"/>
        <w:ind w:left="1080" w:hanging="720"/>
        <w:rPr>
          <w:rFonts w:hint="eastAsia" w:ascii="宋体" w:hAnsi="宋体"/>
          <w:sz w:val="24"/>
        </w:rPr>
      </w:pPr>
      <w:r>
        <w:rPr>
          <w:rFonts w:ascii="宋体" w:hAnsi="宋体"/>
          <w:sz w:val="24"/>
        </w:rPr>
        <w:t>正版软件</w:t>
      </w:r>
    </w:p>
    <w:p w14:paraId="3A710D81">
      <w:pPr>
        <w:numPr>
          <w:ilvl w:val="2"/>
          <w:numId w:val="9"/>
        </w:numPr>
        <w:snapToGrid w:val="0"/>
        <w:spacing w:line="360" w:lineRule="auto"/>
        <w:rPr>
          <w:rFonts w:hint="eastAsia" w:ascii="宋体" w:hAnsi="宋体"/>
          <w:sz w:val="24"/>
        </w:rPr>
      </w:pPr>
      <w:r>
        <w:rPr>
          <w:rFonts w:ascii="宋体" w:hAnsi="宋体"/>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w:t>
      </w:r>
      <w:r>
        <w:rPr>
          <w:rFonts w:ascii="宋体" w:hAnsi="宋体"/>
          <w:kern w:val="0"/>
          <w:sz w:val="24"/>
        </w:rPr>
        <w:t>否则</w:t>
      </w:r>
      <w:r>
        <w:rPr>
          <w:rFonts w:ascii="宋体" w:hAnsi="宋体"/>
          <w:b/>
          <w:kern w:val="0"/>
          <w:sz w:val="24"/>
        </w:rPr>
        <w:t>响应无效</w:t>
      </w:r>
      <w:r>
        <w:rPr>
          <w:rFonts w:ascii="宋体" w:hAnsi="宋体"/>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1E1FE48F">
      <w:pPr>
        <w:numPr>
          <w:ilvl w:val="2"/>
          <w:numId w:val="9"/>
        </w:numPr>
        <w:snapToGrid w:val="0"/>
        <w:spacing w:line="360" w:lineRule="auto"/>
        <w:rPr>
          <w:rFonts w:hint="eastAsia" w:ascii="宋体" w:hAnsi="宋体"/>
          <w:sz w:val="24"/>
        </w:rPr>
      </w:pP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488FFB7E">
      <w:pPr>
        <w:numPr>
          <w:ilvl w:val="1"/>
          <w:numId w:val="9"/>
        </w:numPr>
        <w:tabs>
          <w:tab w:val="left" w:pos="1080"/>
          <w:tab w:val="left" w:pos="2014"/>
        </w:tabs>
        <w:snapToGrid w:val="0"/>
        <w:spacing w:line="360" w:lineRule="auto"/>
        <w:ind w:left="1080" w:hanging="720"/>
        <w:rPr>
          <w:rFonts w:hint="eastAsia" w:ascii="宋体" w:hAnsi="宋体"/>
          <w:sz w:val="24"/>
        </w:rPr>
      </w:pPr>
      <w:r>
        <w:rPr>
          <w:rFonts w:hint="eastAsia" w:ascii="宋体" w:hAnsi="宋体"/>
          <w:sz w:val="24"/>
        </w:rPr>
        <w:t>网络安全专用产</w:t>
      </w:r>
      <w:r>
        <w:rPr>
          <w:rFonts w:ascii="宋体" w:hAnsi="宋体"/>
          <w:sz w:val="24"/>
        </w:rPr>
        <w:t>品</w:t>
      </w:r>
    </w:p>
    <w:p w14:paraId="56AFFDCB">
      <w:pPr>
        <w:numPr>
          <w:ilvl w:val="2"/>
          <w:numId w:val="9"/>
        </w:numPr>
        <w:tabs>
          <w:tab w:val="left" w:pos="2014"/>
        </w:tabs>
        <w:snapToGrid w:val="0"/>
        <w:spacing w:line="360" w:lineRule="auto"/>
        <w:rPr>
          <w:rFonts w:hint="eastAsia" w:ascii="宋体" w:hAnsi="宋体"/>
          <w:sz w:val="24"/>
        </w:rPr>
      </w:pPr>
      <w:r>
        <w:rPr>
          <w:rFonts w:hint="eastAsia" w:ascii="宋体" w:hAnsi="宋体"/>
          <w:sz w:val="24"/>
        </w:rPr>
        <w:t>所投产品属于列入《网络关键设备和网络安全专用产品目录》的网络 安全专用产品，应当在国家互联网信息办公室会同工业和信息化部、 公安部、国家认证认可监督管理委员会统一公布和更新的符合要求的 网络关键设备和网络安全专用产品清单中</w:t>
      </w:r>
      <w:r>
        <w:rPr>
          <w:rFonts w:ascii="宋体" w:hAnsi="宋体"/>
          <w:sz w:val="24"/>
        </w:rPr>
        <w:t>。</w:t>
      </w:r>
    </w:p>
    <w:p w14:paraId="38A8399A">
      <w:pPr>
        <w:numPr>
          <w:ilvl w:val="1"/>
          <w:numId w:val="9"/>
        </w:numPr>
        <w:tabs>
          <w:tab w:val="left" w:pos="1080"/>
          <w:tab w:val="left" w:pos="2014"/>
        </w:tabs>
        <w:snapToGrid w:val="0"/>
        <w:spacing w:line="360" w:lineRule="auto"/>
        <w:ind w:left="1080" w:hanging="720"/>
        <w:rPr>
          <w:rFonts w:hint="eastAsia" w:ascii="宋体" w:hAnsi="宋体"/>
          <w:sz w:val="24"/>
        </w:rPr>
      </w:pPr>
      <w:r>
        <w:rPr>
          <w:rFonts w:ascii="宋体" w:hAnsi="宋体"/>
          <w:sz w:val="24"/>
        </w:rPr>
        <w:t>推广使用低挥发性有机化合物（VOCs）</w:t>
      </w:r>
    </w:p>
    <w:p w14:paraId="28B68F28">
      <w:pPr>
        <w:numPr>
          <w:ilvl w:val="2"/>
          <w:numId w:val="9"/>
        </w:numPr>
        <w:snapToGrid w:val="0"/>
        <w:spacing w:line="360" w:lineRule="auto"/>
        <w:rPr>
          <w:rFonts w:hint="eastAsia" w:ascii="宋体" w:hAnsi="宋体"/>
          <w:sz w:val="24"/>
        </w:rPr>
      </w:pPr>
      <w:r>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ascii="宋体" w:hAnsi="宋体"/>
          <w:kern w:val="0"/>
          <w:sz w:val="24"/>
        </w:rPr>
        <w:t>否则</w:t>
      </w:r>
      <w:r>
        <w:rPr>
          <w:rFonts w:ascii="宋体" w:hAnsi="宋体"/>
          <w:b/>
          <w:kern w:val="0"/>
          <w:sz w:val="24"/>
        </w:rPr>
        <w:t>响应无效</w:t>
      </w:r>
      <w:r>
        <w:rPr>
          <w:rFonts w:ascii="宋体" w:hAnsi="宋体"/>
          <w:sz w:val="24"/>
        </w:rPr>
        <w:t>；属于推荐性标准的，优先采购，具体见第三章《评审方法和评审标准》。</w:t>
      </w:r>
    </w:p>
    <w:p w14:paraId="7E9EAC92">
      <w:pPr>
        <w:numPr>
          <w:ilvl w:val="1"/>
          <w:numId w:val="9"/>
        </w:numPr>
        <w:tabs>
          <w:tab w:val="left" w:pos="1080"/>
          <w:tab w:val="left" w:pos="2014"/>
        </w:tabs>
        <w:snapToGrid w:val="0"/>
        <w:spacing w:line="360" w:lineRule="auto"/>
        <w:ind w:left="1080" w:hanging="720"/>
        <w:rPr>
          <w:rFonts w:hint="eastAsia" w:ascii="宋体" w:hAnsi="宋体"/>
          <w:sz w:val="24"/>
        </w:rPr>
      </w:pPr>
      <w:r>
        <w:rPr>
          <w:rFonts w:hint="eastAsia" w:ascii="宋体" w:hAnsi="宋体"/>
          <w:sz w:val="24"/>
        </w:rPr>
        <w:t>采购需求标准</w:t>
      </w:r>
    </w:p>
    <w:p w14:paraId="284F6257">
      <w:pPr>
        <w:pStyle w:val="71"/>
        <w:spacing w:line="360" w:lineRule="auto"/>
        <w:ind w:firstLine="480"/>
        <w:rPr>
          <w:rFonts w:hint="eastAsia" w:ascii="宋体" w:hAnsi="宋体"/>
          <w:sz w:val="24"/>
          <w:lang w:val="en-US"/>
        </w:rPr>
      </w:pPr>
      <w:r>
        <w:rPr>
          <w:rFonts w:hint="eastAsia" w:ascii="宋体" w:hAnsi="宋体"/>
          <w:sz w:val="24"/>
          <w:lang w:val="en-US"/>
        </w:rPr>
        <w:t>4.7.1 商品包装、快递包装政府采购需求标准（试行）</w:t>
      </w:r>
    </w:p>
    <w:p w14:paraId="087C5C7B">
      <w:pPr>
        <w:pStyle w:val="71"/>
        <w:spacing w:line="360" w:lineRule="auto"/>
        <w:ind w:left="1470" w:leftChars="700" w:firstLine="0" w:firstLineChars="0"/>
        <w:rPr>
          <w:rFonts w:hint="eastAsia" w:ascii="宋体" w:hAnsi="宋体"/>
          <w:sz w:val="24"/>
          <w:lang w:val="en-US"/>
        </w:rPr>
      </w:pPr>
      <w:r>
        <w:rPr>
          <w:rFonts w:hint="eastAsia" w:ascii="宋体" w:hAnsi="宋体"/>
          <w:sz w:val="24"/>
          <w:lang w:val="en-US"/>
        </w:rPr>
        <w:t>为助力打好污染防治攻坚战，推广使用绿色包装，根据财政部关 于印发《商品包装政府采购需求标准（试行）》、《快递包装政府采购需求标准（试行）》的通知（财办库〔2020〕123 号），本项目如涉及商品包装和快递包装的，则其具体要求见第四章《采购需求》。</w:t>
      </w:r>
    </w:p>
    <w:p w14:paraId="25F488FE">
      <w:pPr>
        <w:pStyle w:val="71"/>
        <w:ind w:left="1560" w:leftChars="400" w:hanging="720" w:hangingChars="300"/>
        <w:rPr>
          <w:rFonts w:hint="eastAsia" w:ascii="宋体" w:hAnsi="宋体"/>
          <w:sz w:val="24"/>
          <w:lang w:val="en-US"/>
        </w:rPr>
      </w:pPr>
      <w:r>
        <w:rPr>
          <w:rFonts w:hint="eastAsia" w:ascii="宋体" w:hAnsi="宋体"/>
          <w:sz w:val="24"/>
          <w:lang w:val="en-US"/>
        </w:rPr>
        <w:t>4.7.2 绿色数据中心政府采购需求标准（试行）</w:t>
      </w:r>
    </w:p>
    <w:p w14:paraId="3138357E">
      <w:pPr>
        <w:pStyle w:val="71"/>
        <w:spacing w:line="360" w:lineRule="auto"/>
        <w:ind w:left="1470" w:leftChars="700" w:firstLine="0" w:firstLineChars="0"/>
        <w:rPr>
          <w:rFonts w:hint="eastAsia" w:ascii="宋体" w:hAnsi="宋体"/>
          <w:sz w:val="24"/>
          <w:lang w:val="en-US"/>
        </w:rPr>
      </w:pPr>
      <w:r>
        <w:rPr>
          <w:rFonts w:hint="eastAsia" w:ascii="宋体" w:hAnsi="宋体"/>
          <w:sz w:val="24"/>
          <w:lang w:val="en-US"/>
        </w:rPr>
        <w:t>为加快数据中心绿色转型，根据财政部 生态环境部 工业和信息化部关于印发《绿色数据中心政府采购需求标准（试行）》的通知（财库〔2023〕7 号），本项目如涉及绿色数据中心，则具体要求见第四章《采购需求》。</w:t>
      </w:r>
      <w:r>
        <w:rPr>
          <w:rFonts w:ascii="宋体" w:hAnsi="宋体"/>
          <w:sz w:val="24"/>
          <w:lang w:val="en-US"/>
        </w:rPr>
        <w:cr/>
      </w:r>
    </w:p>
    <w:p w14:paraId="5468E59C">
      <w:pPr>
        <w:numPr>
          <w:ilvl w:val="0"/>
          <w:numId w:val="9"/>
        </w:numPr>
        <w:tabs>
          <w:tab w:val="left" w:pos="360"/>
        </w:tabs>
        <w:snapToGrid w:val="0"/>
        <w:spacing w:line="360" w:lineRule="auto"/>
        <w:ind w:left="357" w:hanging="357"/>
        <w:outlineLvl w:val="1"/>
        <w:rPr>
          <w:rFonts w:hint="eastAsia" w:ascii="宋体" w:hAnsi="宋体"/>
          <w:sz w:val="24"/>
        </w:rPr>
      </w:pPr>
      <w:r>
        <w:rPr>
          <w:rFonts w:ascii="宋体" w:hAnsi="宋体"/>
          <w:sz w:val="24"/>
        </w:rPr>
        <w:t>响应费用</w:t>
      </w:r>
    </w:p>
    <w:p w14:paraId="573D6C69">
      <w:pPr>
        <w:numPr>
          <w:ilvl w:val="1"/>
          <w:numId w:val="9"/>
        </w:numPr>
        <w:tabs>
          <w:tab w:val="left" w:pos="1080"/>
          <w:tab w:val="left" w:pos="2014"/>
        </w:tabs>
        <w:snapToGrid w:val="0"/>
        <w:spacing w:line="360" w:lineRule="auto"/>
        <w:ind w:left="1080" w:hanging="720"/>
        <w:rPr>
          <w:rFonts w:hint="eastAsia" w:ascii="宋体" w:hAnsi="宋体"/>
          <w:sz w:val="24"/>
        </w:rPr>
      </w:pPr>
      <w:r>
        <w:rPr>
          <w:rFonts w:ascii="宋体" w:hAnsi="宋体"/>
          <w:sz w:val="24"/>
        </w:rPr>
        <w:t>供应商应自行承担所有与准备和参加磋商有关的费用，无论磋商的结果如何，采购人或采购代理机构在任何情况下均无承担这些费用的义务和责任。</w:t>
      </w:r>
    </w:p>
    <w:p w14:paraId="6A74D0B5">
      <w:pPr>
        <w:tabs>
          <w:tab w:val="left" w:pos="1080"/>
        </w:tabs>
        <w:snapToGrid w:val="0"/>
        <w:spacing w:line="360" w:lineRule="auto"/>
        <w:ind w:left="1080"/>
        <w:rPr>
          <w:rFonts w:hint="eastAsia" w:ascii="宋体" w:hAnsi="宋体"/>
          <w:sz w:val="28"/>
        </w:rPr>
      </w:pPr>
      <w:bookmarkStart w:id="151" w:name="_1.8_计量单位"/>
      <w:bookmarkEnd w:id="151"/>
    </w:p>
    <w:p w14:paraId="1E77A46B">
      <w:pPr>
        <w:pStyle w:val="3"/>
        <w:spacing w:before="0" w:line="360" w:lineRule="auto"/>
        <w:rPr>
          <w:rFonts w:hint="eastAsia" w:ascii="宋体" w:hAnsi="宋体" w:eastAsia="宋体"/>
          <w:sz w:val="28"/>
        </w:rPr>
      </w:pPr>
      <w:r>
        <w:rPr>
          <w:rFonts w:ascii="宋体" w:hAnsi="宋体" w:eastAsia="宋体"/>
          <w:sz w:val="28"/>
        </w:rPr>
        <w:t>二   竞争性磋商文件</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6EEB6F97">
      <w:pPr>
        <w:numPr>
          <w:ilvl w:val="0"/>
          <w:numId w:val="9"/>
        </w:numPr>
        <w:tabs>
          <w:tab w:val="left" w:pos="360"/>
        </w:tabs>
        <w:snapToGrid w:val="0"/>
        <w:spacing w:line="360" w:lineRule="auto"/>
        <w:ind w:left="357" w:hanging="357"/>
        <w:outlineLvl w:val="1"/>
        <w:rPr>
          <w:rFonts w:hint="eastAsia" w:ascii="宋体" w:hAnsi="宋体"/>
          <w:sz w:val="24"/>
        </w:rPr>
      </w:pPr>
      <w:bookmarkStart w:id="152" w:name="_Toc142311025"/>
      <w:bookmarkStart w:id="153" w:name="_Toc305158791"/>
      <w:bookmarkStart w:id="154" w:name="_Toc264969213"/>
      <w:bookmarkStart w:id="155" w:name="_Toc226965713"/>
      <w:bookmarkStart w:id="156" w:name="_Toc226337219"/>
      <w:bookmarkStart w:id="157" w:name="_Toc265228361"/>
      <w:bookmarkStart w:id="158" w:name="_Toc127151523"/>
      <w:bookmarkStart w:id="159" w:name="_Toc150774728"/>
      <w:bookmarkStart w:id="160" w:name="_Toc151193693"/>
      <w:bookmarkStart w:id="161" w:name="_Toc150509274"/>
      <w:bookmarkStart w:id="162" w:name="_Toc164351617"/>
      <w:bookmarkStart w:id="163" w:name="_Toc149720816"/>
      <w:bookmarkStart w:id="164" w:name="_Toc226965796"/>
      <w:bookmarkStart w:id="165" w:name="_Toc151190150"/>
      <w:bookmarkStart w:id="166" w:name="_Toc164608637"/>
      <w:bookmarkStart w:id="167" w:name="_Toc195842888"/>
      <w:bookmarkStart w:id="168" w:name="_Toc151193765"/>
      <w:bookmarkStart w:id="169" w:name="_Toc151193911"/>
      <w:bookmarkStart w:id="170" w:name="_Toc151193621"/>
      <w:bookmarkStart w:id="171" w:name="_Toc150480761"/>
      <w:bookmarkStart w:id="172" w:name="_Toc127161437"/>
      <w:bookmarkStart w:id="173" w:name="_Toc305158865"/>
      <w:bookmarkStart w:id="174" w:name="_Toc127151724"/>
      <w:bookmarkStart w:id="175" w:name="_Toc164608792"/>
      <w:bookmarkStart w:id="176" w:name="_Toc164229364"/>
      <w:bookmarkStart w:id="177" w:name="_Toc226309767"/>
      <w:bookmarkStart w:id="178" w:name="_Toc164229218"/>
      <w:bookmarkStart w:id="179" w:name="_Toc520356147"/>
      <w:bookmarkStart w:id="180" w:name="_Toc150774623"/>
      <w:bookmarkStart w:id="181" w:name="_Toc151193837"/>
      <w:r>
        <w:rPr>
          <w:rFonts w:ascii="宋体" w:hAnsi="宋体"/>
          <w:sz w:val="24"/>
        </w:rPr>
        <w:t>竞争性磋商文件构</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Pr>
          <w:rFonts w:ascii="宋体" w:hAnsi="宋体"/>
          <w:sz w:val="24"/>
        </w:rPr>
        <w:t>成</w:t>
      </w:r>
    </w:p>
    <w:p w14:paraId="5924E213">
      <w:pPr>
        <w:numPr>
          <w:ilvl w:val="1"/>
          <w:numId w:val="9"/>
        </w:numPr>
        <w:tabs>
          <w:tab w:val="left" w:pos="1080"/>
          <w:tab w:val="left" w:pos="2014"/>
        </w:tabs>
        <w:snapToGrid w:val="0"/>
        <w:spacing w:line="360" w:lineRule="auto"/>
        <w:ind w:left="1080" w:hanging="720"/>
        <w:rPr>
          <w:rFonts w:hint="eastAsia" w:ascii="宋体" w:hAnsi="宋体"/>
          <w:sz w:val="24"/>
        </w:rPr>
      </w:pPr>
      <w:r>
        <w:rPr>
          <w:rFonts w:ascii="宋体" w:hAnsi="宋体"/>
          <w:sz w:val="24"/>
        </w:rPr>
        <w:t>竞争性磋商文件包括以下部分：</w:t>
      </w:r>
    </w:p>
    <w:p w14:paraId="7701D43B">
      <w:pPr>
        <w:numPr>
          <w:ilvl w:val="0"/>
          <w:numId w:val="11"/>
        </w:numPr>
        <w:tabs>
          <w:tab w:val="left" w:pos="1980"/>
          <w:tab w:val="left" w:pos="2520"/>
        </w:tabs>
        <w:snapToGrid w:val="0"/>
        <w:spacing w:line="360" w:lineRule="auto"/>
        <w:ind w:left="1440" w:firstLine="5"/>
        <w:rPr>
          <w:rFonts w:hint="eastAsia" w:ascii="宋体" w:hAnsi="宋体"/>
          <w:sz w:val="24"/>
        </w:rPr>
      </w:pPr>
      <w:r>
        <w:rPr>
          <w:rFonts w:ascii="宋体" w:hAnsi="宋体"/>
          <w:sz w:val="24"/>
        </w:rPr>
        <w:t>采购邀请</w:t>
      </w:r>
    </w:p>
    <w:p w14:paraId="1C37D9C4">
      <w:pPr>
        <w:numPr>
          <w:ilvl w:val="0"/>
          <w:numId w:val="11"/>
        </w:numPr>
        <w:tabs>
          <w:tab w:val="left" w:pos="1980"/>
          <w:tab w:val="left" w:pos="2520"/>
        </w:tabs>
        <w:snapToGrid w:val="0"/>
        <w:spacing w:line="360" w:lineRule="auto"/>
        <w:ind w:left="1440" w:firstLine="5"/>
        <w:rPr>
          <w:rFonts w:hint="eastAsia" w:ascii="宋体" w:hAnsi="宋体"/>
          <w:sz w:val="24"/>
        </w:rPr>
      </w:pPr>
      <w:r>
        <w:rPr>
          <w:rFonts w:ascii="宋体" w:hAnsi="宋体"/>
          <w:sz w:val="24"/>
        </w:rPr>
        <w:t>供应商须知</w:t>
      </w:r>
    </w:p>
    <w:p w14:paraId="25A9F146">
      <w:pPr>
        <w:numPr>
          <w:ilvl w:val="0"/>
          <w:numId w:val="11"/>
        </w:numPr>
        <w:tabs>
          <w:tab w:val="left" w:pos="1980"/>
          <w:tab w:val="left" w:pos="2520"/>
        </w:tabs>
        <w:snapToGrid w:val="0"/>
        <w:spacing w:line="360" w:lineRule="auto"/>
        <w:ind w:left="1440" w:firstLine="5"/>
        <w:rPr>
          <w:rFonts w:hint="eastAsia" w:ascii="宋体" w:hAnsi="宋体"/>
          <w:sz w:val="24"/>
        </w:rPr>
      </w:pPr>
      <w:r>
        <w:rPr>
          <w:rFonts w:ascii="宋体" w:hAnsi="宋体"/>
          <w:sz w:val="24"/>
        </w:rPr>
        <w:t>评审方法和评审标准</w:t>
      </w:r>
    </w:p>
    <w:p w14:paraId="0399BF55">
      <w:pPr>
        <w:numPr>
          <w:ilvl w:val="0"/>
          <w:numId w:val="11"/>
        </w:numPr>
        <w:tabs>
          <w:tab w:val="left" w:pos="1980"/>
          <w:tab w:val="left" w:pos="2520"/>
        </w:tabs>
        <w:snapToGrid w:val="0"/>
        <w:spacing w:line="360" w:lineRule="auto"/>
        <w:ind w:left="1440" w:firstLine="5"/>
        <w:rPr>
          <w:rFonts w:hint="eastAsia" w:ascii="宋体" w:hAnsi="宋体"/>
          <w:sz w:val="24"/>
        </w:rPr>
      </w:pPr>
      <w:r>
        <w:rPr>
          <w:rFonts w:ascii="宋体" w:hAnsi="宋体"/>
          <w:sz w:val="24"/>
        </w:rPr>
        <w:t>采购需求</w:t>
      </w:r>
    </w:p>
    <w:p w14:paraId="3C4DDC7F">
      <w:pPr>
        <w:numPr>
          <w:ilvl w:val="0"/>
          <w:numId w:val="11"/>
        </w:numPr>
        <w:tabs>
          <w:tab w:val="left" w:pos="1980"/>
          <w:tab w:val="left" w:pos="2520"/>
        </w:tabs>
        <w:snapToGrid w:val="0"/>
        <w:spacing w:line="360" w:lineRule="auto"/>
        <w:ind w:left="1440" w:firstLine="5"/>
        <w:rPr>
          <w:rFonts w:hint="eastAsia" w:ascii="宋体" w:hAnsi="宋体"/>
          <w:sz w:val="24"/>
        </w:rPr>
      </w:pPr>
      <w:r>
        <w:rPr>
          <w:rFonts w:ascii="宋体" w:hAnsi="宋体"/>
          <w:sz w:val="24"/>
        </w:rPr>
        <w:t>合同草案条款</w:t>
      </w:r>
    </w:p>
    <w:p w14:paraId="1210CBF5">
      <w:pPr>
        <w:numPr>
          <w:ilvl w:val="0"/>
          <w:numId w:val="11"/>
        </w:numPr>
        <w:tabs>
          <w:tab w:val="left" w:pos="1980"/>
          <w:tab w:val="left" w:pos="2520"/>
        </w:tabs>
        <w:snapToGrid w:val="0"/>
        <w:spacing w:line="360" w:lineRule="auto"/>
        <w:ind w:left="1440" w:firstLine="5"/>
        <w:rPr>
          <w:rFonts w:hint="eastAsia" w:ascii="宋体" w:hAnsi="宋体"/>
          <w:sz w:val="24"/>
        </w:rPr>
      </w:pPr>
      <w:r>
        <w:rPr>
          <w:rFonts w:ascii="宋体" w:hAnsi="宋体"/>
          <w:sz w:val="24"/>
        </w:rPr>
        <w:t>响应文件格式</w:t>
      </w:r>
    </w:p>
    <w:p w14:paraId="296D24FC">
      <w:pPr>
        <w:numPr>
          <w:ilvl w:val="1"/>
          <w:numId w:val="9"/>
        </w:numPr>
        <w:tabs>
          <w:tab w:val="left" w:pos="1080"/>
          <w:tab w:val="left" w:pos="2014"/>
        </w:tabs>
        <w:snapToGrid w:val="0"/>
        <w:spacing w:line="360" w:lineRule="auto"/>
        <w:ind w:left="1080" w:hanging="720"/>
        <w:rPr>
          <w:rFonts w:hint="eastAsia" w:ascii="宋体" w:hAnsi="宋体"/>
          <w:sz w:val="24"/>
        </w:rPr>
      </w:pPr>
      <w:r>
        <w:rPr>
          <w:rFonts w:ascii="宋体" w:hAnsi="宋体"/>
          <w:sz w:val="24"/>
        </w:rPr>
        <w:t>供应商应认真阅读竞争性磋商文件的全部内容。供应商应按照竞争性磋商文件要求提交响应文件并保证所提供的全部资料的真实性，并对竞争性磋商文件做出实质性响应，否则</w:t>
      </w:r>
      <w:r>
        <w:rPr>
          <w:rFonts w:ascii="宋体" w:hAnsi="宋体"/>
          <w:b/>
          <w:sz w:val="24"/>
        </w:rPr>
        <w:t>响应无效</w:t>
      </w:r>
      <w:r>
        <w:rPr>
          <w:rFonts w:ascii="宋体" w:hAnsi="宋体"/>
          <w:sz w:val="24"/>
        </w:rPr>
        <w:t>。</w:t>
      </w:r>
    </w:p>
    <w:p w14:paraId="5B30AD1D">
      <w:pPr>
        <w:numPr>
          <w:ilvl w:val="0"/>
          <w:numId w:val="9"/>
        </w:numPr>
        <w:tabs>
          <w:tab w:val="left" w:pos="1080"/>
          <w:tab w:val="left" w:pos="2014"/>
        </w:tabs>
        <w:snapToGrid w:val="0"/>
        <w:spacing w:line="360" w:lineRule="auto"/>
        <w:ind w:left="357" w:hanging="357"/>
        <w:outlineLvl w:val="1"/>
        <w:rPr>
          <w:rFonts w:hint="eastAsia" w:ascii="宋体" w:hAnsi="宋体"/>
          <w:sz w:val="24"/>
        </w:rPr>
      </w:pPr>
      <w:r>
        <w:rPr>
          <w:rFonts w:ascii="宋体" w:hAnsi="宋体"/>
          <w:sz w:val="24"/>
        </w:rPr>
        <w:t>对竞争性磋商文件的澄清或修改</w:t>
      </w:r>
    </w:p>
    <w:p w14:paraId="756E1C01">
      <w:pPr>
        <w:numPr>
          <w:ilvl w:val="1"/>
          <w:numId w:val="9"/>
        </w:numPr>
        <w:tabs>
          <w:tab w:val="left" w:pos="1080"/>
          <w:tab w:val="left" w:pos="1561"/>
          <w:tab w:val="left" w:pos="2014"/>
        </w:tabs>
        <w:snapToGrid w:val="0"/>
        <w:spacing w:line="360" w:lineRule="auto"/>
        <w:ind w:left="1080" w:hanging="720"/>
        <w:rPr>
          <w:rFonts w:hint="eastAsia" w:ascii="宋体" w:hAnsi="宋体"/>
          <w:sz w:val="24"/>
        </w:rPr>
      </w:pPr>
      <w:r>
        <w:rPr>
          <w:rFonts w:ascii="宋体" w:hAnsi="宋体"/>
          <w:sz w:val="24"/>
        </w:rPr>
        <w:t>采购人或采购代理机构对已发出的竞争性磋商文件进行必要澄清或者修改的，</w:t>
      </w:r>
      <w:r>
        <w:rPr>
          <w:rFonts w:hint="eastAsia" w:ascii="宋体" w:hAnsi="宋体"/>
          <w:sz w:val="24"/>
        </w:rPr>
        <w:t>将</w:t>
      </w:r>
      <w:r>
        <w:rPr>
          <w:rFonts w:ascii="宋体" w:hAnsi="宋体"/>
          <w:sz w:val="24"/>
        </w:rPr>
        <w:t>以书面形式通知所有获取竞争性磋商文件的潜在供应商。</w:t>
      </w:r>
      <w:r>
        <w:rPr>
          <w:rFonts w:hint="eastAsia" w:ascii="宋体" w:hAnsi="宋体"/>
          <w:sz w:val="24"/>
        </w:rPr>
        <w:t>采用公告方式邀请供应商参与的，还将</w:t>
      </w:r>
      <w:r>
        <w:rPr>
          <w:rFonts w:ascii="宋体" w:hAnsi="宋体"/>
          <w:sz w:val="24"/>
        </w:rPr>
        <w:t>在原公告发布媒体上发布更正公告</w:t>
      </w:r>
      <w:r>
        <w:rPr>
          <w:rFonts w:hint="eastAsia" w:ascii="宋体" w:hAnsi="宋体"/>
          <w:sz w:val="24"/>
        </w:rPr>
        <w:t>。</w:t>
      </w:r>
    </w:p>
    <w:p w14:paraId="1C3556D7">
      <w:pPr>
        <w:numPr>
          <w:ilvl w:val="1"/>
          <w:numId w:val="9"/>
        </w:numPr>
        <w:tabs>
          <w:tab w:val="left" w:pos="1080"/>
          <w:tab w:val="left" w:pos="1561"/>
          <w:tab w:val="left" w:pos="2014"/>
        </w:tabs>
        <w:snapToGrid w:val="0"/>
        <w:spacing w:line="360" w:lineRule="auto"/>
        <w:ind w:left="1080" w:hanging="720"/>
        <w:rPr>
          <w:rFonts w:hint="eastAsia" w:ascii="宋体" w:hAnsi="宋体"/>
          <w:sz w:val="24"/>
        </w:rPr>
      </w:pPr>
      <w:r>
        <w:rPr>
          <w:rFonts w:ascii="宋体" w:hAnsi="宋体"/>
          <w:sz w:val="24"/>
        </w:rPr>
        <w:t>上述书面通知，按照获取竞争性磋商文件的潜在供应商提供的联系方式发出，因提供的信息有误导致通知延迟或无法通知的，采购人或采购代理机构不承担责任。</w:t>
      </w:r>
    </w:p>
    <w:p w14:paraId="45512EFA">
      <w:pPr>
        <w:numPr>
          <w:ilvl w:val="1"/>
          <w:numId w:val="9"/>
        </w:numPr>
        <w:tabs>
          <w:tab w:val="left" w:pos="1080"/>
          <w:tab w:val="left" w:pos="1561"/>
          <w:tab w:val="left" w:pos="2014"/>
        </w:tabs>
        <w:snapToGrid w:val="0"/>
        <w:spacing w:line="360" w:lineRule="auto"/>
        <w:ind w:left="1080" w:hanging="720"/>
        <w:rPr>
          <w:rFonts w:hint="eastAsia" w:ascii="宋体" w:hAnsi="宋体"/>
          <w:sz w:val="24"/>
        </w:rPr>
      </w:pPr>
      <w:r>
        <w:rPr>
          <w:rFonts w:ascii="宋体" w:hAnsi="宋体"/>
          <w:sz w:val="24"/>
        </w:rPr>
        <w:t>澄清或者修改的内容为竞争性磋商文件的组成部分，并对所有获取竞争性磋商文件的潜在供应商具有约束力。澄清或者修改的内容可能影响响应文件编制的，将在提交首次响应文件截止之日3个工作日前；不足上述时间的，将顺延提交响应文件的截止时间。</w:t>
      </w:r>
    </w:p>
    <w:p w14:paraId="5684017D">
      <w:pPr>
        <w:tabs>
          <w:tab w:val="left" w:pos="1080"/>
          <w:tab w:val="left" w:pos="1561"/>
        </w:tabs>
        <w:snapToGrid w:val="0"/>
        <w:spacing w:line="360" w:lineRule="auto"/>
        <w:ind w:left="1080"/>
        <w:rPr>
          <w:rFonts w:hint="eastAsia" w:ascii="宋体" w:hAnsi="宋体"/>
          <w:sz w:val="28"/>
        </w:rPr>
      </w:pPr>
      <w:bookmarkStart w:id="182" w:name="_Toc516367020"/>
      <w:bookmarkStart w:id="183" w:name="_Toc265228364"/>
      <w:bookmarkStart w:id="184" w:name="_Toc142311028"/>
      <w:bookmarkStart w:id="185" w:name="_Toc264969216"/>
      <w:bookmarkStart w:id="186" w:name="_Toc520356150"/>
      <w:bookmarkStart w:id="187" w:name="_Toc305158868"/>
      <w:bookmarkStart w:id="188" w:name="_Toc195842891"/>
      <w:bookmarkStart w:id="189" w:name="_Toc226309770"/>
      <w:bookmarkStart w:id="190" w:name="_Toc151190153"/>
      <w:bookmarkStart w:id="191" w:name="_Toc151193696"/>
      <w:bookmarkStart w:id="192" w:name="_Toc127151526"/>
      <w:bookmarkStart w:id="193" w:name="_Toc305158794"/>
      <w:bookmarkStart w:id="194" w:name="_Toc150509277"/>
      <w:bookmarkStart w:id="195" w:name="_Toc150774626"/>
      <w:bookmarkStart w:id="196" w:name="_Toc151193840"/>
      <w:bookmarkStart w:id="197" w:name="_Toc150480764"/>
      <w:bookmarkStart w:id="198" w:name="_Toc151193914"/>
      <w:bookmarkStart w:id="199" w:name="_Toc151193768"/>
      <w:bookmarkStart w:id="200" w:name="_Toc151193624"/>
      <w:bookmarkStart w:id="201" w:name="_Toc226337222"/>
      <w:bookmarkStart w:id="202" w:name="_Toc226965716"/>
      <w:bookmarkStart w:id="203" w:name="_Toc226965799"/>
      <w:bookmarkStart w:id="204" w:name="_Toc150774731"/>
    </w:p>
    <w:p w14:paraId="2139FBFE">
      <w:pPr>
        <w:pStyle w:val="3"/>
        <w:spacing w:before="0" w:line="360" w:lineRule="auto"/>
        <w:rPr>
          <w:rFonts w:hint="eastAsia" w:ascii="宋体" w:hAnsi="宋体" w:eastAsia="宋体"/>
          <w:sz w:val="28"/>
        </w:rPr>
      </w:pPr>
      <w:r>
        <w:rPr>
          <w:rFonts w:ascii="宋体" w:hAnsi="宋体" w:eastAsia="宋体"/>
          <w:sz w:val="28"/>
        </w:rPr>
        <w:t>三   响应文件</w:t>
      </w:r>
      <w:bookmarkEnd w:id="182"/>
      <w:r>
        <w:rPr>
          <w:rFonts w:ascii="宋体" w:hAnsi="宋体" w:eastAsia="宋体"/>
          <w:sz w:val="28"/>
        </w:rPr>
        <w:t>的编制</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4885021C">
      <w:pPr>
        <w:numPr>
          <w:ilvl w:val="0"/>
          <w:numId w:val="9"/>
        </w:numPr>
        <w:tabs>
          <w:tab w:val="left" w:pos="360"/>
        </w:tabs>
        <w:snapToGrid w:val="0"/>
        <w:spacing w:line="360" w:lineRule="auto"/>
        <w:ind w:left="357" w:hanging="357"/>
        <w:outlineLvl w:val="1"/>
        <w:rPr>
          <w:rFonts w:hint="eastAsia" w:ascii="宋体" w:hAnsi="宋体"/>
          <w:sz w:val="24"/>
        </w:rPr>
      </w:pPr>
      <w:bookmarkStart w:id="205" w:name="_Toc226965800"/>
      <w:bookmarkStart w:id="206" w:name="_Toc226965717"/>
      <w:bookmarkStart w:id="207" w:name="_Toc151190154"/>
      <w:bookmarkStart w:id="208" w:name="_Toc151193769"/>
      <w:bookmarkStart w:id="209" w:name="_Toc520356151"/>
      <w:bookmarkStart w:id="210" w:name="_Toc226337223"/>
      <w:bookmarkStart w:id="211" w:name="_Toc150774627"/>
      <w:bookmarkStart w:id="212" w:name="_Toc226309771"/>
      <w:bookmarkStart w:id="213" w:name="_Toc150509278"/>
      <w:bookmarkStart w:id="214" w:name="_Toc195842892"/>
      <w:bookmarkStart w:id="215" w:name="_Toc305158869"/>
      <w:bookmarkStart w:id="216" w:name="_Toc265228365"/>
      <w:bookmarkStart w:id="217" w:name="_Toc164351621"/>
      <w:bookmarkStart w:id="218" w:name="_Toc264969217"/>
      <w:bookmarkStart w:id="219" w:name="_Toc164229222"/>
      <w:bookmarkStart w:id="220" w:name="_Toc150774732"/>
      <w:bookmarkStart w:id="221" w:name="_Toc150480765"/>
      <w:bookmarkStart w:id="222" w:name="_Toc305158795"/>
      <w:bookmarkStart w:id="223" w:name="_Toc127151527"/>
      <w:bookmarkStart w:id="224" w:name="_Toc516367021"/>
      <w:bookmarkStart w:id="225" w:name="_Toc149720820"/>
      <w:bookmarkStart w:id="226" w:name="_Toc127151728"/>
      <w:bookmarkStart w:id="227" w:name="_Toc142311029"/>
      <w:bookmarkStart w:id="228" w:name="_Toc151193841"/>
      <w:bookmarkStart w:id="229" w:name="_Toc151193915"/>
      <w:bookmarkStart w:id="230" w:name="_Toc164229368"/>
      <w:bookmarkStart w:id="231" w:name="_Toc127161441"/>
      <w:bookmarkStart w:id="232" w:name="_Toc164608796"/>
      <w:bookmarkStart w:id="233" w:name="_Toc164608641"/>
      <w:bookmarkStart w:id="234" w:name="_Toc151193697"/>
      <w:bookmarkStart w:id="235" w:name="_Toc151193625"/>
      <w:r>
        <w:rPr>
          <w:rFonts w:ascii="宋体" w:hAnsi="宋体"/>
          <w:sz w:val="24"/>
        </w:rPr>
        <w:t>响应范围、竞争性磋商文件中计量单位的使用</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Pr>
          <w:rFonts w:ascii="宋体" w:hAnsi="宋体"/>
          <w:sz w:val="24"/>
        </w:rPr>
        <w:t>及磋商语言</w:t>
      </w:r>
    </w:p>
    <w:p w14:paraId="31AEC6E9">
      <w:pPr>
        <w:numPr>
          <w:ilvl w:val="1"/>
          <w:numId w:val="9"/>
        </w:numPr>
        <w:tabs>
          <w:tab w:val="left" w:pos="1080"/>
          <w:tab w:val="left" w:pos="2014"/>
        </w:tabs>
        <w:snapToGrid w:val="0"/>
        <w:spacing w:line="360" w:lineRule="auto"/>
        <w:ind w:left="1080" w:hanging="720"/>
        <w:rPr>
          <w:rFonts w:hint="eastAsia" w:ascii="宋体" w:hAnsi="宋体"/>
          <w:sz w:val="24"/>
        </w:rPr>
      </w:pPr>
      <w:r>
        <w:rPr>
          <w:rFonts w:ascii="宋体" w:hAnsi="宋体"/>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rFonts w:ascii="宋体" w:hAnsi="宋体"/>
          <w:b/>
          <w:sz w:val="24"/>
        </w:rPr>
        <w:t>响应无效</w:t>
      </w:r>
      <w:r>
        <w:rPr>
          <w:rFonts w:ascii="宋体" w:hAnsi="宋体"/>
          <w:sz w:val="24"/>
        </w:rPr>
        <w:t>。</w:t>
      </w:r>
    </w:p>
    <w:p w14:paraId="1911B136">
      <w:pPr>
        <w:numPr>
          <w:ilvl w:val="1"/>
          <w:numId w:val="9"/>
        </w:numPr>
        <w:tabs>
          <w:tab w:val="left" w:pos="1080"/>
          <w:tab w:val="left" w:pos="2014"/>
        </w:tabs>
        <w:snapToGrid w:val="0"/>
        <w:spacing w:line="360" w:lineRule="auto"/>
        <w:ind w:left="1080" w:hanging="720"/>
        <w:rPr>
          <w:rFonts w:hint="eastAsia" w:ascii="宋体" w:hAnsi="宋体"/>
          <w:sz w:val="24"/>
        </w:rPr>
      </w:pPr>
      <w:r>
        <w:rPr>
          <w:rFonts w:ascii="宋体" w:hAnsi="宋体"/>
          <w:sz w:val="24"/>
        </w:rPr>
        <w:t>除竞争性磋商文件有特殊要求外，本项目磋商所使用的计量单位，应采用中华人民共和国法定计量单位。</w:t>
      </w:r>
    </w:p>
    <w:p w14:paraId="56C832EB">
      <w:pPr>
        <w:numPr>
          <w:ilvl w:val="1"/>
          <w:numId w:val="9"/>
        </w:numPr>
        <w:tabs>
          <w:tab w:val="left" w:pos="1080"/>
          <w:tab w:val="left" w:pos="2014"/>
        </w:tabs>
        <w:snapToGrid w:val="0"/>
        <w:spacing w:line="360" w:lineRule="auto"/>
        <w:ind w:left="1080" w:hanging="720"/>
        <w:rPr>
          <w:rFonts w:hint="eastAsia" w:ascii="宋体" w:hAnsi="宋体"/>
          <w:sz w:val="24"/>
        </w:rPr>
      </w:pPr>
      <w:r>
        <w:rPr>
          <w:rFonts w:ascii="宋体" w:hAnsi="宋体"/>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9563417">
      <w:pPr>
        <w:numPr>
          <w:ilvl w:val="0"/>
          <w:numId w:val="9"/>
        </w:numPr>
        <w:tabs>
          <w:tab w:val="left" w:pos="360"/>
        </w:tabs>
        <w:snapToGrid w:val="0"/>
        <w:spacing w:line="360" w:lineRule="auto"/>
        <w:ind w:left="357" w:hanging="357"/>
        <w:outlineLvl w:val="1"/>
        <w:rPr>
          <w:rFonts w:hint="eastAsia" w:ascii="宋体" w:hAnsi="宋体"/>
          <w:sz w:val="24"/>
        </w:rPr>
      </w:pPr>
      <w:bookmarkStart w:id="236" w:name="_Ref467306676"/>
      <w:bookmarkStart w:id="237" w:name="_Toc516367022"/>
      <w:bookmarkStart w:id="238" w:name="_Ref467306195"/>
      <w:bookmarkStart w:id="239" w:name="_Toc150509279"/>
      <w:bookmarkStart w:id="240" w:name="_Toc151193698"/>
      <w:bookmarkStart w:id="241" w:name="_Toc226337224"/>
      <w:bookmarkStart w:id="242" w:name="_Toc142311030"/>
      <w:bookmarkStart w:id="243" w:name="_Toc305158796"/>
      <w:bookmarkStart w:id="244" w:name="_Toc164608797"/>
      <w:bookmarkStart w:id="245" w:name="_Toc265228366"/>
      <w:bookmarkStart w:id="246" w:name="_Toc164351622"/>
      <w:bookmarkStart w:id="247" w:name="_Toc164229223"/>
      <w:bookmarkStart w:id="248" w:name="_Toc305158870"/>
      <w:bookmarkStart w:id="249" w:name="_Toc226965718"/>
      <w:bookmarkStart w:id="250" w:name="_Toc520356152"/>
      <w:bookmarkStart w:id="251" w:name="_Toc226309772"/>
      <w:bookmarkStart w:id="252" w:name="_Toc150480766"/>
      <w:bookmarkStart w:id="253" w:name="_Toc264969218"/>
      <w:bookmarkStart w:id="254" w:name="_Toc151193842"/>
      <w:bookmarkStart w:id="255" w:name="_Toc195842893"/>
      <w:bookmarkStart w:id="256" w:name="_Toc151193626"/>
      <w:bookmarkStart w:id="257" w:name="_Toc226965801"/>
      <w:bookmarkStart w:id="258" w:name="_Toc164229369"/>
      <w:bookmarkStart w:id="259" w:name="_Toc151190155"/>
      <w:bookmarkStart w:id="260" w:name="_Toc127151729"/>
      <w:bookmarkStart w:id="261" w:name="_Toc151193770"/>
      <w:bookmarkStart w:id="262" w:name="_Toc150774733"/>
      <w:bookmarkStart w:id="263" w:name="_Toc164608642"/>
      <w:bookmarkStart w:id="264" w:name="_Toc150774628"/>
      <w:bookmarkStart w:id="265" w:name="_Toc127151528"/>
      <w:bookmarkStart w:id="266" w:name="_Toc151193916"/>
      <w:bookmarkStart w:id="267" w:name="_Toc149720821"/>
      <w:bookmarkStart w:id="268" w:name="_Toc127161442"/>
      <w:r>
        <w:rPr>
          <w:rFonts w:ascii="宋体" w:hAnsi="宋体"/>
          <w:sz w:val="24"/>
        </w:rPr>
        <w:t>响应文件</w:t>
      </w:r>
      <w:bookmarkEnd w:id="236"/>
      <w:bookmarkEnd w:id="237"/>
      <w:bookmarkEnd w:id="238"/>
      <w:r>
        <w:rPr>
          <w:rFonts w:ascii="宋体" w:hAnsi="宋体"/>
          <w:sz w:val="24"/>
        </w:rPr>
        <w:t>构成</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5B194493">
      <w:pPr>
        <w:numPr>
          <w:ilvl w:val="1"/>
          <w:numId w:val="9"/>
        </w:numPr>
        <w:tabs>
          <w:tab w:val="left" w:pos="1080"/>
          <w:tab w:val="left" w:pos="2014"/>
        </w:tabs>
        <w:snapToGrid w:val="0"/>
        <w:spacing w:line="360" w:lineRule="auto"/>
        <w:ind w:left="1077" w:hanging="720"/>
        <w:rPr>
          <w:rFonts w:hint="eastAsia" w:ascii="宋体" w:hAnsi="宋体"/>
          <w:sz w:val="24"/>
        </w:rPr>
      </w:pPr>
      <w:bookmarkStart w:id="269" w:name="_Ref467052588"/>
      <w:r>
        <w:rPr>
          <w:rFonts w:ascii="宋体" w:hAnsi="宋体"/>
          <w:sz w:val="24"/>
        </w:rPr>
        <w:t>供应商应当按照竞争性磋商文件的要求编制响应文件，</w:t>
      </w:r>
      <w:r>
        <w:rPr>
          <w:rFonts w:ascii="宋体" w:hAnsi="宋体"/>
          <w:kern w:val="0"/>
          <w:sz w:val="24"/>
        </w:rPr>
        <w:t>并对其提交的响应文件的真实性、合法性承担法律责任</w:t>
      </w:r>
      <w:r>
        <w:rPr>
          <w:rFonts w:ascii="宋体" w:hAnsi="宋体"/>
          <w:sz w:val="24"/>
        </w:rPr>
        <w:t>。响应文件的部分格式要求，见第六章《响应文件格式》。</w:t>
      </w:r>
    </w:p>
    <w:p w14:paraId="73689CA8">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kern w:val="0"/>
          <w:sz w:val="24"/>
        </w:rPr>
        <w:t>对于竞争性磋商文件中标记了“实质性格式”文件的，</w:t>
      </w:r>
      <w:r>
        <w:rPr>
          <w:rFonts w:ascii="宋体" w:hAnsi="宋体"/>
          <w:sz w:val="24"/>
        </w:rPr>
        <w:t>供应商不得改变格式中给定的文字所表达的含义，不得删减格式中的实质性内容，不得自行添加与格式中给定的文字内容相矛盾的内容，不得对应当填写的空格不填写或不实质性响应，</w:t>
      </w:r>
      <w:r>
        <w:rPr>
          <w:rFonts w:ascii="宋体" w:hAnsi="宋体"/>
          <w:b/>
          <w:kern w:val="0"/>
          <w:sz w:val="24"/>
        </w:rPr>
        <w:t>否则响应无效</w:t>
      </w:r>
      <w:r>
        <w:rPr>
          <w:rFonts w:ascii="宋体" w:hAnsi="宋体"/>
          <w:kern w:val="0"/>
          <w:sz w:val="24"/>
        </w:rPr>
        <w:t>。未标记“实质性格式”的文件和竞争性磋商文件未提供格式的内容，可由供应商自行编写。</w:t>
      </w:r>
    </w:p>
    <w:p w14:paraId="0F4ED065">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第三章《评审方法和评审标准》中涉及的证明文件。</w:t>
      </w:r>
    </w:p>
    <w:p w14:paraId="5D9D73CD">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7C7079C1">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供应商认为应附的其他材料。</w:t>
      </w:r>
      <w:bookmarkEnd w:id="269"/>
    </w:p>
    <w:p w14:paraId="01FBCBBE">
      <w:pPr>
        <w:numPr>
          <w:ilvl w:val="0"/>
          <w:numId w:val="9"/>
        </w:numPr>
        <w:tabs>
          <w:tab w:val="left" w:pos="360"/>
        </w:tabs>
        <w:snapToGrid w:val="0"/>
        <w:spacing w:line="360" w:lineRule="auto"/>
        <w:ind w:left="357" w:hanging="357"/>
        <w:outlineLvl w:val="1"/>
        <w:rPr>
          <w:rFonts w:hint="eastAsia" w:ascii="宋体" w:hAnsi="宋体"/>
          <w:sz w:val="24"/>
        </w:rPr>
      </w:pPr>
      <w:bookmarkStart w:id="270" w:name="_Toc127151530"/>
      <w:bookmarkStart w:id="271" w:name="_Toc164608799"/>
      <w:bookmarkStart w:id="272" w:name="_Toc149720823"/>
      <w:bookmarkStart w:id="273" w:name="_Toc151193918"/>
      <w:bookmarkStart w:id="274" w:name="_Toc520356155"/>
      <w:bookmarkStart w:id="275" w:name="_Toc164229225"/>
      <w:bookmarkStart w:id="276" w:name="_Toc151193700"/>
      <w:bookmarkStart w:id="277" w:name="_Toc150480768"/>
      <w:bookmarkStart w:id="278" w:name="_Toc127161444"/>
      <w:bookmarkStart w:id="279" w:name="_Toc151193628"/>
      <w:bookmarkStart w:id="280" w:name="_Toc142311032"/>
      <w:bookmarkStart w:id="281" w:name="_Toc164229371"/>
      <w:bookmarkStart w:id="282" w:name="_Toc151190157"/>
      <w:bookmarkStart w:id="283" w:name="_Toc164351624"/>
      <w:bookmarkStart w:id="284" w:name="_Toc127151731"/>
      <w:bookmarkStart w:id="285" w:name="_Toc195842895"/>
      <w:bookmarkStart w:id="286" w:name="_Toc150774735"/>
      <w:bookmarkStart w:id="287" w:name="_Toc151193844"/>
      <w:bookmarkStart w:id="288" w:name="_Toc164608644"/>
      <w:bookmarkStart w:id="289" w:name="_Toc151193772"/>
      <w:bookmarkStart w:id="290" w:name="_Toc150774630"/>
      <w:bookmarkStart w:id="291" w:name="_Toc150509281"/>
      <w:r>
        <w:rPr>
          <w:rFonts w:ascii="宋体" w:hAnsi="宋体"/>
          <w:sz w:val="24"/>
        </w:rPr>
        <w:t>报价</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33C3D76B">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所有响应均以人民币报价。</w:t>
      </w:r>
    </w:p>
    <w:p w14:paraId="7B2C01D5">
      <w:pPr>
        <w:numPr>
          <w:ilvl w:val="1"/>
          <w:numId w:val="9"/>
        </w:numPr>
        <w:tabs>
          <w:tab w:val="left" w:pos="1080"/>
        </w:tabs>
        <w:snapToGrid w:val="0"/>
        <w:spacing w:line="360" w:lineRule="auto"/>
        <w:rPr>
          <w:rFonts w:hint="eastAsia" w:ascii="宋体" w:hAnsi="宋体"/>
          <w:sz w:val="24"/>
        </w:rPr>
      </w:pPr>
      <w:r>
        <w:rPr>
          <w:rFonts w:ascii="宋体" w:hAnsi="宋体"/>
          <w:sz w:val="24"/>
        </w:rPr>
        <w:t>供应商的报价应包括为完成本项目所发生的一切费用和税费，采购人将不再支付报价以外的任何费用。</w:t>
      </w:r>
      <w:r>
        <w:rPr>
          <w:rFonts w:hint="eastAsia" w:ascii="宋体" w:hAnsi="宋体"/>
          <w:sz w:val="24"/>
        </w:rPr>
        <w:t>供应商的报价应包括但不限于下列内容，《供应商须知资料表》中有特殊规定的，从其规定。</w:t>
      </w:r>
    </w:p>
    <w:p w14:paraId="624F30AD">
      <w:pPr>
        <w:numPr>
          <w:ilvl w:val="2"/>
          <w:numId w:val="9"/>
        </w:numPr>
        <w:snapToGrid w:val="0"/>
        <w:spacing w:line="360" w:lineRule="auto"/>
        <w:rPr>
          <w:rFonts w:hint="eastAsia" w:ascii="宋体" w:hAnsi="宋体"/>
          <w:sz w:val="24"/>
        </w:rPr>
      </w:pPr>
      <w:r>
        <w:rPr>
          <w:rFonts w:ascii="宋体" w:hAnsi="宋体"/>
          <w:sz w:val="24"/>
        </w:rPr>
        <w:t xml:space="preserve">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 </w:t>
      </w:r>
    </w:p>
    <w:p w14:paraId="130B570F">
      <w:pPr>
        <w:numPr>
          <w:ilvl w:val="2"/>
          <w:numId w:val="9"/>
        </w:numPr>
        <w:snapToGrid w:val="0"/>
        <w:spacing w:line="360" w:lineRule="auto"/>
        <w:rPr>
          <w:rFonts w:hint="eastAsia" w:ascii="宋体" w:hAnsi="宋体"/>
          <w:sz w:val="24"/>
        </w:rPr>
      </w:pPr>
      <w:r>
        <w:rPr>
          <w:rFonts w:ascii="宋体" w:hAnsi="宋体"/>
          <w:sz w:val="24"/>
        </w:rPr>
        <w:t>按照竞争性磋商文件要求完成本项</w:t>
      </w:r>
      <w:r>
        <w:rPr>
          <w:rFonts w:hint="eastAsia" w:ascii="宋体" w:hAnsi="宋体"/>
          <w:sz w:val="24"/>
        </w:rPr>
        <w:t>目的全部相关工程或服务费用。</w:t>
      </w:r>
    </w:p>
    <w:p w14:paraId="351797BE">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采购人不得向供应商索要或者接受其给予的赠品、回扣或者与采购无关的其他商品、服务。</w:t>
      </w:r>
    </w:p>
    <w:p w14:paraId="65251DD3">
      <w:pPr>
        <w:numPr>
          <w:ilvl w:val="1"/>
          <w:numId w:val="9"/>
        </w:numPr>
        <w:tabs>
          <w:tab w:val="left" w:pos="1080"/>
          <w:tab w:val="left" w:pos="2014"/>
        </w:tabs>
        <w:snapToGrid w:val="0"/>
        <w:spacing w:line="360" w:lineRule="auto"/>
        <w:ind w:left="1080" w:hanging="720"/>
        <w:rPr>
          <w:rFonts w:hint="eastAsia" w:ascii="宋体" w:hAnsi="宋体"/>
          <w:sz w:val="24"/>
        </w:rPr>
      </w:pPr>
      <w:r>
        <w:rPr>
          <w:rFonts w:ascii="宋体" w:hAnsi="宋体"/>
          <w:sz w:val="24"/>
        </w:rPr>
        <w:t>供应商不能提供任何有选择性或可调整的最后报价（</w:t>
      </w:r>
      <w:r>
        <w:rPr>
          <w:rFonts w:ascii="宋体" w:hAnsi="宋体"/>
          <w:kern w:val="0"/>
          <w:sz w:val="24"/>
        </w:rPr>
        <w:t>竞争性磋商文件</w:t>
      </w:r>
      <w:r>
        <w:rPr>
          <w:rFonts w:ascii="宋体" w:hAnsi="宋体"/>
          <w:sz w:val="24"/>
        </w:rPr>
        <w:t>另有规定的除外），否则其</w:t>
      </w:r>
      <w:r>
        <w:rPr>
          <w:rFonts w:ascii="宋体" w:hAnsi="宋体"/>
          <w:b/>
          <w:sz w:val="24"/>
        </w:rPr>
        <w:t>响应无效</w:t>
      </w:r>
      <w:r>
        <w:rPr>
          <w:rFonts w:ascii="宋体" w:hAnsi="宋体"/>
          <w:sz w:val="24"/>
        </w:rPr>
        <w:t>。</w:t>
      </w:r>
    </w:p>
    <w:p w14:paraId="5BF624A2">
      <w:pPr>
        <w:numPr>
          <w:ilvl w:val="0"/>
          <w:numId w:val="9"/>
        </w:numPr>
        <w:tabs>
          <w:tab w:val="left" w:pos="360"/>
        </w:tabs>
        <w:snapToGrid w:val="0"/>
        <w:spacing w:line="360" w:lineRule="auto"/>
        <w:ind w:left="357" w:hanging="357"/>
        <w:outlineLvl w:val="1"/>
        <w:rPr>
          <w:rFonts w:hint="eastAsia" w:ascii="宋体" w:hAnsi="宋体"/>
          <w:sz w:val="24"/>
        </w:rPr>
      </w:pPr>
      <w:r>
        <w:rPr>
          <w:rFonts w:ascii="宋体" w:hAnsi="宋体"/>
          <w:sz w:val="24"/>
        </w:rPr>
        <w:t>磋商保证金</w:t>
      </w:r>
    </w:p>
    <w:p w14:paraId="0CE833CB">
      <w:pPr>
        <w:numPr>
          <w:ilvl w:val="1"/>
          <w:numId w:val="9"/>
        </w:numPr>
        <w:tabs>
          <w:tab w:val="left" w:pos="1080"/>
          <w:tab w:val="left" w:pos="2014"/>
        </w:tabs>
        <w:snapToGrid w:val="0"/>
        <w:spacing w:line="360" w:lineRule="auto"/>
        <w:ind w:left="1077" w:hanging="720"/>
        <w:rPr>
          <w:rFonts w:hint="eastAsia" w:ascii="宋体" w:hAnsi="宋体"/>
          <w:sz w:val="24"/>
        </w:rPr>
      </w:pPr>
      <w:bookmarkStart w:id="292" w:name="_Ref467306302"/>
      <w:r>
        <w:rPr>
          <w:rFonts w:ascii="宋体" w:hAnsi="宋体"/>
          <w:sz w:val="24"/>
        </w:rPr>
        <w:t>供应商应按《供应商须知资料表》中规定的金额及要求交纳磋商保证金</w:t>
      </w:r>
      <w:bookmarkEnd w:id="292"/>
      <w:r>
        <w:rPr>
          <w:rFonts w:ascii="宋体" w:hAnsi="宋体"/>
          <w:sz w:val="24"/>
        </w:rPr>
        <w:t>，并作为其响应文件的一部分。</w:t>
      </w:r>
    </w:p>
    <w:p w14:paraId="4317BD86">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交纳磋商保证金可采用的形式：政府采购法律法规接受的支票、汇票、本票、网上银行支付或者金融机构、担保机构出具的保函等非现金形式。</w:t>
      </w:r>
    </w:p>
    <w:p w14:paraId="00CEA22A">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磋商保证金到账（保函提交）截止时间同首次响应文件提交截止时间。以支票、汇票、本票、网上银行支付等形式提交磋商保证金的，应在首次响应文件提交截止时间前</w:t>
      </w:r>
      <w:r>
        <w:rPr>
          <w:rFonts w:hint="eastAsia" w:ascii="宋体" w:hAnsi="宋体"/>
          <w:sz w:val="24"/>
        </w:rPr>
        <w:t>到账</w:t>
      </w:r>
      <w:r>
        <w:rPr>
          <w:rFonts w:ascii="宋体" w:hAnsi="宋体"/>
          <w:sz w:val="24"/>
        </w:rPr>
        <w:t>；</w:t>
      </w:r>
      <w:r>
        <w:rPr>
          <w:rFonts w:hint="eastAsia" w:ascii="宋体" w:hAnsi="宋体"/>
          <w:sz w:val="24"/>
        </w:rPr>
        <w:t>以</w:t>
      </w:r>
      <w:r>
        <w:rPr>
          <w:rFonts w:ascii="宋体" w:hAnsi="宋体"/>
          <w:sz w:val="24"/>
        </w:rPr>
        <w:t>金融机构、担保机构出具的保函等形式提交</w:t>
      </w:r>
      <w:r>
        <w:rPr>
          <w:rFonts w:hint="eastAsia" w:ascii="宋体" w:hAnsi="宋体"/>
          <w:sz w:val="24"/>
        </w:rPr>
        <w:t>磋商</w:t>
      </w:r>
      <w:r>
        <w:rPr>
          <w:rFonts w:ascii="宋体" w:hAnsi="宋体"/>
          <w:sz w:val="24"/>
        </w:rPr>
        <w:t>保证金的，应在首次响应文件</w:t>
      </w:r>
      <w:r>
        <w:rPr>
          <w:rFonts w:hint="eastAsia" w:ascii="宋体" w:hAnsi="宋体"/>
          <w:sz w:val="24"/>
        </w:rPr>
        <w:t>提交</w:t>
      </w:r>
      <w:r>
        <w:rPr>
          <w:rFonts w:ascii="宋体" w:hAnsi="宋体"/>
          <w:sz w:val="24"/>
        </w:rPr>
        <w:t>截止时间前将原件提交至采购代理机构；由于</w:t>
      </w:r>
      <w:r>
        <w:rPr>
          <w:rFonts w:hint="eastAsia" w:ascii="宋体" w:hAnsi="宋体"/>
          <w:sz w:val="24"/>
        </w:rPr>
        <w:t>到账时间</w:t>
      </w:r>
      <w:r>
        <w:rPr>
          <w:rFonts w:ascii="宋体" w:hAnsi="宋体"/>
          <w:sz w:val="24"/>
        </w:rPr>
        <w:t>晚于首次响应文件提交截止时间的，或者票据错误、印鉴不清等原因导致不能到账的，其</w:t>
      </w:r>
      <w:r>
        <w:rPr>
          <w:rFonts w:ascii="宋体" w:hAnsi="宋体"/>
          <w:b/>
          <w:sz w:val="24"/>
        </w:rPr>
        <w:t>响应无效</w:t>
      </w:r>
      <w:r>
        <w:rPr>
          <w:rFonts w:ascii="宋体" w:hAnsi="宋体"/>
          <w:sz w:val="24"/>
        </w:rPr>
        <w:t>。</w:t>
      </w:r>
    </w:p>
    <w:p w14:paraId="122FC8A1">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磋商保证金（保函）有效期同响应有效期。</w:t>
      </w:r>
    </w:p>
    <w:p w14:paraId="4E3071C6">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供应商为联合体的，可以由联合体中的一方或者多方共同交纳磋商保证金，其交纳的保证金对联合体各方均具有约束力。</w:t>
      </w:r>
    </w:p>
    <w:p w14:paraId="3389A17E">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420537CA">
      <w:pPr>
        <w:numPr>
          <w:ilvl w:val="2"/>
          <w:numId w:val="9"/>
        </w:numPr>
        <w:snapToGrid w:val="0"/>
        <w:spacing w:line="360" w:lineRule="auto"/>
        <w:rPr>
          <w:rFonts w:hint="eastAsia" w:ascii="宋体" w:hAnsi="宋体"/>
          <w:sz w:val="24"/>
        </w:rPr>
      </w:pPr>
      <w:r>
        <w:rPr>
          <w:rFonts w:ascii="宋体" w:hAnsi="宋体"/>
          <w:snapToGrid w:val="0"/>
          <w:kern w:val="0"/>
          <w:sz w:val="24"/>
        </w:rPr>
        <w:t>已提交响应文件的供应商，在提交最后报价之前，可以根据磋商情况退出磋商。采购人、采购代理机构将退还退出磋商的供应商的磋商保证金</w:t>
      </w:r>
      <w:r>
        <w:rPr>
          <w:rFonts w:hint="eastAsia" w:ascii="宋体" w:hAnsi="宋体"/>
          <w:snapToGrid w:val="0"/>
          <w:kern w:val="0"/>
          <w:sz w:val="24"/>
        </w:rPr>
        <w:t>；</w:t>
      </w:r>
    </w:p>
    <w:p w14:paraId="5D3A1221">
      <w:pPr>
        <w:numPr>
          <w:ilvl w:val="2"/>
          <w:numId w:val="9"/>
        </w:numPr>
        <w:snapToGrid w:val="0"/>
        <w:spacing w:line="360" w:lineRule="auto"/>
        <w:rPr>
          <w:rFonts w:hint="eastAsia" w:ascii="宋体" w:hAnsi="宋体"/>
          <w:sz w:val="24"/>
        </w:rPr>
      </w:pPr>
      <w:r>
        <w:rPr>
          <w:rFonts w:ascii="宋体" w:hAnsi="宋体"/>
          <w:sz w:val="24"/>
        </w:rPr>
        <w:t>成交供应商的磋商保证金，在采购合同签订后5个工作日内退还成交供应商；</w:t>
      </w:r>
    </w:p>
    <w:p w14:paraId="17D65C59">
      <w:pPr>
        <w:numPr>
          <w:ilvl w:val="2"/>
          <w:numId w:val="9"/>
        </w:numPr>
        <w:snapToGrid w:val="0"/>
        <w:spacing w:line="360" w:lineRule="auto"/>
        <w:rPr>
          <w:rFonts w:hint="eastAsia" w:ascii="宋体" w:hAnsi="宋体"/>
          <w:sz w:val="24"/>
        </w:rPr>
      </w:pPr>
      <w:r>
        <w:rPr>
          <w:rFonts w:ascii="宋体" w:hAnsi="宋体"/>
          <w:sz w:val="24"/>
        </w:rPr>
        <w:t>未成交供应商的磋商保证金，在成交通知书发出后5个工作日内退还</w:t>
      </w:r>
      <w:r>
        <w:rPr>
          <w:rFonts w:hint="eastAsia" w:ascii="宋体" w:hAnsi="宋体"/>
          <w:sz w:val="24"/>
        </w:rPr>
        <w:t>。</w:t>
      </w:r>
    </w:p>
    <w:p w14:paraId="15A18C70">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有下列情形之一的，采购人或采购代理机构不予退还磋商保证金：</w:t>
      </w:r>
    </w:p>
    <w:p w14:paraId="719570D0">
      <w:pPr>
        <w:numPr>
          <w:ilvl w:val="2"/>
          <w:numId w:val="9"/>
        </w:numPr>
        <w:snapToGrid w:val="0"/>
        <w:spacing w:line="360" w:lineRule="auto"/>
        <w:rPr>
          <w:rFonts w:hint="eastAsia" w:ascii="宋体" w:hAnsi="宋体"/>
          <w:sz w:val="24"/>
        </w:rPr>
      </w:pPr>
      <w:r>
        <w:rPr>
          <w:rFonts w:ascii="宋体" w:hAnsi="宋体"/>
          <w:sz w:val="24"/>
        </w:rPr>
        <w:t>供应商在提交响应文件截止时间后撤回响应文件的；</w:t>
      </w:r>
    </w:p>
    <w:p w14:paraId="0D15CA63">
      <w:pPr>
        <w:numPr>
          <w:ilvl w:val="2"/>
          <w:numId w:val="9"/>
        </w:numPr>
        <w:snapToGrid w:val="0"/>
        <w:spacing w:line="360" w:lineRule="auto"/>
        <w:rPr>
          <w:rFonts w:hint="eastAsia" w:ascii="宋体" w:hAnsi="宋体"/>
          <w:sz w:val="24"/>
        </w:rPr>
      </w:pPr>
      <w:r>
        <w:rPr>
          <w:rFonts w:ascii="宋体" w:hAnsi="宋体"/>
          <w:sz w:val="24"/>
        </w:rPr>
        <w:t>供应商在响应文件中提供虚假材料的；</w:t>
      </w:r>
    </w:p>
    <w:p w14:paraId="1801DDF5">
      <w:pPr>
        <w:numPr>
          <w:ilvl w:val="2"/>
          <w:numId w:val="9"/>
        </w:numPr>
        <w:snapToGrid w:val="0"/>
        <w:spacing w:line="360" w:lineRule="auto"/>
        <w:rPr>
          <w:rFonts w:hint="eastAsia" w:ascii="宋体" w:hAnsi="宋体"/>
          <w:sz w:val="24"/>
        </w:rPr>
      </w:pPr>
      <w:r>
        <w:rPr>
          <w:rFonts w:ascii="宋体" w:hAnsi="宋体"/>
          <w:sz w:val="24"/>
        </w:rPr>
        <w:t>除因不可抗力或磋商文件认可的情形以外，成交供应商不与采购人签订合同的；</w:t>
      </w:r>
    </w:p>
    <w:p w14:paraId="1AACB701">
      <w:pPr>
        <w:numPr>
          <w:ilvl w:val="2"/>
          <w:numId w:val="9"/>
        </w:numPr>
        <w:snapToGrid w:val="0"/>
        <w:spacing w:line="360" w:lineRule="auto"/>
        <w:rPr>
          <w:rFonts w:hint="eastAsia" w:ascii="宋体" w:hAnsi="宋体"/>
          <w:sz w:val="24"/>
        </w:rPr>
      </w:pPr>
      <w:r>
        <w:rPr>
          <w:rFonts w:ascii="宋体" w:hAnsi="宋体"/>
          <w:sz w:val="24"/>
        </w:rPr>
        <w:t>供应商与采购人、其他供应商或者采购代理机构恶意串通的；</w:t>
      </w:r>
    </w:p>
    <w:p w14:paraId="6EF56146">
      <w:pPr>
        <w:numPr>
          <w:ilvl w:val="2"/>
          <w:numId w:val="9"/>
        </w:numPr>
        <w:snapToGrid w:val="0"/>
        <w:spacing w:line="360" w:lineRule="auto"/>
        <w:rPr>
          <w:rFonts w:hint="eastAsia" w:ascii="宋体" w:hAnsi="宋体"/>
          <w:sz w:val="24"/>
        </w:rPr>
      </w:pPr>
      <w:r>
        <w:rPr>
          <w:rFonts w:ascii="宋体" w:hAnsi="宋体"/>
          <w:sz w:val="24"/>
        </w:rPr>
        <w:t>《供应商须知资料表》规定的其他情形。</w:t>
      </w:r>
    </w:p>
    <w:p w14:paraId="56A1B84F">
      <w:pPr>
        <w:numPr>
          <w:ilvl w:val="0"/>
          <w:numId w:val="9"/>
        </w:numPr>
        <w:tabs>
          <w:tab w:val="left" w:pos="360"/>
        </w:tabs>
        <w:snapToGrid w:val="0"/>
        <w:spacing w:line="360" w:lineRule="auto"/>
        <w:ind w:left="357" w:hanging="357"/>
        <w:outlineLvl w:val="1"/>
        <w:rPr>
          <w:rFonts w:hint="eastAsia" w:ascii="宋体" w:hAnsi="宋体"/>
          <w:sz w:val="24"/>
        </w:rPr>
      </w:pPr>
      <w:r>
        <w:rPr>
          <w:rFonts w:ascii="宋体" w:hAnsi="宋体"/>
          <w:sz w:val="24"/>
        </w:rPr>
        <w:t>响应有效期</w:t>
      </w:r>
    </w:p>
    <w:p w14:paraId="15288E89">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响应文件应在本竞争性磋商文件《供应商须知资料表》中规定的响应有效期内保持有效，响应有效期少于竞争性磋商文件规定期限的，其</w:t>
      </w:r>
      <w:r>
        <w:rPr>
          <w:rFonts w:ascii="宋体" w:hAnsi="宋体"/>
          <w:b/>
          <w:sz w:val="24"/>
        </w:rPr>
        <w:t>响应无效</w:t>
      </w:r>
      <w:r>
        <w:rPr>
          <w:rFonts w:ascii="宋体" w:hAnsi="宋体"/>
          <w:sz w:val="24"/>
        </w:rPr>
        <w:t>。</w:t>
      </w:r>
    </w:p>
    <w:p w14:paraId="4FF0DD75">
      <w:pPr>
        <w:numPr>
          <w:ilvl w:val="0"/>
          <w:numId w:val="9"/>
        </w:numPr>
        <w:tabs>
          <w:tab w:val="left" w:pos="360"/>
        </w:tabs>
        <w:snapToGrid w:val="0"/>
        <w:spacing w:line="360" w:lineRule="auto"/>
        <w:ind w:left="357" w:hanging="357"/>
        <w:outlineLvl w:val="1"/>
        <w:rPr>
          <w:rFonts w:hint="eastAsia" w:ascii="宋体" w:hAnsi="宋体"/>
          <w:sz w:val="24"/>
        </w:rPr>
      </w:pPr>
      <w:bookmarkStart w:id="293" w:name="_Toc151193921"/>
      <w:bookmarkStart w:id="294" w:name="_Toc127151734"/>
      <w:bookmarkStart w:id="295" w:name="_Toc164608802"/>
      <w:bookmarkStart w:id="296" w:name="_Toc265228371"/>
      <w:bookmarkStart w:id="297" w:name="_Toc151193775"/>
      <w:bookmarkStart w:id="298" w:name="_Toc226337229"/>
      <w:bookmarkStart w:id="299" w:name="_Toc305158875"/>
      <w:bookmarkStart w:id="300" w:name="_Toc164608647"/>
      <w:bookmarkStart w:id="301" w:name="_Toc150774633"/>
      <w:bookmarkStart w:id="302" w:name="_Toc195842898"/>
      <w:bookmarkStart w:id="303" w:name="_Toc151193847"/>
      <w:bookmarkStart w:id="304" w:name="_Toc151193631"/>
      <w:bookmarkStart w:id="305" w:name="_Toc305158801"/>
      <w:bookmarkStart w:id="306" w:name="_Toc150509284"/>
      <w:bookmarkStart w:id="307" w:name="_Toc226965723"/>
      <w:bookmarkStart w:id="308" w:name="_Toc151190160"/>
      <w:bookmarkStart w:id="309" w:name="_Toc226309777"/>
      <w:bookmarkStart w:id="310" w:name="_Toc127151533"/>
      <w:bookmarkStart w:id="311" w:name="_Toc226965806"/>
      <w:bookmarkStart w:id="312" w:name="_Toc520356158"/>
      <w:bookmarkStart w:id="313" w:name="_Toc151193703"/>
      <w:bookmarkStart w:id="314" w:name="_Toc127161447"/>
      <w:bookmarkStart w:id="315" w:name="_Toc150480771"/>
      <w:bookmarkStart w:id="316" w:name="_Toc149720826"/>
      <w:bookmarkStart w:id="317" w:name="_Toc164351627"/>
      <w:bookmarkStart w:id="318" w:name="_Toc264969223"/>
      <w:bookmarkStart w:id="319" w:name="_Toc164229228"/>
      <w:bookmarkStart w:id="320" w:name="_Toc164229374"/>
      <w:bookmarkStart w:id="321" w:name="_Toc150774738"/>
      <w:bookmarkStart w:id="322" w:name="_Toc142311035"/>
      <w:r>
        <w:rPr>
          <w:rFonts w:ascii="宋体" w:hAnsi="宋体"/>
          <w:sz w:val="24"/>
        </w:rPr>
        <w:t>响应文件的签署</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r>
        <w:rPr>
          <w:rFonts w:ascii="宋体" w:hAnsi="宋体"/>
          <w:sz w:val="24"/>
        </w:rPr>
        <w:t>、盖章</w:t>
      </w:r>
    </w:p>
    <w:p w14:paraId="666CBA7A">
      <w:pPr>
        <w:numPr>
          <w:ilvl w:val="1"/>
          <w:numId w:val="9"/>
        </w:numPr>
        <w:tabs>
          <w:tab w:val="left" w:pos="1080"/>
          <w:tab w:val="left" w:pos="2014"/>
        </w:tabs>
        <w:snapToGrid w:val="0"/>
        <w:spacing w:line="360" w:lineRule="auto"/>
        <w:ind w:left="1077" w:hanging="720"/>
        <w:rPr>
          <w:rFonts w:hint="eastAsia" w:ascii="宋体" w:hAnsi="宋体"/>
          <w:sz w:val="24"/>
        </w:rPr>
      </w:pPr>
      <w:bookmarkStart w:id="323" w:name="_Toc151193922"/>
      <w:bookmarkStart w:id="324" w:name="_Toc150774739"/>
      <w:bookmarkStart w:id="325" w:name="_Toc520356159"/>
      <w:bookmarkStart w:id="326" w:name="_Toc150480772"/>
      <w:bookmarkStart w:id="327" w:name="_Toc150509285"/>
      <w:bookmarkStart w:id="328" w:name="_Toc151193632"/>
      <w:bookmarkStart w:id="329" w:name="_Toc265228372"/>
      <w:bookmarkStart w:id="330" w:name="_Toc151190161"/>
      <w:bookmarkStart w:id="331" w:name="_Toc142311036"/>
      <w:bookmarkStart w:id="332" w:name="_Toc150774634"/>
      <w:bookmarkStart w:id="333" w:name="_Toc151193704"/>
      <w:bookmarkStart w:id="334" w:name="_Toc226309778"/>
      <w:bookmarkStart w:id="335" w:name="_Toc226965724"/>
      <w:bookmarkStart w:id="336" w:name="_Toc151193776"/>
      <w:bookmarkStart w:id="337" w:name="_Toc305158876"/>
      <w:bookmarkStart w:id="338" w:name="_Toc226965807"/>
      <w:bookmarkStart w:id="339" w:name="_Toc151193848"/>
      <w:bookmarkStart w:id="340" w:name="_Toc305158802"/>
      <w:bookmarkStart w:id="341" w:name="_Toc226337230"/>
      <w:bookmarkStart w:id="342" w:name="_Toc264969224"/>
      <w:bookmarkStart w:id="343" w:name="_Toc195842899"/>
      <w:bookmarkStart w:id="344" w:name="_Toc127151534"/>
      <w:r>
        <w:rPr>
          <w:rFonts w:hint="eastAsia" w:ascii="宋体" w:hAnsi="宋体"/>
          <w:sz w:val="24"/>
        </w:rPr>
        <w:t>供应商应准备一份响应文件正本和“供应商须知前附表”中规定数目的副本，及1份电子版本，每套响应文件须清楚地标明“正本”“副本”“电子版本”。若正本和副本不符，以正本为准，电子版与纸制文件不符，以纸制文件为准，响应文件制作提倡双面打印，装订方式为胶装，不得为活页装订。</w:t>
      </w:r>
    </w:p>
    <w:p w14:paraId="743AC684">
      <w:pPr>
        <w:numPr>
          <w:ilvl w:val="1"/>
          <w:numId w:val="9"/>
        </w:numPr>
        <w:tabs>
          <w:tab w:val="left" w:pos="1080"/>
          <w:tab w:val="left" w:pos="2014"/>
        </w:tabs>
        <w:snapToGrid w:val="0"/>
        <w:spacing w:line="360" w:lineRule="auto"/>
        <w:ind w:left="1077" w:hanging="720"/>
        <w:rPr>
          <w:rFonts w:hint="eastAsia" w:ascii="宋体" w:hAnsi="宋体"/>
          <w:b/>
          <w:bCs/>
          <w:sz w:val="24"/>
          <w:u w:val="single"/>
        </w:rPr>
      </w:pPr>
      <w:r>
        <w:rPr>
          <w:rFonts w:hint="eastAsia" w:ascii="宋体" w:hAnsi="宋体"/>
          <w:b/>
          <w:bCs/>
          <w:sz w:val="24"/>
          <w:u w:val="single"/>
        </w:rPr>
        <w:t>响应文件的正本需打印或用不褪色墨水书写，并由供应商的法定代表人或经其正式委托代理人按照竞争性磋商文件要求在响应文件上进行签署、盖章。响应文件的副本可采用正本的复印件。</w:t>
      </w:r>
    </w:p>
    <w:p w14:paraId="0DDE9AE3">
      <w:pPr>
        <w:numPr>
          <w:ilvl w:val="1"/>
          <w:numId w:val="9"/>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任何行间插字、涂改或增删，必须由响应文件签字人姓或首字母在旁边签字才有效。</w:t>
      </w:r>
    </w:p>
    <w:p w14:paraId="2FE89D5B">
      <w:pPr>
        <w:numPr>
          <w:ilvl w:val="1"/>
          <w:numId w:val="9"/>
        </w:numPr>
        <w:tabs>
          <w:tab w:val="left" w:pos="1080"/>
          <w:tab w:val="left" w:pos="2014"/>
        </w:tabs>
        <w:snapToGrid w:val="0"/>
        <w:spacing w:line="360" w:lineRule="auto"/>
        <w:ind w:left="1077" w:hanging="720"/>
        <w:rPr>
          <w:rFonts w:hint="eastAsia" w:ascii="宋体" w:hAnsi="宋体"/>
          <w:b/>
          <w:bCs/>
          <w:sz w:val="24"/>
          <w:u w:val="single"/>
        </w:rPr>
      </w:pPr>
      <w:r>
        <w:rPr>
          <w:rFonts w:hint="eastAsia" w:ascii="宋体" w:hAnsi="宋体"/>
          <w:sz w:val="24"/>
        </w:rPr>
        <w:t>响应文件应准备商务标书和技术标书（商务和技术可装订为一册），准备一份响应文件正本和“供应商须知前附表”中规定数目的副本。</w:t>
      </w:r>
    </w:p>
    <w:p w14:paraId="09E969F4">
      <w:pPr>
        <w:tabs>
          <w:tab w:val="left" w:pos="900"/>
          <w:tab w:val="left" w:pos="1080"/>
        </w:tabs>
        <w:snapToGrid w:val="0"/>
        <w:spacing w:line="360" w:lineRule="auto"/>
        <w:ind w:left="357"/>
        <w:rPr>
          <w:rFonts w:hint="eastAsia" w:ascii="宋体" w:hAnsi="宋体"/>
        </w:rPr>
      </w:pPr>
    </w:p>
    <w:p w14:paraId="5A926A77">
      <w:pPr>
        <w:pStyle w:val="3"/>
        <w:spacing w:before="0" w:line="360" w:lineRule="auto"/>
        <w:rPr>
          <w:rFonts w:hint="eastAsia" w:ascii="宋体" w:hAnsi="宋体" w:eastAsia="宋体"/>
          <w:sz w:val="28"/>
        </w:rPr>
      </w:pPr>
      <w:r>
        <w:rPr>
          <w:rFonts w:ascii="宋体" w:hAnsi="宋体" w:eastAsia="宋体"/>
          <w:sz w:val="28"/>
        </w:rPr>
        <w:t>四   响应文件的提交</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3E0B333E">
      <w:pPr>
        <w:numPr>
          <w:ilvl w:val="0"/>
          <w:numId w:val="9"/>
        </w:numPr>
        <w:tabs>
          <w:tab w:val="left" w:pos="360"/>
        </w:tabs>
        <w:snapToGrid w:val="0"/>
        <w:spacing w:line="360" w:lineRule="auto"/>
        <w:ind w:left="357" w:hanging="357"/>
        <w:outlineLvl w:val="1"/>
        <w:rPr>
          <w:rFonts w:hint="eastAsia" w:ascii="宋体" w:hAnsi="宋体"/>
          <w:sz w:val="24"/>
        </w:rPr>
      </w:pPr>
      <w:bookmarkStart w:id="345" w:name="_Toc151193923"/>
      <w:bookmarkStart w:id="346" w:name="_Toc150509286"/>
      <w:bookmarkStart w:id="347" w:name="_Toc149720828"/>
      <w:bookmarkStart w:id="348" w:name="_Toc520356160"/>
      <w:bookmarkStart w:id="349" w:name="_Toc164608804"/>
      <w:bookmarkStart w:id="350" w:name="_Toc226965808"/>
      <w:bookmarkStart w:id="351" w:name="_Toc150480773"/>
      <w:bookmarkStart w:id="352" w:name="_Toc164229230"/>
      <w:bookmarkStart w:id="353" w:name="_Toc127161449"/>
      <w:bookmarkStart w:id="354" w:name="_Toc150774635"/>
      <w:bookmarkStart w:id="355" w:name="_Toc151193777"/>
      <w:bookmarkStart w:id="356" w:name="_Toc264969225"/>
      <w:bookmarkStart w:id="357" w:name="_Toc151193705"/>
      <w:bookmarkStart w:id="358" w:name="_Toc127151535"/>
      <w:bookmarkStart w:id="359" w:name="_Toc164608649"/>
      <w:bookmarkStart w:id="360" w:name="_Toc226337231"/>
      <w:bookmarkStart w:id="361" w:name="_Toc151190162"/>
      <w:bookmarkStart w:id="362" w:name="_Toc226309779"/>
      <w:bookmarkStart w:id="363" w:name="_Toc265228373"/>
      <w:bookmarkStart w:id="364" w:name="_Toc305158877"/>
      <w:bookmarkStart w:id="365" w:name="_Toc195842900"/>
      <w:bookmarkStart w:id="366" w:name="_Toc151193633"/>
      <w:bookmarkStart w:id="367" w:name="_Toc305158803"/>
      <w:bookmarkStart w:id="368" w:name="_Toc127151736"/>
      <w:bookmarkStart w:id="369" w:name="_Toc150774740"/>
      <w:bookmarkStart w:id="370" w:name="_Toc226965725"/>
      <w:bookmarkStart w:id="371" w:name="_Toc164229376"/>
      <w:bookmarkStart w:id="372" w:name="_Toc151193849"/>
      <w:bookmarkStart w:id="373" w:name="_Toc164351629"/>
      <w:bookmarkStart w:id="374" w:name="_Toc142311037"/>
      <w:r>
        <w:rPr>
          <w:rFonts w:ascii="宋体" w:hAnsi="宋体"/>
          <w:sz w:val="24"/>
        </w:rPr>
        <w:t>响应文件的</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r>
        <w:rPr>
          <w:rFonts w:ascii="宋体" w:hAnsi="宋体"/>
          <w:sz w:val="24"/>
        </w:rPr>
        <w:t>提交</w:t>
      </w:r>
    </w:p>
    <w:p w14:paraId="4EB9AD76">
      <w:pPr>
        <w:numPr>
          <w:ilvl w:val="1"/>
          <w:numId w:val="9"/>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保证金单独密封提交，并在信封上标明 “响应保证金”字样。</w:t>
      </w:r>
    </w:p>
    <w:p w14:paraId="44405CD6">
      <w:pPr>
        <w:numPr>
          <w:ilvl w:val="1"/>
          <w:numId w:val="9"/>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供应商应将响应文件正本、所有的副本统一装在一个密封袋/箱中，并在封面上标明“响应文件”字样；电子版单独密封提交，并在信封上标明“电子版”字样。</w:t>
      </w:r>
    </w:p>
    <w:p w14:paraId="743656D4">
      <w:pPr>
        <w:numPr>
          <w:ilvl w:val="1"/>
          <w:numId w:val="9"/>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密封袋封皮上均应</w:t>
      </w:r>
    </w:p>
    <w:p w14:paraId="63AE0218">
      <w:pPr>
        <w:tabs>
          <w:tab w:val="left" w:pos="900"/>
          <w:tab w:val="left" w:pos="1080"/>
          <w:tab w:val="left" w:pos="1589"/>
          <w:tab w:val="left" w:pos="2014"/>
        </w:tabs>
        <w:snapToGrid w:val="0"/>
        <w:spacing w:line="360" w:lineRule="auto"/>
        <w:ind w:left="1077"/>
        <w:rPr>
          <w:rFonts w:hint="eastAsia" w:ascii="宋体" w:hAnsi="宋体"/>
          <w:sz w:val="24"/>
        </w:rPr>
      </w:pPr>
      <w:r>
        <w:rPr>
          <w:rFonts w:hint="eastAsia" w:ascii="宋体" w:hAnsi="宋体"/>
          <w:sz w:val="24"/>
        </w:rPr>
        <w:t>1)</w:t>
      </w:r>
      <w:r>
        <w:rPr>
          <w:rFonts w:hint="eastAsia" w:ascii="宋体" w:hAnsi="宋体"/>
          <w:sz w:val="24"/>
        </w:rPr>
        <w:tab/>
      </w:r>
      <w:r>
        <w:rPr>
          <w:rFonts w:hint="eastAsia" w:ascii="宋体" w:hAnsi="宋体"/>
          <w:sz w:val="24"/>
        </w:rPr>
        <w:t>清楚标明递交至“供应商须知前附表”中指明的地址。</w:t>
      </w:r>
    </w:p>
    <w:p w14:paraId="25932EF5">
      <w:pPr>
        <w:tabs>
          <w:tab w:val="left" w:pos="900"/>
          <w:tab w:val="left" w:pos="1080"/>
          <w:tab w:val="left" w:pos="1589"/>
          <w:tab w:val="left" w:pos="2014"/>
        </w:tabs>
        <w:snapToGrid w:val="0"/>
        <w:spacing w:line="360" w:lineRule="auto"/>
        <w:ind w:left="1077"/>
        <w:rPr>
          <w:rFonts w:hint="eastAsia" w:ascii="宋体" w:hAnsi="宋体"/>
          <w:sz w:val="24"/>
        </w:rPr>
      </w:pPr>
      <w:r>
        <w:rPr>
          <w:rFonts w:hint="eastAsia" w:ascii="宋体" w:hAnsi="宋体"/>
          <w:sz w:val="24"/>
        </w:rPr>
        <w:t>2)</w:t>
      </w:r>
      <w:r>
        <w:rPr>
          <w:rFonts w:hint="eastAsia" w:ascii="宋体" w:hAnsi="宋体"/>
          <w:sz w:val="24"/>
        </w:rPr>
        <w:tab/>
      </w:r>
      <w:r>
        <w:rPr>
          <w:rFonts w:hint="eastAsia" w:ascii="宋体" w:hAnsi="宋体"/>
          <w:sz w:val="24"/>
        </w:rPr>
        <w:t>注明“供应商须知前附表”中指明的项目名称、项目编号（包号）和“在   年  月   日   时之前不得启封”的字样。</w:t>
      </w:r>
    </w:p>
    <w:p w14:paraId="1A7D377C">
      <w:pPr>
        <w:tabs>
          <w:tab w:val="left" w:pos="900"/>
          <w:tab w:val="left" w:pos="1080"/>
          <w:tab w:val="left" w:pos="1589"/>
          <w:tab w:val="left" w:pos="2014"/>
        </w:tabs>
        <w:snapToGrid w:val="0"/>
        <w:spacing w:line="360" w:lineRule="auto"/>
        <w:ind w:left="1077"/>
        <w:rPr>
          <w:rFonts w:hint="eastAsia" w:ascii="宋体" w:hAnsi="宋体"/>
          <w:sz w:val="24"/>
        </w:rPr>
      </w:pPr>
      <w:r>
        <w:rPr>
          <w:rFonts w:hint="eastAsia" w:ascii="宋体" w:hAnsi="宋体"/>
          <w:sz w:val="24"/>
        </w:rPr>
        <w:t>3)</w:t>
      </w:r>
      <w:r>
        <w:rPr>
          <w:rFonts w:hint="eastAsia" w:ascii="宋体" w:hAnsi="宋体"/>
          <w:sz w:val="24"/>
        </w:rPr>
        <w:tab/>
      </w:r>
      <w:r>
        <w:rPr>
          <w:rFonts w:hint="eastAsia" w:ascii="宋体" w:hAnsi="宋体"/>
          <w:sz w:val="24"/>
        </w:rPr>
        <w:t>供应商名称和地址。</w:t>
      </w:r>
    </w:p>
    <w:p w14:paraId="50C658A7">
      <w:pPr>
        <w:numPr>
          <w:ilvl w:val="1"/>
          <w:numId w:val="9"/>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如果外层信封未按本须知要求加写标记和密封，采购代理机构对误投或过早启封概不负责。</w:t>
      </w:r>
    </w:p>
    <w:p w14:paraId="6443D8E1">
      <w:pPr>
        <w:numPr>
          <w:ilvl w:val="0"/>
          <w:numId w:val="9"/>
        </w:numPr>
        <w:tabs>
          <w:tab w:val="left" w:pos="360"/>
        </w:tabs>
        <w:snapToGrid w:val="0"/>
        <w:spacing w:line="360" w:lineRule="auto"/>
        <w:ind w:left="357" w:hanging="357"/>
        <w:outlineLvl w:val="1"/>
        <w:rPr>
          <w:rFonts w:hint="eastAsia" w:ascii="宋体" w:hAnsi="宋体"/>
          <w:sz w:val="24"/>
        </w:rPr>
      </w:pPr>
      <w:bookmarkStart w:id="375" w:name="_Toc150480774"/>
      <w:bookmarkStart w:id="376" w:name="_Toc151193778"/>
      <w:bookmarkStart w:id="377" w:name="_Toc149720829"/>
      <w:bookmarkStart w:id="378" w:name="_Toc127161450"/>
      <w:bookmarkStart w:id="379" w:name="_Toc226965726"/>
      <w:bookmarkStart w:id="380" w:name="_Toc265228374"/>
      <w:bookmarkStart w:id="381" w:name="_Toc127151536"/>
      <w:bookmarkStart w:id="382" w:name="_Toc151193924"/>
      <w:bookmarkStart w:id="383" w:name="_Toc150774636"/>
      <w:bookmarkStart w:id="384" w:name="_Toc151193706"/>
      <w:bookmarkStart w:id="385" w:name="_Toc150774741"/>
      <w:bookmarkStart w:id="386" w:name="_Toc151190163"/>
      <w:bookmarkStart w:id="387" w:name="_Toc226309780"/>
      <w:bookmarkStart w:id="388" w:name="_Toc164351630"/>
      <w:bookmarkStart w:id="389" w:name="_Toc226337232"/>
      <w:bookmarkStart w:id="390" w:name="_Toc142311038"/>
      <w:bookmarkStart w:id="391" w:name="_Toc164229377"/>
      <w:bookmarkStart w:id="392" w:name="_Toc305158804"/>
      <w:bookmarkStart w:id="393" w:name="_Toc226965809"/>
      <w:bookmarkStart w:id="394" w:name="_Toc305158878"/>
      <w:bookmarkStart w:id="395" w:name="_Toc164229231"/>
      <w:bookmarkStart w:id="396" w:name="_Toc150509287"/>
      <w:bookmarkStart w:id="397" w:name="_Toc520356161"/>
      <w:bookmarkStart w:id="398" w:name="_Toc164608805"/>
      <w:bookmarkStart w:id="399" w:name="_Toc151193850"/>
      <w:bookmarkStart w:id="400" w:name="_Toc164608650"/>
      <w:bookmarkStart w:id="401" w:name="_Toc127151737"/>
      <w:bookmarkStart w:id="402" w:name="_Toc151193634"/>
      <w:bookmarkStart w:id="403" w:name="_Toc264969226"/>
      <w:bookmarkStart w:id="404" w:name="_Toc195842901"/>
      <w:r>
        <w:rPr>
          <w:rFonts w:ascii="宋体" w:hAnsi="宋体"/>
          <w:sz w:val="24"/>
        </w:rPr>
        <w:t>响应文件截止</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Pr>
          <w:rFonts w:ascii="宋体" w:hAnsi="宋体"/>
          <w:sz w:val="24"/>
        </w:rPr>
        <w:t>时间</w:t>
      </w:r>
    </w:p>
    <w:p w14:paraId="19E42441">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供应商应在竞争性磋商文件要求提交响应文件截止时间前，将响应文件提交至</w:t>
      </w:r>
      <w:r>
        <w:rPr>
          <w:rFonts w:hint="eastAsia" w:ascii="宋体" w:hAnsi="宋体"/>
          <w:sz w:val="24"/>
        </w:rPr>
        <w:t>第一章“采购邀请”中指定提交地点</w:t>
      </w:r>
      <w:r>
        <w:rPr>
          <w:rFonts w:ascii="宋体" w:hAnsi="宋体"/>
          <w:sz w:val="24"/>
        </w:rPr>
        <w:t>。</w:t>
      </w:r>
    </w:p>
    <w:p w14:paraId="604F9665">
      <w:pPr>
        <w:numPr>
          <w:ilvl w:val="1"/>
          <w:numId w:val="9"/>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采购代理机构可以按本须知规定，通知修改磋商文件适当延长截止期。在此情况下，采购代理机构、采购人和供应商受截止期制约的所有权利和义务均应延长至新的截止期。</w:t>
      </w:r>
    </w:p>
    <w:p w14:paraId="68499727">
      <w:pPr>
        <w:numPr>
          <w:ilvl w:val="0"/>
          <w:numId w:val="9"/>
        </w:numPr>
        <w:tabs>
          <w:tab w:val="left" w:pos="360"/>
        </w:tabs>
        <w:snapToGrid w:val="0"/>
        <w:spacing w:line="360" w:lineRule="auto"/>
        <w:ind w:left="357" w:hanging="357"/>
        <w:outlineLvl w:val="1"/>
        <w:rPr>
          <w:rFonts w:hint="eastAsia" w:ascii="宋体" w:hAnsi="宋体"/>
          <w:sz w:val="24"/>
        </w:rPr>
      </w:pPr>
      <w:bookmarkStart w:id="405" w:name="_Toc127161451"/>
      <w:bookmarkStart w:id="406" w:name="_Toc520356162"/>
      <w:bookmarkStart w:id="407" w:name="_Toc164608651"/>
      <w:bookmarkStart w:id="408" w:name="_Toc226309781"/>
      <w:bookmarkStart w:id="409" w:name="_Toc127151537"/>
      <w:bookmarkStart w:id="410" w:name="_Toc195842902"/>
      <w:bookmarkStart w:id="411" w:name="_Toc164351631"/>
      <w:bookmarkStart w:id="412" w:name="_Toc142311039"/>
      <w:bookmarkStart w:id="413" w:name="_Toc150774742"/>
      <w:bookmarkStart w:id="414" w:name="_Toc150774637"/>
      <w:bookmarkStart w:id="415" w:name="_Toc226965727"/>
      <w:bookmarkStart w:id="416" w:name="_Toc226965810"/>
      <w:bookmarkStart w:id="417" w:name="_Toc164229378"/>
      <w:bookmarkStart w:id="418" w:name="_Toc150509288"/>
      <w:bookmarkStart w:id="419" w:name="_Toc127151738"/>
      <w:bookmarkStart w:id="420" w:name="_Toc151190164"/>
      <w:bookmarkStart w:id="421" w:name="_Toc151193779"/>
      <w:bookmarkStart w:id="422" w:name="_Toc305158805"/>
      <w:bookmarkStart w:id="423" w:name="_Toc164608806"/>
      <w:bookmarkStart w:id="424" w:name="_Toc164229232"/>
      <w:bookmarkStart w:id="425" w:name="_Toc149720830"/>
      <w:bookmarkStart w:id="426" w:name="_Toc151193925"/>
      <w:bookmarkStart w:id="427" w:name="_Toc226337233"/>
      <w:bookmarkStart w:id="428" w:name="_Toc151193707"/>
      <w:bookmarkStart w:id="429" w:name="_Toc305158879"/>
      <w:bookmarkStart w:id="430" w:name="_Toc264969227"/>
      <w:bookmarkStart w:id="431" w:name="_Toc151193635"/>
      <w:bookmarkStart w:id="432" w:name="_Toc150480775"/>
      <w:bookmarkStart w:id="433" w:name="_Toc265228375"/>
      <w:bookmarkStart w:id="434" w:name="_Toc151193851"/>
      <w:r>
        <w:rPr>
          <w:rFonts w:ascii="宋体" w:hAnsi="宋体"/>
          <w:sz w:val="24"/>
        </w:rPr>
        <w:t>响应文件的修改与撤回</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6A3893AC">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提交响应文件截止时间前，供应商可以对所提交的响应文件进行补充、修改或者撤回。</w:t>
      </w:r>
      <w:r>
        <w:rPr>
          <w:rFonts w:hint="eastAsia" w:ascii="宋体" w:hAnsi="宋体"/>
          <w:sz w:val="24"/>
        </w:rPr>
        <w:t>就其</w:t>
      </w:r>
      <w:r>
        <w:rPr>
          <w:rFonts w:ascii="宋体" w:hAnsi="宋体"/>
          <w:sz w:val="24"/>
        </w:rPr>
        <w:t>补充、修改或者撤回</w:t>
      </w:r>
      <w:r>
        <w:rPr>
          <w:rFonts w:hint="eastAsia" w:ascii="宋体" w:hAnsi="宋体"/>
          <w:sz w:val="24"/>
        </w:rPr>
        <w:t>的应书面通知</w:t>
      </w:r>
      <w:r>
        <w:rPr>
          <w:rFonts w:ascii="宋体" w:hAnsi="宋体"/>
          <w:sz w:val="24"/>
        </w:rPr>
        <w:t>采购人或采购代理机构。</w:t>
      </w:r>
    </w:p>
    <w:p w14:paraId="17862BE4">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供应商对响应文件的补充、修改的内容应当按照竞争性磋商文件要求签署、盖章，作为响应文件的组成部分。</w:t>
      </w:r>
      <w:r>
        <w:rPr>
          <w:rFonts w:ascii="宋体" w:hAnsi="宋体"/>
          <w:kern w:val="0"/>
          <w:sz w:val="24"/>
        </w:rPr>
        <w:t>补充、修改的内容与响应文件不一致的，以补充、修改的内容为准。</w:t>
      </w:r>
    </w:p>
    <w:p w14:paraId="114E8DB7">
      <w:pPr>
        <w:numPr>
          <w:ilvl w:val="1"/>
          <w:numId w:val="9"/>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在截止期之后，供应商不得对其响应文件做任何修改。</w:t>
      </w:r>
    </w:p>
    <w:p w14:paraId="0D9F6EB0">
      <w:pPr>
        <w:numPr>
          <w:ilvl w:val="1"/>
          <w:numId w:val="9"/>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从截止期至供应商在响应文件书格式中确定的有效期期满这段时间内，供应商不得撤回其响应文件，否则其保证金将按照本须知的规定被没收。</w:t>
      </w:r>
    </w:p>
    <w:p w14:paraId="38661B2C">
      <w:pPr>
        <w:tabs>
          <w:tab w:val="left" w:pos="900"/>
          <w:tab w:val="left" w:pos="1080"/>
          <w:tab w:val="left" w:pos="1589"/>
        </w:tabs>
        <w:snapToGrid w:val="0"/>
        <w:spacing w:line="360" w:lineRule="auto"/>
        <w:ind w:left="357"/>
        <w:rPr>
          <w:rFonts w:hint="eastAsia" w:ascii="宋体" w:hAnsi="宋体"/>
          <w:sz w:val="24"/>
        </w:rPr>
      </w:pPr>
    </w:p>
    <w:p w14:paraId="402D3A88">
      <w:pPr>
        <w:pStyle w:val="3"/>
        <w:spacing w:before="0" w:line="360" w:lineRule="auto"/>
        <w:rPr>
          <w:rFonts w:hint="eastAsia" w:ascii="宋体" w:hAnsi="宋体" w:eastAsia="宋体"/>
          <w:sz w:val="28"/>
        </w:rPr>
      </w:pPr>
      <w:bookmarkStart w:id="435" w:name="_Toc151193852"/>
      <w:bookmarkStart w:id="436" w:name="_Toc305158806"/>
      <w:bookmarkStart w:id="437" w:name="_Toc151190165"/>
      <w:bookmarkStart w:id="438" w:name="_Toc195842903"/>
      <w:bookmarkStart w:id="439" w:name="_Toc226309782"/>
      <w:bookmarkStart w:id="440" w:name="_Toc520356163"/>
      <w:bookmarkStart w:id="441" w:name="_Toc265228376"/>
      <w:bookmarkStart w:id="442" w:name="_Toc142311040"/>
      <w:bookmarkStart w:id="443" w:name="_Toc305158880"/>
      <w:bookmarkStart w:id="444" w:name="_Toc150509289"/>
      <w:bookmarkStart w:id="445" w:name="_Toc150480776"/>
      <w:bookmarkStart w:id="446" w:name="_Toc151193926"/>
      <w:bookmarkStart w:id="447" w:name="_Toc151193636"/>
      <w:bookmarkStart w:id="448" w:name="_Toc226337234"/>
      <w:bookmarkStart w:id="449" w:name="_Toc150774638"/>
      <w:bookmarkStart w:id="450" w:name="_Toc150774743"/>
      <w:bookmarkStart w:id="451" w:name="_Toc264969228"/>
      <w:bookmarkStart w:id="452" w:name="_Toc226965728"/>
      <w:bookmarkStart w:id="453" w:name="_Toc151193708"/>
      <w:bookmarkStart w:id="454" w:name="_Toc151193780"/>
      <w:bookmarkStart w:id="455" w:name="_Toc226965811"/>
      <w:bookmarkStart w:id="456" w:name="_Toc127151538"/>
      <w:r>
        <w:rPr>
          <w:rFonts w:ascii="宋体" w:hAnsi="宋体" w:eastAsia="宋体"/>
          <w:sz w:val="28"/>
        </w:rPr>
        <w:t xml:space="preserve">五   </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rFonts w:ascii="宋体" w:hAnsi="宋体" w:eastAsia="宋体"/>
          <w:sz w:val="28"/>
        </w:rPr>
        <w:t>评审</w:t>
      </w:r>
    </w:p>
    <w:p w14:paraId="222B3B31">
      <w:pPr>
        <w:numPr>
          <w:ilvl w:val="0"/>
          <w:numId w:val="9"/>
        </w:numPr>
        <w:tabs>
          <w:tab w:val="left" w:pos="360"/>
        </w:tabs>
        <w:snapToGrid w:val="0"/>
        <w:spacing w:line="360" w:lineRule="auto"/>
        <w:ind w:left="357" w:hanging="357"/>
        <w:outlineLvl w:val="1"/>
        <w:rPr>
          <w:rFonts w:hint="eastAsia" w:ascii="宋体" w:hAnsi="宋体"/>
          <w:sz w:val="24"/>
        </w:rPr>
      </w:pPr>
      <w:r>
        <w:rPr>
          <w:rFonts w:ascii="宋体" w:hAnsi="宋体"/>
          <w:sz w:val="24"/>
        </w:rPr>
        <w:t>响应文件的</w:t>
      </w:r>
      <w:r>
        <w:rPr>
          <w:rFonts w:hint="eastAsia" w:ascii="宋体" w:hAnsi="宋体"/>
          <w:sz w:val="24"/>
        </w:rPr>
        <w:t>递交与</w:t>
      </w:r>
      <w:r>
        <w:rPr>
          <w:rFonts w:ascii="宋体" w:hAnsi="宋体"/>
          <w:sz w:val="24"/>
        </w:rPr>
        <w:t>开启</w:t>
      </w:r>
    </w:p>
    <w:p w14:paraId="6F8A7AB9">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采购人或采购代理机构将按竞争性磋商文件的规定，在响应文件提交截止时间的同一时间和竞争性磋商文件预先确定的地点开启响应文件。</w:t>
      </w:r>
    </w:p>
    <w:p w14:paraId="2E9306B1">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597474F6">
      <w:pPr>
        <w:numPr>
          <w:ilvl w:val="1"/>
          <w:numId w:val="9"/>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除竞争性磋商管理办法或其补充通知规定的情形外，</w:t>
      </w:r>
      <w:r>
        <w:rPr>
          <w:rFonts w:ascii="宋体" w:hAnsi="宋体"/>
          <w:sz w:val="24"/>
        </w:rPr>
        <w:t>供应商不足3家的，不</w:t>
      </w:r>
      <w:r>
        <w:rPr>
          <w:rFonts w:hint="eastAsia" w:ascii="宋体" w:hAnsi="宋体"/>
          <w:sz w:val="24"/>
        </w:rPr>
        <w:t>可以继续进行</w:t>
      </w:r>
      <w:r>
        <w:rPr>
          <w:rFonts w:ascii="宋体" w:hAnsi="宋体"/>
          <w:sz w:val="24"/>
        </w:rPr>
        <w:t>。</w:t>
      </w:r>
    </w:p>
    <w:p w14:paraId="63B7F834">
      <w:pPr>
        <w:numPr>
          <w:ilvl w:val="1"/>
          <w:numId w:val="9"/>
        </w:numPr>
        <w:tabs>
          <w:tab w:val="left" w:pos="1080"/>
          <w:tab w:val="left" w:pos="2014"/>
        </w:tabs>
        <w:snapToGrid w:val="0"/>
        <w:spacing w:line="360" w:lineRule="auto"/>
        <w:ind w:left="1077" w:hanging="720"/>
        <w:rPr>
          <w:rFonts w:hint="eastAsia" w:ascii="宋体" w:hAnsi="宋体"/>
          <w:sz w:val="24"/>
        </w:rPr>
      </w:pPr>
      <w:bookmarkStart w:id="457" w:name="_Toc520356165"/>
      <w:r>
        <w:rPr>
          <w:rFonts w:ascii="宋体" w:hAnsi="宋体"/>
          <w:sz w:val="24"/>
        </w:rPr>
        <w:t>本项目不公开报价。</w:t>
      </w:r>
    </w:p>
    <w:bookmarkEnd w:id="457"/>
    <w:p w14:paraId="23B9BFE1">
      <w:pPr>
        <w:numPr>
          <w:ilvl w:val="0"/>
          <w:numId w:val="9"/>
        </w:numPr>
        <w:tabs>
          <w:tab w:val="left" w:pos="360"/>
        </w:tabs>
        <w:snapToGrid w:val="0"/>
        <w:spacing w:line="360" w:lineRule="auto"/>
        <w:ind w:left="357" w:hanging="357"/>
        <w:outlineLvl w:val="1"/>
        <w:rPr>
          <w:rFonts w:hint="eastAsia" w:ascii="宋体" w:hAnsi="宋体"/>
          <w:sz w:val="24"/>
        </w:rPr>
      </w:pPr>
      <w:r>
        <w:rPr>
          <w:rFonts w:ascii="宋体" w:hAnsi="宋体"/>
          <w:sz w:val="24"/>
        </w:rPr>
        <w:t>磋商小组</w:t>
      </w:r>
    </w:p>
    <w:p w14:paraId="2802DE2D">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磋商小组根据政府采购有关规定和本次采购项目的特点进行组建，并负责具体评审事务，独立履行职责。</w:t>
      </w:r>
      <w:bookmarkStart w:id="458" w:name="_Toc520356166"/>
    </w:p>
    <w:p w14:paraId="11122A1C">
      <w:pPr>
        <w:numPr>
          <w:ilvl w:val="1"/>
          <w:numId w:val="9"/>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采购人负责依法组建磋商小组，磋商及评审工作由磋商小组承担。磋商小组人数为3人或3人以上单数，受聘专家的资格、来源及聘用方式应符合国家法律、法规的有关规定。</w:t>
      </w:r>
    </w:p>
    <w:p w14:paraId="00E62BC6">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58"/>
      <w:bookmarkStart w:id="459" w:name="_Toc520356169"/>
    </w:p>
    <w:p w14:paraId="1929F5DE">
      <w:pPr>
        <w:numPr>
          <w:ilvl w:val="0"/>
          <w:numId w:val="9"/>
        </w:numPr>
        <w:tabs>
          <w:tab w:val="left" w:pos="360"/>
        </w:tabs>
        <w:snapToGrid w:val="0"/>
        <w:spacing w:line="360" w:lineRule="auto"/>
        <w:outlineLvl w:val="1"/>
        <w:rPr>
          <w:rFonts w:hint="eastAsia" w:ascii="宋体" w:hAnsi="宋体"/>
          <w:sz w:val="24"/>
        </w:rPr>
      </w:pPr>
      <w:r>
        <w:rPr>
          <w:rFonts w:ascii="宋体" w:hAnsi="宋体"/>
          <w:sz w:val="24"/>
        </w:rPr>
        <w:t>评审方法和评审标准</w:t>
      </w:r>
    </w:p>
    <w:p w14:paraId="79C9FC32">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见第三章《评审方法和评审标准》。</w:t>
      </w:r>
    </w:p>
    <w:p w14:paraId="54DCF87F">
      <w:pPr>
        <w:tabs>
          <w:tab w:val="left" w:pos="360"/>
          <w:tab w:val="left" w:pos="1080"/>
        </w:tabs>
        <w:snapToGrid w:val="0"/>
        <w:spacing w:line="360" w:lineRule="auto"/>
        <w:ind w:left="1080"/>
        <w:rPr>
          <w:rFonts w:hint="eastAsia" w:ascii="宋体" w:hAnsi="宋体"/>
          <w:sz w:val="24"/>
        </w:rPr>
      </w:pPr>
    </w:p>
    <w:p w14:paraId="3C35F8C7">
      <w:pPr>
        <w:pStyle w:val="3"/>
        <w:spacing w:before="0" w:line="360" w:lineRule="auto"/>
        <w:rPr>
          <w:rFonts w:hint="eastAsia" w:ascii="宋体" w:hAnsi="宋体" w:eastAsia="宋体"/>
          <w:sz w:val="28"/>
        </w:rPr>
      </w:pPr>
      <w:bookmarkStart w:id="460" w:name="_Toc127151545"/>
      <w:bookmarkStart w:id="461" w:name="_Toc226965735"/>
      <w:bookmarkStart w:id="462" w:name="_Toc151193933"/>
      <w:bookmarkStart w:id="463" w:name="_Toc305158813"/>
      <w:bookmarkStart w:id="464" w:name="_Toc226337241"/>
      <w:bookmarkStart w:id="465" w:name="_Toc150774645"/>
      <w:bookmarkStart w:id="466" w:name="_Toc226309789"/>
      <w:bookmarkStart w:id="467" w:name="_Toc150509296"/>
      <w:bookmarkStart w:id="468" w:name="_Toc195842910"/>
      <w:bookmarkStart w:id="469" w:name="_Toc150480783"/>
      <w:bookmarkStart w:id="470" w:name="_Toc150774750"/>
      <w:bookmarkStart w:id="471" w:name="_Toc265228383"/>
      <w:bookmarkStart w:id="472" w:name="_Toc151193787"/>
      <w:bookmarkStart w:id="473" w:name="_Toc151193715"/>
      <w:bookmarkStart w:id="474" w:name="_Toc151193643"/>
      <w:bookmarkStart w:id="475" w:name="_Toc151190172"/>
      <w:bookmarkStart w:id="476" w:name="_Toc142311047"/>
      <w:bookmarkStart w:id="477" w:name="_Toc305158887"/>
      <w:bookmarkStart w:id="478" w:name="_Toc264969235"/>
      <w:bookmarkStart w:id="479" w:name="_Toc226965818"/>
      <w:bookmarkStart w:id="480" w:name="_Toc151193859"/>
      <w:r>
        <w:rPr>
          <w:rFonts w:ascii="宋体" w:hAnsi="宋体" w:eastAsia="宋体"/>
          <w:sz w:val="28"/>
        </w:rPr>
        <w:t xml:space="preserve">六   </w:t>
      </w:r>
      <w:bookmarkEnd w:id="459"/>
      <w:r>
        <w:rPr>
          <w:rFonts w:ascii="宋体" w:hAnsi="宋体" w:eastAsia="宋体"/>
          <w:sz w:val="28"/>
        </w:rPr>
        <w:t>确定</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Pr>
          <w:rFonts w:ascii="宋体" w:hAnsi="宋体" w:eastAsia="宋体"/>
          <w:sz w:val="28"/>
        </w:rPr>
        <w:t>成交</w:t>
      </w:r>
    </w:p>
    <w:p w14:paraId="7D95BF8F">
      <w:pPr>
        <w:numPr>
          <w:ilvl w:val="0"/>
          <w:numId w:val="9"/>
        </w:numPr>
        <w:tabs>
          <w:tab w:val="left" w:pos="360"/>
        </w:tabs>
        <w:snapToGrid w:val="0"/>
        <w:spacing w:line="360" w:lineRule="auto"/>
        <w:ind w:left="357" w:hanging="357"/>
        <w:outlineLvl w:val="1"/>
        <w:rPr>
          <w:rFonts w:hint="eastAsia" w:ascii="宋体" w:hAnsi="宋体"/>
          <w:sz w:val="24"/>
        </w:rPr>
      </w:pPr>
      <w:bookmarkStart w:id="481" w:name="_Toc151193789"/>
      <w:bookmarkStart w:id="482" w:name="_Toc127161461"/>
      <w:bookmarkStart w:id="483" w:name="_Toc226309791"/>
      <w:bookmarkStart w:id="484" w:name="_Toc305158815"/>
      <w:bookmarkStart w:id="485" w:name="_Toc164229242"/>
      <w:bookmarkStart w:id="486" w:name="_Toc151193861"/>
      <w:bookmarkStart w:id="487" w:name="_Toc164351641"/>
      <w:bookmarkStart w:id="488" w:name="_Toc264969237"/>
      <w:bookmarkStart w:id="489" w:name="_Toc150774647"/>
      <w:bookmarkStart w:id="490" w:name="_Toc142311049"/>
      <w:bookmarkStart w:id="491" w:name="_Toc305158889"/>
      <w:bookmarkStart w:id="492" w:name="_Toc195842912"/>
      <w:bookmarkStart w:id="493" w:name="_Toc127151748"/>
      <w:bookmarkStart w:id="494" w:name="_Toc265228385"/>
      <w:bookmarkStart w:id="495" w:name="_Toc150480785"/>
      <w:bookmarkStart w:id="496" w:name="_Toc151190174"/>
      <w:bookmarkStart w:id="497" w:name="_Toc226965737"/>
      <w:bookmarkStart w:id="498" w:name="_Toc164608661"/>
      <w:bookmarkStart w:id="499" w:name="_Toc150509298"/>
      <w:bookmarkStart w:id="500" w:name="_Toc151193717"/>
      <w:bookmarkStart w:id="501" w:name="_Toc149720840"/>
      <w:bookmarkStart w:id="502" w:name="_Toc151193935"/>
      <w:bookmarkStart w:id="503" w:name="_Toc164608816"/>
      <w:bookmarkStart w:id="504" w:name="_Toc226965820"/>
      <w:bookmarkStart w:id="505" w:name="_Toc151193645"/>
      <w:bookmarkStart w:id="506" w:name="_Toc226337243"/>
      <w:bookmarkStart w:id="507" w:name="_Toc164229388"/>
      <w:bookmarkStart w:id="508" w:name="_Toc127151547"/>
      <w:bookmarkStart w:id="509" w:name="_Toc150774752"/>
      <w:r>
        <w:rPr>
          <w:rFonts w:ascii="宋体" w:hAnsi="宋体"/>
          <w:sz w:val="24"/>
        </w:rPr>
        <w:t>确定成交供应商</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4E2C5E9">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采购人将在收到评审报告后，从评审报告提出的成交候选供应商中，按照排序由高到低的原则确定成交供应商</w:t>
      </w:r>
      <w:r>
        <w:rPr>
          <w:rFonts w:hint="eastAsia" w:ascii="宋体" w:hAnsi="宋体"/>
          <w:sz w:val="24"/>
        </w:rPr>
        <w:t>。</w:t>
      </w:r>
      <w:r>
        <w:rPr>
          <w:rFonts w:ascii="宋体" w:hAnsi="宋体"/>
          <w:sz w:val="24"/>
        </w:rPr>
        <w:t>采购人是否授权</w:t>
      </w:r>
      <w:r>
        <w:rPr>
          <w:rFonts w:hint="eastAsia" w:ascii="宋体" w:hAnsi="宋体"/>
          <w:sz w:val="24"/>
        </w:rPr>
        <w:t>磋商</w:t>
      </w:r>
      <w:r>
        <w:rPr>
          <w:rFonts w:ascii="宋体" w:hAnsi="宋体"/>
          <w:sz w:val="24"/>
        </w:rPr>
        <w:t>小组直接确定成交供应商，见《供应商须知资料表》。成交候选人并列的，按照《供应商须知资料表》要求确定成交供应商。</w:t>
      </w:r>
    </w:p>
    <w:p w14:paraId="3ACF6A50">
      <w:pPr>
        <w:numPr>
          <w:ilvl w:val="0"/>
          <w:numId w:val="9"/>
        </w:numPr>
        <w:tabs>
          <w:tab w:val="left" w:pos="360"/>
        </w:tabs>
        <w:snapToGrid w:val="0"/>
        <w:spacing w:line="360" w:lineRule="auto"/>
        <w:ind w:left="357" w:hanging="357"/>
        <w:outlineLvl w:val="1"/>
        <w:rPr>
          <w:rFonts w:hint="eastAsia" w:ascii="宋体" w:hAnsi="宋体"/>
          <w:sz w:val="24"/>
        </w:rPr>
      </w:pPr>
      <w:bookmarkStart w:id="510" w:name="_Toc305158817"/>
      <w:bookmarkStart w:id="511" w:name="_Toc305158891"/>
      <w:bookmarkStart w:id="512" w:name="_Toc150774754"/>
      <w:bookmarkStart w:id="513" w:name="_Toc127151549"/>
      <w:bookmarkStart w:id="514" w:name="_Toc142311051"/>
      <w:bookmarkStart w:id="515" w:name="_Toc226309793"/>
      <w:bookmarkStart w:id="516" w:name="_Toc164351643"/>
      <w:bookmarkStart w:id="517" w:name="_Toc151190176"/>
      <w:bookmarkStart w:id="518" w:name="_Toc150509300"/>
      <w:bookmarkStart w:id="519" w:name="_Toc264969239"/>
      <w:bookmarkStart w:id="520" w:name="_Toc151193937"/>
      <w:bookmarkStart w:id="521" w:name="_Toc195842914"/>
      <w:bookmarkStart w:id="522" w:name="_Toc127151750"/>
      <w:bookmarkStart w:id="523" w:name="_Toc226337245"/>
      <w:bookmarkStart w:id="524" w:name="_Toc127161463"/>
      <w:bookmarkStart w:id="525" w:name="_Toc149720842"/>
      <w:bookmarkStart w:id="526" w:name="_Toc151193719"/>
      <w:bookmarkStart w:id="527" w:name="_Toc164608818"/>
      <w:bookmarkStart w:id="528" w:name="_Toc164608663"/>
      <w:bookmarkStart w:id="529" w:name="_Toc226965822"/>
      <w:bookmarkStart w:id="530" w:name="_Toc150774649"/>
      <w:bookmarkStart w:id="531" w:name="_Toc151193647"/>
      <w:bookmarkStart w:id="532" w:name="_Toc150480787"/>
      <w:bookmarkStart w:id="533" w:name="_Toc164229390"/>
      <w:bookmarkStart w:id="534" w:name="_Toc164229244"/>
      <w:bookmarkStart w:id="535" w:name="_Toc151193791"/>
      <w:bookmarkStart w:id="536" w:name="_Toc151193863"/>
      <w:bookmarkStart w:id="537" w:name="_Toc226965739"/>
      <w:bookmarkStart w:id="538" w:name="_Toc265228387"/>
      <w:bookmarkStart w:id="539" w:name="_Toc520356176"/>
      <w:bookmarkStart w:id="540" w:name="_Ref467306425"/>
      <w:bookmarkStart w:id="541" w:name="_Ref467307090"/>
      <w:r>
        <w:rPr>
          <w:rFonts w:ascii="宋体" w:hAnsi="宋体"/>
          <w:sz w:val="24"/>
        </w:rPr>
        <w:t>成交公告与成交通知书</w:t>
      </w:r>
      <w:bookmarkEnd w:id="510"/>
      <w:bookmarkEnd w:id="511"/>
    </w:p>
    <w:p w14:paraId="422E63D7">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采购人或采购代理机构将</w:t>
      </w:r>
      <w:r>
        <w:rPr>
          <w:rFonts w:ascii="宋体" w:hAnsi="宋体"/>
          <w:kern w:val="0"/>
          <w:sz w:val="24"/>
        </w:rPr>
        <w:t>在成交供应商确定后2个工作日内，在</w:t>
      </w:r>
      <w:r>
        <w:rPr>
          <w:rFonts w:hint="eastAsia" w:ascii="宋体" w:hAnsi="宋体"/>
          <w:sz w:val="24"/>
        </w:rPr>
        <w:t>北京市政府采购网</w:t>
      </w:r>
      <w:r>
        <w:rPr>
          <w:rFonts w:ascii="宋体" w:hAnsi="宋体"/>
          <w:kern w:val="0"/>
          <w:sz w:val="24"/>
        </w:rPr>
        <w:t>公告成交结果，同时向成交供应商发出成交通知书，</w:t>
      </w:r>
      <w:r>
        <w:rPr>
          <w:rFonts w:ascii="宋体" w:hAnsi="宋体"/>
          <w:sz w:val="24"/>
        </w:rPr>
        <w:t>成交公告期限为1个工作日。</w:t>
      </w:r>
    </w:p>
    <w:p w14:paraId="08B914B6">
      <w:pPr>
        <w:numPr>
          <w:ilvl w:val="1"/>
          <w:numId w:val="9"/>
        </w:numPr>
        <w:tabs>
          <w:tab w:val="left" w:pos="1080"/>
          <w:tab w:val="left" w:pos="2014"/>
        </w:tabs>
        <w:snapToGrid w:val="0"/>
        <w:spacing w:line="360" w:lineRule="auto"/>
        <w:ind w:left="1080" w:hanging="720"/>
        <w:rPr>
          <w:rFonts w:hint="eastAsia" w:ascii="宋体" w:hAnsi="宋体"/>
          <w:sz w:val="24"/>
        </w:rPr>
      </w:pPr>
      <w:r>
        <w:rPr>
          <w:rFonts w:ascii="宋体" w:hAnsi="宋体"/>
          <w:sz w:val="24"/>
        </w:rPr>
        <w:t>成交通知书是合同的组成部分，对采购人和成交供应商具有同等法律效力。成交通知书发出后，采购人改变成交结果的，或者成交供应商放弃成交项目的，将依法承担法律责任</w:t>
      </w:r>
      <w:r>
        <w:rPr>
          <w:rFonts w:hint="eastAsia" w:ascii="宋体" w:hAnsi="宋体"/>
          <w:sz w:val="24"/>
        </w:rPr>
        <w:t>。</w:t>
      </w:r>
    </w:p>
    <w:p w14:paraId="3F5C4948">
      <w:pPr>
        <w:numPr>
          <w:ilvl w:val="0"/>
          <w:numId w:val="9"/>
        </w:numPr>
        <w:tabs>
          <w:tab w:val="left" w:pos="360"/>
        </w:tabs>
        <w:snapToGrid w:val="0"/>
        <w:spacing w:line="360" w:lineRule="auto"/>
        <w:ind w:left="357" w:hanging="357"/>
        <w:outlineLvl w:val="1"/>
        <w:rPr>
          <w:rFonts w:hint="eastAsia" w:ascii="宋体" w:hAnsi="宋体"/>
          <w:sz w:val="24"/>
        </w:rPr>
      </w:pPr>
      <w:r>
        <w:rPr>
          <w:rFonts w:ascii="宋体" w:hAnsi="宋体"/>
          <w:sz w:val="24"/>
        </w:rPr>
        <w:t>终止</w:t>
      </w:r>
    </w:p>
    <w:p w14:paraId="52742DB7">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在采购中，出现下列情形之一的，采购人或采购代理机构将终止竞争性磋商采购活动，发布项目终止公告并说明原因，重新开展采购活动：</w:t>
      </w:r>
    </w:p>
    <w:p w14:paraId="4E0AA829">
      <w:pPr>
        <w:numPr>
          <w:ilvl w:val="2"/>
          <w:numId w:val="9"/>
        </w:numPr>
        <w:snapToGrid w:val="0"/>
        <w:spacing w:line="360" w:lineRule="auto"/>
        <w:rPr>
          <w:rFonts w:hint="eastAsia" w:ascii="宋体" w:hAnsi="宋体"/>
          <w:sz w:val="24"/>
        </w:rPr>
      </w:pPr>
      <w:r>
        <w:rPr>
          <w:rFonts w:ascii="宋体" w:hAnsi="宋体"/>
          <w:sz w:val="24"/>
        </w:rPr>
        <w:t>因情况变化，不再符合规定的竞争性磋商采购方式适用情形的；</w:t>
      </w:r>
    </w:p>
    <w:p w14:paraId="09E20F34">
      <w:pPr>
        <w:numPr>
          <w:ilvl w:val="2"/>
          <w:numId w:val="9"/>
        </w:numPr>
        <w:snapToGrid w:val="0"/>
        <w:spacing w:line="360" w:lineRule="auto"/>
        <w:rPr>
          <w:rFonts w:hint="eastAsia" w:ascii="宋体" w:hAnsi="宋体"/>
          <w:sz w:val="24"/>
        </w:rPr>
      </w:pPr>
      <w:r>
        <w:rPr>
          <w:rFonts w:ascii="宋体" w:hAnsi="宋体"/>
          <w:sz w:val="24"/>
        </w:rPr>
        <w:t>出现影响采购公正的违法、违规行为的；</w:t>
      </w:r>
    </w:p>
    <w:p w14:paraId="406DFD5B">
      <w:pPr>
        <w:numPr>
          <w:ilvl w:val="2"/>
          <w:numId w:val="9"/>
        </w:numPr>
        <w:snapToGrid w:val="0"/>
        <w:spacing w:line="360" w:lineRule="auto"/>
        <w:rPr>
          <w:rFonts w:hint="eastAsia" w:ascii="宋体" w:hAnsi="宋体"/>
          <w:sz w:val="24"/>
        </w:rPr>
      </w:pPr>
      <w:r>
        <w:rPr>
          <w:rFonts w:ascii="宋体" w:hAnsi="宋体"/>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14:paraId="569D6021">
      <w:pPr>
        <w:numPr>
          <w:ilvl w:val="0"/>
          <w:numId w:val="9"/>
        </w:numPr>
        <w:tabs>
          <w:tab w:val="left" w:pos="360"/>
        </w:tabs>
        <w:snapToGrid w:val="0"/>
        <w:spacing w:line="360" w:lineRule="auto"/>
        <w:ind w:left="357" w:hanging="357"/>
        <w:outlineLvl w:val="1"/>
        <w:rPr>
          <w:rFonts w:hint="eastAsia" w:ascii="宋体" w:hAnsi="宋体"/>
          <w:sz w:val="24"/>
        </w:rPr>
      </w:pPr>
      <w:bookmarkStart w:id="542" w:name="_Toc142311052"/>
      <w:bookmarkStart w:id="543" w:name="_Ref467307204"/>
      <w:bookmarkStart w:id="544" w:name="_Toc164608664"/>
      <w:bookmarkStart w:id="545" w:name="_Toc151193792"/>
      <w:bookmarkStart w:id="546" w:name="_Toc151193938"/>
      <w:bookmarkStart w:id="547" w:name="_Toc305158818"/>
      <w:bookmarkStart w:id="548" w:name="_Toc149720843"/>
      <w:bookmarkStart w:id="549" w:name="_Toc151193864"/>
      <w:bookmarkStart w:id="550" w:name="_Toc151193720"/>
      <w:bookmarkStart w:id="551" w:name="_Toc150774755"/>
      <w:bookmarkStart w:id="552" w:name="_Toc164608819"/>
      <w:bookmarkStart w:id="553" w:name="_Toc150774650"/>
      <w:bookmarkStart w:id="554" w:name="_Toc164229391"/>
      <w:bookmarkStart w:id="555" w:name="_Toc150509301"/>
      <w:bookmarkStart w:id="556" w:name="_Toc305158892"/>
      <w:bookmarkStart w:id="557" w:name="_Toc226309794"/>
      <w:bookmarkStart w:id="558" w:name="_Toc226337246"/>
      <w:bookmarkStart w:id="559" w:name="_Toc127151550"/>
      <w:bookmarkStart w:id="560" w:name="_Ref467306377"/>
      <w:bookmarkStart w:id="561" w:name="_Toc264969240"/>
      <w:bookmarkStart w:id="562" w:name="_Toc164229245"/>
      <w:bookmarkStart w:id="563" w:name="_Ref467307062"/>
      <w:bookmarkStart w:id="564" w:name="_Toc520356175"/>
      <w:bookmarkStart w:id="565" w:name="_Ref467306978"/>
      <w:bookmarkStart w:id="566" w:name="_Toc151193648"/>
      <w:bookmarkStart w:id="567" w:name="_Toc195842915"/>
      <w:bookmarkStart w:id="568" w:name="_Toc164351644"/>
      <w:bookmarkStart w:id="569" w:name="_Toc127161464"/>
      <w:bookmarkStart w:id="570" w:name="_Toc265228388"/>
      <w:bookmarkStart w:id="571" w:name="_Toc226965740"/>
      <w:bookmarkStart w:id="572" w:name="_Toc151190177"/>
      <w:bookmarkStart w:id="573" w:name="_Toc127151751"/>
      <w:bookmarkStart w:id="574" w:name="_Toc226965823"/>
      <w:bookmarkStart w:id="575" w:name="_Toc150480788"/>
      <w:r>
        <w:rPr>
          <w:rFonts w:ascii="宋体" w:hAnsi="宋体"/>
          <w:sz w:val="24"/>
        </w:rPr>
        <w:t>签订合同</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p w14:paraId="6E7DA42F">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采购人与成交供应商将在成交通知书发出之日起30日内，按照磋商文件确定的合同文本以及采购标的、规格型号、采购金额、采购数量、技术和服务要求等事项签订政府采购合同。</w:t>
      </w:r>
    </w:p>
    <w:p w14:paraId="651082E0">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579C97B">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联合体获得成交资格的，联合体各方应当共同与采购人签订合同，就成交项目向采购人承担连带责任。</w:t>
      </w:r>
    </w:p>
    <w:p w14:paraId="6C33420E">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政府采购合同不能转包。</w:t>
      </w:r>
    </w:p>
    <w:p w14:paraId="057A1324">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采购人允许采用分包方式履行合同的，成交供应商可以依法采取分包方式履行合同。本项目</w:t>
      </w:r>
      <w:r>
        <w:rPr>
          <w:rFonts w:hint="eastAsia" w:ascii="宋体" w:hAnsi="宋体"/>
          <w:sz w:val="24"/>
        </w:rPr>
        <w:t>是</w:t>
      </w:r>
      <w:r>
        <w:rPr>
          <w:rFonts w:ascii="宋体" w:hAnsi="宋体"/>
          <w:sz w:val="24"/>
        </w:rPr>
        <w:t>否允许分包，见《供应商须知资料表》。政府采购合同分包履行的，应当在响应文件中载明分包承担主体，分包承担主体应当具备相应资质条件且不得再次分包，</w:t>
      </w:r>
      <w:r>
        <w:rPr>
          <w:rFonts w:ascii="宋体" w:hAnsi="宋体"/>
          <w:b/>
          <w:sz w:val="24"/>
        </w:rPr>
        <w:t>否则响应无效</w:t>
      </w:r>
      <w:r>
        <w:rPr>
          <w:rFonts w:ascii="宋体" w:hAnsi="宋体"/>
          <w:sz w:val="24"/>
        </w:rPr>
        <w:t>。成交供应商就采购项目和分包项目向采购人负责，分包供应商就分包项目承担责任。</w:t>
      </w:r>
    </w:p>
    <w:bookmarkEnd w:id="539"/>
    <w:bookmarkEnd w:id="540"/>
    <w:bookmarkEnd w:id="541"/>
    <w:p w14:paraId="373D0FE4">
      <w:pPr>
        <w:numPr>
          <w:ilvl w:val="0"/>
          <w:numId w:val="9"/>
        </w:numPr>
        <w:tabs>
          <w:tab w:val="left" w:pos="360"/>
        </w:tabs>
        <w:snapToGrid w:val="0"/>
        <w:spacing w:line="360" w:lineRule="auto"/>
        <w:ind w:left="357" w:hanging="357"/>
        <w:outlineLvl w:val="1"/>
        <w:rPr>
          <w:rFonts w:hint="eastAsia" w:ascii="宋体" w:hAnsi="宋体"/>
          <w:sz w:val="24"/>
        </w:rPr>
      </w:pPr>
      <w:r>
        <w:rPr>
          <w:rFonts w:ascii="宋体" w:hAnsi="宋体"/>
          <w:sz w:val="24"/>
        </w:rPr>
        <w:t>询问与质疑</w:t>
      </w:r>
    </w:p>
    <w:p w14:paraId="3C976011">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询问</w:t>
      </w:r>
    </w:p>
    <w:p w14:paraId="164D3589">
      <w:pPr>
        <w:numPr>
          <w:ilvl w:val="2"/>
          <w:numId w:val="9"/>
        </w:numPr>
        <w:snapToGrid w:val="0"/>
        <w:spacing w:line="360" w:lineRule="auto"/>
        <w:rPr>
          <w:rFonts w:hint="eastAsia" w:ascii="宋体" w:hAnsi="宋体"/>
          <w:sz w:val="24"/>
        </w:rPr>
      </w:pPr>
      <w:r>
        <w:rPr>
          <w:rFonts w:ascii="宋体" w:hAnsi="宋体"/>
          <w:sz w:val="24"/>
        </w:rPr>
        <w:t>供应商对政府采购活动事项有疑问的，可依法提出询问，并按《供应商须知资料表》载明的形式送达采购人或采购代理机构。</w:t>
      </w:r>
    </w:p>
    <w:p w14:paraId="2B0B7594">
      <w:pPr>
        <w:numPr>
          <w:ilvl w:val="2"/>
          <w:numId w:val="9"/>
        </w:numPr>
        <w:snapToGrid w:val="0"/>
        <w:spacing w:line="360" w:lineRule="auto"/>
        <w:rPr>
          <w:rFonts w:hint="eastAsia" w:ascii="宋体" w:hAnsi="宋体"/>
          <w:sz w:val="24"/>
        </w:rPr>
      </w:pPr>
      <w:r>
        <w:rPr>
          <w:rFonts w:ascii="宋体" w:hAnsi="宋体"/>
          <w:sz w:val="24"/>
        </w:rPr>
        <w:t>采购人或采购代理机构对供应商依法提出的询问，在3个工作日内作出答复，但答复的内容不得涉及商业秘密。</w:t>
      </w:r>
    </w:p>
    <w:p w14:paraId="71AA7A11">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质疑</w:t>
      </w:r>
    </w:p>
    <w:p w14:paraId="3419CD12">
      <w:pPr>
        <w:numPr>
          <w:ilvl w:val="2"/>
          <w:numId w:val="9"/>
        </w:numPr>
        <w:snapToGrid w:val="0"/>
        <w:spacing w:line="360" w:lineRule="auto"/>
        <w:rPr>
          <w:rFonts w:hint="eastAsia" w:ascii="宋体" w:hAnsi="宋体"/>
          <w:sz w:val="24"/>
        </w:rPr>
      </w:pPr>
      <w:r>
        <w:rPr>
          <w:rFonts w:ascii="宋体" w:hAnsi="宋体"/>
          <w:sz w:val="24"/>
        </w:rPr>
        <w:t>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作出答复。</w:t>
      </w:r>
    </w:p>
    <w:p w14:paraId="5CDCFEC8">
      <w:pPr>
        <w:numPr>
          <w:ilvl w:val="2"/>
          <w:numId w:val="9"/>
        </w:numPr>
        <w:snapToGrid w:val="0"/>
        <w:spacing w:line="360" w:lineRule="auto"/>
        <w:rPr>
          <w:rFonts w:hint="eastAsia" w:ascii="宋体" w:hAnsi="宋体"/>
          <w:sz w:val="24"/>
        </w:rPr>
      </w:pPr>
      <w:r>
        <w:rPr>
          <w:rFonts w:ascii="宋体" w:hAnsi="宋体"/>
          <w:sz w:val="24"/>
        </w:rPr>
        <w:t>质疑函须使用财政部制定的范本文件。</w:t>
      </w:r>
    </w:p>
    <w:p w14:paraId="2527374B">
      <w:pPr>
        <w:numPr>
          <w:ilvl w:val="2"/>
          <w:numId w:val="9"/>
        </w:numPr>
        <w:snapToGrid w:val="0"/>
        <w:spacing w:line="360" w:lineRule="auto"/>
        <w:rPr>
          <w:rFonts w:hint="eastAsia" w:ascii="宋体" w:hAnsi="宋体"/>
          <w:sz w:val="24"/>
        </w:rPr>
      </w:pPr>
      <w:r>
        <w:rPr>
          <w:rFonts w:ascii="宋体" w:hAnsi="宋体"/>
          <w:sz w:val="24"/>
        </w:rPr>
        <w:t>供应商为自然人的，应当由本人签字；供应商为法人或者其他组织的，应当由法定代表人、主要负责人，或者其授权代表签字或者盖章，并加盖公章。</w:t>
      </w:r>
    </w:p>
    <w:p w14:paraId="6C80FCA7">
      <w:pPr>
        <w:numPr>
          <w:ilvl w:val="2"/>
          <w:numId w:val="9"/>
        </w:numPr>
        <w:snapToGrid w:val="0"/>
        <w:spacing w:line="360" w:lineRule="auto"/>
        <w:rPr>
          <w:rFonts w:hint="eastAsia" w:ascii="宋体" w:hAnsi="宋体"/>
          <w:sz w:val="24"/>
        </w:rPr>
      </w:pPr>
      <w:r>
        <w:rPr>
          <w:rFonts w:ascii="宋体" w:hAnsi="宋体"/>
          <w:sz w:val="24"/>
        </w:rPr>
        <w:t>供应商应在法定质疑期内一次性提出针对同一采购程序环节的质疑，法定质疑期内针对同一采购程序环节再次提出的质疑，采购人、采购代理机构有权不予答复。</w:t>
      </w:r>
    </w:p>
    <w:p w14:paraId="2B698CA7">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接收询问和质疑的联系部门、联系电话和通讯地址见《供应商须知资料表》</w:t>
      </w:r>
      <w:r>
        <w:rPr>
          <w:rFonts w:hint="eastAsia" w:ascii="宋体" w:hAnsi="宋体"/>
          <w:sz w:val="24"/>
        </w:rPr>
        <w:t>。</w:t>
      </w:r>
    </w:p>
    <w:p w14:paraId="0B45B16C">
      <w:pPr>
        <w:numPr>
          <w:ilvl w:val="0"/>
          <w:numId w:val="9"/>
        </w:numPr>
        <w:tabs>
          <w:tab w:val="left" w:pos="360"/>
        </w:tabs>
        <w:snapToGrid w:val="0"/>
        <w:spacing w:line="360" w:lineRule="auto"/>
        <w:ind w:left="357" w:hanging="357"/>
        <w:outlineLvl w:val="1"/>
        <w:rPr>
          <w:rFonts w:hint="eastAsia" w:ascii="宋体" w:hAnsi="宋体"/>
          <w:sz w:val="24"/>
        </w:rPr>
      </w:pPr>
      <w:r>
        <w:rPr>
          <w:rFonts w:ascii="宋体" w:hAnsi="宋体"/>
          <w:sz w:val="24"/>
        </w:rPr>
        <w:t>代理费</w:t>
      </w:r>
    </w:p>
    <w:p w14:paraId="0BB42C0B">
      <w:pPr>
        <w:numPr>
          <w:ilvl w:val="1"/>
          <w:numId w:val="9"/>
        </w:numPr>
        <w:tabs>
          <w:tab w:val="left" w:pos="1080"/>
          <w:tab w:val="left" w:pos="2014"/>
        </w:tabs>
        <w:snapToGrid w:val="0"/>
        <w:spacing w:line="360" w:lineRule="auto"/>
        <w:ind w:left="1077" w:hanging="720"/>
        <w:rPr>
          <w:rFonts w:hint="eastAsia" w:ascii="宋体" w:hAnsi="宋体"/>
          <w:color w:val="000000"/>
          <w:sz w:val="24"/>
        </w:rPr>
      </w:pPr>
      <w:r>
        <w:rPr>
          <w:rFonts w:ascii="宋体" w:hAnsi="宋体"/>
          <w:color w:val="000000"/>
          <w:sz w:val="24"/>
        </w:rPr>
        <w:t>收费对象、收费标准及缴纳时间见《供应商须知资料表》。由成交供应商支付的，成交供应商须一次性向采购代理机构缴纳代理费，报价应包含代理费用。</w:t>
      </w:r>
    </w:p>
    <w:p w14:paraId="1A0A5121">
      <w:pPr>
        <w:widowControl/>
        <w:jc w:val="left"/>
        <w:rPr>
          <w:rFonts w:hint="eastAsia" w:ascii="宋体" w:hAnsi="宋体"/>
          <w:sz w:val="24"/>
        </w:rPr>
      </w:pPr>
      <w:r>
        <w:rPr>
          <w:rFonts w:ascii="宋体" w:hAnsi="宋体"/>
          <w:sz w:val="24"/>
        </w:rPr>
        <w:br w:type="page"/>
      </w:r>
    </w:p>
    <w:p w14:paraId="18D71C22">
      <w:pPr>
        <w:tabs>
          <w:tab w:val="left" w:pos="360"/>
          <w:tab w:val="left" w:pos="1080"/>
        </w:tabs>
        <w:snapToGrid w:val="0"/>
        <w:spacing w:line="360" w:lineRule="auto"/>
        <w:ind w:left="360"/>
        <w:rPr>
          <w:rFonts w:hint="eastAsia" w:ascii="宋体" w:hAnsi="宋体"/>
          <w:sz w:val="24"/>
        </w:rPr>
      </w:pPr>
    </w:p>
    <w:p w14:paraId="0F5F0039">
      <w:pPr>
        <w:spacing w:line="360" w:lineRule="auto"/>
        <w:ind w:firstLine="723"/>
        <w:jc w:val="center"/>
        <w:outlineLvl w:val="0"/>
        <w:rPr>
          <w:rFonts w:hint="eastAsia" w:ascii="宋体" w:hAnsi="宋体"/>
          <w:b/>
          <w:sz w:val="36"/>
          <w:szCs w:val="36"/>
        </w:rPr>
      </w:pPr>
      <w:bookmarkStart w:id="576" w:name="_Toc265228392"/>
      <w:bookmarkStart w:id="577" w:name="_Toc353873664"/>
      <w:bookmarkStart w:id="578" w:name="_Toc150774759"/>
      <w:bookmarkStart w:id="579" w:name="_Toc226337250"/>
      <w:bookmarkStart w:id="580" w:name="_Toc305158896"/>
      <w:bookmarkStart w:id="581" w:name="_Toc150480792"/>
      <w:bookmarkStart w:id="582" w:name="_Toc127151554"/>
      <w:bookmarkStart w:id="583" w:name="_Toc353873934"/>
      <w:bookmarkStart w:id="584" w:name="_Toc305158822"/>
      <w:bookmarkStart w:id="585" w:name="_Toc353825544"/>
      <w:bookmarkStart w:id="586" w:name="_Toc226965827"/>
      <w:bookmarkStart w:id="587" w:name="_Toc264969244"/>
      <w:bookmarkStart w:id="588" w:name="_Toc142311056"/>
      <w:bookmarkStart w:id="589" w:name="_Toc183434176"/>
      <w:r>
        <w:rPr>
          <w:rFonts w:ascii="宋体" w:hAnsi="宋体"/>
          <w:b/>
          <w:sz w:val="36"/>
          <w:szCs w:val="36"/>
        </w:rPr>
        <w:t xml:space="preserve">第三章   </w:t>
      </w:r>
      <w:bookmarkEnd w:id="576"/>
      <w:bookmarkEnd w:id="577"/>
      <w:bookmarkEnd w:id="578"/>
      <w:bookmarkEnd w:id="579"/>
      <w:bookmarkEnd w:id="580"/>
      <w:bookmarkEnd w:id="581"/>
      <w:bookmarkEnd w:id="582"/>
      <w:bookmarkEnd w:id="583"/>
      <w:bookmarkEnd w:id="584"/>
      <w:bookmarkEnd w:id="585"/>
      <w:bookmarkEnd w:id="586"/>
      <w:bookmarkEnd w:id="587"/>
      <w:bookmarkEnd w:id="588"/>
      <w:r>
        <w:rPr>
          <w:rFonts w:ascii="宋体" w:hAnsi="宋体"/>
          <w:b/>
          <w:sz w:val="36"/>
          <w:szCs w:val="36"/>
        </w:rPr>
        <w:t>评审方法和评审标准</w:t>
      </w:r>
      <w:bookmarkEnd w:id="589"/>
      <w:bookmarkStart w:id="590" w:name="_Toc487900382"/>
    </w:p>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590"/>
    <w:p w14:paraId="4A984334">
      <w:pPr>
        <w:pStyle w:val="3"/>
        <w:spacing w:before="0" w:line="360" w:lineRule="auto"/>
        <w:rPr>
          <w:rFonts w:hint="eastAsia" w:ascii="宋体" w:hAnsi="宋体" w:eastAsia="宋体"/>
          <w:sz w:val="24"/>
          <w:szCs w:val="24"/>
        </w:rPr>
      </w:pPr>
      <w:bookmarkStart w:id="591" w:name="_Toc353825551"/>
      <w:bookmarkStart w:id="592" w:name="_Toc353873941"/>
      <w:bookmarkStart w:id="593" w:name="_Toc305158897"/>
      <w:bookmarkStart w:id="594" w:name="_Toc150480793"/>
      <w:bookmarkStart w:id="595" w:name="_Toc195842920"/>
      <w:bookmarkStart w:id="596" w:name="_Toc353873665"/>
      <w:bookmarkStart w:id="597" w:name="_Toc127151555"/>
      <w:bookmarkStart w:id="598" w:name="_Toc142311057"/>
      <w:bookmarkStart w:id="599" w:name="_Toc264969245"/>
      <w:bookmarkStart w:id="600" w:name="_Toc305158823"/>
      <w:bookmarkStart w:id="601" w:name="_Toc150774760"/>
      <w:bookmarkStart w:id="602" w:name="_Toc265228393"/>
      <w:bookmarkStart w:id="603" w:name="_Toc226337251"/>
      <w:bookmarkStart w:id="604" w:name="_Toc226965828"/>
      <w:bookmarkStart w:id="605" w:name="_Toc353873935"/>
      <w:bookmarkStart w:id="606" w:name="_Toc353825545"/>
      <w:r>
        <w:rPr>
          <w:rFonts w:ascii="宋体" w:hAnsi="宋体" w:eastAsia="宋体"/>
          <w:sz w:val="24"/>
          <w:szCs w:val="24"/>
        </w:rPr>
        <w:t>一、资格审查程序</w:t>
      </w:r>
    </w:p>
    <w:p w14:paraId="4E56FA15">
      <w:pPr>
        <w:tabs>
          <w:tab w:val="left" w:pos="1080"/>
        </w:tabs>
        <w:snapToGrid w:val="0"/>
        <w:jc w:val="left"/>
        <w:rPr>
          <w:rFonts w:hint="eastAsia" w:ascii="宋体" w:hAnsi="宋体"/>
          <w:b/>
          <w:sz w:val="24"/>
        </w:rPr>
      </w:pPr>
      <w:r>
        <w:rPr>
          <w:rFonts w:ascii="宋体" w:hAnsi="宋体"/>
          <w:b/>
          <w:sz w:val="24"/>
        </w:rPr>
        <w:tab/>
      </w:r>
    </w:p>
    <w:p w14:paraId="79C4C973">
      <w:pPr>
        <w:numPr>
          <w:ilvl w:val="0"/>
          <w:numId w:val="12"/>
        </w:numPr>
        <w:tabs>
          <w:tab w:val="left" w:pos="360"/>
        </w:tabs>
        <w:snapToGrid w:val="0"/>
        <w:spacing w:line="360" w:lineRule="auto"/>
        <w:outlineLvl w:val="1"/>
        <w:rPr>
          <w:rFonts w:hint="eastAsia" w:ascii="宋体" w:hAnsi="宋体"/>
          <w:sz w:val="24"/>
        </w:rPr>
      </w:pPr>
      <w:bookmarkStart w:id="607" w:name="_Toc150774641"/>
      <w:bookmarkStart w:id="608" w:name="_Toc151193639"/>
      <w:bookmarkStart w:id="609" w:name="_Toc305158809"/>
      <w:bookmarkStart w:id="610" w:name="_Toc195842906"/>
      <w:bookmarkStart w:id="611" w:name="_Toc305158883"/>
      <w:bookmarkStart w:id="612" w:name="_Toc127151541"/>
      <w:bookmarkStart w:id="613" w:name="_Toc151193711"/>
      <w:bookmarkStart w:id="614" w:name="_Toc151193929"/>
      <w:bookmarkStart w:id="615" w:name="_Toc226309785"/>
      <w:bookmarkStart w:id="616" w:name="_Toc151193783"/>
      <w:bookmarkStart w:id="617" w:name="_Toc164351635"/>
      <w:bookmarkStart w:id="618" w:name="_Toc127151742"/>
      <w:bookmarkStart w:id="619" w:name="_Toc127161455"/>
      <w:bookmarkStart w:id="620" w:name="_Toc150509292"/>
      <w:bookmarkStart w:id="621" w:name="_Toc164229236"/>
      <w:bookmarkStart w:id="622" w:name="_Toc164608810"/>
      <w:bookmarkStart w:id="623" w:name="_Toc150774746"/>
      <w:bookmarkStart w:id="624" w:name="_Toc151193855"/>
      <w:bookmarkStart w:id="625" w:name="_Toc226337237"/>
      <w:bookmarkStart w:id="626" w:name="_Toc150480779"/>
      <w:bookmarkStart w:id="627" w:name="_Toc226965814"/>
      <w:bookmarkStart w:id="628" w:name="_Toc151190168"/>
      <w:bookmarkStart w:id="629" w:name="_Toc164229382"/>
      <w:bookmarkStart w:id="630" w:name="_Toc226965731"/>
      <w:bookmarkStart w:id="631" w:name="_Toc264969231"/>
      <w:bookmarkStart w:id="632" w:name="_Toc164608655"/>
      <w:bookmarkStart w:id="633" w:name="_Toc265228379"/>
      <w:bookmarkStart w:id="634" w:name="_Toc142311043"/>
      <w:bookmarkStart w:id="635" w:name="_Toc149720834"/>
      <w:r>
        <w:rPr>
          <w:rFonts w:ascii="宋体" w:hAnsi="宋体"/>
          <w:sz w:val="24"/>
        </w:rPr>
        <w:t>响应文件的</w:t>
      </w:r>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r>
        <w:rPr>
          <w:rFonts w:ascii="宋体" w:hAnsi="宋体"/>
          <w:sz w:val="24"/>
        </w:rPr>
        <w:t>资格性审查</w:t>
      </w:r>
    </w:p>
    <w:p w14:paraId="0D71281B">
      <w:pPr>
        <w:numPr>
          <w:ilvl w:val="1"/>
          <w:numId w:val="12"/>
        </w:numPr>
        <w:tabs>
          <w:tab w:val="left" w:pos="1080"/>
        </w:tabs>
        <w:snapToGrid w:val="0"/>
        <w:spacing w:line="360" w:lineRule="auto"/>
        <w:ind w:left="1077" w:hanging="720"/>
        <w:rPr>
          <w:rFonts w:hint="eastAsia" w:ascii="宋体" w:hAnsi="宋体"/>
          <w:sz w:val="24"/>
        </w:rPr>
      </w:pPr>
      <w:r>
        <w:rPr>
          <w:rFonts w:ascii="宋体" w:hAnsi="宋体"/>
          <w:sz w:val="24"/>
        </w:rPr>
        <w:t>磋商小组将根据《</w:t>
      </w:r>
      <w:r>
        <w:rPr>
          <w:rFonts w:hint="eastAsia" w:ascii="宋体" w:hAnsi="宋体"/>
          <w:sz w:val="24"/>
        </w:rPr>
        <w:t>资格审查要求</w:t>
      </w:r>
      <w:r>
        <w:rPr>
          <w:rFonts w:ascii="宋体" w:hAnsi="宋体"/>
          <w:sz w:val="24"/>
        </w:rPr>
        <w:t>》</w:t>
      </w:r>
      <w:r>
        <w:rPr>
          <w:rFonts w:hint="eastAsia" w:ascii="宋体" w:hAnsi="宋体"/>
          <w:sz w:val="24"/>
        </w:rPr>
        <w:t>和《符合性审查要求》</w:t>
      </w:r>
      <w:r>
        <w:rPr>
          <w:rFonts w:ascii="宋体" w:hAnsi="宋体"/>
          <w:sz w:val="24"/>
        </w:rPr>
        <w:t>中规定的内容，对供应商进行检查，并形成检查结果。供应商《响应文件》有任何一项不符合要求的，视为未实质性响应磋商文件。未实质性响应磋商文件的响应文件按</w:t>
      </w:r>
      <w:r>
        <w:rPr>
          <w:rFonts w:ascii="宋体" w:hAnsi="宋体"/>
          <w:b/>
          <w:sz w:val="24"/>
        </w:rPr>
        <w:t>无效响应</w:t>
      </w:r>
      <w:r>
        <w:rPr>
          <w:rFonts w:ascii="宋体" w:hAnsi="宋体"/>
          <w:sz w:val="24"/>
        </w:rPr>
        <w:t>处理，磋商小组应当告知提交响应文件的供应商。</w:t>
      </w:r>
    </w:p>
    <w:p w14:paraId="491C59DE">
      <w:pPr>
        <w:numPr>
          <w:ilvl w:val="1"/>
          <w:numId w:val="12"/>
        </w:numPr>
        <w:tabs>
          <w:tab w:val="left" w:pos="1080"/>
        </w:tabs>
        <w:snapToGrid w:val="0"/>
        <w:spacing w:line="360" w:lineRule="auto"/>
        <w:ind w:left="1077" w:hanging="720"/>
        <w:rPr>
          <w:rFonts w:hint="eastAsia" w:ascii="宋体" w:hAnsi="宋体"/>
          <w:sz w:val="24"/>
        </w:rPr>
      </w:pPr>
      <w:r>
        <w:rPr>
          <w:rFonts w:ascii="宋体" w:hAnsi="宋体"/>
          <w:sz w:val="24"/>
        </w:rPr>
        <w:t>《</w:t>
      </w:r>
      <w:r>
        <w:rPr>
          <w:rFonts w:hint="eastAsia" w:ascii="宋体" w:hAnsi="宋体"/>
          <w:sz w:val="24"/>
        </w:rPr>
        <w:t>符合性审查要求</w:t>
      </w:r>
      <w:r>
        <w:rPr>
          <w:rFonts w:ascii="宋体" w:hAnsi="宋体"/>
          <w:sz w:val="24"/>
        </w:rPr>
        <w:t>》中对格式有要求的，除竞争性磋商文件另有规定外，均为“实质性格式”文件。</w:t>
      </w:r>
    </w:p>
    <w:p w14:paraId="5FB06D1E">
      <w:pPr>
        <w:numPr>
          <w:ilvl w:val="1"/>
          <w:numId w:val="12"/>
        </w:numPr>
        <w:tabs>
          <w:tab w:val="left" w:pos="1080"/>
        </w:tabs>
        <w:snapToGrid w:val="0"/>
        <w:spacing w:line="360" w:lineRule="auto"/>
        <w:ind w:left="1077" w:firstLine="480"/>
        <w:rPr>
          <w:rFonts w:hint="eastAsia" w:ascii="宋体" w:hAnsi="宋体"/>
          <w:sz w:val="24"/>
        </w:rPr>
      </w:pPr>
      <w:r>
        <w:rPr>
          <w:rFonts w:ascii="宋体" w:hAnsi="宋体"/>
          <w:sz w:val="24"/>
        </w:rPr>
        <w:t>《</w:t>
      </w:r>
      <w:r>
        <w:rPr>
          <w:rFonts w:hint="eastAsia" w:ascii="宋体" w:hAnsi="宋体"/>
          <w:sz w:val="24"/>
        </w:rPr>
        <w:t>资格审查要求</w:t>
      </w:r>
      <w:r>
        <w:rPr>
          <w:rFonts w:ascii="宋体" w:hAnsi="宋体"/>
          <w:sz w:val="24"/>
        </w:rPr>
        <w:t>》</w:t>
      </w:r>
      <w:r>
        <w:rPr>
          <w:rFonts w:hint="eastAsia" w:ascii="宋体" w:hAnsi="宋体"/>
          <w:sz w:val="24"/>
        </w:rPr>
        <w:t>和《符合性审查要求》</w:t>
      </w:r>
      <w:r>
        <w:rPr>
          <w:rFonts w:ascii="宋体" w:hAnsi="宋体"/>
          <w:sz w:val="24"/>
        </w:rPr>
        <w:t>见下表：</w:t>
      </w:r>
    </w:p>
    <w:p w14:paraId="0E56FF14">
      <w:pPr>
        <w:tabs>
          <w:tab w:val="left" w:pos="900"/>
          <w:tab w:val="left" w:pos="1080"/>
        </w:tabs>
        <w:snapToGrid w:val="0"/>
        <w:spacing w:line="360" w:lineRule="auto"/>
        <w:ind w:firstLine="482"/>
        <w:jc w:val="center"/>
        <w:rPr>
          <w:rFonts w:hint="eastAsia" w:ascii="宋体" w:hAnsi="宋体"/>
          <w:b/>
          <w:sz w:val="24"/>
        </w:rPr>
      </w:pPr>
      <w:bookmarkStart w:id="636" w:name="_Hlk111803294"/>
      <w:r>
        <w:rPr>
          <w:rFonts w:ascii="宋体" w:hAnsi="宋体"/>
          <w:b/>
          <w:sz w:val="24"/>
        </w:rPr>
        <w:t>资格审查要求</w:t>
      </w:r>
    </w:p>
    <w:tbl>
      <w:tblPr>
        <w:tblStyle w:val="57"/>
        <w:tblW w:w="5020" w:type="pc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9"/>
        <w:gridCol w:w="1895"/>
        <w:gridCol w:w="5327"/>
        <w:gridCol w:w="1374"/>
      </w:tblGrid>
      <w:tr w14:paraId="1FF12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391" w:type="pct"/>
            <w:vAlign w:val="center"/>
          </w:tcPr>
          <w:p w14:paraId="3A845A50">
            <w:pPr>
              <w:tabs>
                <w:tab w:val="left" w:pos="1080"/>
              </w:tabs>
              <w:snapToGrid w:val="0"/>
              <w:jc w:val="center"/>
              <w:rPr>
                <w:b/>
                <w:sz w:val="24"/>
              </w:rPr>
            </w:pPr>
            <w:r>
              <w:rPr>
                <w:b/>
                <w:sz w:val="24"/>
              </w:rPr>
              <w:t>序号</w:t>
            </w:r>
          </w:p>
        </w:tc>
        <w:tc>
          <w:tcPr>
            <w:tcW w:w="1016" w:type="pct"/>
            <w:vAlign w:val="center"/>
          </w:tcPr>
          <w:p w14:paraId="028983CF">
            <w:pPr>
              <w:tabs>
                <w:tab w:val="left" w:pos="1080"/>
              </w:tabs>
              <w:snapToGrid w:val="0"/>
              <w:jc w:val="center"/>
              <w:rPr>
                <w:b/>
                <w:sz w:val="24"/>
              </w:rPr>
            </w:pPr>
            <w:r>
              <w:rPr>
                <w:b/>
                <w:sz w:val="24"/>
              </w:rPr>
              <w:t>检查因素</w:t>
            </w:r>
          </w:p>
        </w:tc>
        <w:tc>
          <w:tcPr>
            <w:tcW w:w="2856" w:type="pct"/>
            <w:vAlign w:val="center"/>
          </w:tcPr>
          <w:p w14:paraId="70926062">
            <w:pPr>
              <w:tabs>
                <w:tab w:val="left" w:pos="1080"/>
              </w:tabs>
              <w:snapToGrid w:val="0"/>
              <w:jc w:val="center"/>
              <w:rPr>
                <w:b/>
                <w:sz w:val="24"/>
              </w:rPr>
            </w:pPr>
            <w:r>
              <w:rPr>
                <w:b/>
                <w:sz w:val="24"/>
              </w:rPr>
              <w:t>检查内容</w:t>
            </w:r>
          </w:p>
        </w:tc>
        <w:tc>
          <w:tcPr>
            <w:tcW w:w="737" w:type="pct"/>
            <w:vAlign w:val="center"/>
          </w:tcPr>
          <w:p w14:paraId="3A8874AF">
            <w:pPr>
              <w:tabs>
                <w:tab w:val="left" w:pos="1080"/>
              </w:tabs>
              <w:snapToGrid w:val="0"/>
              <w:jc w:val="center"/>
              <w:rPr>
                <w:b/>
                <w:sz w:val="24"/>
              </w:rPr>
            </w:pPr>
            <w:r>
              <w:rPr>
                <w:b/>
                <w:sz w:val="24"/>
              </w:rPr>
              <w:t>格式要求</w:t>
            </w:r>
          </w:p>
        </w:tc>
      </w:tr>
      <w:tr w14:paraId="00C64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19" w:hRule="atLeast"/>
        </w:trPr>
        <w:tc>
          <w:tcPr>
            <w:tcW w:w="391" w:type="pct"/>
            <w:vAlign w:val="center"/>
          </w:tcPr>
          <w:p w14:paraId="01CB477F">
            <w:pPr>
              <w:tabs>
                <w:tab w:val="left" w:pos="1080"/>
              </w:tabs>
              <w:snapToGrid w:val="0"/>
              <w:jc w:val="center"/>
              <w:rPr>
                <w:sz w:val="24"/>
              </w:rPr>
            </w:pPr>
            <w:r>
              <w:rPr>
                <w:sz w:val="24"/>
              </w:rPr>
              <w:t>1</w:t>
            </w:r>
          </w:p>
        </w:tc>
        <w:tc>
          <w:tcPr>
            <w:tcW w:w="1016" w:type="pct"/>
            <w:vAlign w:val="center"/>
          </w:tcPr>
          <w:p w14:paraId="6E828DA7">
            <w:pPr>
              <w:tabs>
                <w:tab w:val="left" w:pos="1080"/>
              </w:tabs>
              <w:snapToGrid w:val="0"/>
              <w:jc w:val="left"/>
              <w:rPr>
                <w:sz w:val="24"/>
              </w:rPr>
            </w:pPr>
            <w:r>
              <w:rPr>
                <w:rFonts w:hint="eastAsia"/>
                <w:sz w:val="24"/>
              </w:rPr>
              <w:t>满足《中华人民共和国政府采购法》第二十二条规定</w:t>
            </w:r>
          </w:p>
        </w:tc>
        <w:tc>
          <w:tcPr>
            <w:tcW w:w="2856" w:type="pct"/>
            <w:vAlign w:val="center"/>
          </w:tcPr>
          <w:p w14:paraId="21813A8E">
            <w:pPr>
              <w:tabs>
                <w:tab w:val="left" w:pos="1080"/>
              </w:tabs>
              <w:snapToGrid w:val="0"/>
              <w:jc w:val="left"/>
              <w:rPr>
                <w:sz w:val="24"/>
              </w:rPr>
            </w:pPr>
            <w:r>
              <w:rPr>
                <w:sz w:val="24"/>
              </w:rPr>
              <w:t>具体规定见第一章《采购邀请》</w:t>
            </w:r>
          </w:p>
        </w:tc>
        <w:tc>
          <w:tcPr>
            <w:tcW w:w="737" w:type="pct"/>
            <w:vAlign w:val="center"/>
          </w:tcPr>
          <w:p w14:paraId="75B01FF1">
            <w:pPr>
              <w:tabs>
                <w:tab w:val="left" w:pos="1080"/>
              </w:tabs>
              <w:snapToGrid w:val="0"/>
              <w:jc w:val="left"/>
              <w:rPr>
                <w:sz w:val="24"/>
              </w:rPr>
            </w:pPr>
          </w:p>
        </w:tc>
      </w:tr>
      <w:tr w14:paraId="0B8E6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17" w:hRule="atLeast"/>
        </w:trPr>
        <w:tc>
          <w:tcPr>
            <w:tcW w:w="391" w:type="pct"/>
            <w:vAlign w:val="center"/>
          </w:tcPr>
          <w:p w14:paraId="52F3DB08">
            <w:pPr>
              <w:tabs>
                <w:tab w:val="left" w:pos="1080"/>
              </w:tabs>
              <w:snapToGrid w:val="0"/>
              <w:jc w:val="center"/>
              <w:rPr>
                <w:sz w:val="24"/>
              </w:rPr>
            </w:pPr>
            <w:r>
              <w:rPr>
                <w:sz w:val="24"/>
              </w:rPr>
              <w:t>1-1</w:t>
            </w:r>
          </w:p>
        </w:tc>
        <w:tc>
          <w:tcPr>
            <w:tcW w:w="1016" w:type="pct"/>
            <w:vAlign w:val="center"/>
          </w:tcPr>
          <w:p w14:paraId="7026AFC0">
            <w:pPr>
              <w:tabs>
                <w:tab w:val="left" w:pos="1080"/>
              </w:tabs>
              <w:snapToGrid w:val="0"/>
              <w:jc w:val="left"/>
              <w:rPr>
                <w:sz w:val="24"/>
              </w:rPr>
            </w:pPr>
            <w:r>
              <w:rPr>
                <w:sz w:val="24"/>
              </w:rPr>
              <w:t>营业执照等证明文件</w:t>
            </w:r>
          </w:p>
        </w:tc>
        <w:tc>
          <w:tcPr>
            <w:tcW w:w="2856" w:type="pct"/>
            <w:vAlign w:val="center"/>
          </w:tcPr>
          <w:p w14:paraId="173148FF">
            <w:pPr>
              <w:tabs>
                <w:tab w:val="left" w:pos="1080"/>
              </w:tabs>
              <w:snapToGrid w:val="0"/>
              <w:jc w:val="left"/>
              <w:rPr>
                <w:rFonts w:hint="eastAsia" w:ascii="宋体" w:hAnsi="宋体" w:cs="宋体"/>
                <w:sz w:val="24"/>
              </w:rPr>
            </w:pPr>
            <w:r>
              <w:rPr>
                <w:rFonts w:hint="eastAsia" w:ascii="宋体" w:hAnsi="宋体" w:cs="宋体"/>
                <w:sz w:val="24"/>
              </w:rPr>
              <w:t>供应商为企业（包括合伙企业）的，应提供有效的“营业执照”；</w:t>
            </w:r>
          </w:p>
          <w:p w14:paraId="58CA1602">
            <w:pPr>
              <w:tabs>
                <w:tab w:val="left" w:pos="1080"/>
              </w:tabs>
              <w:snapToGrid w:val="0"/>
              <w:jc w:val="left"/>
              <w:rPr>
                <w:rFonts w:hint="eastAsia" w:ascii="宋体" w:hAnsi="宋体" w:cs="宋体"/>
                <w:sz w:val="24"/>
              </w:rPr>
            </w:pPr>
            <w:r>
              <w:rPr>
                <w:rFonts w:hint="eastAsia" w:ascii="宋体" w:hAnsi="宋体" w:cs="宋体"/>
                <w:sz w:val="24"/>
              </w:rPr>
              <w:t>供应商为事业单位的,应提供有效的“事业单位法人证书”；供应商是非企业机构的，应提供有效的“执业许可证”、“登记证书”等证明文件；</w:t>
            </w:r>
          </w:p>
          <w:p w14:paraId="5BBB2D7B">
            <w:pPr>
              <w:tabs>
                <w:tab w:val="left" w:pos="1080"/>
              </w:tabs>
              <w:snapToGrid w:val="0"/>
              <w:jc w:val="left"/>
              <w:rPr>
                <w:rFonts w:hint="eastAsia" w:ascii="宋体" w:hAnsi="宋体" w:cs="宋体"/>
                <w:sz w:val="24"/>
              </w:rPr>
            </w:pPr>
            <w:r>
              <w:rPr>
                <w:rFonts w:hint="eastAsia" w:ascii="宋体" w:hAnsi="宋体" w:cs="宋体"/>
                <w:sz w:val="24"/>
              </w:rPr>
              <w:t>供应商是个体工商户的，应提供有效的“个体工商户营业执照”；</w:t>
            </w:r>
          </w:p>
          <w:p w14:paraId="36CCB0F5">
            <w:pPr>
              <w:tabs>
                <w:tab w:val="left" w:pos="1080"/>
              </w:tabs>
              <w:snapToGrid w:val="0"/>
              <w:jc w:val="left"/>
              <w:rPr>
                <w:rFonts w:hint="eastAsia" w:ascii="宋体" w:hAnsi="宋体" w:cs="宋体"/>
                <w:sz w:val="24"/>
              </w:rPr>
            </w:pPr>
            <w:r>
              <w:rPr>
                <w:rFonts w:hint="eastAsia" w:ascii="宋体" w:hAnsi="宋体" w:cs="宋体"/>
                <w:sz w:val="24"/>
              </w:rPr>
              <w:t>供应商是自然人的，应提供有效的自然人身份证明。</w:t>
            </w:r>
          </w:p>
          <w:p w14:paraId="65AD88B5">
            <w:pPr>
              <w:tabs>
                <w:tab w:val="left" w:pos="1080"/>
              </w:tabs>
              <w:snapToGrid w:val="0"/>
              <w:jc w:val="left"/>
              <w:rPr>
                <w:rFonts w:hint="eastAsia" w:ascii="宋体" w:hAnsi="宋体" w:cs="宋体"/>
                <w:sz w:val="24"/>
              </w:rPr>
            </w:pPr>
            <w:r>
              <w:rPr>
                <w:rFonts w:hint="eastAsia" w:ascii="宋体" w:hAnsi="宋体" w:cs="宋体"/>
                <w:sz w:val="24"/>
              </w:rPr>
              <w:t>分支机构参加响应的，应提供该分支机构或其所属法人/其他组织的相应证明文件；同时还应提供其所属法人/其他组织出具的授权其参与本项目的授权书(格式自拟，须加盖其所属法人/其他组织的公章)；</w:t>
            </w:r>
          </w:p>
          <w:p w14:paraId="4D628290">
            <w:pPr>
              <w:tabs>
                <w:tab w:val="left" w:pos="1080"/>
              </w:tabs>
              <w:snapToGrid w:val="0"/>
              <w:jc w:val="left"/>
              <w:rPr>
                <w:color w:val="000000"/>
                <w:sz w:val="24"/>
              </w:rPr>
            </w:pPr>
            <w:r>
              <w:rPr>
                <w:rFonts w:hint="eastAsia" w:ascii="宋体" w:hAnsi="宋体" w:cs="宋体"/>
                <w:sz w:val="24"/>
              </w:rPr>
              <w:t>对于银行、保险、石油石化、电力、电信等行业的分支机构，可以提供上述授权，也可以提供其所属法人/其他组织的有关文件或制度等能够证明授权其独立开展业务的证明材料。</w:t>
            </w:r>
          </w:p>
        </w:tc>
        <w:tc>
          <w:tcPr>
            <w:tcW w:w="737" w:type="pct"/>
            <w:vAlign w:val="center"/>
          </w:tcPr>
          <w:p w14:paraId="57379CFC">
            <w:pPr>
              <w:tabs>
                <w:tab w:val="left" w:pos="1080"/>
              </w:tabs>
              <w:snapToGrid w:val="0"/>
              <w:jc w:val="left"/>
              <w:rPr>
                <w:sz w:val="24"/>
              </w:rPr>
            </w:pPr>
            <w:r>
              <w:rPr>
                <w:rFonts w:hint="eastAsia"/>
                <w:sz w:val="24"/>
              </w:rPr>
              <w:t>提供证明文件的复印件加盖供应商公章</w:t>
            </w:r>
          </w:p>
        </w:tc>
      </w:tr>
      <w:tr w14:paraId="2457B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98" w:hRule="atLeast"/>
        </w:trPr>
        <w:tc>
          <w:tcPr>
            <w:tcW w:w="391" w:type="pct"/>
            <w:vAlign w:val="center"/>
          </w:tcPr>
          <w:p w14:paraId="70C9BCC9">
            <w:pPr>
              <w:tabs>
                <w:tab w:val="left" w:pos="1080"/>
              </w:tabs>
              <w:snapToGrid w:val="0"/>
              <w:jc w:val="center"/>
              <w:rPr>
                <w:sz w:val="24"/>
              </w:rPr>
            </w:pPr>
            <w:r>
              <w:rPr>
                <w:sz w:val="24"/>
              </w:rPr>
              <w:t>1-2</w:t>
            </w:r>
          </w:p>
        </w:tc>
        <w:tc>
          <w:tcPr>
            <w:tcW w:w="1016" w:type="pct"/>
            <w:vAlign w:val="center"/>
          </w:tcPr>
          <w:p w14:paraId="065C4E27">
            <w:pPr>
              <w:tabs>
                <w:tab w:val="left" w:pos="1080"/>
              </w:tabs>
              <w:snapToGrid w:val="0"/>
              <w:jc w:val="left"/>
              <w:rPr>
                <w:sz w:val="24"/>
              </w:rPr>
            </w:pPr>
            <w:r>
              <w:rPr>
                <w:sz w:val="24"/>
              </w:rPr>
              <w:t>供应商资格声明书</w:t>
            </w:r>
          </w:p>
        </w:tc>
        <w:tc>
          <w:tcPr>
            <w:tcW w:w="2856" w:type="pct"/>
            <w:vAlign w:val="center"/>
          </w:tcPr>
          <w:p w14:paraId="1E2EEDA2">
            <w:pPr>
              <w:tabs>
                <w:tab w:val="left" w:pos="1080"/>
              </w:tabs>
              <w:snapToGrid w:val="0"/>
              <w:jc w:val="left"/>
              <w:rPr>
                <w:sz w:val="24"/>
              </w:rPr>
            </w:pPr>
            <w:r>
              <w:rPr>
                <w:sz w:val="24"/>
              </w:rPr>
              <w:t>提供了符合竞争性磋商文件要求的《供应商资格声明书》。</w:t>
            </w:r>
          </w:p>
        </w:tc>
        <w:tc>
          <w:tcPr>
            <w:tcW w:w="737" w:type="pct"/>
            <w:vAlign w:val="center"/>
          </w:tcPr>
          <w:p w14:paraId="095F33ED">
            <w:pPr>
              <w:tabs>
                <w:tab w:val="left" w:pos="1080"/>
              </w:tabs>
              <w:snapToGrid w:val="0"/>
              <w:jc w:val="left"/>
              <w:rPr>
                <w:sz w:val="24"/>
              </w:rPr>
            </w:pPr>
            <w:r>
              <w:rPr>
                <w:sz w:val="24"/>
              </w:rPr>
              <w:t>格式见《响应文件格式》</w:t>
            </w:r>
          </w:p>
        </w:tc>
      </w:tr>
      <w:tr w14:paraId="2B1FF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559" w:hRule="atLeast"/>
        </w:trPr>
        <w:tc>
          <w:tcPr>
            <w:tcW w:w="391" w:type="pct"/>
            <w:vAlign w:val="center"/>
          </w:tcPr>
          <w:p w14:paraId="5411AC44">
            <w:pPr>
              <w:tabs>
                <w:tab w:val="left" w:pos="1080"/>
              </w:tabs>
              <w:snapToGrid w:val="0"/>
              <w:jc w:val="center"/>
              <w:rPr>
                <w:sz w:val="24"/>
              </w:rPr>
            </w:pPr>
            <w:r>
              <w:rPr>
                <w:sz w:val="24"/>
              </w:rPr>
              <w:t>1-3</w:t>
            </w:r>
          </w:p>
        </w:tc>
        <w:tc>
          <w:tcPr>
            <w:tcW w:w="1016" w:type="pct"/>
            <w:vAlign w:val="center"/>
          </w:tcPr>
          <w:p w14:paraId="450A8472">
            <w:pPr>
              <w:tabs>
                <w:tab w:val="left" w:pos="1080"/>
              </w:tabs>
              <w:snapToGrid w:val="0"/>
              <w:jc w:val="left"/>
              <w:rPr>
                <w:sz w:val="24"/>
              </w:rPr>
            </w:pPr>
            <w:r>
              <w:rPr>
                <w:sz w:val="24"/>
              </w:rPr>
              <w:t>供应商信用记录</w:t>
            </w:r>
          </w:p>
        </w:tc>
        <w:tc>
          <w:tcPr>
            <w:tcW w:w="2856" w:type="pct"/>
            <w:vAlign w:val="center"/>
          </w:tcPr>
          <w:p w14:paraId="3F87D7CA">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596E3A12">
            <w:pPr>
              <w:tabs>
                <w:tab w:val="left" w:pos="900"/>
                <w:tab w:val="left" w:pos="1980"/>
              </w:tabs>
              <w:snapToGrid w:val="0"/>
              <w:rPr>
                <w:sz w:val="24"/>
              </w:rPr>
            </w:pPr>
            <w:r>
              <w:rPr>
                <w:sz w:val="24"/>
              </w:rPr>
              <w:t>截止时点：</w:t>
            </w:r>
            <w:r>
              <w:rPr>
                <w:color w:val="000000"/>
                <w:kern w:val="0"/>
                <w:sz w:val="24"/>
                <w:szCs w:val="20"/>
              </w:rPr>
              <w:t>首次响应文件提交截止时间以后</w:t>
            </w:r>
            <w:r>
              <w:rPr>
                <w:sz w:val="24"/>
              </w:rPr>
              <w:t>、资格性检查阶段采购人或采购代理机构的实际查询时间为准；</w:t>
            </w:r>
          </w:p>
          <w:p w14:paraId="74B6AEA2">
            <w:pPr>
              <w:tabs>
                <w:tab w:val="left" w:pos="900"/>
                <w:tab w:val="left" w:pos="1980"/>
              </w:tabs>
              <w:snapToGrid w:val="0"/>
              <w:rPr>
                <w:sz w:val="24"/>
              </w:rPr>
            </w:pPr>
            <w:r>
              <w:rPr>
                <w:sz w:val="24"/>
              </w:rPr>
              <w:t>信用信息查询记录和证据留存具体方式：查询结果网页打印页作为查询记录和证据，与其他竞争性磋商文件一并保存；</w:t>
            </w:r>
          </w:p>
          <w:p w14:paraId="1F5684D9">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w:t>
            </w:r>
          </w:p>
        </w:tc>
        <w:tc>
          <w:tcPr>
            <w:tcW w:w="737" w:type="pct"/>
            <w:vAlign w:val="center"/>
          </w:tcPr>
          <w:p w14:paraId="55334662">
            <w:pPr>
              <w:tabs>
                <w:tab w:val="left" w:pos="1080"/>
              </w:tabs>
              <w:snapToGrid w:val="0"/>
              <w:rPr>
                <w:sz w:val="24"/>
              </w:rPr>
            </w:pPr>
            <w:r>
              <w:rPr>
                <w:sz w:val="24"/>
              </w:rPr>
              <w:t>无须供应商提供，由采购人或采购代理机构查询。</w:t>
            </w:r>
          </w:p>
        </w:tc>
      </w:tr>
      <w:tr w14:paraId="5B12C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27" w:hRule="atLeast"/>
        </w:trPr>
        <w:tc>
          <w:tcPr>
            <w:tcW w:w="391" w:type="pct"/>
            <w:vAlign w:val="center"/>
          </w:tcPr>
          <w:p w14:paraId="04619BDB">
            <w:pPr>
              <w:tabs>
                <w:tab w:val="left" w:pos="1080"/>
              </w:tabs>
              <w:snapToGrid w:val="0"/>
              <w:jc w:val="center"/>
              <w:rPr>
                <w:sz w:val="24"/>
              </w:rPr>
            </w:pPr>
            <w:r>
              <w:rPr>
                <w:sz w:val="24"/>
              </w:rPr>
              <w:t>1-</w:t>
            </w:r>
            <w:r>
              <w:rPr>
                <w:rFonts w:hint="eastAsia"/>
                <w:sz w:val="24"/>
              </w:rPr>
              <w:t>4</w:t>
            </w:r>
          </w:p>
        </w:tc>
        <w:tc>
          <w:tcPr>
            <w:tcW w:w="1016" w:type="pct"/>
            <w:vAlign w:val="center"/>
          </w:tcPr>
          <w:p w14:paraId="2FA4D7B5">
            <w:pPr>
              <w:tabs>
                <w:tab w:val="left" w:pos="1080"/>
              </w:tabs>
              <w:snapToGrid w:val="0"/>
              <w:jc w:val="left"/>
              <w:rPr>
                <w:sz w:val="24"/>
              </w:rPr>
            </w:pPr>
            <w:r>
              <w:rPr>
                <w:rFonts w:hint="eastAsia"/>
                <w:sz w:val="24"/>
              </w:rPr>
              <w:t>法律、行政法规规定的其他条件</w:t>
            </w:r>
          </w:p>
        </w:tc>
        <w:tc>
          <w:tcPr>
            <w:tcW w:w="2856" w:type="pct"/>
            <w:vAlign w:val="center"/>
          </w:tcPr>
          <w:p w14:paraId="61F4089A">
            <w:pPr>
              <w:tabs>
                <w:tab w:val="left" w:pos="1080"/>
              </w:tabs>
              <w:snapToGrid w:val="0"/>
              <w:jc w:val="left"/>
              <w:rPr>
                <w:sz w:val="24"/>
              </w:rPr>
            </w:pPr>
            <w:r>
              <w:rPr>
                <w:rFonts w:hint="eastAsia"/>
                <w:sz w:val="24"/>
              </w:rPr>
              <w:t>法律、行政法规规定的其他条件</w:t>
            </w:r>
          </w:p>
        </w:tc>
        <w:tc>
          <w:tcPr>
            <w:tcW w:w="737" w:type="pct"/>
            <w:vAlign w:val="center"/>
          </w:tcPr>
          <w:p w14:paraId="69FAF195">
            <w:pPr>
              <w:tabs>
                <w:tab w:val="left" w:pos="1080"/>
              </w:tabs>
              <w:snapToGrid w:val="0"/>
              <w:jc w:val="center"/>
              <w:rPr>
                <w:sz w:val="24"/>
              </w:rPr>
            </w:pPr>
            <w:r>
              <w:rPr>
                <w:rFonts w:hint="eastAsia"/>
                <w:b/>
                <w:bCs/>
                <w:sz w:val="24"/>
              </w:rPr>
              <w:t>/</w:t>
            </w:r>
          </w:p>
        </w:tc>
      </w:tr>
      <w:tr w14:paraId="5DCB1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82" w:hRule="atLeast"/>
        </w:trPr>
        <w:tc>
          <w:tcPr>
            <w:tcW w:w="391" w:type="pct"/>
            <w:vAlign w:val="center"/>
          </w:tcPr>
          <w:p w14:paraId="799E4220">
            <w:pPr>
              <w:tabs>
                <w:tab w:val="left" w:pos="1080"/>
              </w:tabs>
              <w:snapToGrid w:val="0"/>
              <w:jc w:val="center"/>
              <w:rPr>
                <w:sz w:val="24"/>
              </w:rPr>
            </w:pPr>
            <w:r>
              <w:rPr>
                <w:sz w:val="24"/>
              </w:rPr>
              <w:t>2</w:t>
            </w:r>
          </w:p>
        </w:tc>
        <w:tc>
          <w:tcPr>
            <w:tcW w:w="1016" w:type="pct"/>
            <w:vAlign w:val="center"/>
          </w:tcPr>
          <w:p w14:paraId="475BABC1">
            <w:pPr>
              <w:tabs>
                <w:tab w:val="left" w:pos="1080"/>
              </w:tabs>
              <w:snapToGrid w:val="0"/>
              <w:jc w:val="left"/>
              <w:rPr>
                <w:sz w:val="24"/>
              </w:rPr>
            </w:pPr>
            <w:r>
              <w:rPr>
                <w:sz w:val="24"/>
              </w:rPr>
              <w:t>落实政府采购政策需满足的资格要求</w:t>
            </w:r>
          </w:p>
        </w:tc>
        <w:tc>
          <w:tcPr>
            <w:tcW w:w="2856" w:type="pct"/>
            <w:vAlign w:val="center"/>
          </w:tcPr>
          <w:p w14:paraId="22D8D4C5">
            <w:pPr>
              <w:tabs>
                <w:tab w:val="left" w:pos="1080"/>
              </w:tabs>
              <w:snapToGrid w:val="0"/>
              <w:jc w:val="left"/>
              <w:rPr>
                <w:sz w:val="24"/>
              </w:rPr>
            </w:pPr>
            <w:r>
              <w:rPr>
                <w:sz w:val="24"/>
              </w:rPr>
              <w:t>具体要求见第一章《采购邀请》</w:t>
            </w:r>
          </w:p>
        </w:tc>
        <w:tc>
          <w:tcPr>
            <w:tcW w:w="737" w:type="pct"/>
            <w:vAlign w:val="center"/>
          </w:tcPr>
          <w:p w14:paraId="7367523E">
            <w:pPr>
              <w:tabs>
                <w:tab w:val="left" w:pos="1080"/>
              </w:tabs>
              <w:snapToGrid w:val="0"/>
              <w:jc w:val="left"/>
              <w:rPr>
                <w:sz w:val="24"/>
              </w:rPr>
            </w:pPr>
          </w:p>
        </w:tc>
      </w:tr>
      <w:tr w14:paraId="63C93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13" w:hRule="atLeast"/>
        </w:trPr>
        <w:tc>
          <w:tcPr>
            <w:tcW w:w="391" w:type="pct"/>
            <w:vAlign w:val="center"/>
          </w:tcPr>
          <w:p w14:paraId="5400A8A4">
            <w:pPr>
              <w:tabs>
                <w:tab w:val="left" w:pos="1080"/>
              </w:tabs>
              <w:snapToGrid w:val="0"/>
              <w:jc w:val="center"/>
              <w:rPr>
                <w:sz w:val="24"/>
              </w:rPr>
            </w:pPr>
            <w:r>
              <w:rPr>
                <w:sz w:val="24"/>
              </w:rPr>
              <w:t>2-1</w:t>
            </w:r>
          </w:p>
        </w:tc>
        <w:tc>
          <w:tcPr>
            <w:tcW w:w="1016" w:type="pct"/>
            <w:vAlign w:val="center"/>
          </w:tcPr>
          <w:p w14:paraId="38528E12">
            <w:pPr>
              <w:tabs>
                <w:tab w:val="left" w:pos="1080"/>
              </w:tabs>
              <w:snapToGrid w:val="0"/>
              <w:jc w:val="left"/>
              <w:rPr>
                <w:sz w:val="24"/>
              </w:rPr>
            </w:pPr>
            <w:r>
              <w:rPr>
                <w:rFonts w:hint="eastAsia"/>
                <w:sz w:val="24"/>
              </w:rPr>
              <w:t>中小企业政策</w:t>
            </w:r>
          </w:p>
        </w:tc>
        <w:tc>
          <w:tcPr>
            <w:tcW w:w="2856" w:type="pct"/>
            <w:vAlign w:val="center"/>
          </w:tcPr>
          <w:p w14:paraId="522110FE">
            <w:pPr>
              <w:tabs>
                <w:tab w:val="left" w:pos="1080"/>
              </w:tabs>
              <w:snapToGrid w:val="0"/>
              <w:jc w:val="left"/>
              <w:rPr>
                <w:sz w:val="24"/>
              </w:rPr>
            </w:pPr>
            <w:r>
              <w:rPr>
                <w:rFonts w:hint="eastAsia"/>
                <w:sz w:val="24"/>
              </w:rPr>
              <w:t>具体要求见第一章《采购邀请》</w:t>
            </w:r>
          </w:p>
        </w:tc>
        <w:tc>
          <w:tcPr>
            <w:tcW w:w="737" w:type="pct"/>
            <w:vAlign w:val="center"/>
          </w:tcPr>
          <w:p w14:paraId="5995D2EA">
            <w:pPr>
              <w:tabs>
                <w:tab w:val="left" w:pos="1080"/>
              </w:tabs>
              <w:snapToGrid w:val="0"/>
              <w:jc w:val="left"/>
              <w:rPr>
                <w:sz w:val="24"/>
              </w:rPr>
            </w:pPr>
            <w:r>
              <w:rPr>
                <w:rFonts w:hint="eastAsia"/>
                <w:sz w:val="24"/>
              </w:rPr>
              <w:t>提供证明文件的复印件加盖供应商公章</w:t>
            </w:r>
          </w:p>
        </w:tc>
      </w:tr>
      <w:tr w14:paraId="39EBC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91" w:type="pct"/>
            <w:vAlign w:val="center"/>
          </w:tcPr>
          <w:p w14:paraId="38790074">
            <w:pPr>
              <w:tabs>
                <w:tab w:val="left" w:pos="1080"/>
              </w:tabs>
              <w:snapToGrid w:val="0"/>
              <w:jc w:val="center"/>
              <w:rPr>
                <w:sz w:val="24"/>
              </w:rPr>
            </w:pPr>
            <w:r>
              <w:rPr>
                <w:sz w:val="24"/>
              </w:rPr>
              <w:t>2-</w:t>
            </w:r>
            <w:r>
              <w:rPr>
                <w:rFonts w:hint="eastAsia"/>
                <w:sz w:val="24"/>
              </w:rPr>
              <w:t>1</w:t>
            </w:r>
            <w:r>
              <w:rPr>
                <w:sz w:val="24"/>
              </w:rPr>
              <w:t>-</w:t>
            </w:r>
            <w:r>
              <w:rPr>
                <w:rFonts w:hint="eastAsia"/>
                <w:sz w:val="24"/>
              </w:rPr>
              <w:t>1</w:t>
            </w:r>
          </w:p>
        </w:tc>
        <w:tc>
          <w:tcPr>
            <w:tcW w:w="1016" w:type="pct"/>
            <w:vAlign w:val="center"/>
          </w:tcPr>
          <w:p w14:paraId="15133949">
            <w:pPr>
              <w:tabs>
                <w:tab w:val="left" w:pos="1080"/>
              </w:tabs>
              <w:snapToGrid w:val="0"/>
              <w:jc w:val="left"/>
              <w:rPr>
                <w:sz w:val="24"/>
              </w:rPr>
            </w:pPr>
            <w:r>
              <w:rPr>
                <w:rFonts w:hint="eastAsia"/>
                <w:sz w:val="24"/>
              </w:rPr>
              <w:t>中小企业证明</w:t>
            </w:r>
          </w:p>
          <w:p w14:paraId="1D896283">
            <w:pPr>
              <w:tabs>
                <w:tab w:val="left" w:pos="1080"/>
              </w:tabs>
              <w:snapToGrid w:val="0"/>
              <w:jc w:val="left"/>
              <w:rPr>
                <w:sz w:val="24"/>
              </w:rPr>
            </w:pPr>
            <w:r>
              <w:rPr>
                <w:rFonts w:hint="eastAsia"/>
                <w:sz w:val="24"/>
              </w:rPr>
              <w:t>文件</w:t>
            </w:r>
          </w:p>
        </w:tc>
        <w:tc>
          <w:tcPr>
            <w:tcW w:w="2856" w:type="pct"/>
            <w:vAlign w:val="center"/>
          </w:tcPr>
          <w:p w14:paraId="3A950FE3">
            <w:pPr>
              <w:tabs>
                <w:tab w:val="left" w:pos="1080"/>
              </w:tabs>
              <w:snapToGrid w:val="0"/>
              <w:jc w:val="left"/>
              <w:rPr>
                <w:sz w:val="24"/>
              </w:rPr>
            </w:pPr>
            <w:r>
              <w:rPr>
                <w:rFonts w:hint="eastAsia"/>
                <w:sz w:val="24"/>
              </w:rPr>
              <w:t>当本项目（包）涉及预留份额专门面向中小企业采购，提供如下资料：</w:t>
            </w:r>
          </w:p>
          <w:p w14:paraId="038F3835">
            <w:pPr>
              <w:tabs>
                <w:tab w:val="left" w:pos="1080"/>
              </w:tabs>
              <w:snapToGrid w:val="0"/>
              <w:jc w:val="left"/>
              <w:rPr>
                <w:sz w:val="24"/>
              </w:rPr>
            </w:pPr>
            <w:r>
              <w:rPr>
                <w:rFonts w:hint="eastAsia"/>
                <w:sz w:val="24"/>
              </w:rPr>
              <w:t>1、供应商单独响应的，应提供《中小企业声明函》或《残疾人福利性单位声明函》或由省级以上监狱管理局、戒毒管理局（含新疆生产建设兵团）出具的属于监狱企业的证明文件。</w:t>
            </w:r>
          </w:p>
          <w:p w14:paraId="286BFA55">
            <w:pPr>
              <w:tabs>
                <w:tab w:val="left" w:pos="1080"/>
              </w:tabs>
              <w:snapToGrid w:val="0"/>
              <w:jc w:val="left"/>
              <w:rPr>
                <w:sz w:val="24"/>
              </w:rPr>
            </w:pPr>
            <w:r>
              <w:rPr>
                <w:rFonts w:hint="eastAsia"/>
                <w:sz w:val="24"/>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737" w:type="pct"/>
            <w:vAlign w:val="center"/>
          </w:tcPr>
          <w:p w14:paraId="516F67BE">
            <w:pPr>
              <w:tabs>
                <w:tab w:val="left" w:pos="1080"/>
              </w:tabs>
              <w:snapToGrid w:val="0"/>
              <w:jc w:val="left"/>
              <w:rPr>
                <w:sz w:val="24"/>
              </w:rPr>
            </w:pPr>
            <w:r>
              <w:rPr>
                <w:sz w:val="24"/>
              </w:rPr>
              <w:t>格式见《响应文件格式》</w:t>
            </w:r>
          </w:p>
        </w:tc>
      </w:tr>
      <w:tr w14:paraId="6D98C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91" w:type="pct"/>
            <w:vAlign w:val="center"/>
          </w:tcPr>
          <w:p w14:paraId="26523CC4">
            <w:pPr>
              <w:tabs>
                <w:tab w:val="left" w:pos="1080"/>
              </w:tabs>
              <w:snapToGrid w:val="0"/>
              <w:jc w:val="center"/>
              <w:rPr>
                <w:sz w:val="24"/>
              </w:rPr>
            </w:pPr>
            <w:r>
              <w:rPr>
                <w:sz w:val="24"/>
              </w:rPr>
              <w:t>2-1-</w:t>
            </w:r>
            <w:r>
              <w:rPr>
                <w:rFonts w:hint="eastAsia"/>
                <w:sz w:val="24"/>
              </w:rPr>
              <w:t>2</w:t>
            </w:r>
          </w:p>
        </w:tc>
        <w:tc>
          <w:tcPr>
            <w:tcW w:w="1016" w:type="pct"/>
            <w:vAlign w:val="center"/>
          </w:tcPr>
          <w:p w14:paraId="3BF1F48F">
            <w:pPr>
              <w:tabs>
                <w:tab w:val="left" w:pos="1080"/>
              </w:tabs>
              <w:snapToGrid w:val="0"/>
              <w:jc w:val="left"/>
              <w:rPr>
                <w:sz w:val="24"/>
              </w:rPr>
            </w:pPr>
            <w:r>
              <w:rPr>
                <w:rFonts w:hint="eastAsia"/>
                <w:sz w:val="24"/>
              </w:rPr>
              <w:t>拟分包情况说明及分包意向</w:t>
            </w:r>
            <w:r>
              <w:rPr>
                <w:sz w:val="24"/>
              </w:rPr>
              <w:t>协议</w:t>
            </w:r>
          </w:p>
        </w:tc>
        <w:tc>
          <w:tcPr>
            <w:tcW w:w="2856" w:type="pct"/>
            <w:vAlign w:val="center"/>
          </w:tcPr>
          <w:p w14:paraId="4C3FE51F">
            <w:pPr>
              <w:tabs>
                <w:tab w:val="left" w:pos="1080"/>
              </w:tabs>
              <w:snapToGrid w:val="0"/>
              <w:jc w:val="left"/>
              <w:rPr>
                <w:rFonts w:hint="eastAsia" w:ascii="宋体" w:hAnsi="宋体" w:cs="宋体"/>
                <w:bCs/>
                <w:sz w:val="24"/>
              </w:rPr>
            </w:pPr>
            <w:r>
              <w:rPr>
                <w:rFonts w:hint="eastAsia" w:ascii="宋体" w:hAnsi="宋体" w:cs="宋体"/>
                <w:bCs/>
                <w:sz w:val="24"/>
              </w:rPr>
              <w:t>如本项目（包）要求通过分包措施预留部分采购份额面向中小企业采购、且供应商因落实政府采购政策拟进行分包的，必须</w:t>
            </w:r>
            <w:r>
              <w:rPr>
                <w:rFonts w:hint="eastAsia"/>
                <w:sz w:val="24"/>
              </w:rPr>
              <w:t>提</w:t>
            </w:r>
            <w:r>
              <w:rPr>
                <w:rFonts w:hint="eastAsia" w:ascii="宋体" w:hAnsi="宋体" w:cs="宋体"/>
                <w:bCs/>
                <w:sz w:val="24"/>
              </w:rPr>
              <w:t>供；否则无须</w:t>
            </w:r>
            <w:r>
              <w:rPr>
                <w:rFonts w:hint="eastAsia"/>
                <w:sz w:val="24"/>
              </w:rPr>
              <w:t>提</w:t>
            </w:r>
            <w:r>
              <w:rPr>
                <w:rFonts w:hint="eastAsia" w:ascii="宋体" w:hAnsi="宋体" w:cs="宋体"/>
                <w:bCs/>
                <w:sz w:val="24"/>
              </w:rPr>
              <w:t>供。</w:t>
            </w:r>
          </w:p>
          <w:p w14:paraId="4A45A190">
            <w:pPr>
              <w:tabs>
                <w:tab w:val="left" w:pos="1080"/>
              </w:tabs>
              <w:snapToGrid w:val="0"/>
              <w:jc w:val="left"/>
              <w:rPr>
                <w:b/>
                <w:sz w:val="24"/>
              </w:rPr>
            </w:pPr>
            <w:r>
              <w:rPr>
                <w:rFonts w:hint="eastAsia" w:ascii="宋体" w:hAnsi="宋体" w:cs="宋体"/>
                <w:bCs/>
                <w:sz w:val="24"/>
              </w:rPr>
              <w:t>对于预留份额专门面向中小企业采购的项目（包），组成联合体或者接受分包合同的中小企业与联合体内其他企业、分包企业之间不得存在直接控股、管理关系。</w:t>
            </w:r>
          </w:p>
        </w:tc>
        <w:tc>
          <w:tcPr>
            <w:tcW w:w="737" w:type="pct"/>
            <w:vAlign w:val="center"/>
          </w:tcPr>
          <w:p w14:paraId="6C540034">
            <w:pPr>
              <w:tabs>
                <w:tab w:val="left" w:pos="1080"/>
              </w:tabs>
              <w:snapToGrid w:val="0"/>
              <w:jc w:val="left"/>
              <w:rPr>
                <w:sz w:val="24"/>
              </w:rPr>
            </w:pPr>
            <w:r>
              <w:rPr>
                <w:sz w:val="24"/>
              </w:rPr>
              <w:t>格式见《响应文件格式》</w:t>
            </w:r>
          </w:p>
        </w:tc>
      </w:tr>
      <w:tr w14:paraId="520BC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91" w:type="pct"/>
            <w:vAlign w:val="center"/>
          </w:tcPr>
          <w:p w14:paraId="18B734D9">
            <w:pPr>
              <w:tabs>
                <w:tab w:val="left" w:pos="1080"/>
              </w:tabs>
              <w:snapToGrid w:val="0"/>
              <w:jc w:val="center"/>
              <w:rPr>
                <w:sz w:val="24"/>
              </w:rPr>
            </w:pPr>
            <w:r>
              <w:rPr>
                <w:sz w:val="24"/>
              </w:rPr>
              <w:t>2-2</w:t>
            </w:r>
          </w:p>
        </w:tc>
        <w:tc>
          <w:tcPr>
            <w:tcW w:w="1016" w:type="pct"/>
            <w:vAlign w:val="center"/>
          </w:tcPr>
          <w:p w14:paraId="47733449">
            <w:pPr>
              <w:tabs>
                <w:tab w:val="left" w:pos="1080"/>
              </w:tabs>
              <w:snapToGrid w:val="0"/>
              <w:jc w:val="left"/>
              <w:rPr>
                <w:sz w:val="24"/>
              </w:rPr>
            </w:pPr>
            <w:r>
              <w:rPr>
                <w:sz w:val="24"/>
              </w:rPr>
              <w:t>其它落实政府采购政策的资格要求</w:t>
            </w:r>
          </w:p>
        </w:tc>
        <w:tc>
          <w:tcPr>
            <w:tcW w:w="2856" w:type="pct"/>
            <w:vAlign w:val="center"/>
          </w:tcPr>
          <w:p w14:paraId="29A9AAFD">
            <w:pPr>
              <w:tabs>
                <w:tab w:val="left" w:pos="1080"/>
              </w:tabs>
              <w:snapToGrid w:val="0"/>
              <w:jc w:val="left"/>
              <w:rPr>
                <w:sz w:val="24"/>
              </w:rPr>
            </w:pPr>
            <w:r>
              <w:rPr>
                <w:sz w:val="24"/>
              </w:rPr>
              <w:t>如有，见第一章《采购邀请》</w:t>
            </w:r>
          </w:p>
        </w:tc>
        <w:tc>
          <w:tcPr>
            <w:tcW w:w="737" w:type="pct"/>
            <w:vAlign w:val="center"/>
          </w:tcPr>
          <w:p w14:paraId="6D1176E9">
            <w:pPr>
              <w:tabs>
                <w:tab w:val="left" w:pos="1080"/>
              </w:tabs>
              <w:snapToGrid w:val="0"/>
              <w:jc w:val="left"/>
              <w:rPr>
                <w:sz w:val="24"/>
              </w:rPr>
            </w:pPr>
            <w:r>
              <w:rPr>
                <w:rFonts w:hint="eastAsia"/>
                <w:sz w:val="24"/>
              </w:rPr>
              <w:t>提供证明文件的复印件加盖供应商公章</w:t>
            </w:r>
          </w:p>
        </w:tc>
      </w:tr>
      <w:tr w14:paraId="59E87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19" w:hRule="atLeast"/>
        </w:trPr>
        <w:tc>
          <w:tcPr>
            <w:tcW w:w="391" w:type="pct"/>
            <w:vAlign w:val="center"/>
          </w:tcPr>
          <w:p w14:paraId="281F6A46">
            <w:pPr>
              <w:tabs>
                <w:tab w:val="left" w:pos="1080"/>
              </w:tabs>
              <w:snapToGrid w:val="0"/>
              <w:jc w:val="center"/>
              <w:rPr>
                <w:sz w:val="24"/>
              </w:rPr>
            </w:pPr>
            <w:r>
              <w:rPr>
                <w:sz w:val="24"/>
              </w:rPr>
              <w:t>3</w:t>
            </w:r>
          </w:p>
        </w:tc>
        <w:tc>
          <w:tcPr>
            <w:tcW w:w="1016" w:type="pct"/>
            <w:vAlign w:val="center"/>
          </w:tcPr>
          <w:p w14:paraId="583CD034">
            <w:pPr>
              <w:tabs>
                <w:tab w:val="left" w:pos="1080"/>
              </w:tabs>
              <w:snapToGrid w:val="0"/>
              <w:jc w:val="left"/>
              <w:rPr>
                <w:sz w:val="24"/>
              </w:rPr>
            </w:pPr>
            <w:r>
              <w:rPr>
                <w:sz w:val="24"/>
              </w:rPr>
              <w:t>本项目的特定资格要求</w:t>
            </w:r>
          </w:p>
        </w:tc>
        <w:tc>
          <w:tcPr>
            <w:tcW w:w="2856" w:type="pct"/>
            <w:vAlign w:val="center"/>
          </w:tcPr>
          <w:p w14:paraId="300C2D63">
            <w:pPr>
              <w:tabs>
                <w:tab w:val="left" w:pos="1080"/>
              </w:tabs>
              <w:snapToGrid w:val="0"/>
              <w:jc w:val="left"/>
              <w:rPr>
                <w:sz w:val="24"/>
              </w:rPr>
            </w:pPr>
            <w:r>
              <w:rPr>
                <w:sz w:val="24"/>
              </w:rPr>
              <w:t>如有，见第一章《采购邀请》</w:t>
            </w:r>
          </w:p>
        </w:tc>
        <w:tc>
          <w:tcPr>
            <w:tcW w:w="737" w:type="pct"/>
            <w:vAlign w:val="center"/>
          </w:tcPr>
          <w:p w14:paraId="5E360847">
            <w:pPr>
              <w:tabs>
                <w:tab w:val="left" w:pos="1080"/>
              </w:tabs>
              <w:snapToGrid w:val="0"/>
              <w:jc w:val="left"/>
              <w:rPr>
                <w:sz w:val="24"/>
              </w:rPr>
            </w:pPr>
          </w:p>
        </w:tc>
      </w:tr>
      <w:tr w14:paraId="18A8B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15" w:hRule="atLeast"/>
        </w:trPr>
        <w:tc>
          <w:tcPr>
            <w:tcW w:w="391" w:type="pct"/>
            <w:vAlign w:val="center"/>
          </w:tcPr>
          <w:p w14:paraId="4686A762">
            <w:pPr>
              <w:tabs>
                <w:tab w:val="left" w:pos="1080"/>
              </w:tabs>
              <w:snapToGrid w:val="0"/>
              <w:jc w:val="center"/>
              <w:rPr>
                <w:sz w:val="24"/>
              </w:rPr>
            </w:pPr>
            <w:r>
              <w:rPr>
                <w:sz w:val="24"/>
              </w:rPr>
              <w:t>3</w:t>
            </w:r>
            <w:r>
              <w:rPr>
                <w:rFonts w:hint="eastAsia"/>
                <w:sz w:val="24"/>
              </w:rPr>
              <w:t>-1</w:t>
            </w:r>
          </w:p>
        </w:tc>
        <w:tc>
          <w:tcPr>
            <w:tcW w:w="1016" w:type="pct"/>
            <w:vAlign w:val="center"/>
          </w:tcPr>
          <w:p w14:paraId="36D02635">
            <w:pPr>
              <w:tabs>
                <w:tab w:val="left" w:pos="1080"/>
              </w:tabs>
              <w:snapToGrid w:val="0"/>
              <w:jc w:val="left"/>
              <w:rPr>
                <w:sz w:val="24"/>
              </w:rPr>
            </w:pPr>
            <w:r>
              <w:rPr>
                <w:rFonts w:hint="eastAsia"/>
                <w:sz w:val="24"/>
              </w:rPr>
              <w:t>政府购买服务承接主体的要求</w:t>
            </w:r>
          </w:p>
        </w:tc>
        <w:tc>
          <w:tcPr>
            <w:tcW w:w="2856" w:type="pct"/>
            <w:vAlign w:val="center"/>
          </w:tcPr>
          <w:p w14:paraId="6A567D4B">
            <w:pPr>
              <w:tabs>
                <w:tab w:val="left" w:pos="1080"/>
              </w:tabs>
              <w:snapToGrid w:val="0"/>
              <w:jc w:val="left"/>
              <w:rPr>
                <w:sz w:val="24"/>
              </w:rPr>
            </w:pPr>
            <w:r>
              <w:rPr>
                <w:rFonts w:hint="eastAsia"/>
                <w:sz w:val="24"/>
              </w:rPr>
              <w:t>如本项目属于政府购买服务，供应商不属于公益一类事业单位、使用事业编制且由财政拨款保障的群团组织。</w:t>
            </w:r>
          </w:p>
        </w:tc>
        <w:tc>
          <w:tcPr>
            <w:tcW w:w="737" w:type="pct"/>
            <w:vAlign w:val="center"/>
          </w:tcPr>
          <w:p w14:paraId="13118F60">
            <w:pPr>
              <w:tabs>
                <w:tab w:val="left" w:pos="1080"/>
              </w:tabs>
              <w:snapToGrid w:val="0"/>
              <w:jc w:val="left"/>
              <w:rPr>
                <w:sz w:val="24"/>
              </w:rPr>
            </w:pPr>
            <w:r>
              <w:rPr>
                <w:rFonts w:hint="eastAsia"/>
                <w:sz w:val="24"/>
              </w:rPr>
              <w:t>格式见《响应文</w:t>
            </w:r>
          </w:p>
          <w:p w14:paraId="23B60349">
            <w:pPr>
              <w:tabs>
                <w:tab w:val="left" w:pos="1080"/>
              </w:tabs>
              <w:snapToGrid w:val="0"/>
              <w:jc w:val="left"/>
              <w:rPr>
                <w:sz w:val="24"/>
              </w:rPr>
            </w:pPr>
            <w:r>
              <w:rPr>
                <w:rFonts w:hint="eastAsia"/>
                <w:sz w:val="24"/>
              </w:rPr>
              <w:t>件格式》</w:t>
            </w:r>
          </w:p>
        </w:tc>
      </w:tr>
      <w:tr w14:paraId="4BCC0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91" w:type="pct"/>
            <w:vAlign w:val="center"/>
          </w:tcPr>
          <w:p w14:paraId="1C87D566">
            <w:pPr>
              <w:tabs>
                <w:tab w:val="left" w:pos="1080"/>
              </w:tabs>
              <w:snapToGrid w:val="0"/>
              <w:jc w:val="center"/>
              <w:rPr>
                <w:sz w:val="24"/>
              </w:rPr>
            </w:pPr>
            <w:r>
              <w:rPr>
                <w:sz w:val="24"/>
              </w:rPr>
              <w:t>3</w:t>
            </w:r>
            <w:r>
              <w:rPr>
                <w:rFonts w:hint="eastAsia"/>
                <w:sz w:val="24"/>
              </w:rPr>
              <w:t>-2</w:t>
            </w:r>
          </w:p>
        </w:tc>
        <w:tc>
          <w:tcPr>
            <w:tcW w:w="1016" w:type="pct"/>
            <w:vAlign w:val="center"/>
          </w:tcPr>
          <w:p w14:paraId="221259F0">
            <w:pPr>
              <w:tabs>
                <w:tab w:val="left" w:pos="1080"/>
              </w:tabs>
              <w:snapToGrid w:val="0"/>
              <w:jc w:val="left"/>
              <w:rPr>
                <w:sz w:val="24"/>
              </w:rPr>
            </w:pPr>
            <w:r>
              <w:rPr>
                <w:rFonts w:hint="eastAsia"/>
                <w:sz w:val="24"/>
              </w:rPr>
              <w:t>其他特定资格</w:t>
            </w:r>
          </w:p>
          <w:p w14:paraId="35110249">
            <w:pPr>
              <w:tabs>
                <w:tab w:val="left" w:pos="1080"/>
              </w:tabs>
              <w:snapToGrid w:val="0"/>
              <w:jc w:val="left"/>
              <w:rPr>
                <w:sz w:val="24"/>
              </w:rPr>
            </w:pPr>
            <w:r>
              <w:rPr>
                <w:rFonts w:hint="eastAsia"/>
                <w:sz w:val="24"/>
              </w:rPr>
              <w:t>要求</w:t>
            </w:r>
          </w:p>
        </w:tc>
        <w:tc>
          <w:tcPr>
            <w:tcW w:w="2856" w:type="pct"/>
            <w:vAlign w:val="center"/>
          </w:tcPr>
          <w:p w14:paraId="689189E7">
            <w:pPr>
              <w:tabs>
                <w:tab w:val="left" w:pos="1080"/>
              </w:tabs>
              <w:snapToGrid w:val="0"/>
              <w:jc w:val="left"/>
              <w:rPr>
                <w:sz w:val="24"/>
              </w:rPr>
            </w:pPr>
            <w:r>
              <w:rPr>
                <w:rFonts w:hint="eastAsia"/>
                <w:sz w:val="24"/>
              </w:rPr>
              <w:t>如有，见第一章《采购邀请》</w:t>
            </w:r>
          </w:p>
        </w:tc>
        <w:tc>
          <w:tcPr>
            <w:tcW w:w="737" w:type="pct"/>
            <w:vAlign w:val="center"/>
          </w:tcPr>
          <w:p w14:paraId="32644586">
            <w:pPr>
              <w:tabs>
                <w:tab w:val="left" w:pos="1080"/>
              </w:tabs>
              <w:snapToGrid w:val="0"/>
              <w:jc w:val="left"/>
              <w:rPr>
                <w:sz w:val="24"/>
              </w:rPr>
            </w:pPr>
            <w:r>
              <w:rPr>
                <w:rFonts w:hint="eastAsia"/>
                <w:sz w:val="24"/>
              </w:rPr>
              <w:t>提供证明文件的复印件加盖供应商公章</w:t>
            </w:r>
          </w:p>
        </w:tc>
      </w:tr>
      <w:tr w14:paraId="2F5F5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91" w:hRule="atLeast"/>
        </w:trPr>
        <w:tc>
          <w:tcPr>
            <w:tcW w:w="391" w:type="pct"/>
            <w:vAlign w:val="center"/>
          </w:tcPr>
          <w:p w14:paraId="6C4FE066">
            <w:pPr>
              <w:tabs>
                <w:tab w:val="left" w:pos="1080"/>
              </w:tabs>
              <w:snapToGrid w:val="0"/>
              <w:jc w:val="center"/>
              <w:rPr>
                <w:sz w:val="24"/>
              </w:rPr>
            </w:pPr>
            <w:r>
              <w:rPr>
                <w:rFonts w:hint="eastAsia"/>
                <w:sz w:val="24"/>
              </w:rPr>
              <w:t>4</w:t>
            </w:r>
          </w:p>
        </w:tc>
        <w:tc>
          <w:tcPr>
            <w:tcW w:w="1016" w:type="pct"/>
            <w:vAlign w:val="center"/>
          </w:tcPr>
          <w:p w14:paraId="4F60A31D">
            <w:pPr>
              <w:tabs>
                <w:tab w:val="left" w:pos="1080"/>
              </w:tabs>
              <w:snapToGrid w:val="0"/>
              <w:jc w:val="left"/>
              <w:rPr>
                <w:sz w:val="24"/>
              </w:rPr>
            </w:pPr>
            <w:r>
              <w:rPr>
                <w:rFonts w:hint="eastAsia"/>
                <w:sz w:val="24"/>
              </w:rPr>
              <w:t>磋商保证金</w:t>
            </w:r>
          </w:p>
        </w:tc>
        <w:tc>
          <w:tcPr>
            <w:tcW w:w="2856" w:type="pct"/>
            <w:vAlign w:val="center"/>
          </w:tcPr>
          <w:p w14:paraId="495E6554">
            <w:pPr>
              <w:tabs>
                <w:tab w:val="left" w:pos="1080"/>
              </w:tabs>
              <w:snapToGrid w:val="0"/>
              <w:jc w:val="left"/>
              <w:rPr>
                <w:sz w:val="24"/>
              </w:rPr>
            </w:pPr>
            <w:r>
              <w:rPr>
                <w:rFonts w:hint="eastAsia"/>
                <w:sz w:val="24"/>
              </w:rPr>
              <w:t>按照竞争性磋商文件的要求提交磋商保证金。</w:t>
            </w:r>
          </w:p>
        </w:tc>
        <w:tc>
          <w:tcPr>
            <w:tcW w:w="737" w:type="pct"/>
            <w:vAlign w:val="center"/>
          </w:tcPr>
          <w:p w14:paraId="45622088">
            <w:pPr>
              <w:tabs>
                <w:tab w:val="left" w:pos="1080"/>
              </w:tabs>
              <w:snapToGrid w:val="0"/>
              <w:jc w:val="left"/>
              <w:rPr>
                <w:sz w:val="24"/>
              </w:rPr>
            </w:pPr>
            <w:r>
              <w:rPr>
                <w:rFonts w:hint="eastAsia"/>
                <w:sz w:val="24"/>
              </w:rPr>
              <w:t>格式见《响应文</w:t>
            </w:r>
          </w:p>
          <w:p w14:paraId="6086D327">
            <w:pPr>
              <w:tabs>
                <w:tab w:val="left" w:pos="1080"/>
              </w:tabs>
              <w:snapToGrid w:val="0"/>
              <w:jc w:val="left"/>
              <w:rPr>
                <w:sz w:val="24"/>
              </w:rPr>
            </w:pPr>
            <w:r>
              <w:rPr>
                <w:rFonts w:hint="eastAsia"/>
                <w:sz w:val="24"/>
              </w:rPr>
              <w:t>件格式》</w:t>
            </w:r>
          </w:p>
        </w:tc>
      </w:tr>
    </w:tbl>
    <w:p w14:paraId="78E08825">
      <w:pPr>
        <w:tabs>
          <w:tab w:val="left" w:pos="900"/>
          <w:tab w:val="left" w:pos="1080"/>
        </w:tabs>
        <w:snapToGrid w:val="0"/>
        <w:spacing w:line="360" w:lineRule="auto"/>
        <w:ind w:firstLine="482"/>
        <w:jc w:val="center"/>
        <w:rPr>
          <w:rFonts w:hint="eastAsia" w:ascii="宋体" w:hAnsi="宋体"/>
          <w:b/>
          <w:sz w:val="24"/>
        </w:rPr>
      </w:pPr>
    </w:p>
    <w:p w14:paraId="58D3E5EE">
      <w:pPr>
        <w:tabs>
          <w:tab w:val="left" w:pos="900"/>
          <w:tab w:val="left" w:pos="1080"/>
        </w:tabs>
        <w:snapToGrid w:val="0"/>
        <w:spacing w:line="360" w:lineRule="auto"/>
        <w:ind w:firstLine="482"/>
        <w:jc w:val="center"/>
        <w:rPr>
          <w:rFonts w:hint="eastAsia" w:ascii="宋体" w:hAnsi="宋体"/>
          <w:b/>
          <w:sz w:val="24"/>
        </w:rPr>
      </w:pPr>
    </w:p>
    <w:p w14:paraId="5428CA47">
      <w:pPr>
        <w:tabs>
          <w:tab w:val="left" w:pos="900"/>
          <w:tab w:val="left" w:pos="1080"/>
        </w:tabs>
        <w:snapToGrid w:val="0"/>
        <w:spacing w:line="360" w:lineRule="auto"/>
        <w:ind w:firstLine="482"/>
        <w:jc w:val="center"/>
        <w:rPr>
          <w:rFonts w:hint="eastAsia" w:ascii="宋体" w:hAnsi="宋体"/>
          <w:b/>
          <w:sz w:val="24"/>
        </w:rPr>
      </w:pPr>
    </w:p>
    <w:p w14:paraId="3BE4F86F">
      <w:pPr>
        <w:tabs>
          <w:tab w:val="left" w:pos="900"/>
          <w:tab w:val="left" w:pos="1080"/>
        </w:tabs>
        <w:snapToGrid w:val="0"/>
        <w:spacing w:line="360" w:lineRule="auto"/>
        <w:ind w:firstLine="482"/>
        <w:jc w:val="center"/>
        <w:rPr>
          <w:rFonts w:hint="eastAsia" w:ascii="宋体" w:hAnsi="宋体"/>
          <w:b/>
          <w:sz w:val="24"/>
        </w:rPr>
      </w:pPr>
    </w:p>
    <w:p w14:paraId="5A1B90B7">
      <w:pPr>
        <w:tabs>
          <w:tab w:val="left" w:pos="900"/>
          <w:tab w:val="left" w:pos="1080"/>
        </w:tabs>
        <w:snapToGrid w:val="0"/>
        <w:spacing w:line="360" w:lineRule="auto"/>
        <w:ind w:firstLine="482"/>
        <w:jc w:val="center"/>
        <w:rPr>
          <w:rFonts w:hint="eastAsia" w:ascii="宋体" w:hAnsi="宋体"/>
          <w:b/>
          <w:sz w:val="24"/>
        </w:rPr>
      </w:pPr>
    </w:p>
    <w:bookmarkEnd w:id="636"/>
    <w:p w14:paraId="6E8BA6E0">
      <w:pPr>
        <w:pStyle w:val="71"/>
        <w:ind w:left="0" w:leftChars="0" w:firstLine="0" w:firstLineChars="0"/>
        <w:rPr>
          <w:lang w:val="en-US"/>
        </w:rPr>
      </w:pPr>
      <w:bookmarkStart w:id="637" w:name="_Hlt487972895"/>
      <w:bookmarkEnd w:id="637"/>
    </w:p>
    <w:p w14:paraId="7E8DDCE0">
      <w:pPr>
        <w:pStyle w:val="71"/>
        <w:ind w:left="0" w:leftChars="0" w:firstLine="0" w:firstLineChars="0"/>
        <w:rPr>
          <w:lang w:val="en-US"/>
        </w:rPr>
      </w:pPr>
    </w:p>
    <w:p w14:paraId="235F872C">
      <w:pPr>
        <w:pStyle w:val="71"/>
        <w:ind w:left="0" w:leftChars="0" w:firstLine="0" w:firstLineChars="0"/>
        <w:rPr>
          <w:lang w:val="en-US"/>
        </w:rPr>
      </w:pPr>
    </w:p>
    <w:p w14:paraId="22D157F6">
      <w:pPr>
        <w:pStyle w:val="71"/>
        <w:ind w:left="0" w:leftChars="0" w:firstLine="0" w:firstLineChars="0"/>
        <w:rPr>
          <w:lang w:val="en-US"/>
        </w:rPr>
      </w:pPr>
    </w:p>
    <w:p w14:paraId="54283BF4">
      <w:pPr>
        <w:pStyle w:val="71"/>
        <w:ind w:left="0" w:leftChars="0" w:firstLine="0" w:firstLineChars="0"/>
        <w:rPr>
          <w:lang w:val="en-US"/>
        </w:rPr>
      </w:pPr>
    </w:p>
    <w:p w14:paraId="2690D356">
      <w:pPr>
        <w:pStyle w:val="71"/>
        <w:ind w:left="0" w:leftChars="0" w:firstLine="0" w:firstLineChars="0"/>
        <w:rPr>
          <w:lang w:val="en-US"/>
        </w:rPr>
      </w:pPr>
    </w:p>
    <w:p w14:paraId="1D085FF6">
      <w:pPr>
        <w:pStyle w:val="71"/>
        <w:ind w:left="0" w:leftChars="0" w:firstLine="0" w:firstLineChars="0"/>
        <w:rPr>
          <w:lang w:val="en-US"/>
        </w:rPr>
      </w:pPr>
      <w:r>
        <w:rPr>
          <w:rFonts w:hint="eastAsia"/>
          <w:lang w:val="en-US"/>
        </w:rPr>
        <w:t>1.4 《符合性审查要求》见下表：</w:t>
      </w:r>
      <w:r>
        <w:rPr>
          <w:lang w:val="en-US"/>
        </w:rPr>
        <w:cr/>
      </w:r>
    </w:p>
    <w:p w14:paraId="65563269">
      <w:pPr>
        <w:tabs>
          <w:tab w:val="left" w:pos="900"/>
          <w:tab w:val="left" w:pos="1080"/>
          <w:tab w:val="left" w:pos="1589"/>
        </w:tabs>
        <w:snapToGrid w:val="0"/>
        <w:spacing w:line="360" w:lineRule="auto"/>
        <w:ind w:leftChars="-170" w:hanging="357" w:hangingChars="148"/>
        <w:jc w:val="center"/>
        <w:rPr>
          <w:rFonts w:hint="eastAsia" w:ascii="宋体" w:hAnsi="宋体"/>
          <w:b/>
          <w:sz w:val="24"/>
        </w:rPr>
      </w:pPr>
      <w:r>
        <w:rPr>
          <w:rFonts w:ascii="宋体" w:hAnsi="宋体"/>
          <w:b/>
          <w:sz w:val="24"/>
        </w:rPr>
        <w:t>符合性审查</w:t>
      </w:r>
      <w:r>
        <w:rPr>
          <w:rFonts w:hint="eastAsia" w:ascii="宋体" w:hAnsi="宋体"/>
          <w:b/>
          <w:sz w:val="24"/>
        </w:rPr>
        <w:t>要求</w:t>
      </w:r>
    </w:p>
    <w:tbl>
      <w:tblPr>
        <w:tblStyle w:val="57"/>
        <w:tblW w:w="8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
        <w:gridCol w:w="1375"/>
        <w:gridCol w:w="5232"/>
        <w:gridCol w:w="1555"/>
      </w:tblGrid>
      <w:tr w14:paraId="1C699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55" w:type="dxa"/>
            <w:vAlign w:val="center"/>
          </w:tcPr>
          <w:p w14:paraId="36D8E260">
            <w:pPr>
              <w:widowControl/>
              <w:jc w:val="center"/>
              <w:rPr>
                <w:rFonts w:hint="eastAsia" w:ascii="宋体" w:hAnsi="宋体"/>
                <w:b/>
                <w:kern w:val="0"/>
                <w:szCs w:val="21"/>
              </w:rPr>
            </w:pPr>
            <w:r>
              <w:rPr>
                <w:rFonts w:ascii="宋体" w:hAnsi="宋体"/>
                <w:b/>
                <w:kern w:val="0"/>
                <w:szCs w:val="21"/>
              </w:rPr>
              <w:t>序号</w:t>
            </w:r>
          </w:p>
        </w:tc>
        <w:tc>
          <w:tcPr>
            <w:tcW w:w="1375" w:type="dxa"/>
            <w:vAlign w:val="center"/>
          </w:tcPr>
          <w:p w14:paraId="39715CDC">
            <w:pPr>
              <w:widowControl/>
              <w:jc w:val="center"/>
              <w:rPr>
                <w:rFonts w:hint="eastAsia" w:ascii="宋体" w:hAnsi="宋体"/>
                <w:b/>
                <w:kern w:val="0"/>
                <w:szCs w:val="21"/>
              </w:rPr>
            </w:pPr>
            <w:r>
              <w:rPr>
                <w:rFonts w:ascii="宋体" w:hAnsi="宋体"/>
                <w:b/>
                <w:kern w:val="0"/>
                <w:szCs w:val="21"/>
              </w:rPr>
              <w:t>审查因素</w:t>
            </w:r>
          </w:p>
        </w:tc>
        <w:tc>
          <w:tcPr>
            <w:tcW w:w="5232" w:type="dxa"/>
            <w:vAlign w:val="center"/>
          </w:tcPr>
          <w:p w14:paraId="4D04318C">
            <w:pPr>
              <w:widowControl/>
              <w:jc w:val="center"/>
              <w:rPr>
                <w:rFonts w:hint="eastAsia" w:ascii="宋体" w:hAnsi="宋体"/>
                <w:b/>
                <w:kern w:val="0"/>
                <w:szCs w:val="21"/>
              </w:rPr>
            </w:pPr>
            <w:r>
              <w:rPr>
                <w:rFonts w:ascii="宋体" w:hAnsi="宋体"/>
                <w:b/>
                <w:kern w:val="0"/>
                <w:szCs w:val="21"/>
              </w:rPr>
              <w:t>审查内容</w:t>
            </w:r>
          </w:p>
        </w:tc>
        <w:tc>
          <w:tcPr>
            <w:tcW w:w="1555" w:type="dxa"/>
          </w:tcPr>
          <w:p w14:paraId="34EDA898">
            <w:pPr>
              <w:widowControl/>
              <w:jc w:val="center"/>
              <w:rPr>
                <w:rFonts w:hint="eastAsia" w:ascii="宋体" w:hAnsi="宋体"/>
                <w:b/>
                <w:kern w:val="0"/>
                <w:szCs w:val="21"/>
              </w:rPr>
            </w:pPr>
            <w:r>
              <w:rPr>
                <w:rFonts w:hint="eastAsia" w:ascii="宋体" w:hAnsi="宋体"/>
                <w:b/>
                <w:kern w:val="0"/>
                <w:szCs w:val="21"/>
              </w:rPr>
              <w:t>是否允许澄清、说明或者更正</w:t>
            </w:r>
          </w:p>
        </w:tc>
      </w:tr>
      <w:tr w14:paraId="4BDD5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455" w:type="dxa"/>
            <w:vAlign w:val="center"/>
          </w:tcPr>
          <w:p w14:paraId="19A4B75C">
            <w:pPr>
              <w:widowControl/>
              <w:jc w:val="center"/>
              <w:rPr>
                <w:rFonts w:hint="eastAsia" w:ascii="宋体" w:hAnsi="宋体"/>
                <w:kern w:val="0"/>
                <w:szCs w:val="21"/>
              </w:rPr>
            </w:pPr>
            <w:r>
              <w:rPr>
                <w:rFonts w:ascii="宋体" w:hAnsi="宋体"/>
                <w:kern w:val="0"/>
                <w:szCs w:val="21"/>
              </w:rPr>
              <w:t>1</w:t>
            </w:r>
          </w:p>
        </w:tc>
        <w:tc>
          <w:tcPr>
            <w:tcW w:w="1375" w:type="dxa"/>
            <w:vAlign w:val="center"/>
          </w:tcPr>
          <w:p w14:paraId="5F1B0EC0">
            <w:pPr>
              <w:widowControl/>
              <w:jc w:val="center"/>
              <w:rPr>
                <w:rFonts w:hint="eastAsia" w:ascii="宋体" w:hAnsi="宋体"/>
                <w:kern w:val="0"/>
                <w:szCs w:val="21"/>
              </w:rPr>
            </w:pPr>
            <w:r>
              <w:rPr>
                <w:rFonts w:ascii="宋体" w:hAnsi="宋体"/>
                <w:kern w:val="0"/>
                <w:szCs w:val="21"/>
              </w:rPr>
              <w:t>授权委托书</w:t>
            </w:r>
          </w:p>
        </w:tc>
        <w:tc>
          <w:tcPr>
            <w:tcW w:w="5232" w:type="dxa"/>
            <w:vAlign w:val="center"/>
          </w:tcPr>
          <w:p w14:paraId="2C11BCC9">
            <w:pPr>
              <w:widowControl/>
              <w:jc w:val="left"/>
              <w:rPr>
                <w:rFonts w:hint="eastAsia" w:ascii="宋体" w:hAnsi="宋体"/>
                <w:kern w:val="0"/>
                <w:szCs w:val="21"/>
              </w:rPr>
            </w:pPr>
            <w:r>
              <w:rPr>
                <w:rFonts w:ascii="宋体" w:hAnsi="宋体"/>
                <w:kern w:val="0"/>
                <w:szCs w:val="21"/>
              </w:rPr>
              <w:t>按招标文件要求提供授权委托书；</w:t>
            </w:r>
          </w:p>
        </w:tc>
        <w:tc>
          <w:tcPr>
            <w:tcW w:w="1555" w:type="dxa"/>
            <w:vAlign w:val="center"/>
          </w:tcPr>
          <w:p w14:paraId="3F84271D">
            <w:pPr>
              <w:widowControl/>
              <w:jc w:val="center"/>
              <w:rPr>
                <w:rFonts w:hint="eastAsia" w:ascii="宋体" w:hAnsi="宋体"/>
                <w:kern w:val="0"/>
                <w:szCs w:val="21"/>
              </w:rPr>
            </w:pPr>
            <w:r>
              <w:rPr>
                <w:rFonts w:hint="eastAsia" w:ascii="宋体" w:hAnsi="宋体"/>
                <w:kern w:val="0"/>
                <w:szCs w:val="21"/>
              </w:rPr>
              <w:t>否</w:t>
            </w:r>
          </w:p>
        </w:tc>
      </w:tr>
      <w:tr w14:paraId="0ECE8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455" w:type="dxa"/>
            <w:vAlign w:val="center"/>
          </w:tcPr>
          <w:p w14:paraId="0476D305">
            <w:pPr>
              <w:widowControl/>
              <w:jc w:val="center"/>
              <w:rPr>
                <w:rFonts w:hint="eastAsia" w:ascii="宋体" w:hAnsi="宋体"/>
                <w:kern w:val="0"/>
                <w:szCs w:val="21"/>
              </w:rPr>
            </w:pPr>
            <w:r>
              <w:rPr>
                <w:rFonts w:ascii="宋体" w:hAnsi="宋体"/>
                <w:kern w:val="0"/>
                <w:szCs w:val="21"/>
              </w:rPr>
              <w:t>2</w:t>
            </w:r>
          </w:p>
        </w:tc>
        <w:tc>
          <w:tcPr>
            <w:tcW w:w="1375" w:type="dxa"/>
            <w:vAlign w:val="center"/>
          </w:tcPr>
          <w:p w14:paraId="5D8A1366">
            <w:pPr>
              <w:widowControl/>
              <w:jc w:val="center"/>
              <w:rPr>
                <w:rFonts w:hint="eastAsia" w:ascii="宋体" w:hAnsi="宋体"/>
                <w:kern w:val="0"/>
                <w:szCs w:val="21"/>
              </w:rPr>
            </w:pPr>
            <w:r>
              <w:rPr>
                <w:rFonts w:ascii="宋体" w:hAnsi="宋体"/>
                <w:kern w:val="0"/>
                <w:szCs w:val="21"/>
              </w:rPr>
              <w:t>投标完整性</w:t>
            </w:r>
          </w:p>
        </w:tc>
        <w:tc>
          <w:tcPr>
            <w:tcW w:w="5232" w:type="dxa"/>
            <w:vAlign w:val="center"/>
          </w:tcPr>
          <w:p w14:paraId="15170CD2">
            <w:pPr>
              <w:widowControl/>
              <w:jc w:val="left"/>
              <w:rPr>
                <w:rFonts w:hint="eastAsia" w:ascii="宋体" w:hAnsi="宋体"/>
                <w:kern w:val="0"/>
                <w:szCs w:val="21"/>
              </w:rPr>
            </w:pPr>
            <w:r>
              <w:rPr>
                <w:rFonts w:hint="eastAsia" w:ascii="宋体" w:hAnsi="宋体"/>
                <w:szCs w:val="21"/>
              </w:rPr>
              <w:t>未</w:t>
            </w:r>
            <w:r>
              <w:rPr>
                <w:rFonts w:ascii="宋体" w:hAnsi="宋体"/>
                <w:szCs w:val="21"/>
              </w:rPr>
              <w:t>将一个采购包中的内容拆开投标；</w:t>
            </w:r>
          </w:p>
        </w:tc>
        <w:tc>
          <w:tcPr>
            <w:tcW w:w="1555" w:type="dxa"/>
            <w:vAlign w:val="center"/>
          </w:tcPr>
          <w:p w14:paraId="305382D2">
            <w:pPr>
              <w:widowControl/>
              <w:jc w:val="center"/>
              <w:rPr>
                <w:rFonts w:hint="eastAsia" w:ascii="宋体" w:hAnsi="宋体"/>
                <w:szCs w:val="21"/>
              </w:rPr>
            </w:pPr>
            <w:r>
              <w:rPr>
                <w:rFonts w:hint="eastAsia" w:ascii="宋体" w:hAnsi="宋体"/>
                <w:kern w:val="0"/>
                <w:szCs w:val="21"/>
              </w:rPr>
              <w:t>否</w:t>
            </w:r>
          </w:p>
        </w:tc>
      </w:tr>
      <w:tr w14:paraId="3FC50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5" w:type="dxa"/>
            <w:vAlign w:val="center"/>
          </w:tcPr>
          <w:p w14:paraId="23BA8CFC">
            <w:pPr>
              <w:widowControl/>
              <w:jc w:val="center"/>
              <w:rPr>
                <w:rFonts w:hint="eastAsia" w:ascii="宋体" w:hAnsi="宋体"/>
                <w:kern w:val="0"/>
                <w:szCs w:val="21"/>
              </w:rPr>
            </w:pPr>
            <w:r>
              <w:rPr>
                <w:rFonts w:ascii="宋体" w:hAnsi="宋体"/>
                <w:kern w:val="0"/>
                <w:szCs w:val="21"/>
              </w:rPr>
              <w:t>3</w:t>
            </w:r>
          </w:p>
        </w:tc>
        <w:tc>
          <w:tcPr>
            <w:tcW w:w="1375" w:type="dxa"/>
            <w:vAlign w:val="center"/>
          </w:tcPr>
          <w:p w14:paraId="46BF550C">
            <w:pPr>
              <w:widowControl/>
              <w:jc w:val="center"/>
              <w:rPr>
                <w:rFonts w:hint="eastAsia" w:ascii="宋体" w:hAnsi="宋体"/>
                <w:kern w:val="0"/>
                <w:szCs w:val="21"/>
              </w:rPr>
            </w:pPr>
            <w:r>
              <w:rPr>
                <w:rFonts w:ascii="宋体" w:hAnsi="宋体"/>
                <w:kern w:val="0"/>
                <w:szCs w:val="21"/>
              </w:rPr>
              <w:t>投标报价</w:t>
            </w:r>
          </w:p>
        </w:tc>
        <w:tc>
          <w:tcPr>
            <w:tcW w:w="5232" w:type="dxa"/>
            <w:vAlign w:val="center"/>
          </w:tcPr>
          <w:p w14:paraId="352E7B5C">
            <w:pPr>
              <w:widowControl/>
              <w:jc w:val="left"/>
              <w:rPr>
                <w:rFonts w:hint="eastAsia" w:ascii="宋体" w:hAnsi="宋体"/>
                <w:kern w:val="0"/>
                <w:szCs w:val="21"/>
              </w:rPr>
            </w:pPr>
            <w:r>
              <w:rPr>
                <w:rFonts w:ascii="宋体" w:hAnsi="宋体"/>
                <w:kern w:val="0"/>
                <w:szCs w:val="21"/>
              </w:rPr>
              <w:t>投标报价</w:t>
            </w:r>
            <w:r>
              <w:rPr>
                <w:rFonts w:hint="eastAsia" w:ascii="宋体" w:hAnsi="宋体"/>
                <w:kern w:val="0"/>
                <w:szCs w:val="21"/>
              </w:rPr>
              <w:t>未</w:t>
            </w:r>
            <w:r>
              <w:rPr>
                <w:rFonts w:ascii="宋体" w:hAnsi="宋体"/>
                <w:szCs w:val="21"/>
              </w:rPr>
              <w:t>超过招标文件中规定的项目/采购包预算金额或者项目/采购包最高限价</w:t>
            </w:r>
            <w:r>
              <w:rPr>
                <w:rFonts w:ascii="宋体" w:hAnsi="宋体"/>
                <w:kern w:val="0"/>
                <w:szCs w:val="21"/>
              </w:rPr>
              <w:t>；</w:t>
            </w:r>
          </w:p>
        </w:tc>
        <w:tc>
          <w:tcPr>
            <w:tcW w:w="1555" w:type="dxa"/>
            <w:vAlign w:val="center"/>
          </w:tcPr>
          <w:p w14:paraId="533F55A2">
            <w:pPr>
              <w:widowControl/>
              <w:jc w:val="center"/>
              <w:rPr>
                <w:rFonts w:hint="eastAsia" w:ascii="宋体" w:hAnsi="宋体"/>
                <w:kern w:val="0"/>
                <w:szCs w:val="21"/>
              </w:rPr>
            </w:pPr>
            <w:r>
              <w:rPr>
                <w:rFonts w:hint="eastAsia" w:ascii="宋体" w:hAnsi="宋体"/>
                <w:kern w:val="0"/>
                <w:szCs w:val="21"/>
              </w:rPr>
              <w:t>否</w:t>
            </w:r>
          </w:p>
        </w:tc>
      </w:tr>
      <w:tr w14:paraId="034D4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5" w:type="dxa"/>
            <w:vAlign w:val="center"/>
          </w:tcPr>
          <w:p w14:paraId="03A53790">
            <w:pPr>
              <w:widowControl/>
              <w:jc w:val="center"/>
              <w:rPr>
                <w:rFonts w:hint="eastAsia" w:ascii="宋体" w:hAnsi="宋体"/>
                <w:kern w:val="0"/>
                <w:szCs w:val="21"/>
              </w:rPr>
            </w:pPr>
            <w:r>
              <w:rPr>
                <w:rFonts w:ascii="宋体" w:hAnsi="宋体"/>
                <w:kern w:val="0"/>
                <w:szCs w:val="21"/>
              </w:rPr>
              <w:t>4</w:t>
            </w:r>
          </w:p>
        </w:tc>
        <w:tc>
          <w:tcPr>
            <w:tcW w:w="1375" w:type="dxa"/>
            <w:vAlign w:val="center"/>
          </w:tcPr>
          <w:p w14:paraId="74514808">
            <w:pPr>
              <w:widowControl/>
              <w:jc w:val="center"/>
              <w:rPr>
                <w:rFonts w:hint="eastAsia" w:ascii="宋体" w:hAnsi="宋体"/>
                <w:kern w:val="0"/>
                <w:szCs w:val="21"/>
              </w:rPr>
            </w:pPr>
            <w:r>
              <w:rPr>
                <w:rFonts w:ascii="宋体" w:hAnsi="宋体"/>
                <w:kern w:val="0"/>
                <w:szCs w:val="21"/>
              </w:rPr>
              <w:t>报价唯一性</w:t>
            </w:r>
          </w:p>
        </w:tc>
        <w:tc>
          <w:tcPr>
            <w:tcW w:w="5232" w:type="dxa"/>
            <w:vAlign w:val="center"/>
          </w:tcPr>
          <w:p w14:paraId="6D454800">
            <w:pPr>
              <w:widowControl/>
              <w:jc w:val="left"/>
              <w:rPr>
                <w:rFonts w:hint="eastAsia" w:ascii="宋体" w:hAnsi="宋体"/>
                <w:kern w:val="0"/>
                <w:szCs w:val="21"/>
              </w:rPr>
            </w:pPr>
            <w:r>
              <w:rPr>
                <w:rFonts w:ascii="宋体" w:hAnsi="宋体"/>
                <w:kern w:val="0"/>
                <w:szCs w:val="21"/>
              </w:rPr>
              <w:t>投标文件</w:t>
            </w:r>
            <w:r>
              <w:rPr>
                <w:rFonts w:hint="eastAsia" w:ascii="宋体" w:hAnsi="宋体"/>
                <w:kern w:val="0"/>
                <w:szCs w:val="21"/>
              </w:rPr>
              <w:t>未</w:t>
            </w:r>
            <w:r>
              <w:rPr>
                <w:rFonts w:hint="eastAsia" w:ascii="宋体" w:hAnsi="宋体"/>
                <w:szCs w:val="21"/>
              </w:rPr>
              <w:t>出现可选择性或可调整的报价（招标文件另有规定的除外）</w:t>
            </w:r>
            <w:r>
              <w:rPr>
                <w:rFonts w:ascii="宋体" w:hAnsi="宋体"/>
                <w:kern w:val="0"/>
                <w:szCs w:val="21"/>
              </w:rPr>
              <w:t>；</w:t>
            </w:r>
          </w:p>
        </w:tc>
        <w:tc>
          <w:tcPr>
            <w:tcW w:w="1555" w:type="dxa"/>
            <w:vAlign w:val="center"/>
          </w:tcPr>
          <w:p w14:paraId="15E813D3">
            <w:pPr>
              <w:widowControl/>
              <w:jc w:val="center"/>
              <w:rPr>
                <w:rFonts w:hint="eastAsia" w:ascii="宋体" w:hAnsi="宋体"/>
                <w:kern w:val="0"/>
                <w:szCs w:val="21"/>
              </w:rPr>
            </w:pPr>
            <w:r>
              <w:rPr>
                <w:rFonts w:hint="eastAsia" w:ascii="宋体" w:hAnsi="宋体"/>
                <w:kern w:val="0"/>
                <w:szCs w:val="21"/>
              </w:rPr>
              <w:t>否</w:t>
            </w:r>
          </w:p>
        </w:tc>
      </w:tr>
      <w:tr w14:paraId="03F84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5" w:type="dxa"/>
            <w:vAlign w:val="center"/>
          </w:tcPr>
          <w:p w14:paraId="46C8DF50">
            <w:pPr>
              <w:widowControl/>
              <w:jc w:val="center"/>
              <w:rPr>
                <w:rFonts w:hint="eastAsia" w:ascii="宋体" w:hAnsi="宋体"/>
                <w:kern w:val="0"/>
                <w:szCs w:val="21"/>
              </w:rPr>
            </w:pPr>
            <w:r>
              <w:rPr>
                <w:rFonts w:ascii="宋体" w:hAnsi="宋体"/>
                <w:kern w:val="0"/>
                <w:szCs w:val="21"/>
              </w:rPr>
              <w:t>5</w:t>
            </w:r>
          </w:p>
        </w:tc>
        <w:tc>
          <w:tcPr>
            <w:tcW w:w="1375" w:type="dxa"/>
            <w:vAlign w:val="center"/>
          </w:tcPr>
          <w:p w14:paraId="232BD75C">
            <w:pPr>
              <w:widowControl/>
              <w:jc w:val="center"/>
              <w:rPr>
                <w:rFonts w:hint="eastAsia" w:ascii="宋体" w:hAnsi="宋体"/>
                <w:kern w:val="0"/>
                <w:szCs w:val="21"/>
              </w:rPr>
            </w:pPr>
            <w:r>
              <w:rPr>
                <w:rFonts w:ascii="宋体" w:hAnsi="宋体"/>
                <w:kern w:val="0"/>
                <w:szCs w:val="21"/>
              </w:rPr>
              <w:t>投标有效期</w:t>
            </w:r>
          </w:p>
        </w:tc>
        <w:tc>
          <w:tcPr>
            <w:tcW w:w="5232" w:type="dxa"/>
            <w:vAlign w:val="center"/>
          </w:tcPr>
          <w:p w14:paraId="63F19FFD">
            <w:pPr>
              <w:widowControl/>
              <w:jc w:val="left"/>
              <w:rPr>
                <w:rFonts w:hint="eastAsia" w:ascii="宋体" w:hAnsi="宋体"/>
                <w:kern w:val="0"/>
                <w:szCs w:val="21"/>
              </w:rPr>
            </w:pPr>
            <w:r>
              <w:rPr>
                <w:rFonts w:ascii="宋体" w:hAnsi="宋体"/>
                <w:kern w:val="0"/>
                <w:szCs w:val="21"/>
              </w:rPr>
              <w:t>投标文件中承诺的投标有效期</w:t>
            </w:r>
            <w:r>
              <w:rPr>
                <w:rFonts w:hint="eastAsia" w:ascii="宋体" w:hAnsi="宋体"/>
                <w:kern w:val="0"/>
                <w:szCs w:val="21"/>
              </w:rPr>
              <w:t>满足</w:t>
            </w:r>
            <w:r>
              <w:rPr>
                <w:rFonts w:ascii="宋体" w:hAnsi="宋体"/>
                <w:kern w:val="0"/>
                <w:szCs w:val="21"/>
              </w:rPr>
              <w:t>招标文件中载明的投标有效期的；</w:t>
            </w:r>
          </w:p>
        </w:tc>
        <w:tc>
          <w:tcPr>
            <w:tcW w:w="1555" w:type="dxa"/>
            <w:vAlign w:val="center"/>
          </w:tcPr>
          <w:p w14:paraId="47939642">
            <w:pPr>
              <w:widowControl/>
              <w:jc w:val="center"/>
              <w:rPr>
                <w:rFonts w:hint="eastAsia" w:ascii="宋体" w:hAnsi="宋体"/>
                <w:kern w:val="0"/>
                <w:szCs w:val="21"/>
              </w:rPr>
            </w:pPr>
            <w:r>
              <w:rPr>
                <w:rFonts w:hint="eastAsia" w:ascii="宋体" w:hAnsi="宋体"/>
                <w:kern w:val="0"/>
                <w:szCs w:val="21"/>
              </w:rPr>
              <w:t>否</w:t>
            </w:r>
          </w:p>
        </w:tc>
      </w:tr>
      <w:tr w14:paraId="0E3E9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55" w:type="dxa"/>
            <w:vAlign w:val="center"/>
          </w:tcPr>
          <w:p w14:paraId="6754B8FD">
            <w:pPr>
              <w:widowControl/>
              <w:jc w:val="center"/>
              <w:rPr>
                <w:rFonts w:hint="eastAsia" w:ascii="宋体" w:hAnsi="宋体"/>
                <w:kern w:val="0"/>
                <w:szCs w:val="21"/>
              </w:rPr>
            </w:pPr>
            <w:r>
              <w:rPr>
                <w:rFonts w:ascii="宋体" w:hAnsi="宋体"/>
                <w:kern w:val="0"/>
                <w:szCs w:val="21"/>
              </w:rPr>
              <w:t>6</w:t>
            </w:r>
          </w:p>
        </w:tc>
        <w:tc>
          <w:tcPr>
            <w:tcW w:w="1375" w:type="dxa"/>
            <w:vAlign w:val="center"/>
          </w:tcPr>
          <w:p w14:paraId="3849B753">
            <w:pPr>
              <w:widowControl/>
              <w:jc w:val="center"/>
              <w:rPr>
                <w:rFonts w:hint="eastAsia" w:ascii="宋体" w:hAnsi="宋体"/>
                <w:kern w:val="0"/>
                <w:szCs w:val="21"/>
              </w:rPr>
            </w:pPr>
            <w:r>
              <w:rPr>
                <w:rFonts w:ascii="宋体" w:hAnsi="宋体"/>
                <w:kern w:val="0"/>
                <w:szCs w:val="21"/>
              </w:rPr>
              <w:t>签署、盖章</w:t>
            </w:r>
          </w:p>
        </w:tc>
        <w:tc>
          <w:tcPr>
            <w:tcW w:w="5232" w:type="dxa"/>
            <w:vAlign w:val="center"/>
          </w:tcPr>
          <w:p w14:paraId="7F0AB6D4">
            <w:pPr>
              <w:widowControl/>
              <w:jc w:val="left"/>
              <w:rPr>
                <w:rFonts w:hint="eastAsia" w:ascii="宋体" w:hAnsi="宋体"/>
                <w:kern w:val="0"/>
                <w:szCs w:val="21"/>
              </w:rPr>
            </w:pPr>
            <w:r>
              <w:rPr>
                <w:rFonts w:ascii="宋体" w:hAnsi="宋体"/>
                <w:kern w:val="0"/>
                <w:szCs w:val="21"/>
              </w:rPr>
              <w:t>按照招标文件要求签署、盖章的；</w:t>
            </w:r>
          </w:p>
        </w:tc>
        <w:tc>
          <w:tcPr>
            <w:tcW w:w="1555" w:type="dxa"/>
            <w:vAlign w:val="center"/>
          </w:tcPr>
          <w:p w14:paraId="5914CE63">
            <w:pPr>
              <w:widowControl/>
              <w:jc w:val="center"/>
              <w:rPr>
                <w:rFonts w:hint="eastAsia" w:ascii="宋体" w:hAnsi="宋体"/>
                <w:kern w:val="0"/>
                <w:szCs w:val="21"/>
              </w:rPr>
            </w:pPr>
            <w:r>
              <w:rPr>
                <w:rFonts w:hint="eastAsia" w:ascii="宋体" w:hAnsi="宋体"/>
                <w:kern w:val="0"/>
                <w:szCs w:val="21"/>
              </w:rPr>
              <w:t>否</w:t>
            </w:r>
          </w:p>
        </w:tc>
      </w:tr>
      <w:tr w14:paraId="23705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55" w:type="dxa"/>
            <w:vAlign w:val="center"/>
          </w:tcPr>
          <w:p w14:paraId="114F2E1D">
            <w:pPr>
              <w:widowControl/>
              <w:jc w:val="center"/>
              <w:rPr>
                <w:rFonts w:hint="eastAsia" w:ascii="宋体" w:hAnsi="宋体"/>
                <w:kern w:val="0"/>
                <w:szCs w:val="21"/>
              </w:rPr>
            </w:pPr>
            <w:r>
              <w:rPr>
                <w:rFonts w:hint="eastAsia" w:ascii="宋体" w:hAnsi="宋体"/>
                <w:kern w:val="0"/>
                <w:szCs w:val="21"/>
              </w:rPr>
              <w:t>7</w:t>
            </w:r>
          </w:p>
        </w:tc>
        <w:tc>
          <w:tcPr>
            <w:tcW w:w="1375" w:type="dxa"/>
            <w:vAlign w:val="center"/>
          </w:tcPr>
          <w:p w14:paraId="25A8BD38">
            <w:pPr>
              <w:widowControl/>
              <w:jc w:val="center"/>
              <w:rPr>
                <w:rFonts w:hint="eastAsia" w:ascii="宋体" w:hAnsi="宋体"/>
                <w:kern w:val="0"/>
                <w:szCs w:val="21"/>
              </w:rPr>
            </w:pPr>
            <w:r>
              <w:rPr>
                <w:rFonts w:hint="eastAsia" w:ascii="宋体" w:hAnsi="宋体"/>
                <w:kern w:val="0"/>
                <w:szCs w:val="21"/>
              </w:rPr>
              <w:t>★号条款响应</w:t>
            </w:r>
          </w:p>
        </w:tc>
        <w:tc>
          <w:tcPr>
            <w:tcW w:w="5232" w:type="dxa"/>
            <w:vAlign w:val="center"/>
          </w:tcPr>
          <w:p w14:paraId="556FC70A">
            <w:pPr>
              <w:widowControl/>
              <w:jc w:val="left"/>
              <w:rPr>
                <w:rFonts w:hint="eastAsia" w:ascii="宋体" w:hAnsi="宋体"/>
                <w:kern w:val="0"/>
                <w:szCs w:val="21"/>
              </w:rPr>
            </w:pPr>
            <w:r>
              <w:rPr>
                <w:rFonts w:hint="eastAsia" w:ascii="宋体" w:hAnsi="宋体"/>
                <w:kern w:val="0"/>
                <w:szCs w:val="21"/>
              </w:rPr>
              <w:t>响应文件满足磋商文件第四章《采购需求》中★号条款要求的。</w:t>
            </w:r>
          </w:p>
        </w:tc>
        <w:tc>
          <w:tcPr>
            <w:tcW w:w="1555" w:type="dxa"/>
            <w:vAlign w:val="center"/>
          </w:tcPr>
          <w:p w14:paraId="3C339F3A">
            <w:pPr>
              <w:widowControl/>
              <w:jc w:val="center"/>
              <w:rPr>
                <w:rFonts w:hint="eastAsia" w:ascii="宋体" w:hAnsi="宋体"/>
                <w:kern w:val="0"/>
                <w:szCs w:val="21"/>
              </w:rPr>
            </w:pPr>
            <w:r>
              <w:rPr>
                <w:rFonts w:hint="eastAsia" w:ascii="宋体" w:hAnsi="宋体"/>
                <w:kern w:val="0"/>
                <w:szCs w:val="21"/>
              </w:rPr>
              <w:t>否</w:t>
            </w:r>
          </w:p>
        </w:tc>
      </w:tr>
      <w:tr w14:paraId="39B0D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455" w:type="dxa"/>
            <w:vAlign w:val="center"/>
          </w:tcPr>
          <w:p w14:paraId="26D41088">
            <w:pPr>
              <w:widowControl/>
              <w:jc w:val="center"/>
              <w:rPr>
                <w:rFonts w:hint="eastAsia" w:ascii="宋体" w:hAnsi="宋体"/>
                <w:kern w:val="0"/>
                <w:szCs w:val="21"/>
              </w:rPr>
            </w:pPr>
            <w:r>
              <w:rPr>
                <w:rFonts w:hint="eastAsia" w:ascii="宋体" w:hAnsi="宋体"/>
                <w:kern w:val="0"/>
                <w:szCs w:val="21"/>
              </w:rPr>
              <w:t>8</w:t>
            </w:r>
          </w:p>
        </w:tc>
        <w:tc>
          <w:tcPr>
            <w:tcW w:w="1375" w:type="dxa"/>
            <w:vAlign w:val="center"/>
          </w:tcPr>
          <w:p w14:paraId="308B0BC5">
            <w:pPr>
              <w:widowControl/>
              <w:jc w:val="center"/>
              <w:rPr>
                <w:rFonts w:hint="eastAsia" w:ascii="宋体" w:hAnsi="宋体"/>
                <w:kern w:val="0"/>
                <w:szCs w:val="21"/>
              </w:rPr>
            </w:pPr>
            <w:r>
              <w:rPr>
                <w:rFonts w:hint="eastAsia" w:ascii="宋体" w:hAnsi="宋体"/>
                <w:kern w:val="0"/>
                <w:szCs w:val="21"/>
              </w:rPr>
              <w:t>实质性格式</w:t>
            </w:r>
          </w:p>
        </w:tc>
        <w:tc>
          <w:tcPr>
            <w:tcW w:w="5232" w:type="dxa"/>
            <w:vAlign w:val="center"/>
          </w:tcPr>
          <w:p w14:paraId="614F60A7">
            <w:pPr>
              <w:widowControl/>
              <w:jc w:val="left"/>
              <w:rPr>
                <w:rFonts w:hint="eastAsia" w:ascii="宋体" w:hAnsi="宋体"/>
                <w:kern w:val="0"/>
                <w:szCs w:val="21"/>
              </w:rPr>
            </w:pPr>
            <w:r>
              <w:rPr>
                <w:rFonts w:hint="eastAsia" w:ascii="宋体" w:hAnsi="宋体"/>
                <w:kern w:val="0"/>
                <w:szCs w:val="21"/>
              </w:rPr>
              <w:t>标记为</w:t>
            </w:r>
            <w:r>
              <w:rPr>
                <w:rFonts w:ascii="宋体" w:hAnsi="宋体"/>
                <w:kern w:val="0"/>
                <w:szCs w:val="21"/>
              </w:rPr>
              <w:t>“实质性格式”的</w:t>
            </w:r>
            <w:r>
              <w:rPr>
                <w:rFonts w:hint="eastAsia" w:ascii="宋体" w:hAnsi="宋体"/>
                <w:kern w:val="0"/>
                <w:szCs w:val="21"/>
              </w:rPr>
              <w:t>文件均按</w:t>
            </w:r>
            <w:r>
              <w:rPr>
                <w:rFonts w:ascii="宋体" w:hAnsi="宋体"/>
                <w:kern w:val="0"/>
                <w:szCs w:val="21"/>
              </w:rPr>
              <w:t>招标文件</w:t>
            </w:r>
            <w:r>
              <w:rPr>
                <w:rFonts w:hint="eastAsia" w:ascii="宋体" w:hAnsi="宋体"/>
                <w:kern w:val="0"/>
                <w:szCs w:val="21"/>
              </w:rPr>
              <w:t>要求提供；</w:t>
            </w:r>
          </w:p>
        </w:tc>
        <w:tc>
          <w:tcPr>
            <w:tcW w:w="1555" w:type="dxa"/>
            <w:vAlign w:val="center"/>
          </w:tcPr>
          <w:p w14:paraId="3D3BC993">
            <w:pPr>
              <w:widowControl/>
              <w:jc w:val="center"/>
              <w:rPr>
                <w:rFonts w:hint="eastAsia" w:ascii="宋体" w:hAnsi="宋体"/>
                <w:kern w:val="0"/>
                <w:szCs w:val="21"/>
              </w:rPr>
            </w:pPr>
            <w:r>
              <w:rPr>
                <w:rFonts w:hint="eastAsia" w:ascii="宋体" w:hAnsi="宋体"/>
                <w:kern w:val="0"/>
                <w:szCs w:val="21"/>
              </w:rPr>
              <w:t>否</w:t>
            </w:r>
          </w:p>
        </w:tc>
      </w:tr>
      <w:tr w14:paraId="7B6B4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5" w:type="dxa"/>
            <w:vAlign w:val="center"/>
          </w:tcPr>
          <w:p w14:paraId="5124B9B7">
            <w:pPr>
              <w:widowControl/>
              <w:jc w:val="center"/>
              <w:rPr>
                <w:rFonts w:hint="eastAsia" w:ascii="宋体" w:hAnsi="宋体"/>
                <w:kern w:val="0"/>
                <w:szCs w:val="21"/>
              </w:rPr>
            </w:pPr>
            <w:r>
              <w:rPr>
                <w:rFonts w:hint="eastAsia" w:ascii="宋体" w:hAnsi="宋体"/>
                <w:kern w:val="0"/>
                <w:szCs w:val="21"/>
              </w:rPr>
              <w:t>9</w:t>
            </w:r>
          </w:p>
        </w:tc>
        <w:tc>
          <w:tcPr>
            <w:tcW w:w="1375" w:type="dxa"/>
            <w:vAlign w:val="center"/>
          </w:tcPr>
          <w:p w14:paraId="08F576AD">
            <w:pPr>
              <w:widowControl/>
              <w:jc w:val="center"/>
              <w:rPr>
                <w:rFonts w:hint="eastAsia" w:ascii="宋体" w:hAnsi="宋体"/>
                <w:kern w:val="0"/>
                <w:szCs w:val="21"/>
              </w:rPr>
            </w:pPr>
            <w:r>
              <w:rPr>
                <w:rFonts w:ascii="宋体" w:hAnsi="宋体"/>
                <w:kern w:val="0"/>
                <w:szCs w:val="21"/>
              </w:rPr>
              <w:t>报价合理性</w:t>
            </w:r>
          </w:p>
        </w:tc>
        <w:tc>
          <w:tcPr>
            <w:tcW w:w="5232" w:type="dxa"/>
            <w:vAlign w:val="center"/>
          </w:tcPr>
          <w:p w14:paraId="4BD6927B">
            <w:pPr>
              <w:widowControl/>
              <w:jc w:val="left"/>
              <w:rPr>
                <w:rFonts w:hint="eastAsia" w:ascii="宋体" w:hAnsi="宋体"/>
                <w:kern w:val="0"/>
                <w:szCs w:val="21"/>
              </w:rPr>
            </w:pPr>
            <w:r>
              <w:rPr>
                <w:rFonts w:ascii="宋体" w:hAnsi="宋体"/>
                <w:kern w:val="0"/>
                <w:szCs w:val="21"/>
              </w:rPr>
              <w:t>报价合理，或</w:t>
            </w:r>
            <w:r>
              <w:rPr>
                <w:rFonts w:hint="eastAsia" w:ascii="宋体" w:hAnsi="宋体"/>
                <w:szCs w:val="21"/>
              </w:rPr>
              <w:t>投标人的报价明显低于其他通过符合性审查投标人的报价，</w:t>
            </w:r>
            <w:r>
              <w:rPr>
                <w:rFonts w:ascii="宋体" w:hAnsi="宋体"/>
                <w:szCs w:val="21"/>
              </w:rPr>
              <w:t>有可能影响产品质量或者不能诚信履约的</w:t>
            </w:r>
            <w:r>
              <w:rPr>
                <w:rFonts w:hint="eastAsia" w:ascii="宋体" w:hAnsi="宋体"/>
                <w:szCs w:val="21"/>
              </w:rPr>
              <w:t>，能够应评标委员会要求在规定时间内证明其报价合理性的</w:t>
            </w:r>
            <w:r>
              <w:rPr>
                <w:rFonts w:ascii="宋体" w:hAnsi="宋体"/>
                <w:kern w:val="0"/>
                <w:szCs w:val="21"/>
              </w:rPr>
              <w:t>；</w:t>
            </w:r>
          </w:p>
        </w:tc>
        <w:tc>
          <w:tcPr>
            <w:tcW w:w="1555" w:type="dxa"/>
            <w:vAlign w:val="center"/>
          </w:tcPr>
          <w:p w14:paraId="01BE450A">
            <w:pPr>
              <w:widowControl/>
              <w:jc w:val="center"/>
              <w:rPr>
                <w:rFonts w:hint="eastAsia" w:ascii="宋体" w:hAnsi="宋体"/>
                <w:kern w:val="0"/>
                <w:szCs w:val="21"/>
              </w:rPr>
            </w:pPr>
            <w:r>
              <w:rPr>
                <w:rFonts w:hint="eastAsia" w:ascii="宋体" w:hAnsi="宋体"/>
                <w:kern w:val="0"/>
                <w:szCs w:val="21"/>
              </w:rPr>
              <w:t>是</w:t>
            </w:r>
          </w:p>
        </w:tc>
      </w:tr>
      <w:tr w14:paraId="0C010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5" w:type="dxa"/>
            <w:vAlign w:val="center"/>
          </w:tcPr>
          <w:p w14:paraId="5DA7D1C4">
            <w:pPr>
              <w:widowControl/>
              <w:jc w:val="center"/>
              <w:rPr>
                <w:rFonts w:hint="eastAsia" w:ascii="宋体" w:hAnsi="宋体"/>
                <w:kern w:val="0"/>
                <w:szCs w:val="21"/>
              </w:rPr>
            </w:pPr>
            <w:r>
              <w:rPr>
                <w:rFonts w:hint="eastAsia" w:ascii="宋体" w:hAnsi="宋体"/>
                <w:kern w:val="0"/>
                <w:szCs w:val="21"/>
              </w:rPr>
              <w:t>10</w:t>
            </w:r>
          </w:p>
        </w:tc>
        <w:tc>
          <w:tcPr>
            <w:tcW w:w="1375" w:type="dxa"/>
            <w:vAlign w:val="center"/>
          </w:tcPr>
          <w:p w14:paraId="0A273ABA">
            <w:pPr>
              <w:widowControl/>
              <w:jc w:val="center"/>
              <w:rPr>
                <w:rFonts w:hint="eastAsia" w:ascii="宋体" w:hAnsi="宋体"/>
                <w:kern w:val="0"/>
                <w:szCs w:val="21"/>
              </w:rPr>
            </w:pPr>
            <w:r>
              <w:rPr>
                <w:rFonts w:ascii="宋体" w:hAnsi="宋体"/>
                <w:kern w:val="0"/>
                <w:szCs w:val="21"/>
              </w:rPr>
              <w:t>公平竞争</w:t>
            </w:r>
          </w:p>
        </w:tc>
        <w:tc>
          <w:tcPr>
            <w:tcW w:w="5232" w:type="dxa"/>
            <w:vAlign w:val="center"/>
          </w:tcPr>
          <w:p w14:paraId="1E04A1FA">
            <w:pPr>
              <w:widowControl/>
              <w:jc w:val="left"/>
              <w:rPr>
                <w:rFonts w:hint="eastAsia" w:ascii="宋体" w:hAnsi="宋体"/>
                <w:kern w:val="0"/>
                <w:szCs w:val="21"/>
              </w:rPr>
            </w:pPr>
            <w:r>
              <w:rPr>
                <w:rFonts w:ascii="宋体" w:hAnsi="宋体"/>
                <w:szCs w:val="21"/>
              </w:rPr>
              <w:t>投标人遵循公平竞争的原则，不存在恶意串通，妨碍其他投标人的竞争行为，不存在损害采购人或者其他投标人的合法权益情形的；</w:t>
            </w:r>
          </w:p>
        </w:tc>
        <w:tc>
          <w:tcPr>
            <w:tcW w:w="1555" w:type="dxa"/>
            <w:vAlign w:val="center"/>
          </w:tcPr>
          <w:p w14:paraId="32C6B456">
            <w:pPr>
              <w:widowControl/>
              <w:jc w:val="center"/>
              <w:rPr>
                <w:rFonts w:hint="eastAsia" w:ascii="宋体" w:hAnsi="宋体"/>
                <w:szCs w:val="21"/>
              </w:rPr>
            </w:pPr>
            <w:r>
              <w:rPr>
                <w:rFonts w:hint="eastAsia" w:ascii="宋体" w:hAnsi="宋体"/>
                <w:kern w:val="0"/>
                <w:szCs w:val="21"/>
              </w:rPr>
              <w:t>否</w:t>
            </w:r>
          </w:p>
        </w:tc>
      </w:tr>
      <w:tr w14:paraId="2BBDB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5" w:type="dxa"/>
            <w:vAlign w:val="center"/>
          </w:tcPr>
          <w:p w14:paraId="1EE0FC86">
            <w:pPr>
              <w:widowControl/>
              <w:jc w:val="center"/>
              <w:rPr>
                <w:rFonts w:hint="eastAsia" w:ascii="宋体" w:hAnsi="宋体"/>
                <w:kern w:val="0"/>
                <w:szCs w:val="21"/>
              </w:rPr>
            </w:pPr>
            <w:r>
              <w:rPr>
                <w:rFonts w:ascii="宋体" w:hAnsi="宋体"/>
                <w:kern w:val="0"/>
                <w:szCs w:val="21"/>
              </w:rPr>
              <w:t>1</w:t>
            </w:r>
            <w:r>
              <w:rPr>
                <w:rFonts w:hint="eastAsia" w:ascii="宋体" w:hAnsi="宋体"/>
                <w:kern w:val="0"/>
                <w:szCs w:val="21"/>
              </w:rPr>
              <w:t>1</w:t>
            </w:r>
          </w:p>
        </w:tc>
        <w:tc>
          <w:tcPr>
            <w:tcW w:w="1375" w:type="dxa"/>
            <w:vAlign w:val="center"/>
          </w:tcPr>
          <w:p w14:paraId="3844635E">
            <w:pPr>
              <w:widowControl/>
              <w:jc w:val="center"/>
              <w:rPr>
                <w:rFonts w:hint="eastAsia" w:ascii="宋体" w:hAnsi="宋体"/>
                <w:kern w:val="0"/>
                <w:szCs w:val="21"/>
              </w:rPr>
            </w:pPr>
            <w:r>
              <w:rPr>
                <w:rFonts w:ascii="宋体" w:hAnsi="宋体"/>
                <w:kern w:val="0"/>
                <w:szCs w:val="21"/>
              </w:rPr>
              <w:t>串通投标</w:t>
            </w:r>
          </w:p>
        </w:tc>
        <w:tc>
          <w:tcPr>
            <w:tcW w:w="5232" w:type="dxa"/>
            <w:vAlign w:val="center"/>
          </w:tcPr>
          <w:p w14:paraId="32A4D9F3">
            <w:pPr>
              <w:widowControl/>
              <w:jc w:val="left"/>
              <w:rPr>
                <w:rFonts w:hint="eastAsia" w:ascii="宋体" w:hAnsi="宋体"/>
                <w:kern w:val="0"/>
                <w:szCs w:val="21"/>
              </w:rPr>
            </w:pPr>
            <w:r>
              <w:rPr>
                <w:rFonts w:hint="eastAsia" w:ascii="宋体" w:hAnsi="宋体"/>
                <w:szCs w:val="21"/>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r>
              <w:rPr>
                <w:rFonts w:ascii="宋体" w:hAnsi="宋体"/>
                <w:szCs w:val="21"/>
              </w:rPr>
              <w:t>；</w:t>
            </w:r>
          </w:p>
        </w:tc>
        <w:tc>
          <w:tcPr>
            <w:tcW w:w="1555" w:type="dxa"/>
            <w:vAlign w:val="center"/>
          </w:tcPr>
          <w:p w14:paraId="794A2015">
            <w:pPr>
              <w:widowControl/>
              <w:jc w:val="center"/>
              <w:rPr>
                <w:rFonts w:hint="eastAsia" w:ascii="宋体" w:hAnsi="宋体"/>
                <w:szCs w:val="21"/>
              </w:rPr>
            </w:pPr>
            <w:r>
              <w:rPr>
                <w:rFonts w:hint="eastAsia" w:ascii="宋体" w:hAnsi="宋体"/>
                <w:kern w:val="0"/>
                <w:szCs w:val="21"/>
              </w:rPr>
              <w:t>否</w:t>
            </w:r>
          </w:p>
        </w:tc>
      </w:tr>
      <w:tr w14:paraId="6A388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455" w:type="dxa"/>
            <w:vAlign w:val="center"/>
          </w:tcPr>
          <w:p w14:paraId="2883E356">
            <w:pPr>
              <w:widowControl/>
              <w:jc w:val="center"/>
              <w:rPr>
                <w:rFonts w:hint="eastAsia" w:ascii="宋体" w:hAnsi="宋体"/>
                <w:kern w:val="0"/>
                <w:szCs w:val="21"/>
              </w:rPr>
            </w:pPr>
            <w:r>
              <w:rPr>
                <w:rFonts w:ascii="宋体" w:hAnsi="宋体"/>
                <w:kern w:val="0"/>
                <w:szCs w:val="21"/>
              </w:rPr>
              <w:t>1</w:t>
            </w:r>
            <w:r>
              <w:rPr>
                <w:rFonts w:hint="eastAsia" w:ascii="宋体" w:hAnsi="宋体"/>
                <w:kern w:val="0"/>
                <w:szCs w:val="21"/>
              </w:rPr>
              <w:t>2</w:t>
            </w:r>
          </w:p>
        </w:tc>
        <w:tc>
          <w:tcPr>
            <w:tcW w:w="1375" w:type="dxa"/>
            <w:vAlign w:val="center"/>
          </w:tcPr>
          <w:p w14:paraId="66B52BE9">
            <w:pPr>
              <w:widowControl/>
              <w:jc w:val="center"/>
              <w:rPr>
                <w:rFonts w:hint="eastAsia" w:ascii="宋体" w:hAnsi="宋体"/>
                <w:kern w:val="0"/>
                <w:szCs w:val="21"/>
              </w:rPr>
            </w:pPr>
            <w:r>
              <w:rPr>
                <w:rFonts w:ascii="宋体" w:hAnsi="宋体"/>
                <w:kern w:val="0"/>
                <w:szCs w:val="21"/>
              </w:rPr>
              <w:t>附加条件</w:t>
            </w:r>
          </w:p>
        </w:tc>
        <w:tc>
          <w:tcPr>
            <w:tcW w:w="5232" w:type="dxa"/>
            <w:vAlign w:val="center"/>
          </w:tcPr>
          <w:p w14:paraId="4F628966">
            <w:pPr>
              <w:widowControl/>
              <w:jc w:val="left"/>
              <w:rPr>
                <w:rFonts w:hint="eastAsia" w:ascii="宋体" w:hAnsi="宋体"/>
                <w:kern w:val="0"/>
                <w:szCs w:val="21"/>
              </w:rPr>
            </w:pPr>
            <w:r>
              <w:rPr>
                <w:rFonts w:ascii="宋体" w:hAnsi="宋体"/>
                <w:kern w:val="0"/>
                <w:szCs w:val="21"/>
              </w:rPr>
              <w:t>投标文件</w:t>
            </w:r>
            <w:r>
              <w:rPr>
                <w:rFonts w:hint="eastAsia" w:ascii="宋体" w:hAnsi="宋体"/>
                <w:kern w:val="0"/>
                <w:szCs w:val="21"/>
              </w:rPr>
              <w:t>未</w:t>
            </w:r>
            <w:r>
              <w:rPr>
                <w:rFonts w:ascii="宋体" w:hAnsi="宋体"/>
                <w:kern w:val="0"/>
                <w:szCs w:val="21"/>
              </w:rPr>
              <w:t>含有采购人不能接受的附加条件的；</w:t>
            </w:r>
          </w:p>
        </w:tc>
        <w:tc>
          <w:tcPr>
            <w:tcW w:w="1555" w:type="dxa"/>
            <w:vAlign w:val="center"/>
          </w:tcPr>
          <w:p w14:paraId="123DDC48">
            <w:pPr>
              <w:widowControl/>
              <w:jc w:val="center"/>
              <w:rPr>
                <w:rFonts w:hint="eastAsia" w:ascii="宋体" w:hAnsi="宋体"/>
                <w:kern w:val="0"/>
                <w:szCs w:val="21"/>
              </w:rPr>
            </w:pPr>
            <w:r>
              <w:rPr>
                <w:rFonts w:hint="eastAsia" w:ascii="宋体" w:hAnsi="宋体"/>
                <w:kern w:val="0"/>
                <w:szCs w:val="21"/>
              </w:rPr>
              <w:t>否</w:t>
            </w:r>
          </w:p>
        </w:tc>
      </w:tr>
      <w:tr w14:paraId="30B16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5" w:type="dxa"/>
            <w:vAlign w:val="center"/>
          </w:tcPr>
          <w:p w14:paraId="14DC93A0">
            <w:pPr>
              <w:widowControl/>
              <w:jc w:val="center"/>
              <w:rPr>
                <w:rFonts w:hint="eastAsia" w:ascii="宋体" w:hAnsi="宋体"/>
                <w:kern w:val="0"/>
                <w:szCs w:val="21"/>
              </w:rPr>
            </w:pPr>
            <w:r>
              <w:rPr>
                <w:rFonts w:ascii="宋体" w:hAnsi="宋体"/>
                <w:kern w:val="0"/>
                <w:szCs w:val="21"/>
              </w:rPr>
              <w:t>1</w:t>
            </w:r>
            <w:r>
              <w:rPr>
                <w:rFonts w:hint="eastAsia" w:ascii="宋体" w:hAnsi="宋体"/>
                <w:kern w:val="0"/>
                <w:szCs w:val="21"/>
              </w:rPr>
              <w:t>3</w:t>
            </w:r>
          </w:p>
        </w:tc>
        <w:tc>
          <w:tcPr>
            <w:tcW w:w="1375" w:type="dxa"/>
            <w:vAlign w:val="center"/>
          </w:tcPr>
          <w:p w14:paraId="6D181BA4">
            <w:pPr>
              <w:widowControl/>
              <w:jc w:val="center"/>
              <w:rPr>
                <w:rFonts w:hint="eastAsia" w:ascii="宋体" w:hAnsi="宋体"/>
                <w:kern w:val="0"/>
                <w:szCs w:val="21"/>
              </w:rPr>
            </w:pPr>
            <w:r>
              <w:rPr>
                <w:rFonts w:ascii="宋体" w:hAnsi="宋体"/>
                <w:kern w:val="0"/>
                <w:szCs w:val="21"/>
              </w:rPr>
              <w:t>其他无效情形</w:t>
            </w:r>
          </w:p>
        </w:tc>
        <w:tc>
          <w:tcPr>
            <w:tcW w:w="5232" w:type="dxa"/>
            <w:vAlign w:val="center"/>
          </w:tcPr>
          <w:p w14:paraId="50E95D76">
            <w:pPr>
              <w:widowControl/>
              <w:jc w:val="left"/>
              <w:rPr>
                <w:rFonts w:hint="eastAsia" w:ascii="宋体" w:hAnsi="宋体"/>
                <w:kern w:val="0"/>
                <w:szCs w:val="21"/>
              </w:rPr>
            </w:pPr>
            <w:r>
              <w:rPr>
                <w:rFonts w:ascii="宋体" w:hAnsi="宋体"/>
                <w:szCs w:val="21"/>
              </w:rPr>
              <w:t>投标人、投标文件</w:t>
            </w:r>
            <w:r>
              <w:rPr>
                <w:rFonts w:hint="eastAsia" w:ascii="宋体" w:hAnsi="宋体"/>
                <w:szCs w:val="21"/>
              </w:rPr>
              <w:t>不存在</w:t>
            </w:r>
            <w:r>
              <w:rPr>
                <w:rFonts w:ascii="宋体" w:hAnsi="宋体"/>
                <w:szCs w:val="21"/>
              </w:rPr>
              <w:t>不符合法律、法规和招标文件规定的其他无效情形。</w:t>
            </w:r>
          </w:p>
        </w:tc>
        <w:tc>
          <w:tcPr>
            <w:tcW w:w="1555" w:type="dxa"/>
            <w:vAlign w:val="center"/>
          </w:tcPr>
          <w:p w14:paraId="23B34D83">
            <w:pPr>
              <w:widowControl/>
              <w:jc w:val="center"/>
              <w:rPr>
                <w:rFonts w:hint="eastAsia" w:ascii="宋体" w:hAnsi="宋体"/>
                <w:szCs w:val="21"/>
              </w:rPr>
            </w:pPr>
            <w:r>
              <w:rPr>
                <w:rFonts w:hint="eastAsia" w:ascii="宋体" w:hAnsi="宋体"/>
                <w:kern w:val="0"/>
                <w:szCs w:val="21"/>
              </w:rPr>
              <w:t>否</w:t>
            </w:r>
          </w:p>
        </w:tc>
      </w:tr>
    </w:tbl>
    <w:p w14:paraId="20962B1D">
      <w:pPr>
        <w:widowControl/>
        <w:jc w:val="left"/>
        <w:rPr>
          <w:rFonts w:hint="eastAsia" w:ascii="宋体" w:hAnsi="宋体"/>
          <w:sz w:val="24"/>
        </w:rPr>
      </w:pPr>
    </w:p>
    <w:bookmarkEnd w:id="591"/>
    <w:bookmarkEnd w:id="592"/>
    <w:p w14:paraId="3C00B0C8">
      <w:pPr>
        <w:numPr>
          <w:ilvl w:val="0"/>
          <w:numId w:val="12"/>
        </w:numPr>
        <w:tabs>
          <w:tab w:val="left" w:pos="360"/>
        </w:tabs>
        <w:snapToGrid w:val="0"/>
        <w:spacing w:line="360" w:lineRule="auto"/>
        <w:outlineLvl w:val="1"/>
        <w:rPr>
          <w:rFonts w:hint="eastAsia" w:ascii="宋体" w:hAnsi="宋体"/>
          <w:sz w:val="24"/>
        </w:rPr>
      </w:pPr>
      <w:r>
        <w:rPr>
          <w:rFonts w:ascii="宋体" w:hAnsi="宋体"/>
          <w:sz w:val="24"/>
        </w:rPr>
        <w:t>磋商、响应文件有关事项的澄清、说明或者更正和最后报价</w:t>
      </w:r>
    </w:p>
    <w:p w14:paraId="018AB9CF">
      <w:pPr>
        <w:numPr>
          <w:ilvl w:val="1"/>
          <w:numId w:val="12"/>
        </w:numPr>
        <w:tabs>
          <w:tab w:val="left" w:pos="1080"/>
        </w:tabs>
        <w:snapToGrid w:val="0"/>
        <w:spacing w:line="360" w:lineRule="auto"/>
        <w:ind w:left="1077" w:hanging="720"/>
        <w:rPr>
          <w:rFonts w:hint="eastAsia" w:ascii="宋体" w:hAnsi="宋体"/>
          <w:sz w:val="24"/>
        </w:rPr>
      </w:pPr>
      <w:r>
        <w:rPr>
          <w:rFonts w:ascii="宋体" w:hAnsi="宋体"/>
          <w:sz w:val="24"/>
        </w:rPr>
        <w:t>磋商小组所有成员应当集中与单一供应商分别进行磋商，并给予所有参加磋商的供应商平等的磋商机会。</w:t>
      </w:r>
    </w:p>
    <w:p w14:paraId="4206E2D0">
      <w:pPr>
        <w:numPr>
          <w:ilvl w:val="1"/>
          <w:numId w:val="12"/>
        </w:numPr>
        <w:tabs>
          <w:tab w:val="left" w:pos="1080"/>
          <w:tab w:val="left" w:pos="1872"/>
        </w:tabs>
        <w:snapToGrid w:val="0"/>
        <w:spacing w:line="360" w:lineRule="auto"/>
        <w:ind w:left="1077" w:hanging="720"/>
        <w:rPr>
          <w:rFonts w:hint="eastAsia" w:ascii="宋体" w:hAnsi="宋体"/>
          <w:sz w:val="24"/>
        </w:rPr>
      </w:pPr>
      <w:r>
        <w:rPr>
          <w:rFonts w:ascii="宋体" w:hAnsi="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1D380A46">
      <w:pPr>
        <w:numPr>
          <w:ilvl w:val="1"/>
          <w:numId w:val="12"/>
        </w:numPr>
        <w:tabs>
          <w:tab w:val="left" w:pos="1080"/>
          <w:tab w:val="left" w:pos="1872"/>
        </w:tabs>
        <w:snapToGrid w:val="0"/>
        <w:spacing w:line="360" w:lineRule="auto"/>
        <w:ind w:left="1077" w:hanging="720"/>
        <w:rPr>
          <w:rFonts w:hint="eastAsia" w:ascii="宋体" w:hAnsi="宋体"/>
          <w:kern w:val="0"/>
          <w:sz w:val="24"/>
        </w:rPr>
      </w:pPr>
      <w:r>
        <w:rPr>
          <w:rFonts w:ascii="宋体" w:hAnsi="宋体"/>
          <w:kern w:val="0"/>
          <w:sz w:val="24"/>
        </w:rPr>
        <w:t>对磋商文件作出的实质性变动是磋商文件的有效组成部分，磋商小组应当及时以书面形式同时通知所有参加磋商的供应商。</w:t>
      </w:r>
    </w:p>
    <w:p w14:paraId="09EEF407">
      <w:pPr>
        <w:numPr>
          <w:ilvl w:val="1"/>
          <w:numId w:val="12"/>
        </w:numPr>
        <w:tabs>
          <w:tab w:val="left" w:pos="1080"/>
          <w:tab w:val="left" w:pos="1872"/>
        </w:tabs>
        <w:snapToGrid w:val="0"/>
        <w:spacing w:line="360" w:lineRule="auto"/>
        <w:ind w:left="1077" w:hanging="720"/>
        <w:rPr>
          <w:rFonts w:hint="eastAsia" w:ascii="宋体" w:hAnsi="宋体"/>
          <w:kern w:val="0"/>
          <w:sz w:val="24"/>
        </w:rPr>
      </w:pPr>
      <w:r>
        <w:rPr>
          <w:rFonts w:ascii="宋体" w:hAnsi="宋体"/>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2F1466CB">
      <w:pPr>
        <w:numPr>
          <w:ilvl w:val="1"/>
          <w:numId w:val="12"/>
        </w:numPr>
        <w:tabs>
          <w:tab w:val="left" w:pos="1080"/>
          <w:tab w:val="left" w:pos="1872"/>
        </w:tabs>
        <w:snapToGrid w:val="0"/>
        <w:spacing w:line="360" w:lineRule="auto"/>
        <w:ind w:left="1077" w:hanging="720"/>
        <w:rPr>
          <w:rFonts w:hint="eastAsia" w:ascii="宋体" w:hAnsi="宋体"/>
          <w:sz w:val="24"/>
        </w:rPr>
      </w:pPr>
      <w:r>
        <w:rPr>
          <w:rFonts w:ascii="宋体" w:hAnsi="宋体"/>
          <w:sz w:val="24"/>
        </w:rPr>
        <w:t>响应文件的澄清、说明或者更正</w:t>
      </w:r>
      <w:r>
        <w:rPr>
          <w:rFonts w:hint="eastAsia" w:ascii="宋体" w:hAnsi="宋体"/>
          <w:sz w:val="24"/>
        </w:rPr>
        <w:t>：</w:t>
      </w:r>
    </w:p>
    <w:p w14:paraId="3CB840B4">
      <w:pPr>
        <w:numPr>
          <w:ilvl w:val="2"/>
          <w:numId w:val="12"/>
        </w:numPr>
        <w:snapToGrid w:val="0"/>
        <w:spacing w:line="360" w:lineRule="auto"/>
        <w:rPr>
          <w:rFonts w:hint="eastAsia" w:ascii="宋体" w:hAnsi="宋体"/>
          <w:sz w:val="24"/>
        </w:rPr>
      </w:pPr>
      <w:r>
        <w:rPr>
          <w:rFonts w:ascii="宋体" w:hAnsi="宋体"/>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039713C2">
      <w:pPr>
        <w:numPr>
          <w:ilvl w:val="2"/>
          <w:numId w:val="12"/>
        </w:numPr>
        <w:snapToGrid w:val="0"/>
        <w:spacing w:line="360" w:lineRule="auto"/>
        <w:rPr>
          <w:rFonts w:hint="eastAsia" w:ascii="宋体" w:hAnsi="宋体"/>
          <w:sz w:val="24"/>
        </w:rPr>
      </w:pPr>
      <w:r>
        <w:rPr>
          <w:rFonts w:ascii="宋体" w:hAnsi="宋体"/>
          <w:sz w:val="24"/>
        </w:rPr>
        <w:t>磋商小组对响应文件进行审查，如发现供应商提交的响应文件存在不满足《</w:t>
      </w:r>
      <w:r>
        <w:rPr>
          <w:rFonts w:hint="eastAsia" w:ascii="宋体" w:hAnsi="宋体"/>
          <w:sz w:val="24"/>
        </w:rPr>
        <w:t>有效性、完整性和响应程度审查</w:t>
      </w:r>
      <w:r>
        <w:rPr>
          <w:rFonts w:ascii="宋体" w:hAnsi="宋体"/>
          <w:sz w:val="24"/>
        </w:rPr>
        <w:t>》的内容，则供应商响应文件按</w:t>
      </w:r>
      <w:r>
        <w:rPr>
          <w:rFonts w:ascii="宋体" w:hAnsi="宋体"/>
          <w:b/>
          <w:sz w:val="24"/>
        </w:rPr>
        <w:t>无效处理</w:t>
      </w:r>
      <w:r>
        <w:rPr>
          <w:rFonts w:ascii="宋体" w:hAnsi="宋体"/>
          <w:sz w:val="24"/>
        </w:rPr>
        <w:t>；如属于 “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ascii="宋体" w:hAnsi="宋体"/>
          <w:b/>
          <w:sz w:val="24"/>
        </w:rPr>
        <w:t>无效处理</w:t>
      </w:r>
      <w:r>
        <w:rPr>
          <w:rFonts w:ascii="宋体" w:hAnsi="宋体"/>
          <w:sz w:val="24"/>
        </w:rPr>
        <w:t>。</w:t>
      </w:r>
    </w:p>
    <w:p w14:paraId="55DDAF33">
      <w:pPr>
        <w:numPr>
          <w:ilvl w:val="2"/>
          <w:numId w:val="12"/>
        </w:numPr>
        <w:snapToGrid w:val="0"/>
        <w:spacing w:line="360" w:lineRule="auto"/>
        <w:rPr>
          <w:rFonts w:hint="eastAsia" w:ascii="宋体" w:hAnsi="宋体"/>
          <w:sz w:val="24"/>
        </w:rPr>
      </w:pPr>
      <w:r>
        <w:rPr>
          <w:rFonts w:ascii="宋体" w:hAnsi="宋体"/>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34971A6F">
      <w:pPr>
        <w:numPr>
          <w:ilvl w:val="1"/>
          <w:numId w:val="12"/>
        </w:numPr>
        <w:tabs>
          <w:tab w:val="left" w:pos="1080"/>
          <w:tab w:val="left" w:pos="1872"/>
        </w:tabs>
        <w:snapToGrid w:val="0"/>
        <w:spacing w:line="360" w:lineRule="auto"/>
        <w:ind w:left="1077" w:hanging="720"/>
        <w:rPr>
          <w:rFonts w:hint="eastAsia" w:ascii="宋体" w:hAnsi="宋体"/>
          <w:sz w:val="24"/>
        </w:rPr>
      </w:pPr>
      <w:r>
        <w:rPr>
          <w:rFonts w:ascii="宋体" w:hAnsi="宋体"/>
          <w:sz w:val="24"/>
        </w:rPr>
        <w:t>磋商结束后，磋商小组将要求所有实质性响应的供应商在规定时间内提交最后报价。最后报价时间为磋商小组指定的时间，具体时间根据磋商进度另行通知。</w:t>
      </w:r>
    </w:p>
    <w:p w14:paraId="23DDE52D">
      <w:pPr>
        <w:numPr>
          <w:ilvl w:val="1"/>
          <w:numId w:val="12"/>
        </w:numPr>
        <w:tabs>
          <w:tab w:val="left" w:pos="1080"/>
          <w:tab w:val="left" w:pos="1872"/>
        </w:tabs>
        <w:snapToGrid w:val="0"/>
        <w:spacing w:line="360" w:lineRule="auto"/>
        <w:ind w:left="1077" w:hanging="720"/>
        <w:rPr>
          <w:rFonts w:hint="eastAsia" w:ascii="宋体" w:hAnsi="宋体"/>
          <w:sz w:val="24"/>
        </w:rPr>
      </w:pPr>
      <w:r>
        <w:rPr>
          <w:rFonts w:ascii="宋体" w:hAnsi="宋体"/>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ascii="宋体" w:hAnsi="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12ADA274">
      <w:pPr>
        <w:numPr>
          <w:ilvl w:val="1"/>
          <w:numId w:val="12"/>
        </w:numPr>
        <w:tabs>
          <w:tab w:val="left" w:pos="1080"/>
          <w:tab w:val="left" w:pos="1872"/>
        </w:tabs>
        <w:snapToGrid w:val="0"/>
        <w:spacing w:line="360" w:lineRule="auto"/>
        <w:ind w:left="1077" w:hanging="720"/>
        <w:rPr>
          <w:rFonts w:hint="eastAsia" w:ascii="宋体" w:hAnsi="宋体"/>
          <w:sz w:val="24"/>
        </w:rPr>
      </w:pPr>
      <w:r>
        <w:rPr>
          <w:rFonts w:ascii="宋体" w:hAnsi="宋体"/>
          <w:sz w:val="24"/>
        </w:rPr>
        <w:t>最后报价是供应商响应文件的有效组成部分。</w:t>
      </w:r>
    </w:p>
    <w:p w14:paraId="2A3DEAF9">
      <w:pPr>
        <w:numPr>
          <w:ilvl w:val="1"/>
          <w:numId w:val="12"/>
        </w:numPr>
        <w:tabs>
          <w:tab w:val="left" w:pos="1080"/>
          <w:tab w:val="left" w:pos="1872"/>
        </w:tabs>
        <w:snapToGrid w:val="0"/>
        <w:spacing w:line="360" w:lineRule="auto"/>
        <w:ind w:left="1077" w:hanging="720"/>
        <w:rPr>
          <w:rFonts w:hint="eastAsia" w:ascii="宋体" w:hAnsi="宋体"/>
          <w:sz w:val="24"/>
        </w:rPr>
      </w:pPr>
      <w:r>
        <w:rPr>
          <w:rFonts w:ascii="宋体" w:hAnsi="宋体"/>
          <w:sz w:val="24"/>
        </w:rPr>
        <w:t>已提交响应文件的供应商，在提交最后报价之前，可以根据磋商情况退出磋商。</w:t>
      </w:r>
    </w:p>
    <w:p w14:paraId="246C1A17">
      <w:pPr>
        <w:numPr>
          <w:ilvl w:val="0"/>
          <w:numId w:val="12"/>
        </w:numPr>
        <w:tabs>
          <w:tab w:val="left" w:pos="360"/>
        </w:tabs>
        <w:snapToGrid w:val="0"/>
        <w:spacing w:line="360" w:lineRule="auto"/>
        <w:outlineLvl w:val="1"/>
        <w:rPr>
          <w:rFonts w:hint="eastAsia" w:ascii="宋体" w:hAnsi="宋体"/>
          <w:sz w:val="24"/>
        </w:rPr>
      </w:pPr>
      <w:r>
        <w:rPr>
          <w:rFonts w:ascii="宋体" w:hAnsi="宋体"/>
          <w:sz w:val="24"/>
        </w:rPr>
        <w:t>最后报价的算术修正及政策调整</w:t>
      </w:r>
    </w:p>
    <w:p w14:paraId="6231B0B5">
      <w:pPr>
        <w:numPr>
          <w:ilvl w:val="1"/>
          <w:numId w:val="12"/>
        </w:numPr>
        <w:tabs>
          <w:tab w:val="left" w:pos="1080"/>
        </w:tabs>
        <w:snapToGrid w:val="0"/>
        <w:spacing w:line="360" w:lineRule="auto"/>
        <w:ind w:left="1077" w:hanging="720"/>
        <w:rPr>
          <w:rFonts w:hint="eastAsia" w:ascii="宋体" w:hAnsi="宋体"/>
          <w:sz w:val="24"/>
        </w:rPr>
      </w:pPr>
      <w:r>
        <w:rPr>
          <w:rFonts w:ascii="宋体" w:hAnsi="宋体"/>
          <w:sz w:val="24"/>
        </w:rPr>
        <w:t>最后报价须包含竞争性磋商文件全部内容，如</w:t>
      </w:r>
      <w:r>
        <w:rPr>
          <w:rFonts w:hint="eastAsia" w:ascii="宋体" w:hAnsi="宋体"/>
          <w:sz w:val="24"/>
        </w:rPr>
        <w:t>最后</w:t>
      </w:r>
      <w:r>
        <w:rPr>
          <w:rFonts w:ascii="宋体" w:hAnsi="宋体"/>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Pr>
          <w:rFonts w:ascii="宋体" w:hAnsi="宋体"/>
          <w:b/>
          <w:sz w:val="24"/>
        </w:rPr>
        <w:t>响应无效</w:t>
      </w:r>
      <w:r>
        <w:rPr>
          <w:rFonts w:ascii="宋体" w:hAnsi="宋体"/>
          <w:sz w:val="24"/>
        </w:rPr>
        <w:t>。</w:t>
      </w:r>
    </w:p>
    <w:p w14:paraId="2754ED1E">
      <w:pPr>
        <w:numPr>
          <w:ilvl w:val="1"/>
          <w:numId w:val="12"/>
        </w:numPr>
        <w:tabs>
          <w:tab w:val="left" w:pos="1080"/>
          <w:tab w:val="left" w:pos="1872"/>
        </w:tabs>
        <w:snapToGrid w:val="0"/>
        <w:spacing w:line="360" w:lineRule="auto"/>
        <w:ind w:left="1077" w:hanging="720"/>
        <w:rPr>
          <w:rFonts w:hint="eastAsia" w:ascii="宋体" w:hAnsi="宋体"/>
          <w:sz w:val="24"/>
        </w:rPr>
      </w:pPr>
      <w:r>
        <w:rPr>
          <w:rFonts w:ascii="宋体" w:hAnsi="宋体"/>
          <w:sz w:val="24"/>
        </w:rPr>
        <w:t>最后报价出现前后不一致的，按照下列规定修正：</w:t>
      </w:r>
    </w:p>
    <w:p w14:paraId="001957D1">
      <w:pPr>
        <w:numPr>
          <w:ilvl w:val="2"/>
          <w:numId w:val="12"/>
        </w:numPr>
        <w:tabs>
          <w:tab w:val="left" w:pos="1080"/>
          <w:tab w:val="left" w:pos="1589"/>
          <w:tab w:val="left" w:pos="2035"/>
          <w:tab w:val="left" w:pos="2114"/>
        </w:tabs>
        <w:snapToGrid w:val="0"/>
        <w:spacing w:line="360" w:lineRule="auto"/>
        <w:ind w:left="2035"/>
        <w:rPr>
          <w:rFonts w:hint="eastAsia" w:ascii="宋体" w:hAnsi="宋体"/>
          <w:sz w:val="24"/>
        </w:rPr>
      </w:pPr>
      <w:r>
        <w:rPr>
          <w:rFonts w:ascii="宋体" w:hAnsi="宋体"/>
          <w:sz w:val="24"/>
        </w:rPr>
        <w:t>竞争性磋商文件对于报价修正是否另有规定：</w:t>
      </w:r>
    </w:p>
    <w:p w14:paraId="674A9E14">
      <w:pPr>
        <w:tabs>
          <w:tab w:val="left" w:pos="1080"/>
          <w:tab w:val="left" w:pos="1589"/>
          <w:tab w:val="left" w:pos="2035"/>
          <w:tab w:val="left" w:pos="2114"/>
        </w:tabs>
        <w:snapToGrid w:val="0"/>
        <w:spacing w:line="360" w:lineRule="auto"/>
        <w:ind w:left="2035"/>
        <w:rPr>
          <w:rFonts w:hint="eastAsia" w:ascii="宋体" w:hAnsi="宋体"/>
          <w:sz w:val="24"/>
          <w:u w:val="single"/>
        </w:rPr>
      </w:pPr>
      <w:r>
        <w:rPr>
          <w:rFonts w:ascii="宋体" w:hAnsi="宋体"/>
          <w:sz w:val="24"/>
        </w:rPr>
        <w:t>□有，具体规定为：___________</w:t>
      </w:r>
    </w:p>
    <w:p w14:paraId="349F451A">
      <w:pPr>
        <w:tabs>
          <w:tab w:val="left" w:pos="1080"/>
          <w:tab w:val="left" w:pos="1589"/>
          <w:tab w:val="left" w:pos="2035"/>
          <w:tab w:val="left" w:pos="2114"/>
        </w:tabs>
        <w:snapToGrid w:val="0"/>
        <w:spacing w:line="360" w:lineRule="auto"/>
        <w:ind w:left="2035"/>
        <w:rPr>
          <w:rFonts w:hint="eastAsia" w:ascii="宋体" w:hAnsi="宋体"/>
          <w:sz w:val="24"/>
        </w:rPr>
      </w:pPr>
      <w:r>
        <w:rPr>
          <w:rFonts w:ascii="宋体" w:hAnsi="宋体"/>
          <w:b/>
          <w:sz w:val="24"/>
        </w:rPr>
        <w:t>■</w:t>
      </w:r>
      <w:r>
        <w:rPr>
          <w:rFonts w:ascii="宋体" w:hAnsi="宋体"/>
          <w:sz w:val="24"/>
        </w:rPr>
        <w:t>无，按下述3.2.2-3.2.5项规定修正。</w:t>
      </w:r>
    </w:p>
    <w:p w14:paraId="5D2AC3C5">
      <w:pPr>
        <w:numPr>
          <w:ilvl w:val="2"/>
          <w:numId w:val="12"/>
        </w:numPr>
        <w:tabs>
          <w:tab w:val="left" w:pos="2035"/>
          <w:tab w:val="left" w:pos="2114"/>
          <w:tab w:val="left" w:pos="2977"/>
        </w:tabs>
        <w:snapToGrid w:val="0"/>
        <w:spacing w:line="360" w:lineRule="auto"/>
        <w:ind w:left="2035"/>
        <w:rPr>
          <w:rFonts w:hint="eastAsia" w:ascii="宋体" w:hAnsi="宋体"/>
          <w:sz w:val="24"/>
        </w:rPr>
      </w:pPr>
      <w:r>
        <w:rPr>
          <w:rFonts w:ascii="宋体" w:hAnsi="宋体"/>
          <w:sz w:val="24"/>
        </w:rPr>
        <w:t>大写金额和小写金额不一致的，以大写金额为准；</w:t>
      </w:r>
    </w:p>
    <w:p w14:paraId="4CA547CA">
      <w:pPr>
        <w:numPr>
          <w:ilvl w:val="2"/>
          <w:numId w:val="12"/>
        </w:numPr>
        <w:tabs>
          <w:tab w:val="left" w:pos="2035"/>
          <w:tab w:val="left" w:pos="2114"/>
          <w:tab w:val="left" w:pos="2977"/>
        </w:tabs>
        <w:snapToGrid w:val="0"/>
        <w:spacing w:line="360" w:lineRule="auto"/>
        <w:ind w:left="2035"/>
        <w:rPr>
          <w:rFonts w:hint="eastAsia" w:ascii="宋体" w:hAnsi="宋体"/>
          <w:sz w:val="24"/>
        </w:rPr>
      </w:pPr>
      <w:r>
        <w:rPr>
          <w:rFonts w:ascii="宋体" w:hAnsi="宋体"/>
          <w:sz w:val="24"/>
        </w:rPr>
        <w:t>单价金额小数点或者百分比有明显错位的，以最后报价一览表的总价为准，并修改单价；</w:t>
      </w:r>
    </w:p>
    <w:p w14:paraId="7BBFE772">
      <w:pPr>
        <w:numPr>
          <w:ilvl w:val="2"/>
          <w:numId w:val="12"/>
        </w:numPr>
        <w:tabs>
          <w:tab w:val="left" w:pos="2035"/>
          <w:tab w:val="left" w:pos="2114"/>
          <w:tab w:val="left" w:pos="2977"/>
        </w:tabs>
        <w:snapToGrid w:val="0"/>
        <w:spacing w:line="360" w:lineRule="auto"/>
        <w:ind w:left="2035"/>
        <w:rPr>
          <w:rFonts w:hint="eastAsia" w:ascii="宋体" w:hAnsi="宋体"/>
          <w:sz w:val="24"/>
        </w:rPr>
      </w:pPr>
      <w:r>
        <w:rPr>
          <w:rFonts w:ascii="宋体" w:hAnsi="宋体"/>
          <w:sz w:val="24"/>
        </w:rPr>
        <w:t>总价金额与按单价汇总金额不一致的，以单价金额计算结果为准。</w:t>
      </w:r>
    </w:p>
    <w:p w14:paraId="0C1F032B">
      <w:pPr>
        <w:numPr>
          <w:ilvl w:val="2"/>
          <w:numId w:val="12"/>
        </w:numPr>
        <w:tabs>
          <w:tab w:val="left" w:pos="1080"/>
          <w:tab w:val="left" w:pos="1589"/>
          <w:tab w:val="left" w:pos="2035"/>
          <w:tab w:val="left" w:pos="2114"/>
        </w:tabs>
        <w:snapToGrid w:val="0"/>
        <w:spacing w:line="360" w:lineRule="auto"/>
        <w:ind w:left="2035"/>
        <w:rPr>
          <w:rFonts w:hint="eastAsia" w:ascii="宋体" w:hAnsi="宋体"/>
          <w:sz w:val="24"/>
        </w:rPr>
      </w:pPr>
      <w:r>
        <w:rPr>
          <w:rFonts w:ascii="宋体" w:hAnsi="宋体"/>
          <w:sz w:val="24"/>
        </w:rPr>
        <w:t>同时出现两种以上不一致的，按照前款规定的顺序修正。修正后的报价经供应商书面确认后产生约束力，供应商不确认的，</w:t>
      </w:r>
      <w:r>
        <w:rPr>
          <w:rFonts w:ascii="宋体" w:hAnsi="宋体"/>
          <w:b/>
          <w:sz w:val="24"/>
        </w:rPr>
        <w:t>其响应无效</w:t>
      </w:r>
      <w:r>
        <w:rPr>
          <w:rFonts w:ascii="宋体" w:hAnsi="宋体"/>
          <w:sz w:val="24"/>
        </w:rPr>
        <w:t>。</w:t>
      </w:r>
    </w:p>
    <w:p w14:paraId="1CC93AC0">
      <w:pPr>
        <w:numPr>
          <w:ilvl w:val="1"/>
          <w:numId w:val="12"/>
        </w:numPr>
        <w:tabs>
          <w:tab w:val="left" w:pos="1080"/>
          <w:tab w:val="left" w:pos="1872"/>
        </w:tabs>
        <w:snapToGrid w:val="0"/>
        <w:spacing w:line="360" w:lineRule="auto"/>
        <w:ind w:left="1077" w:hanging="720"/>
        <w:rPr>
          <w:rFonts w:hint="eastAsia" w:ascii="宋体" w:hAnsi="宋体"/>
          <w:sz w:val="24"/>
        </w:rPr>
      </w:pPr>
      <w:r>
        <w:rPr>
          <w:rFonts w:ascii="宋体" w:hAnsi="宋体"/>
          <w:sz w:val="24"/>
        </w:rPr>
        <w:t>落实政府采购政策的价格调整：只有符合第二章《供应商须知》4.2条规定情形的，可以享受中小企业扶持政策，用扣除后的价格参加评审；否则，评审时价格不予扣除。</w:t>
      </w:r>
    </w:p>
    <w:p w14:paraId="6EDF9F14">
      <w:pPr>
        <w:numPr>
          <w:ilvl w:val="2"/>
          <w:numId w:val="12"/>
        </w:numPr>
        <w:tabs>
          <w:tab w:val="left" w:pos="1080"/>
          <w:tab w:val="left" w:pos="1589"/>
          <w:tab w:val="left" w:pos="2035"/>
        </w:tabs>
        <w:snapToGrid w:val="0"/>
        <w:spacing w:line="360" w:lineRule="auto"/>
        <w:ind w:left="2035"/>
        <w:rPr>
          <w:rFonts w:hint="eastAsia" w:ascii="宋体" w:hAnsi="宋体"/>
          <w:sz w:val="24"/>
        </w:rPr>
      </w:pPr>
      <w:r>
        <w:rPr>
          <w:rFonts w:ascii="宋体" w:hAnsi="宋体"/>
          <w:sz w:val="24"/>
        </w:rPr>
        <w:t>对于未预留份额专门面向中小企业采购的采购项目，以及预留份额项目中的非预留部分采购包，对小微企业报价给予_</w:t>
      </w:r>
      <w:r>
        <w:rPr>
          <w:rFonts w:ascii="宋体" w:hAnsi="宋体"/>
          <w:sz w:val="24"/>
          <w:u w:val="single"/>
        </w:rPr>
        <w:t>10</w:t>
      </w:r>
      <w:r>
        <w:rPr>
          <w:rFonts w:ascii="宋体" w:hAnsi="宋体"/>
          <w:sz w:val="24"/>
        </w:rPr>
        <w:t>_%的扣除，用扣除后的价格参加评审。</w:t>
      </w:r>
    </w:p>
    <w:p w14:paraId="13E6BF79">
      <w:pPr>
        <w:numPr>
          <w:ilvl w:val="2"/>
          <w:numId w:val="12"/>
        </w:numPr>
        <w:tabs>
          <w:tab w:val="left" w:pos="1080"/>
          <w:tab w:val="left" w:pos="1589"/>
          <w:tab w:val="left" w:pos="2035"/>
        </w:tabs>
        <w:snapToGrid w:val="0"/>
        <w:spacing w:line="360" w:lineRule="auto"/>
        <w:ind w:left="2035"/>
        <w:rPr>
          <w:rFonts w:hint="eastAsia" w:ascii="宋体" w:hAnsi="宋体"/>
          <w:sz w:val="24"/>
        </w:rPr>
      </w:pPr>
      <w:r>
        <w:rPr>
          <w:rFonts w:ascii="宋体" w:hAnsi="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30%以上的联合体或者大中型企业的报价给予__/__%的扣除，用扣除后的价格参加评审。</w:t>
      </w:r>
    </w:p>
    <w:p w14:paraId="164C4C84">
      <w:pPr>
        <w:numPr>
          <w:ilvl w:val="2"/>
          <w:numId w:val="12"/>
        </w:numPr>
        <w:tabs>
          <w:tab w:val="left" w:pos="1080"/>
          <w:tab w:val="left" w:pos="1589"/>
          <w:tab w:val="left" w:pos="2035"/>
        </w:tabs>
        <w:snapToGrid w:val="0"/>
        <w:spacing w:line="360" w:lineRule="auto"/>
        <w:ind w:left="2035"/>
        <w:rPr>
          <w:rFonts w:hint="eastAsia" w:ascii="宋体" w:hAnsi="宋体"/>
          <w:sz w:val="24"/>
        </w:rPr>
      </w:pPr>
      <w:r>
        <w:rPr>
          <w:rFonts w:ascii="宋体" w:hAnsi="宋体"/>
          <w:sz w:val="24"/>
        </w:rPr>
        <w:t>组成联合体或者接受分包的小微企业与联合体内其他企业、分包企业之间存在直接控股、管理关系的，不享受价格扣除优惠政策。</w:t>
      </w:r>
    </w:p>
    <w:p w14:paraId="08202957">
      <w:pPr>
        <w:numPr>
          <w:ilvl w:val="2"/>
          <w:numId w:val="12"/>
        </w:numPr>
        <w:tabs>
          <w:tab w:val="left" w:pos="1080"/>
          <w:tab w:val="left" w:pos="1589"/>
          <w:tab w:val="left" w:pos="2035"/>
        </w:tabs>
        <w:snapToGrid w:val="0"/>
        <w:spacing w:line="360" w:lineRule="auto"/>
        <w:ind w:left="2035"/>
        <w:rPr>
          <w:rFonts w:hint="eastAsia" w:ascii="宋体" w:hAnsi="宋体"/>
          <w:sz w:val="24"/>
        </w:rPr>
      </w:pPr>
      <w:r>
        <w:rPr>
          <w:rFonts w:ascii="宋体" w:hAnsi="宋体"/>
          <w:sz w:val="24"/>
        </w:rPr>
        <w:t>价格扣除比例对小型企业和微型企业同等对待，不作区分。</w:t>
      </w:r>
    </w:p>
    <w:p w14:paraId="54DEA9B9">
      <w:pPr>
        <w:numPr>
          <w:ilvl w:val="2"/>
          <w:numId w:val="12"/>
        </w:numPr>
        <w:tabs>
          <w:tab w:val="left" w:pos="1080"/>
          <w:tab w:val="left" w:pos="1589"/>
          <w:tab w:val="left" w:pos="2035"/>
        </w:tabs>
        <w:snapToGrid w:val="0"/>
        <w:spacing w:line="360" w:lineRule="auto"/>
        <w:ind w:left="2035"/>
        <w:rPr>
          <w:rFonts w:hint="eastAsia" w:ascii="宋体" w:hAnsi="宋体"/>
          <w:sz w:val="24"/>
        </w:rPr>
      </w:pPr>
      <w:r>
        <w:rPr>
          <w:rFonts w:ascii="宋体" w:hAnsi="宋体"/>
          <w:sz w:val="24"/>
        </w:rPr>
        <w:t>中小企业参加政府采购活动，应当按照竞争性磋商文件给定的格式出具《中小企业声明函》，否则不得享受相关中小企业扶持政策。</w:t>
      </w:r>
    </w:p>
    <w:p w14:paraId="7D22041B">
      <w:pPr>
        <w:numPr>
          <w:ilvl w:val="2"/>
          <w:numId w:val="12"/>
        </w:numPr>
        <w:tabs>
          <w:tab w:val="left" w:pos="1080"/>
          <w:tab w:val="left" w:pos="1589"/>
          <w:tab w:val="left" w:pos="2035"/>
        </w:tabs>
        <w:snapToGrid w:val="0"/>
        <w:spacing w:line="360" w:lineRule="auto"/>
        <w:ind w:left="2035"/>
        <w:rPr>
          <w:rFonts w:hint="eastAsia" w:ascii="宋体" w:hAnsi="宋体"/>
          <w:sz w:val="24"/>
        </w:rPr>
      </w:pPr>
      <w:r>
        <w:rPr>
          <w:rFonts w:ascii="宋体" w:hAnsi="宋体"/>
          <w:sz w:val="24"/>
        </w:rPr>
        <w:t>监狱企业提供了由省级以上监狱管理局（北京市含教育矫治局）、戒毒管理局（含新疆生产建设兵团）出具的属于监狱企业的证明文件的，视同小微企业。</w:t>
      </w:r>
    </w:p>
    <w:p w14:paraId="1D048136">
      <w:pPr>
        <w:numPr>
          <w:ilvl w:val="2"/>
          <w:numId w:val="12"/>
        </w:numPr>
        <w:tabs>
          <w:tab w:val="left" w:pos="1080"/>
          <w:tab w:val="left" w:pos="1589"/>
          <w:tab w:val="left" w:pos="2035"/>
        </w:tabs>
        <w:snapToGrid w:val="0"/>
        <w:spacing w:line="360" w:lineRule="auto"/>
        <w:ind w:left="2035"/>
        <w:rPr>
          <w:rFonts w:hint="eastAsia" w:ascii="宋体" w:hAnsi="宋体"/>
          <w:sz w:val="24"/>
        </w:rPr>
      </w:pPr>
      <w:r>
        <w:rPr>
          <w:rFonts w:ascii="宋体" w:hAnsi="宋体"/>
          <w:sz w:val="24"/>
        </w:rPr>
        <w:t>残疾人福利性单位按竞争性磋商文件要求提供了《残疾人福利性单位声明函》（见附件）的，视同小微企业。</w:t>
      </w:r>
    </w:p>
    <w:p w14:paraId="50DDC2C4">
      <w:pPr>
        <w:numPr>
          <w:ilvl w:val="2"/>
          <w:numId w:val="12"/>
        </w:numPr>
        <w:tabs>
          <w:tab w:val="left" w:pos="1080"/>
          <w:tab w:val="left" w:pos="1589"/>
          <w:tab w:val="left" w:pos="2014"/>
        </w:tabs>
        <w:snapToGrid w:val="0"/>
        <w:spacing w:line="360" w:lineRule="auto"/>
        <w:ind w:left="2035"/>
        <w:rPr>
          <w:rFonts w:hint="eastAsia" w:ascii="宋体" w:hAnsi="宋体"/>
          <w:sz w:val="24"/>
        </w:rPr>
      </w:pPr>
      <w:r>
        <w:rPr>
          <w:rFonts w:ascii="宋体" w:hAnsi="宋体"/>
          <w:sz w:val="24"/>
        </w:rPr>
        <w:t>若供应商同时属于小型或微型企业、监狱企业、残疾人福利性单位中的两种及以上，将不重复享受小微企业价格扣减的优惠政策。</w:t>
      </w:r>
    </w:p>
    <w:p w14:paraId="6685C459">
      <w:pPr>
        <w:numPr>
          <w:ilvl w:val="2"/>
          <w:numId w:val="12"/>
        </w:numPr>
        <w:tabs>
          <w:tab w:val="left" w:pos="1080"/>
          <w:tab w:val="left" w:pos="1589"/>
          <w:tab w:val="left" w:pos="2014"/>
        </w:tabs>
        <w:snapToGrid w:val="0"/>
        <w:spacing w:line="360" w:lineRule="auto"/>
        <w:ind w:left="2035"/>
        <w:rPr>
          <w:rFonts w:hint="eastAsia" w:ascii="宋体" w:hAnsi="宋体"/>
          <w:sz w:val="24"/>
        </w:rPr>
      </w:pPr>
      <w:r>
        <w:rPr>
          <w:rFonts w:ascii="宋体" w:hAnsi="宋体"/>
          <w:sz w:val="24"/>
        </w:rPr>
        <w:t>其他为落实政府采购政策实施的优先采购：</w:t>
      </w:r>
      <w:r>
        <w:rPr>
          <w:rFonts w:hint="eastAsia" w:ascii="宋体" w:hAnsi="宋体"/>
          <w:sz w:val="24"/>
          <w:u w:val="single"/>
        </w:rPr>
        <w:t xml:space="preserve">    </w:t>
      </w:r>
      <w:r>
        <w:rPr>
          <w:rFonts w:ascii="宋体" w:hAnsi="宋体"/>
          <w:sz w:val="24"/>
          <w:u w:val="single"/>
        </w:rPr>
        <w:t>/</w:t>
      </w:r>
      <w:r>
        <w:rPr>
          <w:rFonts w:hint="eastAsia" w:ascii="宋体" w:hAnsi="宋体"/>
          <w:sz w:val="24"/>
          <w:u w:val="single"/>
        </w:rPr>
        <w:t xml:space="preserve">   </w:t>
      </w:r>
      <w:r>
        <w:rPr>
          <w:rFonts w:hint="eastAsia" w:ascii="宋体" w:hAnsi="宋体"/>
          <w:sz w:val="24"/>
        </w:rPr>
        <w:t xml:space="preserve"> </w:t>
      </w:r>
      <w:r>
        <w:rPr>
          <w:rFonts w:ascii="宋体" w:hAnsi="宋体"/>
          <w:sz w:val="24"/>
        </w:rPr>
        <w:t>。</w:t>
      </w:r>
    </w:p>
    <w:p w14:paraId="34CA80CB">
      <w:pPr>
        <w:numPr>
          <w:ilvl w:val="0"/>
          <w:numId w:val="12"/>
        </w:numPr>
        <w:tabs>
          <w:tab w:val="left" w:pos="360"/>
        </w:tabs>
        <w:snapToGrid w:val="0"/>
        <w:spacing w:line="360" w:lineRule="auto"/>
        <w:outlineLvl w:val="1"/>
        <w:rPr>
          <w:rFonts w:hint="eastAsia" w:ascii="宋体" w:hAnsi="宋体"/>
          <w:sz w:val="24"/>
        </w:rPr>
      </w:pPr>
      <w:r>
        <w:rPr>
          <w:rFonts w:ascii="宋体" w:hAnsi="宋体"/>
          <w:sz w:val="24"/>
        </w:rPr>
        <w:t>磋商环节及提交最后报价后如出现以下情况的，供应商的</w:t>
      </w:r>
      <w:r>
        <w:rPr>
          <w:rFonts w:ascii="宋体" w:hAnsi="宋体"/>
          <w:b/>
          <w:sz w:val="24"/>
        </w:rPr>
        <w:t>响应文件无效</w:t>
      </w:r>
      <w:r>
        <w:rPr>
          <w:rFonts w:ascii="宋体" w:hAnsi="宋体"/>
          <w:sz w:val="24"/>
        </w:rPr>
        <w:t>：</w:t>
      </w:r>
    </w:p>
    <w:p w14:paraId="57BBCC41">
      <w:pPr>
        <w:numPr>
          <w:ilvl w:val="1"/>
          <w:numId w:val="12"/>
        </w:numPr>
        <w:tabs>
          <w:tab w:val="left" w:pos="1080"/>
        </w:tabs>
        <w:snapToGrid w:val="0"/>
        <w:spacing w:line="360" w:lineRule="auto"/>
        <w:ind w:left="1077" w:hanging="720"/>
        <w:rPr>
          <w:rFonts w:hint="eastAsia" w:ascii="宋体" w:hAnsi="宋体"/>
          <w:sz w:val="24"/>
        </w:rPr>
      </w:pPr>
      <w:r>
        <w:rPr>
          <w:rFonts w:ascii="宋体" w:hAnsi="宋体"/>
          <w:sz w:val="24"/>
        </w:rPr>
        <w:t>供应商对实质性变动不予确认的；</w:t>
      </w:r>
    </w:p>
    <w:p w14:paraId="5A97B1A7">
      <w:pPr>
        <w:numPr>
          <w:ilvl w:val="1"/>
          <w:numId w:val="12"/>
        </w:numPr>
        <w:tabs>
          <w:tab w:val="left" w:pos="1080"/>
        </w:tabs>
        <w:snapToGrid w:val="0"/>
        <w:spacing w:line="360" w:lineRule="auto"/>
        <w:ind w:left="1077" w:hanging="720"/>
        <w:rPr>
          <w:rFonts w:hint="eastAsia" w:ascii="宋体" w:hAnsi="宋体"/>
          <w:sz w:val="24"/>
        </w:rPr>
      </w:pPr>
      <w:r>
        <w:rPr>
          <w:rFonts w:ascii="宋体" w:hAnsi="宋体"/>
          <w:sz w:val="24"/>
        </w:rPr>
        <w:t>不满足磋商文件</w:t>
      </w:r>
      <w:r>
        <w:rPr>
          <w:rFonts w:ascii="宋体" w:hAnsi="宋体" w:cs="Segoe UI Symbol"/>
          <w:sz w:val="24"/>
        </w:rPr>
        <w:t>★</w:t>
      </w:r>
      <w:r>
        <w:rPr>
          <w:rFonts w:ascii="宋体" w:hAnsi="宋体"/>
          <w:sz w:val="24"/>
        </w:rPr>
        <w:t>号条款或磋商文件技术指标超出磋商文件</w:t>
      </w:r>
      <w:r>
        <w:rPr>
          <w:rFonts w:hint="eastAsia" w:ascii="宋体" w:hAnsi="宋体"/>
          <w:sz w:val="24"/>
        </w:rPr>
        <w:t>《</w:t>
      </w:r>
      <w:r>
        <w:rPr>
          <w:rFonts w:ascii="宋体" w:hAnsi="宋体"/>
          <w:sz w:val="24"/>
        </w:rPr>
        <w:t>采购需求</w:t>
      </w:r>
      <w:r>
        <w:rPr>
          <w:rFonts w:hint="eastAsia" w:ascii="宋体" w:hAnsi="宋体"/>
          <w:sz w:val="24"/>
        </w:rPr>
        <w:t>》</w:t>
      </w:r>
      <w:r>
        <w:rPr>
          <w:rFonts w:ascii="宋体" w:hAnsi="宋体"/>
          <w:sz w:val="24"/>
        </w:rPr>
        <w:t>中主要技术参数允许偏差的最大范围的（如有）；</w:t>
      </w:r>
    </w:p>
    <w:p w14:paraId="08873DEC">
      <w:pPr>
        <w:numPr>
          <w:ilvl w:val="1"/>
          <w:numId w:val="12"/>
        </w:numPr>
        <w:tabs>
          <w:tab w:val="left" w:pos="1080"/>
        </w:tabs>
        <w:snapToGrid w:val="0"/>
        <w:spacing w:line="360" w:lineRule="auto"/>
        <w:ind w:left="1077" w:hanging="720"/>
        <w:rPr>
          <w:rFonts w:hint="eastAsia" w:ascii="宋体" w:hAnsi="宋体"/>
          <w:sz w:val="24"/>
        </w:rPr>
      </w:pPr>
      <w:r>
        <w:rPr>
          <w:rFonts w:ascii="宋体" w:hAnsi="宋体"/>
          <w:sz w:val="24"/>
        </w:rPr>
        <w:t>未按照磋商小组规定的时间、逾期提交最后报价的；</w:t>
      </w:r>
    </w:p>
    <w:p w14:paraId="475F2993">
      <w:pPr>
        <w:numPr>
          <w:ilvl w:val="1"/>
          <w:numId w:val="12"/>
        </w:numPr>
        <w:tabs>
          <w:tab w:val="left" w:pos="1080"/>
        </w:tabs>
        <w:snapToGrid w:val="0"/>
        <w:spacing w:line="360" w:lineRule="auto"/>
        <w:ind w:left="1077" w:hanging="720"/>
        <w:rPr>
          <w:rFonts w:hint="eastAsia" w:ascii="宋体" w:hAnsi="宋体"/>
          <w:sz w:val="24"/>
        </w:rPr>
      </w:pPr>
      <w:r>
        <w:rPr>
          <w:rFonts w:ascii="宋体" w:hAnsi="宋体"/>
          <w:sz w:val="24"/>
        </w:rPr>
        <w:t>如供应商的最后报价超过竞争性磋商文件中规定的项目/采购包预算金额或者项目/采购包最高限价的；</w:t>
      </w:r>
    </w:p>
    <w:p w14:paraId="28CAD800">
      <w:pPr>
        <w:numPr>
          <w:ilvl w:val="1"/>
          <w:numId w:val="12"/>
        </w:numPr>
        <w:tabs>
          <w:tab w:val="left" w:pos="1080"/>
        </w:tabs>
        <w:snapToGrid w:val="0"/>
        <w:spacing w:line="360" w:lineRule="auto"/>
        <w:ind w:left="1077" w:hanging="720"/>
        <w:rPr>
          <w:rFonts w:hint="eastAsia" w:ascii="宋体" w:hAnsi="宋体"/>
          <w:sz w:val="24"/>
        </w:rPr>
      </w:pPr>
      <w:r>
        <w:rPr>
          <w:rFonts w:ascii="宋体" w:hAnsi="宋体"/>
          <w:sz w:val="24"/>
        </w:rPr>
        <w:t>响应文件中出现可选择性或可调整的报价的（竞争性磋商文件另有规定的除外）；</w:t>
      </w:r>
    </w:p>
    <w:p w14:paraId="08CD4B8C">
      <w:pPr>
        <w:numPr>
          <w:ilvl w:val="1"/>
          <w:numId w:val="12"/>
        </w:numPr>
        <w:tabs>
          <w:tab w:val="left" w:pos="1080"/>
        </w:tabs>
        <w:snapToGrid w:val="0"/>
        <w:spacing w:line="360" w:lineRule="auto"/>
        <w:ind w:left="1077" w:hanging="720"/>
        <w:rPr>
          <w:rFonts w:hint="eastAsia" w:ascii="宋体" w:hAnsi="宋体"/>
          <w:sz w:val="24"/>
        </w:rPr>
      </w:pPr>
      <w:r>
        <w:rPr>
          <w:rFonts w:ascii="宋体" w:hAnsi="宋体"/>
          <w:sz w:val="24"/>
        </w:rPr>
        <w:t>最后报价出现前后不一致，供应商对修正后的报价不予确认的；</w:t>
      </w:r>
    </w:p>
    <w:p w14:paraId="46D801A4">
      <w:pPr>
        <w:numPr>
          <w:ilvl w:val="1"/>
          <w:numId w:val="12"/>
        </w:numPr>
        <w:tabs>
          <w:tab w:val="left" w:pos="1080"/>
        </w:tabs>
        <w:snapToGrid w:val="0"/>
        <w:spacing w:line="360" w:lineRule="auto"/>
        <w:ind w:left="1077" w:hanging="720"/>
        <w:rPr>
          <w:rFonts w:hint="eastAsia" w:ascii="宋体" w:hAnsi="宋体"/>
          <w:sz w:val="24"/>
        </w:rPr>
      </w:pPr>
      <w:r>
        <w:rPr>
          <w:rFonts w:ascii="宋体" w:hAnsi="宋体"/>
          <w:sz w:val="24"/>
        </w:rPr>
        <w:t>其他：__</w:t>
      </w:r>
      <w:r>
        <w:rPr>
          <w:rFonts w:hint="eastAsia" w:ascii="宋体" w:hAnsi="宋体"/>
          <w:sz w:val="24"/>
          <w:u w:val="single"/>
        </w:rPr>
        <w:t>/</w:t>
      </w:r>
      <w:r>
        <w:rPr>
          <w:rFonts w:ascii="宋体" w:hAnsi="宋体"/>
          <w:sz w:val="24"/>
        </w:rPr>
        <w:t>____。</w:t>
      </w:r>
    </w:p>
    <w:p w14:paraId="67C3CADD">
      <w:pPr>
        <w:numPr>
          <w:ilvl w:val="0"/>
          <w:numId w:val="12"/>
        </w:numPr>
        <w:tabs>
          <w:tab w:val="left" w:pos="360"/>
        </w:tabs>
        <w:snapToGrid w:val="0"/>
        <w:spacing w:line="360" w:lineRule="auto"/>
        <w:outlineLvl w:val="1"/>
        <w:rPr>
          <w:rFonts w:hint="eastAsia" w:ascii="宋体" w:hAnsi="宋体"/>
          <w:sz w:val="24"/>
        </w:rPr>
      </w:pPr>
      <w:r>
        <w:rPr>
          <w:rFonts w:ascii="宋体" w:hAnsi="宋体"/>
          <w:sz w:val="24"/>
        </w:rPr>
        <w:t>评审方法和评审标准</w:t>
      </w:r>
    </w:p>
    <w:p w14:paraId="5D4A7BC4">
      <w:pPr>
        <w:numPr>
          <w:ilvl w:val="1"/>
          <w:numId w:val="12"/>
        </w:numPr>
        <w:tabs>
          <w:tab w:val="left" w:pos="1080"/>
          <w:tab w:val="left" w:pos="1872"/>
        </w:tabs>
        <w:snapToGrid w:val="0"/>
        <w:spacing w:line="360" w:lineRule="auto"/>
        <w:ind w:left="1077" w:hanging="720"/>
        <w:rPr>
          <w:rFonts w:hint="eastAsia" w:ascii="宋体" w:hAnsi="宋体"/>
          <w:sz w:val="24"/>
        </w:rPr>
      </w:pPr>
      <w:r>
        <w:rPr>
          <w:rFonts w:ascii="宋体" w:hAnsi="宋体"/>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0D7AF53C">
      <w:pPr>
        <w:numPr>
          <w:ilvl w:val="1"/>
          <w:numId w:val="12"/>
        </w:numPr>
        <w:tabs>
          <w:tab w:val="left" w:pos="1080"/>
          <w:tab w:val="left" w:pos="1872"/>
        </w:tabs>
        <w:snapToGrid w:val="0"/>
        <w:spacing w:line="360" w:lineRule="auto"/>
        <w:ind w:left="1077" w:hanging="720"/>
        <w:rPr>
          <w:rFonts w:hint="eastAsia" w:ascii="宋体" w:hAnsi="宋体"/>
          <w:sz w:val="24"/>
        </w:rPr>
      </w:pPr>
      <w:r>
        <w:rPr>
          <w:rFonts w:ascii="宋体" w:hAnsi="宋体"/>
          <w:sz w:val="24"/>
        </w:rPr>
        <w:t>竞争性磋商文件中没有规定的评审标准不得作为评审依据。</w:t>
      </w:r>
    </w:p>
    <w:p w14:paraId="411EA8E8">
      <w:pPr>
        <w:numPr>
          <w:ilvl w:val="1"/>
          <w:numId w:val="12"/>
        </w:numPr>
        <w:tabs>
          <w:tab w:val="left" w:pos="1080"/>
          <w:tab w:val="left" w:pos="1872"/>
        </w:tabs>
        <w:snapToGrid w:val="0"/>
        <w:spacing w:line="360" w:lineRule="auto"/>
        <w:ind w:left="1077" w:hanging="720"/>
        <w:rPr>
          <w:rFonts w:hint="eastAsia" w:ascii="宋体" w:hAnsi="宋体"/>
          <w:sz w:val="24"/>
        </w:rPr>
      </w:pPr>
      <w:r>
        <w:rPr>
          <w:rFonts w:ascii="宋体" w:hAnsi="宋体"/>
          <w:sz w:val="24"/>
        </w:rPr>
        <w:t>非政府强制采购的节能产品或环境标志产品，依据品目清单和认证证书实施政府优先采购。优先采购的具体规定（如涉及）__</w:t>
      </w:r>
      <w:r>
        <w:rPr>
          <w:rFonts w:hint="eastAsia" w:ascii="宋体" w:hAnsi="宋体"/>
          <w:sz w:val="24"/>
          <w:u w:val="single"/>
        </w:rPr>
        <w:t>/</w:t>
      </w:r>
      <w:r>
        <w:rPr>
          <w:rFonts w:ascii="宋体" w:hAnsi="宋体"/>
          <w:sz w:val="24"/>
        </w:rPr>
        <w:t>____。</w:t>
      </w:r>
    </w:p>
    <w:p w14:paraId="5042A944">
      <w:pPr>
        <w:numPr>
          <w:ilvl w:val="1"/>
          <w:numId w:val="12"/>
        </w:numPr>
        <w:tabs>
          <w:tab w:val="left" w:pos="1080"/>
          <w:tab w:val="left" w:pos="1872"/>
        </w:tabs>
        <w:snapToGrid w:val="0"/>
        <w:spacing w:line="360" w:lineRule="auto"/>
        <w:ind w:left="1077" w:hanging="720"/>
        <w:rPr>
          <w:rFonts w:hint="eastAsia" w:ascii="宋体" w:hAnsi="宋体"/>
          <w:sz w:val="24"/>
        </w:rPr>
      </w:pPr>
      <w:r>
        <w:rPr>
          <w:rFonts w:ascii="宋体" w:hAnsi="宋体"/>
          <w:sz w:val="24"/>
        </w:rPr>
        <w:t>关于无线局域网认证产品政府采购清单中的产品，优先采购的具体规定（如涉及）__</w:t>
      </w:r>
      <w:r>
        <w:rPr>
          <w:rFonts w:hint="eastAsia" w:ascii="宋体" w:hAnsi="宋体"/>
          <w:sz w:val="24"/>
          <w:u w:val="single"/>
        </w:rPr>
        <w:t>/</w:t>
      </w:r>
      <w:r>
        <w:rPr>
          <w:rFonts w:ascii="宋体" w:hAnsi="宋体"/>
          <w:sz w:val="24"/>
        </w:rPr>
        <w:t>____。</w:t>
      </w:r>
    </w:p>
    <w:p w14:paraId="28647F81">
      <w:pPr>
        <w:numPr>
          <w:ilvl w:val="0"/>
          <w:numId w:val="12"/>
        </w:numPr>
        <w:tabs>
          <w:tab w:val="left" w:pos="360"/>
        </w:tabs>
        <w:snapToGrid w:val="0"/>
        <w:spacing w:line="360" w:lineRule="auto"/>
        <w:outlineLvl w:val="1"/>
        <w:rPr>
          <w:rFonts w:hint="eastAsia" w:ascii="宋体" w:hAnsi="宋体"/>
          <w:sz w:val="24"/>
        </w:rPr>
      </w:pPr>
      <w:r>
        <w:rPr>
          <w:rFonts w:ascii="宋体" w:hAnsi="宋体"/>
          <w:sz w:val="24"/>
        </w:rPr>
        <w:t>确定</w:t>
      </w:r>
      <w:bookmarkStart w:id="638" w:name="_Toc127151747"/>
      <w:bookmarkStart w:id="639" w:name="_Toc151193934"/>
      <w:bookmarkStart w:id="640" w:name="_Toc127151546"/>
      <w:bookmarkStart w:id="641" w:name="_Toc150480784"/>
      <w:bookmarkStart w:id="642" w:name="_Toc150774751"/>
      <w:bookmarkStart w:id="643" w:name="_Toc195842911"/>
      <w:bookmarkStart w:id="644" w:name="_Toc149720839"/>
      <w:bookmarkStart w:id="645" w:name="_Toc265228384"/>
      <w:bookmarkStart w:id="646" w:name="_Toc305158888"/>
      <w:bookmarkStart w:id="647" w:name="_Toc164229387"/>
      <w:bookmarkStart w:id="648" w:name="_Toc151193788"/>
      <w:bookmarkStart w:id="649" w:name="_Toc226337242"/>
      <w:bookmarkStart w:id="650" w:name="_Toc151193644"/>
      <w:bookmarkStart w:id="651" w:name="_Toc305158814"/>
      <w:bookmarkStart w:id="652" w:name="_Toc226309790"/>
      <w:bookmarkStart w:id="653" w:name="_Toc520356170"/>
      <w:bookmarkStart w:id="654" w:name="_Toc151190173"/>
      <w:bookmarkStart w:id="655" w:name="_Toc127161460"/>
      <w:bookmarkStart w:id="656" w:name="_Toc150774646"/>
      <w:bookmarkStart w:id="657" w:name="_Toc142311048"/>
      <w:bookmarkStart w:id="658" w:name="_Toc264969236"/>
      <w:bookmarkStart w:id="659" w:name="_Toc164351640"/>
      <w:bookmarkStart w:id="660" w:name="_Toc164229241"/>
      <w:bookmarkStart w:id="661" w:name="_Toc164608815"/>
      <w:bookmarkStart w:id="662" w:name="_Toc226965736"/>
      <w:bookmarkStart w:id="663" w:name="_Toc151193716"/>
      <w:bookmarkStart w:id="664" w:name="_Ref467307010"/>
      <w:bookmarkStart w:id="665" w:name="_Toc164608660"/>
      <w:bookmarkStart w:id="666" w:name="_Toc150509297"/>
      <w:bookmarkStart w:id="667" w:name="_Toc226965819"/>
      <w:bookmarkStart w:id="668" w:name="_Toc151193860"/>
      <w:r>
        <w:rPr>
          <w:rFonts w:ascii="宋体" w:hAnsi="宋体"/>
          <w:sz w:val="24"/>
        </w:rPr>
        <w:t>成交候选人名单</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p>
    <w:p w14:paraId="327C3D9F">
      <w:pPr>
        <w:numPr>
          <w:ilvl w:val="1"/>
          <w:numId w:val="12"/>
        </w:numPr>
        <w:tabs>
          <w:tab w:val="left" w:pos="1080"/>
          <w:tab w:val="left" w:pos="1872"/>
        </w:tabs>
        <w:snapToGrid w:val="0"/>
        <w:spacing w:line="360" w:lineRule="auto"/>
        <w:ind w:left="1077" w:hanging="720"/>
        <w:rPr>
          <w:rFonts w:hint="eastAsia" w:ascii="宋体" w:hAnsi="宋体"/>
          <w:sz w:val="24"/>
        </w:rPr>
      </w:pPr>
      <w:r>
        <w:rPr>
          <w:rFonts w:ascii="宋体" w:hAnsi="宋体"/>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6354DAB8">
      <w:pPr>
        <w:numPr>
          <w:ilvl w:val="1"/>
          <w:numId w:val="12"/>
        </w:numPr>
        <w:tabs>
          <w:tab w:val="left" w:pos="1080"/>
          <w:tab w:val="left" w:pos="1872"/>
        </w:tabs>
        <w:snapToGrid w:val="0"/>
        <w:spacing w:line="360" w:lineRule="auto"/>
        <w:ind w:left="1077" w:hanging="720"/>
        <w:rPr>
          <w:rFonts w:hint="eastAsia" w:ascii="宋体" w:hAnsi="宋体"/>
          <w:sz w:val="24"/>
        </w:rPr>
      </w:pPr>
      <w:r>
        <w:rPr>
          <w:rFonts w:ascii="宋体" w:hAnsi="宋体"/>
          <w:kern w:val="0"/>
          <w:sz w:val="24"/>
          <w:szCs w:val="20"/>
        </w:rPr>
        <w:t>磋商小组根据上述供应商排序，依次推荐排序前</w:t>
      </w:r>
      <w:r>
        <w:rPr>
          <w:rFonts w:ascii="宋体" w:hAnsi="宋体"/>
          <w:sz w:val="24"/>
        </w:rPr>
        <w:t>_</w:t>
      </w:r>
      <w:r>
        <w:rPr>
          <w:rFonts w:ascii="宋体" w:hAnsi="宋体"/>
          <w:sz w:val="24"/>
          <w:u w:val="single"/>
        </w:rPr>
        <w:t>3</w:t>
      </w:r>
      <w:r>
        <w:rPr>
          <w:rFonts w:ascii="宋体" w:hAnsi="宋体"/>
          <w:sz w:val="24"/>
        </w:rPr>
        <w:t>_名</w:t>
      </w:r>
      <w:r>
        <w:rPr>
          <w:rFonts w:ascii="宋体" w:hAnsi="宋体"/>
          <w:kern w:val="0"/>
          <w:sz w:val="24"/>
          <w:szCs w:val="20"/>
        </w:rPr>
        <w:t>的供应商为</w:t>
      </w:r>
      <w:r>
        <w:rPr>
          <w:rFonts w:ascii="宋体" w:hAnsi="宋体"/>
          <w:snapToGrid w:val="0"/>
          <w:kern w:val="0"/>
          <w:sz w:val="24"/>
          <w:szCs w:val="21"/>
        </w:rPr>
        <w:t>成交候选供应商</w:t>
      </w:r>
      <w:r>
        <w:rPr>
          <w:rFonts w:ascii="宋体" w:hAnsi="宋体"/>
          <w:kern w:val="0"/>
          <w:sz w:val="24"/>
          <w:szCs w:val="20"/>
        </w:rPr>
        <w:t>（若在磋商文件允许的情形下提交最后报价的供应商为二家，则依次推荐二名供应商为成交候选供应商），并编写评审报告。</w:t>
      </w:r>
    </w:p>
    <w:p w14:paraId="4957BC81">
      <w:pPr>
        <w:numPr>
          <w:ilvl w:val="1"/>
          <w:numId w:val="12"/>
        </w:numPr>
        <w:tabs>
          <w:tab w:val="left" w:pos="1080"/>
          <w:tab w:val="left" w:pos="1872"/>
        </w:tabs>
        <w:snapToGrid w:val="0"/>
        <w:spacing w:line="360" w:lineRule="auto"/>
        <w:ind w:left="1077" w:hanging="720"/>
        <w:rPr>
          <w:rFonts w:hint="eastAsia" w:ascii="宋体" w:hAnsi="宋体"/>
          <w:sz w:val="24"/>
        </w:rPr>
      </w:pPr>
      <w:r>
        <w:rPr>
          <w:rFonts w:ascii="宋体" w:hAnsi="宋体"/>
          <w:sz w:val="24"/>
        </w:rPr>
        <w:t>磋商小组要对评分汇总情况进行复核，特别是对排名第一的、报价最低的、响应文件被认定为无效的情形进行重点复核。</w:t>
      </w:r>
    </w:p>
    <w:p w14:paraId="45E77DC6">
      <w:pPr>
        <w:numPr>
          <w:ilvl w:val="0"/>
          <w:numId w:val="12"/>
        </w:numPr>
        <w:tabs>
          <w:tab w:val="left" w:pos="360"/>
        </w:tabs>
        <w:snapToGrid w:val="0"/>
        <w:spacing w:line="360" w:lineRule="auto"/>
        <w:outlineLvl w:val="1"/>
        <w:rPr>
          <w:rFonts w:hint="eastAsia" w:ascii="宋体" w:hAnsi="宋体"/>
          <w:sz w:val="24"/>
        </w:rPr>
      </w:pPr>
      <w:r>
        <w:rPr>
          <w:rFonts w:ascii="宋体" w:hAnsi="宋体"/>
          <w:sz w:val="24"/>
        </w:rPr>
        <w:t>报告违法行为</w:t>
      </w:r>
    </w:p>
    <w:p w14:paraId="5CD0F7C2">
      <w:pPr>
        <w:widowControl/>
        <w:numPr>
          <w:ilvl w:val="1"/>
          <w:numId w:val="12"/>
        </w:numPr>
        <w:tabs>
          <w:tab w:val="left" w:pos="1080"/>
          <w:tab w:val="left" w:pos="1872"/>
        </w:tabs>
        <w:snapToGrid w:val="0"/>
        <w:spacing w:line="360" w:lineRule="auto"/>
        <w:ind w:left="1077" w:firstLine="480"/>
        <w:jc w:val="left"/>
        <w:rPr>
          <w:rFonts w:hint="eastAsia" w:ascii="宋体" w:hAnsi="宋体"/>
          <w:b/>
          <w:sz w:val="24"/>
        </w:rPr>
      </w:pPr>
      <w:r>
        <w:rPr>
          <w:rFonts w:ascii="宋体" w:hAnsi="宋体"/>
          <w:sz w:val="24"/>
        </w:rPr>
        <w:t>磋商小组在评审过程中发现供应商有行贿、提供虚假材料或者串通等违法行为时，有向采购人、采购代理机构或者有关部门报告的职责。</w:t>
      </w:r>
      <w:r>
        <w:rPr>
          <w:rFonts w:ascii="宋体" w:hAnsi="宋体"/>
          <w:b/>
          <w:sz w:val="24"/>
        </w:rPr>
        <w:br w:type="page"/>
      </w:r>
    </w:p>
    <w:p w14:paraId="57BDBDB8">
      <w:pPr>
        <w:pStyle w:val="3"/>
        <w:spacing w:before="0" w:line="360" w:lineRule="auto"/>
        <w:ind w:firstLine="482"/>
        <w:rPr>
          <w:rFonts w:hint="eastAsia" w:ascii="宋体" w:hAnsi="宋体" w:eastAsia="宋体"/>
          <w:sz w:val="24"/>
          <w:szCs w:val="24"/>
        </w:rPr>
      </w:pPr>
      <w:r>
        <w:rPr>
          <w:rFonts w:ascii="宋体" w:hAnsi="宋体" w:eastAsia="宋体"/>
          <w:sz w:val="24"/>
          <w:szCs w:val="24"/>
        </w:rPr>
        <w:t>二、评</w:t>
      </w:r>
      <w:r>
        <w:rPr>
          <w:rFonts w:hint="eastAsia" w:ascii="宋体" w:hAnsi="宋体" w:eastAsia="宋体"/>
          <w:sz w:val="24"/>
          <w:szCs w:val="24"/>
        </w:rPr>
        <w:t>审</w:t>
      </w:r>
      <w:r>
        <w:rPr>
          <w:rFonts w:ascii="宋体" w:hAnsi="宋体" w:eastAsia="宋体"/>
          <w:sz w:val="24"/>
          <w:szCs w:val="24"/>
        </w:rPr>
        <w:t>标准</w:t>
      </w:r>
    </w:p>
    <w:tbl>
      <w:tblPr>
        <w:tblStyle w:val="57"/>
        <w:tblW w:w="9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153"/>
        <w:gridCol w:w="1134"/>
        <w:gridCol w:w="5751"/>
        <w:gridCol w:w="770"/>
      </w:tblGrid>
      <w:tr w14:paraId="38505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2524196E">
            <w:pPr>
              <w:jc w:val="center"/>
            </w:pPr>
            <w:r>
              <w:rPr>
                <w:rFonts w:hint="eastAsia"/>
              </w:rPr>
              <w:t>序号</w:t>
            </w:r>
          </w:p>
        </w:tc>
        <w:tc>
          <w:tcPr>
            <w:tcW w:w="1153" w:type="dxa"/>
            <w:tcBorders>
              <w:top w:val="single" w:color="auto" w:sz="4" w:space="0"/>
              <w:left w:val="single" w:color="auto" w:sz="4" w:space="0"/>
              <w:bottom w:val="single" w:color="auto" w:sz="4" w:space="0"/>
              <w:right w:val="single" w:color="auto" w:sz="4" w:space="0"/>
            </w:tcBorders>
            <w:vAlign w:val="center"/>
          </w:tcPr>
          <w:p w14:paraId="74F065C7">
            <w:pPr>
              <w:jc w:val="center"/>
            </w:pPr>
            <w:r>
              <w:rPr>
                <w:rFonts w:hint="eastAsia"/>
              </w:rPr>
              <w:t>评审条款</w:t>
            </w:r>
          </w:p>
        </w:tc>
        <w:tc>
          <w:tcPr>
            <w:tcW w:w="6885" w:type="dxa"/>
            <w:gridSpan w:val="2"/>
            <w:tcBorders>
              <w:top w:val="single" w:color="auto" w:sz="4" w:space="0"/>
              <w:left w:val="single" w:color="auto" w:sz="4" w:space="0"/>
              <w:bottom w:val="single" w:color="auto" w:sz="4" w:space="0"/>
              <w:right w:val="single" w:color="auto" w:sz="4" w:space="0"/>
            </w:tcBorders>
            <w:vAlign w:val="center"/>
          </w:tcPr>
          <w:p w14:paraId="457D74CF">
            <w:pPr>
              <w:jc w:val="center"/>
            </w:pPr>
            <w:r>
              <w:rPr>
                <w:rFonts w:hint="eastAsia"/>
              </w:rPr>
              <w:t>评审细则</w:t>
            </w:r>
          </w:p>
        </w:tc>
        <w:tc>
          <w:tcPr>
            <w:tcW w:w="770" w:type="dxa"/>
            <w:tcBorders>
              <w:top w:val="single" w:color="auto" w:sz="4" w:space="0"/>
              <w:left w:val="single" w:color="auto" w:sz="4" w:space="0"/>
              <w:bottom w:val="single" w:color="auto" w:sz="4" w:space="0"/>
              <w:right w:val="single" w:color="auto" w:sz="4" w:space="0"/>
            </w:tcBorders>
            <w:vAlign w:val="center"/>
          </w:tcPr>
          <w:p w14:paraId="78F70A3A">
            <w:pPr>
              <w:jc w:val="center"/>
            </w:pPr>
            <w:r>
              <w:rPr>
                <w:rFonts w:hint="eastAsia"/>
              </w:rPr>
              <w:t>分值</w:t>
            </w:r>
          </w:p>
        </w:tc>
      </w:tr>
      <w:tr w14:paraId="2B67E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7DE20760">
            <w:pPr>
              <w:jc w:val="center"/>
            </w:pPr>
            <w:r>
              <w:rPr>
                <w:rFonts w:hint="eastAsia"/>
              </w:rPr>
              <w:t>1</w:t>
            </w:r>
          </w:p>
        </w:tc>
        <w:tc>
          <w:tcPr>
            <w:tcW w:w="1153" w:type="dxa"/>
            <w:tcBorders>
              <w:top w:val="single" w:color="auto" w:sz="4" w:space="0"/>
              <w:left w:val="single" w:color="auto" w:sz="4" w:space="0"/>
              <w:bottom w:val="single" w:color="auto" w:sz="4" w:space="0"/>
              <w:right w:val="single" w:color="auto" w:sz="4" w:space="0"/>
            </w:tcBorders>
            <w:vAlign w:val="center"/>
          </w:tcPr>
          <w:p w14:paraId="6341EE00">
            <w:r>
              <w:rPr>
                <w:rFonts w:hint="eastAsia"/>
              </w:rPr>
              <w:t>价格部分</w:t>
            </w:r>
          </w:p>
          <w:p w14:paraId="73546737">
            <w:r>
              <w:rPr>
                <w:rFonts w:hint="eastAsia"/>
              </w:rPr>
              <w:t>（30 分）</w:t>
            </w:r>
          </w:p>
        </w:tc>
        <w:tc>
          <w:tcPr>
            <w:tcW w:w="1134" w:type="dxa"/>
            <w:tcBorders>
              <w:top w:val="single" w:color="auto" w:sz="4" w:space="0"/>
              <w:left w:val="single" w:color="auto" w:sz="4" w:space="0"/>
              <w:bottom w:val="single" w:color="auto" w:sz="4" w:space="0"/>
              <w:right w:val="single" w:color="auto" w:sz="4" w:space="0"/>
            </w:tcBorders>
            <w:vAlign w:val="center"/>
          </w:tcPr>
          <w:p w14:paraId="0808946E">
            <w:r>
              <w:rPr>
                <w:rFonts w:hint="eastAsia"/>
              </w:rPr>
              <w:t>价格得分</w:t>
            </w:r>
          </w:p>
        </w:tc>
        <w:tc>
          <w:tcPr>
            <w:tcW w:w="5751" w:type="dxa"/>
            <w:tcBorders>
              <w:top w:val="single" w:color="auto" w:sz="4" w:space="0"/>
              <w:left w:val="single" w:color="auto" w:sz="4" w:space="0"/>
              <w:bottom w:val="single" w:color="auto" w:sz="4" w:space="0"/>
              <w:right w:val="single" w:color="auto" w:sz="4" w:space="0"/>
            </w:tcBorders>
            <w:vAlign w:val="center"/>
          </w:tcPr>
          <w:p w14:paraId="4C3305B8">
            <w:pPr>
              <w:widowControl/>
              <w:jc w:val="left"/>
            </w:pPr>
            <w:r>
              <w:rPr>
                <w:rFonts w:hint="eastAsia"/>
              </w:rPr>
              <w:t>报价得分=（评标基准价/报价）×价格权值×</w:t>
            </w:r>
            <w:r>
              <w:t>100</w:t>
            </w:r>
          </w:p>
          <w:p w14:paraId="5C6F41CD">
            <w:pPr>
              <w:widowControl/>
              <w:jc w:val="left"/>
            </w:pPr>
            <w:r>
              <w:rPr>
                <w:rFonts w:hint="eastAsia"/>
              </w:rPr>
              <w:t>（注：实质性响应磋商文件要求且价格最低的报价为评标基准价）</w:t>
            </w:r>
          </w:p>
        </w:tc>
        <w:tc>
          <w:tcPr>
            <w:tcW w:w="770" w:type="dxa"/>
            <w:tcBorders>
              <w:top w:val="single" w:color="auto" w:sz="4" w:space="0"/>
              <w:left w:val="single" w:color="auto" w:sz="4" w:space="0"/>
              <w:bottom w:val="single" w:color="auto" w:sz="4" w:space="0"/>
              <w:right w:val="single" w:color="auto" w:sz="4" w:space="0"/>
            </w:tcBorders>
            <w:vAlign w:val="center"/>
          </w:tcPr>
          <w:p w14:paraId="333C4D22">
            <w:pPr>
              <w:jc w:val="center"/>
            </w:pPr>
            <w:r>
              <w:rPr>
                <w:rFonts w:hint="eastAsia"/>
              </w:rPr>
              <w:t>30分</w:t>
            </w:r>
          </w:p>
        </w:tc>
      </w:tr>
      <w:tr w14:paraId="720D4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29" w:type="dxa"/>
            <w:vMerge w:val="restart"/>
            <w:tcBorders>
              <w:top w:val="single" w:color="auto" w:sz="4" w:space="0"/>
              <w:left w:val="single" w:color="auto" w:sz="4" w:space="0"/>
              <w:right w:val="single" w:color="auto" w:sz="4" w:space="0"/>
            </w:tcBorders>
            <w:vAlign w:val="center"/>
          </w:tcPr>
          <w:p w14:paraId="4D2C632B">
            <w:pPr>
              <w:jc w:val="center"/>
            </w:pPr>
            <w:r>
              <w:rPr>
                <w:rFonts w:hint="eastAsia"/>
              </w:rPr>
              <w:t>2</w:t>
            </w:r>
          </w:p>
        </w:tc>
        <w:tc>
          <w:tcPr>
            <w:tcW w:w="1153" w:type="dxa"/>
            <w:vMerge w:val="restart"/>
            <w:tcBorders>
              <w:top w:val="single" w:color="auto" w:sz="4" w:space="0"/>
              <w:left w:val="single" w:color="auto" w:sz="4" w:space="0"/>
              <w:right w:val="single" w:color="auto" w:sz="4" w:space="0"/>
            </w:tcBorders>
            <w:vAlign w:val="center"/>
          </w:tcPr>
          <w:p w14:paraId="3AE558DD">
            <w:r>
              <w:rPr>
                <w:rFonts w:hint="eastAsia"/>
              </w:rPr>
              <w:t>商务部分</w:t>
            </w:r>
          </w:p>
          <w:p w14:paraId="0B8EF3E0">
            <w:r>
              <w:rPr>
                <w:rFonts w:hint="eastAsia"/>
              </w:rPr>
              <w:t>（20 分）</w:t>
            </w:r>
          </w:p>
        </w:tc>
        <w:tc>
          <w:tcPr>
            <w:tcW w:w="1134" w:type="dxa"/>
            <w:tcBorders>
              <w:top w:val="single" w:color="auto" w:sz="4" w:space="0"/>
              <w:left w:val="single" w:color="auto" w:sz="4" w:space="0"/>
              <w:bottom w:val="single" w:color="auto" w:sz="4" w:space="0"/>
              <w:right w:val="single" w:color="auto" w:sz="4" w:space="0"/>
            </w:tcBorders>
            <w:vAlign w:val="center"/>
          </w:tcPr>
          <w:p w14:paraId="062E86D6">
            <w:pPr>
              <w:jc w:val="center"/>
            </w:pPr>
            <w:r>
              <w:rPr>
                <w:rFonts w:hint="eastAsia"/>
              </w:rPr>
              <w:t>业绩</w:t>
            </w:r>
          </w:p>
        </w:tc>
        <w:tc>
          <w:tcPr>
            <w:tcW w:w="5751" w:type="dxa"/>
            <w:tcBorders>
              <w:top w:val="single" w:color="auto" w:sz="4" w:space="0"/>
              <w:left w:val="single" w:color="auto" w:sz="4" w:space="0"/>
              <w:bottom w:val="single" w:color="auto" w:sz="4" w:space="0"/>
              <w:right w:val="single" w:color="auto" w:sz="4" w:space="0"/>
            </w:tcBorders>
          </w:tcPr>
          <w:p w14:paraId="41F76488">
            <w:r>
              <w:rPr>
                <w:rFonts w:hint="eastAsia"/>
              </w:rPr>
              <w:t>提供近三年（2022年11月1日至今，以合同开工日期为准）企业所承担的类似业绩证明材料，需提供包含合同首页、关键 信息页、合同各方签字盖章页的扫描（或复印）件加盖公章，否则不予认可。每提供一份材料得3分,最多得9分。</w:t>
            </w:r>
          </w:p>
        </w:tc>
        <w:tc>
          <w:tcPr>
            <w:tcW w:w="770" w:type="dxa"/>
            <w:tcBorders>
              <w:top w:val="single" w:color="auto" w:sz="4" w:space="0"/>
              <w:left w:val="single" w:color="auto" w:sz="4" w:space="0"/>
              <w:bottom w:val="single" w:color="auto" w:sz="4" w:space="0"/>
              <w:right w:val="single" w:color="auto" w:sz="4" w:space="0"/>
            </w:tcBorders>
            <w:vAlign w:val="center"/>
          </w:tcPr>
          <w:p w14:paraId="4AD8965D">
            <w:pPr>
              <w:jc w:val="center"/>
            </w:pPr>
            <w:r>
              <w:rPr>
                <w:rFonts w:hint="eastAsia"/>
              </w:rPr>
              <w:t>9分</w:t>
            </w:r>
          </w:p>
        </w:tc>
      </w:tr>
      <w:tr w14:paraId="21AA8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29" w:type="dxa"/>
            <w:vMerge w:val="continue"/>
            <w:tcBorders>
              <w:left w:val="single" w:color="auto" w:sz="4" w:space="0"/>
              <w:right w:val="single" w:color="auto" w:sz="4" w:space="0"/>
            </w:tcBorders>
            <w:vAlign w:val="center"/>
          </w:tcPr>
          <w:p w14:paraId="02C0D3F5">
            <w:pPr>
              <w:jc w:val="center"/>
            </w:pPr>
          </w:p>
        </w:tc>
        <w:tc>
          <w:tcPr>
            <w:tcW w:w="1153" w:type="dxa"/>
            <w:vMerge w:val="continue"/>
            <w:tcBorders>
              <w:left w:val="single" w:color="auto" w:sz="4" w:space="0"/>
              <w:right w:val="single" w:color="auto" w:sz="4" w:space="0"/>
            </w:tcBorders>
            <w:vAlign w:val="center"/>
          </w:tcPr>
          <w:p w14:paraId="3A900318"/>
        </w:tc>
        <w:tc>
          <w:tcPr>
            <w:tcW w:w="1134" w:type="dxa"/>
            <w:vMerge w:val="restart"/>
            <w:tcBorders>
              <w:top w:val="single" w:color="auto" w:sz="4" w:space="0"/>
              <w:left w:val="single" w:color="auto" w:sz="4" w:space="0"/>
              <w:right w:val="single" w:color="auto" w:sz="4" w:space="0"/>
            </w:tcBorders>
            <w:vAlign w:val="center"/>
          </w:tcPr>
          <w:p w14:paraId="41D38630">
            <w:pPr>
              <w:jc w:val="center"/>
            </w:pPr>
            <w:r>
              <w:rPr>
                <w:rFonts w:hint="eastAsia"/>
              </w:rPr>
              <w:t>项目经理任职资格</w:t>
            </w:r>
          </w:p>
        </w:tc>
        <w:tc>
          <w:tcPr>
            <w:tcW w:w="5751" w:type="dxa"/>
            <w:tcBorders>
              <w:top w:val="single" w:color="auto" w:sz="4" w:space="0"/>
              <w:left w:val="single" w:color="auto" w:sz="4" w:space="0"/>
              <w:bottom w:val="single" w:color="auto" w:sz="4" w:space="0"/>
              <w:right w:val="single" w:color="auto" w:sz="4" w:space="0"/>
            </w:tcBorders>
            <w:vAlign w:val="center"/>
          </w:tcPr>
          <w:p w14:paraId="6ACFC171">
            <w:pPr>
              <w:widowControl/>
              <w:jc w:val="left"/>
            </w:pPr>
            <w:r>
              <w:rPr>
                <w:rFonts w:hint="eastAsia"/>
              </w:rPr>
              <w:t>项目经理具备房建专业职称：具有高级职称证书的得3分，具有中级职称证书的得2分，具有初级职称证书的得1分，没有不得分。</w:t>
            </w:r>
          </w:p>
        </w:tc>
        <w:tc>
          <w:tcPr>
            <w:tcW w:w="770" w:type="dxa"/>
            <w:tcBorders>
              <w:top w:val="single" w:color="auto" w:sz="4" w:space="0"/>
              <w:left w:val="single" w:color="auto" w:sz="4" w:space="0"/>
              <w:bottom w:val="single" w:color="auto" w:sz="4" w:space="0"/>
              <w:right w:val="single" w:color="auto" w:sz="4" w:space="0"/>
            </w:tcBorders>
            <w:vAlign w:val="center"/>
          </w:tcPr>
          <w:p w14:paraId="3F3CFC5E">
            <w:pPr>
              <w:jc w:val="center"/>
            </w:pPr>
            <w:r>
              <w:rPr>
                <w:rFonts w:hint="eastAsia"/>
              </w:rPr>
              <w:t>3分</w:t>
            </w:r>
          </w:p>
        </w:tc>
      </w:tr>
      <w:tr w14:paraId="3C53C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29" w:type="dxa"/>
            <w:vMerge w:val="continue"/>
            <w:tcBorders>
              <w:left w:val="single" w:color="auto" w:sz="4" w:space="0"/>
              <w:right w:val="single" w:color="auto" w:sz="4" w:space="0"/>
            </w:tcBorders>
            <w:vAlign w:val="center"/>
          </w:tcPr>
          <w:p w14:paraId="260157F6">
            <w:pPr>
              <w:jc w:val="center"/>
            </w:pPr>
          </w:p>
        </w:tc>
        <w:tc>
          <w:tcPr>
            <w:tcW w:w="1153" w:type="dxa"/>
            <w:vMerge w:val="continue"/>
            <w:tcBorders>
              <w:left w:val="single" w:color="auto" w:sz="4" w:space="0"/>
              <w:right w:val="single" w:color="auto" w:sz="4" w:space="0"/>
            </w:tcBorders>
            <w:vAlign w:val="center"/>
          </w:tcPr>
          <w:p w14:paraId="1C983FC7"/>
        </w:tc>
        <w:tc>
          <w:tcPr>
            <w:tcW w:w="1134" w:type="dxa"/>
            <w:vMerge w:val="continue"/>
            <w:tcBorders>
              <w:left w:val="single" w:color="auto" w:sz="4" w:space="0"/>
              <w:bottom w:val="single" w:color="auto" w:sz="4" w:space="0"/>
              <w:right w:val="single" w:color="auto" w:sz="4" w:space="0"/>
            </w:tcBorders>
            <w:vAlign w:val="center"/>
          </w:tcPr>
          <w:p w14:paraId="17D36CBE">
            <w:pPr>
              <w:jc w:val="center"/>
            </w:pPr>
          </w:p>
        </w:tc>
        <w:tc>
          <w:tcPr>
            <w:tcW w:w="5751" w:type="dxa"/>
            <w:tcBorders>
              <w:top w:val="single" w:color="auto" w:sz="4" w:space="0"/>
              <w:left w:val="single" w:color="auto" w:sz="4" w:space="0"/>
              <w:bottom w:val="single" w:color="auto" w:sz="4" w:space="0"/>
              <w:right w:val="single" w:color="auto" w:sz="4" w:space="0"/>
            </w:tcBorders>
            <w:vAlign w:val="center"/>
          </w:tcPr>
          <w:p w14:paraId="24FF7863">
            <w:pPr>
              <w:widowControl/>
              <w:jc w:val="left"/>
            </w:pPr>
            <w:r>
              <w:rPr>
                <w:rFonts w:hint="eastAsia"/>
              </w:rPr>
              <w:t>近3年内担任过与本招标项目类似工程项目经理业绩，有类似项目的加1分，没有不得分，最高3分（需提供相关证明资料）</w:t>
            </w:r>
          </w:p>
        </w:tc>
        <w:tc>
          <w:tcPr>
            <w:tcW w:w="770" w:type="dxa"/>
            <w:tcBorders>
              <w:top w:val="single" w:color="auto" w:sz="4" w:space="0"/>
              <w:left w:val="single" w:color="auto" w:sz="4" w:space="0"/>
              <w:bottom w:val="single" w:color="auto" w:sz="4" w:space="0"/>
              <w:right w:val="single" w:color="auto" w:sz="4" w:space="0"/>
            </w:tcBorders>
            <w:vAlign w:val="center"/>
          </w:tcPr>
          <w:p w14:paraId="77BA2CC0">
            <w:pPr>
              <w:jc w:val="center"/>
            </w:pPr>
            <w:r>
              <w:rPr>
                <w:rFonts w:hint="eastAsia"/>
              </w:rPr>
              <w:t>3分</w:t>
            </w:r>
          </w:p>
        </w:tc>
      </w:tr>
      <w:tr w14:paraId="7F7A8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29" w:type="dxa"/>
            <w:vMerge w:val="continue"/>
            <w:tcBorders>
              <w:left w:val="single" w:color="auto" w:sz="4" w:space="0"/>
              <w:right w:val="single" w:color="auto" w:sz="4" w:space="0"/>
            </w:tcBorders>
            <w:vAlign w:val="center"/>
          </w:tcPr>
          <w:p w14:paraId="7580B129">
            <w:pPr>
              <w:jc w:val="center"/>
            </w:pPr>
          </w:p>
        </w:tc>
        <w:tc>
          <w:tcPr>
            <w:tcW w:w="1153" w:type="dxa"/>
            <w:vMerge w:val="continue"/>
            <w:tcBorders>
              <w:left w:val="single" w:color="auto" w:sz="4" w:space="0"/>
              <w:right w:val="single" w:color="auto" w:sz="4" w:space="0"/>
            </w:tcBorders>
            <w:vAlign w:val="center"/>
          </w:tcPr>
          <w:p w14:paraId="6519594B"/>
        </w:tc>
        <w:tc>
          <w:tcPr>
            <w:tcW w:w="1134" w:type="dxa"/>
            <w:tcBorders>
              <w:top w:val="single" w:color="auto" w:sz="4" w:space="0"/>
              <w:left w:val="single" w:color="auto" w:sz="4" w:space="0"/>
              <w:bottom w:val="single" w:color="auto" w:sz="4" w:space="0"/>
              <w:right w:val="single" w:color="auto" w:sz="4" w:space="0"/>
            </w:tcBorders>
            <w:vAlign w:val="center"/>
          </w:tcPr>
          <w:p w14:paraId="18838590">
            <w:pPr>
              <w:jc w:val="center"/>
            </w:pPr>
            <w:r>
              <w:rPr>
                <w:rFonts w:hint="eastAsia"/>
              </w:rPr>
              <w:t>拟派项目管理人员构成</w:t>
            </w:r>
          </w:p>
        </w:tc>
        <w:tc>
          <w:tcPr>
            <w:tcW w:w="5751" w:type="dxa"/>
            <w:tcBorders>
              <w:top w:val="single" w:color="auto" w:sz="4" w:space="0"/>
              <w:left w:val="single" w:color="auto" w:sz="4" w:space="0"/>
              <w:bottom w:val="single" w:color="auto" w:sz="4" w:space="0"/>
              <w:right w:val="single" w:color="auto" w:sz="4" w:space="0"/>
            </w:tcBorders>
            <w:vAlign w:val="center"/>
          </w:tcPr>
          <w:p w14:paraId="08A7ADB2">
            <w:pPr>
              <w:widowControl/>
              <w:jc w:val="left"/>
            </w:pPr>
            <w:r>
              <w:rPr>
                <w:rFonts w:hint="eastAsia"/>
              </w:rPr>
              <w:t>人员配备合理，专业齐全3分；</w:t>
            </w:r>
          </w:p>
          <w:p w14:paraId="23BF4AFA">
            <w:pPr>
              <w:widowControl/>
              <w:jc w:val="left"/>
            </w:pPr>
            <w:r>
              <w:rPr>
                <w:rFonts w:hint="eastAsia"/>
              </w:rPr>
              <w:t>人员配备情况一般，专业基本齐全2分；</w:t>
            </w:r>
          </w:p>
          <w:p w14:paraId="7CAC0CF8">
            <w:pPr>
              <w:widowControl/>
              <w:jc w:val="left"/>
            </w:pPr>
            <w:r>
              <w:rPr>
                <w:rFonts w:hint="eastAsia"/>
              </w:rPr>
              <w:t>人员配备欠合理，专业不够齐全1分；</w:t>
            </w:r>
          </w:p>
          <w:p w14:paraId="6F7A701D">
            <w:pPr>
              <w:widowControl/>
              <w:jc w:val="left"/>
            </w:pPr>
            <w:r>
              <w:rPr>
                <w:rFonts w:hint="eastAsia"/>
              </w:rPr>
              <w:t>未提供得0分。</w:t>
            </w:r>
          </w:p>
        </w:tc>
        <w:tc>
          <w:tcPr>
            <w:tcW w:w="770" w:type="dxa"/>
            <w:tcBorders>
              <w:top w:val="single" w:color="auto" w:sz="4" w:space="0"/>
              <w:left w:val="single" w:color="auto" w:sz="4" w:space="0"/>
              <w:bottom w:val="single" w:color="auto" w:sz="4" w:space="0"/>
              <w:right w:val="single" w:color="auto" w:sz="4" w:space="0"/>
            </w:tcBorders>
            <w:vAlign w:val="center"/>
          </w:tcPr>
          <w:p w14:paraId="472C09A3">
            <w:pPr>
              <w:jc w:val="center"/>
            </w:pPr>
            <w:r>
              <w:rPr>
                <w:rFonts w:hint="eastAsia"/>
              </w:rPr>
              <w:t>3分</w:t>
            </w:r>
          </w:p>
        </w:tc>
      </w:tr>
      <w:tr w14:paraId="56CE1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29" w:type="dxa"/>
            <w:vMerge w:val="continue"/>
            <w:tcBorders>
              <w:left w:val="single" w:color="auto" w:sz="4" w:space="0"/>
              <w:bottom w:val="single" w:color="auto" w:sz="4" w:space="0"/>
              <w:right w:val="single" w:color="auto" w:sz="4" w:space="0"/>
            </w:tcBorders>
            <w:vAlign w:val="center"/>
          </w:tcPr>
          <w:p w14:paraId="1B2DC8D4">
            <w:pPr>
              <w:jc w:val="center"/>
            </w:pPr>
          </w:p>
        </w:tc>
        <w:tc>
          <w:tcPr>
            <w:tcW w:w="1153" w:type="dxa"/>
            <w:vMerge w:val="continue"/>
            <w:tcBorders>
              <w:left w:val="single" w:color="auto" w:sz="4" w:space="0"/>
              <w:bottom w:val="single" w:color="auto" w:sz="4" w:space="0"/>
              <w:right w:val="single" w:color="auto" w:sz="4" w:space="0"/>
            </w:tcBorders>
            <w:vAlign w:val="center"/>
          </w:tcPr>
          <w:p w14:paraId="467E3BC4"/>
        </w:tc>
        <w:tc>
          <w:tcPr>
            <w:tcW w:w="1134" w:type="dxa"/>
            <w:tcBorders>
              <w:top w:val="single" w:color="auto" w:sz="4" w:space="0"/>
              <w:left w:val="single" w:color="auto" w:sz="4" w:space="0"/>
              <w:bottom w:val="single" w:color="auto" w:sz="4" w:space="0"/>
              <w:right w:val="single" w:color="auto" w:sz="4" w:space="0"/>
            </w:tcBorders>
            <w:vAlign w:val="center"/>
          </w:tcPr>
          <w:p w14:paraId="73C7A45E">
            <w:pPr>
              <w:jc w:val="center"/>
            </w:pPr>
            <w:r>
              <w:rPr>
                <w:rFonts w:hint="eastAsia"/>
              </w:rPr>
              <w:t>拟投入施工机械设备</w:t>
            </w:r>
          </w:p>
        </w:tc>
        <w:tc>
          <w:tcPr>
            <w:tcW w:w="5751" w:type="dxa"/>
            <w:tcBorders>
              <w:top w:val="single" w:color="auto" w:sz="4" w:space="0"/>
              <w:left w:val="single" w:color="auto" w:sz="4" w:space="0"/>
              <w:bottom w:val="single" w:color="auto" w:sz="4" w:space="0"/>
              <w:right w:val="single" w:color="auto" w:sz="4" w:space="0"/>
            </w:tcBorders>
            <w:vAlign w:val="center"/>
          </w:tcPr>
          <w:p w14:paraId="4CF9A601">
            <w:pPr>
              <w:widowControl/>
              <w:jc w:val="left"/>
            </w:pPr>
            <w:r>
              <w:rPr>
                <w:rFonts w:hint="eastAsia"/>
              </w:rPr>
              <w:t>拟投入施工机械设备完全满足工程需要2分；</w:t>
            </w:r>
          </w:p>
          <w:p w14:paraId="206257F2">
            <w:pPr>
              <w:widowControl/>
              <w:jc w:val="left"/>
            </w:pPr>
            <w:r>
              <w:rPr>
                <w:rFonts w:hint="eastAsia"/>
              </w:rPr>
              <w:t>拟投入施工机械设备难以满足工程需要1分；</w:t>
            </w:r>
          </w:p>
          <w:p w14:paraId="77D4A1BF">
            <w:pPr>
              <w:widowControl/>
              <w:jc w:val="left"/>
            </w:pPr>
            <w:r>
              <w:rPr>
                <w:rFonts w:hint="eastAsia"/>
              </w:rPr>
              <w:t>未提供得0分。</w:t>
            </w:r>
          </w:p>
        </w:tc>
        <w:tc>
          <w:tcPr>
            <w:tcW w:w="770" w:type="dxa"/>
            <w:tcBorders>
              <w:top w:val="single" w:color="auto" w:sz="4" w:space="0"/>
              <w:left w:val="single" w:color="auto" w:sz="4" w:space="0"/>
              <w:bottom w:val="single" w:color="auto" w:sz="4" w:space="0"/>
              <w:right w:val="single" w:color="auto" w:sz="4" w:space="0"/>
            </w:tcBorders>
            <w:vAlign w:val="center"/>
          </w:tcPr>
          <w:p w14:paraId="334E1D7D">
            <w:pPr>
              <w:jc w:val="center"/>
            </w:pPr>
            <w:r>
              <w:rPr>
                <w:rFonts w:hint="eastAsia"/>
              </w:rPr>
              <w:t>2分</w:t>
            </w:r>
          </w:p>
        </w:tc>
      </w:tr>
      <w:tr w14:paraId="3046D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729" w:type="dxa"/>
            <w:vMerge w:val="restart"/>
            <w:tcBorders>
              <w:top w:val="single" w:color="auto" w:sz="4" w:space="0"/>
              <w:left w:val="single" w:color="auto" w:sz="4" w:space="0"/>
              <w:right w:val="single" w:color="auto" w:sz="4" w:space="0"/>
            </w:tcBorders>
            <w:vAlign w:val="center"/>
          </w:tcPr>
          <w:p w14:paraId="3C3D50FE">
            <w:pPr>
              <w:jc w:val="center"/>
            </w:pPr>
            <w:r>
              <w:rPr>
                <w:rFonts w:hint="eastAsia"/>
              </w:rPr>
              <w:t>3</w:t>
            </w:r>
          </w:p>
        </w:tc>
        <w:tc>
          <w:tcPr>
            <w:tcW w:w="1153" w:type="dxa"/>
            <w:vMerge w:val="restart"/>
            <w:tcBorders>
              <w:top w:val="single" w:color="auto" w:sz="4" w:space="0"/>
              <w:left w:val="single" w:color="auto" w:sz="4" w:space="0"/>
              <w:right w:val="single" w:color="auto" w:sz="4" w:space="0"/>
            </w:tcBorders>
            <w:vAlign w:val="center"/>
          </w:tcPr>
          <w:p w14:paraId="1758EEE0">
            <w:r>
              <w:rPr>
                <w:rFonts w:hint="eastAsia"/>
              </w:rPr>
              <w:t>技术部分</w:t>
            </w:r>
          </w:p>
          <w:p w14:paraId="49D0CF9B">
            <w:r>
              <w:rPr>
                <w:rFonts w:hint="eastAsia"/>
              </w:rPr>
              <w:t>（50分）</w:t>
            </w:r>
          </w:p>
        </w:tc>
        <w:tc>
          <w:tcPr>
            <w:tcW w:w="1134" w:type="dxa"/>
            <w:tcBorders>
              <w:top w:val="single" w:color="auto" w:sz="4" w:space="0"/>
              <w:left w:val="single" w:color="auto" w:sz="4" w:space="0"/>
              <w:bottom w:val="single" w:color="auto" w:sz="4" w:space="0"/>
              <w:right w:val="single" w:color="auto" w:sz="4" w:space="0"/>
            </w:tcBorders>
            <w:vAlign w:val="center"/>
          </w:tcPr>
          <w:p w14:paraId="6AB94B0B">
            <w:pPr>
              <w:jc w:val="center"/>
            </w:pPr>
            <w:r>
              <w:rPr>
                <w:rFonts w:hint="eastAsia"/>
              </w:rPr>
              <w:t>施工方案与技术措施（10分）</w:t>
            </w:r>
          </w:p>
        </w:tc>
        <w:tc>
          <w:tcPr>
            <w:tcW w:w="5751" w:type="dxa"/>
            <w:tcBorders>
              <w:top w:val="single" w:color="auto" w:sz="4" w:space="0"/>
              <w:left w:val="single" w:color="auto" w:sz="4" w:space="0"/>
              <w:bottom w:val="single" w:color="auto" w:sz="4" w:space="0"/>
              <w:right w:val="single" w:color="auto" w:sz="4" w:space="0"/>
            </w:tcBorders>
          </w:tcPr>
          <w:p w14:paraId="6180C7C0">
            <w:r>
              <w:rPr>
                <w:rFonts w:hint="eastAsia"/>
              </w:rPr>
              <w:t>施工方案与技术措施完善，措施具体、有效得10分；</w:t>
            </w:r>
          </w:p>
          <w:p w14:paraId="247BFA07">
            <w:r>
              <w:rPr>
                <w:rFonts w:hint="eastAsia"/>
              </w:rPr>
              <w:t>施工方案与技术措施完整，有相关措施但描述不完整得7分；</w:t>
            </w:r>
          </w:p>
          <w:p w14:paraId="433399E3">
            <w:r>
              <w:rPr>
                <w:rFonts w:hint="eastAsia"/>
              </w:rPr>
              <w:t>施工方案与技术措施有欠缺，措施零散、无力得4分；</w:t>
            </w:r>
          </w:p>
          <w:p w14:paraId="2DA36DE9">
            <w:r>
              <w:rPr>
                <w:rFonts w:hint="eastAsia"/>
              </w:rPr>
              <w:t>施工方案与技术措施未针对本项目，或未考虑保证措施得1分；</w:t>
            </w:r>
          </w:p>
          <w:p w14:paraId="71BC5251">
            <w:r>
              <w:rPr>
                <w:rFonts w:hint="eastAsia"/>
              </w:rPr>
              <w:t>未提供相关内容得0分。</w:t>
            </w:r>
          </w:p>
        </w:tc>
        <w:tc>
          <w:tcPr>
            <w:tcW w:w="770" w:type="dxa"/>
            <w:tcBorders>
              <w:top w:val="single" w:color="auto" w:sz="4" w:space="0"/>
              <w:left w:val="single" w:color="auto" w:sz="4" w:space="0"/>
              <w:bottom w:val="single" w:color="auto" w:sz="4" w:space="0"/>
              <w:right w:val="single" w:color="auto" w:sz="4" w:space="0"/>
            </w:tcBorders>
            <w:vAlign w:val="center"/>
          </w:tcPr>
          <w:p w14:paraId="60AEE2FD">
            <w:pPr>
              <w:jc w:val="center"/>
            </w:pPr>
            <w:r>
              <w:rPr>
                <w:rFonts w:hint="eastAsia"/>
              </w:rPr>
              <w:t>10分</w:t>
            </w:r>
          </w:p>
        </w:tc>
      </w:tr>
      <w:tr w14:paraId="71E01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729" w:type="dxa"/>
            <w:vMerge w:val="continue"/>
            <w:tcBorders>
              <w:top w:val="single" w:color="auto" w:sz="4" w:space="0"/>
              <w:left w:val="single" w:color="auto" w:sz="4" w:space="0"/>
              <w:right w:val="single" w:color="auto" w:sz="4" w:space="0"/>
            </w:tcBorders>
            <w:vAlign w:val="center"/>
          </w:tcPr>
          <w:p w14:paraId="29B020AF">
            <w:pPr>
              <w:jc w:val="center"/>
            </w:pPr>
          </w:p>
        </w:tc>
        <w:tc>
          <w:tcPr>
            <w:tcW w:w="1153" w:type="dxa"/>
            <w:vMerge w:val="continue"/>
            <w:tcBorders>
              <w:top w:val="single" w:color="auto" w:sz="4" w:space="0"/>
              <w:left w:val="single" w:color="auto" w:sz="4" w:space="0"/>
              <w:right w:val="single" w:color="auto" w:sz="4" w:space="0"/>
            </w:tcBorders>
            <w:vAlign w:val="center"/>
          </w:tcPr>
          <w:p w14:paraId="64E294D7"/>
        </w:tc>
        <w:tc>
          <w:tcPr>
            <w:tcW w:w="1134" w:type="dxa"/>
            <w:tcBorders>
              <w:top w:val="single" w:color="auto" w:sz="4" w:space="0"/>
              <w:left w:val="single" w:color="auto" w:sz="4" w:space="0"/>
              <w:bottom w:val="single" w:color="auto" w:sz="4" w:space="0"/>
              <w:right w:val="single" w:color="auto" w:sz="4" w:space="0"/>
            </w:tcBorders>
            <w:vAlign w:val="center"/>
          </w:tcPr>
          <w:p w14:paraId="6374EFF1">
            <w:pPr>
              <w:jc w:val="center"/>
            </w:pPr>
            <w:r>
              <w:rPr>
                <w:rFonts w:hint="eastAsia"/>
              </w:rPr>
              <w:t>质量保障措施（10分）</w:t>
            </w:r>
          </w:p>
        </w:tc>
        <w:tc>
          <w:tcPr>
            <w:tcW w:w="5751" w:type="dxa"/>
            <w:tcBorders>
              <w:top w:val="single" w:color="auto" w:sz="4" w:space="0"/>
              <w:left w:val="single" w:color="auto" w:sz="4" w:space="0"/>
              <w:bottom w:val="single" w:color="auto" w:sz="4" w:space="0"/>
              <w:right w:val="single" w:color="auto" w:sz="4" w:space="0"/>
            </w:tcBorders>
          </w:tcPr>
          <w:p w14:paraId="1825E9B6">
            <w:r>
              <w:rPr>
                <w:rFonts w:hint="eastAsia"/>
              </w:rPr>
              <w:t>质量保障措施完善，措施具体、有效得10分；</w:t>
            </w:r>
          </w:p>
          <w:p w14:paraId="0183B9F2">
            <w:r>
              <w:rPr>
                <w:rFonts w:hint="eastAsia"/>
              </w:rPr>
              <w:t>质量保障措施完整，有相关措施但描述不完整得7分；</w:t>
            </w:r>
          </w:p>
          <w:p w14:paraId="35812FB0">
            <w:r>
              <w:rPr>
                <w:rFonts w:hint="eastAsia"/>
              </w:rPr>
              <w:t>质量保障措施有欠缺，措施零散、无力得4分；</w:t>
            </w:r>
          </w:p>
          <w:p w14:paraId="380F4450">
            <w:r>
              <w:rPr>
                <w:rFonts w:hint="eastAsia"/>
              </w:rPr>
              <w:t>质量保障措施未针对本项目，或未考虑保证措施得1分；</w:t>
            </w:r>
          </w:p>
          <w:p w14:paraId="3CBC7A0B">
            <w:r>
              <w:rPr>
                <w:rFonts w:hint="eastAsia"/>
              </w:rPr>
              <w:t>未提供相关内容得0分。</w:t>
            </w:r>
          </w:p>
        </w:tc>
        <w:tc>
          <w:tcPr>
            <w:tcW w:w="770" w:type="dxa"/>
            <w:tcBorders>
              <w:top w:val="single" w:color="auto" w:sz="4" w:space="0"/>
              <w:left w:val="single" w:color="auto" w:sz="4" w:space="0"/>
              <w:bottom w:val="single" w:color="auto" w:sz="4" w:space="0"/>
              <w:right w:val="single" w:color="auto" w:sz="4" w:space="0"/>
            </w:tcBorders>
            <w:vAlign w:val="center"/>
          </w:tcPr>
          <w:p w14:paraId="25A2CEB1">
            <w:pPr>
              <w:jc w:val="center"/>
            </w:pPr>
            <w:r>
              <w:rPr>
                <w:rFonts w:hint="eastAsia"/>
              </w:rPr>
              <w:t>10分</w:t>
            </w:r>
          </w:p>
        </w:tc>
      </w:tr>
      <w:tr w14:paraId="46E67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29" w:type="dxa"/>
            <w:vMerge w:val="continue"/>
            <w:tcBorders>
              <w:left w:val="single" w:color="auto" w:sz="4" w:space="0"/>
              <w:right w:val="single" w:color="auto" w:sz="4" w:space="0"/>
            </w:tcBorders>
            <w:vAlign w:val="center"/>
          </w:tcPr>
          <w:p w14:paraId="3CB2EC7D"/>
        </w:tc>
        <w:tc>
          <w:tcPr>
            <w:tcW w:w="1153" w:type="dxa"/>
            <w:vMerge w:val="continue"/>
            <w:tcBorders>
              <w:left w:val="single" w:color="auto" w:sz="4" w:space="0"/>
              <w:right w:val="single" w:color="auto" w:sz="4" w:space="0"/>
            </w:tcBorders>
            <w:vAlign w:val="center"/>
          </w:tcPr>
          <w:p w14:paraId="37275C57"/>
        </w:tc>
        <w:tc>
          <w:tcPr>
            <w:tcW w:w="1134" w:type="dxa"/>
            <w:tcBorders>
              <w:top w:val="single" w:color="auto" w:sz="4" w:space="0"/>
              <w:left w:val="single" w:color="auto" w:sz="4" w:space="0"/>
              <w:bottom w:val="single" w:color="auto" w:sz="4" w:space="0"/>
              <w:right w:val="single" w:color="auto" w:sz="4" w:space="0"/>
            </w:tcBorders>
            <w:vAlign w:val="center"/>
          </w:tcPr>
          <w:p w14:paraId="7C0E42C7">
            <w:pPr>
              <w:jc w:val="center"/>
            </w:pPr>
            <w:r>
              <w:rPr>
                <w:rFonts w:hint="eastAsia"/>
              </w:rPr>
              <w:t>安全施工措施（10分）</w:t>
            </w:r>
          </w:p>
        </w:tc>
        <w:tc>
          <w:tcPr>
            <w:tcW w:w="5751" w:type="dxa"/>
            <w:tcBorders>
              <w:top w:val="single" w:color="auto" w:sz="4" w:space="0"/>
              <w:left w:val="single" w:color="auto" w:sz="4" w:space="0"/>
              <w:bottom w:val="single" w:color="auto" w:sz="4" w:space="0"/>
              <w:right w:val="single" w:color="auto" w:sz="4" w:space="0"/>
            </w:tcBorders>
            <w:vAlign w:val="center"/>
          </w:tcPr>
          <w:p w14:paraId="4A24CFF1">
            <w:r>
              <w:rPr>
                <w:rFonts w:hint="eastAsia"/>
              </w:rPr>
              <w:t>安全施工措施具体、有效，施工计划健全得10分；</w:t>
            </w:r>
          </w:p>
          <w:p w14:paraId="014A2FF0">
            <w:r>
              <w:rPr>
                <w:rFonts w:hint="eastAsia"/>
              </w:rPr>
              <w:t>安全施工措施较好，施工计划不完整得7分；</w:t>
            </w:r>
          </w:p>
          <w:p w14:paraId="161DC66F">
            <w:r>
              <w:rPr>
                <w:rFonts w:hint="eastAsia"/>
              </w:rPr>
              <w:t>安全施工措施零散、无力，且施工计划有缺失得4分；</w:t>
            </w:r>
          </w:p>
          <w:p w14:paraId="0F52454E">
            <w:r>
              <w:rPr>
                <w:rFonts w:hint="eastAsia"/>
              </w:rPr>
              <w:t>安全施工措施与本项目无关得1分；</w:t>
            </w:r>
          </w:p>
          <w:p w14:paraId="62396A0F">
            <w:r>
              <w:rPr>
                <w:rFonts w:hint="eastAsia"/>
              </w:rPr>
              <w:t>未提供相关内容得0分。</w:t>
            </w:r>
          </w:p>
        </w:tc>
        <w:tc>
          <w:tcPr>
            <w:tcW w:w="770" w:type="dxa"/>
            <w:tcBorders>
              <w:top w:val="single" w:color="auto" w:sz="4" w:space="0"/>
              <w:left w:val="single" w:color="auto" w:sz="4" w:space="0"/>
              <w:bottom w:val="single" w:color="auto" w:sz="4" w:space="0"/>
              <w:right w:val="single" w:color="auto" w:sz="4" w:space="0"/>
            </w:tcBorders>
            <w:vAlign w:val="center"/>
          </w:tcPr>
          <w:p w14:paraId="4FA6A3CB">
            <w:pPr>
              <w:jc w:val="center"/>
            </w:pPr>
            <w:r>
              <w:rPr>
                <w:rFonts w:hint="eastAsia"/>
              </w:rPr>
              <w:t>10分</w:t>
            </w:r>
          </w:p>
        </w:tc>
      </w:tr>
      <w:tr w14:paraId="66BF7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29" w:type="dxa"/>
            <w:vMerge w:val="continue"/>
            <w:tcBorders>
              <w:left w:val="single" w:color="auto" w:sz="4" w:space="0"/>
              <w:right w:val="single" w:color="auto" w:sz="4" w:space="0"/>
            </w:tcBorders>
            <w:vAlign w:val="center"/>
          </w:tcPr>
          <w:p w14:paraId="12B97E81"/>
        </w:tc>
        <w:tc>
          <w:tcPr>
            <w:tcW w:w="1153" w:type="dxa"/>
            <w:vMerge w:val="continue"/>
            <w:tcBorders>
              <w:left w:val="single" w:color="auto" w:sz="4" w:space="0"/>
              <w:right w:val="single" w:color="auto" w:sz="4" w:space="0"/>
            </w:tcBorders>
            <w:vAlign w:val="center"/>
          </w:tcPr>
          <w:p w14:paraId="7136D801"/>
        </w:tc>
        <w:tc>
          <w:tcPr>
            <w:tcW w:w="1134" w:type="dxa"/>
            <w:tcBorders>
              <w:top w:val="single" w:color="auto" w:sz="4" w:space="0"/>
              <w:left w:val="single" w:color="auto" w:sz="4" w:space="0"/>
              <w:bottom w:val="single" w:color="auto" w:sz="4" w:space="0"/>
              <w:right w:val="single" w:color="auto" w:sz="4" w:space="0"/>
            </w:tcBorders>
            <w:vAlign w:val="center"/>
          </w:tcPr>
          <w:p w14:paraId="60098098">
            <w:pPr>
              <w:jc w:val="center"/>
            </w:pPr>
            <w:r>
              <w:rPr>
                <w:rFonts w:hint="eastAsia"/>
              </w:rPr>
              <w:t>文明施工措施（10分）</w:t>
            </w:r>
          </w:p>
        </w:tc>
        <w:tc>
          <w:tcPr>
            <w:tcW w:w="5751" w:type="dxa"/>
            <w:tcBorders>
              <w:top w:val="single" w:color="auto" w:sz="4" w:space="0"/>
              <w:left w:val="single" w:color="auto" w:sz="4" w:space="0"/>
              <w:bottom w:val="single" w:color="auto" w:sz="4" w:space="0"/>
              <w:right w:val="single" w:color="auto" w:sz="4" w:space="0"/>
            </w:tcBorders>
            <w:vAlign w:val="center"/>
          </w:tcPr>
          <w:p w14:paraId="67972627">
            <w:r>
              <w:rPr>
                <w:rFonts w:hint="eastAsia"/>
              </w:rPr>
              <w:t>文明施工措施完善，保证措施具体、有效得10分；</w:t>
            </w:r>
          </w:p>
          <w:p w14:paraId="2C9F8554">
            <w:r>
              <w:rPr>
                <w:rFonts w:hint="eastAsia"/>
              </w:rPr>
              <w:t>文明施工措施完整，有相关措施但描述不完整得7分；</w:t>
            </w:r>
          </w:p>
          <w:p w14:paraId="7ECAB536">
            <w:r>
              <w:rPr>
                <w:rFonts w:hint="eastAsia"/>
              </w:rPr>
              <w:t>计划零散、无力，且进度计划有缺失得4分；</w:t>
            </w:r>
          </w:p>
          <w:p w14:paraId="4196E6AE">
            <w:r>
              <w:rPr>
                <w:rFonts w:hint="eastAsia" w:ascii="宋体" w:hAnsi="宋体" w:cs="Arial"/>
                <w:sz w:val="24"/>
              </w:rPr>
              <w:t>文明施工措施</w:t>
            </w:r>
            <w:r>
              <w:rPr>
                <w:rFonts w:hint="eastAsia"/>
              </w:rPr>
              <w:t>与本项目无关得1分；</w:t>
            </w:r>
          </w:p>
          <w:p w14:paraId="551C8A09">
            <w:r>
              <w:rPr>
                <w:rFonts w:hint="eastAsia"/>
              </w:rPr>
              <w:t>未提供相关内容得0分。</w:t>
            </w:r>
          </w:p>
        </w:tc>
        <w:tc>
          <w:tcPr>
            <w:tcW w:w="770" w:type="dxa"/>
            <w:tcBorders>
              <w:top w:val="single" w:color="auto" w:sz="4" w:space="0"/>
              <w:left w:val="single" w:color="auto" w:sz="4" w:space="0"/>
              <w:bottom w:val="single" w:color="auto" w:sz="4" w:space="0"/>
              <w:right w:val="single" w:color="auto" w:sz="4" w:space="0"/>
            </w:tcBorders>
            <w:vAlign w:val="center"/>
          </w:tcPr>
          <w:p w14:paraId="42E85988">
            <w:pPr>
              <w:jc w:val="center"/>
            </w:pPr>
            <w:r>
              <w:rPr>
                <w:rFonts w:hint="eastAsia"/>
              </w:rPr>
              <w:t>10分</w:t>
            </w:r>
          </w:p>
        </w:tc>
      </w:tr>
      <w:tr w14:paraId="2096F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729" w:type="dxa"/>
            <w:vMerge w:val="continue"/>
            <w:tcBorders>
              <w:left w:val="single" w:color="auto" w:sz="4" w:space="0"/>
              <w:right w:val="single" w:color="auto" w:sz="4" w:space="0"/>
            </w:tcBorders>
            <w:vAlign w:val="center"/>
          </w:tcPr>
          <w:p w14:paraId="5B337368"/>
        </w:tc>
        <w:tc>
          <w:tcPr>
            <w:tcW w:w="1153" w:type="dxa"/>
            <w:vMerge w:val="continue"/>
            <w:tcBorders>
              <w:left w:val="single" w:color="auto" w:sz="4" w:space="0"/>
              <w:right w:val="single" w:color="auto" w:sz="4" w:space="0"/>
            </w:tcBorders>
            <w:vAlign w:val="center"/>
          </w:tcPr>
          <w:p w14:paraId="5FDF411C"/>
        </w:tc>
        <w:tc>
          <w:tcPr>
            <w:tcW w:w="1134" w:type="dxa"/>
            <w:tcBorders>
              <w:top w:val="single" w:color="auto" w:sz="4" w:space="0"/>
              <w:left w:val="single" w:color="auto" w:sz="4" w:space="0"/>
              <w:bottom w:val="single" w:color="auto" w:sz="4" w:space="0"/>
              <w:right w:val="single" w:color="auto" w:sz="4" w:space="0"/>
            </w:tcBorders>
            <w:vAlign w:val="center"/>
          </w:tcPr>
          <w:p w14:paraId="12D1B155">
            <w:pPr>
              <w:jc w:val="center"/>
            </w:pPr>
            <w:r>
              <w:rPr>
                <w:rFonts w:hint="eastAsia"/>
              </w:rPr>
              <w:t>紧急情况处理措施（10分）</w:t>
            </w:r>
          </w:p>
        </w:tc>
        <w:tc>
          <w:tcPr>
            <w:tcW w:w="5751" w:type="dxa"/>
            <w:tcBorders>
              <w:top w:val="single" w:color="auto" w:sz="4" w:space="0"/>
              <w:left w:val="single" w:color="auto" w:sz="4" w:space="0"/>
              <w:bottom w:val="single" w:color="auto" w:sz="4" w:space="0"/>
              <w:right w:val="single" w:color="auto" w:sz="4" w:space="0"/>
            </w:tcBorders>
            <w:vAlign w:val="center"/>
          </w:tcPr>
          <w:p w14:paraId="118CBB69">
            <w:r>
              <w:rPr>
                <w:rFonts w:hint="eastAsia"/>
              </w:rPr>
              <w:t>紧急情况处理措施具体、有效得10分；</w:t>
            </w:r>
          </w:p>
          <w:p w14:paraId="5EFE6117">
            <w:r>
              <w:rPr>
                <w:rFonts w:hint="eastAsia"/>
              </w:rPr>
              <w:t>紧急情况处理措施完整，有相关措施但描述不完整得7分；</w:t>
            </w:r>
          </w:p>
          <w:p w14:paraId="5FDFA72A">
            <w:r>
              <w:rPr>
                <w:rFonts w:hint="eastAsia"/>
              </w:rPr>
              <w:t>措施零散、无力，且有缺失得4分；</w:t>
            </w:r>
          </w:p>
          <w:p w14:paraId="221CE11C">
            <w:r>
              <w:rPr>
                <w:rFonts w:hint="eastAsia"/>
              </w:rPr>
              <w:t>紧急情况处理措施与本项目无关得1分；</w:t>
            </w:r>
          </w:p>
          <w:p w14:paraId="48F4A366">
            <w:r>
              <w:rPr>
                <w:rFonts w:hint="eastAsia"/>
              </w:rPr>
              <w:t>未提供相关内容得0分。</w:t>
            </w:r>
          </w:p>
        </w:tc>
        <w:tc>
          <w:tcPr>
            <w:tcW w:w="770" w:type="dxa"/>
            <w:tcBorders>
              <w:top w:val="single" w:color="auto" w:sz="4" w:space="0"/>
              <w:left w:val="single" w:color="auto" w:sz="4" w:space="0"/>
              <w:bottom w:val="single" w:color="auto" w:sz="4" w:space="0"/>
              <w:right w:val="single" w:color="auto" w:sz="4" w:space="0"/>
            </w:tcBorders>
            <w:vAlign w:val="center"/>
          </w:tcPr>
          <w:p w14:paraId="6C2D4AAE">
            <w:pPr>
              <w:jc w:val="center"/>
            </w:pPr>
            <w:r>
              <w:rPr>
                <w:rFonts w:hint="eastAsia"/>
              </w:rPr>
              <w:t>10分</w:t>
            </w:r>
          </w:p>
        </w:tc>
      </w:tr>
      <w:tr w14:paraId="17892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jc w:val="center"/>
        </w:trPr>
        <w:tc>
          <w:tcPr>
            <w:tcW w:w="9537" w:type="dxa"/>
            <w:gridSpan w:val="5"/>
            <w:tcBorders>
              <w:top w:val="single" w:color="auto" w:sz="4" w:space="0"/>
              <w:left w:val="single" w:color="auto" w:sz="4" w:space="0"/>
              <w:bottom w:val="single" w:color="auto" w:sz="4" w:space="0"/>
              <w:right w:val="single" w:color="auto" w:sz="4" w:space="0"/>
            </w:tcBorders>
            <w:vAlign w:val="center"/>
          </w:tcPr>
          <w:p w14:paraId="59D33AF2">
            <w:r>
              <w:rPr>
                <w:rFonts w:hint="eastAsia"/>
              </w:rPr>
              <w:t>总分100分</w:t>
            </w:r>
          </w:p>
        </w:tc>
      </w:tr>
    </w:tbl>
    <w:p w14:paraId="046177A5">
      <w:pPr>
        <w:spacing w:line="360" w:lineRule="auto"/>
        <w:ind w:firstLine="723"/>
        <w:jc w:val="center"/>
        <w:outlineLvl w:val="0"/>
        <w:rPr>
          <w:rFonts w:hint="eastAsia" w:ascii="宋体" w:hAnsi="宋体"/>
          <w:b/>
          <w:sz w:val="36"/>
          <w:szCs w:val="36"/>
        </w:rPr>
      </w:pPr>
      <w:bookmarkStart w:id="669" w:name="_Toc183434177"/>
      <w:r>
        <w:rPr>
          <w:rFonts w:ascii="宋体" w:hAnsi="宋体"/>
          <w:b/>
          <w:sz w:val="36"/>
          <w:szCs w:val="36"/>
        </w:rPr>
        <w:t xml:space="preserve">第四章   </w:t>
      </w:r>
      <w:r>
        <w:rPr>
          <w:rFonts w:hint="eastAsia" w:ascii="宋体" w:hAnsi="宋体"/>
          <w:b/>
          <w:sz w:val="36"/>
          <w:szCs w:val="36"/>
        </w:rPr>
        <w:t>技术标准规范及项目需求</w:t>
      </w:r>
      <w:bookmarkEnd w:id="669"/>
    </w:p>
    <w:p w14:paraId="5D13BEF1">
      <w:pPr>
        <w:spacing w:line="360" w:lineRule="auto"/>
        <w:rPr>
          <w:sz w:val="24"/>
        </w:rPr>
      </w:pPr>
    </w:p>
    <w:p w14:paraId="2A379C35">
      <w:pPr>
        <w:spacing w:line="360" w:lineRule="auto"/>
        <w:rPr>
          <w:sz w:val="24"/>
        </w:rPr>
      </w:pPr>
      <w:r>
        <w:rPr>
          <w:sz w:val="24"/>
        </w:rPr>
        <w:t>一、</w:t>
      </w:r>
      <w:r>
        <w:rPr>
          <w:rFonts w:hint="eastAsia" w:ascii="宋体" w:hAnsi="宋体"/>
          <w:sz w:val="24"/>
        </w:rPr>
        <w:t>采购标的</w:t>
      </w:r>
      <w:r>
        <w:rPr>
          <w:rFonts w:hint="eastAsia"/>
          <w:sz w:val="24"/>
        </w:rPr>
        <w:t>：</w:t>
      </w:r>
    </w:p>
    <w:p w14:paraId="327057A0">
      <w:pPr>
        <w:spacing w:line="360" w:lineRule="auto"/>
        <w:rPr>
          <w:sz w:val="24"/>
        </w:rPr>
      </w:pPr>
      <w:r>
        <w:rPr>
          <w:rFonts w:hint="eastAsia"/>
          <w:sz w:val="24"/>
        </w:rPr>
        <w:t>1.1 采购标的</w:t>
      </w:r>
    </w:p>
    <w:tbl>
      <w:tblPr>
        <w:tblStyle w:val="57"/>
        <w:tblW w:w="9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381"/>
        <w:gridCol w:w="1588"/>
        <w:gridCol w:w="850"/>
        <w:gridCol w:w="3346"/>
      </w:tblGrid>
      <w:tr w14:paraId="0AFEE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6" w:type="dxa"/>
            <w:vAlign w:val="center"/>
          </w:tcPr>
          <w:p w14:paraId="1ADE5BB6">
            <w:pPr>
              <w:jc w:val="center"/>
              <w:rPr>
                <w:rFonts w:hint="eastAsia" w:ascii="宋体" w:hAnsi="宋体"/>
                <w:sz w:val="24"/>
              </w:rPr>
            </w:pPr>
            <w:r>
              <w:rPr>
                <w:rFonts w:hint="eastAsia" w:ascii="宋体" w:hAnsi="宋体"/>
                <w:sz w:val="24"/>
              </w:rPr>
              <w:t>包号</w:t>
            </w:r>
          </w:p>
        </w:tc>
        <w:tc>
          <w:tcPr>
            <w:tcW w:w="2381" w:type="dxa"/>
            <w:vAlign w:val="center"/>
          </w:tcPr>
          <w:p w14:paraId="5F710CA3">
            <w:pPr>
              <w:jc w:val="center"/>
              <w:rPr>
                <w:rFonts w:hint="eastAsia" w:ascii="宋体" w:hAnsi="宋体"/>
                <w:sz w:val="24"/>
              </w:rPr>
            </w:pPr>
            <w:r>
              <w:rPr>
                <w:rFonts w:ascii="宋体" w:hAnsi="宋体"/>
                <w:sz w:val="24"/>
              </w:rPr>
              <w:t>标的名称</w:t>
            </w:r>
          </w:p>
        </w:tc>
        <w:tc>
          <w:tcPr>
            <w:tcW w:w="1588" w:type="dxa"/>
            <w:vAlign w:val="center"/>
          </w:tcPr>
          <w:p w14:paraId="0EFEB9E9">
            <w:pPr>
              <w:jc w:val="center"/>
              <w:rPr>
                <w:rFonts w:hint="eastAsia" w:ascii="宋体" w:hAnsi="宋体"/>
                <w:sz w:val="24"/>
              </w:rPr>
            </w:pPr>
            <w:r>
              <w:rPr>
                <w:rFonts w:ascii="宋体" w:hAnsi="宋体"/>
                <w:sz w:val="24"/>
              </w:rPr>
              <w:t>采购包预算金额（万元）</w:t>
            </w:r>
          </w:p>
        </w:tc>
        <w:tc>
          <w:tcPr>
            <w:tcW w:w="850" w:type="dxa"/>
            <w:vAlign w:val="center"/>
          </w:tcPr>
          <w:p w14:paraId="5D2EDA50">
            <w:pPr>
              <w:jc w:val="center"/>
              <w:rPr>
                <w:rFonts w:hint="eastAsia" w:ascii="宋体" w:hAnsi="宋体"/>
                <w:sz w:val="24"/>
              </w:rPr>
            </w:pPr>
            <w:r>
              <w:rPr>
                <w:rFonts w:ascii="宋体" w:hAnsi="宋体"/>
                <w:sz w:val="24"/>
              </w:rPr>
              <w:t>数量</w:t>
            </w:r>
          </w:p>
        </w:tc>
        <w:tc>
          <w:tcPr>
            <w:tcW w:w="3346" w:type="dxa"/>
            <w:vAlign w:val="center"/>
          </w:tcPr>
          <w:p w14:paraId="697A1184">
            <w:pPr>
              <w:jc w:val="center"/>
              <w:rPr>
                <w:rFonts w:hint="eastAsia" w:ascii="宋体" w:hAnsi="宋体"/>
                <w:sz w:val="24"/>
              </w:rPr>
            </w:pPr>
            <w:r>
              <w:rPr>
                <w:rFonts w:ascii="宋体" w:hAnsi="宋体"/>
                <w:sz w:val="24"/>
              </w:rPr>
              <w:t>简要技术需求或服务要求</w:t>
            </w:r>
          </w:p>
        </w:tc>
      </w:tr>
      <w:tr w14:paraId="57892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46" w:type="dxa"/>
            <w:vAlign w:val="center"/>
          </w:tcPr>
          <w:p w14:paraId="7032A6AB">
            <w:pPr>
              <w:jc w:val="center"/>
              <w:rPr>
                <w:rFonts w:hint="eastAsia" w:ascii="宋体" w:hAnsi="宋体"/>
                <w:sz w:val="24"/>
              </w:rPr>
            </w:pPr>
            <w:r>
              <w:rPr>
                <w:rFonts w:hint="eastAsia" w:ascii="宋体" w:hAnsi="宋体"/>
                <w:sz w:val="24"/>
              </w:rPr>
              <w:t>1</w:t>
            </w:r>
          </w:p>
        </w:tc>
        <w:tc>
          <w:tcPr>
            <w:tcW w:w="2381" w:type="dxa"/>
            <w:vAlign w:val="center"/>
          </w:tcPr>
          <w:p w14:paraId="6230E76E">
            <w:pPr>
              <w:jc w:val="left"/>
              <w:rPr>
                <w:rFonts w:hint="eastAsia" w:ascii="宋体" w:hAnsi="宋体"/>
                <w:sz w:val="24"/>
              </w:rPr>
            </w:pPr>
            <w:r>
              <w:rPr>
                <w:rFonts w:hint="eastAsia" w:ascii="宋体" w:hAnsi="宋体"/>
                <w:sz w:val="24"/>
              </w:rPr>
              <w:t>颐和园园内水电及基础设施维修（第一标段：配电设备设施</w:t>
            </w:r>
            <w:r>
              <w:rPr>
                <w:rFonts w:hint="eastAsia" w:ascii="宋体" w:hAnsi="宋体"/>
                <w:sz w:val="24"/>
                <w:lang w:eastAsia="zh-CN"/>
              </w:rPr>
              <w:t>运维</w:t>
            </w:r>
            <w:r>
              <w:rPr>
                <w:rFonts w:hint="eastAsia" w:ascii="宋体" w:hAnsi="宋体"/>
                <w:sz w:val="24"/>
              </w:rPr>
              <w:t>）</w:t>
            </w:r>
          </w:p>
        </w:tc>
        <w:tc>
          <w:tcPr>
            <w:tcW w:w="1588" w:type="dxa"/>
            <w:vAlign w:val="center"/>
          </w:tcPr>
          <w:p w14:paraId="092B43CD">
            <w:pPr>
              <w:jc w:val="center"/>
              <w:rPr>
                <w:rFonts w:hint="eastAsia" w:ascii="宋体" w:hAnsi="宋体"/>
                <w:sz w:val="24"/>
              </w:rPr>
            </w:pPr>
            <w:r>
              <w:rPr>
                <w:rFonts w:hint="eastAsia" w:ascii="宋体" w:hAnsi="宋体"/>
                <w:sz w:val="24"/>
              </w:rPr>
              <w:t>148.65</w:t>
            </w:r>
          </w:p>
        </w:tc>
        <w:tc>
          <w:tcPr>
            <w:tcW w:w="850" w:type="dxa"/>
            <w:vAlign w:val="center"/>
          </w:tcPr>
          <w:p w14:paraId="5BD4C4F8">
            <w:pPr>
              <w:jc w:val="center"/>
              <w:rPr>
                <w:rFonts w:hint="eastAsia" w:ascii="宋体" w:hAnsi="宋体"/>
                <w:sz w:val="24"/>
              </w:rPr>
            </w:pPr>
            <w:r>
              <w:rPr>
                <w:rFonts w:ascii="宋体" w:hAnsi="宋体"/>
                <w:sz w:val="24"/>
              </w:rPr>
              <w:t>1</w:t>
            </w:r>
          </w:p>
        </w:tc>
        <w:tc>
          <w:tcPr>
            <w:tcW w:w="3346" w:type="dxa"/>
            <w:vAlign w:val="center"/>
          </w:tcPr>
          <w:p w14:paraId="0C955276">
            <w:pPr>
              <w:spacing w:line="360" w:lineRule="auto"/>
              <w:rPr>
                <w:rFonts w:hint="eastAsia" w:ascii="宋体" w:hAnsi="宋体"/>
                <w:sz w:val="24"/>
              </w:rPr>
            </w:pPr>
            <w:r>
              <w:rPr>
                <w:rFonts w:hint="eastAsia" w:ascii="宋体" w:hAnsi="宋体"/>
                <w:sz w:val="24"/>
              </w:rPr>
              <w:t>颐和园范围内配电设备设施日常维修、三处高压配电室及十处高压箱式变压器春秋两次清扫维护、综合楼配电室24小时巡检值守、云松巢配电室白天8小时巡检值守以及全园低压供电24小时电工巡检值守和任务保障等，具体内容见清单。</w:t>
            </w:r>
          </w:p>
        </w:tc>
      </w:tr>
      <w:tr w14:paraId="789DA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846" w:type="dxa"/>
            <w:vAlign w:val="center"/>
          </w:tcPr>
          <w:p w14:paraId="44F857D2">
            <w:pPr>
              <w:jc w:val="center"/>
              <w:rPr>
                <w:rFonts w:hint="eastAsia" w:ascii="宋体" w:hAnsi="宋体"/>
                <w:sz w:val="24"/>
              </w:rPr>
            </w:pPr>
            <w:r>
              <w:rPr>
                <w:rFonts w:hint="eastAsia" w:ascii="宋体" w:hAnsi="宋体"/>
                <w:sz w:val="24"/>
              </w:rPr>
              <w:t>2</w:t>
            </w:r>
          </w:p>
        </w:tc>
        <w:tc>
          <w:tcPr>
            <w:tcW w:w="2381" w:type="dxa"/>
            <w:vAlign w:val="center"/>
          </w:tcPr>
          <w:p w14:paraId="064DF30D">
            <w:pPr>
              <w:jc w:val="left"/>
              <w:rPr>
                <w:rFonts w:hint="eastAsia" w:ascii="宋体" w:hAnsi="宋体"/>
                <w:sz w:val="24"/>
              </w:rPr>
            </w:pPr>
            <w:r>
              <w:rPr>
                <w:rFonts w:hint="eastAsia" w:ascii="宋体" w:hAnsi="宋体"/>
                <w:sz w:val="24"/>
              </w:rPr>
              <w:t>颐和园园内水电及基础设施维修（第二标段：上下水设施、管线维护维修）</w:t>
            </w:r>
          </w:p>
        </w:tc>
        <w:tc>
          <w:tcPr>
            <w:tcW w:w="1588" w:type="dxa"/>
            <w:vAlign w:val="center"/>
          </w:tcPr>
          <w:p w14:paraId="7771F271">
            <w:pPr>
              <w:jc w:val="center"/>
              <w:rPr>
                <w:rFonts w:hint="eastAsia" w:ascii="宋体" w:hAnsi="宋体"/>
                <w:sz w:val="24"/>
              </w:rPr>
            </w:pPr>
            <w:r>
              <w:rPr>
                <w:rFonts w:hint="eastAsia" w:ascii="宋体" w:hAnsi="宋体"/>
                <w:sz w:val="24"/>
              </w:rPr>
              <w:t>79.2</w:t>
            </w:r>
          </w:p>
        </w:tc>
        <w:tc>
          <w:tcPr>
            <w:tcW w:w="850" w:type="dxa"/>
            <w:vAlign w:val="center"/>
          </w:tcPr>
          <w:p w14:paraId="696EC625">
            <w:pPr>
              <w:jc w:val="center"/>
              <w:rPr>
                <w:rFonts w:hint="eastAsia" w:ascii="宋体" w:hAnsi="宋体"/>
                <w:sz w:val="24"/>
              </w:rPr>
            </w:pPr>
            <w:r>
              <w:rPr>
                <w:rFonts w:hint="eastAsia" w:ascii="宋体" w:hAnsi="宋体"/>
                <w:sz w:val="24"/>
              </w:rPr>
              <w:t>1</w:t>
            </w:r>
          </w:p>
        </w:tc>
        <w:tc>
          <w:tcPr>
            <w:tcW w:w="3346" w:type="dxa"/>
            <w:vAlign w:val="center"/>
          </w:tcPr>
          <w:p w14:paraId="59B46543">
            <w:pPr>
              <w:spacing w:line="360" w:lineRule="auto"/>
              <w:rPr>
                <w:rFonts w:hint="eastAsia" w:ascii="宋体" w:hAnsi="宋体"/>
                <w:sz w:val="24"/>
              </w:rPr>
            </w:pPr>
            <w:r>
              <w:rPr>
                <w:rFonts w:hint="eastAsia" w:ascii="宋体" w:hAnsi="宋体"/>
                <w:sz w:val="24"/>
              </w:rPr>
              <w:t>颐和园范围内上下水设施、管线日常零项维修，具体内容见清单。</w:t>
            </w:r>
          </w:p>
        </w:tc>
      </w:tr>
      <w:tr w14:paraId="6CC40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846" w:type="dxa"/>
            <w:vAlign w:val="center"/>
          </w:tcPr>
          <w:p w14:paraId="52A15E2A">
            <w:pPr>
              <w:jc w:val="center"/>
              <w:rPr>
                <w:rFonts w:hint="eastAsia" w:ascii="宋体" w:hAnsi="宋体"/>
                <w:sz w:val="24"/>
              </w:rPr>
            </w:pPr>
            <w:r>
              <w:rPr>
                <w:rFonts w:hint="eastAsia" w:ascii="宋体" w:hAnsi="宋体"/>
                <w:sz w:val="24"/>
              </w:rPr>
              <w:t>3</w:t>
            </w:r>
          </w:p>
        </w:tc>
        <w:tc>
          <w:tcPr>
            <w:tcW w:w="2381" w:type="dxa"/>
            <w:vAlign w:val="center"/>
          </w:tcPr>
          <w:p w14:paraId="13A64CC0">
            <w:pPr>
              <w:jc w:val="left"/>
              <w:rPr>
                <w:rFonts w:hint="eastAsia" w:ascii="宋体" w:hAnsi="宋体"/>
                <w:sz w:val="24"/>
              </w:rPr>
            </w:pPr>
            <w:r>
              <w:rPr>
                <w:rFonts w:hint="eastAsia" w:ascii="宋体" w:hAnsi="宋体"/>
                <w:sz w:val="24"/>
              </w:rPr>
              <w:t>颐和园园内水电及基础设施维修（第三标段：基础设施维修）</w:t>
            </w:r>
          </w:p>
        </w:tc>
        <w:tc>
          <w:tcPr>
            <w:tcW w:w="1588" w:type="dxa"/>
            <w:vAlign w:val="center"/>
          </w:tcPr>
          <w:p w14:paraId="6DDB0CE8">
            <w:pPr>
              <w:jc w:val="center"/>
              <w:rPr>
                <w:rFonts w:hint="eastAsia" w:ascii="宋体" w:hAnsi="宋体"/>
                <w:sz w:val="24"/>
              </w:rPr>
            </w:pPr>
            <w:r>
              <w:rPr>
                <w:rFonts w:hint="eastAsia" w:ascii="宋体" w:hAnsi="宋体"/>
                <w:sz w:val="24"/>
              </w:rPr>
              <w:t>89.1</w:t>
            </w:r>
          </w:p>
        </w:tc>
        <w:tc>
          <w:tcPr>
            <w:tcW w:w="850" w:type="dxa"/>
            <w:vAlign w:val="center"/>
          </w:tcPr>
          <w:p w14:paraId="078B121A">
            <w:pPr>
              <w:jc w:val="center"/>
              <w:rPr>
                <w:rFonts w:hint="eastAsia" w:ascii="宋体" w:hAnsi="宋体"/>
                <w:sz w:val="24"/>
              </w:rPr>
            </w:pPr>
            <w:r>
              <w:rPr>
                <w:rFonts w:hint="eastAsia" w:ascii="宋体" w:hAnsi="宋体"/>
                <w:sz w:val="24"/>
              </w:rPr>
              <w:t>1</w:t>
            </w:r>
          </w:p>
        </w:tc>
        <w:tc>
          <w:tcPr>
            <w:tcW w:w="3346" w:type="dxa"/>
            <w:vAlign w:val="center"/>
          </w:tcPr>
          <w:p w14:paraId="7D421F9F">
            <w:pPr>
              <w:spacing w:line="360" w:lineRule="auto"/>
              <w:rPr>
                <w:rFonts w:hint="eastAsia" w:ascii="宋体" w:hAnsi="宋体"/>
                <w:sz w:val="24"/>
              </w:rPr>
            </w:pPr>
            <w:r>
              <w:rPr>
                <w:rFonts w:hint="eastAsia" w:ascii="宋体" w:hAnsi="宋体"/>
                <w:sz w:val="24"/>
              </w:rPr>
              <w:t>颐和园范围内非古建类房屋等基础设施类维修，具体内容见清单。</w:t>
            </w:r>
          </w:p>
        </w:tc>
      </w:tr>
    </w:tbl>
    <w:p w14:paraId="38840122">
      <w:pPr>
        <w:spacing w:line="360" w:lineRule="auto"/>
        <w:rPr>
          <w:sz w:val="24"/>
        </w:rPr>
      </w:pPr>
      <w:r>
        <w:rPr>
          <w:rFonts w:hint="eastAsia"/>
          <w:sz w:val="24"/>
        </w:rPr>
        <w:t>1.2 项目背景/项目概述（如有）</w:t>
      </w:r>
    </w:p>
    <w:p w14:paraId="3B2C411B">
      <w:pPr>
        <w:spacing w:line="360" w:lineRule="auto"/>
        <w:ind w:firstLine="480" w:firstLineChars="200"/>
        <w:rPr>
          <w:sz w:val="24"/>
        </w:rPr>
      </w:pPr>
      <w:bookmarkStart w:id="670" w:name="_Hlk213838748"/>
      <w:r>
        <w:rPr>
          <w:rFonts w:hint="eastAsia"/>
          <w:sz w:val="24"/>
        </w:rPr>
        <w:t>颐和园共有三处高压配电室及十处箱式变压器、低压配电箱700余处，上下水管线总长超40KM，其中电路设备自建成已运行20余年，水路自建成已运行50余年，部分设备老化严重，日常的维护维修是支撑全园每日正常生产秩序运行所必需的工作，将及时响应各科队报修，确保水电及新建房屋设施正常运行，保障游客及园内职工平稳安全的工作游览秩序。采购要求：水电及基础设施维修质量均为合格，乙方单位需在报修24小时内进行相应，维修的同时需保障园内基本游览秩序，服从甲方人员管理。</w:t>
      </w:r>
    </w:p>
    <w:bookmarkEnd w:id="670"/>
    <w:p w14:paraId="2BCA74CA">
      <w:pPr>
        <w:spacing w:line="360" w:lineRule="auto"/>
        <w:rPr>
          <w:sz w:val="24"/>
        </w:rPr>
      </w:pPr>
    </w:p>
    <w:p w14:paraId="10EF23E8">
      <w:pPr>
        <w:spacing w:line="360" w:lineRule="auto"/>
        <w:rPr>
          <w:sz w:val="24"/>
        </w:rPr>
      </w:pPr>
      <w:r>
        <w:rPr>
          <w:rFonts w:hint="eastAsia"/>
          <w:sz w:val="24"/>
        </w:rPr>
        <w:t>二、商务要求</w:t>
      </w:r>
    </w:p>
    <w:p w14:paraId="41412970">
      <w:pPr>
        <w:spacing w:line="360" w:lineRule="auto"/>
        <w:rPr>
          <w:sz w:val="24"/>
        </w:rPr>
      </w:pPr>
      <w:bookmarkStart w:id="671" w:name="_Hlk213838098"/>
      <w:r>
        <w:rPr>
          <w:rFonts w:hint="eastAsia"/>
          <w:sz w:val="24"/>
        </w:rPr>
        <w:t>2.1 合同签订期和地点（范围）</w:t>
      </w:r>
    </w:p>
    <w:p w14:paraId="7BDF8354">
      <w:pPr>
        <w:spacing w:line="360" w:lineRule="auto"/>
        <w:ind w:firstLine="480" w:firstLineChars="200"/>
        <w:rPr>
          <w:sz w:val="24"/>
        </w:rPr>
      </w:pPr>
      <w:r>
        <w:rPr>
          <w:rFonts w:hint="eastAsia"/>
          <w:sz w:val="24"/>
        </w:rPr>
        <w:t>合同签订期：</w:t>
      </w:r>
      <w:r>
        <w:rPr>
          <w:rFonts w:hint="eastAsia"/>
          <w:sz w:val="24"/>
          <w:u w:val="single"/>
        </w:rPr>
        <w:t xml:space="preserve"> 成交通知书发出之日起 30 日内签订合同  </w:t>
      </w:r>
      <w:r>
        <w:rPr>
          <w:rFonts w:hint="eastAsia"/>
          <w:sz w:val="24"/>
        </w:rPr>
        <w:t>。</w:t>
      </w:r>
    </w:p>
    <w:p w14:paraId="48BE1EF5">
      <w:pPr>
        <w:spacing w:line="360" w:lineRule="auto"/>
        <w:ind w:firstLine="480" w:firstLineChars="200"/>
        <w:rPr>
          <w:sz w:val="24"/>
        </w:rPr>
      </w:pPr>
      <w:r>
        <w:rPr>
          <w:rFonts w:hint="eastAsia"/>
          <w:sz w:val="24"/>
        </w:rPr>
        <w:t>合同签订地点：</w:t>
      </w:r>
      <w:r>
        <w:rPr>
          <w:rFonts w:hint="eastAsia"/>
          <w:sz w:val="24"/>
          <w:u w:val="single"/>
        </w:rPr>
        <w:t xml:space="preserve">北京市颐和园管理处  </w:t>
      </w:r>
      <w:r>
        <w:rPr>
          <w:rFonts w:hint="eastAsia"/>
          <w:sz w:val="24"/>
        </w:rPr>
        <w:t>。</w:t>
      </w:r>
    </w:p>
    <w:p w14:paraId="40B67725">
      <w:pPr>
        <w:spacing w:line="360" w:lineRule="auto"/>
        <w:rPr>
          <w:sz w:val="24"/>
        </w:rPr>
      </w:pPr>
      <w:r>
        <w:rPr>
          <w:rFonts w:hint="eastAsia"/>
          <w:sz w:val="24"/>
        </w:rPr>
        <w:t>2.2 合同工期：</w:t>
      </w:r>
      <w:r>
        <w:rPr>
          <w:rFonts w:hint="eastAsia"/>
          <w:sz w:val="24"/>
          <w:u w:val="single"/>
        </w:rPr>
        <w:t xml:space="preserve"> 365日历天 </w:t>
      </w:r>
      <w:r>
        <w:rPr>
          <w:rFonts w:hint="eastAsia"/>
          <w:sz w:val="24"/>
        </w:rPr>
        <w:t>。</w:t>
      </w:r>
    </w:p>
    <w:p w14:paraId="33058DA0">
      <w:pPr>
        <w:spacing w:line="360" w:lineRule="auto"/>
        <w:rPr>
          <w:sz w:val="24"/>
        </w:rPr>
      </w:pPr>
      <w:r>
        <w:rPr>
          <w:rFonts w:hint="eastAsia"/>
          <w:sz w:val="24"/>
        </w:rPr>
        <w:t>2.3 付款条件（进度和方式）：</w:t>
      </w:r>
      <w:r>
        <w:rPr>
          <w:rFonts w:hint="eastAsia"/>
          <w:sz w:val="24"/>
          <w:u w:val="single"/>
        </w:rPr>
        <w:t xml:space="preserve"> </w:t>
      </w:r>
      <w:bookmarkStart w:id="672" w:name="_Hlk182211203"/>
      <w:r>
        <w:rPr>
          <w:rFonts w:hint="eastAsia"/>
          <w:sz w:val="24"/>
          <w:u w:val="single"/>
        </w:rPr>
        <w:t>详见第五章 合同条款</w:t>
      </w:r>
      <w:bookmarkEnd w:id="672"/>
      <w:r>
        <w:rPr>
          <w:rFonts w:hint="eastAsia"/>
          <w:sz w:val="24"/>
          <w:u w:val="single"/>
        </w:rPr>
        <w:t xml:space="preserve">  </w:t>
      </w:r>
      <w:r>
        <w:rPr>
          <w:rFonts w:hint="eastAsia"/>
          <w:sz w:val="24"/>
        </w:rPr>
        <w:t>。</w:t>
      </w:r>
    </w:p>
    <w:bookmarkEnd w:id="671"/>
    <w:p w14:paraId="7716FC07">
      <w:pPr>
        <w:spacing w:line="360" w:lineRule="auto"/>
        <w:rPr>
          <w:sz w:val="24"/>
        </w:rPr>
      </w:pPr>
    </w:p>
    <w:p w14:paraId="47CF8EA1">
      <w:pPr>
        <w:spacing w:line="360" w:lineRule="auto"/>
        <w:rPr>
          <w:sz w:val="24"/>
        </w:rPr>
      </w:pPr>
      <w:r>
        <w:rPr>
          <w:rFonts w:hint="eastAsia"/>
          <w:sz w:val="24"/>
        </w:rPr>
        <w:t>三、技术要求：</w:t>
      </w:r>
    </w:p>
    <w:p w14:paraId="009F9A86">
      <w:pPr>
        <w:spacing w:line="360" w:lineRule="auto"/>
        <w:jc w:val="center"/>
        <w:rPr>
          <w:b/>
          <w:bCs/>
          <w:sz w:val="24"/>
        </w:rPr>
      </w:pPr>
      <w:r>
        <w:rPr>
          <w:rFonts w:hint="eastAsia"/>
          <w:b/>
          <w:bCs/>
          <w:sz w:val="24"/>
        </w:rPr>
        <w:t>颐和园园内水电及基础设施维修（第一标段：</w:t>
      </w:r>
      <w:r>
        <w:rPr>
          <w:rFonts w:hint="eastAsia"/>
          <w:b/>
          <w:bCs/>
          <w:color w:val="FF0000"/>
          <w:sz w:val="24"/>
        </w:rPr>
        <w:t>配电设备设施</w:t>
      </w:r>
      <w:r>
        <w:rPr>
          <w:rFonts w:hint="eastAsia"/>
          <w:b/>
          <w:bCs/>
          <w:color w:val="FF0000"/>
          <w:sz w:val="24"/>
          <w:lang w:eastAsia="zh-CN"/>
        </w:rPr>
        <w:t>运维</w:t>
      </w:r>
      <w:r>
        <w:rPr>
          <w:rFonts w:hint="eastAsia"/>
          <w:b/>
          <w:bCs/>
          <w:sz w:val="24"/>
        </w:rPr>
        <w:t xml:space="preserve">） </w:t>
      </w:r>
    </w:p>
    <w:p w14:paraId="05F7A69A">
      <w:pPr>
        <w:spacing w:line="360" w:lineRule="auto"/>
        <w:rPr>
          <w:sz w:val="24"/>
        </w:rPr>
      </w:pPr>
      <w:r>
        <w:rPr>
          <w:rFonts w:hint="eastAsia"/>
          <w:sz w:val="24"/>
        </w:rPr>
        <w:t>一、工程内容</w:t>
      </w:r>
    </w:p>
    <w:p w14:paraId="08BF23F6">
      <w:pPr>
        <w:spacing w:line="360" w:lineRule="auto"/>
        <w:rPr>
          <w:sz w:val="24"/>
        </w:rPr>
      </w:pPr>
      <w:r>
        <w:rPr>
          <w:rFonts w:hint="eastAsia"/>
          <w:sz w:val="24"/>
        </w:rPr>
        <w:t>1、颐和园范围内配电设备设施日常零项维修，具体内容见清单。</w:t>
      </w:r>
      <w:r>
        <w:rPr>
          <w:sz w:val="24"/>
        </w:rPr>
        <w:t xml:space="preserve"> </w:t>
      </w:r>
    </w:p>
    <w:p w14:paraId="27D35451">
      <w:pPr>
        <w:spacing w:line="360" w:lineRule="auto"/>
        <w:rPr>
          <w:sz w:val="24"/>
        </w:rPr>
      </w:pPr>
      <w:r>
        <w:rPr>
          <w:rFonts w:hint="eastAsia"/>
          <w:sz w:val="24"/>
        </w:rPr>
        <w:t>2、工程质量达到合格标准。</w:t>
      </w:r>
    </w:p>
    <w:p w14:paraId="7156679E">
      <w:pPr>
        <w:spacing w:line="360" w:lineRule="auto"/>
        <w:rPr>
          <w:sz w:val="24"/>
        </w:rPr>
      </w:pPr>
      <w:bookmarkStart w:id="673" w:name="_Hlk213839358"/>
      <w:r>
        <w:rPr>
          <w:rFonts w:hint="eastAsia"/>
          <w:sz w:val="24"/>
        </w:rPr>
        <w:t>3、</w:t>
      </w:r>
      <w:r>
        <w:rPr>
          <w:rFonts w:hint="eastAsia" w:ascii="宋体" w:hAnsi="宋体"/>
          <w:color w:val="000000"/>
          <w:sz w:val="24"/>
        </w:rPr>
        <w:t>施工现场安全生产标准化管理目标等级：</w:t>
      </w:r>
      <w:r>
        <w:rPr>
          <w:rFonts w:hint="eastAsia" w:ascii="宋体" w:hAnsi="宋体"/>
          <w:color w:val="000000"/>
          <w:sz w:val="24"/>
          <w:u w:val="single"/>
        </w:rPr>
        <w:t>达标。</w:t>
      </w:r>
      <w:bookmarkEnd w:id="673"/>
    </w:p>
    <w:p w14:paraId="1AD213A8">
      <w:pPr>
        <w:spacing w:line="360" w:lineRule="auto"/>
        <w:rPr>
          <w:sz w:val="24"/>
        </w:rPr>
      </w:pPr>
      <w:r>
        <w:rPr>
          <w:rFonts w:hint="eastAsia"/>
          <w:sz w:val="24"/>
        </w:rPr>
        <w:t>二、施工工期</w:t>
      </w:r>
    </w:p>
    <w:p w14:paraId="0848E63B">
      <w:pPr>
        <w:spacing w:line="360" w:lineRule="auto"/>
        <w:ind w:firstLine="480" w:firstLineChars="200"/>
        <w:jc w:val="left"/>
        <w:rPr>
          <w:rFonts w:hint="eastAsia" w:ascii="宋体" w:hAnsi="宋体"/>
          <w:color w:val="000000"/>
          <w:sz w:val="24"/>
        </w:rPr>
      </w:pPr>
      <w:bookmarkStart w:id="674" w:name="_Hlk182211264"/>
      <w:bookmarkStart w:id="675" w:name="_Hlk213838109"/>
      <w:r>
        <w:rPr>
          <w:rFonts w:hint="eastAsia" w:ascii="宋体" w:hAnsi="宋体"/>
          <w:color w:val="000000"/>
          <w:sz w:val="24"/>
        </w:rPr>
        <w:t>施工工期为</w:t>
      </w:r>
      <w:r>
        <w:rPr>
          <w:rFonts w:hint="eastAsia" w:ascii="宋体" w:hAnsi="宋体"/>
          <w:color w:val="000000"/>
          <w:sz w:val="24"/>
          <w:u w:val="single"/>
        </w:rPr>
        <w:t xml:space="preserve">  365  </w:t>
      </w:r>
      <w:r>
        <w:rPr>
          <w:rFonts w:hint="eastAsia" w:ascii="宋体" w:hAnsi="宋体"/>
          <w:color w:val="000000"/>
          <w:sz w:val="24"/>
        </w:rPr>
        <w:t>日历天，开工日期为</w:t>
      </w:r>
      <w:r>
        <w:rPr>
          <w:rFonts w:hint="eastAsia" w:ascii="宋体" w:hAnsi="宋体"/>
          <w:color w:val="000000"/>
          <w:sz w:val="24"/>
          <w:u w:val="single"/>
        </w:rPr>
        <w:t xml:space="preserve"> 2026 </w:t>
      </w:r>
      <w:r>
        <w:rPr>
          <w:rFonts w:hint="eastAsia" w:ascii="宋体" w:hAnsi="宋体"/>
          <w:color w:val="000000"/>
          <w:sz w:val="24"/>
        </w:rPr>
        <w:t>年</w:t>
      </w:r>
      <w:r>
        <w:rPr>
          <w:rFonts w:hint="eastAsia" w:ascii="宋体" w:hAnsi="宋体"/>
          <w:color w:val="000000"/>
          <w:sz w:val="24"/>
          <w:u w:val="single"/>
        </w:rPr>
        <w:t xml:space="preserve">  1 </w:t>
      </w:r>
      <w:r>
        <w:rPr>
          <w:rFonts w:hint="eastAsia" w:ascii="宋体" w:hAnsi="宋体"/>
          <w:color w:val="000000"/>
          <w:sz w:val="24"/>
        </w:rPr>
        <w:t>月</w:t>
      </w:r>
      <w:r>
        <w:rPr>
          <w:rFonts w:hint="eastAsia" w:ascii="宋体" w:hAnsi="宋体"/>
          <w:color w:val="000000"/>
          <w:sz w:val="24"/>
          <w:u w:val="single"/>
        </w:rPr>
        <w:t xml:space="preserve">  1  </w:t>
      </w:r>
      <w:r>
        <w:rPr>
          <w:rFonts w:hint="eastAsia" w:ascii="宋体" w:hAnsi="宋体"/>
          <w:color w:val="000000"/>
          <w:sz w:val="24"/>
        </w:rPr>
        <w:t>日，竣工日期为</w:t>
      </w:r>
      <w:r>
        <w:rPr>
          <w:rFonts w:hint="eastAsia" w:ascii="宋体" w:hAnsi="宋体"/>
          <w:color w:val="000000"/>
          <w:sz w:val="24"/>
          <w:u w:val="single"/>
        </w:rPr>
        <w:t xml:space="preserve"> 2026    </w:t>
      </w:r>
      <w:r>
        <w:rPr>
          <w:rFonts w:hint="eastAsia" w:ascii="宋体" w:hAnsi="宋体"/>
          <w:color w:val="000000"/>
          <w:sz w:val="24"/>
        </w:rPr>
        <w:t>年</w:t>
      </w:r>
      <w:r>
        <w:rPr>
          <w:rFonts w:hint="eastAsia" w:ascii="宋体" w:hAnsi="宋体"/>
          <w:color w:val="000000"/>
          <w:sz w:val="24"/>
          <w:u w:val="single"/>
        </w:rPr>
        <w:t xml:space="preserve">  12  </w:t>
      </w:r>
      <w:r>
        <w:rPr>
          <w:rFonts w:hint="eastAsia" w:ascii="宋体" w:hAnsi="宋体"/>
          <w:color w:val="000000"/>
          <w:sz w:val="24"/>
        </w:rPr>
        <w:t>月</w:t>
      </w:r>
      <w:r>
        <w:rPr>
          <w:rFonts w:hint="eastAsia" w:ascii="宋体" w:hAnsi="宋体"/>
          <w:color w:val="000000"/>
          <w:sz w:val="24"/>
          <w:u w:val="single"/>
        </w:rPr>
        <w:t xml:space="preserve">  31  </w:t>
      </w:r>
      <w:r>
        <w:rPr>
          <w:rFonts w:hint="eastAsia" w:ascii="宋体" w:hAnsi="宋体"/>
          <w:color w:val="000000"/>
          <w:sz w:val="24"/>
        </w:rPr>
        <w:t>日</w:t>
      </w:r>
      <w:bookmarkEnd w:id="674"/>
      <w:r>
        <w:rPr>
          <w:rFonts w:hint="eastAsia"/>
          <w:sz w:val="24"/>
        </w:rPr>
        <w:t>。</w:t>
      </w:r>
    </w:p>
    <w:bookmarkEnd w:id="675"/>
    <w:p w14:paraId="6FB522DF">
      <w:pPr>
        <w:spacing w:line="360" w:lineRule="auto"/>
        <w:rPr>
          <w:sz w:val="24"/>
        </w:rPr>
      </w:pPr>
      <w:r>
        <w:rPr>
          <w:rFonts w:hint="eastAsia"/>
          <w:sz w:val="24"/>
        </w:rPr>
        <w:t>三、质量目标及质量保证措施</w:t>
      </w:r>
    </w:p>
    <w:p w14:paraId="1307C31E">
      <w:pPr>
        <w:spacing w:line="360" w:lineRule="auto"/>
        <w:ind w:firstLine="480" w:firstLineChars="200"/>
        <w:rPr>
          <w:sz w:val="24"/>
        </w:rPr>
      </w:pPr>
      <w:r>
        <w:rPr>
          <w:rFonts w:hint="eastAsia"/>
          <w:sz w:val="24"/>
        </w:rPr>
        <w:t>本工程质量目标一次检验合格率 100%，分部工程优质率 95%以上，整体工程质量符合建筑施工及有关施工规范，建立质量管理体系，将每个环节落实到人，建立质量目标责任制，做好技术交底、质量标准、施工工艺、质量保证措施，根据公园要求及工程量确定施工计划。</w:t>
      </w:r>
    </w:p>
    <w:p w14:paraId="2BD5245A">
      <w:pPr>
        <w:spacing w:line="360" w:lineRule="auto"/>
        <w:ind w:firstLine="480" w:firstLineChars="200"/>
        <w:rPr>
          <w:sz w:val="24"/>
        </w:rPr>
      </w:pPr>
      <w:r>
        <w:rPr>
          <w:rFonts w:hint="eastAsia"/>
          <w:sz w:val="24"/>
        </w:rPr>
        <w:t>每道工序完成后进行全部检查，经验收合格后方可进行下一道工序。</w:t>
      </w:r>
    </w:p>
    <w:p w14:paraId="2AE04AFE">
      <w:pPr>
        <w:spacing w:line="360" w:lineRule="auto"/>
        <w:ind w:firstLine="480" w:firstLineChars="200"/>
        <w:rPr>
          <w:sz w:val="24"/>
        </w:rPr>
      </w:pPr>
      <w:r>
        <w:rPr>
          <w:rFonts w:hint="eastAsia"/>
          <w:sz w:val="24"/>
        </w:rPr>
        <w:t>加强材料进场检验，严把质量检验关，坚决杜绝不合格产品使用，坚决杜绝含有放射物质使用，坚决杜绝以次充好未达标产品使用。</w:t>
      </w:r>
    </w:p>
    <w:p w14:paraId="79A9B1E2">
      <w:pPr>
        <w:spacing w:line="360" w:lineRule="auto"/>
        <w:rPr>
          <w:sz w:val="24"/>
        </w:rPr>
      </w:pPr>
      <w:r>
        <w:rPr>
          <w:rFonts w:hint="eastAsia"/>
          <w:sz w:val="24"/>
        </w:rPr>
        <w:t>四、安全管理</w:t>
      </w:r>
    </w:p>
    <w:p w14:paraId="7E1A3378">
      <w:pPr>
        <w:spacing w:line="360" w:lineRule="auto"/>
        <w:ind w:firstLine="480" w:firstLineChars="200"/>
        <w:rPr>
          <w:sz w:val="24"/>
        </w:rPr>
      </w:pPr>
      <w:r>
        <w:rPr>
          <w:rFonts w:hint="eastAsia"/>
          <w:sz w:val="24"/>
        </w:rPr>
        <w:t>在施工中始终贯彻“安全第一，预防为主”的安全生产工作方针。</w:t>
      </w:r>
    </w:p>
    <w:p w14:paraId="4E3572E9">
      <w:pPr>
        <w:spacing w:line="360" w:lineRule="auto"/>
        <w:ind w:firstLine="480" w:firstLineChars="200"/>
        <w:rPr>
          <w:sz w:val="24"/>
        </w:rPr>
      </w:pPr>
      <w:r>
        <w:rPr>
          <w:rFonts w:hint="eastAsia"/>
          <w:sz w:val="24"/>
        </w:rPr>
        <w:t>项目经理负总责，做好安全培训工作，认真执行国家建设关于建筑施工企业安全生产管理的各项规定，使安全与生产紧密结合，严防各类安全事故发生，以安全促生产强化安全管理。</w:t>
      </w:r>
    </w:p>
    <w:p w14:paraId="73863945">
      <w:pPr>
        <w:spacing w:line="360" w:lineRule="auto"/>
        <w:ind w:firstLine="480" w:firstLineChars="200"/>
        <w:rPr>
          <w:sz w:val="24"/>
        </w:rPr>
      </w:pPr>
      <w:r>
        <w:rPr>
          <w:rFonts w:hint="eastAsia"/>
          <w:sz w:val="24"/>
        </w:rPr>
        <w:t>组织落实责任到人，人人讲安全，定期检查，针对本工程制定安全防护责任制，贯彻落实安全生产方针，法规和各项安全制度，组织、设计好施工方案。</w:t>
      </w:r>
    </w:p>
    <w:p w14:paraId="7F500A18">
      <w:pPr>
        <w:spacing w:line="360" w:lineRule="auto"/>
        <w:rPr>
          <w:sz w:val="24"/>
        </w:rPr>
      </w:pPr>
      <w:r>
        <w:rPr>
          <w:rFonts w:hint="eastAsia"/>
          <w:sz w:val="24"/>
        </w:rPr>
        <w:t>五、项目预算</w:t>
      </w:r>
    </w:p>
    <w:p w14:paraId="3CA028A4">
      <w:pPr>
        <w:spacing w:line="360" w:lineRule="auto"/>
        <w:ind w:firstLine="480" w:firstLineChars="200"/>
        <w:rPr>
          <w:sz w:val="24"/>
        </w:rPr>
      </w:pPr>
      <w:r>
        <w:rPr>
          <w:rFonts w:hint="eastAsia"/>
          <w:sz w:val="24"/>
        </w:rPr>
        <w:t xml:space="preserve">项目预算（1包）： </w:t>
      </w:r>
      <w:r>
        <w:rPr>
          <w:sz w:val="24"/>
        </w:rPr>
        <w:t>148.65</w:t>
      </w:r>
      <w:r>
        <w:rPr>
          <w:rFonts w:hint="eastAsia"/>
          <w:sz w:val="24"/>
        </w:rPr>
        <w:t>万元。</w:t>
      </w:r>
    </w:p>
    <w:p w14:paraId="6743E109">
      <w:pPr>
        <w:spacing w:line="360" w:lineRule="auto"/>
        <w:rPr>
          <w:sz w:val="24"/>
        </w:rPr>
      </w:pPr>
      <w:r>
        <w:rPr>
          <w:rFonts w:hint="eastAsia"/>
          <w:sz w:val="24"/>
        </w:rPr>
        <w:t>六、工程质量保修期</w:t>
      </w:r>
    </w:p>
    <w:p w14:paraId="321CFEB9">
      <w:pPr>
        <w:spacing w:line="360" w:lineRule="auto"/>
        <w:ind w:firstLine="480" w:firstLineChars="200"/>
        <w:rPr>
          <w:sz w:val="24"/>
        </w:rPr>
      </w:pPr>
      <w:r>
        <w:rPr>
          <w:rFonts w:hint="eastAsia"/>
          <w:sz w:val="24"/>
        </w:rPr>
        <w:t>工程质量保修期限：</w:t>
      </w:r>
      <w:bookmarkStart w:id="676" w:name="_Hlk213838789"/>
      <w:bookmarkStart w:id="677" w:name="_Hlk213838123"/>
      <w:bookmarkStart w:id="678" w:name="_Hlk213838781"/>
      <w:r>
        <w:rPr>
          <w:rFonts w:hint="eastAsia"/>
          <w:sz w:val="24"/>
        </w:rPr>
        <w:t>通过竣工验收之日起24个月</w:t>
      </w:r>
      <w:bookmarkEnd w:id="676"/>
      <w:r>
        <w:rPr>
          <w:rFonts w:hint="eastAsia"/>
          <w:sz w:val="24"/>
        </w:rPr>
        <w:t>。</w:t>
      </w:r>
      <w:bookmarkEnd w:id="677"/>
    </w:p>
    <w:bookmarkEnd w:id="678"/>
    <w:p w14:paraId="1D64BAA1">
      <w:pPr>
        <w:spacing w:line="360" w:lineRule="auto"/>
        <w:rPr>
          <w:sz w:val="24"/>
        </w:rPr>
      </w:pPr>
    </w:p>
    <w:p w14:paraId="3C58678A">
      <w:pPr>
        <w:spacing w:line="360" w:lineRule="auto"/>
        <w:rPr>
          <w:sz w:val="24"/>
        </w:rPr>
      </w:pPr>
    </w:p>
    <w:p w14:paraId="2688E3B0">
      <w:pPr>
        <w:widowControl/>
        <w:jc w:val="left"/>
        <w:rPr>
          <w:sz w:val="24"/>
        </w:rPr>
      </w:pPr>
    </w:p>
    <w:p w14:paraId="6C93A682">
      <w:pPr>
        <w:spacing w:line="360" w:lineRule="auto"/>
        <w:rPr>
          <w:sz w:val="24"/>
        </w:rPr>
      </w:pPr>
    </w:p>
    <w:p w14:paraId="7767C5AE">
      <w:pPr>
        <w:spacing w:line="360" w:lineRule="auto"/>
        <w:rPr>
          <w:sz w:val="24"/>
        </w:rPr>
      </w:pPr>
    </w:p>
    <w:p w14:paraId="6317992C">
      <w:pPr>
        <w:pStyle w:val="71"/>
        <w:ind w:left="0" w:leftChars="0" w:firstLine="0" w:firstLineChars="0"/>
        <w:rPr>
          <w:lang w:val="en-US"/>
        </w:rPr>
      </w:pPr>
    </w:p>
    <w:p w14:paraId="1B5C1BA8">
      <w:pPr>
        <w:pStyle w:val="71"/>
        <w:ind w:left="0" w:leftChars="0" w:firstLine="0" w:firstLineChars="0"/>
        <w:rPr>
          <w:lang w:val="en-US"/>
        </w:rPr>
      </w:pPr>
    </w:p>
    <w:p w14:paraId="379DBA5F">
      <w:pPr>
        <w:spacing w:line="360" w:lineRule="auto"/>
        <w:ind w:firstLine="723"/>
        <w:jc w:val="center"/>
        <w:outlineLvl w:val="0"/>
        <w:rPr>
          <w:rFonts w:hint="eastAsia" w:ascii="宋体" w:hAnsi="宋体"/>
          <w:b/>
          <w:sz w:val="36"/>
          <w:szCs w:val="36"/>
        </w:rPr>
      </w:pPr>
      <w:bookmarkStart w:id="679" w:name="_Toc183434178"/>
      <w:r>
        <w:rPr>
          <w:rFonts w:ascii="宋体" w:hAnsi="宋体"/>
          <w:b/>
          <w:sz w:val="36"/>
          <w:szCs w:val="36"/>
        </w:rPr>
        <w:t>第五章   合同条款</w:t>
      </w:r>
      <w:bookmarkEnd w:id="679"/>
    </w:p>
    <w:p w14:paraId="3903AD26">
      <w:pPr>
        <w:jc w:val="left"/>
        <w:rPr>
          <w:rFonts w:eastAsia="仿宋_GB2312"/>
          <w:bCs/>
          <w:color w:val="000000"/>
          <w:sz w:val="32"/>
          <w:szCs w:val="32"/>
        </w:rPr>
      </w:pPr>
      <w:r>
        <w:rPr>
          <w:rFonts w:hint="eastAsia" w:ascii="宋体" w:hAnsi="宋体"/>
          <w:b/>
          <w:sz w:val="36"/>
          <w:szCs w:val="36"/>
        </w:rPr>
        <w:br w:type="page"/>
      </w:r>
      <w:r>
        <w:rPr>
          <w:rFonts w:eastAsia="仿宋_GB2312"/>
          <w:bCs/>
          <w:color w:val="000000"/>
          <w:sz w:val="32"/>
          <w:szCs w:val="32"/>
        </w:rPr>
        <w:t>（GF—201</w:t>
      </w:r>
      <w:r>
        <w:rPr>
          <w:rFonts w:hint="eastAsia" w:eastAsia="仿宋_GB2312"/>
          <w:bCs/>
          <w:color w:val="000000"/>
          <w:sz w:val="32"/>
          <w:szCs w:val="32"/>
        </w:rPr>
        <w:t>7</w:t>
      </w:r>
      <w:r>
        <w:rPr>
          <w:rFonts w:eastAsia="仿宋_GB2312"/>
          <w:bCs/>
          <w:color w:val="000000"/>
          <w:sz w:val="32"/>
          <w:szCs w:val="32"/>
        </w:rPr>
        <w:t>—</w:t>
      </w:r>
      <w:r>
        <w:rPr>
          <w:rFonts w:hint="eastAsia" w:eastAsia="仿宋_GB2312"/>
          <w:bCs/>
          <w:color w:val="000000"/>
          <w:sz w:val="32"/>
          <w:szCs w:val="32"/>
        </w:rPr>
        <w:t>0201）</w:t>
      </w:r>
    </w:p>
    <w:p w14:paraId="5D164E17">
      <w:pPr>
        <w:jc w:val="center"/>
        <w:rPr>
          <w:rFonts w:eastAsia="华文中宋"/>
          <w:b/>
          <w:color w:val="000000"/>
          <w:sz w:val="52"/>
          <w:szCs w:val="52"/>
        </w:rPr>
      </w:pPr>
    </w:p>
    <w:p w14:paraId="3BBEA68A">
      <w:pPr>
        <w:jc w:val="center"/>
        <w:rPr>
          <w:rFonts w:eastAsia="华文中宋"/>
          <w:b/>
          <w:color w:val="000000"/>
          <w:sz w:val="52"/>
          <w:szCs w:val="52"/>
        </w:rPr>
      </w:pPr>
    </w:p>
    <w:p w14:paraId="1C07E256">
      <w:pPr>
        <w:jc w:val="center"/>
        <w:rPr>
          <w:rFonts w:eastAsia="华文中宋"/>
          <w:b/>
          <w:color w:val="000000"/>
          <w:sz w:val="52"/>
          <w:szCs w:val="52"/>
        </w:rPr>
      </w:pPr>
    </w:p>
    <w:p w14:paraId="7582CDCA">
      <w:pPr>
        <w:jc w:val="center"/>
        <w:rPr>
          <w:rFonts w:eastAsia="华文中宋"/>
          <w:b/>
          <w:color w:val="000000"/>
          <w:sz w:val="52"/>
          <w:szCs w:val="52"/>
        </w:rPr>
      </w:pPr>
    </w:p>
    <w:p w14:paraId="361DA257">
      <w:pPr>
        <w:jc w:val="center"/>
        <w:rPr>
          <w:rFonts w:eastAsia="华文中宋"/>
          <w:b/>
          <w:color w:val="000000"/>
          <w:sz w:val="48"/>
          <w:szCs w:val="48"/>
        </w:rPr>
      </w:pPr>
      <w:r>
        <w:rPr>
          <w:rFonts w:eastAsia="华文中宋"/>
          <w:b/>
          <w:color w:val="000000"/>
          <w:sz w:val="72"/>
          <w:szCs w:val="52"/>
        </w:rPr>
        <w:t>建设工程施工合同</w:t>
      </w:r>
      <w:r>
        <w:rPr>
          <w:rFonts w:eastAsia="华文中宋"/>
          <w:b/>
          <w:color w:val="000000"/>
          <w:sz w:val="52"/>
          <w:szCs w:val="52"/>
        </w:rPr>
        <w:br w:type="textWrapping"/>
      </w:r>
      <w:r>
        <w:rPr>
          <w:rFonts w:eastAsia="华文中宋"/>
          <w:b/>
          <w:color w:val="000000"/>
          <w:sz w:val="52"/>
          <w:szCs w:val="52"/>
        </w:rPr>
        <w:t>（示范文本）</w:t>
      </w:r>
    </w:p>
    <w:p w14:paraId="29E9A312">
      <w:pPr>
        <w:jc w:val="center"/>
        <w:rPr>
          <w:rFonts w:eastAsia="华文中宋"/>
          <w:b/>
          <w:color w:val="000000"/>
          <w:sz w:val="52"/>
          <w:szCs w:val="52"/>
        </w:rPr>
      </w:pPr>
    </w:p>
    <w:p w14:paraId="0321BD9D">
      <w:pPr>
        <w:jc w:val="center"/>
        <w:rPr>
          <w:rFonts w:eastAsia="黑体"/>
          <w:b/>
          <w:color w:val="000000"/>
          <w:sz w:val="72"/>
          <w:szCs w:val="72"/>
        </w:rPr>
      </w:pPr>
    </w:p>
    <w:p w14:paraId="4073DBDE">
      <w:pPr>
        <w:jc w:val="center"/>
        <w:rPr>
          <w:rFonts w:eastAsia="楷体_GB2312"/>
          <w:b/>
          <w:color w:val="000000"/>
          <w:sz w:val="72"/>
          <w:szCs w:val="72"/>
        </w:rPr>
      </w:pPr>
    </w:p>
    <w:p w14:paraId="37C6B775">
      <w:pPr>
        <w:jc w:val="center"/>
        <w:rPr>
          <w:rFonts w:eastAsia="黑体"/>
          <w:b/>
          <w:color w:val="000000"/>
          <w:sz w:val="52"/>
          <w:szCs w:val="52"/>
        </w:rPr>
      </w:pPr>
    </w:p>
    <w:p w14:paraId="5D78CBE2">
      <w:pPr>
        <w:rPr>
          <w:b/>
          <w:color w:val="000000"/>
          <w:sz w:val="28"/>
          <w:szCs w:val="28"/>
        </w:rPr>
      </w:pPr>
    </w:p>
    <w:p w14:paraId="7E3288C5">
      <w:pPr>
        <w:rPr>
          <w:b/>
          <w:color w:val="000000"/>
          <w:sz w:val="28"/>
          <w:szCs w:val="28"/>
        </w:rPr>
      </w:pPr>
    </w:p>
    <w:p w14:paraId="73B5EE71">
      <w:pPr>
        <w:rPr>
          <w:b/>
          <w:color w:val="000000"/>
          <w:sz w:val="28"/>
          <w:szCs w:val="28"/>
        </w:rPr>
      </w:pPr>
    </w:p>
    <w:p w14:paraId="25894F14">
      <w:pPr>
        <w:rPr>
          <w:b/>
          <w:color w:val="000000"/>
          <w:sz w:val="28"/>
          <w:szCs w:val="28"/>
        </w:rPr>
      </w:pPr>
    </w:p>
    <w:p w14:paraId="1FAB66A5">
      <w:pPr>
        <w:rPr>
          <w:b/>
          <w:color w:val="000000"/>
          <w:sz w:val="28"/>
          <w:szCs w:val="28"/>
        </w:rPr>
      </w:pPr>
    </w:p>
    <w:p w14:paraId="0D8D7A26">
      <w:pPr>
        <w:ind w:right="2719" w:rightChars="1295" w:firstLine="2738" w:firstLineChars="1304"/>
        <w:jc w:val="distribute"/>
        <w:rPr>
          <w:b/>
          <w:color w:val="000000"/>
          <w:sz w:val="32"/>
          <w:szCs w:val="28"/>
        </w:rPr>
      </w:pPr>
      <w:r>
        <mc:AlternateContent>
          <mc:Choice Requires="wps">
            <w:drawing>
              <wp:anchor distT="0" distB="0" distL="114300" distR="114300" simplePos="0" relativeHeight="251659264" behindDoc="0" locked="0" layoutInCell="1" allowOverlap="1">
                <wp:simplePos x="0" y="0"/>
                <wp:positionH relativeFrom="column">
                  <wp:posOffset>3970020</wp:posOffset>
                </wp:positionH>
                <wp:positionV relativeFrom="paragraph">
                  <wp:posOffset>120015</wp:posOffset>
                </wp:positionV>
                <wp:extent cx="723900" cy="4572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34828218">
                            <w:pPr>
                              <w:rPr>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12.6pt;margin-top:9.45pt;height:36pt;width:57pt;z-index:251659264;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7R5qugQCAAAMBAAADgAAAGRycy9lMm9Eb2MueG1srVPN&#10;jtMwEL4j8Q6W7zRtoSwbNV0JSrkgQFr2AaaOk1jynzxuk74AvAEnLtx5rj7Hjp3SXZZLD+SQTGY+&#10;f57v83h5MxjN9jKgcrbis8mUM2mFq5VtK373dfPiDWcYwdagnZUVP0jkN6vnz5a9L+XcdU7XMjAi&#10;sVj2vuJdjL4sChSdNIAT56WlYuOCgUi/oS3qAD2xG13Mp9PXRe9C7YMTEpGy67HIT4zhEkLXNErI&#10;tRM7I20cWYPUEEkSdsojX+Vum0aK+LlpUEamK05KY37TJhRv07tYLaFsA/hOiVMLcEkLTzQZUJY2&#10;PVOtIQLbBfUPlVEiOHRNnAhnilFIdoRUzKZPvLntwMushaxGfzYd/x+t+LT/EpiqaRI4s2DowI8/&#10;vh9//j7++sZmyZ7eY0moW0+4OLx1Q4Ke8kjJpHpogklf0sOoTuYezubKITJByav5y+spVQSVXi2u&#10;aBQSS/Gw2AeMH6QzLAUVD3R22VLYf8Q4Qv9A0l7WbZTWlIdSW9ZX/HoxXxA90Ew2NAsUGk+60LaZ&#10;Bp1WdVqSVmBot+90YHugudjk59TNX7C03xqwG3G5lGBQGhVlyFEnoX5vaxYPnryzdGV4asbImjMt&#10;6YalKCMjKH0JkizRlpxJxo8GpygO24FoUrh19YEOY+eDajtyKh9HhtOQZEtPA52m8PF/Jn24xKt7&#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c0tcdgAAAAJAQAADwAAAAAAAAABACAAAAAiAAAAZHJz&#10;L2Rvd25yZXYueG1sUEsBAhQAFAAAAAgAh07iQO0earoEAgAADAQAAA4AAAAAAAAAAQAgAAAAJwEA&#10;AGRycy9lMm9Eb2MueG1sUEsFBgAAAAAGAAYAWQEAAJ0FAAAAAA==&#10;">
                <v:fill on="f" focussize="0,0"/>
                <v:stroke color="#FFFFFF" joinstyle="miter"/>
                <v:imagedata o:title=""/>
                <o:lock v:ext="edit" aspectratio="f"/>
                <v:textbox>
                  <w:txbxContent>
                    <w:p w14:paraId="34828218">
                      <w:pPr>
                        <w:rPr>
                          <w:b/>
                          <w:bCs/>
                          <w:sz w:val="32"/>
                        </w:rPr>
                      </w:pPr>
                      <w:r>
                        <w:rPr>
                          <w:rFonts w:hint="eastAsia"/>
                          <w:b/>
                          <w:bCs/>
                          <w:sz w:val="32"/>
                        </w:rPr>
                        <w:t>制定</w:t>
                      </w:r>
                    </w:p>
                  </w:txbxContent>
                </v:textbox>
              </v:shape>
            </w:pict>
          </mc:Fallback>
        </mc:AlternateContent>
      </w:r>
      <w:r>
        <w:rPr>
          <w:b/>
          <w:color w:val="000000"/>
          <w:sz w:val="32"/>
          <w:szCs w:val="28"/>
        </w:rPr>
        <w:t>住房城乡建设部</w:t>
      </w:r>
    </w:p>
    <w:p w14:paraId="0793ABBF">
      <w:pPr>
        <w:ind w:right="2719" w:rightChars="1295" w:firstLine="2750" w:firstLineChars="856"/>
        <w:jc w:val="distribute"/>
        <w:rPr>
          <w:b/>
          <w:color w:val="000000"/>
          <w:sz w:val="32"/>
          <w:szCs w:val="28"/>
        </w:rPr>
      </w:pPr>
      <w:r>
        <w:rPr>
          <w:b/>
          <w:color w:val="000000"/>
          <w:sz w:val="32"/>
          <w:szCs w:val="28"/>
        </w:rPr>
        <w:t>国家工商行政管理总局</w:t>
      </w:r>
    </w:p>
    <w:p w14:paraId="47306ABF">
      <w:pPr>
        <w:rPr>
          <w:b/>
          <w:color w:val="000000"/>
        </w:rPr>
      </w:pPr>
    </w:p>
    <w:p w14:paraId="277BE93F">
      <w:pPr>
        <w:pStyle w:val="5"/>
        <w:spacing w:line="500" w:lineRule="exact"/>
        <w:jc w:val="center"/>
        <w:rPr>
          <w:rFonts w:ascii="Times New Roman" w:eastAsia="华文中宋"/>
          <w:b w:val="0"/>
          <w:color w:val="000000"/>
          <w:sz w:val="44"/>
          <w:szCs w:val="44"/>
        </w:rPr>
      </w:pPr>
      <w:r>
        <w:rPr>
          <w:rFonts w:ascii="Times New Roman"/>
          <w:b w:val="0"/>
          <w:color w:val="000000"/>
        </w:rPr>
        <w:br w:type="page"/>
      </w:r>
      <w:bookmarkStart w:id="680" w:name="_Toc351203480"/>
      <w:bookmarkStart w:id="681" w:name="_Toc296890982"/>
      <w:bookmarkStart w:id="682" w:name="_Toc296503025"/>
      <w:r>
        <w:rPr>
          <w:rFonts w:ascii="华文中宋" w:hAnsi="华文中宋" w:eastAsia="华文中宋"/>
          <w:sz w:val="36"/>
          <w:szCs w:val="36"/>
        </w:rPr>
        <w:t>第一部分 合同协议书</w:t>
      </w:r>
      <w:bookmarkEnd w:id="680"/>
      <w:bookmarkEnd w:id="681"/>
      <w:bookmarkEnd w:id="682"/>
    </w:p>
    <w:p w14:paraId="57AFD0C7">
      <w:pPr>
        <w:spacing w:line="500" w:lineRule="exact"/>
        <w:rPr>
          <w:rFonts w:eastAsia="仿宋_GB2312"/>
          <w:b/>
          <w:color w:val="000000"/>
          <w:sz w:val="28"/>
          <w:szCs w:val="28"/>
          <w:u w:val="single"/>
        </w:rPr>
      </w:pPr>
      <w:r>
        <w:rPr>
          <w:rFonts w:eastAsia="仿宋_GB2312"/>
          <w:b/>
          <w:color w:val="000000"/>
          <w:sz w:val="28"/>
          <w:szCs w:val="28"/>
        </w:rPr>
        <w:t>发包人（全称）：</w:t>
      </w:r>
      <w:r>
        <w:rPr>
          <w:rFonts w:hint="eastAsia" w:eastAsia="仿宋_GB2312"/>
          <w:b/>
          <w:color w:val="000000"/>
          <w:sz w:val="28"/>
          <w:szCs w:val="28"/>
          <w:u w:val="single"/>
        </w:rPr>
        <w:t>北京市颐和园管理处</w:t>
      </w:r>
    </w:p>
    <w:p w14:paraId="0EE959A8">
      <w:pPr>
        <w:spacing w:line="500" w:lineRule="exact"/>
        <w:rPr>
          <w:rFonts w:eastAsia="仿宋_GB2312"/>
          <w:b/>
          <w:color w:val="000000"/>
          <w:sz w:val="28"/>
          <w:szCs w:val="28"/>
          <w:u w:val="single"/>
        </w:rPr>
      </w:pPr>
      <w:r>
        <w:rPr>
          <w:rFonts w:eastAsia="仿宋_GB2312"/>
          <w:b/>
          <w:color w:val="000000"/>
          <w:sz w:val="28"/>
          <w:szCs w:val="28"/>
        </w:rPr>
        <w:t>承包人（全称）：</w:t>
      </w:r>
      <w:r>
        <w:rPr>
          <w:rFonts w:hint="eastAsia" w:eastAsia="仿宋_GB2312"/>
          <w:b/>
          <w:color w:val="000000"/>
          <w:sz w:val="28"/>
          <w:szCs w:val="28"/>
          <w:u w:val="single"/>
        </w:rPr>
        <w:t xml:space="preserve">                        </w:t>
      </w:r>
    </w:p>
    <w:p w14:paraId="29214312">
      <w:pPr>
        <w:spacing w:line="500" w:lineRule="exact"/>
        <w:ind w:firstLine="560" w:firstLineChars="200"/>
        <w:rPr>
          <w:rFonts w:eastAsia="仿宋_GB2312"/>
          <w:color w:val="000000"/>
          <w:sz w:val="28"/>
          <w:szCs w:val="28"/>
        </w:rPr>
      </w:pPr>
      <w:r>
        <w:rPr>
          <w:rFonts w:eastAsia="仿宋_GB2312"/>
          <w:color w:val="000000"/>
          <w:sz w:val="28"/>
          <w:szCs w:val="28"/>
        </w:rPr>
        <w:t>根据</w:t>
      </w:r>
      <w:r>
        <w:rPr>
          <w:rFonts w:hint="eastAsia" w:eastAsia="仿宋_GB2312"/>
          <w:color w:val="000000"/>
          <w:sz w:val="28"/>
          <w:szCs w:val="28"/>
        </w:rPr>
        <w:t>《中华人民共和国民法典》、</w:t>
      </w:r>
      <w:r>
        <w:rPr>
          <w:rFonts w:eastAsia="仿宋_GB2312"/>
          <w:color w:val="000000"/>
          <w:sz w:val="28"/>
          <w:szCs w:val="28"/>
        </w:rPr>
        <w:t>《中华人民共和国建筑法》及有关法律规定，遵循平等、自愿、公平和诚实信用的原则，双方就</w:t>
      </w:r>
      <w:r>
        <w:rPr>
          <w:rFonts w:hint="eastAsia" w:eastAsia="仿宋_GB2312"/>
          <w:color w:val="000000"/>
          <w:sz w:val="28"/>
          <w:szCs w:val="28"/>
          <w:u w:val="single"/>
        </w:rPr>
        <w:t>颐和园园内水电及基础设施维修（第一标段：配电设备设施运维）</w:t>
      </w:r>
      <w:r>
        <w:rPr>
          <w:rFonts w:eastAsia="仿宋_GB2312"/>
          <w:color w:val="000000"/>
          <w:sz w:val="28"/>
          <w:szCs w:val="28"/>
        </w:rPr>
        <w:t>施工及有关事项协商一致</w:t>
      </w:r>
      <w:r>
        <w:rPr>
          <w:rFonts w:hint="eastAsia" w:eastAsia="仿宋_GB2312"/>
          <w:color w:val="000000"/>
          <w:sz w:val="28"/>
          <w:szCs w:val="28"/>
        </w:rPr>
        <w:t>，</w:t>
      </w:r>
      <w:r>
        <w:rPr>
          <w:rFonts w:eastAsia="仿宋_GB2312"/>
          <w:color w:val="000000"/>
          <w:sz w:val="28"/>
          <w:szCs w:val="28"/>
        </w:rPr>
        <w:t>共同达成如下协议：</w:t>
      </w:r>
    </w:p>
    <w:p w14:paraId="7C16D67D">
      <w:pPr>
        <w:pStyle w:val="6"/>
        <w:spacing w:before="120" w:after="120" w:line="500" w:lineRule="exact"/>
        <w:rPr>
          <w:rFonts w:ascii="Times New Roman" w:hAnsi="Times New Roman"/>
          <w:color w:val="000000"/>
        </w:rPr>
      </w:pPr>
      <w:r>
        <w:rPr>
          <w:rFonts w:ascii="Times New Roman" w:hAnsi="Times New Roman"/>
          <w:color w:val="000000"/>
        </w:rPr>
        <w:t xml:space="preserve">   </w:t>
      </w:r>
      <w:r>
        <w:rPr>
          <w:rFonts w:ascii="Times New Roman" w:hAnsi="Times New Roman"/>
          <w:b w:val="0"/>
          <w:color w:val="000000"/>
        </w:rPr>
        <w:t xml:space="preserve"> </w:t>
      </w:r>
      <w:bookmarkStart w:id="683" w:name="_Toc351203481"/>
      <w:r>
        <w:rPr>
          <w:rFonts w:ascii="Times New Roman" w:hAnsi="Times New Roman"/>
          <w:b w:val="0"/>
          <w:color w:val="000000"/>
        </w:rPr>
        <w:t>一、工程概况</w:t>
      </w:r>
      <w:bookmarkEnd w:id="683"/>
    </w:p>
    <w:p w14:paraId="132F6828">
      <w:pPr>
        <w:spacing w:line="500" w:lineRule="exact"/>
        <w:ind w:firstLine="548" w:firstLineChars="196"/>
        <w:rPr>
          <w:rFonts w:eastAsia="仿宋_GB2312"/>
          <w:color w:val="000000"/>
          <w:sz w:val="28"/>
          <w:szCs w:val="28"/>
          <w:u w:val="single"/>
        </w:rPr>
      </w:pPr>
      <w:r>
        <w:rPr>
          <w:rFonts w:eastAsia="仿宋_GB2312"/>
          <w:bCs/>
          <w:color w:val="000000"/>
          <w:sz w:val="28"/>
          <w:szCs w:val="28"/>
        </w:rPr>
        <w:t>1.工程名称</w:t>
      </w:r>
      <w:r>
        <w:rPr>
          <w:rFonts w:eastAsia="仿宋_GB2312"/>
          <w:color w:val="000000"/>
          <w:sz w:val="28"/>
          <w:szCs w:val="28"/>
        </w:rPr>
        <w:t>：</w:t>
      </w:r>
      <w:r>
        <w:rPr>
          <w:rFonts w:hint="eastAsia" w:eastAsia="仿宋_GB2312"/>
          <w:color w:val="000000"/>
          <w:sz w:val="28"/>
          <w:szCs w:val="28"/>
          <w:u w:val="single"/>
        </w:rPr>
        <w:t>颐和园园内水电及基础设施维修（第一标段：配电设备设施运维）</w:t>
      </w:r>
      <w:r>
        <w:rPr>
          <w:rFonts w:eastAsia="仿宋_GB2312"/>
          <w:color w:val="000000"/>
          <w:sz w:val="28"/>
          <w:szCs w:val="28"/>
        </w:rPr>
        <w:t>。</w:t>
      </w:r>
    </w:p>
    <w:p w14:paraId="1CBB8BFE">
      <w:pPr>
        <w:spacing w:line="500" w:lineRule="exact"/>
        <w:ind w:firstLine="548" w:firstLineChars="196"/>
        <w:rPr>
          <w:rFonts w:eastAsia="仿宋_GB2312"/>
          <w:bCs/>
          <w:color w:val="000000"/>
          <w:sz w:val="28"/>
          <w:szCs w:val="28"/>
        </w:rPr>
      </w:pPr>
      <w:r>
        <w:rPr>
          <w:rFonts w:eastAsia="仿宋_GB2312"/>
          <w:bCs/>
          <w:color w:val="000000"/>
          <w:sz w:val="28"/>
          <w:szCs w:val="28"/>
        </w:rPr>
        <w:t>2.工程地点：</w:t>
      </w:r>
      <w:r>
        <w:rPr>
          <w:rFonts w:hint="eastAsia" w:eastAsia="仿宋_GB2312"/>
          <w:bCs/>
          <w:color w:val="000000"/>
          <w:sz w:val="28"/>
          <w:szCs w:val="28"/>
          <w:u w:val="single"/>
        </w:rPr>
        <w:t>颐和园内</w:t>
      </w:r>
      <w:r>
        <w:rPr>
          <w:rFonts w:eastAsia="仿宋_GB2312"/>
          <w:color w:val="000000"/>
          <w:sz w:val="28"/>
          <w:szCs w:val="28"/>
        </w:rPr>
        <w:t>。</w:t>
      </w:r>
    </w:p>
    <w:p w14:paraId="61F6515C">
      <w:pPr>
        <w:spacing w:line="500" w:lineRule="exact"/>
        <w:ind w:firstLine="548" w:firstLineChars="196"/>
        <w:rPr>
          <w:rFonts w:eastAsia="仿宋_GB2312"/>
          <w:bCs/>
          <w:color w:val="000000"/>
          <w:sz w:val="28"/>
          <w:szCs w:val="28"/>
        </w:rPr>
      </w:pPr>
      <w:r>
        <w:rPr>
          <w:rFonts w:eastAsia="仿宋_GB2312"/>
          <w:bCs/>
          <w:color w:val="000000"/>
          <w:sz w:val="28"/>
          <w:szCs w:val="28"/>
        </w:rPr>
        <w:t>3.工程立项批准文号：</w:t>
      </w:r>
      <w:r>
        <w:rPr>
          <w:rFonts w:hint="eastAsia" w:eastAsia="仿宋_GB2312"/>
          <w:bCs/>
          <w:color w:val="000000"/>
          <w:sz w:val="28"/>
          <w:szCs w:val="28"/>
          <w:u w:val="single"/>
        </w:rPr>
        <w:t>/</w:t>
      </w:r>
      <w:r>
        <w:rPr>
          <w:rFonts w:eastAsia="仿宋_GB2312"/>
          <w:bCs/>
          <w:color w:val="000000"/>
          <w:sz w:val="28"/>
          <w:szCs w:val="28"/>
        </w:rPr>
        <w:t>。</w:t>
      </w:r>
    </w:p>
    <w:p w14:paraId="419C1834">
      <w:pPr>
        <w:spacing w:line="500" w:lineRule="exact"/>
        <w:ind w:firstLine="548" w:firstLineChars="196"/>
        <w:rPr>
          <w:rFonts w:eastAsia="仿宋_GB2312"/>
          <w:bCs/>
          <w:color w:val="000000"/>
          <w:sz w:val="28"/>
          <w:szCs w:val="28"/>
        </w:rPr>
      </w:pPr>
      <w:r>
        <w:rPr>
          <w:rFonts w:eastAsia="仿宋_GB2312"/>
          <w:bCs/>
          <w:color w:val="000000"/>
          <w:sz w:val="28"/>
          <w:szCs w:val="28"/>
        </w:rPr>
        <w:t>4.资金来源：</w:t>
      </w:r>
      <w:r>
        <w:rPr>
          <w:rFonts w:hint="eastAsia" w:eastAsia="仿宋_GB2312"/>
          <w:bCs/>
          <w:color w:val="000000"/>
          <w:sz w:val="28"/>
          <w:szCs w:val="28"/>
          <w:u w:val="single"/>
        </w:rPr>
        <w:t xml:space="preserve">     </w:t>
      </w:r>
      <w:r>
        <w:rPr>
          <w:rFonts w:eastAsia="仿宋_GB2312"/>
          <w:bCs/>
          <w:color w:val="000000"/>
          <w:sz w:val="28"/>
          <w:szCs w:val="28"/>
        </w:rPr>
        <w:t>。</w:t>
      </w:r>
    </w:p>
    <w:p w14:paraId="1C595E4E">
      <w:pPr>
        <w:spacing w:line="500" w:lineRule="exact"/>
        <w:ind w:firstLine="548" w:firstLineChars="196"/>
        <w:rPr>
          <w:rFonts w:eastAsia="仿宋_GB2312"/>
          <w:bCs/>
          <w:color w:val="000000"/>
          <w:sz w:val="28"/>
          <w:szCs w:val="28"/>
        </w:rPr>
      </w:pPr>
      <w:r>
        <w:rPr>
          <w:rFonts w:hint="eastAsia" w:eastAsia="仿宋_GB2312"/>
          <w:bCs/>
          <w:color w:val="000000"/>
          <w:sz w:val="28"/>
          <w:szCs w:val="28"/>
        </w:rPr>
        <w:t>5.工程内容：</w:t>
      </w:r>
      <w:r>
        <w:rPr>
          <w:rFonts w:hint="eastAsia" w:eastAsia="仿宋_GB2312"/>
          <w:color w:val="000000"/>
          <w:sz w:val="28"/>
          <w:szCs w:val="28"/>
          <w:u w:val="single"/>
        </w:rPr>
        <w:t>颐和园范围内配</w:t>
      </w:r>
      <w:r>
        <w:rPr>
          <w:rFonts w:eastAsia="仿宋_GB2312"/>
          <w:color w:val="000000"/>
          <w:sz w:val="28"/>
          <w:szCs w:val="28"/>
          <w:u w:val="single"/>
        </w:rPr>
        <w:t>电</w:t>
      </w:r>
      <w:r>
        <w:rPr>
          <w:rFonts w:hint="eastAsia" w:eastAsia="仿宋_GB2312"/>
          <w:color w:val="000000"/>
          <w:sz w:val="28"/>
          <w:szCs w:val="28"/>
          <w:u w:val="single"/>
        </w:rPr>
        <w:t>设备设施日常维修、三处高压配电室及十处高压箱式变压器春秋两次清扫维护、综合楼配电室24小时巡检值守、云松巢配电室白天8小时巡检值守以及全园低压供电24小时电工巡检值守和任务保障等，具体内容见清单。</w:t>
      </w:r>
    </w:p>
    <w:p w14:paraId="2B83A0E4">
      <w:pPr>
        <w:spacing w:line="500" w:lineRule="exact"/>
        <w:ind w:firstLine="548" w:firstLineChars="196"/>
        <w:rPr>
          <w:rFonts w:eastAsia="仿宋_GB2312"/>
          <w:bCs/>
          <w:color w:val="000000"/>
          <w:sz w:val="28"/>
          <w:szCs w:val="28"/>
        </w:rPr>
      </w:pPr>
      <w:r>
        <w:rPr>
          <w:rFonts w:hint="eastAsia" w:eastAsia="仿宋_GB2312"/>
          <w:color w:val="000000"/>
          <w:sz w:val="28"/>
          <w:szCs w:val="28"/>
        </w:rPr>
        <w:t>群体工程应附《</w:t>
      </w:r>
      <w:r>
        <w:rPr>
          <w:rFonts w:eastAsia="仿宋_GB2312"/>
          <w:color w:val="000000"/>
          <w:sz w:val="28"/>
          <w:szCs w:val="28"/>
        </w:rPr>
        <w:t>承包人承揽工程项目一览表</w:t>
      </w:r>
      <w:r>
        <w:rPr>
          <w:rFonts w:hint="eastAsia" w:eastAsia="仿宋_GB2312"/>
          <w:color w:val="000000"/>
          <w:sz w:val="28"/>
          <w:szCs w:val="28"/>
        </w:rPr>
        <w:t>》（附件1）。</w:t>
      </w:r>
    </w:p>
    <w:p w14:paraId="73C01A66">
      <w:pPr>
        <w:spacing w:line="500" w:lineRule="exact"/>
        <w:ind w:firstLine="548" w:firstLineChars="196"/>
        <w:rPr>
          <w:rFonts w:eastAsia="仿宋_GB2312"/>
          <w:bCs/>
          <w:color w:val="000000"/>
          <w:sz w:val="28"/>
          <w:szCs w:val="28"/>
          <w:u w:val="single"/>
        </w:rPr>
      </w:pPr>
      <w:r>
        <w:rPr>
          <w:rFonts w:hint="eastAsia" w:eastAsia="仿宋_GB2312"/>
          <w:bCs/>
          <w:color w:val="000000"/>
          <w:sz w:val="28"/>
          <w:szCs w:val="28"/>
        </w:rPr>
        <w:t>6</w:t>
      </w:r>
      <w:r>
        <w:rPr>
          <w:rFonts w:eastAsia="仿宋_GB2312"/>
          <w:bCs/>
          <w:color w:val="000000"/>
          <w:sz w:val="28"/>
          <w:szCs w:val="28"/>
        </w:rPr>
        <w:t>.工程承包范围：</w:t>
      </w:r>
      <w:r>
        <w:rPr>
          <w:rFonts w:hint="eastAsia" w:eastAsia="仿宋_GB2312"/>
          <w:color w:val="000000"/>
          <w:sz w:val="28"/>
          <w:szCs w:val="28"/>
          <w:u w:val="single"/>
        </w:rPr>
        <w:t>颐和园范围内配</w:t>
      </w:r>
      <w:r>
        <w:rPr>
          <w:rFonts w:eastAsia="仿宋_GB2312"/>
          <w:color w:val="000000"/>
          <w:sz w:val="28"/>
          <w:szCs w:val="28"/>
          <w:u w:val="single"/>
        </w:rPr>
        <w:t>电</w:t>
      </w:r>
      <w:r>
        <w:rPr>
          <w:rFonts w:hint="eastAsia" w:eastAsia="仿宋_GB2312"/>
          <w:color w:val="000000"/>
          <w:sz w:val="28"/>
          <w:szCs w:val="28"/>
          <w:u w:val="single"/>
        </w:rPr>
        <w:t>设备设施日常维修、清扫维护以及高压配电室巡检值守等，具体内容见清单。</w:t>
      </w:r>
    </w:p>
    <w:p w14:paraId="2BC1B783">
      <w:pPr>
        <w:pStyle w:val="6"/>
        <w:spacing w:before="120" w:after="120" w:line="500" w:lineRule="exact"/>
        <w:rPr>
          <w:rFonts w:ascii="Times New Roman" w:hAnsi="Times New Roman"/>
          <w:b w:val="0"/>
          <w:color w:val="000000"/>
        </w:rPr>
      </w:pPr>
      <w:r>
        <w:rPr>
          <w:rFonts w:ascii="Times New Roman" w:hAnsi="Times New Roman"/>
          <w:b w:val="0"/>
          <w:color w:val="000000"/>
        </w:rPr>
        <w:t xml:space="preserve">   </w:t>
      </w:r>
      <w:bookmarkStart w:id="684" w:name="_Toc351203482"/>
      <w:r>
        <w:rPr>
          <w:rFonts w:ascii="Times New Roman" w:hAnsi="Times New Roman"/>
          <w:b w:val="0"/>
          <w:color w:val="000000"/>
        </w:rPr>
        <w:t>二、合同工期</w:t>
      </w:r>
      <w:bookmarkEnd w:id="684"/>
    </w:p>
    <w:p w14:paraId="41A9EB31">
      <w:pPr>
        <w:spacing w:line="500" w:lineRule="exact"/>
        <w:ind w:firstLine="459"/>
        <w:rPr>
          <w:rFonts w:eastAsia="仿宋_GB2312"/>
          <w:color w:val="000000"/>
          <w:sz w:val="28"/>
          <w:szCs w:val="28"/>
        </w:rPr>
      </w:pPr>
      <w:r>
        <w:rPr>
          <w:rFonts w:eastAsia="仿宋_GB2312"/>
          <w:color w:val="000000"/>
          <w:sz w:val="28"/>
          <w:szCs w:val="28"/>
        </w:rPr>
        <w:t>计划开工日期：</w:t>
      </w:r>
      <w:r>
        <w:rPr>
          <w:rFonts w:hint="eastAsia" w:eastAsia="仿宋_GB2312"/>
          <w:color w:val="000000"/>
          <w:sz w:val="28"/>
          <w:szCs w:val="28"/>
          <w:u w:val="single"/>
        </w:rPr>
        <w:t xml:space="preserve"> 2026 </w:t>
      </w:r>
      <w:r>
        <w:rPr>
          <w:rFonts w:eastAsia="仿宋_GB2312"/>
          <w:color w:val="000000"/>
          <w:sz w:val="28"/>
          <w:szCs w:val="28"/>
        </w:rPr>
        <w:t>年</w:t>
      </w:r>
      <w:r>
        <w:rPr>
          <w:rFonts w:hint="eastAsia" w:eastAsia="仿宋_GB2312"/>
          <w:color w:val="000000"/>
          <w:sz w:val="28"/>
          <w:szCs w:val="28"/>
          <w:u w:val="single"/>
        </w:rPr>
        <w:t xml:space="preserve"> 1</w:t>
      </w:r>
      <w:r>
        <w:rPr>
          <w:rFonts w:eastAsia="仿宋_GB2312"/>
          <w:color w:val="000000"/>
          <w:sz w:val="28"/>
          <w:szCs w:val="28"/>
        </w:rPr>
        <w:t>月</w:t>
      </w:r>
      <w:r>
        <w:rPr>
          <w:rFonts w:hint="eastAsia" w:eastAsia="仿宋_GB2312"/>
          <w:color w:val="000000"/>
          <w:sz w:val="28"/>
          <w:szCs w:val="28"/>
          <w:u w:val="single"/>
        </w:rPr>
        <w:t xml:space="preserve"> 1 </w:t>
      </w:r>
      <w:r>
        <w:rPr>
          <w:rFonts w:eastAsia="仿宋_GB2312"/>
          <w:color w:val="000000"/>
          <w:sz w:val="28"/>
          <w:szCs w:val="28"/>
        </w:rPr>
        <w:t>日。</w:t>
      </w:r>
    </w:p>
    <w:p w14:paraId="2EB07F08">
      <w:pPr>
        <w:spacing w:line="500" w:lineRule="exact"/>
        <w:ind w:firstLine="459"/>
        <w:rPr>
          <w:rFonts w:eastAsia="仿宋_GB2312"/>
          <w:color w:val="000000"/>
          <w:sz w:val="28"/>
          <w:szCs w:val="28"/>
        </w:rPr>
      </w:pPr>
      <w:r>
        <w:rPr>
          <w:rFonts w:eastAsia="仿宋_GB2312"/>
          <w:color w:val="000000"/>
          <w:sz w:val="28"/>
          <w:szCs w:val="28"/>
        </w:rPr>
        <w:t>计划竣工日期：</w:t>
      </w:r>
      <w:r>
        <w:rPr>
          <w:rFonts w:hint="eastAsia" w:eastAsia="仿宋_GB2312"/>
          <w:color w:val="000000"/>
          <w:sz w:val="28"/>
          <w:szCs w:val="28"/>
          <w:u w:val="single"/>
        </w:rPr>
        <w:t xml:space="preserve"> 2026 </w:t>
      </w:r>
      <w:r>
        <w:rPr>
          <w:rFonts w:eastAsia="仿宋_GB2312"/>
          <w:color w:val="000000"/>
          <w:sz w:val="28"/>
          <w:szCs w:val="28"/>
        </w:rPr>
        <w:t>年</w:t>
      </w:r>
      <w:r>
        <w:rPr>
          <w:rFonts w:hint="eastAsia" w:eastAsia="仿宋_GB2312"/>
          <w:color w:val="000000"/>
          <w:sz w:val="28"/>
          <w:szCs w:val="28"/>
          <w:u w:val="single"/>
        </w:rPr>
        <w:t xml:space="preserve"> 12 </w:t>
      </w:r>
      <w:r>
        <w:rPr>
          <w:rFonts w:eastAsia="仿宋_GB2312"/>
          <w:color w:val="000000"/>
          <w:sz w:val="28"/>
          <w:szCs w:val="28"/>
        </w:rPr>
        <w:t>月</w:t>
      </w:r>
      <w:r>
        <w:rPr>
          <w:rFonts w:hint="eastAsia" w:eastAsia="仿宋_GB2312"/>
          <w:color w:val="000000"/>
          <w:sz w:val="28"/>
          <w:szCs w:val="28"/>
          <w:u w:val="single"/>
        </w:rPr>
        <w:t xml:space="preserve">  31 </w:t>
      </w:r>
      <w:r>
        <w:rPr>
          <w:rFonts w:eastAsia="仿宋_GB2312"/>
          <w:color w:val="000000"/>
          <w:sz w:val="28"/>
          <w:szCs w:val="28"/>
        </w:rPr>
        <w:t>日。</w:t>
      </w:r>
    </w:p>
    <w:p w14:paraId="440633A4">
      <w:pPr>
        <w:spacing w:line="500" w:lineRule="exact"/>
        <w:ind w:firstLine="459"/>
        <w:rPr>
          <w:rFonts w:eastAsia="仿宋_GB2312"/>
          <w:color w:val="000000"/>
          <w:sz w:val="28"/>
          <w:szCs w:val="28"/>
        </w:rPr>
      </w:pPr>
      <w:r>
        <w:rPr>
          <w:rFonts w:eastAsia="仿宋_GB2312"/>
          <w:color w:val="000000"/>
          <w:sz w:val="28"/>
          <w:szCs w:val="28"/>
        </w:rPr>
        <w:t>工期总日历天数：</w:t>
      </w:r>
      <w:r>
        <w:rPr>
          <w:rFonts w:hint="eastAsia" w:eastAsia="仿宋_GB2312"/>
          <w:color w:val="000000"/>
          <w:sz w:val="28"/>
          <w:szCs w:val="28"/>
          <w:u w:val="single"/>
        </w:rPr>
        <w:t>365</w:t>
      </w:r>
      <w:r>
        <w:rPr>
          <w:rFonts w:eastAsia="仿宋_GB2312"/>
          <w:color w:val="000000"/>
          <w:sz w:val="28"/>
          <w:szCs w:val="28"/>
        </w:rPr>
        <w:t>天。工期总日历天数与根据前述计划开竣工日期计算的工期天数不一致的，以工期总日历天数为准。</w:t>
      </w:r>
    </w:p>
    <w:p w14:paraId="3CF7FD56">
      <w:pPr>
        <w:pStyle w:val="6"/>
        <w:spacing w:before="120" w:after="120" w:line="500" w:lineRule="exact"/>
        <w:rPr>
          <w:rFonts w:ascii="Times New Roman" w:hAnsi="Times New Roman"/>
          <w:color w:val="000000"/>
        </w:rPr>
      </w:pPr>
      <w:r>
        <w:rPr>
          <w:rFonts w:ascii="Times New Roman" w:hAnsi="Times New Roman"/>
          <w:color w:val="000000"/>
        </w:rPr>
        <w:t xml:space="preserve">    </w:t>
      </w:r>
      <w:bookmarkStart w:id="685" w:name="_Toc351203483"/>
      <w:r>
        <w:rPr>
          <w:rFonts w:ascii="Times New Roman" w:hAnsi="Times New Roman"/>
          <w:b w:val="0"/>
          <w:color w:val="000000"/>
        </w:rPr>
        <w:t>三、质量标准</w:t>
      </w:r>
      <w:bookmarkEnd w:id="685"/>
    </w:p>
    <w:p w14:paraId="10BE8F28">
      <w:pPr>
        <w:spacing w:line="500" w:lineRule="exact"/>
        <w:ind w:firstLine="459"/>
        <w:rPr>
          <w:rFonts w:eastAsia="仿宋_GB2312"/>
          <w:color w:val="000000"/>
          <w:sz w:val="28"/>
          <w:szCs w:val="28"/>
        </w:rPr>
      </w:pPr>
      <w:r>
        <w:rPr>
          <w:rFonts w:eastAsia="仿宋_GB2312"/>
          <w:color w:val="000000"/>
          <w:sz w:val="28"/>
          <w:szCs w:val="28"/>
        </w:rPr>
        <w:t>工程质量符合</w:t>
      </w:r>
      <w:r>
        <w:rPr>
          <w:rFonts w:hint="eastAsia" w:eastAsia="仿宋_GB2312"/>
          <w:bCs/>
          <w:color w:val="000000"/>
          <w:sz w:val="28"/>
          <w:szCs w:val="28"/>
          <w:u w:val="single"/>
        </w:rPr>
        <w:t>合格</w:t>
      </w:r>
      <w:r>
        <w:rPr>
          <w:rFonts w:eastAsia="仿宋_GB2312"/>
          <w:color w:val="000000"/>
          <w:sz w:val="28"/>
          <w:szCs w:val="28"/>
        </w:rPr>
        <w:t>标准。</w:t>
      </w:r>
    </w:p>
    <w:p w14:paraId="7986ACDF">
      <w:pPr>
        <w:pStyle w:val="6"/>
        <w:spacing w:before="120" w:after="120" w:line="500" w:lineRule="exact"/>
        <w:rPr>
          <w:rFonts w:ascii="Times New Roman" w:hAnsi="Times New Roman"/>
          <w:color w:val="000000"/>
        </w:rPr>
      </w:pPr>
      <w:r>
        <w:rPr>
          <w:rFonts w:ascii="Times New Roman" w:hAnsi="Times New Roman"/>
          <w:color w:val="000000"/>
        </w:rPr>
        <w:t xml:space="preserve">   </w:t>
      </w:r>
      <w:r>
        <w:rPr>
          <w:rFonts w:ascii="Times New Roman" w:hAnsi="Times New Roman"/>
          <w:b w:val="0"/>
          <w:color w:val="000000"/>
        </w:rPr>
        <w:t xml:space="preserve"> </w:t>
      </w:r>
      <w:bookmarkStart w:id="686" w:name="_Toc351203484"/>
      <w:r>
        <w:rPr>
          <w:rFonts w:ascii="Times New Roman" w:hAnsi="Times New Roman"/>
          <w:b w:val="0"/>
          <w:color w:val="000000"/>
        </w:rPr>
        <w:t>四、签约合同价与合同价格形式</w:t>
      </w:r>
      <w:bookmarkEnd w:id="686"/>
      <w:r>
        <w:rPr>
          <w:rFonts w:ascii="Times New Roman" w:hAnsi="Times New Roman"/>
          <w:b w:val="0"/>
          <w:color w:val="000000"/>
        </w:rPr>
        <w:tab/>
      </w:r>
    </w:p>
    <w:p w14:paraId="3EA2E1D2">
      <w:pPr>
        <w:spacing w:line="500" w:lineRule="exact"/>
        <w:ind w:firstLine="560" w:firstLineChars="200"/>
        <w:rPr>
          <w:rFonts w:eastAsia="仿宋_GB2312"/>
          <w:color w:val="000000"/>
          <w:sz w:val="28"/>
          <w:szCs w:val="28"/>
        </w:rPr>
      </w:pPr>
      <w:r>
        <w:rPr>
          <w:rFonts w:eastAsia="仿宋_GB2312"/>
          <w:color w:val="000000"/>
          <w:sz w:val="28"/>
          <w:szCs w:val="28"/>
        </w:rPr>
        <w:t>1.签约合同价为：</w:t>
      </w:r>
    </w:p>
    <w:p w14:paraId="09BE040B">
      <w:pPr>
        <w:spacing w:line="500" w:lineRule="exact"/>
        <w:ind w:firstLine="700" w:firstLineChars="250"/>
        <w:jc w:val="left"/>
        <w:rPr>
          <w:rFonts w:eastAsia="仿宋_GB2312"/>
          <w:color w:val="000000"/>
          <w:sz w:val="28"/>
          <w:szCs w:val="28"/>
        </w:rPr>
      </w:pPr>
      <w:r>
        <w:rPr>
          <w:rFonts w:eastAsia="仿宋_GB2312"/>
          <w:sz w:val="28"/>
          <w:szCs w:val="28"/>
        </w:rPr>
        <w:t>人民币（大写）</w:t>
      </w:r>
      <w:r>
        <w:rPr>
          <w:rFonts w:eastAsia="仿宋_GB2312"/>
          <w:sz w:val="28"/>
          <w:szCs w:val="28"/>
          <w:u w:val="single"/>
        </w:rPr>
        <w:t xml:space="preserve"> </w:t>
      </w:r>
      <w:r>
        <w:rPr>
          <w:rFonts w:hint="eastAsia" w:eastAsia="仿宋_GB2312"/>
          <w:sz w:val="28"/>
          <w:szCs w:val="28"/>
          <w:u w:val="single"/>
        </w:rPr>
        <w:t xml:space="preserve">                  ,</w:t>
      </w:r>
      <w:r>
        <w:rPr>
          <w:rFonts w:eastAsia="仿宋_GB2312"/>
          <w:sz w:val="28"/>
          <w:szCs w:val="28"/>
          <w:u w:val="single"/>
        </w:rPr>
        <w:t xml:space="preserve"> </w:t>
      </w:r>
      <w:r>
        <w:rPr>
          <w:rFonts w:eastAsia="仿宋_GB2312"/>
          <w:sz w:val="28"/>
          <w:szCs w:val="28"/>
        </w:rPr>
        <w:t>(¥</w:t>
      </w:r>
      <w:r>
        <w:rPr>
          <w:rFonts w:hint="eastAsia" w:eastAsia="仿宋_GB2312"/>
          <w:sz w:val="28"/>
          <w:szCs w:val="28"/>
          <w:u w:val="single"/>
        </w:rPr>
        <w:t xml:space="preserve">         </w:t>
      </w:r>
      <w:r>
        <w:rPr>
          <w:rFonts w:eastAsia="仿宋_GB2312"/>
          <w:color w:val="000000"/>
          <w:sz w:val="28"/>
          <w:szCs w:val="28"/>
        </w:rPr>
        <w:t>元)；</w:t>
      </w:r>
    </w:p>
    <w:p w14:paraId="59ADC9CD">
      <w:pPr>
        <w:spacing w:line="500" w:lineRule="exact"/>
        <w:ind w:firstLine="560" w:firstLineChars="200"/>
        <w:rPr>
          <w:rFonts w:eastAsia="仿宋_GB2312"/>
          <w:color w:val="000000"/>
          <w:sz w:val="28"/>
          <w:szCs w:val="28"/>
        </w:rPr>
      </w:pPr>
      <w:r>
        <w:rPr>
          <w:rFonts w:eastAsia="仿宋_GB2312"/>
          <w:color w:val="000000"/>
          <w:sz w:val="28"/>
          <w:szCs w:val="28"/>
        </w:rPr>
        <w:t>其中：</w:t>
      </w:r>
    </w:p>
    <w:p w14:paraId="7B2392F6">
      <w:pPr>
        <w:spacing w:line="500" w:lineRule="exact"/>
        <w:ind w:firstLine="560" w:firstLineChars="200"/>
        <w:rPr>
          <w:rFonts w:eastAsia="仿宋_GB2312"/>
          <w:color w:val="000000"/>
          <w:sz w:val="28"/>
          <w:szCs w:val="28"/>
        </w:rPr>
      </w:pPr>
      <w:r>
        <w:rPr>
          <w:rFonts w:eastAsia="仿宋_GB2312"/>
          <w:color w:val="000000"/>
          <w:sz w:val="28"/>
          <w:szCs w:val="28"/>
        </w:rPr>
        <w:t>（1）安全文明施工费：</w:t>
      </w:r>
    </w:p>
    <w:p w14:paraId="1EC9F13D">
      <w:pPr>
        <w:spacing w:line="500" w:lineRule="exact"/>
        <w:ind w:firstLine="560" w:firstLineChars="200"/>
        <w:jc w:val="left"/>
        <w:rPr>
          <w:rFonts w:eastAsia="仿宋_GB2312"/>
          <w:color w:val="000000"/>
          <w:sz w:val="28"/>
          <w:szCs w:val="28"/>
        </w:rPr>
      </w:pPr>
      <w:r>
        <w:rPr>
          <w:rFonts w:eastAsia="仿宋_GB2312"/>
          <w:color w:val="000000"/>
          <w:sz w:val="28"/>
          <w:szCs w:val="28"/>
        </w:rPr>
        <w:t>人民币（大写）</w:t>
      </w:r>
      <w:r>
        <w:rPr>
          <w:rFonts w:hint="eastAsia" w:eastAsia="仿宋_GB2312"/>
          <w:color w:val="000000"/>
          <w:sz w:val="28"/>
          <w:szCs w:val="28"/>
          <w:u w:val="single"/>
        </w:rPr>
        <w:t xml:space="preserve">                   </w:t>
      </w:r>
      <w:r>
        <w:rPr>
          <w:rFonts w:eastAsia="仿宋_GB2312"/>
          <w:color w:val="000000"/>
          <w:sz w:val="28"/>
          <w:szCs w:val="28"/>
        </w:rPr>
        <w:t xml:space="preserve"> (¥</w:t>
      </w:r>
      <w:r>
        <w:rPr>
          <w:rFonts w:eastAsia="仿宋_GB2312"/>
          <w:color w:val="000000"/>
          <w:sz w:val="28"/>
          <w:szCs w:val="28"/>
          <w:u w:val="single"/>
        </w:rPr>
        <w:t xml:space="preserve"> </w:t>
      </w:r>
      <w:r>
        <w:rPr>
          <w:rFonts w:hint="eastAsia" w:eastAsia="仿宋_GB2312"/>
          <w:color w:val="000000"/>
          <w:sz w:val="28"/>
          <w:szCs w:val="28"/>
          <w:u w:val="single"/>
        </w:rPr>
        <w:t xml:space="preserve">           </w:t>
      </w:r>
      <w:r>
        <w:rPr>
          <w:rFonts w:eastAsia="仿宋_GB2312"/>
          <w:color w:val="000000"/>
          <w:sz w:val="28"/>
          <w:szCs w:val="28"/>
        </w:rPr>
        <w:t>元)；</w:t>
      </w:r>
    </w:p>
    <w:p w14:paraId="44386D07">
      <w:pPr>
        <w:spacing w:line="500" w:lineRule="exact"/>
        <w:ind w:firstLine="560" w:firstLineChars="200"/>
        <w:rPr>
          <w:rFonts w:eastAsia="仿宋_GB2312"/>
          <w:color w:val="000000"/>
          <w:sz w:val="28"/>
          <w:szCs w:val="28"/>
        </w:rPr>
      </w:pPr>
      <w:r>
        <w:rPr>
          <w:rFonts w:eastAsia="仿宋_GB2312"/>
          <w:color w:val="000000"/>
          <w:sz w:val="28"/>
          <w:szCs w:val="28"/>
        </w:rPr>
        <w:t>（2）材料和工程设备暂估价金额：</w:t>
      </w:r>
    </w:p>
    <w:p w14:paraId="43BB8467">
      <w:pPr>
        <w:spacing w:line="500" w:lineRule="exact"/>
        <w:ind w:firstLine="1260" w:firstLineChars="450"/>
        <w:rPr>
          <w:rFonts w:eastAsia="仿宋_GB2312"/>
          <w:color w:val="000000"/>
          <w:sz w:val="28"/>
          <w:szCs w:val="28"/>
        </w:rPr>
      </w:pPr>
      <w:r>
        <w:rPr>
          <w:rFonts w:eastAsia="仿宋_GB2312"/>
          <w:color w:val="000000"/>
          <w:sz w:val="28"/>
          <w:szCs w:val="28"/>
        </w:rPr>
        <w:t>人民币（大写）</w:t>
      </w:r>
      <w:r>
        <w:rPr>
          <w:rFonts w:eastAsia="仿宋_GB2312"/>
          <w:color w:val="000000"/>
          <w:sz w:val="28"/>
          <w:szCs w:val="28"/>
          <w:u w:val="single"/>
        </w:rPr>
        <w:t xml:space="preserve">    </w:t>
      </w:r>
      <w:r>
        <w:rPr>
          <w:rFonts w:hint="eastAsia" w:eastAsia="仿宋_GB2312"/>
          <w:color w:val="000000"/>
          <w:sz w:val="28"/>
          <w:szCs w:val="28"/>
          <w:u w:val="single"/>
        </w:rPr>
        <w:t xml:space="preserve">  /     </w:t>
      </w:r>
      <w:r>
        <w:rPr>
          <w:rFonts w:eastAsia="仿宋_GB2312"/>
          <w:color w:val="000000"/>
          <w:sz w:val="28"/>
          <w:szCs w:val="28"/>
          <w:u w:val="single"/>
        </w:rPr>
        <w:t xml:space="preserve">  </w:t>
      </w:r>
      <w:r>
        <w:rPr>
          <w:rFonts w:eastAsia="仿宋_GB2312"/>
          <w:color w:val="000000"/>
          <w:sz w:val="28"/>
          <w:szCs w:val="28"/>
        </w:rPr>
        <w:t xml:space="preserve"> (¥</w:t>
      </w:r>
      <w:r>
        <w:rPr>
          <w:rFonts w:eastAsia="仿宋_GB2312"/>
          <w:color w:val="000000"/>
          <w:sz w:val="28"/>
          <w:szCs w:val="28"/>
          <w:u w:val="single"/>
        </w:rPr>
        <w:t xml:space="preserve">    </w:t>
      </w:r>
      <w:r>
        <w:rPr>
          <w:rFonts w:hint="eastAsia" w:eastAsia="仿宋_GB2312"/>
          <w:color w:val="000000"/>
          <w:sz w:val="28"/>
          <w:szCs w:val="28"/>
          <w:u w:val="single"/>
        </w:rPr>
        <w:t xml:space="preserve"> /    </w:t>
      </w:r>
      <w:r>
        <w:rPr>
          <w:rFonts w:eastAsia="仿宋_GB2312"/>
          <w:color w:val="000000"/>
          <w:sz w:val="28"/>
          <w:szCs w:val="28"/>
          <w:u w:val="single"/>
        </w:rPr>
        <w:t xml:space="preserve"> </w:t>
      </w:r>
      <w:r>
        <w:rPr>
          <w:rFonts w:eastAsia="仿宋_GB2312"/>
          <w:color w:val="000000"/>
          <w:sz w:val="28"/>
          <w:szCs w:val="28"/>
        </w:rPr>
        <w:t>元)；</w:t>
      </w:r>
    </w:p>
    <w:p w14:paraId="0BD33B9D">
      <w:pPr>
        <w:spacing w:line="500" w:lineRule="exact"/>
        <w:ind w:firstLine="560" w:firstLineChars="200"/>
        <w:rPr>
          <w:rFonts w:eastAsia="仿宋_GB2312"/>
          <w:color w:val="000000"/>
          <w:sz w:val="28"/>
          <w:szCs w:val="28"/>
        </w:rPr>
      </w:pPr>
      <w:r>
        <w:rPr>
          <w:rFonts w:eastAsia="仿宋_GB2312"/>
          <w:color w:val="000000"/>
          <w:sz w:val="28"/>
          <w:szCs w:val="28"/>
        </w:rPr>
        <w:t>（3）专业工程暂估价金额：</w:t>
      </w:r>
    </w:p>
    <w:p w14:paraId="41A2A17E">
      <w:pPr>
        <w:spacing w:line="500" w:lineRule="exact"/>
        <w:ind w:firstLine="1260" w:firstLineChars="450"/>
        <w:rPr>
          <w:rFonts w:eastAsia="仿宋_GB2312"/>
          <w:color w:val="000000"/>
          <w:sz w:val="28"/>
          <w:szCs w:val="28"/>
        </w:rPr>
      </w:pPr>
      <w:r>
        <w:rPr>
          <w:rFonts w:eastAsia="仿宋_GB2312"/>
          <w:color w:val="000000"/>
          <w:sz w:val="28"/>
          <w:szCs w:val="28"/>
        </w:rPr>
        <w:t>人民币（大写）</w:t>
      </w:r>
      <w:r>
        <w:rPr>
          <w:rFonts w:eastAsia="仿宋_GB2312"/>
          <w:color w:val="000000"/>
          <w:sz w:val="28"/>
          <w:szCs w:val="28"/>
          <w:u w:val="single"/>
        </w:rPr>
        <w:t xml:space="preserve">    </w:t>
      </w:r>
      <w:r>
        <w:rPr>
          <w:rFonts w:hint="eastAsia" w:eastAsia="仿宋_GB2312"/>
          <w:color w:val="000000"/>
          <w:sz w:val="28"/>
          <w:szCs w:val="28"/>
          <w:u w:val="single"/>
        </w:rPr>
        <w:t xml:space="preserve">  /     </w:t>
      </w:r>
      <w:r>
        <w:rPr>
          <w:rFonts w:eastAsia="仿宋_GB2312"/>
          <w:color w:val="000000"/>
          <w:sz w:val="28"/>
          <w:szCs w:val="28"/>
          <w:u w:val="single"/>
        </w:rPr>
        <w:t xml:space="preserve">  </w:t>
      </w:r>
      <w:r>
        <w:rPr>
          <w:rFonts w:eastAsia="仿宋_GB2312"/>
          <w:color w:val="000000"/>
          <w:sz w:val="28"/>
          <w:szCs w:val="28"/>
        </w:rPr>
        <w:t xml:space="preserve"> (¥</w:t>
      </w:r>
      <w:r>
        <w:rPr>
          <w:rFonts w:eastAsia="仿宋_GB2312"/>
          <w:color w:val="000000"/>
          <w:sz w:val="28"/>
          <w:szCs w:val="28"/>
          <w:u w:val="single"/>
        </w:rPr>
        <w:t xml:space="preserve">    </w:t>
      </w:r>
      <w:r>
        <w:rPr>
          <w:rFonts w:hint="eastAsia" w:eastAsia="仿宋_GB2312"/>
          <w:color w:val="000000"/>
          <w:sz w:val="28"/>
          <w:szCs w:val="28"/>
          <w:u w:val="single"/>
        </w:rPr>
        <w:t xml:space="preserve">  /   </w:t>
      </w:r>
      <w:r>
        <w:rPr>
          <w:rFonts w:eastAsia="仿宋_GB2312"/>
          <w:color w:val="000000"/>
          <w:sz w:val="28"/>
          <w:szCs w:val="28"/>
          <w:u w:val="single"/>
        </w:rPr>
        <w:t xml:space="preserve"> </w:t>
      </w:r>
      <w:r>
        <w:rPr>
          <w:rFonts w:eastAsia="仿宋_GB2312"/>
          <w:color w:val="000000"/>
          <w:sz w:val="28"/>
          <w:szCs w:val="28"/>
        </w:rPr>
        <w:t>元)；</w:t>
      </w:r>
    </w:p>
    <w:p w14:paraId="171A461A">
      <w:pPr>
        <w:spacing w:line="500" w:lineRule="exact"/>
        <w:ind w:firstLine="560" w:firstLineChars="200"/>
        <w:rPr>
          <w:rFonts w:eastAsia="仿宋_GB2312"/>
          <w:color w:val="000000"/>
          <w:sz w:val="28"/>
          <w:szCs w:val="28"/>
        </w:rPr>
      </w:pPr>
      <w:r>
        <w:rPr>
          <w:rFonts w:eastAsia="仿宋_GB2312"/>
          <w:color w:val="000000"/>
          <w:sz w:val="28"/>
          <w:szCs w:val="28"/>
        </w:rPr>
        <w:t>（4）暂列金额：</w:t>
      </w:r>
    </w:p>
    <w:p w14:paraId="6600196D">
      <w:pPr>
        <w:spacing w:line="500" w:lineRule="exact"/>
        <w:ind w:firstLine="1260" w:firstLineChars="450"/>
        <w:rPr>
          <w:rFonts w:eastAsia="仿宋_GB2312"/>
          <w:color w:val="000000"/>
          <w:sz w:val="28"/>
          <w:szCs w:val="28"/>
        </w:rPr>
      </w:pPr>
      <w:r>
        <w:rPr>
          <w:rFonts w:eastAsia="仿宋_GB2312"/>
          <w:color w:val="000000"/>
          <w:sz w:val="28"/>
          <w:szCs w:val="28"/>
        </w:rPr>
        <w:t>人民币（大写）</w:t>
      </w:r>
      <w:r>
        <w:rPr>
          <w:rFonts w:eastAsia="仿宋_GB2312"/>
          <w:color w:val="000000"/>
          <w:sz w:val="28"/>
          <w:szCs w:val="28"/>
          <w:u w:val="single"/>
        </w:rPr>
        <w:t xml:space="preserve">    </w:t>
      </w:r>
      <w:r>
        <w:rPr>
          <w:rFonts w:hint="eastAsia" w:eastAsia="仿宋_GB2312"/>
          <w:color w:val="000000"/>
          <w:sz w:val="28"/>
          <w:szCs w:val="28"/>
          <w:u w:val="single"/>
        </w:rPr>
        <w:t xml:space="preserve">  /     </w:t>
      </w:r>
      <w:r>
        <w:rPr>
          <w:rFonts w:eastAsia="仿宋_GB2312"/>
          <w:color w:val="000000"/>
          <w:sz w:val="28"/>
          <w:szCs w:val="28"/>
          <w:u w:val="single"/>
        </w:rPr>
        <w:t xml:space="preserve">  </w:t>
      </w:r>
      <w:r>
        <w:rPr>
          <w:rFonts w:eastAsia="仿宋_GB2312"/>
          <w:color w:val="000000"/>
          <w:sz w:val="28"/>
          <w:szCs w:val="28"/>
        </w:rPr>
        <w:t xml:space="preserve"> (¥</w:t>
      </w:r>
      <w:r>
        <w:rPr>
          <w:rFonts w:eastAsia="仿宋_GB2312"/>
          <w:color w:val="000000"/>
          <w:sz w:val="28"/>
          <w:szCs w:val="28"/>
          <w:u w:val="single"/>
        </w:rPr>
        <w:t xml:space="preserve">    </w:t>
      </w:r>
      <w:r>
        <w:rPr>
          <w:rFonts w:hint="eastAsia" w:eastAsia="仿宋_GB2312"/>
          <w:color w:val="000000"/>
          <w:sz w:val="28"/>
          <w:szCs w:val="28"/>
          <w:u w:val="single"/>
        </w:rPr>
        <w:t xml:space="preserve">  /  </w:t>
      </w:r>
      <w:r>
        <w:rPr>
          <w:rFonts w:eastAsia="仿宋_GB2312"/>
          <w:color w:val="000000"/>
          <w:sz w:val="28"/>
          <w:szCs w:val="28"/>
          <w:u w:val="single"/>
        </w:rPr>
        <w:t xml:space="preserve">  </w:t>
      </w:r>
      <w:r>
        <w:rPr>
          <w:rFonts w:eastAsia="仿宋_GB2312"/>
          <w:color w:val="000000"/>
          <w:sz w:val="28"/>
          <w:szCs w:val="28"/>
        </w:rPr>
        <w:t>元)。</w:t>
      </w:r>
    </w:p>
    <w:p w14:paraId="2CDC5D77">
      <w:pPr>
        <w:spacing w:line="500" w:lineRule="exact"/>
        <w:ind w:firstLine="560" w:firstLineChars="200"/>
        <w:rPr>
          <w:rFonts w:eastAsia="仿宋_GB2312"/>
          <w:color w:val="000000"/>
          <w:sz w:val="28"/>
          <w:szCs w:val="28"/>
        </w:rPr>
      </w:pPr>
      <w:r>
        <w:rPr>
          <w:rFonts w:eastAsia="仿宋_GB2312"/>
          <w:color w:val="000000"/>
          <w:sz w:val="28"/>
          <w:szCs w:val="28"/>
        </w:rPr>
        <w:t>2.合同价格形式：</w:t>
      </w:r>
      <w:r>
        <w:rPr>
          <w:rFonts w:hint="eastAsia" w:eastAsia="仿宋_GB2312"/>
          <w:bCs/>
          <w:color w:val="000000"/>
          <w:sz w:val="28"/>
          <w:szCs w:val="28"/>
          <w:u w:val="single"/>
        </w:rPr>
        <w:t>固定单价合同</w:t>
      </w:r>
      <w:r>
        <w:rPr>
          <w:rFonts w:eastAsia="仿宋_GB2312"/>
          <w:color w:val="000000"/>
          <w:sz w:val="28"/>
          <w:szCs w:val="28"/>
        </w:rPr>
        <w:t>。</w:t>
      </w:r>
    </w:p>
    <w:p w14:paraId="1CFA632B">
      <w:pPr>
        <w:pStyle w:val="6"/>
        <w:spacing w:before="120" w:after="120" w:line="500" w:lineRule="exact"/>
        <w:rPr>
          <w:rFonts w:ascii="Times New Roman" w:hAnsi="Times New Roman"/>
          <w:b w:val="0"/>
          <w:color w:val="000000"/>
        </w:rPr>
      </w:pPr>
      <w:r>
        <w:rPr>
          <w:rFonts w:ascii="Times New Roman" w:hAnsi="Times New Roman"/>
          <w:color w:val="000000"/>
        </w:rPr>
        <w:t xml:space="preserve">   </w:t>
      </w:r>
      <w:r>
        <w:rPr>
          <w:rFonts w:ascii="Times New Roman" w:hAnsi="Times New Roman"/>
          <w:b w:val="0"/>
          <w:color w:val="000000"/>
        </w:rPr>
        <w:t xml:space="preserve"> </w:t>
      </w:r>
      <w:bookmarkStart w:id="687" w:name="_Toc351203485"/>
      <w:r>
        <w:rPr>
          <w:rFonts w:ascii="Times New Roman" w:hAnsi="Times New Roman"/>
          <w:b w:val="0"/>
          <w:color w:val="000000"/>
        </w:rPr>
        <w:t>五、</w:t>
      </w:r>
      <w:bookmarkEnd w:id="687"/>
      <w:r>
        <w:rPr>
          <w:rFonts w:ascii="Times New Roman" w:hAnsi="Times New Roman"/>
          <w:b w:val="0"/>
          <w:color w:val="000000"/>
        </w:rPr>
        <w:t>项目经理</w:t>
      </w:r>
    </w:p>
    <w:p w14:paraId="4CBB204B">
      <w:pPr>
        <w:spacing w:line="500" w:lineRule="exact"/>
        <w:ind w:firstLine="560" w:firstLineChars="200"/>
        <w:rPr>
          <w:rFonts w:eastAsia="仿宋_GB2312"/>
          <w:color w:val="000000"/>
          <w:sz w:val="28"/>
          <w:szCs w:val="28"/>
        </w:rPr>
      </w:pPr>
      <w:r>
        <w:rPr>
          <w:rFonts w:eastAsia="仿宋_GB2312"/>
          <w:color w:val="000000"/>
          <w:sz w:val="28"/>
          <w:szCs w:val="28"/>
        </w:rPr>
        <w:t>承包人项目经理：</w:t>
      </w:r>
      <w:r>
        <w:rPr>
          <w:rFonts w:hint="eastAsia" w:eastAsia="仿宋_GB2312"/>
          <w:color w:val="000000"/>
          <w:sz w:val="28"/>
          <w:szCs w:val="28"/>
          <w:u w:val="single"/>
        </w:rPr>
        <w:t xml:space="preserve">      </w:t>
      </w:r>
      <w:r>
        <w:rPr>
          <w:rFonts w:eastAsia="仿宋_GB2312"/>
          <w:color w:val="000000"/>
          <w:sz w:val="28"/>
          <w:szCs w:val="28"/>
        </w:rPr>
        <w:t>。</w:t>
      </w:r>
    </w:p>
    <w:p w14:paraId="41D2B583">
      <w:pPr>
        <w:pStyle w:val="6"/>
        <w:spacing w:before="120" w:after="120" w:line="500" w:lineRule="exact"/>
        <w:rPr>
          <w:rFonts w:ascii="Times New Roman" w:hAnsi="Times New Roman"/>
          <w:color w:val="000000"/>
        </w:rPr>
      </w:pPr>
      <w:r>
        <w:rPr>
          <w:rFonts w:ascii="Times New Roman" w:hAnsi="Times New Roman"/>
          <w:color w:val="000000"/>
        </w:rPr>
        <w:t xml:space="preserve">   </w:t>
      </w:r>
      <w:r>
        <w:rPr>
          <w:rFonts w:ascii="Times New Roman" w:hAnsi="Times New Roman"/>
          <w:b w:val="0"/>
          <w:color w:val="000000"/>
        </w:rPr>
        <w:t xml:space="preserve"> </w:t>
      </w:r>
      <w:bookmarkStart w:id="688" w:name="_Toc351203486"/>
      <w:r>
        <w:rPr>
          <w:rFonts w:ascii="Times New Roman" w:hAnsi="Times New Roman"/>
          <w:b w:val="0"/>
          <w:color w:val="000000"/>
        </w:rPr>
        <w:t>六、合同文件构成</w:t>
      </w:r>
      <w:bookmarkEnd w:id="688"/>
    </w:p>
    <w:p w14:paraId="4B8A3B61">
      <w:pPr>
        <w:spacing w:line="500" w:lineRule="exact"/>
        <w:ind w:firstLine="560" w:firstLineChars="200"/>
        <w:rPr>
          <w:rFonts w:eastAsia="仿宋_GB2312"/>
          <w:bCs/>
          <w:color w:val="000000"/>
          <w:sz w:val="28"/>
          <w:szCs w:val="28"/>
        </w:rPr>
      </w:pPr>
      <w:r>
        <w:rPr>
          <w:rFonts w:eastAsia="仿宋_GB2312"/>
          <w:bCs/>
          <w:color w:val="000000"/>
          <w:sz w:val="28"/>
          <w:szCs w:val="28"/>
        </w:rPr>
        <w:t>本协议书与下列文件一起构成合同文件：</w:t>
      </w:r>
    </w:p>
    <w:p w14:paraId="1114DB72">
      <w:pPr>
        <w:autoSpaceDE w:val="0"/>
        <w:autoSpaceDN w:val="0"/>
        <w:adjustRightInd w:val="0"/>
        <w:spacing w:line="500" w:lineRule="exact"/>
        <w:ind w:firstLine="560" w:firstLineChars="200"/>
        <w:jc w:val="left"/>
        <w:rPr>
          <w:rFonts w:eastAsia="仿宋_GB2312"/>
          <w:color w:val="000000"/>
          <w:sz w:val="28"/>
          <w:szCs w:val="28"/>
        </w:rPr>
      </w:pPr>
      <w:r>
        <w:rPr>
          <w:rFonts w:eastAsia="仿宋_GB2312"/>
          <w:color w:val="000000"/>
          <w:sz w:val="28"/>
          <w:szCs w:val="28"/>
        </w:rPr>
        <w:t>（1）中标通知书（如果有）；</w:t>
      </w:r>
    </w:p>
    <w:p w14:paraId="68336AC5">
      <w:pPr>
        <w:autoSpaceDE w:val="0"/>
        <w:autoSpaceDN w:val="0"/>
        <w:adjustRightInd w:val="0"/>
        <w:spacing w:line="500" w:lineRule="exact"/>
        <w:ind w:firstLine="560" w:firstLineChars="200"/>
        <w:jc w:val="left"/>
        <w:rPr>
          <w:rFonts w:eastAsia="仿宋_GB2312"/>
          <w:color w:val="000000"/>
          <w:sz w:val="28"/>
          <w:szCs w:val="28"/>
        </w:rPr>
      </w:pPr>
      <w:r>
        <w:rPr>
          <w:rFonts w:eastAsia="仿宋_GB2312"/>
          <w:color w:val="000000"/>
          <w:sz w:val="28"/>
          <w:szCs w:val="28"/>
        </w:rPr>
        <w:t xml:space="preserve">（2）投标函及其附录（如果有）； </w:t>
      </w:r>
    </w:p>
    <w:p w14:paraId="1793F6EA">
      <w:pPr>
        <w:autoSpaceDE w:val="0"/>
        <w:autoSpaceDN w:val="0"/>
        <w:adjustRightInd w:val="0"/>
        <w:spacing w:line="500" w:lineRule="exact"/>
        <w:ind w:firstLine="560" w:firstLineChars="200"/>
        <w:jc w:val="left"/>
        <w:rPr>
          <w:rFonts w:eastAsia="仿宋_GB2312"/>
          <w:color w:val="000000"/>
          <w:sz w:val="28"/>
          <w:szCs w:val="28"/>
        </w:rPr>
      </w:pPr>
      <w:r>
        <w:rPr>
          <w:rFonts w:eastAsia="仿宋_GB2312"/>
          <w:color w:val="000000"/>
          <w:sz w:val="28"/>
          <w:szCs w:val="28"/>
        </w:rPr>
        <w:t>（3）专用合同条款及其附件；</w:t>
      </w:r>
    </w:p>
    <w:p w14:paraId="22741F57">
      <w:pPr>
        <w:autoSpaceDE w:val="0"/>
        <w:autoSpaceDN w:val="0"/>
        <w:adjustRightInd w:val="0"/>
        <w:spacing w:line="500" w:lineRule="exact"/>
        <w:ind w:firstLine="560" w:firstLineChars="200"/>
        <w:jc w:val="left"/>
        <w:rPr>
          <w:rFonts w:eastAsia="仿宋_GB2312"/>
          <w:color w:val="000000"/>
          <w:sz w:val="28"/>
          <w:szCs w:val="28"/>
        </w:rPr>
      </w:pPr>
      <w:r>
        <w:rPr>
          <w:rFonts w:eastAsia="仿宋_GB2312"/>
          <w:color w:val="000000"/>
          <w:sz w:val="28"/>
          <w:szCs w:val="28"/>
        </w:rPr>
        <w:t>（4）通用合同条款；</w:t>
      </w:r>
    </w:p>
    <w:p w14:paraId="5BE30626">
      <w:pPr>
        <w:autoSpaceDE w:val="0"/>
        <w:autoSpaceDN w:val="0"/>
        <w:adjustRightInd w:val="0"/>
        <w:spacing w:line="500" w:lineRule="exact"/>
        <w:ind w:firstLine="560" w:firstLineChars="200"/>
        <w:jc w:val="left"/>
        <w:rPr>
          <w:rFonts w:eastAsia="仿宋_GB2312"/>
          <w:color w:val="000000"/>
          <w:sz w:val="28"/>
          <w:szCs w:val="28"/>
        </w:rPr>
      </w:pPr>
      <w:r>
        <w:rPr>
          <w:rFonts w:eastAsia="仿宋_GB2312"/>
          <w:color w:val="000000"/>
          <w:sz w:val="28"/>
          <w:szCs w:val="28"/>
        </w:rPr>
        <w:t>（5）技术标准和要求；</w:t>
      </w:r>
    </w:p>
    <w:p w14:paraId="2F6FCCD4">
      <w:pPr>
        <w:autoSpaceDE w:val="0"/>
        <w:autoSpaceDN w:val="0"/>
        <w:adjustRightInd w:val="0"/>
        <w:spacing w:line="500" w:lineRule="exact"/>
        <w:ind w:firstLine="560" w:firstLineChars="200"/>
        <w:jc w:val="left"/>
        <w:rPr>
          <w:rFonts w:eastAsia="仿宋_GB2312"/>
          <w:color w:val="000000"/>
          <w:sz w:val="28"/>
          <w:szCs w:val="28"/>
        </w:rPr>
      </w:pPr>
      <w:r>
        <w:rPr>
          <w:rFonts w:eastAsia="仿宋_GB2312"/>
          <w:color w:val="000000"/>
          <w:sz w:val="28"/>
          <w:szCs w:val="28"/>
        </w:rPr>
        <w:t>（6）图纸；</w:t>
      </w:r>
    </w:p>
    <w:p w14:paraId="6F119F81">
      <w:pPr>
        <w:autoSpaceDE w:val="0"/>
        <w:autoSpaceDN w:val="0"/>
        <w:adjustRightInd w:val="0"/>
        <w:spacing w:line="500" w:lineRule="exact"/>
        <w:ind w:firstLine="560" w:firstLineChars="200"/>
        <w:jc w:val="left"/>
        <w:rPr>
          <w:rFonts w:eastAsia="仿宋_GB2312"/>
          <w:color w:val="000000"/>
          <w:sz w:val="28"/>
          <w:szCs w:val="28"/>
        </w:rPr>
      </w:pPr>
      <w:r>
        <w:rPr>
          <w:rFonts w:eastAsia="仿宋_GB2312"/>
          <w:color w:val="000000"/>
          <w:sz w:val="28"/>
          <w:szCs w:val="28"/>
        </w:rPr>
        <w:t>（7）已标价工程量清单或预算书；</w:t>
      </w:r>
    </w:p>
    <w:p w14:paraId="12210470">
      <w:pPr>
        <w:autoSpaceDE w:val="0"/>
        <w:autoSpaceDN w:val="0"/>
        <w:adjustRightInd w:val="0"/>
        <w:spacing w:line="500" w:lineRule="exact"/>
        <w:ind w:firstLine="560" w:firstLineChars="200"/>
        <w:jc w:val="left"/>
        <w:rPr>
          <w:rFonts w:eastAsia="仿宋_GB2312"/>
          <w:color w:val="000000"/>
          <w:sz w:val="28"/>
          <w:szCs w:val="28"/>
        </w:rPr>
      </w:pPr>
      <w:r>
        <w:rPr>
          <w:rFonts w:eastAsia="仿宋_GB2312"/>
          <w:color w:val="000000"/>
          <w:sz w:val="28"/>
          <w:szCs w:val="28"/>
        </w:rPr>
        <w:t>（8）其他合同文件。</w:t>
      </w:r>
    </w:p>
    <w:p w14:paraId="17B3F7CF">
      <w:pPr>
        <w:autoSpaceDE w:val="0"/>
        <w:autoSpaceDN w:val="0"/>
        <w:adjustRightInd w:val="0"/>
        <w:spacing w:line="500" w:lineRule="exact"/>
        <w:ind w:firstLine="560" w:firstLineChars="200"/>
        <w:jc w:val="left"/>
        <w:rPr>
          <w:rFonts w:eastAsia="仿宋_GB2312"/>
          <w:color w:val="000000"/>
          <w:sz w:val="28"/>
          <w:szCs w:val="28"/>
        </w:rPr>
      </w:pPr>
      <w:r>
        <w:rPr>
          <w:rFonts w:eastAsia="仿宋_GB2312"/>
          <w:color w:val="000000"/>
          <w:sz w:val="28"/>
          <w:szCs w:val="28"/>
        </w:rPr>
        <w:t>在合同订立及履行过程中形成的与合同有关的文件均构成合同文件组成部分。</w:t>
      </w:r>
    </w:p>
    <w:p w14:paraId="6E367FBC">
      <w:pPr>
        <w:autoSpaceDE w:val="0"/>
        <w:autoSpaceDN w:val="0"/>
        <w:adjustRightInd w:val="0"/>
        <w:spacing w:line="500" w:lineRule="exact"/>
        <w:ind w:firstLine="560" w:firstLineChars="200"/>
        <w:jc w:val="left"/>
        <w:rPr>
          <w:rFonts w:eastAsia="仿宋_GB2312"/>
          <w:color w:val="000000"/>
          <w:sz w:val="28"/>
          <w:szCs w:val="28"/>
        </w:rPr>
      </w:pPr>
      <w:r>
        <w:rPr>
          <w:rFonts w:eastAsia="仿宋_GB2312"/>
          <w:color w:val="000000"/>
          <w:sz w:val="28"/>
          <w:szCs w:val="28"/>
        </w:rPr>
        <w:t>上述各项合同文件包括合同当事人就该项合同文件所作出的补充和修改，属于同一类内容的文件，应以最新签署的为准。</w:t>
      </w:r>
      <w:r>
        <w:rPr>
          <w:rFonts w:hint="eastAsia" w:eastAsia="仿宋_GB2312"/>
          <w:color w:val="000000"/>
          <w:sz w:val="28"/>
          <w:szCs w:val="28"/>
        </w:rPr>
        <w:t>专用合同条款及其附件须经合同当事人签字或盖章。</w:t>
      </w:r>
    </w:p>
    <w:p w14:paraId="3BCF50B3">
      <w:pPr>
        <w:pStyle w:val="6"/>
        <w:spacing w:before="120" w:after="120" w:line="500" w:lineRule="exact"/>
        <w:rPr>
          <w:rFonts w:ascii="Times New Roman" w:hAnsi="Times New Roman"/>
          <w:b w:val="0"/>
          <w:color w:val="000000"/>
        </w:rPr>
      </w:pPr>
      <w:r>
        <w:rPr>
          <w:rFonts w:ascii="Times New Roman" w:hAnsi="Times New Roman"/>
          <w:b w:val="0"/>
          <w:color w:val="000000"/>
        </w:rPr>
        <w:t xml:space="preserve">    </w:t>
      </w:r>
      <w:bookmarkStart w:id="689" w:name="_Toc351203487"/>
      <w:r>
        <w:rPr>
          <w:rFonts w:ascii="Times New Roman" w:hAnsi="Times New Roman"/>
          <w:b w:val="0"/>
          <w:color w:val="000000"/>
        </w:rPr>
        <w:t>七、承诺</w:t>
      </w:r>
      <w:bookmarkEnd w:id="689"/>
    </w:p>
    <w:p w14:paraId="1B57B12E">
      <w:pPr>
        <w:spacing w:line="500" w:lineRule="exact"/>
        <w:ind w:firstLine="560" w:firstLineChars="200"/>
        <w:rPr>
          <w:rFonts w:eastAsia="仿宋_GB2312"/>
          <w:bCs/>
          <w:color w:val="000000"/>
          <w:sz w:val="28"/>
          <w:szCs w:val="28"/>
        </w:rPr>
      </w:pPr>
      <w:r>
        <w:rPr>
          <w:rFonts w:eastAsia="仿宋_GB2312"/>
          <w:bCs/>
          <w:color w:val="000000"/>
          <w:sz w:val="28"/>
          <w:szCs w:val="28"/>
        </w:rPr>
        <w:t>1.发包人承诺按照法律规定履行项目审批手续、筹集工程建设资金并按照合同约定的期限和方式支付合同价款。</w:t>
      </w:r>
    </w:p>
    <w:p w14:paraId="0E34F680">
      <w:pPr>
        <w:spacing w:line="500" w:lineRule="exact"/>
        <w:ind w:firstLine="560" w:firstLineChars="200"/>
        <w:rPr>
          <w:rFonts w:eastAsia="仿宋_GB2312"/>
          <w:bCs/>
          <w:color w:val="000000"/>
          <w:sz w:val="28"/>
          <w:szCs w:val="28"/>
        </w:rPr>
      </w:pPr>
      <w:r>
        <w:rPr>
          <w:rFonts w:eastAsia="仿宋_GB2312"/>
          <w:bCs/>
          <w:color w:val="000000"/>
          <w:sz w:val="28"/>
          <w:szCs w:val="28"/>
        </w:rPr>
        <w:t>2.承包人承诺按照法律规定及合同约定组织完成工程施工，确保工程质量和安全，不进行转包及违法分包，并在缺陷责任期及保修期内承担相应的工程维修责任。</w:t>
      </w:r>
    </w:p>
    <w:p w14:paraId="20E1363D">
      <w:pPr>
        <w:spacing w:line="500" w:lineRule="exact"/>
        <w:ind w:firstLine="560" w:firstLineChars="200"/>
        <w:rPr>
          <w:rFonts w:eastAsia="仿宋_GB2312"/>
          <w:bCs/>
          <w:color w:val="000000"/>
          <w:sz w:val="28"/>
          <w:szCs w:val="28"/>
        </w:rPr>
      </w:pPr>
      <w:r>
        <w:rPr>
          <w:rFonts w:eastAsia="仿宋_GB2312"/>
          <w:bCs/>
          <w:color w:val="000000"/>
          <w:sz w:val="28"/>
          <w:szCs w:val="28"/>
        </w:rPr>
        <w:t>3.发包人和承包人通过招投标形式签订合同的，双方理解并</w:t>
      </w:r>
      <w:r>
        <w:rPr>
          <w:rFonts w:hint="eastAsia" w:eastAsia="仿宋_GB2312"/>
          <w:bCs/>
          <w:color w:val="000000"/>
          <w:sz w:val="28"/>
          <w:szCs w:val="28"/>
        </w:rPr>
        <w:t>承诺</w:t>
      </w:r>
      <w:r>
        <w:rPr>
          <w:rFonts w:eastAsia="仿宋_GB2312"/>
          <w:bCs/>
          <w:color w:val="000000"/>
          <w:sz w:val="28"/>
          <w:szCs w:val="28"/>
        </w:rPr>
        <w:t>不再就同一工程另行签订与合同实质性内容相背离的协议。</w:t>
      </w:r>
    </w:p>
    <w:p w14:paraId="7AEA7C4D">
      <w:pPr>
        <w:spacing w:line="500" w:lineRule="exact"/>
        <w:rPr>
          <w:rFonts w:eastAsia="黑体"/>
          <w:bCs/>
          <w:color w:val="000000"/>
          <w:sz w:val="28"/>
          <w:szCs w:val="28"/>
        </w:rPr>
      </w:pPr>
      <w:bookmarkStart w:id="690" w:name="_Toc351203488"/>
      <w:r>
        <w:rPr>
          <w:rFonts w:hint="eastAsia" w:eastAsia="黑体"/>
          <w:b/>
          <w:color w:val="000000"/>
          <w:sz w:val="28"/>
          <w:szCs w:val="28"/>
        </w:rPr>
        <w:t xml:space="preserve">    </w:t>
      </w:r>
      <w:r>
        <w:rPr>
          <w:rFonts w:eastAsia="黑体"/>
          <w:b/>
          <w:color w:val="000000"/>
          <w:sz w:val="28"/>
          <w:szCs w:val="28"/>
        </w:rPr>
        <w:t>八、词语含义</w:t>
      </w:r>
      <w:bookmarkEnd w:id="690"/>
    </w:p>
    <w:p w14:paraId="10AF9461">
      <w:pPr>
        <w:spacing w:line="500" w:lineRule="exact"/>
        <w:ind w:firstLine="560" w:firstLineChars="200"/>
        <w:rPr>
          <w:rFonts w:eastAsia="仿宋_GB2312"/>
          <w:bCs/>
          <w:color w:val="000000"/>
          <w:sz w:val="28"/>
          <w:szCs w:val="28"/>
        </w:rPr>
      </w:pPr>
      <w:r>
        <w:rPr>
          <w:rFonts w:eastAsia="仿宋_GB2312"/>
          <w:bCs/>
          <w:color w:val="000000"/>
          <w:sz w:val="28"/>
          <w:szCs w:val="28"/>
        </w:rPr>
        <w:t>本协议书中词语含义与第二部分通用合同条款中赋予的含义相同。</w:t>
      </w:r>
    </w:p>
    <w:p w14:paraId="3ADC1133">
      <w:pPr>
        <w:pStyle w:val="6"/>
        <w:spacing w:before="120" w:after="120" w:line="500" w:lineRule="exact"/>
        <w:rPr>
          <w:rFonts w:ascii="Times New Roman" w:hAnsi="Times New Roman"/>
          <w:color w:val="000000"/>
        </w:rPr>
      </w:pPr>
      <w:r>
        <w:rPr>
          <w:rFonts w:ascii="Times New Roman" w:hAnsi="Times New Roman"/>
          <w:color w:val="000000"/>
        </w:rPr>
        <w:t xml:space="preserve">  </w:t>
      </w:r>
      <w:r>
        <w:rPr>
          <w:rFonts w:ascii="Times New Roman" w:hAnsi="Times New Roman"/>
          <w:b w:val="0"/>
          <w:color w:val="000000"/>
        </w:rPr>
        <w:t xml:space="preserve">  </w:t>
      </w:r>
      <w:bookmarkStart w:id="691" w:name="_Toc351203489"/>
      <w:r>
        <w:rPr>
          <w:rFonts w:ascii="Times New Roman" w:hAnsi="Times New Roman"/>
          <w:b w:val="0"/>
          <w:color w:val="000000"/>
        </w:rPr>
        <w:t>九、签订时间</w:t>
      </w:r>
      <w:bookmarkEnd w:id="691"/>
    </w:p>
    <w:p w14:paraId="278CA1B4">
      <w:pPr>
        <w:spacing w:line="500" w:lineRule="exact"/>
        <w:ind w:firstLine="560" w:firstLineChars="200"/>
        <w:rPr>
          <w:rFonts w:eastAsia="仿宋_GB2312"/>
          <w:bCs/>
          <w:color w:val="000000"/>
          <w:sz w:val="28"/>
          <w:szCs w:val="28"/>
        </w:rPr>
      </w:pPr>
      <w:r>
        <w:rPr>
          <w:rFonts w:eastAsia="仿宋_GB2312"/>
          <w:bCs/>
          <w:color w:val="000000"/>
          <w:sz w:val="28"/>
          <w:szCs w:val="28"/>
        </w:rPr>
        <w:t>本合同于</w:t>
      </w:r>
      <w:r>
        <w:rPr>
          <w:rFonts w:eastAsia="仿宋_GB2312"/>
          <w:bCs/>
          <w:color w:val="000000"/>
          <w:sz w:val="28"/>
          <w:szCs w:val="28"/>
          <w:u w:val="single"/>
        </w:rPr>
        <w:t xml:space="preserve">         </w:t>
      </w:r>
      <w:r>
        <w:rPr>
          <w:rFonts w:eastAsia="仿宋_GB2312"/>
          <w:bCs/>
          <w:color w:val="000000"/>
          <w:sz w:val="28"/>
          <w:szCs w:val="28"/>
        </w:rPr>
        <w:t>年</w:t>
      </w:r>
      <w:r>
        <w:rPr>
          <w:rFonts w:eastAsia="仿宋_GB2312"/>
          <w:bCs/>
          <w:color w:val="000000"/>
          <w:sz w:val="28"/>
          <w:szCs w:val="28"/>
          <w:u w:val="single"/>
        </w:rPr>
        <w:t xml:space="preserve">    </w:t>
      </w:r>
      <w:r>
        <w:rPr>
          <w:rFonts w:eastAsia="仿宋_GB2312"/>
          <w:bCs/>
          <w:color w:val="000000"/>
          <w:sz w:val="28"/>
          <w:szCs w:val="28"/>
        </w:rPr>
        <w:t>月</w:t>
      </w:r>
      <w:r>
        <w:rPr>
          <w:rFonts w:eastAsia="仿宋_GB2312"/>
          <w:bCs/>
          <w:color w:val="000000"/>
          <w:sz w:val="28"/>
          <w:szCs w:val="28"/>
          <w:u w:val="single"/>
        </w:rPr>
        <w:t xml:space="preserve">    </w:t>
      </w:r>
      <w:r>
        <w:rPr>
          <w:rFonts w:eastAsia="仿宋_GB2312"/>
          <w:bCs/>
          <w:color w:val="000000"/>
          <w:sz w:val="28"/>
          <w:szCs w:val="28"/>
        </w:rPr>
        <w:t>日签订。</w:t>
      </w:r>
    </w:p>
    <w:p w14:paraId="59243781">
      <w:pPr>
        <w:pStyle w:val="6"/>
        <w:spacing w:before="120" w:after="120" w:line="500" w:lineRule="exact"/>
        <w:rPr>
          <w:rFonts w:ascii="Times New Roman" w:hAnsi="Times New Roman"/>
          <w:color w:val="000000"/>
        </w:rPr>
      </w:pPr>
      <w:r>
        <w:rPr>
          <w:rFonts w:ascii="Times New Roman" w:hAnsi="Times New Roman"/>
          <w:color w:val="000000"/>
        </w:rPr>
        <w:t xml:space="preserve">    </w:t>
      </w:r>
      <w:bookmarkStart w:id="692" w:name="_Toc351203490"/>
      <w:r>
        <w:rPr>
          <w:rFonts w:ascii="Times New Roman" w:hAnsi="Times New Roman"/>
          <w:b w:val="0"/>
          <w:color w:val="000000"/>
        </w:rPr>
        <w:t>十、签订地点</w:t>
      </w:r>
      <w:bookmarkEnd w:id="692"/>
    </w:p>
    <w:p w14:paraId="5D7223C8">
      <w:pPr>
        <w:spacing w:line="500" w:lineRule="exact"/>
        <w:ind w:firstLine="560" w:firstLineChars="200"/>
        <w:rPr>
          <w:rFonts w:eastAsia="仿宋_GB2312"/>
          <w:bCs/>
          <w:color w:val="000000"/>
          <w:sz w:val="28"/>
          <w:szCs w:val="28"/>
        </w:rPr>
      </w:pPr>
      <w:r>
        <w:rPr>
          <w:rFonts w:eastAsia="仿宋_GB2312"/>
          <w:bCs/>
          <w:color w:val="000000"/>
          <w:sz w:val="28"/>
          <w:szCs w:val="28"/>
        </w:rPr>
        <w:t>本合同在</w:t>
      </w:r>
      <w:r>
        <w:rPr>
          <w:rFonts w:hint="eastAsia" w:eastAsia="仿宋_GB2312"/>
          <w:bCs/>
          <w:color w:val="000000"/>
          <w:sz w:val="28"/>
          <w:szCs w:val="28"/>
          <w:u w:val="single"/>
        </w:rPr>
        <w:t>北京市颐和园管理处</w:t>
      </w:r>
      <w:r>
        <w:rPr>
          <w:rFonts w:eastAsia="仿宋_GB2312"/>
          <w:bCs/>
          <w:color w:val="000000"/>
          <w:sz w:val="28"/>
          <w:szCs w:val="28"/>
        </w:rPr>
        <w:t>签订。</w:t>
      </w:r>
    </w:p>
    <w:p w14:paraId="7ED39A47">
      <w:pPr>
        <w:pStyle w:val="6"/>
        <w:spacing w:before="120" w:after="120" w:line="500" w:lineRule="exact"/>
        <w:rPr>
          <w:rFonts w:ascii="Times New Roman" w:hAnsi="Times New Roman"/>
          <w:color w:val="000000"/>
        </w:rPr>
      </w:pPr>
      <w:r>
        <w:rPr>
          <w:rFonts w:ascii="Times New Roman" w:hAnsi="Times New Roman"/>
          <w:color w:val="000000"/>
        </w:rPr>
        <w:t xml:space="preserve">    </w:t>
      </w:r>
      <w:bookmarkStart w:id="693" w:name="_Toc351203491"/>
      <w:r>
        <w:rPr>
          <w:rFonts w:ascii="Times New Roman" w:hAnsi="Times New Roman"/>
          <w:b w:val="0"/>
          <w:color w:val="000000"/>
        </w:rPr>
        <w:t>十一、补充协议</w:t>
      </w:r>
      <w:bookmarkEnd w:id="693"/>
    </w:p>
    <w:p w14:paraId="16D281D8">
      <w:pPr>
        <w:spacing w:line="500" w:lineRule="exact"/>
        <w:ind w:firstLine="560" w:firstLineChars="200"/>
        <w:rPr>
          <w:rFonts w:eastAsia="仿宋_GB2312"/>
          <w:b/>
          <w:bCs/>
          <w:color w:val="000000"/>
          <w:sz w:val="28"/>
          <w:szCs w:val="28"/>
        </w:rPr>
      </w:pPr>
      <w:r>
        <w:rPr>
          <w:rFonts w:eastAsia="仿宋_GB2312"/>
          <w:bCs/>
          <w:color w:val="000000"/>
          <w:sz w:val="28"/>
          <w:szCs w:val="28"/>
        </w:rPr>
        <w:t>合同未尽事宜，合同当事人另行签订补充协议</w:t>
      </w:r>
      <w:r>
        <w:rPr>
          <w:rFonts w:hint="eastAsia" w:eastAsia="仿宋_GB2312"/>
          <w:bCs/>
          <w:color w:val="000000"/>
          <w:sz w:val="28"/>
          <w:szCs w:val="28"/>
        </w:rPr>
        <w:t>，</w:t>
      </w:r>
      <w:r>
        <w:rPr>
          <w:rFonts w:eastAsia="仿宋_GB2312"/>
          <w:bCs/>
          <w:color w:val="000000"/>
          <w:sz w:val="28"/>
          <w:szCs w:val="28"/>
        </w:rPr>
        <w:t>补充协议是合同的组成部分。</w:t>
      </w:r>
    </w:p>
    <w:p w14:paraId="24CBEC40">
      <w:pPr>
        <w:pStyle w:val="6"/>
        <w:spacing w:before="120" w:after="120" w:line="500" w:lineRule="exact"/>
        <w:rPr>
          <w:rFonts w:ascii="Times New Roman" w:hAnsi="Times New Roman"/>
          <w:color w:val="000000"/>
        </w:rPr>
      </w:pPr>
      <w:r>
        <w:rPr>
          <w:rFonts w:ascii="Times New Roman" w:hAnsi="Times New Roman"/>
          <w:color w:val="000000"/>
        </w:rPr>
        <w:t xml:space="preserve">    </w:t>
      </w:r>
      <w:bookmarkStart w:id="694" w:name="_Toc351203492"/>
      <w:r>
        <w:rPr>
          <w:rFonts w:ascii="Times New Roman" w:hAnsi="Times New Roman"/>
          <w:b w:val="0"/>
          <w:color w:val="000000"/>
        </w:rPr>
        <w:t>十二、合同生效</w:t>
      </w:r>
      <w:bookmarkEnd w:id="694"/>
    </w:p>
    <w:p w14:paraId="3E33103E">
      <w:pPr>
        <w:spacing w:line="500" w:lineRule="exact"/>
        <w:ind w:firstLine="560" w:firstLineChars="200"/>
        <w:rPr>
          <w:rFonts w:eastAsia="仿宋_GB2312"/>
          <w:bCs/>
          <w:color w:val="000000"/>
          <w:sz w:val="28"/>
          <w:szCs w:val="28"/>
        </w:rPr>
      </w:pPr>
      <w:r>
        <w:rPr>
          <w:rFonts w:eastAsia="仿宋_GB2312"/>
          <w:bCs/>
          <w:color w:val="000000"/>
          <w:sz w:val="28"/>
          <w:szCs w:val="28"/>
        </w:rPr>
        <w:t>本合同自</w:t>
      </w:r>
      <w:r>
        <w:rPr>
          <w:rFonts w:hint="eastAsia" w:eastAsia="仿宋_GB2312"/>
          <w:bCs/>
          <w:color w:val="000000"/>
          <w:sz w:val="28"/>
          <w:szCs w:val="28"/>
          <w:u w:val="single"/>
        </w:rPr>
        <w:t>合同签订之日起</w:t>
      </w:r>
      <w:r>
        <w:rPr>
          <w:rFonts w:eastAsia="仿宋_GB2312"/>
          <w:bCs/>
          <w:color w:val="000000"/>
          <w:sz w:val="28"/>
          <w:szCs w:val="28"/>
        </w:rPr>
        <w:t>生效。</w:t>
      </w:r>
    </w:p>
    <w:p w14:paraId="4802EED1">
      <w:pPr>
        <w:pStyle w:val="6"/>
        <w:spacing w:before="120" w:after="120" w:line="500" w:lineRule="exact"/>
        <w:rPr>
          <w:rFonts w:ascii="Times New Roman" w:hAnsi="Times New Roman"/>
          <w:color w:val="000000"/>
        </w:rPr>
      </w:pPr>
      <w:r>
        <w:rPr>
          <w:rFonts w:ascii="Times New Roman" w:hAnsi="Times New Roman"/>
          <w:color w:val="000000"/>
        </w:rPr>
        <w:t xml:space="preserve">    </w:t>
      </w:r>
      <w:bookmarkStart w:id="695" w:name="_Toc351203493"/>
      <w:r>
        <w:rPr>
          <w:rFonts w:ascii="Times New Roman" w:hAnsi="Times New Roman"/>
          <w:b w:val="0"/>
          <w:color w:val="000000"/>
        </w:rPr>
        <w:t>十三、合同份数</w:t>
      </w:r>
      <w:bookmarkEnd w:id="695"/>
    </w:p>
    <w:p w14:paraId="3390AF07">
      <w:pPr>
        <w:spacing w:line="500" w:lineRule="exact"/>
        <w:ind w:firstLine="560" w:firstLineChars="200"/>
        <w:rPr>
          <w:rFonts w:eastAsia="仿宋_GB2312"/>
          <w:bCs/>
          <w:color w:val="000000"/>
          <w:sz w:val="28"/>
          <w:szCs w:val="28"/>
        </w:rPr>
      </w:pPr>
      <w:r>
        <w:rPr>
          <w:rFonts w:eastAsia="仿宋_GB2312"/>
          <w:bCs/>
          <w:color w:val="000000"/>
          <w:sz w:val="28"/>
          <w:szCs w:val="28"/>
        </w:rPr>
        <w:t>本合同一式</w:t>
      </w:r>
      <w:r>
        <w:rPr>
          <w:rFonts w:hint="eastAsia" w:eastAsia="仿宋_GB2312"/>
          <w:bCs/>
          <w:color w:val="000000"/>
          <w:sz w:val="28"/>
          <w:szCs w:val="28"/>
          <w:u w:val="single"/>
        </w:rPr>
        <w:t>捌</w:t>
      </w:r>
      <w:r>
        <w:rPr>
          <w:rFonts w:eastAsia="仿宋_GB2312"/>
          <w:bCs/>
          <w:color w:val="000000"/>
          <w:sz w:val="28"/>
          <w:szCs w:val="28"/>
        </w:rPr>
        <w:t>份，均具有同等法律效力，发包人执</w:t>
      </w:r>
      <w:r>
        <w:rPr>
          <w:rFonts w:hint="eastAsia" w:eastAsia="仿宋_GB2312"/>
          <w:bCs/>
          <w:color w:val="000000"/>
          <w:sz w:val="28"/>
          <w:szCs w:val="28"/>
          <w:u w:val="single"/>
        </w:rPr>
        <w:t>陆</w:t>
      </w:r>
      <w:r>
        <w:rPr>
          <w:rFonts w:eastAsia="仿宋_GB2312"/>
          <w:bCs/>
          <w:color w:val="000000"/>
          <w:sz w:val="28"/>
          <w:szCs w:val="28"/>
        </w:rPr>
        <w:t>份，承包人执</w:t>
      </w:r>
      <w:r>
        <w:rPr>
          <w:rFonts w:hint="eastAsia" w:eastAsia="仿宋_GB2312"/>
          <w:bCs/>
          <w:color w:val="000000"/>
          <w:sz w:val="28"/>
          <w:szCs w:val="28"/>
          <w:u w:val="single"/>
        </w:rPr>
        <w:t>贰</w:t>
      </w:r>
      <w:r>
        <w:rPr>
          <w:rFonts w:eastAsia="仿宋_GB2312"/>
          <w:bCs/>
          <w:color w:val="000000"/>
          <w:sz w:val="28"/>
          <w:szCs w:val="28"/>
        </w:rPr>
        <w:t>份。</w:t>
      </w:r>
    </w:p>
    <w:p w14:paraId="509776FC">
      <w:pPr>
        <w:spacing w:line="500" w:lineRule="exact"/>
        <w:rPr>
          <w:rFonts w:eastAsia="仿宋_GB2312"/>
          <w:bCs/>
          <w:color w:val="000000"/>
          <w:sz w:val="28"/>
          <w:szCs w:val="28"/>
        </w:rPr>
      </w:pPr>
    </w:p>
    <w:p w14:paraId="5DBC7A69">
      <w:pPr>
        <w:spacing w:line="500" w:lineRule="exact"/>
        <w:rPr>
          <w:rFonts w:eastAsia="仿宋_GB2312"/>
          <w:bCs/>
          <w:color w:val="000000"/>
          <w:sz w:val="28"/>
          <w:szCs w:val="28"/>
        </w:rPr>
      </w:pPr>
    </w:p>
    <w:p w14:paraId="22B0F852">
      <w:pPr>
        <w:spacing w:line="500" w:lineRule="exact"/>
        <w:rPr>
          <w:rFonts w:eastAsia="仿宋_GB2312"/>
          <w:bCs/>
          <w:color w:val="000000"/>
          <w:sz w:val="28"/>
          <w:szCs w:val="28"/>
        </w:rPr>
      </w:pPr>
    </w:p>
    <w:p w14:paraId="7A332406">
      <w:pPr>
        <w:spacing w:line="500" w:lineRule="exact"/>
        <w:rPr>
          <w:rFonts w:eastAsia="仿宋_GB2312"/>
          <w:bCs/>
          <w:color w:val="000000"/>
          <w:sz w:val="28"/>
          <w:szCs w:val="28"/>
        </w:rPr>
      </w:pPr>
      <w:r>
        <w:rPr>
          <w:rFonts w:hint="eastAsia" w:eastAsia="仿宋_GB2312"/>
          <w:bCs/>
          <w:color w:val="000000"/>
          <w:sz w:val="28"/>
          <w:szCs w:val="28"/>
        </w:rPr>
        <w:t>发包人：（公章）                     承包人：（公章）</w:t>
      </w:r>
    </w:p>
    <w:p w14:paraId="16F9E9E7">
      <w:pPr>
        <w:spacing w:line="500" w:lineRule="exact"/>
        <w:rPr>
          <w:rFonts w:eastAsia="仿宋_GB2312"/>
          <w:bCs/>
          <w:color w:val="000000"/>
          <w:sz w:val="28"/>
          <w:szCs w:val="28"/>
        </w:rPr>
      </w:pPr>
    </w:p>
    <w:p w14:paraId="0C8EEFCE">
      <w:pPr>
        <w:spacing w:line="500" w:lineRule="exact"/>
        <w:rPr>
          <w:rFonts w:eastAsia="仿宋_GB2312"/>
          <w:bCs/>
          <w:color w:val="000000"/>
          <w:sz w:val="28"/>
          <w:szCs w:val="28"/>
        </w:rPr>
      </w:pPr>
    </w:p>
    <w:p w14:paraId="62925DBE">
      <w:pPr>
        <w:spacing w:line="500" w:lineRule="exact"/>
        <w:ind w:left="5880" w:hanging="5880" w:hangingChars="2100"/>
        <w:rPr>
          <w:rFonts w:eastAsia="仿宋_GB2312"/>
          <w:bCs/>
          <w:color w:val="000000"/>
          <w:sz w:val="28"/>
          <w:szCs w:val="28"/>
          <w:u w:val="single"/>
        </w:rPr>
      </w:pPr>
      <w:r>
        <w:rPr>
          <w:rFonts w:hint="eastAsia" w:eastAsia="仿宋_GB2312"/>
          <w:bCs/>
          <w:color w:val="000000"/>
          <w:sz w:val="28"/>
          <w:szCs w:val="28"/>
        </w:rPr>
        <w:t>住所：</w:t>
      </w:r>
      <w:r>
        <w:rPr>
          <w:rFonts w:hint="eastAsia" w:eastAsia="仿宋_GB2312"/>
          <w:bCs/>
          <w:color w:val="000000"/>
          <w:sz w:val="28"/>
          <w:szCs w:val="28"/>
          <w:u w:val="single"/>
        </w:rPr>
        <w:t>北京市海淀区新建宫门路19号</w:t>
      </w:r>
      <w:r>
        <w:rPr>
          <w:rFonts w:hint="eastAsia" w:eastAsia="仿宋_GB2312"/>
          <w:bCs/>
          <w:color w:val="000000"/>
          <w:sz w:val="28"/>
          <w:szCs w:val="28"/>
        </w:rPr>
        <w:t xml:space="preserve">   住所：</w:t>
      </w:r>
      <w:r>
        <w:rPr>
          <w:rFonts w:hint="eastAsia" w:eastAsia="仿宋_GB2312"/>
          <w:bCs/>
          <w:color w:val="000000"/>
          <w:sz w:val="28"/>
          <w:szCs w:val="28"/>
          <w:u w:val="single"/>
        </w:rPr>
        <w:t xml:space="preserve">                    </w:t>
      </w:r>
    </w:p>
    <w:p w14:paraId="24232CCC">
      <w:pPr>
        <w:spacing w:line="500" w:lineRule="exact"/>
        <w:ind w:left="5880" w:hanging="5880" w:hangingChars="2100"/>
        <w:rPr>
          <w:rFonts w:eastAsia="仿宋_GB2312"/>
          <w:bCs/>
          <w:color w:val="000000"/>
          <w:sz w:val="28"/>
          <w:szCs w:val="28"/>
          <w:u w:val="single"/>
        </w:rPr>
      </w:pPr>
    </w:p>
    <w:p w14:paraId="747A61BA">
      <w:pPr>
        <w:spacing w:line="500" w:lineRule="exact"/>
        <w:rPr>
          <w:rFonts w:eastAsia="仿宋_GB2312"/>
          <w:bCs/>
          <w:color w:val="000000"/>
          <w:sz w:val="28"/>
          <w:szCs w:val="28"/>
        </w:rPr>
      </w:pPr>
      <w:r>
        <w:rPr>
          <w:rFonts w:hint="eastAsia" w:eastAsia="仿宋_GB2312"/>
          <w:bCs/>
          <w:color w:val="000000"/>
          <w:sz w:val="28"/>
          <w:szCs w:val="28"/>
        </w:rPr>
        <w:t>法定代表人或                        法定代表人或</w:t>
      </w:r>
    </w:p>
    <w:p w14:paraId="160411B0">
      <w:pPr>
        <w:spacing w:line="500" w:lineRule="exact"/>
        <w:rPr>
          <w:rFonts w:eastAsia="仿宋_GB2312"/>
          <w:bCs/>
          <w:color w:val="000000"/>
          <w:sz w:val="28"/>
          <w:szCs w:val="28"/>
        </w:rPr>
      </w:pPr>
      <w:r>
        <w:rPr>
          <w:rFonts w:hint="eastAsia" w:eastAsia="仿宋_GB2312"/>
          <w:bCs/>
          <w:color w:val="000000"/>
          <w:sz w:val="28"/>
          <w:szCs w:val="28"/>
        </w:rPr>
        <w:t>委托代表人（签字）：                 委托代表人（签字）：</w:t>
      </w:r>
    </w:p>
    <w:p w14:paraId="35273CD1">
      <w:pPr>
        <w:spacing w:line="500" w:lineRule="exact"/>
        <w:ind w:firstLine="560" w:firstLineChars="200"/>
        <w:rPr>
          <w:rFonts w:eastAsia="仿宋_GB2312"/>
          <w:bCs/>
          <w:color w:val="000000"/>
          <w:sz w:val="28"/>
          <w:szCs w:val="28"/>
        </w:rPr>
      </w:pPr>
    </w:p>
    <w:p w14:paraId="3D54FA63">
      <w:pPr>
        <w:spacing w:line="500" w:lineRule="exact"/>
        <w:ind w:firstLine="560" w:firstLineChars="200"/>
        <w:rPr>
          <w:rFonts w:eastAsia="仿宋_GB2312"/>
          <w:bCs/>
          <w:color w:val="000000"/>
          <w:sz w:val="28"/>
          <w:szCs w:val="28"/>
        </w:rPr>
      </w:pPr>
    </w:p>
    <w:p w14:paraId="0016875A">
      <w:pPr>
        <w:spacing w:line="500" w:lineRule="exact"/>
        <w:rPr>
          <w:rFonts w:eastAsia="仿宋_GB2312"/>
          <w:bCs/>
          <w:color w:val="000000"/>
          <w:sz w:val="28"/>
          <w:szCs w:val="28"/>
        </w:rPr>
      </w:pPr>
      <w:r>
        <w:rPr>
          <w:rFonts w:hint="eastAsia" w:eastAsia="仿宋_GB2312"/>
          <w:bCs/>
          <w:color w:val="000000"/>
          <w:sz w:val="28"/>
          <w:szCs w:val="28"/>
        </w:rPr>
        <w:t>项目负责人或部门负责人（签字）：</w:t>
      </w:r>
    </w:p>
    <w:p w14:paraId="7B5343EF">
      <w:pPr>
        <w:spacing w:line="500" w:lineRule="exact"/>
        <w:ind w:firstLine="560" w:firstLineChars="200"/>
        <w:rPr>
          <w:rFonts w:eastAsia="仿宋_GB2312"/>
          <w:bCs/>
          <w:color w:val="000000"/>
          <w:sz w:val="28"/>
          <w:szCs w:val="28"/>
        </w:rPr>
      </w:pPr>
    </w:p>
    <w:p w14:paraId="44622987">
      <w:pPr>
        <w:spacing w:line="500" w:lineRule="exact"/>
        <w:ind w:firstLine="560" w:firstLineChars="200"/>
        <w:rPr>
          <w:rFonts w:eastAsia="仿宋_GB2312"/>
          <w:bCs/>
          <w:color w:val="000000"/>
          <w:sz w:val="28"/>
          <w:szCs w:val="28"/>
        </w:rPr>
      </w:pPr>
    </w:p>
    <w:p w14:paraId="04DFF158">
      <w:pPr>
        <w:spacing w:line="500" w:lineRule="exact"/>
        <w:rPr>
          <w:rFonts w:eastAsia="仿宋_GB2312"/>
          <w:bCs/>
          <w:color w:val="000000"/>
          <w:sz w:val="28"/>
          <w:szCs w:val="28"/>
        </w:rPr>
      </w:pPr>
      <w:r>
        <w:rPr>
          <w:rFonts w:hint="eastAsia" w:eastAsia="仿宋_GB2312"/>
          <w:bCs/>
          <w:color w:val="000000"/>
          <w:sz w:val="28"/>
          <w:szCs w:val="28"/>
        </w:rPr>
        <w:t>电话</w:t>
      </w:r>
      <w:r>
        <w:rPr>
          <w:rFonts w:hint="eastAsia" w:eastAsia="仿宋_GB2312"/>
          <w:bCs/>
          <w:color w:val="000000"/>
          <w:sz w:val="28"/>
          <w:szCs w:val="28"/>
          <w:lang w:val="zh-CN"/>
        </w:rPr>
        <w:t>：</w:t>
      </w:r>
      <w:r>
        <w:rPr>
          <w:rFonts w:hint="eastAsia" w:eastAsia="仿宋_GB2312"/>
          <w:bCs/>
          <w:color w:val="000000"/>
          <w:sz w:val="28"/>
          <w:szCs w:val="28"/>
        </w:rPr>
        <w:t>62881144-6740               电话：</w:t>
      </w:r>
    </w:p>
    <w:p w14:paraId="1E3A7385">
      <w:pPr>
        <w:spacing w:line="500" w:lineRule="exact"/>
        <w:ind w:left="6300" w:hanging="6300" w:hangingChars="2250"/>
        <w:rPr>
          <w:rFonts w:eastAsia="仿宋_GB2312"/>
          <w:bCs/>
          <w:color w:val="000000"/>
          <w:sz w:val="28"/>
          <w:szCs w:val="28"/>
        </w:rPr>
      </w:pPr>
      <w:r>
        <w:rPr>
          <w:rFonts w:hint="eastAsia" w:eastAsia="仿宋_GB2312"/>
          <w:bCs/>
          <w:color w:val="000000"/>
          <w:sz w:val="28"/>
          <w:szCs w:val="28"/>
        </w:rPr>
        <w:t>开户银行：北京银行总部基地支行       开户银行：</w:t>
      </w:r>
    </w:p>
    <w:p w14:paraId="436E71C9">
      <w:pPr>
        <w:spacing w:line="500" w:lineRule="exact"/>
        <w:rPr>
          <w:rFonts w:eastAsia="仿宋_GB2312"/>
          <w:bCs/>
          <w:color w:val="000000"/>
          <w:sz w:val="28"/>
          <w:szCs w:val="28"/>
          <w:lang w:val="zh-CN"/>
        </w:rPr>
      </w:pPr>
      <w:r>
        <w:rPr>
          <w:rFonts w:hint="eastAsia" w:eastAsia="仿宋_GB2312"/>
          <w:bCs/>
          <w:color w:val="000000"/>
          <w:sz w:val="28"/>
          <w:szCs w:val="28"/>
        </w:rPr>
        <w:t xml:space="preserve">帐号：01090849300120109021723  帐号： </w:t>
      </w:r>
    </w:p>
    <w:p w14:paraId="7F0FF5E5">
      <w:pPr>
        <w:spacing w:line="500" w:lineRule="exact"/>
        <w:rPr>
          <w:rFonts w:eastAsia="仿宋_GB2312"/>
          <w:color w:val="000000"/>
          <w:sz w:val="28"/>
          <w:szCs w:val="28"/>
        </w:rPr>
      </w:pPr>
    </w:p>
    <w:p w14:paraId="22595624">
      <w:pPr>
        <w:pStyle w:val="5"/>
        <w:spacing w:line="500" w:lineRule="exact"/>
        <w:jc w:val="center"/>
        <w:rPr>
          <w:rFonts w:hint="eastAsia" w:ascii="华文中宋" w:hAnsi="华文中宋" w:eastAsia="华文中宋"/>
          <w:sz w:val="36"/>
          <w:szCs w:val="36"/>
        </w:rPr>
      </w:pPr>
      <w:r>
        <w:rPr>
          <w:rFonts w:eastAsia="仿宋_GB2312"/>
        </w:rPr>
        <w:br w:type="page"/>
      </w:r>
      <w:bookmarkStart w:id="696" w:name="_Toc351203494"/>
      <w:r>
        <w:rPr>
          <w:rFonts w:ascii="华文中宋" w:hAnsi="华文中宋" w:eastAsia="华文中宋"/>
          <w:sz w:val="36"/>
          <w:szCs w:val="36"/>
        </w:rPr>
        <w:t>第二部分 通用合同条款</w:t>
      </w:r>
      <w:bookmarkEnd w:id="696"/>
      <w:bookmarkStart w:id="697" w:name="_Toc337558727"/>
    </w:p>
    <w:p w14:paraId="584A77F9">
      <w:pPr>
        <w:pStyle w:val="6"/>
        <w:spacing w:before="120" w:after="120" w:line="500" w:lineRule="exact"/>
        <w:rPr>
          <w:rFonts w:ascii="Times New Roman" w:hAnsi="Times New Roman"/>
          <w:b w:val="0"/>
          <w:color w:val="000000"/>
        </w:rPr>
      </w:pPr>
      <w:bookmarkStart w:id="698" w:name="_Toc351203495"/>
      <w:r>
        <w:rPr>
          <w:rFonts w:ascii="Times New Roman" w:hAnsi="Times New Roman"/>
          <w:b w:val="0"/>
          <w:color w:val="000000"/>
        </w:rPr>
        <w:t>1.</w:t>
      </w:r>
      <w:bookmarkStart w:id="699" w:name="_Toc303538975"/>
      <w:bookmarkEnd w:id="699"/>
      <w:bookmarkStart w:id="700" w:name="_Toc303538976"/>
      <w:bookmarkEnd w:id="700"/>
      <w:bookmarkStart w:id="701" w:name="_Toc303538973"/>
      <w:bookmarkEnd w:id="701"/>
      <w:bookmarkStart w:id="702" w:name="_Toc303538972"/>
      <w:bookmarkEnd w:id="702"/>
      <w:bookmarkStart w:id="703" w:name="_Toc303538974"/>
      <w:bookmarkEnd w:id="703"/>
      <w:bookmarkStart w:id="704" w:name="_Toc296503027"/>
      <w:bookmarkStart w:id="705" w:name="_Toc296346528"/>
      <w:r>
        <w:rPr>
          <w:rFonts w:ascii="Times New Roman" w:hAnsi="Times New Roman"/>
          <w:b w:val="0"/>
          <w:color w:val="000000"/>
        </w:rPr>
        <w:t xml:space="preserve"> 一般约定</w:t>
      </w:r>
      <w:bookmarkEnd w:id="697"/>
      <w:bookmarkEnd w:id="698"/>
      <w:bookmarkEnd w:id="704"/>
      <w:bookmarkEnd w:id="705"/>
    </w:p>
    <w:p w14:paraId="3BE95D94">
      <w:pPr>
        <w:pStyle w:val="7"/>
        <w:spacing w:before="120" w:after="120" w:line="500" w:lineRule="exact"/>
        <w:ind w:firstLine="560" w:firstLineChars="200"/>
        <w:rPr>
          <w:rFonts w:eastAsia="黑体"/>
          <w:b w:val="0"/>
          <w:color w:val="000000"/>
        </w:rPr>
      </w:pPr>
      <w:bookmarkStart w:id="706" w:name="_Toc296346529"/>
      <w:bookmarkStart w:id="707" w:name="_Toc337558728"/>
      <w:bookmarkStart w:id="708" w:name="_Toc296503028"/>
      <w:bookmarkStart w:id="709" w:name="_Toc351203496"/>
      <w:r>
        <w:rPr>
          <w:rFonts w:eastAsia="黑体"/>
          <w:b w:val="0"/>
          <w:color w:val="000000"/>
        </w:rPr>
        <w:t>1.1词语定义</w:t>
      </w:r>
      <w:bookmarkEnd w:id="706"/>
      <w:bookmarkEnd w:id="707"/>
      <w:bookmarkEnd w:id="708"/>
      <w:r>
        <w:rPr>
          <w:rFonts w:eastAsia="黑体"/>
          <w:b w:val="0"/>
          <w:color w:val="000000"/>
        </w:rPr>
        <w:t>与解释</w:t>
      </w:r>
      <w:bookmarkEnd w:id="709"/>
    </w:p>
    <w:p w14:paraId="02B7D39B">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合同协议书、通用合同条款、专用合同条款中的下列词语具有本款所赋予的含义：</w:t>
      </w:r>
    </w:p>
    <w:p w14:paraId="613D96CE">
      <w:pPr>
        <w:autoSpaceDE w:val="0"/>
        <w:autoSpaceDN w:val="0"/>
        <w:adjustRightInd w:val="0"/>
        <w:spacing w:line="500" w:lineRule="exact"/>
        <w:jc w:val="left"/>
        <w:rPr>
          <w:rFonts w:eastAsia="仿宋_GB2312"/>
          <w:color w:val="000000"/>
          <w:kern w:val="0"/>
          <w:sz w:val="28"/>
          <w:szCs w:val="28"/>
        </w:rPr>
      </w:pPr>
      <w:r>
        <w:rPr>
          <w:rFonts w:eastAsia="仿宋_GB2312"/>
          <w:color w:val="000000"/>
          <w:kern w:val="0"/>
          <w:sz w:val="28"/>
          <w:szCs w:val="28"/>
        </w:rPr>
        <w:t xml:space="preserve">    1.1.1 合同</w:t>
      </w:r>
    </w:p>
    <w:p w14:paraId="12CF513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1.1.1.1 合同：是指根据法律规定和合同当事人约定具有约束力的文件，构成合同的文件包括合同协议书、中标通知书（如果有）、投标函及其附录（如果有）、专用合同条款</w:t>
      </w:r>
      <w:r>
        <w:rPr>
          <w:rFonts w:eastAsia="仿宋_GB2312"/>
          <w:color w:val="000000"/>
          <w:sz w:val="28"/>
          <w:szCs w:val="28"/>
        </w:rPr>
        <w:t>及其附件</w:t>
      </w:r>
      <w:r>
        <w:rPr>
          <w:rFonts w:eastAsia="仿宋_GB2312"/>
          <w:color w:val="000000"/>
          <w:kern w:val="0"/>
          <w:sz w:val="28"/>
          <w:szCs w:val="28"/>
        </w:rPr>
        <w:t>、通用合同条款、技术标准和要求、图纸、已标价工程量清单或预算书以及其他合同文件。</w:t>
      </w:r>
    </w:p>
    <w:p w14:paraId="366B05BE">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1.1.1.2 合同协议书：是指构成合同的由发包人和承包人共同签署的称为“合同协议书”的书面文件</w:t>
      </w:r>
      <w:r>
        <w:rPr>
          <w:rFonts w:hint="eastAsia" w:eastAsia="仿宋_GB2312"/>
          <w:color w:val="000000"/>
          <w:kern w:val="0"/>
          <w:sz w:val="28"/>
          <w:szCs w:val="28"/>
        </w:rPr>
        <w:t>。</w:t>
      </w:r>
    </w:p>
    <w:p w14:paraId="42C8194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1.1.1.3 中标通知书：是指构成合同的</w:t>
      </w:r>
      <w:r>
        <w:rPr>
          <w:rFonts w:hint="eastAsia" w:eastAsia="仿宋_GB2312"/>
          <w:color w:val="000000"/>
          <w:kern w:val="0"/>
          <w:sz w:val="28"/>
          <w:szCs w:val="28"/>
        </w:rPr>
        <w:t>由</w:t>
      </w:r>
      <w:r>
        <w:rPr>
          <w:rFonts w:eastAsia="仿宋_GB2312"/>
          <w:color w:val="000000"/>
          <w:kern w:val="0"/>
          <w:sz w:val="28"/>
          <w:szCs w:val="28"/>
        </w:rPr>
        <w:t>发包人通知承包人中标的书面文件。</w:t>
      </w:r>
    </w:p>
    <w:p w14:paraId="117F5932">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1.1.1.4 投标函：是指构成合同的由承包人填写并签署的用于投标的称为“投标函”的文件。</w:t>
      </w:r>
    </w:p>
    <w:p w14:paraId="5D8D8BCF">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1.1.1.5 投标函附录：是指构成合同的附在投标函后的称为“投标函附录”的文件。</w:t>
      </w:r>
    </w:p>
    <w:p w14:paraId="1A396A5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1.1.1.6 技术标准和要求：是指构成合同的施工应当遵守的或指导施工的国家、行业或地方的技术标准和要求，以及合同约定的技术标准和要求。</w:t>
      </w:r>
    </w:p>
    <w:p w14:paraId="27B0E219">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1.1.1.7 图纸：是指构成合同的图纸，包括由发包人按照合同约定提供或经发包人批准的设计文件、</w:t>
      </w:r>
      <w:r>
        <w:rPr>
          <w:rFonts w:hint="eastAsia" w:eastAsia="仿宋_GB2312"/>
          <w:color w:val="000000"/>
          <w:kern w:val="0"/>
          <w:sz w:val="28"/>
          <w:szCs w:val="28"/>
        </w:rPr>
        <w:t>施工图、</w:t>
      </w:r>
      <w:r>
        <w:rPr>
          <w:rFonts w:eastAsia="仿宋_GB2312"/>
          <w:color w:val="000000"/>
          <w:kern w:val="0"/>
          <w:sz w:val="28"/>
          <w:szCs w:val="28"/>
        </w:rPr>
        <w:t>鸟瞰图及模型等，</w:t>
      </w:r>
      <w:r>
        <w:rPr>
          <w:rFonts w:hint="eastAsia" w:eastAsia="仿宋_GB2312"/>
          <w:color w:val="000000"/>
          <w:kern w:val="0"/>
          <w:sz w:val="28"/>
          <w:szCs w:val="28"/>
        </w:rPr>
        <w:t>以及在合同履行过程中形成的图纸文件。图纸</w:t>
      </w:r>
      <w:r>
        <w:rPr>
          <w:rFonts w:eastAsia="仿宋_GB2312"/>
          <w:color w:val="000000"/>
          <w:kern w:val="0"/>
          <w:sz w:val="28"/>
          <w:szCs w:val="28"/>
        </w:rPr>
        <w:t>应当按照法律规定审查合格。</w:t>
      </w:r>
    </w:p>
    <w:p w14:paraId="47DE9ACB">
      <w:pPr>
        <w:autoSpaceDE w:val="0"/>
        <w:autoSpaceDN w:val="0"/>
        <w:adjustRightInd w:val="0"/>
        <w:spacing w:line="500" w:lineRule="exact"/>
        <w:ind w:firstLine="546" w:firstLineChars="195"/>
        <w:jc w:val="left"/>
        <w:rPr>
          <w:rFonts w:eastAsia="仿宋_GB2312"/>
          <w:color w:val="000000"/>
          <w:kern w:val="0"/>
          <w:sz w:val="28"/>
          <w:szCs w:val="28"/>
        </w:rPr>
      </w:pPr>
      <w:r>
        <w:rPr>
          <w:rFonts w:eastAsia="仿宋_GB2312"/>
          <w:color w:val="000000"/>
          <w:kern w:val="0"/>
          <w:sz w:val="28"/>
          <w:szCs w:val="28"/>
        </w:rPr>
        <w:t>1.1.1.8 已标价工程量清单：是指构成合同的由承包人按照规定的格式和要求填写并标明价格的工程量清单，包括说明和表格。</w:t>
      </w:r>
    </w:p>
    <w:p w14:paraId="41E5430D">
      <w:pPr>
        <w:autoSpaceDE w:val="0"/>
        <w:autoSpaceDN w:val="0"/>
        <w:adjustRightInd w:val="0"/>
        <w:spacing w:line="500" w:lineRule="exact"/>
        <w:ind w:firstLine="546" w:firstLineChars="195"/>
        <w:jc w:val="left"/>
        <w:rPr>
          <w:rFonts w:eastAsia="仿宋_GB2312"/>
          <w:color w:val="000000"/>
          <w:kern w:val="0"/>
          <w:sz w:val="28"/>
          <w:szCs w:val="28"/>
        </w:rPr>
      </w:pPr>
      <w:r>
        <w:rPr>
          <w:rFonts w:eastAsia="仿宋_GB2312"/>
          <w:color w:val="000000"/>
          <w:kern w:val="0"/>
          <w:sz w:val="28"/>
          <w:szCs w:val="28"/>
        </w:rPr>
        <w:t>1.1.1.9 预算书：是指构成合同的由承包人按照发包人规定的格式和要求编制的工程预算文件。</w:t>
      </w:r>
    </w:p>
    <w:p w14:paraId="134A136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1.1.1.10 其他合同文件：是指经合同当事人约定的与工程施工有关的具有合同约束力的文件或书面协议。合同当事人可以在专用合同条款中进行约定。</w:t>
      </w:r>
    </w:p>
    <w:p w14:paraId="1BD638EC">
      <w:pPr>
        <w:autoSpaceDE w:val="0"/>
        <w:autoSpaceDN w:val="0"/>
        <w:adjustRightInd w:val="0"/>
        <w:spacing w:line="500" w:lineRule="exact"/>
        <w:jc w:val="left"/>
        <w:rPr>
          <w:rFonts w:eastAsia="仿宋_GB2312"/>
          <w:color w:val="000000"/>
          <w:kern w:val="0"/>
          <w:sz w:val="28"/>
          <w:szCs w:val="28"/>
        </w:rPr>
      </w:pPr>
      <w:r>
        <w:rPr>
          <w:rFonts w:eastAsia="仿宋_GB2312"/>
          <w:color w:val="000000"/>
          <w:kern w:val="0"/>
          <w:sz w:val="28"/>
          <w:szCs w:val="28"/>
        </w:rPr>
        <w:t xml:space="preserve">    1.1.2 合同当事人及其他相关方</w:t>
      </w:r>
    </w:p>
    <w:p w14:paraId="0452708F">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1.1.2.1 合同当事人：是指发包人和（或）承包人。</w:t>
      </w:r>
    </w:p>
    <w:p w14:paraId="69B4C19D">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1.1.2.2 发包人：是指与承包人签订合同协议书的当事人及取得该当事人资格的合法继承人。</w:t>
      </w:r>
    </w:p>
    <w:p w14:paraId="56748F8E">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1.1.2.3 承包人：是指与发包人签订合同协议书的，具有相应工程施工承包资质的当事人及取得该当事人资格的合法继承人。</w:t>
      </w:r>
    </w:p>
    <w:p w14:paraId="50B42D86">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1.1.2.4 监理人：是指在专用合同条款中指明的，受发包人委托按照法律规定进行工程监督管理的法人或其他组织。</w:t>
      </w:r>
    </w:p>
    <w:p w14:paraId="2B435FF2">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1.1.2.5 设计人：是指在专用合同条款中指明的，受发包人委托负责工程设计并具备相应工程设计资质的法人或其他组织。</w:t>
      </w:r>
    </w:p>
    <w:p w14:paraId="52C4A0D4">
      <w:pPr>
        <w:spacing w:line="500" w:lineRule="exact"/>
        <w:ind w:firstLine="546" w:firstLineChars="195"/>
        <w:jc w:val="left"/>
        <w:rPr>
          <w:rFonts w:eastAsia="仿宋_GB2312"/>
          <w:color w:val="000000"/>
          <w:kern w:val="0"/>
          <w:sz w:val="28"/>
          <w:szCs w:val="28"/>
        </w:rPr>
      </w:pPr>
      <w:r>
        <w:rPr>
          <w:rFonts w:eastAsia="仿宋_GB2312"/>
          <w:color w:val="000000"/>
          <w:kern w:val="0"/>
          <w:sz w:val="28"/>
          <w:szCs w:val="28"/>
        </w:rPr>
        <w:t>1.1.2.6 分包人：</w:t>
      </w:r>
      <w:bookmarkStart w:id="710" w:name="#go5"/>
      <w:bookmarkEnd w:id="710"/>
      <w:r>
        <w:rPr>
          <w:rFonts w:eastAsia="仿宋_GB2312"/>
          <w:color w:val="000000"/>
          <w:kern w:val="0"/>
          <w:sz w:val="28"/>
          <w:szCs w:val="28"/>
        </w:rPr>
        <w:t>是指</w:t>
      </w:r>
      <w:r>
        <w:rPr>
          <w:rFonts w:hint="eastAsia" w:eastAsia="仿宋_GB2312"/>
          <w:color w:val="000000"/>
          <w:kern w:val="0"/>
          <w:sz w:val="28"/>
          <w:szCs w:val="28"/>
        </w:rPr>
        <w:t>按照法律规定和</w:t>
      </w:r>
      <w:r>
        <w:rPr>
          <w:rFonts w:eastAsia="仿宋_GB2312"/>
          <w:color w:val="000000"/>
          <w:kern w:val="0"/>
          <w:sz w:val="28"/>
          <w:szCs w:val="28"/>
        </w:rPr>
        <w:t>合同约定，分包</w:t>
      </w:r>
      <w:r>
        <w:rPr>
          <w:rFonts w:hint="eastAsia" w:eastAsia="仿宋_GB2312"/>
          <w:color w:val="000000"/>
          <w:kern w:val="0"/>
          <w:sz w:val="28"/>
          <w:szCs w:val="28"/>
        </w:rPr>
        <w:t>部分</w:t>
      </w:r>
      <w:r>
        <w:rPr>
          <w:rFonts w:eastAsia="仿宋_GB2312"/>
          <w:color w:val="000000"/>
          <w:kern w:val="0"/>
          <w:sz w:val="28"/>
          <w:szCs w:val="28"/>
        </w:rPr>
        <w:t>工程</w:t>
      </w:r>
      <w:r>
        <w:rPr>
          <w:rFonts w:hint="eastAsia" w:eastAsia="仿宋_GB2312"/>
          <w:color w:val="000000"/>
          <w:kern w:val="0"/>
          <w:sz w:val="28"/>
          <w:szCs w:val="28"/>
        </w:rPr>
        <w:t>或工作</w:t>
      </w:r>
      <w:r>
        <w:rPr>
          <w:rFonts w:eastAsia="仿宋_GB2312"/>
          <w:color w:val="000000"/>
          <w:kern w:val="0"/>
          <w:sz w:val="28"/>
          <w:szCs w:val="28"/>
        </w:rPr>
        <w:t>，并与</w:t>
      </w:r>
      <w:r>
        <w:rPr>
          <w:rFonts w:hint="eastAsia" w:eastAsia="仿宋_GB2312"/>
          <w:color w:val="000000"/>
          <w:kern w:val="0"/>
          <w:sz w:val="28"/>
          <w:szCs w:val="28"/>
        </w:rPr>
        <w:t>承包人</w:t>
      </w:r>
      <w:r>
        <w:rPr>
          <w:rFonts w:eastAsia="仿宋_GB2312"/>
          <w:color w:val="000000"/>
          <w:kern w:val="0"/>
          <w:sz w:val="28"/>
          <w:szCs w:val="28"/>
        </w:rPr>
        <w:t>签订分包合同的具有相应资质的法人。</w:t>
      </w:r>
    </w:p>
    <w:p w14:paraId="5C5ABDA8">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1.1.2.7 发包人代表：是指由发包人任命并派驻施工现场在发包人授权范围内行使发包人权利的人。</w:t>
      </w:r>
    </w:p>
    <w:p w14:paraId="202AAB4D">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1.1.2.8 项目经理：是指由承包人任命并派驻施工现场，在承包人授权范围内负责合同履行，且按照法律规定具有相应资格的</w:t>
      </w:r>
      <w:r>
        <w:rPr>
          <w:rFonts w:hint="eastAsia" w:eastAsia="仿宋_GB2312"/>
          <w:color w:val="000000"/>
          <w:kern w:val="0"/>
          <w:sz w:val="28"/>
          <w:szCs w:val="28"/>
        </w:rPr>
        <w:t>项目负责</w:t>
      </w:r>
      <w:r>
        <w:rPr>
          <w:rFonts w:eastAsia="仿宋_GB2312"/>
          <w:color w:val="000000"/>
          <w:kern w:val="0"/>
          <w:sz w:val="28"/>
          <w:szCs w:val="28"/>
        </w:rPr>
        <w:t>人。</w:t>
      </w:r>
    </w:p>
    <w:p w14:paraId="1FFA7793">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1.1.2.9 总监理工程师：是指由监理人任命并派驻施工现场进行工程监理的总负责人。</w:t>
      </w:r>
    </w:p>
    <w:p w14:paraId="66CA0AA2">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1.1.3 工程和设备</w:t>
      </w:r>
    </w:p>
    <w:p w14:paraId="7006C696">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1.1.3.1 工程：是指与合同协议书中工程承包范围对应的永久工程和（或）临时工程。</w:t>
      </w:r>
    </w:p>
    <w:p w14:paraId="4EFD4B3F">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1.1.3.2 永久工程：是指按合同约定建造并移交给发包人的工程，包括工程设备。</w:t>
      </w:r>
    </w:p>
    <w:p w14:paraId="663C994F">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1.1.3.3 临时工程：是指为完成合同约定的永久工程所修建的各类临时性工程，不包括施工设备。</w:t>
      </w:r>
    </w:p>
    <w:p w14:paraId="3DD25B58">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1.1.3.4 单位工程：是指在</w:t>
      </w:r>
      <w:r>
        <w:rPr>
          <w:rFonts w:hint="eastAsia" w:eastAsia="仿宋_GB2312"/>
          <w:color w:val="000000"/>
          <w:kern w:val="0"/>
          <w:sz w:val="28"/>
          <w:szCs w:val="28"/>
        </w:rPr>
        <w:t>合同协议书</w:t>
      </w:r>
      <w:r>
        <w:rPr>
          <w:rFonts w:eastAsia="仿宋_GB2312"/>
          <w:color w:val="000000"/>
          <w:kern w:val="0"/>
          <w:sz w:val="28"/>
          <w:szCs w:val="28"/>
        </w:rPr>
        <w:t>中指明的，具备独立施工条件并能形成独立使用功能的永久工程。</w:t>
      </w:r>
    </w:p>
    <w:p w14:paraId="4A070B2C">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1.1.3.5 工程设备：是指构成永久工程的机电设备、金属结构设备、仪器及其他类似的设备和装置。</w:t>
      </w:r>
    </w:p>
    <w:p w14:paraId="0B446669">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1.1.3.6 施工设备：是指为完成合同约定的各项工作所需的设备、器具和其他物品，但不包括工程设备、临时工程和材料。</w:t>
      </w:r>
    </w:p>
    <w:p w14:paraId="5A19924D">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1.1.3.7 施工现场：是指用于工程施工的场所，以及在专用合同条款中</w:t>
      </w:r>
      <w:r>
        <w:rPr>
          <w:rFonts w:hint="eastAsia" w:eastAsia="仿宋_GB2312"/>
          <w:color w:val="000000"/>
          <w:kern w:val="0"/>
          <w:sz w:val="28"/>
          <w:szCs w:val="28"/>
        </w:rPr>
        <w:t>指</w:t>
      </w:r>
      <w:r>
        <w:rPr>
          <w:rFonts w:eastAsia="仿宋_GB2312"/>
          <w:color w:val="000000"/>
          <w:kern w:val="0"/>
          <w:sz w:val="28"/>
          <w:szCs w:val="28"/>
        </w:rPr>
        <w:t>明作为施工场所组成部分的其他场所，包括永久占地和临时占地。</w:t>
      </w:r>
    </w:p>
    <w:p w14:paraId="220E6ABE">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1.1.3.8临时设施：是指为完成合同约定的各项工作所服务的临时性生产和生活设施。</w:t>
      </w:r>
    </w:p>
    <w:p w14:paraId="1E21BB8A">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1.1.3.9 永久占地：是指专用合同条款中指明为实施工程需永久占用的土地。</w:t>
      </w:r>
    </w:p>
    <w:p w14:paraId="0F245FAC">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1.1.3.10 临时占地：是指专用合同条款中指明为实施工程需要临时占用的土地。</w:t>
      </w:r>
    </w:p>
    <w:p w14:paraId="0177085A">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1.1.4 日期和期限</w:t>
      </w:r>
    </w:p>
    <w:p w14:paraId="4E882762">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1.1.4.1 开工日期：包括计划开工日期和实际开工日期。计划开工日期是指合同协议书约定的开工日期；实际开工日期是指监理人按照第7.3.2项</w:t>
      </w:r>
      <w:r>
        <w:rPr>
          <w:rFonts w:hint="eastAsia" w:eastAsia="仿宋_GB2312"/>
          <w:color w:val="000000"/>
          <w:kern w:val="0"/>
          <w:sz w:val="28"/>
          <w:szCs w:val="28"/>
        </w:rPr>
        <w:t>〔</w:t>
      </w:r>
      <w:r>
        <w:rPr>
          <w:rFonts w:eastAsia="仿宋_GB2312"/>
          <w:color w:val="000000"/>
          <w:kern w:val="0"/>
          <w:sz w:val="28"/>
          <w:szCs w:val="28"/>
        </w:rPr>
        <w:t>开工通知</w:t>
      </w:r>
      <w:r>
        <w:rPr>
          <w:rFonts w:hint="eastAsia" w:eastAsia="仿宋_GB2312"/>
          <w:color w:val="000000"/>
          <w:kern w:val="0"/>
          <w:sz w:val="28"/>
          <w:szCs w:val="28"/>
        </w:rPr>
        <w:t>〕</w:t>
      </w:r>
      <w:r>
        <w:rPr>
          <w:rFonts w:eastAsia="仿宋_GB2312"/>
          <w:color w:val="000000"/>
          <w:kern w:val="0"/>
          <w:sz w:val="28"/>
          <w:szCs w:val="28"/>
        </w:rPr>
        <w:t>约定发出的符合法律规定的开工通知中载明的开工日期。</w:t>
      </w:r>
    </w:p>
    <w:p w14:paraId="585BA767">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1.1.4.2 竣工日期：包括计划竣工日期和实际竣工日期。计划竣工日期是指合同协议书约定的竣工日期</w:t>
      </w:r>
      <w:r>
        <w:rPr>
          <w:rFonts w:hint="eastAsia" w:eastAsia="仿宋_GB2312"/>
          <w:color w:val="000000"/>
          <w:kern w:val="0"/>
          <w:sz w:val="28"/>
          <w:szCs w:val="28"/>
        </w:rPr>
        <w:t>；</w:t>
      </w:r>
      <w:r>
        <w:rPr>
          <w:rFonts w:eastAsia="仿宋_GB2312"/>
          <w:color w:val="000000"/>
          <w:kern w:val="0"/>
          <w:sz w:val="28"/>
          <w:szCs w:val="28"/>
        </w:rPr>
        <w:t>实际竣工日期按照第13.2.3项</w:t>
      </w:r>
      <w:r>
        <w:rPr>
          <w:rFonts w:hint="eastAsia" w:eastAsia="仿宋_GB2312"/>
          <w:color w:val="000000"/>
          <w:kern w:val="0"/>
          <w:sz w:val="28"/>
          <w:szCs w:val="28"/>
        </w:rPr>
        <w:t>〔</w:t>
      </w:r>
      <w:r>
        <w:rPr>
          <w:rFonts w:eastAsia="仿宋_GB2312"/>
          <w:color w:val="000000"/>
          <w:kern w:val="0"/>
          <w:sz w:val="28"/>
          <w:szCs w:val="28"/>
        </w:rPr>
        <w:t>竣工日期</w:t>
      </w:r>
      <w:r>
        <w:rPr>
          <w:rFonts w:hint="eastAsia" w:eastAsia="仿宋_GB2312"/>
          <w:color w:val="000000"/>
          <w:kern w:val="0"/>
          <w:sz w:val="28"/>
          <w:szCs w:val="28"/>
        </w:rPr>
        <w:t>〕</w:t>
      </w:r>
      <w:r>
        <w:rPr>
          <w:rFonts w:eastAsia="仿宋_GB2312"/>
          <w:color w:val="000000"/>
          <w:kern w:val="0"/>
          <w:sz w:val="28"/>
          <w:szCs w:val="28"/>
        </w:rPr>
        <w:t xml:space="preserve">的约定确定。 </w:t>
      </w:r>
    </w:p>
    <w:p w14:paraId="4F3206B0">
      <w:pPr>
        <w:spacing w:line="500" w:lineRule="exact"/>
        <w:ind w:firstLine="568" w:firstLineChars="203"/>
        <w:rPr>
          <w:rFonts w:eastAsia="仿宋_GB2312"/>
          <w:color w:val="000000"/>
          <w:sz w:val="28"/>
          <w:szCs w:val="28"/>
        </w:rPr>
      </w:pPr>
      <w:r>
        <w:rPr>
          <w:rFonts w:eastAsia="仿宋_GB2312"/>
          <w:color w:val="000000"/>
          <w:kern w:val="0"/>
          <w:sz w:val="28"/>
          <w:szCs w:val="28"/>
        </w:rPr>
        <w:t>1.1.4.3 工期：是指在合同协议书约定的承包人完成工程所需的期限，包括按照合同约定所作的</w:t>
      </w:r>
      <w:r>
        <w:rPr>
          <w:rFonts w:hint="eastAsia" w:eastAsia="仿宋_GB2312"/>
          <w:color w:val="000000"/>
          <w:kern w:val="0"/>
          <w:sz w:val="28"/>
          <w:szCs w:val="28"/>
        </w:rPr>
        <w:t>期限</w:t>
      </w:r>
      <w:r>
        <w:rPr>
          <w:rFonts w:eastAsia="仿宋_GB2312"/>
          <w:color w:val="000000"/>
          <w:kern w:val="0"/>
          <w:sz w:val="28"/>
          <w:szCs w:val="28"/>
        </w:rPr>
        <w:t>变更。</w:t>
      </w:r>
    </w:p>
    <w:p w14:paraId="4D3779D5">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1.1.4.4 缺陷责任期：是指承包人按照合同约定承担缺陷修复义务，且发包人</w:t>
      </w:r>
      <w:r>
        <w:rPr>
          <w:rFonts w:hint="eastAsia" w:eastAsia="仿宋_GB2312"/>
          <w:color w:val="000000"/>
          <w:kern w:val="0"/>
          <w:sz w:val="28"/>
          <w:szCs w:val="28"/>
        </w:rPr>
        <w:t>预</w:t>
      </w:r>
      <w:r>
        <w:rPr>
          <w:rFonts w:eastAsia="仿宋_GB2312"/>
          <w:color w:val="000000"/>
          <w:kern w:val="0"/>
          <w:sz w:val="28"/>
          <w:szCs w:val="28"/>
        </w:rPr>
        <w:t>留质量保证金</w:t>
      </w:r>
      <w:r>
        <w:rPr>
          <w:rFonts w:hint="eastAsia" w:eastAsia="仿宋_GB2312"/>
          <w:color w:val="000000"/>
          <w:kern w:val="0"/>
          <w:sz w:val="28"/>
          <w:szCs w:val="28"/>
        </w:rPr>
        <w:t>（已</w:t>
      </w:r>
      <w:r>
        <w:rPr>
          <w:rFonts w:eastAsia="仿宋_GB2312"/>
          <w:color w:val="000000"/>
          <w:kern w:val="0"/>
          <w:sz w:val="28"/>
          <w:szCs w:val="28"/>
        </w:rPr>
        <w:t>缴纳履约保证金的除外</w:t>
      </w:r>
      <w:r>
        <w:rPr>
          <w:rFonts w:hint="eastAsia" w:eastAsia="仿宋_GB2312"/>
          <w:color w:val="000000"/>
          <w:kern w:val="0"/>
          <w:sz w:val="28"/>
          <w:szCs w:val="28"/>
        </w:rPr>
        <w:t>）</w:t>
      </w:r>
      <w:r>
        <w:rPr>
          <w:rFonts w:eastAsia="仿宋_GB2312"/>
          <w:color w:val="000000"/>
          <w:kern w:val="0"/>
          <w:sz w:val="28"/>
          <w:szCs w:val="28"/>
        </w:rPr>
        <w:t>的期限，</w:t>
      </w:r>
      <w:r>
        <w:rPr>
          <w:rFonts w:hint="eastAsia" w:eastAsia="仿宋_GB2312"/>
          <w:color w:val="000000"/>
          <w:kern w:val="0"/>
          <w:sz w:val="28"/>
          <w:szCs w:val="28"/>
        </w:rPr>
        <w:t>自</w:t>
      </w:r>
      <w:r>
        <w:rPr>
          <w:rFonts w:eastAsia="仿宋_GB2312"/>
          <w:color w:val="000000"/>
          <w:kern w:val="0"/>
          <w:sz w:val="28"/>
          <w:szCs w:val="28"/>
        </w:rPr>
        <w:t>工程</w:t>
      </w:r>
      <w:r>
        <w:rPr>
          <w:rFonts w:hint="eastAsia" w:eastAsia="仿宋_GB2312"/>
          <w:color w:val="000000"/>
          <w:kern w:val="0"/>
          <w:sz w:val="28"/>
          <w:szCs w:val="28"/>
        </w:rPr>
        <w:t>实际竣工日期</w:t>
      </w:r>
      <w:r>
        <w:rPr>
          <w:rFonts w:eastAsia="仿宋_GB2312"/>
          <w:color w:val="000000"/>
          <w:kern w:val="0"/>
          <w:sz w:val="28"/>
          <w:szCs w:val="28"/>
        </w:rPr>
        <w:t>起计算。</w:t>
      </w:r>
    </w:p>
    <w:p w14:paraId="6449CFCC">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1.1.4.5 保修期：是指承包人按照合同约定对工程承担保修责任的期限，从工程竣工验收合格之日起计算。</w:t>
      </w:r>
    </w:p>
    <w:p w14:paraId="7EB5A2C4">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1.1.4.6 基准日期：招标发包的工程以投标截止日前28天的日期为基准日</w:t>
      </w:r>
      <w:r>
        <w:rPr>
          <w:rFonts w:hint="eastAsia" w:eastAsia="仿宋_GB2312"/>
          <w:color w:val="000000"/>
          <w:kern w:val="0"/>
          <w:sz w:val="28"/>
          <w:szCs w:val="28"/>
        </w:rPr>
        <w:t>期</w:t>
      </w:r>
      <w:r>
        <w:rPr>
          <w:rFonts w:eastAsia="仿宋_GB2312"/>
          <w:color w:val="000000"/>
          <w:kern w:val="0"/>
          <w:sz w:val="28"/>
          <w:szCs w:val="28"/>
        </w:rPr>
        <w:t>，直接发包的工程以合同签订日前28天的日期为基准日</w:t>
      </w:r>
      <w:r>
        <w:rPr>
          <w:rFonts w:hint="eastAsia" w:eastAsia="仿宋_GB2312"/>
          <w:color w:val="000000"/>
          <w:kern w:val="0"/>
          <w:sz w:val="28"/>
          <w:szCs w:val="28"/>
        </w:rPr>
        <w:t>期</w:t>
      </w:r>
      <w:r>
        <w:rPr>
          <w:rFonts w:eastAsia="仿宋_GB2312"/>
          <w:color w:val="000000"/>
          <w:kern w:val="0"/>
          <w:sz w:val="28"/>
          <w:szCs w:val="28"/>
        </w:rPr>
        <w:t>。</w:t>
      </w:r>
    </w:p>
    <w:p w14:paraId="19323B5B">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1.1.4.7 天：除特别指明外，均指日历天。合同中按天计算时间的，开始当天不计入，从次日开始计算，期限最后一天的截止时间为当天24:00时。</w:t>
      </w:r>
    </w:p>
    <w:p w14:paraId="371BD92B">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1.1.5 合同价格和费用</w:t>
      </w:r>
    </w:p>
    <w:p w14:paraId="4267088F">
      <w:pPr>
        <w:spacing w:line="500" w:lineRule="exact"/>
        <w:ind w:firstLine="560" w:firstLineChars="200"/>
        <w:jc w:val="left"/>
        <w:rPr>
          <w:rFonts w:eastAsia="仿宋_GB2312"/>
          <w:color w:val="000000"/>
          <w:sz w:val="28"/>
          <w:szCs w:val="28"/>
        </w:rPr>
      </w:pPr>
      <w:r>
        <w:rPr>
          <w:rFonts w:eastAsia="仿宋_GB2312"/>
          <w:color w:val="000000"/>
          <w:kern w:val="0"/>
          <w:sz w:val="28"/>
          <w:szCs w:val="28"/>
        </w:rPr>
        <w:t>1.1.5.1 签约合同价：是指</w:t>
      </w:r>
      <w:r>
        <w:rPr>
          <w:rFonts w:eastAsia="仿宋_GB2312"/>
          <w:color w:val="000000"/>
          <w:sz w:val="28"/>
          <w:szCs w:val="28"/>
        </w:rPr>
        <w:t>发包人和承包人在合同协议书中确定的总金额，包括安全文明施工费、暂估价及暂列金额等。</w:t>
      </w:r>
    </w:p>
    <w:p w14:paraId="05C029CC">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1.1.5.2 合同价格：是指发包人用于支付承包人按照合同约定完成承包范围内全部工作的金额，包括合同履行过程中按合同约定</w:t>
      </w:r>
      <w:r>
        <w:rPr>
          <w:rFonts w:hint="eastAsia" w:eastAsia="仿宋_GB2312"/>
          <w:color w:val="000000"/>
          <w:kern w:val="0"/>
          <w:sz w:val="28"/>
          <w:szCs w:val="28"/>
        </w:rPr>
        <w:t>发生的价格变化。</w:t>
      </w:r>
    </w:p>
    <w:p w14:paraId="38103467">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1.1.5.3 费用：是指为履行合同所发生的或将要发生的所有必需的开支，包括管理费和应分摊的其他费用，但不包括利润。</w:t>
      </w:r>
    </w:p>
    <w:p w14:paraId="60B71D38">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1.1.5.4 暂估价：是指发包人在工程量清单或预算书中提供的用于支付必然发生但暂时不能确定价格的材料、工程设备的单价</w:t>
      </w:r>
      <w:r>
        <w:rPr>
          <w:rFonts w:hint="eastAsia" w:eastAsia="仿宋_GB2312"/>
          <w:color w:val="000000"/>
          <w:kern w:val="0"/>
          <w:sz w:val="28"/>
          <w:szCs w:val="28"/>
        </w:rPr>
        <w:t>、</w:t>
      </w:r>
      <w:r>
        <w:rPr>
          <w:rFonts w:eastAsia="仿宋_GB2312"/>
          <w:color w:val="000000"/>
          <w:kern w:val="0"/>
          <w:sz w:val="28"/>
          <w:szCs w:val="28"/>
        </w:rPr>
        <w:t>专业工程以及</w:t>
      </w:r>
      <w:r>
        <w:rPr>
          <w:rFonts w:hint="eastAsia" w:eastAsia="仿宋_GB2312"/>
          <w:color w:val="000000"/>
          <w:kern w:val="0"/>
          <w:sz w:val="28"/>
          <w:szCs w:val="28"/>
        </w:rPr>
        <w:t>服务工作</w:t>
      </w:r>
      <w:r>
        <w:rPr>
          <w:rFonts w:eastAsia="仿宋_GB2312"/>
          <w:color w:val="000000"/>
          <w:kern w:val="0"/>
          <w:sz w:val="28"/>
          <w:szCs w:val="28"/>
        </w:rPr>
        <w:t>的金额。</w:t>
      </w:r>
    </w:p>
    <w:p w14:paraId="6BE8EA52">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1.1.5.5 暂列金额：是指发包人在工程量清单或预算书中暂定并包括在合同价格中的一笔款项</w:t>
      </w:r>
      <w:r>
        <w:rPr>
          <w:rFonts w:hint="eastAsia" w:eastAsia="仿宋_GB2312"/>
          <w:color w:val="000000"/>
          <w:kern w:val="0"/>
          <w:sz w:val="28"/>
          <w:szCs w:val="28"/>
        </w:rPr>
        <w:t>，</w:t>
      </w:r>
      <w:r>
        <w:rPr>
          <w:rFonts w:eastAsia="仿宋_GB2312"/>
          <w:color w:val="000000"/>
          <w:kern w:val="0"/>
          <w:sz w:val="28"/>
          <w:szCs w:val="28"/>
        </w:rPr>
        <w:t>用于工程合同签订时尚未确定或者不可预见的所需材料、工程设备、服务的采购，施工中可能发生的工程变更、合同约定调整因素出现时的合同价格调整以及发生的索赔、现场签证确认等的费用。</w:t>
      </w:r>
    </w:p>
    <w:p w14:paraId="61724B17">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1.1.5.6 计日工：是指合同履行过程中，承包人完成发包人提出的零星工作或需要采用计日工计价的变更工作时，按合同中约定的单价计价的一种方式。</w:t>
      </w:r>
    </w:p>
    <w:p w14:paraId="78B7A292">
      <w:pPr>
        <w:spacing w:line="500" w:lineRule="exact"/>
        <w:ind w:firstLine="560" w:firstLineChars="200"/>
        <w:jc w:val="left"/>
        <w:rPr>
          <w:rFonts w:eastAsia="仿宋_GB2312"/>
          <w:color w:val="000000"/>
          <w:sz w:val="28"/>
          <w:szCs w:val="28"/>
        </w:rPr>
      </w:pPr>
      <w:r>
        <w:rPr>
          <w:rFonts w:eastAsia="仿宋_GB2312"/>
          <w:color w:val="000000"/>
          <w:kern w:val="0"/>
          <w:sz w:val="28"/>
          <w:szCs w:val="28"/>
        </w:rPr>
        <w:t>1.1.5.7 质量保证金</w:t>
      </w:r>
      <w:bookmarkStart w:id="711" w:name="#go2"/>
      <w:bookmarkEnd w:id="711"/>
      <w:r>
        <w:rPr>
          <w:rFonts w:eastAsia="仿宋_GB2312"/>
          <w:color w:val="000000"/>
          <w:kern w:val="0"/>
          <w:sz w:val="28"/>
          <w:szCs w:val="28"/>
        </w:rPr>
        <w:t>：是指按照第15.3款</w:t>
      </w:r>
      <w:r>
        <w:rPr>
          <w:rFonts w:hint="eastAsia" w:eastAsia="仿宋_GB2312"/>
          <w:color w:val="000000"/>
          <w:kern w:val="0"/>
          <w:sz w:val="28"/>
          <w:szCs w:val="28"/>
        </w:rPr>
        <w:t>〔</w:t>
      </w:r>
      <w:r>
        <w:rPr>
          <w:rFonts w:eastAsia="仿宋_GB2312"/>
          <w:color w:val="000000"/>
          <w:kern w:val="0"/>
          <w:sz w:val="28"/>
          <w:szCs w:val="28"/>
        </w:rPr>
        <w:t>质量保证金</w:t>
      </w:r>
      <w:r>
        <w:rPr>
          <w:rFonts w:hint="eastAsia" w:eastAsia="仿宋_GB2312"/>
          <w:color w:val="000000"/>
          <w:kern w:val="0"/>
          <w:sz w:val="28"/>
          <w:szCs w:val="28"/>
        </w:rPr>
        <w:t>〕</w:t>
      </w:r>
      <w:r>
        <w:rPr>
          <w:rFonts w:eastAsia="仿宋_GB2312"/>
          <w:color w:val="000000"/>
          <w:kern w:val="0"/>
          <w:sz w:val="28"/>
          <w:szCs w:val="28"/>
        </w:rPr>
        <w:t>约定承包人用于保证其在缺陷责任期内履行缺陷修补义务的担保</w:t>
      </w:r>
      <w:r>
        <w:rPr>
          <w:rFonts w:eastAsia="仿宋_GB2312"/>
          <w:color w:val="000000"/>
          <w:sz w:val="28"/>
          <w:szCs w:val="28"/>
        </w:rPr>
        <w:t>。</w:t>
      </w:r>
    </w:p>
    <w:p w14:paraId="37E4A67D">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1.1.5.8 总价项目：是指在现行国家、行业以及地方的计量规则中无工程量计算规则，在已标价工程量清单或预算书中以总价或以费率形式计算的项目。</w:t>
      </w:r>
    </w:p>
    <w:p w14:paraId="59D3CF2B">
      <w:pPr>
        <w:spacing w:line="500" w:lineRule="exact"/>
        <w:ind w:firstLine="560" w:firstLineChars="200"/>
        <w:jc w:val="left"/>
        <w:rPr>
          <w:rFonts w:eastAsia="仿宋_GB2312"/>
          <w:color w:val="000000"/>
          <w:sz w:val="28"/>
          <w:szCs w:val="28"/>
        </w:rPr>
      </w:pPr>
      <w:r>
        <w:rPr>
          <w:rFonts w:eastAsia="仿宋_GB2312"/>
          <w:color w:val="000000"/>
          <w:sz w:val="28"/>
          <w:szCs w:val="28"/>
        </w:rPr>
        <w:t>1.1.6 其他</w:t>
      </w:r>
    </w:p>
    <w:p w14:paraId="2DBF8295">
      <w:pPr>
        <w:spacing w:line="500" w:lineRule="exact"/>
        <w:ind w:firstLine="560" w:firstLineChars="200"/>
        <w:jc w:val="left"/>
        <w:rPr>
          <w:rFonts w:eastAsia="仿宋_GB2312"/>
          <w:color w:val="000000"/>
          <w:sz w:val="28"/>
          <w:szCs w:val="28"/>
        </w:rPr>
      </w:pPr>
      <w:r>
        <w:rPr>
          <w:rFonts w:eastAsia="仿宋_GB2312"/>
          <w:color w:val="000000"/>
          <w:sz w:val="28"/>
          <w:szCs w:val="28"/>
        </w:rPr>
        <w:t>1.1.6.1 书面形式：是指合同文件、信函、电报、传真等可以有形地表现所载内容的形式。</w:t>
      </w:r>
    </w:p>
    <w:p w14:paraId="27015F6E">
      <w:pPr>
        <w:pStyle w:val="7"/>
        <w:spacing w:before="120" w:after="120" w:line="500" w:lineRule="exact"/>
        <w:rPr>
          <w:rFonts w:eastAsia="黑体"/>
          <w:b w:val="0"/>
          <w:color w:val="000000"/>
        </w:rPr>
      </w:pPr>
      <w:r>
        <w:rPr>
          <w:rFonts w:eastAsia="黑体"/>
          <w:b w:val="0"/>
          <w:color w:val="000000"/>
        </w:rPr>
        <w:t xml:space="preserve">    </w:t>
      </w:r>
      <w:bookmarkStart w:id="712" w:name="_Toc296346530"/>
      <w:bookmarkStart w:id="713" w:name="_Toc296503029"/>
      <w:bookmarkStart w:id="714" w:name="_Toc337558729"/>
      <w:bookmarkStart w:id="715" w:name="_Toc351203497"/>
      <w:r>
        <w:rPr>
          <w:rFonts w:eastAsia="黑体"/>
          <w:b w:val="0"/>
          <w:color w:val="000000"/>
        </w:rPr>
        <w:t>1.2语言文字</w:t>
      </w:r>
      <w:bookmarkEnd w:id="712"/>
      <w:bookmarkEnd w:id="713"/>
      <w:bookmarkEnd w:id="714"/>
      <w:bookmarkEnd w:id="715"/>
    </w:p>
    <w:p w14:paraId="7AB6B58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合同以中国的汉语简体文字编写、解释和说明。合同当事人在专用合同条款中约定使用两种以上语言时，汉语为优先解释和说明合同的语言。</w:t>
      </w:r>
    </w:p>
    <w:p w14:paraId="4E5E1F0E">
      <w:pPr>
        <w:pStyle w:val="7"/>
        <w:spacing w:before="120" w:after="120" w:line="500" w:lineRule="exact"/>
        <w:ind w:firstLine="560" w:firstLineChars="200"/>
        <w:rPr>
          <w:rFonts w:eastAsia="黑体"/>
          <w:b w:val="0"/>
          <w:color w:val="000000"/>
        </w:rPr>
      </w:pPr>
      <w:bookmarkStart w:id="716" w:name="_Toc337558730"/>
      <w:bookmarkStart w:id="717" w:name="_Toc296503030"/>
      <w:bookmarkStart w:id="718" w:name="_Toc351203498"/>
      <w:bookmarkStart w:id="719" w:name="_Toc296346531"/>
      <w:r>
        <w:rPr>
          <w:rFonts w:eastAsia="黑体"/>
          <w:b w:val="0"/>
          <w:color w:val="000000"/>
        </w:rPr>
        <w:t>1.3法律</w:t>
      </w:r>
      <w:bookmarkEnd w:id="716"/>
      <w:bookmarkEnd w:id="717"/>
      <w:bookmarkEnd w:id="718"/>
      <w:bookmarkEnd w:id="719"/>
    </w:p>
    <w:p w14:paraId="0BDA4C68">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合同所称法律是指中华人民共和国法律、行政法规、部门规章，以及工程所在地的地方性法规、自治条例、单行条例和地方政府规章等。</w:t>
      </w:r>
    </w:p>
    <w:p w14:paraId="50B1EFF9">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合同当事人可以在专用合同条款中约定合同适用的其他规范性文件。</w:t>
      </w:r>
    </w:p>
    <w:p w14:paraId="554FF427">
      <w:pPr>
        <w:pStyle w:val="7"/>
        <w:spacing w:before="120" w:after="120" w:line="500" w:lineRule="exact"/>
        <w:ind w:firstLine="560" w:firstLineChars="200"/>
        <w:rPr>
          <w:rFonts w:eastAsia="黑体"/>
          <w:b w:val="0"/>
          <w:color w:val="000000"/>
        </w:rPr>
      </w:pPr>
      <w:bookmarkStart w:id="720" w:name="_Toc351203499"/>
      <w:r>
        <w:rPr>
          <w:rFonts w:eastAsia="黑体"/>
          <w:b w:val="0"/>
          <w:color w:val="000000"/>
        </w:rPr>
        <w:t>1.4 标准和规范</w:t>
      </w:r>
      <w:bookmarkEnd w:id="720"/>
    </w:p>
    <w:p w14:paraId="77566E0E">
      <w:pPr>
        <w:autoSpaceDE w:val="0"/>
        <w:autoSpaceDN w:val="0"/>
        <w:adjustRightInd w:val="0"/>
        <w:spacing w:line="500" w:lineRule="exact"/>
        <w:ind w:firstLine="640"/>
        <w:jc w:val="left"/>
        <w:rPr>
          <w:rFonts w:eastAsia="仿宋_GB2312"/>
          <w:color w:val="000000"/>
          <w:kern w:val="0"/>
          <w:sz w:val="28"/>
          <w:szCs w:val="28"/>
        </w:rPr>
      </w:pPr>
      <w:r>
        <w:rPr>
          <w:rFonts w:eastAsia="仿宋_GB2312"/>
          <w:color w:val="000000"/>
          <w:kern w:val="0"/>
          <w:sz w:val="28"/>
          <w:szCs w:val="28"/>
        </w:rPr>
        <w:t>1.4.1 适用于工程的国家标准、行业标准、工程所在地的地方性标准，以及相应的规范、规程等，合同当事人有特别要求的，应在专用合同条款中约定。</w:t>
      </w:r>
    </w:p>
    <w:p w14:paraId="49C912E2">
      <w:pPr>
        <w:autoSpaceDE w:val="0"/>
        <w:autoSpaceDN w:val="0"/>
        <w:adjustRightInd w:val="0"/>
        <w:spacing w:line="500" w:lineRule="exact"/>
        <w:ind w:firstLine="640"/>
        <w:jc w:val="left"/>
        <w:rPr>
          <w:rFonts w:eastAsia="仿宋_GB2312"/>
          <w:color w:val="000000"/>
          <w:kern w:val="0"/>
          <w:sz w:val="28"/>
          <w:szCs w:val="28"/>
        </w:rPr>
      </w:pPr>
      <w:r>
        <w:rPr>
          <w:rFonts w:eastAsia="仿宋_GB2312"/>
          <w:color w:val="000000"/>
          <w:kern w:val="0"/>
          <w:sz w:val="28"/>
          <w:szCs w:val="28"/>
        </w:rPr>
        <w:t>1.4.2 发包人要求使用国外标准、规范的，发包人负责提供原文版本和中文译本，并在专用合同条款中约定提供标准规范的名称、份数和时间。</w:t>
      </w:r>
    </w:p>
    <w:p w14:paraId="41E6556C">
      <w:pPr>
        <w:autoSpaceDE w:val="0"/>
        <w:autoSpaceDN w:val="0"/>
        <w:adjustRightInd w:val="0"/>
        <w:spacing w:line="500" w:lineRule="exact"/>
        <w:ind w:firstLine="640"/>
        <w:jc w:val="left"/>
        <w:rPr>
          <w:rFonts w:eastAsia="仿宋_GB2312"/>
          <w:color w:val="000000"/>
          <w:kern w:val="0"/>
          <w:sz w:val="28"/>
          <w:szCs w:val="28"/>
        </w:rPr>
      </w:pPr>
      <w:r>
        <w:rPr>
          <w:rFonts w:eastAsia="仿宋_GB2312"/>
          <w:color w:val="000000"/>
          <w:kern w:val="0"/>
          <w:sz w:val="28"/>
          <w:szCs w:val="28"/>
        </w:rPr>
        <w:t>1.4.3 发包人对工程的技术标准、功能要求高于或严于现行国家、行业或地方标准的，应当在专用合同条款中予以明确。除专用合同条款另有约定外，应视为</w:t>
      </w:r>
      <w:r>
        <w:rPr>
          <w:rFonts w:hint="eastAsia" w:eastAsia="仿宋_GB2312"/>
          <w:color w:val="000000"/>
          <w:kern w:val="0"/>
          <w:sz w:val="28"/>
          <w:szCs w:val="28"/>
        </w:rPr>
        <w:t>承包人</w:t>
      </w:r>
      <w:r>
        <w:rPr>
          <w:rFonts w:eastAsia="仿宋_GB2312"/>
          <w:color w:val="000000"/>
          <w:kern w:val="0"/>
          <w:sz w:val="28"/>
          <w:szCs w:val="28"/>
        </w:rPr>
        <w:t>在签订合同前已充分预见前述技术标准和功能要求的复杂程度，签约合同价中已包含由此产生的费用。</w:t>
      </w:r>
    </w:p>
    <w:p w14:paraId="3C67EA99">
      <w:pPr>
        <w:pStyle w:val="7"/>
        <w:spacing w:before="120" w:after="120" w:line="500" w:lineRule="exact"/>
        <w:ind w:firstLine="560" w:firstLineChars="200"/>
        <w:rPr>
          <w:rFonts w:eastAsia="黑体"/>
          <w:b w:val="0"/>
          <w:color w:val="000000"/>
        </w:rPr>
      </w:pPr>
      <w:bookmarkStart w:id="721" w:name="_Toc351203500"/>
      <w:r>
        <w:rPr>
          <w:rFonts w:eastAsia="黑体"/>
          <w:b w:val="0"/>
          <w:color w:val="000000"/>
        </w:rPr>
        <w:t>1</w:t>
      </w:r>
      <w:bookmarkStart w:id="722" w:name="_Toc296346532"/>
      <w:bookmarkStart w:id="723" w:name="_Toc296503031"/>
      <w:bookmarkStart w:id="724" w:name="_Toc337558731"/>
      <w:r>
        <w:rPr>
          <w:rFonts w:eastAsia="黑体"/>
          <w:b w:val="0"/>
          <w:color w:val="000000"/>
        </w:rPr>
        <w:t>.5 合同文件的优先顺序</w:t>
      </w:r>
      <w:bookmarkEnd w:id="721"/>
    </w:p>
    <w:bookmarkEnd w:id="722"/>
    <w:bookmarkEnd w:id="723"/>
    <w:bookmarkEnd w:id="724"/>
    <w:p w14:paraId="799FCBA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组成合同的各项文件应互相解释，互为说明。除专用合同条款另有约定外，解释合同文件的优先顺序如下：</w:t>
      </w:r>
    </w:p>
    <w:p w14:paraId="02554208">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（1）合同协议书；</w:t>
      </w:r>
    </w:p>
    <w:p w14:paraId="1BD2D765">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（2）中标通知书（如果有）；</w:t>
      </w:r>
    </w:p>
    <w:p w14:paraId="029DF0CD">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（3）投标函及其附录（如果有）；</w:t>
      </w:r>
    </w:p>
    <w:p w14:paraId="002B87F2">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（4）专用合同条款</w:t>
      </w:r>
      <w:r>
        <w:rPr>
          <w:rFonts w:eastAsia="仿宋_GB2312"/>
          <w:color w:val="000000"/>
          <w:sz w:val="28"/>
          <w:szCs w:val="28"/>
        </w:rPr>
        <w:t>及其附件</w:t>
      </w:r>
      <w:r>
        <w:rPr>
          <w:rFonts w:eastAsia="仿宋_GB2312"/>
          <w:color w:val="000000"/>
          <w:kern w:val="0"/>
          <w:sz w:val="28"/>
          <w:szCs w:val="28"/>
        </w:rPr>
        <w:t>；</w:t>
      </w:r>
    </w:p>
    <w:p w14:paraId="210B0D7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（5）通用合同条款；</w:t>
      </w:r>
    </w:p>
    <w:p w14:paraId="40110BD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（6）技术标准和要求；</w:t>
      </w:r>
    </w:p>
    <w:p w14:paraId="6900BAE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（7）图纸；</w:t>
      </w:r>
    </w:p>
    <w:p w14:paraId="5C0E4046">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（8）已标价工程量清单或预算书；</w:t>
      </w:r>
    </w:p>
    <w:p w14:paraId="29C4A4E8">
      <w:pPr>
        <w:autoSpaceDE w:val="0"/>
        <w:autoSpaceDN w:val="0"/>
        <w:adjustRightInd w:val="0"/>
        <w:spacing w:line="500" w:lineRule="exact"/>
        <w:ind w:firstLine="560" w:firstLineChars="200"/>
        <w:jc w:val="left"/>
        <w:rPr>
          <w:rFonts w:eastAsia="仿宋_GB2312"/>
          <w:color w:val="000000"/>
          <w:sz w:val="28"/>
          <w:szCs w:val="28"/>
        </w:rPr>
      </w:pPr>
      <w:r>
        <w:rPr>
          <w:rFonts w:eastAsia="仿宋_GB2312"/>
          <w:color w:val="000000"/>
          <w:kern w:val="0"/>
          <w:sz w:val="28"/>
          <w:szCs w:val="28"/>
        </w:rPr>
        <w:t>（9）其他合同文件。</w:t>
      </w:r>
    </w:p>
    <w:p w14:paraId="77F72C33">
      <w:pPr>
        <w:spacing w:line="500" w:lineRule="exact"/>
        <w:ind w:firstLine="596" w:firstLineChars="213"/>
        <w:rPr>
          <w:rFonts w:eastAsia="仿宋_GB2312"/>
          <w:color w:val="000000"/>
          <w:sz w:val="28"/>
          <w:szCs w:val="28"/>
        </w:rPr>
      </w:pPr>
      <w:r>
        <w:rPr>
          <w:rFonts w:eastAsia="仿宋_GB2312"/>
          <w:color w:val="000000"/>
          <w:sz w:val="28"/>
          <w:szCs w:val="28"/>
        </w:rPr>
        <w:t>上述各项合同文件包括合同当事人就该项合同文件所作出的补充和修改，属于同一类内容的文件，应以最新签署的为准。</w:t>
      </w:r>
    </w:p>
    <w:p w14:paraId="60678B26">
      <w:pPr>
        <w:spacing w:line="500" w:lineRule="exact"/>
        <w:ind w:firstLine="596" w:firstLineChars="213"/>
        <w:rPr>
          <w:rFonts w:eastAsia="仿宋_GB2312"/>
          <w:color w:val="000000"/>
          <w:sz w:val="28"/>
          <w:szCs w:val="28"/>
        </w:rPr>
      </w:pPr>
      <w:r>
        <w:rPr>
          <w:rFonts w:eastAsia="仿宋_GB2312"/>
          <w:color w:val="000000"/>
          <w:sz w:val="28"/>
          <w:szCs w:val="28"/>
        </w:rPr>
        <w:t>在合同订立及履行过程中形成的与合同有关的文件均构成合同文件组成部分，并根据其性质确定优先解释顺序。</w:t>
      </w:r>
    </w:p>
    <w:p w14:paraId="7F521CEC">
      <w:pPr>
        <w:pStyle w:val="7"/>
        <w:spacing w:before="120" w:after="120" w:line="500" w:lineRule="exact"/>
        <w:ind w:firstLine="560" w:firstLineChars="200"/>
        <w:rPr>
          <w:rFonts w:eastAsia="黑体"/>
          <w:b w:val="0"/>
          <w:color w:val="000000"/>
        </w:rPr>
      </w:pPr>
      <w:bookmarkStart w:id="725" w:name="_Toc351203501"/>
      <w:r>
        <w:rPr>
          <w:rFonts w:eastAsia="黑体"/>
          <w:b w:val="0"/>
          <w:color w:val="000000"/>
        </w:rPr>
        <w:t>1</w:t>
      </w:r>
      <w:bookmarkStart w:id="726" w:name="_Toc296346533"/>
      <w:bookmarkStart w:id="727" w:name="_Toc337558732"/>
      <w:bookmarkStart w:id="728" w:name="_Toc296503032"/>
      <w:r>
        <w:rPr>
          <w:rFonts w:eastAsia="黑体"/>
          <w:b w:val="0"/>
          <w:color w:val="000000"/>
        </w:rPr>
        <w:t>.6图纸和承包人文件</w:t>
      </w:r>
      <w:bookmarkEnd w:id="725"/>
    </w:p>
    <w:bookmarkEnd w:id="726"/>
    <w:bookmarkEnd w:id="727"/>
    <w:bookmarkEnd w:id="728"/>
    <w:p w14:paraId="0C2C8E10">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1.6.1 图纸的提供和交底</w:t>
      </w:r>
    </w:p>
    <w:p w14:paraId="2452A6E6">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发包人应按照专用合同条款约定的期限、数量和内容向承包人免费提供图纸，并组织承包人、监理人和设计人进行图纸会审和设计交底。发包人至迟不得晚于第7.3.2项</w:t>
      </w:r>
      <w:r>
        <w:rPr>
          <w:rFonts w:hint="eastAsia" w:eastAsia="仿宋_GB2312"/>
          <w:color w:val="000000"/>
          <w:kern w:val="0"/>
          <w:sz w:val="28"/>
          <w:szCs w:val="28"/>
        </w:rPr>
        <w:t>〔</w:t>
      </w:r>
      <w:r>
        <w:rPr>
          <w:rFonts w:eastAsia="仿宋_GB2312"/>
          <w:color w:val="000000"/>
          <w:kern w:val="0"/>
          <w:sz w:val="28"/>
          <w:szCs w:val="28"/>
        </w:rPr>
        <w:t>开工通知</w:t>
      </w:r>
      <w:r>
        <w:rPr>
          <w:rFonts w:hint="eastAsia" w:eastAsia="仿宋_GB2312"/>
          <w:color w:val="000000"/>
          <w:kern w:val="0"/>
          <w:sz w:val="28"/>
          <w:szCs w:val="28"/>
        </w:rPr>
        <w:t>〕</w:t>
      </w:r>
      <w:r>
        <w:rPr>
          <w:rFonts w:eastAsia="仿宋_GB2312"/>
          <w:color w:val="000000"/>
          <w:kern w:val="0"/>
          <w:sz w:val="28"/>
          <w:szCs w:val="28"/>
        </w:rPr>
        <w:t>载明的开工日期前14天向承包人提供图纸。</w:t>
      </w:r>
    </w:p>
    <w:p w14:paraId="11D98A0B">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因发包人未按合同约定提供图纸导致承包人费用增加和（或）工期延误的，按照第7.5.1项</w:t>
      </w:r>
      <w:r>
        <w:rPr>
          <w:rFonts w:hint="eastAsia" w:eastAsia="仿宋_GB2312"/>
          <w:color w:val="000000"/>
          <w:kern w:val="0"/>
          <w:sz w:val="28"/>
          <w:szCs w:val="28"/>
        </w:rPr>
        <w:t>〔</w:t>
      </w:r>
      <w:r>
        <w:rPr>
          <w:rFonts w:eastAsia="仿宋_GB2312"/>
          <w:color w:val="000000"/>
          <w:kern w:val="0"/>
          <w:sz w:val="28"/>
          <w:szCs w:val="28"/>
        </w:rPr>
        <w:t>因发包人原因导致工期延误</w:t>
      </w:r>
      <w:r>
        <w:rPr>
          <w:rFonts w:hint="eastAsia" w:eastAsia="仿宋_GB2312"/>
          <w:color w:val="000000"/>
          <w:kern w:val="0"/>
          <w:sz w:val="28"/>
          <w:szCs w:val="28"/>
        </w:rPr>
        <w:t>〕</w:t>
      </w:r>
      <w:r>
        <w:rPr>
          <w:rFonts w:eastAsia="仿宋_GB2312"/>
          <w:color w:val="000000"/>
          <w:kern w:val="0"/>
          <w:sz w:val="28"/>
          <w:szCs w:val="28"/>
        </w:rPr>
        <w:t>约定办理。</w:t>
      </w:r>
    </w:p>
    <w:p w14:paraId="61917C38">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1.6.2 图纸的错误</w:t>
      </w:r>
    </w:p>
    <w:p w14:paraId="25576156">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在收到发包人提供的图纸后，发现图纸存在差错、遗漏或缺陷的，应及时通知监理人。监理人接到该通知后，应附具相关意见并立即报送发包人，发包人应在收到监理人报送的通知后的合理时间内作出决定。</w:t>
      </w:r>
      <w:r>
        <w:rPr>
          <w:rFonts w:hint="eastAsia" w:eastAsia="仿宋_GB2312"/>
          <w:color w:val="000000"/>
          <w:kern w:val="0"/>
          <w:sz w:val="28"/>
          <w:szCs w:val="28"/>
        </w:rPr>
        <w:t>合理时间是指发包人在收到监理人的报送通知后，尽其努力且不懈怠地完成图纸修改补充所需的时间。</w:t>
      </w:r>
    </w:p>
    <w:p w14:paraId="243DF6C9">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1.6.3 图纸的修改和补充</w:t>
      </w:r>
    </w:p>
    <w:p w14:paraId="78314EFD">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图纸需要修改和补充的，应经图纸原设计人及审批部门同意，并由监理人在工程或工程相应部位施工前将修改后的图纸或补充图纸提交给承包人，承包人应按修改或补充后的图纸施工。</w:t>
      </w:r>
    </w:p>
    <w:p w14:paraId="16B0352D">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1.6.4 承包人文件</w:t>
      </w:r>
    </w:p>
    <w:p w14:paraId="00F4BD2B">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承包人应按照专用合同条款的约定提供应当由其编制的与工程施工有关的文件，并按照专用合同条款约定的期限、数量和形式提交监理人，并由监理人报送发包人。</w:t>
      </w:r>
    </w:p>
    <w:p w14:paraId="4809C87A">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3A5CD075">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1.6.5 图纸和承包人文件的保管</w:t>
      </w:r>
    </w:p>
    <w:p w14:paraId="15B5D92C">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除专用合同条款另有约定外，承包人应在施工现场另外保存一套完整的图纸和承包人文件，供发包人、监理人及有关人员进行工程检查时使用。</w:t>
      </w:r>
    </w:p>
    <w:p w14:paraId="7C591717">
      <w:pPr>
        <w:pStyle w:val="7"/>
        <w:spacing w:before="120" w:after="120" w:line="500" w:lineRule="exact"/>
        <w:ind w:firstLine="560" w:firstLineChars="200"/>
        <w:rPr>
          <w:rFonts w:eastAsia="黑体"/>
          <w:b w:val="0"/>
          <w:color w:val="000000"/>
        </w:rPr>
      </w:pPr>
      <w:bookmarkStart w:id="729" w:name="_Toc351203502"/>
      <w:r>
        <w:rPr>
          <w:rFonts w:eastAsia="黑体"/>
          <w:b w:val="0"/>
          <w:color w:val="000000"/>
        </w:rPr>
        <w:t>1</w:t>
      </w:r>
      <w:bookmarkStart w:id="730" w:name="_Toc296346534"/>
      <w:bookmarkStart w:id="731" w:name="_Toc337558733"/>
      <w:bookmarkStart w:id="732" w:name="_Toc296503033"/>
      <w:r>
        <w:rPr>
          <w:rFonts w:eastAsia="黑体"/>
          <w:b w:val="0"/>
          <w:color w:val="000000"/>
        </w:rPr>
        <w:t>.7联络</w:t>
      </w:r>
      <w:bookmarkEnd w:id="729"/>
    </w:p>
    <w:bookmarkEnd w:id="730"/>
    <w:bookmarkEnd w:id="731"/>
    <w:bookmarkEnd w:id="732"/>
    <w:p w14:paraId="00D7D0B5">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1.7.1 与合同有关的通知、批准、证明、证书、指示、指令、要求、请求、同意、意见、确定和决定等，均应采用书面形式，并应在合同约定的期限内送达接收人和送达地点。</w:t>
      </w:r>
    </w:p>
    <w:p w14:paraId="726E7343">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1.7.2 发包人和承包人应在专用合同条款中约定各自的送达接收人和送达地点。任何一方合同当事人指定的接收人或送达地点发生变动的，应提前3天以书面形式通知对方。</w:t>
      </w:r>
    </w:p>
    <w:p w14:paraId="1248C46F">
      <w:pPr>
        <w:autoSpaceDE w:val="0"/>
        <w:autoSpaceDN w:val="0"/>
        <w:adjustRightInd w:val="0"/>
        <w:spacing w:line="500" w:lineRule="exact"/>
        <w:ind w:firstLine="560" w:firstLineChars="200"/>
        <w:jc w:val="left"/>
        <w:rPr>
          <w:rFonts w:eastAsia="仿宋_GB2312"/>
          <w:color w:val="FF0000"/>
          <w:kern w:val="0"/>
          <w:sz w:val="28"/>
          <w:szCs w:val="28"/>
        </w:rPr>
      </w:pPr>
      <w:r>
        <w:rPr>
          <w:rFonts w:eastAsia="仿宋_GB2312"/>
          <w:color w:val="000000"/>
          <w:kern w:val="0"/>
          <w:sz w:val="28"/>
          <w:szCs w:val="28"/>
        </w:rPr>
        <w:t>1.7.3 发包人和承包人应当及时签收另一方送达至送达地点和指定接收人的来往信函。拒不签收的，由此增加的费用和（或）延误的工期由拒绝接收一方承担。</w:t>
      </w:r>
    </w:p>
    <w:p w14:paraId="0CA49558">
      <w:pPr>
        <w:pStyle w:val="7"/>
        <w:spacing w:before="120" w:after="120" w:line="500" w:lineRule="exact"/>
        <w:ind w:firstLine="560" w:firstLineChars="200"/>
        <w:rPr>
          <w:rFonts w:eastAsia="黑体"/>
          <w:b w:val="0"/>
          <w:color w:val="000000"/>
        </w:rPr>
      </w:pPr>
      <w:bookmarkStart w:id="733" w:name="_Toc351203503"/>
      <w:r>
        <w:rPr>
          <w:rFonts w:eastAsia="黑体"/>
          <w:b w:val="0"/>
          <w:color w:val="000000"/>
        </w:rPr>
        <w:t>1</w:t>
      </w:r>
      <w:bookmarkStart w:id="734" w:name="_Toc296346536"/>
      <w:bookmarkStart w:id="735" w:name="_Toc337558734"/>
      <w:bookmarkStart w:id="736" w:name="_Toc296503035"/>
      <w:r>
        <w:rPr>
          <w:rFonts w:eastAsia="黑体"/>
          <w:b w:val="0"/>
          <w:color w:val="000000"/>
        </w:rPr>
        <w:t>.8严禁贿赂</w:t>
      </w:r>
      <w:bookmarkEnd w:id="733"/>
    </w:p>
    <w:bookmarkEnd w:id="734"/>
    <w:bookmarkEnd w:id="735"/>
    <w:bookmarkEnd w:id="736"/>
    <w:p w14:paraId="2101FB3B">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合同当事人不得以贿赂或变相贿赂的方式，谋取非法利益或损害对方权益。因一方合同当事人的贿赂造成对方损失的，应赔偿损失，并承担相应的法律责任。</w:t>
      </w:r>
    </w:p>
    <w:p w14:paraId="640FCAFE">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承包人不得与监理人或发包人聘请的第三方串通损害发包人利益。未经发包人书面同意，承包人不得为监理人提供合同约定以外的通讯设备、交通工具及其他任何形式的利益，不得向监理人支付报酬。</w:t>
      </w:r>
    </w:p>
    <w:p w14:paraId="4CEB53D4">
      <w:pPr>
        <w:pStyle w:val="7"/>
        <w:spacing w:before="120" w:after="120" w:line="500" w:lineRule="exact"/>
        <w:ind w:firstLine="560" w:firstLineChars="200"/>
        <w:rPr>
          <w:rFonts w:eastAsia="黑体"/>
          <w:b w:val="0"/>
          <w:color w:val="000000"/>
        </w:rPr>
      </w:pPr>
      <w:bookmarkStart w:id="737" w:name="_Toc351203504"/>
      <w:r>
        <w:rPr>
          <w:rFonts w:eastAsia="黑体"/>
          <w:b w:val="0"/>
          <w:color w:val="000000"/>
        </w:rPr>
        <w:t>1</w:t>
      </w:r>
      <w:bookmarkStart w:id="738" w:name="_Toc296346537"/>
      <w:bookmarkStart w:id="739" w:name="_Toc337558735"/>
      <w:bookmarkStart w:id="740" w:name="_Toc296503036"/>
      <w:r>
        <w:rPr>
          <w:rFonts w:eastAsia="黑体"/>
          <w:b w:val="0"/>
          <w:color w:val="000000"/>
        </w:rPr>
        <w:t>.9化石、文物</w:t>
      </w:r>
      <w:bookmarkEnd w:id="737"/>
    </w:p>
    <w:bookmarkEnd w:id="738"/>
    <w:bookmarkEnd w:id="739"/>
    <w:bookmarkEnd w:id="740"/>
    <w:p w14:paraId="7AFBD8E2">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2ABC5362">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发包人、监理人和承包人应按有关政府行政管理部门要求采取妥善的保护措施，由此增加的费用和</w:t>
      </w:r>
      <w:r>
        <w:rPr>
          <w:rFonts w:hint="eastAsia" w:eastAsia="仿宋_GB2312"/>
          <w:color w:val="000000"/>
          <w:kern w:val="0"/>
          <w:sz w:val="28"/>
          <w:szCs w:val="28"/>
        </w:rPr>
        <w:t>（</w:t>
      </w:r>
      <w:r>
        <w:rPr>
          <w:rFonts w:eastAsia="仿宋_GB2312"/>
          <w:color w:val="000000"/>
          <w:kern w:val="0"/>
          <w:sz w:val="28"/>
          <w:szCs w:val="28"/>
        </w:rPr>
        <w:t>或）延误的工期由发包人承担。</w:t>
      </w:r>
    </w:p>
    <w:p w14:paraId="15D7A50E">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承包人发现文物后不及时报告或隐瞒不报，致使文物丢失或损坏的，应赔偿损失，并承担相应的法律责任。</w:t>
      </w:r>
    </w:p>
    <w:p w14:paraId="0CE3C462">
      <w:pPr>
        <w:pStyle w:val="7"/>
        <w:spacing w:before="120" w:after="120" w:line="500" w:lineRule="exact"/>
        <w:ind w:firstLine="560" w:firstLineChars="200"/>
        <w:rPr>
          <w:rFonts w:eastAsia="黑体"/>
          <w:b w:val="0"/>
          <w:color w:val="000000"/>
        </w:rPr>
      </w:pPr>
      <w:bookmarkStart w:id="741" w:name="_Toc351203505"/>
      <w:r>
        <w:rPr>
          <w:rFonts w:eastAsia="黑体"/>
          <w:b w:val="0"/>
          <w:color w:val="000000"/>
        </w:rPr>
        <w:t>1</w:t>
      </w:r>
      <w:bookmarkStart w:id="742" w:name="_Toc337558736"/>
      <w:r>
        <w:rPr>
          <w:rFonts w:eastAsia="黑体"/>
          <w:b w:val="0"/>
          <w:color w:val="000000"/>
        </w:rPr>
        <w:t>.10交通运输</w:t>
      </w:r>
      <w:bookmarkEnd w:id="741"/>
    </w:p>
    <w:bookmarkEnd w:id="742"/>
    <w:p w14:paraId="18F1A338">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1.10.1</w:t>
      </w:r>
      <w:r>
        <w:rPr>
          <w:rFonts w:hint="eastAsia" w:eastAsia="仿宋_GB2312"/>
          <w:color w:val="000000"/>
          <w:kern w:val="0"/>
          <w:sz w:val="28"/>
          <w:szCs w:val="28"/>
        </w:rPr>
        <w:t xml:space="preserve"> </w:t>
      </w:r>
      <w:r>
        <w:rPr>
          <w:rFonts w:eastAsia="仿宋_GB2312"/>
          <w:color w:val="000000"/>
          <w:kern w:val="0"/>
          <w:sz w:val="28"/>
          <w:szCs w:val="28"/>
        </w:rPr>
        <w:t>出入现场的权利</w:t>
      </w:r>
    </w:p>
    <w:p w14:paraId="090F56FE">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除专用合同条款另有约定外，发包人应根据施工需要，负责取得出入施工现场所需的</w:t>
      </w:r>
      <w:r>
        <w:rPr>
          <w:rFonts w:hint="eastAsia" w:eastAsia="仿宋_GB2312"/>
          <w:color w:val="000000"/>
          <w:kern w:val="0"/>
          <w:sz w:val="28"/>
          <w:szCs w:val="28"/>
        </w:rPr>
        <w:t>批准手续和</w:t>
      </w:r>
      <w:r>
        <w:rPr>
          <w:rFonts w:eastAsia="仿宋_GB2312"/>
          <w:color w:val="000000"/>
          <w:kern w:val="0"/>
          <w:sz w:val="28"/>
          <w:szCs w:val="28"/>
        </w:rPr>
        <w:t>全部权利，以及取得因施工所需修建道路、桥梁以及其他基础设施的权利，并承担相关手续费用和建设费用。承包人应协助发包人办理修建场内外道路、桥梁以及其他基础设施的手续。</w:t>
      </w:r>
    </w:p>
    <w:p w14:paraId="2C88F1DE">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承包人应在订立合同前查勘施工现场，并根据工程规模及技术参数合理预见工程施工所需的进出施工现场的方式、手段、路径等。因承包人未合理预见所增加的费用和（或）延误的工期由承包人承担。</w:t>
      </w:r>
    </w:p>
    <w:p w14:paraId="1CB38FD7">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1.10.2</w:t>
      </w:r>
      <w:r>
        <w:rPr>
          <w:rFonts w:hint="eastAsia" w:eastAsia="仿宋_GB2312"/>
          <w:color w:val="000000"/>
          <w:kern w:val="0"/>
          <w:sz w:val="28"/>
          <w:szCs w:val="28"/>
        </w:rPr>
        <w:t xml:space="preserve"> </w:t>
      </w:r>
      <w:r>
        <w:rPr>
          <w:rFonts w:eastAsia="仿宋_GB2312"/>
          <w:color w:val="000000"/>
          <w:kern w:val="0"/>
          <w:sz w:val="28"/>
          <w:szCs w:val="28"/>
        </w:rPr>
        <w:t>场外交通</w:t>
      </w:r>
    </w:p>
    <w:p w14:paraId="2FA1FBCE">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7445D95C">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1.10.3场内交通</w:t>
      </w:r>
    </w:p>
    <w:p w14:paraId="36B0A239">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314C2BAA">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5233F31F">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场外交通和场内交通的边界由合同当事人在专用合同条款中约定。</w:t>
      </w:r>
    </w:p>
    <w:p w14:paraId="2E02C85A">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1.10.4</w:t>
      </w:r>
      <w:r>
        <w:rPr>
          <w:rFonts w:hint="eastAsia" w:eastAsia="仿宋_GB2312"/>
          <w:color w:val="000000"/>
          <w:kern w:val="0"/>
          <w:sz w:val="28"/>
          <w:szCs w:val="28"/>
        </w:rPr>
        <w:t xml:space="preserve"> </w:t>
      </w:r>
      <w:r>
        <w:rPr>
          <w:rFonts w:eastAsia="仿宋_GB2312"/>
          <w:color w:val="000000"/>
          <w:kern w:val="0"/>
          <w:sz w:val="28"/>
          <w:szCs w:val="28"/>
        </w:rPr>
        <w:t>超大件和超重件的运输</w:t>
      </w:r>
    </w:p>
    <w:p w14:paraId="3BCCE13D">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3DE9B202">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1.10.5</w:t>
      </w:r>
      <w:r>
        <w:rPr>
          <w:rFonts w:hint="eastAsia" w:eastAsia="仿宋_GB2312"/>
          <w:color w:val="000000"/>
          <w:kern w:val="0"/>
          <w:sz w:val="28"/>
          <w:szCs w:val="28"/>
        </w:rPr>
        <w:t xml:space="preserve"> </w:t>
      </w:r>
      <w:r>
        <w:rPr>
          <w:rFonts w:eastAsia="仿宋_GB2312"/>
          <w:color w:val="000000"/>
          <w:kern w:val="0"/>
          <w:sz w:val="28"/>
          <w:szCs w:val="28"/>
        </w:rPr>
        <w:t>道路和桥梁的损坏责任</w:t>
      </w:r>
    </w:p>
    <w:p w14:paraId="495ED031">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因承包人运输造成施工场地内外公共道路和桥梁损坏的，由承包人承担修复损坏的全部费用和可能引起的赔偿。</w:t>
      </w:r>
    </w:p>
    <w:p w14:paraId="5565BCFE">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1.10.6</w:t>
      </w:r>
      <w:r>
        <w:rPr>
          <w:rFonts w:hint="eastAsia" w:eastAsia="仿宋_GB2312"/>
          <w:color w:val="000000"/>
          <w:kern w:val="0"/>
          <w:sz w:val="28"/>
          <w:szCs w:val="28"/>
        </w:rPr>
        <w:t xml:space="preserve"> </w:t>
      </w:r>
      <w:r>
        <w:rPr>
          <w:rFonts w:eastAsia="仿宋_GB2312"/>
          <w:color w:val="000000"/>
          <w:kern w:val="0"/>
          <w:sz w:val="28"/>
          <w:szCs w:val="28"/>
        </w:rPr>
        <w:t>水路和航空运输</w:t>
      </w:r>
    </w:p>
    <w:p w14:paraId="3B104A45">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本</w:t>
      </w:r>
      <w:r>
        <w:rPr>
          <w:rFonts w:hint="eastAsia" w:eastAsia="仿宋_GB2312"/>
          <w:color w:val="000000"/>
          <w:kern w:val="0"/>
          <w:sz w:val="28"/>
          <w:szCs w:val="28"/>
        </w:rPr>
        <w:t>款</w:t>
      </w:r>
      <w:r>
        <w:rPr>
          <w:rFonts w:eastAsia="仿宋_GB2312"/>
          <w:color w:val="000000"/>
          <w:kern w:val="0"/>
          <w:sz w:val="28"/>
          <w:szCs w:val="28"/>
        </w:rPr>
        <w:t>前述各</w:t>
      </w:r>
      <w:r>
        <w:rPr>
          <w:rFonts w:hint="eastAsia" w:eastAsia="仿宋_GB2312"/>
          <w:color w:val="000000"/>
          <w:kern w:val="0"/>
          <w:sz w:val="28"/>
          <w:szCs w:val="28"/>
        </w:rPr>
        <w:t>项</w:t>
      </w:r>
      <w:r>
        <w:rPr>
          <w:rFonts w:eastAsia="仿宋_GB2312"/>
          <w:color w:val="000000"/>
          <w:kern w:val="0"/>
          <w:sz w:val="28"/>
          <w:szCs w:val="28"/>
        </w:rPr>
        <w:t>的内容适用于水路运输和航空运输，其中“道路”一词的涵义包括河道、航线、船闸、机场、码头、堤防以及水路或航空运输中其他相似结构物；“车辆”一词的涵义包括船舶和飞机等。</w:t>
      </w:r>
    </w:p>
    <w:p w14:paraId="7AFE056A">
      <w:pPr>
        <w:pStyle w:val="7"/>
        <w:spacing w:before="120" w:after="120" w:line="500" w:lineRule="exact"/>
        <w:ind w:firstLine="560" w:firstLineChars="200"/>
        <w:rPr>
          <w:rFonts w:eastAsia="黑体"/>
          <w:b w:val="0"/>
          <w:color w:val="000000"/>
        </w:rPr>
      </w:pPr>
      <w:bookmarkStart w:id="743" w:name="_Toc351203506"/>
      <w:r>
        <w:rPr>
          <w:rFonts w:eastAsia="黑体"/>
          <w:b w:val="0"/>
          <w:color w:val="000000"/>
        </w:rPr>
        <w:t>1</w:t>
      </w:r>
      <w:bookmarkStart w:id="744" w:name="_Toc337558737"/>
      <w:bookmarkStart w:id="745" w:name="_Toc296346538"/>
      <w:bookmarkStart w:id="746" w:name="_Toc296503037"/>
      <w:r>
        <w:rPr>
          <w:rFonts w:eastAsia="黑体"/>
          <w:b w:val="0"/>
          <w:color w:val="000000"/>
        </w:rPr>
        <w:t>.11知识产权</w:t>
      </w:r>
      <w:bookmarkEnd w:id="743"/>
      <w:r>
        <w:rPr>
          <w:rFonts w:eastAsia="黑体"/>
          <w:b w:val="0"/>
          <w:color w:val="000000"/>
        </w:rPr>
        <w:t xml:space="preserve"> </w:t>
      </w:r>
      <w:bookmarkEnd w:id="744"/>
    </w:p>
    <w:bookmarkEnd w:id="745"/>
    <w:bookmarkEnd w:id="746"/>
    <w:p w14:paraId="7E22B73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14DC38DD">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5F7E3573">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07D55B57">
      <w:pPr>
        <w:spacing w:line="500" w:lineRule="exact"/>
        <w:rPr>
          <w:sz w:val="28"/>
          <w:szCs w:val="28"/>
        </w:rPr>
      </w:pPr>
      <w:r>
        <w:rPr>
          <w:rFonts w:eastAsia="仿宋_GB2312"/>
          <w:color w:val="000000"/>
          <w:kern w:val="0"/>
          <w:sz w:val="28"/>
          <w:szCs w:val="28"/>
        </w:rPr>
        <w:t xml:space="preserve">    </w:t>
      </w:r>
      <w:r>
        <w:rPr>
          <w:rFonts w:eastAsia="仿宋_GB2312"/>
          <w:color w:val="000000"/>
          <w:sz w:val="28"/>
          <w:szCs w:val="28"/>
        </w:rPr>
        <w:t>1.11.4 除专用合同条款另有约定外，承包人在合同签订前和签订时已确定采用的专利、专有技术、技术秘密的使用费已包含在签约合同价中。</w:t>
      </w:r>
    </w:p>
    <w:p w14:paraId="1F1DD4ED">
      <w:pPr>
        <w:pStyle w:val="7"/>
        <w:spacing w:before="120" w:after="120" w:line="500" w:lineRule="exact"/>
        <w:ind w:firstLine="560" w:firstLineChars="200"/>
        <w:rPr>
          <w:rFonts w:eastAsia="黑体"/>
          <w:b w:val="0"/>
          <w:color w:val="000000"/>
        </w:rPr>
      </w:pPr>
      <w:bookmarkStart w:id="747" w:name="_Toc351203507"/>
      <w:r>
        <w:rPr>
          <w:rFonts w:eastAsia="黑体"/>
          <w:b w:val="0"/>
          <w:color w:val="000000"/>
        </w:rPr>
        <w:t>1</w:t>
      </w:r>
      <w:bookmarkStart w:id="748" w:name="_Toc337558738"/>
      <w:r>
        <w:rPr>
          <w:rFonts w:eastAsia="黑体"/>
          <w:b w:val="0"/>
          <w:color w:val="000000"/>
        </w:rPr>
        <w:t>.12保密</w:t>
      </w:r>
      <w:bookmarkEnd w:id="747"/>
    </w:p>
    <w:bookmarkEnd w:id="748"/>
    <w:p w14:paraId="567E440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除法律规定或合同另有约定外，未经发包人同意，承包人不得将发包人提供的图纸、文件以及声明需要保密的资料信息等商业秘密泄露给第三方。</w:t>
      </w:r>
    </w:p>
    <w:p w14:paraId="45051976">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除法律规定或合同另有约定外，未经承包人同意，发包人不得将承包人提供的技术秘密及声明需要保密的资料信息等商业秘密泄露给第三方。</w:t>
      </w:r>
    </w:p>
    <w:p w14:paraId="6FAE97EF">
      <w:pPr>
        <w:pStyle w:val="7"/>
        <w:spacing w:before="120" w:after="120" w:line="500" w:lineRule="exact"/>
        <w:ind w:firstLine="560" w:firstLineChars="200"/>
        <w:rPr>
          <w:rFonts w:eastAsia="黑体"/>
          <w:b w:val="0"/>
          <w:color w:val="000000"/>
        </w:rPr>
      </w:pPr>
      <w:bookmarkStart w:id="749" w:name="_Toc351203508"/>
      <w:r>
        <w:rPr>
          <w:rFonts w:eastAsia="黑体"/>
          <w:b w:val="0"/>
          <w:color w:val="000000"/>
        </w:rPr>
        <w:t>1.13工程量清单错误的修正</w:t>
      </w:r>
      <w:bookmarkEnd w:id="749"/>
    </w:p>
    <w:p w14:paraId="1807A463">
      <w:pPr>
        <w:autoSpaceDE w:val="0"/>
        <w:autoSpaceDN w:val="0"/>
        <w:adjustRightInd w:val="0"/>
        <w:spacing w:line="500" w:lineRule="exact"/>
        <w:ind w:firstLine="560" w:firstLineChars="200"/>
        <w:jc w:val="left"/>
        <w:rPr>
          <w:rFonts w:eastAsia="仿宋_GB2312"/>
          <w:color w:val="000000"/>
          <w:kern w:val="0"/>
          <w:sz w:val="28"/>
          <w:szCs w:val="28"/>
        </w:rPr>
      </w:pPr>
      <w:r>
        <w:rPr>
          <w:rFonts w:hint="eastAsia" w:eastAsia="仿宋_GB2312"/>
          <w:color w:val="000000"/>
          <w:kern w:val="0"/>
          <w:sz w:val="28"/>
          <w:szCs w:val="28"/>
        </w:rPr>
        <w:t>除专用合同条款另有约定外，</w:t>
      </w:r>
      <w:r>
        <w:rPr>
          <w:rFonts w:eastAsia="仿宋_GB2312"/>
          <w:color w:val="000000"/>
          <w:kern w:val="0"/>
          <w:sz w:val="28"/>
          <w:szCs w:val="28"/>
        </w:rPr>
        <w:t>发包人提供的工程量清单，应被认为是准确的和完整的。出现下列情形之一时，发包人应予以修正，并相应调整合同价格：</w:t>
      </w:r>
    </w:p>
    <w:p w14:paraId="783A277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（1）工程量清单存在缺项、漏项的；</w:t>
      </w:r>
    </w:p>
    <w:p w14:paraId="6A09786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（2）工程量清单偏差超出专用合同条款约定的工程量偏差范围的；</w:t>
      </w:r>
    </w:p>
    <w:p w14:paraId="085C84F3">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（3）未按照国家现行计量规范强制性规定计量的。</w:t>
      </w:r>
    </w:p>
    <w:p w14:paraId="606511FA">
      <w:pPr>
        <w:pStyle w:val="6"/>
        <w:spacing w:before="120" w:after="120" w:line="500" w:lineRule="exact"/>
        <w:rPr>
          <w:rFonts w:ascii="Times New Roman" w:hAnsi="Times New Roman"/>
          <w:b w:val="0"/>
          <w:color w:val="000000"/>
        </w:rPr>
      </w:pPr>
      <w:bookmarkStart w:id="750" w:name="_Toc351203509"/>
      <w:r>
        <w:rPr>
          <w:rFonts w:ascii="Times New Roman" w:hAnsi="Times New Roman"/>
          <w:b w:val="0"/>
          <w:color w:val="000000"/>
        </w:rPr>
        <w:t>2</w:t>
      </w:r>
      <w:bookmarkStart w:id="751" w:name="_Toc296346539"/>
      <w:bookmarkStart w:id="752" w:name="_Toc337558739"/>
      <w:bookmarkStart w:id="753" w:name="_Toc296503038"/>
      <w:bookmarkStart w:id="754" w:name="OLE_LINK2"/>
      <w:bookmarkStart w:id="755" w:name="OLE_LINK1"/>
      <w:r>
        <w:rPr>
          <w:rFonts w:ascii="Times New Roman" w:hAnsi="Times New Roman"/>
          <w:b w:val="0"/>
          <w:color w:val="000000"/>
        </w:rPr>
        <w:t>. 发包人</w:t>
      </w:r>
      <w:bookmarkEnd w:id="750"/>
    </w:p>
    <w:bookmarkEnd w:id="751"/>
    <w:bookmarkEnd w:id="752"/>
    <w:bookmarkEnd w:id="753"/>
    <w:p w14:paraId="206F8A66">
      <w:pPr>
        <w:pStyle w:val="7"/>
        <w:spacing w:before="120" w:after="120" w:line="500" w:lineRule="exact"/>
        <w:ind w:firstLine="560" w:firstLineChars="200"/>
        <w:rPr>
          <w:rFonts w:eastAsia="黑体"/>
          <w:b w:val="0"/>
          <w:color w:val="000000"/>
        </w:rPr>
      </w:pPr>
      <w:bookmarkStart w:id="756" w:name="_Toc351203510"/>
      <w:r>
        <w:rPr>
          <w:rFonts w:eastAsia="黑体"/>
          <w:b w:val="0"/>
          <w:color w:val="000000"/>
        </w:rPr>
        <w:t>2</w:t>
      </w:r>
      <w:bookmarkStart w:id="757" w:name="_Toc296503039"/>
      <w:bookmarkStart w:id="758" w:name="_Toc296346540"/>
      <w:bookmarkStart w:id="759" w:name="_Toc337558740"/>
      <w:r>
        <w:rPr>
          <w:rFonts w:eastAsia="黑体"/>
          <w:b w:val="0"/>
          <w:color w:val="000000"/>
        </w:rPr>
        <w:t>.1 许可或批准</w:t>
      </w:r>
      <w:bookmarkEnd w:id="756"/>
    </w:p>
    <w:p w14:paraId="721D381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65FD4CF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因发包人原因未能及时办理完毕前述许可、批准或备案，由发包人承担由此增加的费用和（或）延误的工期，并支付承包人合理的利润。</w:t>
      </w:r>
    </w:p>
    <w:p w14:paraId="417EFA72">
      <w:pPr>
        <w:pStyle w:val="7"/>
        <w:spacing w:before="120" w:after="120" w:line="500" w:lineRule="exact"/>
        <w:ind w:firstLine="560" w:firstLineChars="200"/>
        <w:rPr>
          <w:rFonts w:eastAsia="黑体"/>
          <w:b w:val="0"/>
          <w:color w:val="000000"/>
        </w:rPr>
      </w:pPr>
      <w:bookmarkStart w:id="760" w:name="_Toc351203511"/>
      <w:r>
        <w:rPr>
          <w:rFonts w:eastAsia="黑体"/>
          <w:b w:val="0"/>
          <w:color w:val="000000"/>
        </w:rPr>
        <w:t>2.2 发包人代表</w:t>
      </w:r>
      <w:bookmarkEnd w:id="760"/>
    </w:p>
    <w:p w14:paraId="3F5AC945">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18E83E73">
      <w:pPr>
        <w:spacing w:line="500" w:lineRule="exact"/>
        <w:ind w:firstLine="560" w:firstLineChars="200"/>
        <w:rPr>
          <w:rFonts w:eastAsia="仿宋_GB2312"/>
          <w:color w:val="000000"/>
          <w:kern w:val="0"/>
          <w:sz w:val="28"/>
          <w:szCs w:val="28"/>
        </w:rPr>
      </w:pPr>
      <w:r>
        <w:rPr>
          <w:rFonts w:eastAsia="仿宋_GB2312"/>
          <w:color w:val="000000"/>
          <w:kern w:val="0"/>
          <w:sz w:val="28"/>
          <w:szCs w:val="28"/>
        </w:rPr>
        <w:t>发包人代表不能按照合同约定履行其职责及义务，并导致合同无法继续正常履行的，承包人可以要求发包人撤换发包人代表。</w:t>
      </w:r>
    </w:p>
    <w:p w14:paraId="20B08836">
      <w:pPr>
        <w:spacing w:line="500" w:lineRule="exact"/>
        <w:ind w:firstLine="560" w:firstLineChars="200"/>
        <w:rPr>
          <w:sz w:val="28"/>
          <w:szCs w:val="28"/>
        </w:rPr>
      </w:pPr>
      <w:r>
        <w:rPr>
          <w:rFonts w:hint="eastAsia" w:eastAsia="仿宋_GB2312"/>
          <w:color w:val="000000"/>
          <w:kern w:val="0"/>
          <w:sz w:val="28"/>
          <w:szCs w:val="28"/>
        </w:rPr>
        <w:t>不属于法定必须监理的工程，监理人的职权可以由发包人代表或发包人指定的其他人员行使。</w:t>
      </w:r>
    </w:p>
    <w:p w14:paraId="2F664F91">
      <w:pPr>
        <w:pStyle w:val="7"/>
        <w:spacing w:before="120" w:after="120" w:line="500" w:lineRule="exact"/>
        <w:ind w:firstLine="560" w:firstLineChars="200"/>
        <w:rPr>
          <w:rFonts w:eastAsia="黑体"/>
          <w:b w:val="0"/>
          <w:color w:val="000000"/>
        </w:rPr>
      </w:pPr>
      <w:bookmarkStart w:id="761" w:name="_Toc351203512"/>
      <w:r>
        <w:rPr>
          <w:rFonts w:eastAsia="黑体"/>
          <w:b w:val="0"/>
          <w:color w:val="000000"/>
        </w:rPr>
        <w:t>2.3 发包人人员</w:t>
      </w:r>
      <w:bookmarkEnd w:id="761"/>
    </w:p>
    <w:p w14:paraId="03074040">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发包人应要求在施工现场的发包人人员遵守法律及有关安全、质量、环境保护、文明施工等规定，并保障承包人免于承受因发包人人员未遵守上述要求给承包人造成的损失和责任。</w:t>
      </w:r>
    </w:p>
    <w:p w14:paraId="4838912B">
      <w:pPr>
        <w:spacing w:line="500" w:lineRule="exact"/>
        <w:ind w:firstLine="640"/>
        <w:jc w:val="left"/>
        <w:rPr>
          <w:rFonts w:eastAsia="仿宋_GB2312"/>
          <w:color w:val="000000"/>
          <w:kern w:val="0"/>
          <w:sz w:val="28"/>
          <w:szCs w:val="28"/>
        </w:rPr>
      </w:pPr>
      <w:r>
        <w:rPr>
          <w:rFonts w:eastAsia="仿宋_GB2312"/>
          <w:color w:val="000000"/>
          <w:kern w:val="0"/>
          <w:sz w:val="28"/>
          <w:szCs w:val="28"/>
        </w:rPr>
        <w:t>发包人人员包括发包人代表及其他由发包人派驻施工现场的人员。</w:t>
      </w:r>
      <w:bookmarkEnd w:id="757"/>
      <w:bookmarkEnd w:id="758"/>
      <w:bookmarkEnd w:id="759"/>
    </w:p>
    <w:p w14:paraId="3D26081F">
      <w:pPr>
        <w:pStyle w:val="7"/>
        <w:spacing w:before="120" w:after="120" w:line="500" w:lineRule="exact"/>
        <w:ind w:firstLine="560" w:firstLineChars="200"/>
        <w:rPr>
          <w:rFonts w:eastAsia="黑体"/>
          <w:b w:val="0"/>
          <w:color w:val="000000"/>
        </w:rPr>
      </w:pPr>
      <w:bookmarkStart w:id="762" w:name="_Toc351203513"/>
      <w:r>
        <w:rPr>
          <w:rFonts w:eastAsia="黑体"/>
          <w:b w:val="0"/>
          <w:color w:val="000000"/>
        </w:rPr>
        <w:t>2</w:t>
      </w:r>
      <w:bookmarkStart w:id="763" w:name="_Toc296503040"/>
      <w:bookmarkStart w:id="764" w:name="_Toc296346541"/>
      <w:bookmarkStart w:id="765" w:name="_Toc337558741"/>
      <w:r>
        <w:rPr>
          <w:rFonts w:eastAsia="黑体"/>
          <w:b w:val="0"/>
          <w:color w:val="000000"/>
        </w:rPr>
        <w:t>.4 施工现场、施工条件和基础资料的提供</w:t>
      </w:r>
      <w:bookmarkEnd w:id="762"/>
      <w:r>
        <w:rPr>
          <w:rFonts w:eastAsia="黑体"/>
          <w:b w:val="0"/>
          <w:color w:val="000000"/>
        </w:rPr>
        <w:t xml:space="preserve"> </w:t>
      </w:r>
      <w:bookmarkEnd w:id="763"/>
      <w:bookmarkEnd w:id="764"/>
      <w:bookmarkEnd w:id="765"/>
      <w:r>
        <w:rPr>
          <w:rFonts w:eastAsia="黑体"/>
          <w:b w:val="0"/>
          <w:color w:val="000000"/>
        </w:rPr>
        <w:t xml:space="preserve"> </w:t>
      </w:r>
    </w:p>
    <w:p w14:paraId="77127483">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2.4.1 提供施工现场</w:t>
      </w:r>
    </w:p>
    <w:p w14:paraId="1A0CAAF8">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w:t>
      </w:r>
      <w:bookmarkEnd w:id="754"/>
      <w:bookmarkEnd w:id="755"/>
      <w:r>
        <w:rPr>
          <w:rFonts w:eastAsia="仿宋_GB2312"/>
          <w:color w:val="000000"/>
          <w:kern w:val="0"/>
          <w:sz w:val="28"/>
          <w:szCs w:val="28"/>
        </w:rPr>
        <w:t>专用合同条款另有约定外，发包人应</w:t>
      </w:r>
      <w:r>
        <w:rPr>
          <w:rFonts w:hint="eastAsia" w:eastAsia="仿宋_GB2312"/>
          <w:color w:val="000000"/>
          <w:kern w:val="0"/>
          <w:sz w:val="28"/>
          <w:szCs w:val="28"/>
        </w:rPr>
        <w:t>最迟于</w:t>
      </w:r>
      <w:r>
        <w:rPr>
          <w:rFonts w:eastAsia="仿宋_GB2312"/>
          <w:color w:val="000000"/>
          <w:kern w:val="0"/>
          <w:sz w:val="28"/>
          <w:szCs w:val="28"/>
        </w:rPr>
        <w:t>开工日期7天前向承包人移交施工现场。</w:t>
      </w:r>
    </w:p>
    <w:p w14:paraId="7307BCC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2.4.2 提供施工条件</w:t>
      </w:r>
    </w:p>
    <w:p w14:paraId="0AE28347">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除专用合同条款另有约定外，发包人应负责提供施工所需要的条件，包括：</w:t>
      </w:r>
    </w:p>
    <w:p w14:paraId="2ED2F1DE">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（1）将施工用水、电力、通讯线路等施工所必需的条件接至施工现场内；</w:t>
      </w:r>
    </w:p>
    <w:p w14:paraId="6D959887">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（2）保证向承包人提供正常施工所需要的进入施工现场的交通条件；</w:t>
      </w:r>
    </w:p>
    <w:p w14:paraId="1F096CCE">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（3）协调处理施工现场周围地下管线和邻近建筑物、构筑物、古树名木的保护工作，并承担相关费用；</w:t>
      </w:r>
    </w:p>
    <w:p w14:paraId="479FD4C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（4）按照专用合同条款约定</w:t>
      </w:r>
      <w:r>
        <w:rPr>
          <w:rFonts w:hint="eastAsia" w:eastAsia="仿宋_GB2312"/>
          <w:color w:val="000000"/>
          <w:kern w:val="0"/>
          <w:sz w:val="28"/>
          <w:szCs w:val="28"/>
        </w:rPr>
        <w:t>应</w:t>
      </w:r>
      <w:r>
        <w:rPr>
          <w:rFonts w:eastAsia="仿宋_GB2312"/>
          <w:color w:val="000000"/>
          <w:kern w:val="0"/>
          <w:sz w:val="28"/>
          <w:szCs w:val="28"/>
        </w:rPr>
        <w:t>提供的其他设施和条件。</w:t>
      </w:r>
    </w:p>
    <w:p w14:paraId="59B1D99C">
      <w:pPr>
        <w:autoSpaceDE w:val="0"/>
        <w:autoSpaceDN w:val="0"/>
        <w:adjustRightInd w:val="0"/>
        <w:spacing w:line="500" w:lineRule="exact"/>
        <w:ind w:firstLine="560" w:firstLineChars="200"/>
        <w:jc w:val="left"/>
        <w:rPr>
          <w:rFonts w:eastAsia="仿宋_GB2312"/>
          <w:color w:val="000000"/>
          <w:sz w:val="28"/>
          <w:szCs w:val="28"/>
        </w:rPr>
      </w:pPr>
      <w:r>
        <w:rPr>
          <w:rFonts w:eastAsia="仿宋_GB2312"/>
          <w:color w:val="000000"/>
          <w:kern w:val="0"/>
          <w:sz w:val="28"/>
          <w:szCs w:val="28"/>
        </w:rPr>
        <w:t>2.4.3 提供基础资料</w:t>
      </w:r>
    </w:p>
    <w:p w14:paraId="16F62C49">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7D0DB499">
      <w:pPr>
        <w:autoSpaceDE w:val="0"/>
        <w:autoSpaceDN w:val="0"/>
        <w:adjustRightInd w:val="0"/>
        <w:spacing w:line="500" w:lineRule="exact"/>
        <w:ind w:firstLine="560" w:firstLineChars="200"/>
        <w:jc w:val="left"/>
        <w:rPr>
          <w:rFonts w:eastAsia="仿宋_GB2312"/>
          <w:color w:val="000000"/>
          <w:kern w:val="0"/>
          <w:sz w:val="28"/>
          <w:szCs w:val="28"/>
        </w:rPr>
      </w:pPr>
      <w:r>
        <w:rPr>
          <w:rFonts w:hint="eastAsia" w:eastAsia="仿宋_GB2312"/>
          <w:color w:val="000000"/>
          <w:kern w:val="0"/>
          <w:sz w:val="28"/>
          <w:szCs w:val="28"/>
        </w:rPr>
        <w:t>按照法律规定确需在开工后方能提供的基础资料，发包人应尽其努力及时地在相应工程施工前的合理期限内提供，合理期限应以不影响承包人的正常施工为限。</w:t>
      </w:r>
    </w:p>
    <w:p w14:paraId="11D647BF">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2.4.4 逾期提供的责任</w:t>
      </w:r>
    </w:p>
    <w:p w14:paraId="648B2F18">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因发包人原因未能按合同约定及时向承包人提供施工现场、施工条件、基础资料的，由发包人承担由此增加的费用和（或）延误的工期。</w:t>
      </w:r>
    </w:p>
    <w:p w14:paraId="4A9A9B36">
      <w:pPr>
        <w:pStyle w:val="7"/>
        <w:spacing w:before="120" w:after="120" w:line="500" w:lineRule="exact"/>
        <w:ind w:firstLine="560" w:firstLineChars="200"/>
        <w:rPr>
          <w:rFonts w:eastAsia="黑体"/>
          <w:b w:val="0"/>
          <w:color w:val="000000"/>
        </w:rPr>
      </w:pPr>
      <w:bookmarkStart w:id="766" w:name="_Toc351203514"/>
      <w:r>
        <w:rPr>
          <w:rFonts w:eastAsia="黑体"/>
          <w:b w:val="0"/>
          <w:color w:val="000000"/>
        </w:rPr>
        <w:t>2</w:t>
      </w:r>
      <w:bookmarkStart w:id="767" w:name="_Toc337558745"/>
      <w:bookmarkStart w:id="768" w:name="_Toc296346543"/>
      <w:bookmarkStart w:id="769" w:name="_Toc296503042"/>
      <w:r>
        <w:rPr>
          <w:rFonts w:eastAsia="黑体"/>
          <w:b w:val="0"/>
          <w:color w:val="000000"/>
        </w:rPr>
        <w:t>.5 资</w:t>
      </w:r>
      <w:bookmarkEnd w:id="767"/>
      <w:bookmarkEnd w:id="768"/>
      <w:bookmarkEnd w:id="769"/>
      <w:r>
        <w:rPr>
          <w:rFonts w:eastAsia="黑体"/>
          <w:b w:val="0"/>
          <w:color w:val="000000"/>
        </w:rPr>
        <w:t>金来源证明及支付担保</w:t>
      </w:r>
      <w:bookmarkEnd w:id="766"/>
    </w:p>
    <w:p w14:paraId="28414B3F">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除专用合同条款另有约定外，发包人应在收到承包人要求提供资金来源证明的书面通知后28天内，向承包人提供能够按照合同约定支付合同价款的相应资金来源证明。</w:t>
      </w:r>
    </w:p>
    <w:p w14:paraId="6BF0878D">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除专用合同条款另有约定外，发包人要求承包人提供履约担保的，发包人应当向承包人提供支付担保。支付担保可以采用银行保函或担保公司担保等形式，具体由合同当事人在专用合同条款中约定。</w:t>
      </w:r>
    </w:p>
    <w:p w14:paraId="058D19FF">
      <w:pPr>
        <w:pStyle w:val="7"/>
        <w:spacing w:before="120" w:after="120" w:line="500" w:lineRule="exact"/>
        <w:ind w:firstLine="560" w:firstLineChars="200"/>
        <w:rPr>
          <w:rFonts w:eastAsia="黑体"/>
          <w:b w:val="0"/>
          <w:color w:val="000000"/>
        </w:rPr>
      </w:pPr>
      <w:bookmarkStart w:id="770" w:name="_Toc351203515"/>
      <w:r>
        <w:rPr>
          <w:rFonts w:eastAsia="黑体"/>
          <w:b w:val="0"/>
          <w:color w:val="000000"/>
        </w:rPr>
        <w:t>2.6 支付合同价款</w:t>
      </w:r>
      <w:bookmarkEnd w:id="770"/>
    </w:p>
    <w:p w14:paraId="112B0329">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发包人应按合同约定向承包人及时支付合同价款。</w:t>
      </w:r>
    </w:p>
    <w:p w14:paraId="3A250639">
      <w:pPr>
        <w:pStyle w:val="7"/>
        <w:spacing w:before="120" w:after="120" w:line="500" w:lineRule="exact"/>
        <w:ind w:firstLine="560" w:firstLineChars="200"/>
        <w:rPr>
          <w:rFonts w:eastAsia="黑体"/>
          <w:b w:val="0"/>
          <w:color w:val="000000"/>
        </w:rPr>
      </w:pPr>
      <w:bookmarkStart w:id="771" w:name="_Toc351203516"/>
      <w:r>
        <w:rPr>
          <w:rFonts w:eastAsia="黑体"/>
          <w:b w:val="0"/>
          <w:color w:val="000000"/>
        </w:rPr>
        <w:t>2.7 组织竣工验收</w:t>
      </w:r>
      <w:bookmarkEnd w:id="771"/>
    </w:p>
    <w:p w14:paraId="396C99BD">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发包人应按合同约定及时组织竣工验收。</w:t>
      </w:r>
    </w:p>
    <w:p w14:paraId="1652CA1E">
      <w:pPr>
        <w:pStyle w:val="7"/>
        <w:spacing w:before="120" w:after="120" w:line="500" w:lineRule="exact"/>
        <w:ind w:firstLine="560" w:firstLineChars="200"/>
        <w:rPr>
          <w:rFonts w:eastAsia="黑体"/>
          <w:b w:val="0"/>
          <w:color w:val="000000"/>
        </w:rPr>
      </w:pPr>
      <w:bookmarkStart w:id="772" w:name="_Toc351203517"/>
      <w:r>
        <w:rPr>
          <w:rFonts w:eastAsia="黑体"/>
          <w:b w:val="0"/>
          <w:color w:val="000000"/>
        </w:rPr>
        <w:t>2.8 现场统一管理协议</w:t>
      </w:r>
      <w:bookmarkEnd w:id="772"/>
    </w:p>
    <w:p w14:paraId="0120AE4E">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发包人应与承包人、由发包人直接发包的专业工程的承包人签订施工现场统一管理协议，明确各方的权利义务。施工现场统一管理协议作为专用合同条款的附件。</w:t>
      </w:r>
    </w:p>
    <w:p w14:paraId="5DCB8BCC">
      <w:pPr>
        <w:pStyle w:val="6"/>
        <w:spacing w:before="120" w:after="120" w:line="500" w:lineRule="exact"/>
        <w:rPr>
          <w:rFonts w:ascii="Times New Roman" w:hAnsi="Times New Roman"/>
          <w:b w:val="0"/>
          <w:color w:val="000000"/>
        </w:rPr>
      </w:pPr>
      <w:bookmarkStart w:id="773" w:name="_Toc351203518"/>
      <w:r>
        <w:rPr>
          <w:rFonts w:ascii="Times New Roman" w:hAnsi="Times New Roman"/>
          <w:b w:val="0"/>
          <w:color w:val="000000"/>
        </w:rPr>
        <w:t>3</w:t>
      </w:r>
      <w:bookmarkStart w:id="774" w:name="_Toc337558746"/>
      <w:bookmarkStart w:id="775" w:name="_Toc296346546"/>
      <w:bookmarkStart w:id="776" w:name="_Toc296503045"/>
      <w:r>
        <w:rPr>
          <w:rFonts w:ascii="Times New Roman" w:hAnsi="Times New Roman"/>
          <w:b w:val="0"/>
          <w:color w:val="000000"/>
        </w:rPr>
        <w:t>. 承包人</w:t>
      </w:r>
      <w:bookmarkEnd w:id="773"/>
    </w:p>
    <w:bookmarkEnd w:id="774"/>
    <w:bookmarkEnd w:id="775"/>
    <w:bookmarkEnd w:id="776"/>
    <w:p w14:paraId="64BF0A6B">
      <w:pPr>
        <w:pStyle w:val="7"/>
        <w:spacing w:before="120" w:after="120" w:line="500" w:lineRule="exact"/>
        <w:ind w:firstLine="560" w:firstLineChars="200"/>
        <w:rPr>
          <w:rFonts w:eastAsia="黑体"/>
          <w:b w:val="0"/>
          <w:color w:val="000000"/>
        </w:rPr>
      </w:pPr>
      <w:bookmarkStart w:id="777" w:name="_Toc351203519"/>
      <w:r>
        <w:rPr>
          <w:rFonts w:eastAsia="黑体"/>
          <w:b w:val="0"/>
          <w:color w:val="000000"/>
        </w:rPr>
        <w:t>3</w:t>
      </w:r>
      <w:bookmarkStart w:id="778" w:name="_Toc337558747"/>
      <w:bookmarkStart w:id="779" w:name="_Toc296346547"/>
      <w:bookmarkStart w:id="780" w:name="_Toc296503046"/>
      <w:r>
        <w:rPr>
          <w:rFonts w:eastAsia="黑体"/>
          <w:b w:val="0"/>
          <w:color w:val="000000"/>
        </w:rPr>
        <w:t>.1 承包人的一般义务</w:t>
      </w:r>
      <w:bookmarkEnd w:id="777"/>
    </w:p>
    <w:bookmarkEnd w:id="778"/>
    <w:bookmarkEnd w:id="779"/>
    <w:bookmarkEnd w:id="780"/>
    <w:p w14:paraId="0FFF9319">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承包人在履行合同过程中应遵守法律和工程建设标准规范，并履行以下义务：</w:t>
      </w:r>
    </w:p>
    <w:p w14:paraId="5ABAF2F5">
      <w:pPr>
        <w:numPr>
          <w:ilvl w:val="0"/>
          <w:numId w:val="13"/>
        </w:num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办理法律规定</w:t>
      </w:r>
      <w:r>
        <w:rPr>
          <w:rFonts w:hint="eastAsia" w:eastAsia="仿宋_GB2312"/>
          <w:color w:val="000000"/>
          <w:kern w:val="0"/>
          <w:sz w:val="28"/>
          <w:szCs w:val="28"/>
        </w:rPr>
        <w:t>应</w:t>
      </w:r>
      <w:r>
        <w:rPr>
          <w:rFonts w:eastAsia="仿宋_GB2312"/>
          <w:color w:val="000000"/>
          <w:kern w:val="0"/>
          <w:sz w:val="28"/>
          <w:szCs w:val="28"/>
        </w:rPr>
        <w:t>由承包人办理的许可和批准，并将</w:t>
      </w:r>
      <w:r>
        <w:rPr>
          <w:rFonts w:hint="eastAsia" w:eastAsia="仿宋_GB2312"/>
          <w:color w:val="000000"/>
          <w:kern w:val="0"/>
          <w:sz w:val="28"/>
          <w:szCs w:val="28"/>
        </w:rPr>
        <w:t>办理</w:t>
      </w:r>
      <w:r>
        <w:rPr>
          <w:rFonts w:eastAsia="仿宋_GB2312"/>
          <w:color w:val="000000"/>
          <w:kern w:val="0"/>
          <w:sz w:val="28"/>
          <w:szCs w:val="28"/>
        </w:rPr>
        <w:t>结果书面报送发包人留存；</w:t>
      </w:r>
    </w:p>
    <w:p w14:paraId="510788C7">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（2）按法律规定和合同约定完成工程，并在保修期内承担保修义务；</w:t>
      </w:r>
    </w:p>
    <w:p w14:paraId="29172A16">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（3）按法律规定和合同约定采取施工安全和环境保护措施，办理工伤保险，确保工程及人员、材料、设备和设施的安全；</w:t>
      </w:r>
    </w:p>
    <w:p w14:paraId="78B6682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（4）按合同约定的工作内容和施工进度要求，编制施工组织设计和施工措施计划，并对所有施工作业和施工方法的完备性和安全可靠性负责；</w:t>
      </w:r>
    </w:p>
    <w:p w14:paraId="08C5A78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21B8FBD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（6）按照第6.3款</w:t>
      </w:r>
      <w:r>
        <w:rPr>
          <w:rFonts w:hint="eastAsia" w:eastAsia="仿宋_GB2312"/>
          <w:color w:val="000000"/>
          <w:kern w:val="0"/>
          <w:sz w:val="28"/>
          <w:szCs w:val="28"/>
        </w:rPr>
        <w:t>〔</w:t>
      </w:r>
      <w:r>
        <w:rPr>
          <w:rFonts w:eastAsia="仿宋_GB2312"/>
          <w:color w:val="000000"/>
          <w:kern w:val="0"/>
          <w:sz w:val="28"/>
          <w:szCs w:val="28"/>
        </w:rPr>
        <w:t>环境保护</w:t>
      </w:r>
      <w:r>
        <w:rPr>
          <w:rFonts w:hint="eastAsia" w:eastAsia="仿宋_GB2312"/>
          <w:color w:val="000000"/>
          <w:kern w:val="0"/>
          <w:sz w:val="28"/>
          <w:szCs w:val="28"/>
        </w:rPr>
        <w:t>〕</w:t>
      </w:r>
      <w:r>
        <w:rPr>
          <w:rFonts w:eastAsia="仿宋_GB2312"/>
          <w:color w:val="000000"/>
          <w:kern w:val="0"/>
          <w:sz w:val="28"/>
          <w:szCs w:val="28"/>
        </w:rPr>
        <w:t>约定负责施工场地及其周边环境与生态的保护工作；</w:t>
      </w:r>
    </w:p>
    <w:p w14:paraId="50A1AB50">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（7）按第6.1款</w:t>
      </w:r>
      <w:r>
        <w:rPr>
          <w:rFonts w:hint="eastAsia" w:eastAsia="仿宋_GB2312"/>
          <w:color w:val="000000"/>
          <w:kern w:val="0"/>
          <w:sz w:val="28"/>
          <w:szCs w:val="28"/>
        </w:rPr>
        <w:t>〔</w:t>
      </w:r>
      <w:r>
        <w:rPr>
          <w:rFonts w:eastAsia="仿宋_GB2312"/>
          <w:color w:val="000000"/>
          <w:kern w:val="0"/>
          <w:sz w:val="28"/>
          <w:szCs w:val="28"/>
        </w:rPr>
        <w:t>安全文明施工</w:t>
      </w:r>
      <w:r>
        <w:rPr>
          <w:rFonts w:hint="eastAsia" w:eastAsia="仿宋_GB2312"/>
          <w:color w:val="000000"/>
          <w:kern w:val="0"/>
          <w:sz w:val="28"/>
          <w:szCs w:val="28"/>
        </w:rPr>
        <w:t>〕</w:t>
      </w:r>
      <w:r>
        <w:rPr>
          <w:rFonts w:eastAsia="仿宋_GB2312"/>
          <w:color w:val="000000"/>
          <w:kern w:val="0"/>
          <w:sz w:val="28"/>
          <w:szCs w:val="28"/>
        </w:rPr>
        <w:t>约定采取施工安全措施，确保工程及其人员、材料、设备和设施的安全，防止因工程施工造成的人身伤害和财产损失；</w:t>
      </w:r>
    </w:p>
    <w:p w14:paraId="6535F7D9">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（8）</w:t>
      </w:r>
      <w:r>
        <w:rPr>
          <w:rFonts w:hint="eastAsia" w:eastAsia="仿宋_GB2312"/>
          <w:color w:val="000000"/>
          <w:kern w:val="0"/>
          <w:sz w:val="28"/>
          <w:szCs w:val="28"/>
        </w:rPr>
        <w:t>将</w:t>
      </w:r>
      <w:r>
        <w:rPr>
          <w:rFonts w:eastAsia="仿宋_GB2312"/>
          <w:color w:val="000000"/>
          <w:kern w:val="0"/>
          <w:sz w:val="28"/>
          <w:szCs w:val="28"/>
        </w:rPr>
        <w:t>发包人按合同约定支付的各项价款专用于合同工程，且应及时支付其雇用人员工资，并及时向分包人支付合同价款；</w:t>
      </w:r>
    </w:p>
    <w:p w14:paraId="62722D3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（9）按照法律规定和合同约定编制竣工资料，完成竣工资料立卷及归档，并按专用合同条款约定的竣工资料的套数、内容、时间等要求移交发包人；</w:t>
      </w:r>
    </w:p>
    <w:p w14:paraId="513DEB67">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（10）应履行的其他义务。</w:t>
      </w:r>
    </w:p>
    <w:p w14:paraId="4F7CA662">
      <w:pPr>
        <w:pStyle w:val="7"/>
        <w:spacing w:before="120" w:after="120" w:line="500" w:lineRule="exact"/>
        <w:ind w:firstLine="560" w:firstLineChars="200"/>
        <w:rPr>
          <w:rFonts w:eastAsia="黑体"/>
          <w:b w:val="0"/>
          <w:color w:val="000000"/>
        </w:rPr>
      </w:pPr>
      <w:bookmarkStart w:id="781" w:name="_Toc351203520"/>
      <w:r>
        <w:rPr>
          <w:rFonts w:eastAsia="黑体"/>
          <w:b w:val="0"/>
          <w:color w:val="000000"/>
        </w:rPr>
        <w:t>3</w:t>
      </w:r>
      <w:bookmarkStart w:id="782" w:name="_Toc296346548"/>
      <w:bookmarkStart w:id="783" w:name="_Toc337558748"/>
      <w:bookmarkStart w:id="784" w:name="_Toc296503047"/>
      <w:r>
        <w:rPr>
          <w:rFonts w:eastAsia="黑体"/>
          <w:b w:val="0"/>
          <w:color w:val="000000"/>
        </w:rPr>
        <w:t xml:space="preserve">.2 </w:t>
      </w:r>
      <w:bookmarkEnd w:id="781"/>
      <w:r>
        <w:rPr>
          <w:rFonts w:eastAsia="黑体"/>
          <w:b w:val="0"/>
          <w:color w:val="000000"/>
        </w:rPr>
        <w:t>项目经理</w:t>
      </w:r>
    </w:p>
    <w:bookmarkEnd w:id="782"/>
    <w:bookmarkEnd w:id="783"/>
    <w:bookmarkEnd w:id="784"/>
    <w:p w14:paraId="7C07E0E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554B0B6D">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3B023FD2">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承包人违反上述约定的，应按照专用合同条款的约定，承担违约责任。</w:t>
      </w:r>
    </w:p>
    <w:p w14:paraId="6057325B">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3.2.2 项目经理按合同约定组织工程实施。在紧急情况下</w:t>
      </w:r>
      <w:r>
        <w:rPr>
          <w:rFonts w:hint="eastAsia" w:eastAsia="仿宋_GB2312"/>
          <w:color w:val="000000"/>
          <w:kern w:val="0"/>
          <w:sz w:val="28"/>
          <w:szCs w:val="28"/>
        </w:rPr>
        <w:t>为确保施工安全和人员安全</w:t>
      </w:r>
      <w:r>
        <w:rPr>
          <w:rFonts w:eastAsia="仿宋_GB2312"/>
          <w:color w:val="000000"/>
          <w:kern w:val="0"/>
          <w:sz w:val="28"/>
          <w:szCs w:val="28"/>
        </w:rPr>
        <w:t>，</w:t>
      </w:r>
      <w:r>
        <w:rPr>
          <w:rFonts w:hint="eastAsia" w:eastAsia="仿宋_GB2312"/>
          <w:color w:val="000000"/>
          <w:kern w:val="0"/>
          <w:sz w:val="28"/>
          <w:szCs w:val="28"/>
        </w:rPr>
        <w:t>在</w:t>
      </w:r>
      <w:r>
        <w:rPr>
          <w:rFonts w:eastAsia="仿宋_GB2312"/>
          <w:color w:val="000000"/>
          <w:kern w:val="0"/>
          <w:sz w:val="28"/>
          <w:szCs w:val="28"/>
        </w:rPr>
        <w:t>无法与发包人代表和总监理工程师</w:t>
      </w:r>
      <w:r>
        <w:rPr>
          <w:rFonts w:hint="eastAsia" w:eastAsia="仿宋_GB2312"/>
          <w:color w:val="000000"/>
          <w:kern w:val="0"/>
          <w:sz w:val="28"/>
          <w:szCs w:val="28"/>
        </w:rPr>
        <w:t>及时</w:t>
      </w:r>
      <w:r>
        <w:rPr>
          <w:rFonts w:eastAsia="仿宋_GB2312"/>
          <w:color w:val="000000"/>
          <w:kern w:val="0"/>
          <w:sz w:val="28"/>
          <w:szCs w:val="28"/>
        </w:rPr>
        <w:t>取得联系时，项目经理有权采取必要的措施保证与工程有关的人身、财产和工程的安全，但应在48小时内向发包人代表和总监理工程师提交书面报告。</w:t>
      </w:r>
    </w:p>
    <w:p w14:paraId="0C33A973">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34F852D5">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w:t>
      </w:r>
      <w:r>
        <w:rPr>
          <w:rFonts w:hint="eastAsia" w:eastAsia="仿宋_GB2312"/>
          <w:color w:val="000000"/>
          <w:kern w:val="0"/>
          <w:sz w:val="28"/>
          <w:szCs w:val="28"/>
        </w:rPr>
        <w:t>继</w:t>
      </w:r>
      <w:r>
        <w:rPr>
          <w:rFonts w:eastAsia="仿宋_GB2312"/>
          <w:color w:val="000000"/>
          <w:kern w:val="0"/>
          <w:sz w:val="28"/>
          <w:szCs w:val="28"/>
        </w:rPr>
        <w:t>任项目经理继续履行第3.2.1项约定的职责。承包人无正当理由拒绝更换项目经理的，应按照专用合同条款的约定承担违约责任。</w:t>
      </w:r>
    </w:p>
    <w:p w14:paraId="358E75BE">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3.2.5 项目经理因特殊情况授权其下属人员履行其某项工作职责的，该下属人员应具备履行相应职责的能力，并应提前7天将上述人员的姓名和授权范围书面通知监理人，并征得发包人书面同意。</w:t>
      </w:r>
    </w:p>
    <w:p w14:paraId="3547D4FD">
      <w:pPr>
        <w:pStyle w:val="7"/>
        <w:spacing w:before="120" w:after="120" w:line="500" w:lineRule="exact"/>
        <w:ind w:firstLine="560" w:firstLineChars="200"/>
        <w:rPr>
          <w:rFonts w:eastAsia="黑体"/>
          <w:b w:val="0"/>
          <w:color w:val="000000"/>
        </w:rPr>
      </w:pPr>
      <w:bookmarkStart w:id="785" w:name="_Toc351203521"/>
      <w:r>
        <w:rPr>
          <w:rFonts w:eastAsia="黑体"/>
          <w:b w:val="0"/>
          <w:color w:val="000000"/>
        </w:rPr>
        <w:t>3</w:t>
      </w:r>
      <w:bookmarkStart w:id="786" w:name="_Toc296503048"/>
      <w:bookmarkStart w:id="787" w:name="_Toc296346549"/>
      <w:bookmarkStart w:id="788" w:name="_Toc337558749"/>
      <w:r>
        <w:rPr>
          <w:rFonts w:eastAsia="黑体"/>
          <w:b w:val="0"/>
          <w:color w:val="000000"/>
        </w:rPr>
        <w:t xml:space="preserve">.3 </w:t>
      </w:r>
      <w:bookmarkEnd w:id="786"/>
      <w:bookmarkEnd w:id="787"/>
      <w:r>
        <w:rPr>
          <w:rFonts w:eastAsia="黑体"/>
          <w:b w:val="0"/>
          <w:color w:val="000000"/>
        </w:rPr>
        <w:t>承包人人员</w:t>
      </w:r>
      <w:bookmarkEnd w:id="785"/>
    </w:p>
    <w:bookmarkEnd w:id="788"/>
    <w:p w14:paraId="1FC2B505">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w:t>
      </w:r>
      <w:r>
        <w:rPr>
          <w:rFonts w:hint="eastAsia" w:eastAsia="仿宋_GB2312"/>
          <w:color w:val="000000"/>
          <w:kern w:val="0"/>
          <w:sz w:val="28"/>
          <w:szCs w:val="28"/>
        </w:rPr>
        <w:t>和</w:t>
      </w:r>
      <w:r>
        <w:rPr>
          <w:rFonts w:eastAsia="仿宋_GB2312"/>
          <w:color w:val="000000"/>
          <w:kern w:val="0"/>
          <w:sz w:val="28"/>
          <w:szCs w:val="28"/>
        </w:rPr>
        <w:t>缴纳社会保险的有效证明。</w:t>
      </w:r>
    </w:p>
    <w:p w14:paraId="0BA742C2">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3.3.2 承包人派驻到施工现场的主要施工管理人员应相对稳定。施工过程中</w:t>
      </w:r>
      <w:r>
        <w:rPr>
          <w:rFonts w:hint="eastAsia" w:eastAsia="仿宋_GB2312"/>
          <w:color w:val="000000"/>
          <w:kern w:val="0"/>
          <w:sz w:val="28"/>
          <w:szCs w:val="28"/>
        </w:rPr>
        <w:t>如有变动</w:t>
      </w:r>
      <w:r>
        <w:rPr>
          <w:rFonts w:eastAsia="仿宋_GB2312"/>
          <w:color w:val="000000"/>
          <w:kern w:val="0"/>
          <w:sz w:val="28"/>
          <w:szCs w:val="28"/>
        </w:rPr>
        <w:t>，承包人应及时向监理人提交施工现场人员变动情况的报告。承包人更换主要施工管理人员时，应提前7天书面通知监理人，并征得发包人书面同意。通知中应当载明继任人员的注册执业资格、管理经验等资料。</w:t>
      </w:r>
    </w:p>
    <w:p w14:paraId="2AB8B9F6">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特殊工种作业人员均应持有相应的资格证明，监理人可以随时检查。</w:t>
      </w:r>
    </w:p>
    <w:p w14:paraId="0BC2CFA9">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3.3.3 发包人对于承包人主要施工管理人员</w:t>
      </w:r>
      <w:r>
        <w:rPr>
          <w:rFonts w:hint="eastAsia" w:eastAsia="仿宋_GB2312"/>
          <w:color w:val="000000"/>
          <w:kern w:val="0"/>
          <w:sz w:val="28"/>
          <w:szCs w:val="28"/>
        </w:rPr>
        <w:t>的资格或能力</w:t>
      </w:r>
      <w:r>
        <w:rPr>
          <w:rFonts w:eastAsia="仿宋_GB2312"/>
          <w:color w:val="000000"/>
          <w:kern w:val="0"/>
          <w:sz w:val="28"/>
          <w:szCs w:val="28"/>
        </w:rPr>
        <w:t>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4BA55033">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20028B26">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3.3.5 承包人擅自更换主要施工管理人员，或前述人员未经监理人或发包人同意擅自离开施工现场的，应按照专用合同条款约定承担违约责任。</w:t>
      </w:r>
    </w:p>
    <w:p w14:paraId="1CA0E362">
      <w:pPr>
        <w:pStyle w:val="7"/>
        <w:spacing w:before="120" w:after="120" w:line="500" w:lineRule="exact"/>
        <w:ind w:firstLine="560" w:firstLineChars="200"/>
        <w:rPr>
          <w:rFonts w:eastAsia="黑体"/>
          <w:b w:val="0"/>
          <w:color w:val="000000"/>
        </w:rPr>
      </w:pPr>
      <w:bookmarkStart w:id="789" w:name="_Toc351203522"/>
      <w:r>
        <w:rPr>
          <w:rFonts w:eastAsia="黑体"/>
          <w:b w:val="0"/>
          <w:color w:val="000000"/>
        </w:rPr>
        <w:t>3</w:t>
      </w:r>
      <w:bookmarkStart w:id="790" w:name="_Toc296503050"/>
      <w:bookmarkStart w:id="791" w:name="_Toc296346551"/>
      <w:bookmarkStart w:id="792" w:name="_Toc337558750"/>
      <w:r>
        <w:rPr>
          <w:rFonts w:eastAsia="黑体"/>
          <w:b w:val="0"/>
          <w:color w:val="000000"/>
        </w:rPr>
        <w:t>.4 承包人现场查勘</w:t>
      </w:r>
      <w:bookmarkEnd w:id="789"/>
    </w:p>
    <w:bookmarkEnd w:id="790"/>
    <w:bookmarkEnd w:id="791"/>
    <w:bookmarkEnd w:id="792"/>
    <w:p w14:paraId="633FF161">
      <w:pPr>
        <w:autoSpaceDE w:val="0"/>
        <w:autoSpaceDN w:val="0"/>
        <w:adjustRightInd w:val="0"/>
        <w:spacing w:line="500" w:lineRule="exact"/>
        <w:ind w:firstLine="560" w:firstLineChars="200"/>
        <w:jc w:val="left"/>
        <w:rPr>
          <w:rFonts w:eastAsia="仿宋_GB2312"/>
          <w:color w:val="000000"/>
          <w:sz w:val="28"/>
          <w:szCs w:val="28"/>
        </w:rPr>
      </w:pPr>
      <w:r>
        <w:rPr>
          <w:rFonts w:eastAsia="仿宋_GB2312"/>
          <w:color w:val="000000"/>
          <w:kern w:val="0"/>
          <w:sz w:val="28"/>
          <w:szCs w:val="28"/>
        </w:rPr>
        <w:t>承包人应对基于发包人按照第2.4.3项</w:t>
      </w:r>
      <w:r>
        <w:rPr>
          <w:rFonts w:hint="eastAsia" w:eastAsia="仿宋_GB2312"/>
          <w:color w:val="000000"/>
          <w:kern w:val="0"/>
          <w:sz w:val="28"/>
          <w:szCs w:val="28"/>
        </w:rPr>
        <w:t>〔</w:t>
      </w:r>
      <w:r>
        <w:rPr>
          <w:rFonts w:eastAsia="仿宋_GB2312"/>
          <w:color w:val="000000"/>
          <w:kern w:val="0"/>
          <w:sz w:val="28"/>
          <w:szCs w:val="28"/>
        </w:rPr>
        <w:t>提供基础资料</w:t>
      </w:r>
      <w:r>
        <w:rPr>
          <w:rFonts w:hint="eastAsia" w:eastAsia="仿宋_GB2312"/>
          <w:color w:val="000000"/>
          <w:kern w:val="0"/>
          <w:sz w:val="28"/>
          <w:szCs w:val="28"/>
        </w:rPr>
        <w:t>〕</w:t>
      </w:r>
      <w:r>
        <w:rPr>
          <w:rFonts w:eastAsia="仿宋_GB2312"/>
          <w:color w:val="000000"/>
          <w:kern w:val="0"/>
          <w:sz w:val="28"/>
          <w:szCs w:val="28"/>
        </w:rPr>
        <w:t>提交的基础资料所做出的解释和推断负责，但因基础资料存在错误、遗漏导致承包人解释或推断失实的，由发包人承担责任。</w:t>
      </w:r>
    </w:p>
    <w:p w14:paraId="271BFAB8">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776E2E92">
      <w:pPr>
        <w:pStyle w:val="7"/>
        <w:spacing w:before="120" w:after="120" w:line="500" w:lineRule="exact"/>
        <w:ind w:firstLine="560" w:firstLineChars="200"/>
        <w:rPr>
          <w:rFonts w:eastAsia="黑体"/>
          <w:b w:val="0"/>
          <w:color w:val="000000"/>
        </w:rPr>
      </w:pPr>
      <w:bookmarkStart w:id="793" w:name="_Toc351203523"/>
      <w:r>
        <w:rPr>
          <w:rFonts w:eastAsia="黑体"/>
          <w:b w:val="0"/>
          <w:color w:val="000000"/>
        </w:rPr>
        <w:t>3</w:t>
      </w:r>
      <w:bookmarkStart w:id="794" w:name="_Toc296503051"/>
      <w:bookmarkStart w:id="795" w:name="_Toc296346552"/>
      <w:bookmarkStart w:id="796" w:name="_Toc337558751"/>
      <w:r>
        <w:rPr>
          <w:rFonts w:eastAsia="黑体"/>
          <w:b w:val="0"/>
          <w:color w:val="000000"/>
        </w:rPr>
        <w:t>.5 分包</w:t>
      </w:r>
      <w:bookmarkEnd w:id="793"/>
    </w:p>
    <w:bookmarkEnd w:id="794"/>
    <w:bookmarkEnd w:id="795"/>
    <w:bookmarkEnd w:id="796"/>
    <w:p w14:paraId="58FD8D0D">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3.5.1 分包的一般约定</w:t>
      </w:r>
    </w:p>
    <w:p w14:paraId="121908DD">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6575B14B">
      <w:pPr>
        <w:spacing w:line="500" w:lineRule="exact"/>
        <w:ind w:firstLine="560" w:firstLineChars="200"/>
        <w:jc w:val="left"/>
        <w:rPr>
          <w:rFonts w:eastAsia="仿宋_GB2312"/>
          <w:color w:val="000000"/>
          <w:kern w:val="0"/>
          <w:sz w:val="28"/>
          <w:szCs w:val="28"/>
        </w:rPr>
      </w:pPr>
      <w:r>
        <w:rPr>
          <w:rFonts w:hint="eastAsia" w:eastAsia="仿宋_GB2312"/>
          <w:color w:val="000000"/>
          <w:kern w:val="0"/>
          <w:sz w:val="28"/>
          <w:szCs w:val="28"/>
        </w:rPr>
        <w:t>承包人不得以劳务分包的名义转包或违法分包工程。</w:t>
      </w:r>
    </w:p>
    <w:p w14:paraId="6F1F6E1F">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3.5.2 分包的确定</w:t>
      </w:r>
    </w:p>
    <w:p w14:paraId="23D0A056">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承包人应按专用合同条款的约定进行分包，确定分包人。已标价工程量清单或预算书中给定暂估价的专业工程，按照第10.7款</w:t>
      </w:r>
      <w:r>
        <w:rPr>
          <w:rFonts w:hint="eastAsia" w:eastAsia="仿宋_GB2312"/>
          <w:color w:val="000000"/>
          <w:kern w:val="0"/>
          <w:sz w:val="28"/>
          <w:szCs w:val="28"/>
        </w:rPr>
        <w:t>〔</w:t>
      </w:r>
      <w:r>
        <w:rPr>
          <w:rFonts w:eastAsia="仿宋_GB2312"/>
          <w:color w:val="000000"/>
          <w:kern w:val="0"/>
          <w:sz w:val="28"/>
          <w:szCs w:val="28"/>
        </w:rPr>
        <w:t>暂估价</w:t>
      </w:r>
      <w:r>
        <w:rPr>
          <w:rFonts w:hint="eastAsia" w:eastAsia="仿宋_GB2312"/>
          <w:color w:val="000000"/>
          <w:kern w:val="0"/>
          <w:sz w:val="28"/>
          <w:szCs w:val="28"/>
        </w:rPr>
        <w:t>〕</w:t>
      </w:r>
      <w:r>
        <w:rPr>
          <w:rFonts w:eastAsia="仿宋_GB2312"/>
          <w:color w:val="000000"/>
          <w:kern w:val="0"/>
          <w:sz w:val="28"/>
          <w:szCs w:val="28"/>
        </w:rPr>
        <w:t>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15A3CD80">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3.5.3 分包管理</w:t>
      </w:r>
    </w:p>
    <w:p w14:paraId="480F5B33">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承包人应向监理人提交分包人的主要施工管理人员表，并对分包人的施工人员进行实名制管理，包括但不限于进出场管理、登记造册以及各种证照的办理。</w:t>
      </w:r>
    </w:p>
    <w:p w14:paraId="102A9A1B">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3.5.4 分包合同价款</w:t>
      </w:r>
    </w:p>
    <w:p w14:paraId="4D66CAD6">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（1）除本项第（2）目约定的情况或专用合同条款另有约定外，分包合同价款由承包人与分包人结算，未经承包人同意，发包人不得向分包人支付分包工程价款；</w:t>
      </w:r>
    </w:p>
    <w:p w14:paraId="7B804317">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（2）生效法律文书要求发包人向分包人支付分包合同价款的，发包人有权从应付承包人工程款中扣除该部分款项。</w:t>
      </w:r>
    </w:p>
    <w:p w14:paraId="029AB0E9">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3.5.5 分包合同权益的转让</w:t>
      </w:r>
    </w:p>
    <w:p w14:paraId="03818F53">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797" w:name="_Toc351203524"/>
    </w:p>
    <w:p w14:paraId="1C640ADF">
      <w:pPr>
        <w:pStyle w:val="7"/>
        <w:spacing w:before="120" w:after="120" w:line="500" w:lineRule="exact"/>
        <w:ind w:firstLine="560" w:firstLineChars="200"/>
        <w:rPr>
          <w:rFonts w:eastAsia="黑体"/>
          <w:b w:val="0"/>
          <w:color w:val="000000"/>
        </w:rPr>
      </w:pPr>
      <w:r>
        <w:rPr>
          <w:rFonts w:eastAsia="黑体"/>
          <w:b w:val="0"/>
          <w:color w:val="000000"/>
        </w:rPr>
        <w:t>3.6 工程照管与成品、半成品保护</w:t>
      </w:r>
      <w:bookmarkEnd w:id="797"/>
    </w:p>
    <w:p w14:paraId="4501BB75">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（1）除专用合同条款另有约定外，自发包人向承包人移交施工现场之日起，承包人应负责照管工程及工程相关的材料、工程设备，直到颁发工程接收证书之日止。</w:t>
      </w:r>
    </w:p>
    <w:p w14:paraId="6E8159C5">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w:t>
      </w:r>
      <w:r>
        <w:rPr>
          <w:rFonts w:hint="eastAsia" w:eastAsia="仿宋_GB2312"/>
          <w:color w:val="000000"/>
          <w:kern w:val="0"/>
          <w:sz w:val="28"/>
          <w:szCs w:val="28"/>
        </w:rPr>
        <w:t>2</w:t>
      </w:r>
      <w:r>
        <w:rPr>
          <w:rFonts w:eastAsia="仿宋_GB2312"/>
          <w:color w:val="000000"/>
          <w:kern w:val="0"/>
          <w:sz w:val="28"/>
          <w:szCs w:val="28"/>
        </w:rPr>
        <w:t>）在承包人负责照管期间，因承包人原因造成工程、材料、工程设备损坏的，由承包人负责修复或更换，并承担由此增加的费用和（或）延误的工期。</w:t>
      </w:r>
    </w:p>
    <w:p w14:paraId="735DD00D">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w:t>
      </w:r>
      <w:r>
        <w:rPr>
          <w:rFonts w:hint="eastAsia" w:eastAsia="仿宋_GB2312"/>
          <w:color w:val="000000"/>
          <w:kern w:val="0"/>
          <w:sz w:val="28"/>
          <w:szCs w:val="28"/>
        </w:rPr>
        <w:t>3</w:t>
      </w:r>
      <w:r>
        <w:rPr>
          <w:rFonts w:eastAsia="仿宋_GB2312"/>
          <w:color w:val="000000"/>
          <w:kern w:val="0"/>
          <w:sz w:val="28"/>
          <w:szCs w:val="28"/>
        </w:rPr>
        <w:t>）对合同内分期完成的成品和半成品，在工程接收证书颁发前，由承包人承担保护责任。因承包人原因造成成品或半成品损坏的，由承包人负责修复或更换，并承担由此增加的费用和（或）延误的工期。</w:t>
      </w:r>
    </w:p>
    <w:p w14:paraId="71037BBB">
      <w:pPr>
        <w:pStyle w:val="7"/>
        <w:spacing w:before="120" w:after="120" w:line="500" w:lineRule="exact"/>
        <w:ind w:firstLine="560" w:firstLineChars="200"/>
        <w:rPr>
          <w:rFonts w:eastAsia="黑体"/>
          <w:b w:val="0"/>
          <w:color w:val="000000"/>
        </w:rPr>
      </w:pPr>
      <w:bookmarkStart w:id="798" w:name="_Toc351203525"/>
      <w:r>
        <w:rPr>
          <w:rFonts w:eastAsia="黑体"/>
          <w:b w:val="0"/>
          <w:color w:val="000000"/>
        </w:rPr>
        <w:t>3</w:t>
      </w:r>
      <w:bookmarkStart w:id="799" w:name="_Toc296503052"/>
      <w:bookmarkStart w:id="800" w:name="_Toc337558752"/>
      <w:bookmarkStart w:id="801" w:name="_Toc296346553"/>
      <w:r>
        <w:rPr>
          <w:rFonts w:eastAsia="黑体"/>
          <w:b w:val="0"/>
          <w:color w:val="000000"/>
        </w:rPr>
        <w:t>.7 履约担保</w:t>
      </w:r>
      <w:bookmarkEnd w:id="798"/>
    </w:p>
    <w:bookmarkEnd w:id="799"/>
    <w:bookmarkEnd w:id="800"/>
    <w:bookmarkEnd w:id="801"/>
    <w:p w14:paraId="2DAE9C43">
      <w:pPr>
        <w:autoSpaceDE w:val="0"/>
        <w:autoSpaceDN w:val="0"/>
        <w:adjustRightInd w:val="0"/>
        <w:spacing w:line="500" w:lineRule="exact"/>
        <w:ind w:firstLine="560" w:firstLineChars="200"/>
        <w:jc w:val="left"/>
        <w:rPr>
          <w:rFonts w:eastAsia="仿宋_GB2312"/>
          <w:color w:val="000000"/>
          <w:kern w:val="0"/>
          <w:sz w:val="28"/>
          <w:szCs w:val="28"/>
        </w:rPr>
      </w:pPr>
      <w:r>
        <w:rPr>
          <w:rFonts w:hint="eastAsia" w:eastAsia="仿宋_GB2312"/>
          <w:color w:val="000000"/>
          <w:kern w:val="0"/>
          <w:sz w:val="28"/>
          <w:szCs w:val="28"/>
        </w:rPr>
        <w:t>发包人需要承包人提供履约担保的，由合同当事人在专用合同条款中约定履约担保的方式、金额及期限等。</w:t>
      </w:r>
      <w:r>
        <w:rPr>
          <w:rFonts w:eastAsia="仿宋_GB2312"/>
          <w:color w:val="000000"/>
          <w:kern w:val="0"/>
          <w:sz w:val="28"/>
          <w:szCs w:val="28"/>
        </w:rPr>
        <w:t>履约担保可以采用银行保函或担保公司担保等形式，具体由合同当事人在专用合同条款中约定。</w:t>
      </w:r>
    </w:p>
    <w:p w14:paraId="1EAD7C66">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因承包人原因导致工期延长的，继续提供履约担保所增加的费用由承包人承担；非因承包人原因导致工期延长的，继续提供履约担保所增加的费用由发包人承担。</w:t>
      </w:r>
    </w:p>
    <w:p w14:paraId="008A2887">
      <w:pPr>
        <w:pStyle w:val="7"/>
        <w:spacing w:before="120" w:after="120" w:line="500" w:lineRule="exact"/>
        <w:ind w:firstLine="560" w:firstLineChars="200"/>
        <w:rPr>
          <w:rFonts w:eastAsia="黑体"/>
          <w:b w:val="0"/>
          <w:color w:val="000000"/>
        </w:rPr>
      </w:pPr>
      <w:bookmarkStart w:id="802" w:name="_Toc351203526"/>
      <w:r>
        <w:rPr>
          <w:rFonts w:eastAsia="黑体"/>
          <w:b w:val="0"/>
          <w:color w:val="000000"/>
        </w:rPr>
        <w:t>3.8 联合体</w:t>
      </w:r>
      <w:bookmarkEnd w:id="802"/>
    </w:p>
    <w:p w14:paraId="4F4183DB">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3.8.1 联合体各方应共同与发包人签订合同协议书。联合体各方应为履行合同</w:t>
      </w:r>
      <w:r>
        <w:rPr>
          <w:rFonts w:hint="eastAsia" w:eastAsia="仿宋_GB2312"/>
          <w:color w:val="000000"/>
          <w:kern w:val="0"/>
          <w:sz w:val="28"/>
          <w:szCs w:val="28"/>
        </w:rPr>
        <w:t>向发包人</w:t>
      </w:r>
      <w:r>
        <w:rPr>
          <w:rFonts w:eastAsia="仿宋_GB2312"/>
          <w:color w:val="000000"/>
          <w:kern w:val="0"/>
          <w:sz w:val="28"/>
          <w:szCs w:val="28"/>
        </w:rPr>
        <w:t>承担连带责任。</w:t>
      </w:r>
    </w:p>
    <w:p w14:paraId="1F6C46F9">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3.8.2 联合体协议经发包人确认后作为合同附件。在履行合同过程中，未经发包人同意，不得修改联合体协议。</w:t>
      </w:r>
    </w:p>
    <w:p w14:paraId="17EB784E">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3.8.3 联合体牵头人负责与发包人和监理人联系，并接受指示，负责组织联合体各成员全面履行合同。</w:t>
      </w:r>
    </w:p>
    <w:p w14:paraId="3F730481">
      <w:pPr>
        <w:pStyle w:val="6"/>
        <w:spacing w:before="120" w:after="120" w:line="500" w:lineRule="exact"/>
        <w:rPr>
          <w:rFonts w:ascii="Times New Roman" w:hAnsi="Times New Roman"/>
          <w:b w:val="0"/>
          <w:color w:val="000000"/>
        </w:rPr>
      </w:pPr>
      <w:bookmarkStart w:id="803" w:name="_Toc351203527"/>
      <w:r>
        <w:rPr>
          <w:rFonts w:ascii="Times New Roman" w:hAnsi="Times New Roman"/>
          <w:b w:val="0"/>
          <w:color w:val="000000"/>
        </w:rPr>
        <w:t>4</w:t>
      </w:r>
      <w:bookmarkStart w:id="804" w:name="_Toc296346554"/>
      <w:bookmarkStart w:id="805" w:name="_Toc296503053"/>
      <w:bookmarkStart w:id="806" w:name="_Toc337558753"/>
      <w:r>
        <w:rPr>
          <w:rFonts w:ascii="Times New Roman" w:hAnsi="Times New Roman"/>
          <w:b w:val="0"/>
          <w:color w:val="000000"/>
        </w:rPr>
        <w:t>. 监</w:t>
      </w:r>
      <w:bookmarkEnd w:id="804"/>
      <w:bookmarkEnd w:id="805"/>
      <w:r>
        <w:rPr>
          <w:rFonts w:ascii="Times New Roman" w:hAnsi="Times New Roman"/>
          <w:b w:val="0"/>
          <w:color w:val="000000"/>
        </w:rPr>
        <w:t>理人</w:t>
      </w:r>
      <w:bookmarkEnd w:id="803"/>
    </w:p>
    <w:bookmarkEnd w:id="806"/>
    <w:p w14:paraId="3A809D3C">
      <w:pPr>
        <w:pStyle w:val="7"/>
        <w:spacing w:before="120" w:after="120" w:line="500" w:lineRule="exact"/>
        <w:ind w:firstLine="560" w:firstLineChars="200"/>
        <w:rPr>
          <w:rFonts w:eastAsia="黑体"/>
          <w:b w:val="0"/>
          <w:color w:val="000000"/>
        </w:rPr>
      </w:pPr>
      <w:bookmarkStart w:id="807" w:name="_Toc351203528"/>
      <w:r>
        <w:rPr>
          <w:rFonts w:eastAsia="黑体"/>
          <w:b w:val="0"/>
          <w:color w:val="000000"/>
        </w:rPr>
        <w:t>4</w:t>
      </w:r>
      <w:bookmarkStart w:id="808" w:name="_Toc296503054"/>
      <w:bookmarkStart w:id="809" w:name="_Toc337558754"/>
      <w:bookmarkStart w:id="810" w:name="_Toc296346555"/>
      <w:r>
        <w:rPr>
          <w:rFonts w:eastAsia="黑体"/>
          <w:b w:val="0"/>
          <w:color w:val="000000"/>
        </w:rPr>
        <w:t>.1监理人的一般规定</w:t>
      </w:r>
      <w:bookmarkEnd w:id="807"/>
    </w:p>
    <w:bookmarkEnd w:id="808"/>
    <w:bookmarkEnd w:id="809"/>
    <w:bookmarkEnd w:id="810"/>
    <w:p w14:paraId="731CCE80">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332AFE2F">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除专用合同条款另有约定外，监理人在施工现场的办公场所、生活场所由承包人提供，所发生的费用由发包人承担。</w:t>
      </w:r>
    </w:p>
    <w:p w14:paraId="13662A51">
      <w:pPr>
        <w:pStyle w:val="7"/>
        <w:spacing w:before="120" w:after="120" w:line="500" w:lineRule="exact"/>
        <w:ind w:firstLine="560" w:firstLineChars="200"/>
        <w:rPr>
          <w:rFonts w:eastAsia="黑体"/>
          <w:b w:val="0"/>
          <w:color w:val="000000"/>
        </w:rPr>
      </w:pPr>
      <w:bookmarkStart w:id="811" w:name="_Toc351203529"/>
      <w:r>
        <w:rPr>
          <w:rFonts w:eastAsia="黑体"/>
          <w:b w:val="0"/>
          <w:color w:val="000000"/>
        </w:rPr>
        <w:t>4</w:t>
      </w:r>
      <w:bookmarkStart w:id="812" w:name="_Toc337558755"/>
      <w:r>
        <w:rPr>
          <w:rFonts w:eastAsia="黑体"/>
          <w:b w:val="0"/>
          <w:color w:val="000000"/>
        </w:rPr>
        <w:t>.2监理人员</w:t>
      </w:r>
      <w:bookmarkEnd w:id="811"/>
    </w:p>
    <w:bookmarkEnd w:id="812"/>
    <w:p w14:paraId="517225B7">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231DB17A">
      <w:pPr>
        <w:pStyle w:val="7"/>
        <w:spacing w:before="120" w:after="120" w:line="500" w:lineRule="exact"/>
        <w:ind w:firstLine="560" w:firstLineChars="200"/>
        <w:rPr>
          <w:rFonts w:eastAsia="黑体"/>
          <w:b w:val="0"/>
          <w:color w:val="000000"/>
        </w:rPr>
      </w:pPr>
      <w:bookmarkStart w:id="813" w:name="_Toc351203530"/>
      <w:r>
        <w:rPr>
          <w:rFonts w:eastAsia="黑体"/>
          <w:b w:val="0"/>
          <w:color w:val="000000"/>
        </w:rPr>
        <w:t>4</w:t>
      </w:r>
      <w:bookmarkStart w:id="814" w:name="_Toc296503055"/>
      <w:bookmarkStart w:id="815" w:name="_Toc296346556"/>
      <w:bookmarkStart w:id="816" w:name="_Toc337558756"/>
      <w:r>
        <w:rPr>
          <w:rFonts w:eastAsia="黑体"/>
          <w:b w:val="0"/>
          <w:color w:val="000000"/>
        </w:rPr>
        <w:t>.3</w:t>
      </w:r>
      <w:bookmarkEnd w:id="814"/>
      <w:bookmarkEnd w:id="815"/>
      <w:r>
        <w:rPr>
          <w:rFonts w:eastAsia="黑体"/>
          <w:b w:val="0"/>
          <w:color w:val="000000"/>
        </w:rPr>
        <w:t>监理人的指</w:t>
      </w:r>
      <w:bookmarkEnd w:id="816"/>
      <w:r>
        <w:rPr>
          <w:rFonts w:eastAsia="黑体"/>
          <w:b w:val="0"/>
          <w:color w:val="000000"/>
        </w:rPr>
        <w:t>示</w:t>
      </w:r>
      <w:bookmarkEnd w:id="813"/>
    </w:p>
    <w:p w14:paraId="452E608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1F3AC2C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监理人发出的指示应送达承包人项目经理或经项目经理授权接收的人员。因监理人未能按合同约定发出指示、指示延误或发出了错误指示而导致承包人费用增加和（或）工期延误的，由发包人承担</w:t>
      </w:r>
      <w:r>
        <w:rPr>
          <w:rFonts w:hint="eastAsia" w:eastAsia="仿宋_GB2312"/>
          <w:color w:val="000000"/>
          <w:kern w:val="0"/>
          <w:sz w:val="28"/>
          <w:szCs w:val="28"/>
        </w:rPr>
        <w:t>相应</w:t>
      </w:r>
      <w:r>
        <w:rPr>
          <w:rFonts w:eastAsia="仿宋_GB2312"/>
          <w:color w:val="000000"/>
          <w:kern w:val="0"/>
          <w:sz w:val="28"/>
          <w:szCs w:val="28"/>
        </w:rPr>
        <w:t>责任。除专用合同条款另有约定外，总监理工程师不应将第4.4款</w:t>
      </w:r>
      <w:r>
        <w:rPr>
          <w:rFonts w:hint="eastAsia" w:eastAsia="仿宋_GB2312"/>
          <w:color w:val="000000"/>
          <w:kern w:val="0"/>
          <w:sz w:val="28"/>
          <w:szCs w:val="28"/>
        </w:rPr>
        <w:t>〔</w:t>
      </w:r>
      <w:r>
        <w:rPr>
          <w:rFonts w:eastAsia="仿宋_GB2312"/>
          <w:color w:val="000000"/>
          <w:kern w:val="0"/>
          <w:sz w:val="28"/>
          <w:szCs w:val="28"/>
        </w:rPr>
        <w:t>商定或确定</w:t>
      </w:r>
      <w:r>
        <w:rPr>
          <w:rFonts w:hint="eastAsia" w:eastAsia="仿宋_GB2312"/>
          <w:color w:val="000000"/>
          <w:kern w:val="0"/>
          <w:sz w:val="28"/>
          <w:szCs w:val="28"/>
        </w:rPr>
        <w:t>〕</w:t>
      </w:r>
      <w:r>
        <w:rPr>
          <w:rFonts w:eastAsia="仿宋_GB2312"/>
          <w:color w:val="000000"/>
          <w:kern w:val="0"/>
          <w:sz w:val="28"/>
          <w:szCs w:val="28"/>
        </w:rPr>
        <w:t>约定应由总监理工程师作出确定的权力授权或委托给其他监理人员。</w:t>
      </w:r>
    </w:p>
    <w:p w14:paraId="2C4F7063">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承包人对监理人发出的指示有疑问的，应向监理人提出书面异议，监理人应在48小时内对该指示予以确认、更改或撤销，监理人逾期未回复的，承包人有权拒绝执行上述指示。</w:t>
      </w:r>
    </w:p>
    <w:p w14:paraId="7E9757D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监理人对承包人的任何工作、工程或其采用的材料和工程设备未在约定的或合理期限内提出意见的，视为批准，但不免除或减轻承包人对该工作、工程、材料、工程设备等应承担的责任和义务。</w:t>
      </w:r>
    </w:p>
    <w:p w14:paraId="0F128138">
      <w:pPr>
        <w:pStyle w:val="6"/>
        <w:spacing w:before="120" w:after="120" w:line="500" w:lineRule="exact"/>
        <w:ind w:firstLine="560" w:firstLineChars="200"/>
        <w:rPr>
          <w:rFonts w:ascii="Times New Roman" w:hAnsi="Times New Roman"/>
          <w:b w:val="0"/>
          <w:color w:val="000000"/>
        </w:rPr>
      </w:pPr>
      <w:bookmarkStart w:id="817" w:name="_Toc351203531"/>
      <w:r>
        <w:rPr>
          <w:rFonts w:ascii="Times New Roman" w:hAnsi="Times New Roman"/>
          <w:b w:val="0"/>
          <w:color w:val="000000"/>
        </w:rPr>
        <w:t>4</w:t>
      </w:r>
      <w:bookmarkStart w:id="818" w:name="_Toc296503057"/>
      <w:bookmarkStart w:id="819" w:name="_Toc296346558"/>
      <w:bookmarkStart w:id="820" w:name="_Toc337558757"/>
      <w:r>
        <w:rPr>
          <w:rFonts w:ascii="Times New Roman" w:hAnsi="Times New Roman"/>
          <w:b w:val="0"/>
          <w:color w:val="000000"/>
        </w:rPr>
        <w:t>.4 商定或确定</w:t>
      </w:r>
      <w:bookmarkEnd w:id="817"/>
    </w:p>
    <w:bookmarkEnd w:id="818"/>
    <w:bookmarkEnd w:id="819"/>
    <w:bookmarkEnd w:id="820"/>
    <w:p w14:paraId="53F4033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合同</w:t>
      </w:r>
      <w:r>
        <w:rPr>
          <w:rFonts w:hint="eastAsia" w:eastAsia="仿宋_GB2312"/>
          <w:color w:val="000000"/>
          <w:kern w:val="0"/>
          <w:sz w:val="28"/>
          <w:szCs w:val="28"/>
        </w:rPr>
        <w:t>当事人</w:t>
      </w:r>
      <w:r>
        <w:rPr>
          <w:rFonts w:eastAsia="仿宋_GB2312"/>
          <w:color w:val="000000"/>
          <w:kern w:val="0"/>
          <w:sz w:val="28"/>
          <w:szCs w:val="28"/>
        </w:rPr>
        <w:t>进行</w:t>
      </w:r>
      <w:r>
        <w:rPr>
          <w:rFonts w:hint="eastAsia" w:eastAsia="仿宋_GB2312"/>
          <w:color w:val="000000"/>
          <w:kern w:val="0"/>
          <w:sz w:val="28"/>
          <w:szCs w:val="28"/>
        </w:rPr>
        <w:t>商定</w:t>
      </w:r>
      <w:r>
        <w:rPr>
          <w:rFonts w:eastAsia="仿宋_GB2312"/>
          <w:color w:val="000000"/>
          <w:kern w:val="0"/>
          <w:sz w:val="28"/>
          <w:szCs w:val="28"/>
        </w:rPr>
        <w:t>或确定时，总监理工程师应当会同合同当事人尽量通过协商达成一致，不能达成一致的，由总监理工程师按照合同约定审慎做出公正的确定。</w:t>
      </w:r>
    </w:p>
    <w:p w14:paraId="532BD52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总监理工程师应将确定以书面形式通知发包人和承包人，并附详细依据。合同当事人对总监理工程师的确定没有异议的，按照总监理工程师的确定执行。任何一方合同当事人有异议，按照第20条</w:t>
      </w:r>
      <w:r>
        <w:rPr>
          <w:rFonts w:hint="eastAsia" w:eastAsia="仿宋_GB2312"/>
          <w:color w:val="000000"/>
          <w:kern w:val="0"/>
          <w:sz w:val="28"/>
          <w:szCs w:val="28"/>
        </w:rPr>
        <w:t>〔</w:t>
      </w:r>
      <w:r>
        <w:rPr>
          <w:rFonts w:eastAsia="仿宋_GB2312"/>
          <w:color w:val="000000"/>
          <w:kern w:val="0"/>
          <w:sz w:val="28"/>
          <w:szCs w:val="28"/>
        </w:rPr>
        <w:t>争议解决</w:t>
      </w:r>
      <w:r>
        <w:rPr>
          <w:rFonts w:hint="eastAsia" w:eastAsia="仿宋_GB2312"/>
          <w:color w:val="000000"/>
          <w:kern w:val="0"/>
          <w:sz w:val="28"/>
          <w:szCs w:val="28"/>
        </w:rPr>
        <w:t>〕</w:t>
      </w:r>
      <w:r>
        <w:rPr>
          <w:rFonts w:eastAsia="仿宋_GB2312"/>
          <w:color w:val="000000"/>
          <w:kern w:val="0"/>
          <w:sz w:val="28"/>
          <w:szCs w:val="28"/>
        </w:rPr>
        <w:t>约定处理。争议解决前，合同当事人暂按总监理工程师的确定执行；争议解决后，争议解决的结果与总监理工程师的确定不一致的，按照争议解决的结果执行，由此造成的损失由责任人承担。</w:t>
      </w:r>
    </w:p>
    <w:p w14:paraId="539C3AC3">
      <w:pPr>
        <w:pStyle w:val="6"/>
        <w:spacing w:before="120" w:after="120" w:line="500" w:lineRule="exact"/>
        <w:rPr>
          <w:rFonts w:ascii="Times New Roman" w:hAnsi="Times New Roman"/>
          <w:b w:val="0"/>
          <w:color w:val="000000"/>
        </w:rPr>
      </w:pPr>
      <w:bookmarkStart w:id="821" w:name="_Toc351203532"/>
      <w:r>
        <w:rPr>
          <w:rFonts w:ascii="Times New Roman" w:hAnsi="Times New Roman"/>
          <w:b w:val="0"/>
          <w:color w:val="000000"/>
        </w:rPr>
        <w:t>5</w:t>
      </w:r>
      <w:bookmarkStart w:id="822" w:name="_Toc337558758"/>
      <w:r>
        <w:rPr>
          <w:rFonts w:ascii="Times New Roman" w:hAnsi="Times New Roman"/>
          <w:b w:val="0"/>
          <w:color w:val="000000"/>
        </w:rPr>
        <w:t>. 工程质量</w:t>
      </w:r>
      <w:bookmarkEnd w:id="821"/>
    </w:p>
    <w:bookmarkEnd w:id="822"/>
    <w:p w14:paraId="2B873AA2">
      <w:pPr>
        <w:pStyle w:val="7"/>
        <w:spacing w:before="120" w:after="120" w:line="500" w:lineRule="exact"/>
        <w:ind w:firstLine="560" w:firstLineChars="200"/>
        <w:rPr>
          <w:rFonts w:eastAsia="黑体"/>
          <w:b w:val="0"/>
          <w:color w:val="000000"/>
        </w:rPr>
      </w:pPr>
      <w:bookmarkStart w:id="823" w:name="_Toc351203533"/>
      <w:r>
        <w:rPr>
          <w:rFonts w:eastAsia="黑体"/>
          <w:b w:val="0"/>
          <w:color w:val="000000"/>
        </w:rPr>
        <w:t>5</w:t>
      </w:r>
      <w:bookmarkStart w:id="824" w:name="_Toc337558759"/>
      <w:r>
        <w:rPr>
          <w:rFonts w:eastAsia="黑体"/>
          <w:b w:val="0"/>
          <w:color w:val="000000"/>
        </w:rPr>
        <w:t>.1质量要求</w:t>
      </w:r>
      <w:bookmarkEnd w:id="823"/>
    </w:p>
    <w:bookmarkEnd w:id="824"/>
    <w:p w14:paraId="7DE132FD">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5.1.1 工程质量标准必须符合现行国家有关工程施工质量验收规范和标准的要求。有关工程质量的特殊标准或要求由合同当事人在专用合同条款中约定。</w:t>
      </w:r>
    </w:p>
    <w:p w14:paraId="436E0175">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5.1.2 因发包人原因造成工程质量未达到合同约定标准的，由发包人承担由此增加的费用和（或）延误的工期，并支付承包人合理的利润。</w:t>
      </w:r>
    </w:p>
    <w:p w14:paraId="6E3AAE8E">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5.1.3 因承包人原因造成工程质量未达到合同约定标准的，发包人有权要求承包人返工直至工程质量达到合同约定的标准为止，并由承包人承担由此增加的费用和（或）延误的工期。</w:t>
      </w:r>
    </w:p>
    <w:p w14:paraId="5C47819C">
      <w:pPr>
        <w:pStyle w:val="7"/>
        <w:spacing w:before="120" w:after="120" w:line="500" w:lineRule="exact"/>
        <w:ind w:firstLine="560" w:firstLineChars="200"/>
        <w:rPr>
          <w:rFonts w:eastAsia="黑体"/>
          <w:b w:val="0"/>
          <w:color w:val="000000"/>
        </w:rPr>
      </w:pPr>
      <w:bookmarkStart w:id="825" w:name="_Toc351203534"/>
      <w:r>
        <w:rPr>
          <w:rFonts w:eastAsia="黑体"/>
          <w:b w:val="0"/>
          <w:color w:val="000000"/>
        </w:rPr>
        <w:t>5</w:t>
      </w:r>
      <w:bookmarkStart w:id="826" w:name="_Toc337558760"/>
      <w:r>
        <w:rPr>
          <w:rFonts w:eastAsia="黑体"/>
          <w:b w:val="0"/>
          <w:color w:val="000000"/>
        </w:rPr>
        <w:t>.2质量保证措施</w:t>
      </w:r>
      <w:bookmarkEnd w:id="825"/>
    </w:p>
    <w:bookmarkEnd w:id="826"/>
    <w:p w14:paraId="3E44199C">
      <w:pPr>
        <w:autoSpaceDE w:val="0"/>
        <w:autoSpaceDN w:val="0"/>
        <w:adjustRightInd w:val="0"/>
        <w:spacing w:line="500" w:lineRule="exact"/>
        <w:ind w:firstLine="560" w:firstLineChars="200"/>
        <w:jc w:val="left"/>
        <w:outlineLvl w:val="0"/>
        <w:rPr>
          <w:rFonts w:eastAsia="仿宋_GB2312"/>
          <w:color w:val="000000"/>
          <w:kern w:val="0"/>
          <w:sz w:val="28"/>
          <w:szCs w:val="28"/>
        </w:rPr>
      </w:pPr>
      <w:r>
        <w:rPr>
          <w:rFonts w:eastAsia="仿宋_GB2312"/>
          <w:color w:val="000000"/>
          <w:kern w:val="0"/>
          <w:sz w:val="28"/>
          <w:szCs w:val="28"/>
        </w:rPr>
        <w:t>5.2.1 发包人的质量管理</w:t>
      </w:r>
    </w:p>
    <w:p w14:paraId="55974AA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发包人应按照法律规定及合同约定完成与工程质量有关的各项工作。</w:t>
      </w:r>
    </w:p>
    <w:p w14:paraId="28174EAB">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5.2.2 承包人的质量管理</w:t>
      </w:r>
    </w:p>
    <w:p w14:paraId="2131CED7">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承包人按照第7.1款</w:t>
      </w:r>
      <w:r>
        <w:rPr>
          <w:rFonts w:hint="eastAsia" w:eastAsia="仿宋_GB2312"/>
          <w:color w:val="000000"/>
          <w:kern w:val="0"/>
          <w:sz w:val="28"/>
          <w:szCs w:val="28"/>
        </w:rPr>
        <w:t>〔</w:t>
      </w:r>
      <w:r>
        <w:rPr>
          <w:rFonts w:eastAsia="仿宋_GB2312"/>
          <w:color w:val="000000"/>
          <w:kern w:val="0"/>
          <w:sz w:val="28"/>
          <w:szCs w:val="28"/>
        </w:rPr>
        <w:t>施工组织设计</w:t>
      </w:r>
      <w:r>
        <w:rPr>
          <w:rFonts w:hint="eastAsia" w:eastAsia="仿宋_GB2312"/>
          <w:color w:val="000000"/>
          <w:kern w:val="0"/>
          <w:sz w:val="28"/>
          <w:szCs w:val="28"/>
        </w:rPr>
        <w:t>〕</w:t>
      </w:r>
      <w:r>
        <w:rPr>
          <w:rFonts w:eastAsia="仿宋_GB2312"/>
          <w:color w:val="000000"/>
          <w:kern w:val="0"/>
          <w:sz w:val="28"/>
          <w:szCs w:val="28"/>
        </w:rPr>
        <w:t>约定向发包人和监理人提交工程质量保证体系及措施文件，建立完善的质量检查制度，并提交相应的工程质量文件。对于发包人和监理人违反法律规定和合同约定的错误指示，承包人有权拒绝实施。</w:t>
      </w:r>
    </w:p>
    <w:p w14:paraId="0ED8C3FB">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承包人应对施工人员进行质量教育和技术培训，定期考核施工人员的劳动技能，严格执行施工规范和操作规程。</w:t>
      </w:r>
    </w:p>
    <w:p w14:paraId="2CE33EA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24E7C85E">
      <w:pPr>
        <w:autoSpaceDE w:val="0"/>
        <w:autoSpaceDN w:val="0"/>
        <w:adjustRightInd w:val="0"/>
        <w:spacing w:line="500" w:lineRule="exact"/>
        <w:ind w:firstLine="560" w:firstLineChars="200"/>
        <w:jc w:val="left"/>
        <w:outlineLvl w:val="0"/>
        <w:rPr>
          <w:rFonts w:eastAsia="仿宋_GB2312"/>
          <w:color w:val="000000"/>
          <w:kern w:val="0"/>
          <w:sz w:val="28"/>
          <w:szCs w:val="28"/>
        </w:rPr>
      </w:pPr>
      <w:r>
        <w:rPr>
          <w:rFonts w:eastAsia="仿宋_GB2312"/>
          <w:color w:val="000000"/>
          <w:kern w:val="0"/>
          <w:sz w:val="28"/>
          <w:szCs w:val="28"/>
        </w:rPr>
        <w:t>5.2.3 监理人的质量检查和检验</w:t>
      </w:r>
    </w:p>
    <w:p w14:paraId="6AFE71FF">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3E683827">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3F3EF507">
      <w:pPr>
        <w:pStyle w:val="7"/>
        <w:spacing w:before="120" w:after="120" w:line="500" w:lineRule="exact"/>
        <w:ind w:firstLine="560" w:firstLineChars="200"/>
        <w:rPr>
          <w:rFonts w:eastAsia="黑体"/>
          <w:b w:val="0"/>
          <w:color w:val="000000"/>
        </w:rPr>
      </w:pPr>
      <w:bookmarkStart w:id="827" w:name="_Toc351203535"/>
      <w:r>
        <w:rPr>
          <w:rFonts w:eastAsia="黑体"/>
          <w:b w:val="0"/>
          <w:color w:val="000000"/>
        </w:rPr>
        <w:t>5</w:t>
      </w:r>
      <w:bookmarkStart w:id="828" w:name="_Toc337558761"/>
      <w:r>
        <w:rPr>
          <w:rFonts w:eastAsia="黑体"/>
          <w:b w:val="0"/>
          <w:color w:val="000000"/>
        </w:rPr>
        <w:t>.3 隐蔽工程检查</w:t>
      </w:r>
      <w:bookmarkEnd w:id="827"/>
    </w:p>
    <w:bookmarkEnd w:id="828"/>
    <w:p w14:paraId="6D4AE49B">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5.3.1承包人自检</w:t>
      </w:r>
    </w:p>
    <w:p w14:paraId="6D31110E">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承包人应当对工程隐蔽部位进行自检，并经自检确认是否具备覆盖条件。</w:t>
      </w:r>
    </w:p>
    <w:p w14:paraId="0E6844F1">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5.3.2检查程序</w:t>
      </w:r>
    </w:p>
    <w:p w14:paraId="512998F5">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除专用合同条款另有约定外，工程隐蔽部位经承包人自检确认具备覆盖条件的，承包人应在</w:t>
      </w:r>
      <w:r>
        <w:rPr>
          <w:rFonts w:hint="eastAsia" w:eastAsia="仿宋_GB2312"/>
          <w:color w:val="000000"/>
          <w:kern w:val="0"/>
          <w:sz w:val="28"/>
          <w:szCs w:val="28"/>
        </w:rPr>
        <w:t>共同</w:t>
      </w:r>
      <w:r>
        <w:rPr>
          <w:rFonts w:eastAsia="仿宋_GB2312"/>
          <w:color w:val="000000"/>
          <w:kern w:val="0"/>
          <w:sz w:val="28"/>
          <w:szCs w:val="28"/>
        </w:rPr>
        <w:t>检查前48小时书面通知监理人检查，通知中应载明隐蔽检查的内容、时间和地点，并应附有自检记录和必要的检查资料。</w:t>
      </w:r>
    </w:p>
    <w:p w14:paraId="43DDCCD0">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2F07314A">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w:t>
      </w:r>
      <w:r>
        <w:rPr>
          <w:rFonts w:hint="eastAsia" w:eastAsia="仿宋_GB2312"/>
          <w:color w:val="000000"/>
          <w:kern w:val="0"/>
          <w:sz w:val="28"/>
          <w:szCs w:val="28"/>
        </w:rPr>
        <w:t>〔</w:t>
      </w:r>
      <w:r>
        <w:rPr>
          <w:rFonts w:eastAsia="仿宋_GB2312"/>
          <w:color w:val="000000"/>
          <w:kern w:val="0"/>
          <w:sz w:val="28"/>
          <w:szCs w:val="28"/>
        </w:rPr>
        <w:t>重新检查</w:t>
      </w:r>
      <w:r>
        <w:rPr>
          <w:rFonts w:hint="eastAsia" w:eastAsia="仿宋_GB2312"/>
          <w:color w:val="000000"/>
          <w:kern w:val="0"/>
          <w:sz w:val="28"/>
          <w:szCs w:val="28"/>
        </w:rPr>
        <w:t>〕</w:t>
      </w:r>
      <w:r>
        <w:rPr>
          <w:rFonts w:eastAsia="仿宋_GB2312"/>
          <w:color w:val="000000"/>
          <w:kern w:val="0"/>
          <w:sz w:val="28"/>
          <w:szCs w:val="28"/>
        </w:rPr>
        <w:t>的约定重新检查。</w:t>
      </w:r>
    </w:p>
    <w:p w14:paraId="41FAA2AC">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5.3.3 重新检查</w:t>
      </w:r>
    </w:p>
    <w:p w14:paraId="473F8291">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6A80C599">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5.3.4 承包人私自覆盖</w:t>
      </w:r>
    </w:p>
    <w:p w14:paraId="69295F03">
      <w:pPr>
        <w:spacing w:line="500" w:lineRule="exact"/>
        <w:ind w:firstLine="560" w:firstLineChars="200"/>
        <w:jc w:val="left"/>
        <w:rPr>
          <w:rFonts w:eastAsia="仿宋_GB2312"/>
          <w:color w:val="000000"/>
          <w:sz w:val="28"/>
          <w:szCs w:val="28"/>
        </w:rPr>
      </w:pPr>
      <w:r>
        <w:rPr>
          <w:rFonts w:eastAsia="仿宋_GB2312"/>
          <w:color w:val="000000"/>
          <w:kern w:val="0"/>
          <w:sz w:val="28"/>
          <w:szCs w:val="28"/>
        </w:rPr>
        <w:t>承包人未通知监理人到场检查，私自将工程隐蔽部位覆盖的，监理人有权指示承包人钻孔探测或揭开检查，无论工程隐蔽部位质量是否合格，由此增加的费用和（或）延误的工期均由承包人承担。</w:t>
      </w:r>
    </w:p>
    <w:p w14:paraId="732EED86">
      <w:pPr>
        <w:pStyle w:val="7"/>
        <w:spacing w:before="120" w:after="120" w:line="500" w:lineRule="exact"/>
        <w:ind w:firstLine="560" w:firstLineChars="200"/>
        <w:rPr>
          <w:rFonts w:eastAsia="黑体"/>
          <w:b w:val="0"/>
          <w:color w:val="000000"/>
        </w:rPr>
      </w:pPr>
      <w:bookmarkStart w:id="829" w:name="_Toc351203536"/>
      <w:r>
        <w:rPr>
          <w:rFonts w:eastAsia="黑体"/>
          <w:b w:val="0"/>
          <w:color w:val="000000"/>
        </w:rPr>
        <w:t>5</w:t>
      </w:r>
      <w:bookmarkStart w:id="830" w:name="_Toc337558762"/>
      <w:r>
        <w:rPr>
          <w:rFonts w:eastAsia="黑体"/>
          <w:b w:val="0"/>
          <w:color w:val="000000"/>
        </w:rPr>
        <w:t>.4不合格工程的处理</w:t>
      </w:r>
      <w:bookmarkEnd w:id="829"/>
    </w:p>
    <w:bookmarkEnd w:id="830"/>
    <w:p w14:paraId="6A5B1C0C">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5.4.1 因承包人原因造成工程不合格的，发包人有权随时要求承包人采取补救措施，直至达到合同要求的质量标准，由此增加的费用和（或）延误的工期由承包人承担。无法补救的，按照第13.2.4项</w:t>
      </w:r>
      <w:r>
        <w:rPr>
          <w:rFonts w:hint="eastAsia" w:eastAsia="仿宋_GB2312"/>
          <w:color w:val="000000"/>
          <w:kern w:val="0"/>
          <w:sz w:val="28"/>
          <w:szCs w:val="28"/>
        </w:rPr>
        <w:t>〔</w:t>
      </w:r>
      <w:r>
        <w:rPr>
          <w:rFonts w:eastAsia="仿宋_GB2312"/>
          <w:color w:val="000000"/>
          <w:kern w:val="0"/>
          <w:sz w:val="28"/>
          <w:szCs w:val="28"/>
        </w:rPr>
        <w:t>拒绝接收全部或部分工程</w:t>
      </w:r>
      <w:r>
        <w:rPr>
          <w:rFonts w:hint="eastAsia" w:eastAsia="仿宋_GB2312"/>
          <w:color w:val="000000"/>
          <w:kern w:val="0"/>
          <w:sz w:val="28"/>
          <w:szCs w:val="28"/>
        </w:rPr>
        <w:t>〕</w:t>
      </w:r>
      <w:r>
        <w:rPr>
          <w:rFonts w:eastAsia="仿宋_GB2312"/>
          <w:color w:val="000000"/>
          <w:kern w:val="0"/>
          <w:sz w:val="28"/>
          <w:szCs w:val="28"/>
        </w:rPr>
        <w:t xml:space="preserve">约定执行。 </w:t>
      </w:r>
    </w:p>
    <w:p w14:paraId="444FE7A1">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5.4.2 因发包人原因造成工程不合格的，由此增加的费用和（或）延误的工期由发包人承担，并支付承包人合理的利润。</w:t>
      </w:r>
    </w:p>
    <w:p w14:paraId="4875DB36">
      <w:pPr>
        <w:pStyle w:val="7"/>
        <w:spacing w:before="120" w:after="120" w:line="500" w:lineRule="exact"/>
        <w:ind w:firstLine="560" w:firstLineChars="200"/>
        <w:rPr>
          <w:rFonts w:eastAsia="黑体"/>
          <w:b w:val="0"/>
          <w:color w:val="000000"/>
        </w:rPr>
      </w:pPr>
      <w:bookmarkStart w:id="831" w:name="_Toc351203537"/>
      <w:r>
        <w:rPr>
          <w:rFonts w:eastAsia="黑体"/>
          <w:b w:val="0"/>
          <w:color w:val="000000"/>
        </w:rPr>
        <w:t>5.5 质量争议检测</w:t>
      </w:r>
      <w:bookmarkEnd w:id="831"/>
    </w:p>
    <w:p w14:paraId="6C678AA5">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合同当事人对工程质量有争议的，由双方协商确定的工程质量检测机构鉴定，由此产生的费用及因此造成的损失，由责任方承担。</w:t>
      </w:r>
    </w:p>
    <w:p w14:paraId="5B3EC896">
      <w:pPr>
        <w:autoSpaceDE w:val="0"/>
        <w:autoSpaceDN w:val="0"/>
        <w:adjustRightInd w:val="0"/>
        <w:spacing w:line="500" w:lineRule="exact"/>
        <w:jc w:val="left"/>
        <w:rPr>
          <w:rFonts w:eastAsia="仿宋_GB2312"/>
          <w:color w:val="000000"/>
          <w:kern w:val="0"/>
          <w:sz w:val="28"/>
          <w:szCs w:val="28"/>
        </w:rPr>
      </w:pPr>
      <w:r>
        <w:rPr>
          <w:rFonts w:eastAsia="仿宋_GB2312"/>
          <w:color w:val="000000"/>
          <w:kern w:val="0"/>
          <w:sz w:val="28"/>
          <w:szCs w:val="28"/>
        </w:rPr>
        <w:t>合同当事人均有责任的，由双方根据其责任分别承担。合同当事人无法达成一致的，按照第4.4款</w:t>
      </w:r>
      <w:r>
        <w:rPr>
          <w:rFonts w:hint="eastAsia" w:eastAsia="仿宋_GB2312"/>
          <w:color w:val="000000"/>
          <w:kern w:val="0"/>
          <w:sz w:val="28"/>
          <w:szCs w:val="28"/>
        </w:rPr>
        <w:t>〔</w:t>
      </w:r>
      <w:r>
        <w:rPr>
          <w:rFonts w:eastAsia="仿宋_GB2312"/>
          <w:color w:val="000000"/>
          <w:kern w:val="0"/>
          <w:sz w:val="28"/>
          <w:szCs w:val="28"/>
        </w:rPr>
        <w:t>商定或确定</w:t>
      </w:r>
      <w:r>
        <w:rPr>
          <w:rFonts w:hint="eastAsia" w:eastAsia="仿宋_GB2312"/>
          <w:color w:val="000000"/>
          <w:kern w:val="0"/>
          <w:sz w:val="28"/>
          <w:szCs w:val="28"/>
        </w:rPr>
        <w:t>〕</w:t>
      </w:r>
      <w:r>
        <w:rPr>
          <w:rFonts w:eastAsia="仿宋_GB2312"/>
          <w:color w:val="000000"/>
          <w:kern w:val="0"/>
          <w:sz w:val="28"/>
          <w:szCs w:val="28"/>
        </w:rPr>
        <w:t>执行。</w:t>
      </w:r>
    </w:p>
    <w:p w14:paraId="12A20B05">
      <w:pPr>
        <w:pStyle w:val="6"/>
        <w:spacing w:before="120" w:after="120" w:line="500" w:lineRule="exact"/>
        <w:rPr>
          <w:rFonts w:ascii="Times New Roman" w:hAnsi="Times New Roman"/>
          <w:b w:val="0"/>
          <w:color w:val="000000"/>
        </w:rPr>
      </w:pPr>
      <w:bookmarkStart w:id="832" w:name="_Toc351203538"/>
      <w:r>
        <w:rPr>
          <w:rFonts w:ascii="Times New Roman" w:hAnsi="Times New Roman"/>
          <w:b w:val="0"/>
          <w:color w:val="000000"/>
        </w:rPr>
        <w:t>6</w:t>
      </w:r>
      <w:bookmarkStart w:id="833" w:name="_Toc337558763"/>
      <w:r>
        <w:rPr>
          <w:rFonts w:ascii="Times New Roman" w:hAnsi="Times New Roman"/>
          <w:b w:val="0"/>
          <w:color w:val="000000"/>
        </w:rPr>
        <w:t>. 安全文明施工与环境保护</w:t>
      </w:r>
      <w:bookmarkEnd w:id="832"/>
    </w:p>
    <w:bookmarkEnd w:id="833"/>
    <w:p w14:paraId="6D8D8133">
      <w:pPr>
        <w:pStyle w:val="7"/>
        <w:spacing w:before="120" w:after="120" w:line="500" w:lineRule="exact"/>
        <w:ind w:firstLine="560" w:firstLineChars="200"/>
        <w:rPr>
          <w:rFonts w:eastAsia="黑体"/>
          <w:b w:val="0"/>
          <w:color w:val="000000"/>
        </w:rPr>
      </w:pPr>
      <w:bookmarkStart w:id="834" w:name="_Toc351203539"/>
      <w:r>
        <w:rPr>
          <w:rFonts w:eastAsia="黑体"/>
          <w:b w:val="0"/>
          <w:color w:val="000000"/>
        </w:rPr>
        <w:t>6</w:t>
      </w:r>
      <w:bookmarkStart w:id="835" w:name="_Toc337558764"/>
      <w:r>
        <w:rPr>
          <w:rFonts w:eastAsia="黑体"/>
          <w:b w:val="0"/>
          <w:color w:val="000000"/>
        </w:rPr>
        <w:t>.1安全文明施工</w:t>
      </w:r>
      <w:bookmarkEnd w:id="834"/>
    </w:p>
    <w:bookmarkEnd w:id="835"/>
    <w:p w14:paraId="68A27F2E">
      <w:pPr>
        <w:spacing w:line="500" w:lineRule="exact"/>
        <w:ind w:firstLine="560" w:firstLineChars="200"/>
        <w:rPr>
          <w:rFonts w:eastAsia="仿宋_GB2312"/>
          <w:color w:val="000000"/>
          <w:sz w:val="28"/>
          <w:szCs w:val="28"/>
        </w:rPr>
      </w:pPr>
      <w:r>
        <w:rPr>
          <w:rFonts w:eastAsia="仿宋_GB2312"/>
          <w:color w:val="000000"/>
          <w:sz w:val="28"/>
          <w:szCs w:val="28"/>
        </w:rPr>
        <w:t>6.1.1安全生产要求</w:t>
      </w:r>
    </w:p>
    <w:p w14:paraId="3CF5F914">
      <w:pPr>
        <w:spacing w:line="500" w:lineRule="exact"/>
        <w:ind w:firstLine="560" w:firstLineChars="200"/>
        <w:rPr>
          <w:rFonts w:eastAsia="仿宋_GB2312"/>
          <w:color w:val="000000"/>
          <w:sz w:val="28"/>
          <w:szCs w:val="28"/>
        </w:rPr>
      </w:pPr>
      <w:r>
        <w:rPr>
          <w:rFonts w:eastAsia="仿宋_GB2312"/>
          <w:color w:val="000000"/>
          <w:sz w:val="28"/>
          <w:szCs w:val="28"/>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43614749">
      <w:pPr>
        <w:spacing w:line="500" w:lineRule="exact"/>
        <w:ind w:firstLine="560" w:firstLineChars="200"/>
        <w:rPr>
          <w:rFonts w:eastAsia="仿宋_GB2312"/>
          <w:color w:val="000000"/>
          <w:sz w:val="28"/>
          <w:szCs w:val="28"/>
        </w:rPr>
      </w:pPr>
      <w:r>
        <w:rPr>
          <w:rFonts w:eastAsia="仿宋_GB2312"/>
          <w:color w:val="000000"/>
          <w:sz w:val="28"/>
          <w:szCs w:val="28"/>
        </w:rPr>
        <w:t>在施工过程中，如遇到突发的地质变动、事先未知的地下施工障碍等影响施工安全的紧急情况，</w:t>
      </w:r>
      <w:r>
        <w:rPr>
          <w:rFonts w:hint="eastAsia" w:eastAsia="仿宋_GB2312"/>
          <w:color w:val="000000"/>
          <w:sz w:val="28"/>
          <w:szCs w:val="28"/>
        </w:rPr>
        <w:t>承包人应及时报告监理人和发包人，</w:t>
      </w:r>
      <w:r>
        <w:rPr>
          <w:rFonts w:eastAsia="仿宋_GB2312"/>
          <w:color w:val="000000"/>
          <w:sz w:val="28"/>
          <w:szCs w:val="28"/>
        </w:rPr>
        <w:t>发包人应当及时下令停工并报</w:t>
      </w:r>
      <w:r>
        <w:rPr>
          <w:rFonts w:eastAsia="仿宋_GB2312"/>
          <w:color w:val="000000"/>
          <w:kern w:val="0"/>
          <w:sz w:val="28"/>
          <w:szCs w:val="28"/>
        </w:rPr>
        <w:t>政府有关行政管理部门</w:t>
      </w:r>
      <w:r>
        <w:rPr>
          <w:rFonts w:eastAsia="仿宋_GB2312"/>
          <w:color w:val="000000"/>
          <w:sz w:val="28"/>
          <w:szCs w:val="28"/>
        </w:rPr>
        <w:t>采取应急措施。</w:t>
      </w:r>
    </w:p>
    <w:p w14:paraId="05F89F41">
      <w:pPr>
        <w:spacing w:line="500" w:lineRule="exact"/>
        <w:ind w:firstLine="560" w:firstLineChars="200"/>
        <w:rPr>
          <w:rFonts w:eastAsia="仿宋_GB2312"/>
          <w:color w:val="000000"/>
          <w:sz w:val="28"/>
          <w:szCs w:val="28"/>
        </w:rPr>
      </w:pPr>
      <w:r>
        <w:rPr>
          <w:rFonts w:eastAsia="仿宋_GB2312"/>
          <w:color w:val="000000"/>
          <w:sz w:val="28"/>
          <w:szCs w:val="28"/>
        </w:rPr>
        <w:t>因安全生产需要暂停施工的，按照第7.8款</w:t>
      </w:r>
      <w:r>
        <w:rPr>
          <w:rFonts w:hint="eastAsia" w:eastAsia="仿宋_GB2312"/>
          <w:color w:val="000000"/>
          <w:sz w:val="28"/>
          <w:szCs w:val="28"/>
        </w:rPr>
        <w:t>〔</w:t>
      </w:r>
      <w:r>
        <w:rPr>
          <w:rFonts w:eastAsia="仿宋_GB2312"/>
          <w:color w:val="000000"/>
          <w:sz w:val="28"/>
          <w:szCs w:val="28"/>
        </w:rPr>
        <w:t>暂停施工</w:t>
      </w:r>
      <w:r>
        <w:rPr>
          <w:rFonts w:hint="eastAsia" w:eastAsia="仿宋_GB2312"/>
          <w:color w:val="000000"/>
          <w:sz w:val="28"/>
          <w:szCs w:val="28"/>
        </w:rPr>
        <w:t>〕</w:t>
      </w:r>
      <w:r>
        <w:rPr>
          <w:rFonts w:eastAsia="仿宋_GB2312"/>
          <w:color w:val="000000"/>
          <w:sz w:val="28"/>
          <w:szCs w:val="28"/>
        </w:rPr>
        <w:t>的约定执行。</w:t>
      </w:r>
    </w:p>
    <w:p w14:paraId="2E022B06">
      <w:pPr>
        <w:spacing w:line="500" w:lineRule="exact"/>
        <w:ind w:firstLine="560" w:firstLineChars="200"/>
        <w:rPr>
          <w:rFonts w:eastAsia="仿宋_GB2312"/>
          <w:color w:val="000000"/>
          <w:sz w:val="28"/>
          <w:szCs w:val="28"/>
        </w:rPr>
      </w:pPr>
      <w:r>
        <w:rPr>
          <w:rFonts w:eastAsia="仿宋_GB2312"/>
          <w:color w:val="000000"/>
          <w:sz w:val="28"/>
          <w:szCs w:val="28"/>
        </w:rPr>
        <w:t>6.1.2 安全生产保证措施</w:t>
      </w:r>
    </w:p>
    <w:p w14:paraId="243957AE">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sz w:val="28"/>
          <w:szCs w:val="28"/>
        </w:rPr>
        <w:t>承包人应当按照有关</w:t>
      </w:r>
      <w:r>
        <w:rPr>
          <w:rFonts w:eastAsia="仿宋_GB2312"/>
          <w:color w:val="000000"/>
          <w:kern w:val="0"/>
          <w:sz w:val="28"/>
          <w:szCs w:val="28"/>
        </w:rPr>
        <w:t>规定编制安全技术措施或者专项施工方案，</w:t>
      </w:r>
      <w:r>
        <w:rPr>
          <w:rFonts w:eastAsia="仿宋_GB2312"/>
          <w:color w:val="000000"/>
          <w:sz w:val="28"/>
          <w:szCs w:val="28"/>
        </w:rPr>
        <w:t>建立安全生产责任制度、治安保卫制度及安全生产教育培训制度，并</w:t>
      </w:r>
      <w:r>
        <w:rPr>
          <w:rFonts w:eastAsia="仿宋_GB2312"/>
          <w:color w:val="000000"/>
          <w:kern w:val="0"/>
          <w:sz w:val="28"/>
          <w:szCs w:val="28"/>
        </w:rPr>
        <w:t>按安全生产法律规定及合同约定履行安全职责，</w:t>
      </w:r>
      <w:r>
        <w:rPr>
          <w:rFonts w:hint="eastAsia" w:eastAsia="仿宋_GB2312"/>
          <w:color w:val="000000"/>
          <w:kern w:val="0"/>
          <w:sz w:val="28"/>
          <w:szCs w:val="28"/>
        </w:rPr>
        <w:t>如实</w:t>
      </w:r>
      <w:r>
        <w:rPr>
          <w:rFonts w:eastAsia="仿宋_GB2312"/>
          <w:color w:val="000000"/>
          <w:sz w:val="28"/>
          <w:szCs w:val="28"/>
        </w:rPr>
        <w:t>编制工程安全生产的有关记录，</w:t>
      </w:r>
      <w:r>
        <w:rPr>
          <w:rFonts w:eastAsia="仿宋_GB2312"/>
          <w:color w:val="000000"/>
          <w:kern w:val="0"/>
          <w:sz w:val="28"/>
          <w:szCs w:val="28"/>
        </w:rPr>
        <w:t>接受发包人、监理人及政府安全监督部门的检查与监督。</w:t>
      </w:r>
    </w:p>
    <w:p w14:paraId="46E56129">
      <w:pPr>
        <w:spacing w:line="500" w:lineRule="exact"/>
        <w:ind w:firstLine="560" w:firstLineChars="200"/>
        <w:rPr>
          <w:rFonts w:eastAsia="仿宋_GB2312"/>
          <w:color w:val="000000"/>
          <w:sz w:val="28"/>
          <w:szCs w:val="28"/>
        </w:rPr>
      </w:pPr>
      <w:r>
        <w:rPr>
          <w:rFonts w:eastAsia="仿宋_GB2312"/>
          <w:color w:val="000000"/>
          <w:sz w:val="28"/>
          <w:szCs w:val="28"/>
        </w:rPr>
        <w:t>6.1.3特别安全生产事项</w:t>
      </w:r>
    </w:p>
    <w:p w14:paraId="68CD4F83">
      <w:pPr>
        <w:spacing w:line="500" w:lineRule="exact"/>
        <w:ind w:firstLine="560" w:firstLineChars="200"/>
        <w:rPr>
          <w:rFonts w:eastAsia="仿宋_GB2312"/>
          <w:color w:val="000000"/>
          <w:sz w:val="28"/>
          <w:szCs w:val="28"/>
        </w:rPr>
      </w:pPr>
      <w:r>
        <w:rPr>
          <w:rFonts w:eastAsia="仿宋_GB2312"/>
          <w:color w:val="000000"/>
          <w:sz w:val="28"/>
          <w:szCs w:val="28"/>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27704AD4">
      <w:pPr>
        <w:spacing w:line="500" w:lineRule="exact"/>
        <w:ind w:firstLine="560" w:firstLineChars="200"/>
        <w:rPr>
          <w:rFonts w:eastAsia="仿宋_GB2312"/>
          <w:color w:val="000000"/>
          <w:sz w:val="28"/>
          <w:szCs w:val="28"/>
        </w:rPr>
      </w:pPr>
      <w:r>
        <w:rPr>
          <w:rFonts w:eastAsia="仿宋_GB2312"/>
          <w:color w:val="000000"/>
          <w:sz w:val="28"/>
          <w:szCs w:val="28"/>
        </w:rPr>
        <w:t xml:space="preserve">承包人在动力设备、输电线路、地下管道、密封防震车间、易燃易爆地段以及临街交通要道附近施工时，施工开始前应向发包人和监理人提出安全防护措施，经发包人认可后实施。 </w:t>
      </w:r>
    </w:p>
    <w:p w14:paraId="19F3729F">
      <w:pPr>
        <w:spacing w:line="500" w:lineRule="exact"/>
        <w:ind w:firstLine="560" w:firstLineChars="200"/>
        <w:rPr>
          <w:rFonts w:eastAsia="仿宋_GB2312"/>
          <w:color w:val="000000"/>
          <w:sz w:val="28"/>
          <w:szCs w:val="28"/>
        </w:rPr>
      </w:pPr>
      <w:r>
        <w:rPr>
          <w:rFonts w:eastAsia="仿宋_GB2312"/>
          <w:color w:val="000000"/>
          <w:sz w:val="28"/>
          <w:szCs w:val="28"/>
        </w:rPr>
        <w:t>实施爆破作业，在放射、毒害性环境中施工（含储存、运输、使用）及使用毒害性、腐蚀性物品施工时，承包人应在施工前7天以书面通知发包人和监理人，并报送相应的安全防护措施，经发包人认可后实施。</w:t>
      </w:r>
    </w:p>
    <w:p w14:paraId="2B80FBCE">
      <w:pPr>
        <w:spacing w:line="500" w:lineRule="exact"/>
        <w:ind w:firstLine="560" w:firstLineChars="200"/>
        <w:rPr>
          <w:rFonts w:eastAsia="仿宋_GB2312"/>
          <w:color w:val="000000"/>
          <w:sz w:val="28"/>
          <w:szCs w:val="28"/>
        </w:rPr>
      </w:pPr>
      <w:r>
        <w:rPr>
          <w:rFonts w:eastAsia="仿宋_GB2312"/>
          <w:color w:val="000000"/>
          <w:sz w:val="28"/>
          <w:szCs w:val="28"/>
        </w:rPr>
        <w:t>需单独编制危险性较大分部分项专项工程施工方案的，及要求进行专家论证的超过一定规模的危险性较大的分部分项工程，承包人应及时编制和组织论证。</w:t>
      </w:r>
    </w:p>
    <w:p w14:paraId="0E48D09A">
      <w:pPr>
        <w:spacing w:line="500" w:lineRule="exact"/>
        <w:ind w:firstLine="560" w:firstLineChars="200"/>
        <w:rPr>
          <w:rFonts w:eastAsia="仿宋_GB2312"/>
          <w:color w:val="000000"/>
          <w:sz w:val="28"/>
          <w:szCs w:val="28"/>
        </w:rPr>
      </w:pPr>
      <w:r>
        <w:rPr>
          <w:rFonts w:eastAsia="仿宋_GB2312"/>
          <w:color w:val="000000"/>
          <w:sz w:val="28"/>
          <w:szCs w:val="28"/>
        </w:rPr>
        <w:t>6.1.4 治安保卫</w:t>
      </w:r>
    </w:p>
    <w:p w14:paraId="1A77515B">
      <w:pPr>
        <w:spacing w:line="500" w:lineRule="exact"/>
        <w:ind w:firstLine="560" w:firstLineChars="200"/>
        <w:rPr>
          <w:rFonts w:eastAsia="仿宋_GB2312"/>
          <w:color w:val="000000"/>
          <w:sz w:val="28"/>
          <w:szCs w:val="28"/>
        </w:rPr>
      </w:pPr>
      <w:r>
        <w:rPr>
          <w:rFonts w:eastAsia="仿宋_GB2312"/>
          <w:color w:val="000000"/>
          <w:sz w:val="28"/>
          <w:szCs w:val="28"/>
        </w:rPr>
        <w:t>除专用合同条款另有约定外，发包人应与当地公安部门协商，在现场建立治安管理机构或联防组织，统一管理施工场地的治安保卫事项，履行合同工程的治安保卫职责。</w:t>
      </w:r>
    </w:p>
    <w:p w14:paraId="6E78C661">
      <w:pPr>
        <w:spacing w:line="500" w:lineRule="exact"/>
        <w:ind w:firstLine="560" w:firstLineChars="200"/>
        <w:rPr>
          <w:rFonts w:eastAsia="仿宋_GB2312"/>
          <w:color w:val="000000"/>
          <w:sz w:val="28"/>
          <w:szCs w:val="28"/>
        </w:rPr>
      </w:pPr>
      <w:r>
        <w:rPr>
          <w:rFonts w:eastAsia="仿宋_GB2312"/>
          <w:color w:val="000000"/>
          <w:sz w:val="28"/>
          <w:szCs w:val="28"/>
        </w:rPr>
        <w:t>发包人和承包人除应协助现场治安管理机构或联防组织维护施工场地的社会治安外，还应做好包括生活区在内的各自管辖区的治安保卫工作。</w:t>
      </w:r>
    </w:p>
    <w:p w14:paraId="2A5F6B87">
      <w:pPr>
        <w:spacing w:line="500" w:lineRule="exact"/>
        <w:ind w:firstLine="560" w:firstLineChars="200"/>
        <w:rPr>
          <w:rFonts w:eastAsia="仿宋_GB2312"/>
          <w:color w:val="000000"/>
          <w:sz w:val="28"/>
          <w:szCs w:val="28"/>
        </w:rPr>
      </w:pPr>
      <w:r>
        <w:rPr>
          <w:rFonts w:eastAsia="仿宋_GB2312"/>
          <w:color w:val="000000"/>
          <w:sz w:val="28"/>
          <w:szCs w:val="28"/>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w:t>
      </w:r>
      <w:r>
        <w:rPr>
          <w:rFonts w:hint="eastAsia" w:eastAsia="仿宋_GB2312"/>
          <w:color w:val="000000"/>
          <w:sz w:val="28"/>
          <w:szCs w:val="28"/>
        </w:rPr>
        <w:t>和</w:t>
      </w:r>
      <w:r>
        <w:rPr>
          <w:rFonts w:eastAsia="仿宋_GB2312"/>
          <w:color w:val="000000"/>
          <w:sz w:val="28"/>
          <w:szCs w:val="28"/>
        </w:rPr>
        <w:t>财产损失。</w:t>
      </w:r>
    </w:p>
    <w:p w14:paraId="29ACF04A">
      <w:pPr>
        <w:spacing w:line="500" w:lineRule="exact"/>
        <w:ind w:firstLine="560" w:firstLineChars="200"/>
        <w:rPr>
          <w:rFonts w:eastAsia="仿宋_GB2312"/>
          <w:color w:val="000000"/>
          <w:kern w:val="0"/>
          <w:sz w:val="28"/>
          <w:szCs w:val="28"/>
        </w:rPr>
      </w:pPr>
      <w:r>
        <w:rPr>
          <w:rFonts w:eastAsia="仿宋_GB2312"/>
          <w:color w:val="000000"/>
          <w:sz w:val="28"/>
          <w:szCs w:val="28"/>
        </w:rPr>
        <w:t>6.1.5 文明施工</w:t>
      </w:r>
    </w:p>
    <w:p w14:paraId="6A8AFCFB">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承包人在工程施工期间，应当采取措施保持施工现场平整，物料堆放整齐。工程所在地有关政府行政管理部门有特殊要求的，按照其要求执行。</w:t>
      </w:r>
      <w:r>
        <w:rPr>
          <w:rFonts w:hint="eastAsia" w:eastAsia="仿宋_GB2312"/>
          <w:color w:val="000000"/>
          <w:kern w:val="0"/>
          <w:sz w:val="28"/>
          <w:szCs w:val="28"/>
        </w:rPr>
        <w:t>合同当事人对文明施工有其他要求的，可以在专用合同条款中明确。</w:t>
      </w:r>
    </w:p>
    <w:p w14:paraId="7118089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420D8548">
      <w:pPr>
        <w:spacing w:line="500" w:lineRule="exact"/>
        <w:ind w:firstLine="560" w:firstLineChars="200"/>
        <w:rPr>
          <w:rFonts w:eastAsia="仿宋_GB2312"/>
          <w:color w:val="000000"/>
          <w:sz w:val="28"/>
          <w:szCs w:val="28"/>
        </w:rPr>
      </w:pPr>
      <w:r>
        <w:rPr>
          <w:rFonts w:eastAsia="仿宋_GB2312"/>
          <w:color w:val="000000"/>
          <w:sz w:val="28"/>
          <w:szCs w:val="28"/>
        </w:rPr>
        <w:t>6.1.6 安全文明施工费</w:t>
      </w:r>
    </w:p>
    <w:p w14:paraId="1BBEF67F">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安全文明施工费由发包人承担，发包人不得以任何形式扣减该部分费用。因基准日期后合同所适用的法律或政府有关规定发生变化，增加的安全文明施工费由发包人承担。</w:t>
      </w:r>
    </w:p>
    <w:p w14:paraId="080329B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7C6471E6">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w:t>
      </w:r>
      <w:r>
        <w:rPr>
          <w:rFonts w:hint="eastAsia" w:eastAsia="仿宋_GB2312"/>
          <w:color w:val="000000"/>
          <w:kern w:val="0"/>
          <w:sz w:val="28"/>
          <w:szCs w:val="28"/>
        </w:rPr>
        <w:t>〔</w:t>
      </w:r>
      <w:r>
        <w:rPr>
          <w:rFonts w:eastAsia="仿宋_GB2312"/>
          <w:color w:val="000000"/>
          <w:kern w:val="0"/>
          <w:sz w:val="28"/>
          <w:szCs w:val="28"/>
        </w:rPr>
        <w:t>发包人违约的情形</w:t>
      </w:r>
      <w:r>
        <w:rPr>
          <w:rFonts w:hint="eastAsia" w:eastAsia="仿宋_GB2312"/>
          <w:color w:val="000000"/>
          <w:kern w:val="0"/>
          <w:sz w:val="28"/>
          <w:szCs w:val="28"/>
        </w:rPr>
        <w:t>〕</w:t>
      </w:r>
      <w:r>
        <w:rPr>
          <w:rFonts w:eastAsia="仿宋_GB2312"/>
          <w:color w:val="000000"/>
          <w:kern w:val="0"/>
          <w:sz w:val="28"/>
          <w:szCs w:val="28"/>
        </w:rPr>
        <w:t>执行。</w:t>
      </w:r>
    </w:p>
    <w:p w14:paraId="347280A3">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27BDBF43">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6.1.7 紧急情况</w:t>
      </w:r>
      <w:r>
        <w:rPr>
          <w:rFonts w:hint="eastAsia" w:eastAsia="仿宋_GB2312"/>
          <w:color w:val="000000"/>
          <w:kern w:val="0"/>
          <w:sz w:val="28"/>
          <w:szCs w:val="28"/>
        </w:rPr>
        <w:t>处理</w:t>
      </w:r>
    </w:p>
    <w:p w14:paraId="355F4335">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22A2283D">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6.1.8 事故处理</w:t>
      </w:r>
    </w:p>
    <w:p w14:paraId="41EE79C9">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74C2F4C0">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6.1.9 安全生产责任</w:t>
      </w:r>
    </w:p>
    <w:p w14:paraId="763456B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6.1.9.1 发包人的安全责任</w:t>
      </w:r>
    </w:p>
    <w:p w14:paraId="50EEC8B3">
      <w:pPr>
        <w:spacing w:line="500" w:lineRule="exact"/>
        <w:ind w:firstLine="560" w:firstLineChars="200"/>
        <w:rPr>
          <w:rFonts w:eastAsia="仿宋_GB2312"/>
          <w:color w:val="000000"/>
          <w:sz w:val="28"/>
          <w:szCs w:val="28"/>
        </w:rPr>
      </w:pPr>
      <w:r>
        <w:rPr>
          <w:rFonts w:eastAsia="仿宋_GB2312"/>
          <w:color w:val="000000"/>
          <w:sz w:val="28"/>
          <w:szCs w:val="28"/>
        </w:rPr>
        <w:t>发包人应负责赔偿以下各种情况造成</w:t>
      </w:r>
      <w:r>
        <w:rPr>
          <w:rFonts w:hint="eastAsia" w:eastAsia="仿宋_GB2312"/>
          <w:color w:val="000000"/>
          <w:sz w:val="28"/>
          <w:szCs w:val="28"/>
        </w:rPr>
        <w:t>的</w:t>
      </w:r>
      <w:r>
        <w:rPr>
          <w:rFonts w:eastAsia="仿宋_GB2312"/>
          <w:color w:val="000000"/>
          <w:sz w:val="28"/>
          <w:szCs w:val="28"/>
        </w:rPr>
        <w:t>损失：</w:t>
      </w:r>
    </w:p>
    <w:p w14:paraId="7396535D">
      <w:pPr>
        <w:spacing w:line="500" w:lineRule="exact"/>
        <w:ind w:firstLine="560" w:firstLineChars="200"/>
        <w:rPr>
          <w:rFonts w:eastAsia="仿宋_GB2312"/>
          <w:color w:val="000000"/>
          <w:sz w:val="28"/>
          <w:szCs w:val="28"/>
        </w:rPr>
      </w:pPr>
      <w:r>
        <w:rPr>
          <w:rFonts w:eastAsia="仿宋_GB2312"/>
          <w:color w:val="000000"/>
          <w:sz w:val="28"/>
          <w:szCs w:val="28"/>
        </w:rPr>
        <w:t>（1）工程或工程的任何部分对土地的占用所造成的第三者财产损失；</w:t>
      </w:r>
    </w:p>
    <w:p w14:paraId="69091CE8">
      <w:pPr>
        <w:spacing w:line="500" w:lineRule="exact"/>
        <w:ind w:firstLine="560" w:firstLineChars="200"/>
        <w:rPr>
          <w:rFonts w:eastAsia="仿宋_GB2312"/>
          <w:color w:val="000000"/>
          <w:sz w:val="28"/>
          <w:szCs w:val="28"/>
        </w:rPr>
      </w:pPr>
      <w:r>
        <w:rPr>
          <w:rFonts w:eastAsia="仿宋_GB2312"/>
          <w:color w:val="000000"/>
          <w:sz w:val="28"/>
          <w:szCs w:val="28"/>
        </w:rPr>
        <w:t>（2）由于发包人原因在施工场地及其毗邻地带造成的第三者人身伤亡和财产损失</w:t>
      </w:r>
      <w:r>
        <w:rPr>
          <w:rFonts w:hint="eastAsia" w:eastAsia="仿宋_GB2312"/>
          <w:color w:val="000000"/>
          <w:sz w:val="28"/>
          <w:szCs w:val="28"/>
        </w:rPr>
        <w:t>；</w:t>
      </w:r>
    </w:p>
    <w:p w14:paraId="1DA6CF84">
      <w:pPr>
        <w:spacing w:line="500" w:lineRule="exact"/>
        <w:ind w:firstLine="560" w:firstLineChars="200"/>
        <w:rPr>
          <w:rFonts w:eastAsia="仿宋_GB2312"/>
          <w:color w:val="000000"/>
          <w:sz w:val="28"/>
          <w:szCs w:val="28"/>
        </w:rPr>
      </w:pPr>
      <w:r>
        <w:rPr>
          <w:rFonts w:hint="eastAsia" w:eastAsia="仿宋_GB2312"/>
          <w:color w:val="000000"/>
          <w:sz w:val="28"/>
          <w:szCs w:val="28"/>
        </w:rPr>
        <w:t>（3）由于发包人原因对承包人、监理人造成的人员人身伤亡和财产损失；</w:t>
      </w:r>
    </w:p>
    <w:p w14:paraId="2373CFA0">
      <w:pPr>
        <w:spacing w:line="500" w:lineRule="exact"/>
        <w:ind w:firstLine="560" w:firstLineChars="200"/>
        <w:rPr>
          <w:rFonts w:eastAsia="仿宋_GB2312"/>
          <w:color w:val="000000"/>
          <w:sz w:val="28"/>
          <w:szCs w:val="28"/>
        </w:rPr>
      </w:pPr>
      <w:r>
        <w:rPr>
          <w:rFonts w:hint="eastAsia" w:eastAsia="仿宋_GB2312"/>
          <w:color w:val="000000"/>
          <w:sz w:val="28"/>
          <w:szCs w:val="28"/>
        </w:rPr>
        <w:t>（4）由于发包人原因造成的发包人自身人员的人身伤害以及财产损失。</w:t>
      </w:r>
    </w:p>
    <w:p w14:paraId="2CF0EA58">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6.1.9.2 承包人的安全责任</w:t>
      </w:r>
    </w:p>
    <w:p w14:paraId="315AF4CE">
      <w:pPr>
        <w:spacing w:line="500" w:lineRule="exact"/>
        <w:ind w:firstLine="560" w:firstLineChars="200"/>
        <w:rPr>
          <w:rFonts w:eastAsia="仿宋_GB2312"/>
          <w:color w:val="000000"/>
          <w:kern w:val="0"/>
          <w:sz w:val="28"/>
          <w:szCs w:val="28"/>
        </w:rPr>
      </w:pPr>
      <w:r>
        <w:rPr>
          <w:rFonts w:eastAsia="仿宋_GB2312"/>
          <w:color w:val="000000"/>
          <w:sz w:val="28"/>
          <w:szCs w:val="28"/>
        </w:rPr>
        <w:t>由于承包人原因在施工场地内及其毗邻地带造成的</w:t>
      </w:r>
      <w:r>
        <w:rPr>
          <w:rFonts w:hint="eastAsia" w:eastAsia="仿宋_GB2312"/>
          <w:color w:val="000000"/>
          <w:sz w:val="28"/>
          <w:szCs w:val="28"/>
        </w:rPr>
        <w:t>发包人、监理人以及</w:t>
      </w:r>
      <w:r>
        <w:rPr>
          <w:rFonts w:eastAsia="仿宋_GB2312"/>
          <w:color w:val="000000"/>
          <w:sz w:val="28"/>
          <w:szCs w:val="28"/>
        </w:rPr>
        <w:t>第三者人员伤亡和财产损失，由承包人负责赔偿。</w:t>
      </w:r>
    </w:p>
    <w:p w14:paraId="096E5D94">
      <w:pPr>
        <w:pStyle w:val="7"/>
        <w:spacing w:before="120" w:after="120" w:line="500" w:lineRule="exact"/>
        <w:ind w:firstLine="560" w:firstLineChars="200"/>
        <w:rPr>
          <w:rFonts w:eastAsia="黑体"/>
          <w:b w:val="0"/>
          <w:color w:val="000000"/>
        </w:rPr>
      </w:pPr>
      <w:bookmarkStart w:id="836" w:name="_Toc351203540"/>
      <w:r>
        <w:rPr>
          <w:rFonts w:eastAsia="黑体"/>
          <w:b w:val="0"/>
          <w:color w:val="000000"/>
        </w:rPr>
        <w:t>6</w:t>
      </w:r>
      <w:bookmarkStart w:id="837" w:name="_Toc337558765"/>
      <w:r>
        <w:rPr>
          <w:rFonts w:eastAsia="黑体"/>
          <w:b w:val="0"/>
          <w:color w:val="000000"/>
        </w:rPr>
        <w:t>.2 职业健康</w:t>
      </w:r>
      <w:bookmarkEnd w:id="836"/>
    </w:p>
    <w:bookmarkEnd w:id="837"/>
    <w:p w14:paraId="6A08A8F7">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6.2.1 劳动保护</w:t>
      </w:r>
    </w:p>
    <w:p w14:paraId="6947006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63E6F569">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2E61AB5E">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承包人应按</w:t>
      </w:r>
      <w:r>
        <w:rPr>
          <w:rFonts w:hint="eastAsia" w:eastAsia="仿宋_GB2312"/>
          <w:color w:val="000000"/>
          <w:kern w:val="0"/>
          <w:sz w:val="28"/>
          <w:szCs w:val="28"/>
        </w:rPr>
        <w:t>法律</w:t>
      </w:r>
      <w:r>
        <w:rPr>
          <w:rFonts w:eastAsia="仿宋_GB2312"/>
          <w:color w:val="000000"/>
          <w:kern w:val="0"/>
          <w:sz w:val="28"/>
          <w:szCs w:val="28"/>
        </w:rPr>
        <w:t>规定安排工作时间，保证其雇佣人员享有休息和休假的权利。因工程施工的特殊需要占用休假日或延长工作时间的，应不超过法律规定的限度，并按法律规定给予补休或付酬。</w:t>
      </w:r>
    </w:p>
    <w:p w14:paraId="73F7F00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6.2.2 生活条件</w:t>
      </w:r>
    </w:p>
    <w:p w14:paraId="09C0A6FF">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3ED345C0">
      <w:pPr>
        <w:pStyle w:val="7"/>
        <w:spacing w:before="120" w:after="120" w:line="500" w:lineRule="exact"/>
        <w:ind w:firstLine="560" w:firstLineChars="200"/>
        <w:rPr>
          <w:rFonts w:eastAsia="黑体"/>
          <w:b w:val="0"/>
          <w:color w:val="000000"/>
        </w:rPr>
      </w:pPr>
      <w:bookmarkStart w:id="838" w:name="_Toc351203541"/>
      <w:r>
        <w:rPr>
          <w:rFonts w:eastAsia="黑体"/>
          <w:b w:val="0"/>
          <w:color w:val="000000"/>
        </w:rPr>
        <w:t>6</w:t>
      </w:r>
      <w:bookmarkStart w:id="839" w:name="_Toc337558766"/>
      <w:r>
        <w:rPr>
          <w:rFonts w:eastAsia="黑体"/>
          <w:b w:val="0"/>
          <w:color w:val="000000"/>
        </w:rPr>
        <w:t>.3 环境保护</w:t>
      </w:r>
      <w:bookmarkEnd w:id="838"/>
    </w:p>
    <w:bookmarkEnd w:id="839"/>
    <w:p w14:paraId="4A27AAAB">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6ECB4CBE">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承包人应当承担因其原因引起的环境污染侵权损害赔偿责任，因上述环境污染引起纠纷而导致暂停施工的，由此增加的费用和（或）延误的工期由承包人承担。</w:t>
      </w:r>
    </w:p>
    <w:p w14:paraId="084C0113">
      <w:pPr>
        <w:pStyle w:val="6"/>
        <w:spacing w:before="120" w:after="120" w:line="500" w:lineRule="exact"/>
        <w:rPr>
          <w:rFonts w:ascii="Times New Roman" w:hAnsi="Times New Roman"/>
          <w:b w:val="0"/>
          <w:color w:val="000000"/>
        </w:rPr>
      </w:pPr>
      <w:bookmarkStart w:id="840" w:name="_Toc351203542"/>
      <w:r>
        <w:rPr>
          <w:rFonts w:ascii="Times New Roman" w:hAnsi="Times New Roman"/>
          <w:b w:val="0"/>
          <w:color w:val="000000"/>
        </w:rPr>
        <w:t>7</w:t>
      </w:r>
      <w:bookmarkStart w:id="841" w:name="_Toc337558767"/>
      <w:r>
        <w:rPr>
          <w:rFonts w:ascii="Times New Roman" w:hAnsi="Times New Roman"/>
          <w:b w:val="0"/>
          <w:color w:val="000000"/>
        </w:rPr>
        <w:t>. 工期和进度</w:t>
      </w:r>
      <w:bookmarkEnd w:id="840"/>
    </w:p>
    <w:bookmarkEnd w:id="841"/>
    <w:p w14:paraId="66D1E6AE">
      <w:pPr>
        <w:pStyle w:val="7"/>
        <w:spacing w:before="120" w:after="120" w:line="500" w:lineRule="exact"/>
        <w:ind w:firstLine="560" w:firstLineChars="200"/>
        <w:rPr>
          <w:rFonts w:eastAsia="黑体"/>
          <w:b w:val="0"/>
          <w:color w:val="000000"/>
        </w:rPr>
      </w:pPr>
      <w:bookmarkStart w:id="842" w:name="_Toc351203543"/>
      <w:r>
        <w:rPr>
          <w:rFonts w:eastAsia="黑体"/>
          <w:b w:val="0"/>
          <w:color w:val="000000"/>
        </w:rPr>
        <w:t>7</w:t>
      </w:r>
      <w:bookmarkStart w:id="843" w:name="_Toc337558768"/>
      <w:bookmarkStart w:id="844" w:name="_Toc296346567"/>
      <w:bookmarkStart w:id="845" w:name="_Toc296503066"/>
      <w:r>
        <w:rPr>
          <w:rFonts w:eastAsia="黑体"/>
          <w:b w:val="0"/>
          <w:color w:val="000000"/>
        </w:rPr>
        <w:t>.1施工组织设计</w:t>
      </w:r>
      <w:bookmarkEnd w:id="842"/>
    </w:p>
    <w:bookmarkEnd w:id="843"/>
    <w:p w14:paraId="1D8B849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sz w:val="28"/>
          <w:szCs w:val="28"/>
        </w:rPr>
        <w:t>7.1.1</w:t>
      </w:r>
      <w:r>
        <w:rPr>
          <w:rFonts w:eastAsia="仿宋_GB2312"/>
          <w:color w:val="000000"/>
          <w:sz w:val="28"/>
          <w:szCs w:val="28"/>
        </w:rPr>
        <w:t xml:space="preserve"> </w:t>
      </w:r>
      <w:r>
        <w:rPr>
          <w:rFonts w:eastAsia="仿宋_GB2312"/>
          <w:color w:val="000000"/>
          <w:kern w:val="0"/>
          <w:sz w:val="28"/>
          <w:szCs w:val="28"/>
        </w:rPr>
        <w:t>施工组织设计的内容</w:t>
      </w:r>
    </w:p>
    <w:p w14:paraId="0C6982F9">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施工组织设计应包含以下内容：</w:t>
      </w:r>
    </w:p>
    <w:p w14:paraId="46D24B32">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 xml:space="preserve">（1）施工方案； </w:t>
      </w:r>
    </w:p>
    <w:p w14:paraId="0C9B949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（2）施工现场平面布置图；</w:t>
      </w:r>
    </w:p>
    <w:p w14:paraId="47A0D72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 xml:space="preserve">（3）施工进度计划和保证措施； </w:t>
      </w:r>
    </w:p>
    <w:p w14:paraId="006B9D29">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（4）劳动力及材料供应计划；</w:t>
      </w:r>
    </w:p>
    <w:p w14:paraId="3B78F022">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（5）施工机械设备的选用；</w:t>
      </w:r>
    </w:p>
    <w:p w14:paraId="29A111B6">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（6）质量保证体系及措施；</w:t>
      </w:r>
    </w:p>
    <w:p w14:paraId="23312B6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（7）安全生产、文明施工措施；</w:t>
      </w:r>
    </w:p>
    <w:p w14:paraId="305A5E9D">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（8）环境保护、成本控制措施</w:t>
      </w:r>
      <w:r>
        <w:rPr>
          <w:rFonts w:hint="eastAsia" w:eastAsia="仿宋_GB2312"/>
          <w:color w:val="000000"/>
          <w:kern w:val="0"/>
          <w:sz w:val="28"/>
          <w:szCs w:val="28"/>
        </w:rPr>
        <w:t>；</w:t>
      </w:r>
    </w:p>
    <w:p w14:paraId="15EC8B39">
      <w:pPr>
        <w:autoSpaceDE w:val="0"/>
        <w:autoSpaceDN w:val="0"/>
        <w:adjustRightInd w:val="0"/>
        <w:spacing w:line="500" w:lineRule="exact"/>
        <w:ind w:firstLine="560" w:firstLineChars="200"/>
        <w:jc w:val="left"/>
        <w:rPr>
          <w:rFonts w:eastAsia="仿宋_GB2312"/>
          <w:color w:val="000000"/>
          <w:kern w:val="0"/>
          <w:sz w:val="28"/>
          <w:szCs w:val="28"/>
        </w:rPr>
      </w:pPr>
      <w:r>
        <w:rPr>
          <w:rFonts w:hint="eastAsia" w:eastAsia="仿宋_GB2312"/>
          <w:color w:val="000000"/>
          <w:kern w:val="0"/>
          <w:sz w:val="28"/>
          <w:szCs w:val="28"/>
        </w:rPr>
        <w:t>（9）合同当事人约定的其他内容</w:t>
      </w:r>
      <w:r>
        <w:rPr>
          <w:rFonts w:eastAsia="仿宋_GB2312"/>
          <w:color w:val="000000"/>
          <w:kern w:val="0"/>
          <w:sz w:val="28"/>
          <w:szCs w:val="28"/>
        </w:rPr>
        <w:t>。</w:t>
      </w:r>
    </w:p>
    <w:p w14:paraId="2EA5C98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sz w:val="28"/>
          <w:szCs w:val="28"/>
        </w:rPr>
        <w:t>7.1.2</w:t>
      </w:r>
      <w:r>
        <w:rPr>
          <w:rFonts w:eastAsia="仿宋_GB2312"/>
          <w:color w:val="000000"/>
          <w:sz w:val="28"/>
          <w:szCs w:val="28"/>
        </w:rPr>
        <w:t xml:space="preserve"> </w:t>
      </w:r>
      <w:r>
        <w:rPr>
          <w:rFonts w:eastAsia="仿宋_GB2312"/>
          <w:color w:val="000000"/>
          <w:kern w:val="0"/>
          <w:sz w:val="28"/>
          <w:szCs w:val="28"/>
        </w:rPr>
        <w:t>施工组织设计的提交和修改</w:t>
      </w:r>
    </w:p>
    <w:p w14:paraId="2931D069">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除专用合同条款另有约定外，承包人应在合同签订后14天内，但至迟不得晚于第7.3.2项</w:t>
      </w:r>
      <w:r>
        <w:rPr>
          <w:rFonts w:hint="eastAsia" w:eastAsia="仿宋_GB2312"/>
          <w:color w:val="000000"/>
          <w:kern w:val="0"/>
          <w:sz w:val="28"/>
          <w:szCs w:val="28"/>
        </w:rPr>
        <w:t>〔</w:t>
      </w:r>
      <w:r>
        <w:rPr>
          <w:rFonts w:eastAsia="仿宋_GB2312"/>
          <w:color w:val="000000"/>
          <w:kern w:val="0"/>
          <w:sz w:val="28"/>
          <w:szCs w:val="28"/>
        </w:rPr>
        <w:t>开工通知</w:t>
      </w:r>
      <w:r>
        <w:rPr>
          <w:rFonts w:hint="eastAsia" w:eastAsia="仿宋_GB2312"/>
          <w:color w:val="000000"/>
          <w:kern w:val="0"/>
          <w:sz w:val="28"/>
          <w:szCs w:val="28"/>
        </w:rPr>
        <w:t>〕</w:t>
      </w:r>
      <w:r>
        <w:rPr>
          <w:rFonts w:eastAsia="仿宋_GB2312"/>
          <w:color w:val="000000"/>
          <w:kern w:val="0"/>
          <w:sz w:val="28"/>
          <w:szCs w:val="28"/>
        </w:rPr>
        <w:t>载明的开工日期前7天，向监理人提交详细的施工组织设计，并由监理人报送发包人。</w:t>
      </w:r>
      <w:r>
        <w:rPr>
          <w:rFonts w:hint="eastAsia" w:eastAsia="仿宋_GB2312"/>
          <w:color w:val="000000"/>
          <w:kern w:val="0"/>
          <w:sz w:val="28"/>
          <w:szCs w:val="28"/>
        </w:rPr>
        <w:t>除专用合同条款另有约定外，发包人和监理人应在监理人收到施工组织设计后7天内确认或提出修改意见</w:t>
      </w:r>
      <w:r>
        <w:rPr>
          <w:rFonts w:eastAsia="仿宋_GB2312"/>
          <w:color w:val="000000"/>
          <w:kern w:val="0"/>
          <w:sz w:val="28"/>
          <w:szCs w:val="28"/>
        </w:rPr>
        <w:t>。对发包人和监理人提出的合理意见和要求，承包人应自费修改完善。根据工程实际情况需要修改施工组织设计的，承包人应向发包人和监理人提交修改后的施工组织设计。</w:t>
      </w:r>
    </w:p>
    <w:p w14:paraId="771509B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施工进度计划的编制和修改按照第7.2款</w:t>
      </w:r>
      <w:r>
        <w:rPr>
          <w:rFonts w:hint="eastAsia" w:eastAsia="仿宋_GB2312"/>
          <w:color w:val="000000"/>
          <w:kern w:val="0"/>
          <w:sz w:val="28"/>
          <w:szCs w:val="28"/>
        </w:rPr>
        <w:t>〔</w:t>
      </w:r>
      <w:r>
        <w:rPr>
          <w:rFonts w:eastAsia="仿宋_GB2312"/>
          <w:color w:val="000000"/>
          <w:kern w:val="0"/>
          <w:sz w:val="28"/>
          <w:szCs w:val="28"/>
        </w:rPr>
        <w:t>施工进度计划</w:t>
      </w:r>
      <w:r>
        <w:rPr>
          <w:rFonts w:hint="eastAsia" w:eastAsia="仿宋_GB2312"/>
          <w:color w:val="000000"/>
          <w:kern w:val="0"/>
          <w:sz w:val="28"/>
          <w:szCs w:val="28"/>
        </w:rPr>
        <w:t>〕</w:t>
      </w:r>
      <w:r>
        <w:rPr>
          <w:rFonts w:eastAsia="仿宋_GB2312"/>
          <w:color w:val="000000"/>
          <w:kern w:val="0"/>
          <w:sz w:val="28"/>
          <w:szCs w:val="28"/>
        </w:rPr>
        <w:t>执行。</w:t>
      </w:r>
    </w:p>
    <w:p w14:paraId="7D2356F9">
      <w:pPr>
        <w:pStyle w:val="7"/>
        <w:spacing w:before="120" w:after="120" w:line="500" w:lineRule="exact"/>
        <w:ind w:firstLine="560" w:firstLineChars="200"/>
        <w:rPr>
          <w:rFonts w:eastAsia="黑体"/>
          <w:b w:val="0"/>
          <w:color w:val="000000"/>
        </w:rPr>
      </w:pPr>
      <w:bookmarkStart w:id="846" w:name="_Toc351203544"/>
      <w:r>
        <w:rPr>
          <w:rFonts w:eastAsia="黑体"/>
          <w:b w:val="0"/>
          <w:color w:val="000000"/>
        </w:rPr>
        <w:t>7</w:t>
      </w:r>
      <w:bookmarkStart w:id="847" w:name="_Toc337558769"/>
      <w:r>
        <w:rPr>
          <w:rFonts w:eastAsia="黑体"/>
          <w:b w:val="0"/>
          <w:color w:val="000000"/>
        </w:rPr>
        <w:t>.2 施工进度计划</w:t>
      </w:r>
      <w:bookmarkEnd w:id="846"/>
    </w:p>
    <w:bookmarkEnd w:id="847"/>
    <w:p w14:paraId="4FCC7B07">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7.2.1 施工进度计划的编制</w:t>
      </w:r>
    </w:p>
    <w:p w14:paraId="72989D06">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承包人应按照第7.1款</w:t>
      </w:r>
      <w:r>
        <w:rPr>
          <w:rFonts w:hint="eastAsia" w:eastAsia="仿宋_GB2312"/>
          <w:color w:val="000000"/>
          <w:kern w:val="0"/>
          <w:sz w:val="28"/>
          <w:szCs w:val="28"/>
        </w:rPr>
        <w:t>〔</w:t>
      </w:r>
      <w:r>
        <w:rPr>
          <w:rFonts w:eastAsia="仿宋_GB2312"/>
          <w:color w:val="000000"/>
          <w:kern w:val="0"/>
          <w:sz w:val="28"/>
          <w:szCs w:val="28"/>
        </w:rPr>
        <w:t>施工组织设计</w:t>
      </w:r>
      <w:r>
        <w:rPr>
          <w:rFonts w:hint="eastAsia" w:eastAsia="仿宋_GB2312"/>
          <w:color w:val="000000"/>
          <w:kern w:val="0"/>
          <w:sz w:val="28"/>
          <w:szCs w:val="28"/>
        </w:rPr>
        <w:t>〕</w:t>
      </w:r>
      <w:r>
        <w:rPr>
          <w:rFonts w:eastAsia="仿宋_GB2312"/>
          <w:color w:val="000000"/>
          <w:kern w:val="0"/>
          <w:sz w:val="28"/>
          <w:szCs w:val="28"/>
        </w:rPr>
        <w:t>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63CCD515">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sz w:val="28"/>
          <w:szCs w:val="28"/>
        </w:rPr>
        <w:t>7.2.2 施工进度计划的修订</w:t>
      </w:r>
    </w:p>
    <w:p w14:paraId="441761AB">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500AAB32">
      <w:pPr>
        <w:pStyle w:val="7"/>
        <w:spacing w:before="120" w:after="120" w:line="500" w:lineRule="exact"/>
        <w:ind w:firstLine="560" w:firstLineChars="200"/>
        <w:rPr>
          <w:rFonts w:eastAsia="黑体"/>
          <w:b w:val="0"/>
          <w:color w:val="000000"/>
        </w:rPr>
      </w:pPr>
      <w:bookmarkStart w:id="848" w:name="_Toc351203545"/>
      <w:r>
        <w:rPr>
          <w:rFonts w:eastAsia="黑体"/>
          <w:b w:val="0"/>
          <w:color w:val="000000"/>
        </w:rPr>
        <w:t>7</w:t>
      </w:r>
      <w:bookmarkStart w:id="849" w:name="_Toc337558770"/>
      <w:r>
        <w:rPr>
          <w:rFonts w:eastAsia="黑体"/>
          <w:b w:val="0"/>
          <w:color w:val="000000"/>
        </w:rPr>
        <w:t>.3 开工</w:t>
      </w:r>
      <w:bookmarkEnd w:id="848"/>
    </w:p>
    <w:p w14:paraId="44568158">
      <w:pPr>
        <w:spacing w:line="500" w:lineRule="exact"/>
        <w:ind w:firstLine="560" w:firstLineChars="200"/>
        <w:rPr>
          <w:rFonts w:eastAsia="仿宋_GB2312"/>
          <w:color w:val="000000"/>
          <w:sz w:val="28"/>
          <w:szCs w:val="28"/>
        </w:rPr>
      </w:pPr>
      <w:r>
        <w:rPr>
          <w:rFonts w:eastAsia="仿宋_GB2312"/>
          <w:color w:val="000000"/>
          <w:kern w:val="0"/>
          <w:sz w:val="28"/>
          <w:szCs w:val="28"/>
        </w:rPr>
        <w:t>7.3.1 开工准备</w:t>
      </w:r>
    </w:p>
    <w:p w14:paraId="45ACE130">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除专用合同条款另有约定外，承包人应按照第7.1款</w:t>
      </w:r>
      <w:r>
        <w:rPr>
          <w:rFonts w:hint="eastAsia" w:eastAsia="仿宋_GB2312"/>
          <w:color w:val="000000"/>
          <w:kern w:val="0"/>
          <w:sz w:val="28"/>
          <w:szCs w:val="28"/>
        </w:rPr>
        <w:t>〔</w:t>
      </w:r>
      <w:r>
        <w:rPr>
          <w:rFonts w:eastAsia="仿宋_GB2312"/>
          <w:color w:val="000000"/>
          <w:kern w:val="0"/>
          <w:sz w:val="28"/>
          <w:szCs w:val="28"/>
        </w:rPr>
        <w:t>施工组织设计</w:t>
      </w:r>
      <w:r>
        <w:rPr>
          <w:rFonts w:hint="eastAsia" w:eastAsia="仿宋_GB2312"/>
          <w:color w:val="000000"/>
          <w:kern w:val="0"/>
          <w:sz w:val="28"/>
          <w:szCs w:val="28"/>
        </w:rPr>
        <w:t>〕</w:t>
      </w:r>
      <w:r>
        <w:rPr>
          <w:rFonts w:eastAsia="仿宋_GB2312"/>
          <w:color w:val="000000"/>
          <w:kern w:val="0"/>
          <w:sz w:val="28"/>
          <w:szCs w:val="28"/>
        </w:rPr>
        <w:t>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1447CE93">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除专用合同条款另有约定外，合同当事人应按约定完成开工准备工作。</w:t>
      </w:r>
    </w:p>
    <w:p w14:paraId="21CC929B">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7.3.2 开工通知</w:t>
      </w:r>
    </w:p>
    <w:bookmarkEnd w:id="849"/>
    <w:p w14:paraId="4020F670">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4B9AEE05">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11AA0CA9">
      <w:pPr>
        <w:pStyle w:val="7"/>
        <w:spacing w:before="120" w:after="120" w:line="500" w:lineRule="exact"/>
        <w:ind w:firstLine="560" w:firstLineChars="200"/>
        <w:rPr>
          <w:rFonts w:eastAsia="黑体"/>
          <w:b w:val="0"/>
          <w:color w:val="000000"/>
        </w:rPr>
      </w:pPr>
      <w:bookmarkStart w:id="850" w:name="_Toc351203546"/>
      <w:r>
        <w:rPr>
          <w:rFonts w:eastAsia="黑体"/>
          <w:b w:val="0"/>
          <w:color w:val="000000"/>
        </w:rPr>
        <w:t>7.4测量放线</w:t>
      </w:r>
      <w:bookmarkEnd w:id="850"/>
    </w:p>
    <w:p w14:paraId="43B476E0">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7.4.1 除专用合同条款另有约定外，发包人应在至迟不得晚于第7.3.2项</w:t>
      </w:r>
      <w:r>
        <w:rPr>
          <w:rFonts w:hint="eastAsia" w:eastAsia="仿宋_GB2312"/>
          <w:color w:val="000000"/>
          <w:kern w:val="0"/>
          <w:sz w:val="28"/>
          <w:szCs w:val="28"/>
        </w:rPr>
        <w:t>〔</w:t>
      </w:r>
      <w:r>
        <w:rPr>
          <w:rFonts w:eastAsia="仿宋_GB2312"/>
          <w:color w:val="000000"/>
          <w:kern w:val="0"/>
          <w:sz w:val="28"/>
          <w:szCs w:val="28"/>
        </w:rPr>
        <w:t>开工通知</w:t>
      </w:r>
      <w:r>
        <w:rPr>
          <w:rFonts w:hint="eastAsia" w:eastAsia="仿宋_GB2312"/>
          <w:color w:val="000000"/>
          <w:kern w:val="0"/>
          <w:sz w:val="28"/>
          <w:szCs w:val="28"/>
        </w:rPr>
        <w:t>〕</w:t>
      </w:r>
      <w:r>
        <w:rPr>
          <w:rFonts w:eastAsia="仿宋_GB2312"/>
          <w:color w:val="000000"/>
          <w:kern w:val="0"/>
          <w:sz w:val="28"/>
          <w:szCs w:val="28"/>
        </w:rPr>
        <w:t>载明的开工日期前7天通过监理人向承包人提供测量基准点、基准线和水准点及其书面资料。发包人应对其提供的测量基准点、基准线和水准点及其书面资料的真实性、准确性和完整性负责。</w:t>
      </w:r>
    </w:p>
    <w:p w14:paraId="7D415426">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4E4641C5">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78560817">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施工过程中对施工现场内水准点等测量标志物的保护工作由承包人负责。</w:t>
      </w:r>
      <w:bookmarkStart w:id="851" w:name="_Toc351203547"/>
    </w:p>
    <w:p w14:paraId="17815F48">
      <w:pPr>
        <w:pStyle w:val="7"/>
        <w:spacing w:before="120" w:after="120" w:line="500" w:lineRule="exact"/>
        <w:ind w:firstLine="560" w:firstLineChars="200"/>
        <w:rPr>
          <w:rFonts w:eastAsia="黑体"/>
          <w:b w:val="0"/>
          <w:color w:val="000000"/>
        </w:rPr>
      </w:pPr>
      <w:r>
        <w:rPr>
          <w:rFonts w:eastAsia="黑体"/>
          <w:b w:val="0"/>
          <w:color w:val="000000"/>
        </w:rPr>
        <w:t>7</w:t>
      </w:r>
      <w:bookmarkEnd w:id="844"/>
      <w:bookmarkEnd w:id="845"/>
      <w:bookmarkStart w:id="852" w:name="_Toc337558772"/>
      <w:bookmarkStart w:id="853" w:name="_Toc296346574"/>
      <w:bookmarkStart w:id="854" w:name="_Toc296503073"/>
      <w:r>
        <w:rPr>
          <w:rFonts w:eastAsia="黑体"/>
          <w:b w:val="0"/>
          <w:color w:val="000000"/>
        </w:rPr>
        <w:t>.5</w:t>
      </w:r>
      <w:r>
        <w:rPr>
          <w:rFonts w:hint="eastAsia" w:eastAsia="黑体"/>
          <w:b w:val="0"/>
          <w:color w:val="000000"/>
        </w:rPr>
        <w:t xml:space="preserve"> </w:t>
      </w:r>
      <w:r>
        <w:rPr>
          <w:rFonts w:eastAsia="黑体"/>
          <w:b w:val="0"/>
          <w:color w:val="000000"/>
        </w:rPr>
        <w:t>工期延误</w:t>
      </w:r>
      <w:bookmarkEnd w:id="851"/>
    </w:p>
    <w:bookmarkEnd w:id="852"/>
    <w:bookmarkEnd w:id="853"/>
    <w:bookmarkEnd w:id="854"/>
    <w:p w14:paraId="5931099F">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7.5.1 因发包人原因导致工期延误</w:t>
      </w:r>
    </w:p>
    <w:p w14:paraId="494B0901">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 xml:space="preserve">在合同履行过程中，因下列情况导致工期延误和（或）费用增加的，由发包人承担由此延误的工期和（或）增加的费用，且发包人应支付承包人合理的利润： </w:t>
      </w:r>
    </w:p>
    <w:p w14:paraId="5EA548F2">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（1）发包人未能按合同约定提供图纸或所提供图纸不符合合同约定的；</w:t>
      </w:r>
    </w:p>
    <w:p w14:paraId="05EC671A">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（2）发包人未能按合同约定提供施工现场、施工条件、基础资料、许可、批准等开工条件的；</w:t>
      </w:r>
    </w:p>
    <w:p w14:paraId="593BF53C">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（3）发包人提供的测量基准点、基准线和水准点及其书面资料存在错误或疏漏的；</w:t>
      </w:r>
    </w:p>
    <w:p w14:paraId="6C3BDFC0">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（4）发包人未能在计划开工日期之日起7天内同意下达开工通知的；</w:t>
      </w:r>
    </w:p>
    <w:p w14:paraId="5003CA9A">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（5）发包人未能按合同约定日期支付工程预付款、进度款或竣工结算款的；</w:t>
      </w:r>
    </w:p>
    <w:p w14:paraId="3C80478B">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（6）监理人未按合同约定发出指示、批准等文件的；</w:t>
      </w:r>
    </w:p>
    <w:p w14:paraId="204571EB">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（7）专用合同条款中约定的其他情形。</w:t>
      </w:r>
    </w:p>
    <w:p w14:paraId="233016B8">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因发包人原因未按计划开工日期开工的，发包人应按实际开工日期顺延竣工日期，确保实际工期不低于合同约定的工期总日历天数。因发包人原因导致工期延误需要修订施工进度计划的，按照第7.2.2项</w:t>
      </w:r>
      <w:r>
        <w:rPr>
          <w:rFonts w:hint="eastAsia" w:eastAsia="仿宋_GB2312"/>
          <w:color w:val="000000"/>
          <w:kern w:val="0"/>
          <w:sz w:val="28"/>
          <w:szCs w:val="28"/>
        </w:rPr>
        <w:t>〔</w:t>
      </w:r>
      <w:r>
        <w:rPr>
          <w:rFonts w:eastAsia="仿宋_GB2312"/>
          <w:color w:val="000000"/>
          <w:kern w:val="0"/>
          <w:sz w:val="28"/>
          <w:szCs w:val="28"/>
        </w:rPr>
        <w:t>施工进度计划的修订</w:t>
      </w:r>
      <w:r>
        <w:rPr>
          <w:rFonts w:hint="eastAsia" w:eastAsia="仿宋_GB2312"/>
          <w:color w:val="000000"/>
          <w:kern w:val="0"/>
          <w:sz w:val="28"/>
          <w:szCs w:val="28"/>
        </w:rPr>
        <w:t>〕</w:t>
      </w:r>
      <w:r>
        <w:rPr>
          <w:rFonts w:eastAsia="仿宋_GB2312"/>
          <w:color w:val="000000"/>
          <w:kern w:val="0"/>
          <w:sz w:val="28"/>
          <w:szCs w:val="28"/>
        </w:rPr>
        <w:t>执行。</w:t>
      </w:r>
    </w:p>
    <w:p w14:paraId="06E45C3A">
      <w:pPr>
        <w:autoSpaceDE w:val="0"/>
        <w:autoSpaceDN w:val="0"/>
        <w:adjustRightInd w:val="0"/>
        <w:spacing w:line="500" w:lineRule="exact"/>
        <w:ind w:firstLine="560" w:firstLineChars="200"/>
        <w:jc w:val="left"/>
        <w:rPr>
          <w:rFonts w:eastAsia="仿宋_GB2312"/>
          <w:color w:val="000000"/>
          <w:sz w:val="28"/>
          <w:szCs w:val="28"/>
        </w:rPr>
      </w:pPr>
      <w:r>
        <w:rPr>
          <w:rFonts w:eastAsia="仿宋_GB2312"/>
          <w:color w:val="000000"/>
          <w:kern w:val="0"/>
          <w:sz w:val="28"/>
          <w:szCs w:val="28"/>
        </w:rPr>
        <w:t>7.5.2 因承包人原因导致工期延误</w:t>
      </w:r>
    </w:p>
    <w:p w14:paraId="01B2C636">
      <w:pPr>
        <w:autoSpaceDE w:val="0"/>
        <w:autoSpaceDN w:val="0"/>
        <w:adjustRightInd w:val="0"/>
        <w:spacing w:line="500" w:lineRule="exact"/>
        <w:ind w:firstLine="560" w:firstLineChars="200"/>
        <w:jc w:val="left"/>
        <w:rPr>
          <w:rFonts w:eastAsia="仿宋_GB2312"/>
          <w:color w:val="000000"/>
          <w:kern w:val="0"/>
          <w:sz w:val="28"/>
          <w:szCs w:val="28"/>
        </w:rPr>
      </w:pPr>
      <w:bookmarkStart w:id="855" w:name="_Toc296503076"/>
      <w:bookmarkStart w:id="856" w:name="_Toc296346577"/>
      <w:r>
        <w:rPr>
          <w:rFonts w:eastAsia="仿宋_GB2312"/>
          <w:color w:val="000000"/>
          <w:kern w:val="0"/>
          <w:sz w:val="28"/>
          <w:szCs w:val="28"/>
        </w:rPr>
        <w:t>因</w:t>
      </w:r>
      <w:bookmarkEnd w:id="855"/>
      <w:bookmarkEnd w:id="856"/>
      <w:r>
        <w:rPr>
          <w:rFonts w:eastAsia="仿宋_GB2312"/>
          <w:color w:val="000000"/>
          <w:kern w:val="0"/>
          <w:sz w:val="28"/>
          <w:szCs w:val="28"/>
        </w:rPr>
        <w:t>承包人原因造成工期延误的，可以在专用合同条款中约定逾期竣工违约金的计算方法和逾期竣工违约金的上限。承包人支付逾期竣工违约金后，不免除承包人继续完成工程及修补缺陷的义务。</w:t>
      </w:r>
    </w:p>
    <w:p w14:paraId="426AAE61">
      <w:pPr>
        <w:pStyle w:val="7"/>
        <w:spacing w:before="120" w:after="120" w:line="500" w:lineRule="exact"/>
        <w:ind w:firstLine="560" w:firstLineChars="200"/>
        <w:rPr>
          <w:rFonts w:eastAsia="黑体"/>
          <w:b w:val="0"/>
          <w:color w:val="000000"/>
        </w:rPr>
      </w:pPr>
      <w:bookmarkStart w:id="857" w:name="_Toc351203548"/>
      <w:r>
        <w:rPr>
          <w:rFonts w:eastAsia="黑体"/>
          <w:b w:val="0"/>
          <w:color w:val="000000"/>
        </w:rPr>
        <w:t>7</w:t>
      </w:r>
      <w:bookmarkStart w:id="858" w:name="_Toc296503074"/>
      <w:bookmarkStart w:id="859" w:name="_Toc296346575"/>
      <w:bookmarkStart w:id="860" w:name="_Toc337558773"/>
      <w:bookmarkStart w:id="861" w:name="_Toc296346578"/>
      <w:bookmarkStart w:id="862" w:name="_Toc296503077"/>
      <w:r>
        <w:rPr>
          <w:rFonts w:eastAsia="黑体"/>
          <w:b w:val="0"/>
          <w:color w:val="000000"/>
        </w:rPr>
        <w:t>.6 不利物质条件</w:t>
      </w:r>
      <w:bookmarkEnd w:id="857"/>
    </w:p>
    <w:bookmarkEnd w:id="858"/>
    <w:bookmarkEnd w:id="859"/>
    <w:bookmarkEnd w:id="860"/>
    <w:p w14:paraId="11B091E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3DD9895B">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w:t>
      </w:r>
      <w:r>
        <w:rPr>
          <w:rFonts w:hint="eastAsia" w:eastAsia="仿宋_GB2312"/>
          <w:color w:val="000000"/>
          <w:kern w:val="0"/>
          <w:sz w:val="28"/>
          <w:szCs w:val="28"/>
        </w:rPr>
        <w:t>〔</w:t>
      </w:r>
      <w:r>
        <w:rPr>
          <w:rFonts w:eastAsia="仿宋_GB2312"/>
          <w:color w:val="000000"/>
          <w:kern w:val="0"/>
          <w:sz w:val="28"/>
          <w:szCs w:val="28"/>
        </w:rPr>
        <w:t>变更</w:t>
      </w:r>
      <w:r>
        <w:rPr>
          <w:rFonts w:hint="eastAsia" w:eastAsia="仿宋_GB2312"/>
          <w:color w:val="000000"/>
          <w:kern w:val="0"/>
          <w:sz w:val="28"/>
          <w:szCs w:val="28"/>
        </w:rPr>
        <w:t>〕</w:t>
      </w:r>
      <w:r>
        <w:rPr>
          <w:rFonts w:eastAsia="仿宋_GB2312"/>
          <w:color w:val="000000"/>
          <w:kern w:val="0"/>
          <w:sz w:val="28"/>
          <w:szCs w:val="28"/>
        </w:rPr>
        <w:t>约定执行。承包人因采取合理措施而增加的费用和（或）延误的工期由发包人承担。</w:t>
      </w:r>
    </w:p>
    <w:p w14:paraId="5D77445E">
      <w:pPr>
        <w:pStyle w:val="7"/>
        <w:spacing w:before="120" w:after="120" w:line="500" w:lineRule="exact"/>
        <w:ind w:firstLine="560" w:firstLineChars="200"/>
        <w:rPr>
          <w:rFonts w:eastAsia="黑体"/>
          <w:b w:val="0"/>
          <w:color w:val="000000"/>
        </w:rPr>
      </w:pPr>
      <w:bookmarkStart w:id="863" w:name="_Toc351203549"/>
      <w:r>
        <w:rPr>
          <w:rFonts w:eastAsia="黑体"/>
          <w:b w:val="0"/>
          <w:color w:val="000000"/>
        </w:rPr>
        <w:t>7</w:t>
      </w:r>
      <w:bookmarkStart w:id="864" w:name="_Toc337558774"/>
      <w:bookmarkStart w:id="865" w:name="_Toc296346576"/>
      <w:bookmarkStart w:id="866" w:name="_Toc296503075"/>
      <w:r>
        <w:rPr>
          <w:rFonts w:eastAsia="黑体"/>
          <w:b w:val="0"/>
          <w:color w:val="000000"/>
        </w:rPr>
        <w:t>.7</w:t>
      </w:r>
      <w:r>
        <w:rPr>
          <w:rFonts w:hint="eastAsia" w:eastAsia="黑体"/>
          <w:b w:val="0"/>
          <w:color w:val="000000"/>
        </w:rPr>
        <w:t xml:space="preserve"> </w:t>
      </w:r>
      <w:r>
        <w:rPr>
          <w:rFonts w:eastAsia="黑体"/>
          <w:b w:val="0"/>
          <w:color w:val="000000"/>
        </w:rPr>
        <w:t>异常恶劣的气候条件</w:t>
      </w:r>
      <w:bookmarkEnd w:id="863"/>
    </w:p>
    <w:bookmarkEnd w:id="864"/>
    <w:bookmarkEnd w:id="865"/>
    <w:bookmarkEnd w:id="866"/>
    <w:p w14:paraId="4386C1F5">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23CBBEDB">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承包人应采取克服异常恶劣的气候条件的合理措施继续施工，并及时通知发包人和监理人。监理人经发包人同意后应当及时发出指示，指示构成变更的，按第10条</w:t>
      </w:r>
      <w:r>
        <w:rPr>
          <w:rFonts w:hint="eastAsia" w:eastAsia="仿宋_GB2312"/>
          <w:color w:val="000000"/>
          <w:kern w:val="0"/>
          <w:sz w:val="28"/>
          <w:szCs w:val="28"/>
        </w:rPr>
        <w:t>〔</w:t>
      </w:r>
      <w:r>
        <w:rPr>
          <w:rFonts w:eastAsia="仿宋_GB2312"/>
          <w:color w:val="000000"/>
          <w:kern w:val="0"/>
          <w:sz w:val="28"/>
          <w:szCs w:val="28"/>
        </w:rPr>
        <w:t>变更</w:t>
      </w:r>
      <w:r>
        <w:rPr>
          <w:rFonts w:hint="eastAsia" w:eastAsia="仿宋_GB2312"/>
          <w:color w:val="000000"/>
          <w:kern w:val="0"/>
          <w:sz w:val="28"/>
          <w:szCs w:val="28"/>
        </w:rPr>
        <w:t>〕</w:t>
      </w:r>
      <w:r>
        <w:rPr>
          <w:rFonts w:eastAsia="仿宋_GB2312"/>
          <w:color w:val="000000"/>
          <w:kern w:val="0"/>
          <w:sz w:val="28"/>
          <w:szCs w:val="28"/>
        </w:rPr>
        <w:t>约定办理。承包人因采取合理措施而增加的费用和（或）延误的工期由发包人承担。</w:t>
      </w:r>
      <w:bookmarkStart w:id="867" w:name="_Toc351203550"/>
    </w:p>
    <w:p w14:paraId="5A658BC8">
      <w:pPr>
        <w:autoSpaceDE w:val="0"/>
        <w:autoSpaceDN w:val="0"/>
        <w:adjustRightInd w:val="0"/>
        <w:spacing w:line="500" w:lineRule="exact"/>
        <w:ind w:firstLine="560" w:firstLineChars="200"/>
        <w:jc w:val="left"/>
        <w:outlineLvl w:val="0"/>
        <w:rPr>
          <w:rFonts w:eastAsia="黑体"/>
          <w:bCs/>
          <w:color w:val="000000"/>
          <w:sz w:val="28"/>
          <w:szCs w:val="28"/>
        </w:rPr>
      </w:pPr>
      <w:r>
        <w:rPr>
          <w:rFonts w:eastAsia="黑体"/>
          <w:bCs/>
          <w:color w:val="000000"/>
          <w:sz w:val="28"/>
          <w:szCs w:val="28"/>
        </w:rPr>
        <w:t>7</w:t>
      </w:r>
      <w:bookmarkStart w:id="868" w:name="_Toc337558775"/>
      <w:r>
        <w:rPr>
          <w:rFonts w:eastAsia="黑体"/>
          <w:bCs/>
          <w:color w:val="000000"/>
          <w:sz w:val="28"/>
          <w:szCs w:val="28"/>
        </w:rPr>
        <w:t>.8</w:t>
      </w:r>
      <w:r>
        <w:rPr>
          <w:rFonts w:hint="eastAsia" w:eastAsia="黑体"/>
          <w:bCs/>
          <w:color w:val="000000"/>
          <w:sz w:val="28"/>
          <w:szCs w:val="28"/>
        </w:rPr>
        <w:t xml:space="preserve"> </w:t>
      </w:r>
      <w:r>
        <w:rPr>
          <w:rFonts w:eastAsia="黑体"/>
          <w:bCs/>
          <w:color w:val="000000"/>
          <w:sz w:val="28"/>
          <w:szCs w:val="28"/>
        </w:rPr>
        <w:t>暂停施工</w:t>
      </w:r>
      <w:bookmarkEnd w:id="867"/>
    </w:p>
    <w:bookmarkEnd w:id="861"/>
    <w:bookmarkEnd w:id="862"/>
    <w:bookmarkEnd w:id="868"/>
    <w:p w14:paraId="04B068A7">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7.8.1发包人原因引起的暂停施工</w:t>
      </w:r>
    </w:p>
    <w:p w14:paraId="7EAB7ED8">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因发包人原因引起暂停施工的，监理人经发包人同意后，应及时下达暂停施工指示。情况紧急且监理人未及时下达暂停施工指示的，按照第</w:t>
      </w:r>
      <w:r>
        <w:rPr>
          <w:rFonts w:hint="eastAsia" w:eastAsia="仿宋_GB2312"/>
          <w:color w:val="000000"/>
          <w:kern w:val="0"/>
          <w:sz w:val="28"/>
          <w:szCs w:val="28"/>
        </w:rPr>
        <w:t xml:space="preserve">   </w:t>
      </w:r>
    </w:p>
    <w:p w14:paraId="142E1CCE">
      <w:pPr>
        <w:spacing w:line="500" w:lineRule="exact"/>
        <w:jc w:val="left"/>
        <w:rPr>
          <w:rFonts w:eastAsia="仿宋_GB2312"/>
          <w:color w:val="000000"/>
          <w:kern w:val="0"/>
          <w:sz w:val="28"/>
          <w:szCs w:val="28"/>
        </w:rPr>
      </w:pPr>
      <w:r>
        <w:rPr>
          <w:rFonts w:eastAsia="仿宋_GB2312"/>
          <w:color w:val="000000"/>
          <w:kern w:val="0"/>
          <w:sz w:val="28"/>
          <w:szCs w:val="28"/>
        </w:rPr>
        <w:t>7.8.4项</w:t>
      </w:r>
      <w:r>
        <w:rPr>
          <w:rFonts w:hint="eastAsia" w:eastAsia="仿宋_GB2312"/>
          <w:color w:val="000000"/>
          <w:kern w:val="0"/>
          <w:sz w:val="28"/>
          <w:szCs w:val="28"/>
        </w:rPr>
        <w:t>〔</w:t>
      </w:r>
      <w:r>
        <w:rPr>
          <w:rFonts w:eastAsia="仿宋_GB2312"/>
          <w:color w:val="000000"/>
          <w:kern w:val="0"/>
          <w:sz w:val="28"/>
          <w:szCs w:val="28"/>
        </w:rPr>
        <w:t>紧急情况下的暂停施工</w:t>
      </w:r>
      <w:r>
        <w:rPr>
          <w:rFonts w:hint="eastAsia" w:eastAsia="仿宋_GB2312"/>
          <w:color w:val="000000"/>
          <w:kern w:val="0"/>
          <w:sz w:val="28"/>
          <w:szCs w:val="28"/>
        </w:rPr>
        <w:t>〕</w:t>
      </w:r>
      <w:r>
        <w:rPr>
          <w:rFonts w:eastAsia="仿宋_GB2312"/>
          <w:color w:val="000000"/>
          <w:kern w:val="0"/>
          <w:sz w:val="28"/>
          <w:szCs w:val="28"/>
        </w:rPr>
        <w:t>执行。</w:t>
      </w:r>
    </w:p>
    <w:p w14:paraId="4813D9E3">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因发包人原因引起的暂停施工，发包人应承担由此增加的费用和（或）延误的工期，</w:t>
      </w:r>
      <w:r>
        <w:rPr>
          <w:rFonts w:eastAsia="仿宋_GB2312"/>
          <w:kern w:val="0"/>
          <w:sz w:val="28"/>
          <w:szCs w:val="28"/>
        </w:rPr>
        <w:t>并支付承包人</w:t>
      </w:r>
      <w:r>
        <w:rPr>
          <w:rFonts w:eastAsia="仿宋_GB2312"/>
          <w:color w:val="000000"/>
          <w:kern w:val="0"/>
          <w:sz w:val="28"/>
          <w:szCs w:val="28"/>
        </w:rPr>
        <w:t>合理的利润。</w:t>
      </w:r>
    </w:p>
    <w:p w14:paraId="3C9AA525">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7.8.2 承包人原因引起的暂停施工</w:t>
      </w:r>
    </w:p>
    <w:p w14:paraId="13BE4174">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因承包人原因引起的暂停施工，承包人应承担由此增加的费用和（或）延误的工期，且承包人在收到监理人复工指示后</w:t>
      </w:r>
      <w:r>
        <w:rPr>
          <w:rFonts w:hint="eastAsia" w:eastAsia="仿宋_GB2312"/>
          <w:color w:val="000000"/>
          <w:kern w:val="0"/>
          <w:sz w:val="28"/>
          <w:szCs w:val="28"/>
        </w:rPr>
        <w:t>84</w:t>
      </w:r>
      <w:r>
        <w:rPr>
          <w:rFonts w:eastAsia="仿宋_GB2312"/>
          <w:color w:val="000000"/>
          <w:kern w:val="0"/>
          <w:sz w:val="28"/>
          <w:szCs w:val="28"/>
        </w:rPr>
        <w:t>天内仍未复工的，视为第16.2.1项</w:t>
      </w:r>
      <w:r>
        <w:rPr>
          <w:rFonts w:hint="eastAsia" w:eastAsia="仿宋_GB2312"/>
          <w:color w:val="000000"/>
          <w:kern w:val="0"/>
          <w:sz w:val="28"/>
          <w:szCs w:val="28"/>
        </w:rPr>
        <w:t>〔</w:t>
      </w:r>
      <w:r>
        <w:rPr>
          <w:rFonts w:eastAsia="仿宋_GB2312"/>
          <w:color w:val="000000"/>
          <w:kern w:val="0"/>
          <w:sz w:val="28"/>
          <w:szCs w:val="28"/>
        </w:rPr>
        <w:t>承包人违约的情形</w:t>
      </w:r>
      <w:r>
        <w:rPr>
          <w:rFonts w:hint="eastAsia" w:eastAsia="仿宋_GB2312"/>
          <w:color w:val="000000"/>
          <w:kern w:val="0"/>
          <w:sz w:val="28"/>
          <w:szCs w:val="28"/>
        </w:rPr>
        <w:t>〕</w:t>
      </w:r>
      <w:r>
        <w:rPr>
          <w:rFonts w:eastAsia="仿宋_GB2312"/>
          <w:color w:val="000000"/>
          <w:kern w:val="0"/>
          <w:sz w:val="28"/>
          <w:szCs w:val="28"/>
        </w:rPr>
        <w:t>第（7）目约定的承包人无法继续履行合同的情形。</w:t>
      </w:r>
    </w:p>
    <w:p w14:paraId="04E1BDC9">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7.8.3 指示暂停施工</w:t>
      </w:r>
    </w:p>
    <w:p w14:paraId="633A75CD">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监理人认为有必要时，并经发包人批准后，可向承包人作出暂停施工的指示，承包人应按监理人指示暂停施工。</w:t>
      </w:r>
    </w:p>
    <w:p w14:paraId="54C612A3">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7.8.4 紧急情况下的暂停施工</w:t>
      </w:r>
    </w:p>
    <w:p w14:paraId="4DC5D6E6">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w:t>
      </w:r>
      <w:r>
        <w:rPr>
          <w:rFonts w:hint="eastAsia" w:eastAsia="仿宋_GB2312"/>
          <w:color w:val="000000"/>
          <w:kern w:val="0"/>
          <w:sz w:val="28"/>
          <w:szCs w:val="28"/>
        </w:rPr>
        <w:t>〔</w:t>
      </w:r>
      <w:r>
        <w:rPr>
          <w:rFonts w:eastAsia="仿宋_GB2312"/>
          <w:color w:val="000000"/>
          <w:kern w:val="0"/>
          <w:sz w:val="28"/>
          <w:szCs w:val="28"/>
        </w:rPr>
        <w:t>争议解决</w:t>
      </w:r>
      <w:r>
        <w:rPr>
          <w:rFonts w:hint="eastAsia" w:eastAsia="仿宋_GB2312"/>
          <w:color w:val="000000"/>
          <w:kern w:val="0"/>
          <w:sz w:val="28"/>
          <w:szCs w:val="28"/>
        </w:rPr>
        <w:t>〕</w:t>
      </w:r>
      <w:r>
        <w:rPr>
          <w:rFonts w:eastAsia="仿宋_GB2312"/>
          <w:color w:val="000000"/>
          <w:kern w:val="0"/>
          <w:sz w:val="28"/>
          <w:szCs w:val="28"/>
        </w:rPr>
        <w:t>约定处理。</w:t>
      </w:r>
    </w:p>
    <w:p w14:paraId="39D20DAC">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7.8.5 暂停施工后的复工</w:t>
      </w:r>
    </w:p>
    <w:p w14:paraId="4A634A56">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5E27B0B0">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承包人无故拖延和拒绝复工的，承包人承担由此增加的费用和（或）延误的工期；因发包人原因无法按时复工的，按照第7.5.1项</w:t>
      </w:r>
      <w:r>
        <w:rPr>
          <w:rFonts w:hint="eastAsia" w:eastAsia="仿宋_GB2312"/>
          <w:color w:val="000000"/>
          <w:kern w:val="0"/>
          <w:sz w:val="28"/>
          <w:szCs w:val="28"/>
        </w:rPr>
        <w:t>〔</w:t>
      </w:r>
      <w:r>
        <w:rPr>
          <w:rFonts w:eastAsia="仿宋_GB2312"/>
          <w:color w:val="000000"/>
          <w:kern w:val="0"/>
          <w:sz w:val="28"/>
          <w:szCs w:val="28"/>
        </w:rPr>
        <w:t>因发包人原因导致工期延误</w:t>
      </w:r>
      <w:r>
        <w:rPr>
          <w:rFonts w:hint="eastAsia" w:eastAsia="仿宋_GB2312"/>
          <w:color w:val="000000"/>
          <w:kern w:val="0"/>
          <w:sz w:val="28"/>
          <w:szCs w:val="28"/>
        </w:rPr>
        <w:t>〕</w:t>
      </w:r>
      <w:r>
        <w:rPr>
          <w:rFonts w:eastAsia="仿宋_GB2312"/>
          <w:color w:val="000000"/>
          <w:kern w:val="0"/>
          <w:sz w:val="28"/>
          <w:szCs w:val="28"/>
        </w:rPr>
        <w:t>约定办理。</w:t>
      </w:r>
    </w:p>
    <w:p w14:paraId="33B23BE9">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7.8.6 暂停施工持续56天以上</w:t>
      </w:r>
    </w:p>
    <w:p w14:paraId="57B129AB">
      <w:pPr>
        <w:spacing w:line="500" w:lineRule="exact"/>
        <w:ind w:firstLine="546" w:firstLineChars="195"/>
        <w:jc w:val="left"/>
        <w:rPr>
          <w:rFonts w:eastAsia="仿宋_GB2312"/>
          <w:color w:val="000000"/>
          <w:kern w:val="0"/>
          <w:sz w:val="28"/>
          <w:szCs w:val="28"/>
        </w:rPr>
      </w:pPr>
      <w:r>
        <w:rPr>
          <w:rFonts w:eastAsia="仿宋_GB2312"/>
          <w:color w:val="000000"/>
          <w:kern w:val="0"/>
          <w:sz w:val="28"/>
          <w:szCs w:val="28"/>
        </w:rPr>
        <w:t>监理人发出暂停施工指示后56天内未向承包人发出复工通知，除该项停工属于第7.8.2项</w:t>
      </w:r>
      <w:r>
        <w:rPr>
          <w:rFonts w:hint="eastAsia" w:eastAsia="仿宋_GB2312"/>
          <w:color w:val="000000"/>
          <w:kern w:val="0"/>
          <w:sz w:val="28"/>
          <w:szCs w:val="28"/>
        </w:rPr>
        <w:t>〔</w:t>
      </w:r>
      <w:r>
        <w:rPr>
          <w:rFonts w:eastAsia="仿宋_GB2312"/>
          <w:color w:val="000000"/>
          <w:kern w:val="0"/>
          <w:sz w:val="28"/>
          <w:szCs w:val="28"/>
        </w:rPr>
        <w:t>承包人原因引起的暂停施工</w:t>
      </w:r>
      <w:r>
        <w:rPr>
          <w:rFonts w:hint="eastAsia" w:eastAsia="仿宋_GB2312"/>
          <w:color w:val="000000"/>
          <w:kern w:val="0"/>
          <w:sz w:val="28"/>
          <w:szCs w:val="28"/>
        </w:rPr>
        <w:t>〕</w:t>
      </w:r>
      <w:r>
        <w:rPr>
          <w:rFonts w:eastAsia="仿宋_GB2312"/>
          <w:color w:val="000000"/>
          <w:kern w:val="0"/>
          <w:sz w:val="28"/>
          <w:szCs w:val="28"/>
        </w:rPr>
        <w:t>及第17条</w:t>
      </w:r>
      <w:r>
        <w:rPr>
          <w:rFonts w:hint="eastAsia" w:eastAsia="仿宋_GB2312"/>
          <w:color w:val="000000"/>
          <w:kern w:val="0"/>
          <w:sz w:val="28"/>
          <w:szCs w:val="28"/>
        </w:rPr>
        <w:t>〔</w:t>
      </w:r>
      <w:r>
        <w:rPr>
          <w:rFonts w:eastAsia="仿宋_GB2312"/>
          <w:color w:val="000000"/>
          <w:kern w:val="0"/>
          <w:sz w:val="28"/>
          <w:szCs w:val="28"/>
        </w:rPr>
        <w:t>不可抗力</w:t>
      </w:r>
      <w:r>
        <w:rPr>
          <w:rFonts w:hint="eastAsia" w:eastAsia="仿宋_GB2312"/>
          <w:color w:val="000000"/>
          <w:kern w:val="0"/>
          <w:sz w:val="28"/>
          <w:szCs w:val="28"/>
        </w:rPr>
        <w:t>〕</w:t>
      </w:r>
      <w:r>
        <w:rPr>
          <w:rFonts w:eastAsia="仿宋_GB2312"/>
          <w:color w:val="000000"/>
          <w:kern w:val="0"/>
          <w:sz w:val="28"/>
          <w:szCs w:val="28"/>
        </w:rPr>
        <w:t>约定的情形外，承包人可向发包人提交书面通知，要求发包人在收到书面通知后28天内准许已暂停施工的部分或全部工程继续施工。发包人逾期不予批准的，则承包人可以通知发包人，将工程受影响的部分视为按第10.1款</w:t>
      </w:r>
      <w:r>
        <w:rPr>
          <w:rFonts w:hint="eastAsia" w:eastAsia="仿宋_GB2312"/>
          <w:color w:val="000000"/>
          <w:kern w:val="0"/>
          <w:sz w:val="28"/>
          <w:szCs w:val="28"/>
        </w:rPr>
        <w:t>〔</w:t>
      </w:r>
      <w:r>
        <w:rPr>
          <w:rFonts w:eastAsia="仿宋_GB2312"/>
          <w:color w:val="000000"/>
          <w:kern w:val="0"/>
          <w:sz w:val="28"/>
          <w:szCs w:val="28"/>
        </w:rPr>
        <w:t>变更的范围</w:t>
      </w:r>
      <w:r>
        <w:rPr>
          <w:rFonts w:hint="eastAsia" w:eastAsia="仿宋_GB2312"/>
          <w:color w:val="000000"/>
          <w:kern w:val="0"/>
          <w:sz w:val="28"/>
          <w:szCs w:val="28"/>
        </w:rPr>
        <w:t>〕</w:t>
      </w:r>
      <w:r>
        <w:rPr>
          <w:rFonts w:eastAsia="仿宋_GB2312"/>
          <w:color w:val="000000"/>
          <w:kern w:val="0"/>
          <w:sz w:val="28"/>
          <w:szCs w:val="28"/>
        </w:rPr>
        <w:t>第（2）项的可取消工作。</w:t>
      </w:r>
    </w:p>
    <w:p w14:paraId="42985EA9">
      <w:pPr>
        <w:spacing w:line="500" w:lineRule="exact"/>
        <w:ind w:firstLine="546" w:firstLineChars="195"/>
        <w:jc w:val="left"/>
        <w:rPr>
          <w:rFonts w:eastAsia="仿宋_GB2312"/>
          <w:color w:val="000000"/>
          <w:kern w:val="0"/>
          <w:sz w:val="28"/>
          <w:szCs w:val="28"/>
        </w:rPr>
      </w:pPr>
      <w:r>
        <w:rPr>
          <w:rFonts w:eastAsia="仿宋_GB2312"/>
          <w:color w:val="000000"/>
          <w:kern w:val="0"/>
          <w:sz w:val="28"/>
          <w:szCs w:val="28"/>
        </w:rPr>
        <w:t>暂停施工持续</w:t>
      </w:r>
      <w:r>
        <w:rPr>
          <w:rFonts w:hint="eastAsia" w:eastAsia="仿宋_GB2312"/>
          <w:color w:val="000000"/>
          <w:kern w:val="0"/>
          <w:sz w:val="28"/>
          <w:szCs w:val="28"/>
        </w:rPr>
        <w:t>84</w:t>
      </w:r>
      <w:r>
        <w:rPr>
          <w:rFonts w:eastAsia="仿宋_GB2312"/>
          <w:color w:val="000000"/>
          <w:kern w:val="0"/>
          <w:sz w:val="28"/>
          <w:szCs w:val="28"/>
        </w:rPr>
        <w:t>天以上不复工的，且不属于第7.8.2项</w:t>
      </w:r>
      <w:r>
        <w:rPr>
          <w:rFonts w:hint="eastAsia" w:eastAsia="仿宋_GB2312"/>
          <w:color w:val="000000"/>
          <w:kern w:val="0"/>
          <w:sz w:val="28"/>
          <w:szCs w:val="28"/>
        </w:rPr>
        <w:t>〔</w:t>
      </w:r>
      <w:r>
        <w:rPr>
          <w:rFonts w:eastAsia="仿宋_GB2312"/>
          <w:color w:val="000000"/>
          <w:kern w:val="0"/>
          <w:sz w:val="28"/>
          <w:szCs w:val="28"/>
        </w:rPr>
        <w:t>承包人原因引起的暂停施工</w:t>
      </w:r>
      <w:r>
        <w:rPr>
          <w:rFonts w:hint="eastAsia" w:eastAsia="仿宋_GB2312"/>
          <w:color w:val="000000"/>
          <w:kern w:val="0"/>
          <w:sz w:val="28"/>
          <w:szCs w:val="28"/>
        </w:rPr>
        <w:t>〕</w:t>
      </w:r>
      <w:r>
        <w:rPr>
          <w:rFonts w:eastAsia="仿宋_GB2312"/>
          <w:color w:val="000000"/>
          <w:kern w:val="0"/>
          <w:sz w:val="28"/>
          <w:szCs w:val="28"/>
        </w:rPr>
        <w:t>及第17条</w:t>
      </w:r>
      <w:r>
        <w:rPr>
          <w:rFonts w:hint="eastAsia" w:eastAsia="仿宋_GB2312"/>
          <w:color w:val="000000"/>
          <w:kern w:val="0"/>
          <w:sz w:val="28"/>
          <w:szCs w:val="28"/>
        </w:rPr>
        <w:t>〔</w:t>
      </w:r>
      <w:r>
        <w:rPr>
          <w:rFonts w:eastAsia="仿宋_GB2312"/>
          <w:color w:val="000000"/>
          <w:kern w:val="0"/>
          <w:sz w:val="28"/>
          <w:szCs w:val="28"/>
        </w:rPr>
        <w:t>不可抗力</w:t>
      </w:r>
      <w:r>
        <w:rPr>
          <w:rFonts w:hint="eastAsia" w:eastAsia="仿宋_GB2312"/>
          <w:color w:val="000000"/>
          <w:kern w:val="0"/>
          <w:sz w:val="28"/>
          <w:szCs w:val="28"/>
        </w:rPr>
        <w:t>〕</w:t>
      </w:r>
      <w:r>
        <w:rPr>
          <w:rFonts w:eastAsia="仿宋_GB2312"/>
          <w:color w:val="000000"/>
          <w:kern w:val="0"/>
          <w:sz w:val="28"/>
          <w:szCs w:val="28"/>
        </w:rPr>
        <w:t>约定的情形，并影响到整个工程以及合同目的实现的，承包人有权提出价格调整要求，或者解除合同。解除合同的，按照第16.1.3项</w:t>
      </w:r>
      <w:r>
        <w:rPr>
          <w:rFonts w:hint="eastAsia" w:eastAsia="仿宋_GB2312"/>
          <w:color w:val="000000"/>
          <w:kern w:val="0"/>
          <w:sz w:val="28"/>
          <w:szCs w:val="28"/>
        </w:rPr>
        <w:t>〔</w:t>
      </w:r>
      <w:r>
        <w:rPr>
          <w:rFonts w:eastAsia="仿宋_GB2312"/>
          <w:color w:val="000000"/>
          <w:kern w:val="0"/>
          <w:sz w:val="28"/>
          <w:szCs w:val="28"/>
        </w:rPr>
        <w:t>因发包人违约解除合同</w:t>
      </w:r>
      <w:r>
        <w:rPr>
          <w:rFonts w:hint="eastAsia" w:eastAsia="仿宋_GB2312"/>
          <w:color w:val="000000"/>
          <w:kern w:val="0"/>
          <w:sz w:val="28"/>
          <w:szCs w:val="28"/>
        </w:rPr>
        <w:t>〕</w:t>
      </w:r>
      <w:r>
        <w:rPr>
          <w:rFonts w:eastAsia="仿宋_GB2312"/>
          <w:color w:val="000000"/>
          <w:kern w:val="0"/>
          <w:sz w:val="28"/>
          <w:szCs w:val="28"/>
        </w:rPr>
        <w:t>执行。</w:t>
      </w:r>
    </w:p>
    <w:p w14:paraId="6A74558E">
      <w:pPr>
        <w:spacing w:line="500" w:lineRule="exact"/>
        <w:ind w:left="16" w:firstLine="546" w:firstLineChars="195"/>
        <w:jc w:val="left"/>
        <w:rPr>
          <w:rFonts w:eastAsia="仿宋_GB2312"/>
          <w:color w:val="000000"/>
          <w:kern w:val="0"/>
          <w:sz w:val="28"/>
          <w:szCs w:val="28"/>
        </w:rPr>
      </w:pPr>
      <w:r>
        <w:rPr>
          <w:rFonts w:eastAsia="仿宋_GB2312"/>
          <w:color w:val="000000"/>
          <w:kern w:val="0"/>
          <w:sz w:val="28"/>
          <w:szCs w:val="28"/>
        </w:rPr>
        <w:t>7.8.7 暂停施工期间的工程照管</w:t>
      </w:r>
    </w:p>
    <w:p w14:paraId="0C031277">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暂停施工期间，承包人应负责妥善照管工程并提供安全保障，由此增加的费用由责任方承担。</w:t>
      </w:r>
    </w:p>
    <w:p w14:paraId="6CE80597">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7.8.8 暂停施工的措施</w:t>
      </w:r>
    </w:p>
    <w:p w14:paraId="1C2B720F">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暂停施工期间，发包人和承包人均应采取必要的措施确保工程质量及安全，防止因暂停施工扩大损失。</w:t>
      </w:r>
    </w:p>
    <w:p w14:paraId="49C37B32">
      <w:pPr>
        <w:pStyle w:val="7"/>
        <w:spacing w:before="120" w:after="120" w:line="500" w:lineRule="exact"/>
        <w:ind w:firstLine="560" w:firstLineChars="200"/>
        <w:rPr>
          <w:rFonts w:eastAsia="黑体"/>
          <w:b w:val="0"/>
          <w:color w:val="000000"/>
        </w:rPr>
      </w:pPr>
      <w:bookmarkStart w:id="869" w:name="_Toc351203551"/>
      <w:r>
        <w:rPr>
          <w:rFonts w:eastAsia="黑体"/>
          <w:b w:val="0"/>
          <w:color w:val="000000"/>
        </w:rPr>
        <w:t>7.9提前竣工</w:t>
      </w:r>
      <w:bookmarkEnd w:id="869"/>
    </w:p>
    <w:p w14:paraId="6B5A0D85">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w:t>
      </w:r>
      <w:r>
        <w:rPr>
          <w:rFonts w:hint="eastAsia" w:eastAsia="仿宋_GB2312"/>
          <w:color w:val="000000"/>
          <w:kern w:val="0"/>
          <w:sz w:val="28"/>
          <w:szCs w:val="28"/>
        </w:rPr>
        <w:t>承包人认为提前竣工指示无法执行的，应向监理人和发包人提出书面异议，发包人和监理人应在收到异议后7天内予以答复。任何情况下，发包人不得压缩合理工期。</w:t>
      </w:r>
    </w:p>
    <w:p w14:paraId="78C597C8">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7.9.2 发包人要求承包人提前竣工，或承包人提出提前竣工的建议能够给发包人带来效益的，合同当事人可以在专用合同条款中约定提前竣工的奖励。</w:t>
      </w:r>
    </w:p>
    <w:p w14:paraId="4F5CC639">
      <w:pPr>
        <w:pStyle w:val="6"/>
        <w:spacing w:before="120" w:after="120" w:line="500" w:lineRule="exact"/>
        <w:rPr>
          <w:rFonts w:ascii="Times New Roman" w:hAnsi="Times New Roman"/>
          <w:b w:val="0"/>
          <w:color w:val="000000"/>
        </w:rPr>
      </w:pPr>
      <w:bookmarkStart w:id="870" w:name="_Toc351203552"/>
      <w:r>
        <w:rPr>
          <w:rFonts w:ascii="Times New Roman" w:hAnsi="Times New Roman"/>
          <w:b w:val="0"/>
          <w:color w:val="000000"/>
        </w:rPr>
        <w:t>8</w:t>
      </w:r>
      <w:bookmarkStart w:id="871" w:name="_Toc296503058"/>
      <w:bookmarkStart w:id="872" w:name="_Toc296346559"/>
      <w:bookmarkStart w:id="873" w:name="_Toc337558776"/>
      <w:r>
        <w:rPr>
          <w:rFonts w:ascii="Times New Roman" w:hAnsi="Times New Roman"/>
          <w:b w:val="0"/>
          <w:color w:val="000000"/>
        </w:rPr>
        <w:t>. 材料与设备</w:t>
      </w:r>
      <w:bookmarkEnd w:id="870"/>
    </w:p>
    <w:bookmarkEnd w:id="871"/>
    <w:bookmarkEnd w:id="872"/>
    <w:bookmarkEnd w:id="873"/>
    <w:p w14:paraId="352D4835">
      <w:pPr>
        <w:pStyle w:val="7"/>
        <w:spacing w:before="120" w:after="120" w:line="500" w:lineRule="exact"/>
        <w:ind w:firstLine="560" w:firstLineChars="200"/>
        <w:rPr>
          <w:rFonts w:eastAsia="黑体"/>
          <w:b w:val="0"/>
          <w:color w:val="000000"/>
        </w:rPr>
      </w:pPr>
      <w:bookmarkStart w:id="874" w:name="_Toc351203553"/>
      <w:r>
        <w:rPr>
          <w:rFonts w:eastAsia="黑体"/>
          <w:b w:val="0"/>
          <w:color w:val="000000"/>
        </w:rPr>
        <w:t>8</w:t>
      </w:r>
      <w:bookmarkStart w:id="875" w:name="_Toc337558777"/>
      <w:bookmarkStart w:id="876" w:name="_Toc296503059"/>
      <w:bookmarkStart w:id="877" w:name="_Toc296346560"/>
      <w:bookmarkStart w:id="878" w:name="_Toc468936960"/>
      <w:r>
        <w:rPr>
          <w:rFonts w:eastAsia="黑体"/>
          <w:b w:val="0"/>
          <w:color w:val="000000"/>
        </w:rPr>
        <w:t>.1发包人供应材料与工程设备</w:t>
      </w:r>
      <w:bookmarkEnd w:id="874"/>
    </w:p>
    <w:bookmarkEnd w:id="875"/>
    <w:bookmarkEnd w:id="876"/>
    <w:bookmarkEnd w:id="877"/>
    <w:p w14:paraId="2537E86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发包人自行供应材料、工程设备的，应在签订合同时在专用合同条款的附件《发包人供应材料设备一览表》中明确材料、工程设备的品种、规格、型号、数量、单价、质量等级和送达地点。</w:t>
      </w:r>
    </w:p>
    <w:p w14:paraId="6CDAA3E2">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承包人应提前30天通过监理人以书面形式通知发包人供应材料与工程设备进场。承包人按照第7.2.2项</w:t>
      </w:r>
      <w:r>
        <w:rPr>
          <w:rFonts w:hint="eastAsia" w:eastAsia="仿宋_GB2312"/>
          <w:color w:val="000000"/>
          <w:kern w:val="0"/>
          <w:sz w:val="28"/>
          <w:szCs w:val="28"/>
        </w:rPr>
        <w:t>〔</w:t>
      </w:r>
      <w:r>
        <w:rPr>
          <w:rFonts w:eastAsia="仿宋_GB2312"/>
          <w:color w:val="000000"/>
          <w:kern w:val="0"/>
          <w:sz w:val="28"/>
          <w:szCs w:val="28"/>
        </w:rPr>
        <w:t>施工进度计划的修订</w:t>
      </w:r>
      <w:r>
        <w:rPr>
          <w:rFonts w:hint="eastAsia" w:eastAsia="仿宋_GB2312"/>
          <w:color w:val="000000"/>
          <w:kern w:val="0"/>
          <w:sz w:val="28"/>
          <w:szCs w:val="28"/>
        </w:rPr>
        <w:t>〕</w:t>
      </w:r>
      <w:r>
        <w:rPr>
          <w:rFonts w:eastAsia="仿宋_GB2312"/>
          <w:color w:val="000000"/>
          <w:kern w:val="0"/>
          <w:sz w:val="28"/>
          <w:szCs w:val="28"/>
        </w:rPr>
        <w:t>约定修订施工进度计划时，需同时提交经修订后的发包人供应材料与工程设备的进场计划。</w:t>
      </w:r>
    </w:p>
    <w:p w14:paraId="1ACDFC5B">
      <w:pPr>
        <w:pStyle w:val="7"/>
        <w:spacing w:before="120" w:after="120" w:line="500" w:lineRule="exact"/>
        <w:ind w:firstLine="560" w:firstLineChars="200"/>
        <w:rPr>
          <w:rFonts w:eastAsia="仿宋_GB2312"/>
          <w:color w:val="000000"/>
        </w:rPr>
      </w:pPr>
      <w:bookmarkStart w:id="879" w:name="_Toc351203554"/>
      <w:r>
        <w:rPr>
          <w:rFonts w:eastAsia="黑体"/>
          <w:b w:val="0"/>
          <w:color w:val="000000"/>
        </w:rPr>
        <w:t>8</w:t>
      </w:r>
      <w:bookmarkStart w:id="880" w:name="_Toc337558778"/>
      <w:bookmarkStart w:id="881" w:name="_Toc296503060"/>
      <w:bookmarkStart w:id="882" w:name="_Toc296346561"/>
      <w:r>
        <w:rPr>
          <w:rFonts w:eastAsia="黑体"/>
          <w:b w:val="0"/>
          <w:color w:val="000000"/>
        </w:rPr>
        <w:t>.2承包人采购材料与工程设备</w:t>
      </w:r>
      <w:bookmarkEnd w:id="879"/>
    </w:p>
    <w:bookmarkEnd w:id="880"/>
    <w:bookmarkEnd w:id="881"/>
    <w:bookmarkEnd w:id="882"/>
    <w:p w14:paraId="6B56EE39">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w:t>
      </w:r>
      <w:r>
        <w:rPr>
          <w:rFonts w:hint="eastAsia" w:eastAsia="仿宋_GB2312"/>
          <w:color w:val="000000"/>
          <w:kern w:val="0"/>
          <w:sz w:val="28"/>
          <w:szCs w:val="28"/>
        </w:rPr>
        <w:t>相应责任</w:t>
      </w:r>
      <w:r>
        <w:rPr>
          <w:rFonts w:eastAsia="仿宋_GB2312"/>
          <w:color w:val="000000"/>
          <w:kern w:val="0"/>
          <w:sz w:val="28"/>
          <w:szCs w:val="28"/>
        </w:rPr>
        <w:t>。</w:t>
      </w:r>
    </w:p>
    <w:p w14:paraId="00FDDF45">
      <w:pPr>
        <w:pStyle w:val="7"/>
        <w:spacing w:before="120" w:after="120" w:line="500" w:lineRule="exact"/>
        <w:ind w:firstLine="560" w:firstLineChars="200"/>
        <w:rPr>
          <w:rFonts w:eastAsia="黑体"/>
          <w:b w:val="0"/>
          <w:color w:val="000000"/>
        </w:rPr>
      </w:pPr>
      <w:bookmarkStart w:id="883" w:name="_Toc351203555"/>
      <w:r>
        <w:rPr>
          <w:rFonts w:eastAsia="黑体"/>
          <w:b w:val="0"/>
          <w:color w:val="000000"/>
        </w:rPr>
        <w:t>8</w:t>
      </w:r>
      <w:bookmarkStart w:id="884" w:name="_Toc296346562"/>
      <w:bookmarkStart w:id="885" w:name="_Toc296503061"/>
      <w:bookmarkStart w:id="886" w:name="_Toc337558779"/>
      <w:r>
        <w:rPr>
          <w:rFonts w:eastAsia="黑体"/>
          <w:b w:val="0"/>
          <w:color w:val="000000"/>
        </w:rPr>
        <w:t>.3材料与工程设备的接收与拒收</w:t>
      </w:r>
      <w:bookmarkEnd w:id="883"/>
    </w:p>
    <w:bookmarkEnd w:id="884"/>
    <w:bookmarkEnd w:id="885"/>
    <w:bookmarkEnd w:id="886"/>
    <w:p w14:paraId="266B1689">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754C4FA6">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发包人提供的材料和工程设备的规格、数量或质量不符合合同约定的，或因发包人原因导致交货日期延误或交货地点变更等情况的，按照第16.1款</w:t>
      </w:r>
      <w:r>
        <w:rPr>
          <w:rFonts w:hint="eastAsia" w:eastAsia="仿宋_GB2312"/>
          <w:color w:val="000000"/>
          <w:kern w:val="0"/>
          <w:sz w:val="28"/>
          <w:szCs w:val="28"/>
        </w:rPr>
        <w:t>〔</w:t>
      </w:r>
      <w:r>
        <w:rPr>
          <w:rFonts w:eastAsia="仿宋_GB2312"/>
          <w:color w:val="000000"/>
          <w:kern w:val="0"/>
          <w:sz w:val="28"/>
          <w:szCs w:val="28"/>
        </w:rPr>
        <w:t>发包人违约</w:t>
      </w:r>
      <w:r>
        <w:rPr>
          <w:rFonts w:hint="eastAsia" w:eastAsia="仿宋_GB2312"/>
          <w:color w:val="000000"/>
          <w:kern w:val="0"/>
          <w:sz w:val="28"/>
          <w:szCs w:val="28"/>
        </w:rPr>
        <w:t>〕</w:t>
      </w:r>
      <w:r>
        <w:rPr>
          <w:rFonts w:eastAsia="仿宋_GB2312"/>
          <w:color w:val="000000"/>
          <w:kern w:val="0"/>
          <w:sz w:val="28"/>
          <w:szCs w:val="28"/>
        </w:rPr>
        <w:t>约定办理。</w:t>
      </w:r>
    </w:p>
    <w:p w14:paraId="0B987C65">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8.3.2 承包人采购的材料和工程设备，应保证产品质量合格，承包人应在材料和工程设备到货前24小时通知监理人检验。承</w:t>
      </w:r>
      <w:bookmarkStart w:id="887" w:name="_Toc250655469"/>
      <w:r>
        <w:rPr>
          <w:rFonts w:eastAsia="仿宋_GB2312"/>
          <w:color w:val="000000"/>
          <w:kern w:val="0"/>
          <w:sz w:val="28"/>
          <w:szCs w:val="28"/>
        </w:rPr>
        <w:t>包人进行永久设备、材料的制造和生产的，应符合相关质量标准，并向监理人提交材料的样本以及有关资料，并应在使用该材料或工程设备之前获得监理人同意。</w:t>
      </w:r>
    </w:p>
    <w:bookmarkEnd w:id="887"/>
    <w:p w14:paraId="73E8EBE8">
      <w:pPr>
        <w:autoSpaceDE w:val="0"/>
        <w:autoSpaceDN w:val="0"/>
        <w:adjustRightInd w:val="0"/>
        <w:spacing w:line="500" w:lineRule="exact"/>
        <w:ind w:firstLine="420" w:firstLineChars="150"/>
        <w:jc w:val="left"/>
        <w:rPr>
          <w:rFonts w:eastAsia="仿宋_GB2312"/>
          <w:color w:val="000000"/>
          <w:kern w:val="0"/>
          <w:sz w:val="28"/>
          <w:szCs w:val="28"/>
        </w:rPr>
      </w:pPr>
      <w:r>
        <w:rPr>
          <w:rFonts w:eastAsia="仿宋_GB2312"/>
          <w:color w:val="000000"/>
          <w:kern w:val="0"/>
          <w:sz w:val="28"/>
          <w:szCs w:val="28"/>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49AF0C7B">
      <w:pPr>
        <w:pStyle w:val="7"/>
        <w:spacing w:before="120" w:after="120" w:line="500" w:lineRule="exact"/>
        <w:ind w:firstLine="560" w:firstLineChars="200"/>
        <w:rPr>
          <w:rFonts w:eastAsia="黑体"/>
          <w:b w:val="0"/>
          <w:color w:val="000000"/>
        </w:rPr>
      </w:pPr>
      <w:bookmarkStart w:id="888" w:name="_Toc351203556"/>
      <w:r>
        <w:rPr>
          <w:rFonts w:eastAsia="黑体"/>
          <w:b w:val="0"/>
          <w:color w:val="000000"/>
        </w:rPr>
        <w:t>8</w:t>
      </w:r>
      <w:bookmarkStart w:id="889" w:name="_Toc296503062"/>
      <w:bookmarkStart w:id="890" w:name="_Toc337558780"/>
      <w:bookmarkStart w:id="891" w:name="_Toc296346563"/>
      <w:r>
        <w:rPr>
          <w:rFonts w:eastAsia="黑体"/>
          <w:b w:val="0"/>
          <w:color w:val="000000"/>
        </w:rPr>
        <w:t>.4材料与工程设备的保管与使用</w:t>
      </w:r>
      <w:bookmarkEnd w:id="888"/>
    </w:p>
    <w:bookmarkEnd w:id="889"/>
    <w:bookmarkEnd w:id="890"/>
    <w:bookmarkEnd w:id="891"/>
    <w:p w14:paraId="5B7EA56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8.4.1 发包人供应</w:t>
      </w:r>
      <w:r>
        <w:rPr>
          <w:rFonts w:eastAsia="仿宋_GB2312"/>
          <w:color w:val="000000"/>
          <w:sz w:val="28"/>
          <w:szCs w:val="28"/>
        </w:rPr>
        <w:t>材料与</w:t>
      </w:r>
      <w:r>
        <w:rPr>
          <w:rFonts w:eastAsia="仿宋_GB2312"/>
          <w:color w:val="000000"/>
          <w:kern w:val="0"/>
          <w:sz w:val="28"/>
          <w:szCs w:val="28"/>
        </w:rPr>
        <w:t>工程</w:t>
      </w:r>
      <w:r>
        <w:rPr>
          <w:rFonts w:eastAsia="仿宋_GB2312"/>
          <w:color w:val="000000"/>
          <w:sz w:val="28"/>
          <w:szCs w:val="28"/>
        </w:rPr>
        <w:t>设备的保管与使用</w:t>
      </w:r>
    </w:p>
    <w:p w14:paraId="249CF8CD">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35019EC6">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发包人供应的材料和工程设备使用前，由承包人负责检验，检验费用由发包人承担，不合格的不得使用。</w:t>
      </w:r>
    </w:p>
    <w:p w14:paraId="1A34E4A7">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8.4.2 承包人采购</w:t>
      </w:r>
      <w:r>
        <w:rPr>
          <w:rFonts w:eastAsia="仿宋_GB2312"/>
          <w:color w:val="000000"/>
          <w:sz w:val="28"/>
          <w:szCs w:val="28"/>
        </w:rPr>
        <w:t>材料与</w:t>
      </w:r>
      <w:r>
        <w:rPr>
          <w:rFonts w:eastAsia="仿宋_GB2312"/>
          <w:color w:val="000000"/>
          <w:kern w:val="0"/>
          <w:sz w:val="28"/>
          <w:szCs w:val="28"/>
        </w:rPr>
        <w:t>工程</w:t>
      </w:r>
      <w:r>
        <w:rPr>
          <w:rFonts w:eastAsia="仿宋_GB2312"/>
          <w:color w:val="000000"/>
          <w:sz w:val="28"/>
          <w:szCs w:val="28"/>
        </w:rPr>
        <w:t>设备的保管与使用</w:t>
      </w:r>
    </w:p>
    <w:p w14:paraId="7A34A285">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504BCFF0">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发包人或监理人发现承包人使用不符合设计或有关标准要求的材料和工程设备时，有权要求承包人进行修复、拆除或重新采购，由此增加的费用和（或）延误的工期，由承包人承担。</w:t>
      </w:r>
    </w:p>
    <w:p w14:paraId="0774FB57">
      <w:pPr>
        <w:pStyle w:val="7"/>
        <w:spacing w:before="120" w:after="120" w:line="500" w:lineRule="exact"/>
        <w:ind w:firstLine="560" w:firstLineChars="200"/>
        <w:rPr>
          <w:rFonts w:eastAsia="黑体"/>
          <w:b w:val="0"/>
          <w:color w:val="000000"/>
        </w:rPr>
      </w:pPr>
      <w:bookmarkStart w:id="892" w:name="_Toc351203557"/>
      <w:r>
        <w:rPr>
          <w:rFonts w:eastAsia="黑体"/>
          <w:b w:val="0"/>
          <w:color w:val="000000"/>
        </w:rPr>
        <w:t>8.5禁止使用不合格的材料和工程设备</w:t>
      </w:r>
      <w:bookmarkEnd w:id="892"/>
    </w:p>
    <w:p w14:paraId="2DDAE138">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8.5.1 监理人有权拒绝承包人提供的不合格材料或工程设备，并要求承包人立即进行更换。监理人应在更换后再次进行检查和检验，由此增加的费用和（或）延误的工期由承包人承担。</w:t>
      </w:r>
    </w:p>
    <w:p w14:paraId="40FEE60E">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8.5.2 监理人发现承包人使用了不合格的材料和工程设备，承包人应按照监理人的指示立即改正，并禁止在工程中继续使用不合格的材料和工程设备。</w:t>
      </w:r>
    </w:p>
    <w:p w14:paraId="0DCC7038">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8.5.3 发包人提供的材料或工程设备不符合合同要求的，承包人有权拒绝，并可要求发包人更换，由此增加的费用和（或）延误的工期由发包人承担</w:t>
      </w:r>
      <w:r>
        <w:rPr>
          <w:rFonts w:hint="eastAsia" w:eastAsia="仿宋_GB2312"/>
          <w:color w:val="000000"/>
          <w:kern w:val="0"/>
          <w:sz w:val="28"/>
          <w:szCs w:val="28"/>
        </w:rPr>
        <w:t>，并支付承包人合理的利润</w:t>
      </w:r>
      <w:r>
        <w:rPr>
          <w:rFonts w:eastAsia="仿宋_GB2312"/>
          <w:color w:val="000000"/>
          <w:kern w:val="0"/>
          <w:sz w:val="28"/>
          <w:szCs w:val="28"/>
        </w:rPr>
        <w:t>。</w:t>
      </w:r>
    </w:p>
    <w:p w14:paraId="76F9D29B">
      <w:pPr>
        <w:pStyle w:val="7"/>
        <w:spacing w:before="120" w:after="120" w:line="500" w:lineRule="exact"/>
        <w:ind w:firstLine="560" w:firstLineChars="200"/>
        <w:rPr>
          <w:rFonts w:eastAsia="黑体"/>
          <w:b w:val="0"/>
          <w:color w:val="000000"/>
        </w:rPr>
      </w:pPr>
      <w:bookmarkStart w:id="893" w:name="_Toc351203558"/>
      <w:r>
        <w:rPr>
          <w:rFonts w:eastAsia="黑体"/>
          <w:b w:val="0"/>
          <w:color w:val="000000"/>
        </w:rPr>
        <w:t>8.6 样品</w:t>
      </w:r>
      <w:bookmarkEnd w:id="893"/>
    </w:p>
    <w:p w14:paraId="69118256">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8.6.1</w:t>
      </w:r>
      <w:r>
        <w:rPr>
          <w:rFonts w:eastAsia="仿宋_GB2312"/>
          <w:color w:val="000000"/>
          <w:kern w:val="0"/>
          <w:sz w:val="28"/>
          <w:szCs w:val="28"/>
        </w:rPr>
        <w:tab/>
      </w:r>
      <w:r>
        <w:rPr>
          <w:rFonts w:eastAsia="仿宋_GB2312"/>
          <w:color w:val="000000"/>
          <w:kern w:val="0"/>
          <w:sz w:val="28"/>
          <w:szCs w:val="28"/>
        </w:rPr>
        <w:t>样品的报送</w:t>
      </w:r>
      <w:r>
        <w:rPr>
          <w:rFonts w:hint="eastAsia" w:eastAsia="仿宋_GB2312"/>
          <w:color w:val="000000"/>
          <w:kern w:val="0"/>
          <w:sz w:val="28"/>
          <w:szCs w:val="28"/>
        </w:rPr>
        <w:t>与封存</w:t>
      </w:r>
    </w:p>
    <w:p w14:paraId="5FC20B29">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需要承包人报送样品的材料或工程设备，样品的种类、名称、规格、数量等要求均应在专用合同条款中约定。样品的报送程序如下：</w:t>
      </w:r>
    </w:p>
    <w:p w14:paraId="32330FA5">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6BEBE80F">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54326D5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（3）经发包人和监理人审批确认的样品</w:t>
      </w:r>
      <w:r>
        <w:rPr>
          <w:rFonts w:hint="eastAsia" w:eastAsia="仿宋_GB2312"/>
          <w:color w:val="000000"/>
          <w:kern w:val="0"/>
          <w:sz w:val="28"/>
          <w:szCs w:val="28"/>
        </w:rPr>
        <w:t>应按约定的方法封样，封存的样品</w:t>
      </w:r>
      <w:r>
        <w:rPr>
          <w:rFonts w:eastAsia="仿宋_GB2312"/>
          <w:color w:val="000000"/>
          <w:kern w:val="0"/>
          <w:sz w:val="28"/>
          <w:szCs w:val="28"/>
        </w:rPr>
        <w:t>作为检验工程相关部分的标准之一。承包人在施工过程中不得使用与样品不符的材料或工程设备。</w:t>
      </w:r>
    </w:p>
    <w:p w14:paraId="2D99F0B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（4）发包人和监理人对样品的审批确认仅为确认相关材料或工程设备的特征或用途，不得被理解为对合同的修改或改变，也并不减轻或免除承包人任何的责任和义务。</w:t>
      </w:r>
      <w:r>
        <w:rPr>
          <w:rFonts w:hint="eastAsia" w:eastAsia="仿宋_GB2312"/>
          <w:color w:val="000000"/>
          <w:kern w:val="0"/>
          <w:sz w:val="28"/>
          <w:szCs w:val="28"/>
        </w:rPr>
        <w:t>如果封存的样品修改或改变了合同约定，合同当事人应当以书面协议予以确认。</w:t>
      </w:r>
    </w:p>
    <w:p w14:paraId="05B52A60">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8.6.2 样品的保管</w:t>
      </w:r>
    </w:p>
    <w:p w14:paraId="122762B2">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经批准的样品应由监理人负责封存于现场，承包人应在现场为保存样品提供适当和固定的场所并保持适当和良好的存储环境条件。</w:t>
      </w:r>
    </w:p>
    <w:p w14:paraId="0C01F486">
      <w:pPr>
        <w:pStyle w:val="7"/>
        <w:spacing w:before="120" w:after="120" w:line="500" w:lineRule="exact"/>
        <w:ind w:firstLine="560" w:firstLineChars="200"/>
        <w:rPr>
          <w:rFonts w:eastAsia="黑体"/>
          <w:b w:val="0"/>
          <w:color w:val="000000"/>
        </w:rPr>
      </w:pPr>
      <w:bookmarkStart w:id="894" w:name="_Toc351203559"/>
      <w:r>
        <w:rPr>
          <w:rFonts w:eastAsia="黑体"/>
          <w:b w:val="0"/>
          <w:color w:val="000000"/>
        </w:rPr>
        <w:t>8.7材料与工程设备的替代</w:t>
      </w:r>
      <w:bookmarkEnd w:id="894"/>
    </w:p>
    <w:p w14:paraId="420E7273">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8.7.1 出现下列情况需要使用替代材料和工程设备的，承包人应按照第8.7.2项约定的程序执行：</w:t>
      </w:r>
    </w:p>
    <w:p w14:paraId="3F498157">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（1）基准日</w:t>
      </w:r>
      <w:r>
        <w:rPr>
          <w:rFonts w:hint="eastAsia" w:eastAsia="仿宋_GB2312"/>
          <w:color w:val="000000"/>
          <w:kern w:val="0"/>
          <w:sz w:val="28"/>
          <w:szCs w:val="28"/>
        </w:rPr>
        <w:t>期</w:t>
      </w:r>
      <w:r>
        <w:rPr>
          <w:rFonts w:eastAsia="仿宋_GB2312"/>
          <w:color w:val="000000"/>
          <w:kern w:val="0"/>
          <w:sz w:val="28"/>
          <w:szCs w:val="28"/>
        </w:rPr>
        <w:t>后生效的法律规定禁止使用的；</w:t>
      </w:r>
    </w:p>
    <w:p w14:paraId="01F3BF1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（2）发包人要求使用替代品的；</w:t>
      </w:r>
    </w:p>
    <w:p w14:paraId="7EF6E969">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（3）因其他原因必须使用替代品的。</w:t>
      </w:r>
    </w:p>
    <w:p w14:paraId="61655E5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8.7.2 承包人应在使用替代材料和工程设备28天前书面通知监理人，并附下列文件：</w:t>
      </w:r>
    </w:p>
    <w:p w14:paraId="08E1812F">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（1）被替代的材料和工程设备的名称、数量、规格、型号、品牌、性能、价格及其他相关资料；</w:t>
      </w:r>
    </w:p>
    <w:p w14:paraId="4E259D6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（2）替代品的名称、数量、规格、型号、品牌、性能、价格及其他相关资料；</w:t>
      </w:r>
    </w:p>
    <w:p w14:paraId="14151EA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（3）替代品与被替代产品之间的差异以及使用替代品可能对工程产生的影响；</w:t>
      </w:r>
    </w:p>
    <w:p w14:paraId="09461ED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（4）替代品与被替代产品的价格差异；</w:t>
      </w:r>
    </w:p>
    <w:p w14:paraId="621A426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（5）使用替代品的理由和原因说明；</w:t>
      </w:r>
    </w:p>
    <w:p w14:paraId="2473100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（6）监理人要求的其他文件。</w:t>
      </w:r>
    </w:p>
    <w:p w14:paraId="6D3B0B33">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监理人应在收到通知后14天内向承包人发出经发包人签认的书面指示；监理人逾期发出书面指示的，视为发包人和监理人同意使用替代品。</w:t>
      </w:r>
    </w:p>
    <w:p w14:paraId="0D298CE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8.7.3 发包人认可使用替代材料和工程设备的，替代材料和工程设备的价格，按照已标价工程量清单或预算书相同项目的价格认定；无相同项目的，参考相似项目价格认定；</w:t>
      </w:r>
      <w:r>
        <w:rPr>
          <w:rFonts w:hint="eastAsia" w:eastAsia="仿宋_GB2312"/>
          <w:color w:val="000000"/>
          <w:kern w:val="0"/>
          <w:sz w:val="28"/>
          <w:szCs w:val="28"/>
        </w:rPr>
        <w:t>既无</w:t>
      </w:r>
      <w:r>
        <w:rPr>
          <w:rFonts w:eastAsia="仿宋_GB2312"/>
          <w:color w:val="000000"/>
          <w:kern w:val="0"/>
          <w:sz w:val="28"/>
          <w:szCs w:val="28"/>
        </w:rPr>
        <w:t>相同项目</w:t>
      </w:r>
      <w:r>
        <w:rPr>
          <w:rFonts w:hint="eastAsia" w:eastAsia="仿宋_GB2312"/>
          <w:color w:val="000000"/>
          <w:kern w:val="0"/>
          <w:sz w:val="28"/>
          <w:szCs w:val="28"/>
        </w:rPr>
        <w:t>也</w:t>
      </w:r>
      <w:r>
        <w:rPr>
          <w:rFonts w:eastAsia="仿宋_GB2312"/>
          <w:color w:val="000000"/>
          <w:kern w:val="0"/>
          <w:sz w:val="28"/>
          <w:szCs w:val="28"/>
        </w:rPr>
        <w:t>无相似项目的，</w:t>
      </w:r>
      <w:r>
        <w:rPr>
          <w:rFonts w:hint="eastAsia" w:eastAsia="仿宋_GB2312"/>
          <w:color w:val="000000"/>
          <w:kern w:val="0"/>
          <w:sz w:val="28"/>
          <w:szCs w:val="28"/>
        </w:rPr>
        <w:t>按照合理的成本与利润构成的原则，</w:t>
      </w:r>
      <w:r>
        <w:rPr>
          <w:rFonts w:eastAsia="仿宋_GB2312"/>
          <w:color w:val="000000"/>
          <w:kern w:val="0"/>
          <w:sz w:val="28"/>
          <w:szCs w:val="28"/>
        </w:rPr>
        <w:t>由合同当事人按照第4.4款</w:t>
      </w:r>
      <w:r>
        <w:rPr>
          <w:rFonts w:hint="eastAsia" w:eastAsia="仿宋_GB2312"/>
          <w:color w:val="000000"/>
          <w:kern w:val="0"/>
          <w:sz w:val="28"/>
          <w:szCs w:val="28"/>
        </w:rPr>
        <w:t>〔</w:t>
      </w:r>
      <w:r>
        <w:rPr>
          <w:rFonts w:eastAsia="仿宋_GB2312"/>
          <w:color w:val="000000"/>
          <w:kern w:val="0"/>
          <w:sz w:val="28"/>
          <w:szCs w:val="28"/>
        </w:rPr>
        <w:t>商定或确定</w:t>
      </w:r>
      <w:r>
        <w:rPr>
          <w:rFonts w:hint="eastAsia" w:eastAsia="仿宋_GB2312"/>
          <w:color w:val="000000"/>
          <w:kern w:val="0"/>
          <w:sz w:val="28"/>
          <w:szCs w:val="28"/>
        </w:rPr>
        <w:t>〕</w:t>
      </w:r>
      <w:r>
        <w:rPr>
          <w:rFonts w:eastAsia="仿宋_GB2312"/>
          <w:color w:val="000000"/>
          <w:kern w:val="0"/>
          <w:sz w:val="28"/>
          <w:szCs w:val="28"/>
        </w:rPr>
        <w:t>确定价格。</w:t>
      </w:r>
    </w:p>
    <w:p w14:paraId="0E0E5634">
      <w:pPr>
        <w:pStyle w:val="7"/>
        <w:spacing w:before="120" w:after="120" w:line="500" w:lineRule="exact"/>
        <w:ind w:firstLine="560" w:firstLineChars="200"/>
        <w:rPr>
          <w:rFonts w:eastAsia="黑体"/>
          <w:b w:val="0"/>
          <w:color w:val="000000"/>
        </w:rPr>
      </w:pPr>
      <w:bookmarkStart w:id="895" w:name="_Toc351203560"/>
      <w:r>
        <w:rPr>
          <w:rFonts w:eastAsia="黑体"/>
          <w:b w:val="0"/>
          <w:color w:val="000000"/>
        </w:rPr>
        <w:t>8.8施工设备和临时设施</w:t>
      </w:r>
      <w:bookmarkEnd w:id="895"/>
    </w:p>
    <w:p w14:paraId="570DC0C9">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8.8.1 承包人提供的施工设备和临时设施</w:t>
      </w:r>
    </w:p>
    <w:p w14:paraId="45A9CC3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承包人应按合同进度计划的要求，及时配置施工设备和修建临时设施。进入施工场地的承包人设备需经监理人核查后才能投入使用。承包人更换合同约定的承包人设备的，应报监理人批准。</w:t>
      </w:r>
    </w:p>
    <w:p w14:paraId="1E0B403B">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除专用合同条款另有约定外，承包人应自行承担修建临时设施的费用，需要临时占地的，应由发包人办理申请手续并承担相应费用。</w:t>
      </w:r>
    </w:p>
    <w:p w14:paraId="30ABD567">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8.8.2发包人提供的施工设备和临时设施</w:t>
      </w:r>
    </w:p>
    <w:p w14:paraId="4B268C36">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发包人提供的施工设备或临时设施在专用合同条款中约定。</w:t>
      </w:r>
    </w:p>
    <w:p w14:paraId="20DDCB83">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8.8.3要求承包人增加或更换施工设备</w:t>
      </w:r>
    </w:p>
    <w:p w14:paraId="77D51689">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承包人使用的施工设备不能满足合同进度计划和（或）质量要求时，监理人有权要求承包人增加或更换施工设备，承包人应及时增加或更换，由此增加的费用和（或）延误的工期由承包人承担。</w:t>
      </w:r>
    </w:p>
    <w:p w14:paraId="44CE7D94">
      <w:pPr>
        <w:pStyle w:val="7"/>
        <w:spacing w:before="120" w:after="120" w:line="500" w:lineRule="exact"/>
        <w:ind w:firstLine="560" w:firstLineChars="200"/>
        <w:rPr>
          <w:rFonts w:eastAsia="黑体"/>
          <w:b w:val="0"/>
          <w:color w:val="000000"/>
        </w:rPr>
      </w:pPr>
      <w:bookmarkStart w:id="896" w:name="_Toc351203561"/>
      <w:r>
        <w:rPr>
          <w:rFonts w:eastAsia="黑体"/>
          <w:b w:val="0"/>
          <w:color w:val="000000"/>
        </w:rPr>
        <w:t>8</w:t>
      </w:r>
      <w:bookmarkStart w:id="897" w:name="_Toc296503063"/>
      <w:bookmarkStart w:id="898" w:name="_Toc337558781"/>
      <w:bookmarkStart w:id="899" w:name="_Toc296346564"/>
      <w:r>
        <w:rPr>
          <w:rFonts w:eastAsia="黑体"/>
          <w:b w:val="0"/>
          <w:color w:val="000000"/>
        </w:rPr>
        <w:t>.9材料与设备专用</w:t>
      </w:r>
      <w:bookmarkEnd w:id="896"/>
      <w:r>
        <w:rPr>
          <w:rFonts w:hint="eastAsia" w:eastAsia="黑体"/>
          <w:b w:val="0"/>
          <w:color w:val="000000"/>
        </w:rPr>
        <w:t>要求</w:t>
      </w:r>
    </w:p>
    <w:bookmarkEnd w:id="897"/>
    <w:bookmarkEnd w:id="898"/>
    <w:bookmarkEnd w:id="899"/>
    <w:p w14:paraId="40B481B0">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承包人运入施工现场的材料、工程设备、施工设备以及在施工场地建设的临时设施，包括备品备件、安装工具与资料，必须专用于工程。未经发包人批准，承包人不得运出施工现场或挪作他用；</w:t>
      </w:r>
      <w:bookmarkEnd w:id="878"/>
      <w:r>
        <w:rPr>
          <w:rFonts w:eastAsia="仿宋_GB2312"/>
          <w:color w:val="000000"/>
          <w:kern w:val="0"/>
          <w:sz w:val="28"/>
          <w:szCs w:val="28"/>
        </w:rPr>
        <w:t>经发包人批准，承包人可以根据施工进度计划撤走闲置的施工设备和其他物品。</w:t>
      </w:r>
    </w:p>
    <w:p w14:paraId="67E01E7E">
      <w:pPr>
        <w:pStyle w:val="6"/>
        <w:spacing w:before="120" w:after="120" w:line="500" w:lineRule="exact"/>
        <w:rPr>
          <w:rFonts w:ascii="Times New Roman" w:hAnsi="Times New Roman"/>
          <w:b w:val="0"/>
          <w:color w:val="000000"/>
        </w:rPr>
      </w:pPr>
      <w:bookmarkStart w:id="900" w:name="_Toc351203562"/>
      <w:r>
        <w:rPr>
          <w:rFonts w:ascii="Times New Roman" w:hAnsi="Times New Roman"/>
          <w:b w:val="0"/>
          <w:color w:val="000000"/>
        </w:rPr>
        <w:t>9</w:t>
      </w:r>
      <w:bookmarkStart w:id="901" w:name="_Toc337558782"/>
      <w:bookmarkStart w:id="902" w:name="_Toc296503083"/>
      <w:bookmarkStart w:id="903" w:name="_Toc296346584"/>
      <w:r>
        <w:rPr>
          <w:rFonts w:ascii="Times New Roman" w:hAnsi="Times New Roman"/>
          <w:b w:val="0"/>
          <w:color w:val="000000"/>
        </w:rPr>
        <w:t>. 试验与检验</w:t>
      </w:r>
      <w:bookmarkEnd w:id="900"/>
    </w:p>
    <w:bookmarkEnd w:id="901"/>
    <w:p w14:paraId="1BFEB4A6">
      <w:pPr>
        <w:pStyle w:val="7"/>
        <w:spacing w:before="120" w:after="120" w:line="500" w:lineRule="exact"/>
        <w:ind w:firstLine="560" w:firstLineChars="200"/>
        <w:rPr>
          <w:rFonts w:eastAsia="黑体"/>
          <w:b w:val="0"/>
          <w:color w:val="000000"/>
        </w:rPr>
      </w:pPr>
      <w:bookmarkStart w:id="904" w:name="_Toc351203563"/>
      <w:r>
        <w:rPr>
          <w:rFonts w:eastAsia="黑体"/>
          <w:b w:val="0"/>
          <w:color w:val="000000"/>
        </w:rPr>
        <w:t>9</w:t>
      </w:r>
      <w:bookmarkStart w:id="905" w:name="_Toc337558783"/>
      <w:r>
        <w:rPr>
          <w:rFonts w:eastAsia="黑体"/>
          <w:b w:val="0"/>
          <w:color w:val="000000"/>
        </w:rPr>
        <w:t>.1试验设备与试验人员</w:t>
      </w:r>
      <w:bookmarkEnd w:id="904"/>
    </w:p>
    <w:bookmarkEnd w:id="905"/>
    <w:p w14:paraId="1564F4DC">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5D126A5F">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9.1.2 承包人应按专用合同条款的约定提供试验设备、取样装置、试验场所和试验条件，并向监理人提交相应进场计划表。</w:t>
      </w:r>
    </w:p>
    <w:p w14:paraId="26879F2C">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承包人配置的试验设备要符合相应试验规程的要求并经过具有资质的检测单位检测，且在正式使用该试验设备前，需要经过监理人与承包人共同校定。</w:t>
      </w:r>
    </w:p>
    <w:p w14:paraId="3BF21A99">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9.1.3 承包人应向监理人提交试验人员的名单及其岗位、资格等证明资料，试验人员必须能够熟练进行相应的检测试验，承包人对试验人员的试验程序和试验结果的正确性负责。</w:t>
      </w:r>
    </w:p>
    <w:p w14:paraId="51F34196">
      <w:pPr>
        <w:pStyle w:val="7"/>
        <w:spacing w:before="120" w:after="120" w:line="500" w:lineRule="exact"/>
        <w:ind w:firstLine="560" w:firstLineChars="200"/>
        <w:rPr>
          <w:rFonts w:eastAsia="黑体"/>
          <w:b w:val="0"/>
          <w:color w:val="000000"/>
        </w:rPr>
      </w:pPr>
      <w:bookmarkStart w:id="906" w:name="_Toc351203564"/>
      <w:r>
        <w:rPr>
          <w:rFonts w:eastAsia="黑体"/>
          <w:b w:val="0"/>
          <w:color w:val="000000"/>
        </w:rPr>
        <w:t>9</w:t>
      </w:r>
      <w:bookmarkStart w:id="907" w:name="_Toc337558784"/>
      <w:r>
        <w:rPr>
          <w:rFonts w:eastAsia="黑体"/>
          <w:b w:val="0"/>
          <w:color w:val="000000"/>
        </w:rPr>
        <w:t>.2取样</w:t>
      </w:r>
      <w:bookmarkEnd w:id="906"/>
    </w:p>
    <w:bookmarkEnd w:id="907"/>
    <w:p w14:paraId="7C2807CE">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试验属于自检性质的，承包人可以单独取样。试验属于监理人抽检性质的，可由监理人取样，也可由承包人的试验人员在监理人的监督下取样。</w:t>
      </w:r>
    </w:p>
    <w:p w14:paraId="26C074C1">
      <w:pPr>
        <w:pStyle w:val="7"/>
        <w:spacing w:before="120" w:after="120" w:line="500" w:lineRule="exact"/>
        <w:ind w:firstLine="560" w:firstLineChars="200"/>
        <w:rPr>
          <w:rFonts w:eastAsia="黑体"/>
          <w:b w:val="0"/>
          <w:color w:val="000000"/>
        </w:rPr>
      </w:pPr>
      <w:bookmarkStart w:id="908" w:name="_Toc351203565"/>
      <w:r>
        <w:rPr>
          <w:rFonts w:eastAsia="黑体"/>
          <w:b w:val="0"/>
          <w:color w:val="000000"/>
        </w:rPr>
        <w:t>9</w:t>
      </w:r>
      <w:bookmarkStart w:id="909" w:name="_Toc337558785"/>
      <w:r>
        <w:rPr>
          <w:rFonts w:eastAsia="黑体"/>
          <w:b w:val="0"/>
          <w:color w:val="000000"/>
        </w:rPr>
        <w:t>.3材料、工程设备和工程的试验和检验</w:t>
      </w:r>
      <w:bookmarkEnd w:id="908"/>
    </w:p>
    <w:bookmarkEnd w:id="909"/>
    <w:p w14:paraId="404BE0F6">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3A0216D5">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7D32BE92">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1EC5D509">
      <w:pPr>
        <w:pStyle w:val="7"/>
        <w:spacing w:before="120" w:after="120" w:line="500" w:lineRule="exact"/>
        <w:ind w:firstLine="560" w:firstLineChars="200"/>
        <w:rPr>
          <w:rFonts w:eastAsia="黑体"/>
          <w:b w:val="0"/>
          <w:color w:val="000000"/>
        </w:rPr>
      </w:pPr>
      <w:bookmarkStart w:id="910" w:name="_Toc351203566"/>
      <w:r>
        <w:rPr>
          <w:rFonts w:eastAsia="黑体"/>
          <w:b w:val="0"/>
          <w:color w:val="000000"/>
        </w:rPr>
        <w:t>9</w:t>
      </w:r>
      <w:bookmarkStart w:id="911" w:name="_Toc337558786"/>
      <w:r>
        <w:rPr>
          <w:rFonts w:eastAsia="黑体"/>
          <w:b w:val="0"/>
          <w:color w:val="000000"/>
        </w:rPr>
        <w:t>.4现场工艺试验</w:t>
      </w:r>
      <w:bookmarkEnd w:id="910"/>
    </w:p>
    <w:bookmarkEnd w:id="911"/>
    <w:p w14:paraId="268A86A0">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承包人应按合同约定或监理人指示进行现场工艺试验。对大型的现场工艺试验，监理人认为必要时，承包人应根据监理人提出的工艺试验要求，编制工艺试验措施计划，报送监理人审查。</w:t>
      </w:r>
    </w:p>
    <w:p w14:paraId="2B5B5F20">
      <w:pPr>
        <w:pStyle w:val="6"/>
        <w:spacing w:before="120" w:after="120" w:line="500" w:lineRule="exact"/>
        <w:rPr>
          <w:rFonts w:ascii="Times New Roman" w:hAnsi="Times New Roman"/>
          <w:b w:val="0"/>
          <w:color w:val="000000"/>
        </w:rPr>
      </w:pPr>
      <w:bookmarkStart w:id="912" w:name="_Toc351203567"/>
      <w:r>
        <w:rPr>
          <w:rFonts w:ascii="Times New Roman" w:hAnsi="Times New Roman"/>
          <w:b w:val="0"/>
          <w:color w:val="000000"/>
        </w:rPr>
        <w:t>1</w:t>
      </w:r>
      <w:bookmarkStart w:id="913" w:name="_Toc337558787"/>
      <w:r>
        <w:rPr>
          <w:rFonts w:ascii="Times New Roman" w:hAnsi="Times New Roman"/>
          <w:b w:val="0"/>
          <w:color w:val="000000"/>
        </w:rPr>
        <w:t>0. 变更</w:t>
      </w:r>
      <w:bookmarkEnd w:id="902"/>
      <w:bookmarkEnd w:id="903"/>
      <w:bookmarkEnd w:id="912"/>
    </w:p>
    <w:bookmarkEnd w:id="913"/>
    <w:p w14:paraId="6B5D0E89">
      <w:pPr>
        <w:pStyle w:val="7"/>
        <w:spacing w:before="120" w:after="120" w:line="500" w:lineRule="exact"/>
        <w:ind w:firstLine="560" w:firstLineChars="200"/>
        <w:rPr>
          <w:rFonts w:eastAsia="黑体"/>
          <w:b w:val="0"/>
          <w:color w:val="000000"/>
        </w:rPr>
      </w:pPr>
      <w:bookmarkStart w:id="914" w:name="_Toc351203568"/>
      <w:r>
        <w:rPr>
          <w:rFonts w:eastAsia="黑体"/>
          <w:b w:val="0"/>
          <w:color w:val="000000"/>
        </w:rPr>
        <w:t>1</w:t>
      </w:r>
      <w:bookmarkStart w:id="915" w:name="_Toc296503084"/>
      <w:bookmarkStart w:id="916" w:name="_Toc337558788"/>
      <w:bookmarkStart w:id="917" w:name="_Toc296346585"/>
      <w:r>
        <w:rPr>
          <w:rFonts w:eastAsia="黑体"/>
          <w:b w:val="0"/>
          <w:color w:val="000000"/>
        </w:rPr>
        <w:t>0.1变更的范围</w:t>
      </w:r>
      <w:bookmarkEnd w:id="914"/>
    </w:p>
    <w:bookmarkEnd w:id="915"/>
    <w:bookmarkEnd w:id="916"/>
    <w:bookmarkEnd w:id="917"/>
    <w:p w14:paraId="6C039BA6">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除专用合同条款另有约定外，合同履行过程中发生以下情形的，应按照本条约定进行变更：</w:t>
      </w:r>
    </w:p>
    <w:p w14:paraId="61770F23">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（1）增加或减少合同中任何工作，或追加额外的工作；</w:t>
      </w:r>
    </w:p>
    <w:p w14:paraId="2F8C97D8">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（2）取消合同中任何工作，但转由他人实施的工作除外；</w:t>
      </w:r>
    </w:p>
    <w:p w14:paraId="3FAA030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（3）改变合同中任何工作的质量标准或其他特性；</w:t>
      </w:r>
    </w:p>
    <w:p w14:paraId="7843CB6F">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（4）改变工程的基线、标高、位置和尺寸；</w:t>
      </w:r>
    </w:p>
    <w:p w14:paraId="5BE046A0">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（5）改变工程的时间安排或实施顺序。</w:t>
      </w:r>
    </w:p>
    <w:p w14:paraId="46025825">
      <w:pPr>
        <w:pStyle w:val="7"/>
        <w:spacing w:before="120" w:after="120" w:line="500" w:lineRule="exact"/>
        <w:ind w:firstLine="560" w:firstLineChars="200"/>
        <w:rPr>
          <w:rFonts w:eastAsia="黑体"/>
          <w:b w:val="0"/>
          <w:color w:val="000000"/>
        </w:rPr>
      </w:pPr>
      <w:bookmarkStart w:id="918" w:name="_Toc351203569"/>
      <w:r>
        <w:rPr>
          <w:rFonts w:eastAsia="黑体"/>
          <w:b w:val="0"/>
          <w:color w:val="000000"/>
        </w:rPr>
        <w:t>1</w:t>
      </w:r>
      <w:bookmarkStart w:id="919" w:name="_Toc337558789"/>
      <w:bookmarkStart w:id="920" w:name="_Toc296503085"/>
      <w:bookmarkStart w:id="921" w:name="_Toc296346586"/>
      <w:r>
        <w:rPr>
          <w:rFonts w:eastAsia="黑体"/>
          <w:b w:val="0"/>
          <w:color w:val="000000"/>
        </w:rPr>
        <w:t>0.2变更权</w:t>
      </w:r>
      <w:bookmarkEnd w:id="918"/>
    </w:p>
    <w:bookmarkEnd w:id="919"/>
    <w:bookmarkEnd w:id="920"/>
    <w:bookmarkEnd w:id="921"/>
    <w:p w14:paraId="62FC4C1F">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04012273">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涉及设计变更的，应由设计人提供变更后的图纸和说明。如变更超过原设计标准或批准的建设规模时，发包人应及时办理规划、设计变更</w:t>
      </w:r>
      <w:r>
        <w:rPr>
          <w:rFonts w:hint="eastAsia" w:eastAsia="仿宋_GB2312"/>
          <w:color w:val="000000"/>
          <w:kern w:val="0"/>
          <w:sz w:val="28"/>
          <w:szCs w:val="28"/>
        </w:rPr>
        <w:t>等</w:t>
      </w:r>
      <w:r>
        <w:rPr>
          <w:rFonts w:eastAsia="仿宋_GB2312"/>
          <w:color w:val="000000"/>
          <w:kern w:val="0"/>
          <w:sz w:val="28"/>
          <w:szCs w:val="28"/>
        </w:rPr>
        <w:t>审批手续。</w:t>
      </w:r>
    </w:p>
    <w:p w14:paraId="3A933972">
      <w:pPr>
        <w:pStyle w:val="7"/>
        <w:spacing w:before="120" w:after="120" w:line="500" w:lineRule="exact"/>
        <w:ind w:firstLine="560" w:firstLineChars="200"/>
        <w:rPr>
          <w:rFonts w:eastAsia="黑体"/>
          <w:b w:val="0"/>
          <w:color w:val="000000"/>
        </w:rPr>
      </w:pPr>
      <w:bookmarkStart w:id="922" w:name="_Toc351203570"/>
      <w:r>
        <w:rPr>
          <w:rFonts w:eastAsia="黑体"/>
          <w:b w:val="0"/>
          <w:color w:val="000000"/>
        </w:rPr>
        <w:t>1</w:t>
      </w:r>
      <w:bookmarkStart w:id="923" w:name="_Toc296346587"/>
      <w:bookmarkStart w:id="924" w:name="_Toc296503086"/>
      <w:bookmarkStart w:id="925" w:name="_Toc337558790"/>
      <w:r>
        <w:rPr>
          <w:rFonts w:eastAsia="黑体"/>
          <w:b w:val="0"/>
          <w:color w:val="000000"/>
        </w:rPr>
        <w:t>0.3变更程序</w:t>
      </w:r>
      <w:bookmarkEnd w:id="922"/>
    </w:p>
    <w:bookmarkEnd w:id="923"/>
    <w:bookmarkEnd w:id="924"/>
    <w:bookmarkEnd w:id="925"/>
    <w:p w14:paraId="3D0F8F93">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sz w:val="28"/>
          <w:szCs w:val="28"/>
        </w:rPr>
        <w:t>10</w:t>
      </w:r>
      <w:r>
        <w:rPr>
          <w:rFonts w:eastAsia="仿宋_GB2312"/>
          <w:color w:val="000000"/>
          <w:kern w:val="0"/>
          <w:sz w:val="28"/>
          <w:szCs w:val="28"/>
        </w:rPr>
        <w:t>.3.1 发包人提出变更</w:t>
      </w:r>
    </w:p>
    <w:p w14:paraId="1903C6FB">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发包人提出变更的，应通过监理人向承包人发出变更指示，变更指示应说明计划变更的工程范围和变更的内容。</w:t>
      </w:r>
    </w:p>
    <w:p w14:paraId="40F55716">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sz w:val="28"/>
          <w:szCs w:val="28"/>
        </w:rPr>
        <w:t>10</w:t>
      </w:r>
      <w:r>
        <w:rPr>
          <w:rFonts w:eastAsia="仿宋_GB2312"/>
          <w:color w:val="000000"/>
          <w:kern w:val="0"/>
          <w:sz w:val="28"/>
          <w:szCs w:val="28"/>
        </w:rPr>
        <w:t>.3.2 监理人提出变更建议</w:t>
      </w:r>
    </w:p>
    <w:p w14:paraId="1F1AC0E9">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60675CEB">
      <w:pPr>
        <w:autoSpaceDE w:val="0"/>
        <w:autoSpaceDN w:val="0"/>
        <w:adjustRightInd w:val="0"/>
        <w:spacing w:line="500" w:lineRule="exact"/>
        <w:ind w:firstLine="560" w:firstLineChars="200"/>
        <w:jc w:val="left"/>
        <w:rPr>
          <w:rFonts w:eastAsia="仿宋_GB2312"/>
          <w:color w:val="000000"/>
          <w:sz w:val="28"/>
          <w:szCs w:val="28"/>
        </w:rPr>
      </w:pPr>
      <w:r>
        <w:rPr>
          <w:rFonts w:hint="eastAsia" w:eastAsia="仿宋_GB2312"/>
          <w:color w:val="000000"/>
          <w:sz w:val="28"/>
          <w:szCs w:val="28"/>
        </w:rPr>
        <w:t>10.3.3 变更执行</w:t>
      </w:r>
    </w:p>
    <w:p w14:paraId="78649F00">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承包人收到监理人下达的变更指示后，</w:t>
      </w:r>
      <w:r>
        <w:rPr>
          <w:rFonts w:hint="eastAsia" w:eastAsia="仿宋_GB2312"/>
          <w:color w:val="000000"/>
          <w:kern w:val="0"/>
          <w:sz w:val="28"/>
          <w:szCs w:val="28"/>
        </w:rPr>
        <w:t>认为不能执行，应立即</w:t>
      </w:r>
      <w:r>
        <w:rPr>
          <w:rFonts w:eastAsia="仿宋_GB2312"/>
          <w:color w:val="000000"/>
          <w:kern w:val="0"/>
          <w:sz w:val="28"/>
          <w:szCs w:val="28"/>
        </w:rPr>
        <w:t>提出不能执行该变更指示的理由。承包人</w:t>
      </w:r>
      <w:r>
        <w:rPr>
          <w:rFonts w:hint="eastAsia" w:eastAsia="仿宋_GB2312"/>
          <w:color w:val="000000"/>
          <w:kern w:val="0"/>
          <w:sz w:val="28"/>
          <w:szCs w:val="28"/>
        </w:rPr>
        <w:t>认为可以</w:t>
      </w:r>
      <w:r>
        <w:rPr>
          <w:rFonts w:eastAsia="仿宋_GB2312"/>
          <w:color w:val="000000"/>
          <w:kern w:val="0"/>
          <w:sz w:val="28"/>
          <w:szCs w:val="28"/>
        </w:rPr>
        <w:t>执行变更的，</w:t>
      </w:r>
      <w:r>
        <w:rPr>
          <w:rFonts w:hint="eastAsia" w:eastAsia="仿宋_GB2312"/>
          <w:color w:val="000000"/>
          <w:kern w:val="0"/>
          <w:sz w:val="28"/>
          <w:szCs w:val="28"/>
        </w:rPr>
        <w:t>应当书面说明实施该变更指示对合同价格和工期的影响，且合同当事人应当按照第10.4款〔变更估价〕约定确定变更估价</w:t>
      </w:r>
      <w:r>
        <w:rPr>
          <w:rFonts w:eastAsia="仿宋_GB2312"/>
          <w:color w:val="000000"/>
          <w:kern w:val="0"/>
          <w:sz w:val="28"/>
          <w:szCs w:val="28"/>
        </w:rPr>
        <w:t>。</w:t>
      </w:r>
    </w:p>
    <w:p w14:paraId="4734B7F7">
      <w:pPr>
        <w:pStyle w:val="7"/>
        <w:spacing w:before="120" w:after="120" w:line="500" w:lineRule="exact"/>
        <w:ind w:firstLine="560" w:firstLineChars="200"/>
        <w:rPr>
          <w:rFonts w:eastAsia="黑体"/>
          <w:b w:val="0"/>
          <w:color w:val="000000"/>
        </w:rPr>
      </w:pPr>
      <w:bookmarkStart w:id="926" w:name="_Toc351203571"/>
      <w:r>
        <w:rPr>
          <w:rFonts w:eastAsia="黑体"/>
          <w:b w:val="0"/>
          <w:color w:val="000000"/>
        </w:rPr>
        <w:t>1</w:t>
      </w:r>
      <w:bookmarkStart w:id="927" w:name="_Toc337558791"/>
      <w:bookmarkStart w:id="928" w:name="_Toc296503087"/>
      <w:bookmarkStart w:id="929" w:name="_Toc296346588"/>
      <w:r>
        <w:rPr>
          <w:rFonts w:eastAsia="黑体"/>
          <w:b w:val="0"/>
          <w:color w:val="000000"/>
        </w:rPr>
        <w:t>0.4变更估价</w:t>
      </w:r>
      <w:bookmarkEnd w:id="926"/>
    </w:p>
    <w:bookmarkEnd w:id="927"/>
    <w:bookmarkEnd w:id="928"/>
    <w:bookmarkEnd w:id="929"/>
    <w:p w14:paraId="4C824709">
      <w:pPr>
        <w:autoSpaceDE w:val="0"/>
        <w:autoSpaceDN w:val="0"/>
        <w:adjustRightInd w:val="0"/>
        <w:spacing w:line="500" w:lineRule="exact"/>
        <w:ind w:firstLine="560" w:firstLineChars="200"/>
        <w:jc w:val="left"/>
        <w:rPr>
          <w:rFonts w:eastAsia="仿宋_GB2312"/>
          <w:color w:val="000000"/>
          <w:kern w:val="0"/>
          <w:sz w:val="28"/>
          <w:szCs w:val="28"/>
        </w:rPr>
      </w:pPr>
      <w:r>
        <w:rPr>
          <w:rFonts w:hint="eastAsia" w:eastAsia="仿宋_GB2312"/>
          <w:color w:val="000000"/>
          <w:kern w:val="0"/>
          <w:sz w:val="28"/>
          <w:szCs w:val="28"/>
        </w:rPr>
        <w:t>10.4.1 变更估价原则</w:t>
      </w:r>
    </w:p>
    <w:p w14:paraId="3CEC08F9">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除专用合同条款另有约定外，变更估价按照本款约定处理：</w:t>
      </w:r>
    </w:p>
    <w:p w14:paraId="46211717">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（1）已标价工程量清单或预算书有相同项目的，按照相同项目单价认定；</w:t>
      </w:r>
    </w:p>
    <w:p w14:paraId="7E7FB700">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（2）已标价工程量清单或预算书中无相同项目，但有类似项目的，参照类似项目的单价认定；</w:t>
      </w:r>
    </w:p>
    <w:p w14:paraId="049C7F8D">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w:t>
      </w:r>
      <w:r>
        <w:rPr>
          <w:rFonts w:hint="eastAsia" w:eastAsia="仿宋_GB2312"/>
          <w:color w:val="000000"/>
          <w:kern w:val="0"/>
          <w:sz w:val="28"/>
          <w:szCs w:val="28"/>
        </w:rPr>
        <w:t>〔</w:t>
      </w:r>
      <w:r>
        <w:rPr>
          <w:rFonts w:eastAsia="仿宋_GB2312"/>
          <w:color w:val="000000"/>
          <w:kern w:val="0"/>
          <w:sz w:val="28"/>
          <w:szCs w:val="28"/>
        </w:rPr>
        <w:t>商定或确定</w:t>
      </w:r>
      <w:r>
        <w:rPr>
          <w:rFonts w:hint="eastAsia" w:eastAsia="仿宋_GB2312"/>
          <w:color w:val="000000"/>
          <w:kern w:val="0"/>
          <w:sz w:val="28"/>
          <w:szCs w:val="28"/>
        </w:rPr>
        <w:t>〕</w:t>
      </w:r>
      <w:r>
        <w:rPr>
          <w:rFonts w:eastAsia="仿宋_GB2312"/>
          <w:color w:val="000000"/>
          <w:kern w:val="0"/>
          <w:sz w:val="28"/>
          <w:szCs w:val="28"/>
        </w:rPr>
        <w:t>确定变更工作的单价。</w:t>
      </w:r>
    </w:p>
    <w:p w14:paraId="02D60424">
      <w:pPr>
        <w:autoSpaceDE w:val="0"/>
        <w:autoSpaceDN w:val="0"/>
        <w:adjustRightInd w:val="0"/>
        <w:spacing w:line="500" w:lineRule="exact"/>
        <w:ind w:firstLine="560" w:firstLineChars="200"/>
        <w:jc w:val="left"/>
        <w:rPr>
          <w:rFonts w:eastAsia="仿宋_GB2312"/>
          <w:color w:val="000000"/>
          <w:kern w:val="0"/>
          <w:sz w:val="28"/>
          <w:szCs w:val="28"/>
        </w:rPr>
      </w:pPr>
      <w:r>
        <w:rPr>
          <w:rFonts w:hint="eastAsia" w:eastAsia="仿宋_GB2312"/>
          <w:color w:val="000000"/>
          <w:kern w:val="0"/>
          <w:sz w:val="28"/>
          <w:szCs w:val="28"/>
        </w:rPr>
        <w:t>10.4.2 变更估价程序</w:t>
      </w:r>
    </w:p>
    <w:p w14:paraId="67698A3B">
      <w:pPr>
        <w:autoSpaceDE w:val="0"/>
        <w:autoSpaceDN w:val="0"/>
        <w:adjustRightInd w:val="0"/>
        <w:spacing w:line="500" w:lineRule="exact"/>
        <w:ind w:firstLine="560" w:firstLineChars="200"/>
        <w:jc w:val="left"/>
        <w:rPr>
          <w:rFonts w:eastAsia="仿宋_GB2312"/>
          <w:color w:val="000000"/>
          <w:kern w:val="0"/>
          <w:sz w:val="28"/>
          <w:szCs w:val="28"/>
        </w:rPr>
      </w:pPr>
      <w:r>
        <w:rPr>
          <w:rFonts w:hint="eastAsia" w:eastAsia="仿宋_GB2312"/>
          <w:color w:val="000000"/>
          <w:kern w:val="0"/>
          <w:sz w:val="28"/>
          <w:szCs w:val="28"/>
        </w:rPr>
        <w:t>承包人应在收到变更指示后14天内，向监理人提交变更估价申请。监理人应在收到承包人提交的变更估价申请后7天内审查完毕并报送发包人，监理人对变更估价申请有异议</w:t>
      </w:r>
      <w:r>
        <w:rPr>
          <w:rFonts w:eastAsia="仿宋_GB2312"/>
          <w:color w:val="000000"/>
          <w:kern w:val="0"/>
          <w:sz w:val="28"/>
          <w:szCs w:val="28"/>
        </w:rPr>
        <w:t>，通知承包人</w:t>
      </w:r>
      <w:r>
        <w:rPr>
          <w:rFonts w:hint="eastAsia" w:eastAsia="仿宋_GB2312"/>
          <w:color w:val="000000"/>
          <w:kern w:val="0"/>
          <w:sz w:val="28"/>
          <w:szCs w:val="28"/>
        </w:rPr>
        <w:t>修</w:t>
      </w:r>
      <w:r>
        <w:rPr>
          <w:rFonts w:eastAsia="仿宋_GB2312"/>
          <w:color w:val="000000"/>
          <w:kern w:val="0"/>
          <w:sz w:val="28"/>
          <w:szCs w:val="28"/>
        </w:rPr>
        <w:t>改</w:t>
      </w:r>
      <w:r>
        <w:rPr>
          <w:rFonts w:hint="eastAsia" w:eastAsia="仿宋_GB2312"/>
          <w:color w:val="000000"/>
          <w:kern w:val="0"/>
          <w:sz w:val="28"/>
          <w:szCs w:val="28"/>
        </w:rPr>
        <w:t>后重新提交</w:t>
      </w:r>
      <w:r>
        <w:rPr>
          <w:rFonts w:eastAsia="仿宋_GB2312"/>
          <w:color w:val="000000"/>
          <w:kern w:val="0"/>
          <w:sz w:val="28"/>
          <w:szCs w:val="28"/>
        </w:rPr>
        <w:t>。发包人应在</w:t>
      </w:r>
      <w:r>
        <w:rPr>
          <w:rFonts w:hint="eastAsia" w:eastAsia="仿宋_GB2312"/>
          <w:color w:val="000000"/>
          <w:kern w:val="0"/>
          <w:sz w:val="28"/>
          <w:szCs w:val="28"/>
        </w:rPr>
        <w:t>承包人提交变更估价申请</w:t>
      </w:r>
      <w:r>
        <w:rPr>
          <w:rFonts w:eastAsia="仿宋_GB2312"/>
          <w:color w:val="000000"/>
          <w:kern w:val="0"/>
          <w:sz w:val="28"/>
          <w:szCs w:val="28"/>
        </w:rPr>
        <w:t>后</w:t>
      </w:r>
      <w:r>
        <w:rPr>
          <w:rFonts w:hint="eastAsia" w:eastAsia="仿宋_GB2312"/>
          <w:color w:val="000000"/>
          <w:kern w:val="0"/>
          <w:sz w:val="28"/>
          <w:szCs w:val="28"/>
        </w:rPr>
        <w:t>14</w:t>
      </w:r>
      <w:r>
        <w:rPr>
          <w:rFonts w:eastAsia="仿宋_GB2312"/>
          <w:color w:val="000000"/>
          <w:kern w:val="0"/>
          <w:sz w:val="28"/>
          <w:szCs w:val="28"/>
        </w:rPr>
        <w:t>天内审批完毕。</w:t>
      </w:r>
      <w:r>
        <w:rPr>
          <w:rFonts w:hint="eastAsia" w:eastAsia="仿宋_GB2312"/>
          <w:color w:val="000000"/>
          <w:kern w:val="0"/>
          <w:sz w:val="28"/>
          <w:szCs w:val="28"/>
        </w:rPr>
        <w:t>发包人逾期未完成审批或未提出异议的，视为认可承包人提交的变更估价申请。</w:t>
      </w:r>
    </w:p>
    <w:p w14:paraId="56E8D945">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因变更引起的价格调整应计入最近一期的进度款中支付。</w:t>
      </w:r>
    </w:p>
    <w:p w14:paraId="3DE402C2">
      <w:pPr>
        <w:pStyle w:val="7"/>
        <w:spacing w:before="120" w:after="120" w:line="500" w:lineRule="exact"/>
        <w:ind w:firstLine="560" w:firstLineChars="200"/>
        <w:rPr>
          <w:rFonts w:eastAsia="黑体"/>
          <w:b w:val="0"/>
          <w:color w:val="000000"/>
        </w:rPr>
      </w:pPr>
      <w:bookmarkStart w:id="930" w:name="_Toc351203572"/>
      <w:r>
        <w:rPr>
          <w:rFonts w:eastAsia="黑体"/>
          <w:b w:val="0"/>
          <w:color w:val="000000"/>
        </w:rPr>
        <w:t>1</w:t>
      </w:r>
      <w:bookmarkStart w:id="931" w:name="_Toc296503094"/>
      <w:bookmarkStart w:id="932" w:name="_Toc337558792"/>
      <w:bookmarkStart w:id="933" w:name="_Toc296346595"/>
      <w:r>
        <w:rPr>
          <w:rFonts w:eastAsia="黑体"/>
          <w:b w:val="0"/>
          <w:color w:val="000000"/>
        </w:rPr>
        <w:t>0.5承包人的合理化建议</w:t>
      </w:r>
      <w:bookmarkEnd w:id="930"/>
    </w:p>
    <w:bookmarkEnd w:id="931"/>
    <w:bookmarkEnd w:id="932"/>
    <w:bookmarkEnd w:id="933"/>
    <w:p w14:paraId="6F4AAC62">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承包人提出合理化建议的，应向监理人提交合理化建议说明，说明建议的内容和理由，以及实施该建议对合同价格和工期的影响。</w:t>
      </w:r>
    </w:p>
    <w:p w14:paraId="1EC418A0">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w:t>
      </w:r>
      <w:r>
        <w:rPr>
          <w:rFonts w:hint="eastAsia" w:eastAsia="仿宋_GB2312"/>
          <w:color w:val="000000"/>
          <w:kern w:val="0"/>
          <w:sz w:val="28"/>
          <w:szCs w:val="28"/>
        </w:rPr>
        <w:t>〔</w:t>
      </w:r>
      <w:r>
        <w:rPr>
          <w:rFonts w:eastAsia="仿宋_GB2312"/>
          <w:color w:val="000000"/>
          <w:kern w:val="0"/>
          <w:sz w:val="28"/>
          <w:szCs w:val="28"/>
        </w:rPr>
        <w:t>变更估价</w:t>
      </w:r>
      <w:r>
        <w:rPr>
          <w:rFonts w:hint="eastAsia" w:eastAsia="仿宋_GB2312"/>
          <w:color w:val="000000"/>
          <w:kern w:val="0"/>
          <w:sz w:val="28"/>
          <w:szCs w:val="28"/>
        </w:rPr>
        <w:t>〕</w:t>
      </w:r>
      <w:r>
        <w:rPr>
          <w:rFonts w:eastAsia="仿宋_GB2312"/>
          <w:color w:val="000000"/>
          <w:kern w:val="0"/>
          <w:sz w:val="28"/>
          <w:szCs w:val="28"/>
        </w:rPr>
        <w:t>约定执行。发包人不同意变更的，监理人应书面通知承包人。</w:t>
      </w:r>
    </w:p>
    <w:p w14:paraId="63F170B0">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合理化建议降低了合同价格或者提高了工程经济效益的，发包人可对承包人给予奖励，奖励的方法和金额在专用合同条款中约定。</w:t>
      </w:r>
    </w:p>
    <w:p w14:paraId="407D037A">
      <w:pPr>
        <w:pStyle w:val="7"/>
        <w:spacing w:before="120" w:after="120" w:line="500" w:lineRule="exact"/>
        <w:ind w:firstLine="560" w:firstLineChars="200"/>
        <w:rPr>
          <w:rFonts w:eastAsia="仿宋_GB2312"/>
          <w:color w:val="000000"/>
        </w:rPr>
      </w:pPr>
      <w:bookmarkStart w:id="934" w:name="_Toc351203573"/>
      <w:r>
        <w:rPr>
          <w:rFonts w:eastAsia="黑体"/>
          <w:b w:val="0"/>
          <w:color w:val="000000"/>
        </w:rPr>
        <w:t>1</w:t>
      </w:r>
      <w:bookmarkStart w:id="935" w:name="_Toc337558793"/>
      <w:r>
        <w:rPr>
          <w:rFonts w:eastAsia="黑体"/>
          <w:b w:val="0"/>
          <w:color w:val="000000"/>
        </w:rPr>
        <w:t>0.6变更引起的工期调整</w:t>
      </w:r>
      <w:bookmarkEnd w:id="934"/>
      <w:r>
        <w:rPr>
          <w:rFonts w:eastAsia="黑体"/>
          <w:b w:val="0"/>
          <w:color w:val="000000"/>
        </w:rPr>
        <w:t xml:space="preserve"> </w:t>
      </w:r>
      <w:bookmarkEnd w:id="935"/>
      <w:r>
        <w:rPr>
          <w:rFonts w:eastAsia="黑体"/>
          <w:b w:val="0"/>
          <w:color w:val="000000"/>
        </w:rPr>
        <w:t xml:space="preserve"> </w:t>
      </w:r>
      <w:r>
        <w:rPr>
          <w:rFonts w:eastAsia="仿宋_GB2312"/>
          <w:color w:val="000000"/>
        </w:rPr>
        <w:t xml:space="preserve"> </w:t>
      </w:r>
    </w:p>
    <w:p w14:paraId="16FB3C9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因变更引起工期变化的，合同当事人均可要求调整合同工期，由合同当事人按照第4.4款</w:t>
      </w:r>
      <w:r>
        <w:rPr>
          <w:rFonts w:hint="eastAsia" w:eastAsia="仿宋_GB2312"/>
          <w:color w:val="000000"/>
          <w:kern w:val="0"/>
          <w:sz w:val="28"/>
          <w:szCs w:val="28"/>
        </w:rPr>
        <w:t>〔</w:t>
      </w:r>
      <w:r>
        <w:rPr>
          <w:rFonts w:eastAsia="仿宋_GB2312"/>
          <w:color w:val="000000"/>
          <w:kern w:val="0"/>
          <w:sz w:val="28"/>
          <w:szCs w:val="28"/>
        </w:rPr>
        <w:t>商定或确定</w:t>
      </w:r>
      <w:r>
        <w:rPr>
          <w:rFonts w:hint="eastAsia" w:eastAsia="仿宋_GB2312"/>
          <w:color w:val="000000"/>
          <w:kern w:val="0"/>
          <w:sz w:val="28"/>
          <w:szCs w:val="28"/>
        </w:rPr>
        <w:t>〕</w:t>
      </w:r>
      <w:r>
        <w:rPr>
          <w:rFonts w:eastAsia="仿宋_GB2312"/>
          <w:color w:val="000000"/>
          <w:kern w:val="0"/>
          <w:sz w:val="28"/>
          <w:szCs w:val="28"/>
        </w:rPr>
        <w:t>并参考工程所在地的工期定额标准确定增减工期天数。</w:t>
      </w:r>
    </w:p>
    <w:p w14:paraId="3F50E59E">
      <w:pPr>
        <w:pStyle w:val="7"/>
        <w:spacing w:before="120" w:after="120" w:line="500" w:lineRule="exact"/>
        <w:ind w:firstLine="560" w:firstLineChars="200"/>
        <w:rPr>
          <w:rFonts w:eastAsia="黑体"/>
          <w:b w:val="0"/>
          <w:color w:val="000000"/>
        </w:rPr>
      </w:pPr>
      <w:bookmarkStart w:id="936" w:name="_Toc351203574"/>
      <w:r>
        <w:rPr>
          <w:rFonts w:eastAsia="黑体"/>
          <w:b w:val="0"/>
          <w:color w:val="000000"/>
        </w:rPr>
        <w:t>10.7暂估价</w:t>
      </w:r>
      <w:bookmarkEnd w:id="936"/>
    </w:p>
    <w:p w14:paraId="1D85BA0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暂估价专业分包工程、</w:t>
      </w:r>
      <w:r>
        <w:rPr>
          <w:rFonts w:hint="eastAsia" w:eastAsia="仿宋_GB2312"/>
          <w:color w:val="000000"/>
          <w:kern w:val="0"/>
          <w:sz w:val="28"/>
          <w:szCs w:val="28"/>
        </w:rPr>
        <w:t>服务、</w:t>
      </w:r>
      <w:r>
        <w:rPr>
          <w:rFonts w:eastAsia="仿宋_GB2312"/>
          <w:color w:val="000000"/>
          <w:kern w:val="0"/>
          <w:sz w:val="28"/>
          <w:szCs w:val="28"/>
        </w:rPr>
        <w:t>材料和工程设备的明细由合同当事人在专用合同条款中约定。</w:t>
      </w:r>
    </w:p>
    <w:p w14:paraId="2E3ECABB">
      <w:pPr>
        <w:spacing w:line="500" w:lineRule="exact"/>
        <w:ind w:firstLine="560" w:firstLineChars="200"/>
        <w:jc w:val="left"/>
        <w:rPr>
          <w:rFonts w:eastAsia="仿宋_GB2312"/>
          <w:color w:val="000000"/>
          <w:kern w:val="0"/>
          <w:sz w:val="28"/>
          <w:szCs w:val="28"/>
        </w:rPr>
      </w:pPr>
      <w:r>
        <w:rPr>
          <w:rFonts w:eastAsia="仿宋_GB2312"/>
          <w:color w:val="000000"/>
          <w:sz w:val="28"/>
          <w:szCs w:val="28"/>
        </w:rPr>
        <w:t>10.7.1</w:t>
      </w:r>
      <w:r>
        <w:rPr>
          <w:rFonts w:eastAsia="仿宋_GB2312"/>
          <w:color w:val="000000"/>
          <w:kern w:val="0"/>
          <w:sz w:val="28"/>
          <w:szCs w:val="28"/>
        </w:rPr>
        <w:t xml:space="preserve"> 依法必须招标的暂估价项目</w:t>
      </w:r>
    </w:p>
    <w:p w14:paraId="39F42B25">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对于依法必须招标的暂估价项目，采取以下第1种方式确定</w:t>
      </w:r>
      <w:r>
        <w:rPr>
          <w:rFonts w:hint="eastAsia" w:eastAsia="仿宋_GB2312"/>
          <w:color w:val="000000"/>
          <w:kern w:val="0"/>
          <w:sz w:val="28"/>
          <w:szCs w:val="28"/>
        </w:rPr>
        <w:t>。合同当事人也可以在</w:t>
      </w:r>
      <w:r>
        <w:rPr>
          <w:rFonts w:eastAsia="仿宋_GB2312"/>
          <w:color w:val="000000"/>
          <w:kern w:val="0"/>
          <w:sz w:val="28"/>
          <w:szCs w:val="28"/>
        </w:rPr>
        <w:t>专用合同条款</w:t>
      </w:r>
      <w:r>
        <w:rPr>
          <w:rFonts w:hint="eastAsia" w:eastAsia="仿宋_GB2312"/>
          <w:color w:val="000000"/>
          <w:kern w:val="0"/>
          <w:sz w:val="28"/>
          <w:szCs w:val="28"/>
        </w:rPr>
        <w:t>中选择其他招标方式。</w:t>
      </w:r>
    </w:p>
    <w:p w14:paraId="672801A8">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第1种方式：对于依法必须招标的暂估价项目，由承包人招标，对该暂估价项目的确认和批准按照以下约定执行：</w:t>
      </w:r>
    </w:p>
    <w:p w14:paraId="04D4745C">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6580973B">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（2）承包人应当根据施工进度计划，提前14天将招标文件通过监理人报送发包人审批，发包人应当在收到承包人报送的相关文件后7天内完成审批或提出修改意见；发包人有权确定招标控制价</w:t>
      </w:r>
      <w:r>
        <w:rPr>
          <w:rFonts w:hint="eastAsia" w:eastAsia="仿宋_GB2312"/>
          <w:color w:val="000000"/>
          <w:kern w:val="0"/>
          <w:sz w:val="28"/>
          <w:szCs w:val="28"/>
        </w:rPr>
        <w:t>并按照法律规定参加评标</w:t>
      </w:r>
      <w:r>
        <w:rPr>
          <w:rFonts w:eastAsia="仿宋_GB2312"/>
          <w:color w:val="000000"/>
          <w:kern w:val="0"/>
          <w:sz w:val="28"/>
          <w:szCs w:val="28"/>
        </w:rPr>
        <w:t>；</w:t>
      </w:r>
    </w:p>
    <w:p w14:paraId="113699EA">
      <w:pPr>
        <w:spacing w:line="500" w:lineRule="exact"/>
        <w:jc w:val="left"/>
        <w:rPr>
          <w:rFonts w:eastAsia="仿宋_GB2312"/>
          <w:color w:val="000000"/>
          <w:kern w:val="0"/>
          <w:sz w:val="28"/>
          <w:szCs w:val="28"/>
        </w:rPr>
      </w:pPr>
      <w:r>
        <w:rPr>
          <w:rFonts w:eastAsia="仿宋_GB2312"/>
          <w:color w:val="000000"/>
          <w:kern w:val="0"/>
          <w:sz w:val="28"/>
          <w:szCs w:val="28"/>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76BB5390">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0B81A5F0">
      <w:pPr>
        <w:spacing w:line="500" w:lineRule="exact"/>
        <w:ind w:firstLine="560" w:firstLineChars="200"/>
        <w:jc w:val="left"/>
        <w:rPr>
          <w:rFonts w:eastAsia="仿宋_GB2312"/>
          <w:color w:val="000000"/>
          <w:kern w:val="0"/>
          <w:sz w:val="28"/>
          <w:szCs w:val="28"/>
        </w:rPr>
      </w:pPr>
      <w:r>
        <w:rPr>
          <w:rFonts w:eastAsia="仿宋_GB2312"/>
          <w:color w:val="000000"/>
          <w:sz w:val="28"/>
          <w:szCs w:val="28"/>
        </w:rPr>
        <w:t>10.7.2</w:t>
      </w:r>
      <w:r>
        <w:rPr>
          <w:rFonts w:eastAsia="仿宋_GB2312"/>
          <w:color w:val="000000"/>
          <w:kern w:val="0"/>
          <w:sz w:val="28"/>
          <w:szCs w:val="28"/>
        </w:rPr>
        <w:t>不属于依法必须招标的暂估价项目</w:t>
      </w:r>
    </w:p>
    <w:p w14:paraId="07C7ADF3">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除专用合同条款另有约定外，对于不属于依法必须招标的暂估价项目，采取以下第1种方式确定：</w:t>
      </w:r>
      <w:r>
        <w:rPr>
          <w:rFonts w:hint="eastAsia" w:eastAsia="仿宋_GB2312"/>
          <w:color w:val="000000"/>
          <w:kern w:val="0"/>
          <w:sz w:val="28"/>
          <w:szCs w:val="28"/>
        </w:rPr>
        <w:t xml:space="preserve"> </w:t>
      </w:r>
    </w:p>
    <w:p w14:paraId="1268FAE1">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第1种方式：对于不属于依法必须招标的暂估价项目，按本项约定确认和批准：</w:t>
      </w:r>
    </w:p>
    <w:p w14:paraId="606D34AC">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588A8765">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（2）发包人认为承包人确定的供应商、分包人无法满足工程质量或合同要求的，发包人可以要求承包人重新确定暂估价项目的供应商、分包人;</w:t>
      </w:r>
    </w:p>
    <w:p w14:paraId="55791085">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（3）承包人应当在签订暂估价合同后7天内，将暂估价合同副本报送发包人留存。</w:t>
      </w:r>
    </w:p>
    <w:p w14:paraId="207BAE90">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第2种方式：承包人按照第10.7.1项</w:t>
      </w:r>
      <w:r>
        <w:rPr>
          <w:rFonts w:hint="eastAsia" w:eastAsia="仿宋_GB2312"/>
          <w:color w:val="000000"/>
          <w:kern w:val="0"/>
          <w:sz w:val="28"/>
          <w:szCs w:val="28"/>
        </w:rPr>
        <w:t>〔</w:t>
      </w:r>
      <w:r>
        <w:rPr>
          <w:rFonts w:eastAsia="仿宋_GB2312"/>
          <w:color w:val="000000"/>
          <w:kern w:val="0"/>
          <w:sz w:val="28"/>
          <w:szCs w:val="28"/>
        </w:rPr>
        <w:t>依法必须招标的暂估价项目</w:t>
      </w:r>
      <w:r>
        <w:rPr>
          <w:rFonts w:hint="eastAsia" w:eastAsia="仿宋_GB2312"/>
          <w:color w:val="000000"/>
          <w:kern w:val="0"/>
          <w:sz w:val="28"/>
          <w:szCs w:val="28"/>
        </w:rPr>
        <w:t>〕</w:t>
      </w:r>
      <w:r>
        <w:rPr>
          <w:rFonts w:eastAsia="仿宋_GB2312"/>
          <w:color w:val="000000"/>
          <w:kern w:val="0"/>
          <w:sz w:val="28"/>
          <w:szCs w:val="28"/>
        </w:rPr>
        <w:t>约定的第1种方式确定暂估价项目。</w:t>
      </w:r>
    </w:p>
    <w:p w14:paraId="43E48189">
      <w:pPr>
        <w:spacing w:line="500" w:lineRule="exact"/>
        <w:ind w:firstLine="560" w:firstLineChars="200"/>
        <w:jc w:val="left"/>
        <w:rPr>
          <w:rFonts w:eastAsia="仿宋_GB2312"/>
          <w:color w:val="000000"/>
          <w:kern w:val="0"/>
          <w:sz w:val="28"/>
          <w:szCs w:val="28"/>
        </w:rPr>
      </w:pPr>
      <w:r>
        <w:rPr>
          <w:rFonts w:eastAsia="仿宋_GB2312"/>
          <w:color w:val="000000"/>
          <w:sz w:val="28"/>
          <w:szCs w:val="28"/>
        </w:rPr>
        <w:t>第3种方式：</w:t>
      </w:r>
      <w:r>
        <w:rPr>
          <w:rFonts w:eastAsia="仿宋_GB2312"/>
          <w:color w:val="000000"/>
          <w:kern w:val="0"/>
          <w:sz w:val="28"/>
          <w:szCs w:val="28"/>
        </w:rPr>
        <w:t>承包人直接实施的暂估价项目</w:t>
      </w:r>
    </w:p>
    <w:p w14:paraId="304A3997">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承包人具备实施暂估价项目的资格和条件的，经发包人和承包人协商一致后，可由承包人自行实施暂估价项目，合同当事人可以在专用合同条款约定具体事项。</w:t>
      </w:r>
    </w:p>
    <w:p w14:paraId="2A902103">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764F2AAE">
      <w:pPr>
        <w:pStyle w:val="7"/>
        <w:spacing w:before="120" w:after="120" w:line="500" w:lineRule="exact"/>
        <w:ind w:firstLine="560" w:firstLineChars="200"/>
        <w:rPr>
          <w:rFonts w:eastAsia="黑体"/>
          <w:b w:val="0"/>
          <w:color w:val="000000"/>
        </w:rPr>
      </w:pPr>
      <w:bookmarkStart w:id="937" w:name="_Toc351203575"/>
      <w:r>
        <w:rPr>
          <w:rFonts w:eastAsia="黑体"/>
          <w:b w:val="0"/>
          <w:color w:val="000000"/>
        </w:rPr>
        <w:t>1</w:t>
      </w:r>
      <w:bookmarkStart w:id="938" w:name="_Toc337558794"/>
      <w:bookmarkStart w:id="939" w:name="_Toc296503090"/>
      <w:bookmarkStart w:id="940" w:name="_Toc322522561"/>
      <w:bookmarkStart w:id="941" w:name="_Toc296346591"/>
      <w:r>
        <w:rPr>
          <w:rFonts w:eastAsia="黑体"/>
          <w:b w:val="0"/>
          <w:color w:val="000000"/>
        </w:rPr>
        <w:t>0.8暂列金额</w:t>
      </w:r>
      <w:bookmarkEnd w:id="937"/>
    </w:p>
    <w:bookmarkEnd w:id="938"/>
    <w:p w14:paraId="56255710">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暂列金额应按照发包人的要求使用，发包人的要求应通过监理人发出。</w:t>
      </w:r>
      <w:r>
        <w:rPr>
          <w:rFonts w:hint="eastAsia" w:eastAsia="仿宋_GB2312"/>
          <w:color w:val="000000"/>
          <w:kern w:val="0"/>
          <w:sz w:val="28"/>
          <w:szCs w:val="28"/>
        </w:rPr>
        <w:t>合同当事人可以在专用合同条款中协商确定有关事项。</w:t>
      </w:r>
    </w:p>
    <w:bookmarkEnd w:id="939"/>
    <w:bookmarkEnd w:id="940"/>
    <w:bookmarkEnd w:id="941"/>
    <w:p w14:paraId="7189D268">
      <w:pPr>
        <w:pStyle w:val="7"/>
        <w:spacing w:before="120" w:after="120" w:line="500" w:lineRule="exact"/>
        <w:ind w:firstLine="560" w:firstLineChars="200"/>
        <w:rPr>
          <w:rFonts w:eastAsia="黑体"/>
          <w:b w:val="0"/>
          <w:color w:val="000000"/>
        </w:rPr>
      </w:pPr>
      <w:bookmarkStart w:id="942" w:name="_Toc351203576"/>
      <w:r>
        <w:rPr>
          <w:rFonts w:eastAsia="黑体"/>
          <w:b w:val="0"/>
          <w:color w:val="000000"/>
        </w:rPr>
        <w:t>1</w:t>
      </w:r>
      <w:bookmarkStart w:id="943" w:name="_Toc296346592"/>
      <w:bookmarkStart w:id="944" w:name="_Toc337558796"/>
      <w:bookmarkStart w:id="945" w:name="_Toc296503091"/>
      <w:r>
        <w:rPr>
          <w:rFonts w:eastAsia="黑体"/>
          <w:b w:val="0"/>
          <w:color w:val="000000"/>
        </w:rPr>
        <w:t>0.9计日工</w:t>
      </w:r>
      <w:bookmarkEnd w:id="942"/>
      <w:r>
        <w:rPr>
          <w:rFonts w:eastAsia="黑体"/>
          <w:b w:val="0"/>
          <w:color w:val="000000"/>
        </w:rPr>
        <w:t xml:space="preserve"> </w:t>
      </w:r>
      <w:bookmarkEnd w:id="943"/>
      <w:bookmarkEnd w:id="944"/>
      <w:bookmarkEnd w:id="945"/>
    </w:p>
    <w:p w14:paraId="4F59D891">
      <w:pPr>
        <w:autoSpaceDE w:val="0"/>
        <w:autoSpaceDN w:val="0"/>
        <w:adjustRightInd w:val="0"/>
        <w:spacing w:line="500" w:lineRule="exact"/>
        <w:ind w:firstLine="560" w:firstLineChars="200"/>
        <w:jc w:val="left"/>
        <w:rPr>
          <w:rFonts w:eastAsia="仿宋_GB2312"/>
          <w:color w:val="000000"/>
          <w:kern w:val="0"/>
          <w:sz w:val="28"/>
          <w:szCs w:val="28"/>
        </w:rPr>
      </w:pPr>
      <w:r>
        <w:rPr>
          <w:rFonts w:hint="eastAsia" w:eastAsia="仿宋_GB2312"/>
          <w:color w:val="000000"/>
          <w:kern w:val="0"/>
          <w:sz w:val="28"/>
          <w:szCs w:val="28"/>
        </w:rPr>
        <w:t>需要采用计日工方式的，经发包人同意后</w:t>
      </w:r>
      <w:r>
        <w:rPr>
          <w:rFonts w:eastAsia="仿宋_GB2312"/>
          <w:color w:val="000000"/>
          <w:kern w:val="0"/>
          <w:sz w:val="28"/>
          <w:szCs w:val="28"/>
        </w:rPr>
        <w:t>，由监理人通知承包人以计日工计价方式实施</w:t>
      </w:r>
      <w:r>
        <w:rPr>
          <w:rFonts w:hint="eastAsia" w:eastAsia="仿宋_GB2312"/>
          <w:color w:val="000000"/>
          <w:kern w:val="0"/>
          <w:sz w:val="28"/>
          <w:szCs w:val="28"/>
        </w:rPr>
        <w:t>相应</w:t>
      </w:r>
      <w:r>
        <w:rPr>
          <w:rFonts w:eastAsia="仿宋_GB2312"/>
          <w:color w:val="000000"/>
          <w:kern w:val="0"/>
          <w:sz w:val="28"/>
          <w:szCs w:val="28"/>
        </w:rPr>
        <w:t>的工作，其价款按列入已标价工程量清单或预算书中的计日工计价项目及其单价进行计算；已标价工程量清单或预算书中无相应的计日工单价的，按照合理的成本与利润构成的原则，由合同当事人按照第4.4款</w:t>
      </w:r>
      <w:r>
        <w:rPr>
          <w:rFonts w:hint="eastAsia" w:eastAsia="仿宋_GB2312"/>
          <w:color w:val="000000"/>
          <w:kern w:val="0"/>
          <w:sz w:val="28"/>
          <w:szCs w:val="28"/>
        </w:rPr>
        <w:t>〔</w:t>
      </w:r>
      <w:r>
        <w:rPr>
          <w:rFonts w:eastAsia="仿宋_GB2312"/>
          <w:color w:val="000000"/>
          <w:kern w:val="0"/>
          <w:sz w:val="28"/>
          <w:szCs w:val="28"/>
        </w:rPr>
        <w:t>商定或确定</w:t>
      </w:r>
      <w:r>
        <w:rPr>
          <w:rFonts w:hint="eastAsia" w:eastAsia="仿宋_GB2312"/>
          <w:color w:val="000000"/>
          <w:kern w:val="0"/>
          <w:sz w:val="28"/>
          <w:szCs w:val="28"/>
        </w:rPr>
        <w:t>〕</w:t>
      </w:r>
      <w:r>
        <w:rPr>
          <w:rFonts w:eastAsia="仿宋_GB2312"/>
          <w:color w:val="000000"/>
          <w:kern w:val="0"/>
          <w:sz w:val="28"/>
          <w:szCs w:val="28"/>
        </w:rPr>
        <w:t>确定</w:t>
      </w:r>
      <w:r>
        <w:rPr>
          <w:rFonts w:hint="eastAsia" w:eastAsia="仿宋_GB2312"/>
          <w:color w:val="000000"/>
          <w:kern w:val="0"/>
          <w:sz w:val="28"/>
          <w:szCs w:val="28"/>
        </w:rPr>
        <w:t>计日工</w:t>
      </w:r>
      <w:r>
        <w:rPr>
          <w:rFonts w:eastAsia="仿宋_GB2312"/>
          <w:color w:val="000000"/>
          <w:kern w:val="0"/>
          <w:sz w:val="28"/>
          <w:szCs w:val="28"/>
        </w:rPr>
        <w:t>的单价。</w:t>
      </w:r>
    </w:p>
    <w:p w14:paraId="44D60506">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采用计日工计价的任何一项工作，承包人应在该项工作实施过程中，每天提交以下报表和有关凭证报送监理人审查：</w:t>
      </w:r>
    </w:p>
    <w:p w14:paraId="618B828E">
      <w:pPr>
        <w:spacing w:line="500" w:lineRule="exact"/>
        <w:ind w:firstLine="420" w:firstLineChars="150"/>
        <w:jc w:val="left"/>
        <w:rPr>
          <w:rFonts w:eastAsia="仿宋_GB2312"/>
          <w:color w:val="000000"/>
          <w:kern w:val="0"/>
          <w:sz w:val="28"/>
          <w:szCs w:val="28"/>
        </w:rPr>
      </w:pPr>
      <w:r>
        <w:rPr>
          <w:rFonts w:eastAsia="仿宋_GB2312"/>
          <w:color w:val="000000"/>
          <w:kern w:val="0"/>
          <w:sz w:val="28"/>
          <w:szCs w:val="28"/>
        </w:rPr>
        <w:t>（1）工作名称、内容和数量；</w:t>
      </w:r>
    </w:p>
    <w:p w14:paraId="401C7773">
      <w:pPr>
        <w:spacing w:line="500" w:lineRule="exact"/>
        <w:ind w:firstLine="420" w:firstLineChars="150"/>
        <w:jc w:val="left"/>
        <w:rPr>
          <w:rFonts w:eastAsia="仿宋_GB2312"/>
          <w:color w:val="000000"/>
          <w:kern w:val="0"/>
          <w:sz w:val="28"/>
          <w:szCs w:val="28"/>
        </w:rPr>
      </w:pPr>
      <w:r>
        <w:rPr>
          <w:rFonts w:eastAsia="仿宋_GB2312"/>
          <w:color w:val="000000"/>
          <w:kern w:val="0"/>
          <w:sz w:val="28"/>
          <w:szCs w:val="28"/>
        </w:rPr>
        <w:t>（2）投入该工作的所有人员的姓名、专业、工种、级别和耗用工时；</w:t>
      </w:r>
    </w:p>
    <w:p w14:paraId="1F1F45E7">
      <w:pPr>
        <w:spacing w:line="500" w:lineRule="exact"/>
        <w:ind w:firstLine="420" w:firstLineChars="150"/>
        <w:jc w:val="left"/>
        <w:rPr>
          <w:rFonts w:eastAsia="仿宋_GB2312"/>
          <w:color w:val="000000"/>
          <w:kern w:val="0"/>
          <w:sz w:val="28"/>
          <w:szCs w:val="28"/>
        </w:rPr>
      </w:pPr>
      <w:r>
        <w:rPr>
          <w:rFonts w:eastAsia="仿宋_GB2312"/>
          <w:color w:val="000000"/>
          <w:kern w:val="0"/>
          <w:sz w:val="28"/>
          <w:szCs w:val="28"/>
        </w:rPr>
        <w:t>（3）投入该工作的材料类别和数量；</w:t>
      </w:r>
    </w:p>
    <w:p w14:paraId="0DC98191">
      <w:pPr>
        <w:spacing w:line="500" w:lineRule="exact"/>
        <w:ind w:firstLine="420" w:firstLineChars="150"/>
        <w:jc w:val="left"/>
        <w:rPr>
          <w:rFonts w:eastAsia="仿宋_GB2312"/>
          <w:color w:val="000000"/>
          <w:kern w:val="0"/>
          <w:sz w:val="28"/>
          <w:szCs w:val="28"/>
        </w:rPr>
      </w:pPr>
      <w:r>
        <w:rPr>
          <w:rFonts w:eastAsia="仿宋_GB2312"/>
          <w:color w:val="000000"/>
          <w:kern w:val="0"/>
          <w:sz w:val="28"/>
          <w:szCs w:val="28"/>
        </w:rPr>
        <w:t>（4）投入该工作的施工设备型号、台数和耗用台时；</w:t>
      </w:r>
    </w:p>
    <w:p w14:paraId="067C5891">
      <w:pPr>
        <w:spacing w:line="500" w:lineRule="exact"/>
        <w:ind w:firstLine="420" w:firstLineChars="150"/>
        <w:jc w:val="left"/>
        <w:rPr>
          <w:rFonts w:eastAsia="仿宋_GB2312"/>
          <w:color w:val="000000"/>
          <w:kern w:val="0"/>
          <w:sz w:val="28"/>
          <w:szCs w:val="28"/>
        </w:rPr>
      </w:pPr>
      <w:r>
        <w:rPr>
          <w:rFonts w:eastAsia="仿宋_GB2312"/>
          <w:color w:val="000000"/>
          <w:kern w:val="0"/>
          <w:sz w:val="28"/>
          <w:szCs w:val="28"/>
        </w:rPr>
        <w:t>（5）其他有关资料和凭证。</w:t>
      </w:r>
    </w:p>
    <w:p w14:paraId="6B5E71B0">
      <w:pPr>
        <w:spacing w:line="500" w:lineRule="exact"/>
        <w:ind w:firstLine="420" w:firstLineChars="150"/>
        <w:jc w:val="left"/>
        <w:rPr>
          <w:rFonts w:eastAsia="仿宋_GB2312"/>
          <w:color w:val="000000"/>
          <w:kern w:val="0"/>
          <w:sz w:val="28"/>
          <w:szCs w:val="28"/>
        </w:rPr>
      </w:pPr>
      <w:r>
        <w:rPr>
          <w:rFonts w:eastAsia="仿宋_GB2312"/>
          <w:color w:val="000000"/>
          <w:kern w:val="0"/>
          <w:sz w:val="28"/>
          <w:szCs w:val="28"/>
        </w:rPr>
        <w:t xml:space="preserve"> 计日工由承包人汇总后，列入最近一期进度付款申请单，由监理人审查并经发包人批准后列入进度付款。</w:t>
      </w:r>
    </w:p>
    <w:p w14:paraId="213C63ED">
      <w:pPr>
        <w:pStyle w:val="6"/>
        <w:spacing w:before="120" w:after="120" w:line="500" w:lineRule="exact"/>
        <w:rPr>
          <w:rFonts w:ascii="Times New Roman" w:hAnsi="Times New Roman"/>
          <w:b w:val="0"/>
          <w:color w:val="000000"/>
        </w:rPr>
      </w:pPr>
      <w:bookmarkStart w:id="946" w:name="_Toc351203577"/>
      <w:r>
        <w:rPr>
          <w:rFonts w:ascii="Times New Roman" w:hAnsi="Times New Roman"/>
          <w:b w:val="0"/>
          <w:color w:val="000000"/>
        </w:rPr>
        <w:t>11. 价格调整</w:t>
      </w:r>
      <w:bookmarkEnd w:id="946"/>
    </w:p>
    <w:p w14:paraId="24D23FA9">
      <w:pPr>
        <w:pStyle w:val="7"/>
        <w:spacing w:before="120" w:after="120" w:line="500" w:lineRule="exact"/>
        <w:ind w:firstLine="560" w:firstLineChars="200"/>
        <w:rPr>
          <w:rFonts w:eastAsia="黑体"/>
          <w:b w:val="0"/>
          <w:color w:val="000000"/>
        </w:rPr>
      </w:pPr>
      <w:bookmarkStart w:id="947" w:name="_Toc351203578"/>
      <w:bookmarkStart w:id="948" w:name="_Toc296503092"/>
      <w:bookmarkStart w:id="949" w:name="_Toc337558797"/>
      <w:bookmarkStart w:id="950" w:name="_Toc296346593"/>
      <w:r>
        <w:rPr>
          <w:rFonts w:eastAsia="黑体"/>
          <w:b w:val="0"/>
          <w:color w:val="000000"/>
        </w:rPr>
        <w:t>11.1市场价格波动引起的调整</w:t>
      </w:r>
      <w:bookmarkEnd w:id="947"/>
    </w:p>
    <w:bookmarkEnd w:id="948"/>
    <w:bookmarkEnd w:id="949"/>
    <w:bookmarkEnd w:id="950"/>
    <w:p w14:paraId="30E0F197">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除专用合同条款另有约定外，市场价格波动超过合同当事人约定的范围，合同价格应当调整。合同当事人可以在专用合同条款中约定选择以下一种方式对合同价格进行调整：</w:t>
      </w:r>
    </w:p>
    <w:p w14:paraId="40A0F45D">
      <w:pPr>
        <w:spacing w:line="500" w:lineRule="exact"/>
        <w:ind w:firstLine="560" w:firstLineChars="200"/>
        <w:rPr>
          <w:rFonts w:eastAsia="仿宋_GB2312"/>
          <w:color w:val="000000"/>
          <w:sz w:val="28"/>
          <w:szCs w:val="28"/>
        </w:rPr>
      </w:pPr>
      <w:r>
        <w:rPr>
          <w:rFonts w:eastAsia="仿宋_GB2312"/>
          <w:color w:val="000000"/>
          <w:sz w:val="28"/>
          <w:szCs w:val="28"/>
        </w:rPr>
        <w:t>第1种方式：采用价格指数</w:t>
      </w:r>
      <w:r>
        <w:rPr>
          <w:rFonts w:hint="eastAsia" w:eastAsia="仿宋_GB2312"/>
          <w:color w:val="000000"/>
          <w:sz w:val="28"/>
          <w:szCs w:val="28"/>
        </w:rPr>
        <w:t>进行价格</w:t>
      </w:r>
      <w:r>
        <w:rPr>
          <w:rFonts w:eastAsia="仿宋_GB2312"/>
          <w:color w:val="000000"/>
          <w:sz w:val="28"/>
          <w:szCs w:val="28"/>
        </w:rPr>
        <w:t>调整。</w:t>
      </w:r>
    </w:p>
    <w:p w14:paraId="79CB6AB3">
      <w:pPr>
        <w:tabs>
          <w:tab w:val="left" w:pos="0"/>
          <w:tab w:val="left" w:pos="360"/>
          <w:tab w:val="left" w:pos="540"/>
        </w:tabs>
        <w:spacing w:line="500" w:lineRule="exact"/>
        <w:ind w:firstLine="560" w:firstLineChars="200"/>
        <w:rPr>
          <w:rFonts w:eastAsia="仿宋_GB2312"/>
          <w:color w:val="000000"/>
          <w:sz w:val="28"/>
          <w:szCs w:val="28"/>
        </w:rPr>
      </w:pPr>
      <w:r>
        <w:rPr>
          <w:rFonts w:eastAsia="仿宋_GB2312"/>
          <w:color w:val="000000"/>
          <w:sz w:val="28"/>
          <w:szCs w:val="28"/>
        </w:rPr>
        <w:t>（1）价格调整公式</w:t>
      </w:r>
    </w:p>
    <w:p w14:paraId="0BC949D8">
      <w:pPr>
        <w:tabs>
          <w:tab w:val="left" w:pos="0"/>
          <w:tab w:val="left" w:pos="360"/>
          <w:tab w:val="left" w:pos="540"/>
        </w:tabs>
        <w:spacing w:line="500" w:lineRule="exact"/>
        <w:ind w:firstLine="560" w:firstLineChars="200"/>
        <w:rPr>
          <w:rFonts w:eastAsia="仿宋_GB2312"/>
          <w:color w:val="000000"/>
          <w:sz w:val="28"/>
          <w:szCs w:val="28"/>
        </w:rPr>
      </w:pPr>
      <w:r>
        <w:rPr>
          <w:rFonts w:eastAsia="仿宋_GB2312"/>
          <w:color w:val="000000"/>
          <w:sz w:val="28"/>
          <w:szCs w:val="28"/>
        </w:rPr>
        <w:t>因人工、材料和设备等价格波动影响合同价格时，根据专用合同条款中约定的数据，按以下公式计算差额并调整合同价格：</w:t>
      </w:r>
    </w:p>
    <w:p w14:paraId="44229DD7">
      <w:pPr>
        <w:tabs>
          <w:tab w:val="left" w:pos="0"/>
          <w:tab w:val="left" w:pos="360"/>
          <w:tab w:val="left" w:pos="540"/>
        </w:tabs>
        <w:spacing w:line="500" w:lineRule="exact"/>
        <w:ind w:firstLine="560" w:firstLineChars="200"/>
        <w:rPr>
          <w:rFonts w:eastAsia="仿宋_GB2312"/>
          <w:color w:val="000000"/>
          <w:sz w:val="28"/>
          <w:szCs w:val="28"/>
        </w:rPr>
      </w:pPr>
      <w:r>
        <w:rPr>
          <w:rFonts w:hint="eastAsia" w:eastAsia="仿宋_GB2312"/>
          <w:color w:val="000000"/>
          <w:position w:val="-30"/>
          <w:sz w:val="28"/>
          <w:szCs w:val="28"/>
        </w:rPr>
        <w:object>
          <v:shape id="_x0000_i1025" o:spt="75" type="#_x0000_t75" style="height:43.85pt;width:360pt;" o:ole="t" filled="f" o:preferrelative="t" stroked="f" coordsize="21600,21600">
            <v:path/>
            <v:fill on="f" focussize="0,0"/>
            <v:stroke on="f" joinstyle="miter"/>
            <v:imagedata r:id="rId20" o:title=""/>
            <o:lock v:ext="edit" aspectratio="t"/>
            <w10:wrap type="none"/>
            <w10:anchorlock/>
          </v:shape>
          <o:OLEObject Type="Embed" ProgID="Equation.KSEE3" ShapeID="_x0000_i1025" DrawAspect="Content" ObjectID="_1468075725" r:id="rId19">
            <o:LockedField>false</o:LockedField>
          </o:OLEObject>
        </w:object>
      </w:r>
    </w:p>
    <w:p w14:paraId="7F0E07AF">
      <w:pPr>
        <w:tabs>
          <w:tab w:val="left" w:pos="0"/>
          <w:tab w:val="left" w:pos="360"/>
          <w:tab w:val="left" w:pos="540"/>
        </w:tabs>
        <w:spacing w:line="500" w:lineRule="exact"/>
        <w:ind w:firstLine="640"/>
        <w:rPr>
          <w:rFonts w:eastAsia="仿宋_GB2312"/>
          <w:color w:val="000000"/>
          <w:sz w:val="28"/>
          <w:szCs w:val="28"/>
        </w:rPr>
      </w:pPr>
      <w:r>
        <w:rPr>
          <w:rFonts w:eastAsia="仿宋_GB2312"/>
          <w:color w:val="000000"/>
          <w:sz w:val="28"/>
          <w:szCs w:val="28"/>
        </w:rPr>
        <w:t>公式中：ΔP——需调整的价格差额；</w:t>
      </w:r>
    </w:p>
    <w:p w14:paraId="5849C8D2">
      <w:pPr>
        <w:tabs>
          <w:tab w:val="left" w:pos="0"/>
          <w:tab w:val="left" w:pos="360"/>
          <w:tab w:val="left" w:pos="540"/>
        </w:tabs>
        <w:spacing w:line="500" w:lineRule="exact"/>
        <w:ind w:firstLine="1680" w:firstLineChars="600"/>
        <w:rPr>
          <w:rFonts w:eastAsia="仿宋_GB2312"/>
          <w:color w:val="000000"/>
          <w:sz w:val="28"/>
          <w:szCs w:val="28"/>
        </w:rPr>
      </w:pPr>
      <w:r>
        <w:rPr>
          <w:rFonts w:eastAsia="仿宋_GB2312"/>
          <w:color w:val="000000"/>
          <w:position w:val="-6"/>
          <w:sz w:val="28"/>
          <w:szCs w:val="28"/>
        </w:rPr>
        <w:object>
          <v:shape id="_x0000_i1026" o:spt="75" type="#_x0000_t75" style="height:18pt;width:18pt;" o:ole="t" filled="f" o:preferrelative="t" stroked="f" coordsize="21600,21600">
            <v:path/>
            <v:fill on="f" focussize="0,0"/>
            <v:stroke on="f" joinstyle="miter"/>
            <v:imagedata r:id="rId22" o:title=""/>
            <o:lock v:ext="edit" aspectratio="t"/>
            <w10:wrap type="none"/>
            <w10:anchorlock/>
          </v:shape>
          <o:OLEObject Type="Embed" ProgID="Equation.KSEE3" ShapeID="_x0000_i1026" DrawAspect="Content" ObjectID="_1468075726" r:id="rId21">
            <o:LockedField>false</o:LockedField>
          </o:OLEObject>
        </w:object>
      </w:r>
      <w:r>
        <w:rPr>
          <w:rFonts w:eastAsia="仿宋_GB2312"/>
          <w:color w:val="000000"/>
          <w:sz w:val="28"/>
          <w:szCs w:val="28"/>
        </w:rPr>
        <w:t>——约定的付款证书中承包人应得到的已完成工程量的金额。此项金额应不包括价格调整、不计质量保证金的扣留和支付、预付款的支付和扣回。约定的变更及其他金额已按现行价格计价的，也不计在内；</w:t>
      </w:r>
    </w:p>
    <w:p w14:paraId="21AA110F">
      <w:pPr>
        <w:tabs>
          <w:tab w:val="left" w:pos="0"/>
          <w:tab w:val="left" w:pos="360"/>
          <w:tab w:val="left" w:pos="540"/>
        </w:tabs>
        <w:spacing w:line="500" w:lineRule="exact"/>
        <w:ind w:firstLine="560" w:firstLineChars="200"/>
        <w:rPr>
          <w:rFonts w:eastAsia="仿宋_GB2312"/>
          <w:color w:val="000000"/>
          <w:sz w:val="28"/>
          <w:szCs w:val="28"/>
        </w:rPr>
      </w:pPr>
      <w:r>
        <w:rPr>
          <w:rFonts w:eastAsia="仿宋_GB2312"/>
          <w:color w:val="000000"/>
          <w:sz w:val="28"/>
          <w:szCs w:val="28"/>
        </w:rPr>
        <w:t>A——定值权重（即不调部分的权重）；</w:t>
      </w:r>
    </w:p>
    <w:p w14:paraId="145D2E17">
      <w:pPr>
        <w:tabs>
          <w:tab w:val="left" w:pos="0"/>
          <w:tab w:val="left" w:pos="360"/>
          <w:tab w:val="left" w:pos="540"/>
        </w:tabs>
        <w:spacing w:line="500" w:lineRule="exact"/>
        <w:ind w:firstLine="560" w:firstLineChars="200"/>
        <w:rPr>
          <w:rFonts w:eastAsia="仿宋_GB2312"/>
          <w:color w:val="000000"/>
          <w:sz w:val="28"/>
          <w:szCs w:val="28"/>
        </w:rPr>
      </w:pPr>
      <w:r>
        <w:rPr>
          <w:rFonts w:eastAsia="仿宋_GB2312"/>
          <w:color w:val="000000"/>
          <w:position w:val="-10"/>
          <w:sz w:val="28"/>
          <w:szCs w:val="28"/>
        </w:rPr>
        <w:object>
          <v:shape id="_x0000_i1027" o:spt="75" type="#_x0000_t75" style="height:21.15pt;width:100.95pt;" o:ole="t" filled="f" o:preferrelative="t" stroked="f" coordsize="21600,21600">
            <v:path/>
            <v:fill on="f" focussize="0,0"/>
            <v:stroke on="f" joinstyle="miter"/>
            <v:imagedata r:id="rId24" o:title=""/>
            <o:lock v:ext="edit" aspectratio="t"/>
            <w10:wrap type="none"/>
            <w10:anchorlock/>
          </v:shape>
          <o:OLEObject Type="Embed" ProgID="Equation.KSEE3" ShapeID="_x0000_i1027" DrawAspect="Content" ObjectID="_1468075727" r:id="rId23">
            <o:LockedField>false</o:LockedField>
          </o:OLEObject>
        </w:object>
      </w:r>
      <w:r>
        <w:rPr>
          <w:rFonts w:eastAsia="仿宋_GB2312"/>
          <w:color w:val="000000"/>
          <w:sz w:val="28"/>
          <w:szCs w:val="28"/>
        </w:rPr>
        <w:t>——各可调因子的变值权重（即可调部分的权重），为各可调因子在签约合同价中所占的比例；</w:t>
      </w:r>
    </w:p>
    <w:p w14:paraId="55BDE053">
      <w:pPr>
        <w:tabs>
          <w:tab w:val="left" w:pos="0"/>
          <w:tab w:val="left" w:pos="360"/>
          <w:tab w:val="left" w:pos="540"/>
        </w:tabs>
        <w:spacing w:line="500" w:lineRule="exact"/>
        <w:ind w:firstLine="560" w:firstLineChars="200"/>
        <w:rPr>
          <w:rFonts w:eastAsia="仿宋_GB2312"/>
          <w:color w:val="000000"/>
          <w:sz w:val="28"/>
          <w:szCs w:val="28"/>
        </w:rPr>
      </w:pPr>
      <w:r>
        <w:rPr>
          <w:rFonts w:eastAsia="仿宋_GB2312"/>
          <w:color w:val="000000"/>
          <w:position w:val="-10"/>
          <w:sz w:val="28"/>
          <w:szCs w:val="28"/>
        </w:rPr>
        <w:object>
          <v:shape id="_x0000_i1028" o:spt="75" type="#_x0000_t75" style="height:21.15pt;width:102.5pt;" o:ole="t" filled="f" o:preferrelative="t" stroked="f" coordsize="21600,21600">
            <v:path/>
            <v:fill on="f" focussize="0,0"/>
            <v:stroke on="f" joinstyle="miter"/>
            <v:imagedata r:id="rId26" o:title=""/>
            <o:lock v:ext="edit" aspectratio="t"/>
            <w10:wrap type="none"/>
            <w10:anchorlock/>
          </v:shape>
          <o:OLEObject Type="Embed" ProgID="Equation.KSEE3" ShapeID="_x0000_i1028" DrawAspect="Content" ObjectID="_1468075728" r:id="rId25">
            <o:LockedField>false</o:LockedField>
          </o:OLEObject>
        </w:object>
      </w:r>
      <w:r>
        <w:rPr>
          <w:rFonts w:eastAsia="仿宋_GB2312"/>
          <w:color w:val="000000"/>
          <w:sz w:val="28"/>
          <w:szCs w:val="28"/>
        </w:rPr>
        <w:t>——各可调因子的现行价格指数，指约定的付款证书相关周期最后一天的前42天的各可调因子的价格指数；</w:t>
      </w:r>
    </w:p>
    <w:p w14:paraId="7053C44A">
      <w:pPr>
        <w:tabs>
          <w:tab w:val="left" w:pos="0"/>
          <w:tab w:val="left" w:pos="360"/>
          <w:tab w:val="left" w:pos="540"/>
        </w:tabs>
        <w:spacing w:line="500" w:lineRule="exact"/>
        <w:ind w:firstLine="560" w:firstLineChars="200"/>
        <w:rPr>
          <w:rFonts w:eastAsia="仿宋_GB2312"/>
          <w:color w:val="000000"/>
          <w:sz w:val="28"/>
          <w:szCs w:val="28"/>
        </w:rPr>
      </w:pPr>
      <w:r>
        <w:rPr>
          <w:rFonts w:eastAsia="仿宋_GB2312"/>
          <w:color w:val="000000"/>
          <w:position w:val="-10"/>
          <w:sz w:val="28"/>
          <w:szCs w:val="28"/>
        </w:rPr>
        <w:object>
          <v:shape id="_x0000_i1029" o:spt="75" type="#_x0000_t75" style="height:20.35pt;width:108pt;" o:ole="t" filled="f" o:preferrelative="t" stroked="f" coordsize="21600,21600">
            <v:path/>
            <v:fill on="f" focussize="0,0"/>
            <v:stroke on="f" joinstyle="miter"/>
            <v:imagedata r:id="rId28" o:title=""/>
            <o:lock v:ext="edit" aspectratio="t"/>
            <w10:wrap type="none"/>
            <w10:anchorlock/>
          </v:shape>
          <o:OLEObject Type="Embed" ProgID="Equation.KSEE3" ShapeID="_x0000_i1029" DrawAspect="Content" ObjectID="_1468075729" r:id="rId27">
            <o:LockedField>false</o:LockedField>
          </o:OLEObject>
        </w:object>
      </w:r>
      <w:r>
        <w:rPr>
          <w:rFonts w:eastAsia="仿宋_GB2312"/>
          <w:color w:val="000000"/>
          <w:sz w:val="28"/>
          <w:szCs w:val="28"/>
        </w:rPr>
        <w:t>——各可调因子的基本价格指数，指基准日期的各可调因子的价格指数。</w:t>
      </w:r>
    </w:p>
    <w:p w14:paraId="589E398D">
      <w:pPr>
        <w:tabs>
          <w:tab w:val="left" w:pos="0"/>
          <w:tab w:val="left" w:pos="360"/>
          <w:tab w:val="left" w:pos="540"/>
        </w:tabs>
        <w:spacing w:line="500" w:lineRule="exact"/>
        <w:ind w:firstLine="560" w:firstLineChars="200"/>
        <w:rPr>
          <w:rFonts w:eastAsia="仿宋_GB2312"/>
          <w:color w:val="000000"/>
          <w:sz w:val="28"/>
          <w:szCs w:val="28"/>
        </w:rPr>
      </w:pPr>
      <w:r>
        <w:rPr>
          <w:rFonts w:eastAsia="仿宋_GB2312"/>
          <w:color w:val="000000"/>
          <w:sz w:val="28"/>
          <w:szCs w:val="28"/>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4912BB00">
      <w:pPr>
        <w:tabs>
          <w:tab w:val="left" w:pos="0"/>
          <w:tab w:val="left" w:pos="360"/>
          <w:tab w:val="left" w:pos="540"/>
        </w:tabs>
        <w:spacing w:line="500" w:lineRule="exact"/>
        <w:ind w:firstLine="560" w:firstLineChars="200"/>
        <w:rPr>
          <w:rFonts w:eastAsia="仿宋_GB2312"/>
          <w:color w:val="000000"/>
          <w:sz w:val="28"/>
          <w:szCs w:val="28"/>
        </w:rPr>
      </w:pPr>
      <w:r>
        <w:rPr>
          <w:rFonts w:eastAsia="仿宋_GB2312"/>
          <w:color w:val="000000"/>
          <w:sz w:val="28"/>
          <w:szCs w:val="28"/>
        </w:rPr>
        <w:t>（2）暂时确定调整差额</w:t>
      </w:r>
    </w:p>
    <w:p w14:paraId="6E9CD49A">
      <w:pPr>
        <w:tabs>
          <w:tab w:val="left" w:pos="0"/>
          <w:tab w:val="left" w:pos="360"/>
          <w:tab w:val="left" w:pos="540"/>
        </w:tabs>
        <w:spacing w:line="500" w:lineRule="exact"/>
        <w:ind w:firstLine="560" w:firstLineChars="200"/>
        <w:rPr>
          <w:rFonts w:eastAsia="仿宋_GB2312"/>
          <w:color w:val="000000"/>
          <w:sz w:val="28"/>
          <w:szCs w:val="28"/>
        </w:rPr>
      </w:pPr>
      <w:r>
        <w:rPr>
          <w:rFonts w:eastAsia="仿宋_GB2312"/>
          <w:color w:val="000000"/>
          <w:sz w:val="28"/>
          <w:szCs w:val="28"/>
        </w:rPr>
        <w:t>在计算调整差额时无现行价格指数的，合同当事人同意暂用前次价格指数计算。实际价格指数有调整的，合同当事人进行相应调整。</w:t>
      </w:r>
    </w:p>
    <w:p w14:paraId="1194FD7A">
      <w:pPr>
        <w:tabs>
          <w:tab w:val="left" w:pos="0"/>
          <w:tab w:val="left" w:pos="360"/>
          <w:tab w:val="left" w:pos="540"/>
        </w:tabs>
        <w:spacing w:line="500" w:lineRule="exact"/>
        <w:ind w:firstLine="560" w:firstLineChars="200"/>
        <w:rPr>
          <w:rFonts w:eastAsia="仿宋_GB2312"/>
          <w:color w:val="000000"/>
          <w:sz w:val="28"/>
          <w:szCs w:val="28"/>
        </w:rPr>
      </w:pPr>
      <w:r>
        <w:rPr>
          <w:rFonts w:eastAsia="仿宋_GB2312"/>
          <w:color w:val="000000"/>
          <w:sz w:val="28"/>
          <w:szCs w:val="28"/>
        </w:rPr>
        <w:t>（3）权重的调整</w:t>
      </w:r>
    </w:p>
    <w:p w14:paraId="1BCCE998">
      <w:pPr>
        <w:tabs>
          <w:tab w:val="left" w:pos="0"/>
          <w:tab w:val="left" w:pos="360"/>
          <w:tab w:val="left" w:pos="540"/>
        </w:tabs>
        <w:spacing w:line="500" w:lineRule="exact"/>
        <w:ind w:firstLine="560" w:firstLineChars="200"/>
        <w:rPr>
          <w:rFonts w:eastAsia="仿宋_GB2312"/>
          <w:color w:val="000000"/>
          <w:sz w:val="28"/>
          <w:szCs w:val="28"/>
        </w:rPr>
      </w:pPr>
      <w:r>
        <w:rPr>
          <w:rFonts w:eastAsia="仿宋_GB2312"/>
          <w:color w:val="000000"/>
          <w:sz w:val="28"/>
          <w:szCs w:val="28"/>
        </w:rPr>
        <w:t>因变更导致合同约定的权重不合理时，按照第4.4款</w:t>
      </w:r>
      <w:r>
        <w:rPr>
          <w:rFonts w:hint="eastAsia" w:eastAsia="仿宋_GB2312"/>
          <w:color w:val="000000"/>
          <w:sz w:val="28"/>
          <w:szCs w:val="28"/>
        </w:rPr>
        <w:t>〔</w:t>
      </w:r>
      <w:r>
        <w:rPr>
          <w:rFonts w:eastAsia="仿宋_GB2312"/>
          <w:color w:val="000000"/>
          <w:sz w:val="28"/>
          <w:szCs w:val="28"/>
        </w:rPr>
        <w:t>商定或确定</w:t>
      </w:r>
      <w:r>
        <w:rPr>
          <w:rFonts w:hint="eastAsia" w:eastAsia="仿宋_GB2312"/>
          <w:color w:val="000000"/>
          <w:sz w:val="28"/>
          <w:szCs w:val="28"/>
        </w:rPr>
        <w:t>〕</w:t>
      </w:r>
      <w:r>
        <w:rPr>
          <w:rFonts w:eastAsia="仿宋_GB2312"/>
          <w:color w:val="000000"/>
          <w:sz w:val="28"/>
          <w:szCs w:val="28"/>
        </w:rPr>
        <w:t>执行。</w:t>
      </w:r>
    </w:p>
    <w:p w14:paraId="1F2A2F82">
      <w:pPr>
        <w:tabs>
          <w:tab w:val="left" w:pos="0"/>
          <w:tab w:val="left" w:pos="360"/>
          <w:tab w:val="left" w:pos="540"/>
        </w:tabs>
        <w:spacing w:line="500" w:lineRule="exact"/>
        <w:ind w:firstLine="560" w:firstLineChars="200"/>
        <w:rPr>
          <w:rFonts w:eastAsia="仿宋_GB2312"/>
          <w:color w:val="000000"/>
          <w:sz w:val="28"/>
          <w:szCs w:val="28"/>
        </w:rPr>
      </w:pPr>
      <w:r>
        <w:rPr>
          <w:rFonts w:eastAsia="仿宋_GB2312"/>
          <w:color w:val="000000"/>
          <w:sz w:val="28"/>
          <w:szCs w:val="28"/>
        </w:rPr>
        <w:t>（4）因承包人原因工期延误后的价格调整</w:t>
      </w:r>
    </w:p>
    <w:p w14:paraId="306D460D">
      <w:pPr>
        <w:tabs>
          <w:tab w:val="left" w:pos="0"/>
          <w:tab w:val="left" w:pos="360"/>
          <w:tab w:val="left" w:pos="540"/>
        </w:tabs>
        <w:spacing w:line="500" w:lineRule="exact"/>
        <w:ind w:firstLine="560" w:firstLineChars="200"/>
        <w:rPr>
          <w:rFonts w:eastAsia="仿宋_GB2312"/>
          <w:color w:val="000000"/>
          <w:sz w:val="28"/>
          <w:szCs w:val="28"/>
        </w:rPr>
      </w:pPr>
      <w:r>
        <w:rPr>
          <w:rFonts w:eastAsia="仿宋_GB2312"/>
          <w:color w:val="000000"/>
          <w:sz w:val="28"/>
          <w:szCs w:val="28"/>
        </w:rPr>
        <w:t>因承包人原因未按期竣工的，对合同约定的竣工日期后继续施工的工程，在使用价格调整公式时，应采用计划竣工日期与实际竣工日期的两个价格指数中较低的一个作为现行价格指数。</w:t>
      </w:r>
    </w:p>
    <w:p w14:paraId="6B25208F">
      <w:pPr>
        <w:spacing w:line="500" w:lineRule="exact"/>
        <w:ind w:firstLine="560" w:firstLineChars="200"/>
        <w:rPr>
          <w:rFonts w:eastAsia="仿宋_GB2312"/>
          <w:color w:val="000000"/>
          <w:sz w:val="28"/>
          <w:szCs w:val="28"/>
        </w:rPr>
      </w:pPr>
      <w:r>
        <w:rPr>
          <w:rFonts w:eastAsia="仿宋_GB2312"/>
          <w:color w:val="000000"/>
          <w:sz w:val="28"/>
          <w:szCs w:val="28"/>
        </w:rPr>
        <w:t>第2种方式：采用造价信息</w:t>
      </w:r>
      <w:r>
        <w:rPr>
          <w:rFonts w:hint="eastAsia" w:eastAsia="仿宋_GB2312"/>
          <w:color w:val="000000"/>
          <w:sz w:val="28"/>
          <w:szCs w:val="28"/>
        </w:rPr>
        <w:t>进行价格</w:t>
      </w:r>
      <w:r>
        <w:rPr>
          <w:rFonts w:eastAsia="仿宋_GB2312"/>
          <w:color w:val="000000"/>
          <w:sz w:val="28"/>
          <w:szCs w:val="28"/>
        </w:rPr>
        <w:t>调整。</w:t>
      </w:r>
    </w:p>
    <w:p w14:paraId="0A5F04DD">
      <w:pPr>
        <w:spacing w:line="500" w:lineRule="exact"/>
        <w:ind w:firstLine="560" w:firstLineChars="200"/>
        <w:rPr>
          <w:rFonts w:eastAsia="仿宋_GB2312"/>
          <w:color w:val="000000"/>
          <w:sz w:val="28"/>
          <w:szCs w:val="28"/>
        </w:rPr>
      </w:pPr>
      <w:r>
        <w:rPr>
          <w:rFonts w:eastAsia="仿宋_GB2312"/>
          <w:color w:val="000000"/>
          <w:sz w:val="28"/>
          <w:szCs w:val="28"/>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w:t>
      </w:r>
      <w:r>
        <w:rPr>
          <w:rFonts w:hint="eastAsia" w:eastAsia="仿宋_GB2312"/>
          <w:color w:val="000000"/>
          <w:sz w:val="28"/>
          <w:szCs w:val="28"/>
        </w:rPr>
        <w:t>量</w:t>
      </w:r>
      <w:r>
        <w:rPr>
          <w:rFonts w:eastAsia="仿宋_GB2312"/>
          <w:color w:val="000000"/>
          <w:sz w:val="28"/>
          <w:szCs w:val="28"/>
        </w:rPr>
        <w:t>应由发包人审批，发包人确认需调整的材料单价及数量，作为调整合同价格的依据。</w:t>
      </w:r>
    </w:p>
    <w:p w14:paraId="7A4A4FF3">
      <w:pPr>
        <w:spacing w:line="500" w:lineRule="exact"/>
        <w:ind w:firstLine="560" w:firstLineChars="200"/>
        <w:rPr>
          <w:rFonts w:eastAsia="仿宋_GB2312"/>
          <w:color w:val="000000"/>
          <w:sz w:val="28"/>
          <w:szCs w:val="28"/>
        </w:rPr>
      </w:pPr>
      <w:r>
        <w:rPr>
          <w:rFonts w:eastAsia="仿宋_GB2312"/>
          <w:color w:val="000000"/>
          <w:sz w:val="28"/>
          <w:szCs w:val="28"/>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0FEA09ED">
      <w:pPr>
        <w:spacing w:line="500" w:lineRule="exact"/>
        <w:ind w:firstLine="560" w:firstLineChars="200"/>
        <w:rPr>
          <w:rFonts w:eastAsia="仿宋_GB2312"/>
          <w:color w:val="000000"/>
          <w:sz w:val="28"/>
          <w:szCs w:val="28"/>
        </w:rPr>
      </w:pPr>
      <w:r>
        <w:rPr>
          <w:rFonts w:eastAsia="仿宋_GB2312"/>
          <w:color w:val="000000"/>
          <w:sz w:val="28"/>
          <w:szCs w:val="28"/>
        </w:rPr>
        <w:t>（2）材料、工程设备价格变化的价款调整按照发包人提供的基准价格，按以下风险范围规定执行:</w:t>
      </w:r>
    </w:p>
    <w:p w14:paraId="208B8B43">
      <w:pPr>
        <w:spacing w:line="500" w:lineRule="exact"/>
        <w:ind w:firstLine="560" w:firstLineChars="200"/>
        <w:rPr>
          <w:rFonts w:eastAsia="仿宋_GB2312"/>
          <w:color w:val="000000"/>
          <w:sz w:val="28"/>
          <w:szCs w:val="28"/>
        </w:rPr>
      </w:pPr>
      <w:r>
        <w:rPr>
          <w:rFonts w:hint="eastAsia" w:ascii="宋体" w:hAnsi="宋体" w:cs="宋体"/>
          <w:color w:val="000000"/>
          <w:sz w:val="28"/>
          <w:szCs w:val="28"/>
        </w:rPr>
        <w:t>①</w:t>
      </w:r>
      <w:r>
        <w:rPr>
          <w:rFonts w:eastAsia="仿宋_GB2312"/>
          <w:color w:val="000000"/>
          <w:sz w:val="28"/>
          <w:szCs w:val="28"/>
        </w:rPr>
        <w:t>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246A4BBA">
      <w:pPr>
        <w:spacing w:line="500" w:lineRule="exact"/>
        <w:ind w:firstLine="560" w:firstLineChars="200"/>
        <w:rPr>
          <w:rFonts w:eastAsia="仿宋_GB2312"/>
          <w:color w:val="000000"/>
          <w:sz w:val="28"/>
          <w:szCs w:val="28"/>
        </w:rPr>
      </w:pPr>
      <w:r>
        <w:rPr>
          <w:rFonts w:hint="eastAsia" w:ascii="宋体" w:hAnsi="宋体" w:cs="宋体"/>
          <w:color w:val="000000"/>
          <w:sz w:val="28"/>
          <w:szCs w:val="28"/>
        </w:rPr>
        <w:t>②</w:t>
      </w:r>
      <w:r>
        <w:rPr>
          <w:rFonts w:eastAsia="仿宋_GB2312"/>
          <w:color w:val="000000"/>
          <w:sz w:val="28"/>
          <w:szCs w:val="28"/>
        </w:rPr>
        <w:t>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1CE7F5DD">
      <w:pPr>
        <w:spacing w:line="500" w:lineRule="exact"/>
        <w:ind w:firstLine="560" w:firstLineChars="200"/>
        <w:rPr>
          <w:rFonts w:eastAsia="仿宋_GB2312"/>
          <w:color w:val="000000"/>
          <w:sz w:val="28"/>
          <w:szCs w:val="28"/>
        </w:rPr>
      </w:pPr>
      <w:r>
        <w:rPr>
          <w:rFonts w:hint="eastAsia" w:ascii="宋体" w:hAnsi="宋体" w:cs="宋体"/>
          <w:color w:val="000000"/>
          <w:sz w:val="28"/>
          <w:szCs w:val="28"/>
        </w:rPr>
        <w:t>③</w:t>
      </w:r>
      <w:r>
        <w:rPr>
          <w:rFonts w:eastAsia="仿宋_GB2312"/>
          <w:color w:val="000000"/>
          <w:sz w:val="28"/>
          <w:szCs w:val="28"/>
        </w:rPr>
        <w:t>承包人在已标价工程量清单或预算书中载明材料单价等于基准价格的：除专用合同条款另有约定外，合同履行期间材料单价涨跌幅以基准价格为基础超过±5%时，其超过部分据实调整。</w:t>
      </w:r>
    </w:p>
    <w:p w14:paraId="09CFEA38">
      <w:pPr>
        <w:spacing w:line="500" w:lineRule="exact"/>
        <w:ind w:firstLine="560" w:firstLineChars="200"/>
        <w:rPr>
          <w:rFonts w:eastAsia="仿宋_GB2312"/>
          <w:color w:val="000000"/>
          <w:sz w:val="28"/>
          <w:szCs w:val="28"/>
        </w:rPr>
      </w:pPr>
      <w:r>
        <w:rPr>
          <w:rFonts w:hint="eastAsia" w:ascii="宋体" w:hAnsi="宋体" w:cs="宋体"/>
          <w:color w:val="000000"/>
          <w:sz w:val="28"/>
          <w:szCs w:val="28"/>
        </w:rPr>
        <w:t>④</w:t>
      </w:r>
      <w:r>
        <w:rPr>
          <w:rFonts w:eastAsia="仿宋_GB2312"/>
          <w:color w:val="000000"/>
          <w:sz w:val="28"/>
          <w:szCs w:val="28"/>
        </w:rPr>
        <w:t>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08590C09">
      <w:pPr>
        <w:spacing w:line="500" w:lineRule="exact"/>
        <w:ind w:firstLine="560" w:firstLineChars="200"/>
        <w:rPr>
          <w:rFonts w:eastAsia="仿宋_GB2312"/>
          <w:color w:val="000000"/>
          <w:sz w:val="28"/>
          <w:szCs w:val="28"/>
        </w:rPr>
      </w:pPr>
      <w:bookmarkStart w:id="951" w:name="OLE_LINK3"/>
      <w:r>
        <w:rPr>
          <w:rFonts w:eastAsia="仿宋_GB2312"/>
          <w:color w:val="000000"/>
          <w:sz w:val="28"/>
          <w:szCs w:val="28"/>
        </w:rPr>
        <w:t>前述基准价格是指由发包人在招标文件或专用合同条款中给定的材料、工程设备的价格，该价格原则上应当按照省级或行业建设主管部门或其授权的工程造价管理机构发布的信息价编制。</w:t>
      </w:r>
    </w:p>
    <w:p w14:paraId="5B2F76C1">
      <w:pPr>
        <w:spacing w:line="500" w:lineRule="exact"/>
        <w:ind w:firstLine="560" w:firstLineChars="200"/>
        <w:rPr>
          <w:rFonts w:eastAsia="仿宋_GB2312"/>
          <w:color w:val="000000"/>
          <w:sz w:val="28"/>
          <w:szCs w:val="28"/>
        </w:rPr>
      </w:pPr>
      <w:r>
        <w:rPr>
          <w:rFonts w:eastAsia="仿宋_GB2312"/>
          <w:color w:val="000000"/>
          <w:sz w:val="28"/>
          <w:szCs w:val="28"/>
        </w:rPr>
        <w:t>（3）施工机械台班单价或施工机械使用费发生变化超过省级或行业建设主管部门或其授权的工程造价管理机构规定的范围时，按规定调整合同价格。</w:t>
      </w:r>
    </w:p>
    <w:p w14:paraId="46EBC0E0">
      <w:pPr>
        <w:spacing w:line="500" w:lineRule="exact"/>
        <w:ind w:firstLine="560" w:firstLineChars="200"/>
        <w:rPr>
          <w:rFonts w:eastAsia="仿宋_GB2312"/>
          <w:color w:val="000000"/>
          <w:sz w:val="28"/>
          <w:szCs w:val="28"/>
        </w:rPr>
      </w:pPr>
      <w:r>
        <w:rPr>
          <w:rFonts w:eastAsia="仿宋_GB2312"/>
          <w:color w:val="000000"/>
          <w:sz w:val="28"/>
          <w:szCs w:val="28"/>
        </w:rPr>
        <w:t>第3种方式：专用合同条款约定的其他方式。</w:t>
      </w:r>
    </w:p>
    <w:p w14:paraId="5D532764">
      <w:pPr>
        <w:pStyle w:val="7"/>
        <w:spacing w:before="120" w:after="120" w:line="500" w:lineRule="exact"/>
        <w:ind w:firstLine="560" w:firstLineChars="200"/>
        <w:rPr>
          <w:rFonts w:eastAsia="黑体"/>
          <w:b w:val="0"/>
          <w:color w:val="000000"/>
        </w:rPr>
      </w:pPr>
      <w:bookmarkStart w:id="952" w:name="_Toc351203579"/>
      <w:bookmarkStart w:id="953" w:name="_Toc296346594"/>
      <w:bookmarkStart w:id="954" w:name="_Toc296503093"/>
      <w:bookmarkStart w:id="955" w:name="_Toc337558798"/>
      <w:r>
        <w:rPr>
          <w:rFonts w:eastAsia="黑体"/>
          <w:b w:val="0"/>
          <w:color w:val="000000"/>
        </w:rPr>
        <w:t>11.2法律变化引起的调整</w:t>
      </w:r>
      <w:bookmarkEnd w:id="952"/>
    </w:p>
    <w:bookmarkEnd w:id="953"/>
    <w:bookmarkEnd w:id="954"/>
    <w:bookmarkEnd w:id="955"/>
    <w:p w14:paraId="5A1B153F">
      <w:pPr>
        <w:spacing w:line="500" w:lineRule="exact"/>
        <w:ind w:firstLine="560" w:firstLineChars="200"/>
        <w:rPr>
          <w:rFonts w:eastAsia="仿宋_GB2312"/>
          <w:color w:val="000000"/>
          <w:sz w:val="28"/>
          <w:szCs w:val="28"/>
        </w:rPr>
      </w:pPr>
      <w:r>
        <w:rPr>
          <w:rFonts w:eastAsia="仿宋_GB2312"/>
          <w:color w:val="000000"/>
          <w:sz w:val="28"/>
          <w:szCs w:val="28"/>
        </w:rPr>
        <w:t>基准日</w:t>
      </w:r>
      <w:r>
        <w:rPr>
          <w:rFonts w:hint="eastAsia" w:eastAsia="仿宋_GB2312"/>
          <w:color w:val="000000"/>
          <w:sz w:val="28"/>
          <w:szCs w:val="28"/>
        </w:rPr>
        <w:t>期</w:t>
      </w:r>
      <w:r>
        <w:rPr>
          <w:rFonts w:eastAsia="仿宋_GB2312"/>
          <w:color w:val="000000"/>
          <w:sz w:val="28"/>
          <w:szCs w:val="28"/>
        </w:rPr>
        <w:t>后，法律变化</w:t>
      </w:r>
      <w:r>
        <w:rPr>
          <w:rFonts w:hint="eastAsia" w:eastAsia="仿宋_GB2312"/>
          <w:color w:val="000000"/>
          <w:sz w:val="28"/>
          <w:szCs w:val="28"/>
        </w:rPr>
        <w:t>导致承包人在合同履行过程中所需要的费用发生除第11.1款〔市场价格波动引起的调整〕约定以外的增加时，由发包人承担由此增加的费用；减少时，应从合同价格中予以扣减。</w:t>
      </w:r>
      <w:r>
        <w:rPr>
          <w:rFonts w:eastAsia="仿宋_GB2312"/>
          <w:color w:val="000000"/>
          <w:sz w:val="28"/>
          <w:szCs w:val="28"/>
        </w:rPr>
        <w:t>基准日</w:t>
      </w:r>
      <w:r>
        <w:rPr>
          <w:rFonts w:hint="eastAsia" w:eastAsia="仿宋_GB2312"/>
          <w:color w:val="000000"/>
          <w:sz w:val="28"/>
          <w:szCs w:val="28"/>
        </w:rPr>
        <w:t>期</w:t>
      </w:r>
      <w:r>
        <w:rPr>
          <w:rFonts w:eastAsia="仿宋_GB2312"/>
          <w:color w:val="000000"/>
          <w:sz w:val="28"/>
          <w:szCs w:val="28"/>
        </w:rPr>
        <w:t>后，</w:t>
      </w:r>
      <w:r>
        <w:rPr>
          <w:rFonts w:hint="eastAsia" w:eastAsia="仿宋_GB2312"/>
          <w:color w:val="000000"/>
          <w:sz w:val="28"/>
          <w:szCs w:val="28"/>
        </w:rPr>
        <w:t>因</w:t>
      </w:r>
      <w:r>
        <w:rPr>
          <w:rFonts w:eastAsia="仿宋_GB2312"/>
          <w:color w:val="000000"/>
          <w:sz w:val="28"/>
          <w:szCs w:val="28"/>
        </w:rPr>
        <w:t>法律变化</w:t>
      </w:r>
      <w:r>
        <w:rPr>
          <w:rFonts w:hint="eastAsia" w:eastAsia="仿宋_GB2312"/>
          <w:color w:val="000000"/>
          <w:sz w:val="28"/>
          <w:szCs w:val="28"/>
        </w:rPr>
        <w:t>造成工期延误时，工期应予以顺延。</w:t>
      </w:r>
    </w:p>
    <w:p w14:paraId="5C0AFDA2">
      <w:pPr>
        <w:spacing w:line="500" w:lineRule="exact"/>
        <w:ind w:firstLine="560" w:firstLineChars="200"/>
        <w:rPr>
          <w:rFonts w:eastAsia="仿宋_GB2312"/>
          <w:color w:val="000000"/>
          <w:sz w:val="28"/>
          <w:szCs w:val="28"/>
        </w:rPr>
      </w:pPr>
      <w:r>
        <w:rPr>
          <w:rFonts w:hint="eastAsia" w:eastAsia="仿宋_GB2312"/>
          <w:color w:val="000000"/>
          <w:sz w:val="28"/>
          <w:szCs w:val="28"/>
        </w:rPr>
        <w:t>因法律变化引起的合同价格和工期调整，合同当事人无法达成一致的，由总监理工程师按第4.4款〔商定或确定〕的约定处理。</w:t>
      </w:r>
    </w:p>
    <w:p w14:paraId="2CB11156">
      <w:pPr>
        <w:spacing w:line="500" w:lineRule="exact"/>
        <w:ind w:firstLine="560" w:firstLineChars="200"/>
        <w:rPr>
          <w:rFonts w:eastAsia="仿宋_GB2312"/>
          <w:color w:val="000000"/>
          <w:sz w:val="28"/>
          <w:szCs w:val="28"/>
        </w:rPr>
      </w:pPr>
      <w:r>
        <w:rPr>
          <w:rFonts w:eastAsia="仿宋_GB2312"/>
          <w:color w:val="000000"/>
          <w:kern w:val="0"/>
          <w:sz w:val="28"/>
          <w:szCs w:val="28"/>
        </w:rPr>
        <w:t>因承包人原因造成工期延误，在工期延误期间出现法律变化的，由此增加的费用和（或）延误的工期由承包人承担。</w:t>
      </w:r>
    </w:p>
    <w:p w14:paraId="1FF2CFC9">
      <w:pPr>
        <w:pStyle w:val="6"/>
        <w:spacing w:before="120" w:after="120" w:line="500" w:lineRule="exact"/>
        <w:rPr>
          <w:rFonts w:ascii="Times New Roman" w:hAnsi="Times New Roman"/>
          <w:b w:val="0"/>
          <w:color w:val="000000"/>
        </w:rPr>
      </w:pPr>
      <w:bookmarkStart w:id="956" w:name="_Toc351203580"/>
      <w:bookmarkStart w:id="957" w:name="_Toc337558799"/>
      <w:bookmarkStart w:id="958" w:name="_Toc296503096"/>
      <w:bookmarkStart w:id="959" w:name="_Toc296346597"/>
      <w:r>
        <w:rPr>
          <w:rFonts w:ascii="Times New Roman" w:hAnsi="Times New Roman"/>
          <w:b w:val="0"/>
          <w:color w:val="000000"/>
        </w:rPr>
        <w:t>12. 合同价格、计量与支付</w:t>
      </w:r>
      <w:bookmarkEnd w:id="956"/>
    </w:p>
    <w:bookmarkEnd w:id="957"/>
    <w:p w14:paraId="411A06B2">
      <w:pPr>
        <w:pStyle w:val="7"/>
        <w:spacing w:before="120" w:after="120" w:line="500" w:lineRule="exact"/>
        <w:ind w:firstLine="560" w:firstLineChars="200"/>
        <w:rPr>
          <w:rFonts w:eastAsia="黑体"/>
          <w:b w:val="0"/>
          <w:color w:val="000000"/>
        </w:rPr>
      </w:pPr>
      <w:bookmarkStart w:id="960" w:name="_Toc351203581"/>
      <w:bookmarkStart w:id="961" w:name="_Toc337558800"/>
      <w:r>
        <w:rPr>
          <w:rFonts w:eastAsia="黑体"/>
          <w:b w:val="0"/>
          <w:color w:val="000000"/>
        </w:rPr>
        <w:t>12.1 合同价</w:t>
      </w:r>
      <w:bookmarkEnd w:id="958"/>
      <w:bookmarkEnd w:id="959"/>
      <w:r>
        <w:rPr>
          <w:rFonts w:eastAsia="黑体"/>
          <w:b w:val="0"/>
          <w:color w:val="000000"/>
        </w:rPr>
        <w:t>格形式</w:t>
      </w:r>
      <w:bookmarkEnd w:id="960"/>
    </w:p>
    <w:bookmarkEnd w:id="961"/>
    <w:p w14:paraId="1E7FA8BE">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发包人和承包人应在合同协议书中</w:t>
      </w:r>
      <w:r>
        <w:rPr>
          <w:rFonts w:hint="eastAsia" w:eastAsia="仿宋_GB2312"/>
          <w:color w:val="000000"/>
          <w:kern w:val="0"/>
          <w:sz w:val="28"/>
          <w:szCs w:val="28"/>
        </w:rPr>
        <w:t>选择</w:t>
      </w:r>
      <w:r>
        <w:rPr>
          <w:rFonts w:eastAsia="仿宋_GB2312"/>
          <w:color w:val="000000"/>
          <w:kern w:val="0"/>
          <w:sz w:val="28"/>
          <w:szCs w:val="28"/>
        </w:rPr>
        <w:t xml:space="preserve">下列一种合同价格形式： </w:t>
      </w:r>
    </w:p>
    <w:p w14:paraId="22793ED7">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w:t>
      </w:r>
      <w:r>
        <w:rPr>
          <w:rFonts w:hint="eastAsia" w:eastAsia="仿宋_GB2312"/>
          <w:color w:val="000000"/>
          <w:kern w:val="0"/>
          <w:sz w:val="28"/>
          <w:szCs w:val="28"/>
        </w:rPr>
        <w:t>.</w:t>
      </w:r>
      <w:r>
        <w:rPr>
          <w:rFonts w:eastAsia="仿宋_GB2312"/>
          <w:color w:val="000000"/>
          <w:kern w:val="0"/>
          <w:sz w:val="28"/>
          <w:szCs w:val="28"/>
        </w:rPr>
        <w:t>单价合同</w:t>
      </w:r>
    </w:p>
    <w:p w14:paraId="206C925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单价合同是指合同当事人约定以工程量清单及其综合单价进行合同价格计算、调整和确认的建设工程施工合同，</w:t>
      </w:r>
      <w:r>
        <w:rPr>
          <w:rFonts w:eastAsia="仿宋_GB2312"/>
          <w:sz w:val="28"/>
          <w:szCs w:val="28"/>
        </w:rPr>
        <w:t>在约定的范围内合同单价不作调整</w:t>
      </w:r>
      <w:r>
        <w:rPr>
          <w:rFonts w:eastAsia="仿宋_GB2312"/>
          <w:color w:val="000000"/>
          <w:kern w:val="0"/>
          <w:sz w:val="28"/>
          <w:szCs w:val="28"/>
        </w:rPr>
        <w:t>。合同当事人应在专用合同条款中约定综合单价包含的风险范围和风险费用的计算方法</w:t>
      </w:r>
      <w:r>
        <w:rPr>
          <w:rFonts w:eastAsia="仿宋_GB2312"/>
          <w:sz w:val="28"/>
          <w:szCs w:val="28"/>
        </w:rPr>
        <w:t>，</w:t>
      </w:r>
      <w:r>
        <w:rPr>
          <w:rFonts w:eastAsia="仿宋_GB2312"/>
          <w:color w:val="000000"/>
          <w:kern w:val="0"/>
          <w:sz w:val="28"/>
          <w:szCs w:val="28"/>
        </w:rPr>
        <w:t>并约定风险范围以外的合同价格的调整方法，其中因市场价格波动引起的调整按第11.1款</w:t>
      </w:r>
      <w:r>
        <w:rPr>
          <w:rFonts w:hint="eastAsia" w:eastAsia="仿宋_GB2312"/>
          <w:color w:val="000000"/>
          <w:kern w:val="0"/>
          <w:sz w:val="28"/>
          <w:szCs w:val="28"/>
        </w:rPr>
        <w:t>〔</w:t>
      </w:r>
      <w:r>
        <w:rPr>
          <w:rFonts w:eastAsia="仿宋_GB2312"/>
          <w:color w:val="000000"/>
          <w:kern w:val="0"/>
          <w:sz w:val="28"/>
          <w:szCs w:val="28"/>
        </w:rPr>
        <w:t>市场价格波动引起的调整</w:t>
      </w:r>
      <w:r>
        <w:rPr>
          <w:rFonts w:hint="eastAsia" w:eastAsia="仿宋_GB2312"/>
          <w:color w:val="000000"/>
          <w:kern w:val="0"/>
          <w:sz w:val="28"/>
          <w:szCs w:val="28"/>
        </w:rPr>
        <w:t>〕</w:t>
      </w:r>
      <w:r>
        <w:rPr>
          <w:rFonts w:eastAsia="仿宋_GB2312"/>
          <w:color w:val="000000"/>
          <w:kern w:val="0"/>
          <w:sz w:val="28"/>
          <w:szCs w:val="28"/>
        </w:rPr>
        <w:t>约定执行。</w:t>
      </w:r>
    </w:p>
    <w:p w14:paraId="00365A4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w:t>
      </w:r>
      <w:r>
        <w:rPr>
          <w:rFonts w:hint="eastAsia" w:eastAsia="仿宋_GB2312"/>
          <w:color w:val="000000"/>
          <w:kern w:val="0"/>
          <w:sz w:val="28"/>
          <w:szCs w:val="28"/>
        </w:rPr>
        <w:t>.</w:t>
      </w:r>
      <w:r>
        <w:rPr>
          <w:rFonts w:eastAsia="仿宋_GB2312"/>
          <w:color w:val="000000"/>
          <w:kern w:val="0"/>
          <w:sz w:val="28"/>
          <w:szCs w:val="28"/>
        </w:rPr>
        <w:t>总价合同</w:t>
      </w:r>
    </w:p>
    <w:p w14:paraId="40327E15">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总价合同是指合同当事人约定以施工图、已标价工程量清单或预算书及有关条件进行合同价格计算、调整和确认的建设工程施工合同，</w:t>
      </w:r>
      <w:r>
        <w:rPr>
          <w:rFonts w:eastAsia="仿宋_GB2312"/>
          <w:sz w:val="28"/>
          <w:szCs w:val="28"/>
        </w:rPr>
        <w:t>在约定的范围内合同总价不作调整</w:t>
      </w:r>
      <w:r>
        <w:rPr>
          <w:rFonts w:eastAsia="仿宋_GB2312"/>
          <w:color w:val="000000"/>
          <w:kern w:val="0"/>
          <w:sz w:val="28"/>
          <w:szCs w:val="28"/>
        </w:rPr>
        <w:t>。合同当事人应在专用合同条款中约定总价包含的风险范围和风险费用的计算方法，并约定风险范围以外的合同价格的调整方法，其中因市场价格波动引起的调整按第11.1款</w:t>
      </w:r>
      <w:r>
        <w:rPr>
          <w:rFonts w:hint="eastAsia" w:eastAsia="仿宋_GB2312"/>
          <w:color w:val="000000"/>
          <w:kern w:val="0"/>
          <w:sz w:val="28"/>
          <w:szCs w:val="28"/>
        </w:rPr>
        <w:t>〔</w:t>
      </w:r>
      <w:r>
        <w:rPr>
          <w:rFonts w:eastAsia="仿宋_GB2312"/>
          <w:color w:val="000000"/>
          <w:kern w:val="0"/>
          <w:sz w:val="28"/>
          <w:szCs w:val="28"/>
        </w:rPr>
        <w:t>市场价格波动引起的调整</w:t>
      </w:r>
      <w:r>
        <w:rPr>
          <w:rFonts w:hint="eastAsia" w:eastAsia="仿宋_GB2312"/>
          <w:color w:val="000000"/>
          <w:kern w:val="0"/>
          <w:sz w:val="28"/>
          <w:szCs w:val="28"/>
        </w:rPr>
        <w:t>〕</w:t>
      </w:r>
      <w:r>
        <w:rPr>
          <w:rFonts w:eastAsia="仿宋_GB2312"/>
          <w:color w:val="000000"/>
          <w:kern w:val="0"/>
          <w:sz w:val="28"/>
          <w:szCs w:val="28"/>
        </w:rPr>
        <w:t>、因法律变化引起的调整按第11.2款</w:t>
      </w:r>
      <w:r>
        <w:rPr>
          <w:rFonts w:hint="eastAsia" w:eastAsia="仿宋_GB2312"/>
          <w:color w:val="000000"/>
          <w:kern w:val="0"/>
          <w:sz w:val="28"/>
          <w:szCs w:val="28"/>
        </w:rPr>
        <w:t>〔</w:t>
      </w:r>
      <w:r>
        <w:rPr>
          <w:rFonts w:eastAsia="仿宋_GB2312"/>
          <w:color w:val="000000"/>
          <w:kern w:val="0"/>
          <w:sz w:val="28"/>
          <w:szCs w:val="28"/>
        </w:rPr>
        <w:t>法律变化引起的调整</w:t>
      </w:r>
      <w:r>
        <w:rPr>
          <w:rFonts w:hint="eastAsia" w:eastAsia="仿宋_GB2312"/>
          <w:color w:val="000000"/>
          <w:kern w:val="0"/>
          <w:sz w:val="28"/>
          <w:szCs w:val="28"/>
        </w:rPr>
        <w:t>〕</w:t>
      </w:r>
      <w:r>
        <w:rPr>
          <w:rFonts w:eastAsia="仿宋_GB2312"/>
          <w:color w:val="000000"/>
          <w:kern w:val="0"/>
          <w:sz w:val="28"/>
          <w:szCs w:val="28"/>
        </w:rPr>
        <w:t>约定执行。</w:t>
      </w:r>
    </w:p>
    <w:p w14:paraId="6C1BC41E">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w:t>
      </w:r>
      <w:r>
        <w:rPr>
          <w:rFonts w:hint="eastAsia" w:eastAsia="仿宋_GB2312"/>
          <w:color w:val="000000"/>
          <w:kern w:val="0"/>
          <w:sz w:val="28"/>
          <w:szCs w:val="28"/>
        </w:rPr>
        <w:t>.</w:t>
      </w:r>
      <w:r>
        <w:rPr>
          <w:rFonts w:eastAsia="仿宋_GB2312"/>
          <w:color w:val="000000"/>
          <w:kern w:val="0"/>
          <w:sz w:val="28"/>
          <w:szCs w:val="28"/>
        </w:rPr>
        <w:t>其它价格形式</w:t>
      </w:r>
    </w:p>
    <w:p w14:paraId="003FAEF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合同当事人可在专用合同条款中约定其他合同价格形式。</w:t>
      </w:r>
    </w:p>
    <w:p w14:paraId="2628A53B">
      <w:pPr>
        <w:pStyle w:val="7"/>
        <w:spacing w:before="120" w:after="120" w:line="500" w:lineRule="exact"/>
        <w:ind w:firstLine="560" w:firstLineChars="200"/>
        <w:rPr>
          <w:rFonts w:eastAsia="黑体"/>
          <w:b w:val="0"/>
          <w:color w:val="000000"/>
        </w:rPr>
      </w:pPr>
      <w:bookmarkStart w:id="962" w:name="_Toc296346598"/>
      <w:bookmarkStart w:id="963" w:name="_Toc296503097"/>
      <w:bookmarkStart w:id="964" w:name="_Toc351203582"/>
      <w:bookmarkStart w:id="965" w:name="_Toc337558801"/>
      <w:r>
        <w:rPr>
          <w:rFonts w:eastAsia="黑体"/>
          <w:b w:val="0"/>
          <w:color w:val="000000"/>
        </w:rPr>
        <w:t>12.2预</w:t>
      </w:r>
      <w:bookmarkEnd w:id="962"/>
      <w:bookmarkEnd w:id="963"/>
      <w:bookmarkStart w:id="966" w:name="_Toc296503100"/>
      <w:bookmarkStart w:id="967" w:name="_Toc296346601"/>
      <w:r>
        <w:rPr>
          <w:rFonts w:eastAsia="黑体"/>
          <w:b w:val="0"/>
          <w:color w:val="000000"/>
        </w:rPr>
        <w:t>付款</w:t>
      </w:r>
      <w:bookmarkEnd w:id="964"/>
    </w:p>
    <w:bookmarkEnd w:id="965"/>
    <w:bookmarkEnd w:id="966"/>
    <w:bookmarkEnd w:id="967"/>
    <w:p w14:paraId="00579E4F">
      <w:pPr>
        <w:spacing w:line="500" w:lineRule="exact"/>
        <w:ind w:firstLine="560" w:firstLineChars="200"/>
        <w:jc w:val="left"/>
        <w:rPr>
          <w:rFonts w:eastAsia="仿宋_GB2312"/>
          <w:color w:val="000000"/>
          <w:kern w:val="0"/>
          <w:sz w:val="28"/>
          <w:szCs w:val="28"/>
        </w:rPr>
      </w:pPr>
      <w:r>
        <w:rPr>
          <w:rFonts w:eastAsia="仿宋_GB2312"/>
          <w:color w:val="000000"/>
          <w:sz w:val="28"/>
          <w:szCs w:val="28"/>
        </w:rPr>
        <w:t>12.2.</w:t>
      </w:r>
      <w:r>
        <w:rPr>
          <w:rFonts w:eastAsia="仿宋_GB2312"/>
          <w:color w:val="000000"/>
          <w:kern w:val="0"/>
          <w:sz w:val="28"/>
          <w:szCs w:val="28"/>
        </w:rPr>
        <w:t>1预付款的支付</w:t>
      </w:r>
    </w:p>
    <w:p w14:paraId="3C60DE58">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预付款的支付按照专用合同条款约定执行，但至迟应在开工通知载明的开工日期7天前支付。预付款应当用于材料、工程设备、施工设备的采购及修建临时工程、组织施工队伍进场等。</w:t>
      </w:r>
    </w:p>
    <w:p w14:paraId="6B3E9ECC">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除专用合同条款另有约定外，预付款在进度付款中同比例扣回。</w:t>
      </w:r>
      <w:bookmarkEnd w:id="951"/>
      <w:r>
        <w:rPr>
          <w:rFonts w:eastAsia="仿宋_GB2312"/>
          <w:color w:val="000000"/>
          <w:kern w:val="0"/>
          <w:sz w:val="28"/>
          <w:szCs w:val="28"/>
        </w:rPr>
        <w:t>在颁发工程接收证书前，提前解除合同的，尚未扣完的预付款应与合同价款一并结算。</w:t>
      </w:r>
    </w:p>
    <w:p w14:paraId="5C5EF59D">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发包人逾期支付预付款超过7天的，承包人有权向发包人发出要求预付的催告通知，发包人收到通知后7天内仍未支付的，承包人有权暂停施工，并按第16.1.1项</w:t>
      </w:r>
      <w:r>
        <w:rPr>
          <w:rFonts w:hint="eastAsia" w:eastAsia="仿宋_GB2312"/>
          <w:color w:val="000000"/>
          <w:kern w:val="0"/>
          <w:sz w:val="28"/>
          <w:szCs w:val="28"/>
        </w:rPr>
        <w:t>〔</w:t>
      </w:r>
      <w:r>
        <w:rPr>
          <w:rFonts w:eastAsia="仿宋_GB2312"/>
          <w:color w:val="000000"/>
          <w:kern w:val="0"/>
          <w:sz w:val="28"/>
          <w:szCs w:val="28"/>
        </w:rPr>
        <w:t>发包人违约的情形</w:t>
      </w:r>
      <w:r>
        <w:rPr>
          <w:rFonts w:hint="eastAsia" w:eastAsia="仿宋_GB2312"/>
          <w:color w:val="000000"/>
          <w:kern w:val="0"/>
          <w:sz w:val="28"/>
          <w:szCs w:val="28"/>
        </w:rPr>
        <w:t>〕</w:t>
      </w:r>
      <w:r>
        <w:rPr>
          <w:rFonts w:eastAsia="仿宋_GB2312"/>
          <w:color w:val="000000"/>
          <w:kern w:val="0"/>
          <w:sz w:val="28"/>
          <w:szCs w:val="28"/>
        </w:rPr>
        <w:t>执行。</w:t>
      </w:r>
    </w:p>
    <w:p w14:paraId="42016B77">
      <w:pPr>
        <w:spacing w:line="500" w:lineRule="exact"/>
        <w:ind w:firstLine="560" w:firstLineChars="200"/>
        <w:jc w:val="left"/>
        <w:rPr>
          <w:rFonts w:eastAsia="仿宋_GB2312"/>
          <w:color w:val="000000"/>
          <w:sz w:val="28"/>
          <w:szCs w:val="28"/>
        </w:rPr>
      </w:pPr>
      <w:r>
        <w:rPr>
          <w:rFonts w:eastAsia="仿宋_GB2312"/>
          <w:color w:val="000000"/>
          <w:sz w:val="28"/>
          <w:szCs w:val="28"/>
        </w:rPr>
        <w:t>12.2.2 预付款担保</w:t>
      </w:r>
    </w:p>
    <w:p w14:paraId="4B848F7E">
      <w:pPr>
        <w:spacing w:line="500" w:lineRule="exact"/>
        <w:ind w:firstLine="560" w:firstLineChars="200"/>
        <w:jc w:val="left"/>
        <w:rPr>
          <w:rFonts w:eastAsia="仿宋_GB2312"/>
          <w:color w:val="000000"/>
          <w:kern w:val="0"/>
          <w:sz w:val="28"/>
          <w:szCs w:val="28"/>
        </w:rPr>
      </w:pPr>
      <w:r>
        <w:rPr>
          <w:rFonts w:hint="eastAsia" w:eastAsia="仿宋_GB2312"/>
          <w:color w:val="000000"/>
          <w:kern w:val="0"/>
          <w:sz w:val="28"/>
          <w:szCs w:val="28"/>
        </w:rPr>
        <w:t>发包人要求承包人提供预付款担保的</w:t>
      </w:r>
      <w:r>
        <w:rPr>
          <w:rFonts w:eastAsia="仿宋_GB2312"/>
          <w:color w:val="000000"/>
          <w:kern w:val="0"/>
          <w:sz w:val="28"/>
          <w:szCs w:val="28"/>
        </w:rPr>
        <w:t>，承包人应在发包人支付预付款7天前提供预付款担保</w:t>
      </w:r>
      <w:r>
        <w:rPr>
          <w:rFonts w:hint="eastAsia" w:eastAsia="仿宋_GB2312"/>
          <w:color w:val="000000"/>
          <w:kern w:val="0"/>
          <w:sz w:val="28"/>
          <w:szCs w:val="28"/>
        </w:rPr>
        <w:t>，</w:t>
      </w:r>
      <w:r>
        <w:rPr>
          <w:rFonts w:eastAsia="仿宋_GB2312"/>
          <w:color w:val="000000"/>
          <w:kern w:val="0"/>
          <w:sz w:val="28"/>
          <w:szCs w:val="28"/>
        </w:rPr>
        <w:t>专用合同条款另有约定</w:t>
      </w:r>
      <w:r>
        <w:rPr>
          <w:rFonts w:hint="eastAsia" w:eastAsia="仿宋_GB2312"/>
          <w:color w:val="000000"/>
          <w:kern w:val="0"/>
          <w:sz w:val="28"/>
          <w:szCs w:val="28"/>
        </w:rPr>
        <w:t>除</w:t>
      </w:r>
      <w:r>
        <w:rPr>
          <w:rFonts w:eastAsia="仿宋_GB2312"/>
          <w:color w:val="000000"/>
          <w:kern w:val="0"/>
          <w:sz w:val="28"/>
          <w:szCs w:val="28"/>
        </w:rPr>
        <w:t>外。预付款担保可采用银行保函、担保公司担保等形式，具体由合同当事人在专用合同条款中约定。在预付款完全扣回之前，承包人应保证预付款担保持续有效。</w:t>
      </w:r>
    </w:p>
    <w:p w14:paraId="3781B7C1">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发包人在工程款中逐期扣回预付款后，预付款担保额度应相应减少，但剩余的预付款担保金额不得低于未被扣回的预付款金额。</w:t>
      </w:r>
    </w:p>
    <w:p w14:paraId="06733EEF">
      <w:pPr>
        <w:pStyle w:val="7"/>
        <w:spacing w:before="120" w:after="120" w:line="500" w:lineRule="exact"/>
        <w:ind w:firstLine="560" w:firstLineChars="200"/>
        <w:rPr>
          <w:rFonts w:eastAsia="黑体"/>
          <w:b w:val="0"/>
          <w:color w:val="000000"/>
        </w:rPr>
      </w:pPr>
      <w:bookmarkStart w:id="968" w:name="_Toc351203583"/>
      <w:bookmarkStart w:id="969" w:name="_Toc337558802"/>
      <w:r>
        <w:rPr>
          <w:rFonts w:eastAsia="黑体"/>
          <w:b w:val="0"/>
          <w:color w:val="000000"/>
        </w:rPr>
        <w:t>12.3计量</w:t>
      </w:r>
      <w:bookmarkEnd w:id="968"/>
    </w:p>
    <w:bookmarkEnd w:id="969"/>
    <w:p w14:paraId="0E4205CF">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12.3.1 计量原则</w:t>
      </w:r>
    </w:p>
    <w:p w14:paraId="15E58568">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工程量计量按照合同约定的工程量计算规则、图纸及变更指示</w:t>
      </w:r>
      <w:r>
        <w:rPr>
          <w:rFonts w:hint="eastAsia" w:eastAsia="仿宋_GB2312"/>
          <w:color w:val="000000"/>
          <w:kern w:val="0"/>
          <w:sz w:val="28"/>
          <w:szCs w:val="28"/>
        </w:rPr>
        <w:t>等</w:t>
      </w:r>
      <w:r>
        <w:rPr>
          <w:rFonts w:eastAsia="仿宋_GB2312"/>
          <w:color w:val="000000"/>
          <w:kern w:val="0"/>
          <w:sz w:val="28"/>
          <w:szCs w:val="28"/>
        </w:rPr>
        <w:t>进行计量。工程量计算规则应以相关的国家标准、行业标准</w:t>
      </w:r>
      <w:r>
        <w:rPr>
          <w:rFonts w:hint="eastAsia" w:eastAsia="仿宋_GB2312"/>
          <w:color w:val="000000"/>
          <w:kern w:val="0"/>
          <w:sz w:val="28"/>
          <w:szCs w:val="28"/>
        </w:rPr>
        <w:t>等</w:t>
      </w:r>
      <w:r>
        <w:rPr>
          <w:rFonts w:eastAsia="仿宋_GB2312"/>
          <w:color w:val="000000"/>
          <w:kern w:val="0"/>
          <w:sz w:val="28"/>
          <w:szCs w:val="28"/>
        </w:rPr>
        <w:t>为依据，由合同当事人在专用合同条款中约定。</w:t>
      </w:r>
    </w:p>
    <w:p w14:paraId="213BAAE5">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12.3.2 计量周期</w:t>
      </w:r>
    </w:p>
    <w:p w14:paraId="0917CAF1">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除专用合同条款另有约定外，工程量的计量按月进行。</w:t>
      </w:r>
    </w:p>
    <w:p w14:paraId="70D1386B">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12.3.3 单价合同的计量</w:t>
      </w:r>
    </w:p>
    <w:p w14:paraId="256E5BE8">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除专用合同条款另有约定外，单价合同的计量按照本项约定执行：</w:t>
      </w:r>
    </w:p>
    <w:p w14:paraId="15C890A7">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（1）承包人应于每月25日向监理人报送上月20日至当月19日已完成的工程量报告，并附具进度付款申请单、已完成工程量报表和有关资料。</w:t>
      </w:r>
    </w:p>
    <w:p w14:paraId="4A620114">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2CD02EC3">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（3）监理人未在收到承包人提交的工程量报表后的7天内完成审核的，承包人报送的工程量报告中的工程量视为承包人实际完成的工程量，据此计算工程价款。</w:t>
      </w:r>
    </w:p>
    <w:p w14:paraId="499EC827">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12.3.4 总价合同的计量</w:t>
      </w:r>
    </w:p>
    <w:p w14:paraId="6B716DC9">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除专用合同条款另有约定外，按</w:t>
      </w:r>
      <w:r>
        <w:rPr>
          <w:rFonts w:hint="eastAsia" w:eastAsia="仿宋_GB2312"/>
          <w:color w:val="000000"/>
          <w:kern w:val="0"/>
          <w:sz w:val="28"/>
          <w:szCs w:val="28"/>
        </w:rPr>
        <w:t>月计量支付</w:t>
      </w:r>
      <w:r>
        <w:rPr>
          <w:rFonts w:eastAsia="仿宋_GB2312"/>
          <w:color w:val="000000"/>
          <w:kern w:val="0"/>
          <w:sz w:val="28"/>
          <w:szCs w:val="28"/>
        </w:rPr>
        <w:t>的总价合同，按照本项约定执行：</w:t>
      </w:r>
    </w:p>
    <w:p w14:paraId="798DAE41">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（1）承包人应于每月25日向监理人报送上月20日至当月19日已完成的工程量报告，并附具进度付款申请单、已完成工程量报表和有关资料。</w:t>
      </w:r>
    </w:p>
    <w:p w14:paraId="4B62E5BB">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2C1402FD">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（3）监理人未在收到承包人提交的工程量报表后的7天内完成复核的，承包人提交的工程量报告中的工程量视为承包人实际完成的工程量。</w:t>
      </w:r>
    </w:p>
    <w:p w14:paraId="16C36566">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12.3.5 总价合同采用支付分解表计量支付的，可以按照第12.3.4项</w:t>
      </w:r>
      <w:r>
        <w:rPr>
          <w:rFonts w:hint="eastAsia" w:eastAsia="仿宋_GB2312"/>
          <w:color w:val="000000"/>
          <w:kern w:val="0"/>
          <w:sz w:val="28"/>
          <w:szCs w:val="28"/>
        </w:rPr>
        <w:t>〔</w:t>
      </w:r>
      <w:r>
        <w:rPr>
          <w:rFonts w:eastAsia="仿宋_GB2312"/>
          <w:color w:val="000000"/>
          <w:kern w:val="0"/>
          <w:sz w:val="28"/>
          <w:szCs w:val="28"/>
        </w:rPr>
        <w:t>总价合同的计量</w:t>
      </w:r>
      <w:r>
        <w:rPr>
          <w:rFonts w:hint="eastAsia" w:eastAsia="仿宋_GB2312"/>
          <w:color w:val="000000"/>
          <w:kern w:val="0"/>
          <w:sz w:val="28"/>
          <w:szCs w:val="28"/>
        </w:rPr>
        <w:t>〕</w:t>
      </w:r>
      <w:r>
        <w:rPr>
          <w:rFonts w:eastAsia="仿宋_GB2312"/>
          <w:color w:val="000000"/>
          <w:kern w:val="0"/>
          <w:sz w:val="28"/>
          <w:szCs w:val="28"/>
        </w:rPr>
        <w:t>约定进行计量，但合同价款按照支付分解表进行支付。</w:t>
      </w:r>
    </w:p>
    <w:p w14:paraId="6115CA73">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12.3.6 其他价格形式合同的计量</w:t>
      </w:r>
    </w:p>
    <w:p w14:paraId="1C049A29">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合同当事人可在专用合同条款中约定其他价格形式合同的计量方式和程序。</w:t>
      </w:r>
    </w:p>
    <w:p w14:paraId="779ADE73">
      <w:pPr>
        <w:pStyle w:val="7"/>
        <w:spacing w:before="120" w:after="120" w:line="500" w:lineRule="exact"/>
        <w:ind w:firstLine="560" w:firstLineChars="200"/>
        <w:rPr>
          <w:rFonts w:eastAsia="黑体"/>
          <w:b w:val="0"/>
          <w:color w:val="000000"/>
        </w:rPr>
      </w:pPr>
      <w:bookmarkStart w:id="970" w:name="_Toc296503101"/>
      <w:bookmarkStart w:id="971" w:name="_Toc296346602"/>
      <w:bookmarkStart w:id="972" w:name="_Toc351203584"/>
      <w:bookmarkStart w:id="973" w:name="_Toc337558803"/>
      <w:r>
        <w:rPr>
          <w:rFonts w:eastAsia="黑体"/>
          <w:b w:val="0"/>
          <w:color w:val="000000"/>
        </w:rPr>
        <w:t>12.4工程进度款支</w:t>
      </w:r>
      <w:bookmarkEnd w:id="970"/>
      <w:bookmarkEnd w:id="971"/>
      <w:r>
        <w:rPr>
          <w:rFonts w:eastAsia="黑体"/>
          <w:b w:val="0"/>
          <w:color w:val="000000"/>
        </w:rPr>
        <w:t>付</w:t>
      </w:r>
      <w:bookmarkEnd w:id="972"/>
    </w:p>
    <w:bookmarkEnd w:id="973"/>
    <w:p w14:paraId="0B54CD87">
      <w:pPr>
        <w:autoSpaceDE w:val="0"/>
        <w:autoSpaceDN w:val="0"/>
        <w:adjustRightInd w:val="0"/>
        <w:spacing w:line="500" w:lineRule="exact"/>
        <w:ind w:firstLine="560" w:firstLineChars="200"/>
        <w:jc w:val="left"/>
        <w:outlineLvl w:val="0"/>
        <w:rPr>
          <w:rFonts w:eastAsia="仿宋_GB2312"/>
          <w:color w:val="000000"/>
          <w:kern w:val="0"/>
          <w:sz w:val="28"/>
          <w:szCs w:val="28"/>
        </w:rPr>
      </w:pPr>
      <w:r>
        <w:rPr>
          <w:rFonts w:eastAsia="仿宋_GB2312"/>
          <w:color w:val="000000"/>
          <w:sz w:val="28"/>
          <w:szCs w:val="28"/>
        </w:rPr>
        <w:t>12.4</w:t>
      </w:r>
      <w:r>
        <w:rPr>
          <w:rFonts w:eastAsia="仿宋_GB2312"/>
          <w:color w:val="000000"/>
          <w:kern w:val="0"/>
          <w:sz w:val="28"/>
          <w:szCs w:val="28"/>
        </w:rPr>
        <w:t>.1 付款周期</w:t>
      </w:r>
    </w:p>
    <w:p w14:paraId="4F5D6F50">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除专用合同条款另有约定外，付款周期应按照第12.3.2</w:t>
      </w:r>
      <w:r>
        <w:rPr>
          <w:rFonts w:hint="eastAsia" w:eastAsia="仿宋_GB2312"/>
          <w:color w:val="000000"/>
          <w:kern w:val="0"/>
          <w:sz w:val="28"/>
          <w:szCs w:val="28"/>
        </w:rPr>
        <w:t>项〔</w:t>
      </w:r>
      <w:r>
        <w:rPr>
          <w:rFonts w:eastAsia="仿宋_GB2312"/>
          <w:color w:val="000000"/>
          <w:kern w:val="0"/>
          <w:sz w:val="28"/>
          <w:szCs w:val="28"/>
        </w:rPr>
        <w:t>计量周期</w:t>
      </w:r>
      <w:r>
        <w:rPr>
          <w:rFonts w:hint="eastAsia" w:eastAsia="仿宋_GB2312"/>
          <w:color w:val="000000"/>
          <w:kern w:val="0"/>
          <w:sz w:val="28"/>
          <w:szCs w:val="28"/>
        </w:rPr>
        <w:t>〕</w:t>
      </w:r>
      <w:r>
        <w:rPr>
          <w:rFonts w:eastAsia="仿宋_GB2312"/>
          <w:color w:val="000000"/>
          <w:kern w:val="0"/>
          <w:sz w:val="28"/>
          <w:szCs w:val="28"/>
        </w:rPr>
        <w:t>的约定与计量周期保持一致。</w:t>
      </w:r>
    </w:p>
    <w:p w14:paraId="4E841D8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sz w:val="28"/>
          <w:szCs w:val="28"/>
        </w:rPr>
        <w:t>12.4</w:t>
      </w:r>
      <w:r>
        <w:rPr>
          <w:rFonts w:eastAsia="仿宋_GB2312"/>
          <w:color w:val="000000"/>
          <w:kern w:val="0"/>
          <w:sz w:val="28"/>
          <w:szCs w:val="28"/>
        </w:rPr>
        <w:t>.2 进度付款申请单的编制</w:t>
      </w:r>
    </w:p>
    <w:p w14:paraId="3D6E09EE">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除专用合同条款另有约定外，进度付款申请单应包括下列内容：</w:t>
      </w:r>
    </w:p>
    <w:p w14:paraId="417FBE49">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（1）截至本次付款周期已完成工作对应的金额；</w:t>
      </w:r>
    </w:p>
    <w:p w14:paraId="5CB3D3A7">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（2）根据第10条</w:t>
      </w:r>
      <w:r>
        <w:rPr>
          <w:rFonts w:hint="eastAsia" w:eastAsia="仿宋_GB2312"/>
          <w:color w:val="000000"/>
          <w:kern w:val="0"/>
          <w:sz w:val="28"/>
          <w:szCs w:val="28"/>
        </w:rPr>
        <w:t>〔</w:t>
      </w:r>
      <w:r>
        <w:rPr>
          <w:rFonts w:eastAsia="仿宋_GB2312"/>
          <w:color w:val="000000"/>
          <w:kern w:val="0"/>
          <w:sz w:val="28"/>
          <w:szCs w:val="28"/>
        </w:rPr>
        <w:t>变更</w:t>
      </w:r>
      <w:r>
        <w:rPr>
          <w:rFonts w:hint="eastAsia" w:eastAsia="仿宋_GB2312"/>
          <w:color w:val="000000"/>
          <w:kern w:val="0"/>
          <w:sz w:val="28"/>
          <w:szCs w:val="28"/>
        </w:rPr>
        <w:t>〕</w:t>
      </w:r>
      <w:r>
        <w:rPr>
          <w:rFonts w:eastAsia="仿宋_GB2312"/>
          <w:color w:val="000000"/>
          <w:kern w:val="0"/>
          <w:sz w:val="28"/>
          <w:szCs w:val="28"/>
        </w:rPr>
        <w:t>应增加和扣减的变更金额；</w:t>
      </w:r>
    </w:p>
    <w:p w14:paraId="79CBA566">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（3）根据第12.2款</w:t>
      </w:r>
      <w:r>
        <w:rPr>
          <w:rFonts w:hint="eastAsia" w:eastAsia="仿宋_GB2312"/>
          <w:color w:val="000000"/>
          <w:kern w:val="0"/>
          <w:sz w:val="28"/>
          <w:szCs w:val="28"/>
        </w:rPr>
        <w:t>〔</w:t>
      </w:r>
      <w:r>
        <w:rPr>
          <w:rFonts w:eastAsia="仿宋_GB2312"/>
          <w:color w:val="000000"/>
          <w:kern w:val="0"/>
          <w:sz w:val="28"/>
          <w:szCs w:val="28"/>
        </w:rPr>
        <w:t>预付款</w:t>
      </w:r>
      <w:r>
        <w:rPr>
          <w:rFonts w:hint="eastAsia" w:eastAsia="仿宋_GB2312"/>
          <w:color w:val="000000"/>
          <w:kern w:val="0"/>
          <w:sz w:val="28"/>
          <w:szCs w:val="28"/>
        </w:rPr>
        <w:t>〕</w:t>
      </w:r>
      <w:r>
        <w:rPr>
          <w:rFonts w:eastAsia="仿宋_GB2312"/>
          <w:color w:val="000000"/>
          <w:kern w:val="0"/>
          <w:sz w:val="28"/>
          <w:szCs w:val="28"/>
        </w:rPr>
        <w:t>约定应支付的预付款和扣减的返还预付款；</w:t>
      </w:r>
    </w:p>
    <w:p w14:paraId="1495444D">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（4）根据第15.3款</w:t>
      </w:r>
      <w:r>
        <w:rPr>
          <w:rFonts w:hint="eastAsia" w:eastAsia="仿宋_GB2312"/>
          <w:color w:val="000000"/>
          <w:kern w:val="0"/>
          <w:sz w:val="28"/>
          <w:szCs w:val="28"/>
        </w:rPr>
        <w:t>〔</w:t>
      </w:r>
      <w:r>
        <w:rPr>
          <w:rFonts w:eastAsia="仿宋_GB2312"/>
          <w:color w:val="000000"/>
          <w:kern w:val="0"/>
          <w:sz w:val="28"/>
          <w:szCs w:val="28"/>
        </w:rPr>
        <w:t>质量保证金</w:t>
      </w:r>
      <w:r>
        <w:rPr>
          <w:rFonts w:hint="eastAsia" w:eastAsia="仿宋_GB2312"/>
          <w:color w:val="000000"/>
          <w:kern w:val="0"/>
          <w:sz w:val="28"/>
          <w:szCs w:val="28"/>
        </w:rPr>
        <w:t>〕</w:t>
      </w:r>
      <w:r>
        <w:rPr>
          <w:rFonts w:eastAsia="仿宋_GB2312"/>
          <w:color w:val="000000"/>
          <w:kern w:val="0"/>
          <w:sz w:val="28"/>
          <w:szCs w:val="28"/>
        </w:rPr>
        <w:t>约定应扣减的质量保证金；</w:t>
      </w:r>
    </w:p>
    <w:p w14:paraId="3D69F665">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（5）根据第19条</w:t>
      </w:r>
      <w:r>
        <w:rPr>
          <w:rFonts w:hint="eastAsia" w:eastAsia="仿宋_GB2312"/>
          <w:color w:val="000000"/>
          <w:kern w:val="0"/>
          <w:sz w:val="28"/>
          <w:szCs w:val="28"/>
        </w:rPr>
        <w:t>〔</w:t>
      </w:r>
      <w:r>
        <w:rPr>
          <w:rFonts w:eastAsia="仿宋_GB2312"/>
          <w:color w:val="000000"/>
          <w:kern w:val="0"/>
          <w:sz w:val="28"/>
          <w:szCs w:val="28"/>
        </w:rPr>
        <w:t>索赔</w:t>
      </w:r>
      <w:r>
        <w:rPr>
          <w:rFonts w:hint="eastAsia" w:eastAsia="仿宋_GB2312"/>
          <w:color w:val="000000"/>
          <w:kern w:val="0"/>
          <w:sz w:val="28"/>
          <w:szCs w:val="28"/>
        </w:rPr>
        <w:t>〕</w:t>
      </w:r>
      <w:r>
        <w:rPr>
          <w:rFonts w:eastAsia="仿宋_GB2312"/>
          <w:color w:val="000000"/>
          <w:kern w:val="0"/>
          <w:sz w:val="28"/>
          <w:szCs w:val="28"/>
        </w:rPr>
        <w:t>应增加和扣减的索赔金额；</w:t>
      </w:r>
    </w:p>
    <w:p w14:paraId="251E51E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（6）对已签发的进度款支付证书中出现错误的修正，应在本次进度付款中支付或扣除的金额；</w:t>
      </w:r>
    </w:p>
    <w:p w14:paraId="173953F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（7）根据合同约定应增加和扣减的其他金额。</w:t>
      </w:r>
    </w:p>
    <w:p w14:paraId="0D56783B">
      <w:pPr>
        <w:autoSpaceDE w:val="0"/>
        <w:autoSpaceDN w:val="0"/>
        <w:adjustRightInd w:val="0"/>
        <w:spacing w:line="500" w:lineRule="exact"/>
        <w:ind w:firstLine="560" w:firstLineChars="200"/>
        <w:jc w:val="left"/>
        <w:outlineLvl w:val="0"/>
        <w:rPr>
          <w:rFonts w:eastAsia="仿宋_GB2312"/>
          <w:color w:val="000000"/>
          <w:kern w:val="0"/>
          <w:sz w:val="28"/>
          <w:szCs w:val="28"/>
        </w:rPr>
      </w:pPr>
      <w:r>
        <w:rPr>
          <w:rFonts w:eastAsia="仿宋_GB2312"/>
          <w:color w:val="000000"/>
          <w:kern w:val="0"/>
          <w:sz w:val="28"/>
          <w:szCs w:val="28"/>
        </w:rPr>
        <w:t>12.4.3 进度付款申请单的提交</w:t>
      </w:r>
    </w:p>
    <w:p w14:paraId="494F38F0">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（1）单价合同进度付款申请单的提交</w:t>
      </w:r>
    </w:p>
    <w:p w14:paraId="7F48304B">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单价合同的进度付款申请单，按照第12.3.3项</w:t>
      </w:r>
      <w:r>
        <w:rPr>
          <w:rFonts w:hint="eastAsia" w:eastAsia="仿宋_GB2312"/>
          <w:color w:val="000000"/>
          <w:kern w:val="0"/>
          <w:sz w:val="28"/>
          <w:szCs w:val="28"/>
        </w:rPr>
        <w:t>〔</w:t>
      </w:r>
      <w:r>
        <w:rPr>
          <w:rFonts w:eastAsia="仿宋_GB2312"/>
          <w:color w:val="000000"/>
          <w:kern w:val="0"/>
          <w:sz w:val="28"/>
          <w:szCs w:val="28"/>
        </w:rPr>
        <w:t>单价合同的计量</w:t>
      </w:r>
      <w:r>
        <w:rPr>
          <w:rFonts w:hint="eastAsia" w:eastAsia="仿宋_GB2312"/>
          <w:color w:val="000000"/>
          <w:kern w:val="0"/>
          <w:sz w:val="28"/>
          <w:szCs w:val="28"/>
        </w:rPr>
        <w:t>〕</w:t>
      </w:r>
      <w:r>
        <w:rPr>
          <w:rFonts w:eastAsia="仿宋_GB2312"/>
          <w:color w:val="000000"/>
          <w:kern w:val="0"/>
          <w:sz w:val="28"/>
          <w:szCs w:val="28"/>
        </w:rPr>
        <w:t>约定的时间按月向监理人提交，并附上已完成工程量报表和有关资料。单价合同中的总价项目按月进行支付分解，并汇总列入当期进度付款申请单。</w:t>
      </w:r>
    </w:p>
    <w:p w14:paraId="0F7196A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（2）总价合同进度付款申请单的提交</w:t>
      </w:r>
    </w:p>
    <w:p w14:paraId="13AE0DD8">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总价合同按</w:t>
      </w:r>
      <w:r>
        <w:rPr>
          <w:rFonts w:hint="eastAsia" w:eastAsia="仿宋_GB2312"/>
          <w:color w:val="000000"/>
          <w:kern w:val="0"/>
          <w:sz w:val="28"/>
          <w:szCs w:val="28"/>
        </w:rPr>
        <w:t>月计量支付的</w:t>
      </w:r>
      <w:r>
        <w:rPr>
          <w:rFonts w:eastAsia="仿宋_GB2312"/>
          <w:color w:val="000000"/>
          <w:kern w:val="0"/>
          <w:sz w:val="28"/>
          <w:szCs w:val="28"/>
        </w:rPr>
        <w:t>，承包人按照第12.3.4项</w:t>
      </w:r>
      <w:r>
        <w:rPr>
          <w:rFonts w:hint="eastAsia" w:eastAsia="仿宋_GB2312"/>
          <w:color w:val="000000"/>
          <w:kern w:val="0"/>
          <w:sz w:val="28"/>
          <w:szCs w:val="28"/>
        </w:rPr>
        <w:t>〔</w:t>
      </w:r>
      <w:r>
        <w:rPr>
          <w:rFonts w:eastAsia="仿宋_GB2312"/>
          <w:color w:val="000000"/>
          <w:kern w:val="0"/>
          <w:sz w:val="28"/>
          <w:szCs w:val="28"/>
        </w:rPr>
        <w:t>总价合同的计量</w:t>
      </w:r>
      <w:r>
        <w:rPr>
          <w:rFonts w:hint="eastAsia" w:eastAsia="仿宋_GB2312"/>
          <w:color w:val="000000"/>
          <w:kern w:val="0"/>
          <w:sz w:val="28"/>
          <w:szCs w:val="28"/>
        </w:rPr>
        <w:t>〕</w:t>
      </w:r>
      <w:r>
        <w:rPr>
          <w:rFonts w:eastAsia="仿宋_GB2312"/>
          <w:color w:val="000000"/>
          <w:kern w:val="0"/>
          <w:sz w:val="28"/>
          <w:szCs w:val="28"/>
        </w:rPr>
        <w:t>约定的时间按月向监理人提交进度付款申请单，并附上已完成工程量报表和有关资料。</w:t>
      </w:r>
    </w:p>
    <w:p w14:paraId="1755C447">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总价合同按支付分解表支付的，承包人应按照第12.4.6项</w:t>
      </w:r>
      <w:r>
        <w:rPr>
          <w:rFonts w:hint="eastAsia" w:eastAsia="仿宋_GB2312"/>
          <w:color w:val="000000"/>
          <w:kern w:val="0"/>
          <w:sz w:val="28"/>
          <w:szCs w:val="28"/>
        </w:rPr>
        <w:t>〔</w:t>
      </w:r>
      <w:r>
        <w:rPr>
          <w:rFonts w:eastAsia="仿宋_GB2312"/>
          <w:color w:val="000000"/>
          <w:kern w:val="0"/>
          <w:sz w:val="28"/>
          <w:szCs w:val="28"/>
        </w:rPr>
        <w:t>支付分解表</w:t>
      </w:r>
      <w:r>
        <w:rPr>
          <w:rFonts w:hint="eastAsia" w:eastAsia="仿宋_GB2312"/>
          <w:color w:val="000000"/>
          <w:kern w:val="0"/>
          <w:sz w:val="28"/>
          <w:szCs w:val="28"/>
        </w:rPr>
        <w:t>〕</w:t>
      </w:r>
      <w:r>
        <w:rPr>
          <w:rFonts w:eastAsia="仿宋_GB2312"/>
          <w:color w:val="000000"/>
          <w:kern w:val="0"/>
          <w:sz w:val="28"/>
          <w:szCs w:val="28"/>
        </w:rPr>
        <w:t>及第12.4.2项</w:t>
      </w:r>
      <w:r>
        <w:rPr>
          <w:rFonts w:hint="eastAsia" w:eastAsia="仿宋_GB2312"/>
          <w:color w:val="000000"/>
          <w:kern w:val="0"/>
          <w:sz w:val="28"/>
          <w:szCs w:val="28"/>
        </w:rPr>
        <w:t>〔</w:t>
      </w:r>
      <w:r>
        <w:rPr>
          <w:rFonts w:eastAsia="仿宋_GB2312"/>
          <w:color w:val="000000"/>
          <w:kern w:val="0"/>
          <w:sz w:val="28"/>
          <w:szCs w:val="28"/>
        </w:rPr>
        <w:t>进度付款申请单的编制</w:t>
      </w:r>
      <w:r>
        <w:rPr>
          <w:rFonts w:hint="eastAsia" w:eastAsia="仿宋_GB2312"/>
          <w:color w:val="000000"/>
          <w:kern w:val="0"/>
          <w:sz w:val="28"/>
          <w:szCs w:val="28"/>
        </w:rPr>
        <w:t>〕</w:t>
      </w:r>
      <w:r>
        <w:rPr>
          <w:rFonts w:eastAsia="仿宋_GB2312"/>
          <w:color w:val="000000"/>
          <w:kern w:val="0"/>
          <w:sz w:val="28"/>
          <w:szCs w:val="28"/>
        </w:rPr>
        <w:t>的约定向监理人提交进度付款申请单。</w:t>
      </w:r>
    </w:p>
    <w:p w14:paraId="5057A318">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（3）其他价格形式合同的进度付款申请单的提交</w:t>
      </w:r>
    </w:p>
    <w:p w14:paraId="4D18BE9D">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合同当事人可在专用合同条款中约定其他价格形式合同的进度付款申请单的编制和提交程序。</w:t>
      </w:r>
    </w:p>
    <w:p w14:paraId="49556048">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sz w:val="28"/>
          <w:szCs w:val="28"/>
        </w:rPr>
        <w:t>12.4</w:t>
      </w:r>
      <w:r>
        <w:rPr>
          <w:rFonts w:eastAsia="仿宋_GB2312"/>
          <w:color w:val="000000"/>
          <w:kern w:val="0"/>
          <w:sz w:val="28"/>
          <w:szCs w:val="28"/>
        </w:rPr>
        <w:t>.4 进度款审核和支付</w:t>
      </w:r>
    </w:p>
    <w:p w14:paraId="6B5B7C6D">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（1）除专用合同条款另有约定外，监理人应在收到承包人进度付款申请单以及相关资料后7天内完成审查并报送发包人，发包人应在收到后7天内完成审批并签发进度款支付证书。发包人逾期未完成</w:t>
      </w:r>
      <w:r>
        <w:rPr>
          <w:rFonts w:hint="eastAsia" w:eastAsia="仿宋_GB2312"/>
          <w:color w:val="000000"/>
          <w:kern w:val="0"/>
          <w:sz w:val="28"/>
          <w:szCs w:val="28"/>
        </w:rPr>
        <w:t>审批</w:t>
      </w:r>
      <w:r>
        <w:rPr>
          <w:rFonts w:eastAsia="仿宋_GB2312"/>
          <w:color w:val="000000"/>
          <w:kern w:val="0"/>
          <w:sz w:val="28"/>
          <w:szCs w:val="28"/>
        </w:rPr>
        <w:t>且未提出异议的，视为已签发进度款支付证书。</w:t>
      </w:r>
    </w:p>
    <w:p w14:paraId="2FC14C5F">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w:t>
      </w:r>
      <w:r>
        <w:rPr>
          <w:rFonts w:hint="eastAsia" w:eastAsia="仿宋_GB2312"/>
          <w:color w:val="000000"/>
          <w:kern w:val="0"/>
          <w:sz w:val="28"/>
          <w:szCs w:val="28"/>
        </w:rPr>
        <w:t>〔</w:t>
      </w:r>
      <w:r>
        <w:rPr>
          <w:rFonts w:eastAsia="仿宋_GB2312"/>
          <w:color w:val="000000"/>
          <w:kern w:val="0"/>
          <w:sz w:val="28"/>
          <w:szCs w:val="28"/>
        </w:rPr>
        <w:t>争议解决</w:t>
      </w:r>
      <w:r>
        <w:rPr>
          <w:rFonts w:hint="eastAsia" w:eastAsia="仿宋_GB2312"/>
          <w:color w:val="000000"/>
          <w:kern w:val="0"/>
          <w:sz w:val="28"/>
          <w:szCs w:val="28"/>
        </w:rPr>
        <w:t>〕</w:t>
      </w:r>
      <w:r>
        <w:rPr>
          <w:rFonts w:eastAsia="仿宋_GB2312"/>
          <w:color w:val="000000"/>
          <w:kern w:val="0"/>
          <w:sz w:val="28"/>
          <w:szCs w:val="28"/>
        </w:rPr>
        <w:t>的约定处理。</w:t>
      </w:r>
    </w:p>
    <w:p w14:paraId="259BAC35">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（2）除专用合同条款另有约定外，发包人应在进度款支付证书或临时进度款支付证书签发后14天内完成支付，发包人逾期支付进度款的，应按照中国人民银行发布的同期同类贷款基准利率支付违约金。</w:t>
      </w:r>
    </w:p>
    <w:p w14:paraId="602A42F8">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（3）发包人签发进度款支付证书或临时进度款支付证书，不表明发包人已同意、批准或接受了承包人完成的相应部分的工作。</w:t>
      </w:r>
    </w:p>
    <w:p w14:paraId="50581C8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12.4.5 进度付款的修正</w:t>
      </w:r>
    </w:p>
    <w:p w14:paraId="5F4A56BB">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在对已签发的进度款支付证书进行阶段汇总和复核中发现错误、遗漏或重复的，发包人和承包人均有权提出修正申请。经发包人和承包人同意的修正，应在下期进度付款中支付或扣除。</w:t>
      </w:r>
    </w:p>
    <w:p w14:paraId="41EE23EB">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12.4.6 支付分解表</w:t>
      </w:r>
    </w:p>
    <w:p w14:paraId="67E4BBFF">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w:t>
      </w:r>
      <w:r>
        <w:rPr>
          <w:rFonts w:hint="eastAsia" w:eastAsia="仿宋_GB2312"/>
          <w:color w:val="000000"/>
          <w:kern w:val="0"/>
          <w:sz w:val="28"/>
          <w:szCs w:val="28"/>
        </w:rPr>
        <w:t>.</w:t>
      </w:r>
      <w:r>
        <w:rPr>
          <w:rFonts w:eastAsia="仿宋_GB2312"/>
          <w:color w:val="000000"/>
          <w:kern w:val="0"/>
          <w:sz w:val="28"/>
          <w:szCs w:val="28"/>
        </w:rPr>
        <w:t>支付分解表的编制要求</w:t>
      </w:r>
    </w:p>
    <w:p w14:paraId="4D0D065E">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（1）支付分解表中所列的每期付款金额，应为第12.4.2项</w:t>
      </w:r>
      <w:r>
        <w:rPr>
          <w:rFonts w:hint="eastAsia" w:eastAsia="仿宋_GB2312"/>
          <w:color w:val="000000"/>
          <w:kern w:val="0"/>
          <w:sz w:val="28"/>
          <w:szCs w:val="28"/>
        </w:rPr>
        <w:t>〔</w:t>
      </w:r>
      <w:r>
        <w:rPr>
          <w:rFonts w:eastAsia="仿宋_GB2312"/>
          <w:color w:val="000000"/>
          <w:kern w:val="0"/>
          <w:sz w:val="28"/>
          <w:szCs w:val="28"/>
        </w:rPr>
        <w:t>进度付款申请单的编制</w:t>
      </w:r>
      <w:r>
        <w:rPr>
          <w:rFonts w:hint="eastAsia" w:eastAsia="仿宋_GB2312"/>
          <w:color w:val="000000"/>
          <w:kern w:val="0"/>
          <w:sz w:val="28"/>
          <w:szCs w:val="28"/>
        </w:rPr>
        <w:t>〕</w:t>
      </w:r>
      <w:r>
        <w:rPr>
          <w:rFonts w:eastAsia="仿宋_GB2312"/>
          <w:color w:val="000000"/>
          <w:kern w:val="0"/>
          <w:sz w:val="28"/>
          <w:szCs w:val="28"/>
        </w:rPr>
        <w:t>第（1）</w:t>
      </w:r>
      <w:r>
        <w:rPr>
          <w:rFonts w:hint="eastAsia" w:eastAsia="仿宋_GB2312"/>
          <w:color w:val="000000"/>
          <w:kern w:val="0"/>
          <w:sz w:val="28"/>
          <w:szCs w:val="28"/>
        </w:rPr>
        <w:t>目</w:t>
      </w:r>
      <w:r>
        <w:rPr>
          <w:rFonts w:eastAsia="仿宋_GB2312"/>
          <w:color w:val="000000"/>
          <w:kern w:val="0"/>
          <w:sz w:val="28"/>
          <w:szCs w:val="28"/>
        </w:rPr>
        <w:t>的估算金额；</w:t>
      </w:r>
    </w:p>
    <w:p w14:paraId="07BA3119">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（2）实际进度与施工进度计划不一致的，合同当事人可按照第4.4款</w:t>
      </w:r>
      <w:r>
        <w:rPr>
          <w:rFonts w:hint="eastAsia" w:eastAsia="仿宋_GB2312"/>
          <w:color w:val="000000"/>
          <w:kern w:val="0"/>
          <w:sz w:val="28"/>
          <w:szCs w:val="28"/>
        </w:rPr>
        <w:t>〔</w:t>
      </w:r>
      <w:r>
        <w:rPr>
          <w:rFonts w:eastAsia="仿宋_GB2312"/>
          <w:color w:val="000000"/>
          <w:kern w:val="0"/>
          <w:sz w:val="28"/>
          <w:szCs w:val="28"/>
        </w:rPr>
        <w:t>商定或确定</w:t>
      </w:r>
      <w:r>
        <w:rPr>
          <w:rFonts w:hint="eastAsia" w:eastAsia="仿宋_GB2312"/>
          <w:color w:val="000000"/>
          <w:kern w:val="0"/>
          <w:sz w:val="28"/>
          <w:szCs w:val="28"/>
        </w:rPr>
        <w:t>〕</w:t>
      </w:r>
      <w:r>
        <w:rPr>
          <w:rFonts w:eastAsia="仿宋_GB2312"/>
          <w:color w:val="000000"/>
          <w:kern w:val="0"/>
          <w:sz w:val="28"/>
          <w:szCs w:val="28"/>
        </w:rPr>
        <w:t>修改支付分解表；</w:t>
      </w:r>
    </w:p>
    <w:p w14:paraId="0CFA439B">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（3）不采用支付分解表的，承包人应向发包人和监理人提交按季度编制的支付估算分解表，用于支付参考。</w:t>
      </w:r>
    </w:p>
    <w:p w14:paraId="78005BA2">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w:t>
      </w:r>
      <w:r>
        <w:rPr>
          <w:rFonts w:hint="eastAsia" w:eastAsia="仿宋_GB2312"/>
          <w:color w:val="000000"/>
          <w:kern w:val="0"/>
          <w:sz w:val="28"/>
          <w:szCs w:val="28"/>
        </w:rPr>
        <w:t>.</w:t>
      </w:r>
      <w:r>
        <w:rPr>
          <w:rFonts w:eastAsia="仿宋_GB2312"/>
          <w:color w:val="000000"/>
          <w:kern w:val="0"/>
          <w:sz w:val="28"/>
          <w:szCs w:val="28"/>
        </w:rPr>
        <w:t>总价合同支付分解表的编制与审批</w:t>
      </w:r>
    </w:p>
    <w:p w14:paraId="40C85D3F">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（1）除专用合同条款另有约定外，承包人应根据第7.2款</w:t>
      </w:r>
      <w:r>
        <w:rPr>
          <w:rFonts w:hint="eastAsia" w:eastAsia="仿宋_GB2312"/>
          <w:color w:val="000000"/>
          <w:kern w:val="0"/>
          <w:sz w:val="28"/>
          <w:szCs w:val="28"/>
        </w:rPr>
        <w:t>〔</w:t>
      </w:r>
      <w:r>
        <w:rPr>
          <w:rFonts w:eastAsia="仿宋_GB2312"/>
          <w:color w:val="000000"/>
          <w:kern w:val="0"/>
          <w:sz w:val="28"/>
          <w:szCs w:val="28"/>
        </w:rPr>
        <w:t>施工进度计划</w:t>
      </w:r>
      <w:r>
        <w:rPr>
          <w:rFonts w:hint="eastAsia" w:eastAsia="仿宋_GB2312"/>
          <w:color w:val="000000"/>
          <w:kern w:val="0"/>
          <w:sz w:val="28"/>
          <w:szCs w:val="28"/>
        </w:rPr>
        <w:t>〕</w:t>
      </w:r>
      <w:r>
        <w:rPr>
          <w:rFonts w:eastAsia="仿宋_GB2312"/>
          <w:color w:val="000000"/>
          <w:kern w:val="0"/>
          <w:sz w:val="28"/>
          <w:szCs w:val="28"/>
        </w:rPr>
        <w:t>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61AE1C6A">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（2）监理人应在收到支付分解表后7天内完成审核并报送发包人。发包人应在收到经监理人审核的支付分解表后7天内完成审批，经发包人批准的支付分解表为有约束力的支付分解表。</w:t>
      </w:r>
    </w:p>
    <w:p w14:paraId="6F85093D">
      <w:pPr>
        <w:spacing w:line="500" w:lineRule="exact"/>
        <w:jc w:val="left"/>
        <w:rPr>
          <w:rFonts w:eastAsia="仿宋_GB2312"/>
          <w:color w:val="000000"/>
          <w:kern w:val="0"/>
          <w:sz w:val="28"/>
          <w:szCs w:val="28"/>
        </w:rPr>
      </w:pPr>
      <w:r>
        <w:rPr>
          <w:rFonts w:eastAsia="仿宋_GB2312"/>
          <w:color w:val="000000"/>
          <w:kern w:val="0"/>
          <w:sz w:val="28"/>
          <w:szCs w:val="28"/>
        </w:rPr>
        <w:t xml:space="preserve">    （3）发包人逾期未完成支付分解表</w:t>
      </w:r>
      <w:r>
        <w:rPr>
          <w:rFonts w:hint="eastAsia" w:eastAsia="仿宋_GB2312"/>
          <w:color w:val="000000"/>
          <w:kern w:val="0"/>
          <w:sz w:val="28"/>
          <w:szCs w:val="28"/>
        </w:rPr>
        <w:t>审批</w:t>
      </w:r>
      <w:r>
        <w:rPr>
          <w:rFonts w:eastAsia="仿宋_GB2312"/>
          <w:color w:val="000000"/>
          <w:kern w:val="0"/>
          <w:sz w:val="28"/>
          <w:szCs w:val="28"/>
        </w:rPr>
        <w:t>的，也未及时要求承包人进行修正和提供补充资料的，则承包人提交的支付分解表视为已经获得发包人批准。</w:t>
      </w:r>
    </w:p>
    <w:p w14:paraId="5DC0573A">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w:t>
      </w:r>
      <w:r>
        <w:rPr>
          <w:rFonts w:hint="eastAsia" w:eastAsia="仿宋_GB2312"/>
          <w:color w:val="000000"/>
          <w:kern w:val="0"/>
          <w:sz w:val="28"/>
          <w:szCs w:val="28"/>
        </w:rPr>
        <w:t>.</w:t>
      </w:r>
      <w:r>
        <w:rPr>
          <w:rFonts w:eastAsia="仿宋_GB2312"/>
          <w:color w:val="000000"/>
          <w:kern w:val="0"/>
          <w:sz w:val="28"/>
          <w:szCs w:val="28"/>
        </w:rPr>
        <w:t>单价合同的总价项目支付分解表的编制与审批</w:t>
      </w:r>
    </w:p>
    <w:p w14:paraId="36DF45D4">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2E86B63A">
      <w:pPr>
        <w:pStyle w:val="7"/>
        <w:spacing w:before="120" w:after="120" w:line="500" w:lineRule="exact"/>
        <w:ind w:firstLine="560" w:firstLineChars="200"/>
        <w:rPr>
          <w:rFonts w:eastAsia="黑体"/>
          <w:b w:val="0"/>
          <w:color w:val="000000"/>
        </w:rPr>
      </w:pPr>
      <w:bookmarkStart w:id="974" w:name="_Toc351203585"/>
      <w:r>
        <w:rPr>
          <w:rFonts w:eastAsia="黑体"/>
          <w:b w:val="0"/>
          <w:color w:val="000000"/>
        </w:rPr>
        <w:t>12.5支付账户</w:t>
      </w:r>
      <w:bookmarkEnd w:id="974"/>
    </w:p>
    <w:p w14:paraId="01098B3E">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发包人应将合同价款支付至合同协议书中约定的承包人账户。</w:t>
      </w:r>
    </w:p>
    <w:p w14:paraId="662F7787">
      <w:pPr>
        <w:pStyle w:val="6"/>
        <w:spacing w:before="120" w:after="120" w:line="500" w:lineRule="exact"/>
        <w:rPr>
          <w:rFonts w:ascii="Times New Roman" w:hAnsi="Times New Roman"/>
          <w:b w:val="0"/>
          <w:color w:val="000000"/>
        </w:rPr>
      </w:pPr>
      <w:bookmarkStart w:id="975" w:name="_Toc351203586"/>
      <w:bookmarkStart w:id="976" w:name="_Toc337558804"/>
      <w:bookmarkStart w:id="977" w:name="_Toc296503106"/>
      <w:bookmarkStart w:id="978" w:name="_Toc322522574"/>
      <w:bookmarkStart w:id="979" w:name="_Toc296346607"/>
      <w:r>
        <w:rPr>
          <w:rFonts w:ascii="Times New Roman" w:hAnsi="Times New Roman"/>
          <w:b w:val="0"/>
          <w:color w:val="000000"/>
        </w:rPr>
        <w:t>13. 验收和工程试车</w:t>
      </w:r>
      <w:bookmarkEnd w:id="975"/>
    </w:p>
    <w:bookmarkEnd w:id="976"/>
    <w:bookmarkEnd w:id="977"/>
    <w:bookmarkEnd w:id="978"/>
    <w:bookmarkEnd w:id="979"/>
    <w:p w14:paraId="4609641D">
      <w:pPr>
        <w:pStyle w:val="7"/>
        <w:spacing w:before="120" w:after="120" w:line="500" w:lineRule="exact"/>
        <w:ind w:firstLine="560" w:firstLineChars="200"/>
        <w:rPr>
          <w:rFonts w:eastAsia="黑体"/>
          <w:b w:val="0"/>
          <w:color w:val="000000"/>
        </w:rPr>
      </w:pPr>
      <w:bookmarkStart w:id="980" w:name="_Toc351203587"/>
      <w:bookmarkStart w:id="981" w:name="_Toc337558805"/>
      <w:bookmarkStart w:id="982" w:name="_Toc296346611"/>
      <w:bookmarkStart w:id="983" w:name="_Toc296503110"/>
      <w:r>
        <w:rPr>
          <w:rFonts w:eastAsia="黑体"/>
          <w:b w:val="0"/>
          <w:color w:val="000000"/>
        </w:rPr>
        <w:t>13.1分部分项工程验收</w:t>
      </w:r>
      <w:bookmarkEnd w:id="980"/>
    </w:p>
    <w:bookmarkEnd w:id="981"/>
    <w:p w14:paraId="71528B51">
      <w:pPr>
        <w:spacing w:line="500" w:lineRule="exact"/>
        <w:ind w:firstLine="560" w:firstLineChars="200"/>
        <w:rPr>
          <w:rFonts w:eastAsia="仿宋_GB2312"/>
          <w:color w:val="000000"/>
          <w:sz w:val="28"/>
          <w:szCs w:val="28"/>
        </w:rPr>
      </w:pPr>
      <w:r>
        <w:rPr>
          <w:rFonts w:eastAsia="仿宋_GB2312"/>
          <w:color w:val="000000"/>
          <w:sz w:val="28"/>
          <w:szCs w:val="28"/>
        </w:rPr>
        <w:t>13.1.1 分部分项工程质量应符合国家有关工程施工验收规范、标准及合同约定，承包人应按照施工组织设计的要求完成分部分项工程施工。</w:t>
      </w:r>
    </w:p>
    <w:p w14:paraId="06B79A04">
      <w:pPr>
        <w:spacing w:line="500" w:lineRule="exact"/>
        <w:ind w:firstLine="560" w:firstLineChars="200"/>
        <w:rPr>
          <w:rFonts w:eastAsia="仿宋_GB2312"/>
          <w:color w:val="000000"/>
          <w:sz w:val="28"/>
          <w:szCs w:val="28"/>
        </w:rPr>
      </w:pPr>
      <w:r>
        <w:rPr>
          <w:rFonts w:eastAsia="仿宋_GB2312"/>
          <w:color w:val="000000"/>
          <w:sz w:val="28"/>
          <w:szCs w:val="28"/>
        </w:rPr>
        <w:t>13.1.2 除专用合同条款另有约定外，分部分项工程经承包人自检合格并具备验收条件的，承包人应提前48小时通知监理人进行验收。</w:t>
      </w:r>
      <w:r>
        <w:rPr>
          <w:rFonts w:eastAsia="仿宋_GB2312"/>
          <w:color w:val="000000"/>
          <w:kern w:val="0"/>
          <w:sz w:val="28"/>
          <w:szCs w:val="28"/>
        </w:rPr>
        <w:t>监理人不能按时进行验收的，应在验收前24小时向承包人提交书面延期要求，但延期不能超过48小时。监理人未按时进行验收，也未提出延期要求的，承包人有权自行验收，监理人应认可验收结果。</w:t>
      </w:r>
      <w:r>
        <w:rPr>
          <w:rFonts w:eastAsia="仿宋_GB2312"/>
          <w:color w:val="000000"/>
          <w:sz w:val="28"/>
          <w:szCs w:val="28"/>
        </w:rPr>
        <w:t>分部分项工程未经验收的，不得进入下一道工序施工。</w:t>
      </w:r>
    </w:p>
    <w:p w14:paraId="4C9C3B08">
      <w:pPr>
        <w:spacing w:line="500" w:lineRule="exact"/>
        <w:ind w:firstLine="560" w:firstLineChars="200"/>
        <w:rPr>
          <w:rFonts w:eastAsia="仿宋_GB2312"/>
          <w:color w:val="000000"/>
          <w:sz w:val="28"/>
          <w:szCs w:val="28"/>
        </w:rPr>
      </w:pPr>
      <w:r>
        <w:rPr>
          <w:rFonts w:eastAsia="仿宋_GB2312"/>
          <w:color w:val="000000"/>
          <w:sz w:val="28"/>
          <w:szCs w:val="28"/>
        </w:rPr>
        <w:t>分部分项工程的验收资料应当作为竣工资料的组成部分。</w:t>
      </w:r>
    </w:p>
    <w:p w14:paraId="209188DC">
      <w:pPr>
        <w:pStyle w:val="7"/>
        <w:spacing w:before="120" w:after="120" w:line="500" w:lineRule="exact"/>
        <w:ind w:firstLine="560" w:firstLineChars="200"/>
        <w:rPr>
          <w:rFonts w:eastAsia="黑体"/>
          <w:b w:val="0"/>
          <w:color w:val="000000"/>
        </w:rPr>
      </w:pPr>
      <w:bookmarkStart w:id="984" w:name="_Toc351203588"/>
      <w:bookmarkStart w:id="985" w:name="_Toc337558806"/>
      <w:r>
        <w:rPr>
          <w:rFonts w:eastAsia="黑体"/>
          <w:b w:val="0"/>
          <w:color w:val="000000"/>
        </w:rPr>
        <w:t>13.2竣工验收</w:t>
      </w:r>
      <w:bookmarkEnd w:id="984"/>
    </w:p>
    <w:bookmarkEnd w:id="982"/>
    <w:bookmarkEnd w:id="983"/>
    <w:bookmarkEnd w:id="985"/>
    <w:p w14:paraId="0A3C296E">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13.2.1竣工验收条件</w:t>
      </w:r>
    </w:p>
    <w:p w14:paraId="410E1BB4">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工程具备以下条件的，承包人可以申请竣工验收：</w:t>
      </w:r>
    </w:p>
    <w:p w14:paraId="5549B1D0">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（1）除发包人同意的甩项</w:t>
      </w:r>
      <w:r>
        <w:rPr>
          <w:rFonts w:hint="eastAsia" w:eastAsia="仿宋_GB2312"/>
          <w:color w:val="000000"/>
          <w:kern w:val="0"/>
          <w:sz w:val="28"/>
          <w:szCs w:val="28"/>
        </w:rPr>
        <w:t>工作</w:t>
      </w:r>
      <w:r>
        <w:rPr>
          <w:rFonts w:eastAsia="仿宋_GB2312"/>
          <w:color w:val="000000"/>
          <w:kern w:val="0"/>
          <w:sz w:val="28"/>
          <w:szCs w:val="28"/>
        </w:rPr>
        <w:t>和缺陷修补工作外，合同范围内的全部工程以及有关工作，包括合同要求的试验、试运行以及检验均已完成，并符合合同要求；</w:t>
      </w:r>
    </w:p>
    <w:p w14:paraId="07376836">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（2）已按合同约定编制了甩项</w:t>
      </w:r>
      <w:r>
        <w:rPr>
          <w:rFonts w:hint="eastAsia" w:eastAsia="仿宋_GB2312"/>
          <w:color w:val="000000"/>
          <w:kern w:val="0"/>
          <w:sz w:val="28"/>
          <w:szCs w:val="28"/>
        </w:rPr>
        <w:t>工作</w:t>
      </w:r>
      <w:r>
        <w:rPr>
          <w:rFonts w:eastAsia="仿宋_GB2312"/>
          <w:color w:val="000000"/>
          <w:kern w:val="0"/>
          <w:sz w:val="28"/>
          <w:szCs w:val="28"/>
        </w:rPr>
        <w:t>和缺陷修补工作清单以及相应的施工计划；</w:t>
      </w:r>
    </w:p>
    <w:p w14:paraId="73A58574">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（3）已按合同约定的内容和份数备齐竣工资料。</w:t>
      </w:r>
    </w:p>
    <w:p w14:paraId="2FFDA8EE">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13.2.2竣工验收程序</w:t>
      </w:r>
    </w:p>
    <w:p w14:paraId="31467A9E">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除专用合同条款另有约定外，承包人申请竣工验收的，应当按照以下程序进行：</w:t>
      </w:r>
    </w:p>
    <w:p w14:paraId="77DAD62A">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2156F023">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（2）监理人审查后认为已具备竣工验收条件的，应将竣工验收申请报告提交发包人，发包人应在收到</w:t>
      </w:r>
      <w:r>
        <w:rPr>
          <w:rFonts w:hint="eastAsia" w:eastAsia="仿宋_GB2312"/>
          <w:color w:val="000000"/>
          <w:kern w:val="0"/>
          <w:sz w:val="28"/>
          <w:szCs w:val="28"/>
        </w:rPr>
        <w:t>经</w:t>
      </w:r>
      <w:r>
        <w:rPr>
          <w:rFonts w:eastAsia="仿宋_GB2312"/>
          <w:color w:val="000000"/>
          <w:kern w:val="0"/>
          <w:sz w:val="28"/>
          <w:szCs w:val="28"/>
        </w:rPr>
        <w:t>监理人审核的竣工验收申请报告后28天内</w:t>
      </w:r>
      <w:r>
        <w:rPr>
          <w:rFonts w:hint="eastAsia" w:eastAsia="仿宋_GB2312"/>
          <w:color w:val="000000"/>
          <w:kern w:val="0"/>
          <w:sz w:val="28"/>
          <w:szCs w:val="28"/>
        </w:rPr>
        <w:t>审批</w:t>
      </w:r>
      <w:r>
        <w:rPr>
          <w:rFonts w:eastAsia="仿宋_GB2312"/>
          <w:color w:val="000000"/>
          <w:kern w:val="0"/>
          <w:sz w:val="28"/>
          <w:szCs w:val="28"/>
        </w:rPr>
        <w:t>完毕并组织监理人、承包人、设计人等相关单位完成竣工验收。</w:t>
      </w:r>
    </w:p>
    <w:p w14:paraId="1F473154">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（3）竣工验收合格的，发包人应在验收合格后14天内向承包人签发工程接收证书。发包人无正当理由逾期不颁发工程接收证书的，自验收合格后第15天起视为已颁发工程接收证书。</w:t>
      </w:r>
    </w:p>
    <w:p w14:paraId="093C295A">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640B2042">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19E17785">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除专用合同条款另有约定外，发包人不按照本项约定组织竣工验收、颁发工程接收证书的，每逾期一天，应以签约合同价为基数，按照中国人民银行发布的同期同类贷款基准利率支付违约金。</w:t>
      </w:r>
    </w:p>
    <w:p w14:paraId="79B2E03C">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13.2.3竣工日期</w:t>
      </w:r>
    </w:p>
    <w:p w14:paraId="5E516378">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工程经竣工验收合格的，以承包人提交竣工验收申请报告之日为实际竣工日期，并在工程接收证书中载明；因发包人原因，未在监理人收到承包人提交的竣工验收申请报告42天内完成</w:t>
      </w:r>
      <w:r>
        <w:rPr>
          <w:rFonts w:hint="eastAsia" w:eastAsia="仿宋_GB2312"/>
          <w:color w:val="000000"/>
          <w:kern w:val="0"/>
          <w:sz w:val="28"/>
          <w:szCs w:val="28"/>
        </w:rPr>
        <w:t>竣工</w:t>
      </w:r>
      <w:r>
        <w:rPr>
          <w:rFonts w:eastAsia="仿宋_GB2312"/>
          <w:color w:val="000000"/>
          <w:kern w:val="0"/>
          <w:sz w:val="28"/>
          <w:szCs w:val="28"/>
        </w:rPr>
        <w:t>验收</w:t>
      </w:r>
      <w:r>
        <w:rPr>
          <w:rFonts w:hint="eastAsia" w:eastAsia="仿宋_GB2312"/>
          <w:color w:val="000000"/>
          <w:kern w:val="0"/>
          <w:sz w:val="28"/>
          <w:szCs w:val="28"/>
        </w:rPr>
        <w:t>，或完成竣工验收不予签发工程接收证书</w:t>
      </w:r>
      <w:r>
        <w:rPr>
          <w:rFonts w:eastAsia="仿宋_GB2312"/>
          <w:color w:val="000000"/>
          <w:kern w:val="0"/>
          <w:sz w:val="28"/>
          <w:szCs w:val="28"/>
        </w:rPr>
        <w:t>的，以提交竣工验</w:t>
      </w:r>
      <w:bookmarkStart w:id="986" w:name="#go14"/>
      <w:bookmarkEnd w:id="986"/>
      <w:r>
        <w:rPr>
          <w:rFonts w:eastAsia="仿宋_GB2312"/>
          <w:color w:val="000000"/>
          <w:kern w:val="0"/>
          <w:sz w:val="28"/>
          <w:szCs w:val="28"/>
        </w:rPr>
        <w:t>收申请报告的日期为实际竣工日期；工程未经竣工验收，发包人擅自使用的，以转移占有工程之日为实际竣工日期。</w:t>
      </w:r>
    </w:p>
    <w:p w14:paraId="7361CE3A">
      <w:pPr>
        <w:spacing w:line="500" w:lineRule="exact"/>
        <w:ind w:firstLine="560" w:firstLineChars="200"/>
        <w:jc w:val="left"/>
        <w:outlineLvl w:val="0"/>
        <w:rPr>
          <w:rFonts w:eastAsia="仿宋_GB2312"/>
          <w:color w:val="000000"/>
          <w:kern w:val="0"/>
          <w:sz w:val="28"/>
          <w:szCs w:val="28"/>
        </w:rPr>
      </w:pPr>
      <w:r>
        <w:rPr>
          <w:rFonts w:eastAsia="仿宋_GB2312"/>
          <w:color w:val="000000"/>
          <w:kern w:val="0"/>
          <w:sz w:val="28"/>
          <w:szCs w:val="28"/>
        </w:rPr>
        <w:t>13.2.4 拒绝接收全部或部分工程</w:t>
      </w:r>
    </w:p>
    <w:p w14:paraId="0A318CE5">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对于竣工验收不合格的工程，承包人完成整改后，</w:t>
      </w:r>
      <w:r>
        <w:rPr>
          <w:rFonts w:hint="eastAsia" w:eastAsia="仿宋_GB2312"/>
          <w:color w:val="000000"/>
          <w:kern w:val="0"/>
          <w:sz w:val="28"/>
          <w:szCs w:val="28"/>
        </w:rPr>
        <w:t>应当</w:t>
      </w:r>
      <w:r>
        <w:rPr>
          <w:rFonts w:eastAsia="仿宋_GB2312"/>
          <w:color w:val="000000"/>
          <w:kern w:val="0"/>
          <w:sz w:val="28"/>
          <w:szCs w:val="28"/>
        </w:rPr>
        <w:t>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29F6F08E">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13.2.5 移交、接收全部与部分工程</w:t>
      </w:r>
    </w:p>
    <w:p w14:paraId="01773661">
      <w:pPr>
        <w:autoSpaceDE w:val="0"/>
        <w:autoSpaceDN w:val="0"/>
        <w:adjustRightInd w:val="0"/>
        <w:spacing w:line="500" w:lineRule="exact"/>
        <w:ind w:firstLine="560" w:firstLineChars="200"/>
        <w:jc w:val="left"/>
        <w:rPr>
          <w:rFonts w:eastAsia="仿宋_GB2312"/>
          <w:color w:val="000000"/>
          <w:kern w:val="0"/>
          <w:sz w:val="28"/>
          <w:szCs w:val="28"/>
        </w:rPr>
      </w:pPr>
      <w:r>
        <w:rPr>
          <w:rFonts w:hint="eastAsia" w:eastAsia="仿宋_GB2312"/>
          <w:color w:val="000000"/>
          <w:kern w:val="0"/>
          <w:sz w:val="28"/>
          <w:szCs w:val="28"/>
        </w:rPr>
        <w:t>除专用合同条款另有约定外，</w:t>
      </w:r>
      <w:r>
        <w:rPr>
          <w:rFonts w:eastAsia="仿宋_GB2312"/>
          <w:color w:val="000000"/>
          <w:kern w:val="0"/>
          <w:sz w:val="28"/>
          <w:szCs w:val="28"/>
        </w:rPr>
        <w:t>合同当事人应当在颁发工程接收证书</w:t>
      </w:r>
      <w:r>
        <w:rPr>
          <w:rFonts w:hint="eastAsia" w:eastAsia="仿宋_GB2312"/>
          <w:color w:val="000000"/>
          <w:kern w:val="0"/>
          <w:sz w:val="28"/>
          <w:szCs w:val="28"/>
        </w:rPr>
        <w:t>后7天内</w:t>
      </w:r>
      <w:r>
        <w:rPr>
          <w:rFonts w:eastAsia="仿宋_GB2312"/>
          <w:color w:val="000000"/>
          <w:kern w:val="0"/>
          <w:sz w:val="28"/>
          <w:szCs w:val="28"/>
        </w:rPr>
        <w:t>完成工程的移交。</w:t>
      </w:r>
    </w:p>
    <w:p w14:paraId="556DE2F5">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发包人无正当理由不接收工程的，发包人自</w:t>
      </w:r>
      <w:r>
        <w:rPr>
          <w:rFonts w:hint="eastAsia" w:eastAsia="仿宋_GB2312"/>
          <w:color w:val="000000"/>
          <w:kern w:val="0"/>
          <w:sz w:val="28"/>
          <w:szCs w:val="28"/>
        </w:rPr>
        <w:t>应当接收工程</w:t>
      </w:r>
      <w:r>
        <w:rPr>
          <w:rFonts w:eastAsia="仿宋_GB2312"/>
          <w:color w:val="000000"/>
          <w:kern w:val="0"/>
          <w:sz w:val="28"/>
          <w:szCs w:val="28"/>
        </w:rPr>
        <w:t>之日起，承担工程照管、成品保护、保管等与工程有关的各项费用</w:t>
      </w:r>
      <w:r>
        <w:rPr>
          <w:rFonts w:hint="eastAsia" w:eastAsia="仿宋_GB2312"/>
          <w:color w:val="000000"/>
          <w:kern w:val="0"/>
          <w:sz w:val="28"/>
          <w:szCs w:val="28"/>
        </w:rPr>
        <w:t>，合同当事人可以在专用合同条款中另行约定发包人逾期接收工程的违约责任</w:t>
      </w:r>
      <w:r>
        <w:rPr>
          <w:rFonts w:eastAsia="仿宋_GB2312"/>
          <w:color w:val="000000"/>
          <w:kern w:val="0"/>
          <w:sz w:val="28"/>
          <w:szCs w:val="28"/>
        </w:rPr>
        <w:t>。</w:t>
      </w:r>
    </w:p>
    <w:p w14:paraId="73A8A1ED">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承包人无正当理由不移交工程的，</w:t>
      </w:r>
      <w:r>
        <w:rPr>
          <w:rFonts w:hint="eastAsia" w:eastAsia="仿宋_GB2312"/>
          <w:color w:val="000000"/>
          <w:kern w:val="0"/>
          <w:sz w:val="28"/>
          <w:szCs w:val="28"/>
        </w:rPr>
        <w:t>承包人应承担</w:t>
      </w:r>
      <w:r>
        <w:rPr>
          <w:rFonts w:eastAsia="仿宋_GB2312"/>
          <w:color w:val="000000"/>
          <w:kern w:val="0"/>
          <w:sz w:val="28"/>
          <w:szCs w:val="28"/>
        </w:rPr>
        <w:t>工程照管、成品保护、保管等与工程有关的各项费用</w:t>
      </w:r>
      <w:r>
        <w:rPr>
          <w:rFonts w:hint="eastAsia" w:eastAsia="仿宋_GB2312"/>
          <w:color w:val="000000"/>
          <w:kern w:val="0"/>
          <w:sz w:val="28"/>
          <w:szCs w:val="28"/>
        </w:rPr>
        <w:t>，合同当事人可以在专用合同条款中另行约定承包人无正当理由不移交工程的违约责任</w:t>
      </w:r>
      <w:r>
        <w:rPr>
          <w:rFonts w:eastAsia="仿宋_GB2312"/>
          <w:color w:val="000000"/>
          <w:kern w:val="0"/>
          <w:sz w:val="28"/>
          <w:szCs w:val="28"/>
        </w:rPr>
        <w:t>。</w:t>
      </w:r>
    </w:p>
    <w:p w14:paraId="2758ECFF">
      <w:pPr>
        <w:pStyle w:val="7"/>
        <w:spacing w:before="120" w:after="120" w:line="500" w:lineRule="exact"/>
        <w:ind w:firstLine="560" w:firstLineChars="200"/>
        <w:rPr>
          <w:rFonts w:eastAsia="黑体"/>
          <w:b w:val="0"/>
          <w:color w:val="000000"/>
        </w:rPr>
      </w:pPr>
      <w:bookmarkStart w:id="987" w:name="_Toc351203589"/>
      <w:bookmarkStart w:id="988" w:name="_Toc337558807"/>
      <w:bookmarkStart w:id="989" w:name="_Toc296346612"/>
      <w:bookmarkStart w:id="990" w:name="_Toc296503111"/>
      <w:r>
        <w:rPr>
          <w:rFonts w:eastAsia="黑体"/>
          <w:b w:val="0"/>
          <w:color w:val="000000"/>
        </w:rPr>
        <w:t>13.3工程试车</w:t>
      </w:r>
      <w:bookmarkEnd w:id="987"/>
    </w:p>
    <w:bookmarkEnd w:id="988"/>
    <w:bookmarkEnd w:id="989"/>
    <w:bookmarkEnd w:id="990"/>
    <w:p w14:paraId="1988BBB2">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13.3.1试车程序</w:t>
      </w:r>
    </w:p>
    <w:p w14:paraId="2D9552F6">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工程需要试车的，除专用合同条款另有约定外，试车内容应与承包人承包范围相一致，试车费用由承包人承担。工程试车应按如下程序进行：</w:t>
      </w:r>
    </w:p>
    <w:p w14:paraId="549C8327">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13605C91">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72CBE1A4">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129C4EE9">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13.3.2 试车中的责任</w:t>
      </w:r>
    </w:p>
    <w:p w14:paraId="118BFDB7">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42910A61">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51480E38">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13.3.3 投料试车</w:t>
      </w:r>
    </w:p>
    <w:p w14:paraId="54565229">
      <w:pPr>
        <w:spacing w:line="500" w:lineRule="exact"/>
        <w:ind w:firstLine="560" w:firstLineChars="200"/>
        <w:jc w:val="left"/>
        <w:rPr>
          <w:rFonts w:eastAsia="仿宋_GB2312"/>
          <w:color w:val="000000"/>
          <w:kern w:val="0"/>
          <w:sz w:val="28"/>
          <w:szCs w:val="28"/>
        </w:rPr>
      </w:pPr>
      <w:r>
        <w:rPr>
          <w:rFonts w:hint="eastAsia" w:eastAsia="仿宋_GB2312"/>
          <w:color w:val="000000"/>
          <w:kern w:val="0"/>
          <w:sz w:val="28"/>
          <w:szCs w:val="28"/>
        </w:rPr>
        <w:t>如需进行投料试车的，</w:t>
      </w:r>
      <w:r>
        <w:rPr>
          <w:rFonts w:eastAsia="仿宋_GB2312"/>
          <w:color w:val="000000"/>
          <w:kern w:val="0"/>
          <w:sz w:val="28"/>
          <w:szCs w:val="28"/>
        </w:rPr>
        <w:t>发包人</w:t>
      </w:r>
      <w:r>
        <w:rPr>
          <w:rFonts w:hint="eastAsia" w:eastAsia="仿宋_GB2312"/>
          <w:color w:val="000000"/>
          <w:kern w:val="0"/>
          <w:sz w:val="28"/>
          <w:szCs w:val="28"/>
        </w:rPr>
        <w:t>应在</w:t>
      </w:r>
      <w:r>
        <w:rPr>
          <w:rFonts w:eastAsia="仿宋_GB2312"/>
          <w:color w:val="000000"/>
          <w:kern w:val="0"/>
          <w:sz w:val="28"/>
          <w:szCs w:val="28"/>
        </w:rPr>
        <w:t>工程竣工验收后</w:t>
      </w:r>
      <w:r>
        <w:rPr>
          <w:rFonts w:hint="eastAsia" w:eastAsia="仿宋_GB2312"/>
          <w:color w:val="000000"/>
          <w:kern w:val="0"/>
          <w:sz w:val="28"/>
          <w:szCs w:val="28"/>
        </w:rPr>
        <w:t>组织</w:t>
      </w:r>
      <w:r>
        <w:rPr>
          <w:rFonts w:eastAsia="仿宋_GB2312"/>
          <w:color w:val="000000"/>
          <w:kern w:val="0"/>
          <w:sz w:val="28"/>
          <w:szCs w:val="28"/>
        </w:rPr>
        <w:t>投料试车</w:t>
      </w:r>
      <w:r>
        <w:rPr>
          <w:rFonts w:hint="eastAsia" w:eastAsia="仿宋_GB2312"/>
          <w:color w:val="000000"/>
          <w:kern w:val="0"/>
          <w:sz w:val="28"/>
          <w:szCs w:val="28"/>
        </w:rPr>
        <w:t>。</w:t>
      </w:r>
      <w:r>
        <w:rPr>
          <w:rFonts w:eastAsia="仿宋_GB2312"/>
          <w:color w:val="000000"/>
          <w:kern w:val="0"/>
          <w:sz w:val="28"/>
          <w:szCs w:val="28"/>
        </w:rPr>
        <w:t>发包人要求在工程竣工验收前进行或需要承包人配合时，应征得承包人同意</w:t>
      </w:r>
      <w:r>
        <w:rPr>
          <w:rFonts w:hint="eastAsia" w:eastAsia="仿宋_GB2312"/>
          <w:color w:val="000000"/>
          <w:kern w:val="0"/>
          <w:sz w:val="28"/>
          <w:szCs w:val="28"/>
        </w:rPr>
        <w:t>，并在专用合同条款中约定有关事项</w:t>
      </w:r>
      <w:r>
        <w:rPr>
          <w:rFonts w:eastAsia="仿宋_GB2312"/>
          <w:color w:val="000000"/>
          <w:kern w:val="0"/>
          <w:sz w:val="28"/>
          <w:szCs w:val="28"/>
        </w:rPr>
        <w:t>。</w:t>
      </w:r>
    </w:p>
    <w:p w14:paraId="0E9AC43E">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投料试车合格的，费用由发包人承担；因承包人原因造成投料试车不合格的，承包人应按照发包人要求进行整改，由此产生的整改费用由承包人承担；非因承包人原因导致投料试车不合格的，</w:t>
      </w:r>
      <w:r>
        <w:rPr>
          <w:rFonts w:hint="eastAsia" w:eastAsia="仿宋_GB2312"/>
          <w:color w:val="000000"/>
          <w:kern w:val="0"/>
          <w:sz w:val="28"/>
          <w:szCs w:val="28"/>
        </w:rPr>
        <w:t>如</w:t>
      </w:r>
      <w:r>
        <w:rPr>
          <w:rFonts w:eastAsia="仿宋_GB2312"/>
          <w:color w:val="000000"/>
          <w:kern w:val="0"/>
          <w:sz w:val="28"/>
          <w:szCs w:val="28"/>
        </w:rPr>
        <w:t>发包人要求承包人进行整改</w:t>
      </w:r>
      <w:r>
        <w:rPr>
          <w:rFonts w:hint="eastAsia" w:eastAsia="仿宋_GB2312"/>
          <w:color w:val="000000"/>
          <w:kern w:val="0"/>
          <w:sz w:val="28"/>
          <w:szCs w:val="28"/>
        </w:rPr>
        <w:t>的</w:t>
      </w:r>
      <w:r>
        <w:rPr>
          <w:rFonts w:eastAsia="仿宋_GB2312"/>
          <w:color w:val="000000"/>
          <w:kern w:val="0"/>
          <w:sz w:val="28"/>
          <w:szCs w:val="28"/>
        </w:rPr>
        <w:t>，由此产生的费用由发包人承担。</w:t>
      </w:r>
    </w:p>
    <w:p w14:paraId="62672DBA">
      <w:pPr>
        <w:pStyle w:val="7"/>
        <w:spacing w:before="120" w:after="120" w:line="500" w:lineRule="exact"/>
        <w:rPr>
          <w:rFonts w:eastAsia="黑体"/>
          <w:b w:val="0"/>
          <w:color w:val="000000"/>
        </w:rPr>
      </w:pPr>
      <w:bookmarkStart w:id="991" w:name="_Toc337558808"/>
      <w:r>
        <w:rPr>
          <w:rFonts w:eastAsia="黑体"/>
          <w:b w:val="0"/>
          <w:color w:val="000000"/>
        </w:rPr>
        <w:t xml:space="preserve">    </w:t>
      </w:r>
      <w:bookmarkStart w:id="992" w:name="_Toc351203590"/>
      <w:r>
        <w:rPr>
          <w:rFonts w:eastAsia="黑体"/>
          <w:b w:val="0"/>
          <w:color w:val="000000"/>
        </w:rPr>
        <w:t>13.4提前交付单位工程的验收</w:t>
      </w:r>
      <w:bookmarkEnd w:id="992"/>
    </w:p>
    <w:bookmarkEnd w:id="991"/>
    <w:p w14:paraId="2B52230C">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13.4.1 发包人需要在工程竣工前使用单位工程的，或承包人提出提前交付已经竣工的单位工程且经发包人同意的，可进行单位工程验收，验收的程序按照第13.2款</w:t>
      </w:r>
      <w:r>
        <w:rPr>
          <w:rFonts w:hint="eastAsia" w:eastAsia="仿宋_GB2312"/>
          <w:color w:val="000000"/>
          <w:kern w:val="0"/>
          <w:sz w:val="28"/>
          <w:szCs w:val="28"/>
        </w:rPr>
        <w:t>〔</w:t>
      </w:r>
      <w:r>
        <w:rPr>
          <w:rFonts w:eastAsia="仿宋_GB2312"/>
          <w:color w:val="000000"/>
          <w:kern w:val="0"/>
          <w:sz w:val="28"/>
          <w:szCs w:val="28"/>
        </w:rPr>
        <w:t>竣工验收</w:t>
      </w:r>
      <w:r>
        <w:rPr>
          <w:rFonts w:hint="eastAsia" w:eastAsia="仿宋_GB2312"/>
          <w:color w:val="000000"/>
          <w:kern w:val="0"/>
          <w:sz w:val="28"/>
          <w:szCs w:val="28"/>
        </w:rPr>
        <w:t>〕</w:t>
      </w:r>
      <w:r>
        <w:rPr>
          <w:rFonts w:eastAsia="仿宋_GB2312"/>
          <w:color w:val="000000"/>
          <w:kern w:val="0"/>
          <w:sz w:val="28"/>
          <w:szCs w:val="28"/>
        </w:rPr>
        <w:t>的约定进行。</w:t>
      </w:r>
    </w:p>
    <w:p w14:paraId="09173B1C">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验收合格后，由监理人向承包人出具经发包人签认的单位工程接收证书。已签发单位工程接收证书的单位工程由发包人负责照管。单位工程的验收成果和结论作为整体工程竣工验收申请报告的附件。</w:t>
      </w:r>
    </w:p>
    <w:p w14:paraId="5B435A0B">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13.4.2 发包人要求在工程竣工前交付单位工程，由此导致承包人费用增加和（或）工期延误的，由发包人承担由此增加的费用和（或）延误的工期，并支付承包人合理的利润。</w:t>
      </w:r>
    </w:p>
    <w:p w14:paraId="41E22CAA">
      <w:pPr>
        <w:pStyle w:val="7"/>
        <w:spacing w:before="120" w:after="120" w:line="500" w:lineRule="exact"/>
        <w:ind w:firstLine="560" w:firstLineChars="200"/>
        <w:rPr>
          <w:rFonts w:eastAsia="黑体"/>
          <w:b w:val="0"/>
          <w:color w:val="000000"/>
        </w:rPr>
      </w:pPr>
      <w:bookmarkStart w:id="993" w:name="_Toc351203591"/>
      <w:r>
        <w:rPr>
          <w:rFonts w:eastAsia="黑体"/>
          <w:b w:val="0"/>
          <w:color w:val="000000"/>
        </w:rPr>
        <w:t>13.5 施工期运行</w:t>
      </w:r>
      <w:bookmarkEnd w:id="993"/>
    </w:p>
    <w:p w14:paraId="1CD85957">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13.5.1 施工期运行是指合同工程尚未全部竣工，其中某项或某几项单位工程或工程设备安装已竣工，根据专用合同条款约定，需要投入施工期运行的，经发包人按第13.4款</w:t>
      </w:r>
      <w:r>
        <w:rPr>
          <w:rFonts w:hint="eastAsia" w:eastAsia="仿宋_GB2312"/>
          <w:color w:val="000000"/>
          <w:kern w:val="0"/>
          <w:sz w:val="28"/>
          <w:szCs w:val="28"/>
        </w:rPr>
        <w:t>〔</w:t>
      </w:r>
      <w:r>
        <w:rPr>
          <w:rFonts w:eastAsia="仿宋_GB2312"/>
          <w:color w:val="000000"/>
          <w:kern w:val="0"/>
          <w:sz w:val="28"/>
          <w:szCs w:val="28"/>
        </w:rPr>
        <w:t>提前交付单位工程的验收</w:t>
      </w:r>
      <w:r>
        <w:rPr>
          <w:rFonts w:hint="eastAsia" w:eastAsia="仿宋_GB2312"/>
          <w:color w:val="000000"/>
          <w:kern w:val="0"/>
          <w:sz w:val="28"/>
          <w:szCs w:val="28"/>
        </w:rPr>
        <w:t>〕</w:t>
      </w:r>
      <w:r>
        <w:rPr>
          <w:rFonts w:eastAsia="仿宋_GB2312"/>
          <w:color w:val="000000"/>
          <w:kern w:val="0"/>
          <w:sz w:val="28"/>
          <w:szCs w:val="28"/>
        </w:rPr>
        <w:t>的约定验收合格，证明能确保安全后，才能在施工期投入运行。</w:t>
      </w:r>
    </w:p>
    <w:p w14:paraId="32E82171">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13.5.2 在施工期运行中发现工程或工程设备损坏或存在缺陷的，由承包人按第15.2款</w:t>
      </w:r>
      <w:r>
        <w:rPr>
          <w:rFonts w:hint="eastAsia" w:eastAsia="仿宋_GB2312"/>
          <w:color w:val="000000"/>
          <w:kern w:val="0"/>
          <w:sz w:val="28"/>
          <w:szCs w:val="28"/>
        </w:rPr>
        <w:t>〔</w:t>
      </w:r>
      <w:r>
        <w:rPr>
          <w:rFonts w:eastAsia="仿宋_GB2312"/>
          <w:color w:val="000000"/>
          <w:kern w:val="0"/>
          <w:sz w:val="28"/>
          <w:szCs w:val="28"/>
        </w:rPr>
        <w:t>缺陷责任期</w:t>
      </w:r>
      <w:r>
        <w:rPr>
          <w:rFonts w:hint="eastAsia" w:eastAsia="仿宋_GB2312"/>
          <w:color w:val="000000"/>
          <w:kern w:val="0"/>
          <w:sz w:val="28"/>
          <w:szCs w:val="28"/>
        </w:rPr>
        <w:t>〕</w:t>
      </w:r>
      <w:r>
        <w:rPr>
          <w:rFonts w:eastAsia="仿宋_GB2312"/>
          <w:color w:val="000000"/>
          <w:kern w:val="0"/>
          <w:sz w:val="28"/>
          <w:szCs w:val="28"/>
        </w:rPr>
        <w:t>约定进行修复。</w:t>
      </w:r>
    </w:p>
    <w:p w14:paraId="0E57C6CB">
      <w:pPr>
        <w:pStyle w:val="7"/>
        <w:spacing w:before="120" w:after="120" w:line="500" w:lineRule="exact"/>
        <w:ind w:firstLine="560" w:firstLineChars="200"/>
        <w:rPr>
          <w:rFonts w:eastAsia="黑体"/>
          <w:b w:val="0"/>
          <w:color w:val="000000"/>
        </w:rPr>
      </w:pPr>
      <w:bookmarkStart w:id="994" w:name="_Toc296346613"/>
      <w:bookmarkStart w:id="995" w:name="_Toc296503112"/>
      <w:bookmarkStart w:id="996" w:name="_Toc351203592"/>
      <w:bookmarkStart w:id="997" w:name="_Toc337558809"/>
      <w:r>
        <w:rPr>
          <w:rFonts w:eastAsia="黑体"/>
          <w:b w:val="0"/>
          <w:color w:val="000000"/>
        </w:rPr>
        <w:t>13.6 竣工退</w:t>
      </w:r>
      <w:bookmarkEnd w:id="994"/>
      <w:bookmarkEnd w:id="995"/>
      <w:r>
        <w:rPr>
          <w:rFonts w:eastAsia="黑体"/>
          <w:b w:val="0"/>
          <w:color w:val="000000"/>
        </w:rPr>
        <w:t>场</w:t>
      </w:r>
      <w:bookmarkEnd w:id="996"/>
    </w:p>
    <w:bookmarkEnd w:id="997"/>
    <w:p w14:paraId="58720BF2">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13.6.1 竣工退场</w:t>
      </w:r>
    </w:p>
    <w:p w14:paraId="2A413794">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颁发工程接收证书后，承包人应按以下要求对施工现场进行清理：</w:t>
      </w:r>
    </w:p>
    <w:p w14:paraId="22FDFB7D">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（1）施工现场内残留的垃圾已全部清除出场；</w:t>
      </w:r>
    </w:p>
    <w:p w14:paraId="04A5B245">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（2）临时工程已拆除，场地已进行清理、平整或复原；</w:t>
      </w:r>
    </w:p>
    <w:p w14:paraId="63B4BBF5">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（3）按合同约定应撤离的人员、承包人施工设备和剩余的材料，包括废弃的施工设备和材料，已按计划撤离施工现场；</w:t>
      </w:r>
    </w:p>
    <w:p w14:paraId="279B9D5E">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（4）施工现场周边及其附近道路、河道的施工堆积物，已全部清理；</w:t>
      </w:r>
    </w:p>
    <w:p w14:paraId="17F0E030">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（5）施工现场其他场地清理工作已全部完成。</w:t>
      </w:r>
    </w:p>
    <w:p w14:paraId="0ED55E64">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2A92EAB6">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13.6.2 地表还原</w:t>
      </w:r>
    </w:p>
    <w:p w14:paraId="61430D6D">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承包人应按发包人要求恢复临时占地及清理场地，承包人未按发包人的要求恢复临时占地，或者场地清理未达到合同约定要求的，发包人有权委托其他人恢复或清理，所发生的费用由承包人承担。</w:t>
      </w:r>
    </w:p>
    <w:p w14:paraId="6466E91C">
      <w:pPr>
        <w:pStyle w:val="6"/>
        <w:spacing w:before="120" w:after="120" w:line="500" w:lineRule="exact"/>
        <w:rPr>
          <w:rFonts w:ascii="Times New Roman" w:hAnsi="Times New Roman"/>
          <w:b w:val="0"/>
          <w:color w:val="000000"/>
        </w:rPr>
      </w:pPr>
      <w:bookmarkStart w:id="998" w:name="_Toc351203593"/>
      <w:bookmarkStart w:id="999" w:name="_Toc337558810"/>
      <w:bookmarkStart w:id="1000" w:name="_Toc296346614"/>
      <w:bookmarkStart w:id="1001" w:name="_Toc296503113"/>
      <w:r>
        <w:rPr>
          <w:rFonts w:ascii="Times New Roman" w:hAnsi="Times New Roman"/>
          <w:b w:val="0"/>
          <w:color w:val="000000"/>
        </w:rPr>
        <w:t>14. 竣工结算</w:t>
      </w:r>
      <w:bookmarkEnd w:id="998"/>
    </w:p>
    <w:bookmarkEnd w:id="999"/>
    <w:p w14:paraId="5B09C132">
      <w:pPr>
        <w:pStyle w:val="7"/>
        <w:spacing w:before="120" w:after="120" w:line="500" w:lineRule="exact"/>
        <w:ind w:firstLine="560" w:firstLineChars="200"/>
        <w:rPr>
          <w:rFonts w:eastAsia="黑体"/>
          <w:b w:val="0"/>
          <w:color w:val="000000"/>
        </w:rPr>
      </w:pPr>
      <w:bookmarkStart w:id="1002" w:name="_Toc351203594"/>
      <w:bookmarkStart w:id="1003" w:name="_Toc337558811"/>
      <w:r>
        <w:rPr>
          <w:rFonts w:eastAsia="黑体"/>
          <w:b w:val="0"/>
          <w:color w:val="000000"/>
        </w:rPr>
        <w:t>14.1 竣工结算申请</w:t>
      </w:r>
      <w:bookmarkEnd w:id="1002"/>
    </w:p>
    <w:bookmarkEnd w:id="1003"/>
    <w:p w14:paraId="204575D4">
      <w:pPr>
        <w:autoSpaceDE w:val="0"/>
        <w:autoSpaceDN w:val="0"/>
        <w:adjustRightInd w:val="0"/>
        <w:spacing w:line="500" w:lineRule="exact"/>
        <w:ind w:firstLine="560" w:firstLineChars="200"/>
        <w:jc w:val="left"/>
        <w:rPr>
          <w:rFonts w:eastAsia="仿宋_GB2312"/>
          <w:color w:val="000000"/>
          <w:sz w:val="28"/>
          <w:szCs w:val="28"/>
        </w:rPr>
      </w:pPr>
      <w:r>
        <w:rPr>
          <w:rFonts w:eastAsia="仿宋_GB2312"/>
          <w:color w:val="000000"/>
          <w:kern w:val="0"/>
          <w:sz w:val="28"/>
          <w:szCs w:val="28"/>
        </w:rPr>
        <w:t>除专用合同条款另有约定外，</w:t>
      </w:r>
      <w:r>
        <w:rPr>
          <w:rFonts w:eastAsia="仿宋_GB2312"/>
          <w:color w:val="000000"/>
          <w:sz w:val="28"/>
          <w:szCs w:val="28"/>
        </w:rPr>
        <w:t>承包人应在工程竣工验收合格后28天内向发包人和监理人提交竣工结算申请单，并提交完整的结算资料，</w:t>
      </w:r>
      <w:r>
        <w:rPr>
          <w:rFonts w:hint="eastAsia" w:eastAsia="仿宋_GB2312"/>
          <w:color w:val="000000"/>
          <w:sz w:val="28"/>
          <w:szCs w:val="28"/>
        </w:rPr>
        <w:t>有关</w:t>
      </w:r>
      <w:r>
        <w:rPr>
          <w:rFonts w:eastAsia="仿宋_GB2312"/>
          <w:color w:val="000000"/>
          <w:sz w:val="28"/>
          <w:szCs w:val="28"/>
        </w:rPr>
        <w:t>竣工结算申请单</w:t>
      </w:r>
      <w:r>
        <w:rPr>
          <w:rFonts w:hint="eastAsia" w:eastAsia="仿宋_GB2312"/>
          <w:color w:val="000000"/>
          <w:sz w:val="28"/>
          <w:szCs w:val="28"/>
        </w:rPr>
        <w:t>的资料清单和</w:t>
      </w:r>
      <w:r>
        <w:rPr>
          <w:rFonts w:eastAsia="仿宋_GB2312"/>
          <w:color w:val="000000"/>
          <w:sz w:val="28"/>
          <w:szCs w:val="28"/>
        </w:rPr>
        <w:t>份数</w:t>
      </w:r>
      <w:r>
        <w:rPr>
          <w:rFonts w:hint="eastAsia" w:eastAsia="仿宋_GB2312"/>
          <w:color w:val="000000"/>
          <w:sz w:val="28"/>
          <w:szCs w:val="28"/>
        </w:rPr>
        <w:t>等要求</w:t>
      </w:r>
      <w:r>
        <w:rPr>
          <w:rFonts w:eastAsia="仿宋_GB2312"/>
          <w:color w:val="000000"/>
          <w:sz w:val="28"/>
          <w:szCs w:val="28"/>
        </w:rPr>
        <w:t>由合同当事人在专用合同条款中约定。</w:t>
      </w:r>
    </w:p>
    <w:p w14:paraId="23C6179D">
      <w:pPr>
        <w:autoSpaceDE w:val="0"/>
        <w:autoSpaceDN w:val="0"/>
        <w:adjustRightInd w:val="0"/>
        <w:spacing w:line="500" w:lineRule="exact"/>
        <w:ind w:firstLine="560" w:firstLineChars="200"/>
        <w:jc w:val="left"/>
        <w:rPr>
          <w:rFonts w:eastAsia="仿宋_GB2312"/>
          <w:color w:val="000000"/>
          <w:sz w:val="28"/>
          <w:szCs w:val="28"/>
        </w:rPr>
      </w:pPr>
      <w:r>
        <w:rPr>
          <w:rFonts w:eastAsia="仿宋_GB2312"/>
          <w:color w:val="000000"/>
          <w:sz w:val="28"/>
          <w:szCs w:val="28"/>
        </w:rPr>
        <w:t>除专用合同条款另有约定外，竣工结算申请单应包括以下内容：</w:t>
      </w:r>
    </w:p>
    <w:p w14:paraId="0184B476">
      <w:pPr>
        <w:autoSpaceDE w:val="0"/>
        <w:autoSpaceDN w:val="0"/>
        <w:adjustRightInd w:val="0"/>
        <w:spacing w:line="500" w:lineRule="exact"/>
        <w:ind w:firstLine="560" w:firstLineChars="200"/>
        <w:jc w:val="left"/>
        <w:rPr>
          <w:rFonts w:eastAsia="仿宋_GB2312"/>
          <w:color w:val="000000"/>
          <w:sz w:val="28"/>
          <w:szCs w:val="28"/>
        </w:rPr>
      </w:pPr>
      <w:r>
        <w:rPr>
          <w:rFonts w:eastAsia="仿宋_GB2312"/>
          <w:color w:val="000000"/>
          <w:sz w:val="28"/>
          <w:szCs w:val="28"/>
        </w:rPr>
        <w:t>（1）竣工结算合同价格；</w:t>
      </w:r>
    </w:p>
    <w:p w14:paraId="5B0BBED9">
      <w:pPr>
        <w:autoSpaceDE w:val="0"/>
        <w:autoSpaceDN w:val="0"/>
        <w:adjustRightInd w:val="0"/>
        <w:spacing w:line="500" w:lineRule="exact"/>
        <w:ind w:firstLine="560" w:firstLineChars="200"/>
        <w:jc w:val="left"/>
        <w:rPr>
          <w:rFonts w:eastAsia="仿宋_GB2312"/>
          <w:color w:val="000000"/>
          <w:sz w:val="28"/>
          <w:szCs w:val="28"/>
        </w:rPr>
      </w:pPr>
      <w:r>
        <w:rPr>
          <w:rFonts w:eastAsia="仿宋_GB2312"/>
          <w:color w:val="000000"/>
          <w:sz w:val="28"/>
          <w:szCs w:val="28"/>
        </w:rPr>
        <w:t>（2）发包人已支付承包人的款项；</w:t>
      </w:r>
    </w:p>
    <w:p w14:paraId="6CA57C92">
      <w:pPr>
        <w:autoSpaceDE w:val="0"/>
        <w:autoSpaceDN w:val="0"/>
        <w:adjustRightInd w:val="0"/>
        <w:spacing w:line="500" w:lineRule="exact"/>
        <w:ind w:firstLine="560" w:firstLineChars="200"/>
        <w:jc w:val="left"/>
        <w:rPr>
          <w:rFonts w:eastAsia="仿宋_GB2312"/>
          <w:color w:val="000000"/>
          <w:sz w:val="28"/>
          <w:szCs w:val="28"/>
        </w:rPr>
      </w:pPr>
      <w:r>
        <w:rPr>
          <w:rFonts w:eastAsia="仿宋_GB2312"/>
          <w:color w:val="000000"/>
          <w:sz w:val="28"/>
          <w:szCs w:val="28"/>
        </w:rPr>
        <w:t>（3）应扣留的质量保证金</w:t>
      </w:r>
      <w:r>
        <w:rPr>
          <w:rFonts w:hint="eastAsia" w:eastAsia="仿宋_GB2312"/>
          <w:color w:val="000000"/>
          <w:sz w:val="28"/>
          <w:szCs w:val="28"/>
        </w:rPr>
        <w:t>。已缴纳履约保证金的或提供其他工程质量担保方式的除外</w:t>
      </w:r>
      <w:r>
        <w:rPr>
          <w:rFonts w:eastAsia="仿宋_GB2312"/>
          <w:color w:val="000000"/>
          <w:sz w:val="28"/>
          <w:szCs w:val="28"/>
        </w:rPr>
        <w:t xml:space="preserve">； </w:t>
      </w:r>
    </w:p>
    <w:p w14:paraId="23A8EE5E">
      <w:pPr>
        <w:autoSpaceDE w:val="0"/>
        <w:autoSpaceDN w:val="0"/>
        <w:adjustRightInd w:val="0"/>
        <w:spacing w:line="500" w:lineRule="exact"/>
        <w:ind w:firstLine="560" w:firstLineChars="200"/>
        <w:jc w:val="left"/>
        <w:rPr>
          <w:rFonts w:eastAsia="仿宋_GB2312"/>
          <w:color w:val="000000"/>
          <w:sz w:val="28"/>
          <w:szCs w:val="28"/>
        </w:rPr>
      </w:pPr>
      <w:r>
        <w:rPr>
          <w:rFonts w:eastAsia="仿宋_GB2312"/>
          <w:color w:val="000000"/>
          <w:sz w:val="28"/>
          <w:szCs w:val="28"/>
        </w:rPr>
        <w:t>（4）发包人应支付承包人的合同价款。</w:t>
      </w:r>
    </w:p>
    <w:p w14:paraId="22CD5368">
      <w:pPr>
        <w:pStyle w:val="7"/>
        <w:spacing w:before="120" w:after="120" w:line="500" w:lineRule="exact"/>
        <w:ind w:firstLine="560" w:firstLineChars="200"/>
        <w:rPr>
          <w:rFonts w:eastAsia="黑体"/>
          <w:b w:val="0"/>
          <w:color w:val="000000"/>
        </w:rPr>
      </w:pPr>
      <w:bookmarkStart w:id="1004" w:name="_Toc351203595"/>
      <w:bookmarkStart w:id="1005" w:name="_Toc337558812"/>
      <w:r>
        <w:rPr>
          <w:rFonts w:eastAsia="黑体"/>
          <w:b w:val="0"/>
          <w:color w:val="000000"/>
        </w:rPr>
        <w:t>14.2 竣工结算审核</w:t>
      </w:r>
      <w:bookmarkEnd w:id="1004"/>
    </w:p>
    <w:bookmarkEnd w:id="1005"/>
    <w:p w14:paraId="3A058CA8">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（1）除专用合同条款另有约定外，监理人应在收到竣工结算申请单后14天内完成核查并报送发包人。发包人应在收到监理人提交的经审核的竣工结算申请单后14天内完成</w:t>
      </w:r>
      <w:r>
        <w:rPr>
          <w:rFonts w:hint="eastAsia" w:eastAsia="仿宋_GB2312"/>
          <w:color w:val="000000"/>
          <w:kern w:val="0"/>
          <w:sz w:val="28"/>
          <w:szCs w:val="28"/>
        </w:rPr>
        <w:t>审批</w:t>
      </w:r>
      <w:r>
        <w:rPr>
          <w:rFonts w:eastAsia="仿宋_GB2312"/>
          <w:color w:val="000000"/>
          <w:kern w:val="0"/>
          <w:sz w:val="28"/>
          <w:szCs w:val="28"/>
        </w:rPr>
        <w:t>，并由监理人向承包人签发经发包人签认的竣工付款证书。监理人或</w:t>
      </w:r>
      <w:r>
        <w:rPr>
          <w:rFonts w:eastAsia="仿宋_GB2312"/>
          <w:color w:val="000000"/>
          <w:sz w:val="28"/>
          <w:szCs w:val="28"/>
        </w:rPr>
        <w:t>发包人对竣工</w:t>
      </w:r>
      <w:r>
        <w:rPr>
          <w:rFonts w:eastAsia="仿宋_GB2312"/>
          <w:color w:val="000000"/>
          <w:kern w:val="0"/>
          <w:sz w:val="28"/>
          <w:szCs w:val="28"/>
        </w:rPr>
        <w:t>结算</w:t>
      </w:r>
      <w:r>
        <w:rPr>
          <w:rFonts w:eastAsia="仿宋_GB2312"/>
          <w:color w:val="000000"/>
          <w:sz w:val="28"/>
          <w:szCs w:val="28"/>
        </w:rPr>
        <w:t>申请单有异议的，有权要求承包人进行修正和提供补充资料，承包人应提交修正后的竣工</w:t>
      </w:r>
      <w:r>
        <w:rPr>
          <w:rFonts w:eastAsia="仿宋_GB2312"/>
          <w:color w:val="000000"/>
          <w:kern w:val="0"/>
          <w:sz w:val="28"/>
          <w:szCs w:val="28"/>
        </w:rPr>
        <w:t>结算</w:t>
      </w:r>
      <w:r>
        <w:rPr>
          <w:rFonts w:eastAsia="仿宋_GB2312"/>
          <w:color w:val="000000"/>
          <w:sz w:val="28"/>
          <w:szCs w:val="28"/>
        </w:rPr>
        <w:t>申请单。</w:t>
      </w:r>
    </w:p>
    <w:p w14:paraId="01F1D4A3">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发包人在收到承包人提交竣工结算申请书后28天</w:t>
      </w:r>
      <w:r>
        <w:rPr>
          <w:rFonts w:hint="eastAsia" w:eastAsia="仿宋_GB2312"/>
          <w:color w:val="000000"/>
          <w:kern w:val="0"/>
          <w:sz w:val="28"/>
          <w:szCs w:val="28"/>
        </w:rPr>
        <w:t>内</w:t>
      </w:r>
      <w:r>
        <w:rPr>
          <w:rFonts w:eastAsia="仿宋_GB2312"/>
          <w:color w:val="000000"/>
          <w:kern w:val="0"/>
          <w:sz w:val="28"/>
          <w:szCs w:val="28"/>
        </w:rPr>
        <w:t>未完成</w:t>
      </w:r>
      <w:r>
        <w:rPr>
          <w:rFonts w:hint="eastAsia" w:eastAsia="仿宋_GB2312"/>
          <w:color w:val="000000"/>
          <w:kern w:val="0"/>
          <w:sz w:val="28"/>
          <w:szCs w:val="28"/>
        </w:rPr>
        <w:t>审批</w:t>
      </w:r>
      <w:r>
        <w:rPr>
          <w:rFonts w:eastAsia="仿宋_GB2312"/>
          <w:color w:val="000000"/>
          <w:kern w:val="0"/>
          <w:sz w:val="28"/>
          <w:szCs w:val="28"/>
        </w:rPr>
        <w:t>且未提出异议的，视为发包人认可承包人提交的竣工结算申请单，并自发包人收到承包人提交的竣工结算申请单后第29天起视为已签发竣工付款证书。</w:t>
      </w:r>
    </w:p>
    <w:p w14:paraId="35772F42">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385CB9BE">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（3）承包人对发包人签认的竣工付款证书有异议的，对于有异议部分应在收到发包人签认的竣工付款证书后7天内提出异议，并由合同当事人按照专用合同条款约定</w:t>
      </w:r>
      <w:r>
        <w:rPr>
          <w:rFonts w:hint="eastAsia" w:eastAsia="仿宋_GB2312"/>
          <w:color w:val="000000"/>
          <w:kern w:val="0"/>
          <w:sz w:val="28"/>
          <w:szCs w:val="28"/>
        </w:rPr>
        <w:t>的方式和程序</w:t>
      </w:r>
      <w:r>
        <w:rPr>
          <w:rFonts w:eastAsia="仿宋_GB2312"/>
          <w:color w:val="000000"/>
          <w:kern w:val="0"/>
          <w:sz w:val="28"/>
          <w:szCs w:val="28"/>
        </w:rPr>
        <w:t>进行复核，或按照第20条</w:t>
      </w:r>
      <w:r>
        <w:rPr>
          <w:rFonts w:hint="eastAsia" w:eastAsia="仿宋_GB2312"/>
          <w:color w:val="000000"/>
          <w:kern w:val="0"/>
          <w:sz w:val="28"/>
          <w:szCs w:val="28"/>
        </w:rPr>
        <w:t>〔</w:t>
      </w:r>
      <w:r>
        <w:rPr>
          <w:rFonts w:eastAsia="仿宋_GB2312"/>
          <w:color w:val="000000"/>
          <w:kern w:val="0"/>
          <w:sz w:val="28"/>
          <w:szCs w:val="28"/>
        </w:rPr>
        <w:t>争议解决</w:t>
      </w:r>
      <w:r>
        <w:rPr>
          <w:rFonts w:hint="eastAsia" w:eastAsia="仿宋_GB2312"/>
          <w:color w:val="000000"/>
          <w:kern w:val="0"/>
          <w:sz w:val="28"/>
          <w:szCs w:val="28"/>
        </w:rPr>
        <w:t>〕</w:t>
      </w:r>
      <w:r>
        <w:rPr>
          <w:rFonts w:eastAsia="仿宋_GB2312"/>
          <w:color w:val="000000"/>
          <w:kern w:val="0"/>
          <w:sz w:val="28"/>
          <w:szCs w:val="28"/>
        </w:rPr>
        <w:t>约定处理。对于无异议部分，发包人应签发临时竣工付款证书，并按本款第（2）项完成付款</w:t>
      </w:r>
      <w:r>
        <w:rPr>
          <w:rFonts w:hint="eastAsia" w:eastAsia="仿宋_GB2312"/>
          <w:color w:val="000000"/>
          <w:kern w:val="0"/>
          <w:sz w:val="28"/>
          <w:szCs w:val="28"/>
        </w:rPr>
        <w:t>。</w:t>
      </w:r>
      <w:r>
        <w:rPr>
          <w:rFonts w:eastAsia="仿宋_GB2312"/>
          <w:color w:val="000000"/>
          <w:kern w:val="0"/>
          <w:sz w:val="28"/>
          <w:szCs w:val="28"/>
        </w:rPr>
        <w:t>承包人逾期未提出异议的，视为认可发包人的</w:t>
      </w:r>
      <w:r>
        <w:rPr>
          <w:rFonts w:hint="eastAsia" w:eastAsia="仿宋_GB2312"/>
          <w:color w:val="000000"/>
          <w:kern w:val="0"/>
          <w:sz w:val="28"/>
          <w:szCs w:val="28"/>
        </w:rPr>
        <w:t>审批</w:t>
      </w:r>
      <w:r>
        <w:rPr>
          <w:rFonts w:eastAsia="仿宋_GB2312"/>
          <w:color w:val="000000"/>
          <w:kern w:val="0"/>
          <w:sz w:val="28"/>
          <w:szCs w:val="28"/>
        </w:rPr>
        <w:t>结果。</w:t>
      </w:r>
    </w:p>
    <w:p w14:paraId="584E726F">
      <w:pPr>
        <w:pStyle w:val="7"/>
        <w:spacing w:before="120" w:after="120" w:line="500" w:lineRule="exact"/>
        <w:ind w:firstLine="560" w:firstLineChars="200"/>
        <w:rPr>
          <w:rFonts w:eastAsia="黑体"/>
          <w:b w:val="0"/>
          <w:color w:val="000000"/>
        </w:rPr>
      </w:pPr>
      <w:bookmarkStart w:id="1006" w:name="_Toc351203596"/>
      <w:bookmarkStart w:id="1007" w:name="_Toc337558813"/>
      <w:r>
        <w:rPr>
          <w:rFonts w:eastAsia="黑体"/>
          <w:b w:val="0"/>
          <w:color w:val="000000"/>
        </w:rPr>
        <w:t>14.3 甩项竣工协议</w:t>
      </w:r>
      <w:bookmarkEnd w:id="1006"/>
    </w:p>
    <w:bookmarkEnd w:id="1007"/>
    <w:p w14:paraId="5488DFF1">
      <w:pPr>
        <w:autoSpaceDE w:val="0"/>
        <w:autoSpaceDN w:val="0"/>
        <w:adjustRightInd w:val="0"/>
        <w:spacing w:line="500" w:lineRule="exact"/>
        <w:ind w:firstLine="548" w:firstLineChars="196"/>
        <w:jc w:val="left"/>
        <w:rPr>
          <w:rFonts w:eastAsia="仿宋_GB2312"/>
          <w:color w:val="000000"/>
          <w:kern w:val="0"/>
          <w:sz w:val="28"/>
          <w:szCs w:val="28"/>
        </w:rPr>
      </w:pPr>
      <w:r>
        <w:rPr>
          <w:rFonts w:eastAsia="仿宋_GB2312"/>
          <w:sz w:val="28"/>
          <w:szCs w:val="28"/>
        </w:rPr>
        <w:t>发包人要求甩项竣工的，合同当事人应签订甩项竣工协议。在甩项竣工协议中应明确，合同当事人按照第14.1款</w:t>
      </w:r>
      <w:r>
        <w:rPr>
          <w:rFonts w:hint="eastAsia" w:eastAsia="仿宋_GB2312"/>
          <w:sz w:val="28"/>
          <w:szCs w:val="28"/>
        </w:rPr>
        <w:t>〔</w:t>
      </w:r>
      <w:r>
        <w:rPr>
          <w:rFonts w:eastAsia="仿宋_GB2312"/>
          <w:sz w:val="28"/>
          <w:szCs w:val="28"/>
        </w:rPr>
        <w:t>竣工</w:t>
      </w:r>
      <w:r>
        <w:rPr>
          <w:rFonts w:hint="eastAsia" w:eastAsia="仿宋_GB2312"/>
          <w:sz w:val="28"/>
          <w:szCs w:val="28"/>
        </w:rPr>
        <w:t>结算</w:t>
      </w:r>
      <w:r>
        <w:rPr>
          <w:rFonts w:eastAsia="仿宋_GB2312"/>
          <w:sz w:val="28"/>
          <w:szCs w:val="28"/>
        </w:rPr>
        <w:t>申请</w:t>
      </w:r>
      <w:r>
        <w:rPr>
          <w:rFonts w:hint="eastAsia" w:eastAsia="仿宋_GB2312"/>
          <w:sz w:val="28"/>
          <w:szCs w:val="28"/>
        </w:rPr>
        <w:t>〕</w:t>
      </w:r>
      <w:r>
        <w:rPr>
          <w:rFonts w:eastAsia="仿宋_GB2312"/>
          <w:sz w:val="28"/>
          <w:szCs w:val="28"/>
        </w:rPr>
        <w:t>及14.2款</w:t>
      </w:r>
      <w:r>
        <w:rPr>
          <w:rFonts w:hint="eastAsia" w:eastAsia="仿宋_GB2312"/>
          <w:sz w:val="28"/>
          <w:szCs w:val="28"/>
        </w:rPr>
        <w:t>〔</w:t>
      </w:r>
      <w:r>
        <w:rPr>
          <w:rFonts w:eastAsia="仿宋_GB2312"/>
          <w:sz w:val="28"/>
          <w:szCs w:val="28"/>
        </w:rPr>
        <w:t>竣工结算审核</w:t>
      </w:r>
      <w:r>
        <w:rPr>
          <w:rFonts w:hint="eastAsia" w:eastAsia="仿宋_GB2312"/>
          <w:sz w:val="28"/>
          <w:szCs w:val="28"/>
        </w:rPr>
        <w:t>〕</w:t>
      </w:r>
      <w:r>
        <w:rPr>
          <w:rFonts w:eastAsia="仿宋_GB2312"/>
          <w:sz w:val="28"/>
          <w:szCs w:val="28"/>
        </w:rPr>
        <w:t>的约定，</w:t>
      </w:r>
      <w:r>
        <w:rPr>
          <w:rFonts w:hint="eastAsia" w:eastAsia="仿宋_GB2312"/>
          <w:sz w:val="28"/>
          <w:szCs w:val="28"/>
        </w:rPr>
        <w:t>对已</w:t>
      </w:r>
      <w:r>
        <w:rPr>
          <w:rFonts w:eastAsia="仿宋_GB2312"/>
          <w:sz w:val="28"/>
          <w:szCs w:val="28"/>
        </w:rPr>
        <w:t>完合格工程</w:t>
      </w:r>
      <w:r>
        <w:rPr>
          <w:rFonts w:hint="eastAsia" w:eastAsia="仿宋_GB2312"/>
          <w:sz w:val="28"/>
          <w:szCs w:val="28"/>
        </w:rPr>
        <w:t>进行</w:t>
      </w:r>
      <w:r>
        <w:rPr>
          <w:rFonts w:eastAsia="仿宋_GB2312"/>
          <w:sz w:val="28"/>
          <w:szCs w:val="28"/>
        </w:rPr>
        <w:t>结算，并支付相应</w:t>
      </w:r>
      <w:r>
        <w:rPr>
          <w:rFonts w:hint="eastAsia" w:eastAsia="仿宋_GB2312"/>
          <w:sz w:val="28"/>
          <w:szCs w:val="28"/>
        </w:rPr>
        <w:t>合同</w:t>
      </w:r>
      <w:r>
        <w:rPr>
          <w:rFonts w:eastAsia="仿宋_GB2312"/>
          <w:sz w:val="28"/>
          <w:szCs w:val="28"/>
        </w:rPr>
        <w:t>价款。</w:t>
      </w:r>
    </w:p>
    <w:p w14:paraId="220415AA">
      <w:pPr>
        <w:pStyle w:val="7"/>
        <w:spacing w:before="120" w:after="120" w:line="500" w:lineRule="exact"/>
        <w:ind w:firstLine="560" w:firstLineChars="200"/>
        <w:rPr>
          <w:rFonts w:eastAsia="黑体"/>
          <w:b w:val="0"/>
          <w:color w:val="000000"/>
        </w:rPr>
      </w:pPr>
      <w:bookmarkStart w:id="1008" w:name="_Toc351203597"/>
      <w:bookmarkStart w:id="1009" w:name="_Toc337558814"/>
      <w:r>
        <w:rPr>
          <w:rFonts w:eastAsia="黑体"/>
          <w:b w:val="0"/>
          <w:color w:val="000000"/>
        </w:rPr>
        <w:t>14.4 最终结清</w:t>
      </w:r>
      <w:bookmarkEnd w:id="1008"/>
    </w:p>
    <w:bookmarkEnd w:id="1009"/>
    <w:p w14:paraId="11BFF0EE">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14.4.1 最终结清申请单</w:t>
      </w:r>
    </w:p>
    <w:p w14:paraId="0B8A8998">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（1）除专用合同条款另有约定外，承包人应在缺陷责任期终止证书颁发后7天内，按专用合同条款约定的份数向发包人提交最终结清申请单，并提供相关证明材料。</w:t>
      </w:r>
    </w:p>
    <w:p w14:paraId="5CCD495C">
      <w:pPr>
        <w:autoSpaceDE w:val="0"/>
        <w:autoSpaceDN w:val="0"/>
        <w:adjustRightInd w:val="0"/>
        <w:spacing w:line="500" w:lineRule="exact"/>
        <w:ind w:firstLine="560" w:firstLineChars="200"/>
        <w:jc w:val="left"/>
        <w:rPr>
          <w:rFonts w:eastAsia="仿宋_GB2312"/>
          <w:color w:val="000000"/>
          <w:sz w:val="28"/>
          <w:szCs w:val="28"/>
        </w:rPr>
      </w:pPr>
      <w:r>
        <w:rPr>
          <w:rFonts w:eastAsia="仿宋_GB2312"/>
          <w:color w:val="000000"/>
          <w:sz w:val="28"/>
          <w:szCs w:val="28"/>
        </w:rPr>
        <w:t>除专用合同条款另有约定外，</w:t>
      </w:r>
      <w:r>
        <w:rPr>
          <w:rFonts w:eastAsia="仿宋_GB2312"/>
          <w:color w:val="000000"/>
          <w:kern w:val="0"/>
          <w:sz w:val="28"/>
          <w:szCs w:val="28"/>
        </w:rPr>
        <w:t>最终结清申请单</w:t>
      </w:r>
      <w:r>
        <w:rPr>
          <w:rFonts w:eastAsia="仿宋_GB2312"/>
          <w:color w:val="000000"/>
          <w:sz w:val="28"/>
          <w:szCs w:val="28"/>
        </w:rPr>
        <w:t>应列明质量保证金、应扣除的质量保证金、缺陷责任期内发生的增减费用。</w:t>
      </w:r>
    </w:p>
    <w:p w14:paraId="4A8430A7">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（2）发包人对最终结清申请单内容有异议的，有权要求承包人进行修正和提供补充资料，承包人应向发包人提交修正后的最终结清申请单。</w:t>
      </w:r>
    </w:p>
    <w:p w14:paraId="4C4B5587">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14.4.2 最终结清证书和支付</w:t>
      </w:r>
    </w:p>
    <w:p w14:paraId="011CF43D">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（1）除专用合同条款另有约定外，发包人应在收到承包人提交的最终结清申请单后14天内完成审批并向承包人颁发最终结清证书。发包人逾期未完成</w:t>
      </w:r>
      <w:r>
        <w:rPr>
          <w:rFonts w:hint="eastAsia" w:eastAsia="仿宋_GB2312"/>
          <w:color w:val="000000"/>
          <w:kern w:val="0"/>
          <w:sz w:val="28"/>
          <w:szCs w:val="28"/>
        </w:rPr>
        <w:t>审批</w:t>
      </w:r>
      <w:r>
        <w:rPr>
          <w:rFonts w:eastAsia="仿宋_GB2312"/>
          <w:color w:val="000000"/>
          <w:kern w:val="0"/>
          <w:sz w:val="28"/>
          <w:szCs w:val="28"/>
        </w:rPr>
        <w:t>，又未提出修改意见的，视为发包人同意承包人提交的最终结清申请单，且自发包人收到承包人提交的最终结清申请单后15天起视为已颁发最终结清证书。</w:t>
      </w:r>
    </w:p>
    <w:p w14:paraId="4ED2739E">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7AAA5BB9">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（3）承包人对发包人颁发的最终结清证书有异议的，按第20条</w:t>
      </w:r>
      <w:r>
        <w:rPr>
          <w:rFonts w:hint="eastAsia" w:eastAsia="仿宋_GB2312"/>
          <w:color w:val="000000"/>
          <w:kern w:val="0"/>
          <w:sz w:val="28"/>
          <w:szCs w:val="28"/>
        </w:rPr>
        <w:t>〔</w:t>
      </w:r>
      <w:r>
        <w:rPr>
          <w:rFonts w:eastAsia="仿宋_GB2312"/>
          <w:color w:val="000000"/>
          <w:kern w:val="0"/>
          <w:sz w:val="28"/>
          <w:szCs w:val="28"/>
        </w:rPr>
        <w:t>争议解决</w:t>
      </w:r>
      <w:r>
        <w:rPr>
          <w:rFonts w:hint="eastAsia" w:eastAsia="仿宋_GB2312"/>
          <w:color w:val="000000"/>
          <w:kern w:val="0"/>
          <w:sz w:val="28"/>
          <w:szCs w:val="28"/>
        </w:rPr>
        <w:t>〕</w:t>
      </w:r>
      <w:r>
        <w:rPr>
          <w:rFonts w:eastAsia="仿宋_GB2312"/>
          <w:color w:val="000000"/>
          <w:kern w:val="0"/>
          <w:sz w:val="28"/>
          <w:szCs w:val="28"/>
        </w:rPr>
        <w:t>的约定办理。</w:t>
      </w:r>
    </w:p>
    <w:p w14:paraId="748DC004">
      <w:pPr>
        <w:pStyle w:val="6"/>
        <w:spacing w:before="120" w:after="120" w:line="500" w:lineRule="exact"/>
        <w:rPr>
          <w:rFonts w:ascii="Times New Roman" w:hAnsi="Times New Roman"/>
          <w:b w:val="0"/>
          <w:color w:val="000000"/>
        </w:rPr>
      </w:pPr>
      <w:bookmarkStart w:id="1010" w:name="_Toc351203598"/>
      <w:bookmarkStart w:id="1011" w:name="_Toc337558815"/>
      <w:r>
        <w:rPr>
          <w:rFonts w:ascii="Times New Roman" w:hAnsi="Times New Roman"/>
          <w:b w:val="0"/>
          <w:color w:val="000000"/>
        </w:rPr>
        <w:t>15. 缺陷责任与保修</w:t>
      </w:r>
      <w:bookmarkEnd w:id="1010"/>
    </w:p>
    <w:bookmarkEnd w:id="1000"/>
    <w:bookmarkEnd w:id="1001"/>
    <w:bookmarkEnd w:id="1011"/>
    <w:p w14:paraId="7D0C445F">
      <w:pPr>
        <w:pStyle w:val="7"/>
        <w:spacing w:before="120" w:after="120" w:line="500" w:lineRule="exact"/>
        <w:ind w:firstLine="560" w:firstLineChars="200"/>
        <w:rPr>
          <w:rFonts w:eastAsia="黑体"/>
          <w:b w:val="0"/>
          <w:color w:val="000000"/>
        </w:rPr>
      </w:pPr>
      <w:bookmarkStart w:id="1012" w:name="_Toc351203599"/>
      <w:bookmarkStart w:id="1013" w:name="_Toc337558816"/>
      <w:bookmarkStart w:id="1014" w:name="_Toc296503114"/>
      <w:bookmarkStart w:id="1015" w:name="_Toc296346615"/>
      <w:r>
        <w:rPr>
          <w:rFonts w:eastAsia="黑体"/>
          <w:b w:val="0"/>
          <w:color w:val="000000"/>
        </w:rPr>
        <w:t>15.1 工程保修的原则</w:t>
      </w:r>
      <w:bookmarkEnd w:id="1012"/>
    </w:p>
    <w:bookmarkEnd w:id="1013"/>
    <w:p w14:paraId="5AA7F88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在工程移交发包人后，因承包人原因产生的质量缺陷，承包人应承担质量缺陷责任和保修义务。缺陷责任期届满，承包人仍应按合同约定的工程各部位保修年限承担保修义务。</w:t>
      </w:r>
    </w:p>
    <w:p w14:paraId="78F560C6">
      <w:pPr>
        <w:pStyle w:val="7"/>
        <w:spacing w:before="120" w:after="120" w:line="500" w:lineRule="exact"/>
        <w:ind w:firstLine="560" w:firstLineChars="200"/>
        <w:rPr>
          <w:rFonts w:eastAsia="黑体"/>
          <w:b w:val="0"/>
          <w:color w:val="000000"/>
        </w:rPr>
      </w:pPr>
      <w:bookmarkStart w:id="1016" w:name="_Toc351203600"/>
      <w:bookmarkStart w:id="1017" w:name="_Toc337558817"/>
      <w:r>
        <w:rPr>
          <w:rFonts w:eastAsia="黑体"/>
          <w:b w:val="0"/>
          <w:color w:val="000000"/>
        </w:rPr>
        <w:t>15.2 缺陷责任期</w:t>
      </w:r>
      <w:bookmarkEnd w:id="1014"/>
      <w:bookmarkEnd w:id="1015"/>
      <w:bookmarkEnd w:id="1016"/>
    </w:p>
    <w:bookmarkEnd w:id="1017"/>
    <w:p w14:paraId="788E8C0E">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15.2.1 缺陷责任期</w:t>
      </w:r>
      <w:r>
        <w:rPr>
          <w:rFonts w:hint="eastAsia" w:eastAsia="仿宋_GB2312"/>
          <w:color w:val="000000"/>
          <w:kern w:val="0"/>
          <w:sz w:val="28"/>
          <w:szCs w:val="28"/>
        </w:rPr>
        <w:t>从工程通过竣工验收之日</w:t>
      </w:r>
      <w:r>
        <w:rPr>
          <w:rFonts w:eastAsia="仿宋_GB2312"/>
          <w:color w:val="000000"/>
          <w:kern w:val="0"/>
          <w:sz w:val="28"/>
          <w:szCs w:val="28"/>
        </w:rPr>
        <w:t>起计算，合同当事人应在专用合同条款约定缺陷责任期的具体期限，但该期限最长不超过24个月。</w:t>
      </w:r>
    </w:p>
    <w:p w14:paraId="0F9FE64E">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单位工程先于全部工程进行验收，经验收合格并交付使用的，该单位工程缺陷责任期自单位工程验收合格之日起算。</w:t>
      </w:r>
      <w:r>
        <w:rPr>
          <w:rFonts w:hint="eastAsia" w:eastAsia="仿宋_GB2312"/>
          <w:color w:val="000000"/>
          <w:kern w:val="0"/>
          <w:sz w:val="28"/>
          <w:szCs w:val="28"/>
        </w:rPr>
        <w:t>因承包人原因导致工程无法按合同约定期限进行竣工验收的，缺陷责任期从实际通过竣工验收之日起计算。</w:t>
      </w:r>
      <w:r>
        <w:rPr>
          <w:rFonts w:eastAsia="仿宋_GB2312"/>
          <w:color w:val="000000"/>
          <w:kern w:val="0"/>
          <w:sz w:val="28"/>
          <w:szCs w:val="28"/>
        </w:rPr>
        <w:t>因发包人原因导致工程无法按合同约定期限进行竣工验收的，</w:t>
      </w:r>
      <w:r>
        <w:rPr>
          <w:rFonts w:hint="eastAsia" w:eastAsia="仿宋_GB2312"/>
          <w:color w:val="000000"/>
          <w:kern w:val="0"/>
          <w:sz w:val="28"/>
          <w:szCs w:val="28"/>
        </w:rPr>
        <w:t>在承包人提交竣工验收报告90天后，工程自动进入缺陷责任期</w:t>
      </w:r>
      <w:r>
        <w:rPr>
          <w:rFonts w:eastAsia="仿宋_GB2312"/>
          <w:color w:val="000000"/>
          <w:kern w:val="0"/>
          <w:sz w:val="28"/>
          <w:szCs w:val="28"/>
        </w:rPr>
        <w:t>；发包人未经竣工验收擅自使用工程的，缺陷责任期自工程转移占有之日起开始计算。</w:t>
      </w:r>
    </w:p>
    <w:p w14:paraId="04530380">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15.2.2</w:t>
      </w:r>
      <w:r>
        <w:rPr>
          <w:rFonts w:hint="eastAsia" w:eastAsia="仿宋_GB2312"/>
          <w:color w:val="000000"/>
          <w:kern w:val="0"/>
          <w:sz w:val="28"/>
          <w:szCs w:val="28"/>
        </w:rPr>
        <w:t>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w:t>
      </w:r>
      <w:r>
        <w:rPr>
          <w:rFonts w:eastAsia="仿宋_GB2312"/>
          <w:color w:val="000000"/>
          <w:kern w:val="0"/>
          <w:sz w:val="28"/>
          <w:szCs w:val="28"/>
        </w:rPr>
        <w:t>发包人有权要求承</w:t>
      </w:r>
      <w:r>
        <w:rPr>
          <w:rFonts w:eastAsia="仿宋_GB2312"/>
          <w:bCs/>
          <w:color w:val="000000"/>
          <w:sz w:val="28"/>
          <w:szCs w:val="28"/>
        </w:rPr>
        <w:t>包人延长缺陷责任期，</w:t>
      </w:r>
      <w:r>
        <w:rPr>
          <w:rFonts w:eastAsia="仿宋_GB2312"/>
          <w:color w:val="000000"/>
          <w:kern w:val="0"/>
          <w:sz w:val="28"/>
          <w:szCs w:val="28"/>
        </w:rPr>
        <w:t>并应在原缺陷责任期届满前发出延长通知</w:t>
      </w:r>
      <w:r>
        <w:rPr>
          <w:rFonts w:hint="eastAsia" w:eastAsia="仿宋_GB2312"/>
          <w:color w:val="000000"/>
          <w:kern w:val="0"/>
          <w:sz w:val="28"/>
          <w:szCs w:val="28"/>
        </w:rPr>
        <w:t>。</w:t>
      </w:r>
      <w:r>
        <w:rPr>
          <w:rFonts w:eastAsia="仿宋_GB2312"/>
          <w:bCs/>
          <w:color w:val="000000"/>
          <w:sz w:val="28"/>
          <w:szCs w:val="28"/>
        </w:rPr>
        <w:t>但缺陷责任期</w:t>
      </w:r>
      <w:r>
        <w:rPr>
          <w:rFonts w:hint="eastAsia" w:eastAsia="仿宋_GB2312"/>
          <w:bCs/>
          <w:color w:val="000000"/>
          <w:sz w:val="28"/>
          <w:szCs w:val="28"/>
        </w:rPr>
        <w:t>（含延长部分）</w:t>
      </w:r>
      <w:r>
        <w:rPr>
          <w:rFonts w:eastAsia="仿宋_GB2312"/>
          <w:bCs/>
          <w:color w:val="000000"/>
          <w:sz w:val="28"/>
          <w:szCs w:val="28"/>
        </w:rPr>
        <w:t>最长</w:t>
      </w:r>
      <w:r>
        <w:rPr>
          <w:rFonts w:eastAsia="仿宋_GB2312"/>
          <w:color w:val="000000"/>
          <w:kern w:val="0"/>
          <w:sz w:val="28"/>
          <w:szCs w:val="28"/>
        </w:rPr>
        <w:t>不能超过24个月。</w:t>
      </w:r>
    </w:p>
    <w:p w14:paraId="7FB9EBB6">
      <w:pPr>
        <w:autoSpaceDE w:val="0"/>
        <w:autoSpaceDN w:val="0"/>
        <w:adjustRightInd w:val="0"/>
        <w:spacing w:line="500" w:lineRule="exact"/>
        <w:ind w:firstLine="560" w:firstLineChars="200"/>
        <w:jc w:val="left"/>
        <w:rPr>
          <w:rFonts w:eastAsia="仿宋_GB2312"/>
          <w:color w:val="000000"/>
          <w:kern w:val="0"/>
          <w:sz w:val="28"/>
          <w:szCs w:val="28"/>
        </w:rPr>
      </w:pPr>
      <w:r>
        <w:rPr>
          <w:rFonts w:hint="eastAsia" w:eastAsia="仿宋_GB2312"/>
          <w:color w:val="000000"/>
          <w:kern w:val="0"/>
          <w:sz w:val="28"/>
          <w:szCs w:val="28"/>
        </w:rPr>
        <w:t>由他人原因造成的缺陷，发包人负责组织维修，承包人不承担费用，且发包人不得从保证金中扣除费用。</w:t>
      </w:r>
    </w:p>
    <w:p w14:paraId="1A949763">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15.2.3 任何一项缺陷或损坏修复后，经检查证明其影响了工程或工程设备的使用性能，承包人应重新进行合同约定的试验和试运行，试验和试运行的全部费用应由责任方承担。</w:t>
      </w:r>
    </w:p>
    <w:p w14:paraId="51806497">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15.2.4</w:t>
      </w:r>
      <w:r>
        <w:rPr>
          <w:rFonts w:hint="eastAsia" w:eastAsia="仿宋_GB2312"/>
          <w:color w:val="000000"/>
          <w:kern w:val="0"/>
          <w:sz w:val="28"/>
          <w:szCs w:val="28"/>
        </w:rPr>
        <w:t xml:space="preserve"> </w:t>
      </w:r>
      <w:r>
        <w:rPr>
          <w:rFonts w:eastAsia="仿宋_GB2312"/>
          <w:color w:val="000000"/>
          <w:kern w:val="0"/>
          <w:sz w:val="28"/>
          <w:szCs w:val="28"/>
        </w:rPr>
        <w:t>除专用合同条款另有约定外，承包人应于缺陷责任期届满后7天内向发包人发出缺陷责任期</w:t>
      </w:r>
      <w:r>
        <w:rPr>
          <w:rFonts w:hint="eastAsia" w:eastAsia="仿宋_GB2312"/>
          <w:color w:val="000000"/>
          <w:kern w:val="0"/>
          <w:sz w:val="28"/>
          <w:szCs w:val="28"/>
        </w:rPr>
        <w:t>届</w:t>
      </w:r>
      <w:r>
        <w:rPr>
          <w:rFonts w:eastAsia="仿宋_GB2312"/>
          <w:color w:val="000000"/>
          <w:kern w:val="0"/>
          <w:sz w:val="28"/>
          <w:szCs w:val="28"/>
        </w:rPr>
        <w:t>满通知，发包人应在</w:t>
      </w:r>
      <w:r>
        <w:rPr>
          <w:rFonts w:hint="eastAsia" w:eastAsia="仿宋_GB2312"/>
          <w:color w:val="000000"/>
          <w:kern w:val="0"/>
          <w:sz w:val="28"/>
          <w:szCs w:val="28"/>
        </w:rPr>
        <w:t>收</w:t>
      </w:r>
      <w:r>
        <w:rPr>
          <w:rFonts w:eastAsia="仿宋_GB2312"/>
          <w:color w:val="000000"/>
          <w:kern w:val="0"/>
          <w:sz w:val="28"/>
          <w:szCs w:val="28"/>
        </w:rPr>
        <w:t>到缺陷责任期满通知后14天内核实承包人是否履行缺陷</w:t>
      </w:r>
      <w:r>
        <w:rPr>
          <w:rFonts w:hint="eastAsia" w:eastAsia="仿宋_GB2312"/>
          <w:color w:val="000000"/>
          <w:kern w:val="0"/>
          <w:sz w:val="28"/>
          <w:szCs w:val="28"/>
        </w:rPr>
        <w:t>修复</w:t>
      </w:r>
      <w:r>
        <w:rPr>
          <w:rFonts w:eastAsia="仿宋_GB2312"/>
          <w:color w:val="000000"/>
          <w:kern w:val="0"/>
          <w:sz w:val="28"/>
          <w:szCs w:val="28"/>
        </w:rPr>
        <w:t>义务，承包人未能履行缺陷</w:t>
      </w:r>
      <w:r>
        <w:rPr>
          <w:rFonts w:hint="eastAsia" w:eastAsia="仿宋_GB2312"/>
          <w:color w:val="000000"/>
          <w:kern w:val="0"/>
          <w:sz w:val="28"/>
          <w:szCs w:val="28"/>
        </w:rPr>
        <w:t>修复</w:t>
      </w:r>
      <w:r>
        <w:rPr>
          <w:rFonts w:eastAsia="仿宋_GB2312"/>
          <w:color w:val="000000"/>
          <w:kern w:val="0"/>
          <w:sz w:val="28"/>
          <w:szCs w:val="28"/>
        </w:rPr>
        <w:t>义务的，发包人有权扣除相应金额的维修费用。发包人应在</w:t>
      </w:r>
      <w:r>
        <w:rPr>
          <w:rFonts w:hint="eastAsia" w:eastAsia="仿宋_GB2312"/>
          <w:color w:val="000000"/>
          <w:kern w:val="0"/>
          <w:sz w:val="28"/>
          <w:szCs w:val="28"/>
        </w:rPr>
        <w:t>收到</w:t>
      </w:r>
      <w:r>
        <w:rPr>
          <w:rFonts w:eastAsia="仿宋_GB2312"/>
          <w:color w:val="000000"/>
          <w:kern w:val="0"/>
          <w:sz w:val="28"/>
          <w:szCs w:val="28"/>
        </w:rPr>
        <w:t>缺陷责任期</w:t>
      </w:r>
      <w:r>
        <w:rPr>
          <w:rFonts w:hint="eastAsia" w:eastAsia="仿宋_GB2312"/>
          <w:color w:val="000000"/>
          <w:kern w:val="0"/>
          <w:sz w:val="28"/>
          <w:szCs w:val="28"/>
        </w:rPr>
        <w:t>届</w:t>
      </w:r>
      <w:r>
        <w:rPr>
          <w:rFonts w:eastAsia="仿宋_GB2312"/>
          <w:color w:val="000000"/>
          <w:kern w:val="0"/>
          <w:sz w:val="28"/>
          <w:szCs w:val="28"/>
        </w:rPr>
        <w:t>满</w:t>
      </w:r>
      <w:r>
        <w:rPr>
          <w:rFonts w:hint="eastAsia" w:eastAsia="仿宋_GB2312"/>
          <w:color w:val="000000"/>
          <w:kern w:val="0"/>
          <w:sz w:val="28"/>
          <w:szCs w:val="28"/>
        </w:rPr>
        <w:t>通知后</w:t>
      </w:r>
      <w:r>
        <w:rPr>
          <w:rFonts w:eastAsia="仿宋_GB2312"/>
          <w:color w:val="000000"/>
          <w:kern w:val="0"/>
          <w:sz w:val="28"/>
          <w:szCs w:val="28"/>
        </w:rPr>
        <w:t>14天内，向承包人颁发缺陷责任期终止证</w:t>
      </w:r>
      <w:r>
        <w:rPr>
          <w:rFonts w:hint="eastAsia" w:eastAsia="仿宋_GB2312"/>
          <w:color w:val="000000"/>
          <w:kern w:val="0"/>
          <w:sz w:val="28"/>
          <w:szCs w:val="28"/>
        </w:rPr>
        <w:t>书</w:t>
      </w:r>
      <w:r>
        <w:rPr>
          <w:rFonts w:eastAsia="仿宋_GB2312"/>
          <w:color w:val="000000"/>
          <w:kern w:val="0"/>
          <w:sz w:val="28"/>
          <w:szCs w:val="28"/>
        </w:rPr>
        <w:t>。</w:t>
      </w:r>
    </w:p>
    <w:p w14:paraId="459FD477">
      <w:pPr>
        <w:pStyle w:val="7"/>
        <w:spacing w:before="120" w:after="120" w:line="500" w:lineRule="exact"/>
        <w:ind w:firstLine="560" w:firstLineChars="200"/>
        <w:rPr>
          <w:rFonts w:eastAsia="黑体"/>
          <w:b w:val="0"/>
          <w:color w:val="000000"/>
        </w:rPr>
      </w:pPr>
      <w:bookmarkStart w:id="1018" w:name="_Toc351203601"/>
      <w:bookmarkStart w:id="1019" w:name="_Toc337558818"/>
      <w:bookmarkStart w:id="1020" w:name="_Toc296503115"/>
      <w:bookmarkStart w:id="1021" w:name="_Toc296346616"/>
      <w:r>
        <w:rPr>
          <w:rFonts w:eastAsia="黑体"/>
          <w:b w:val="0"/>
          <w:color w:val="000000"/>
        </w:rPr>
        <w:t>15.3 质量保证金</w:t>
      </w:r>
      <w:bookmarkEnd w:id="1018"/>
    </w:p>
    <w:bookmarkEnd w:id="1019"/>
    <w:p w14:paraId="1FA6AA61">
      <w:pPr>
        <w:autoSpaceDE w:val="0"/>
        <w:autoSpaceDN w:val="0"/>
        <w:adjustRightInd w:val="0"/>
        <w:spacing w:line="500" w:lineRule="exact"/>
        <w:ind w:firstLine="560" w:firstLineChars="200"/>
        <w:jc w:val="left"/>
        <w:rPr>
          <w:rFonts w:eastAsia="仿宋_GB2312"/>
          <w:color w:val="000000"/>
          <w:kern w:val="0"/>
          <w:sz w:val="28"/>
          <w:szCs w:val="28"/>
        </w:rPr>
      </w:pPr>
      <w:r>
        <w:rPr>
          <w:rFonts w:hint="eastAsia" w:eastAsia="仿宋_GB2312"/>
          <w:color w:val="000000"/>
          <w:kern w:val="0"/>
          <w:sz w:val="28"/>
          <w:szCs w:val="28"/>
        </w:rPr>
        <w:t>经合同当事人协商一致扣留质量保证金的，应在专用合同条款中予以明确。</w:t>
      </w:r>
    </w:p>
    <w:p w14:paraId="57E31A36">
      <w:pPr>
        <w:spacing w:line="500" w:lineRule="exact"/>
        <w:ind w:firstLine="560" w:firstLineChars="200"/>
        <w:jc w:val="left"/>
        <w:rPr>
          <w:rFonts w:eastAsia="仿宋_GB2312"/>
          <w:color w:val="000000"/>
          <w:sz w:val="28"/>
          <w:szCs w:val="28"/>
        </w:rPr>
      </w:pPr>
      <w:r>
        <w:rPr>
          <w:rFonts w:hint="eastAsia" w:eastAsia="仿宋_GB2312"/>
          <w:color w:val="000000"/>
          <w:sz w:val="28"/>
          <w:szCs w:val="28"/>
        </w:rPr>
        <w:t>在工程项目竣工前，承包人已经提供履约担保的，发包人不得同时预留工程质量保证金。</w:t>
      </w:r>
    </w:p>
    <w:p w14:paraId="3E7174B1">
      <w:pPr>
        <w:autoSpaceDE w:val="0"/>
        <w:autoSpaceDN w:val="0"/>
        <w:adjustRightInd w:val="0"/>
        <w:spacing w:line="500" w:lineRule="exact"/>
        <w:ind w:firstLine="560" w:firstLineChars="200"/>
        <w:jc w:val="left"/>
        <w:rPr>
          <w:rFonts w:eastAsia="仿宋_GB2312"/>
          <w:color w:val="000000"/>
          <w:kern w:val="0"/>
          <w:sz w:val="28"/>
          <w:szCs w:val="28"/>
        </w:rPr>
      </w:pPr>
    </w:p>
    <w:p w14:paraId="2196736F">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 xml:space="preserve">15.3.1 </w:t>
      </w:r>
      <w:r>
        <w:rPr>
          <w:rFonts w:hint="eastAsia" w:eastAsia="仿宋_GB2312"/>
          <w:color w:val="000000"/>
          <w:kern w:val="0"/>
          <w:sz w:val="28"/>
          <w:szCs w:val="28"/>
        </w:rPr>
        <w:t>承包人提供</w:t>
      </w:r>
      <w:r>
        <w:rPr>
          <w:rFonts w:eastAsia="仿宋_GB2312"/>
          <w:color w:val="000000"/>
          <w:kern w:val="0"/>
          <w:sz w:val="28"/>
          <w:szCs w:val="28"/>
        </w:rPr>
        <w:t>质量保证金的</w:t>
      </w:r>
      <w:r>
        <w:rPr>
          <w:rFonts w:hint="eastAsia" w:eastAsia="仿宋_GB2312"/>
          <w:color w:val="000000"/>
          <w:kern w:val="0"/>
          <w:sz w:val="28"/>
          <w:szCs w:val="28"/>
        </w:rPr>
        <w:t>方</w:t>
      </w:r>
      <w:r>
        <w:rPr>
          <w:rFonts w:eastAsia="仿宋_GB2312"/>
          <w:color w:val="000000"/>
          <w:kern w:val="0"/>
          <w:sz w:val="28"/>
          <w:szCs w:val="28"/>
        </w:rPr>
        <w:t>式</w:t>
      </w:r>
    </w:p>
    <w:p w14:paraId="23D72797">
      <w:pPr>
        <w:autoSpaceDE w:val="0"/>
        <w:autoSpaceDN w:val="0"/>
        <w:adjustRightInd w:val="0"/>
        <w:spacing w:line="500" w:lineRule="exact"/>
        <w:ind w:firstLine="560" w:firstLineChars="200"/>
        <w:jc w:val="left"/>
        <w:rPr>
          <w:rFonts w:eastAsia="仿宋_GB2312"/>
          <w:color w:val="000000"/>
          <w:kern w:val="0"/>
          <w:sz w:val="28"/>
          <w:szCs w:val="28"/>
        </w:rPr>
      </w:pPr>
      <w:r>
        <w:rPr>
          <w:rFonts w:hint="eastAsia" w:eastAsia="仿宋_GB2312"/>
          <w:color w:val="000000"/>
          <w:kern w:val="0"/>
          <w:sz w:val="28"/>
          <w:szCs w:val="28"/>
        </w:rPr>
        <w:t>承包人提供</w:t>
      </w:r>
      <w:r>
        <w:rPr>
          <w:rFonts w:eastAsia="仿宋_GB2312"/>
          <w:color w:val="000000"/>
          <w:kern w:val="0"/>
          <w:sz w:val="28"/>
          <w:szCs w:val="28"/>
        </w:rPr>
        <w:t>质量保证金</w:t>
      </w:r>
      <w:r>
        <w:rPr>
          <w:rFonts w:hint="eastAsia" w:eastAsia="仿宋_GB2312"/>
          <w:color w:val="000000"/>
          <w:kern w:val="0"/>
          <w:sz w:val="28"/>
          <w:szCs w:val="28"/>
        </w:rPr>
        <w:t>有</w:t>
      </w:r>
      <w:r>
        <w:rPr>
          <w:rFonts w:eastAsia="仿宋_GB2312"/>
          <w:color w:val="000000"/>
          <w:kern w:val="0"/>
          <w:sz w:val="28"/>
          <w:szCs w:val="28"/>
        </w:rPr>
        <w:t>以下</w:t>
      </w:r>
      <w:r>
        <w:rPr>
          <w:rFonts w:hint="eastAsia" w:eastAsia="仿宋_GB2312"/>
          <w:color w:val="000000"/>
          <w:kern w:val="0"/>
          <w:sz w:val="28"/>
          <w:szCs w:val="28"/>
        </w:rPr>
        <w:t>三种方</w:t>
      </w:r>
      <w:r>
        <w:rPr>
          <w:rFonts w:eastAsia="仿宋_GB2312"/>
          <w:color w:val="000000"/>
          <w:kern w:val="0"/>
          <w:sz w:val="28"/>
          <w:szCs w:val="28"/>
        </w:rPr>
        <w:t>式：</w:t>
      </w:r>
    </w:p>
    <w:p w14:paraId="1016A386">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 xml:space="preserve">（1）质量保证金保函； </w:t>
      </w:r>
    </w:p>
    <w:p w14:paraId="4F8C1316">
      <w:pPr>
        <w:autoSpaceDE w:val="0"/>
        <w:autoSpaceDN w:val="0"/>
        <w:adjustRightInd w:val="0"/>
        <w:spacing w:line="500" w:lineRule="exact"/>
        <w:ind w:firstLine="560" w:firstLineChars="200"/>
        <w:jc w:val="left"/>
        <w:rPr>
          <w:rFonts w:eastAsia="仿宋_GB2312"/>
          <w:color w:val="000000"/>
          <w:kern w:val="0"/>
          <w:sz w:val="28"/>
          <w:szCs w:val="28"/>
        </w:rPr>
      </w:pPr>
      <w:r>
        <w:rPr>
          <w:rFonts w:hint="eastAsia" w:eastAsia="仿宋_GB2312"/>
          <w:color w:val="000000"/>
          <w:kern w:val="0"/>
          <w:sz w:val="28"/>
          <w:szCs w:val="28"/>
        </w:rPr>
        <w:t>（</w:t>
      </w:r>
      <w:r>
        <w:rPr>
          <w:rFonts w:eastAsia="仿宋_GB2312"/>
          <w:color w:val="000000"/>
          <w:kern w:val="0"/>
          <w:sz w:val="28"/>
          <w:szCs w:val="28"/>
        </w:rPr>
        <w:t>2）相应比例的工程款；</w:t>
      </w:r>
    </w:p>
    <w:p w14:paraId="4BC510CD">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（3）双方约定的其他</w:t>
      </w:r>
      <w:r>
        <w:rPr>
          <w:rFonts w:hint="eastAsia" w:eastAsia="仿宋_GB2312"/>
          <w:color w:val="000000"/>
          <w:kern w:val="0"/>
          <w:sz w:val="28"/>
          <w:szCs w:val="28"/>
        </w:rPr>
        <w:t>方</w:t>
      </w:r>
      <w:r>
        <w:rPr>
          <w:rFonts w:eastAsia="仿宋_GB2312"/>
          <w:color w:val="000000"/>
          <w:kern w:val="0"/>
          <w:sz w:val="28"/>
          <w:szCs w:val="28"/>
        </w:rPr>
        <w:t>式。</w:t>
      </w:r>
    </w:p>
    <w:p w14:paraId="62227232">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除专用合同条款另有约定外，质量保证金</w:t>
      </w:r>
      <w:r>
        <w:rPr>
          <w:rFonts w:hint="eastAsia" w:eastAsia="仿宋_GB2312"/>
          <w:color w:val="000000"/>
          <w:kern w:val="0"/>
          <w:sz w:val="28"/>
          <w:szCs w:val="28"/>
        </w:rPr>
        <w:t>原则上</w:t>
      </w:r>
      <w:r>
        <w:rPr>
          <w:rFonts w:eastAsia="仿宋_GB2312"/>
          <w:color w:val="000000"/>
          <w:kern w:val="0"/>
          <w:sz w:val="28"/>
          <w:szCs w:val="28"/>
        </w:rPr>
        <w:t>采</w:t>
      </w:r>
      <w:r>
        <w:rPr>
          <w:rFonts w:hint="eastAsia" w:eastAsia="仿宋_GB2312"/>
          <w:color w:val="000000"/>
          <w:kern w:val="0"/>
          <w:sz w:val="28"/>
          <w:szCs w:val="28"/>
        </w:rPr>
        <w:t>用上述</w:t>
      </w:r>
      <w:r>
        <w:rPr>
          <w:rFonts w:eastAsia="仿宋_GB2312"/>
          <w:color w:val="000000"/>
          <w:kern w:val="0"/>
          <w:sz w:val="28"/>
          <w:szCs w:val="28"/>
        </w:rPr>
        <w:t>第（1）种</w:t>
      </w:r>
      <w:r>
        <w:rPr>
          <w:rFonts w:hint="eastAsia" w:eastAsia="仿宋_GB2312"/>
          <w:color w:val="000000"/>
          <w:kern w:val="0"/>
          <w:sz w:val="28"/>
          <w:szCs w:val="28"/>
        </w:rPr>
        <w:t>方式。</w:t>
      </w:r>
    </w:p>
    <w:p w14:paraId="5E83CD5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15.3.2 质量保证金的扣留</w:t>
      </w:r>
    </w:p>
    <w:p w14:paraId="01687E83">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质量保证金</w:t>
      </w:r>
      <w:r>
        <w:rPr>
          <w:rFonts w:hint="eastAsia" w:eastAsia="仿宋_GB2312"/>
          <w:color w:val="000000"/>
          <w:kern w:val="0"/>
          <w:sz w:val="28"/>
          <w:szCs w:val="28"/>
        </w:rPr>
        <w:t>的</w:t>
      </w:r>
      <w:r>
        <w:rPr>
          <w:rFonts w:eastAsia="仿宋_GB2312"/>
          <w:color w:val="000000"/>
          <w:kern w:val="0"/>
          <w:sz w:val="28"/>
          <w:szCs w:val="28"/>
        </w:rPr>
        <w:t>扣留</w:t>
      </w:r>
      <w:r>
        <w:rPr>
          <w:rFonts w:hint="eastAsia" w:eastAsia="仿宋_GB2312"/>
          <w:color w:val="000000"/>
          <w:kern w:val="0"/>
          <w:sz w:val="28"/>
          <w:szCs w:val="28"/>
        </w:rPr>
        <w:t>有</w:t>
      </w:r>
      <w:r>
        <w:rPr>
          <w:rFonts w:eastAsia="仿宋_GB2312"/>
          <w:color w:val="000000"/>
          <w:kern w:val="0"/>
          <w:sz w:val="28"/>
          <w:szCs w:val="28"/>
        </w:rPr>
        <w:t>以下</w:t>
      </w:r>
      <w:r>
        <w:rPr>
          <w:rFonts w:hint="eastAsia" w:eastAsia="仿宋_GB2312"/>
          <w:color w:val="000000"/>
          <w:kern w:val="0"/>
          <w:sz w:val="28"/>
          <w:szCs w:val="28"/>
        </w:rPr>
        <w:t>三</w:t>
      </w:r>
      <w:r>
        <w:rPr>
          <w:rFonts w:eastAsia="仿宋_GB2312"/>
          <w:color w:val="000000"/>
          <w:kern w:val="0"/>
          <w:sz w:val="28"/>
          <w:szCs w:val="28"/>
        </w:rPr>
        <w:t>种</w:t>
      </w:r>
      <w:r>
        <w:rPr>
          <w:rFonts w:hint="eastAsia" w:eastAsia="仿宋_GB2312"/>
          <w:color w:val="000000"/>
          <w:kern w:val="0"/>
          <w:sz w:val="28"/>
          <w:szCs w:val="28"/>
        </w:rPr>
        <w:t>方式</w:t>
      </w:r>
      <w:r>
        <w:rPr>
          <w:rFonts w:eastAsia="仿宋_GB2312"/>
          <w:color w:val="000000"/>
          <w:kern w:val="0"/>
          <w:sz w:val="28"/>
          <w:szCs w:val="28"/>
        </w:rPr>
        <w:t>：</w:t>
      </w:r>
    </w:p>
    <w:p w14:paraId="20CA1227">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（1）在支付工程进度款时逐次扣留，在此情形下，质量保证金的计算基数不包括预付款的支付、扣回以及价格调整的金额；</w:t>
      </w:r>
    </w:p>
    <w:p w14:paraId="03271C3E">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（2）工</w:t>
      </w:r>
      <w:bookmarkStart w:id="1022" w:name="#go6"/>
      <w:bookmarkEnd w:id="1022"/>
      <w:r>
        <w:rPr>
          <w:rFonts w:eastAsia="仿宋_GB2312"/>
          <w:color w:val="000000"/>
          <w:kern w:val="0"/>
          <w:sz w:val="28"/>
          <w:szCs w:val="28"/>
        </w:rPr>
        <w:t>程竣工结算时一次性扣留质量保证金；</w:t>
      </w:r>
    </w:p>
    <w:p w14:paraId="0E732CBD">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（3）双方约定的其他扣留方式。</w:t>
      </w:r>
    </w:p>
    <w:p w14:paraId="7387FEF3">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除专用合同条款另有约定外，质量保证金</w:t>
      </w:r>
      <w:r>
        <w:rPr>
          <w:rFonts w:hint="eastAsia" w:eastAsia="仿宋_GB2312"/>
          <w:color w:val="000000"/>
          <w:kern w:val="0"/>
          <w:sz w:val="28"/>
          <w:szCs w:val="28"/>
        </w:rPr>
        <w:t>的</w:t>
      </w:r>
      <w:r>
        <w:rPr>
          <w:rFonts w:eastAsia="仿宋_GB2312"/>
          <w:color w:val="000000"/>
          <w:kern w:val="0"/>
          <w:sz w:val="28"/>
          <w:szCs w:val="28"/>
        </w:rPr>
        <w:t>扣留</w:t>
      </w:r>
      <w:r>
        <w:rPr>
          <w:rFonts w:hint="eastAsia" w:eastAsia="仿宋_GB2312"/>
          <w:color w:val="000000"/>
          <w:kern w:val="0"/>
          <w:sz w:val="28"/>
          <w:szCs w:val="28"/>
        </w:rPr>
        <w:t>原则上</w:t>
      </w:r>
      <w:r>
        <w:rPr>
          <w:rFonts w:eastAsia="仿宋_GB2312"/>
          <w:color w:val="000000"/>
          <w:kern w:val="0"/>
          <w:sz w:val="28"/>
          <w:szCs w:val="28"/>
        </w:rPr>
        <w:t>采</w:t>
      </w:r>
      <w:r>
        <w:rPr>
          <w:rFonts w:hint="eastAsia" w:eastAsia="仿宋_GB2312"/>
          <w:color w:val="000000"/>
          <w:kern w:val="0"/>
          <w:sz w:val="28"/>
          <w:szCs w:val="28"/>
        </w:rPr>
        <w:t>用上述</w:t>
      </w:r>
      <w:r>
        <w:rPr>
          <w:rFonts w:eastAsia="仿宋_GB2312"/>
          <w:color w:val="000000"/>
          <w:kern w:val="0"/>
          <w:sz w:val="28"/>
          <w:szCs w:val="28"/>
        </w:rPr>
        <w:t>第（1）种方式</w:t>
      </w:r>
      <w:r>
        <w:rPr>
          <w:rFonts w:hint="eastAsia" w:eastAsia="仿宋_GB2312"/>
          <w:color w:val="000000"/>
          <w:kern w:val="0"/>
          <w:sz w:val="28"/>
          <w:szCs w:val="28"/>
        </w:rPr>
        <w:t>。</w:t>
      </w:r>
    </w:p>
    <w:p w14:paraId="434CB6E3">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w:t>
      </w:r>
      <w:bookmarkStart w:id="1023" w:name="#go4"/>
      <w:bookmarkEnd w:id="1023"/>
      <w:r>
        <w:rPr>
          <w:rFonts w:eastAsia="仿宋_GB2312"/>
          <w:color w:val="000000"/>
          <w:kern w:val="0"/>
          <w:sz w:val="28"/>
          <w:szCs w:val="28"/>
        </w:rPr>
        <w:t>包人累计扣留的质量保证金不得超过</w:t>
      </w:r>
      <w:r>
        <w:rPr>
          <w:rFonts w:hint="eastAsia" w:eastAsia="仿宋_GB2312"/>
          <w:color w:val="000000"/>
          <w:kern w:val="0"/>
          <w:sz w:val="28"/>
          <w:szCs w:val="28"/>
        </w:rPr>
        <w:t>工程价款结算总额</w:t>
      </w:r>
      <w:r>
        <w:rPr>
          <w:rFonts w:eastAsia="仿宋_GB2312"/>
          <w:color w:val="000000"/>
          <w:kern w:val="0"/>
          <w:sz w:val="28"/>
          <w:szCs w:val="28"/>
        </w:rPr>
        <w:t>的3%</w:t>
      </w:r>
      <w:r>
        <w:rPr>
          <w:rFonts w:hint="eastAsia" w:eastAsia="仿宋_GB2312"/>
          <w:color w:val="000000"/>
          <w:kern w:val="0"/>
          <w:sz w:val="28"/>
          <w:szCs w:val="28"/>
        </w:rPr>
        <w:t>。如</w:t>
      </w:r>
      <w:r>
        <w:rPr>
          <w:rFonts w:eastAsia="仿宋_GB2312"/>
          <w:color w:val="000000"/>
          <w:kern w:val="0"/>
          <w:sz w:val="28"/>
          <w:szCs w:val="28"/>
        </w:rPr>
        <w:t>承包人在发包人签发竣工付款证书后28天内提交质量保证金保函，发包人应同时退还扣留的作为质量保证金的工程价款</w:t>
      </w:r>
      <w:r>
        <w:rPr>
          <w:rFonts w:hint="eastAsia" w:eastAsia="仿宋_GB2312"/>
          <w:color w:val="000000"/>
          <w:kern w:val="0"/>
          <w:sz w:val="28"/>
          <w:szCs w:val="28"/>
        </w:rPr>
        <w:t>；保函金额不得超过工程价款结算总额的3%</w:t>
      </w:r>
      <w:r>
        <w:rPr>
          <w:rFonts w:eastAsia="仿宋_GB2312"/>
          <w:color w:val="000000"/>
          <w:kern w:val="0"/>
          <w:sz w:val="28"/>
          <w:szCs w:val="28"/>
        </w:rPr>
        <w:t>。</w:t>
      </w:r>
    </w:p>
    <w:p w14:paraId="7110F568">
      <w:pPr>
        <w:autoSpaceDE w:val="0"/>
        <w:autoSpaceDN w:val="0"/>
        <w:adjustRightInd w:val="0"/>
        <w:spacing w:line="500" w:lineRule="exact"/>
        <w:ind w:firstLine="560" w:firstLineChars="200"/>
        <w:jc w:val="left"/>
        <w:rPr>
          <w:rFonts w:eastAsia="仿宋_GB2312"/>
          <w:color w:val="000000"/>
          <w:kern w:val="0"/>
          <w:sz w:val="28"/>
          <w:szCs w:val="28"/>
        </w:rPr>
      </w:pPr>
      <w:r>
        <w:rPr>
          <w:rFonts w:hint="eastAsia" w:eastAsia="仿宋_GB2312"/>
          <w:color w:val="000000"/>
          <w:kern w:val="0"/>
          <w:sz w:val="28"/>
          <w:szCs w:val="28"/>
        </w:rPr>
        <w:t>发包人在退还质量保证金的同时</w:t>
      </w:r>
      <w:r>
        <w:rPr>
          <w:rFonts w:eastAsia="仿宋_GB2312"/>
          <w:color w:val="000000"/>
          <w:kern w:val="0"/>
          <w:sz w:val="28"/>
          <w:szCs w:val="28"/>
        </w:rPr>
        <w:t>按照中国人民银行发布的同期同类贷款基准利率支付</w:t>
      </w:r>
      <w:r>
        <w:rPr>
          <w:rFonts w:hint="eastAsia" w:eastAsia="仿宋_GB2312"/>
          <w:color w:val="000000"/>
          <w:kern w:val="0"/>
          <w:sz w:val="28"/>
          <w:szCs w:val="28"/>
        </w:rPr>
        <w:t>利息。</w:t>
      </w:r>
    </w:p>
    <w:p w14:paraId="32A399E8">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 xml:space="preserve">15.3.3 </w:t>
      </w:r>
      <w:r>
        <w:rPr>
          <w:rFonts w:eastAsia="仿宋_GB2312"/>
          <w:color w:val="000000"/>
          <w:sz w:val="28"/>
          <w:szCs w:val="28"/>
        </w:rPr>
        <w:t>质量保证金</w:t>
      </w:r>
      <w:r>
        <w:rPr>
          <w:rFonts w:eastAsia="仿宋_GB2312"/>
          <w:color w:val="000000"/>
          <w:kern w:val="0"/>
          <w:sz w:val="28"/>
          <w:szCs w:val="28"/>
        </w:rPr>
        <w:t>的退还</w:t>
      </w:r>
    </w:p>
    <w:p w14:paraId="49542E53">
      <w:pPr>
        <w:autoSpaceDE w:val="0"/>
        <w:autoSpaceDN w:val="0"/>
        <w:adjustRightInd w:val="0"/>
        <w:spacing w:line="500" w:lineRule="exact"/>
        <w:ind w:firstLine="560" w:firstLineChars="200"/>
        <w:jc w:val="left"/>
        <w:rPr>
          <w:rFonts w:eastAsia="仿宋_GB2312"/>
          <w:color w:val="000000"/>
          <w:kern w:val="0"/>
          <w:sz w:val="28"/>
          <w:szCs w:val="28"/>
        </w:rPr>
      </w:pPr>
      <w:r>
        <w:rPr>
          <w:rFonts w:hint="eastAsia" w:eastAsia="仿宋_GB2312"/>
          <w:color w:val="000000"/>
          <w:kern w:val="0"/>
          <w:sz w:val="28"/>
          <w:szCs w:val="28"/>
        </w:rPr>
        <w:t>缺陷责任期内，承包人认真履行合同约定的责任，到期后，承包人可向发包人申请返还保证金。</w:t>
      </w:r>
    </w:p>
    <w:p w14:paraId="3D820636">
      <w:pPr>
        <w:autoSpaceDE w:val="0"/>
        <w:autoSpaceDN w:val="0"/>
        <w:adjustRightInd w:val="0"/>
        <w:spacing w:line="500" w:lineRule="exact"/>
        <w:ind w:firstLine="560" w:firstLineChars="200"/>
        <w:jc w:val="left"/>
        <w:rPr>
          <w:rFonts w:eastAsia="仿宋_GB2312"/>
          <w:color w:val="000000"/>
          <w:kern w:val="0"/>
          <w:sz w:val="28"/>
          <w:szCs w:val="28"/>
        </w:rPr>
      </w:pPr>
      <w:r>
        <w:rPr>
          <w:rFonts w:hint="eastAsia" w:eastAsia="仿宋_GB2312"/>
          <w:color w:val="000000"/>
          <w:kern w:val="0"/>
          <w:sz w:val="28"/>
          <w:szCs w:val="28"/>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40351A36">
      <w:pPr>
        <w:autoSpaceDE w:val="0"/>
        <w:autoSpaceDN w:val="0"/>
        <w:adjustRightInd w:val="0"/>
        <w:spacing w:line="500" w:lineRule="exact"/>
        <w:ind w:firstLine="560" w:firstLineChars="200"/>
        <w:jc w:val="left"/>
        <w:rPr>
          <w:rFonts w:eastAsia="仿宋_GB2312"/>
          <w:color w:val="000000"/>
          <w:kern w:val="0"/>
          <w:sz w:val="28"/>
          <w:szCs w:val="28"/>
        </w:rPr>
      </w:pPr>
      <w:r>
        <w:rPr>
          <w:rFonts w:hint="eastAsia" w:eastAsia="仿宋_GB2312"/>
          <w:color w:val="000000"/>
          <w:kern w:val="0"/>
          <w:sz w:val="28"/>
          <w:szCs w:val="28"/>
        </w:rPr>
        <w:t>发包人和承包人对保证金预留、返还以及工程维修质量、费用有争议的，按本合同第20条约定的争议和纠纷解决程序处理</w:t>
      </w:r>
      <w:r>
        <w:rPr>
          <w:rFonts w:eastAsia="仿宋_GB2312"/>
          <w:color w:val="000000"/>
          <w:kern w:val="0"/>
          <w:sz w:val="28"/>
          <w:szCs w:val="28"/>
        </w:rPr>
        <w:t>。</w:t>
      </w:r>
    </w:p>
    <w:p w14:paraId="503B663A">
      <w:pPr>
        <w:pStyle w:val="7"/>
        <w:spacing w:before="120" w:after="120" w:line="500" w:lineRule="exact"/>
        <w:ind w:firstLine="560" w:firstLineChars="200"/>
        <w:rPr>
          <w:rFonts w:eastAsia="黑体"/>
          <w:b w:val="0"/>
          <w:color w:val="000000"/>
        </w:rPr>
      </w:pPr>
      <w:bookmarkStart w:id="1024" w:name="_Toc351203602"/>
      <w:bookmarkStart w:id="1025" w:name="_Toc337558819"/>
      <w:r>
        <w:rPr>
          <w:rFonts w:eastAsia="黑体"/>
          <w:b w:val="0"/>
          <w:color w:val="000000"/>
        </w:rPr>
        <w:t>15.4 保修</w:t>
      </w:r>
      <w:bookmarkEnd w:id="1024"/>
    </w:p>
    <w:bookmarkEnd w:id="1020"/>
    <w:bookmarkEnd w:id="1021"/>
    <w:bookmarkEnd w:id="1025"/>
    <w:p w14:paraId="11CDAC65">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15.4.1保修责任</w:t>
      </w:r>
    </w:p>
    <w:p w14:paraId="1A5B52B2">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3C802C63">
      <w:pPr>
        <w:spacing w:line="500" w:lineRule="exact"/>
        <w:ind w:firstLine="560" w:firstLineChars="200"/>
        <w:jc w:val="left"/>
        <w:rPr>
          <w:rFonts w:eastAsia="仿宋_GB2312"/>
          <w:color w:val="000000"/>
          <w:sz w:val="28"/>
          <w:szCs w:val="28"/>
        </w:rPr>
      </w:pPr>
      <w:r>
        <w:rPr>
          <w:rFonts w:eastAsia="仿宋_GB2312"/>
          <w:color w:val="000000"/>
          <w:sz w:val="28"/>
          <w:szCs w:val="28"/>
        </w:rPr>
        <w:t>发包人未经竣工验收擅自使用工程的，保修期自</w:t>
      </w:r>
      <w:r>
        <w:rPr>
          <w:rFonts w:eastAsia="仿宋_GB2312"/>
          <w:color w:val="000000"/>
          <w:kern w:val="0"/>
          <w:sz w:val="28"/>
          <w:szCs w:val="28"/>
        </w:rPr>
        <w:t>转移占有之日起算</w:t>
      </w:r>
      <w:r>
        <w:rPr>
          <w:rFonts w:eastAsia="仿宋_GB2312"/>
          <w:color w:val="000000"/>
          <w:sz w:val="28"/>
          <w:szCs w:val="28"/>
        </w:rPr>
        <w:t>。</w:t>
      </w:r>
    </w:p>
    <w:p w14:paraId="1C33B4DF">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15.4.2 修复费用</w:t>
      </w:r>
    </w:p>
    <w:p w14:paraId="06AE9FDD">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保修期内，修复的费用按照以下约定处理：</w:t>
      </w:r>
    </w:p>
    <w:p w14:paraId="74379462">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（1）保修期内，因承包人原因造成工程的缺陷、损坏，承包人应负责修复，并承担修复的费用以及因工程的缺陷、损坏造成的人身伤害和财产损失；</w:t>
      </w:r>
    </w:p>
    <w:p w14:paraId="13446F29">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（2）保修期内，因发包人使用不当造成工程的缺陷、损坏，可以委托承包人修复，但发包人应承担修复的费用，并支付承包人合理利润；</w:t>
      </w:r>
    </w:p>
    <w:p w14:paraId="43693F9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（3）因其他原因造成工程的缺陷、损坏，可以委托承包人修复，发包人应承担修复的费用，并支付承包人合理的利润，因工程的缺陷、损坏造成的人身伤害和财产损失由责任方承担。</w:t>
      </w:r>
    </w:p>
    <w:p w14:paraId="37B9CA44">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15.4.3 修复通知</w:t>
      </w:r>
    </w:p>
    <w:p w14:paraId="6D916BF1">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7EE6E333">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15.4.4 未能修复</w:t>
      </w:r>
    </w:p>
    <w:p w14:paraId="7AA71608">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因承包人原因造成工程的缺陷或损坏，承包人拒绝维修或未能在合理期限内修复缺陷或损坏，且经发包人书面催告后仍未修复的，发包人有权自行修复或委托第三方修复，所需费用由承包人承担。</w:t>
      </w:r>
      <w:r>
        <w:rPr>
          <w:rFonts w:hint="eastAsia" w:eastAsia="仿宋_GB2312"/>
          <w:color w:val="000000"/>
          <w:kern w:val="0"/>
          <w:sz w:val="28"/>
          <w:szCs w:val="28"/>
        </w:rPr>
        <w:t>但修复范围超出缺陷或损坏范围的，超出范围部分的修复费用由发包人承担。</w:t>
      </w:r>
    </w:p>
    <w:p w14:paraId="77053082">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15.4.5 承包人出入权</w:t>
      </w:r>
    </w:p>
    <w:p w14:paraId="1D22D1F5">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5BDD58AD">
      <w:pPr>
        <w:pStyle w:val="6"/>
        <w:spacing w:before="120" w:after="120" w:line="500" w:lineRule="exact"/>
        <w:rPr>
          <w:rFonts w:ascii="Times New Roman" w:hAnsi="Times New Roman"/>
          <w:b w:val="0"/>
          <w:color w:val="000000"/>
        </w:rPr>
      </w:pPr>
      <w:bookmarkStart w:id="1026" w:name="_Toc351203603"/>
      <w:bookmarkStart w:id="1027" w:name="_Toc337558820"/>
      <w:r>
        <w:rPr>
          <w:rFonts w:ascii="Times New Roman" w:hAnsi="Times New Roman"/>
          <w:b w:val="0"/>
          <w:color w:val="000000"/>
        </w:rPr>
        <w:t>16. 违约</w:t>
      </w:r>
      <w:bookmarkEnd w:id="1026"/>
    </w:p>
    <w:bookmarkEnd w:id="1027"/>
    <w:p w14:paraId="559FD949">
      <w:pPr>
        <w:pStyle w:val="7"/>
        <w:spacing w:before="120" w:after="120" w:line="500" w:lineRule="exact"/>
        <w:ind w:firstLine="560" w:firstLineChars="200"/>
        <w:rPr>
          <w:rFonts w:eastAsia="黑体"/>
          <w:b w:val="0"/>
          <w:color w:val="000000"/>
        </w:rPr>
      </w:pPr>
      <w:bookmarkStart w:id="1028" w:name="_Toc296346630"/>
      <w:bookmarkStart w:id="1029" w:name="_Toc296503129"/>
      <w:bookmarkStart w:id="1030" w:name="_Toc351203604"/>
      <w:bookmarkStart w:id="1031" w:name="_Toc337558821"/>
      <w:r>
        <w:rPr>
          <w:rFonts w:eastAsia="黑体"/>
          <w:b w:val="0"/>
          <w:color w:val="000000"/>
        </w:rPr>
        <w:t>16.1 发</w:t>
      </w:r>
      <w:bookmarkEnd w:id="1028"/>
      <w:bookmarkEnd w:id="1029"/>
      <w:r>
        <w:rPr>
          <w:rFonts w:eastAsia="黑体"/>
          <w:b w:val="0"/>
          <w:color w:val="000000"/>
        </w:rPr>
        <w:t>包人违约</w:t>
      </w:r>
      <w:bookmarkEnd w:id="1030"/>
    </w:p>
    <w:bookmarkEnd w:id="1031"/>
    <w:p w14:paraId="705FA9B2">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16.1.1 发包人违约的情形</w:t>
      </w:r>
    </w:p>
    <w:p w14:paraId="20FE0C40">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在合同履行过程中发生的下列情形，属于发包人违约：</w:t>
      </w:r>
    </w:p>
    <w:p w14:paraId="4D28AD05">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（1）因发包人原因未能在计划开工日期前7天内下达开工通知的；</w:t>
      </w:r>
    </w:p>
    <w:p w14:paraId="2C82746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（2）因发包人原因未能按合同约定支付合同价款的；</w:t>
      </w:r>
    </w:p>
    <w:p w14:paraId="23B785BB">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（3）发包人违反第10.1款</w:t>
      </w:r>
      <w:r>
        <w:rPr>
          <w:rFonts w:hint="eastAsia" w:eastAsia="仿宋_GB2312"/>
          <w:color w:val="000000"/>
          <w:kern w:val="0"/>
          <w:sz w:val="28"/>
          <w:szCs w:val="28"/>
        </w:rPr>
        <w:t>〔</w:t>
      </w:r>
      <w:r>
        <w:rPr>
          <w:rFonts w:eastAsia="仿宋_GB2312"/>
          <w:color w:val="000000"/>
          <w:kern w:val="0"/>
          <w:sz w:val="28"/>
          <w:szCs w:val="28"/>
        </w:rPr>
        <w:t>变更的范围</w:t>
      </w:r>
      <w:r>
        <w:rPr>
          <w:rFonts w:hint="eastAsia" w:eastAsia="仿宋_GB2312"/>
          <w:color w:val="000000"/>
          <w:kern w:val="0"/>
          <w:sz w:val="28"/>
          <w:szCs w:val="28"/>
        </w:rPr>
        <w:t>〕</w:t>
      </w:r>
      <w:r>
        <w:rPr>
          <w:rFonts w:eastAsia="仿宋_GB2312"/>
          <w:color w:val="000000"/>
          <w:kern w:val="0"/>
          <w:sz w:val="28"/>
          <w:szCs w:val="28"/>
        </w:rPr>
        <w:t>第（2）项约定，自行实施被取消的工作或转由他人实施的；</w:t>
      </w:r>
    </w:p>
    <w:p w14:paraId="52921E4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（4）发包人提供的材料、工程设备的规格、数量或质量不符合合同约定，或因发包人原因导致交货日期延误或交货地点变更等情况的；</w:t>
      </w:r>
    </w:p>
    <w:p w14:paraId="4A9FED8B">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（5）因发包人违反合同约定造成暂停施工的；</w:t>
      </w:r>
    </w:p>
    <w:p w14:paraId="7468DB57">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（6）发包人无正当理由没有在约定期限内发出复工指示，导致承包人无法复工的；</w:t>
      </w:r>
    </w:p>
    <w:p w14:paraId="75B37D62">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（7）发包人明确表示或者以其行为表明不履行合同主要义务的；</w:t>
      </w:r>
    </w:p>
    <w:p w14:paraId="01DDFE49">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（8）发包人未能按照合同约定履行其他义务的。</w:t>
      </w:r>
    </w:p>
    <w:p w14:paraId="3C70D65D">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4FDC8F32">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16.1.2 发包人违约的责任</w:t>
      </w:r>
    </w:p>
    <w:p w14:paraId="5B6E40BD">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发包人应承担因其违约给承包人增加的费用和（或）延误的工期，并支付承包人合理的利润。此外，合同当事人可在专用合同条款中另行约定发包人违约责任的承担方式和计算方法。</w:t>
      </w:r>
    </w:p>
    <w:p w14:paraId="2FB668C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16.1.3 因发包人违约解除合同</w:t>
      </w:r>
    </w:p>
    <w:p w14:paraId="03DD82A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除专用合同条款另有约定外，承包人按第16.1.1项</w:t>
      </w:r>
      <w:r>
        <w:rPr>
          <w:rFonts w:hint="eastAsia" w:eastAsia="仿宋_GB2312"/>
          <w:color w:val="000000"/>
          <w:kern w:val="0"/>
          <w:sz w:val="28"/>
          <w:szCs w:val="28"/>
        </w:rPr>
        <w:t>〔</w:t>
      </w:r>
      <w:r>
        <w:rPr>
          <w:rFonts w:eastAsia="仿宋_GB2312"/>
          <w:color w:val="000000"/>
          <w:kern w:val="0"/>
          <w:sz w:val="28"/>
          <w:szCs w:val="28"/>
        </w:rPr>
        <w:t>发包人违约的情形</w:t>
      </w:r>
      <w:r>
        <w:rPr>
          <w:rFonts w:hint="eastAsia" w:eastAsia="仿宋_GB2312"/>
          <w:color w:val="000000"/>
          <w:kern w:val="0"/>
          <w:sz w:val="28"/>
          <w:szCs w:val="28"/>
        </w:rPr>
        <w:t>〕</w:t>
      </w:r>
      <w:r>
        <w:rPr>
          <w:rFonts w:eastAsia="仿宋_GB2312"/>
          <w:color w:val="000000"/>
          <w:kern w:val="0"/>
          <w:sz w:val="28"/>
          <w:szCs w:val="28"/>
        </w:rPr>
        <w:t>约定暂停施工满28天后</w:t>
      </w:r>
      <w:r>
        <w:rPr>
          <w:rFonts w:hint="eastAsia" w:eastAsia="仿宋_GB2312"/>
          <w:color w:val="000000"/>
          <w:kern w:val="0"/>
          <w:sz w:val="28"/>
          <w:szCs w:val="28"/>
        </w:rPr>
        <w:t>，</w:t>
      </w:r>
      <w:r>
        <w:rPr>
          <w:rFonts w:eastAsia="仿宋_GB2312"/>
          <w:color w:val="000000"/>
          <w:kern w:val="0"/>
          <w:sz w:val="28"/>
          <w:szCs w:val="28"/>
        </w:rPr>
        <w:t>发包人仍不纠正其违约行为并致使合同目的不能实现的，</w:t>
      </w:r>
      <w:r>
        <w:rPr>
          <w:rFonts w:hint="eastAsia" w:eastAsia="仿宋_GB2312"/>
          <w:color w:val="000000"/>
          <w:kern w:val="0"/>
          <w:sz w:val="28"/>
          <w:szCs w:val="28"/>
        </w:rPr>
        <w:t>或</w:t>
      </w:r>
      <w:r>
        <w:rPr>
          <w:rFonts w:eastAsia="仿宋_GB2312"/>
          <w:color w:val="000000"/>
          <w:kern w:val="0"/>
          <w:sz w:val="28"/>
          <w:szCs w:val="28"/>
        </w:rPr>
        <w:t>出现第16.1.1项</w:t>
      </w:r>
      <w:r>
        <w:rPr>
          <w:rFonts w:hint="eastAsia" w:eastAsia="仿宋_GB2312"/>
          <w:color w:val="000000"/>
          <w:kern w:val="0"/>
          <w:sz w:val="28"/>
          <w:szCs w:val="28"/>
        </w:rPr>
        <w:t>〔</w:t>
      </w:r>
      <w:r>
        <w:rPr>
          <w:rFonts w:eastAsia="仿宋_GB2312"/>
          <w:color w:val="000000"/>
          <w:kern w:val="0"/>
          <w:sz w:val="28"/>
          <w:szCs w:val="28"/>
        </w:rPr>
        <w:t>发包人违约的情形</w:t>
      </w:r>
      <w:r>
        <w:rPr>
          <w:rFonts w:hint="eastAsia" w:eastAsia="仿宋_GB2312"/>
          <w:color w:val="000000"/>
          <w:kern w:val="0"/>
          <w:sz w:val="28"/>
          <w:szCs w:val="28"/>
        </w:rPr>
        <w:t>〕</w:t>
      </w:r>
      <w:r>
        <w:rPr>
          <w:rFonts w:eastAsia="仿宋_GB2312"/>
          <w:color w:val="000000"/>
          <w:kern w:val="0"/>
          <w:sz w:val="28"/>
          <w:szCs w:val="28"/>
        </w:rPr>
        <w:t>第（7）目约定的违约情况，承包人有权解除合同，发包人应承担由此增加的费用，并支付承包人合理的利润。</w:t>
      </w:r>
    </w:p>
    <w:p w14:paraId="63E98ED7">
      <w:pPr>
        <w:autoSpaceDE w:val="0"/>
        <w:autoSpaceDN w:val="0"/>
        <w:adjustRightInd w:val="0"/>
        <w:spacing w:line="500" w:lineRule="exact"/>
        <w:ind w:firstLine="560" w:firstLineChars="200"/>
        <w:jc w:val="left"/>
        <w:rPr>
          <w:rFonts w:eastAsia="仿宋_GB2312"/>
          <w:color w:val="000000"/>
          <w:sz w:val="28"/>
          <w:szCs w:val="28"/>
        </w:rPr>
      </w:pPr>
      <w:r>
        <w:rPr>
          <w:rFonts w:eastAsia="仿宋_GB2312"/>
          <w:color w:val="000000"/>
          <w:kern w:val="0"/>
          <w:sz w:val="28"/>
          <w:szCs w:val="28"/>
        </w:rPr>
        <w:t>16.1.4 因发包人违约解除合同后的付款</w:t>
      </w:r>
    </w:p>
    <w:p w14:paraId="1219AFF7">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承包人按照本款约定解除合同的，发包人应在解除合同后28天内支付下列款项，并解除履约担保：</w:t>
      </w:r>
    </w:p>
    <w:p w14:paraId="7E8052BF">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（1）合同解除前所完成工作的价款；</w:t>
      </w:r>
    </w:p>
    <w:p w14:paraId="1BF3562F">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（2）承包人为工程施工订购并已付款的材料、工程设备和其他物品的价款；</w:t>
      </w:r>
    </w:p>
    <w:p w14:paraId="613E1905">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（3）承包人撤离施工现场以及遣散承包人人员的款项；</w:t>
      </w:r>
    </w:p>
    <w:p w14:paraId="2652CDC1">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（4）按照合同约定在合同解除前应支付的违约金；</w:t>
      </w:r>
    </w:p>
    <w:p w14:paraId="51AC1F08">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（5）按照合同约定应当支付给承包人的其他款项；</w:t>
      </w:r>
    </w:p>
    <w:p w14:paraId="532F5F68">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（6）按照合同约定应退还的质量保证金；</w:t>
      </w:r>
    </w:p>
    <w:p w14:paraId="5B6BE907">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（7）因解除合同给承包人造成的损失。</w:t>
      </w:r>
    </w:p>
    <w:p w14:paraId="55D79FFC">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合同当事人未能就解除合同后的结清达成一致的，按照第20条</w:t>
      </w:r>
      <w:r>
        <w:rPr>
          <w:rFonts w:hint="eastAsia" w:eastAsia="仿宋_GB2312"/>
          <w:color w:val="000000"/>
          <w:kern w:val="0"/>
          <w:sz w:val="28"/>
          <w:szCs w:val="28"/>
        </w:rPr>
        <w:t>〔</w:t>
      </w:r>
      <w:r>
        <w:rPr>
          <w:rFonts w:eastAsia="仿宋_GB2312"/>
          <w:color w:val="000000"/>
          <w:kern w:val="0"/>
          <w:sz w:val="28"/>
          <w:szCs w:val="28"/>
        </w:rPr>
        <w:t>争议解决</w:t>
      </w:r>
      <w:r>
        <w:rPr>
          <w:rFonts w:hint="eastAsia" w:eastAsia="仿宋_GB2312"/>
          <w:color w:val="000000"/>
          <w:kern w:val="0"/>
          <w:sz w:val="28"/>
          <w:szCs w:val="28"/>
        </w:rPr>
        <w:t>〕</w:t>
      </w:r>
      <w:r>
        <w:rPr>
          <w:rFonts w:eastAsia="仿宋_GB2312"/>
          <w:color w:val="000000"/>
          <w:kern w:val="0"/>
          <w:sz w:val="28"/>
          <w:szCs w:val="28"/>
        </w:rPr>
        <w:t>的约定处理。</w:t>
      </w:r>
    </w:p>
    <w:p w14:paraId="4C217CB5">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承包人应妥善做好已完工程和与工程有关的已购材料、工程设备的保护和移交工作，并将施工设备和人员撤出施工现场，发包人应为承包人撤出提供必要条件。</w:t>
      </w:r>
    </w:p>
    <w:p w14:paraId="3BBA16C1">
      <w:pPr>
        <w:pStyle w:val="7"/>
        <w:spacing w:before="120" w:after="120" w:line="500" w:lineRule="exact"/>
        <w:ind w:firstLine="560" w:firstLineChars="200"/>
        <w:rPr>
          <w:rFonts w:eastAsia="黑体"/>
          <w:b w:val="0"/>
          <w:color w:val="000000"/>
        </w:rPr>
      </w:pPr>
      <w:bookmarkStart w:id="1032" w:name="_Toc351203605"/>
      <w:bookmarkStart w:id="1033" w:name="_Toc337558822"/>
      <w:bookmarkStart w:id="1034" w:name="_Toc296346632"/>
      <w:bookmarkStart w:id="1035" w:name="_Toc296503131"/>
      <w:r>
        <w:rPr>
          <w:rFonts w:eastAsia="黑体"/>
          <w:b w:val="0"/>
          <w:color w:val="000000"/>
        </w:rPr>
        <w:t>16.2 承包人违约</w:t>
      </w:r>
      <w:bookmarkEnd w:id="1032"/>
    </w:p>
    <w:bookmarkEnd w:id="1033"/>
    <w:bookmarkEnd w:id="1034"/>
    <w:bookmarkEnd w:id="1035"/>
    <w:p w14:paraId="6D07AC46">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16.2.1 承包人违约的情形</w:t>
      </w:r>
    </w:p>
    <w:p w14:paraId="5A68E22E">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在合同履行过程中发生的下列情形，属于承包人违约：</w:t>
      </w:r>
    </w:p>
    <w:p w14:paraId="04B9D628">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（1）承包人违反合同约定进行转包或违法分包的；</w:t>
      </w:r>
    </w:p>
    <w:p w14:paraId="68596F08">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（2）承包人违反合同约定采购和使用不合格的材料和工程设备的；</w:t>
      </w:r>
    </w:p>
    <w:p w14:paraId="4A05701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 xml:space="preserve">（3）因承包人原因导致工程质量不符合合同要求的； </w:t>
      </w:r>
    </w:p>
    <w:p w14:paraId="4DA997DD">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（4）承包人违反第8.9款</w:t>
      </w:r>
      <w:r>
        <w:rPr>
          <w:rFonts w:hint="eastAsia" w:eastAsia="仿宋_GB2312"/>
          <w:color w:val="000000"/>
          <w:kern w:val="0"/>
          <w:sz w:val="28"/>
          <w:szCs w:val="28"/>
        </w:rPr>
        <w:t>〔</w:t>
      </w:r>
      <w:r>
        <w:rPr>
          <w:rFonts w:eastAsia="仿宋_GB2312"/>
          <w:color w:val="000000"/>
          <w:kern w:val="0"/>
          <w:sz w:val="28"/>
          <w:szCs w:val="28"/>
        </w:rPr>
        <w:t>材料与设备专用</w:t>
      </w:r>
      <w:r>
        <w:rPr>
          <w:rFonts w:hint="eastAsia" w:eastAsia="仿宋_GB2312"/>
          <w:color w:val="000000"/>
          <w:kern w:val="0"/>
          <w:sz w:val="28"/>
          <w:szCs w:val="28"/>
        </w:rPr>
        <w:t>要求〕</w:t>
      </w:r>
      <w:r>
        <w:rPr>
          <w:rFonts w:eastAsia="仿宋_GB2312"/>
          <w:color w:val="000000"/>
          <w:kern w:val="0"/>
          <w:sz w:val="28"/>
          <w:szCs w:val="28"/>
        </w:rPr>
        <w:t>的约定，未经批准，私自将已按照合同约定进入施工现场的材料或设备撤离施工现场的；</w:t>
      </w:r>
    </w:p>
    <w:p w14:paraId="7E33E900">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（5）承包人未能按施工进度计划及时完成合同约定的工作，造成工期延误的；</w:t>
      </w:r>
    </w:p>
    <w:p w14:paraId="287E9E89">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（6）承包人在缺陷责任期及保修期内，未能在合理期限对工程缺陷进行修复，或拒绝按发包人要求进行修复的；</w:t>
      </w:r>
    </w:p>
    <w:p w14:paraId="1C94B93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（7）承包人明确表示或者以其行为表明不履行合同主要义务的；</w:t>
      </w:r>
    </w:p>
    <w:p w14:paraId="1092962D">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（8）承包人未能按照合同约定履行其他义务的。</w:t>
      </w:r>
    </w:p>
    <w:p w14:paraId="62980759">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承包人发生除本项第（7）目约定以外的其他违约情况时，监理人可向承包人发出整改通知，要求其在指定的期限内改正。</w:t>
      </w:r>
    </w:p>
    <w:p w14:paraId="7D5EDAB6">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16.2.2 承包人违约的责任</w:t>
      </w:r>
    </w:p>
    <w:p w14:paraId="3AF98236">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承包人应承担因其违约行为而增加的费用</w:t>
      </w:r>
      <w:r>
        <w:rPr>
          <w:rFonts w:hint="eastAsia" w:eastAsia="仿宋_GB2312"/>
          <w:color w:val="000000"/>
          <w:kern w:val="0"/>
          <w:sz w:val="28"/>
          <w:szCs w:val="28"/>
        </w:rPr>
        <w:t>和（或）延误的</w:t>
      </w:r>
      <w:r>
        <w:rPr>
          <w:rFonts w:eastAsia="仿宋_GB2312"/>
          <w:color w:val="000000"/>
          <w:kern w:val="0"/>
          <w:sz w:val="28"/>
          <w:szCs w:val="28"/>
        </w:rPr>
        <w:t>工期。此外，合同当事人可在专用合同条款中另行约定承包人违约责任的承担方式和计算方法。</w:t>
      </w:r>
    </w:p>
    <w:p w14:paraId="11052278">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16.2.3 因承包人违约解除合同</w:t>
      </w:r>
    </w:p>
    <w:p w14:paraId="0D0808B3">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除专用合同条款另有约定外，出现第16.2.1项</w:t>
      </w:r>
      <w:r>
        <w:rPr>
          <w:rFonts w:hint="eastAsia" w:eastAsia="仿宋_GB2312"/>
          <w:color w:val="000000"/>
          <w:kern w:val="0"/>
          <w:sz w:val="28"/>
          <w:szCs w:val="28"/>
        </w:rPr>
        <w:t>〔</w:t>
      </w:r>
      <w:r>
        <w:rPr>
          <w:rFonts w:eastAsia="仿宋_GB2312"/>
          <w:color w:val="000000"/>
          <w:kern w:val="0"/>
          <w:sz w:val="28"/>
          <w:szCs w:val="28"/>
        </w:rPr>
        <w:t>承包人违约的情形</w:t>
      </w:r>
      <w:r>
        <w:rPr>
          <w:rFonts w:hint="eastAsia" w:eastAsia="仿宋_GB2312"/>
          <w:color w:val="000000"/>
          <w:kern w:val="0"/>
          <w:sz w:val="28"/>
          <w:szCs w:val="28"/>
        </w:rPr>
        <w:t>〕</w:t>
      </w:r>
      <w:r>
        <w:rPr>
          <w:rFonts w:eastAsia="仿宋_GB2312"/>
          <w:color w:val="000000"/>
          <w:kern w:val="0"/>
          <w:sz w:val="28"/>
          <w:szCs w:val="28"/>
        </w:rPr>
        <w:t>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w:t>
      </w:r>
      <w:r>
        <w:rPr>
          <w:rFonts w:hint="eastAsia" w:eastAsia="仿宋_GB2312"/>
          <w:color w:val="000000"/>
          <w:kern w:val="0"/>
          <w:sz w:val="28"/>
          <w:szCs w:val="28"/>
        </w:rPr>
        <w:t>合同当事人应在专用合同条款约定相应费用的承担方式。</w:t>
      </w:r>
      <w:r>
        <w:rPr>
          <w:rFonts w:eastAsia="仿宋_GB2312"/>
          <w:color w:val="000000"/>
          <w:kern w:val="0"/>
          <w:sz w:val="28"/>
          <w:szCs w:val="28"/>
        </w:rPr>
        <w:t>发包人</w:t>
      </w:r>
      <w:r>
        <w:rPr>
          <w:rFonts w:hint="eastAsia" w:eastAsia="仿宋_GB2312"/>
          <w:color w:val="000000"/>
          <w:kern w:val="0"/>
          <w:sz w:val="28"/>
          <w:szCs w:val="28"/>
        </w:rPr>
        <w:t>继续使用的</w:t>
      </w:r>
      <w:r>
        <w:rPr>
          <w:rFonts w:eastAsia="仿宋_GB2312"/>
          <w:color w:val="000000"/>
          <w:kern w:val="0"/>
          <w:sz w:val="28"/>
          <w:szCs w:val="28"/>
        </w:rPr>
        <w:t>行为不免除或减轻承包人应承担的违约责任。</w:t>
      </w:r>
    </w:p>
    <w:p w14:paraId="084269DC">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16.2.4因承包人违约解除合同后的处理</w:t>
      </w:r>
    </w:p>
    <w:p w14:paraId="76E3E48D">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因承包人原因导致合同解除的，则合同当事人应在合同解除后28天内完成估价、付款和清算，并按以下约定执行：</w:t>
      </w:r>
    </w:p>
    <w:p w14:paraId="1FC3E7F1">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（1）合同解除后，按第4.4款</w:t>
      </w:r>
      <w:r>
        <w:rPr>
          <w:rFonts w:hint="eastAsia" w:eastAsia="仿宋_GB2312"/>
          <w:color w:val="000000"/>
          <w:kern w:val="0"/>
          <w:sz w:val="28"/>
          <w:szCs w:val="28"/>
        </w:rPr>
        <w:t>〔</w:t>
      </w:r>
      <w:r>
        <w:rPr>
          <w:rFonts w:eastAsia="仿宋_GB2312"/>
          <w:color w:val="000000"/>
          <w:kern w:val="0"/>
          <w:sz w:val="28"/>
          <w:szCs w:val="28"/>
        </w:rPr>
        <w:t>商定或确定</w:t>
      </w:r>
      <w:r>
        <w:rPr>
          <w:rFonts w:hint="eastAsia" w:eastAsia="仿宋_GB2312"/>
          <w:color w:val="000000"/>
          <w:kern w:val="0"/>
          <w:sz w:val="28"/>
          <w:szCs w:val="28"/>
        </w:rPr>
        <w:t>〕</w:t>
      </w:r>
      <w:r>
        <w:rPr>
          <w:rFonts w:eastAsia="仿宋_GB2312"/>
          <w:color w:val="000000"/>
          <w:kern w:val="0"/>
          <w:sz w:val="28"/>
          <w:szCs w:val="28"/>
        </w:rPr>
        <w:t>商定或确定承包人实际完成工作对应的合同价款，以及承包人已提供的材料、工程设备、施工设备和临时工程等的价值；</w:t>
      </w:r>
    </w:p>
    <w:p w14:paraId="39A5BFA0">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（2）合同解除后，承包人应支付的违约金；</w:t>
      </w:r>
    </w:p>
    <w:p w14:paraId="26B52402">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（3）合同解除后，因解除合同给发包人造成的损失；</w:t>
      </w:r>
    </w:p>
    <w:p w14:paraId="0E333420">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（4）合同解除后，承包人应按照发包人要求和监理人的指示完成现场的清理和撤离；</w:t>
      </w:r>
    </w:p>
    <w:p w14:paraId="5D636978">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（5）发包人和承包人应在合同解除后进行清算，出具最终结清付款证书，结清全部款项。</w:t>
      </w:r>
    </w:p>
    <w:p w14:paraId="49D20320">
      <w:pPr>
        <w:spacing w:line="500" w:lineRule="exact"/>
        <w:ind w:firstLine="560" w:firstLineChars="200"/>
        <w:jc w:val="left"/>
        <w:rPr>
          <w:rFonts w:eastAsia="仿宋_GB2312"/>
          <w:color w:val="000000"/>
          <w:kern w:val="0"/>
          <w:sz w:val="28"/>
          <w:szCs w:val="28"/>
        </w:rPr>
      </w:pPr>
      <w:r>
        <w:rPr>
          <w:rFonts w:hint="eastAsia" w:eastAsia="仿宋_GB2312"/>
          <w:color w:val="000000"/>
          <w:kern w:val="0"/>
          <w:sz w:val="28"/>
          <w:szCs w:val="28"/>
        </w:rPr>
        <w:t>因承包人违约解除合同的，</w:t>
      </w:r>
      <w:r>
        <w:rPr>
          <w:rFonts w:eastAsia="仿宋_GB2312"/>
          <w:color w:val="000000"/>
          <w:kern w:val="0"/>
          <w:sz w:val="28"/>
          <w:szCs w:val="28"/>
        </w:rPr>
        <w:t>发包人有权暂停对承包人的付款，查清各项付款和已扣款项。发包人和承包人未能就合同解除后的清算和款项支付达成一致的，按照第20条</w:t>
      </w:r>
      <w:r>
        <w:rPr>
          <w:rFonts w:hint="eastAsia" w:eastAsia="仿宋_GB2312"/>
          <w:color w:val="000000"/>
          <w:kern w:val="0"/>
          <w:sz w:val="28"/>
          <w:szCs w:val="28"/>
        </w:rPr>
        <w:t>〔</w:t>
      </w:r>
      <w:r>
        <w:rPr>
          <w:rFonts w:eastAsia="仿宋_GB2312"/>
          <w:color w:val="000000"/>
          <w:kern w:val="0"/>
          <w:sz w:val="28"/>
          <w:szCs w:val="28"/>
        </w:rPr>
        <w:t>争议解决</w:t>
      </w:r>
      <w:r>
        <w:rPr>
          <w:rFonts w:hint="eastAsia" w:eastAsia="仿宋_GB2312"/>
          <w:color w:val="000000"/>
          <w:kern w:val="0"/>
          <w:sz w:val="28"/>
          <w:szCs w:val="28"/>
        </w:rPr>
        <w:t>〕</w:t>
      </w:r>
      <w:r>
        <w:rPr>
          <w:rFonts w:eastAsia="仿宋_GB2312"/>
          <w:color w:val="000000"/>
          <w:kern w:val="0"/>
          <w:sz w:val="28"/>
          <w:szCs w:val="28"/>
        </w:rPr>
        <w:t>的约定处理。</w:t>
      </w:r>
    </w:p>
    <w:p w14:paraId="18CEB6FF">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16.2.5采购合同权益转让</w:t>
      </w:r>
    </w:p>
    <w:p w14:paraId="4D4F1C58">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6EFF2F49">
      <w:pPr>
        <w:pStyle w:val="7"/>
        <w:spacing w:before="120" w:after="120" w:line="500" w:lineRule="exact"/>
        <w:ind w:firstLine="560" w:firstLineChars="200"/>
        <w:rPr>
          <w:rFonts w:eastAsia="黑体"/>
          <w:b w:val="0"/>
          <w:color w:val="000000"/>
        </w:rPr>
      </w:pPr>
      <w:bookmarkStart w:id="1036" w:name="_Toc351203606"/>
      <w:r>
        <w:rPr>
          <w:rFonts w:eastAsia="黑体"/>
          <w:b w:val="0"/>
          <w:color w:val="000000"/>
        </w:rPr>
        <w:t>16.3 第三人造成的违约</w:t>
      </w:r>
      <w:bookmarkEnd w:id="1036"/>
    </w:p>
    <w:p w14:paraId="4EC6031F">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在履行合同过程中，一方当事人因第三人的原因造成违约的，应当向对方当事人承担违约责任。一方当事人和第三人之间的纠纷，依照法律规定或者按照约定解决。</w:t>
      </w:r>
    </w:p>
    <w:p w14:paraId="1D72A2FE">
      <w:pPr>
        <w:pStyle w:val="6"/>
        <w:spacing w:before="120" w:after="120" w:line="500" w:lineRule="exact"/>
        <w:rPr>
          <w:rFonts w:ascii="Times New Roman" w:hAnsi="Times New Roman"/>
          <w:b w:val="0"/>
          <w:color w:val="000000"/>
        </w:rPr>
      </w:pPr>
      <w:bookmarkStart w:id="1037" w:name="_Toc351203607"/>
      <w:bookmarkStart w:id="1038" w:name="_Toc296346617"/>
      <w:bookmarkStart w:id="1039" w:name="_Toc337558823"/>
      <w:bookmarkStart w:id="1040" w:name="_Toc296503116"/>
      <w:r>
        <w:rPr>
          <w:rFonts w:ascii="Times New Roman" w:hAnsi="Times New Roman"/>
          <w:b w:val="0"/>
          <w:color w:val="000000"/>
        </w:rPr>
        <w:t>17. 不可抗力</w:t>
      </w:r>
      <w:bookmarkEnd w:id="1037"/>
      <w:r>
        <w:rPr>
          <w:rFonts w:ascii="Times New Roman" w:hAnsi="Times New Roman"/>
          <w:b w:val="0"/>
          <w:color w:val="000000"/>
        </w:rPr>
        <w:t xml:space="preserve"> </w:t>
      </w:r>
      <w:bookmarkEnd w:id="1038"/>
      <w:bookmarkEnd w:id="1039"/>
      <w:bookmarkEnd w:id="1040"/>
    </w:p>
    <w:p w14:paraId="51E39EDF">
      <w:pPr>
        <w:pStyle w:val="7"/>
        <w:spacing w:before="120" w:after="120" w:line="500" w:lineRule="exact"/>
        <w:ind w:firstLine="560" w:firstLineChars="200"/>
        <w:rPr>
          <w:rFonts w:eastAsia="黑体"/>
          <w:b w:val="0"/>
          <w:color w:val="000000"/>
        </w:rPr>
      </w:pPr>
      <w:bookmarkStart w:id="1041" w:name="_Toc351203608"/>
      <w:bookmarkStart w:id="1042" w:name="_Toc337558824"/>
      <w:bookmarkStart w:id="1043" w:name="_Toc296346618"/>
      <w:bookmarkStart w:id="1044" w:name="_Toc296503117"/>
      <w:r>
        <w:rPr>
          <w:rFonts w:eastAsia="黑体"/>
          <w:b w:val="0"/>
          <w:color w:val="000000"/>
        </w:rPr>
        <w:t>17.1 不可抗力的确认</w:t>
      </w:r>
      <w:bookmarkEnd w:id="1041"/>
    </w:p>
    <w:bookmarkEnd w:id="1042"/>
    <w:bookmarkEnd w:id="1043"/>
    <w:bookmarkEnd w:id="1044"/>
    <w:p w14:paraId="2452BE7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不可抗力是指合同当事人在签订合同时不可预见，在合同履行过程中不可避免且不能克服的自然灾害和社会性突发事件，如地震、海啸、瘟疫、骚乱、戒严、暴动、战争和专用合同条款中约定的其他情形。</w:t>
      </w:r>
    </w:p>
    <w:p w14:paraId="15625CFD">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不可抗力发生后，发包人和承包人应收集证明不可抗力发生及不可抗力造成损失的证据，并及时认真统计所造成的损失。合同当事人对是否属于不可抗力或其损失的意见不一致的，由监理人按第4.4款</w:t>
      </w:r>
      <w:r>
        <w:rPr>
          <w:rFonts w:hint="eastAsia" w:eastAsia="仿宋_GB2312"/>
          <w:color w:val="000000"/>
          <w:kern w:val="0"/>
          <w:sz w:val="28"/>
          <w:szCs w:val="28"/>
        </w:rPr>
        <w:t>〔</w:t>
      </w:r>
      <w:r>
        <w:rPr>
          <w:rFonts w:eastAsia="仿宋_GB2312"/>
          <w:color w:val="000000"/>
          <w:kern w:val="0"/>
          <w:sz w:val="28"/>
          <w:szCs w:val="28"/>
        </w:rPr>
        <w:t>商定或确定</w:t>
      </w:r>
      <w:r>
        <w:rPr>
          <w:rFonts w:hint="eastAsia" w:eastAsia="仿宋_GB2312"/>
          <w:color w:val="000000"/>
          <w:kern w:val="0"/>
          <w:sz w:val="28"/>
          <w:szCs w:val="28"/>
        </w:rPr>
        <w:t>〕</w:t>
      </w:r>
      <w:r>
        <w:rPr>
          <w:rFonts w:eastAsia="仿宋_GB2312"/>
          <w:color w:val="000000"/>
          <w:kern w:val="0"/>
          <w:sz w:val="28"/>
          <w:szCs w:val="28"/>
        </w:rPr>
        <w:t>的约定处理。发生争议时，按第20条</w:t>
      </w:r>
      <w:r>
        <w:rPr>
          <w:rFonts w:hint="eastAsia" w:eastAsia="仿宋_GB2312"/>
          <w:color w:val="000000"/>
          <w:kern w:val="0"/>
          <w:sz w:val="28"/>
          <w:szCs w:val="28"/>
        </w:rPr>
        <w:t>〔</w:t>
      </w:r>
      <w:r>
        <w:rPr>
          <w:rFonts w:eastAsia="仿宋_GB2312"/>
          <w:color w:val="000000"/>
          <w:kern w:val="0"/>
          <w:sz w:val="28"/>
          <w:szCs w:val="28"/>
        </w:rPr>
        <w:t>争议解决</w:t>
      </w:r>
      <w:r>
        <w:rPr>
          <w:rFonts w:hint="eastAsia" w:eastAsia="仿宋_GB2312"/>
          <w:color w:val="000000"/>
          <w:kern w:val="0"/>
          <w:sz w:val="28"/>
          <w:szCs w:val="28"/>
        </w:rPr>
        <w:t>〕</w:t>
      </w:r>
      <w:r>
        <w:rPr>
          <w:rFonts w:eastAsia="仿宋_GB2312"/>
          <w:color w:val="000000"/>
          <w:kern w:val="0"/>
          <w:sz w:val="28"/>
          <w:szCs w:val="28"/>
        </w:rPr>
        <w:t>的约定处理。</w:t>
      </w:r>
    </w:p>
    <w:p w14:paraId="79960363">
      <w:pPr>
        <w:pStyle w:val="7"/>
        <w:spacing w:before="120" w:after="120" w:line="500" w:lineRule="exact"/>
        <w:ind w:firstLine="560" w:firstLineChars="200"/>
        <w:rPr>
          <w:rFonts w:eastAsia="黑体"/>
          <w:b w:val="0"/>
          <w:color w:val="000000"/>
        </w:rPr>
      </w:pPr>
      <w:bookmarkStart w:id="1045" w:name="_Toc351203609"/>
      <w:bookmarkStart w:id="1046" w:name="_Toc296503118"/>
      <w:bookmarkStart w:id="1047" w:name="_Toc296346619"/>
      <w:bookmarkStart w:id="1048" w:name="_Toc337558825"/>
      <w:r>
        <w:rPr>
          <w:rFonts w:eastAsia="黑体"/>
          <w:b w:val="0"/>
          <w:color w:val="000000"/>
        </w:rPr>
        <w:t>17.2 不可抗力的通知</w:t>
      </w:r>
      <w:bookmarkEnd w:id="1045"/>
    </w:p>
    <w:bookmarkEnd w:id="1046"/>
    <w:bookmarkEnd w:id="1047"/>
    <w:bookmarkEnd w:id="1048"/>
    <w:p w14:paraId="0B0CF6FC">
      <w:pPr>
        <w:autoSpaceDE w:val="0"/>
        <w:autoSpaceDN w:val="0"/>
        <w:adjustRightInd w:val="0"/>
        <w:spacing w:line="500" w:lineRule="exact"/>
        <w:ind w:firstLine="560" w:firstLineChars="200"/>
        <w:jc w:val="left"/>
        <w:rPr>
          <w:rFonts w:eastAsia="仿宋_GB2312"/>
          <w:color w:val="000000"/>
          <w:kern w:val="0"/>
          <w:sz w:val="28"/>
          <w:szCs w:val="28"/>
        </w:rPr>
      </w:pPr>
      <w:r>
        <w:rPr>
          <w:rFonts w:hint="eastAsia" w:eastAsia="仿宋_GB2312"/>
          <w:color w:val="000000"/>
          <w:kern w:val="0"/>
          <w:sz w:val="28"/>
          <w:szCs w:val="28"/>
        </w:rPr>
        <w:t>合同</w:t>
      </w:r>
      <w:r>
        <w:rPr>
          <w:rFonts w:eastAsia="仿宋_GB2312"/>
          <w:color w:val="000000"/>
          <w:kern w:val="0"/>
          <w:sz w:val="28"/>
          <w:szCs w:val="28"/>
        </w:rPr>
        <w:t>一方当事人遇到不可抗力事件，使其履行合同义务受到阻碍时，应立即通知合同另一方当事人和监理人，书面说明不可抗力和受阻碍的详细情况，并提供必要的证明。</w:t>
      </w:r>
    </w:p>
    <w:p w14:paraId="0B6BEB8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不可抗力持续发生的，合同一方当事人应及时向合同另一方当事人和监理人提交中间报告，说明不可抗力和履行合同受阻的情况，并于不可抗力事件结束后28天内提交最终报告及有关资料。</w:t>
      </w:r>
    </w:p>
    <w:p w14:paraId="4636720E">
      <w:pPr>
        <w:pStyle w:val="7"/>
        <w:spacing w:before="120" w:after="120" w:line="500" w:lineRule="exact"/>
        <w:ind w:firstLine="560" w:firstLineChars="200"/>
        <w:rPr>
          <w:rFonts w:eastAsia="黑体"/>
          <w:b w:val="0"/>
          <w:color w:val="000000"/>
        </w:rPr>
      </w:pPr>
      <w:bookmarkStart w:id="1049" w:name="_Toc351203610"/>
      <w:bookmarkStart w:id="1050" w:name="_Toc296346620"/>
      <w:bookmarkStart w:id="1051" w:name="_Toc337558826"/>
      <w:bookmarkStart w:id="1052" w:name="_Toc296503119"/>
      <w:r>
        <w:rPr>
          <w:rFonts w:eastAsia="黑体"/>
          <w:b w:val="0"/>
          <w:color w:val="000000"/>
        </w:rPr>
        <w:t>17.3 不可抗力后果的承担</w:t>
      </w:r>
      <w:bookmarkEnd w:id="1049"/>
    </w:p>
    <w:bookmarkEnd w:id="1050"/>
    <w:bookmarkEnd w:id="1051"/>
    <w:bookmarkEnd w:id="1052"/>
    <w:p w14:paraId="31C253C9">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 xml:space="preserve">17.3.1 </w:t>
      </w:r>
      <w:r>
        <w:rPr>
          <w:rFonts w:hint="eastAsia" w:eastAsia="仿宋_GB2312"/>
          <w:color w:val="000000"/>
          <w:kern w:val="0"/>
          <w:sz w:val="28"/>
          <w:szCs w:val="28"/>
        </w:rPr>
        <w:t>不可抗力引起的后果及造成的损失由合同当事人按照法律规定及合同约定各自承担。</w:t>
      </w:r>
      <w:r>
        <w:rPr>
          <w:rFonts w:eastAsia="仿宋_GB2312"/>
          <w:color w:val="000000"/>
          <w:kern w:val="0"/>
          <w:sz w:val="28"/>
          <w:szCs w:val="28"/>
        </w:rPr>
        <w:t>不可抗力发生前已完</w:t>
      </w:r>
      <w:r>
        <w:rPr>
          <w:rFonts w:hint="eastAsia" w:eastAsia="仿宋_GB2312"/>
          <w:color w:val="000000"/>
          <w:kern w:val="0"/>
          <w:sz w:val="28"/>
          <w:szCs w:val="28"/>
        </w:rPr>
        <w:t>成的</w:t>
      </w:r>
      <w:r>
        <w:rPr>
          <w:rFonts w:eastAsia="仿宋_GB2312"/>
          <w:color w:val="000000"/>
          <w:kern w:val="0"/>
          <w:sz w:val="28"/>
          <w:szCs w:val="28"/>
        </w:rPr>
        <w:t>工程应当按照合同约定进行计量</w:t>
      </w:r>
      <w:r>
        <w:rPr>
          <w:rFonts w:hint="eastAsia" w:eastAsia="仿宋_GB2312"/>
          <w:color w:val="000000"/>
          <w:kern w:val="0"/>
          <w:sz w:val="28"/>
          <w:szCs w:val="28"/>
        </w:rPr>
        <w:t>支付</w:t>
      </w:r>
      <w:r>
        <w:rPr>
          <w:rFonts w:eastAsia="仿宋_GB2312"/>
          <w:color w:val="000000"/>
          <w:kern w:val="0"/>
          <w:sz w:val="28"/>
          <w:szCs w:val="28"/>
        </w:rPr>
        <w:t>。</w:t>
      </w:r>
    </w:p>
    <w:p w14:paraId="0715118D">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17.3.2 不可抗力导致的人员伤亡、财产损失、费用增加和（或）工期延误等后果，由合同当事人按以下原则承担：</w:t>
      </w:r>
    </w:p>
    <w:p w14:paraId="4E4F054B">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（1）永久工程、已运至施工现场的材料和工程设备的损坏，以及因工程损坏造成的第三人人员伤亡和财产损失由发包人承担；</w:t>
      </w:r>
    </w:p>
    <w:p w14:paraId="488AFB7E">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（2）承包人施工设备的损坏由承包人承担；</w:t>
      </w:r>
    </w:p>
    <w:p w14:paraId="16DEE42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（3）发包人和承包人承担各自人员伤亡和财产的损失；</w:t>
      </w:r>
    </w:p>
    <w:p w14:paraId="7FE425D3">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（4）因不可抗力影响承包人履行合同约定的义务，已经引起或将引起工期延误的，应当顺延工期，由此导致承包人停工的费用损失由发包人和承包人合理分担，停工期间必须支付的工人工资由发包人承担；</w:t>
      </w:r>
    </w:p>
    <w:p w14:paraId="6E8C188B">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（5）因不可抗力引起或将引起工期延误，发包人要求赶工的，由此增加的赶工费用由发包人承担；</w:t>
      </w:r>
    </w:p>
    <w:p w14:paraId="0F96874F">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（6）承包人在停工期间按照发包人要求照管、清理和修复工程的费用由发包人承担。</w:t>
      </w:r>
    </w:p>
    <w:p w14:paraId="1CD18A17">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不可抗力发生后，合同当事人均应采取措施尽量避免和减少损失的扩大，任何一方当事人没有采取有效措施导致损失扩大的，应对扩大的损失承担责任。</w:t>
      </w:r>
    </w:p>
    <w:p w14:paraId="2DAB4429">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因合同一方迟延履行合同义务，在迟延履行期间遭遇不可抗力的，不免除其违约责任。</w:t>
      </w:r>
    </w:p>
    <w:p w14:paraId="1E62AE64">
      <w:pPr>
        <w:pStyle w:val="7"/>
        <w:spacing w:before="120" w:after="120" w:line="500" w:lineRule="exact"/>
        <w:ind w:firstLine="560" w:firstLineChars="200"/>
        <w:rPr>
          <w:rFonts w:eastAsia="黑体"/>
          <w:b w:val="0"/>
          <w:color w:val="000000"/>
        </w:rPr>
      </w:pPr>
      <w:bookmarkStart w:id="1053" w:name="_Toc351203611"/>
      <w:bookmarkStart w:id="1054" w:name="_Toc337558827"/>
      <w:r>
        <w:rPr>
          <w:rFonts w:eastAsia="黑体"/>
          <w:b w:val="0"/>
          <w:color w:val="000000"/>
        </w:rPr>
        <w:t>17.4 因不可抗力解除合同</w:t>
      </w:r>
      <w:bookmarkEnd w:id="1053"/>
    </w:p>
    <w:bookmarkEnd w:id="1054"/>
    <w:p w14:paraId="4AC8EF78">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因不可抗力导致合同无法履行连续超过84天或累计超过140天的，发包人和承包人均有权解除合同。合同解除后，由双方当事人按照第4.4款</w:t>
      </w:r>
      <w:r>
        <w:rPr>
          <w:rFonts w:hint="eastAsia" w:eastAsia="仿宋_GB2312"/>
          <w:color w:val="000000"/>
          <w:kern w:val="0"/>
          <w:sz w:val="28"/>
          <w:szCs w:val="28"/>
        </w:rPr>
        <w:t>〔</w:t>
      </w:r>
      <w:r>
        <w:rPr>
          <w:rFonts w:eastAsia="仿宋_GB2312"/>
          <w:color w:val="000000"/>
          <w:kern w:val="0"/>
          <w:sz w:val="28"/>
          <w:szCs w:val="28"/>
        </w:rPr>
        <w:t>商定或确定</w:t>
      </w:r>
      <w:r>
        <w:rPr>
          <w:rFonts w:hint="eastAsia" w:eastAsia="仿宋_GB2312"/>
          <w:color w:val="000000"/>
          <w:kern w:val="0"/>
          <w:sz w:val="28"/>
          <w:szCs w:val="28"/>
        </w:rPr>
        <w:t>〕</w:t>
      </w:r>
      <w:r>
        <w:rPr>
          <w:rFonts w:eastAsia="仿宋_GB2312"/>
          <w:color w:val="000000"/>
          <w:kern w:val="0"/>
          <w:sz w:val="28"/>
          <w:szCs w:val="28"/>
        </w:rPr>
        <w:t>商定或确定发包人应支付的款项，该款项包括：</w:t>
      </w:r>
    </w:p>
    <w:p w14:paraId="1997B0D4">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（1）合同解除前承包人已完成工作的价款；</w:t>
      </w:r>
    </w:p>
    <w:p w14:paraId="6B676D82">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（2）承包人为工程订购的并已交付给承包人，或承包人有责任接受交付的材料、工程设备和其他物品的价款；</w:t>
      </w:r>
    </w:p>
    <w:p w14:paraId="79E112C7">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（3）发包人要求承包人退货或解除订货合同而产生的费用，或因不能退货或解除合同而产生的损失；</w:t>
      </w:r>
    </w:p>
    <w:p w14:paraId="4A9A548D">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（4）承包人撤离施工现场以及遣散承包人人员的费用；</w:t>
      </w:r>
    </w:p>
    <w:p w14:paraId="1DAA9398">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（5）按照合同约定在合同解除前应支付给承包人的其他款项；</w:t>
      </w:r>
    </w:p>
    <w:p w14:paraId="33ECF70D">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（6）扣减承包人按照合同约定应向发包人支付的款项；</w:t>
      </w:r>
    </w:p>
    <w:p w14:paraId="24CE767B">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（7）双方商定或确定的其他款项。</w:t>
      </w:r>
    </w:p>
    <w:p w14:paraId="1FA40E79">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除专用合同条款另有约定外，合同解除后，发包人应在商定或确定上述款项后28天内完成上述款项的支付。</w:t>
      </w:r>
    </w:p>
    <w:p w14:paraId="73CBFDDD">
      <w:pPr>
        <w:pStyle w:val="6"/>
        <w:spacing w:before="120" w:after="120" w:line="500" w:lineRule="exact"/>
        <w:rPr>
          <w:rFonts w:ascii="Times New Roman" w:hAnsi="Times New Roman"/>
          <w:b w:val="0"/>
          <w:color w:val="000000"/>
        </w:rPr>
      </w:pPr>
      <w:bookmarkStart w:id="1055" w:name="_Toc351203612"/>
      <w:bookmarkStart w:id="1056" w:name="_Toc337558828"/>
      <w:bookmarkStart w:id="1057" w:name="_Toc296503120"/>
      <w:bookmarkStart w:id="1058" w:name="_Toc296346621"/>
      <w:r>
        <w:rPr>
          <w:rFonts w:ascii="Times New Roman" w:hAnsi="Times New Roman"/>
          <w:b w:val="0"/>
          <w:color w:val="000000"/>
        </w:rPr>
        <w:t>18. 保险</w:t>
      </w:r>
      <w:bookmarkEnd w:id="1055"/>
    </w:p>
    <w:bookmarkEnd w:id="1056"/>
    <w:bookmarkEnd w:id="1057"/>
    <w:bookmarkEnd w:id="1058"/>
    <w:p w14:paraId="73D6F32E">
      <w:pPr>
        <w:pStyle w:val="7"/>
        <w:spacing w:before="120" w:after="120" w:line="500" w:lineRule="exact"/>
        <w:ind w:firstLine="560" w:firstLineChars="200"/>
        <w:rPr>
          <w:rFonts w:eastAsia="黑体"/>
          <w:b w:val="0"/>
          <w:color w:val="000000"/>
        </w:rPr>
      </w:pPr>
      <w:bookmarkStart w:id="1059" w:name="_Toc351203613"/>
      <w:bookmarkStart w:id="1060" w:name="_Toc296346622"/>
      <w:bookmarkStart w:id="1061" w:name="_Toc337558829"/>
      <w:bookmarkStart w:id="1062" w:name="_Toc296503121"/>
      <w:r>
        <w:rPr>
          <w:rFonts w:eastAsia="黑体"/>
          <w:b w:val="0"/>
          <w:color w:val="000000"/>
        </w:rPr>
        <w:t>18.1 工程保险</w:t>
      </w:r>
      <w:bookmarkEnd w:id="1059"/>
    </w:p>
    <w:bookmarkEnd w:id="1060"/>
    <w:bookmarkEnd w:id="1061"/>
    <w:bookmarkEnd w:id="1062"/>
    <w:p w14:paraId="183C1B22">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除专用合同条款另有约定外，发包人应投保建筑工程一切险或安装工程一切险；发包人委托承包人投保的，因投保产生的保险费和其他相关费用由发包人承担。</w:t>
      </w:r>
    </w:p>
    <w:p w14:paraId="54E99EB9">
      <w:pPr>
        <w:pStyle w:val="7"/>
        <w:spacing w:before="120" w:after="120" w:line="500" w:lineRule="exact"/>
        <w:ind w:firstLine="560" w:firstLineChars="200"/>
        <w:rPr>
          <w:rFonts w:eastAsia="黑体"/>
          <w:b w:val="0"/>
          <w:color w:val="000000"/>
        </w:rPr>
      </w:pPr>
      <w:bookmarkStart w:id="1063" w:name="_Toc351203614"/>
      <w:bookmarkStart w:id="1064" w:name="_Toc337558830"/>
      <w:bookmarkStart w:id="1065" w:name="_Toc296503122"/>
      <w:bookmarkStart w:id="1066" w:name="_Toc296346623"/>
      <w:r>
        <w:rPr>
          <w:rFonts w:eastAsia="黑体"/>
          <w:b w:val="0"/>
          <w:color w:val="000000"/>
        </w:rPr>
        <w:t>18.2 工伤保险</w:t>
      </w:r>
      <w:bookmarkEnd w:id="1063"/>
    </w:p>
    <w:bookmarkEnd w:id="1064"/>
    <w:bookmarkEnd w:id="1065"/>
    <w:bookmarkEnd w:id="1066"/>
    <w:p w14:paraId="217B01F7">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18.2.1 发包人应依照法律规定参加工伤保险，并为在施工现场的全部员工办理工伤保险，缴纳工伤保险费，并要求监理人及由发包人为履行合同聘请的第三方依法参加工伤保险。</w:t>
      </w:r>
    </w:p>
    <w:p w14:paraId="070723A5">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18.2.2 承包人应依照法律规定参加工伤保险，并为其履行合同的全部员工办理工伤保险，缴纳工伤保险费，并要求分包人及由承包人为履行合同聘请的第三方依法参加工伤保险。</w:t>
      </w:r>
    </w:p>
    <w:p w14:paraId="37EF2C49">
      <w:pPr>
        <w:pStyle w:val="7"/>
        <w:spacing w:before="120" w:after="120" w:line="500" w:lineRule="exact"/>
        <w:ind w:firstLine="560" w:firstLineChars="200"/>
        <w:rPr>
          <w:rFonts w:eastAsia="黑体"/>
          <w:b w:val="0"/>
          <w:color w:val="000000"/>
        </w:rPr>
      </w:pPr>
      <w:bookmarkStart w:id="1067" w:name="_Toc351203615"/>
      <w:bookmarkStart w:id="1068" w:name="_Toc296346626"/>
      <w:bookmarkStart w:id="1069" w:name="_Toc296503125"/>
      <w:bookmarkStart w:id="1070" w:name="_Toc337558831"/>
      <w:r>
        <w:rPr>
          <w:rFonts w:eastAsia="黑体"/>
          <w:b w:val="0"/>
          <w:color w:val="000000"/>
        </w:rPr>
        <w:t>18.3其他保险</w:t>
      </w:r>
      <w:bookmarkEnd w:id="1067"/>
    </w:p>
    <w:bookmarkEnd w:id="1068"/>
    <w:bookmarkEnd w:id="1069"/>
    <w:bookmarkEnd w:id="1070"/>
    <w:p w14:paraId="6D82C0F6">
      <w:pPr>
        <w:spacing w:line="500" w:lineRule="exact"/>
        <w:ind w:firstLine="560" w:firstLineChars="200"/>
        <w:jc w:val="left"/>
        <w:rPr>
          <w:rFonts w:eastAsia="仿宋_GB2312"/>
          <w:color w:val="000000"/>
          <w:sz w:val="28"/>
          <w:szCs w:val="28"/>
        </w:rPr>
      </w:pPr>
      <w:r>
        <w:rPr>
          <w:rFonts w:eastAsia="仿宋_GB2312"/>
          <w:color w:val="000000"/>
          <w:sz w:val="28"/>
          <w:szCs w:val="28"/>
        </w:rPr>
        <w:t>发包人和承包人可以为其施工现场的全部人员办理意外伤害保险并支付保险费，包括其员工及为履行合同聘请的第三方的人员，具体事项由合同当事人在专用合同条款约定。</w:t>
      </w:r>
    </w:p>
    <w:p w14:paraId="4C319268">
      <w:pPr>
        <w:spacing w:line="500" w:lineRule="exact"/>
        <w:ind w:firstLine="560" w:firstLineChars="200"/>
        <w:jc w:val="left"/>
        <w:rPr>
          <w:rFonts w:eastAsia="仿宋_GB2312"/>
          <w:color w:val="000000"/>
          <w:sz w:val="28"/>
          <w:szCs w:val="28"/>
        </w:rPr>
      </w:pPr>
      <w:r>
        <w:rPr>
          <w:rFonts w:eastAsia="仿宋_GB2312"/>
          <w:color w:val="000000"/>
          <w:sz w:val="28"/>
          <w:szCs w:val="28"/>
        </w:rPr>
        <w:t>除专用合同条款另有约定外，承包人应为其施工设备等办理财产保险。</w:t>
      </w:r>
    </w:p>
    <w:p w14:paraId="24CA6F22">
      <w:pPr>
        <w:pStyle w:val="7"/>
        <w:spacing w:before="120" w:after="120" w:line="500" w:lineRule="exact"/>
        <w:ind w:firstLine="560" w:firstLineChars="200"/>
        <w:rPr>
          <w:rFonts w:eastAsia="黑体"/>
          <w:b w:val="0"/>
          <w:color w:val="000000"/>
        </w:rPr>
      </w:pPr>
      <w:bookmarkStart w:id="1071" w:name="_Toc351203616"/>
      <w:r>
        <w:rPr>
          <w:rFonts w:eastAsia="黑体"/>
          <w:b w:val="0"/>
          <w:color w:val="000000"/>
        </w:rPr>
        <w:t>18.4持续保险</w:t>
      </w:r>
      <w:bookmarkEnd w:id="1071"/>
    </w:p>
    <w:p w14:paraId="05162C8B">
      <w:pPr>
        <w:spacing w:line="500" w:lineRule="exact"/>
        <w:ind w:firstLine="560" w:firstLineChars="200"/>
        <w:jc w:val="left"/>
        <w:rPr>
          <w:rFonts w:eastAsia="仿宋_GB2312"/>
          <w:color w:val="000000"/>
          <w:sz w:val="28"/>
          <w:szCs w:val="28"/>
        </w:rPr>
      </w:pPr>
      <w:r>
        <w:rPr>
          <w:rFonts w:eastAsia="仿宋_GB2312"/>
          <w:color w:val="000000"/>
          <w:sz w:val="28"/>
          <w:szCs w:val="28"/>
        </w:rPr>
        <w:t>合同当事人应与保险人保持联系，使保险人能够随时了解工程实施中的变动，并确保按保险合同条款要求持续保险。</w:t>
      </w:r>
    </w:p>
    <w:p w14:paraId="3EB78505">
      <w:pPr>
        <w:pStyle w:val="7"/>
        <w:spacing w:before="120" w:after="120" w:line="500" w:lineRule="exact"/>
        <w:ind w:firstLine="560" w:firstLineChars="200"/>
        <w:rPr>
          <w:rFonts w:eastAsia="黑体"/>
          <w:b w:val="0"/>
          <w:color w:val="000000"/>
        </w:rPr>
      </w:pPr>
      <w:bookmarkStart w:id="1072" w:name="_Toc351203617"/>
      <w:bookmarkStart w:id="1073" w:name="_Toc337558832"/>
      <w:bookmarkStart w:id="1074" w:name="_Toc296503126"/>
      <w:bookmarkStart w:id="1075" w:name="_Toc296346627"/>
      <w:r>
        <w:rPr>
          <w:rFonts w:eastAsia="黑体"/>
          <w:b w:val="0"/>
          <w:color w:val="000000"/>
        </w:rPr>
        <w:t>18.5 保险凭证</w:t>
      </w:r>
      <w:bookmarkEnd w:id="1072"/>
    </w:p>
    <w:bookmarkEnd w:id="1073"/>
    <w:bookmarkEnd w:id="1074"/>
    <w:bookmarkEnd w:id="1075"/>
    <w:p w14:paraId="2176F752">
      <w:pPr>
        <w:spacing w:line="500" w:lineRule="exact"/>
        <w:ind w:firstLine="560" w:firstLineChars="200"/>
        <w:jc w:val="left"/>
        <w:rPr>
          <w:rFonts w:eastAsia="仿宋_GB2312"/>
          <w:color w:val="000000"/>
          <w:sz w:val="28"/>
          <w:szCs w:val="28"/>
        </w:rPr>
      </w:pPr>
      <w:r>
        <w:rPr>
          <w:rFonts w:eastAsia="仿宋_GB2312"/>
          <w:color w:val="000000"/>
          <w:sz w:val="28"/>
          <w:szCs w:val="28"/>
        </w:rPr>
        <w:t>合同当事人应及时向另一方当事人提交其已投保的各项保险的凭证和保险单复印件。</w:t>
      </w:r>
    </w:p>
    <w:p w14:paraId="6BFACAD8">
      <w:pPr>
        <w:pStyle w:val="7"/>
        <w:spacing w:before="120" w:after="120" w:line="500" w:lineRule="exact"/>
        <w:ind w:firstLine="560" w:firstLineChars="200"/>
        <w:rPr>
          <w:rFonts w:eastAsia="黑体"/>
          <w:b w:val="0"/>
          <w:color w:val="000000"/>
        </w:rPr>
      </w:pPr>
      <w:bookmarkStart w:id="1076" w:name="_Toc351203618"/>
      <w:bookmarkStart w:id="1077" w:name="_Toc296503127"/>
      <w:bookmarkStart w:id="1078" w:name="_Toc337558833"/>
      <w:bookmarkStart w:id="1079" w:name="_Toc296346628"/>
      <w:r>
        <w:rPr>
          <w:rFonts w:eastAsia="黑体"/>
          <w:b w:val="0"/>
          <w:color w:val="000000"/>
        </w:rPr>
        <w:t>18.6 未按约定投保的补救</w:t>
      </w:r>
      <w:bookmarkEnd w:id="1076"/>
    </w:p>
    <w:bookmarkEnd w:id="1077"/>
    <w:bookmarkEnd w:id="1078"/>
    <w:bookmarkEnd w:id="1079"/>
    <w:p w14:paraId="0F44BA4E">
      <w:pPr>
        <w:spacing w:line="500" w:lineRule="exact"/>
        <w:ind w:firstLine="560" w:firstLineChars="200"/>
        <w:jc w:val="left"/>
        <w:rPr>
          <w:rFonts w:eastAsia="仿宋_GB2312"/>
          <w:color w:val="000000"/>
          <w:sz w:val="28"/>
          <w:szCs w:val="28"/>
        </w:rPr>
      </w:pPr>
      <w:r>
        <w:rPr>
          <w:rFonts w:eastAsia="仿宋_GB2312"/>
          <w:color w:val="000000"/>
          <w:sz w:val="28"/>
          <w:szCs w:val="28"/>
        </w:rPr>
        <w:t>18.6.1发包人未按合同约定办理保险，或未能使保险持续有效的，则承包人可代为办理，所需费用由发包人承担。发包人未按合同约定办理保险，导致未能得到足额赔偿的，由发包人负责补足。</w:t>
      </w:r>
    </w:p>
    <w:p w14:paraId="5AAC034C">
      <w:pPr>
        <w:spacing w:line="500" w:lineRule="exact"/>
        <w:ind w:firstLine="560" w:firstLineChars="200"/>
        <w:jc w:val="left"/>
        <w:rPr>
          <w:rFonts w:eastAsia="仿宋_GB2312"/>
          <w:color w:val="000000"/>
          <w:sz w:val="28"/>
          <w:szCs w:val="28"/>
        </w:rPr>
      </w:pPr>
      <w:r>
        <w:rPr>
          <w:rFonts w:eastAsia="仿宋_GB2312"/>
          <w:color w:val="000000"/>
          <w:sz w:val="28"/>
          <w:szCs w:val="28"/>
        </w:rPr>
        <w:t>18.6.2承包人未按合同约定办理保险，或未能使保险持续有效的，则发包人可代为办理，所需费用由承包人承担。承包人未按合同约定办理保险，导致未能得到足额赔偿的，由承包人负责补足。</w:t>
      </w:r>
    </w:p>
    <w:p w14:paraId="140766F5">
      <w:pPr>
        <w:pStyle w:val="7"/>
        <w:spacing w:before="120" w:after="120" w:line="500" w:lineRule="exact"/>
        <w:ind w:firstLine="560" w:firstLineChars="200"/>
        <w:rPr>
          <w:rFonts w:eastAsia="黑体"/>
          <w:b w:val="0"/>
          <w:color w:val="000000"/>
        </w:rPr>
      </w:pPr>
      <w:bookmarkStart w:id="1080" w:name="_Toc351203619"/>
      <w:bookmarkStart w:id="1081" w:name="_Toc337558834"/>
      <w:r>
        <w:rPr>
          <w:rFonts w:eastAsia="黑体"/>
          <w:b w:val="0"/>
          <w:color w:val="000000"/>
        </w:rPr>
        <w:t>18.7 通知义务</w:t>
      </w:r>
      <w:bookmarkEnd w:id="1080"/>
    </w:p>
    <w:bookmarkEnd w:id="1081"/>
    <w:p w14:paraId="7B059181">
      <w:pPr>
        <w:spacing w:line="500" w:lineRule="exact"/>
        <w:ind w:firstLine="560" w:firstLineChars="200"/>
        <w:jc w:val="left"/>
        <w:rPr>
          <w:rFonts w:eastAsia="仿宋_GB2312"/>
          <w:color w:val="000000"/>
          <w:sz w:val="28"/>
          <w:szCs w:val="28"/>
        </w:rPr>
      </w:pPr>
      <w:r>
        <w:rPr>
          <w:rFonts w:eastAsia="仿宋_GB2312"/>
          <w:color w:val="000000"/>
          <w:sz w:val="28"/>
          <w:szCs w:val="28"/>
        </w:rPr>
        <w:t>除专用合同条款另有约定外，发包人变更除工伤保险之外的保险合同时，应事先征得承包人同意，并通知监理人；承包人变更除工伤保险之外的保险合同时，应事先征得发包人同意，并通知监理人。</w:t>
      </w:r>
    </w:p>
    <w:p w14:paraId="1FABED2A">
      <w:pPr>
        <w:spacing w:line="500" w:lineRule="exact"/>
        <w:ind w:firstLine="560" w:firstLineChars="200"/>
        <w:jc w:val="left"/>
        <w:rPr>
          <w:rFonts w:eastAsia="仿宋_GB2312"/>
          <w:color w:val="000000"/>
          <w:sz w:val="28"/>
          <w:szCs w:val="28"/>
        </w:rPr>
      </w:pPr>
      <w:r>
        <w:rPr>
          <w:rFonts w:eastAsia="仿宋_GB2312"/>
          <w:color w:val="000000"/>
          <w:sz w:val="28"/>
          <w:szCs w:val="28"/>
        </w:rPr>
        <w:t>保险事故发生时，投保人应按照保险合同规定的条件和期限及时向保险人报告。发包人和承包人应当在知道保险事故发生后及时通知对方。</w:t>
      </w:r>
    </w:p>
    <w:p w14:paraId="21B61BEF">
      <w:pPr>
        <w:pStyle w:val="6"/>
        <w:spacing w:before="120" w:after="120" w:line="500" w:lineRule="exact"/>
        <w:rPr>
          <w:rFonts w:ascii="Times New Roman" w:hAnsi="Times New Roman"/>
          <w:b w:val="0"/>
          <w:color w:val="000000"/>
        </w:rPr>
      </w:pPr>
      <w:bookmarkStart w:id="1082" w:name="_Toc351203620"/>
      <w:bookmarkStart w:id="1083" w:name="_Toc296346641"/>
      <w:bookmarkStart w:id="1084" w:name="_Toc296503140"/>
      <w:bookmarkStart w:id="1085" w:name="_Toc337558835"/>
      <w:r>
        <w:rPr>
          <w:rFonts w:ascii="Times New Roman" w:hAnsi="Times New Roman"/>
          <w:b w:val="0"/>
          <w:color w:val="000000"/>
        </w:rPr>
        <w:t>19. 索赔</w:t>
      </w:r>
      <w:bookmarkEnd w:id="1082"/>
    </w:p>
    <w:bookmarkEnd w:id="1083"/>
    <w:bookmarkEnd w:id="1084"/>
    <w:bookmarkEnd w:id="1085"/>
    <w:p w14:paraId="625A51BA">
      <w:pPr>
        <w:pStyle w:val="7"/>
        <w:spacing w:before="120" w:after="120" w:line="500" w:lineRule="exact"/>
        <w:ind w:firstLine="560" w:firstLineChars="200"/>
        <w:rPr>
          <w:rFonts w:eastAsia="黑体"/>
          <w:b w:val="0"/>
          <w:color w:val="000000"/>
        </w:rPr>
      </w:pPr>
      <w:bookmarkStart w:id="1086" w:name="_Toc351203621"/>
      <w:bookmarkStart w:id="1087" w:name="_Toc296346642"/>
      <w:bookmarkStart w:id="1088" w:name="_Toc337558836"/>
      <w:bookmarkStart w:id="1089" w:name="_Toc296503141"/>
      <w:r>
        <w:rPr>
          <w:rFonts w:eastAsia="黑体"/>
          <w:b w:val="0"/>
          <w:color w:val="000000"/>
        </w:rPr>
        <w:t>19.1承包人的索赔</w:t>
      </w:r>
      <w:bookmarkEnd w:id="1086"/>
    </w:p>
    <w:bookmarkEnd w:id="1087"/>
    <w:bookmarkEnd w:id="1088"/>
    <w:bookmarkEnd w:id="1089"/>
    <w:p w14:paraId="3DFE255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根据合同约定，承包人认为有权得到追加付款和（或）延长工期的，应按以下程序向</w:t>
      </w:r>
      <w:r>
        <w:rPr>
          <w:rFonts w:hint="eastAsia" w:eastAsia="仿宋_GB2312"/>
          <w:color w:val="000000"/>
          <w:kern w:val="0"/>
          <w:sz w:val="28"/>
          <w:szCs w:val="28"/>
        </w:rPr>
        <w:t>发包</w:t>
      </w:r>
      <w:r>
        <w:rPr>
          <w:rFonts w:eastAsia="仿宋_GB2312"/>
          <w:color w:val="000000"/>
          <w:kern w:val="0"/>
          <w:sz w:val="28"/>
          <w:szCs w:val="28"/>
        </w:rPr>
        <w:t>人提出索赔：</w:t>
      </w:r>
    </w:p>
    <w:p w14:paraId="59EC1DA0">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52396FD8">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（2）承包人应在发出索赔意向通知书后28天内，向监理人正式递交索赔报告；索赔报告应详细说明索赔理由以及要求追加的付款金额和（或）延长的工期，并附必要的记录和证明材料；</w:t>
      </w:r>
    </w:p>
    <w:p w14:paraId="0084A0D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（3）索赔事件具有持续影响的，承包人应按合理时间间隔继续递交延续索赔通知，说明持续影响的实际情况和记录，列出累计的追加付款金额和（或）工期延长天数；</w:t>
      </w:r>
    </w:p>
    <w:p w14:paraId="7B1A2240">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（4）在索赔事件影响结束后28天内，承包人应向监理人递交最终索赔报告，说明最终要求索赔的追加付款金额和（或）延长的工期，并附必要的记录和证明材料。</w:t>
      </w:r>
    </w:p>
    <w:p w14:paraId="34A0F786">
      <w:pPr>
        <w:pStyle w:val="7"/>
        <w:spacing w:before="120" w:after="120" w:line="500" w:lineRule="exact"/>
        <w:ind w:firstLine="560" w:firstLineChars="200"/>
        <w:rPr>
          <w:rFonts w:eastAsia="黑体"/>
          <w:b w:val="0"/>
          <w:color w:val="000000"/>
        </w:rPr>
      </w:pPr>
      <w:bookmarkStart w:id="1090" w:name="_Toc351203622"/>
      <w:bookmarkStart w:id="1091" w:name="_Toc337558837"/>
      <w:bookmarkStart w:id="1092" w:name="_Toc296503142"/>
      <w:bookmarkStart w:id="1093" w:name="_Toc296346643"/>
      <w:r>
        <w:rPr>
          <w:rFonts w:eastAsia="黑体"/>
          <w:b w:val="0"/>
          <w:color w:val="000000"/>
        </w:rPr>
        <w:t>19.2 对承包人索赔的处理</w:t>
      </w:r>
      <w:bookmarkEnd w:id="1090"/>
    </w:p>
    <w:bookmarkEnd w:id="1091"/>
    <w:bookmarkEnd w:id="1092"/>
    <w:bookmarkEnd w:id="1093"/>
    <w:p w14:paraId="1E44A1E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对承包人索赔的处理如下：</w:t>
      </w:r>
    </w:p>
    <w:p w14:paraId="4A02F22E">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（1）监理人应在收到索赔报告后14天内完成审查并报送发包人。监理人对索赔报告存在异议的，有权要求承包人提交全部原始记录副本；</w:t>
      </w:r>
    </w:p>
    <w:p w14:paraId="6E11A673">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（2）发包人应在监理人收到索赔报告或有关索赔的进一步证明材料后的28天内，由监理人向承包人出具经发包人签认的索赔处理结果。发包人逾期答复的，则视为认可承包人的索赔要求；</w:t>
      </w:r>
    </w:p>
    <w:p w14:paraId="362B7E8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（3）承包人接受索赔处理结果的，索赔款项在当期进度款中进行支付；承包人不接受索赔处理结果的，按照第20条</w:t>
      </w:r>
      <w:r>
        <w:rPr>
          <w:rFonts w:hint="eastAsia" w:eastAsia="仿宋_GB2312"/>
          <w:color w:val="000000"/>
          <w:kern w:val="0"/>
          <w:sz w:val="28"/>
          <w:szCs w:val="28"/>
        </w:rPr>
        <w:t>〔</w:t>
      </w:r>
      <w:r>
        <w:rPr>
          <w:rFonts w:eastAsia="仿宋_GB2312"/>
          <w:color w:val="000000"/>
          <w:kern w:val="0"/>
          <w:sz w:val="28"/>
          <w:szCs w:val="28"/>
        </w:rPr>
        <w:t>争议解决</w:t>
      </w:r>
      <w:r>
        <w:rPr>
          <w:rFonts w:hint="eastAsia" w:eastAsia="仿宋_GB2312"/>
          <w:color w:val="000000"/>
          <w:kern w:val="0"/>
          <w:sz w:val="28"/>
          <w:szCs w:val="28"/>
        </w:rPr>
        <w:t>〕</w:t>
      </w:r>
      <w:r>
        <w:rPr>
          <w:rFonts w:eastAsia="仿宋_GB2312"/>
          <w:color w:val="000000"/>
          <w:kern w:val="0"/>
          <w:sz w:val="28"/>
          <w:szCs w:val="28"/>
        </w:rPr>
        <w:t>约定处理。</w:t>
      </w:r>
    </w:p>
    <w:p w14:paraId="3DA167CB">
      <w:pPr>
        <w:pStyle w:val="7"/>
        <w:spacing w:before="120" w:after="120" w:line="500" w:lineRule="exact"/>
        <w:ind w:firstLine="560" w:firstLineChars="200"/>
        <w:rPr>
          <w:rFonts w:eastAsia="黑体"/>
          <w:b w:val="0"/>
          <w:color w:val="000000"/>
        </w:rPr>
      </w:pPr>
      <w:bookmarkStart w:id="1094" w:name="_Toc351203623"/>
      <w:bookmarkStart w:id="1095" w:name="_Toc337558838"/>
      <w:bookmarkStart w:id="1096" w:name="_Toc296503143"/>
      <w:bookmarkStart w:id="1097" w:name="_Toc296346644"/>
      <w:r>
        <w:rPr>
          <w:rFonts w:eastAsia="黑体"/>
          <w:b w:val="0"/>
          <w:color w:val="000000"/>
        </w:rPr>
        <w:t>19.3发包人的索赔</w:t>
      </w:r>
      <w:bookmarkEnd w:id="1094"/>
    </w:p>
    <w:bookmarkEnd w:id="1095"/>
    <w:bookmarkEnd w:id="1096"/>
    <w:bookmarkEnd w:id="1097"/>
    <w:p w14:paraId="7417A86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根据合同约定，发包人认为有权得到赔付金额和（或）延长缺陷责任期的，监理人应向承包人发出通知并附有详细的证明。</w:t>
      </w:r>
    </w:p>
    <w:p w14:paraId="4AA4EA43">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33BBDAA4">
      <w:pPr>
        <w:pStyle w:val="7"/>
        <w:spacing w:before="120" w:after="120" w:line="500" w:lineRule="exact"/>
        <w:ind w:firstLine="560" w:firstLineChars="200"/>
        <w:rPr>
          <w:rFonts w:eastAsia="黑体"/>
          <w:b w:val="0"/>
          <w:color w:val="000000"/>
        </w:rPr>
      </w:pPr>
      <w:bookmarkStart w:id="1098" w:name="_Toc351203624"/>
      <w:bookmarkStart w:id="1099" w:name="_Toc337558839"/>
      <w:bookmarkStart w:id="1100" w:name="_Toc296346645"/>
      <w:bookmarkStart w:id="1101" w:name="_Toc296503144"/>
      <w:r>
        <w:rPr>
          <w:rFonts w:eastAsia="黑体"/>
          <w:b w:val="0"/>
          <w:color w:val="000000"/>
        </w:rPr>
        <w:t>19.4 对发包人索赔的处理</w:t>
      </w:r>
      <w:bookmarkEnd w:id="1098"/>
    </w:p>
    <w:bookmarkEnd w:id="1099"/>
    <w:bookmarkEnd w:id="1100"/>
    <w:bookmarkEnd w:id="1101"/>
    <w:p w14:paraId="48BF984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对发包人索赔的处理如下：</w:t>
      </w:r>
    </w:p>
    <w:p w14:paraId="794289D3">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（1）承包人收到发包人提交的索赔报告后，应及时审查索赔报告的内容、查验发包人证明材料；</w:t>
      </w:r>
    </w:p>
    <w:p w14:paraId="08AE6B47">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（2）承包人应在收到索赔报告或有关索赔的进一步证明材料后28天内，将索赔处理结果答复发包人。如果承包人未在上述期限内作出答复的，则视为对发包人索赔要求的认可；</w:t>
      </w:r>
    </w:p>
    <w:p w14:paraId="26562D94">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（3）承包人接受索赔处理结果的，发包人可从应支付给承包人的合同价款中扣除赔付的金额或延长缺陷责任期；发包人不接受索赔处理结果的，按第20条</w:t>
      </w:r>
      <w:r>
        <w:rPr>
          <w:rFonts w:hint="eastAsia" w:eastAsia="仿宋_GB2312"/>
          <w:color w:val="000000"/>
          <w:kern w:val="0"/>
          <w:sz w:val="28"/>
          <w:szCs w:val="28"/>
        </w:rPr>
        <w:t>〔</w:t>
      </w:r>
      <w:r>
        <w:rPr>
          <w:rFonts w:eastAsia="仿宋_GB2312"/>
          <w:color w:val="000000"/>
          <w:kern w:val="0"/>
          <w:sz w:val="28"/>
          <w:szCs w:val="28"/>
        </w:rPr>
        <w:t>争议解决</w:t>
      </w:r>
      <w:r>
        <w:rPr>
          <w:rFonts w:hint="eastAsia" w:eastAsia="仿宋_GB2312"/>
          <w:color w:val="000000"/>
          <w:kern w:val="0"/>
          <w:sz w:val="28"/>
          <w:szCs w:val="28"/>
        </w:rPr>
        <w:t>〕</w:t>
      </w:r>
      <w:r>
        <w:rPr>
          <w:rFonts w:eastAsia="仿宋_GB2312"/>
          <w:color w:val="000000"/>
          <w:kern w:val="0"/>
          <w:sz w:val="28"/>
          <w:szCs w:val="28"/>
        </w:rPr>
        <w:t>约定处理。</w:t>
      </w:r>
    </w:p>
    <w:p w14:paraId="531F55BD">
      <w:pPr>
        <w:pStyle w:val="7"/>
        <w:spacing w:before="120" w:after="120" w:line="500" w:lineRule="exact"/>
        <w:ind w:firstLine="560" w:firstLineChars="200"/>
        <w:rPr>
          <w:rFonts w:eastAsia="黑体"/>
          <w:b w:val="0"/>
          <w:color w:val="000000"/>
        </w:rPr>
      </w:pPr>
      <w:bookmarkStart w:id="1102" w:name="_Toc351203625"/>
      <w:r>
        <w:rPr>
          <w:rFonts w:eastAsia="黑体"/>
          <w:b w:val="0"/>
          <w:color w:val="000000"/>
        </w:rPr>
        <w:t>19.5 提出索赔的期限</w:t>
      </w:r>
      <w:bookmarkEnd w:id="1102"/>
    </w:p>
    <w:p w14:paraId="74291EBB">
      <w:pPr>
        <w:spacing w:line="500" w:lineRule="exact"/>
        <w:ind w:firstLine="560" w:firstLineChars="200"/>
        <w:rPr>
          <w:rFonts w:eastAsia="仿宋_GB2312"/>
          <w:color w:val="000000"/>
          <w:kern w:val="0"/>
          <w:sz w:val="28"/>
          <w:szCs w:val="28"/>
        </w:rPr>
      </w:pPr>
      <w:r>
        <w:rPr>
          <w:rFonts w:eastAsia="仿宋_GB2312"/>
          <w:color w:val="000000"/>
          <w:kern w:val="0"/>
          <w:sz w:val="28"/>
          <w:szCs w:val="28"/>
        </w:rPr>
        <w:t>（1）承包人按第14.2款</w:t>
      </w:r>
      <w:r>
        <w:rPr>
          <w:rFonts w:hint="eastAsia" w:eastAsia="仿宋_GB2312"/>
          <w:color w:val="000000"/>
          <w:kern w:val="0"/>
          <w:sz w:val="28"/>
          <w:szCs w:val="28"/>
        </w:rPr>
        <w:t>〔</w:t>
      </w:r>
      <w:r>
        <w:rPr>
          <w:rFonts w:eastAsia="仿宋_GB2312"/>
          <w:color w:val="000000"/>
          <w:kern w:val="0"/>
          <w:sz w:val="28"/>
          <w:szCs w:val="28"/>
        </w:rPr>
        <w:t>竣工结算审核</w:t>
      </w:r>
      <w:r>
        <w:rPr>
          <w:rFonts w:hint="eastAsia" w:eastAsia="仿宋_GB2312"/>
          <w:color w:val="000000"/>
          <w:kern w:val="0"/>
          <w:sz w:val="28"/>
          <w:szCs w:val="28"/>
        </w:rPr>
        <w:t>〕</w:t>
      </w:r>
      <w:r>
        <w:rPr>
          <w:rFonts w:eastAsia="仿宋_GB2312"/>
          <w:color w:val="000000"/>
          <w:kern w:val="0"/>
          <w:sz w:val="28"/>
          <w:szCs w:val="28"/>
        </w:rPr>
        <w:t>约定接收竣工付款证书后，应被视为已无权再提出在工程接收证书颁发前所发生的任何索赔。</w:t>
      </w:r>
    </w:p>
    <w:p w14:paraId="688CDB6D">
      <w:pPr>
        <w:spacing w:line="500" w:lineRule="exact"/>
        <w:ind w:firstLine="560" w:firstLineChars="200"/>
        <w:rPr>
          <w:rFonts w:eastAsia="仿宋_GB2312"/>
          <w:color w:val="000000"/>
          <w:kern w:val="0"/>
          <w:sz w:val="28"/>
          <w:szCs w:val="28"/>
        </w:rPr>
      </w:pPr>
      <w:r>
        <w:rPr>
          <w:rFonts w:eastAsia="仿宋_GB2312"/>
          <w:color w:val="000000"/>
          <w:kern w:val="0"/>
          <w:sz w:val="28"/>
          <w:szCs w:val="28"/>
        </w:rPr>
        <w:t>（2）承包人按第14.4款</w:t>
      </w:r>
      <w:r>
        <w:rPr>
          <w:rFonts w:hint="eastAsia" w:eastAsia="仿宋_GB2312"/>
          <w:color w:val="000000"/>
          <w:kern w:val="0"/>
          <w:sz w:val="28"/>
          <w:szCs w:val="28"/>
        </w:rPr>
        <w:t>〔</w:t>
      </w:r>
      <w:r>
        <w:rPr>
          <w:rFonts w:eastAsia="仿宋_GB2312"/>
          <w:color w:val="000000"/>
          <w:kern w:val="0"/>
          <w:sz w:val="28"/>
          <w:szCs w:val="28"/>
        </w:rPr>
        <w:t>最终结清</w:t>
      </w:r>
      <w:r>
        <w:rPr>
          <w:rFonts w:hint="eastAsia" w:eastAsia="仿宋_GB2312"/>
          <w:color w:val="000000"/>
          <w:kern w:val="0"/>
          <w:sz w:val="28"/>
          <w:szCs w:val="28"/>
        </w:rPr>
        <w:t>〕</w:t>
      </w:r>
      <w:r>
        <w:rPr>
          <w:rFonts w:eastAsia="仿宋_GB2312"/>
          <w:color w:val="000000"/>
          <w:kern w:val="0"/>
          <w:sz w:val="28"/>
          <w:szCs w:val="28"/>
        </w:rPr>
        <w:t>提交的最终结清申请单中，只限于提出工程接收证书颁发后发生的索赔。提出索赔的期限自接受最终结清证书时终止。</w:t>
      </w:r>
    </w:p>
    <w:p w14:paraId="7ECAC939">
      <w:pPr>
        <w:pStyle w:val="6"/>
        <w:spacing w:before="120" w:after="120" w:line="500" w:lineRule="exact"/>
        <w:rPr>
          <w:rFonts w:ascii="Times New Roman" w:hAnsi="Times New Roman"/>
          <w:b w:val="0"/>
          <w:color w:val="000000"/>
        </w:rPr>
      </w:pPr>
      <w:bookmarkStart w:id="1103" w:name="_Toc351203626"/>
      <w:r>
        <w:rPr>
          <w:rFonts w:ascii="Times New Roman" w:hAnsi="Times New Roman"/>
          <w:b w:val="0"/>
          <w:color w:val="000000"/>
        </w:rPr>
        <w:t>20</w:t>
      </w:r>
      <w:bookmarkStart w:id="1104" w:name="_Toc337558840"/>
      <w:bookmarkStart w:id="1105" w:name="_Toc296503146"/>
      <w:bookmarkStart w:id="1106" w:name="_Toc296346647"/>
      <w:r>
        <w:rPr>
          <w:rFonts w:ascii="Times New Roman" w:hAnsi="Times New Roman"/>
          <w:b w:val="0"/>
          <w:color w:val="000000"/>
        </w:rPr>
        <w:t>. 争议解决</w:t>
      </w:r>
      <w:bookmarkEnd w:id="1103"/>
    </w:p>
    <w:bookmarkEnd w:id="1104"/>
    <w:bookmarkEnd w:id="1105"/>
    <w:bookmarkEnd w:id="1106"/>
    <w:p w14:paraId="44968DBD">
      <w:pPr>
        <w:pStyle w:val="7"/>
        <w:spacing w:before="120" w:after="120" w:line="500" w:lineRule="exact"/>
        <w:ind w:firstLine="560" w:firstLineChars="200"/>
        <w:rPr>
          <w:rFonts w:eastAsia="黑体"/>
          <w:b w:val="0"/>
          <w:color w:val="000000"/>
        </w:rPr>
      </w:pPr>
      <w:bookmarkStart w:id="1107" w:name="_Toc351203627"/>
      <w:bookmarkStart w:id="1108" w:name="_Toc337558841"/>
      <w:bookmarkStart w:id="1109" w:name="_Toc296503147"/>
      <w:bookmarkStart w:id="1110" w:name="_Toc296346648"/>
      <w:r>
        <w:rPr>
          <w:rFonts w:eastAsia="黑体"/>
          <w:b w:val="0"/>
          <w:color w:val="000000"/>
        </w:rPr>
        <w:t>20.1和解</w:t>
      </w:r>
      <w:bookmarkEnd w:id="1107"/>
    </w:p>
    <w:bookmarkEnd w:id="1108"/>
    <w:bookmarkEnd w:id="1109"/>
    <w:bookmarkEnd w:id="1110"/>
    <w:p w14:paraId="5EC85337">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合同当事人可以就争议自行和解，自行和解达成协议的经双方签字并盖章后作为合同补充文件，双方均应遵照执行。</w:t>
      </w:r>
    </w:p>
    <w:p w14:paraId="462D50BA">
      <w:pPr>
        <w:pStyle w:val="7"/>
        <w:spacing w:before="120" w:after="120" w:line="500" w:lineRule="exact"/>
        <w:ind w:firstLine="560" w:firstLineChars="200"/>
        <w:rPr>
          <w:rFonts w:eastAsia="黑体"/>
          <w:b w:val="0"/>
          <w:color w:val="000000"/>
        </w:rPr>
      </w:pPr>
      <w:bookmarkStart w:id="1111" w:name="_Toc351203628"/>
      <w:r>
        <w:rPr>
          <w:rFonts w:eastAsia="黑体"/>
          <w:b w:val="0"/>
          <w:color w:val="000000"/>
        </w:rPr>
        <w:t>20</w:t>
      </w:r>
      <w:bookmarkStart w:id="1112" w:name="_Toc296503148"/>
      <w:bookmarkStart w:id="1113" w:name="_Toc296346649"/>
      <w:bookmarkStart w:id="1114" w:name="_Toc337558842"/>
      <w:r>
        <w:rPr>
          <w:rFonts w:eastAsia="黑体"/>
          <w:b w:val="0"/>
          <w:color w:val="000000"/>
        </w:rPr>
        <w:t>.2调解</w:t>
      </w:r>
      <w:bookmarkEnd w:id="1111"/>
    </w:p>
    <w:bookmarkEnd w:id="1112"/>
    <w:bookmarkEnd w:id="1113"/>
    <w:bookmarkEnd w:id="1114"/>
    <w:p w14:paraId="537ED10D">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合同当事人可以就争议请求建设行政主管部门</w:t>
      </w:r>
      <w:r>
        <w:rPr>
          <w:rFonts w:hint="eastAsia" w:eastAsia="仿宋_GB2312"/>
          <w:color w:val="000000"/>
          <w:kern w:val="0"/>
          <w:sz w:val="28"/>
          <w:szCs w:val="28"/>
        </w:rPr>
        <w:t>、行业协会</w:t>
      </w:r>
      <w:r>
        <w:rPr>
          <w:rFonts w:eastAsia="仿宋_GB2312"/>
          <w:color w:val="000000"/>
          <w:kern w:val="0"/>
          <w:sz w:val="28"/>
          <w:szCs w:val="28"/>
        </w:rPr>
        <w:t>或</w:t>
      </w:r>
      <w:r>
        <w:rPr>
          <w:rFonts w:hint="eastAsia" w:eastAsia="仿宋_GB2312"/>
          <w:color w:val="000000"/>
          <w:kern w:val="0"/>
          <w:sz w:val="28"/>
          <w:szCs w:val="28"/>
        </w:rPr>
        <w:t>其他</w:t>
      </w:r>
      <w:r>
        <w:rPr>
          <w:rFonts w:eastAsia="仿宋_GB2312"/>
          <w:color w:val="000000"/>
          <w:kern w:val="0"/>
          <w:sz w:val="28"/>
          <w:szCs w:val="28"/>
        </w:rPr>
        <w:t>第三方进行调解，调解达成协议的，经双方签字并盖章后作为合同补充文件，双方均应遵照执行。</w:t>
      </w:r>
    </w:p>
    <w:p w14:paraId="4326C5A0">
      <w:pPr>
        <w:pStyle w:val="7"/>
        <w:spacing w:before="120" w:after="120" w:line="500" w:lineRule="exact"/>
        <w:ind w:firstLine="560" w:firstLineChars="200"/>
        <w:rPr>
          <w:rFonts w:eastAsia="黑体"/>
          <w:b w:val="0"/>
          <w:color w:val="000000"/>
        </w:rPr>
      </w:pPr>
      <w:bookmarkStart w:id="1115" w:name="_Toc351203629"/>
      <w:bookmarkStart w:id="1116" w:name="_Toc296346650"/>
      <w:bookmarkStart w:id="1117" w:name="_Toc296503149"/>
      <w:bookmarkStart w:id="1118" w:name="_Toc337558843"/>
      <w:r>
        <w:rPr>
          <w:rFonts w:eastAsia="黑体"/>
          <w:b w:val="0"/>
          <w:color w:val="000000"/>
        </w:rPr>
        <w:t>20.3争议评审</w:t>
      </w:r>
      <w:bookmarkEnd w:id="1115"/>
    </w:p>
    <w:bookmarkEnd w:id="1116"/>
    <w:bookmarkEnd w:id="1117"/>
    <w:bookmarkEnd w:id="1118"/>
    <w:p w14:paraId="4178662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合同当事人在专用合同条款中约定采取争议评审方式解决争议</w:t>
      </w:r>
      <w:r>
        <w:rPr>
          <w:rFonts w:hint="eastAsia" w:eastAsia="仿宋_GB2312"/>
          <w:color w:val="000000"/>
          <w:kern w:val="0"/>
          <w:sz w:val="28"/>
          <w:szCs w:val="28"/>
        </w:rPr>
        <w:t>以及评审规则，并</w:t>
      </w:r>
      <w:r>
        <w:rPr>
          <w:rFonts w:eastAsia="仿宋_GB2312"/>
          <w:color w:val="000000"/>
          <w:kern w:val="0"/>
          <w:sz w:val="28"/>
          <w:szCs w:val="28"/>
        </w:rPr>
        <w:t xml:space="preserve">按下列约定执行： </w:t>
      </w:r>
    </w:p>
    <w:p w14:paraId="42F42755">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20.3.1 争议评审小组的确定</w:t>
      </w:r>
    </w:p>
    <w:p w14:paraId="2B95CC0F">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合同当事人可以共同选择一名或三名争议评审员，组成争议评审小组。除专用合同条款另有约定外，合同当事人应当自合同签订后28天内，或者争议发生后14天内，选定争议评审员。</w:t>
      </w:r>
    </w:p>
    <w:p w14:paraId="2CC22FA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w:t>
      </w:r>
      <w:r>
        <w:rPr>
          <w:rFonts w:hint="eastAsia" w:eastAsia="仿宋_GB2312"/>
          <w:color w:val="000000"/>
          <w:kern w:val="0"/>
          <w:sz w:val="28"/>
          <w:szCs w:val="28"/>
        </w:rPr>
        <w:t>评审</w:t>
      </w:r>
      <w:r>
        <w:rPr>
          <w:rFonts w:eastAsia="仿宋_GB2312"/>
          <w:color w:val="000000"/>
          <w:kern w:val="0"/>
          <w:sz w:val="28"/>
          <w:szCs w:val="28"/>
        </w:rPr>
        <w:t xml:space="preserve">机构指定第三名首席争议评审员。 </w:t>
      </w:r>
    </w:p>
    <w:p w14:paraId="30AB934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除专用合同条款另有约定外，评审员报酬由发包人和承包人各承担一半。</w:t>
      </w:r>
    </w:p>
    <w:p w14:paraId="413D002D">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20.3.2 争议评审小组的决定</w:t>
      </w:r>
    </w:p>
    <w:p w14:paraId="5C3C96D6">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1B737D7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20.3.3 争议评审小组决定的效力</w:t>
      </w:r>
    </w:p>
    <w:p w14:paraId="38A00888">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争议评审小组作出的书面决定经合同当事人签字确认后，对双方具有约束力，双方应遵照执行。</w:t>
      </w:r>
    </w:p>
    <w:p w14:paraId="6E7410E3">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任何一方当事人不接受争议评审小组决定</w:t>
      </w:r>
      <w:r>
        <w:rPr>
          <w:rFonts w:hint="eastAsia" w:eastAsia="仿宋_GB2312"/>
          <w:color w:val="000000"/>
          <w:kern w:val="0"/>
          <w:sz w:val="28"/>
          <w:szCs w:val="28"/>
        </w:rPr>
        <w:t>或不履行争议评审小组决定的</w:t>
      </w:r>
      <w:r>
        <w:rPr>
          <w:rFonts w:eastAsia="仿宋_GB2312"/>
          <w:color w:val="000000"/>
          <w:kern w:val="0"/>
          <w:sz w:val="28"/>
          <w:szCs w:val="28"/>
        </w:rPr>
        <w:t>，双方可选择采用其他争议解决方式。</w:t>
      </w:r>
    </w:p>
    <w:p w14:paraId="75B8B93E">
      <w:pPr>
        <w:pStyle w:val="7"/>
        <w:spacing w:before="120" w:after="120" w:line="500" w:lineRule="exact"/>
        <w:ind w:firstLine="560" w:firstLineChars="200"/>
        <w:rPr>
          <w:rFonts w:eastAsia="黑体"/>
          <w:b w:val="0"/>
          <w:color w:val="000000"/>
        </w:rPr>
      </w:pPr>
      <w:bookmarkStart w:id="1119" w:name="_Toc351203630"/>
      <w:bookmarkStart w:id="1120" w:name="_Toc296503150"/>
      <w:bookmarkStart w:id="1121" w:name="_Toc296346651"/>
      <w:bookmarkStart w:id="1122" w:name="_Toc337558844"/>
      <w:r>
        <w:rPr>
          <w:rFonts w:eastAsia="黑体"/>
          <w:b w:val="0"/>
          <w:color w:val="000000"/>
        </w:rPr>
        <w:t>20.4仲裁或诉讼</w:t>
      </w:r>
      <w:bookmarkEnd w:id="1119"/>
    </w:p>
    <w:bookmarkEnd w:id="1120"/>
    <w:bookmarkEnd w:id="1121"/>
    <w:bookmarkEnd w:id="1122"/>
    <w:p w14:paraId="4AA76533">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因合同及合同有关事项产生的争议，合同当事人可以在专用合同条款中约定以下一种方式解决争议：</w:t>
      </w:r>
    </w:p>
    <w:p w14:paraId="12E2421A">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（1）向约定的仲裁委员会申请仲裁；</w:t>
      </w:r>
    </w:p>
    <w:p w14:paraId="0D0E9A7E">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（2）向有管辖权的人民法院起诉。</w:t>
      </w:r>
    </w:p>
    <w:p w14:paraId="04498C59">
      <w:pPr>
        <w:pStyle w:val="7"/>
        <w:spacing w:before="120" w:after="120" w:line="500" w:lineRule="exact"/>
        <w:ind w:firstLine="560" w:firstLineChars="200"/>
        <w:rPr>
          <w:rFonts w:eastAsia="黑体"/>
          <w:b w:val="0"/>
          <w:color w:val="000000"/>
        </w:rPr>
      </w:pPr>
      <w:bookmarkStart w:id="1123" w:name="_Toc351203631"/>
      <w:bookmarkStart w:id="1124" w:name="_Toc337558845"/>
      <w:bookmarkStart w:id="1125" w:name="_Toc296346653"/>
      <w:bookmarkStart w:id="1126" w:name="_Toc296503152"/>
      <w:r>
        <w:rPr>
          <w:rFonts w:eastAsia="黑体"/>
          <w:b w:val="0"/>
          <w:color w:val="000000"/>
        </w:rPr>
        <w:t>20.5争议解决条款效力</w:t>
      </w:r>
      <w:bookmarkEnd w:id="1123"/>
    </w:p>
    <w:bookmarkEnd w:id="1124"/>
    <w:bookmarkEnd w:id="1125"/>
    <w:bookmarkEnd w:id="1126"/>
    <w:p w14:paraId="1499EB2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 xml:space="preserve">合同有关争议解决的条款独立存在，合同的变更、解除、终止、无效或者被撤销均不影响其效力。 </w:t>
      </w:r>
    </w:p>
    <w:p w14:paraId="6FDE1EB0">
      <w:pPr>
        <w:pStyle w:val="5"/>
        <w:spacing w:line="500" w:lineRule="exact"/>
        <w:jc w:val="center"/>
        <w:rPr>
          <w:rFonts w:hint="eastAsia" w:ascii="华文中宋" w:hAnsi="华文中宋" w:eastAsia="华文中宋"/>
          <w:sz w:val="36"/>
          <w:szCs w:val="36"/>
        </w:rPr>
      </w:pPr>
      <w:bookmarkStart w:id="1127" w:name="_Toc351203632"/>
      <w:r>
        <w:rPr>
          <w:rFonts w:ascii="华文中宋" w:hAnsi="华文中宋" w:eastAsia="华文中宋"/>
          <w:sz w:val="44"/>
          <w:szCs w:val="44"/>
        </w:rPr>
        <w:br w:type="page"/>
      </w:r>
      <w:r>
        <w:rPr>
          <w:rFonts w:ascii="华文中宋" w:hAnsi="华文中宋" w:eastAsia="华文中宋"/>
          <w:sz w:val="36"/>
          <w:szCs w:val="36"/>
        </w:rPr>
        <w:t xml:space="preserve">第三部分 </w:t>
      </w:r>
      <w:r>
        <w:rPr>
          <w:rFonts w:hint="eastAsia" w:ascii="华文中宋" w:hAnsi="华文中宋" w:eastAsia="华文中宋"/>
          <w:sz w:val="36"/>
          <w:szCs w:val="36"/>
        </w:rPr>
        <w:t>专用合同条款</w:t>
      </w:r>
      <w:bookmarkEnd w:id="1127"/>
    </w:p>
    <w:p w14:paraId="374C2DA4">
      <w:pPr>
        <w:pStyle w:val="6"/>
        <w:spacing w:before="120" w:after="120" w:line="500" w:lineRule="exact"/>
        <w:rPr>
          <w:rFonts w:ascii="Times New Roman" w:hAnsi="Times New Roman"/>
          <w:b w:val="0"/>
          <w:color w:val="000000"/>
        </w:rPr>
      </w:pPr>
      <w:bookmarkStart w:id="1128" w:name="_Toc351203633"/>
      <w:r>
        <w:rPr>
          <w:rFonts w:ascii="Times New Roman" w:hAnsi="Times New Roman"/>
          <w:b w:val="0"/>
          <w:color w:val="000000"/>
        </w:rPr>
        <w:t>1</w:t>
      </w:r>
      <w:bookmarkStart w:id="1129" w:name="_Toc297120456"/>
      <w:bookmarkStart w:id="1130" w:name="_Toc296890984"/>
      <w:bookmarkStart w:id="1131" w:name="_Toc292559361"/>
      <w:bookmarkStart w:id="1132" w:name="_Toc297048342"/>
      <w:bookmarkStart w:id="1133" w:name="_Toc292559866"/>
      <w:bookmarkStart w:id="1134" w:name="_Toc296944495"/>
      <w:bookmarkStart w:id="1135" w:name="_Toc296891196"/>
      <w:bookmarkStart w:id="1136" w:name="_Toc296503156"/>
      <w:bookmarkStart w:id="1137" w:name="_Toc296347155"/>
      <w:bookmarkStart w:id="1138" w:name="_Toc296346657"/>
      <w:r>
        <w:rPr>
          <w:rFonts w:ascii="Times New Roman" w:hAnsi="Times New Roman"/>
          <w:b w:val="0"/>
          <w:color w:val="000000"/>
        </w:rPr>
        <w:t>. 一般约定</w:t>
      </w:r>
      <w:bookmarkEnd w:id="1128"/>
    </w:p>
    <w:bookmarkEnd w:id="1129"/>
    <w:bookmarkEnd w:id="1130"/>
    <w:bookmarkEnd w:id="1131"/>
    <w:bookmarkEnd w:id="1132"/>
    <w:bookmarkEnd w:id="1133"/>
    <w:bookmarkEnd w:id="1134"/>
    <w:bookmarkEnd w:id="1135"/>
    <w:bookmarkEnd w:id="1136"/>
    <w:bookmarkEnd w:id="1137"/>
    <w:bookmarkEnd w:id="1138"/>
    <w:p w14:paraId="007FAF0B">
      <w:pPr>
        <w:spacing w:after="120" w:line="500" w:lineRule="exact"/>
        <w:ind w:firstLine="560" w:firstLineChars="200"/>
        <w:outlineLvl w:val="0"/>
        <w:rPr>
          <w:rFonts w:eastAsia="黑体"/>
          <w:color w:val="000000"/>
          <w:sz w:val="28"/>
          <w:szCs w:val="28"/>
        </w:rPr>
      </w:pPr>
      <w:r>
        <w:rPr>
          <w:rFonts w:eastAsia="黑体"/>
          <w:color w:val="000000"/>
          <w:sz w:val="28"/>
          <w:szCs w:val="28"/>
        </w:rPr>
        <w:t>1.1 词语定义</w:t>
      </w:r>
    </w:p>
    <w:p w14:paraId="3D6AF0E5">
      <w:pPr>
        <w:spacing w:line="500" w:lineRule="exact"/>
        <w:ind w:firstLine="560" w:firstLineChars="200"/>
        <w:rPr>
          <w:rFonts w:eastAsia="仿宋_GB2312"/>
          <w:color w:val="000000"/>
          <w:kern w:val="0"/>
          <w:sz w:val="28"/>
          <w:szCs w:val="28"/>
        </w:rPr>
      </w:pPr>
      <w:r>
        <w:rPr>
          <w:rFonts w:eastAsia="仿宋_GB2312"/>
          <w:color w:val="000000"/>
          <w:kern w:val="0"/>
          <w:sz w:val="28"/>
          <w:szCs w:val="28"/>
        </w:rPr>
        <w:t>1.1.1合同</w:t>
      </w:r>
    </w:p>
    <w:p w14:paraId="4AA84800">
      <w:pPr>
        <w:spacing w:line="500" w:lineRule="exact"/>
        <w:ind w:firstLine="560" w:firstLineChars="200"/>
        <w:rPr>
          <w:rFonts w:eastAsia="仿宋_GB2312"/>
          <w:bCs/>
          <w:color w:val="000000"/>
          <w:sz w:val="28"/>
          <w:szCs w:val="28"/>
        </w:rPr>
      </w:pPr>
      <w:r>
        <w:rPr>
          <w:rFonts w:eastAsia="仿宋_GB2312"/>
          <w:color w:val="000000"/>
          <w:kern w:val="0"/>
          <w:sz w:val="28"/>
          <w:szCs w:val="28"/>
        </w:rPr>
        <w:t>1.1.1.10其他合同文件包括：</w:t>
      </w:r>
      <w:r>
        <w:rPr>
          <w:rFonts w:hint="eastAsia" w:eastAsia="仿宋_GB2312"/>
          <w:bCs/>
          <w:color w:val="000000"/>
          <w:sz w:val="28"/>
          <w:szCs w:val="28"/>
          <w:u w:val="single"/>
        </w:rPr>
        <w:t>合同协议书；合同专用条款；合同通用条款；中标通知书；招标文件补充文件和招标文件；施工图纸或标准图集；现行施工质量标准、验收规范、施工规范和其他有关的技术资料、技术要求；中标人的投标文件及其附件；已标价的工程量清单</w:t>
      </w:r>
      <w:r>
        <w:rPr>
          <w:rFonts w:hint="eastAsia" w:eastAsia="仿宋_GB2312"/>
          <w:bCs/>
          <w:color w:val="000000"/>
          <w:sz w:val="28"/>
          <w:szCs w:val="28"/>
        </w:rPr>
        <w:t>。</w:t>
      </w:r>
    </w:p>
    <w:p w14:paraId="34DEFFE4">
      <w:pPr>
        <w:spacing w:line="500" w:lineRule="exact"/>
        <w:ind w:firstLine="560" w:firstLineChars="200"/>
        <w:rPr>
          <w:rFonts w:eastAsia="仿宋_GB2312"/>
          <w:bCs/>
          <w:color w:val="000000"/>
          <w:sz w:val="28"/>
          <w:szCs w:val="28"/>
          <w:u w:val="single"/>
        </w:rPr>
      </w:pPr>
      <w:r>
        <w:rPr>
          <w:rFonts w:hint="eastAsia" w:eastAsia="仿宋_GB2312"/>
          <w:bCs/>
          <w:color w:val="000000"/>
          <w:sz w:val="28"/>
          <w:szCs w:val="28"/>
          <w:u w:val="single"/>
        </w:rPr>
        <w:t>双方有关工程的确认函件、洽商、变更等明确双方权利义务的书面纪要文件和书面协议或文件视为本合同的组成部分。</w:t>
      </w:r>
    </w:p>
    <w:p w14:paraId="6A0BAA23">
      <w:pPr>
        <w:spacing w:line="500" w:lineRule="exact"/>
        <w:ind w:firstLine="560" w:firstLineChars="200"/>
        <w:rPr>
          <w:rFonts w:eastAsia="仿宋_GB2312"/>
          <w:bCs/>
          <w:color w:val="000000"/>
          <w:sz w:val="28"/>
          <w:szCs w:val="28"/>
          <w:u w:val="single"/>
        </w:rPr>
      </w:pPr>
      <w:r>
        <w:rPr>
          <w:rFonts w:hint="eastAsia" w:eastAsia="仿宋_GB2312"/>
          <w:bCs/>
          <w:color w:val="000000"/>
          <w:sz w:val="28"/>
          <w:szCs w:val="28"/>
          <w:u w:val="single"/>
        </w:rPr>
        <w:t>当合同文件出现含糊不清或不相一致时，在不影响工程进度的情况下，由双方协商解决。</w:t>
      </w:r>
    </w:p>
    <w:p w14:paraId="5C8AF886">
      <w:pPr>
        <w:spacing w:line="500" w:lineRule="exact"/>
        <w:ind w:firstLine="560" w:firstLineChars="200"/>
        <w:rPr>
          <w:rFonts w:eastAsia="仿宋_GB2312"/>
          <w:color w:val="000000"/>
          <w:sz w:val="28"/>
          <w:szCs w:val="28"/>
        </w:rPr>
      </w:pPr>
      <w:r>
        <w:rPr>
          <w:rFonts w:eastAsia="仿宋_GB2312"/>
          <w:color w:val="000000"/>
          <w:sz w:val="28"/>
          <w:szCs w:val="28"/>
        </w:rPr>
        <w:t>1.1.2 合同当事人及其他相关方</w:t>
      </w:r>
    </w:p>
    <w:p w14:paraId="5A6D1787">
      <w:pPr>
        <w:spacing w:line="500" w:lineRule="exact"/>
        <w:ind w:firstLine="560" w:firstLineChars="200"/>
        <w:rPr>
          <w:rFonts w:eastAsia="仿宋_GB2312"/>
          <w:color w:val="000000"/>
          <w:sz w:val="28"/>
          <w:szCs w:val="28"/>
        </w:rPr>
      </w:pPr>
      <w:r>
        <w:rPr>
          <w:rFonts w:eastAsia="仿宋_GB2312"/>
          <w:color w:val="000000"/>
          <w:sz w:val="28"/>
          <w:szCs w:val="28"/>
        </w:rPr>
        <w:t>1.1.2.4监理人：</w:t>
      </w:r>
    </w:p>
    <w:p w14:paraId="262C70A2">
      <w:pPr>
        <w:spacing w:line="500" w:lineRule="exact"/>
        <w:ind w:firstLine="560" w:firstLineChars="200"/>
        <w:rPr>
          <w:rFonts w:eastAsia="仿宋_GB2312"/>
          <w:color w:val="000000"/>
          <w:sz w:val="28"/>
          <w:szCs w:val="28"/>
        </w:rPr>
      </w:pPr>
      <w:r>
        <w:rPr>
          <w:rFonts w:eastAsia="仿宋_GB2312"/>
          <w:color w:val="000000"/>
          <w:sz w:val="28"/>
          <w:szCs w:val="28"/>
        </w:rPr>
        <w:t>名    称：</w:t>
      </w:r>
      <w:r>
        <w:rPr>
          <w:rFonts w:hint="eastAsia" w:eastAsia="仿宋_GB2312"/>
          <w:color w:val="000000"/>
          <w:sz w:val="28"/>
          <w:szCs w:val="28"/>
          <w:u w:val="single"/>
        </w:rPr>
        <w:t xml:space="preserve">               </w:t>
      </w:r>
      <w:r>
        <w:rPr>
          <w:rFonts w:eastAsia="仿宋_GB2312"/>
          <w:color w:val="000000"/>
          <w:sz w:val="28"/>
          <w:szCs w:val="28"/>
        </w:rPr>
        <w:t>；</w:t>
      </w:r>
    </w:p>
    <w:p w14:paraId="11E9C17C">
      <w:pPr>
        <w:spacing w:line="500" w:lineRule="exact"/>
        <w:ind w:firstLine="560" w:firstLineChars="200"/>
        <w:rPr>
          <w:rFonts w:eastAsia="仿宋_GB2312"/>
          <w:color w:val="000000"/>
          <w:sz w:val="28"/>
          <w:szCs w:val="28"/>
        </w:rPr>
      </w:pPr>
      <w:r>
        <w:rPr>
          <w:rFonts w:eastAsia="仿宋_GB2312"/>
          <w:color w:val="000000"/>
          <w:sz w:val="28"/>
          <w:szCs w:val="28"/>
        </w:rPr>
        <w:t>资质类别和等级：</w:t>
      </w:r>
      <w:r>
        <w:rPr>
          <w:rFonts w:hint="eastAsia" w:eastAsia="仿宋_GB2312"/>
          <w:color w:val="000000"/>
          <w:sz w:val="28"/>
          <w:szCs w:val="28"/>
          <w:u w:val="single"/>
        </w:rPr>
        <w:t xml:space="preserve">                </w:t>
      </w:r>
      <w:r>
        <w:rPr>
          <w:rFonts w:eastAsia="仿宋_GB2312"/>
          <w:color w:val="000000"/>
          <w:sz w:val="28"/>
          <w:szCs w:val="28"/>
        </w:rPr>
        <w:t>；</w:t>
      </w:r>
    </w:p>
    <w:p w14:paraId="4FB0623A">
      <w:pPr>
        <w:spacing w:line="500" w:lineRule="exact"/>
        <w:ind w:firstLine="560" w:firstLineChars="200"/>
        <w:rPr>
          <w:rFonts w:eastAsia="仿宋_GB2312"/>
          <w:color w:val="000000"/>
          <w:sz w:val="28"/>
          <w:szCs w:val="28"/>
        </w:rPr>
      </w:pPr>
      <w:r>
        <w:rPr>
          <w:rFonts w:eastAsia="仿宋_GB2312"/>
          <w:color w:val="000000"/>
          <w:sz w:val="28"/>
          <w:szCs w:val="28"/>
        </w:rPr>
        <w:t>联系电话：</w:t>
      </w:r>
      <w:r>
        <w:rPr>
          <w:rFonts w:hint="eastAsia" w:eastAsia="仿宋_GB2312"/>
          <w:color w:val="000000"/>
          <w:sz w:val="28"/>
          <w:szCs w:val="28"/>
          <w:u w:val="single"/>
        </w:rPr>
        <w:t xml:space="preserve">           </w:t>
      </w:r>
      <w:r>
        <w:rPr>
          <w:rFonts w:eastAsia="仿宋_GB2312"/>
          <w:color w:val="000000"/>
          <w:sz w:val="28"/>
          <w:szCs w:val="28"/>
        </w:rPr>
        <w:t>；</w:t>
      </w:r>
    </w:p>
    <w:p w14:paraId="3CB51D0B">
      <w:pPr>
        <w:spacing w:line="500" w:lineRule="exact"/>
        <w:ind w:firstLine="560" w:firstLineChars="200"/>
        <w:rPr>
          <w:rFonts w:eastAsia="仿宋_GB2312"/>
          <w:color w:val="000000"/>
          <w:sz w:val="28"/>
          <w:szCs w:val="28"/>
        </w:rPr>
      </w:pPr>
      <w:r>
        <w:rPr>
          <w:rFonts w:eastAsia="仿宋_GB2312"/>
          <w:color w:val="000000"/>
          <w:sz w:val="28"/>
          <w:szCs w:val="28"/>
        </w:rPr>
        <w:t>电子信箱：</w:t>
      </w:r>
      <w:r>
        <w:rPr>
          <w:rFonts w:eastAsia="仿宋_GB2312"/>
          <w:color w:val="000000"/>
          <w:sz w:val="28"/>
          <w:szCs w:val="28"/>
          <w:u w:val="single"/>
        </w:rPr>
        <w:t></w:t>
      </w:r>
      <w:r>
        <w:rPr>
          <w:rFonts w:hint="eastAsia" w:eastAsia="仿宋_GB2312"/>
          <w:color w:val="000000"/>
          <w:sz w:val="28"/>
          <w:szCs w:val="28"/>
          <w:u w:val="single"/>
        </w:rPr>
        <w:t xml:space="preserve"> /</w:t>
      </w:r>
      <w:r>
        <w:rPr>
          <w:rFonts w:eastAsia="仿宋_GB2312"/>
          <w:color w:val="000000"/>
          <w:sz w:val="28"/>
          <w:szCs w:val="28"/>
          <w:u w:val="single"/>
        </w:rPr>
        <w:t></w:t>
      </w:r>
      <w:r>
        <w:rPr>
          <w:rFonts w:eastAsia="仿宋_GB2312"/>
          <w:color w:val="000000"/>
          <w:sz w:val="28"/>
          <w:szCs w:val="28"/>
        </w:rPr>
        <w:t>；</w:t>
      </w:r>
    </w:p>
    <w:p w14:paraId="0B27FDE6">
      <w:pPr>
        <w:spacing w:line="480" w:lineRule="auto"/>
        <w:ind w:firstLine="560" w:firstLineChars="200"/>
        <w:rPr>
          <w:rFonts w:eastAsia="仿宋_GB2312"/>
          <w:color w:val="000000"/>
          <w:sz w:val="28"/>
          <w:szCs w:val="28"/>
        </w:rPr>
      </w:pPr>
      <w:r>
        <w:rPr>
          <w:rFonts w:eastAsia="仿宋_GB2312"/>
          <w:color w:val="000000"/>
          <w:sz w:val="28"/>
          <w:szCs w:val="28"/>
        </w:rPr>
        <w:t>通信地址：</w:t>
      </w:r>
      <w:r>
        <w:rPr>
          <w:rFonts w:hint="eastAsia" w:eastAsia="仿宋_GB2312"/>
          <w:color w:val="000000"/>
          <w:sz w:val="28"/>
          <w:szCs w:val="28"/>
          <w:u w:val="single"/>
        </w:rPr>
        <w:t xml:space="preserve">                      </w:t>
      </w:r>
      <w:r>
        <w:rPr>
          <w:rFonts w:eastAsia="仿宋_GB2312"/>
          <w:color w:val="000000"/>
          <w:sz w:val="28"/>
          <w:szCs w:val="28"/>
        </w:rPr>
        <w:t>。</w:t>
      </w:r>
    </w:p>
    <w:p w14:paraId="18441E4C">
      <w:pPr>
        <w:spacing w:line="500" w:lineRule="exact"/>
        <w:ind w:firstLine="560" w:firstLineChars="200"/>
        <w:rPr>
          <w:rFonts w:eastAsia="仿宋_GB2312"/>
          <w:color w:val="000000"/>
          <w:sz w:val="28"/>
          <w:szCs w:val="28"/>
        </w:rPr>
      </w:pPr>
      <w:r>
        <w:rPr>
          <w:rFonts w:eastAsia="仿宋_GB2312"/>
          <w:color w:val="000000"/>
          <w:sz w:val="28"/>
          <w:szCs w:val="28"/>
        </w:rPr>
        <w:t>1.1.2.5 设计人：</w:t>
      </w:r>
    </w:p>
    <w:p w14:paraId="084B16DD">
      <w:pPr>
        <w:spacing w:line="500" w:lineRule="exact"/>
        <w:ind w:firstLine="560" w:firstLineChars="200"/>
        <w:rPr>
          <w:rFonts w:eastAsia="仿宋_GB2312"/>
          <w:color w:val="000000"/>
          <w:sz w:val="28"/>
          <w:szCs w:val="28"/>
        </w:rPr>
      </w:pPr>
      <w:r>
        <w:rPr>
          <w:rFonts w:eastAsia="仿宋_GB2312"/>
          <w:color w:val="000000"/>
          <w:sz w:val="28"/>
          <w:szCs w:val="28"/>
        </w:rPr>
        <w:t>名    称：</w:t>
      </w:r>
      <w:r>
        <w:rPr>
          <w:rFonts w:hint="eastAsia" w:eastAsia="仿宋_GB2312"/>
          <w:color w:val="000000"/>
          <w:sz w:val="28"/>
          <w:szCs w:val="28"/>
          <w:u w:val="single"/>
        </w:rPr>
        <w:t xml:space="preserve">     /         </w:t>
      </w:r>
      <w:r>
        <w:rPr>
          <w:rFonts w:eastAsia="仿宋_GB2312"/>
          <w:color w:val="000000"/>
          <w:sz w:val="28"/>
          <w:szCs w:val="28"/>
        </w:rPr>
        <w:t>；</w:t>
      </w:r>
    </w:p>
    <w:p w14:paraId="43B8DA2D">
      <w:pPr>
        <w:spacing w:line="500" w:lineRule="exact"/>
        <w:ind w:firstLine="560" w:firstLineChars="200"/>
        <w:rPr>
          <w:rFonts w:eastAsia="仿宋_GB2312"/>
          <w:color w:val="000000"/>
          <w:sz w:val="28"/>
          <w:szCs w:val="28"/>
        </w:rPr>
      </w:pPr>
      <w:r>
        <w:rPr>
          <w:rFonts w:eastAsia="仿宋_GB2312"/>
          <w:color w:val="000000"/>
          <w:sz w:val="28"/>
          <w:szCs w:val="28"/>
        </w:rPr>
        <w:t>资质类别和等级：</w:t>
      </w:r>
      <w:r>
        <w:rPr>
          <w:rFonts w:hint="eastAsia" w:eastAsia="仿宋_GB2312"/>
          <w:color w:val="000000"/>
          <w:sz w:val="28"/>
          <w:szCs w:val="28"/>
          <w:u w:val="single"/>
        </w:rPr>
        <w:t xml:space="preserve">        /             </w:t>
      </w:r>
      <w:r>
        <w:rPr>
          <w:rFonts w:eastAsia="仿宋_GB2312"/>
          <w:color w:val="000000"/>
          <w:sz w:val="28"/>
          <w:szCs w:val="28"/>
        </w:rPr>
        <w:t>；</w:t>
      </w:r>
    </w:p>
    <w:p w14:paraId="2596CB8A">
      <w:pPr>
        <w:spacing w:line="500" w:lineRule="exact"/>
        <w:ind w:firstLine="560" w:firstLineChars="200"/>
        <w:rPr>
          <w:rFonts w:eastAsia="仿宋_GB2312"/>
          <w:color w:val="000000"/>
          <w:sz w:val="28"/>
          <w:szCs w:val="28"/>
        </w:rPr>
      </w:pPr>
      <w:r>
        <w:rPr>
          <w:rFonts w:eastAsia="仿宋_GB2312"/>
          <w:color w:val="000000"/>
          <w:sz w:val="28"/>
          <w:szCs w:val="28"/>
        </w:rPr>
        <w:t>联系电话：</w:t>
      </w:r>
      <w:r>
        <w:rPr>
          <w:rFonts w:hint="eastAsia" w:eastAsia="仿宋_GB2312"/>
          <w:color w:val="000000"/>
          <w:sz w:val="28"/>
          <w:szCs w:val="28"/>
          <w:u w:val="single"/>
        </w:rPr>
        <w:t xml:space="preserve">    /          </w:t>
      </w:r>
      <w:r>
        <w:rPr>
          <w:rFonts w:eastAsia="仿宋_GB2312"/>
          <w:color w:val="000000"/>
          <w:sz w:val="28"/>
          <w:szCs w:val="28"/>
        </w:rPr>
        <w:t>；</w:t>
      </w:r>
    </w:p>
    <w:p w14:paraId="250B22C9">
      <w:pPr>
        <w:spacing w:line="500" w:lineRule="exact"/>
        <w:ind w:firstLine="560" w:firstLineChars="200"/>
        <w:rPr>
          <w:rFonts w:eastAsia="仿宋_GB2312"/>
          <w:color w:val="000000"/>
          <w:sz w:val="28"/>
          <w:szCs w:val="28"/>
        </w:rPr>
      </w:pPr>
      <w:r>
        <w:rPr>
          <w:rFonts w:eastAsia="仿宋_GB2312"/>
          <w:color w:val="000000"/>
          <w:sz w:val="28"/>
          <w:szCs w:val="28"/>
        </w:rPr>
        <w:t>电子信箱：</w:t>
      </w:r>
      <w:r>
        <w:rPr>
          <w:rFonts w:hint="eastAsia" w:eastAsia="仿宋_GB2312"/>
          <w:color w:val="000000"/>
          <w:sz w:val="28"/>
          <w:szCs w:val="28"/>
          <w:u w:val="single"/>
        </w:rPr>
        <w:t xml:space="preserve">/   </w:t>
      </w:r>
      <w:r>
        <w:rPr>
          <w:rFonts w:eastAsia="仿宋_GB2312"/>
          <w:color w:val="000000"/>
          <w:sz w:val="28"/>
          <w:szCs w:val="28"/>
        </w:rPr>
        <w:t>；</w:t>
      </w:r>
    </w:p>
    <w:p w14:paraId="37422E98">
      <w:pPr>
        <w:spacing w:line="500" w:lineRule="exact"/>
        <w:ind w:firstLine="560" w:firstLineChars="200"/>
        <w:rPr>
          <w:rFonts w:eastAsia="仿宋_GB2312"/>
          <w:color w:val="000000"/>
          <w:sz w:val="28"/>
          <w:szCs w:val="28"/>
        </w:rPr>
      </w:pPr>
      <w:r>
        <w:rPr>
          <w:rFonts w:eastAsia="仿宋_GB2312"/>
          <w:color w:val="000000"/>
          <w:sz w:val="28"/>
          <w:szCs w:val="28"/>
        </w:rPr>
        <w:t>通信地址：</w:t>
      </w:r>
      <w:r>
        <w:rPr>
          <w:rFonts w:hint="eastAsia" w:eastAsia="仿宋_GB2312"/>
          <w:color w:val="000000"/>
          <w:sz w:val="28"/>
          <w:szCs w:val="28"/>
          <w:u w:val="single"/>
        </w:rPr>
        <w:t xml:space="preserve">        /            </w:t>
      </w:r>
      <w:r>
        <w:rPr>
          <w:rFonts w:eastAsia="仿宋_GB2312"/>
          <w:color w:val="000000"/>
          <w:sz w:val="28"/>
          <w:szCs w:val="28"/>
        </w:rPr>
        <w:t>。</w:t>
      </w:r>
    </w:p>
    <w:p w14:paraId="01025231">
      <w:pPr>
        <w:spacing w:line="500" w:lineRule="exact"/>
        <w:ind w:firstLine="560" w:firstLineChars="200"/>
        <w:rPr>
          <w:rFonts w:eastAsia="仿宋_GB2312"/>
          <w:color w:val="000000"/>
          <w:sz w:val="28"/>
          <w:szCs w:val="28"/>
        </w:rPr>
      </w:pPr>
      <w:r>
        <w:rPr>
          <w:rFonts w:eastAsia="仿宋_GB2312"/>
          <w:color w:val="000000"/>
          <w:sz w:val="28"/>
          <w:szCs w:val="28"/>
        </w:rPr>
        <w:t>1.1.3 工程和设备</w:t>
      </w:r>
    </w:p>
    <w:p w14:paraId="5117D487">
      <w:pPr>
        <w:spacing w:line="500" w:lineRule="exact"/>
        <w:ind w:firstLine="560" w:firstLineChars="200"/>
        <w:rPr>
          <w:rFonts w:eastAsia="仿宋_GB2312"/>
          <w:color w:val="000000"/>
          <w:sz w:val="28"/>
          <w:szCs w:val="28"/>
        </w:rPr>
      </w:pPr>
      <w:r>
        <w:rPr>
          <w:rFonts w:eastAsia="仿宋_GB2312"/>
          <w:color w:val="000000"/>
          <w:sz w:val="28"/>
          <w:szCs w:val="28"/>
        </w:rPr>
        <w:t>1.1.3.7 作为施工现场组成部分的其他场所包括：</w:t>
      </w:r>
      <w:r>
        <w:rPr>
          <w:rFonts w:hint="eastAsia" w:eastAsia="仿宋_GB2312"/>
          <w:color w:val="000000"/>
          <w:sz w:val="28"/>
          <w:szCs w:val="28"/>
        </w:rPr>
        <w:t>/</w:t>
      </w:r>
      <w:r>
        <w:rPr>
          <w:rFonts w:eastAsia="仿宋_GB2312"/>
          <w:color w:val="000000"/>
          <w:sz w:val="28"/>
          <w:szCs w:val="28"/>
        </w:rPr>
        <w:t>。</w:t>
      </w:r>
    </w:p>
    <w:p w14:paraId="1A4117C3">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1.1.3.9 永久占地包括：</w:t>
      </w:r>
      <w:r>
        <w:rPr>
          <w:rFonts w:hint="eastAsia" w:eastAsia="仿宋_GB2312"/>
          <w:color w:val="000000"/>
          <w:sz w:val="28"/>
          <w:szCs w:val="28"/>
          <w:u w:val="single"/>
        </w:rPr>
        <w:t>/</w:t>
      </w:r>
      <w:r>
        <w:rPr>
          <w:rFonts w:eastAsia="仿宋_GB2312"/>
          <w:color w:val="000000"/>
          <w:kern w:val="0"/>
          <w:sz w:val="28"/>
          <w:szCs w:val="28"/>
        </w:rPr>
        <w:t>。</w:t>
      </w:r>
    </w:p>
    <w:p w14:paraId="4E39552D">
      <w:pPr>
        <w:spacing w:line="500" w:lineRule="exact"/>
        <w:ind w:firstLine="560" w:firstLineChars="200"/>
        <w:jc w:val="left"/>
        <w:rPr>
          <w:rFonts w:eastAsia="仿宋_GB2312"/>
          <w:color w:val="000000"/>
          <w:sz w:val="28"/>
          <w:szCs w:val="28"/>
        </w:rPr>
      </w:pPr>
      <w:r>
        <w:rPr>
          <w:rFonts w:eastAsia="仿宋_GB2312"/>
          <w:color w:val="000000"/>
          <w:kern w:val="0"/>
          <w:sz w:val="28"/>
          <w:szCs w:val="28"/>
        </w:rPr>
        <w:t>1.1.3.10 临时占地包括：</w:t>
      </w:r>
      <w:r>
        <w:rPr>
          <w:rFonts w:hint="eastAsia" w:eastAsia="仿宋_GB2312"/>
          <w:color w:val="000000"/>
          <w:sz w:val="28"/>
          <w:szCs w:val="28"/>
          <w:u w:val="single"/>
        </w:rPr>
        <w:t>/</w:t>
      </w:r>
      <w:r>
        <w:rPr>
          <w:rFonts w:eastAsia="仿宋_GB2312"/>
          <w:color w:val="000000"/>
          <w:kern w:val="0"/>
          <w:sz w:val="28"/>
          <w:szCs w:val="28"/>
        </w:rPr>
        <w:t>。</w:t>
      </w:r>
    </w:p>
    <w:p w14:paraId="0885882D">
      <w:pPr>
        <w:spacing w:after="120" w:line="500" w:lineRule="exact"/>
        <w:ind w:firstLine="560" w:firstLineChars="200"/>
        <w:rPr>
          <w:rFonts w:eastAsia="黑体"/>
          <w:color w:val="000000"/>
          <w:sz w:val="28"/>
          <w:szCs w:val="28"/>
        </w:rPr>
      </w:pPr>
      <w:r>
        <w:rPr>
          <w:rFonts w:eastAsia="黑体"/>
          <w:color w:val="000000"/>
          <w:sz w:val="28"/>
          <w:szCs w:val="28"/>
        </w:rPr>
        <w:t xml:space="preserve">1.3法律 </w:t>
      </w:r>
    </w:p>
    <w:p w14:paraId="05C5DE3F">
      <w:pPr>
        <w:autoSpaceDE w:val="0"/>
        <w:autoSpaceDN w:val="0"/>
        <w:adjustRightInd w:val="0"/>
        <w:spacing w:line="500" w:lineRule="exact"/>
        <w:ind w:firstLine="560" w:firstLineChars="200"/>
        <w:jc w:val="left"/>
        <w:rPr>
          <w:rFonts w:eastAsia="仿宋_GB2312"/>
          <w:bCs/>
          <w:color w:val="000000"/>
          <w:sz w:val="28"/>
          <w:szCs w:val="28"/>
        </w:rPr>
      </w:pPr>
      <w:r>
        <w:rPr>
          <w:rFonts w:eastAsia="仿宋_GB2312"/>
          <w:color w:val="000000"/>
          <w:sz w:val="28"/>
          <w:szCs w:val="28"/>
        </w:rPr>
        <w:t>适用于合同的其他规范性文件：</w:t>
      </w:r>
      <w:r>
        <w:rPr>
          <w:rFonts w:hint="eastAsia" w:eastAsia="仿宋_GB2312"/>
          <w:bCs/>
          <w:color w:val="000000"/>
          <w:sz w:val="28"/>
          <w:szCs w:val="28"/>
          <w:u w:val="single"/>
        </w:rPr>
        <w:t>《中华人民共和国民法典》、《中华人民共和国建筑法》、《中华人民共和国文物保护法》及其他有关法律</w:t>
      </w:r>
      <w:r>
        <w:rPr>
          <w:rFonts w:hint="eastAsia" w:eastAsia="仿宋_GB2312"/>
          <w:bCs/>
          <w:color w:val="000000"/>
          <w:sz w:val="28"/>
          <w:szCs w:val="28"/>
        </w:rPr>
        <w:t>。</w:t>
      </w:r>
    </w:p>
    <w:p w14:paraId="12EBDDB2">
      <w:pPr>
        <w:spacing w:after="120" w:line="500" w:lineRule="exact"/>
        <w:ind w:firstLine="560" w:firstLineChars="200"/>
        <w:rPr>
          <w:rFonts w:eastAsia="黑体"/>
          <w:color w:val="000000"/>
          <w:sz w:val="28"/>
          <w:szCs w:val="28"/>
        </w:rPr>
      </w:pPr>
      <w:r>
        <w:rPr>
          <w:rFonts w:eastAsia="黑体"/>
          <w:color w:val="000000"/>
          <w:sz w:val="28"/>
          <w:szCs w:val="28"/>
        </w:rPr>
        <w:t>1.4 标准和规范</w:t>
      </w:r>
    </w:p>
    <w:p w14:paraId="7DA4C216">
      <w:pPr>
        <w:spacing w:line="500" w:lineRule="exact"/>
        <w:ind w:firstLine="560" w:firstLineChars="200"/>
        <w:rPr>
          <w:rFonts w:eastAsia="仿宋_GB2312"/>
          <w:color w:val="000000"/>
          <w:sz w:val="28"/>
          <w:szCs w:val="28"/>
        </w:rPr>
      </w:pPr>
      <w:r>
        <w:rPr>
          <w:rFonts w:eastAsia="仿宋_GB2312"/>
          <w:color w:val="000000"/>
          <w:sz w:val="28"/>
          <w:szCs w:val="28"/>
        </w:rPr>
        <w:t>1.4.1适用于工程的标准规范包括：</w:t>
      </w:r>
    </w:p>
    <w:p w14:paraId="34B6D0AF">
      <w:pPr>
        <w:spacing w:line="500" w:lineRule="exact"/>
        <w:ind w:firstLine="560" w:firstLineChars="200"/>
        <w:rPr>
          <w:rFonts w:eastAsia="仿宋_GB2312"/>
          <w:bCs/>
          <w:color w:val="000000"/>
          <w:sz w:val="28"/>
          <w:szCs w:val="28"/>
          <w:u w:val="single"/>
        </w:rPr>
      </w:pPr>
      <w:r>
        <w:rPr>
          <w:rFonts w:hint="eastAsia" w:eastAsia="仿宋_GB2312"/>
          <w:bCs/>
          <w:color w:val="000000"/>
          <w:sz w:val="28"/>
          <w:szCs w:val="28"/>
          <w:u w:val="single"/>
        </w:rPr>
        <w:t>北京市关于强化文明施工的措施》；</w:t>
      </w:r>
    </w:p>
    <w:p w14:paraId="6470ABCE">
      <w:pPr>
        <w:spacing w:line="500" w:lineRule="exact"/>
        <w:ind w:firstLine="560" w:firstLineChars="200"/>
        <w:rPr>
          <w:rFonts w:eastAsia="仿宋_GB2312"/>
          <w:bCs/>
          <w:color w:val="000000"/>
          <w:sz w:val="28"/>
          <w:szCs w:val="28"/>
          <w:u w:val="single"/>
        </w:rPr>
      </w:pPr>
      <w:r>
        <w:rPr>
          <w:rFonts w:hint="eastAsia" w:eastAsia="仿宋_GB2312"/>
          <w:bCs/>
          <w:color w:val="000000"/>
          <w:sz w:val="28"/>
          <w:szCs w:val="28"/>
          <w:u w:val="single"/>
        </w:rPr>
        <w:t>《北京市建设工程造价管理办法》；</w:t>
      </w:r>
    </w:p>
    <w:p w14:paraId="517BDCB2">
      <w:pPr>
        <w:spacing w:line="500" w:lineRule="exact"/>
        <w:ind w:firstLine="560" w:firstLineChars="200"/>
        <w:rPr>
          <w:rFonts w:eastAsia="仿宋_GB2312"/>
          <w:bCs/>
          <w:color w:val="000000"/>
          <w:sz w:val="28"/>
          <w:szCs w:val="28"/>
          <w:u w:val="single"/>
        </w:rPr>
      </w:pPr>
      <w:r>
        <w:rPr>
          <w:rFonts w:hint="eastAsia" w:eastAsia="仿宋_GB2312"/>
          <w:bCs/>
          <w:color w:val="000000"/>
          <w:sz w:val="28"/>
          <w:szCs w:val="28"/>
          <w:u w:val="single"/>
        </w:rPr>
        <w:t>《工程测量规范》GB50026-93；</w:t>
      </w:r>
    </w:p>
    <w:p w14:paraId="17CE70DC">
      <w:pPr>
        <w:spacing w:line="500" w:lineRule="exact"/>
        <w:ind w:firstLine="560" w:firstLineChars="200"/>
        <w:rPr>
          <w:rFonts w:eastAsia="仿宋_GB2312"/>
          <w:bCs/>
          <w:color w:val="000000"/>
          <w:sz w:val="28"/>
          <w:szCs w:val="28"/>
          <w:u w:val="single"/>
        </w:rPr>
      </w:pPr>
      <w:r>
        <w:rPr>
          <w:rFonts w:hint="eastAsia" w:eastAsia="仿宋_GB2312"/>
          <w:bCs/>
          <w:color w:val="000000"/>
          <w:sz w:val="28"/>
          <w:szCs w:val="28"/>
          <w:u w:val="single"/>
        </w:rPr>
        <w:t>《消防设施通用规范》GB55036-202</w:t>
      </w:r>
    </w:p>
    <w:p w14:paraId="65CC5361">
      <w:pPr>
        <w:spacing w:line="500" w:lineRule="exact"/>
        <w:ind w:firstLine="560" w:firstLineChars="200"/>
        <w:rPr>
          <w:rFonts w:eastAsia="仿宋_GB2312"/>
          <w:bCs/>
          <w:color w:val="000000"/>
          <w:sz w:val="28"/>
          <w:szCs w:val="28"/>
          <w:u w:val="single"/>
        </w:rPr>
      </w:pPr>
      <w:r>
        <w:rPr>
          <w:rFonts w:hint="eastAsia" w:eastAsia="仿宋_GB2312"/>
          <w:bCs/>
          <w:color w:val="000000"/>
          <w:sz w:val="28"/>
          <w:szCs w:val="28"/>
          <w:u w:val="single"/>
        </w:rPr>
        <w:t>《建设工程文件归档整理规范》GB/T50328-2001；</w:t>
      </w:r>
    </w:p>
    <w:p w14:paraId="6AA79790">
      <w:pPr>
        <w:spacing w:line="500" w:lineRule="exact"/>
        <w:ind w:firstLine="560" w:firstLineChars="200"/>
        <w:rPr>
          <w:rFonts w:eastAsia="仿宋_GB2312"/>
          <w:bCs/>
          <w:color w:val="000000"/>
          <w:sz w:val="28"/>
          <w:szCs w:val="28"/>
          <w:u w:val="single"/>
        </w:rPr>
      </w:pPr>
      <w:r>
        <w:rPr>
          <w:rFonts w:hint="eastAsia" w:eastAsia="仿宋_GB2312"/>
          <w:bCs/>
          <w:color w:val="000000"/>
          <w:sz w:val="28"/>
          <w:szCs w:val="28"/>
          <w:u w:val="single"/>
        </w:rPr>
        <w:t>《建筑工程施工质量验收+统一标准》GB50300-2001；</w:t>
      </w:r>
    </w:p>
    <w:p w14:paraId="3A6E5BA9">
      <w:pPr>
        <w:spacing w:line="500" w:lineRule="exact"/>
        <w:ind w:firstLine="560" w:firstLineChars="200"/>
        <w:rPr>
          <w:rFonts w:eastAsia="仿宋_GB2312"/>
          <w:bCs/>
          <w:color w:val="000000"/>
          <w:sz w:val="28"/>
          <w:szCs w:val="28"/>
          <w:u w:val="single"/>
        </w:rPr>
      </w:pPr>
      <w:r>
        <w:rPr>
          <w:rFonts w:hint="eastAsia" w:eastAsia="仿宋_GB2312"/>
          <w:bCs/>
          <w:color w:val="000000"/>
          <w:sz w:val="28"/>
          <w:szCs w:val="28"/>
          <w:u w:val="single"/>
        </w:rPr>
        <w:t>《建筑工程施工质量验收规范》GB50300-2002；</w:t>
      </w:r>
    </w:p>
    <w:p w14:paraId="36BF2EE6">
      <w:pPr>
        <w:spacing w:line="500" w:lineRule="exact"/>
        <w:ind w:firstLine="560" w:firstLineChars="200"/>
        <w:rPr>
          <w:rFonts w:eastAsia="仿宋_GB2312"/>
          <w:bCs/>
          <w:color w:val="000000"/>
          <w:sz w:val="28"/>
          <w:szCs w:val="28"/>
          <w:u w:val="single"/>
        </w:rPr>
      </w:pPr>
      <w:r>
        <w:rPr>
          <w:rFonts w:hint="eastAsia" w:eastAsia="仿宋_GB2312"/>
          <w:bCs/>
          <w:color w:val="000000"/>
          <w:sz w:val="28"/>
          <w:szCs w:val="28"/>
          <w:u w:val="single"/>
        </w:rPr>
        <w:t>《施工现场临时用电安全技术规范》JGJ46-88；</w:t>
      </w:r>
    </w:p>
    <w:p w14:paraId="5F76F27D">
      <w:pPr>
        <w:spacing w:line="500" w:lineRule="exact"/>
        <w:ind w:firstLine="560" w:firstLineChars="200"/>
        <w:rPr>
          <w:rFonts w:eastAsia="仿宋_GB2312"/>
          <w:bCs/>
          <w:color w:val="000000"/>
          <w:sz w:val="28"/>
          <w:szCs w:val="28"/>
          <w:u w:val="single"/>
        </w:rPr>
      </w:pPr>
      <w:r>
        <w:rPr>
          <w:rFonts w:hint="eastAsia" w:eastAsia="仿宋_GB2312"/>
          <w:bCs/>
          <w:color w:val="000000"/>
          <w:sz w:val="28"/>
          <w:szCs w:val="28"/>
          <w:u w:val="single"/>
        </w:rPr>
        <w:t>《建设工程施工现场供用电安全规范》GB50194-93；</w:t>
      </w:r>
    </w:p>
    <w:p w14:paraId="71418371">
      <w:pPr>
        <w:spacing w:line="500" w:lineRule="exact"/>
        <w:ind w:firstLine="560" w:firstLineChars="200"/>
        <w:rPr>
          <w:rFonts w:eastAsia="仿宋_GB2312"/>
          <w:bCs/>
          <w:color w:val="000000"/>
          <w:sz w:val="28"/>
          <w:szCs w:val="28"/>
          <w:u w:val="single"/>
        </w:rPr>
      </w:pPr>
      <w:r>
        <w:rPr>
          <w:rFonts w:hint="eastAsia" w:eastAsia="仿宋_GB2312"/>
          <w:bCs/>
          <w:color w:val="000000"/>
          <w:sz w:val="28"/>
          <w:szCs w:val="28"/>
          <w:u w:val="single"/>
        </w:rPr>
        <w:t>《文物建筑消防安全管理》XF/T1463-2018</w:t>
      </w:r>
    </w:p>
    <w:p w14:paraId="795C84AD">
      <w:pPr>
        <w:spacing w:line="500" w:lineRule="exact"/>
        <w:ind w:firstLine="560" w:firstLineChars="200"/>
        <w:rPr>
          <w:rFonts w:eastAsia="仿宋_GB2312"/>
          <w:bCs/>
          <w:color w:val="000000"/>
          <w:sz w:val="28"/>
          <w:szCs w:val="28"/>
          <w:u w:val="single"/>
        </w:rPr>
      </w:pPr>
      <w:r>
        <w:rPr>
          <w:rFonts w:hint="eastAsia" w:eastAsia="仿宋_GB2312"/>
          <w:bCs/>
          <w:color w:val="000000"/>
          <w:sz w:val="28"/>
          <w:szCs w:val="28"/>
          <w:u w:val="single"/>
        </w:rPr>
        <w:t>《建筑施工安全检查标准》JGJ59-99；</w:t>
      </w:r>
    </w:p>
    <w:p w14:paraId="6D5AE026">
      <w:pPr>
        <w:spacing w:line="500" w:lineRule="exact"/>
        <w:ind w:firstLine="560" w:firstLineChars="200"/>
        <w:rPr>
          <w:rFonts w:eastAsia="仿宋_GB2312"/>
          <w:bCs/>
          <w:color w:val="000000"/>
          <w:sz w:val="28"/>
          <w:szCs w:val="28"/>
          <w:u w:val="single"/>
        </w:rPr>
      </w:pPr>
      <w:r>
        <w:rPr>
          <w:rFonts w:hint="eastAsia" w:eastAsia="仿宋_GB2312"/>
          <w:bCs/>
          <w:color w:val="000000"/>
          <w:sz w:val="28"/>
          <w:szCs w:val="28"/>
          <w:u w:val="single"/>
        </w:rPr>
        <w:t>现行的其它有关国家标准、规范和技术规程及北京市建委、文物局的有关要求。</w:t>
      </w:r>
    </w:p>
    <w:p w14:paraId="52560305">
      <w:pPr>
        <w:spacing w:line="500" w:lineRule="exact"/>
        <w:ind w:firstLine="560" w:firstLineChars="200"/>
        <w:outlineLvl w:val="0"/>
        <w:rPr>
          <w:rFonts w:eastAsia="仿宋_GB2312"/>
          <w:color w:val="000000"/>
          <w:kern w:val="0"/>
          <w:sz w:val="28"/>
          <w:szCs w:val="28"/>
        </w:rPr>
      </w:pPr>
      <w:r>
        <w:rPr>
          <w:rFonts w:eastAsia="仿宋_GB2312"/>
          <w:color w:val="000000"/>
          <w:kern w:val="0"/>
          <w:sz w:val="28"/>
          <w:szCs w:val="28"/>
        </w:rPr>
        <w:t>1.4.2 发包人提供国外标准、规范的名称：</w:t>
      </w:r>
      <w:r>
        <w:rPr>
          <w:rFonts w:hint="eastAsia" w:eastAsia="仿宋_GB2312"/>
          <w:color w:val="000000"/>
          <w:kern w:val="0"/>
          <w:sz w:val="28"/>
          <w:szCs w:val="28"/>
          <w:u w:val="single"/>
        </w:rPr>
        <w:t>/</w:t>
      </w:r>
      <w:r>
        <w:rPr>
          <w:rFonts w:eastAsia="仿宋_GB2312"/>
          <w:color w:val="000000"/>
          <w:kern w:val="0"/>
          <w:sz w:val="28"/>
          <w:szCs w:val="28"/>
        </w:rPr>
        <w:t>；</w:t>
      </w:r>
    </w:p>
    <w:p w14:paraId="48BEC257">
      <w:pPr>
        <w:spacing w:line="500" w:lineRule="exact"/>
        <w:ind w:firstLine="560" w:firstLineChars="200"/>
        <w:rPr>
          <w:rFonts w:eastAsia="仿宋_GB2312"/>
          <w:color w:val="000000"/>
          <w:kern w:val="0"/>
          <w:sz w:val="28"/>
          <w:szCs w:val="28"/>
        </w:rPr>
      </w:pPr>
      <w:r>
        <w:rPr>
          <w:rFonts w:eastAsia="仿宋_GB2312"/>
          <w:color w:val="000000"/>
          <w:kern w:val="0"/>
          <w:sz w:val="28"/>
          <w:szCs w:val="28"/>
        </w:rPr>
        <w:t>发包人提供国外标准、规范的份数：</w:t>
      </w:r>
      <w:r>
        <w:rPr>
          <w:rFonts w:hint="eastAsia" w:eastAsia="仿宋_GB2312"/>
          <w:color w:val="000000"/>
          <w:kern w:val="0"/>
          <w:sz w:val="28"/>
          <w:szCs w:val="28"/>
          <w:u w:val="single"/>
        </w:rPr>
        <w:t>/</w:t>
      </w:r>
      <w:r>
        <w:rPr>
          <w:rFonts w:eastAsia="仿宋_GB2312"/>
          <w:color w:val="000000"/>
          <w:kern w:val="0"/>
          <w:sz w:val="28"/>
          <w:szCs w:val="28"/>
        </w:rPr>
        <w:t>；</w:t>
      </w:r>
    </w:p>
    <w:p w14:paraId="5932502E">
      <w:pPr>
        <w:spacing w:line="500" w:lineRule="exact"/>
        <w:ind w:firstLine="560" w:firstLineChars="200"/>
        <w:rPr>
          <w:rFonts w:eastAsia="仿宋_GB2312"/>
          <w:color w:val="000000"/>
          <w:sz w:val="28"/>
          <w:szCs w:val="28"/>
        </w:rPr>
      </w:pPr>
      <w:r>
        <w:rPr>
          <w:rFonts w:eastAsia="仿宋_GB2312"/>
          <w:color w:val="000000"/>
          <w:kern w:val="0"/>
          <w:sz w:val="28"/>
          <w:szCs w:val="28"/>
        </w:rPr>
        <w:t>发包人提供国外标准、规范的名称：</w:t>
      </w:r>
      <w:r>
        <w:rPr>
          <w:rFonts w:hint="eastAsia" w:eastAsia="仿宋_GB2312"/>
          <w:color w:val="000000"/>
          <w:kern w:val="0"/>
          <w:sz w:val="28"/>
          <w:szCs w:val="28"/>
          <w:u w:val="single"/>
        </w:rPr>
        <w:t>/</w:t>
      </w:r>
      <w:r>
        <w:rPr>
          <w:rFonts w:eastAsia="仿宋_GB2312"/>
          <w:color w:val="000000"/>
          <w:kern w:val="0"/>
          <w:sz w:val="28"/>
          <w:szCs w:val="28"/>
        </w:rPr>
        <w:t>。</w:t>
      </w:r>
    </w:p>
    <w:p w14:paraId="7A3AE6F9">
      <w:pPr>
        <w:spacing w:line="500" w:lineRule="exact"/>
        <w:ind w:left="596" w:leftChars="284"/>
        <w:rPr>
          <w:rFonts w:eastAsia="仿宋_GB2312"/>
          <w:color w:val="000000"/>
          <w:sz w:val="28"/>
          <w:szCs w:val="28"/>
        </w:rPr>
      </w:pPr>
      <w:r>
        <w:rPr>
          <w:rFonts w:eastAsia="仿宋_GB2312"/>
          <w:color w:val="000000"/>
          <w:sz w:val="28"/>
          <w:szCs w:val="28"/>
        </w:rPr>
        <w:t>1.4.3发包人对工程的技术标准和功能要求的特殊要求：</w:t>
      </w:r>
    </w:p>
    <w:p w14:paraId="40BBDEBC">
      <w:pPr>
        <w:spacing w:line="500" w:lineRule="exact"/>
        <w:ind w:firstLine="560" w:firstLineChars="200"/>
        <w:rPr>
          <w:rFonts w:eastAsia="仿宋_GB2312"/>
          <w:bCs/>
          <w:color w:val="000000"/>
          <w:sz w:val="28"/>
          <w:szCs w:val="28"/>
          <w:u w:val="single"/>
        </w:rPr>
      </w:pPr>
      <w:r>
        <w:rPr>
          <w:rFonts w:hint="eastAsia" w:eastAsia="仿宋_GB2312"/>
          <w:bCs/>
          <w:color w:val="000000"/>
          <w:sz w:val="28"/>
          <w:szCs w:val="28"/>
          <w:u w:val="single"/>
        </w:rPr>
        <w:t>本工程适用中华人民共和国现行有效的国家规范、规程、标准及北京市建委、文物局的有关要求。设计图纸和其他设计文件中的有关文字说明是本工程技术规范的组成部分。对于涉及新技术、新工艺和新材料的工作，相应厂家使用说明或操作说明等内容，或适用的国外同类标准的内容也是本工程技术规范的组成部分。</w:t>
      </w:r>
    </w:p>
    <w:p w14:paraId="025CAAF1">
      <w:pPr>
        <w:spacing w:line="500" w:lineRule="exact"/>
        <w:ind w:firstLine="560" w:firstLineChars="200"/>
        <w:rPr>
          <w:rFonts w:eastAsia="仿宋_GB2312"/>
          <w:bCs/>
          <w:color w:val="000000"/>
          <w:sz w:val="28"/>
          <w:szCs w:val="28"/>
          <w:u w:val="single"/>
        </w:rPr>
      </w:pPr>
      <w:r>
        <w:rPr>
          <w:rFonts w:hint="eastAsia" w:eastAsia="仿宋_GB2312"/>
          <w:bCs/>
          <w:color w:val="000000"/>
          <w:sz w:val="28"/>
          <w:szCs w:val="28"/>
          <w:u w:val="single"/>
        </w:rPr>
        <w:t>承包人应予遵照执行的规范、规程和标准都指它们各自的最新版本。如果在任何规范、规程和标准之间出现相互矛盾之处或存有任何疑问之处，承包人应书面请求发包人或发包人指定的监理工程师予以澄清；除非发包人或监理工程师有特别的指示，承包人应按照其中要求最严格的标准执行。</w:t>
      </w:r>
    </w:p>
    <w:p w14:paraId="38168E75">
      <w:pPr>
        <w:spacing w:line="500" w:lineRule="exact"/>
        <w:ind w:firstLine="560" w:firstLineChars="200"/>
        <w:rPr>
          <w:rFonts w:eastAsia="仿宋_GB2312"/>
          <w:bCs/>
          <w:color w:val="000000"/>
          <w:sz w:val="28"/>
          <w:szCs w:val="28"/>
          <w:u w:val="single"/>
        </w:rPr>
      </w:pPr>
      <w:r>
        <w:rPr>
          <w:rFonts w:hint="eastAsia" w:eastAsia="仿宋_GB2312"/>
          <w:bCs/>
          <w:color w:val="000000"/>
          <w:sz w:val="28"/>
          <w:szCs w:val="28"/>
          <w:u w:val="single"/>
        </w:rPr>
        <w:t>国内没有相应标准、规范的，由发包人向承包人提出施工技术要求，承包人按约定的时间和要求提出施工工艺，发包人认可后执行。</w:t>
      </w:r>
    </w:p>
    <w:p w14:paraId="5463ED1B">
      <w:pPr>
        <w:spacing w:line="500" w:lineRule="exact"/>
        <w:ind w:firstLine="560" w:firstLineChars="200"/>
        <w:rPr>
          <w:rFonts w:eastAsia="仿宋_GB2312"/>
          <w:bCs/>
          <w:color w:val="000000"/>
          <w:sz w:val="28"/>
          <w:szCs w:val="28"/>
          <w:u w:val="single"/>
        </w:rPr>
      </w:pPr>
      <w:r>
        <w:rPr>
          <w:rFonts w:hint="eastAsia" w:eastAsia="仿宋_GB2312"/>
          <w:bCs/>
          <w:color w:val="000000"/>
          <w:sz w:val="28"/>
          <w:szCs w:val="28"/>
          <w:u w:val="single"/>
        </w:rPr>
        <w:t>承包人采用的全部标准、规范由承包人自行购买，发包人不承担提供责任。</w:t>
      </w:r>
    </w:p>
    <w:p w14:paraId="188C040C">
      <w:pPr>
        <w:spacing w:after="120" w:line="500" w:lineRule="exact"/>
        <w:ind w:firstLine="560" w:firstLineChars="200"/>
        <w:outlineLvl w:val="0"/>
        <w:rPr>
          <w:rFonts w:eastAsia="黑体"/>
          <w:color w:val="000000"/>
          <w:sz w:val="28"/>
          <w:szCs w:val="28"/>
        </w:rPr>
      </w:pPr>
      <w:r>
        <w:rPr>
          <w:rFonts w:eastAsia="黑体"/>
          <w:color w:val="000000"/>
          <w:sz w:val="28"/>
          <w:szCs w:val="28"/>
        </w:rPr>
        <w:t>1.5 合同文件的优先顺序</w:t>
      </w:r>
    </w:p>
    <w:p w14:paraId="4E83EEAA">
      <w:pPr>
        <w:spacing w:line="500" w:lineRule="exact"/>
        <w:ind w:firstLine="560" w:firstLineChars="200"/>
        <w:rPr>
          <w:rFonts w:eastAsia="仿宋_GB2312"/>
          <w:bCs/>
          <w:color w:val="000000"/>
          <w:sz w:val="28"/>
          <w:szCs w:val="28"/>
        </w:rPr>
      </w:pPr>
      <w:r>
        <w:rPr>
          <w:rFonts w:eastAsia="仿宋_GB2312"/>
          <w:color w:val="000000"/>
          <w:sz w:val="28"/>
          <w:szCs w:val="28"/>
        </w:rPr>
        <w:t>合同文件组成及优先顺序为：</w:t>
      </w:r>
      <w:r>
        <w:rPr>
          <w:rFonts w:hint="eastAsia" w:eastAsia="仿宋_GB2312"/>
          <w:color w:val="000000"/>
          <w:sz w:val="28"/>
          <w:szCs w:val="28"/>
          <w:u w:val="single"/>
        </w:rPr>
        <w:t>（1）</w:t>
      </w:r>
      <w:r>
        <w:rPr>
          <w:rFonts w:hint="eastAsia" w:eastAsia="仿宋_GB2312"/>
          <w:bCs/>
          <w:color w:val="000000"/>
          <w:sz w:val="28"/>
          <w:szCs w:val="28"/>
          <w:u w:val="single"/>
        </w:rPr>
        <w:t>合同协议书；（2）合同专用条款；（3）合同通用条款；（4）中标通知书；（5）招标文件补充文件和招标文件；（6）施工图纸或标准图集；（7）现行施工质量标准、验收规范、施工规范和其他有关的技术资料、技术要求；（8）中标人的投标文件及其附件；（9）已标价的工程量清单</w:t>
      </w:r>
      <w:r>
        <w:rPr>
          <w:rFonts w:hint="eastAsia" w:eastAsia="仿宋_GB2312"/>
          <w:bCs/>
          <w:color w:val="000000"/>
          <w:sz w:val="28"/>
          <w:szCs w:val="28"/>
        </w:rPr>
        <w:t>。</w:t>
      </w:r>
    </w:p>
    <w:p w14:paraId="3667D357">
      <w:pPr>
        <w:spacing w:line="500" w:lineRule="exact"/>
        <w:ind w:firstLine="560" w:firstLineChars="200"/>
        <w:rPr>
          <w:rFonts w:eastAsia="仿宋_GB2312"/>
          <w:bCs/>
          <w:color w:val="000000"/>
          <w:sz w:val="28"/>
          <w:szCs w:val="28"/>
          <w:u w:val="single"/>
        </w:rPr>
      </w:pPr>
      <w:r>
        <w:rPr>
          <w:rFonts w:hint="eastAsia" w:eastAsia="仿宋_GB2312"/>
          <w:bCs/>
          <w:color w:val="000000"/>
          <w:sz w:val="28"/>
          <w:szCs w:val="28"/>
          <w:u w:val="single"/>
        </w:rPr>
        <w:t>双方有关工程的确认函件、洽商、变更等明确双方权利义务的书面纪要文件和书面协议或文件视为本合同的组成部分。</w:t>
      </w:r>
    </w:p>
    <w:p w14:paraId="48237371">
      <w:pPr>
        <w:spacing w:line="500" w:lineRule="exact"/>
        <w:ind w:firstLine="560" w:firstLineChars="200"/>
        <w:rPr>
          <w:rFonts w:eastAsia="仿宋_GB2312"/>
          <w:bCs/>
          <w:color w:val="000000"/>
          <w:sz w:val="28"/>
          <w:szCs w:val="28"/>
        </w:rPr>
      </w:pPr>
      <w:r>
        <w:rPr>
          <w:rFonts w:hint="eastAsia" w:eastAsia="仿宋_GB2312"/>
          <w:bCs/>
          <w:color w:val="000000"/>
          <w:sz w:val="28"/>
          <w:szCs w:val="28"/>
          <w:u w:val="single"/>
        </w:rPr>
        <w:t>当合同文件出现含糊不清或不相一致时，在不影响工程进度的情况下，由双方协商解决。</w:t>
      </w:r>
    </w:p>
    <w:p w14:paraId="131090CB">
      <w:pPr>
        <w:spacing w:after="120" w:line="500" w:lineRule="exact"/>
        <w:ind w:firstLine="560" w:firstLineChars="200"/>
        <w:outlineLvl w:val="0"/>
        <w:rPr>
          <w:rFonts w:eastAsia="黑体"/>
          <w:color w:val="000000"/>
          <w:sz w:val="28"/>
          <w:szCs w:val="28"/>
        </w:rPr>
      </w:pPr>
      <w:r>
        <w:rPr>
          <w:rFonts w:eastAsia="黑体"/>
          <w:color w:val="000000"/>
          <w:sz w:val="28"/>
          <w:szCs w:val="28"/>
        </w:rPr>
        <w:t>1.6 图纸和承包人文件</w:t>
      </w:r>
      <w:r>
        <w:rPr>
          <w:rFonts w:eastAsia="黑体"/>
          <w:color w:val="000000"/>
          <w:sz w:val="28"/>
          <w:szCs w:val="28"/>
        </w:rPr>
        <w:tab/>
      </w:r>
    </w:p>
    <w:p w14:paraId="7D8F6DF2">
      <w:pPr>
        <w:spacing w:line="500" w:lineRule="exact"/>
        <w:ind w:firstLine="560" w:firstLineChars="200"/>
        <w:rPr>
          <w:rFonts w:eastAsia="仿宋_GB2312"/>
          <w:color w:val="000000"/>
          <w:sz w:val="28"/>
          <w:szCs w:val="28"/>
        </w:rPr>
      </w:pPr>
      <w:r>
        <w:rPr>
          <w:rFonts w:eastAsia="仿宋_GB2312"/>
          <w:color w:val="000000"/>
          <w:sz w:val="28"/>
          <w:szCs w:val="28"/>
        </w:rPr>
        <w:t>1.6.1 图纸的提供</w:t>
      </w:r>
    </w:p>
    <w:p w14:paraId="0279D195">
      <w:pPr>
        <w:spacing w:line="500" w:lineRule="exact"/>
        <w:ind w:firstLine="560" w:firstLineChars="200"/>
        <w:rPr>
          <w:rFonts w:eastAsia="仿宋_GB2312"/>
          <w:color w:val="000000"/>
          <w:sz w:val="28"/>
          <w:szCs w:val="28"/>
        </w:rPr>
      </w:pPr>
      <w:r>
        <w:rPr>
          <w:rFonts w:eastAsia="仿宋_GB2312"/>
          <w:color w:val="000000"/>
          <w:sz w:val="28"/>
          <w:szCs w:val="28"/>
        </w:rPr>
        <w:t>发包人向承包人提供图纸的期限：</w:t>
      </w:r>
      <w:r>
        <w:rPr>
          <w:rFonts w:hint="eastAsia" w:eastAsia="仿宋_GB2312"/>
          <w:color w:val="000000"/>
          <w:sz w:val="28"/>
          <w:szCs w:val="28"/>
          <w:u w:val="single"/>
        </w:rPr>
        <w:t xml:space="preserve"> / </w:t>
      </w:r>
      <w:r>
        <w:rPr>
          <w:rFonts w:hint="eastAsia" w:eastAsia="仿宋_GB2312"/>
          <w:color w:val="000000"/>
          <w:sz w:val="28"/>
          <w:szCs w:val="28"/>
        </w:rPr>
        <w:t xml:space="preserve"> </w:t>
      </w:r>
      <w:r>
        <w:rPr>
          <w:rFonts w:eastAsia="仿宋_GB2312"/>
          <w:color w:val="000000"/>
          <w:sz w:val="28"/>
          <w:szCs w:val="28"/>
        </w:rPr>
        <w:t>；</w:t>
      </w:r>
    </w:p>
    <w:p w14:paraId="1669ED90">
      <w:pPr>
        <w:spacing w:line="500" w:lineRule="exact"/>
        <w:ind w:firstLine="560" w:firstLineChars="200"/>
        <w:rPr>
          <w:rFonts w:eastAsia="仿宋_GB2312"/>
          <w:color w:val="000000"/>
          <w:sz w:val="28"/>
          <w:szCs w:val="28"/>
        </w:rPr>
      </w:pPr>
      <w:r>
        <w:rPr>
          <w:rFonts w:eastAsia="仿宋_GB2312"/>
          <w:color w:val="000000"/>
          <w:sz w:val="28"/>
          <w:szCs w:val="28"/>
        </w:rPr>
        <w:t>发包人向承包人提供图纸的数量：</w:t>
      </w:r>
      <w:r>
        <w:rPr>
          <w:rFonts w:hint="eastAsia" w:eastAsia="仿宋_GB2312"/>
          <w:color w:val="000000"/>
          <w:sz w:val="28"/>
          <w:szCs w:val="28"/>
          <w:u w:val="single"/>
        </w:rPr>
        <w:t xml:space="preserve"> /  </w:t>
      </w:r>
      <w:r>
        <w:rPr>
          <w:rFonts w:eastAsia="仿宋_GB2312"/>
          <w:color w:val="000000"/>
          <w:sz w:val="28"/>
          <w:szCs w:val="28"/>
        </w:rPr>
        <w:t>；</w:t>
      </w:r>
    </w:p>
    <w:p w14:paraId="78CB7C23">
      <w:pPr>
        <w:spacing w:line="500" w:lineRule="exact"/>
        <w:ind w:firstLine="560" w:firstLineChars="200"/>
        <w:rPr>
          <w:rFonts w:eastAsia="仿宋_GB2312"/>
          <w:color w:val="000000"/>
          <w:sz w:val="28"/>
          <w:szCs w:val="28"/>
          <w:u w:val="single"/>
        </w:rPr>
      </w:pPr>
      <w:r>
        <w:rPr>
          <w:rFonts w:eastAsia="仿宋_GB2312"/>
          <w:color w:val="000000"/>
          <w:sz w:val="28"/>
          <w:szCs w:val="28"/>
        </w:rPr>
        <w:t>发包人向承包人提供图纸的内容：</w:t>
      </w:r>
      <w:r>
        <w:rPr>
          <w:rFonts w:hint="eastAsia" w:eastAsia="仿宋_GB2312"/>
          <w:color w:val="000000"/>
          <w:sz w:val="28"/>
          <w:szCs w:val="28"/>
          <w:u w:val="single"/>
        </w:rPr>
        <w:t xml:space="preserve"> /  </w:t>
      </w:r>
      <w:r>
        <w:rPr>
          <w:rFonts w:hint="eastAsia" w:eastAsia="仿宋_GB2312"/>
          <w:bCs/>
          <w:color w:val="000000"/>
          <w:sz w:val="28"/>
          <w:szCs w:val="28"/>
        </w:rPr>
        <w:t>。</w:t>
      </w:r>
    </w:p>
    <w:p w14:paraId="31663EDB">
      <w:pPr>
        <w:spacing w:line="500" w:lineRule="exact"/>
        <w:ind w:firstLine="560" w:firstLineChars="200"/>
        <w:rPr>
          <w:rFonts w:eastAsia="仿宋_GB2312"/>
          <w:color w:val="000000"/>
          <w:sz w:val="28"/>
          <w:szCs w:val="28"/>
        </w:rPr>
      </w:pPr>
      <w:r>
        <w:rPr>
          <w:rFonts w:eastAsia="仿宋_GB2312"/>
          <w:color w:val="000000"/>
          <w:sz w:val="28"/>
          <w:szCs w:val="28"/>
        </w:rPr>
        <w:t>1.6.4 承包人文件</w:t>
      </w:r>
    </w:p>
    <w:p w14:paraId="3A862004">
      <w:pPr>
        <w:spacing w:line="500" w:lineRule="exact"/>
        <w:ind w:firstLine="560" w:firstLineChars="200"/>
        <w:jc w:val="left"/>
        <w:rPr>
          <w:rFonts w:eastAsia="仿宋_GB2312"/>
          <w:sz w:val="28"/>
          <w:szCs w:val="28"/>
        </w:rPr>
      </w:pPr>
      <w:r>
        <w:rPr>
          <w:rFonts w:eastAsia="仿宋_GB2312"/>
          <w:sz w:val="28"/>
          <w:szCs w:val="28"/>
        </w:rPr>
        <w:t>需要由承包人提供的文件，包括：</w:t>
      </w:r>
      <w:r>
        <w:rPr>
          <w:rFonts w:hint="eastAsia" w:eastAsia="仿宋_GB2312"/>
          <w:color w:val="000000"/>
          <w:sz w:val="28"/>
          <w:szCs w:val="28"/>
          <w:u w:val="single"/>
        </w:rPr>
        <w:t xml:space="preserve"> /  </w:t>
      </w:r>
      <w:r>
        <w:rPr>
          <w:rFonts w:eastAsia="仿宋_GB2312"/>
          <w:sz w:val="28"/>
          <w:szCs w:val="28"/>
        </w:rPr>
        <w:t>；</w:t>
      </w:r>
    </w:p>
    <w:p w14:paraId="468705BB">
      <w:pPr>
        <w:spacing w:line="500" w:lineRule="exact"/>
        <w:ind w:firstLine="560" w:firstLineChars="200"/>
        <w:rPr>
          <w:rFonts w:eastAsia="仿宋_GB2312"/>
          <w:sz w:val="28"/>
          <w:szCs w:val="28"/>
        </w:rPr>
      </w:pPr>
      <w:r>
        <w:rPr>
          <w:rFonts w:eastAsia="仿宋_GB2312"/>
          <w:sz w:val="28"/>
          <w:szCs w:val="28"/>
        </w:rPr>
        <w:t>承包人提供的文件的期限为：</w:t>
      </w:r>
      <w:r>
        <w:rPr>
          <w:rFonts w:hint="eastAsia" w:eastAsia="仿宋_GB2312"/>
          <w:color w:val="000000"/>
          <w:sz w:val="28"/>
          <w:szCs w:val="28"/>
          <w:u w:val="single"/>
        </w:rPr>
        <w:t xml:space="preserve"> /  </w:t>
      </w:r>
      <w:r>
        <w:rPr>
          <w:rFonts w:eastAsia="仿宋_GB2312"/>
          <w:sz w:val="28"/>
          <w:szCs w:val="28"/>
        </w:rPr>
        <w:t>；</w:t>
      </w:r>
    </w:p>
    <w:p w14:paraId="44F3AD53">
      <w:pPr>
        <w:spacing w:line="500" w:lineRule="exact"/>
        <w:ind w:firstLine="560" w:firstLineChars="200"/>
        <w:rPr>
          <w:rFonts w:eastAsia="仿宋_GB2312"/>
          <w:sz w:val="28"/>
          <w:szCs w:val="28"/>
        </w:rPr>
      </w:pPr>
      <w:r>
        <w:rPr>
          <w:rFonts w:eastAsia="仿宋_GB2312"/>
          <w:sz w:val="28"/>
          <w:szCs w:val="28"/>
        </w:rPr>
        <w:t>承包人提供的文件的数量为：</w:t>
      </w:r>
      <w:r>
        <w:rPr>
          <w:rFonts w:hint="eastAsia" w:eastAsia="仿宋_GB2312"/>
          <w:color w:val="000000"/>
          <w:sz w:val="28"/>
          <w:szCs w:val="28"/>
          <w:u w:val="single"/>
        </w:rPr>
        <w:t xml:space="preserve"> /  </w:t>
      </w:r>
      <w:r>
        <w:rPr>
          <w:rFonts w:eastAsia="仿宋_GB2312"/>
          <w:sz w:val="28"/>
          <w:szCs w:val="28"/>
        </w:rPr>
        <w:t>；</w:t>
      </w:r>
    </w:p>
    <w:p w14:paraId="534D338D">
      <w:pPr>
        <w:spacing w:line="500" w:lineRule="exact"/>
        <w:ind w:firstLine="560" w:firstLineChars="200"/>
        <w:rPr>
          <w:rFonts w:eastAsia="仿宋_GB2312"/>
          <w:sz w:val="28"/>
          <w:szCs w:val="28"/>
        </w:rPr>
      </w:pPr>
      <w:r>
        <w:rPr>
          <w:rFonts w:eastAsia="仿宋_GB2312"/>
          <w:sz w:val="28"/>
          <w:szCs w:val="28"/>
        </w:rPr>
        <w:t>承包人提供的文件的形式为：</w:t>
      </w:r>
      <w:r>
        <w:rPr>
          <w:rFonts w:hint="eastAsia" w:eastAsia="仿宋_GB2312"/>
          <w:color w:val="000000"/>
          <w:sz w:val="28"/>
          <w:szCs w:val="28"/>
          <w:u w:val="single"/>
        </w:rPr>
        <w:t xml:space="preserve"> /  </w:t>
      </w:r>
      <w:r>
        <w:rPr>
          <w:rFonts w:eastAsia="仿宋_GB2312"/>
          <w:sz w:val="28"/>
          <w:szCs w:val="28"/>
        </w:rPr>
        <w:t>；</w:t>
      </w:r>
    </w:p>
    <w:p w14:paraId="53BF7F5D">
      <w:pPr>
        <w:spacing w:line="500" w:lineRule="exact"/>
        <w:ind w:left="559" w:leftChars="266"/>
        <w:rPr>
          <w:rFonts w:eastAsia="仿宋_GB2312"/>
          <w:sz w:val="28"/>
          <w:szCs w:val="28"/>
        </w:rPr>
      </w:pPr>
      <w:r>
        <w:rPr>
          <w:rFonts w:eastAsia="仿宋_GB2312"/>
          <w:sz w:val="28"/>
          <w:szCs w:val="28"/>
        </w:rPr>
        <w:t>发包人</w:t>
      </w:r>
      <w:r>
        <w:rPr>
          <w:rFonts w:hint="eastAsia" w:eastAsia="仿宋_GB2312"/>
          <w:sz w:val="28"/>
          <w:szCs w:val="28"/>
        </w:rPr>
        <w:t>审批</w:t>
      </w:r>
      <w:r>
        <w:rPr>
          <w:rFonts w:eastAsia="仿宋_GB2312"/>
          <w:sz w:val="28"/>
          <w:szCs w:val="28"/>
        </w:rPr>
        <w:t>承包人文件的期限：</w:t>
      </w:r>
      <w:r>
        <w:rPr>
          <w:rFonts w:hint="eastAsia" w:eastAsia="仿宋_GB2312"/>
          <w:color w:val="000000"/>
          <w:sz w:val="28"/>
          <w:szCs w:val="28"/>
          <w:u w:val="single"/>
        </w:rPr>
        <w:t xml:space="preserve"> /  </w:t>
      </w:r>
      <w:r>
        <w:rPr>
          <w:rFonts w:eastAsia="仿宋_GB2312"/>
          <w:sz w:val="28"/>
          <w:szCs w:val="28"/>
        </w:rPr>
        <w:t>。</w:t>
      </w:r>
    </w:p>
    <w:p w14:paraId="7485F623">
      <w:pPr>
        <w:spacing w:line="500" w:lineRule="exact"/>
        <w:ind w:left="559" w:leftChars="266"/>
        <w:rPr>
          <w:rFonts w:eastAsia="仿宋_GB2312"/>
          <w:sz w:val="28"/>
          <w:szCs w:val="28"/>
        </w:rPr>
      </w:pPr>
      <w:r>
        <w:rPr>
          <w:rFonts w:eastAsia="仿宋_GB2312"/>
          <w:sz w:val="28"/>
          <w:szCs w:val="28"/>
        </w:rPr>
        <w:t>1.6.5 现场图纸准备</w:t>
      </w:r>
    </w:p>
    <w:p w14:paraId="5240975F">
      <w:pPr>
        <w:spacing w:line="500" w:lineRule="exact"/>
        <w:ind w:firstLine="560" w:firstLineChars="200"/>
        <w:rPr>
          <w:rFonts w:eastAsia="仿宋_GB2312"/>
          <w:sz w:val="28"/>
          <w:szCs w:val="28"/>
        </w:rPr>
      </w:pPr>
      <w:r>
        <w:rPr>
          <w:rFonts w:eastAsia="仿宋_GB2312"/>
          <w:sz w:val="28"/>
          <w:szCs w:val="28"/>
        </w:rPr>
        <w:t>关于现场图纸准备的约定：</w:t>
      </w:r>
      <w:r>
        <w:rPr>
          <w:rFonts w:hint="eastAsia" w:eastAsia="仿宋_GB2312"/>
          <w:color w:val="000000"/>
          <w:sz w:val="28"/>
          <w:szCs w:val="28"/>
          <w:u w:val="single"/>
        </w:rPr>
        <w:t xml:space="preserve"> /  </w:t>
      </w:r>
      <w:r>
        <w:rPr>
          <w:rFonts w:eastAsia="仿宋_GB2312"/>
          <w:sz w:val="28"/>
          <w:szCs w:val="28"/>
          <w:u w:val="single"/>
        </w:rPr>
        <w:t></w:t>
      </w:r>
      <w:r>
        <w:rPr>
          <w:rFonts w:eastAsia="仿宋_GB2312"/>
          <w:sz w:val="28"/>
          <w:szCs w:val="28"/>
        </w:rPr>
        <w:t>。</w:t>
      </w:r>
    </w:p>
    <w:p w14:paraId="12FBFEB1">
      <w:pPr>
        <w:spacing w:after="120" w:line="500" w:lineRule="exact"/>
        <w:ind w:firstLine="560" w:firstLineChars="200"/>
        <w:outlineLvl w:val="0"/>
        <w:rPr>
          <w:rFonts w:eastAsia="黑体"/>
          <w:color w:val="000000"/>
          <w:sz w:val="28"/>
          <w:szCs w:val="28"/>
        </w:rPr>
      </w:pPr>
      <w:r>
        <w:rPr>
          <w:rFonts w:eastAsia="黑体"/>
          <w:color w:val="000000"/>
          <w:sz w:val="28"/>
          <w:szCs w:val="28"/>
        </w:rPr>
        <w:t>1.7 联络</w:t>
      </w:r>
    </w:p>
    <w:p w14:paraId="68668458">
      <w:pPr>
        <w:spacing w:line="500" w:lineRule="exact"/>
        <w:ind w:firstLine="560" w:firstLineChars="200"/>
        <w:rPr>
          <w:rFonts w:eastAsia="仿宋_GB2312"/>
          <w:color w:val="000000"/>
          <w:kern w:val="0"/>
          <w:sz w:val="28"/>
          <w:szCs w:val="28"/>
        </w:rPr>
      </w:pPr>
      <w:r>
        <w:rPr>
          <w:rFonts w:eastAsia="仿宋_GB2312"/>
          <w:color w:val="000000"/>
          <w:kern w:val="0"/>
          <w:sz w:val="28"/>
          <w:szCs w:val="28"/>
        </w:rPr>
        <w:t>1.7.1发包人和承包人应当在</w:t>
      </w:r>
      <w:r>
        <w:rPr>
          <w:rFonts w:hint="eastAsia" w:eastAsia="仿宋_GB2312"/>
          <w:sz w:val="28"/>
          <w:szCs w:val="28"/>
          <w:u w:val="single"/>
        </w:rPr>
        <w:t>3</w:t>
      </w:r>
      <w:r>
        <w:rPr>
          <w:rFonts w:eastAsia="仿宋_GB2312"/>
          <w:color w:val="000000"/>
          <w:kern w:val="0"/>
          <w:sz w:val="28"/>
          <w:szCs w:val="28"/>
        </w:rPr>
        <w:t>天内将与合同有关的通知、批准、证明、证书、指示、指令、要求、请求、同意、意见、确定和决定等书面函件送达对方当事人</w:t>
      </w:r>
      <w:r>
        <w:rPr>
          <w:rFonts w:hint="eastAsia" w:eastAsia="仿宋_GB2312"/>
          <w:color w:val="000000"/>
          <w:kern w:val="0"/>
          <w:sz w:val="28"/>
          <w:szCs w:val="28"/>
        </w:rPr>
        <w:t>。</w:t>
      </w:r>
    </w:p>
    <w:p w14:paraId="3FF01F14">
      <w:pPr>
        <w:spacing w:line="500" w:lineRule="exact"/>
        <w:ind w:firstLine="560" w:firstLineChars="200"/>
        <w:rPr>
          <w:rFonts w:eastAsia="仿宋_GB2312"/>
          <w:color w:val="000000"/>
          <w:kern w:val="0"/>
          <w:sz w:val="28"/>
          <w:szCs w:val="28"/>
        </w:rPr>
      </w:pPr>
      <w:r>
        <w:rPr>
          <w:rFonts w:eastAsia="仿宋_GB2312"/>
          <w:color w:val="000000"/>
          <w:kern w:val="0"/>
          <w:sz w:val="28"/>
          <w:szCs w:val="28"/>
        </w:rPr>
        <w:t>1.7.2 发包人接收文件的地点：</w:t>
      </w:r>
      <w:r>
        <w:rPr>
          <w:rFonts w:hint="eastAsia" w:eastAsia="仿宋_GB2312"/>
          <w:color w:val="000000"/>
          <w:sz w:val="28"/>
          <w:szCs w:val="28"/>
          <w:u w:val="single"/>
        </w:rPr>
        <w:t>北京市颐和园管理处</w:t>
      </w:r>
      <w:r>
        <w:rPr>
          <w:rFonts w:eastAsia="仿宋_GB2312"/>
          <w:color w:val="000000"/>
          <w:kern w:val="0"/>
          <w:sz w:val="28"/>
          <w:szCs w:val="28"/>
        </w:rPr>
        <w:t>；</w:t>
      </w:r>
    </w:p>
    <w:p w14:paraId="79E50672">
      <w:pPr>
        <w:spacing w:line="500" w:lineRule="exact"/>
        <w:ind w:firstLine="560" w:firstLineChars="200"/>
        <w:rPr>
          <w:rFonts w:eastAsia="仿宋_GB2312"/>
          <w:color w:val="000000"/>
          <w:kern w:val="0"/>
          <w:sz w:val="28"/>
          <w:szCs w:val="28"/>
        </w:rPr>
      </w:pPr>
      <w:r>
        <w:rPr>
          <w:rFonts w:eastAsia="仿宋_GB2312"/>
          <w:color w:val="000000"/>
          <w:kern w:val="0"/>
          <w:sz w:val="28"/>
          <w:szCs w:val="28"/>
        </w:rPr>
        <w:t>发包人指定的接收人为：</w:t>
      </w:r>
      <w:r>
        <w:rPr>
          <w:rFonts w:hint="eastAsia" w:eastAsia="仿宋_GB2312"/>
          <w:color w:val="000000"/>
          <w:kern w:val="0"/>
          <w:sz w:val="28"/>
          <w:szCs w:val="28"/>
          <w:u w:val="single"/>
        </w:rPr>
        <w:t xml:space="preserve">      </w:t>
      </w:r>
      <w:r>
        <w:rPr>
          <w:rFonts w:eastAsia="仿宋_GB2312"/>
          <w:color w:val="000000"/>
          <w:kern w:val="0"/>
          <w:sz w:val="28"/>
          <w:szCs w:val="28"/>
        </w:rPr>
        <w:t>。</w:t>
      </w:r>
    </w:p>
    <w:p w14:paraId="62354EDB">
      <w:pPr>
        <w:spacing w:line="500" w:lineRule="exact"/>
        <w:ind w:firstLine="560" w:firstLineChars="200"/>
        <w:rPr>
          <w:rFonts w:eastAsia="仿宋_GB2312"/>
          <w:color w:val="000000"/>
          <w:kern w:val="0"/>
          <w:sz w:val="28"/>
          <w:szCs w:val="28"/>
        </w:rPr>
      </w:pPr>
      <w:r>
        <w:rPr>
          <w:rFonts w:eastAsia="仿宋_GB2312"/>
          <w:color w:val="000000"/>
          <w:kern w:val="0"/>
          <w:sz w:val="28"/>
          <w:szCs w:val="28"/>
        </w:rPr>
        <w:t>承包人接收文件的地点：</w:t>
      </w:r>
      <w:r>
        <w:rPr>
          <w:rFonts w:hint="eastAsia" w:eastAsia="仿宋_GB2312"/>
          <w:color w:val="000000"/>
          <w:sz w:val="28"/>
          <w:szCs w:val="28"/>
          <w:u w:val="single"/>
        </w:rPr>
        <w:t>北京市颐和园管理处</w:t>
      </w:r>
      <w:r>
        <w:rPr>
          <w:rFonts w:eastAsia="仿宋_GB2312"/>
          <w:color w:val="000000"/>
          <w:kern w:val="0"/>
          <w:sz w:val="28"/>
          <w:szCs w:val="28"/>
        </w:rPr>
        <w:t>；</w:t>
      </w:r>
    </w:p>
    <w:p w14:paraId="321F02BF">
      <w:pPr>
        <w:spacing w:line="500" w:lineRule="exact"/>
        <w:ind w:firstLine="560" w:firstLineChars="200"/>
        <w:rPr>
          <w:rFonts w:eastAsia="仿宋_GB2312"/>
          <w:color w:val="000000"/>
          <w:kern w:val="0"/>
          <w:sz w:val="28"/>
          <w:szCs w:val="28"/>
        </w:rPr>
      </w:pPr>
      <w:r>
        <w:rPr>
          <w:rFonts w:eastAsia="仿宋_GB2312"/>
          <w:color w:val="000000"/>
          <w:kern w:val="0"/>
          <w:sz w:val="28"/>
          <w:szCs w:val="28"/>
        </w:rPr>
        <w:t>承包人指定的接收人为：</w:t>
      </w:r>
      <w:r>
        <w:rPr>
          <w:rFonts w:hint="eastAsia" w:eastAsia="仿宋_GB2312"/>
          <w:color w:val="000000"/>
          <w:kern w:val="0"/>
          <w:sz w:val="28"/>
          <w:szCs w:val="28"/>
          <w:u w:val="single"/>
        </w:rPr>
        <w:t xml:space="preserve">       </w:t>
      </w:r>
      <w:r>
        <w:rPr>
          <w:rFonts w:eastAsia="仿宋_GB2312"/>
          <w:color w:val="000000"/>
          <w:kern w:val="0"/>
          <w:sz w:val="28"/>
          <w:szCs w:val="28"/>
        </w:rPr>
        <w:t>。</w:t>
      </w:r>
    </w:p>
    <w:p w14:paraId="6AB93565">
      <w:pPr>
        <w:spacing w:line="500" w:lineRule="exact"/>
        <w:ind w:firstLine="560" w:firstLineChars="200"/>
        <w:rPr>
          <w:rFonts w:eastAsia="仿宋_GB2312"/>
          <w:color w:val="000000"/>
          <w:kern w:val="0"/>
          <w:sz w:val="28"/>
          <w:szCs w:val="28"/>
        </w:rPr>
      </w:pPr>
      <w:r>
        <w:rPr>
          <w:rFonts w:eastAsia="仿宋_GB2312"/>
          <w:color w:val="000000"/>
          <w:kern w:val="0"/>
          <w:sz w:val="28"/>
          <w:szCs w:val="28"/>
        </w:rPr>
        <w:t>监理人接收文件的地点：</w:t>
      </w:r>
      <w:r>
        <w:rPr>
          <w:rFonts w:hint="eastAsia" w:eastAsia="仿宋_GB2312"/>
          <w:color w:val="000000"/>
          <w:sz w:val="28"/>
          <w:szCs w:val="28"/>
          <w:u w:val="single"/>
        </w:rPr>
        <w:t>北京市颐和园管理处</w:t>
      </w:r>
      <w:r>
        <w:rPr>
          <w:rFonts w:eastAsia="仿宋_GB2312"/>
          <w:color w:val="000000"/>
          <w:kern w:val="0"/>
          <w:sz w:val="28"/>
          <w:szCs w:val="28"/>
        </w:rPr>
        <w:t>；</w:t>
      </w:r>
    </w:p>
    <w:p w14:paraId="5E4265FD">
      <w:pPr>
        <w:spacing w:line="500" w:lineRule="exact"/>
        <w:ind w:firstLine="560" w:firstLineChars="200"/>
        <w:rPr>
          <w:rFonts w:eastAsia="仿宋_GB2312"/>
          <w:color w:val="000000"/>
          <w:kern w:val="0"/>
          <w:sz w:val="28"/>
          <w:szCs w:val="28"/>
        </w:rPr>
      </w:pPr>
      <w:r>
        <w:rPr>
          <w:rFonts w:eastAsia="仿宋_GB2312"/>
          <w:color w:val="000000"/>
          <w:kern w:val="0"/>
          <w:sz w:val="28"/>
          <w:szCs w:val="28"/>
        </w:rPr>
        <w:t>监理人指定的接收人为</w:t>
      </w:r>
      <w:r>
        <w:rPr>
          <w:rFonts w:hint="eastAsia" w:eastAsia="仿宋_GB2312"/>
          <w:color w:val="000000"/>
          <w:kern w:val="0"/>
          <w:sz w:val="28"/>
          <w:szCs w:val="28"/>
        </w:rPr>
        <w:t>：</w:t>
      </w:r>
      <w:r>
        <w:rPr>
          <w:rFonts w:hint="eastAsia" w:eastAsia="仿宋_GB2312"/>
          <w:color w:val="000000"/>
          <w:kern w:val="0"/>
          <w:sz w:val="28"/>
          <w:szCs w:val="28"/>
          <w:u w:val="single"/>
        </w:rPr>
        <w:t xml:space="preserve">       </w:t>
      </w:r>
      <w:r>
        <w:rPr>
          <w:rFonts w:eastAsia="仿宋_GB2312"/>
          <w:color w:val="000000"/>
          <w:kern w:val="0"/>
          <w:sz w:val="28"/>
          <w:szCs w:val="28"/>
        </w:rPr>
        <w:t>。</w:t>
      </w:r>
    </w:p>
    <w:p w14:paraId="344F963E">
      <w:pPr>
        <w:spacing w:after="120" w:line="500" w:lineRule="exact"/>
        <w:ind w:firstLine="560" w:firstLineChars="200"/>
        <w:outlineLvl w:val="0"/>
        <w:rPr>
          <w:rFonts w:eastAsia="黑体"/>
          <w:color w:val="000000"/>
          <w:sz w:val="28"/>
          <w:szCs w:val="28"/>
        </w:rPr>
      </w:pPr>
      <w:r>
        <w:rPr>
          <w:rFonts w:eastAsia="黑体"/>
          <w:color w:val="000000"/>
          <w:sz w:val="28"/>
          <w:szCs w:val="28"/>
        </w:rPr>
        <w:t>1.10 交通运输</w:t>
      </w:r>
    </w:p>
    <w:p w14:paraId="6C43A19C">
      <w:pPr>
        <w:spacing w:line="500" w:lineRule="exact"/>
        <w:ind w:firstLine="560" w:firstLineChars="200"/>
        <w:outlineLvl w:val="0"/>
        <w:rPr>
          <w:rFonts w:eastAsia="仿宋_GB2312"/>
          <w:sz w:val="28"/>
          <w:szCs w:val="28"/>
        </w:rPr>
      </w:pPr>
      <w:r>
        <w:rPr>
          <w:rFonts w:eastAsia="仿宋_GB2312"/>
          <w:sz w:val="28"/>
          <w:szCs w:val="28"/>
        </w:rPr>
        <w:t>1</w:t>
      </w:r>
      <w:bookmarkStart w:id="1139" w:name="_Toc304295521"/>
      <w:bookmarkStart w:id="1140" w:name="_Toc303539100"/>
      <w:bookmarkStart w:id="1141" w:name="_Toc318581155"/>
      <w:bookmarkStart w:id="1142" w:name="_Toc300934943"/>
      <w:bookmarkStart w:id="1143" w:name="_Toc312677986"/>
      <w:r>
        <w:rPr>
          <w:rFonts w:eastAsia="仿宋_GB2312"/>
          <w:sz w:val="28"/>
          <w:szCs w:val="28"/>
        </w:rPr>
        <w:t>.10.1 出入现场的权利</w:t>
      </w:r>
    </w:p>
    <w:p w14:paraId="799BDCBF">
      <w:pPr>
        <w:spacing w:line="500" w:lineRule="exact"/>
        <w:ind w:firstLine="560" w:firstLineChars="200"/>
        <w:rPr>
          <w:rFonts w:eastAsia="仿宋_GB2312"/>
          <w:color w:val="000000"/>
          <w:sz w:val="28"/>
          <w:szCs w:val="28"/>
          <w:u w:val="single"/>
        </w:rPr>
      </w:pPr>
      <w:r>
        <w:rPr>
          <w:rFonts w:hint="eastAsia" w:eastAsia="仿宋_GB2312"/>
          <w:color w:val="000000"/>
          <w:sz w:val="28"/>
          <w:szCs w:val="28"/>
        </w:rPr>
        <w:t>关于出入现场的权利的约定：</w:t>
      </w:r>
      <w:r>
        <w:rPr>
          <w:rFonts w:hint="eastAsia" w:eastAsia="仿宋_GB2312"/>
          <w:color w:val="000000"/>
          <w:sz w:val="28"/>
          <w:szCs w:val="28"/>
          <w:u w:val="single"/>
        </w:rPr>
        <w:t>施工场地与公共道路的通道开通时间和要求：承包人施工不得影响发包人园内的正常管理，具体施工时间承包人须与发包人、监理协商沟通后实施。</w:t>
      </w:r>
    </w:p>
    <w:bookmarkEnd w:id="1139"/>
    <w:bookmarkEnd w:id="1140"/>
    <w:bookmarkEnd w:id="1141"/>
    <w:bookmarkEnd w:id="1142"/>
    <w:bookmarkEnd w:id="1143"/>
    <w:p w14:paraId="6B708DFC">
      <w:pPr>
        <w:spacing w:line="500" w:lineRule="exact"/>
        <w:ind w:firstLine="560" w:firstLineChars="200"/>
        <w:jc w:val="left"/>
        <w:outlineLvl w:val="0"/>
        <w:rPr>
          <w:rFonts w:eastAsia="仿宋_GB2312"/>
          <w:sz w:val="28"/>
          <w:szCs w:val="28"/>
        </w:rPr>
      </w:pPr>
      <w:r>
        <w:rPr>
          <w:rFonts w:eastAsia="仿宋_GB2312"/>
          <w:sz w:val="28"/>
          <w:szCs w:val="28"/>
        </w:rPr>
        <w:t>1</w:t>
      </w:r>
      <w:bookmarkStart w:id="1144" w:name="_Toc303539101"/>
      <w:bookmarkStart w:id="1145" w:name="_Toc312677987"/>
      <w:bookmarkStart w:id="1146" w:name="_Toc300934944"/>
      <w:bookmarkStart w:id="1147" w:name="_Toc304295522"/>
      <w:bookmarkStart w:id="1148" w:name="_Toc318581156"/>
      <w:r>
        <w:rPr>
          <w:rFonts w:eastAsia="仿宋_GB2312"/>
          <w:sz w:val="28"/>
          <w:szCs w:val="28"/>
        </w:rPr>
        <w:t>.10.3 场内交通</w:t>
      </w:r>
    </w:p>
    <w:p w14:paraId="5803ED76">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关于场外交通和场内交通的边界的约定：</w:t>
      </w:r>
      <w:r>
        <w:rPr>
          <w:rFonts w:hint="eastAsia" w:eastAsia="仿宋_GB2312"/>
          <w:color w:val="000000"/>
          <w:sz w:val="28"/>
          <w:szCs w:val="28"/>
          <w:u w:val="single"/>
        </w:rPr>
        <w:t>/</w:t>
      </w:r>
      <w:r>
        <w:rPr>
          <w:rFonts w:eastAsia="仿宋_GB2312"/>
          <w:sz w:val="28"/>
          <w:szCs w:val="28"/>
        </w:rPr>
        <w:t>。</w:t>
      </w:r>
    </w:p>
    <w:p w14:paraId="29B9BDE2">
      <w:pPr>
        <w:spacing w:line="500" w:lineRule="exact"/>
        <w:ind w:firstLine="560" w:firstLineChars="200"/>
        <w:jc w:val="left"/>
        <w:rPr>
          <w:rFonts w:eastAsia="仿宋_GB2312"/>
          <w:sz w:val="28"/>
          <w:szCs w:val="28"/>
        </w:rPr>
      </w:pPr>
      <w:r>
        <w:rPr>
          <w:rFonts w:eastAsia="仿宋_GB2312"/>
          <w:sz w:val="28"/>
          <w:szCs w:val="28"/>
        </w:rPr>
        <w:t>关于发包人向承包人免费提供满足工程施工需要的场内道路和交通设施的约定：</w:t>
      </w:r>
      <w:r>
        <w:rPr>
          <w:rFonts w:hint="eastAsia" w:eastAsia="仿宋_GB2312"/>
          <w:color w:val="000000"/>
          <w:sz w:val="28"/>
          <w:szCs w:val="28"/>
          <w:u w:val="single"/>
        </w:rPr>
        <w:t>/</w:t>
      </w:r>
      <w:r>
        <w:rPr>
          <w:rFonts w:eastAsia="仿宋_GB2312"/>
          <w:sz w:val="28"/>
          <w:szCs w:val="28"/>
        </w:rPr>
        <w:t>。</w:t>
      </w:r>
      <w:bookmarkEnd w:id="1144"/>
      <w:bookmarkEnd w:id="1145"/>
      <w:bookmarkEnd w:id="1146"/>
      <w:bookmarkEnd w:id="1147"/>
      <w:bookmarkEnd w:id="1148"/>
      <w:r>
        <w:rPr>
          <w:rFonts w:eastAsia="仿宋_GB2312"/>
          <w:sz w:val="28"/>
          <w:szCs w:val="28"/>
        </w:rPr>
        <w:t xml:space="preserve">  </w:t>
      </w:r>
      <w:bookmarkStart w:id="1149" w:name="_Toc318581157"/>
    </w:p>
    <w:p w14:paraId="55B63DCC">
      <w:pPr>
        <w:spacing w:line="500" w:lineRule="exact"/>
        <w:ind w:firstLine="560" w:firstLineChars="200"/>
        <w:jc w:val="left"/>
        <w:rPr>
          <w:rFonts w:eastAsia="仿宋_GB2312"/>
          <w:sz w:val="28"/>
          <w:szCs w:val="28"/>
        </w:rPr>
      </w:pPr>
      <w:r>
        <w:rPr>
          <w:rFonts w:eastAsia="仿宋_GB2312"/>
          <w:sz w:val="28"/>
          <w:szCs w:val="28"/>
        </w:rPr>
        <w:t>1.10.4超大件和超重件的运输</w:t>
      </w:r>
    </w:p>
    <w:p w14:paraId="4B6DABE0">
      <w:pPr>
        <w:spacing w:line="500" w:lineRule="exact"/>
        <w:ind w:firstLine="560" w:firstLineChars="200"/>
        <w:jc w:val="left"/>
        <w:rPr>
          <w:rFonts w:eastAsia="仿宋_GB2312"/>
          <w:sz w:val="28"/>
          <w:szCs w:val="28"/>
        </w:rPr>
      </w:pPr>
      <w:r>
        <w:rPr>
          <w:rFonts w:eastAsia="仿宋_GB2312"/>
          <w:sz w:val="28"/>
          <w:szCs w:val="28"/>
        </w:rPr>
        <w:t>运输超大件或超重件所需的道路和桥梁临时加固改造费用和其他有关费用由</w:t>
      </w:r>
      <w:r>
        <w:rPr>
          <w:rFonts w:hint="eastAsia" w:eastAsia="仿宋_GB2312"/>
          <w:sz w:val="28"/>
          <w:szCs w:val="28"/>
          <w:u w:val="single"/>
        </w:rPr>
        <w:t>/</w:t>
      </w:r>
      <w:r>
        <w:rPr>
          <w:rFonts w:eastAsia="仿宋_GB2312"/>
          <w:sz w:val="28"/>
          <w:szCs w:val="28"/>
        </w:rPr>
        <w:t>承担。</w:t>
      </w:r>
    </w:p>
    <w:bookmarkEnd w:id="1149"/>
    <w:p w14:paraId="49679860">
      <w:pPr>
        <w:spacing w:after="120" w:line="500" w:lineRule="exact"/>
        <w:ind w:firstLine="560" w:firstLineChars="200"/>
        <w:outlineLvl w:val="0"/>
        <w:rPr>
          <w:rFonts w:eastAsia="黑体"/>
          <w:color w:val="000000"/>
          <w:sz w:val="28"/>
          <w:szCs w:val="28"/>
        </w:rPr>
      </w:pPr>
      <w:r>
        <w:rPr>
          <w:rFonts w:eastAsia="黑体"/>
          <w:color w:val="000000"/>
          <w:sz w:val="28"/>
          <w:szCs w:val="28"/>
        </w:rPr>
        <w:t>1.11 知识产权</w:t>
      </w:r>
    </w:p>
    <w:p w14:paraId="264D7936">
      <w:pPr>
        <w:spacing w:line="500" w:lineRule="exact"/>
        <w:ind w:firstLine="560" w:firstLineChars="200"/>
        <w:rPr>
          <w:rFonts w:eastAsia="仿宋_GB2312"/>
          <w:color w:val="000000"/>
          <w:sz w:val="28"/>
          <w:szCs w:val="28"/>
        </w:rPr>
      </w:pPr>
      <w:r>
        <w:rPr>
          <w:rFonts w:eastAsia="仿宋_GB2312"/>
          <w:color w:val="000000"/>
          <w:sz w:val="28"/>
          <w:szCs w:val="28"/>
        </w:rPr>
        <w:t>1.11.1关于发包人提供给承包人的图纸、发包人为实施工程自行编制或委托编制的技术规范以及反映发包人关于合同要求或其他类似性质的文件的著作权的归属：</w:t>
      </w:r>
      <w:r>
        <w:rPr>
          <w:rFonts w:hint="eastAsia" w:eastAsia="仿宋_GB2312"/>
          <w:color w:val="000000"/>
          <w:sz w:val="28"/>
          <w:szCs w:val="28"/>
          <w:u w:val="single"/>
        </w:rPr>
        <w:t>/</w:t>
      </w:r>
      <w:r>
        <w:rPr>
          <w:rFonts w:eastAsia="仿宋_GB2312"/>
          <w:color w:val="000000"/>
          <w:sz w:val="28"/>
          <w:szCs w:val="28"/>
        </w:rPr>
        <w:t>。</w:t>
      </w:r>
    </w:p>
    <w:p w14:paraId="052FDA66">
      <w:pPr>
        <w:spacing w:line="500" w:lineRule="exact"/>
        <w:rPr>
          <w:rFonts w:eastAsia="仿宋_GB2312"/>
          <w:color w:val="000000"/>
          <w:sz w:val="28"/>
          <w:szCs w:val="28"/>
        </w:rPr>
      </w:pPr>
      <w:r>
        <w:rPr>
          <w:rFonts w:eastAsia="仿宋_GB2312"/>
          <w:color w:val="000000"/>
          <w:sz w:val="28"/>
          <w:szCs w:val="28"/>
        </w:rPr>
        <w:t>关于发包人提供的上述文件的使用限制的要求：</w:t>
      </w:r>
      <w:r>
        <w:rPr>
          <w:rFonts w:hint="eastAsia" w:eastAsia="仿宋_GB2312"/>
          <w:color w:val="000000"/>
          <w:sz w:val="28"/>
          <w:szCs w:val="28"/>
          <w:u w:val="single"/>
        </w:rPr>
        <w:t>/</w:t>
      </w:r>
      <w:r>
        <w:rPr>
          <w:rFonts w:eastAsia="仿宋_GB2312"/>
          <w:color w:val="000000"/>
          <w:sz w:val="28"/>
          <w:szCs w:val="28"/>
        </w:rPr>
        <w:t>。</w:t>
      </w:r>
    </w:p>
    <w:p w14:paraId="17DA1D00">
      <w:pPr>
        <w:spacing w:line="500" w:lineRule="exact"/>
        <w:ind w:firstLine="560" w:firstLineChars="200"/>
        <w:rPr>
          <w:rFonts w:eastAsia="仿宋_GB2312"/>
          <w:color w:val="000000"/>
          <w:sz w:val="28"/>
          <w:szCs w:val="28"/>
        </w:rPr>
      </w:pPr>
      <w:r>
        <w:rPr>
          <w:rFonts w:eastAsia="仿宋_GB2312"/>
          <w:color w:val="000000"/>
          <w:sz w:val="28"/>
          <w:szCs w:val="28"/>
        </w:rPr>
        <w:t>1.11.2 关于承包人为实施工程所编制文件的著作权的归属：</w:t>
      </w:r>
      <w:r>
        <w:rPr>
          <w:rFonts w:hint="eastAsia" w:eastAsia="仿宋_GB2312"/>
          <w:color w:val="000000"/>
          <w:sz w:val="28"/>
          <w:szCs w:val="28"/>
          <w:u w:val="single"/>
        </w:rPr>
        <w:t>/</w:t>
      </w:r>
      <w:r>
        <w:rPr>
          <w:rFonts w:eastAsia="仿宋_GB2312"/>
          <w:color w:val="000000"/>
          <w:sz w:val="28"/>
          <w:szCs w:val="28"/>
        </w:rPr>
        <w:t>。</w:t>
      </w:r>
    </w:p>
    <w:p w14:paraId="25974758">
      <w:pPr>
        <w:spacing w:line="500" w:lineRule="exact"/>
        <w:rPr>
          <w:rFonts w:eastAsia="仿宋_GB2312"/>
          <w:color w:val="000000"/>
          <w:sz w:val="28"/>
          <w:szCs w:val="28"/>
        </w:rPr>
      </w:pPr>
      <w:r>
        <w:rPr>
          <w:rFonts w:eastAsia="仿宋_GB2312"/>
          <w:color w:val="000000"/>
          <w:sz w:val="28"/>
          <w:szCs w:val="28"/>
        </w:rPr>
        <w:t>关于承包人提供的上述文件的使用限制的要求：</w:t>
      </w:r>
      <w:r>
        <w:rPr>
          <w:rFonts w:hint="eastAsia" w:eastAsia="仿宋_GB2312"/>
          <w:color w:val="000000"/>
          <w:sz w:val="28"/>
          <w:szCs w:val="28"/>
          <w:u w:val="single"/>
        </w:rPr>
        <w:t>/</w:t>
      </w:r>
      <w:r>
        <w:rPr>
          <w:rFonts w:eastAsia="仿宋_GB2312"/>
          <w:color w:val="000000"/>
          <w:sz w:val="28"/>
          <w:szCs w:val="28"/>
        </w:rPr>
        <w:t>。</w:t>
      </w:r>
    </w:p>
    <w:p w14:paraId="3798B33E">
      <w:pPr>
        <w:spacing w:line="500" w:lineRule="exact"/>
        <w:ind w:firstLine="560" w:firstLineChars="200"/>
        <w:outlineLvl w:val="0"/>
        <w:rPr>
          <w:rFonts w:eastAsia="仿宋_GB2312"/>
          <w:color w:val="000000"/>
          <w:kern w:val="0"/>
          <w:sz w:val="28"/>
          <w:szCs w:val="28"/>
        </w:rPr>
      </w:pPr>
      <w:r>
        <w:rPr>
          <w:rFonts w:eastAsia="仿宋_GB2312"/>
          <w:color w:val="000000"/>
          <w:sz w:val="28"/>
          <w:szCs w:val="28"/>
        </w:rPr>
        <w:t>1.11.4 承包人在施工过程中所采用的专利、专有技术、技术秘密的使用费的承担方式：</w:t>
      </w:r>
      <w:r>
        <w:rPr>
          <w:rFonts w:hint="eastAsia" w:eastAsia="仿宋_GB2312"/>
          <w:color w:val="000000"/>
          <w:sz w:val="28"/>
          <w:szCs w:val="28"/>
          <w:u w:val="single"/>
        </w:rPr>
        <w:t>/</w:t>
      </w:r>
      <w:r>
        <w:rPr>
          <w:rFonts w:eastAsia="仿宋_GB2312"/>
          <w:color w:val="000000"/>
          <w:kern w:val="0"/>
          <w:sz w:val="28"/>
          <w:szCs w:val="28"/>
        </w:rPr>
        <w:t>。</w:t>
      </w:r>
    </w:p>
    <w:p w14:paraId="782114CE">
      <w:pPr>
        <w:spacing w:after="120" w:line="500" w:lineRule="exact"/>
        <w:ind w:firstLine="560" w:firstLineChars="200"/>
        <w:rPr>
          <w:rFonts w:eastAsia="黑体"/>
          <w:color w:val="000000"/>
          <w:sz w:val="28"/>
          <w:szCs w:val="28"/>
        </w:rPr>
      </w:pPr>
      <w:r>
        <w:rPr>
          <w:rFonts w:eastAsia="黑体"/>
          <w:color w:val="000000"/>
          <w:sz w:val="28"/>
          <w:szCs w:val="28"/>
        </w:rPr>
        <w:t>1.13工程量清单错误的修正</w:t>
      </w:r>
    </w:p>
    <w:p w14:paraId="28282763">
      <w:pPr>
        <w:spacing w:line="500" w:lineRule="exact"/>
        <w:ind w:firstLine="560" w:firstLineChars="200"/>
        <w:rPr>
          <w:rFonts w:eastAsia="仿宋_GB2312"/>
          <w:color w:val="000000"/>
          <w:sz w:val="28"/>
          <w:szCs w:val="28"/>
        </w:rPr>
      </w:pPr>
      <w:r>
        <w:rPr>
          <w:rFonts w:hint="eastAsia" w:eastAsia="仿宋_GB2312"/>
          <w:color w:val="000000"/>
          <w:sz w:val="28"/>
          <w:szCs w:val="28"/>
        </w:rPr>
        <w:t>出现工程量清单错误时，是否调整合同价格：</w:t>
      </w:r>
      <w:r>
        <w:rPr>
          <w:rFonts w:hint="eastAsia" w:eastAsia="仿宋_GB2312"/>
          <w:color w:val="000000"/>
          <w:sz w:val="28"/>
          <w:szCs w:val="28"/>
          <w:u w:val="single"/>
        </w:rPr>
        <w:t>/</w:t>
      </w:r>
      <w:r>
        <w:rPr>
          <w:rFonts w:eastAsia="仿宋_GB2312"/>
          <w:color w:val="000000"/>
          <w:kern w:val="0"/>
          <w:sz w:val="28"/>
          <w:szCs w:val="28"/>
        </w:rPr>
        <w:t>。</w:t>
      </w:r>
    </w:p>
    <w:p w14:paraId="277BC0E1">
      <w:pPr>
        <w:spacing w:line="500" w:lineRule="exact"/>
        <w:ind w:firstLine="560" w:firstLineChars="200"/>
        <w:rPr>
          <w:rFonts w:eastAsia="仿宋_GB2312"/>
          <w:color w:val="000000"/>
          <w:sz w:val="28"/>
          <w:szCs w:val="28"/>
        </w:rPr>
      </w:pPr>
      <w:r>
        <w:rPr>
          <w:rFonts w:eastAsia="仿宋_GB2312"/>
          <w:color w:val="000000"/>
          <w:sz w:val="28"/>
          <w:szCs w:val="28"/>
        </w:rPr>
        <w:t>允许调整合同价格的工程量偏差范围：</w:t>
      </w:r>
      <w:r>
        <w:rPr>
          <w:rFonts w:hint="eastAsia" w:eastAsia="仿宋_GB2312"/>
          <w:color w:val="000000"/>
          <w:sz w:val="28"/>
          <w:szCs w:val="28"/>
          <w:u w:val="single"/>
        </w:rPr>
        <w:t>/</w:t>
      </w:r>
      <w:r>
        <w:rPr>
          <w:rFonts w:eastAsia="仿宋_GB2312"/>
          <w:color w:val="000000"/>
          <w:kern w:val="0"/>
          <w:sz w:val="28"/>
          <w:szCs w:val="28"/>
        </w:rPr>
        <w:t>。</w:t>
      </w:r>
    </w:p>
    <w:p w14:paraId="51A34F41">
      <w:pPr>
        <w:pStyle w:val="6"/>
        <w:spacing w:before="120" w:after="120" w:line="500" w:lineRule="exact"/>
        <w:rPr>
          <w:rFonts w:ascii="Times New Roman" w:hAnsi="Times New Roman"/>
          <w:b w:val="0"/>
          <w:color w:val="000000"/>
        </w:rPr>
      </w:pPr>
      <w:bookmarkStart w:id="1150" w:name="_Toc351203634"/>
      <w:r>
        <w:rPr>
          <w:rFonts w:ascii="Times New Roman" w:hAnsi="Times New Roman"/>
          <w:b w:val="0"/>
          <w:color w:val="000000"/>
        </w:rPr>
        <w:t>2</w:t>
      </w:r>
      <w:bookmarkStart w:id="1151" w:name="_Toc296503157"/>
      <w:bookmarkStart w:id="1152" w:name="_Toc296346658"/>
      <w:bookmarkStart w:id="1153" w:name="_Toc296890985"/>
      <w:bookmarkStart w:id="1154" w:name="_Toc296347156"/>
      <w:bookmarkStart w:id="1155" w:name="_Toc292559362"/>
      <w:bookmarkStart w:id="1156" w:name="_Toc296944496"/>
      <w:bookmarkStart w:id="1157" w:name="_Toc292559867"/>
      <w:bookmarkStart w:id="1158" w:name="_Toc297120457"/>
      <w:bookmarkStart w:id="1159" w:name="_Toc297048343"/>
      <w:bookmarkStart w:id="1160" w:name="_Toc296891197"/>
      <w:r>
        <w:rPr>
          <w:rFonts w:ascii="Times New Roman" w:hAnsi="Times New Roman"/>
          <w:b w:val="0"/>
          <w:color w:val="000000"/>
        </w:rPr>
        <w:t>. 发包人</w:t>
      </w:r>
      <w:bookmarkEnd w:id="1150"/>
    </w:p>
    <w:bookmarkEnd w:id="1151"/>
    <w:bookmarkEnd w:id="1152"/>
    <w:bookmarkEnd w:id="1153"/>
    <w:bookmarkEnd w:id="1154"/>
    <w:bookmarkEnd w:id="1155"/>
    <w:bookmarkEnd w:id="1156"/>
    <w:bookmarkEnd w:id="1157"/>
    <w:bookmarkEnd w:id="1158"/>
    <w:bookmarkEnd w:id="1159"/>
    <w:bookmarkEnd w:id="1160"/>
    <w:p w14:paraId="01245073">
      <w:pPr>
        <w:spacing w:after="120" w:line="500" w:lineRule="exact"/>
        <w:ind w:firstLine="560" w:firstLineChars="200"/>
        <w:outlineLvl w:val="0"/>
        <w:rPr>
          <w:rFonts w:eastAsia="黑体"/>
          <w:color w:val="000000"/>
          <w:sz w:val="28"/>
          <w:szCs w:val="28"/>
        </w:rPr>
      </w:pPr>
      <w:r>
        <w:rPr>
          <w:rFonts w:eastAsia="黑体"/>
          <w:color w:val="000000"/>
          <w:sz w:val="28"/>
          <w:szCs w:val="28"/>
        </w:rPr>
        <w:t>2.2 发包人代表</w:t>
      </w:r>
    </w:p>
    <w:p w14:paraId="692F0B77">
      <w:pPr>
        <w:spacing w:line="500" w:lineRule="exact"/>
        <w:ind w:firstLine="560" w:firstLineChars="200"/>
        <w:rPr>
          <w:rFonts w:eastAsia="仿宋_GB2312"/>
          <w:color w:val="000000"/>
          <w:sz w:val="28"/>
          <w:szCs w:val="28"/>
        </w:rPr>
      </w:pPr>
      <w:r>
        <w:rPr>
          <w:rFonts w:eastAsia="仿宋_GB2312"/>
          <w:color w:val="000000"/>
          <w:sz w:val="28"/>
          <w:szCs w:val="28"/>
        </w:rPr>
        <w:t>发包人代表：</w:t>
      </w:r>
    </w:p>
    <w:p w14:paraId="4CD7BD35">
      <w:pPr>
        <w:spacing w:line="500" w:lineRule="exact"/>
        <w:ind w:firstLine="560" w:firstLineChars="200"/>
        <w:rPr>
          <w:rFonts w:eastAsia="仿宋_GB2312"/>
          <w:sz w:val="28"/>
          <w:szCs w:val="28"/>
        </w:rPr>
      </w:pPr>
      <w:r>
        <w:rPr>
          <w:rFonts w:eastAsia="仿宋_GB2312"/>
          <w:sz w:val="28"/>
          <w:szCs w:val="28"/>
        </w:rPr>
        <w:t>姓    名：</w:t>
      </w:r>
      <w:r>
        <w:rPr>
          <w:rFonts w:hint="eastAsia" w:eastAsia="仿宋_GB2312"/>
          <w:sz w:val="28"/>
          <w:szCs w:val="28"/>
          <w:u w:val="single"/>
        </w:rPr>
        <w:t>王晨</w:t>
      </w:r>
      <w:r>
        <w:rPr>
          <w:rFonts w:eastAsia="仿宋_GB2312"/>
          <w:sz w:val="28"/>
          <w:szCs w:val="28"/>
        </w:rPr>
        <w:t>；</w:t>
      </w:r>
    </w:p>
    <w:p w14:paraId="0B826B8E">
      <w:pPr>
        <w:spacing w:line="500" w:lineRule="exact"/>
        <w:ind w:firstLine="560" w:firstLineChars="200"/>
        <w:rPr>
          <w:rFonts w:eastAsia="仿宋_GB2312"/>
          <w:sz w:val="28"/>
          <w:szCs w:val="28"/>
        </w:rPr>
      </w:pPr>
      <w:r>
        <w:rPr>
          <w:rFonts w:eastAsia="仿宋_GB2312"/>
          <w:sz w:val="28"/>
          <w:szCs w:val="28"/>
        </w:rPr>
        <w:t>身份证号：</w:t>
      </w:r>
      <w:r>
        <w:rPr>
          <w:rFonts w:hint="eastAsia" w:eastAsia="仿宋_GB2312"/>
          <w:sz w:val="28"/>
          <w:szCs w:val="28"/>
          <w:u w:val="single"/>
        </w:rPr>
        <w:t>110108198607061212</w:t>
      </w:r>
      <w:r>
        <w:rPr>
          <w:rFonts w:eastAsia="仿宋_GB2312"/>
          <w:sz w:val="28"/>
          <w:szCs w:val="28"/>
        </w:rPr>
        <w:t>；</w:t>
      </w:r>
    </w:p>
    <w:p w14:paraId="2564DD23">
      <w:pPr>
        <w:spacing w:line="500" w:lineRule="exact"/>
        <w:ind w:firstLine="560" w:firstLineChars="200"/>
        <w:rPr>
          <w:rFonts w:eastAsia="仿宋_GB2312"/>
          <w:sz w:val="28"/>
          <w:szCs w:val="28"/>
        </w:rPr>
      </w:pPr>
      <w:r>
        <w:rPr>
          <w:rFonts w:eastAsia="仿宋_GB2312"/>
          <w:sz w:val="28"/>
          <w:szCs w:val="28"/>
        </w:rPr>
        <w:t>职    务：</w:t>
      </w:r>
      <w:r>
        <w:rPr>
          <w:rFonts w:hint="eastAsia" w:eastAsia="仿宋_GB2312"/>
          <w:sz w:val="28"/>
          <w:szCs w:val="28"/>
          <w:u w:val="single"/>
        </w:rPr>
        <w:t>副队长</w:t>
      </w:r>
      <w:r>
        <w:rPr>
          <w:rFonts w:eastAsia="仿宋_GB2312"/>
          <w:sz w:val="28"/>
          <w:szCs w:val="28"/>
        </w:rPr>
        <w:t>；</w:t>
      </w:r>
    </w:p>
    <w:p w14:paraId="2984442F">
      <w:pPr>
        <w:spacing w:line="500" w:lineRule="exact"/>
        <w:ind w:firstLine="560" w:firstLineChars="200"/>
        <w:rPr>
          <w:rFonts w:eastAsia="仿宋_GB2312"/>
          <w:sz w:val="28"/>
          <w:szCs w:val="28"/>
        </w:rPr>
      </w:pPr>
      <w:r>
        <w:rPr>
          <w:rFonts w:eastAsia="仿宋_GB2312"/>
          <w:sz w:val="28"/>
          <w:szCs w:val="28"/>
        </w:rPr>
        <w:t>联系电话：</w:t>
      </w:r>
      <w:r>
        <w:rPr>
          <w:rFonts w:hint="eastAsia" w:eastAsia="仿宋_GB2312"/>
          <w:sz w:val="28"/>
          <w:szCs w:val="28"/>
          <w:u w:val="single"/>
        </w:rPr>
        <w:t>62881144-6740</w:t>
      </w:r>
      <w:r>
        <w:rPr>
          <w:rFonts w:eastAsia="仿宋_GB2312"/>
          <w:sz w:val="28"/>
          <w:szCs w:val="28"/>
        </w:rPr>
        <w:t>；</w:t>
      </w:r>
    </w:p>
    <w:p w14:paraId="523888F4">
      <w:pPr>
        <w:spacing w:line="500" w:lineRule="exact"/>
        <w:ind w:firstLine="560" w:firstLineChars="200"/>
        <w:rPr>
          <w:rFonts w:eastAsia="仿宋_GB2312"/>
          <w:sz w:val="28"/>
          <w:szCs w:val="28"/>
        </w:rPr>
      </w:pPr>
      <w:r>
        <w:rPr>
          <w:rFonts w:eastAsia="仿宋_GB2312"/>
          <w:sz w:val="28"/>
          <w:szCs w:val="28"/>
        </w:rPr>
        <w:t>电子信箱：</w:t>
      </w:r>
      <w:r>
        <w:rPr>
          <w:rFonts w:eastAsia="仿宋_GB2312"/>
          <w:sz w:val="28"/>
          <w:szCs w:val="28"/>
          <w:u w:val="single"/>
        </w:rPr>
        <w:t></w:t>
      </w:r>
      <w:r>
        <w:rPr>
          <w:rFonts w:hint="eastAsia" w:eastAsia="仿宋_GB2312"/>
          <w:sz w:val="28"/>
          <w:szCs w:val="28"/>
          <w:u w:val="single"/>
        </w:rPr>
        <w:t>/</w:t>
      </w:r>
      <w:r>
        <w:rPr>
          <w:rFonts w:eastAsia="仿宋_GB2312"/>
          <w:sz w:val="28"/>
          <w:szCs w:val="28"/>
          <w:u w:val="single"/>
        </w:rPr>
        <w:t xml:space="preserve"> </w:t>
      </w:r>
      <w:r>
        <w:rPr>
          <w:rFonts w:eastAsia="仿宋_GB2312"/>
          <w:sz w:val="28"/>
          <w:szCs w:val="28"/>
        </w:rPr>
        <w:t>；</w:t>
      </w:r>
    </w:p>
    <w:p w14:paraId="5DEAD639">
      <w:pPr>
        <w:spacing w:line="500" w:lineRule="exact"/>
        <w:ind w:firstLine="560" w:firstLineChars="200"/>
        <w:rPr>
          <w:rFonts w:eastAsia="仿宋_GB2312"/>
          <w:sz w:val="28"/>
          <w:szCs w:val="28"/>
        </w:rPr>
      </w:pPr>
      <w:r>
        <w:rPr>
          <w:rFonts w:eastAsia="仿宋_GB2312"/>
          <w:sz w:val="28"/>
          <w:szCs w:val="28"/>
        </w:rPr>
        <w:t>通信地址：</w:t>
      </w:r>
      <w:r>
        <w:rPr>
          <w:rFonts w:hint="eastAsia" w:eastAsia="仿宋_GB2312"/>
          <w:bCs/>
          <w:color w:val="000000"/>
          <w:sz w:val="28"/>
          <w:szCs w:val="28"/>
          <w:u w:val="single"/>
        </w:rPr>
        <w:t>北京市海淀区宫门前街甲23号</w:t>
      </w:r>
      <w:r>
        <w:rPr>
          <w:rFonts w:eastAsia="仿宋_GB2312"/>
          <w:sz w:val="28"/>
          <w:szCs w:val="28"/>
        </w:rPr>
        <w:t>。</w:t>
      </w:r>
    </w:p>
    <w:p w14:paraId="152943E4">
      <w:pPr>
        <w:spacing w:line="500" w:lineRule="exact"/>
        <w:ind w:firstLine="560" w:firstLineChars="200"/>
        <w:rPr>
          <w:rFonts w:eastAsia="仿宋_GB2312"/>
          <w:b/>
          <w:color w:val="000000"/>
          <w:sz w:val="28"/>
          <w:szCs w:val="28"/>
        </w:rPr>
      </w:pPr>
      <w:r>
        <w:rPr>
          <w:rFonts w:eastAsia="仿宋_GB2312"/>
          <w:color w:val="000000"/>
          <w:sz w:val="28"/>
          <w:szCs w:val="28"/>
        </w:rPr>
        <w:t>发包人对发包人代表的授权范围如</w:t>
      </w:r>
      <w:r>
        <w:rPr>
          <w:rFonts w:hint="eastAsia" w:eastAsia="仿宋_GB2312"/>
          <w:color w:val="000000"/>
          <w:sz w:val="28"/>
          <w:szCs w:val="28"/>
        </w:rPr>
        <w:t>下：</w:t>
      </w:r>
      <w:r>
        <w:rPr>
          <w:rFonts w:hint="eastAsia" w:eastAsia="仿宋_GB2312"/>
          <w:color w:val="000000"/>
          <w:sz w:val="28"/>
          <w:szCs w:val="28"/>
          <w:u w:val="single"/>
        </w:rPr>
        <w:t>负责发包人工程范围内的相关职责。</w:t>
      </w:r>
    </w:p>
    <w:p w14:paraId="6B1E4CFB">
      <w:pPr>
        <w:spacing w:after="120" w:line="500" w:lineRule="exact"/>
        <w:ind w:firstLine="560" w:firstLineChars="200"/>
        <w:outlineLvl w:val="0"/>
        <w:rPr>
          <w:rFonts w:eastAsia="黑体"/>
          <w:color w:val="000000"/>
          <w:sz w:val="28"/>
          <w:szCs w:val="28"/>
        </w:rPr>
      </w:pPr>
      <w:r>
        <w:rPr>
          <w:rFonts w:eastAsia="黑体"/>
          <w:color w:val="000000"/>
          <w:sz w:val="28"/>
          <w:szCs w:val="28"/>
        </w:rPr>
        <w:t>2.4 施工现场、施工条件和基础资料的提供</w:t>
      </w:r>
    </w:p>
    <w:p w14:paraId="047C1A25">
      <w:pPr>
        <w:spacing w:line="500" w:lineRule="exact"/>
        <w:ind w:firstLine="560" w:firstLineChars="200"/>
        <w:rPr>
          <w:rFonts w:eastAsia="仿宋_GB2312"/>
          <w:color w:val="000000"/>
          <w:sz w:val="28"/>
          <w:szCs w:val="28"/>
        </w:rPr>
      </w:pPr>
      <w:r>
        <w:rPr>
          <w:rFonts w:eastAsia="仿宋_GB2312"/>
          <w:color w:val="000000"/>
          <w:sz w:val="28"/>
          <w:szCs w:val="28"/>
        </w:rPr>
        <w:t>2.4.1 提供施工现场</w:t>
      </w:r>
    </w:p>
    <w:p w14:paraId="2803B2B8">
      <w:pPr>
        <w:spacing w:line="500" w:lineRule="exact"/>
        <w:ind w:firstLine="560" w:firstLineChars="200"/>
        <w:jc w:val="left"/>
        <w:rPr>
          <w:rFonts w:eastAsia="仿宋_GB2312"/>
          <w:color w:val="000000"/>
          <w:sz w:val="28"/>
          <w:szCs w:val="28"/>
          <w:u w:val="single"/>
        </w:rPr>
      </w:pPr>
      <w:r>
        <w:rPr>
          <w:rFonts w:eastAsia="仿宋_GB2312"/>
          <w:color w:val="000000"/>
          <w:sz w:val="28"/>
          <w:szCs w:val="28"/>
        </w:rPr>
        <w:t>关于发包人移交施工现场的期限要求：</w:t>
      </w:r>
      <w:r>
        <w:rPr>
          <w:rFonts w:hint="eastAsia" w:eastAsia="仿宋_GB2312"/>
          <w:color w:val="000000"/>
          <w:sz w:val="28"/>
          <w:szCs w:val="28"/>
          <w:u w:val="single"/>
        </w:rPr>
        <w:t>施工场地具备施工条件的要求及完成的时间：开工前7日内</w:t>
      </w:r>
      <w:r>
        <w:rPr>
          <w:rFonts w:hint="eastAsia" w:eastAsia="仿宋_GB2312"/>
          <w:color w:val="000000"/>
          <w:sz w:val="28"/>
          <w:szCs w:val="28"/>
        </w:rPr>
        <w:t>。</w:t>
      </w:r>
    </w:p>
    <w:p w14:paraId="30EBF5F1">
      <w:pPr>
        <w:spacing w:line="500" w:lineRule="exact"/>
        <w:ind w:firstLine="560" w:firstLineChars="200"/>
        <w:rPr>
          <w:rFonts w:eastAsia="仿宋_GB2312"/>
          <w:color w:val="000000"/>
          <w:sz w:val="28"/>
          <w:szCs w:val="28"/>
        </w:rPr>
      </w:pPr>
      <w:r>
        <w:rPr>
          <w:rFonts w:eastAsia="仿宋_GB2312"/>
          <w:color w:val="000000"/>
          <w:sz w:val="28"/>
          <w:szCs w:val="28"/>
        </w:rPr>
        <w:t>2.4.2 提供施工条件</w:t>
      </w:r>
    </w:p>
    <w:p w14:paraId="6746E1C2">
      <w:pPr>
        <w:spacing w:line="500" w:lineRule="exact"/>
        <w:ind w:firstLine="560" w:firstLineChars="200"/>
        <w:rPr>
          <w:rFonts w:eastAsia="仿宋_GB2312"/>
          <w:color w:val="000000"/>
          <w:sz w:val="28"/>
          <w:szCs w:val="28"/>
          <w:u w:val="single"/>
        </w:rPr>
      </w:pPr>
      <w:r>
        <w:rPr>
          <w:rFonts w:eastAsia="仿宋_GB2312"/>
          <w:color w:val="000000"/>
          <w:sz w:val="28"/>
          <w:szCs w:val="28"/>
        </w:rPr>
        <w:t>关于发包人应负责提供施工</w:t>
      </w:r>
      <w:r>
        <w:rPr>
          <w:rFonts w:hint="eastAsia" w:eastAsia="仿宋_GB2312"/>
          <w:color w:val="000000"/>
          <w:sz w:val="28"/>
          <w:szCs w:val="28"/>
        </w:rPr>
        <w:t>所需要的条件，</w:t>
      </w:r>
      <w:r>
        <w:rPr>
          <w:rFonts w:eastAsia="仿宋_GB2312"/>
          <w:color w:val="000000"/>
          <w:sz w:val="28"/>
          <w:szCs w:val="28"/>
        </w:rPr>
        <w:t>包括：</w:t>
      </w:r>
      <w:r>
        <w:rPr>
          <w:rFonts w:hint="eastAsia" w:eastAsia="仿宋_GB2312"/>
          <w:color w:val="000000"/>
          <w:sz w:val="28"/>
          <w:szCs w:val="28"/>
          <w:u w:val="single"/>
        </w:rPr>
        <w:t>将施工所需的水、电、电讯线路接至施工场地；供应施工所需动力（施工用水、用电）；由发包人办理的施工所需证件、批件</w:t>
      </w:r>
      <w:r>
        <w:rPr>
          <w:rFonts w:hint="eastAsia" w:eastAsia="仿宋_GB2312"/>
          <w:color w:val="000000"/>
          <w:sz w:val="28"/>
          <w:szCs w:val="28"/>
        </w:rPr>
        <w:t>。</w:t>
      </w:r>
    </w:p>
    <w:p w14:paraId="254FCD0F">
      <w:pPr>
        <w:spacing w:after="120" w:line="500" w:lineRule="exact"/>
        <w:ind w:firstLine="560" w:firstLineChars="200"/>
        <w:outlineLvl w:val="0"/>
        <w:rPr>
          <w:rFonts w:eastAsia="黑体"/>
          <w:color w:val="000000"/>
          <w:sz w:val="28"/>
          <w:szCs w:val="28"/>
        </w:rPr>
      </w:pPr>
      <w:r>
        <w:rPr>
          <w:rFonts w:eastAsia="黑体"/>
          <w:color w:val="000000"/>
          <w:sz w:val="28"/>
          <w:szCs w:val="28"/>
        </w:rPr>
        <w:t>2.5 资金来源证明及支付担保</w:t>
      </w:r>
    </w:p>
    <w:p w14:paraId="017A7C6A">
      <w:pPr>
        <w:spacing w:line="500" w:lineRule="exact"/>
        <w:ind w:firstLine="560" w:firstLineChars="200"/>
        <w:rPr>
          <w:rFonts w:eastAsia="仿宋_GB2312"/>
          <w:color w:val="000000"/>
          <w:sz w:val="28"/>
          <w:szCs w:val="28"/>
        </w:rPr>
      </w:pPr>
      <w:r>
        <w:rPr>
          <w:rFonts w:eastAsia="仿宋_GB2312"/>
          <w:color w:val="000000"/>
          <w:sz w:val="28"/>
          <w:szCs w:val="28"/>
        </w:rPr>
        <w:t>发包人提供资金来源证明的期限要求：</w:t>
      </w:r>
      <w:r>
        <w:rPr>
          <w:rFonts w:hint="eastAsia" w:eastAsia="仿宋_GB2312"/>
          <w:color w:val="000000"/>
          <w:sz w:val="28"/>
          <w:szCs w:val="28"/>
          <w:u w:val="single"/>
        </w:rPr>
        <w:t>/</w:t>
      </w:r>
      <w:r>
        <w:rPr>
          <w:rFonts w:eastAsia="仿宋_GB2312"/>
          <w:color w:val="000000"/>
          <w:sz w:val="28"/>
          <w:szCs w:val="28"/>
        </w:rPr>
        <w:t>。</w:t>
      </w:r>
    </w:p>
    <w:p w14:paraId="53039851">
      <w:pPr>
        <w:spacing w:line="500" w:lineRule="exact"/>
        <w:ind w:firstLine="560" w:firstLineChars="200"/>
        <w:rPr>
          <w:rFonts w:eastAsia="仿宋_GB2312"/>
          <w:color w:val="000000"/>
          <w:sz w:val="28"/>
          <w:szCs w:val="28"/>
        </w:rPr>
      </w:pPr>
      <w:r>
        <w:rPr>
          <w:rFonts w:eastAsia="仿宋_GB2312"/>
          <w:color w:val="000000"/>
          <w:sz w:val="28"/>
          <w:szCs w:val="28"/>
        </w:rPr>
        <w:t>发包人是否提供支付担保：</w:t>
      </w:r>
      <w:r>
        <w:rPr>
          <w:rFonts w:hint="eastAsia" w:eastAsia="仿宋_GB2312"/>
          <w:color w:val="000000"/>
          <w:sz w:val="28"/>
          <w:szCs w:val="28"/>
          <w:u w:val="single"/>
        </w:rPr>
        <w:t>/</w:t>
      </w:r>
      <w:r>
        <w:rPr>
          <w:rFonts w:eastAsia="仿宋_GB2312"/>
          <w:color w:val="000000"/>
          <w:sz w:val="28"/>
          <w:szCs w:val="28"/>
        </w:rPr>
        <w:t>。</w:t>
      </w:r>
    </w:p>
    <w:p w14:paraId="4BF742E7">
      <w:pPr>
        <w:spacing w:line="500" w:lineRule="exact"/>
        <w:ind w:firstLine="560" w:firstLineChars="200"/>
        <w:rPr>
          <w:rFonts w:eastAsia="仿宋_GB2312"/>
          <w:color w:val="000000"/>
          <w:sz w:val="28"/>
          <w:szCs w:val="28"/>
          <w:u w:val="single"/>
        </w:rPr>
      </w:pPr>
      <w:r>
        <w:rPr>
          <w:rFonts w:eastAsia="仿宋_GB2312"/>
          <w:color w:val="000000"/>
          <w:sz w:val="28"/>
          <w:szCs w:val="28"/>
        </w:rPr>
        <w:t>发包人提供支付担保的形式：</w:t>
      </w:r>
      <w:r>
        <w:rPr>
          <w:rFonts w:hint="eastAsia" w:eastAsia="仿宋_GB2312"/>
          <w:color w:val="000000"/>
          <w:sz w:val="28"/>
          <w:szCs w:val="28"/>
          <w:u w:val="single"/>
        </w:rPr>
        <w:t>/</w:t>
      </w:r>
      <w:r>
        <w:rPr>
          <w:rFonts w:eastAsia="仿宋_GB2312"/>
          <w:color w:val="000000"/>
          <w:sz w:val="28"/>
          <w:szCs w:val="28"/>
        </w:rPr>
        <w:t>。</w:t>
      </w:r>
    </w:p>
    <w:p w14:paraId="67CE774D">
      <w:pPr>
        <w:pStyle w:val="6"/>
        <w:spacing w:before="120" w:after="120" w:line="500" w:lineRule="exact"/>
        <w:rPr>
          <w:rFonts w:ascii="Times New Roman" w:hAnsi="Times New Roman"/>
          <w:b w:val="0"/>
          <w:color w:val="000000"/>
        </w:rPr>
      </w:pPr>
      <w:bookmarkStart w:id="1161" w:name="_Toc351203635"/>
      <w:r>
        <w:rPr>
          <w:rFonts w:ascii="Times New Roman" w:hAnsi="Times New Roman"/>
          <w:b w:val="0"/>
          <w:color w:val="000000"/>
        </w:rPr>
        <w:t>3</w:t>
      </w:r>
      <w:bookmarkStart w:id="1162" w:name="_Toc296890986"/>
      <w:bookmarkStart w:id="1163" w:name="_Toc296891198"/>
      <w:bookmarkStart w:id="1164" w:name="_Toc297048344"/>
      <w:bookmarkStart w:id="1165" w:name="_Toc296503158"/>
      <w:bookmarkStart w:id="1166" w:name="_Toc296944497"/>
      <w:bookmarkStart w:id="1167" w:name="_Toc292559363"/>
      <w:bookmarkStart w:id="1168" w:name="_Toc297120458"/>
      <w:bookmarkStart w:id="1169" w:name="_Toc296346659"/>
      <w:bookmarkStart w:id="1170" w:name="_Toc292559868"/>
      <w:bookmarkStart w:id="1171" w:name="_Toc296347157"/>
      <w:r>
        <w:rPr>
          <w:rFonts w:ascii="Times New Roman" w:hAnsi="Times New Roman"/>
          <w:b w:val="0"/>
          <w:color w:val="000000"/>
        </w:rPr>
        <w:t>. 承包人</w:t>
      </w:r>
      <w:bookmarkEnd w:id="1161"/>
    </w:p>
    <w:bookmarkEnd w:id="1162"/>
    <w:bookmarkEnd w:id="1163"/>
    <w:bookmarkEnd w:id="1164"/>
    <w:bookmarkEnd w:id="1165"/>
    <w:bookmarkEnd w:id="1166"/>
    <w:bookmarkEnd w:id="1167"/>
    <w:bookmarkEnd w:id="1168"/>
    <w:bookmarkEnd w:id="1169"/>
    <w:bookmarkEnd w:id="1170"/>
    <w:bookmarkEnd w:id="1171"/>
    <w:p w14:paraId="76C3A793">
      <w:pPr>
        <w:spacing w:after="120" w:line="500" w:lineRule="exact"/>
        <w:ind w:firstLine="560" w:firstLineChars="200"/>
        <w:rPr>
          <w:rFonts w:eastAsia="黑体"/>
          <w:color w:val="000000"/>
          <w:sz w:val="28"/>
          <w:szCs w:val="28"/>
        </w:rPr>
      </w:pPr>
      <w:r>
        <w:rPr>
          <w:rFonts w:eastAsia="黑体"/>
          <w:color w:val="000000"/>
          <w:sz w:val="28"/>
          <w:szCs w:val="28"/>
        </w:rPr>
        <w:t>3.1 承包人的一般义务</w:t>
      </w:r>
    </w:p>
    <w:p w14:paraId="4B00B41A">
      <w:pPr>
        <w:spacing w:line="500" w:lineRule="exact"/>
        <w:ind w:firstLine="560" w:firstLineChars="200"/>
        <w:jc w:val="left"/>
        <w:rPr>
          <w:rFonts w:eastAsia="仿宋_GB2312"/>
          <w:color w:val="000000"/>
          <w:sz w:val="28"/>
          <w:szCs w:val="28"/>
          <w:u w:val="single"/>
        </w:rPr>
      </w:pPr>
      <w:r>
        <w:rPr>
          <w:rFonts w:eastAsia="仿宋_GB2312"/>
          <w:color w:val="000000"/>
          <w:sz w:val="28"/>
          <w:szCs w:val="28"/>
        </w:rPr>
        <w:t>（</w:t>
      </w:r>
      <w:r>
        <w:rPr>
          <w:rFonts w:hint="eastAsia" w:eastAsia="仿宋_GB2312"/>
          <w:color w:val="000000"/>
          <w:sz w:val="28"/>
          <w:szCs w:val="28"/>
        </w:rPr>
        <w:t>9</w:t>
      </w:r>
      <w:r>
        <w:rPr>
          <w:rFonts w:eastAsia="仿宋_GB2312"/>
          <w:color w:val="000000"/>
          <w:sz w:val="28"/>
          <w:szCs w:val="28"/>
        </w:rPr>
        <w:t>）承包人提交的竣工资料的内容：</w:t>
      </w:r>
      <w:r>
        <w:rPr>
          <w:rFonts w:hint="eastAsia" w:eastAsia="仿宋_GB2312"/>
          <w:color w:val="000000"/>
          <w:sz w:val="28"/>
          <w:szCs w:val="28"/>
          <w:u w:val="single"/>
        </w:rPr>
        <w:t>承包人应根据合同工作内容要求，分别整理竣工验收资料，汇总为完整的建设项目竣工资料。</w:t>
      </w:r>
    </w:p>
    <w:p w14:paraId="750A3377">
      <w:pPr>
        <w:spacing w:line="500" w:lineRule="exact"/>
        <w:ind w:firstLine="560" w:firstLineChars="200"/>
        <w:jc w:val="left"/>
        <w:rPr>
          <w:rFonts w:eastAsia="仿宋_GB2312"/>
          <w:color w:val="000000"/>
          <w:sz w:val="28"/>
          <w:szCs w:val="28"/>
        </w:rPr>
      </w:pPr>
      <w:r>
        <w:rPr>
          <w:rFonts w:eastAsia="仿宋_GB2312"/>
          <w:color w:val="000000"/>
          <w:sz w:val="28"/>
          <w:szCs w:val="28"/>
        </w:rPr>
        <w:t>承包人需要提交的竣工资料套数：</w:t>
      </w:r>
      <w:r>
        <w:rPr>
          <w:rFonts w:hint="eastAsia" w:eastAsia="仿宋_GB2312"/>
          <w:color w:val="000000"/>
          <w:sz w:val="28"/>
          <w:szCs w:val="28"/>
          <w:u w:val="single"/>
        </w:rPr>
        <w:t>纸质版贰套、电子版壹套</w:t>
      </w:r>
      <w:r>
        <w:rPr>
          <w:rFonts w:eastAsia="仿宋_GB2312"/>
          <w:color w:val="000000"/>
          <w:sz w:val="28"/>
          <w:szCs w:val="28"/>
        </w:rPr>
        <w:t>。</w:t>
      </w:r>
    </w:p>
    <w:p w14:paraId="23655D42">
      <w:pPr>
        <w:spacing w:line="500" w:lineRule="exact"/>
        <w:ind w:firstLine="560" w:firstLineChars="200"/>
        <w:jc w:val="left"/>
        <w:rPr>
          <w:rFonts w:eastAsia="仿宋_GB2312"/>
          <w:color w:val="000000"/>
          <w:sz w:val="28"/>
          <w:szCs w:val="28"/>
        </w:rPr>
      </w:pPr>
      <w:r>
        <w:rPr>
          <w:rFonts w:eastAsia="仿宋_GB2312"/>
          <w:color w:val="000000"/>
          <w:sz w:val="28"/>
          <w:szCs w:val="28"/>
        </w:rPr>
        <w:t>承包人提交的竣工资料的费用承担：</w:t>
      </w:r>
      <w:r>
        <w:rPr>
          <w:rFonts w:hint="eastAsia" w:eastAsia="仿宋_GB2312"/>
          <w:color w:val="000000"/>
          <w:sz w:val="28"/>
          <w:szCs w:val="28"/>
          <w:u w:val="single"/>
        </w:rPr>
        <w:t>竣工图、竣工资料编制费用已包括在合同价款中</w:t>
      </w:r>
      <w:r>
        <w:rPr>
          <w:rFonts w:hint="eastAsia" w:eastAsia="仿宋_GB2312"/>
          <w:color w:val="000000"/>
          <w:sz w:val="28"/>
          <w:szCs w:val="28"/>
        </w:rPr>
        <w:t>。</w:t>
      </w:r>
    </w:p>
    <w:p w14:paraId="02B77EBA">
      <w:pPr>
        <w:spacing w:line="500" w:lineRule="exact"/>
        <w:ind w:left="638" w:leftChars="304"/>
        <w:jc w:val="left"/>
        <w:rPr>
          <w:rFonts w:eastAsia="仿宋_GB2312"/>
          <w:color w:val="000000"/>
          <w:sz w:val="28"/>
          <w:szCs w:val="28"/>
        </w:rPr>
      </w:pPr>
      <w:r>
        <w:rPr>
          <w:rFonts w:eastAsia="仿宋_GB2312"/>
          <w:color w:val="000000"/>
          <w:sz w:val="28"/>
          <w:szCs w:val="28"/>
        </w:rPr>
        <w:t>承包人提交的竣工资料移交时间：</w:t>
      </w:r>
      <w:r>
        <w:rPr>
          <w:rFonts w:hint="eastAsia" w:eastAsia="仿宋_GB2312"/>
          <w:color w:val="000000"/>
          <w:sz w:val="28"/>
          <w:szCs w:val="28"/>
          <w:u w:val="single"/>
        </w:rPr>
        <w:t>工程建设项目竣工验收前</w:t>
      </w:r>
      <w:r>
        <w:rPr>
          <w:rFonts w:eastAsia="仿宋_GB2312"/>
          <w:color w:val="000000"/>
          <w:sz w:val="28"/>
          <w:szCs w:val="28"/>
        </w:rPr>
        <w:t>。</w:t>
      </w:r>
    </w:p>
    <w:p w14:paraId="54855F90">
      <w:pPr>
        <w:spacing w:line="500" w:lineRule="exact"/>
        <w:ind w:firstLine="560" w:firstLineChars="200"/>
        <w:jc w:val="left"/>
        <w:rPr>
          <w:rFonts w:eastAsia="仿宋_GB2312"/>
          <w:color w:val="000000"/>
          <w:sz w:val="28"/>
          <w:szCs w:val="28"/>
        </w:rPr>
      </w:pPr>
      <w:r>
        <w:rPr>
          <w:rFonts w:eastAsia="仿宋_GB2312"/>
          <w:color w:val="000000"/>
          <w:sz w:val="28"/>
          <w:szCs w:val="28"/>
        </w:rPr>
        <w:t>承包人提交的竣工资料形式要求：</w:t>
      </w:r>
      <w:r>
        <w:rPr>
          <w:rFonts w:hint="eastAsia" w:eastAsia="仿宋_GB2312"/>
          <w:color w:val="000000"/>
          <w:sz w:val="28"/>
          <w:szCs w:val="28"/>
          <w:u w:val="single"/>
        </w:rPr>
        <w:t>电子版、纸质版</w:t>
      </w:r>
      <w:r>
        <w:rPr>
          <w:rFonts w:eastAsia="仿宋_GB2312"/>
          <w:color w:val="000000"/>
          <w:sz w:val="28"/>
          <w:szCs w:val="28"/>
        </w:rPr>
        <w:t>。</w:t>
      </w:r>
    </w:p>
    <w:p w14:paraId="1BB007C9">
      <w:pPr>
        <w:spacing w:line="500" w:lineRule="exact"/>
        <w:ind w:firstLine="560" w:firstLineChars="200"/>
        <w:jc w:val="left"/>
        <w:rPr>
          <w:rFonts w:eastAsia="仿宋_GB2312"/>
          <w:color w:val="000000"/>
          <w:sz w:val="28"/>
          <w:szCs w:val="28"/>
          <w:u w:val="single"/>
        </w:rPr>
      </w:pPr>
      <w:r>
        <w:rPr>
          <w:rFonts w:eastAsia="仿宋_GB2312"/>
          <w:color w:val="000000"/>
          <w:kern w:val="0"/>
          <w:sz w:val="28"/>
          <w:szCs w:val="28"/>
        </w:rPr>
        <w:t>（</w:t>
      </w:r>
      <w:r>
        <w:rPr>
          <w:rFonts w:hint="eastAsia" w:eastAsia="仿宋_GB2312"/>
          <w:color w:val="000000"/>
          <w:kern w:val="0"/>
          <w:sz w:val="28"/>
          <w:szCs w:val="28"/>
        </w:rPr>
        <w:t>10</w:t>
      </w:r>
      <w:r>
        <w:rPr>
          <w:rFonts w:eastAsia="仿宋_GB2312"/>
          <w:color w:val="000000"/>
          <w:kern w:val="0"/>
          <w:sz w:val="28"/>
          <w:szCs w:val="28"/>
        </w:rPr>
        <w:t>）承包人应履行的其他义务：</w:t>
      </w:r>
      <w:r>
        <w:rPr>
          <w:rFonts w:hint="eastAsia" w:eastAsia="仿宋_GB2312"/>
          <w:color w:val="000000"/>
          <w:sz w:val="28"/>
          <w:szCs w:val="28"/>
          <w:u w:val="single"/>
        </w:rPr>
        <w:t>承包人要接受发包人和监理公司的质量和进度监督，工程实际进度与计划进度不符时，承包人需按发包人的要求提出改进措施，经批准后执行。如果承包人仍不能按修改后计划完成，发包人有权分包、终止合同、将承包人清除出场。</w:t>
      </w:r>
    </w:p>
    <w:p w14:paraId="4B2766C9">
      <w:pPr>
        <w:spacing w:line="500" w:lineRule="exact"/>
        <w:jc w:val="left"/>
        <w:rPr>
          <w:rFonts w:eastAsia="仿宋_GB2312"/>
          <w:color w:val="000000"/>
          <w:sz w:val="28"/>
          <w:szCs w:val="28"/>
          <w:u w:val="single"/>
        </w:rPr>
      </w:pPr>
      <w:r>
        <w:rPr>
          <w:rFonts w:hint="eastAsia" w:eastAsia="仿宋_GB2312"/>
          <w:color w:val="000000"/>
          <w:sz w:val="28"/>
          <w:szCs w:val="28"/>
        </w:rPr>
        <w:t xml:space="preserve">    </w:t>
      </w:r>
      <w:r>
        <w:rPr>
          <w:rFonts w:hint="eastAsia" w:eastAsia="仿宋_GB2312"/>
          <w:color w:val="000000"/>
          <w:sz w:val="28"/>
          <w:szCs w:val="28"/>
          <w:u w:val="single"/>
        </w:rPr>
        <w:t>承担施工安全保卫工作及非夜间施工照明的责任和要求：承包人应按工程需要提供和维修非夜间施工使用的照明，负责施工现场的围护和安全保卫工作以及场内、场内与场外接口处交通的畅通，符合国家及北京市的有关规定，以避免发包人或监理公司雇员以及其他第三方人员在施工现场因承包人未完成本条之规定所造成的人员伤害损失和财产损失。相关费用由承包人承担。如承包人未履行上述义务造成工程损失、财产损失和人身伤害，由承包人承担责任及所发生的费用。发包人因此先行承担责任的，有权向承包人追偿。</w:t>
      </w:r>
    </w:p>
    <w:p w14:paraId="419F12C6">
      <w:pPr>
        <w:spacing w:line="500" w:lineRule="exact"/>
        <w:ind w:firstLine="560" w:firstLineChars="200"/>
        <w:jc w:val="left"/>
        <w:rPr>
          <w:rFonts w:eastAsia="仿宋_GB2312"/>
          <w:color w:val="000000"/>
          <w:sz w:val="28"/>
          <w:szCs w:val="28"/>
          <w:u w:val="single"/>
        </w:rPr>
      </w:pPr>
      <w:r>
        <w:rPr>
          <w:rFonts w:hint="eastAsia" w:eastAsia="仿宋_GB2312"/>
          <w:color w:val="000000"/>
          <w:sz w:val="28"/>
          <w:szCs w:val="28"/>
          <w:u w:val="single"/>
        </w:rPr>
        <w:t>需承包人办理的有关施工场地交通、环卫和施工噪音、消防、临设管理等手续：因未严格执行有关文明施工、环境卫生、噪音控制规定，引起的处罚及扰民和民扰纠纷，承包人承担责任。承包人应严格遵守地方政府和有关部门对施工场地交通、施工噪声、施工现场环境卫生和场外污染等管理规定并办理有关手续，承包人责任造成的罚款由承包人负责支付。非承包人责任造成的罚款由责任方负责支付。</w:t>
      </w:r>
    </w:p>
    <w:p w14:paraId="0EA00309">
      <w:pPr>
        <w:spacing w:line="500" w:lineRule="exact"/>
        <w:ind w:firstLine="560" w:firstLineChars="200"/>
        <w:jc w:val="left"/>
        <w:rPr>
          <w:rFonts w:eastAsia="仿宋_GB2312"/>
          <w:color w:val="000000"/>
          <w:sz w:val="28"/>
          <w:szCs w:val="28"/>
          <w:u w:val="single"/>
        </w:rPr>
      </w:pPr>
      <w:r>
        <w:rPr>
          <w:rFonts w:hint="eastAsia" w:eastAsia="仿宋_GB2312"/>
          <w:color w:val="000000"/>
          <w:sz w:val="28"/>
          <w:szCs w:val="28"/>
          <w:u w:val="single"/>
        </w:rPr>
        <w:t>已完工成品保护的特殊要求及费用承担：承包人负责保护成品、半成品，承包人保护期间发生损坏，承包人出资修复；如因发包人提前使用而发生损坏造成的修理费用由发包人承担。</w:t>
      </w:r>
    </w:p>
    <w:p w14:paraId="2BA1203A">
      <w:pPr>
        <w:spacing w:line="500" w:lineRule="exact"/>
        <w:ind w:firstLine="560" w:firstLineChars="200"/>
        <w:jc w:val="left"/>
        <w:rPr>
          <w:rFonts w:eastAsia="仿宋_GB2312"/>
          <w:color w:val="000000"/>
          <w:sz w:val="28"/>
          <w:szCs w:val="28"/>
          <w:u w:val="single"/>
        </w:rPr>
      </w:pPr>
      <w:r>
        <w:rPr>
          <w:rFonts w:hint="eastAsia" w:eastAsia="仿宋_GB2312"/>
          <w:color w:val="000000"/>
          <w:sz w:val="28"/>
          <w:szCs w:val="28"/>
          <w:u w:val="single"/>
        </w:rPr>
        <w:t>施工场地清洁卫生的要求：保证施工场地清洁符合环境卫生管理的有关规定。交工前应达到有关文件的规定，即建筑物室内外清洁，工完料净。工程竣工验收合格后10日内将现场清理完毕（包括建筑材料、垃圾、生产和生活用临时设施拆除）。保证施工现场清洁符合有关规定，承担因违反有关规定造成的损失和罚款。</w:t>
      </w:r>
    </w:p>
    <w:p w14:paraId="5F5E0E23">
      <w:pPr>
        <w:spacing w:line="500" w:lineRule="exact"/>
        <w:ind w:firstLine="560" w:firstLineChars="200"/>
        <w:jc w:val="left"/>
        <w:rPr>
          <w:rFonts w:eastAsia="仿宋_GB2312"/>
          <w:color w:val="000000"/>
          <w:sz w:val="28"/>
          <w:szCs w:val="28"/>
          <w:u w:val="single"/>
        </w:rPr>
      </w:pPr>
      <w:r>
        <w:rPr>
          <w:rFonts w:hint="eastAsia" w:eastAsia="仿宋_GB2312"/>
          <w:color w:val="000000"/>
          <w:sz w:val="28"/>
          <w:szCs w:val="28"/>
          <w:u w:val="single"/>
        </w:rPr>
        <w:t>负责施工现场的维护工作；</w:t>
      </w:r>
    </w:p>
    <w:p w14:paraId="36512FFA">
      <w:pPr>
        <w:spacing w:line="500" w:lineRule="exact"/>
        <w:jc w:val="left"/>
        <w:rPr>
          <w:rFonts w:eastAsia="仿宋_GB2312"/>
          <w:color w:val="000000"/>
          <w:sz w:val="28"/>
          <w:szCs w:val="28"/>
          <w:u w:val="single"/>
        </w:rPr>
      </w:pPr>
      <w:r>
        <w:rPr>
          <w:rFonts w:hint="eastAsia" w:eastAsia="仿宋_GB2312"/>
          <w:color w:val="000000"/>
          <w:sz w:val="28"/>
          <w:szCs w:val="28"/>
        </w:rPr>
        <w:t xml:space="preserve">    </w:t>
      </w:r>
      <w:r>
        <w:rPr>
          <w:rFonts w:hint="eastAsia" w:eastAsia="仿宋_GB2312"/>
          <w:color w:val="000000"/>
          <w:sz w:val="28"/>
          <w:szCs w:val="28"/>
          <w:u w:val="single"/>
        </w:rPr>
        <w:t>双方约定承包人应做的其他工作：承包人的相关专业人员在开工前必须具有相应岗位的上岗证。与本工程无关的人员及设备材料均不得进入现场，发包人有权进行检查。每发现一次，处罚500至1000元，（罚款经发包人或监理核实签字认可即可生效）。对于监理或发包人认定不合格的材料或设备，承包人必须在24小时内清理出场，如未及时清退，发包人将对承包人处以2000至5000元的罚款（罚款经发包人及监理核实签字后生效）。负责保护水准点、坐标控制点，此后由于破坏或失准带来的重新测量、放点费用以及由此造成的其他损失由承包人负担。充分考虑工地现场的周围环境、交通道路、现场条件、施工图纸、施工组织设计、施工技术措施、安全文明施工措施、办公要求等因素，应积极做好综合组织和协调。</w:t>
      </w:r>
    </w:p>
    <w:p w14:paraId="63AA6CCC">
      <w:pPr>
        <w:spacing w:after="120" w:line="500" w:lineRule="exact"/>
        <w:ind w:firstLine="560" w:firstLineChars="200"/>
        <w:rPr>
          <w:rFonts w:eastAsia="黑体"/>
          <w:color w:val="000000"/>
          <w:sz w:val="28"/>
          <w:szCs w:val="28"/>
        </w:rPr>
      </w:pPr>
      <w:r>
        <w:rPr>
          <w:rFonts w:eastAsia="黑体"/>
          <w:color w:val="000000"/>
          <w:sz w:val="28"/>
          <w:szCs w:val="28"/>
        </w:rPr>
        <w:t>3.2 项目经理</w:t>
      </w:r>
    </w:p>
    <w:p w14:paraId="1C1CCC4B">
      <w:pPr>
        <w:spacing w:line="500" w:lineRule="exact"/>
        <w:ind w:firstLine="560" w:firstLineChars="200"/>
        <w:rPr>
          <w:rFonts w:eastAsia="仿宋_GB2312"/>
          <w:color w:val="000000"/>
          <w:sz w:val="28"/>
          <w:szCs w:val="28"/>
        </w:rPr>
      </w:pPr>
      <w:r>
        <w:rPr>
          <w:rFonts w:eastAsia="仿宋_GB2312"/>
          <w:color w:val="000000"/>
          <w:kern w:val="0"/>
          <w:sz w:val="28"/>
          <w:szCs w:val="28"/>
        </w:rPr>
        <w:t xml:space="preserve">3.2.1 </w:t>
      </w:r>
      <w:r>
        <w:rPr>
          <w:rFonts w:eastAsia="仿宋_GB2312"/>
          <w:color w:val="000000"/>
          <w:sz w:val="28"/>
          <w:szCs w:val="28"/>
        </w:rPr>
        <w:t>项目经理：</w:t>
      </w:r>
    </w:p>
    <w:p w14:paraId="17D6083B">
      <w:pPr>
        <w:spacing w:line="500" w:lineRule="exact"/>
        <w:ind w:firstLine="560" w:firstLineChars="200"/>
        <w:rPr>
          <w:rFonts w:eastAsia="仿宋_GB2312"/>
          <w:color w:val="000000"/>
          <w:sz w:val="28"/>
          <w:szCs w:val="28"/>
        </w:rPr>
      </w:pPr>
      <w:r>
        <w:rPr>
          <w:rFonts w:eastAsia="仿宋_GB2312"/>
          <w:color w:val="000000"/>
          <w:sz w:val="28"/>
          <w:szCs w:val="28"/>
        </w:rPr>
        <w:t>姓    名：</w:t>
      </w:r>
      <w:r>
        <w:rPr>
          <w:rFonts w:hint="eastAsia" w:eastAsia="仿宋_GB2312"/>
          <w:color w:val="000000"/>
          <w:sz w:val="28"/>
          <w:szCs w:val="28"/>
          <w:u w:val="single"/>
        </w:rPr>
        <w:t xml:space="preserve">     </w:t>
      </w:r>
      <w:r>
        <w:rPr>
          <w:rFonts w:eastAsia="仿宋_GB2312"/>
          <w:color w:val="000000"/>
          <w:sz w:val="28"/>
          <w:szCs w:val="28"/>
        </w:rPr>
        <w:t>；</w:t>
      </w:r>
    </w:p>
    <w:p w14:paraId="09066EA4">
      <w:pPr>
        <w:spacing w:line="500" w:lineRule="exact"/>
        <w:ind w:firstLine="560" w:firstLineChars="200"/>
        <w:rPr>
          <w:rFonts w:eastAsia="仿宋_GB2312"/>
          <w:color w:val="000000"/>
          <w:sz w:val="28"/>
          <w:szCs w:val="28"/>
        </w:rPr>
      </w:pPr>
      <w:r>
        <w:rPr>
          <w:rFonts w:eastAsia="仿宋_GB2312"/>
          <w:color w:val="000000"/>
          <w:sz w:val="28"/>
          <w:szCs w:val="28"/>
        </w:rPr>
        <w:t>身份证号：</w:t>
      </w:r>
      <w:r>
        <w:rPr>
          <w:rFonts w:hint="eastAsia" w:eastAsia="仿宋_GB2312"/>
          <w:color w:val="000000"/>
          <w:sz w:val="28"/>
          <w:szCs w:val="28"/>
          <w:u w:val="single"/>
        </w:rPr>
        <w:t xml:space="preserve">            </w:t>
      </w:r>
      <w:r>
        <w:rPr>
          <w:rFonts w:eastAsia="仿宋_GB2312"/>
          <w:color w:val="000000"/>
          <w:sz w:val="28"/>
          <w:szCs w:val="28"/>
        </w:rPr>
        <w:t>；</w:t>
      </w:r>
    </w:p>
    <w:p w14:paraId="56CF4DB0">
      <w:pPr>
        <w:spacing w:line="500" w:lineRule="exact"/>
        <w:ind w:firstLine="560" w:firstLineChars="200"/>
        <w:rPr>
          <w:rFonts w:eastAsia="仿宋_GB2312"/>
          <w:color w:val="000000"/>
          <w:sz w:val="28"/>
          <w:szCs w:val="28"/>
        </w:rPr>
      </w:pPr>
      <w:r>
        <w:rPr>
          <w:rFonts w:eastAsia="仿宋_GB2312"/>
          <w:color w:val="000000"/>
          <w:sz w:val="28"/>
          <w:szCs w:val="28"/>
        </w:rPr>
        <w:t>建造师执业资格等级：</w:t>
      </w:r>
      <w:r>
        <w:rPr>
          <w:rFonts w:hint="eastAsia" w:eastAsia="仿宋_GB2312"/>
          <w:color w:val="000000"/>
          <w:sz w:val="28"/>
          <w:szCs w:val="28"/>
          <w:u w:val="single"/>
        </w:rPr>
        <w:t xml:space="preserve">       </w:t>
      </w:r>
      <w:r>
        <w:rPr>
          <w:rFonts w:eastAsia="仿宋_GB2312"/>
          <w:color w:val="000000"/>
          <w:sz w:val="28"/>
          <w:szCs w:val="28"/>
        </w:rPr>
        <w:t>；</w:t>
      </w:r>
    </w:p>
    <w:p w14:paraId="69E4370C">
      <w:pPr>
        <w:spacing w:line="500" w:lineRule="exact"/>
        <w:ind w:firstLine="560" w:firstLineChars="200"/>
        <w:rPr>
          <w:rFonts w:eastAsia="仿宋_GB2312"/>
          <w:color w:val="000000"/>
          <w:sz w:val="28"/>
          <w:szCs w:val="28"/>
        </w:rPr>
      </w:pPr>
      <w:r>
        <w:rPr>
          <w:rFonts w:eastAsia="仿宋_GB2312"/>
          <w:color w:val="000000"/>
          <w:sz w:val="28"/>
          <w:szCs w:val="28"/>
        </w:rPr>
        <w:t>建造师注册证书号：</w:t>
      </w:r>
      <w:r>
        <w:rPr>
          <w:rFonts w:hint="eastAsia" w:eastAsia="仿宋_GB2312"/>
          <w:color w:val="000000"/>
          <w:sz w:val="28"/>
          <w:szCs w:val="28"/>
          <w:u w:val="single"/>
        </w:rPr>
        <w:t xml:space="preserve">                </w:t>
      </w:r>
      <w:r>
        <w:rPr>
          <w:rFonts w:eastAsia="仿宋_GB2312"/>
          <w:color w:val="000000"/>
          <w:sz w:val="28"/>
          <w:szCs w:val="28"/>
        </w:rPr>
        <w:t>；</w:t>
      </w:r>
    </w:p>
    <w:p w14:paraId="7320A697">
      <w:pPr>
        <w:spacing w:line="500" w:lineRule="exact"/>
        <w:ind w:firstLine="560" w:firstLineChars="200"/>
        <w:rPr>
          <w:rFonts w:eastAsia="仿宋_GB2312"/>
          <w:color w:val="000000"/>
          <w:sz w:val="28"/>
          <w:szCs w:val="28"/>
        </w:rPr>
      </w:pPr>
      <w:r>
        <w:rPr>
          <w:rFonts w:eastAsia="仿宋_GB2312"/>
          <w:color w:val="000000"/>
          <w:sz w:val="28"/>
          <w:szCs w:val="28"/>
        </w:rPr>
        <w:t>建造师执业印章号：</w:t>
      </w:r>
      <w:r>
        <w:rPr>
          <w:rFonts w:hint="eastAsia" w:eastAsia="仿宋_GB2312"/>
          <w:color w:val="000000"/>
          <w:sz w:val="28"/>
          <w:szCs w:val="28"/>
          <w:u w:val="single"/>
        </w:rPr>
        <w:t xml:space="preserve">             </w:t>
      </w:r>
      <w:r>
        <w:rPr>
          <w:rFonts w:eastAsia="仿宋_GB2312"/>
          <w:color w:val="000000"/>
          <w:sz w:val="28"/>
          <w:szCs w:val="28"/>
        </w:rPr>
        <w:t>；</w:t>
      </w:r>
    </w:p>
    <w:p w14:paraId="46A3E9E3">
      <w:pPr>
        <w:spacing w:line="500" w:lineRule="exact"/>
        <w:ind w:firstLine="560" w:firstLineChars="200"/>
        <w:rPr>
          <w:rFonts w:eastAsia="仿宋_GB2312"/>
          <w:color w:val="000000"/>
          <w:sz w:val="28"/>
          <w:szCs w:val="28"/>
        </w:rPr>
      </w:pPr>
      <w:r>
        <w:rPr>
          <w:rFonts w:eastAsia="仿宋_GB2312"/>
          <w:color w:val="000000"/>
          <w:sz w:val="28"/>
          <w:szCs w:val="28"/>
        </w:rPr>
        <w:t>安全生产考核合格证书号：</w:t>
      </w:r>
      <w:r>
        <w:rPr>
          <w:rFonts w:hint="eastAsia" w:eastAsia="仿宋_GB2312"/>
          <w:color w:val="000000"/>
          <w:sz w:val="28"/>
          <w:szCs w:val="28"/>
          <w:u w:val="single"/>
        </w:rPr>
        <w:t xml:space="preserve">                  </w:t>
      </w:r>
      <w:r>
        <w:rPr>
          <w:rFonts w:eastAsia="仿宋_GB2312"/>
          <w:color w:val="000000"/>
          <w:sz w:val="28"/>
          <w:szCs w:val="28"/>
        </w:rPr>
        <w:t>；</w:t>
      </w:r>
    </w:p>
    <w:p w14:paraId="19508D32">
      <w:pPr>
        <w:spacing w:line="500" w:lineRule="exact"/>
        <w:ind w:firstLine="560" w:firstLineChars="200"/>
        <w:rPr>
          <w:rFonts w:eastAsia="仿宋_GB2312"/>
          <w:color w:val="000000"/>
          <w:sz w:val="28"/>
          <w:szCs w:val="28"/>
        </w:rPr>
      </w:pPr>
      <w:r>
        <w:rPr>
          <w:rFonts w:eastAsia="仿宋_GB2312"/>
          <w:color w:val="000000"/>
          <w:sz w:val="28"/>
          <w:szCs w:val="28"/>
        </w:rPr>
        <w:t>联系电话：</w:t>
      </w:r>
      <w:r>
        <w:rPr>
          <w:rFonts w:hint="eastAsia" w:eastAsia="仿宋_GB2312"/>
          <w:color w:val="000000"/>
          <w:sz w:val="28"/>
          <w:szCs w:val="28"/>
          <w:u w:val="single"/>
        </w:rPr>
        <w:t xml:space="preserve">              </w:t>
      </w:r>
      <w:r>
        <w:rPr>
          <w:rFonts w:eastAsia="仿宋_GB2312"/>
          <w:color w:val="000000"/>
          <w:sz w:val="28"/>
          <w:szCs w:val="28"/>
        </w:rPr>
        <w:t>；</w:t>
      </w:r>
    </w:p>
    <w:p w14:paraId="424587F0">
      <w:pPr>
        <w:spacing w:line="500" w:lineRule="exact"/>
        <w:ind w:firstLine="560" w:firstLineChars="200"/>
        <w:rPr>
          <w:rFonts w:eastAsia="仿宋_GB2312"/>
          <w:color w:val="000000"/>
          <w:sz w:val="28"/>
          <w:szCs w:val="28"/>
        </w:rPr>
      </w:pPr>
      <w:r>
        <w:rPr>
          <w:rFonts w:eastAsia="仿宋_GB2312"/>
          <w:color w:val="000000"/>
          <w:sz w:val="28"/>
          <w:szCs w:val="28"/>
        </w:rPr>
        <w:t>电子信箱：</w:t>
      </w:r>
      <w:r>
        <w:rPr>
          <w:rFonts w:eastAsia="仿宋_GB2312"/>
          <w:color w:val="000000"/>
          <w:sz w:val="28"/>
          <w:szCs w:val="28"/>
          <w:u w:val="single"/>
        </w:rPr>
        <w:t></w:t>
      </w:r>
      <w:r>
        <w:rPr>
          <w:rFonts w:hint="eastAsia" w:eastAsia="仿宋_GB2312"/>
          <w:color w:val="000000"/>
          <w:sz w:val="28"/>
          <w:szCs w:val="28"/>
          <w:u w:val="single"/>
        </w:rPr>
        <w:t xml:space="preserve">/  </w:t>
      </w:r>
      <w:r>
        <w:rPr>
          <w:rFonts w:eastAsia="仿宋_GB2312"/>
          <w:color w:val="000000"/>
          <w:sz w:val="28"/>
          <w:szCs w:val="28"/>
          <w:u w:val="single"/>
        </w:rPr>
        <w:t></w:t>
      </w:r>
      <w:r>
        <w:rPr>
          <w:rFonts w:eastAsia="仿宋_GB2312"/>
          <w:color w:val="000000"/>
          <w:sz w:val="28"/>
          <w:szCs w:val="28"/>
        </w:rPr>
        <w:t>；</w:t>
      </w:r>
    </w:p>
    <w:p w14:paraId="007CD4B0">
      <w:pPr>
        <w:spacing w:line="500" w:lineRule="exact"/>
        <w:ind w:firstLine="560" w:firstLineChars="200"/>
        <w:rPr>
          <w:rFonts w:eastAsia="仿宋_GB2312"/>
          <w:color w:val="000000"/>
          <w:sz w:val="28"/>
          <w:szCs w:val="28"/>
        </w:rPr>
      </w:pPr>
      <w:r>
        <w:rPr>
          <w:rFonts w:eastAsia="仿宋_GB2312"/>
          <w:color w:val="000000"/>
          <w:sz w:val="28"/>
          <w:szCs w:val="28"/>
        </w:rPr>
        <w:t>通信地址：</w:t>
      </w:r>
      <w:r>
        <w:rPr>
          <w:rFonts w:hint="eastAsia" w:eastAsia="仿宋_GB2312"/>
          <w:color w:val="000000"/>
          <w:sz w:val="28"/>
          <w:szCs w:val="28"/>
          <w:u w:val="single"/>
        </w:rPr>
        <w:t xml:space="preserve">                    </w:t>
      </w:r>
      <w:r>
        <w:rPr>
          <w:rFonts w:eastAsia="仿宋_GB2312"/>
          <w:color w:val="000000"/>
          <w:sz w:val="28"/>
          <w:szCs w:val="28"/>
        </w:rPr>
        <w:t>；</w:t>
      </w:r>
    </w:p>
    <w:p w14:paraId="4FF816E3">
      <w:pPr>
        <w:spacing w:line="500" w:lineRule="exact"/>
        <w:ind w:firstLine="560" w:firstLineChars="200"/>
        <w:rPr>
          <w:rFonts w:eastAsia="仿宋_GB2312"/>
          <w:color w:val="000000"/>
          <w:sz w:val="28"/>
          <w:szCs w:val="28"/>
        </w:rPr>
      </w:pPr>
      <w:r>
        <w:rPr>
          <w:rFonts w:eastAsia="仿宋_GB2312"/>
          <w:color w:val="000000"/>
          <w:sz w:val="28"/>
          <w:szCs w:val="28"/>
        </w:rPr>
        <w:t>承包人对项目经理的授权范围如下：</w:t>
      </w:r>
      <w:r>
        <w:rPr>
          <w:rFonts w:hint="eastAsia" w:eastAsia="仿宋_GB2312"/>
          <w:color w:val="000000"/>
          <w:sz w:val="28"/>
          <w:szCs w:val="28"/>
          <w:u w:val="single"/>
          <w:lang w:val="zh-CN"/>
        </w:rPr>
        <w:t>项目经理按发包人认可的施工组织设计（施工方案）和工程师依据合同发出的指令组织施工。在情况紧急且无法与工程师联系时，项目经理应当采取保证人员生命和工程、财产安全的紧急措施，并在采取措施后</w:t>
      </w:r>
      <w:r>
        <w:rPr>
          <w:rFonts w:eastAsia="仿宋_GB2312"/>
          <w:color w:val="000000"/>
          <w:sz w:val="28"/>
          <w:szCs w:val="28"/>
          <w:u w:val="single"/>
          <w:lang w:val="zh-CN"/>
        </w:rPr>
        <w:t>48</w:t>
      </w:r>
      <w:r>
        <w:rPr>
          <w:rFonts w:hint="eastAsia" w:eastAsia="仿宋_GB2312"/>
          <w:color w:val="000000"/>
          <w:sz w:val="28"/>
          <w:szCs w:val="28"/>
          <w:u w:val="single"/>
          <w:lang w:val="zh-CN"/>
        </w:rPr>
        <w:t>小时内向工程师送交报告。责任在发包人或第三人的，由发包人承担由此发生的追加合同价款，相应顺延工期；责任在承包人的，由承包人承担费用，不顺延工期</w:t>
      </w:r>
      <w:r>
        <w:rPr>
          <w:rFonts w:eastAsia="仿宋_GB2312"/>
          <w:color w:val="000000"/>
          <w:sz w:val="28"/>
          <w:szCs w:val="28"/>
        </w:rPr>
        <w:t>。</w:t>
      </w:r>
    </w:p>
    <w:p w14:paraId="7B92F015">
      <w:pPr>
        <w:spacing w:line="500" w:lineRule="exact"/>
        <w:ind w:firstLine="560" w:firstLineChars="200"/>
        <w:rPr>
          <w:rFonts w:eastAsia="仿宋_GB2312"/>
          <w:color w:val="000000"/>
          <w:sz w:val="28"/>
          <w:szCs w:val="28"/>
          <w:u w:val="single"/>
          <w:lang w:val="zh-CN"/>
        </w:rPr>
      </w:pPr>
      <w:r>
        <w:rPr>
          <w:rFonts w:hint="eastAsia" w:eastAsia="仿宋_GB2312"/>
          <w:color w:val="000000"/>
          <w:sz w:val="28"/>
          <w:szCs w:val="28"/>
          <w:u w:val="single"/>
          <w:lang w:val="zh-CN"/>
        </w:rPr>
        <w:t>承包人如需要更换项目经理，应至少提前7天以书面形式通知发包人，并征得发包人同意。后任项目经理继续行使合同文件约定的前任项目经理职权，履行前任项目经理的义务</w:t>
      </w:r>
      <w:r>
        <w:rPr>
          <w:rFonts w:hint="eastAsia" w:eastAsia="仿宋_GB2312"/>
          <w:color w:val="000000"/>
          <w:sz w:val="28"/>
          <w:szCs w:val="28"/>
          <w:lang w:val="zh-CN"/>
        </w:rPr>
        <w:t>。</w:t>
      </w:r>
    </w:p>
    <w:p w14:paraId="4F115754">
      <w:pPr>
        <w:spacing w:line="500" w:lineRule="exact"/>
        <w:ind w:firstLine="560" w:firstLineChars="200"/>
        <w:rPr>
          <w:rFonts w:eastAsia="仿宋_GB2312"/>
          <w:color w:val="000000"/>
          <w:sz w:val="28"/>
          <w:szCs w:val="28"/>
          <w:lang w:val="zh-CN"/>
        </w:rPr>
      </w:pPr>
      <w:r>
        <w:rPr>
          <w:rFonts w:hint="eastAsia" w:eastAsia="仿宋_GB2312"/>
          <w:color w:val="000000"/>
          <w:sz w:val="28"/>
          <w:szCs w:val="28"/>
          <w:u w:val="single"/>
          <w:lang w:val="zh-CN"/>
        </w:rPr>
        <w:t>发包人可以与承包人协商，建议更换其认为不称职的项目经理</w:t>
      </w:r>
      <w:r>
        <w:rPr>
          <w:rFonts w:hint="eastAsia" w:eastAsia="仿宋_GB2312"/>
          <w:color w:val="000000"/>
          <w:sz w:val="28"/>
          <w:szCs w:val="28"/>
          <w:lang w:val="zh-CN"/>
        </w:rPr>
        <w:t>。</w:t>
      </w:r>
    </w:p>
    <w:p w14:paraId="67501B89">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关于项目经理每月在施工现场的时间要求：</w:t>
      </w:r>
      <w:r>
        <w:rPr>
          <w:rFonts w:hint="eastAsia" w:eastAsia="仿宋_GB2312"/>
          <w:color w:val="000000"/>
          <w:sz w:val="28"/>
          <w:szCs w:val="28"/>
          <w:u w:val="single"/>
        </w:rPr>
        <w:t>/</w:t>
      </w:r>
      <w:r>
        <w:rPr>
          <w:rFonts w:eastAsia="仿宋_GB2312"/>
          <w:color w:val="000000"/>
          <w:sz w:val="28"/>
          <w:szCs w:val="28"/>
        </w:rPr>
        <w:t>。</w:t>
      </w:r>
    </w:p>
    <w:p w14:paraId="073D57CD">
      <w:pPr>
        <w:spacing w:line="500" w:lineRule="exact"/>
        <w:ind w:firstLine="560" w:firstLineChars="200"/>
        <w:rPr>
          <w:rFonts w:eastAsia="仿宋_GB2312"/>
          <w:color w:val="000000"/>
          <w:kern w:val="0"/>
          <w:sz w:val="28"/>
          <w:szCs w:val="28"/>
        </w:rPr>
      </w:pPr>
      <w:r>
        <w:rPr>
          <w:rFonts w:eastAsia="仿宋_GB2312"/>
          <w:color w:val="000000"/>
          <w:kern w:val="0"/>
          <w:sz w:val="28"/>
          <w:szCs w:val="28"/>
        </w:rPr>
        <w:t>承包人未提交劳动合同，以及没有为项目经理缴纳社会保险证明的违约责任：</w:t>
      </w:r>
      <w:r>
        <w:rPr>
          <w:rFonts w:hint="eastAsia" w:eastAsia="仿宋_GB2312"/>
          <w:color w:val="000000"/>
          <w:sz w:val="28"/>
          <w:szCs w:val="28"/>
          <w:u w:val="single"/>
        </w:rPr>
        <w:t>/</w:t>
      </w:r>
      <w:r>
        <w:rPr>
          <w:rFonts w:eastAsia="仿宋_GB2312"/>
          <w:color w:val="000000"/>
          <w:sz w:val="28"/>
          <w:szCs w:val="28"/>
        </w:rPr>
        <w:t>。</w:t>
      </w:r>
    </w:p>
    <w:p w14:paraId="575DFEB5">
      <w:pPr>
        <w:spacing w:line="500" w:lineRule="exact"/>
        <w:ind w:firstLine="560" w:firstLineChars="200"/>
        <w:rPr>
          <w:rFonts w:eastAsia="仿宋_GB2312"/>
          <w:color w:val="000000"/>
          <w:sz w:val="28"/>
          <w:szCs w:val="28"/>
          <w:u w:val="single"/>
        </w:rPr>
      </w:pPr>
      <w:r>
        <w:rPr>
          <w:rFonts w:eastAsia="仿宋_GB2312"/>
          <w:color w:val="000000"/>
          <w:kern w:val="0"/>
          <w:sz w:val="28"/>
          <w:szCs w:val="28"/>
        </w:rPr>
        <w:t>项目经理未经批准，擅自离开施工现场的违约责任：</w:t>
      </w:r>
      <w:r>
        <w:rPr>
          <w:rFonts w:hint="eastAsia" w:eastAsia="仿宋_GB2312"/>
          <w:color w:val="000000"/>
          <w:sz w:val="28"/>
          <w:szCs w:val="28"/>
          <w:u w:val="single"/>
        </w:rPr>
        <w:t>/</w:t>
      </w:r>
      <w:r>
        <w:rPr>
          <w:rFonts w:eastAsia="仿宋_GB2312"/>
          <w:color w:val="000000"/>
          <w:sz w:val="28"/>
          <w:szCs w:val="28"/>
        </w:rPr>
        <w:t>。</w:t>
      </w:r>
    </w:p>
    <w:p w14:paraId="4C01382D">
      <w:pPr>
        <w:spacing w:line="500" w:lineRule="exact"/>
        <w:ind w:firstLine="560" w:firstLineChars="200"/>
        <w:rPr>
          <w:rFonts w:eastAsia="仿宋_GB2312"/>
          <w:color w:val="000000"/>
          <w:sz w:val="28"/>
          <w:szCs w:val="28"/>
        </w:rPr>
      </w:pPr>
      <w:r>
        <w:rPr>
          <w:rFonts w:eastAsia="仿宋_GB2312"/>
          <w:color w:val="000000"/>
          <w:sz w:val="28"/>
          <w:szCs w:val="28"/>
        </w:rPr>
        <w:t>3.2.3 承包人擅自更换项目经理的违约责任：</w:t>
      </w:r>
      <w:r>
        <w:rPr>
          <w:rFonts w:hint="eastAsia" w:eastAsia="仿宋_GB2312"/>
          <w:color w:val="000000"/>
          <w:sz w:val="28"/>
          <w:szCs w:val="28"/>
          <w:u w:val="single"/>
        </w:rPr>
        <w:t>/</w:t>
      </w:r>
      <w:r>
        <w:rPr>
          <w:rFonts w:eastAsia="仿宋_GB2312"/>
          <w:color w:val="000000"/>
          <w:sz w:val="28"/>
          <w:szCs w:val="28"/>
        </w:rPr>
        <w:t>。</w:t>
      </w:r>
    </w:p>
    <w:p w14:paraId="65D4E8B1">
      <w:pPr>
        <w:spacing w:line="500" w:lineRule="exact"/>
        <w:outlineLvl w:val="0"/>
        <w:rPr>
          <w:rFonts w:eastAsia="仿宋_GB2312"/>
          <w:color w:val="000000"/>
          <w:sz w:val="28"/>
          <w:szCs w:val="28"/>
        </w:rPr>
      </w:pPr>
      <w:r>
        <w:rPr>
          <w:rFonts w:eastAsia="仿宋_GB2312"/>
          <w:color w:val="000000"/>
          <w:sz w:val="28"/>
          <w:szCs w:val="28"/>
        </w:rPr>
        <w:t xml:space="preserve">    3.2.4 承包人无正当理由拒绝更换项目经理的违约责任：</w:t>
      </w:r>
      <w:r>
        <w:rPr>
          <w:rFonts w:hint="eastAsia" w:eastAsia="仿宋_GB2312"/>
          <w:color w:val="000000"/>
          <w:sz w:val="28"/>
          <w:szCs w:val="28"/>
          <w:u w:val="single"/>
        </w:rPr>
        <w:t>/</w:t>
      </w:r>
      <w:r>
        <w:rPr>
          <w:rFonts w:eastAsia="仿宋_GB2312"/>
          <w:color w:val="000000"/>
          <w:sz w:val="28"/>
          <w:szCs w:val="28"/>
        </w:rPr>
        <w:t>。</w:t>
      </w:r>
    </w:p>
    <w:p w14:paraId="33EFC00B">
      <w:pPr>
        <w:spacing w:after="120" w:line="500" w:lineRule="exact"/>
        <w:ind w:firstLine="560" w:firstLineChars="200"/>
        <w:rPr>
          <w:rFonts w:eastAsia="黑体"/>
          <w:color w:val="000000"/>
          <w:sz w:val="28"/>
          <w:szCs w:val="28"/>
        </w:rPr>
      </w:pPr>
      <w:r>
        <w:rPr>
          <w:rFonts w:eastAsia="黑体"/>
          <w:color w:val="000000"/>
          <w:sz w:val="28"/>
          <w:szCs w:val="28"/>
        </w:rPr>
        <w:t>3.3 承包人人员</w:t>
      </w:r>
    </w:p>
    <w:p w14:paraId="0FA73580">
      <w:pPr>
        <w:spacing w:line="500" w:lineRule="exact"/>
        <w:ind w:firstLine="560" w:firstLineChars="200"/>
        <w:rPr>
          <w:rFonts w:eastAsia="仿宋_GB2312"/>
          <w:color w:val="000000"/>
          <w:sz w:val="28"/>
          <w:szCs w:val="28"/>
        </w:rPr>
      </w:pPr>
      <w:r>
        <w:rPr>
          <w:rFonts w:eastAsia="仿宋_GB2312"/>
          <w:color w:val="000000"/>
          <w:sz w:val="28"/>
          <w:szCs w:val="28"/>
        </w:rPr>
        <w:t>3.3.1 承包人提交项目管理机构及施工现场管理人员安排报告的期限：</w:t>
      </w:r>
      <w:r>
        <w:rPr>
          <w:rFonts w:hint="eastAsia" w:eastAsia="仿宋_GB2312"/>
          <w:color w:val="000000"/>
          <w:sz w:val="28"/>
          <w:szCs w:val="28"/>
          <w:u w:val="single"/>
        </w:rPr>
        <w:t>/</w:t>
      </w:r>
      <w:r>
        <w:rPr>
          <w:rFonts w:eastAsia="仿宋_GB2312"/>
          <w:color w:val="000000"/>
          <w:sz w:val="28"/>
          <w:szCs w:val="28"/>
        </w:rPr>
        <w:t>。</w:t>
      </w:r>
    </w:p>
    <w:p w14:paraId="1CBC1843">
      <w:pPr>
        <w:spacing w:line="500" w:lineRule="exact"/>
        <w:ind w:firstLine="560" w:firstLineChars="200"/>
        <w:rPr>
          <w:rFonts w:eastAsia="仿宋_GB2312"/>
          <w:color w:val="000000"/>
          <w:sz w:val="28"/>
          <w:szCs w:val="28"/>
        </w:rPr>
      </w:pPr>
      <w:r>
        <w:rPr>
          <w:rFonts w:eastAsia="仿宋_GB2312"/>
          <w:color w:val="000000"/>
          <w:sz w:val="28"/>
          <w:szCs w:val="28"/>
        </w:rPr>
        <w:t>3.3.3 承包人无正当理由拒绝撤换主要施工管理人员的违约责任：</w:t>
      </w:r>
      <w:r>
        <w:rPr>
          <w:rFonts w:hint="eastAsia" w:eastAsia="仿宋_GB2312"/>
          <w:color w:val="000000"/>
          <w:sz w:val="28"/>
          <w:szCs w:val="28"/>
          <w:u w:val="single"/>
        </w:rPr>
        <w:t>/</w:t>
      </w:r>
      <w:r>
        <w:rPr>
          <w:rFonts w:eastAsia="仿宋_GB2312"/>
          <w:color w:val="000000"/>
          <w:sz w:val="28"/>
          <w:szCs w:val="28"/>
        </w:rPr>
        <w:t>。</w:t>
      </w:r>
    </w:p>
    <w:p w14:paraId="76FB94FC">
      <w:pPr>
        <w:spacing w:line="500" w:lineRule="exact"/>
        <w:ind w:firstLine="560" w:firstLineChars="200"/>
        <w:rPr>
          <w:rFonts w:eastAsia="仿宋_GB2312"/>
          <w:color w:val="000000"/>
          <w:sz w:val="28"/>
          <w:szCs w:val="28"/>
          <w:u w:val="single"/>
        </w:rPr>
      </w:pPr>
      <w:r>
        <w:rPr>
          <w:rFonts w:eastAsia="仿宋_GB2312"/>
          <w:color w:val="000000"/>
          <w:sz w:val="28"/>
          <w:szCs w:val="28"/>
        </w:rPr>
        <w:t>3.3.4 承包人主要施工管理人员离开施工现场的批准要求：</w:t>
      </w:r>
      <w:r>
        <w:rPr>
          <w:rFonts w:hint="eastAsia" w:eastAsia="仿宋_GB2312"/>
          <w:color w:val="000000"/>
          <w:sz w:val="28"/>
          <w:szCs w:val="28"/>
          <w:u w:val="single"/>
        </w:rPr>
        <w:t>/</w:t>
      </w:r>
      <w:r>
        <w:rPr>
          <w:rFonts w:eastAsia="仿宋_GB2312"/>
          <w:color w:val="000000"/>
          <w:sz w:val="28"/>
          <w:szCs w:val="28"/>
        </w:rPr>
        <w:t>。</w:t>
      </w:r>
    </w:p>
    <w:p w14:paraId="2C8F6ECD">
      <w:pPr>
        <w:spacing w:line="500" w:lineRule="exact"/>
        <w:ind w:firstLine="560" w:firstLineChars="200"/>
        <w:rPr>
          <w:rFonts w:eastAsia="仿宋_GB2312"/>
          <w:color w:val="000000"/>
          <w:sz w:val="28"/>
          <w:szCs w:val="28"/>
        </w:rPr>
      </w:pPr>
      <w:r>
        <w:rPr>
          <w:rFonts w:eastAsia="仿宋_GB2312"/>
          <w:color w:val="000000"/>
          <w:sz w:val="28"/>
          <w:szCs w:val="28"/>
        </w:rPr>
        <w:t>3.3.5承包人擅自更换主要施工管理人员的违约责任：</w:t>
      </w:r>
      <w:r>
        <w:rPr>
          <w:rFonts w:hint="eastAsia" w:eastAsia="仿宋_GB2312"/>
          <w:color w:val="000000"/>
          <w:sz w:val="28"/>
          <w:szCs w:val="28"/>
          <w:u w:val="single"/>
        </w:rPr>
        <w:t>/</w:t>
      </w:r>
      <w:r>
        <w:rPr>
          <w:rFonts w:eastAsia="仿宋_GB2312"/>
          <w:color w:val="000000"/>
          <w:sz w:val="28"/>
          <w:szCs w:val="28"/>
        </w:rPr>
        <w:t>。</w:t>
      </w:r>
    </w:p>
    <w:p w14:paraId="159A6DA4">
      <w:pPr>
        <w:spacing w:line="500" w:lineRule="exact"/>
        <w:ind w:firstLine="560" w:firstLineChars="200"/>
        <w:rPr>
          <w:rFonts w:eastAsia="仿宋_GB2312"/>
          <w:color w:val="000000"/>
          <w:sz w:val="28"/>
          <w:szCs w:val="28"/>
        </w:rPr>
      </w:pPr>
      <w:r>
        <w:rPr>
          <w:rFonts w:eastAsia="仿宋_GB2312"/>
          <w:color w:val="000000"/>
          <w:sz w:val="28"/>
          <w:szCs w:val="28"/>
        </w:rPr>
        <w:t>承包人主要施工管理人员擅自离开施工现场的违约责任：</w:t>
      </w:r>
      <w:r>
        <w:rPr>
          <w:rFonts w:hint="eastAsia" w:eastAsia="仿宋_GB2312"/>
          <w:color w:val="000000"/>
          <w:sz w:val="28"/>
          <w:szCs w:val="28"/>
          <w:u w:val="single"/>
        </w:rPr>
        <w:t>/</w:t>
      </w:r>
      <w:r>
        <w:rPr>
          <w:rFonts w:eastAsia="仿宋_GB2312"/>
          <w:color w:val="000000"/>
          <w:sz w:val="28"/>
          <w:szCs w:val="28"/>
        </w:rPr>
        <w:t>。</w:t>
      </w:r>
    </w:p>
    <w:p w14:paraId="606CE4C6">
      <w:pPr>
        <w:spacing w:after="120" w:line="500" w:lineRule="exact"/>
        <w:ind w:firstLine="560" w:firstLineChars="200"/>
        <w:rPr>
          <w:rFonts w:eastAsia="黑体"/>
          <w:color w:val="000000"/>
          <w:sz w:val="28"/>
          <w:szCs w:val="28"/>
        </w:rPr>
      </w:pPr>
      <w:r>
        <w:rPr>
          <w:rFonts w:eastAsia="黑体"/>
          <w:color w:val="000000"/>
          <w:sz w:val="28"/>
          <w:szCs w:val="28"/>
        </w:rPr>
        <w:t>3</w:t>
      </w:r>
      <w:bookmarkStart w:id="1172" w:name="_Toc297048345"/>
      <w:bookmarkStart w:id="1173" w:name="_Toc297216151"/>
      <w:bookmarkStart w:id="1174" w:name="_Toc297120459"/>
      <w:bookmarkStart w:id="1175" w:name="_Toc296890987"/>
      <w:bookmarkStart w:id="1176" w:name="_Toc296891199"/>
      <w:bookmarkStart w:id="1177" w:name="_Toc297123492"/>
      <w:bookmarkStart w:id="1178" w:name="_Toc304295523"/>
      <w:bookmarkStart w:id="1179" w:name="_Toc303539102"/>
      <w:bookmarkStart w:id="1180" w:name="_Toc300934945"/>
      <w:bookmarkStart w:id="1181" w:name="_Toc296347158"/>
      <w:bookmarkStart w:id="1182" w:name="_Toc292559364"/>
      <w:bookmarkStart w:id="1183" w:name="_Toc296503159"/>
      <w:bookmarkStart w:id="1184" w:name="_Toc312677988"/>
      <w:bookmarkStart w:id="1185" w:name="_Toc292559869"/>
      <w:bookmarkStart w:id="1186" w:name="_Toc296346660"/>
      <w:bookmarkStart w:id="1187" w:name="_Toc296944498"/>
      <w:r>
        <w:rPr>
          <w:rFonts w:eastAsia="黑体"/>
          <w:color w:val="000000"/>
          <w:sz w:val="28"/>
          <w:szCs w:val="28"/>
        </w:rPr>
        <w:t>.5 分包</w:t>
      </w:r>
    </w:p>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p w14:paraId="4C91629C">
      <w:pPr>
        <w:spacing w:line="500" w:lineRule="exact"/>
        <w:ind w:firstLine="560" w:firstLineChars="200"/>
        <w:rPr>
          <w:rFonts w:eastAsia="仿宋_GB2312"/>
          <w:sz w:val="28"/>
          <w:szCs w:val="28"/>
        </w:rPr>
      </w:pPr>
      <w:r>
        <w:rPr>
          <w:rFonts w:eastAsia="仿宋_GB2312"/>
          <w:sz w:val="28"/>
          <w:szCs w:val="28"/>
        </w:rPr>
        <w:t>3</w:t>
      </w:r>
      <w:bookmarkStart w:id="1188" w:name="_Toc292559365"/>
      <w:bookmarkStart w:id="1189" w:name="_Toc296503160"/>
      <w:bookmarkStart w:id="1190" w:name="_Toc296890988"/>
      <w:bookmarkStart w:id="1191" w:name="_Toc292559870"/>
      <w:bookmarkStart w:id="1192" w:name="_Toc300934946"/>
      <w:bookmarkStart w:id="1193" w:name="_Toc297216152"/>
      <w:bookmarkStart w:id="1194" w:name="_Toc303539103"/>
      <w:bookmarkStart w:id="1195" w:name="_Toc297048346"/>
      <w:bookmarkStart w:id="1196" w:name="_Toc296891200"/>
      <w:bookmarkStart w:id="1197" w:name="_Toc304295524"/>
      <w:bookmarkStart w:id="1198" w:name="_Toc296347159"/>
      <w:bookmarkStart w:id="1199" w:name="_Toc296346661"/>
      <w:bookmarkStart w:id="1200" w:name="_Toc297120460"/>
      <w:bookmarkStart w:id="1201" w:name="_Toc297123493"/>
      <w:bookmarkStart w:id="1202" w:name="_Toc296944499"/>
      <w:bookmarkStart w:id="1203" w:name="_Toc312677989"/>
      <w:bookmarkStart w:id="1204" w:name="_Toc318581158"/>
      <w:r>
        <w:rPr>
          <w:rFonts w:eastAsia="仿宋_GB2312"/>
          <w:sz w:val="28"/>
          <w:szCs w:val="28"/>
        </w:rPr>
        <w:t>.5.1 分包的一般约定</w:t>
      </w:r>
    </w:p>
    <w:p w14:paraId="0080DCFB">
      <w:pPr>
        <w:spacing w:line="500" w:lineRule="exact"/>
        <w:ind w:firstLine="560" w:firstLineChars="200"/>
        <w:jc w:val="left"/>
        <w:rPr>
          <w:rFonts w:eastAsia="仿宋_GB2312"/>
          <w:sz w:val="28"/>
          <w:szCs w:val="28"/>
        </w:rPr>
      </w:pPr>
      <w:r>
        <w:rPr>
          <w:rFonts w:eastAsia="仿宋_GB2312"/>
          <w:sz w:val="28"/>
          <w:szCs w:val="28"/>
        </w:rPr>
        <w:t>禁止分包的工程包括：</w:t>
      </w:r>
      <w:r>
        <w:rPr>
          <w:rFonts w:hint="eastAsia" w:eastAsia="仿宋_GB2312"/>
          <w:color w:val="000000"/>
          <w:sz w:val="28"/>
          <w:szCs w:val="28"/>
          <w:u w:val="single"/>
        </w:rPr>
        <w:t>颐和园园内水电及基础设施维修（第一标段：配电设备设施运维）</w:t>
      </w:r>
      <w:r>
        <w:rPr>
          <w:rFonts w:eastAsia="仿宋_GB2312"/>
          <w:color w:val="000000"/>
          <w:sz w:val="28"/>
          <w:szCs w:val="28"/>
        </w:rPr>
        <w:t>。</w:t>
      </w:r>
    </w:p>
    <w:p w14:paraId="6AAA48A5">
      <w:pPr>
        <w:spacing w:line="500" w:lineRule="exact"/>
        <w:ind w:firstLine="560" w:firstLineChars="200"/>
        <w:jc w:val="left"/>
        <w:rPr>
          <w:rFonts w:eastAsia="仿宋_GB2312"/>
          <w:color w:val="000000"/>
          <w:sz w:val="28"/>
          <w:szCs w:val="28"/>
          <w:u w:val="single"/>
        </w:rPr>
      </w:pPr>
      <w:r>
        <w:rPr>
          <w:rFonts w:eastAsia="仿宋_GB2312"/>
          <w:sz w:val="28"/>
          <w:szCs w:val="28"/>
        </w:rPr>
        <w:t>主体结构、关键性工作的范围：</w:t>
      </w:r>
      <w:r>
        <w:rPr>
          <w:rFonts w:hint="eastAsia" w:eastAsia="仿宋_GB2312"/>
          <w:color w:val="000000"/>
          <w:sz w:val="28"/>
          <w:szCs w:val="28"/>
          <w:u w:val="single"/>
        </w:rPr>
        <w:t>/</w:t>
      </w:r>
      <w:r>
        <w:rPr>
          <w:rFonts w:eastAsia="仿宋_GB2312"/>
          <w:color w:val="000000"/>
          <w:sz w:val="28"/>
          <w:szCs w:val="28"/>
        </w:rPr>
        <w:t>。</w:t>
      </w:r>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Start w:id="1205" w:name="_Toc304295525"/>
      <w:bookmarkStart w:id="1206" w:name="_Toc297123494"/>
      <w:bookmarkStart w:id="1207" w:name="_Toc297216153"/>
      <w:bookmarkStart w:id="1208" w:name="_Toc303539104"/>
      <w:bookmarkStart w:id="1209" w:name="_Toc296944500"/>
      <w:bookmarkStart w:id="1210" w:name="_Toc296346662"/>
      <w:bookmarkStart w:id="1211" w:name="_Toc297048347"/>
      <w:bookmarkStart w:id="1212" w:name="_Toc297120461"/>
      <w:bookmarkStart w:id="1213" w:name="_Toc300934947"/>
      <w:bookmarkStart w:id="1214" w:name="_Toc296890989"/>
      <w:bookmarkStart w:id="1215" w:name="_Toc296347160"/>
      <w:bookmarkStart w:id="1216" w:name="_Toc296891201"/>
      <w:bookmarkStart w:id="1217" w:name="_Toc296503161"/>
    </w:p>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p w14:paraId="21B1DC61">
      <w:pPr>
        <w:spacing w:line="500" w:lineRule="exact"/>
        <w:rPr>
          <w:rFonts w:eastAsia="仿宋_GB2312"/>
          <w:sz w:val="28"/>
          <w:szCs w:val="28"/>
        </w:rPr>
      </w:pPr>
      <w:r>
        <w:rPr>
          <w:rFonts w:eastAsia="仿宋_GB2312"/>
          <w:sz w:val="28"/>
          <w:szCs w:val="28"/>
        </w:rPr>
        <w:t xml:space="preserve">    3</w:t>
      </w:r>
      <w:bookmarkStart w:id="1218" w:name="_Toc312677990"/>
      <w:bookmarkStart w:id="1219" w:name="_Toc318581159"/>
      <w:r>
        <w:rPr>
          <w:rFonts w:eastAsia="仿宋_GB2312"/>
          <w:sz w:val="28"/>
          <w:szCs w:val="28"/>
        </w:rPr>
        <w:t>.5.2分包的确定</w:t>
      </w:r>
    </w:p>
    <w:p w14:paraId="3F602C89">
      <w:pPr>
        <w:spacing w:line="500" w:lineRule="exact"/>
        <w:ind w:firstLine="560" w:firstLineChars="200"/>
        <w:rPr>
          <w:rFonts w:eastAsia="仿宋_GB2312"/>
          <w:color w:val="000000"/>
          <w:sz w:val="28"/>
          <w:szCs w:val="28"/>
          <w:u w:val="single"/>
        </w:rPr>
      </w:pPr>
      <w:r>
        <w:rPr>
          <w:rFonts w:eastAsia="仿宋_GB2312"/>
          <w:sz w:val="28"/>
          <w:szCs w:val="28"/>
        </w:rPr>
        <w:t>允许分包的专业工程包括：</w:t>
      </w:r>
      <w:r>
        <w:rPr>
          <w:rFonts w:hint="eastAsia" w:eastAsia="仿宋_GB2312"/>
          <w:color w:val="000000"/>
          <w:sz w:val="28"/>
          <w:szCs w:val="28"/>
          <w:u w:val="single"/>
        </w:rPr>
        <w:t>无</w:t>
      </w:r>
      <w:r>
        <w:rPr>
          <w:rFonts w:eastAsia="仿宋_GB2312"/>
          <w:color w:val="000000"/>
          <w:sz w:val="28"/>
          <w:szCs w:val="28"/>
        </w:rPr>
        <w:t>。</w:t>
      </w:r>
    </w:p>
    <w:p w14:paraId="67995F8E">
      <w:pPr>
        <w:spacing w:line="500" w:lineRule="exact"/>
        <w:ind w:firstLine="560" w:firstLineChars="200"/>
        <w:rPr>
          <w:rFonts w:eastAsia="仿宋_GB2312"/>
          <w:sz w:val="28"/>
          <w:szCs w:val="28"/>
        </w:rPr>
      </w:pPr>
      <w:r>
        <w:rPr>
          <w:rFonts w:eastAsia="仿宋_GB2312"/>
          <w:color w:val="000000"/>
          <w:sz w:val="28"/>
          <w:szCs w:val="28"/>
        </w:rPr>
        <w:t>其他关于分包的约定：</w:t>
      </w:r>
      <w:r>
        <w:rPr>
          <w:rFonts w:hint="eastAsia" w:eastAsia="仿宋_GB2312"/>
          <w:color w:val="000000"/>
          <w:sz w:val="28"/>
          <w:szCs w:val="28"/>
          <w:u w:val="single"/>
        </w:rPr>
        <w:t>无</w:t>
      </w:r>
      <w:r>
        <w:rPr>
          <w:rFonts w:eastAsia="仿宋_GB2312"/>
          <w:color w:val="000000"/>
          <w:sz w:val="28"/>
          <w:szCs w:val="28"/>
        </w:rPr>
        <w:t>。</w:t>
      </w:r>
    </w:p>
    <w:p w14:paraId="01F3B7FC">
      <w:pPr>
        <w:spacing w:line="500" w:lineRule="exact"/>
        <w:ind w:firstLine="560" w:firstLineChars="200"/>
        <w:rPr>
          <w:rFonts w:eastAsia="仿宋_GB2312"/>
          <w:sz w:val="28"/>
          <w:szCs w:val="28"/>
        </w:rPr>
      </w:pPr>
      <w:r>
        <w:rPr>
          <w:rFonts w:eastAsia="仿宋_GB2312"/>
          <w:sz w:val="28"/>
          <w:szCs w:val="28"/>
        </w:rPr>
        <w:t>3.5.4 分包合同价款</w:t>
      </w:r>
    </w:p>
    <w:p w14:paraId="7DE5F983">
      <w:pPr>
        <w:spacing w:line="500" w:lineRule="exact"/>
        <w:ind w:firstLine="560" w:firstLineChars="200"/>
        <w:rPr>
          <w:rFonts w:eastAsia="仿宋_GB2312"/>
          <w:sz w:val="28"/>
          <w:szCs w:val="28"/>
        </w:rPr>
      </w:pPr>
      <w:r>
        <w:rPr>
          <w:rFonts w:eastAsia="仿宋_GB2312"/>
          <w:sz w:val="28"/>
          <w:szCs w:val="28"/>
        </w:rPr>
        <w:t>关于分包合同价款支付的约定：</w:t>
      </w:r>
      <w:r>
        <w:rPr>
          <w:rFonts w:hint="eastAsia" w:eastAsia="仿宋_GB2312"/>
          <w:color w:val="000000"/>
          <w:sz w:val="28"/>
          <w:szCs w:val="28"/>
          <w:u w:val="single"/>
        </w:rPr>
        <w:t>无</w:t>
      </w:r>
      <w:r>
        <w:rPr>
          <w:rFonts w:eastAsia="仿宋_GB2312"/>
          <w:color w:val="000000"/>
          <w:sz w:val="28"/>
          <w:szCs w:val="28"/>
        </w:rPr>
        <w:t>。</w:t>
      </w:r>
    </w:p>
    <w:bookmarkEnd w:id="1218"/>
    <w:bookmarkEnd w:id="1219"/>
    <w:p w14:paraId="7AA214EB">
      <w:pPr>
        <w:spacing w:after="120" w:line="500" w:lineRule="exact"/>
        <w:ind w:firstLine="560" w:firstLineChars="200"/>
        <w:rPr>
          <w:rFonts w:eastAsia="黑体"/>
          <w:color w:val="000000"/>
          <w:sz w:val="28"/>
          <w:szCs w:val="28"/>
        </w:rPr>
      </w:pPr>
      <w:r>
        <w:rPr>
          <w:rFonts w:eastAsia="黑体"/>
          <w:color w:val="000000"/>
          <w:sz w:val="28"/>
          <w:szCs w:val="28"/>
        </w:rPr>
        <w:t>3.6 工程照管与成品、半成品保护</w:t>
      </w:r>
    </w:p>
    <w:p w14:paraId="370975BB">
      <w:pPr>
        <w:spacing w:before="120" w:after="120" w:line="500" w:lineRule="exact"/>
        <w:ind w:firstLine="560" w:firstLineChars="200"/>
        <w:rPr>
          <w:rFonts w:eastAsia="仿宋_GB2312"/>
          <w:color w:val="000000"/>
          <w:kern w:val="0"/>
          <w:sz w:val="28"/>
          <w:szCs w:val="28"/>
          <w:u w:val="single"/>
        </w:rPr>
      </w:pPr>
      <w:r>
        <w:rPr>
          <w:rFonts w:eastAsia="仿宋_GB2312"/>
          <w:color w:val="000000"/>
          <w:kern w:val="0"/>
          <w:sz w:val="28"/>
          <w:szCs w:val="28"/>
        </w:rPr>
        <w:t>承包人负责照管工程及工程相关的材料、工程设备的起始时间：</w:t>
      </w:r>
      <w:r>
        <w:rPr>
          <w:rFonts w:hint="eastAsia" w:eastAsia="仿宋_GB2312"/>
          <w:color w:val="000000"/>
          <w:kern w:val="0"/>
          <w:sz w:val="28"/>
          <w:szCs w:val="28"/>
          <w:u w:val="single"/>
        </w:rPr>
        <w:t>/</w:t>
      </w:r>
      <w:r>
        <w:rPr>
          <w:rFonts w:eastAsia="仿宋_GB2312"/>
          <w:color w:val="000000"/>
          <w:kern w:val="0"/>
          <w:sz w:val="28"/>
          <w:szCs w:val="28"/>
        </w:rPr>
        <w:t>。</w:t>
      </w:r>
    </w:p>
    <w:p w14:paraId="00F6523E">
      <w:pPr>
        <w:spacing w:after="120" w:line="500" w:lineRule="exact"/>
        <w:ind w:firstLine="560" w:firstLineChars="200"/>
        <w:rPr>
          <w:rFonts w:eastAsia="黑体"/>
          <w:color w:val="000000"/>
          <w:sz w:val="28"/>
          <w:szCs w:val="28"/>
        </w:rPr>
      </w:pPr>
      <w:r>
        <w:rPr>
          <w:rFonts w:eastAsia="黑体"/>
          <w:color w:val="000000"/>
          <w:sz w:val="28"/>
          <w:szCs w:val="28"/>
        </w:rPr>
        <w:t>3.7 履约担保</w:t>
      </w:r>
    </w:p>
    <w:p w14:paraId="04BDB6B2">
      <w:pPr>
        <w:spacing w:line="500" w:lineRule="exact"/>
        <w:ind w:firstLine="560" w:firstLineChars="200"/>
        <w:jc w:val="left"/>
        <w:rPr>
          <w:rFonts w:eastAsia="仿宋_GB2312"/>
          <w:color w:val="000000"/>
          <w:sz w:val="28"/>
          <w:szCs w:val="28"/>
        </w:rPr>
      </w:pPr>
      <w:r>
        <w:rPr>
          <w:rFonts w:hint="eastAsia" w:eastAsia="仿宋_GB2312"/>
          <w:color w:val="000000"/>
          <w:sz w:val="28"/>
          <w:szCs w:val="28"/>
        </w:rPr>
        <w:t>承包人是否提供履约担保：</w:t>
      </w:r>
      <w:r>
        <w:rPr>
          <w:rFonts w:hint="eastAsia" w:eastAsia="仿宋_GB2312"/>
          <w:color w:val="000000"/>
          <w:sz w:val="28"/>
          <w:szCs w:val="28"/>
          <w:u w:val="single"/>
        </w:rPr>
        <w:t>否</w:t>
      </w:r>
      <w:r>
        <w:rPr>
          <w:rFonts w:eastAsia="仿宋_GB2312"/>
          <w:color w:val="000000"/>
          <w:sz w:val="28"/>
          <w:szCs w:val="28"/>
        </w:rPr>
        <w:t>。</w:t>
      </w:r>
    </w:p>
    <w:p w14:paraId="7D16778B">
      <w:pPr>
        <w:spacing w:line="500" w:lineRule="exact"/>
        <w:ind w:firstLine="560" w:firstLineChars="200"/>
        <w:jc w:val="left"/>
        <w:rPr>
          <w:rFonts w:eastAsia="仿宋_GB2312"/>
          <w:color w:val="000000"/>
          <w:sz w:val="28"/>
          <w:szCs w:val="28"/>
        </w:rPr>
      </w:pPr>
      <w:r>
        <w:rPr>
          <w:rFonts w:eastAsia="仿宋_GB2312"/>
          <w:color w:val="000000"/>
          <w:sz w:val="28"/>
          <w:szCs w:val="28"/>
        </w:rPr>
        <w:t>承包人提供履约担保的形式</w:t>
      </w:r>
      <w:r>
        <w:rPr>
          <w:rFonts w:hint="eastAsia" w:eastAsia="仿宋_GB2312"/>
          <w:color w:val="000000"/>
          <w:sz w:val="28"/>
          <w:szCs w:val="28"/>
        </w:rPr>
        <w:t>、金额及期限的</w:t>
      </w:r>
      <w:r>
        <w:rPr>
          <w:rFonts w:eastAsia="仿宋_GB2312"/>
          <w:color w:val="000000"/>
          <w:sz w:val="28"/>
          <w:szCs w:val="28"/>
        </w:rPr>
        <w:t>：</w:t>
      </w:r>
      <w:r>
        <w:rPr>
          <w:rFonts w:hint="eastAsia" w:eastAsia="仿宋_GB2312"/>
          <w:color w:val="000000"/>
          <w:sz w:val="28"/>
          <w:szCs w:val="28"/>
          <w:u w:val="single"/>
        </w:rPr>
        <w:t>/</w:t>
      </w:r>
      <w:r>
        <w:rPr>
          <w:rFonts w:eastAsia="仿宋_GB2312"/>
          <w:color w:val="000000"/>
          <w:sz w:val="28"/>
          <w:szCs w:val="28"/>
        </w:rPr>
        <w:t>。</w:t>
      </w:r>
    </w:p>
    <w:p w14:paraId="61F513A0">
      <w:pPr>
        <w:pStyle w:val="6"/>
        <w:spacing w:before="120" w:after="120" w:line="500" w:lineRule="exact"/>
        <w:rPr>
          <w:rFonts w:ascii="Times New Roman" w:hAnsi="Times New Roman"/>
          <w:b w:val="0"/>
          <w:color w:val="000000"/>
        </w:rPr>
      </w:pPr>
      <w:bookmarkStart w:id="1220" w:name="_Toc351203636"/>
      <w:r>
        <w:rPr>
          <w:rFonts w:ascii="Times New Roman" w:hAnsi="Times New Roman"/>
          <w:b w:val="0"/>
          <w:color w:val="000000"/>
        </w:rPr>
        <w:t>4</w:t>
      </w:r>
      <w:bookmarkStart w:id="1221" w:name="_Toc292559366"/>
      <w:bookmarkStart w:id="1222" w:name="_Toc296347161"/>
      <w:bookmarkStart w:id="1223" w:name="_Toc297048348"/>
      <w:bookmarkStart w:id="1224" w:name="_Toc297120462"/>
      <w:bookmarkStart w:id="1225" w:name="_Toc267251413"/>
      <w:bookmarkStart w:id="1226" w:name="_Toc296891202"/>
      <w:bookmarkStart w:id="1227" w:name="_Toc296944501"/>
      <w:bookmarkStart w:id="1228" w:name="_Toc292559871"/>
      <w:bookmarkStart w:id="1229" w:name="_Toc296346663"/>
      <w:bookmarkStart w:id="1230" w:name="_Toc296890990"/>
      <w:bookmarkStart w:id="1231" w:name="_Toc296503162"/>
      <w:r>
        <w:rPr>
          <w:rFonts w:ascii="Times New Roman" w:hAnsi="Times New Roman"/>
          <w:b w:val="0"/>
          <w:color w:val="000000"/>
        </w:rPr>
        <w:t>. 监</w:t>
      </w:r>
      <w:bookmarkEnd w:id="1221"/>
      <w:bookmarkEnd w:id="1222"/>
      <w:bookmarkEnd w:id="1223"/>
      <w:bookmarkEnd w:id="1224"/>
      <w:bookmarkEnd w:id="1225"/>
      <w:bookmarkEnd w:id="1226"/>
      <w:bookmarkEnd w:id="1227"/>
      <w:bookmarkEnd w:id="1228"/>
      <w:bookmarkEnd w:id="1229"/>
      <w:bookmarkEnd w:id="1230"/>
      <w:bookmarkEnd w:id="1231"/>
      <w:r>
        <w:rPr>
          <w:rFonts w:ascii="Times New Roman" w:hAnsi="Times New Roman"/>
          <w:b w:val="0"/>
          <w:color w:val="000000"/>
        </w:rPr>
        <w:t>理人</w:t>
      </w:r>
      <w:bookmarkEnd w:id="1220"/>
    </w:p>
    <w:p w14:paraId="11FED2F2">
      <w:pPr>
        <w:spacing w:after="120" w:line="500" w:lineRule="exact"/>
        <w:ind w:firstLine="560" w:firstLineChars="200"/>
        <w:rPr>
          <w:rFonts w:eastAsia="黑体"/>
          <w:color w:val="000000"/>
          <w:sz w:val="28"/>
          <w:szCs w:val="28"/>
        </w:rPr>
      </w:pPr>
      <w:r>
        <w:rPr>
          <w:rFonts w:eastAsia="黑体"/>
          <w:color w:val="000000"/>
          <w:sz w:val="28"/>
          <w:szCs w:val="28"/>
        </w:rPr>
        <w:t>4.1监理人的一般规定</w:t>
      </w:r>
    </w:p>
    <w:p w14:paraId="77EF3E04">
      <w:pPr>
        <w:spacing w:line="500" w:lineRule="exact"/>
        <w:ind w:firstLine="560" w:firstLineChars="200"/>
        <w:jc w:val="left"/>
        <w:rPr>
          <w:rFonts w:eastAsia="仿宋_GB2312"/>
          <w:sz w:val="28"/>
          <w:szCs w:val="28"/>
        </w:rPr>
      </w:pPr>
      <w:r>
        <w:rPr>
          <w:rFonts w:eastAsia="仿宋_GB2312"/>
          <w:sz w:val="28"/>
          <w:szCs w:val="28"/>
        </w:rPr>
        <w:t>关于监理人的监理内容：</w:t>
      </w:r>
      <w:r>
        <w:rPr>
          <w:rFonts w:eastAsia="仿宋_GB2312"/>
          <w:sz w:val="28"/>
          <w:szCs w:val="28"/>
          <w:u w:val="single"/>
        </w:rPr>
        <w:t xml:space="preserve"> </w:t>
      </w:r>
      <w:r>
        <w:rPr>
          <w:rFonts w:hint="eastAsia" w:eastAsia="仿宋_GB2312"/>
          <w:sz w:val="28"/>
          <w:szCs w:val="28"/>
          <w:u w:val="single"/>
        </w:rPr>
        <w:t>本工程的监理工作有(1)施工质量控制;(2)施工过程投资控制:(3)工程量计量(含工程洽商)确认:(4)合同与信息管理(包括特别是声像资料的管理);(5)安全、绿色、文明施工及保安、保卫、消防的管理:(6)技木监督等</w:t>
      </w:r>
      <w:r>
        <w:rPr>
          <w:rFonts w:eastAsia="仿宋_GB2312"/>
          <w:sz w:val="28"/>
          <w:szCs w:val="28"/>
        </w:rPr>
        <w:t>。</w:t>
      </w:r>
    </w:p>
    <w:p w14:paraId="302B10D2">
      <w:pPr>
        <w:spacing w:line="500" w:lineRule="exact"/>
        <w:ind w:firstLine="560" w:firstLineChars="200"/>
        <w:jc w:val="left"/>
        <w:rPr>
          <w:rFonts w:eastAsia="仿宋_GB2312"/>
          <w:color w:val="000000"/>
          <w:sz w:val="28"/>
          <w:szCs w:val="28"/>
        </w:rPr>
      </w:pPr>
      <w:r>
        <w:rPr>
          <w:rFonts w:eastAsia="仿宋_GB2312"/>
          <w:sz w:val="28"/>
          <w:szCs w:val="28"/>
        </w:rPr>
        <w:t>关于监理人的监理权限：</w:t>
      </w:r>
      <w:r>
        <w:rPr>
          <w:rFonts w:hint="eastAsia" w:eastAsia="仿宋_GB2312"/>
          <w:sz w:val="28"/>
          <w:szCs w:val="28"/>
          <w:u w:val="single"/>
        </w:rPr>
        <w:t xml:space="preserve">除本合同明确约定或委托人书面授权外，监理人无权减轻或免除任何第三方在其与委托人签署的合同中对委托人承担的责任或义务。任何可能对工程造价、质量或工期构成影响的设计变更和工程洽商，均须事先得到委托人的书面授权或批准。监理人对承包人呈报的工程进度计划、完成的工程量、结算报告等文件的审批、回复，监理人的意见、监理人对承包人的指示和通知等，监理人必须先呈交委托人，经委托人批准后再发给承包人，而不得直接发予承包人 </w:t>
      </w:r>
      <w:r>
        <w:rPr>
          <w:rFonts w:eastAsia="仿宋_GB2312"/>
          <w:sz w:val="28"/>
          <w:szCs w:val="28"/>
          <w:u w:val="single"/>
        </w:rPr>
        <w:t xml:space="preserve"> </w:t>
      </w:r>
      <w:r>
        <w:rPr>
          <w:rFonts w:eastAsia="仿宋_GB2312"/>
          <w:sz w:val="28"/>
          <w:szCs w:val="28"/>
        </w:rPr>
        <w:t>。</w:t>
      </w:r>
      <w:r>
        <w:rPr>
          <w:rFonts w:eastAsia="仿宋_GB2312"/>
          <w:color w:val="000000"/>
          <w:sz w:val="28"/>
          <w:szCs w:val="28"/>
        </w:rPr>
        <w:t xml:space="preserve"> </w:t>
      </w:r>
    </w:p>
    <w:p w14:paraId="7F311B62">
      <w:pPr>
        <w:spacing w:line="500" w:lineRule="exact"/>
        <w:ind w:firstLine="560" w:firstLineChars="200"/>
        <w:rPr>
          <w:rFonts w:eastAsia="仿宋_GB2312"/>
          <w:color w:val="000000"/>
          <w:sz w:val="28"/>
          <w:szCs w:val="28"/>
        </w:rPr>
      </w:pPr>
      <w:r>
        <w:rPr>
          <w:rFonts w:eastAsia="仿宋_GB2312"/>
          <w:color w:val="000000"/>
          <w:sz w:val="28"/>
          <w:szCs w:val="28"/>
        </w:rPr>
        <w:t>关于监理人在施工现场的办公场所、生活场所的提供和费用承担的约定：</w:t>
      </w:r>
      <w:r>
        <w:rPr>
          <w:rFonts w:hint="eastAsia" w:eastAsia="仿宋_GB2312"/>
          <w:color w:val="000000"/>
          <w:sz w:val="28"/>
          <w:szCs w:val="28"/>
          <w:u w:val="single"/>
        </w:rPr>
        <w:t>/</w:t>
      </w:r>
      <w:r>
        <w:rPr>
          <w:rFonts w:eastAsia="仿宋_GB2312"/>
          <w:color w:val="000000"/>
          <w:sz w:val="28"/>
          <w:szCs w:val="28"/>
        </w:rPr>
        <w:t>。</w:t>
      </w:r>
    </w:p>
    <w:p w14:paraId="19F4694D">
      <w:pPr>
        <w:spacing w:after="120" w:line="500" w:lineRule="exact"/>
        <w:ind w:firstLine="560" w:firstLineChars="200"/>
        <w:rPr>
          <w:rFonts w:eastAsia="黑体"/>
          <w:color w:val="000000"/>
          <w:sz w:val="28"/>
          <w:szCs w:val="28"/>
        </w:rPr>
      </w:pPr>
      <w:r>
        <w:rPr>
          <w:rFonts w:eastAsia="黑体"/>
          <w:color w:val="000000"/>
          <w:sz w:val="28"/>
          <w:szCs w:val="28"/>
        </w:rPr>
        <w:t>4.2 监理人员</w:t>
      </w:r>
    </w:p>
    <w:p w14:paraId="50787BA0">
      <w:pPr>
        <w:spacing w:line="500" w:lineRule="exact"/>
        <w:ind w:firstLine="560" w:firstLineChars="200"/>
        <w:rPr>
          <w:rFonts w:eastAsia="仿宋_GB2312"/>
          <w:color w:val="000000"/>
          <w:sz w:val="28"/>
          <w:szCs w:val="28"/>
        </w:rPr>
      </w:pPr>
      <w:r>
        <w:rPr>
          <w:rFonts w:eastAsia="仿宋_GB2312"/>
          <w:color w:val="000000"/>
          <w:sz w:val="28"/>
          <w:szCs w:val="28"/>
        </w:rPr>
        <w:t>总监理工程师：</w:t>
      </w:r>
    </w:p>
    <w:p w14:paraId="392B7BFF">
      <w:pPr>
        <w:spacing w:line="500" w:lineRule="exact"/>
        <w:ind w:firstLine="560" w:firstLineChars="200"/>
        <w:rPr>
          <w:rFonts w:eastAsia="仿宋_GB2312"/>
          <w:color w:val="000000"/>
          <w:sz w:val="28"/>
          <w:szCs w:val="28"/>
        </w:rPr>
      </w:pPr>
      <w:r>
        <w:rPr>
          <w:rFonts w:eastAsia="仿宋_GB2312"/>
          <w:color w:val="000000"/>
          <w:sz w:val="28"/>
          <w:szCs w:val="28"/>
        </w:rPr>
        <w:t>姓    名：</w:t>
      </w:r>
      <w:r>
        <w:rPr>
          <w:rFonts w:hint="eastAsia" w:eastAsia="仿宋_GB2312"/>
          <w:color w:val="000000"/>
          <w:sz w:val="28"/>
          <w:szCs w:val="28"/>
          <w:u w:val="single"/>
        </w:rPr>
        <w:t xml:space="preserve">       </w:t>
      </w:r>
      <w:r>
        <w:rPr>
          <w:rFonts w:eastAsia="仿宋_GB2312"/>
          <w:color w:val="000000"/>
          <w:sz w:val="28"/>
          <w:szCs w:val="28"/>
        </w:rPr>
        <w:t>；</w:t>
      </w:r>
    </w:p>
    <w:p w14:paraId="5440BB6E">
      <w:pPr>
        <w:spacing w:line="500" w:lineRule="exact"/>
        <w:ind w:firstLine="560" w:firstLineChars="200"/>
        <w:rPr>
          <w:rFonts w:eastAsia="仿宋_GB2312"/>
          <w:color w:val="000000"/>
          <w:sz w:val="28"/>
          <w:szCs w:val="28"/>
        </w:rPr>
      </w:pPr>
      <w:r>
        <w:rPr>
          <w:rFonts w:eastAsia="仿宋_GB2312"/>
          <w:color w:val="000000"/>
          <w:sz w:val="28"/>
          <w:szCs w:val="28"/>
        </w:rPr>
        <w:t>职    务：</w:t>
      </w:r>
      <w:r>
        <w:rPr>
          <w:rFonts w:hint="eastAsia" w:eastAsia="仿宋_GB2312"/>
          <w:color w:val="000000"/>
          <w:sz w:val="28"/>
          <w:szCs w:val="28"/>
          <w:u w:val="single"/>
        </w:rPr>
        <w:t xml:space="preserve">          </w:t>
      </w:r>
      <w:r>
        <w:rPr>
          <w:rFonts w:eastAsia="仿宋_GB2312"/>
          <w:color w:val="000000"/>
          <w:sz w:val="28"/>
          <w:szCs w:val="28"/>
        </w:rPr>
        <w:t>；</w:t>
      </w:r>
    </w:p>
    <w:p w14:paraId="526343FA">
      <w:pPr>
        <w:spacing w:line="500" w:lineRule="exact"/>
        <w:ind w:firstLine="560" w:firstLineChars="200"/>
        <w:rPr>
          <w:rFonts w:eastAsia="仿宋_GB2312"/>
          <w:color w:val="000000"/>
          <w:sz w:val="28"/>
          <w:szCs w:val="28"/>
          <w:u w:val="single"/>
        </w:rPr>
      </w:pPr>
      <w:r>
        <w:rPr>
          <w:rFonts w:eastAsia="仿宋_GB2312"/>
          <w:color w:val="000000"/>
          <w:sz w:val="28"/>
          <w:szCs w:val="28"/>
        </w:rPr>
        <w:t>监理工程师执业资格证书号：</w:t>
      </w:r>
      <w:r>
        <w:rPr>
          <w:rFonts w:hint="eastAsia" w:eastAsia="仿宋_GB2312"/>
          <w:color w:val="000000"/>
          <w:sz w:val="28"/>
          <w:szCs w:val="28"/>
          <w:u w:val="single"/>
        </w:rPr>
        <w:t xml:space="preserve">                  ；</w:t>
      </w:r>
    </w:p>
    <w:p w14:paraId="45339F91">
      <w:pPr>
        <w:spacing w:line="500" w:lineRule="exact"/>
        <w:ind w:firstLine="560" w:firstLineChars="200"/>
        <w:rPr>
          <w:rFonts w:eastAsia="仿宋_GB2312"/>
          <w:color w:val="000000"/>
          <w:sz w:val="28"/>
          <w:szCs w:val="28"/>
        </w:rPr>
      </w:pPr>
      <w:r>
        <w:rPr>
          <w:rFonts w:eastAsia="仿宋_GB2312"/>
          <w:color w:val="000000"/>
          <w:sz w:val="28"/>
          <w:szCs w:val="28"/>
        </w:rPr>
        <w:t>联系电话：</w:t>
      </w:r>
      <w:r>
        <w:rPr>
          <w:rFonts w:hint="eastAsia" w:eastAsia="仿宋_GB2312"/>
          <w:color w:val="000000"/>
          <w:sz w:val="28"/>
          <w:szCs w:val="28"/>
          <w:u w:val="single"/>
        </w:rPr>
        <w:t xml:space="preserve">                </w:t>
      </w:r>
      <w:r>
        <w:rPr>
          <w:rFonts w:eastAsia="仿宋_GB2312"/>
          <w:color w:val="000000"/>
          <w:sz w:val="28"/>
          <w:szCs w:val="28"/>
        </w:rPr>
        <w:t>；</w:t>
      </w:r>
    </w:p>
    <w:p w14:paraId="687D5E08">
      <w:pPr>
        <w:spacing w:line="500" w:lineRule="exact"/>
        <w:ind w:firstLine="560" w:firstLineChars="200"/>
        <w:rPr>
          <w:rFonts w:eastAsia="仿宋_GB2312"/>
          <w:color w:val="000000"/>
          <w:sz w:val="28"/>
          <w:szCs w:val="28"/>
        </w:rPr>
      </w:pPr>
      <w:r>
        <w:rPr>
          <w:rFonts w:eastAsia="仿宋_GB2312"/>
          <w:color w:val="000000"/>
          <w:sz w:val="28"/>
          <w:szCs w:val="28"/>
        </w:rPr>
        <w:t>电子信箱：</w:t>
      </w:r>
      <w:r>
        <w:rPr>
          <w:rFonts w:eastAsia="仿宋_GB2312"/>
          <w:color w:val="000000"/>
          <w:sz w:val="28"/>
          <w:szCs w:val="28"/>
          <w:u w:val="single"/>
        </w:rPr>
        <w:t></w:t>
      </w:r>
      <w:r>
        <w:rPr>
          <w:rFonts w:hint="eastAsia" w:eastAsia="仿宋_GB2312"/>
          <w:color w:val="000000"/>
          <w:sz w:val="28"/>
          <w:szCs w:val="28"/>
          <w:u w:val="single"/>
        </w:rPr>
        <w:t xml:space="preserve">/  </w:t>
      </w:r>
      <w:r>
        <w:rPr>
          <w:rFonts w:eastAsia="仿宋_GB2312"/>
          <w:color w:val="000000"/>
          <w:sz w:val="28"/>
          <w:szCs w:val="28"/>
          <w:u w:val="single"/>
        </w:rPr>
        <w:t></w:t>
      </w:r>
      <w:r>
        <w:rPr>
          <w:rFonts w:eastAsia="仿宋_GB2312"/>
          <w:color w:val="000000"/>
          <w:sz w:val="28"/>
          <w:szCs w:val="28"/>
        </w:rPr>
        <w:t>；</w:t>
      </w:r>
    </w:p>
    <w:p w14:paraId="2C8D4960">
      <w:pPr>
        <w:spacing w:line="480" w:lineRule="auto"/>
        <w:ind w:firstLine="560" w:firstLineChars="200"/>
        <w:rPr>
          <w:rFonts w:eastAsia="仿宋_GB2312"/>
          <w:color w:val="000000"/>
          <w:sz w:val="28"/>
          <w:szCs w:val="28"/>
          <w:u w:val="single"/>
        </w:rPr>
      </w:pPr>
      <w:r>
        <w:rPr>
          <w:rFonts w:eastAsia="仿宋_GB2312"/>
          <w:color w:val="000000"/>
          <w:sz w:val="28"/>
          <w:szCs w:val="28"/>
        </w:rPr>
        <w:t>通信地址：</w:t>
      </w:r>
      <w:r>
        <w:rPr>
          <w:rFonts w:hint="eastAsia" w:eastAsia="仿宋_GB2312"/>
          <w:color w:val="000000"/>
          <w:sz w:val="28"/>
          <w:szCs w:val="28"/>
          <w:u w:val="single"/>
        </w:rPr>
        <w:t xml:space="preserve">                       ；</w:t>
      </w:r>
    </w:p>
    <w:p w14:paraId="4344B401">
      <w:pPr>
        <w:spacing w:line="500" w:lineRule="exact"/>
        <w:ind w:firstLine="560" w:firstLineChars="200"/>
        <w:rPr>
          <w:rFonts w:eastAsia="仿宋_GB2312"/>
          <w:color w:val="000000"/>
          <w:sz w:val="28"/>
          <w:szCs w:val="28"/>
        </w:rPr>
      </w:pPr>
      <w:r>
        <w:rPr>
          <w:rFonts w:eastAsia="仿宋_GB2312"/>
          <w:color w:val="000000"/>
          <w:sz w:val="28"/>
          <w:szCs w:val="28"/>
        </w:rPr>
        <w:t>关于监理人的其他约定：</w:t>
      </w:r>
      <w:r>
        <w:rPr>
          <w:rFonts w:eastAsia="仿宋_GB2312"/>
          <w:sz w:val="28"/>
          <w:szCs w:val="28"/>
          <w:u w:val="single"/>
        </w:rPr>
        <w:t></w:t>
      </w:r>
      <w:r>
        <w:rPr>
          <w:rFonts w:hint="eastAsia" w:eastAsia="仿宋_GB2312"/>
          <w:sz w:val="28"/>
          <w:szCs w:val="28"/>
          <w:u w:val="single"/>
        </w:rPr>
        <w:t xml:space="preserve">/ </w:t>
      </w:r>
      <w:r>
        <w:rPr>
          <w:rFonts w:eastAsia="仿宋_GB2312"/>
          <w:sz w:val="28"/>
          <w:szCs w:val="28"/>
          <w:u w:val="single"/>
        </w:rPr>
        <w:t xml:space="preserve"> </w:t>
      </w:r>
      <w:r>
        <w:rPr>
          <w:rFonts w:eastAsia="仿宋_GB2312"/>
          <w:color w:val="000000"/>
          <w:sz w:val="28"/>
          <w:szCs w:val="28"/>
        </w:rPr>
        <w:t>。</w:t>
      </w:r>
    </w:p>
    <w:p w14:paraId="3DBA52D2">
      <w:pPr>
        <w:spacing w:after="120" w:line="500" w:lineRule="exact"/>
        <w:ind w:firstLine="560" w:firstLineChars="200"/>
        <w:rPr>
          <w:rFonts w:eastAsia="黑体"/>
          <w:color w:val="000000"/>
          <w:sz w:val="28"/>
          <w:szCs w:val="28"/>
        </w:rPr>
      </w:pPr>
      <w:r>
        <w:rPr>
          <w:rFonts w:eastAsia="黑体"/>
          <w:color w:val="000000"/>
          <w:sz w:val="28"/>
          <w:szCs w:val="28"/>
        </w:rPr>
        <w:t>4.4 商定或确定</w:t>
      </w:r>
    </w:p>
    <w:p w14:paraId="30080E91">
      <w:pPr>
        <w:spacing w:line="500" w:lineRule="exact"/>
        <w:ind w:firstLine="560" w:firstLineChars="200"/>
        <w:rPr>
          <w:rFonts w:eastAsia="仿宋_GB2312"/>
          <w:color w:val="000000"/>
          <w:sz w:val="28"/>
          <w:szCs w:val="28"/>
        </w:rPr>
      </w:pPr>
      <w:bookmarkStart w:id="1232" w:name="_Toc267251418"/>
      <w:r>
        <w:rPr>
          <w:rFonts w:eastAsia="仿宋_GB2312"/>
          <w:color w:val="000000"/>
          <w:sz w:val="28"/>
          <w:szCs w:val="28"/>
        </w:rPr>
        <w:t>在发包人和承包人不能通过协商达成一致意见时，发包人授权监理人对以下事项进行确定：</w:t>
      </w:r>
    </w:p>
    <w:p w14:paraId="4023A712">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w:t>
      </w:r>
      <w:r>
        <w:rPr>
          <w:rFonts w:hint="eastAsia" w:eastAsia="仿宋_GB2312"/>
          <w:color w:val="000000"/>
          <w:kern w:val="0"/>
          <w:sz w:val="28"/>
          <w:szCs w:val="28"/>
          <w:u w:val="single"/>
        </w:rPr>
        <w:t>/</w:t>
      </w:r>
      <w:r>
        <w:rPr>
          <w:rFonts w:eastAsia="仿宋_GB2312"/>
          <w:color w:val="000000"/>
          <w:sz w:val="28"/>
          <w:szCs w:val="28"/>
        </w:rPr>
        <w:t>；</w:t>
      </w:r>
    </w:p>
    <w:p w14:paraId="32CD2193">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w:t>
      </w:r>
      <w:r>
        <w:rPr>
          <w:rFonts w:hint="eastAsia" w:eastAsia="仿宋_GB2312"/>
          <w:color w:val="000000"/>
          <w:sz w:val="28"/>
          <w:szCs w:val="28"/>
          <w:u w:val="single"/>
        </w:rPr>
        <w:t>/</w:t>
      </w:r>
      <w:r>
        <w:rPr>
          <w:rFonts w:eastAsia="仿宋_GB2312"/>
          <w:color w:val="000000"/>
          <w:sz w:val="28"/>
          <w:szCs w:val="28"/>
        </w:rPr>
        <w:t>；</w:t>
      </w:r>
    </w:p>
    <w:p w14:paraId="028DDB8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w:t>
      </w:r>
      <w:r>
        <w:rPr>
          <w:rFonts w:hint="eastAsia" w:eastAsia="仿宋_GB2312"/>
          <w:color w:val="000000"/>
          <w:sz w:val="28"/>
          <w:szCs w:val="28"/>
          <w:u w:val="single"/>
        </w:rPr>
        <w:t>/</w:t>
      </w:r>
      <w:r>
        <w:rPr>
          <w:rFonts w:eastAsia="仿宋_GB2312"/>
          <w:color w:val="000000"/>
          <w:sz w:val="28"/>
          <w:szCs w:val="28"/>
        </w:rPr>
        <w:t>。</w:t>
      </w:r>
    </w:p>
    <w:p w14:paraId="172C46DB">
      <w:pPr>
        <w:pStyle w:val="6"/>
        <w:spacing w:before="120" w:after="120" w:line="500" w:lineRule="exact"/>
        <w:rPr>
          <w:rFonts w:ascii="Times New Roman" w:hAnsi="Times New Roman"/>
          <w:b w:val="0"/>
          <w:color w:val="000000"/>
        </w:rPr>
      </w:pPr>
      <w:bookmarkStart w:id="1233" w:name="_Toc351203637"/>
      <w:r>
        <w:rPr>
          <w:rFonts w:ascii="Times New Roman" w:hAnsi="Times New Roman"/>
          <w:b w:val="0"/>
          <w:color w:val="000000"/>
        </w:rPr>
        <w:t>5</w:t>
      </w:r>
      <w:bookmarkEnd w:id="1232"/>
      <w:bookmarkStart w:id="1234" w:name="_Toc296347162"/>
      <w:bookmarkStart w:id="1235" w:name="_Toc296891203"/>
      <w:bookmarkStart w:id="1236" w:name="_Toc296346664"/>
      <w:bookmarkStart w:id="1237" w:name="_Toc296503163"/>
      <w:bookmarkStart w:id="1238" w:name="_Toc296890991"/>
      <w:bookmarkStart w:id="1239" w:name="_Toc297048349"/>
      <w:bookmarkStart w:id="1240" w:name="_Toc292559872"/>
      <w:bookmarkStart w:id="1241" w:name="_Toc296944502"/>
      <w:bookmarkStart w:id="1242" w:name="_Toc297120463"/>
      <w:bookmarkStart w:id="1243" w:name="_Toc292559367"/>
      <w:r>
        <w:rPr>
          <w:rFonts w:ascii="Times New Roman" w:hAnsi="Times New Roman"/>
          <w:b w:val="0"/>
          <w:color w:val="000000"/>
        </w:rPr>
        <w:t>. 工程质量</w:t>
      </w:r>
      <w:bookmarkEnd w:id="1233"/>
    </w:p>
    <w:p w14:paraId="18A6ED7F">
      <w:pPr>
        <w:spacing w:after="120" w:line="500" w:lineRule="exact"/>
        <w:ind w:firstLine="560" w:firstLineChars="200"/>
        <w:outlineLvl w:val="0"/>
        <w:rPr>
          <w:rFonts w:eastAsia="黑体"/>
          <w:color w:val="000000"/>
          <w:sz w:val="28"/>
          <w:szCs w:val="28"/>
        </w:rPr>
      </w:pPr>
      <w:r>
        <w:rPr>
          <w:rFonts w:eastAsia="黑体"/>
          <w:color w:val="000000"/>
          <w:sz w:val="28"/>
          <w:szCs w:val="28"/>
        </w:rPr>
        <w:t>5.1 质量要求</w:t>
      </w:r>
    </w:p>
    <w:p w14:paraId="56F1D283">
      <w:pPr>
        <w:spacing w:line="500" w:lineRule="exact"/>
        <w:ind w:firstLine="560" w:firstLineChars="200"/>
        <w:jc w:val="left"/>
        <w:rPr>
          <w:rFonts w:eastAsia="仿宋_GB2312"/>
          <w:sz w:val="28"/>
          <w:szCs w:val="28"/>
        </w:rPr>
      </w:pPr>
      <w:r>
        <w:rPr>
          <w:rFonts w:eastAsia="仿宋_GB2312"/>
          <w:sz w:val="28"/>
          <w:szCs w:val="28"/>
        </w:rPr>
        <w:t>5</w:t>
      </w:r>
      <w:bookmarkStart w:id="1244" w:name="_Toc318581164"/>
      <w:bookmarkStart w:id="1245" w:name="_Toc300934949"/>
      <w:bookmarkStart w:id="1246" w:name="_Toc297216155"/>
      <w:bookmarkStart w:id="1247" w:name="_Toc304295527"/>
      <w:bookmarkStart w:id="1248" w:name="_Toc297123496"/>
      <w:bookmarkStart w:id="1249" w:name="_Toc303539106"/>
      <w:bookmarkStart w:id="1250" w:name="_Toc312677997"/>
      <w:r>
        <w:rPr>
          <w:rFonts w:eastAsia="仿宋_GB2312"/>
          <w:sz w:val="28"/>
          <w:szCs w:val="28"/>
        </w:rPr>
        <w:t>.1.1 特殊质量标准和要求：</w:t>
      </w:r>
      <w:r>
        <w:rPr>
          <w:rFonts w:hint="eastAsia" w:eastAsia="仿宋_GB2312"/>
          <w:sz w:val="28"/>
          <w:szCs w:val="28"/>
          <w:u w:val="single"/>
        </w:rPr>
        <w:t>/</w:t>
      </w:r>
      <w:r>
        <w:rPr>
          <w:rFonts w:eastAsia="仿宋_GB2312"/>
          <w:sz w:val="28"/>
          <w:szCs w:val="28"/>
        </w:rPr>
        <w:t>。</w:t>
      </w:r>
    </w:p>
    <w:p w14:paraId="1625E055">
      <w:pPr>
        <w:spacing w:line="500" w:lineRule="exact"/>
        <w:ind w:firstLine="560" w:firstLineChars="200"/>
        <w:jc w:val="left"/>
        <w:rPr>
          <w:rFonts w:eastAsia="黑体"/>
          <w:color w:val="000000"/>
          <w:sz w:val="28"/>
          <w:szCs w:val="28"/>
        </w:rPr>
      </w:pPr>
      <w:r>
        <w:rPr>
          <w:rFonts w:eastAsia="仿宋_GB2312"/>
          <w:sz w:val="28"/>
          <w:szCs w:val="28"/>
        </w:rPr>
        <w:t>关于工程奖项的约定：</w:t>
      </w:r>
      <w:r>
        <w:rPr>
          <w:rFonts w:hint="eastAsia" w:eastAsia="仿宋_GB2312"/>
          <w:sz w:val="28"/>
          <w:szCs w:val="28"/>
          <w:u w:val="single"/>
        </w:rPr>
        <w:t>/</w:t>
      </w:r>
      <w:r>
        <w:rPr>
          <w:rFonts w:eastAsia="仿宋_GB2312"/>
          <w:sz w:val="28"/>
          <w:szCs w:val="28"/>
        </w:rPr>
        <w:t>。</w:t>
      </w:r>
    </w:p>
    <w:p w14:paraId="461BD034">
      <w:pPr>
        <w:spacing w:after="120" w:line="500" w:lineRule="exact"/>
        <w:ind w:firstLine="560" w:firstLineChars="200"/>
        <w:outlineLvl w:val="0"/>
        <w:rPr>
          <w:rFonts w:eastAsia="黑体"/>
          <w:color w:val="000000"/>
          <w:sz w:val="28"/>
          <w:szCs w:val="28"/>
        </w:rPr>
      </w:pPr>
      <w:r>
        <w:rPr>
          <w:rFonts w:eastAsia="黑体"/>
          <w:color w:val="000000"/>
          <w:sz w:val="28"/>
          <w:szCs w:val="28"/>
        </w:rPr>
        <w:t>5.3 隐蔽工程检查</w:t>
      </w:r>
    </w:p>
    <w:p w14:paraId="340F44FD">
      <w:pPr>
        <w:spacing w:line="500" w:lineRule="exact"/>
        <w:ind w:firstLine="560" w:firstLineChars="200"/>
        <w:jc w:val="left"/>
        <w:rPr>
          <w:rFonts w:eastAsia="仿宋_GB2312"/>
          <w:sz w:val="28"/>
          <w:szCs w:val="28"/>
        </w:rPr>
      </w:pPr>
      <w:r>
        <w:rPr>
          <w:rFonts w:eastAsia="仿宋_GB2312"/>
          <w:sz w:val="28"/>
          <w:szCs w:val="28"/>
        </w:rPr>
        <w:t>5.3.2承包人提前通知监理人隐蔽工程检查的期限的约定：</w:t>
      </w:r>
      <w:r>
        <w:rPr>
          <w:rFonts w:hint="eastAsia" w:eastAsia="仿宋_GB2312"/>
          <w:color w:val="000000"/>
          <w:kern w:val="0"/>
          <w:sz w:val="28"/>
          <w:szCs w:val="28"/>
          <w:u w:val="single"/>
        </w:rPr>
        <w:t>双方约定中间验收部位按现行施工验收规范的有关要求执行</w:t>
      </w:r>
      <w:r>
        <w:rPr>
          <w:rFonts w:hint="eastAsia" w:eastAsia="仿宋_GB2312"/>
          <w:color w:val="000000"/>
          <w:kern w:val="0"/>
          <w:sz w:val="28"/>
          <w:szCs w:val="28"/>
        </w:rPr>
        <w:t>。</w:t>
      </w:r>
    </w:p>
    <w:p w14:paraId="48D67F8B">
      <w:pPr>
        <w:spacing w:line="500" w:lineRule="exact"/>
        <w:ind w:firstLine="560" w:firstLineChars="200"/>
        <w:jc w:val="left"/>
        <w:rPr>
          <w:rFonts w:eastAsia="仿宋_GB2312"/>
          <w:sz w:val="28"/>
          <w:szCs w:val="28"/>
        </w:rPr>
      </w:pPr>
      <w:r>
        <w:rPr>
          <w:rFonts w:eastAsia="仿宋_GB2312"/>
          <w:sz w:val="28"/>
          <w:szCs w:val="28"/>
        </w:rPr>
        <w:t>监理人不能按时进行检查时，应提前</w:t>
      </w:r>
      <w:r>
        <w:rPr>
          <w:rFonts w:hint="eastAsia" w:eastAsia="仿宋_GB2312"/>
          <w:sz w:val="28"/>
          <w:szCs w:val="28"/>
          <w:u w:val="single"/>
        </w:rPr>
        <w:t>/</w:t>
      </w:r>
      <w:r>
        <w:rPr>
          <w:rFonts w:eastAsia="仿宋_GB2312"/>
          <w:sz w:val="28"/>
          <w:szCs w:val="28"/>
        </w:rPr>
        <w:t>小时提交书面延期要求。</w:t>
      </w:r>
    </w:p>
    <w:p w14:paraId="67E7C4F8">
      <w:pPr>
        <w:spacing w:line="500" w:lineRule="exact"/>
        <w:ind w:firstLine="560" w:firstLineChars="200"/>
        <w:jc w:val="left"/>
        <w:rPr>
          <w:rFonts w:eastAsia="仿宋_GB2312"/>
          <w:sz w:val="28"/>
          <w:szCs w:val="28"/>
        </w:rPr>
      </w:pPr>
      <w:r>
        <w:rPr>
          <w:rFonts w:eastAsia="仿宋_GB2312"/>
          <w:sz w:val="28"/>
          <w:szCs w:val="28"/>
        </w:rPr>
        <w:t>关于延期最长不得超过：</w:t>
      </w:r>
      <w:r>
        <w:rPr>
          <w:rFonts w:hint="eastAsia" w:eastAsia="仿宋_GB2312"/>
          <w:sz w:val="28"/>
          <w:szCs w:val="28"/>
          <w:u w:val="single"/>
        </w:rPr>
        <w:t>/</w:t>
      </w:r>
      <w:r>
        <w:rPr>
          <w:rFonts w:eastAsia="仿宋_GB2312"/>
          <w:sz w:val="28"/>
          <w:szCs w:val="28"/>
        </w:rPr>
        <w:t>小时。</w:t>
      </w:r>
    </w:p>
    <w:p w14:paraId="417C5741">
      <w:pPr>
        <w:pStyle w:val="6"/>
        <w:spacing w:before="120" w:after="120" w:line="500" w:lineRule="exact"/>
        <w:rPr>
          <w:rFonts w:ascii="Times New Roman" w:hAnsi="Times New Roman"/>
          <w:b w:val="0"/>
          <w:color w:val="000000"/>
        </w:rPr>
      </w:pPr>
      <w:bookmarkStart w:id="1251" w:name="_Toc351203638"/>
      <w:r>
        <w:rPr>
          <w:rFonts w:ascii="Times New Roman" w:hAnsi="Times New Roman"/>
          <w:b w:val="0"/>
          <w:color w:val="000000"/>
        </w:rPr>
        <w:t>6. 安全文明施工与环境保护</w:t>
      </w:r>
      <w:bookmarkEnd w:id="1251"/>
    </w:p>
    <w:p w14:paraId="5A2C2770">
      <w:pPr>
        <w:spacing w:after="120" w:line="500" w:lineRule="exact"/>
        <w:ind w:firstLine="560" w:firstLineChars="200"/>
        <w:rPr>
          <w:rFonts w:eastAsia="黑体"/>
          <w:color w:val="000000"/>
          <w:sz w:val="28"/>
          <w:szCs w:val="28"/>
        </w:rPr>
      </w:pPr>
      <w:r>
        <w:rPr>
          <w:rFonts w:eastAsia="黑体"/>
          <w:color w:val="000000"/>
          <w:sz w:val="28"/>
          <w:szCs w:val="28"/>
        </w:rPr>
        <w:t>6.1安全文明施工</w:t>
      </w:r>
    </w:p>
    <w:p w14:paraId="6AF1D0D2">
      <w:pPr>
        <w:spacing w:line="500" w:lineRule="exact"/>
        <w:ind w:firstLine="560" w:firstLineChars="200"/>
        <w:jc w:val="left"/>
        <w:rPr>
          <w:rFonts w:eastAsia="仿宋_GB2312"/>
          <w:sz w:val="28"/>
          <w:szCs w:val="28"/>
        </w:rPr>
      </w:pPr>
      <w:r>
        <w:rPr>
          <w:rFonts w:eastAsia="仿宋_GB2312"/>
          <w:sz w:val="28"/>
          <w:szCs w:val="28"/>
        </w:rPr>
        <w:t>6.1.1</w:t>
      </w:r>
      <w:r>
        <w:rPr>
          <w:rFonts w:eastAsia="仿宋_GB2312"/>
          <w:color w:val="000000"/>
          <w:sz w:val="28"/>
          <w:szCs w:val="28"/>
        </w:rPr>
        <w:t xml:space="preserve"> 项目安全生产的达标目标及相应事项的约定：</w:t>
      </w:r>
      <w:r>
        <w:rPr>
          <w:rFonts w:hint="eastAsia" w:eastAsia="仿宋_GB2312"/>
          <w:sz w:val="28"/>
          <w:szCs w:val="28"/>
          <w:u w:val="single"/>
        </w:rPr>
        <w:t>/</w:t>
      </w:r>
      <w:r>
        <w:rPr>
          <w:rFonts w:eastAsia="仿宋_GB2312"/>
          <w:sz w:val="28"/>
          <w:szCs w:val="28"/>
        </w:rPr>
        <w:t>。</w:t>
      </w:r>
    </w:p>
    <w:p w14:paraId="59E50006">
      <w:pPr>
        <w:spacing w:line="500" w:lineRule="exact"/>
        <w:ind w:firstLine="560" w:firstLineChars="200"/>
        <w:jc w:val="left"/>
        <w:rPr>
          <w:rFonts w:eastAsia="仿宋_GB2312"/>
          <w:sz w:val="28"/>
          <w:szCs w:val="28"/>
        </w:rPr>
      </w:pPr>
      <w:r>
        <w:rPr>
          <w:rFonts w:eastAsia="仿宋_GB2312"/>
          <w:sz w:val="28"/>
          <w:szCs w:val="28"/>
        </w:rPr>
        <w:t>6.1.4 关于治安保卫的特别约定：</w:t>
      </w:r>
      <w:r>
        <w:rPr>
          <w:rFonts w:hint="eastAsia" w:eastAsia="仿宋_GB2312"/>
          <w:sz w:val="28"/>
          <w:szCs w:val="28"/>
          <w:u w:val="single"/>
        </w:rPr>
        <w:t>/</w:t>
      </w:r>
      <w:r>
        <w:rPr>
          <w:rFonts w:eastAsia="仿宋_GB2312"/>
          <w:sz w:val="28"/>
          <w:szCs w:val="28"/>
        </w:rPr>
        <w:t>。</w:t>
      </w:r>
    </w:p>
    <w:p w14:paraId="413ECA36">
      <w:pPr>
        <w:spacing w:line="500" w:lineRule="exact"/>
        <w:ind w:firstLine="560" w:firstLineChars="200"/>
        <w:jc w:val="left"/>
        <w:rPr>
          <w:rFonts w:eastAsia="仿宋_GB2312"/>
          <w:sz w:val="28"/>
          <w:szCs w:val="28"/>
        </w:rPr>
      </w:pPr>
      <w:r>
        <w:rPr>
          <w:rFonts w:eastAsia="仿宋_GB2312"/>
          <w:sz w:val="28"/>
          <w:szCs w:val="28"/>
        </w:rPr>
        <w:t>关于编制施工场地治安管理计划的约定：</w:t>
      </w:r>
      <w:r>
        <w:rPr>
          <w:rFonts w:hint="eastAsia" w:eastAsia="仿宋_GB2312"/>
          <w:sz w:val="28"/>
          <w:szCs w:val="28"/>
          <w:u w:val="single"/>
        </w:rPr>
        <w:t>/</w:t>
      </w:r>
      <w:r>
        <w:rPr>
          <w:rFonts w:eastAsia="仿宋_GB2312"/>
          <w:sz w:val="28"/>
          <w:szCs w:val="28"/>
        </w:rPr>
        <w:t>。</w:t>
      </w:r>
    </w:p>
    <w:p w14:paraId="20E03FE7">
      <w:pPr>
        <w:spacing w:line="500" w:lineRule="exact"/>
        <w:ind w:firstLine="560" w:firstLineChars="200"/>
        <w:jc w:val="left"/>
        <w:rPr>
          <w:rFonts w:eastAsia="仿宋_GB2312"/>
          <w:sz w:val="28"/>
          <w:szCs w:val="28"/>
        </w:rPr>
      </w:pPr>
      <w:r>
        <w:rPr>
          <w:rFonts w:hint="eastAsia" w:eastAsia="仿宋_GB2312"/>
          <w:sz w:val="28"/>
          <w:szCs w:val="28"/>
        </w:rPr>
        <w:t>6.1.5 文明施工</w:t>
      </w:r>
    </w:p>
    <w:p w14:paraId="560042EE">
      <w:pPr>
        <w:spacing w:line="500" w:lineRule="exact"/>
        <w:ind w:firstLine="560" w:firstLineChars="200"/>
        <w:jc w:val="left"/>
        <w:rPr>
          <w:rFonts w:eastAsia="仿宋_GB2312"/>
          <w:sz w:val="28"/>
          <w:szCs w:val="28"/>
        </w:rPr>
      </w:pPr>
      <w:r>
        <w:rPr>
          <w:rFonts w:hint="eastAsia" w:eastAsia="仿宋_GB2312"/>
          <w:sz w:val="28"/>
          <w:szCs w:val="28"/>
        </w:rPr>
        <w:t>合同当事人对文明施工的要求：</w:t>
      </w:r>
      <w:r>
        <w:rPr>
          <w:rFonts w:hint="eastAsia" w:eastAsia="仿宋_GB2312"/>
          <w:sz w:val="28"/>
          <w:szCs w:val="28"/>
          <w:u w:val="single"/>
        </w:rPr>
        <w:t>在执行相应《通用条款》外，承包人必须认真组织实施施工组织设计中制订的安全防护、文明施工措施</w:t>
      </w:r>
      <w:r>
        <w:rPr>
          <w:rFonts w:hint="eastAsia" w:eastAsia="仿宋_GB2312"/>
          <w:sz w:val="28"/>
          <w:szCs w:val="28"/>
        </w:rPr>
        <w:t>。</w:t>
      </w:r>
    </w:p>
    <w:p w14:paraId="63147F46">
      <w:pPr>
        <w:spacing w:line="500" w:lineRule="exact"/>
        <w:ind w:firstLine="560" w:firstLineChars="200"/>
        <w:jc w:val="left"/>
        <w:rPr>
          <w:rFonts w:eastAsia="仿宋_GB2312"/>
          <w:sz w:val="28"/>
          <w:szCs w:val="28"/>
          <w:u w:val="single"/>
        </w:rPr>
      </w:pPr>
      <w:r>
        <w:rPr>
          <w:rFonts w:hint="eastAsia" w:eastAsia="仿宋_GB2312"/>
          <w:sz w:val="28"/>
          <w:szCs w:val="28"/>
          <w:u w:val="single"/>
        </w:rPr>
        <w:t>施工中发生的一切安全事故，均由承包人承担相关责任。发生安全事故时，承包人有义务立即报告发包人和建设主管部门</w:t>
      </w:r>
      <w:r>
        <w:rPr>
          <w:rFonts w:hint="eastAsia" w:eastAsia="仿宋_GB2312"/>
          <w:sz w:val="28"/>
          <w:szCs w:val="28"/>
        </w:rPr>
        <w:t>。</w:t>
      </w:r>
    </w:p>
    <w:p w14:paraId="24637FF7">
      <w:pPr>
        <w:spacing w:line="500" w:lineRule="exact"/>
        <w:ind w:firstLine="560" w:firstLineChars="200"/>
        <w:jc w:val="left"/>
        <w:rPr>
          <w:rFonts w:eastAsia="仿宋_GB2312"/>
          <w:sz w:val="28"/>
          <w:szCs w:val="28"/>
        </w:rPr>
      </w:pPr>
      <w:r>
        <w:rPr>
          <w:rFonts w:eastAsia="仿宋_GB2312"/>
          <w:sz w:val="28"/>
          <w:szCs w:val="28"/>
        </w:rPr>
        <w:t>6.1.6 关于安全文明施工费支付比例和支付期限的约定：</w:t>
      </w:r>
      <w:r>
        <w:rPr>
          <w:rFonts w:hint="eastAsia" w:eastAsia="仿宋_GB2312"/>
          <w:sz w:val="28"/>
          <w:szCs w:val="28"/>
          <w:u w:val="single"/>
        </w:rPr>
        <w:t>/</w:t>
      </w:r>
      <w:r>
        <w:rPr>
          <w:rFonts w:eastAsia="仿宋_GB2312"/>
          <w:sz w:val="28"/>
          <w:szCs w:val="28"/>
        </w:rPr>
        <w:t>。</w:t>
      </w:r>
    </w:p>
    <w:bookmarkEnd w:id="1244"/>
    <w:bookmarkEnd w:id="1245"/>
    <w:bookmarkEnd w:id="1246"/>
    <w:bookmarkEnd w:id="1247"/>
    <w:bookmarkEnd w:id="1248"/>
    <w:bookmarkEnd w:id="1249"/>
    <w:bookmarkEnd w:id="1250"/>
    <w:p w14:paraId="1830F0EA">
      <w:pPr>
        <w:pStyle w:val="6"/>
        <w:spacing w:before="120" w:after="120" w:line="500" w:lineRule="exact"/>
        <w:rPr>
          <w:rFonts w:ascii="Times New Roman" w:hAnsi="Times New Roman"/>
          <w:b w:val="0"/>
          <w:color w:val="000000"/>
        </w:rPr>
      </w:pPr>
      <w:bookmarkStart w:id="1252" w:name="_Toc351203639"/>
      <w:r>
        <w:rPr>
          <w:rFonts w:ascii="Times New Roman" w:hAnsi="Times New Roman"/>
          <w:b w:val="0"/>
          <w:color w:val="000000"/>
        </w:rPr>
        <w:t>7. 工期和进度</w:t>
      </w:r>
      <w:bookmarkEnd w:id="1252"/>
    </w:p>
    <w:p w14:paraId="2896EDBE">
      <w:pPr>
        <w:spacing w:after="120" w:line="500" w:lineRule="exact"/>
        <w:ind w:firstLine="560" w:firstLineChars="200"/>
        <w:rPr>
          <w:rFonts w:eastAsia="黑体"/>
          <w:color w:val="000000"/>
          <w:sz w:val="28"/>
          <w:szCs w:val="28"/>
        </w:rPr>
      </w:pPr>
      <w:r>
        <w:rPr>
          <w:rFonts w:eastAsia="黑体"/>
          <w:color w:val="000000"/>
          <w:sz w:val="28"/>
          <w:szCs w:val="28"/>
        </w:rPr>
        <w:t>7.1 施工组织设计</w:t>
      </w:r>
    </w:p>
    <w:p w14:paraId="412B565C">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sz w:val="28"/>
          <w:szCs w:val="28"/>
        </w:rPr>
        <w:t>7.1.</w:t>
      </w:r>
      <w:r>
        <w:rPr>
          <w:rFonts w:hint="eastAsia" w:eastAsia="仿宋_GB2312"/>
          <w:sz w:val="28"/>
          <w:szCs w:val="28"/>
        </w:rPr>
        <w:t xml:space="preserve">1 </w:t>
      </w:r>
      <w:r>
        <w:rPr>
          <w:rFonts w:hint="eastAsia" w:eastAsia="仿宋_GB2312"/>
          <w:color w:val="000000"/>
          <w:sz w:val="28"/>
          <w:szCs w:val="28"/>
        </w:rPr>
        <w:t>合</w:t>
      </w:r>
      <w:r>
        <w:rPr>
          <w:rFonts w:hint="eastAsia" w:eastAsia="仿宋_GB2312"/>
          <w:color w:val="000000"/>
          <w:kern w:val="0"/>
          <w:sz w:val="28"/>
          <w:szCs w:val="28"/>
        </w:rPr>
        <w:t>同当事人约定的</w:t>
      </w:r>
      <w:r>
        <w:rPr>
          <w:rFonts w:eastAsia="仿宋_GB2312"/>
          <w:color w:val="000000"/>
          <w:kern w:val="0"/>
          <w:sz w:val="28"/>
          <w:szCs w:val="28"/>
        </w:rPr>
        <w:t>施工组织设计</w:t>
      </w:r>
      <w:r>
        <w:rPr>
          <w:rFonts w:hint="eastAsia" w:eastAsia="仿宋_GB2312"/>
          <w:color w:val="000000"/>
          <w:kern w:val="0"/>
          <w:sz w:val="28"/>
          <w:szCs w:val="28"/>
        </w:rPr>
        <w:t>应包括的其他内容</w:t>
      </w:r>
      <w:r>
        <w:rPr>
          <w:rFonts w:eastAsia="仿宋_GB2312"/>
          <w:color w:val="000000"/>
          <w:kern w:val="0"/>
          <w:sz w:val="28"/>
          <w:szCs w:val="28"/>
        </w:rPr>
        <w:t>：</w:t>
      </w:r>
      <w:r>
        <w:rPr>
          <w:rFonts w:hint="eastAsia" w:eastAsia="仿宋_GB2312"/>
          <w:sz w:val="28"/>
          <w:szCs w:val="28"/>
          <w:u w:val="single"/>
        </w:rPr>
        <w:t>/</w:t>
      </w:r>
      <w:r>
        <w:rPr>
          <w:rFonts w:eastAsia="仿宋_GB2312"/>
          <w:sz w:val="28"/>
          <w:szCs w:val="28"/>
        </w:rPr>
        <w:t>。</w:t>
      </w:r>
    </w:p>
    <w:p w14:paraId="369CD413">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sz w:val="28"/>
          <w:szCs w:val="28"/>
        </w:rPr>
        <w:t>7.1.2</w:t>
      </w:r>
      <w:r>
        <w:rPr>
          <w:rFonts w:eastAsia="仿宋_GB2312"/>
          <w:color w:val="000000"/>
          <w:sz w:val="28"/>
          <w:szCs w:val="28"/>
        </w:rPr>
        <w:t xml:space="preserve"> </w:t>
      </w:r>
      <w:r>
        <w:rPr>
          <w:rFonts w:eastAsia="仿宋_GB2312"/>
          <w:color w:val="000000"/>
          <w:kern w:val="0"/>
          <w:sz w:val="28"/>
          <w:szCs w:val="28"/>
        </w:rPr>
        <w:t>施工组织设计的提交和修改</w:t>
      </w:r>
    </w:p>
    <w:p w14:paraId="3980AFC6">
      <w:pPr>
        <w:autoSpaceDE w:val="0"/>
        <w:autoSpaceDN w:val="0"/>
        <w:adjustRightInd w:val="0"/>
        <w:spacing w:line="500" w:lineRule="exact"/>
        <w:ind w:firstLine="560" w:firstLineChars="200"/>
        <w:jc w:val="left"/>
        <w:rPr>
          <w:rFonts w:eastAsia="仿宋_GB2312"/>
          <w:sz w:val="28"/>
          <w:szCs w:val="28"/>
        </w:rPr>
      </w:pPr>
      <w:r>
        <w:rPr>
          <w:rFonts w:eastAsia="仿宋_GB2312"/>
          <w:color w:val="000000"/>
          <w:kern w:val="0"/>
          <w:sz w:val="28"/>
          <w:szCs w:val="28"/>
        </w:rPr>
        <w:t>承包人提交详细施工组织设计的期限的约定：</w:t>
      </w:r>
      <w:r>
        <w:rPr>
          <w:rFonts w:hint="eastAsia" w:eastAsia="仿宋_GB2312"/>
          <w:sz w:val="28"/>
          <w:szCs w:val="28"/>
          <w:u w:val="single"/>
        </w:rPr>
        <w:t>/</w:t>
      </w:r>
      <w:r>
        <w:rPr>
          <w:rFonts w:eastAsia="仿宋_GB2312"/>
          <w:sz w:val="28"/>
          <w:szCs w:val="28"/>
        </w:rPr>
        <w:t>。</w:t>
      </w:r>
    </w:p>
    <w:p w14:paraId="18E414BA">
      <w:pPr>
        <w:spacing w:line="500" w:lineRule="exact"/>
        <w:ind w:firstLine="560" w:firstLineChars="200"/>
        <w:jc w:val="left"/>
        <w:rPr>
          <w:rFonts w:eastAsia="仿宋_GB2312"/>
          <w:color w:val="000000"/>
          <w:sz w:val="28"/>
          <w:szCs w:val="28"/>
        </w:rPr>
      </w:pPr>
      <w:r>
        <w:rPr>
          <w:rFonts w:eastAsia="仿宋_GB2312"/>
          <w:color w:val="000000"/>
          <w:sz w:val="28"/>
          <w:szCs w:val="28"/>
        </w:rPr>
        <w:t>发包人和监理人在收到</w:t>
      </w:r>
      <w:r>
        <w:rPr>
          <w:rFonts w:hint="eastAsia" w:eastAsia="仿宋_GB2312"/>
          <w:color w:val="000000"/>
          <w:sz w:val="28"/>
          <w:szCs w:val="28"/>
        </w:rPr>
        <w:t>详细的施工组织设计</w:t>
      </w:r>
      <w:r>
        <w:rPr>
          <w:rFonts w:eastAsia="仿宋_GB2312"/>
          <w:color w:val="000000"/>
          <w:sz w:val="28"/>
          <w:szCs w:val="28"/>
        </w:rPr>
        <w:t>后确认或提出修改意见的期限：</w:t>
      </w:r>
      <w:r>
        <w:rPr>
          <w:rFonts w:hint="eastAsia" w:eastAsia="仿宋_GB2312"/>
          <w:sz w:val="28"/>
          <w:szCs w:val="28"/>
          <w:u w:val="single"/>
        </w:rPr>
        <w:t>/</w:t>
      </w:r>
      <w:r>
        <w:rPr>
          <w:rFonts w:eastAsia="仿宋_GB2312"/>
          <w:sz w:val="28"/>
          <w:szCs w:val="28"/>
        </w:rPr>
        <w:t>。</w:t>
      </w:r>
    </w:p>
    <w:p w14:paraId="00FBD63A">
      <w:pPr>
        <w:spacing w:after="120" w:line="500" w:lineRule="exact"/>
        <w:ind w:firstLine="560" w:firstLineChars="200"/>
        <w:rPr>
          <w:rFonts w:eastAsia="黑体"/>
          <w:color w:val="000000"/>
          <w:sz w:val="28"/>
          <w:szCs w:val="28"/>
        </w:rPr>
      </w:pPr>
      <w:r>
        <w:rPr>
          <w:rFonts w:eastAsia="黑体"/>
          <w:color w:val="000000"/>
          <w:sz w:val="28"/>
          <w:szCs w:val="28"/>
        </w:rPr>
        <w:t>7</w:t>
      </w:r>
      <w:bookmarkStart w:id="1253" w:name="_Toc297123514"/>
      <w:bookmarkStart w:id="1254" w:name="_Toc312678005"/>
      <w:bookmarkStart w:id="1255" w:name="_Toc303539123"/>
      <w:bookmarkStart w:id="1256" w:name="_Toc312677479"/>
      <w:bookmarkStart w:id="1257" w:name="_Toc304295541"/>
      <w:bookmarkStart w:id="1258" w:name="_Toc297216173"/>
      <w:bookmarkStart w:id="1259" w:name="_Toc300934966"/>
      <w:r>
        <w:rPr>
          <w:rFonts w:eastAsia="黑体"/>
          <w:color w:val="000000"/>
          <w:sz w:val="28"/>
          <w:szCs w:val="28"/>
        </w:rPr>
        <w:t>.2 施工进度计划</w:t>
      </w:r>
    </w:p>
    <w:p w14:paraId="58561A74">
      <w:pPr>
        <w:spacing w:line="500" w:lineRule="exact"/>
        <w:ind w:firstLine="560" w:firstLineChars="200"/>
        <w:jc w:val="left"/>
        <w:rPr>
          <w:rFonts w:eastAsia="仿宋_GB2312"/>
          <w:color w:val="000000"/>
          <w:sz w:val="28"/>
          <w:szCs w:val="28"/>
        </w:rPr>
      </w:pPr>
      <w:r>
        <w:rPr>
          <w:rFonts w:eastAsia="仿宋_GB2312"/>
          <w:color w:val="000000"/>
          <w:sz w:val="28"/>
          <w:szCs w:val="28"/>
        </w:rPr>
        <w:t>7.2.2 施工进度计划的修订</w:t>
      </w:r>
    </w:p>
    <w:p w14:paraId="7A41B47F">
      <w:pPr>
        <w:spacing w:line="500" w:lineRule="exact"/>
        <w:ind w:firstLine="560" w:firstLineChars="200"/>
        <w:jc w:val="left"/>
        <w:rPr>
          <w:rFonts w:eastAsia="仿宋_GB2312"/>
          <w:color w:val="000000"/>
          <w:sz w:val="28"/>
          <w:szCs w:val="28"/>
        </w:rPr>
      </w:pPr>
      <w:r>
        <w:rPr>
          <w:rFonts w:eastAsia="仿宋_GB2312"/>
          <w:color w:val="000000"/>
          <w:sz w:val="28"/>
          <w:szCs w:val="28"/>
        </w:rPr>
        <w:t>发包人和监理人在收到修订的施工进度计划后确认或提出修改意见的期限：</w:t>
      </w:r>
      <w:r>
        <w:rPr>
          <w:rFonts w:hint="eastAsia" w:eastAsia="仿宋_GB2312"/>
          <w:sz w:val="28"/>
          <w:szCs w:val="28"/>
          <w:u w:val="single"/>
        </w:rPr>
        <w:t>/</w:t>
      </w:r>
      <w:r>
        <w:rPr>
          <w:rFonts w:eastAsia="仿宋_GB2312"/>
          <w:sz w:val="28"/>
          <w:szCs w:val="28"/>
        </w:rPr>
        <w:t>。</w:t>
      </w:r>
    </w:p>
    <w:p w14:paraId="45B66811">
      <w:pPr>
        <w:spacing w:after="120" w:line="500" w:lineRule="exact"/>
        <w:ind w:firstLine="560" w:firstLineChars="200"/>
        <w:rPr>
          <w:rFonts w:eastAsia="黑体"/>
          <w:color w:val="000000"/>
          <w:sz w:val="28"/>
          <w:szCs w:val="28"/>
        </w:rPr>
      </w:pPr>
      <w:r>
        <w:rPr>
          <w:rFonts w:eastAsia="黑体"/>
          <w:color w:val="000000"/>
          <w:sz w:val="28"/>
          <w:szCs w:val="28"/>
        </w:rPr>
        <w:t>7.3 开工</w:t>
      </w:r>
    </w:p>
    <w:p w14:paraId="01C33ECE">
      <w:pPr>
        <w:spacing w:line="500" w:lineRule="exact"/>
        <w:ind w:firstLine="560" w:firstLineChars="200"/>
        <w:jc w:val="left"/>
        <w:rPr>
          <w:rFonts w:eastAsia="仿宋_GB2312"/>
          <w:color w:val="000000"/>
          <w:sz w:val="28"/>
          <w:szCs w:val="28"/>
        </w:rPr>
      </w:pPr>
      <w:r>
        <w:rPr>
          <w:rFonts w:eastAsia="仿宋_GB2312"/>
          <w:color w:val="000000"/>
          <w:sz w:val="28"/>
          <w:szCs w:val="28"/>
        </w:rPr>
        <w:t>7.3.1 开工准备</w:t>
      </w:r>
    </w:p>
    <w:p w14:paraId="3A4D0428">
      <w:pPr>
        <w:spacing w:line="500" w:lineRule="exact"/>
        <w:ind w:firstLine="645"/>
        <w:jc w:val="left"/>
        <w:rPr>
          <w:rFonts w:eastAsia="仿宋_GB2312"/>
          <w:sz w:val="28"/>
          <w:szCs w:val="28"/>
          <w:u w:val="single"/>
        </w:rPr>
      </w:pPr>
      <w:r>
        <w:rPr>
          <w:rFonts w:eastAsia="仿宋_GB2312"/>
          <w:color w:val="000000"/>
          <w:sz w:val="28"/>
          <w:szCs w:val="28"/>
        </w:rPr>
        <w:t>关于承包人提交</w:t>
      </w:r>
      <w:r>
        <w:rPr>
          <w:rFonts w:eastAsia="仿宋_GB2312"/>
          <w:color w:val="000000"/>
          <w:kern w:val="0"/>
          <w:sz w:val="28"/>
          <w:szCs w:val="28"/>
        </w:rPr>
        <w:t>工程开工报审表的期限：</w:t>
      </w:r>
      <w:r>
        <w:rPr>
          <w:rFonts w:hint="eastAsia" w:eastAsia="仿宋_GB2312"/>
          <w:sz w:val="28"/>
          <w:szCs w:val="28"/>
          <w:u w:val="single"/>
        </w:rPr>
        <w:t>/</w:t>
      </w:r>
      <w:r>
        <w:rPr>
          <w:rFonts w:eastAsia="仿宋_GB2312"/>
          <w:sz w:val="28"/>
          <w:szCs w:val="28"/>
        </w:rPr>
        <w:t>。</w:t>
      </w:r>
    </w:p>
    <w:p w14:paraId="37A54987">
      <w:pPr>
        <w:spacing w:line="500" w:lineRule="exact"/>
        <w:ind w:firstLine="560" w:firstLineChars="200"/>
        <w:jc w:val="left"/>
        <w:rPr>
          <w:rFonts w:eastAsia="仿宋_GB2312"/>
          <w:color w:val="000000"/>
          <w:sz w:val="28"/>
          <w:szCs w:val="28"/>
        </w:rPr>
      </w:pPr>
      <w:r>
        <w:rPr>
          <w:rFonts w:eastAsia="仿宋_GB2312"/>
          <w:color w:val="000000"/>
          <w:sz w:val="28"/>
          <w:szCs w:val="28"/>
        </w:rPr>
        <w:t>关于发包人应完成的其他开工准备工作及期限：</w:t>
      </w:r>
      <w:r>
        <w:rPr>
          <w:rFonts w:hint="eastAsia" w:eastAsia="仿宋_GB2312"/>
          <w:sz w:val="28"/>
          <w:szCs w:val="28"/>
          <w:u w:val="single"/>
        </w:rPr>
        <w:t>/</w:t>
      </w:r>
      <w:r>
        <w:rPr>
          <w:rFonts w:eastAsia="仿宋_GB2312"/>
          <w:sz w:val="28"/>
          <w:szCs w:val="28"/>
        </w:rPr>
        <w:t>。</w:t>
      </w:r>
    </w:p>
    <w:p w14:paraId="5B028619">
      <w:pPr>
        <w:spacing w:line="500" w:lineRule="exact"/>
        <w:ind w:firstLine="560" w:firstLineChars="200"/>
        <w:jc w:val="left"/>
        <w:rPr>
          <w:rFonts w:eastAsia="仿宋_GB2312"/>
          <w:sz w:val="28"/>
          <w:szCs w:val="28"/>
        </w:rPr>
      </w:pPr>
      <w:r>
        <w:rPr>
          <w:rFonts w:eastAsia="仿宋_GB2312"/>
          <w:color w:val="000000"/>
          <w:sz w:val="28"/>
          <w:szCs w:val="28"/>
        </w:rPr>
        <w:t>关于承包人应完成的其他开工准备工作及期限：</w:t>
      </w:r>
      <w:r>
        <w:rPr>
          <w:rFonts w:hint="eastAsia" w:eastAsia="仿宋_GB2312"/>
          <w:sz w:val="28"/>
          <w:szCs w:val="28"/>
          <w:u w:val="single"/>
        </w:rPr>
        <w:t>/</w:t>
      </w:r>
      <w:r>
        <w:rPr>
          <w:rFonts w:eastAsia="仿宋_GB2312"/>
          <w:sz w:val="28"/>
          <w:szCs w:val="28"/>
        </w:rPr>
        <w:t>。</w:t>
      </w:r>
    </w:p>
    <w:p w14:paraId="0ADF66EB">
      <w:pPr>
        <w:spacing w:line="500" w:lineRule="exact"/>
        <w:ind w:firstLine="560" w:firstLineChars="200"/>
        <w:jc w:val="left"/>
        <w:rPr>
          <w:rFonts w:eastAsia="仿宋_GB2312"/>
          <w:color w:val="000000"/>
          <w:sz w:val="28"/>
          <w:szCs w:val="28"/>
        </w:rPr>
      </w:pPr>
      <w:r>
        <w:rPr>
          <w:rFonts w:eastAsia="仿宋_GB2312"/>
          <w:color w:val="000000"/>
          <w:sz w:val="28"/>
          <w:szCs w:val="28"/>
        </w:rPr>
        <w:t>7.3.2开工通知</w:t>
      </w:r>
    </w:p>
    <w:p w14:paraId="377C062F">
      <w:pPr>
        <w:spacing w:line="500" w:lineRule="exact"/>
        <w:ind w:firstLine="560" w:firstLineChars="200"/>
        <w:jc w:val="left"/>
        <w:rPr>
          <w:rFonts w:eastAsia="仿宋_GB2312"/>
          <w:color w:val="000000"/>
          <w:sz w:val="28"/>
          <w:szCs w:val="28"/>
        </w:rPr>
      </w:pPr>
      <w:r>
        <w:rPr>
          <w:rFonts w:eastAsia="仿宋_GB2312"/>
          <w:color w:val="000000"/>
          <w:sz w:val="28"/>
          <w:szCs w:val="28"/>
        </w:rPr>
        <w:t>因发包人原因造成监理人未能在计划开工日期之日起</w:t>
      </w:r>
      <w:r>
        <w:rPr>
          <w:rFonts w:hint="eastAsia" w:eastAsia="仿宋_GB2312"/>
          <w:sz w:val="28"/>
          <w:szCs w:val="28"/>
          <w:u w:val="single"/>
        </w:rPr>
        <w:t>/</w:t>
      </w:r>
      <w:r>
        <w:rPr>
          <w:rFonts w:eastAsia="仿宋_GB2312"/>
          <w:color w:val="000000"/>
          <w:sz w:val="28"/>
          <w:szCs w:val="28"/>
        </w:rPr>
        <w:t>天内发出开工通知的，承包人有权提出价格调整要求，或者解除合同。</w:t>
      </w:r>
    </w:p>
    <w:bookmarkEnd w:id="1253"/>
    <w:bookmarkEnd w:id="1254"/>
    <w:bookmarkEnd w:id="1255"/>
    <w:bookmarkEnd w:id="1256"/>
    <w:bookmarkEnd w:id="1257"/>
    <w:bookmarkEnd w:id="1258"/>
    <w:bookmarkEnd w:id="1259"/>
    <w:p w14:paraId="2C06177C">
      <w:pPr>
        <w:spacing w:after="120" w:line="500" w:lineRule="exact"/>
        <w:ind w:firstLine="560" w:firstLineChars="200"/>
        <w:rPr>
          <w:rFonts w:eastAsia="黑体"/>
          <w:color w:val="000000"/>
          <w:sz w:val="28"/>
          <w:szCs w:val="28"/>
        </w:rPr>
      </w:pPr>
      <w:r>
        <w:rPr>
          <w:rFonts w:eastAsia="黑体"/>
          <w:color w:val="000000"/>
          <w:sz w:val="28"/>
          <w:szCs w:val="28"/>
        </w:rPr>
        <w:t>7.4 测量放线</w:t>
      </w:r>
    </w:p>
    <w:p w14:paraId="00BFC4CC">
      <w:pPr>
        <w:spacing w:line="500" w:lineRule="exact"/>
        <w:ind w:firstLine="560" w:firstLineChars="200"/>
        <w:jc w:val="left"/>
        <w:rPr>
          <w:rFonts w:eastAsia="仿宋_GB2312"/>
          <w:sz w:val="28"/>
          <w:szCs w:val="28"/>
          <w:u w:val="single"/>
        </w:rPr>
      </w:pPr>
      <w:r>
        <w:rPr>
          <w:rFonts w:eastAsia="仿宋_GB2312"/>
          <w:sz w:val="28"/>
          <w:szCs w:val="28"/>
        </w:rPr>
        <w:t>7.4.1发包人通过监理人向承包人提供测量基准点、基准线和水准点及其书面资料的期限：</w:t>
      </w:r>
      <w:r>
        <w:rPr>
          <w:rFonts w:hint="eastAsia" w:eastAsia="仿宋_GB2312"/>
          <w:sz w:val="28"/>
          <w:szCs w:val="28"/>
          <w:u w:val="single"/>
        </w:rPr>
        <w:t>/</w:t>
      </w:r>
      <w:r>
        <w:rPr>
          <w:rFonts w:eastAsia="仿宋_GB2312"/>
          <w:sz w:val="28"/>
          <w:szCs w:val="28"/>
        </w:rPr>
        <w:t>。</w:t>
      </w:r>
    </w:p>
    <w:p w14:paraId="57ED63EE">
      <w:pPr>
        <w:spacing w:after="120" w:line="500" w:lineRule="exact"/>
        <w:ind w:firstLine="560" w:firstLineChars="200"/>
        <w:rPr>
          <w:rFonts w:eastAsia="黑体"/>
          <w:color w:val="000000"/>
          <w:sz w:val="28"/>
          <w:szCs w:val="28"/>
        </w:rPr>
      </w:pPr>
      <w:r>
        <w:rPr>
          <w:rFonts w:eastAsia="黑体"/>
          <w:color w:val="000000"/>
          <w:sz w:val="28"/>
          <w:szCs w:val="28"/>
        </w:rPr>
        <w:t>7</w:t>
      </w:r>
      <w:bookmarkStart w:id="1260" w:name="_Toc303539125"/>
      <w:bookmarkStart w:id="1261" w:name="_Toc300934968"/>
      <w:bookmarkStart w:id="1262" w:name="_Toc312678010"/>
      <w:bookmarkStart w:id="1263" w:name="_Toc304295546"/>
      <w:bookmarkStart w:id="1264" w:name="_Toc297123516"/>
      <w:bookmarkStart w:id="1265" w:name="_Toc297216175"/>
      <w:bookmarkStart w:id="1266" w:name="_Toc312677484"/>
      <w:r>
        <w:rPr>
          <w:rFonts w:eastAsia="黑体"/>
          <w:color w:val="000000"/>
          <w:sz w:val="28"/>
          <w:szCs w:val="28"/>
        </w:rPr>
        <w:t>.5 工期延误</w:t>
      </w:r>
    </w:p>
    <w:bookmarkEnd w:id="1260"/>
    <w:bookmarkEnd w:id="1261"/>
    <w:bookmarkEnd w:id="1262"/>
    <w:bookmarkEnd w:id="1263"/>
    <w:bookmarkEnd w:id="1264"/>
    <w:bookmarkEnd w:id="1265"/>
    <w:bookmarkEnd w:id="1266"/>
    <w:p w14:paraId="491F868A">
      <w:pPr>
        <w:spacing w:line="500" w:lineRule="exact"/>
        <w:ind w:firstLine="560" w:firstLineChars="200"/>
        <w:jc w:val="left"/>
        <w:rPr>
          <w:rFonts w:eastAsia="仿宋_GB2312"/>
          <w:sz w:val="28"/>
          <w:szCs w:val="28"/>
        </w:rPr>
      </w:pPr>
      <w:r>
        <w:rPr>
          <w:rFonts w:eastAsia="仿宋_GB2312"/>
          <w:sz w:val="28"/>
          <w:szCs w:val="28"/>
        </w:rPr>
        <w:t>7.5.1 因发包人原因导致工期延误</w:t>
      </w:r>
    </w:p>
    <w:p w14:paraId="597942B5">
      <w:pPr>
        <w:spacing w:line="500" w:lineRule="exact"/>
        <w:ind w:firstLine="560" w:firstLineChars="200"/>
        <w:jc w:val="left"/>
        <w:rPr>
          <w:rFonts w:eastAsia="仿宋_GB2312"/>
          <w:sz w:val="28"/>
          <w:szCs w:val="28"/>
        </w:rPr>
      </w:pPr>
      <w:r>
        <w:rPr>
          <w:rFonts w:eastAsia="仿宋_GB2312"/>
          <w:sz w:val="28"/>
          <w:szCs w:val="28"/>
        </w:rPr>
        <w:t>（7）因发包人原因导致工期延误的其他情形：</w:t>
      </w:r>
      <w:r>
        <w:rPr>
          <w:rFonts w:hint="eastAsia" w:eastAsia="仿宋_GB2312"/>
          <w:sz w:val="28"/>
          <w:szCs w:val="28"/>
          <w:u w:val="single"/>
        </w:rPr>
        <w:t>/</w:t>
      </w:r>
      <w:r>
        <w:rPr>
          <w:rFonts w:eastAsia="仿宋_GB2312"/>
          <w:sz w:val="28"/>
          <w:szCs w:val="28"/>
        </w:rPr>
        <w:t>。</w:t>
      </w:r>
    </w:p>
    <w:p w14:paraId="1C010D25">
      <w:pPr>
        <w:spacing w:line="500" w:lineRule="exact"/>
        <w:ind w:firstLine="560" w:firstLineChars="200"/>
        <w:jc w:val="left"/>
        <w:rPr>
          <w:rFonts w:eastAsia="仿宋_GB2312"/>
          <w:sz w:val="28"/>
          <w:szCs w:val="28"/>
        </w:rPr>
      </w:pPr>
      <w:r>
        <w:rPr>
          <w:rFonts w:eastAsia="仿宋_GB2312"/>
          <w:sz w:val="28"/>
          <w:szCs w:val="28"/>
        </w:rPr>
        <w:t>7</w:t>
      </w:r>
      <w:bookmarkStart w:id="1267" w:name="_Toc318581169"/>
      <w:bookmarkStart w:id="1268" w:name="_Toc312677486"/>
      <w:bookmarkStart w:id="1269" w:name="_Toc312678012"/>
      <w:bookmarkStart w:id="1270" w:name="_Toc297123518"/>
      <w:bookmarkStart w:id="1271" w:name="_Toc300934970"/>
      <w:bookmarkStart w:id="1272" w:name="_Toc304295548"/>
      <w:bookmarkStart w:id="1273" w:name="_Toc297216177"/>
      <w:bookmarkStart w:id="1274" w:name="_Toc303539127"/>
      <w:r>
        <w:rPr>
          <w:rFonts w:eastAsia="仿宋_GB2312"/>
          <w:sz w:val="28"/>
          <w:szCs w:val="28"/>
        </w:rPr>
        <w:t>.5.2 因承包人原因导致工期延误</w:t>
      </w:r>
    </w:p>
    <w:bookmarkEnd w:id="1267"/>
    <w:bookmarkEnd w:id="1268"/>
    <w:bookmarkEnd w:id="1269"/>
    <w:p w14:paraId="6F6213CA">
      <w:pPr>
        <w:spacing w:line="500" w:lineRule="exact"/>
        <w:ind w:firstLine="560" w:firstLineChars="200"/>
        <w:jc w:val="left"/>
        <w:rPr>
          <w:rFonts w:eastAsia="仿宋_GB2312"/>
          <w:sz w:val="28"/>
          <w:szCs w:val="28"/>
          <w:u w:val="single"/>
        </w:rPr>
      </w:pPr>
      <w:r>
        <w:rPr>
          <w:rFonts w:eastAsia="仿宋_GB2312"/>
          <w:sz w:val="28"/>
          <w:szCs w:val="28"/>
        </w:rPr>
        <w:t>因</w:t>
      </w:r>
      <w:bookmarkStart w:id="1275" w:name="_Toc312678013"/>
      <w:bookmarkStart w:id="1276" w:name="_Toc312677487"/>
      <w:bookmarkStart w:id="1277" w:name="_Toc318581170"/>
      <w:r>
        <w:rPr>
          <w:rFonts w:eastAsia="仿宋_GB2312"/>
          <w:sz w:val="28"/>
          <w:szCs w:val="28"/>
        </w:rPr>
        <w:t>承包人原因造成工期延误，逾期竣工违约金的计算方法为：</w:t>
      </w:r>
      <w:r>
        <w:rPr>
          <w:rFonts w:hint="eastAsia" w:eastAsia="仿宋_GB2312"/>
          <w:sz w:val="28"/>
          <w:szCs w:val="28"/>
          <w:u w:val="single"/>
        </w:rPr>
        <w:t>若因承包人的原因导致不能按合同施工或因质量、安全、环保等不符合有关部门及本合同要求而被勒令暂时停工，承包人必须立即整改，由停工日至获得复工日内给发包人造成的损失，由承包人承担，发包人有权从下一次工程进度款中扣除该费用，工期不予顺延。由于承包单位的原因，不能按合同约定的时间竣工，承包人应承担违约责任。工期延误在1～20天内承包人每天以合同总价的万分之三作为违约金，20～40天内承包人每天以合同总价的千分之二作为违约金，40天以上每天以合同总价的千分之五作为违约金，逾期竣工时间为从规定竣工日期起直到实际竣工日期之间的天数（不足一天的按一天计算），发包人可从应向承包人支付的任何金额中扣除此项违约金或以其他方式收回此款，此违约金的支付并不能免除承包人应完成工程的责任或合同规定的其他责任</w:t>
      </w:r>
      <w:r>
        <w:rPr>
          <w:rFonts w:hint="eastAsia" w:eastAsia="仿宋_GB2312"/>
          <w:sz w:val="28"/>
          <w:szCs w:val="28"/>
        </w:rPr>
        <w:t>。</w:t>
      </w:r>
      <w:bookmarkEnd w:id="1270"/>
      <w:bookmarkEnd w:id="1271"/>
      <w:bookmarkEnd w:id="1272"/>
      <w:bookmarkEnd w:id="1273"/>
      <w:bookmarkEnd w:id="1274"/>
      <w:bookmarkEnd w:id="1275"/>
      <w:bookmarkEnd w:id="1276"/>
    </w:p>
    <w:bookmarkEnd w:id="1277"/>
    <w:p w14:paraId="209E13F0">
      <w:pPr>
        <w:spacing w:line="500" w:lineRule="exact"/>
        <w:ind w:firstLine="560" w:firstLineChars="200"/>
        <w:jc w:val="left"/>
        <w:rPr>
          <w:rFonts w:eastAsia="仿宋_GB2312"/>
          <w:sz w:val="28"/>
          <w:szCs w:val="28"/>
        </w:rPr>
      </w:pPr>
      <w:r>
        <w:rPr>
          <w:rFonts w:eastAsia="仿宋_GB2312"/>
          <w:sz w:val="28"/>
          <w:szCs w:val="28"/>
        </w:rPr>
        <w:t>因承包人原因造成工期延误，逾</w:t>
      </w:r>
      <w:bookmarkStart w:id="1278" w:name="_Toc312678014"/>
      <w:bookmarkStart w:id="1279" w:name="_Toc318581171"/>
      <w:r>
        <w:rPr>
          <w:rFonts w:eastAsia="仿宋_GB2312"/>
          <w:sz w:val="28"/>
          <w:szCs w:val="28"/>
        </w:rPr>
        <w:t>期竣工违约金的上限：</w:t>
      </w:r>
      <w:r>
        <w:rPr>
          <w:rFonts w:hint="eastAsia" w:eastAsia="仿宋_GB2312"/>
          <w:sz w:val="28"/>
          <w:szCs w:val="28"/>
          <w:u w:val="single"/>
        </w:rPr>
        <w:t>/</w:t>
      </w:r>
      <w:r>
        <w:rPr>
          <w:rFonts w:eastAsia="仿宋_GB2312"/>
          <w:sz w:val="28"/>
          <w:szCs w:val="28"/>
        </w:rPr>
        <w:t>。</w:t>
      </w:r>
    </w:p>
    <w:bookmarkEnd w:id="1278"/>
    <w:bookmarkEnd w:id="1279"/>
    <w:p w14:paraId="6B6F92DC">
      <w:pPr>
        <w:spacing w:after="120" w:line="500" w:lineRule="exact"/>
        <w:ind w:firstLine="560" w:firstLineChars="200"/>
        <w:rPr>
          <w:rFonts w:eastAsia="黑体"/>
          <w:color w:val="000000"/>
          <w:sz w:val="28"/>
          <w:szCs w:val="28"/>
        </w:rPr>
      </w:pPr>
      <w:r>
        <w:rPr>
          <w:rFonts w:eastAsia="黑体"/>
          <w:color w:val="000000"/>
          <w:sz w:val="28"/>
          <w:szCs w:val="28"/>
        </w:rPr>
        <w:t>7</w:t>
      </w:r>
      <w:bookmarkStart w:id="1280" w:name="_Toc304295549"/>
      <w:bookmarkStart w:id="1281" w:name="_Toc300934971"/>
      <w:bookmarkStart w:id="1282" w:name="_Toc303539128"/>
      <w:bookmarkStart w:id="1283" w:name="_Toc297123519"/>
      <w:bookmarkStart w:id="1284" w:name="_Toc297216178"/>
      <w:bookmarkStart w:id="1285" w:name="_Toc312678015"/>
      <w:r>
        <w:rPr>
          <w:rFonts w:eastAsia="黑体"/>
          <w:color w:val="000000"/>
          <w:sz w:val="28"/>
          <w:szCs w:val="28"/>
        </w:rPr>
        <w:t>.6 不</w:t>
      </w:r>
      <w:bookmarkEnd w:id="1280"/>
      <w:bookmarkEnd w:id="1281"/>
      <w:bookmarkEnd w:id="1282"/>
      <w:bookmarkEnd w:id="1283"/>
      <w:bookmarkEnd w:id="1284"/>
      <w:bookmarkEnd w:id="1285"/>
      <w:r>
        <w:rPr>
          <w:rFonts w:eastAsia="黑体"/>
          <w:color w:val="000000"/>
          <w:sz w:val="28"/>
          <w:szCs w:val="28"/>
        </w:rPr>
        <w:t>利物质条件</w:t>
      </w:r>
    </w:p>
    <w:p w14:paraId="3261F65D">
      <w:pPr>
        <w:spacing w:line="500" w:lineRule="exact"/>
        <w:ind w:firstLine="560" w:firstLineChars="200"/>
        <w:jc w:val="left"/>
        <w:rPr>
          <w:rFonts w:eastAsia="仿宋_GB2312"/>
          <w:sz w:val="28"/>
          <w:szCs w:val="28"/>
        </w:rPr>
      </w:pPr>
      <w:bookmarkStart w:id="1286" w:name="_Toc303539129"/>
      <w:bookmarkStart w:id="1287" w:name="_Toc304295550"/>
      <w:bookmarkStart w:id="1288" w:name="_Toc297123520"/>
      <w:bookmarkStart w:id="1289" w:name="_Toc297216179"/>
      <w:bookmarkStart w:id="1290" w:name="_Toc312678016"/>
      <w:bookmarkStart w:id="1291" w:name="_Toc318581172"/>
      <w:bookmarkStart w:id="1292" w:name="_Toc300934972"/>
      <w:r>
        <w:rPr>
          <w:rFonts w:eastAsia="仿宋_GB2312"/>
          <w:sz w:val="28"/>
          <w:szCs w:val="28"/>
        </w:rPr>
        <w:t>不利物质条件的其他情形和有关约定：</w:t>
      </w:r>
      <w:r>
        <w:rPr>
          <w:rFonts w:hint="eastAsia" w:eastAsia="仿宋_GB2312"/>
          <w:sz w:val="28"/>
          <w:szCs w:val="28"/>
          <w:u w:val="single"/>
        </w:rPr>
        <w:t>/</w:t>
      </w:r>
      <w:r>
        <w:rPr>
          <w:rFonts w:eastAsia="仿宋_GB2312"/>
          <w:sz w:val="28"/>
          <w:szCs w:val="28"/>
        </w:rPr>
        <w:t>。</w:t>
      </w:r>
    </w:p>
    <w:bookmarkEnd w:id="1286"/>
    <w:bookmarkEnd w:id="1287"/>
    <w:bookmarkEnd w:id="1288"/>
    <w:bookmarkEnd w:id="1289"/>
    <w:bookmarkEnd w:id="1290"/>
    <w:bookmarkEnd w:id="1291"/>
    <w:bookmarkEnd w:id="1292"/>
    <w:p w14:paraId="73350BC0">
      <w:pPr>
        <w:spacing w:after="120" w:line="500" w:lineRule="exact"/>
        <w:ind w:firstLine="560" w:firstLineChars="200"/>
        <w:rPr>
          <w:rFonts w:eastAsia="黑体"/>
          <w:color w:val="000000"/>
          <w:sz w:val="28"/>
          <w:szCs w:val="28"/>
        </w:rPr>
      </w:pPr>
      <w:r>
        <w:rPr>
          <w:rFonts w:eastAsia="黑体"/>
          <w:color w:val="000000"/>
          <w:sz w:val="28"/>
          <w:szCs w:val="28"/>
        </w:rPr>
        <w:t>7</w:t>
      </w:r>
      <w:bookmarkStart w:id="1293" w:name="_Toc303539130"/>
      <w:bookmarkStart w:id="1294" w:name="_Toc297123521"/>
      <w:bookmarkStart w:id="1295" w:name="_Toc297216180"/>
      <w:bookmarkStart w:id="1296" w:name="_Toc312678017"/>
      <w:bookmarkStart w:id="1297" w:name="_Toc304295551"/>
      <w:bookmarkStart w:id="1298" w:name="_Toc300934973"/>
      <w:r>
        <w:rPr>
          <w:rFonts w:eastAsia="黑体"/>
          <w:color w:val="000000"/>
          <w:sz w:val="28"/>
          <w:szCs w:val="28"/>
        </w:rPr>
        <w:t>.7异常恶劣的气候条件</w:t>
      </w:r>
    </w:p>
    <w:bookmarkEnd w:id="1293"/>
    <w:bookmarkEnd w:id="1294"/>
    <w:bookmarkEnd w:id="1295"/>
    <w:bookmarkEnd w:id="1296"/>
    <w:bookmarkEnd w:id="1297"/>
    <w:bookmarkEnd w:id="1298"/>
    <w:p w14:paraId="5510A6E8">
      <w:pPr>
        <w:spacing w:line="500" w:lineRule="exact"/>
        <w:ind w:firstLine="560" w:firstLineChars="200"/>
        <w:jc w:val="left"/>
        <w:rPr>
          <w:rFonts w:eastAsia="仿宋_GB2312"/>
          <w:sz w:val="28"/>
          <w:szCs w:val="28"/>
        </w:rPr>
      </w:pPr>
      <w:r>
        <w:rPr>
          <w:rFonts w:eastAsia="仿宋_GB2312"/>
          <w:sz w:val="28"/>
          <w:szCs w:val="28"/>
        </w:rPr>
        <w:t>发包人和承包人同意以下情形视为异常恶劣的气候条件：</w:t>
      </w:r>
    </w:p>
    <w:p w14:paraId="7ADFEA52">
      <w:pPr>
        <w:spacing w:line="500" w:lineRule="exact"/>
        <w:ind w:firstLine="560" w:firstLineChars="200"/>
        <w:jc w:val="left"/>
        <w:rPr>
          <w:rFonts w:eastAsia="仿宋_GB2312"/>
          <w:sz w:val="28"/>
          <w:szCs w:val="28"/>
        </w:rPr>
      </w:pPr>
      <w:r>
        <w:rPr>
          <w:rFonts w:eastAsia="仿宋_GB2312"/>
          <w:sz w:val="28"/>
          <w:szCs w:val="28"/>
        </w:rPr>
        <w:t>（1）</w:t>
      </w:r>
      <w:r>
        <w:rPr>
          <w:rFonts w:hint="eastAsia" w:eastAsia="仿宋_GB2312"/>
          <w:sz w:val="28"/>
          <w:szCs w:val="28"/>
          <w:u w:val="single"/>
        </w:rPr>
        <w:t>/</w:t>
      </w:r>
      <w:r>
        <w:rPr>
          <w:rFonts w:eastAsia="仿宋_GB2312"/>
          <w:sz w:val="28"/>
          <w:szCs w:val="28"/>
        </w:rPr>
        <w:t>；</w:t>
      </w:r>
    </w:p>
    <w:p w14:paraId="7B2D3609">
      <w:pPr>
        <w:spacing w:line="500" w:lineRule="exact"/>
        <w:ind w:firstLine="560" w:firstLineChars="200"/>
        <w:jc w:val="left"/>
        <w:rPr>
          <w:rFonts w:eastAsia="仿宋_GB2312"/>
          <w:sz w:val="28"/>
          <w:szCs w:val="28"/>
        </w:rPr>
      </w:pPr>
      <w:r>
        <w:rPr>
          <w:rFonts w:eastAsia="仿宋_GB2312"/>
          <w:sz w:val="28"/>
          <w:szCs w:val="28"/>
        </w:rPr>
        <w:t>（2）</w:t>
      </w:r>
      <w:r>
        <w:rPr>
          <w:rFonts w:hint="eastAsia" w:eastAsia="仿宋_GB2312"/>
          <w:sz w:val="28"/>
          <w:szCs w:val="28"/>
          <w:u w:val="single"/>
        </w:rPr>
        <w:t>/</w:t>
      </w:r>
      <w:r>
        <w:rPr>
          <w:rFonts w:eastAsia="仿宋_GB2312"/>
          <w:sz w:val="28"/>
          <w:szCs w:val="28"/>
        </w:rPr>
        <w:t>；</w:t>
      </w:r>
    </w:p>
    <w:p w14:paraId="107EE6FE">
      <w:pPr>
        <w:spacing w:line="500" w:lineRule="exact"/>
        <w:ind w:firstLine="560" w:firstLineChars="200"/>
        <w:jc w:val="left"/>
        <w:rPr>
          <w:rFonts w:eastAsia="仿宋_GB2312"/>
          <w:sz w:val="28"/>
          <w:szCs w:val="28"/>
        </w:rPr>
      </w:pPr>
      <w:r>
        <w:rPr>
          <w:rFonts w:eastAsia="仿宋_GB2312"/>
          <w:sz w:val="28"/>
          <w:szCs w:val="28"/>
        </w:rPr>
        <w:t>（3）</w:t>
      </w:r>
      <w:r>
        <w:rPr>
          <w:rFonts w:hint="eastAsia" w:eastAsia="仿宋_GB2312"/>
          <w:sz w:val="28"/>
          <w:szCs w:val="28"/>
          <w:u w:val="single"/>
        </w:rPr>
        <w:t>/</w:t>
      </w:r>
      <w:r>
        <w:rPr>
          <w:rFonts w:eastAsia="仿宋_GB2312"/>
          <w:sz w:val="28"/>
          <w:szCs w:val="28"/>
        </w:rPr>
        <w:t>。</w:t>
      </w:r>
    </w:p>
    <w:p w14:paraId="6F704B27">
      <w:pPr>
        <w:spacing w:after="120" w:line="500" w:lineRule="exact"/>
        <w:ind w:firstLine="560" w:firstLineChars="200"/>
        <w:outlineLvl w:val="0"/>
        <w:rPr>
          <w:rFonts w:eastAsia="黑体"/>
          <w:color w:val="000000"/>
          <w:sz w:val="28"/>
          <w:szCs w:val="28"/>
        </w:rPr>
      </w:pPr>
      <w:r>
        <w:rPr>
          <w:rFonts w:eastAsia="黑体"/>
          <w:color w:val="000000"/>
          <w:sz w:val="28"/>
          <w:szCs w:val="28"/>
        </w:rPr>
        <w:t>7.9 提前竣工的奖励</w:t>
      </w:r>
    </w:p>
    <w:p w14:paraId="42000FCD">
      <w:pPr>
        <w:spacing w:line="500" w:lineRule="exact"/>
        <w:ind w:firstLine="560" w:firstLineChars="200"/>
        <w:jc w:val="left"/>
        <w:rPr>
          <w:rFonts w:eastAsia="仿宋_GB2312"/>
          <w:sz w:val="28"/>
          <w:szCs w:val="28"/>
        </w:rPr>
      </w:pPr>
      <w:r>
        <w:rPr>
          <w:rFonts w:eastAsia="仿宋_GB2312"/>
          <w:sz w:val="28"/>
          <w:szCs w:val="28"/>
        </w:rPr>
        <w:t>7.9.2提前竣工的奖励：</w:t>
      </w:r>
      <w:r>
        <w:rPr>
          <w:rFonts w:hint="eastAsia" w:eastAsia="仿宋_GB2312"/>
          <w:sz w:val="28"/>
          <w:szCs w:val="28"/>
          <w:u w:val="single"/>
        </w:rPr>
        <w:t>/</w:t>
      </w:r>
      <w:r>
        <w:rPr>
          <w:rFonts w:eastAsia="仿宋_GB2312"/>
          <w:sz w:val="28"/>
          <w:szCs w:val="28"/>
        </w:rPr>
        <w:t>。</w:t>
      </w:r>
    </w:p>
    <w:p w14:paraId="176B1666">
      <w:pPr>
        <w:pStyle w:val="6"/>
        <w:spacing w:before="120" w:after="120" w:line="500" w:lineRule="exact"/>
        <w:rPr>
          <w:rFonts w:ascii="Times New Roman" w:hAnsi="Times New Roman"/>
          <w:b w:val="0"/>
          <w:color w:val="000000"/>
        </w:rPr>
      </w:pPr>
      <w:bookmarkStart w:id="1299" w:name="_Toc351203640"/>
      <w:r>
        <w:rPr>
          <w:rFonts w:ascii="Times New Roman" w:hAnsi="Times New Roman"/>
          <w:b w:val="0"/>
          <w:color w:val="000000"/>
        </w:rPr>
        <w:t>8. 材料与设备</w:t>
      </w:r>
      <w:bookmarkEnd w:id="1299"/>
    </w:p>
    <w:bookmarkEnd w:id="1234"/>
    <w:bookmarkEnd w:id="1235"/>
    <w:bookmarkEnd w:id="1236"/>
    <w:bookmarkEnd w:id="1237"/>
    <w:bookmarkEnd w:id="1238"/>
    <w:bookmarkEnd w:id="1239"/>
    <w:bookmarkEnd w:id="1240"/>
    <w:bookmarkEnd w:id="1241"/>
    <w:bookmarkEnd w:id="1242"/>
    <w:bookmarkEnd w:id="1243"/>
    <w:p w14:paraId="02470241">
      <w:pPr>
        <w:spacing w:after="120" w:line="500" w:lineRule="exact"/>
        <w:ind w:firstLine="560" w:firstLineChars="200"/>
        <w:rPr>
          <w:rFonts w:eastAsia="黑体"/>
          <w:color w:val="000000"/>
          <w:sz w:val="28"/>
          <w:szCs w:val="28"/>
        </w:rPr>
      </w:pPr>
      <w:r>
        <w:rPr>
          <w:rFonts w:eastAsia="黑体"/>
          <w:color w:val="000000"/>
          <w:sz w:val="28"/>
          <w:szCs w:val="28"/>
        </w:rPr>
        <w:t>8</w:t>
      </w:r>
      <w:bookmarkStart w:id="1300" w:name="_Toc312678019"/>
      <w:bookmarkStart w:id="1301" w:name="_Toc296944506"/>
      <w:bookmarkStart w:id="1302" w:name="_Toc296891207"/>
      <w:bookmarkStart w:id="1303" w:name="_Toc300934979"/>
      <w:bookmarkStart w:id="1304" w:name="_Toc312677493"/>
      <w:bookmarkStart w:id="1305" w:name="_Toc297048353"/>
      <w:bookmarkStart w:id="1306" w:name="_Toc296503167"/>
      <w:bookmarkStart w:id="1307" w:name="_Toc303539136"/>
      <w:bookmarkStart w:id="1308" w:name="_Toc304295556"/>
      <w:bookmarkStart w:id="1309" w:name="_Toc296347166"/>
      <w:bookmarkStart w:id="1310" w:name="_Toc297120467"/>
      <w:bookmarkStart w:id="1311" w:name="_Toc292559877"/>
      <w:bookmarkStart w:id="1312" w:name="_Toc296346668"/>
      <w:bookmarkStart w:id="1313" w:name="_Toc296890995"/>
      <w:bookmarkStart w:id="1314" w:name="_Toc280868654"/>
      <w:bookmarkStart w:id="1315" w:name="_Toc297216186"/>
      <w:bookmarkStart w:id="1316" w:name="_Toc292559372"/>
      <w:bookmarkStart w:id="1317" w:name="_Toc297123527"/>
      <w:bookmarkStart w:id="1318" w:name="_Toc280868655"/>
      <w:bookmarkStart w:id="1319" w:name="_Toc267251424"/>
      <w:bookmarkStart w:id="1320" w:name="_Toc280868656"/>
      <w:r>
        <w:rPr>
          <w:rFonts w:eastAsia="黑体"/>
          <w:color w:val="000000"/>
          <w:sz w:val="28"/>
          <w:szCs w:val="28"/>
        </w:rPr>
        <w:t>.4材料与工程设备的保管与使用</w:t>
      </w:r>
    </w:p>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p w14:paraId="792E17C1">
      <w:pPr>
        <w:spacing w:line="500" w:lineRule="exact"/>
        <w:ind w:firstLine="560" w:firstLineChars="200"/>
        <w:jc w:val="left"/>
        <w:rPr>
          <w:rFonts w:eastAsia="仿宋_GB2312"/>
          <w:sz w:val="28"/>
          <w:szCs w:val="28"/>
        </w:rPr>
      </w:pPr>
      <w:r>
        <w:rPr>
          <w:rFonts w:eastAsia="仿宋_GB2312"/>
          <w:sz w:val="28"/>
          <w:szCs w:val="28"/>
        </w:rPr>
        <w:t>8</w:t>
      </w:r>
      <w:bookmarkStart w:id="1321" w:name="_Toc292559878"/>
      <w:bookmarkStart w:id="1322" w:name="_Toc292559373"/>
      <w:bookmarkStart w:id="1323" w:name="_Toc312677494"/>
      <w:bookmarkStart w:id="1324" w:name="_Toc296944507"/>
      <w:bookmarkStart w:id="1325" w:name="_Toc304295557"/>
      <w:bookmarkStart w:id="1326" w:name="_Toc296503168"/>
      <w:bookmarkStart w:id="1327" w:name="_Toc297048354"/>
      <w:bookmarkStart w:id="1328" w:name="_Toc300934980"/>
      <w:bookmarkStart w:id="1329" w:name="_Toc296346669"/>
      <w:bookmarkStart w:id="1330" w:name="_Toc296347167"/>
      <w:bookmarkStart w:id="1331" w:name="_Toc297123528"/>
      <w:bookmarkStart w:id="1332" w:name="_Toc297120468"/>
      <w:bookmarkStart w:id="1333" w:name="_Toc303539137"/>
      <w:bookmarkStart w:id="1334" w:name="_Toc318581173"/>
      <w:bookmarkStart w:id="1335" w:name="_Toc296891208"/>
      <w:bookmarkStart w:id="1336" w:name="_Toc312678020"/>
      <w:bookmarkStart w:id="1337" w:name="_Toc297216187"/>
      <w:bookmarkStart w:id="1338" w:name="_Toc296890996"/>
      <w:r>
        <w:rPr>
          <w:rFonts w:eastAsia="仿宋_GB2312"/>
          <w:sz w:val="28"/>
          <w:szCs w:val="28"/>
        </w:rPr>
        <w:t>.4.1发包人供应的材料设备的保管费用的承担：</w:t>
      </w:r>
      <w:r>
        <w:rPr>
          <w:rFonts w:hint="eastAsia" w:eastAsia="仿宋_GB2312"/>
          <w:sz w:val="28"/>
          <w:szCs w:val="28"/>
          <w:u w:val="single"/>
        </w:rPr>
        <w:t>/</w:t>
      </w:r>
      <w:r>
        <w:rPr>
          <w:rFonts w:eastAsia="仿宋_GB2312"/>
          <w:sz w:val="28"/>
          <w:szCs w:val="28"/>
        </w:rPr>
        <w:t>。</w:t>
      </w:r>
      <w:bookmarkEnd w:id="1321"/>
      <w:bookmarkEnd w:id="1322"/>
    </w:p>
    <w:p w14:paraId="78524465">
      <w:pPr>
        <w:spacing w:after="120" w:line="500" w:lineRule="exact"/>
        <w:ind w:firstLine="560" w:firstLineChars="200"/>
        <w:outlineLvl w:val="0"/>
        <w:rPr>
          <w:rFonts w:eastAsia="黑体"/>
          <w:color w:val="000000"/>
          <w:sz w:val="28"/>
          <w:szCs w:val="28"/>
        </w:rPr>
      </w:pPr>
      <w:r>
        <w:rPr>
          <w:rFonts w:eastAsia="黑体"/>
          <w:color w:val="000000"/>
          <w:sz w:val="28"/>
          <w:szCs w:val="28"/>
        </w:rPr>
        <w:t>8.6 样品</w:t>
      </w:r>
    </w:p>
    <w:p w14:paraId="0716BC39">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8.6.1</w:t>
      </w:r>
      <w:r>
        <w:rPr>
          <w:rFonts w:eastAsia="仿宋_GB2312"/>
          <w:color w:val="000000"/>
          <w:kern w:val="0"/>
          <w:sz w:val="28"/>
          <w:szCs w:val="28"/>
        </w:rPr>
        <w:tab/>
      </w:r>
      <w:r>
        <w:rPr>
          <w:rFonts w:eastAsia="仿宋_GB2312"/>
          <w:color w:val="000000"/>
          <w:kern w:val="0"/>
          <w:sz w:val="28"/>
          <w:szCs w:val="28"/>
        </w:rPr>
        <w:t>样品的报送</w:t>
      </w:r>
      <w:r>
        <w:rPr>
          <w:rFonts w:hint="eastAsia" w:eastAsia="仿宋_GB2312"/>
          <w:color w:val="000000"/>
          <w:kern w:val="0"/>
          <w:sz w:val="28"/>
          <w:szCs w:val="28"/>
        </w:rPr>
        <w:t>与封存</w:t>
      </w:r>
    </w:p>
    <w:p w14:paraId="0E3F8EFB">
      <w:pPr>
        <w:autoSpaceDE w:val="0"/>
        <w:autoSpaceDN w:val="0"/>
        <w:adjustRightInd w:val="0"/>
        <w:spacing w:line="500" w:lineRule="exact"/>
        <w:ind w:firstLine="560" w:firstLineChars="200"/>
        <w:jc w:val="left"/>
        <w:rPr>
          <w:rFonts w:eastAsia="仿宋_GB2312"/>
          <w:sz w:val="28"/>
          <w:szCs w:val="28"/>
        </w:rPr>
      </w:pPr>
      <w:r>
        <w:rPr>
          <w:rFonts w:eastAsia="仿宋_GB2312"/>
          <w:color w:val="000000"/>
          <w:kern w:val="0"/>
          <w:sz w:val="28"/>
          <w:szCs w:val="28"/>
        </w:rPr>
        <w:t>需要承包人报送样品的材料或工程设备，样品的种类、名称、规格、数量要求：</w:t>
      </w:r>
      <w:r>
        <w:rPr>
          <w:rFonts w:hint="eastAsia" w:eastAsia="仿宋_GB2312"/>
          <w:sz w:val="28"/>
          <w:szCs w:val="28"/>
          <w:u w:val="single"/>
        </w:rPr>
        <w:t>材料样品或样本，经双方认定后共同封存，作为材料提供和竣工验收的实物标准。不符合样品或样本标准的，由供货方承担责任</w:t>
      </w:r>
      <w:r>
        <w:rPr>
          <w:rFonts w:hint="eastAsia" w:eastAsia="仿宋_GB2312"/>
          <w:sz w:val="28"/>
          <w:szCs w:val="28"/>
        </w:rPr>
        <w:t>。</w:t>
      </w:r>
    </w:p>
    <w:p w14:paraId="375CF678">
      <w:pPr>
        <w:spacing w:after="120" w:line="500" w:lineRule="exact"/>
        <w:ind w:firstLine="560" w:firstLineChars="200"/>
        <w:outlineLvl w:val="0"/>
        <w:rPr>
          <w:rFonts w:eastAsia="黑体"/>
          <w:color w:val="000000"/>
          <w:sz w:val="28"/>
          <w:szCs w:val="28"/>
        </w:rPr>
      </w:pPr>
      <w:r>
        <w:rPr>
          <w:rFonts w:eastAsia="黑体"/>
          <w:color w:val="000000"/>
          <w:sz w:val="28"/>
          <w:szCs w:val="28"/>
        </w:rPr>
        <w:t>8.8 施工设备和临时设施</w:t>
      </w:r>
    </w:p>
    <w:p w14:paraId="046837C8">
      <w:pPr>
        <w:autoSpaceDE w:val="0"/>
        <w:autoSpaceDN w:val="0"/>
        <w:adjustRightInd w:val="0"/>
        <w:spacing w:line="500" w:lineRule="exact"/>
        <w:ind w:firstLine="560" w:firstLineChars="200"/>
        <w:jc w:val="left"/>
        <w:rPr>
          <w:rFonts w:eastAsia="仿宋_GB2312"/>
          <w:sz w:val="28"/>
          <w:szCs w:val="28"/>
        </w:rPr>
      </w:pPr>
      <w:r>
        <w:rPr>
          <w:rFonts w:eastAsia="仿宋_GB2312"/>
          <w:sz w:val="28"/>
          <w:szCs w:val="28"/>
        </w:rPr>
        <w:t>8.8.1 承包人提供的施工设备和临时设施</w:t>
      </w:r>
    </w:p>
    <w:p w14:paraId="2D30B37F">
      <w:pPr>
        <w:autoSpaceDE w:val="0"/>
        <w:autoSpaceDN w:val="0"/>
        <w:adjustRightInd w:val="0"/>
        <w:spacing w:line="500" w:lineRule="exact"/>
        <w:ind w:firstLine="560" w:firstLineChars="200"/>
        <w:jc w:val="left"/>
        <w:rPr>
          <w:rFonts w:eastAsia="仿宋_GB2312"/>
          <w:sz w:val="28"/>
          <w:szCs w:val="28"/>
        </w:rPr>
      </w:pPr>
      <w:r>
        <w:rPr>
          <w:rFonts w:eastAsia="仿宋_GB2312"/>
          <w:sz w:val="28"/>
          <w:szCs w:val="28"/>
        </w:rPr>
        <w:t>关于修建临时设施费用承担的约定：</w:t>
      </w:r>
      <w:r>
        <w:rPr>
          <w:rFonts w:hint="eastAsia" w:eastAsia="仿宋_GB2312"/>
          <w:sz w:val="28"/>
          <w:szCs w:val="28"/>
          <w:u w:val="single"/>
        </w:rPr>
        <w:t>/</w:t>
      </w:r>
      <w:r>
        <w:rPr>
          <w:rFonts w:eastAsia="仿宋_GB2312"/>
          <w:sz w:val="28"/>
          <w:szCs w:val="28"/>
        </w:rPr>
        <w:t>。</w:t>
      </w:r>
    </w:p>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p w14:paraId="4062DFAF">
      <w:pPr>
        <w:pStyle w:val="6"/>
        <w:spacing w:before="120" w:after="120" w:line="500" w:lineRule="exact"/>
        <w:rPr>
          <w:rFonts w:ascii="Times New Roman" w:hAnsi="Times New Roman"/>
          <w:b w:val="0"/>
          <w:color w:val="000000"/>
        </w:rPr>
      </w:pPr>
      <w:bookmarkStart w:id="1339" w:name="_Toc351203641"/>
      <w:r>
        <w:rPr>
          <w:rFonts w:ascii="Times New Roman" w:hAnsi="Times New Roman"/>
          <w:b w:val="0"/>
          <w:color w:val="000000"/>
        </w:rPr>
        <w:t>9</w:t>
      </w:r>
      <w:bookmarkEnd w:id="1318"/>
      <w:bookmarkEnd w:id="1319"/>
      <w:bookmarkEnd w:id="1320"/>
      <w:bookmarkStart w:id="1340" w:name="_Toc300934982"/>
      <w:bookmarkStart w:id="1341" w:name="_Toc297216192"/>
      <w:bookmarkStart w:id="1342" w:name="_Toc297123533"/>
      <w:bookmarkStart w:id="1343" w:name="_Toc304295559"/>
      <w:bookmarkStart w:id="1344" w:name="_Toc303539139"/>
      <w:bookmarkStart w:id="1345" w:name="_Toc312677495"/>
      <w:bookmarkStart w:id="1346" w:name="_Toc312678021"/>
      <w:bookmarkStart w:id="1347" w:name="_Toc296347172"/>
      <w:bookmarkStart w:id="1348" w:name="_Toc292559378"/>
      <w:bookmarkStart w:id="1349" w:name="_Toc296891001"/>
      <w:bookmarkStart w:id="1350" w:name="_Toc267251428"/>
      <w:bookmarkStart w:id="1351" w:name="_Toc267251427"/>
      <w:bookmarkStart w:id="1352" w:name="_Toc297120473"/>
      <w:bookmarkStart w:id="1353" w:name="_Toc292559883"/>
      <w:bookmarkStart w:id="1354" w:name="_Toc297048359"/>
      <w:bookmarkStart w:id="1355" w:name="_Toc296944512"/>
      <w:bookmarkStart w:id="1356" w:name="_Toc296503173"/>
      <w:bookmarkStart w:id="1357" w:name="_Toc296891213"/>
      <w:bookmarkStart w:id="1358" w:name="_Toc296346674"/>
      <w:r>
        <w:rPr>
          <w:rFonts w:ascii="Times New Roman" w:hAnsi="Times New Roman"/>
          <w:b w:val="0"/>
          <w:color w:val="000000"/>
        </w:rPr>
        <w:t>. 试验与检验</w:t>
      </w:r>
      <w:bookmarkEnd w:id="1339"/>
    </w:p>
    <w:bookmarkEnd w:id="1340"/>
    <w:bookmarkEnd w:id="1341"/>
    <w:bookmarkEnd w:id="1342"/>
    <w:bookmarkEnd w:id="1343"/>
    <w:bookmarkEnd w:id="1344"/>
    <w:bookmarkEnd w:id="1345"/>
    <w:bookmarkEnd w:id="1346"/>
    <w:p w14:paraId="2C2C2088">
      <w:pPr>
        <w:spacing w:after="120" w:line="500" w:lineRule="exact"/>
        <w:ind w:firstLine="560" w:firstLineChars="200"/>
        <w:rPr>
          <w:rFonts w:eastAsia="黑体"/>
          <w:color w:val="000000"/>
          <w:sz w:val="28"/>
          <w:szCs w:val="28"/>
        </w:rPr>
      </w:pPr>
      <w:r>
        <w:rPr>
          <w:rFonts w:eastAsia="黑体"/>
          <w:color w:val="000000"/>
          <w:sz w:val="28"/>
          <w:szCs w:val="28"/>
        </w:rPr>
        <w:t>9</w:t>
      </w:r>
      <w:bookmarkStart w:id="1359" w:name="_Toc303539140"/>
      <w:bookmarkStart w:id="1360" w:name="_Toc300934983"/>
      <w:bookmarkStart w:id="1361" w:name="_Toc297123534"/>
      <w:bookmarkStart w:id="1362" w:name="_Toc312678022"/>
      <w:bookmarkStart w:id="1363" w:name="_Toc297216193"/>
      <w:bookmarkStart w:id="1364" w:name="_Toc304295560"/>
      <w:bookmarkStart w:id="1365" w:name="_Toc312677496"/>
      <w:r>
        <w:rPr>
          <w:rFonts w:eastAsia="黑体"/>
          <w:color w:val="000000"/>
          <w:sz w:val="28"/>
          <w:szCs w:val="28"/>
        </w:rPr>
        <w:t>.1试验设备与试验人员</w:t>
      </w:r>
    </w:p>
    <w:bookmarkEnd w:id="1359"/>
    <w:bookmarkEnd w:id="1360"/>
    <w:bookmarkEnd w:id="1361"/>
    <w:bookmarkEnd w:id="1362"/>
    <w:bookmarkEnd w:id="1363"/>
    <w:bookmarkEnd w:id="1364"/>
    <w:bookmarkEnd w:id="1365"/>
    <w:p w14:paraId="33E8C0B9">
      <w:pPr>
        <w:spacing w:line="500" w:lineRule="exact"/>
        <w:ind w:firstLine="560" w:firstLineChars="200"/>
        <w:jc w:val="left"/>
        <w:rPr>
          <w:rFonts w:eastAsia="仿宋_GB2312"/>
          <w:sz w:val="28"/>
          <w:szCs w:val="28"/>
        </w:rPr>
      </w:pPr>
      <w:r>
        <w:rPr>
          <w:rFonts w:eastAsia="仿宋_GB2312"/>
          <w:sz w:val="28"/>
          <w:szCs w:val="28"/>
        </w:rPr>
        <w:t>9</w:t>
      </w:r>
      <w:bookmarkStart w:id="1366" w:name="_Toc303539141"/>
      <w:bookmarkStart w:id="1367" w:name="_Toc304295561"/>
      <w:bookmarkStart w:id="1368" w:name="_Toc300934984"/>
      <w:bookmarkStart w:id="1369" w:name="_Toc312677497"/>
      <w:bookmarkStart w:id="1370" w:name="_Toc312678023"/>
      <w:bookmarkStart w:id="1371" w:name="_Toc297123535"/>
      <w:bookmarkStart w:id="1372" w:name="_Toc297216194"/>
      <w:bookmarkStart w:id="1373" w:name="_Toc318581174"/>
      <w:r>
        <w:rPr>
          <w:rFonts w:eastAsia="仿宋_GB2312"/>
          <w:sz w:val="28"/>
          <w:szCs w:val="28"/>
        </w:rPr>
        <w:t>.1.2 试验设备</w:t>
      </w:r>
    </w:p>
    <w:p w14:paraId="03363F58">
      <w:pPr>
        <w:spacing w:line="500" w:lineRule="exact"/>
        <w:ind w:firstLine="560" w:firstLineChars="200"/>
        <w:jc w:val="left"/>
        <w:rPr>
          <w:rFonts w:eastAsia="仿宋_GB2312"/>
          <w:sz w:val="28"/>
          <w:szCs w:val="28"/>
        </w:rPr>
      </w:pPr>
      <w:r>
        <w:rPr>
          <w:rFonts w:eastAsia="仿宋_GB2312"/>
          <w:sz w:val="28"/>
          <w:szCs w:val="28"/>
        </w:rPr>
        <w:t>施工现场需要配置的试验场所：</w:t>
      </w:r>
      <w:bookmarkEnd w:id="1366"/>
      <w:bookmarkEnd w:id="1367"/>
      <w:bookmarkEnd w:id="1368"/>
      <w:bookmarkEnd w:id="1369"/>
      <w:bookmarkEnd w:id="1370"/>
      <w:bookmarkEnd w:id="1371"/>
      <w:bookmarkEnd w:id="1372"/>
      <w:bookmarkStart w:id="1374" w:name="_Toc312677498"/>
      <w:bookmarkStart w:id="1375" w:name="_Toc303539142"/>
      <w:bookmarkStart w:id="1376" w:name="_Toc312678024"/>
      <w:bookmarkStart w:id="1377" w:name="_Toc304295562"/>
      <w:bookmarkStart w:id="1378" w:name="_Toc297123536"/>
      <w:bookmarkStart w:id="1379" w:name="_Toc300934985"/>
      <w:bookmarkStart w:id="1380" w:name="_Toc297216195"/>
      <w:r>
        <w:rPr>
          <w:rFonts w:hint="eastAsia" w:eastAsia="仿宋_GB2312"/>
          <w:sz w:val="28"/>
          <w:szCs w:val="28"/>
          <w:u w:val="single"/>
        </w:rPr>
        <w:t>/</w:t>
      </w:r>
      <w:r>
        <w:rPr>
          <w:rFonts w:eastAsia="仿宋_GB2312"/>
          <w:sz w:val="28"/>
          <w:szCs w:val="28"/>
        </w:rPr>
        <w:t>。</w:t>
      </w:r>
      <w:r>
        <w:rPr>
          <w:rFonts w:hint="eastAsia" w:eastAsia="仿宋_GB2312"/>
          <w:sz w:val="28"/>
          <w:szCs w:val="28"/>
        </w:rPr>
        <w:t xml:space="preserve"> </w:t>
      </w:r>
    </w:p>
    <w:p w14:paraId="5328C70B">
      <w:pPr>
        <w:spacing w:line="500" w:lineRule="exact"/>
        <w:ind w:firstLine="560" w:firstLineChars="200"/>
        <w:jc w:val="left"/>
        <w:rPr>
          <w:rFonts w:eastAsia="仿宋_GB2312"/>
          <w:sz w:val="28"/>
          <w:szCs w:val="28"/>
        </w:rPr>
      </w:pPr>
      <w:r>
        <w:rPr>
          <w:rFonts w:eastAsia="仿宋_GB2312"/>
          <w:sz w:val="28"/>
          <w:szCs w:val="28"/>
        </w:rPr>
        <w:t>施工现场需要配备的试验设备：</w:t>
      </w:r>
      <w:r>
        <w:rPr>
          <w:rFonts w:hint="eastAsia" w:eastAsia="仿宋_GB2312"/>
          <w:sz w:val="28"/>
          <w:szCs w:val="28"/>
          <w:u w:val="single"/>
        </w:rPr>
        <w:t>/</w:t>
      </w:r>
      <w:r>
        <w:rPr>
          <w:rFonts w:eastAsia="仿宋_GB2312"/>
          <w:sz w:val="28"/>
          <w:szCs w:val="28"/>
        </w:rPr>
        <w:t>。</w:t>
      </w:r>
    </w:p>
    <w:p w14:paraId="5E68D40D">
      <w:pPr>
        <w:spacing w:line="500" w:lineRule="exact"/>
        <w:ind w:firstLine="560" w:firstLineChars="200"/>
        <w:jc w:val="left"/>
        <w:rPr>
          <w:rFonts w:eastAsia="仿宋_GB2312"/>
          <w:sz w:val="28"/>
          <w:szCs w:val="28"/>
        </w:rPr>
      </w:pPr>
      <w:r>
        <w:rPr>
          <w:rFonts w:eastAsia="仿宋_GB2312"/>
          <w:sz w:val="28"/>
          <w:szCs w:val="28"/>
        </w:rPr>
        <w:t>施工现场需要具备的其他试验条件：</w:t>
      </w:r>
      <w:r>
        <w:rPr>
          <w:rFonts w:hint="eastAsia" w:eastAsia="仿宋_GB2312"/>
          <w:sz w:val="28"/>
          <w:szCs w:val="28"/>
          <w:u w:val="single"/>
        </w:rPr>
        <w:t>/</w:t>
      </w:r>
      <w:r>
        <w:rPr>
          <w:rFonts w:eastAsia="仿宋_GB2312"/>
          <w:sz w:val="28"/>
          <w:szCs w:val="28"/>
        </w:rPr>
        <w:t>。</w:t>
      </w:r>
    </w:p>
    <w:p w14:paraId="769BEC82">
      <w:pPr>
        <w:spacing w:after="120" w:line="500" w:lineRule="exact"/>
        <w:ind w:firstLine="560" w:firstLineChars="200"/>
        <w:outlineLvl w:val="0"/>
        <w:rPr>
          <w:rFonts w:eastAsia="黑体"/>
          <w:color w:val="000000"/>
          <w:sz w:val="28"/>
          <w:szCs w:val="28"/>
        </w:rPr>
      </w:pPr>
      <w:r>
        <w:rPr>
          <w:rFonts w:eastAsia="黑体"/>
          <w:color w:val="000000"/>
          <w:sz w:val="28"/>
          <w:szCs w:val="28"/>
        </w:rPr>
        <w:t>9.4 现场工艺试验</w:t>
      </w:r>
      <w:r>
        <w:rPr>
          <w:rFonts w:hint="eastAsia" w:eastAsia="黑体"/>
          <w:color w:val="000000"/>
          <w:sz w:val="28"/>
          <w:szCs w:val="28"/>
        </w:rPr>
        <w:t xml:space="preserve"> </w:t>
      </w:r>
    </w:p>
    <w:p w14:paraId="56CD25BF">
      <w:pPr>
        <w:spacing w:line="500" w:lineRule="exact"/>
        <w:ind w:firstLine="560" w:firstLineChars="200"/>
        <w:jc w:val="left"/>
        <w:rPr>
          <w:rFonts w:eastAsia="仿宋_GB2312"/>
          <w:sz w:val="28"/>
          <w:szCs w:val="28"/>
        </w:rPr>
      </w:pPr>
      <w:r>
        <w:rPr>
          <w:rFonts w:eastAsia="仿宋_GB2312"/>
          <w:sz w:val="28"/>
          <w:szCs w:val="28"/>
        </w:rPr>
        <w:t>现场工艺试验的有关约定：</w:t>
      </w:r>
      <w:r>
        <w:rPr>
          <w:rFonts w:hint="eastAsia" w:eastAsia="仿宋_GB2312"/>
          <w:sz w:val="28"/>
          <w:szCs w:val="28"/>
          <w:u w:val="single"/>
        </w:rPr>
        <w:t>/</w:t>
      </w:r>
      <w:r>
        <w:rPr>
          <w:rFonts w:eastAsia="仿宋_GB2312"/>
          <w:sz w:val="28"/>
          <w:szCs w:val="28"/>
        </w:rPr>
        <w:t>。</w:t>
      </w:r>
    </w:p>
    <w:bookmarkEnd w:id="1373"/>
    <w:bookmarkEnd w:id="1374"/>
    <w:bookmarkEnd w:id="1375"/>
    <w:bookmarkEnd w:id="1376"/>
    <w:bookmarkEnd w:id="1377"/>
    <w:bookmarkEnd w:id="1378"/>
    <w:bookmarkEnd w:id="1379"/>
    <w:bookmarkEnd w:id="1380"/>
    <w:p w14:paraId="172DE73B">
      <w:pPr>
        <w:pStyle w:val="6"/>
        <w:spacing w:before="120" w:after="120" w:line="500" w:lineRule="exact"/>
        <w:rPr>
          <w:rFonts w:ascii="Times New Roman" w:hAnsi="Times New Roman"/>
          <w:b w:val="0"/>
          <w:color w:val="000000"/>
        </w:rPr>
      </w:pPr>
      <w:bookmarkStart w:id="1381" w:name="_Toc351203642"/>
      <w:r>
        <w:rPr>
          <w:rFonts w:ascii="Times New Roman" w:hAnsi="Times New Roman"/>
          <w:b w:val="0"/>
          <w:color w:val="000000"/>
        </w:rPr>
        <w:t>1</w:t>
      </w:r>
      <w:bookmarkEnd w:id="1347"/>
      <w:bookmarkEnd w:id="1348"/>
      <w:bookmarkEnd w:id="1349"/>
      <w:bookmarkEnd w:id="1350"/>
      <w:bookmarkEnd w:id="1351"/>
      <w:bookmarkEnd w:id="1352"/>
      <w:bookmarkEnd w:id="1353"/>
      <w:bookmarkEnd w:id="1354"/>
      <w:bookmarkEnd w:id="1355"/>
      <w:bookmarkEnd w:id="1356"/>
      <w:bookmarkEnd w:id="1357"/>
      <w:bookmarkEnd w:id="1358"/>
      <w:bookmarkStart w:id="1382" w:name="_Toc296944532"/>
      <w:bookmarkStart w:id="1383" w:name="_Toc296346694"/>
      <w:bookmarkStart w:id="1384" w:name="_Toc297120493"/>
      <w:bookmarkStart w:id="1385" w:name="_Toc296891021"/>
      <w:bookmarkStart w:id="1386" w:name="_Toc296347192"/>
      <w:bookmarkStart w:id="1387" w:name="_Toc292559903"/>
      <w:bookmarkStart w:id="1388" w:name="_Toc297123540"/>
      <w:bookmarkStart w:id="1389" w:name="_Toc296503193"/>
      <w:bookmarkStart w:id="1390" w:name="_Toc300934989"/>
      <w:bookmarkStart w:id="1391" w:name="_Toc304295566"/>
      <w:bookmarkStart w:id="1392" w:name="_Toc297048379"/>
      <w:bookmarkStart w:id="1393" w:name="_Toc296891233"/>
      <w:bookmarkStart w:id="1394" w:name="_Toc292559398"/>
      <w:bookmarkStart w:id="1395" w:name="_Toc303539146"/>
      <w:bookmarkStart w:id="1396" w:name="_Toc297216199"/>
      <w:bookmarkStart w:id="1397" w:name="_Toc312677499"/>
      <w:bookmarkStart w:id="1398" w:name="_Toc312678025"/>
      <w:bookmarkStart w:id="1399" w:name="_Toc267251441"/>
      <w:bookmarkStart w:id="1400" w:name="_Toc267251440"/>
      <w:bookmarkStart w:id="1401" w:name="_Toc267251435"/>
      <w:bookmarkStart w:id="1402" w:name="_Toc267251433"/>
      <w:bookmarkStart w:id="1403" w:name="_Toc267251439"/>
      <w:bookmarkStart w:id="1404" w:name="_Toc267251437"/>
      <w:bookmarkStart w:id="1405" w:name="_Toc267251442"/>
      <w:r>
        <w:rPr>
          <w:rFonts w:ascii="Times New Roman" w:hAnsi="Times New Roman"/>
          <w:b w:val="0"/>
          <w:color w:val="000000"/>
        </w:rPr>
        <w:t>0. 变更</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p>
    <w:bookmarkEnd w:id="1397"/>
    <w:bookmarkEnd w:id="1398"/>
    <w:p w14:paraId="570C89EA">
      <w:pPr>
        <w:spacing w:after="120" w:line="500" w:lineRule="exact"/>
        <w:ind w:firstLine="560" w:firstLineChars="200"/>
        <w:rPr>
          <w:rFonts w:eastAsia="黑体"/>
          <w:color w:val="000000"/>
          <w:sz w:val="28"/>
          <w:szCs w:val="28"/>
        </w:rPr>
      </w:pPr>
      <w:r>
        <w:rPr>
          <w:rFonts w:eastAsia="黑体"/>
          <w:color w:val="000000"/>
          <w:sz w:val="28"/>
          <w:szCs w:val="28"/>
        </w:rPr>
        <w:t>1</w:t>
      </w:r>
      <w:bookmarkStart w:id="1406" w:name="_Toc304295567"/>
      <w:bookmarkStart w:id="1407" w:name="_Toc296503194"/>
      <w:bookmarkStart w:id="1408" w:name="_Toc312678026"/>
      <w:bookmarkStart w:id="1409" w:name="_Toc300934990"/>
      <w:bookmarkStart w:id="1410" w:name="_Toc292559904"/>
      <w:bookmarkStart w:id="1411" w:name="_Toc296891022"/>
      <w:bookmarkStart w:id="1412" w:name="_Toc296944533"/>
      <w:bookmarkStart w:id="1413" w:name="_Toc296346695"/>
      <w:bookmarkStart w:id="1414" w:name="_Toc297123541"/>
      <w:bookmarkStart w:id="1415" w:name="_Toc297120494"/>
      <w:bookmarkStart w:id="1416" w:name="_Toc303539147"/>
      <w:bookmarkStart w:id="1417" w:name="_Toc292559399"/>
      <w:bookmarkStart w:id="1418" w:name="_Toc297216200"/>
      <w:bookmarkStart w:id="1419" w:name="_Toc312677500"/>
      <w:bookmarkStart w:id="1420" w:name="_Toc296891234"/>
      <w:bookmarkStart w:id="1421" w:name="_Toc296347193"/>
      <w:bookmarkStart w:id="1422" w:name="_Toc297048380"/>
      <w:r>
        <w:rPr>
          <w:rFonts w:eastAsia="黑体"/>
          <w:color w:val="000000"/>
          <w:sz w:val="28"/>
          <w:szCs w:val="28"/>
        </w:rPr>
        <w:t>0.1变更的范围</w:t>
      </w:r>
    </w:p>
    <w:p w14:paraId="1713BACA">
      <w:pPr>
        <w:autoSpaceDE w:val="0"/>
        <w:autoSpaceDN w:val="0"/>
        <w:adjustRightInd w:val="0"/>
        <w:spacing w:line="500" w:lineRule="exact"/>
        <w:ind w:firstLine="560" w:firstLineChars="200"/>
        <w:jc w:val="left"/>
        <w:rPr>
          <w:rFonts w:eastAsia="仿宋_GB2312"/>
          <w:sz w:val="28"/>
          <w:szCs w:val="28"/>
          <w:u w:val="single"/>
        </w:rPr>
      </w:pPr>
      <w:r>
        <w:rPr>
          <w:rFonts w:eastAsia="仿宋_GB2312"/>
          <w:color w:val="000000"/>
          <w:sz w:val="28"/>
          <w:szCs w:val="28"/>
        </w:rPr>
        <w:t>关于变更的范围的约定：</w:t>
      </w:r>
    </w:p>
    <w:p w14:paraId="6AF1969F">
      <w:pPr>
        <w:autoSpaceDE w:val="0"/>
        <w:autoSpaceDN w:val="0"/>
        <w:adjustRightInd w:val="0"/>
        <w:spacing w:line="500" w:lineRule="exact"/>
        <w:ind w:firstLine="560" w:firstLineChars="200"/>
        <w:jc w:val="left"/>
        <w:rPr>
          <w:rFonts w:eastAsia="仿宋_GB2312"/>
          <w:sz w:val="28"/>
          <w:szCs w:val="28"/>
          <w:u w:val="single"/>
        </w:rPr>
      </w:pPr>
      <w:r>
        <w:rPr>
          <w:rFonts w:hint="eastAsia" w:eastAsia="仿宋_GB2312"/>
          <w:sz w:val="28"/>
          <w:szCs w:val="28"/>
          <w:u w:val="single"/>
        </w:rPr>
        <w:t>其他变更：合同履行中发包人要求变更工程质量标准及发生其他实质性变更，由双方协商解决。</w:t>
      </w:r>
    </w:p>
    <w:p w14:paraId="512C374A">
      <w:pPr>
        <w:spacing w:after="120" w:line="500" w:lineRule="exact"/>
        <w:ind w:firstLine="560" w:firstLineChars="200"/>
        <w:outlineLvl w:val="0"/>
        <w:rPr>
          <w:rFonts w:eastAsia="黑体"/>
          <w:color w:val="000000"/>
          <w:sz w:val="28"/>
          <w:szCs w:val="28"/>
        </w:rPr>
      </w:pPr>
      <w:r>
        <w:rPr>
          <w:rFonts w:eastAsia="黑体"/>
          <w:color w:val="000000"/>
          <w:sz w:val="28"/>
          <w:szCs w:val="28"/>
        </w:rPr>
        <w:t>10.4 变更估价</w:t>
      </w:r>
    </w:p>
    <w:p w14:paraId="2851F085">
      <w:pPr>
        <w:spacing w:line="500" w:lineRule="exact"/>
        <w:ind w:firstLine="560" w:firstLineChars="200"/>
        <w:jc w:val="left"/>
        <w:rPr>
          <w:rFonts w:eastAsia="仿宋_GB2312"/>
          <w:sz w:val="28"/>
          <w:szCs w:val="28"/>
        </w:rPr>
      </w:pPr>
      <w:r>
        <w:rPr>
          <w:rFonts w:hint="eastAsia" w:eastAsia="仿宋_GB2312"/>
          <w:sz w:val="28"/>
          <w:szCs w:val="28"/>
        </w:rPr>
        <w:t>10.4.1 变更估价原则</w:t>
      </w:r>
    </w:p>
    <w:p w14:paraId="6A84E19A">
      <w:pPr>
        <w:spacing w:line="500" w:lineRule="exact"/>
        <w:ind w:firstLine="560" w:firstLineChars="200"/>
        <w:jc w:val="left"/>
        <w:rPr>
          <w:rFonts w:eastAsia="仿宋_GB2312"/>
          <w:color w:val="000000"/>
          <w:sz w:val="28"/>
          <w:szCs w:val="28"/>
          <w:u w:val="single"/>
        </w:rPr>
      </w:pPr>
      <w:r>
        <w:rPr>
          <w:rFonts w:eastAsia="仿宋_GB2312"/>
          <w:color w:val="000000"/>
          <w:sz w:val="28"/>
          <w:szCs w:val="28"/>
        </w:rPr>
        <w:t xml:space="preserve">关于变更估价的约定: </w:t>
      </w:r>
      <w:r>
        <w:rPr>
          <w:rFonts w:hint="eastAsia" w:eastAsia="仿宋_GB2312"/>
          <w:sz w:val="28"/>
          <w:szCs w:val="28"/>
          <w:u w:val="single"/>
        </w:rPr>
        <w:t>工程设计变更引起的合同价款调整按本合同有关规定执行。</w:t>
      </w:r>
      <w:r>
        <w:rPr>
          <w:rFonts w:eastAsia="仿宋_GB2312"/>
          <w:color w:val="000000"/>
          <w:sz w:val="28"/>
          <w:szCs w:val="28"/>
        </w:rPr>
        <w:t>。</w:t>
      </w:r>
    </w:p>
    <w:p w14:paraId="06CFAF22">
      <w:pPr>
        <w:spacing w:after="120" w:line="500" w:lineRule="exact"/>
        <w:ind w:firstLine="560" w:firstLineChars="200"/>
        <w:rPr>
          <w:rFonts w:eastAsia="黑体"/>
          <w:color w:val="000000"/>
          <w:sz w:val="28"/>
          <w:szCs w:val="28"/>
        </w:rPr>
      </w:pPr>
      <w:r>
        <w:rPr>
          <w:rFonts w:eastAsia="黑体"/>
          <w:color w:val="000000"/>
          <w:sz w:val="28"/>
          <w:szCs w:val="28"/>
        </w:rPr>
        <w:t>1</w:t>
      </w:r>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Start w:id="1423" w:name="_Toc296346698"/>
      <w:bookmarkStart w:id="1424" w:name="_Toc297048383"/>
      <w:bookmarkStart w:id="1425" w:name="_Toc300934993"/>
      <w:bookmarkStart w:id="1426" w:name="_Toc292559907"/>
      <w:bookmarkStart w:id="1427" w:name="_Toc292559402"/>
      <w:bookmarkStart w:id="1428" w:name="_Toc303539150"/>
      <w:bookmarkStart w:id="1429" w:name="_Toc297120497"/>
      <w:bookmarkStart w:id="1430" w:name="_Toc297216203"/>
      <w:bookmarkStart w:id="1431" w:name="_Toc296503197"/>
      <w:bookmarkStart w:id="1432" w:name="_Toc297123544"/>
      <w:bookmarkStart w:id="1433" w:name="_Toc296891237"/>
      <w:bookmarkStart w:id="1434" w:name="_Toc296944536"/>
      <w:bookmarkStart w:id="1435" w:name="_Toc296347196"/>
      <w:bookmarkStart w:id="1436" w:name="_Toc296891025"/>
      <w:bookmarkStart w:id="1437" w:name="_Toc304295570"/>
      <w:bookmarkStart w:id="1438" w:name="_Toc312677503"/>
      <w:bookmarkStart w:id="1439" w:name="_Toc312678029"/>
      <w:r>
        <w:rPr>
          <w:rFonts w:eastAsia="黑体"/>
          <w:color w:val="000000"/>
          <w:sz w:val="28"/>
          <w:szCs w:val="28"/>
        </w:rPr>
        <w:t>0.5承</w:t>
      </w:r>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Start w:id="1440" w:name="_Toc296503203"/>
      <w:bookmarkStart w:id="1441" w:name="_Toc297216204"/>
      <w:bookmarkStart w:id="1442" w:name="_Toc297048389"/>
      <w:bookmarkStart w:id="1443" w:name="_Toc296891031"/>
      <w:bookmarkStart w:id="1444" w:name="_Toc297123545"/>
      <w:bookmarkStart w:id="1445" w:name="_Toc296944542"/>
      <w:bookmarkStart w:id="1446" w:name="_Toc292559408"/>
      <w:bookmarkStart w:id="1447" w:name="_Toc296347202"/>
      <w:bookmarkStart w:id="1448" w:name="_Toc297120503"/>
      <w:bookmarkStart w:id="1449" w:name="_Toc296346704"/>
      <w:bookmarkStart w:id="1450" w:name="_Toc303539151"/>
      <w:bookmarkStart w:id="1451" w:name="_Toc300934994"/>
      <w:bookmarkStart w:id="1452" w:name="_Toc296891243"/>
      <w:bookmarkStart w:id="1453" w:name="_Toc292559913"/>
      <w:r>
        <w:rPr>
          <w:rFonts w:eastAsia="黑体"/>
          <w:color w:val="000000"/>
          <w:sz w:val="28"/>
          <w:szCs w:val="28"/>
        </w:rPr>
        <w:t>包人的合理化建议</w:t>
      </w:r>
    </w:p>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p w14:paraId="687E6B30">
      <w:pPr>
        <w:spacing w:line="500" w:lineRule="exact"/>
        <w:ind w:firstLine="560" w:firstLineChars="200"/>
        <w:jc w:val="left"/>
        <w:rPr>
          <w:rFonts w:eastAsia="仿宋_GB2312"/>
          <w:sz w:val="28"/>
          <w:szCs w:val="28"/>
        </w:rPr>
      </w:pPr>
      <w:r>
        <w:rPr>
          <w:rFonts w:eastAsia="仿宋_GB2312"/>
          <w:sz w:val="28"/>
          <w:szCs w:val="28"/>
        </w:rPr>
        <w:t>监理人审查承包人合理化建议的期限：</w:t>
      </w:r>
      <w:r>
        <w:rPr>
          <w:rFonts w:hint="eastAsia" w:eastAsia="仿宋_GB2312"/>
          <w:sz w:val="28"/>
          <w:szCs w:val="28"/>
          <w:u w:val="single"/>
        </w:rPr>
        <w:t>/</w:t>
      </w:r>
      <w:r>
        <w:rPr>
          <w:rFonts w:eastAsia="仿宋_GB2312"/>
          <w:sz w:val="28"/>
          <w:szCs w:val="28"/>
        </w:rPr>
        <w:t>。</w:t>
      </w:r>
    </w:p>
    <w:p w14:paraId="54E30759">
      <w:pPr>
        <w:spacing w:line="500" w:lineRule="exact"/>
        <w:ind w:firstLine="560" w:firstLineChars="200"/>
        <w:jc w:val="left"/>
        <w:rPr>
          <w:rFonts w:eastAsia="仿宋_GB2312"/>
          <w:sz w:val="28"/>
          <w:szCs w:val="28"/>
        </w:rPr>
      </w:pPr>
      <w:r>
        <w:rPr>
          <w:rFonts w:eastAsia="仿宋_GB2312"/>
          <w:sz w:val="28"/>
          <w:szCs w:val="28"/>
        </w:rPr>
        <w:t>发包人审批承包人合理化建议的期限：</w:t>
      </w:r>
      <w:r>
        <w:rPr>
          <w:rFonts w:hint="eastAsia" w:eastAsia="仿宋_GB2312"/>
          <w:sz w:val="28"/>
          <w:szCs w:val="28"/>
          <w:u w:val="single"/>
        </w:rPr>
        <w:t>/</w:t>
      </w:r>
      <w:r>
        <w:rPr>
          <w:rFonts w:eastAsia="仿宋_GB2312"/>
          <w:sz w:val="28"/>
          <w:szCs w:val="28"/>
        </w:rPr>
        <w:t>。</w:t>
      </w:r>
    </w:p>
    <w:p w14:paraId="249DC54A">
      <w:pPr>
        <w:spacing w:line="500" w:lineRule="exact"/>
        <w:ind w:firstLine="560" w:firstLineChars="200"/>
        <w:jc w:val="left"/>
        <w:rPr>
          <w:rFonts w:eastAsia="仿宋_GB2312"/>
          <w:sz w:val="28"/>
          <w:szCs w:val="28"/>
          <w:u w:val="single"/>
        </w:rPr>
      </w:pPr>
      <w:r>
        <w:rPr>
          <w:rFonts w:eastAsia="仿宋_GB2312"/>
          <w:sz w:val="28"/>
          <w:szCs w:val="28"/>
        </w:rPr>
        <w:t>承</w:t>
      </w:r>
      <w:bookmarkStart w:id="1454" w:name="_Toc292559914"/>
      <w:bookmarkStart w:id="1455" w:name="_Toc304295571"/>
      <w:bookmarkStart w:id="1456" w:name="_Toc300934995"/>
      <w:bookmarkStart w:id="1457" w:name="_Toc297120504"/>
      <w:bookmarkStart w:id="1458" w:name="_Toc297123546"/>
      <w:bookmarkStart w:id="1459" w:name="_Toc297048390"/>
      <w:bookmarkStart w:id="1460" w:name="_Toc296891244"/>
      <w:bookmarkStart w:id="1461" w:name="_Toc296347203"/>
      <w:bookmarkStart w:id="1462" w:name="_Toc312678030"/>
      <w:bookmarkStart w:id="1463" w:name="_Toc296944543"/>
      <w:bookmarkStart w:id="1464" w:name="_Toc318581175"/>
      <w:bookmarkStart w:id="1465" w:name="_Toc292559409"/>
      <w:bookmarkStart w:id="1466" w:name="_Toc297216205"/>
      <w:bookmarkStart w:id="1467" w:name="_Toc296346705"/>
      <w:bookmarkStart w:id="1468" w:name="_Toc312677504"/>
      <w:bookmarkStart w:id="1469" w:name="_Toc296503204"/>
      <w:bookmarkStart w:id="1470" w:name="_Toc303539152"/>
      <w:bookmarkStart w:id="1471" w:name="_Toc296891032"/>
      <w:r>
        <w:rPr>
          <w:rFonts w:eastAsia="仿宋_GB2312"/>
          <w:sz w:val="28"/>
          <w:szCs w:val="28"/>
        </w:rPr>
        <w:t>包人提出的合理化建议降低了合同价格或者提高了工程经济效益的奖励的方法和金额为：</w:t>
      </w:r>
      <w:r>
        <w:rPr>
          <w:rFonts w:hint="eastAsia" w:eastAsia="仿宋_GB2312"/>
          <w:sz w:val="28"/>
          <w:szCs w:val="28"/>
          <w:u w:val="single"/>
        </w:rPr>
        <w:t>/</w:t>
      </w:r>
      <w:r>
        <w:rPr>
          <w:rFonts w:eastAsia="仿宋_GB2312"/>
          <w:sz w:val="28"/>
          <w:szCs w:val="28"/>
        </w:rPr>
        <w:t>。</w:t>
      </w:r>
    </w:p>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p w14:paraId="53A66732">
      <w:pPr>
        <w:spacing w:after="120" w:line="500" w:lineRule="exact"/>
        <w:ind w:firstLine="560" w:firstLineChars="200"/>
        <w:outlineLvl w:val="0"/>
        <w:rPr>
          <w:rFonts w:eastAsia="黑体"/>
          <w:color w:val="000000"/>
          <w:sz w:val="28"/>
          <w:szCs w:val="28"/>
        </w:rPr>
      </w:pPr>
      <w:r>
        <w:rPr>
          <w:rFonts w:eastAsia="黑体"/>
          <w:color w:val="000000"/>
          <w:sz w:val="28"/>
          <w:szCs w:val="28"/>
        </w:rPr>
        <w:t>1</w:t>
      </w:r>
      <w:bookmarkStart w:id="1472" w:name="_Toc303539154"/>
      <w:bookmarkStart w:id="1473" w:name="_Toc297048385"/>
      <w:bookmarkStart w:id="1474" w:name="_Toc292559909"/>
      <w:bookmarkStart w:id="1475" w:name="_Toc312678033"/>
      <w:bookmarkStart w:id="1476" w:name="_Toc304295574"/>
      <w:bookmarkStart w:id="1477" w:name="_Toc300934997"/>
      <w:bookmarkStart w:id="1478" w:name="_Toc296891239"/>
      <w:bookmarkStart w:id="1479" w:name="_Toc296503199"/>
      <w:bookmarkStart w:id="1480" w:name="_Toc297216207"/>
      <w:bookmarkStart w:id="1481" w:name="_Toc312677507"/>
      <w:bookmarkStart w:id="1482" w:name="_Toc296944538"/>
      <w:bookmarkStart w:id="1483" w:name="_Toc296346700"/>
      <w:bookmarkStart w:id="1484" w:name="_Toc297123548"/>
      <w:bookmarkStart w:id="1485" w:name="_Toc296891027"/>
      <w:bookmarkStart w:id="1486" w:name="_Toc296347198"/>
      <w:bookmarkStart w:id="1487" w:name="_Toc297120499"/>
      <w:bookmarkStart w:id="1488" w:name="_Toc292559404"/>
      <w:r>
        <w:rPr>
          <w:rFonts w:eastAsia="黑体"/>
          <w:color w:val="000000"/>
          <w:sz w:val="28"/>
          <w:szCs w:val="28"/>
        </w:rPr>
        <w:t>0.7 暂估价</w:t>
      </w:r>
    </w:p>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p w14:paraId="31D1D5A9">
      <w:pPr>
        <w:spacing w:line="500" w:lineRule="exact"/>
        <w:ind w:firstLine="560" w:firstLineChars="200"/>
        <w:jc w:val="left"/>
        <w:rPr>
          <w:rFonts w:eastAsia="仿宋_GB2312"/>
          <w:sz w:val="28"/>
          <w:szCs w:val="28"/>
        </w:rPr>
      </w:pPr>
      <w:r>
        <w:rPr>
          <w:rFonts w:eastAsia="仿宋_GB2312"/>
          <w:kern w:val="0"/>
          <w:sz w:val="28"/>
          <w:szCs w:val="28"/>
        </w:rPr>
        <w:t>暂</w:t>
      </w:r>
      <w:bookmarkStart w:id="1489" w:name="_Toc312677508"/>
      <w:bookmarkStart w:id="1490" w:name="_Toc312678034"/>
      <w:bookmarkStart w:id="1491" w:name="_Toc318581176"/>
      <w:r>
        <w:rPr>
          <w:rFonts w:eastAsia="仿宋_GB2312"/>
          <w:kern w:val="0"/>
          <w:sz w:val="28"/>
          <w:szCs w:val="28"/>
        </w:rPr>
        <w:t>估价材料和工程设备的明细详见附件</w:t>
      </w:r>
      <w:r>
        <w:rPr>
          <w:rFonts w:hint="eastAsia" w:eastAsia="仿宋_GB2312"/>
          <w:kern w:val="0"/>
          <w:sz w:val="28"/>
          <w:szCs w:val="28"/>
        </w:rPr>
        <w:t>11：《</w:t>
      </w:r>
      <w:r>
        <w:rPr>
          <w:rFonts w:eastAsia="仿宋_GB2312"/>
          <w:color w:val="000000"/>
          <w:sz w:val="28"/>
          <w:szCs w:val="28"/>
        </w:rPr>
        <w:t>暂估价一览表</w:t>
      </w:r>
      <w:r>
        <w:rPr>
          <w:rFonts w:hint="eastAsia" w:eastAsia="仿宋_GB2312"/>
          <w:color w:val="000000"/>
          <w:sz w:val="28"/>
          <w:szCs w:val="28"/>
        </w:rPr>
        <w:t>》</w:t>
      </w:r>
      <w:r>
        <w:rPr>
          <w:rFonts w:hint="eastAsia" w:eastAsia="仿宋_GB2312"/>
          <w:kern w:val="0"/>
          <w:sz w:val="28"/>
          <w:szCs w:val="28"/>
        </w:rPr>
        <w:t>。</w:t>
      </w:r>
    </w:p>
    <w:bookmarkEnd w:id="1489"/>
    <w:bookmarkEnd w:id="1490"/>
    <w:bookmarkEnd w:id="1491"/>
    <w:p w14:paraId="59FE8ED5">
      <w:pPr>
        <w:spacing w:line="500" w:lineRule="exact"/>
        <w:ind w:firstLine="560" w:firstLineChars="200"/>
        <w:jc w:val="left"/>
        <w:rPr>
          <w:rFonts w:eastAsia="仿宋_GB2312"/>
          <w:sz w:val="28"/>
          <w:szCs w:val="28"/>
        </w:rPr>
      </w:pPr>
      <w:r>
        <w:rPr>
          <w:rFonts w:eastAsia="仿宋_GB2312"/>
          <w:sz w:val="28"/>
          <w:szCs w:val="28"/>
        </w:rPr>
        <w:t>1</w:t>
      </w:r>
      <w:bookmarkStart w:id="1492" w:name="_Toc318581177"/>
      <w:bookmarkStart w:id="1493" w:name="_Toc312677509"/>
      <w:bookmarkStart w:id="1494" w:name="_Toc312678035"/>
      <w:r>
        <w:rPr>
          <w:rFonts w:eastAsia="仿宋_GB2312"/>
          <w:sz w:val="28"/>
          <w:szCs w:val="28"/>
        </w:rPr>
        <w:t>0.7.1 依法必须招标的暂估价项目</w:t>
      </w:r>
    </w:p>
    <w:bookmarkEnd w:id="1492"/>
    <w:bookmarkEnd w:id="1493"/>
    <w:bookmarkEnd w:id="1494"/>
    <w:p w14:paraId="15BA6470">
      <w:pPr>
        <w:spacing w:line="500" w:lineRule="exact"/>
        <w:ind w:firstLine="560" w:firstLineChars="200"/>
        <w:jc w:val="left"/>
        <w:rPr>
          <w:rFonts w:eastAsia="仿宋_GB2312"/>
          <w:sz w:val="28"/>
          <w:szCs w:val="28"/>
        </w:rPr>
      </w:pPr>
      <w:r>
        <w:rPr>
          <w:rFonts w:eastAsia="仿宋_GB2312"/>
          <w:sz w:val="28"/>
          <w:szCs w:val="28"/>
        </w:rPr>
        <w:t>对于依法必须招标的暂估价项目的确认和批准采取第</w:t>
      </w:r>
      <w:r>
        <w:rPr>
          <w:rFonts w:hint="eastAsia" w:eastAsia="仿宋_GB2312"/>
          <w:sz w:val="28"/>
          <w:szCs w:val="28"/>
          <w:u w:val="single"/>
        </w:rPr>
        <w:t>/</w:t>
      </w:r>
      <w:r>
        <w:rPr>
          <w:rFonts w:eastAsia="仿宋_GB2312"/>
          <w:sz w:val="28"/>
          <w:szCs w:val="28"/>
        </w:rPr>
        <w:t>种方式确定。</w:t>
      </w:r>
    </w:p>
    <w:p w14:paraId="2AABD51C">
      <w:pPr>
        <w:spacing w:line="500" w:lineRule="exact"/>
        <w:ind w:firstLine="560" w:firstLineChars="200"/>
        <w:jc w:val="left"/>
        <w:rPr>
          <w:rFonts w:eastAsia="仿宋_GB2312"/>
          <w:sz w:val="28"/>
          <w:szCs w:val="28"/>
        </w:rPr>
      </w:pPr>
      <w:r>
        <w:rPr>
          <w:rFonts w:eastAsia="仿宋_GB2312"/>
          <w:sz w:val="28"/>
          <w:szCs w:val="28"/>
        </w:rPr>
        <w:t>10.7.2 不属于依法必须招标的暂估价项目</w:t>
      </w:r>
    </w:p>
    <w:p w14:paraId="1D1B6466">
      <w:pPr>
        <w:spacing w:line="500" w:lineRule="exact"/>
        <w:ind w:firstLine="560" w:firstLineChars="200"/>
        <w:jc w:val="left"/>
        <w:rPr>
          <w:rFonts w:eastAsia="仿宋_GB2312"/>
          <w:sz w:val="28"/>
          <w:szCs w:val="28"/>
        </w:rPr>
      </w:pPr>
      <w:r>
        <w:rPr>
          <w:rFonts w:eastAsia="仿宋_GB2312"/>
          <w:sz w:val="28"/>
          <w:szCs w:val="28"/>
        </w:rPr>
        <w:t>对于不属于依法必须招标的暂估价项目的确认和批准采取第</w:t>
      </w:r>
      <w:r>
        <w:rPr>
          <w:rFonts w:hint="eastAsia" w:eastAsia="仿宋_GB2312"/>
          <w:sz w:val="28"/>
          <w:szCs w:val="28"/>
          <w:u w:val="single"/>
        </w:rPr>
        <w:t>/</w:t>
      </w:r>
      <w:r>
        <w:rPr>
          <w:rFonts w:eastAsia="仿宋_GB2312"/>
          <w:sz w:val="28"/>
          <w:szCs w:val="28"/>
        </w:rPr>
        <w:t xml:space="preserve"> 种方式确定。</w:t>
      </w:r>
    </w:p>
    <w:p w14:paraId="3EE74CA2">
      <w:pPr>
        <w:spacing w:line="500" w:lineRule="exact"/>
        <w:ind w:firstLine="560" w:firstLineChars="200"/>
        <w:jc w:val="left"/>
        <w:rPr>
          <w:rFonts w:eastAsia="仿宋_GB2312"/>
          <w:color w:val="000000"/>
          <w:kern w:val="0"/>
          <w:sz w:val="28"/>
          <w:szCs w:val="28"/>
        </w:rPr>
      </w:pPr>
      <w:r>
        <w:rPr>
          <w:rFonts w:eastAsia="仿宋_GB2312"/>
          <w:color w:val="000000"/>
          <w:sz w:val="28"/>
          <w:szCs w:val="28"/>
        </w:rPr>
        <w:t>第3种方式：</w:t>
      </w:r>
      <w:r>
        <w:rPr>
          <w:rFonts w:eastAsia="仿宋_GB2312"/>
          <w:color w:val="000000"/>
          <w:kern w:val="0"/>
          <w:sz w:val="28"/>
          <w:szCs w:val="28"/>
        </w:rPr>
        <w:t>承包人直接实施的暂估价项目</w:t>
      </w:r>
    </w:p>
    <w:p w14:paraId="4A73C9CD">
      <w:pPr>
        <w:spacing w:line="500" w:lineRule="exact"/>
        <w:jc w:val="left"/>
        <w:rPr>
          <w:rFonts w:eastAsia="仿宋_GB2312"/>
          <w:sz w:val="28"/>
          <w:szCs w:val="28"/>
        </w:rPr>
      </w:pPr>
      <w:r>
        <w:rPr>
          <w:rFonts w:eastAsia="仿宋_GB2312"/>
          <w:sz w:val="28"/>
          <w:szCs w:val="28"/>
        </w:rPr>
        <w:t>承包人直接实施的暂估价项目的约定：</w:t>
      </w:r>
      <w:r>
        <w:rPr>
          <w:rFonts w:hint="eastAsia" w:eastAsia="仿宋_GB2312"/>
          <w:sz w:val="28"/>
          <w:szCs w:val="28"/>
          <w:u w:val="single"/>
        </w:rPr>
        <w:t>/</w:t>
      </w:r>
      <w:r>
        <w:rPr>
          <w:rFonts w:eastAsia="仿宋_GB2312"/>
          <w:sz w:val="28"/>
          <w:szCs w:val="28"/>
        </w:rPr>
        <w:t>。</w:t>
      </w:r>
    </w:p>
    <w:p w14:paraId="5711AD57">
      <w:pPr>
        <w:spacing w:after="120" w:line="500" w:lineRule="exact"/>
        <w:ind w:firstLine="560" w:firstLineChars="200"/>
        <w:rPr>
          <w:rFonts w:eastAsia="黑体"/>
          <w:color w:val="000000"/>
          <w:sz w:val="28"/>
          <w:szCs w:val="28"/>
        </w:rPr>
      </w:pPr>
      <w:r>
        <w:rPr>
          <w:rFonts w:eastAsia="黑体"/>
          <w:color w:val="000000"/>
          <w:sz w:val="28"/>
          <w:szCs w:val="28"/>
        </w:rPr>
        <w:t>10.8 暂列金额</w:t>
      </w:r>
    </w:p>
    <w:p w14:paraId="5C33C3B6">
      <w:pPr>
        <w:autoSpaceDE w:val="0"/>
        <w:autoSpaceDN w:val="0"/>
        <w:adjustRightInd w:val="0"/>
        <w:spacing w:line="500" w:lineRule="exact"/>
        <w:ind w:firstLine="560" w:firstLineChars="200"/>
        <w:jc w:val="left"/>
        <w:rPr>
          <w:rFonts w:eastAsia="仿宋_GB2312"/>
          <w:color w:val="000000"/>
          <w:kern w:val="0"/>
          <w:sz w:val="28"/>
          <w:szCs w:val="28"/>
        </w:rPr>
      </w:pPr>
      <w:r>
        <w:rPr>
          <w:rFonts w:hint="eastAsia" w:eastAsia="仿宋_GB2312"/>
          <w:color w:val="000000"/>
          <w:kern w:val="0"/>
          <w:sz w:val="28"/>
          <w:szCs w:val="28"/>
        </w:rPr>
        <w:t>合同当事人关于暂列金额使用的约定：</w:t>
      </w:r>
      <w:r>
        <w:rPr>
          <w:rFonts w:hint="eastAsia" w:eastAsia="仿宋_GB2312"/>
          <w:sz w:val="28"/>
          <w:szCs w:val="28"/>
          <w:u w:val="single"/>
        </w:rPr>
        <w:t>/</w:t>
      </w:r>
      <w:r>
        <w:rPr>
          <w:rFonts w:hint="eastAsia" w:eastAsia="仿宋_GB2312"/>
          <w:color w:val="000000"/>
          <w:kern w:val="0"/>
          <w:sz w:val="28"/>
          <w:szCs w:val="28"/>
        </w:rPr>
        <w:t>。</w:t>
      </w:r>
    </w:p>
    <w:p w14:paraId="48E8068B">
      <w:pPr>
        <w:pStyle w:val="6"/>
        <w:spacing w:before="120" w:after="120" w:line="500" w:lineRule="exact"/>
        <w:rPr>
          <w:rFonts w:ascii="Times New Roman" w:hAnsi="Times New Roman"/>
          <w:b w:val="0"/>
          <w:color w:val="000000"/>
        </w:rPr>
      </w:pPr>
      <w:bookmarkStart w:id="1495" w:name="_Toc351203643"/>
      <w:r>
        <w:rPr>
          <w:rFonts w:ascii="Times New Roman" w:hAnsi="Times New Roman"/>
          <w:b w:val="0"/>
          <w:color w:val="000000"/>
        </w:rPr>
        <w:t>11. 价格调整</w:t>
      </w:r>
      <w:bookmarkEnd w:id="1495"/>
    </w:p>
    <w:p w14:paraId="084FCBC8">
      <w:pPr>
        <w:spacing w:after="120" w:line="500" w:lineRule="exact"/>
        <w:ind w:firstLine="560" w:firstLineChars="200"/>
        <w:rPr>
          <w:rFonts w:eastAsia="黑体"/>
          <w:color w:val="000000"/>
          <w:sz w:val="28"/>
          <w:szCs w:val="28"/>
        </w:rPr>
      </w:pPr>
      <w:bookmarkStart w:id="1496" w:name="_Toc297123550"/>
      <w:bookmarkStart w:id="1497" w:name="_Toc292559911"/>
      <w:bookmarkStart w:id="1498" w:name="_Toc312678039"/>
      <w:bookmarkStart w:id="1499" w:name="_Toc296891029"/>
      <w:bookmarkStart w:id="1500" w:name="_Toc296503201"/>
      <w:bookmarkStart w:id="1501" w:name="_Toc296347200"/>
      <w:bookmarkStart w:id="1502" w:name="_Toc304295577"/>
      <w:bookmarkStart w:id="1503" w:name="_Toc296346702"/>
      <w:bookmarkStart w:id="1504" w:name="_Toc292559406"/>
      <w:bookmarkStart w:id="1505" w:name="_Toc303539157"/>
      <w:bookmarkStart w:id="1506" w:name="_Toc297120501"/>
      <w:bookmarkStart w:id="1507" w:name="_Toc297048387"/>
      <w:bookmarkStart w:id="1508" w:name="_Toc300935000"/>
      <w:bookmarkStart w:id="1509" w:name="_Toc297216209"/>
      <w:bookmarkStart w:id="1510" w:name="_Toc296891241"/>
      <w:bookmarkStart w:id="1511" w:name="_Toc296944540"/>
      <w:r>
        <w:rPr>
          <w:rFonts w:eastAsia="黑体"/>
          <w:color w:val="000000"/>
          <w:sz w:val="28"/>
          <w:szCs w:val="28"/>
        </w:rPr>
        <w:t>11.1 市场价格波动引起的调整</w:t>
      </w:r>
    </w:p>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p w14:paraId="78495D7E">
      <w:pPr>
        <w:spacing w:line="500" w:lineRule="exact"/>
        <w:ind w:firstLine="560" w:firstLineChars="200"/>
        <w:jc w:val="left"/>
        <w:rPr>
          <w:rFonts w:eastAsia="仿宋_GB2312"/>
          <w:color w:val="000000"/>
          <w:sz w:val="28"/>
          <w:szCs w:val="28"/>
        </w:rPr>
      </w:pPr>
      <w:r>
        <w:rPr>
          <w:rFonts w:eastAsia="仿宋_GB2312"/>
          <w:color w:val="000000"/>
          <w:kern w:val="0"/>
          <w:sz w:val="28"/>
          <w:szCs w:val="28"/>
        </w:rPr>
        <w:t>市场价格波动是否调整合同价格的约定：</w:t>
      </w:r>
      <w:r>
        <w:rPr>
          <w:rFonts w:hint="eastAsia" w:eastAsia="仿宋_GB2312"/>
          <w:sz w:val="28"/>
          <w:szCs w:val="28"/>
          <w:u w:val="single"/>
        </w:rPr>
        <w:t>/</w:t>
      </w:r>
      <w:r>
        <w:rPr>
          <w:rFonts w:eastAsia="仿宋_GB2312"/>
          <w:sz w:val="28"/>
          <w:szCs w:val="28"/>
        </w:rPr>
        <w:t>。</w:t>
      </w:r>
    </w:p>
    <w:p w14:paraId="3194A090">
      <w:pPr>
        <w:spacing w:line="500" w:lineRule="exact"/>
        <w:ind w:firstLine="560" w:firstLineChars="200"/>
        <w:jc w:val="left"/>
        <w:rPr>
          <w:rFonts w:eastAsia="仿宋_GB2312"/>
          <w:color w:val="000000"/>
          <w:sz w:val="28"/>
          <w:szCs w:val="28"/>
        </w:rPr>
      </w:pPr>
      <w:r>
        <w:rPr>
          <w:rFonts w:eastAsia="仿宋_GB2312"/>
          <w:color w:val="000000"/>
          <w:sz w:val="28"/>
          <w:szCs w:val="28"/>
        </w:rPr>
        <w:t>因市场价格波动调整合同价格，采用以下</w:t>
      </w:r>
      <w:r>
        <w:rPr>
          <w:rFonts w:eastAsia="仿宋_GB2312"/>
          <w:sz w:val="28"/>
          <w:szCs w:val="28"/>
        </w:rPr>
        <w:t>第</w:t>
      </w:r>
      <w:r>
        <w:rPr>
          <w:rFonts w:hint="eastAsia" w:eastAsia="仿宋_GB2312"/>
          <w:sz w:val="28"/>
          <w:szCs w:val="28"/>
          <w:u w:val="single"/>
        </w:rPr>
        <w:t>/</w:t>
      </w:r>
      <w:r>
        <w:rPr>
          <w:rFonts w:eastAsia="仿宋_GB2312"/>
          <w:color w:val="000000"/>
          <w:sz w:val="28"/>
          <w:szCs w:val="28"/>
        </w:rPr>
        <w:t>种方式对合同价格进行调整：</w:t>
      </w:r>
    </w:p>
    <w:p w14:paraId="2DE07C78">
      <w:pPr>
        <w:spacing w:line="500" w:lineRule="exact"/>
        <w:ind w:firstLine="560" w:firstLineChars="200"/>
        <w:jc w:val="left"/>
        <w:rPr>
          <w:rFonts w:eastAsia="仿宋_GB2312"/>
          <w:color w:val="000000"/>
          <w:sz w:val="28"/>
          <w:szCs w:val="28"/>
        </w:rPr>
      </w:pPr>
      <w:r>
        <w:rPr>
          <w:rFonts w:eastAsia="仿宋_GB2312"/>
          <w:color w:val="000000"/>
          <w:sz w:val="28"/>
          <w:szCs w:val="28"/>
        </w:rPr>
        <w:t>第1种方式：采用价格指数</w:t>
      </w:r>
      <w:r>
        <w:rPr>
          <w:rFonts w:hint="eastAsia" w:eastAsia="仿宋_GB2312"/>
          <w:color w:val="000000"/>
          <w:sz w:val="28"/>
          <w:szCs w:val="28"/>
        </w:rPr>
        <w:t>进行价格</w:t>
      </w:r>
      <w:r>
        <w:rPr>
          <w:rFonts w:eastAsia="仿宋_GB2312"/>
          <w:color w:val="000000"/>
          <w:sz w:val="28"/>
          <w:szCs w:val="28"/>
        </w:rPr>
        <w:t>调整。</w:t>
      </w:r>
    </w:p>
    <w:p w14:paraId="1813DE5D">
      <w:pPr>
        <w:spacing w:line="500" w:lineRule="exact"/>
        <w:ind w:firstLine="560" w:firstLineChars="200"/>
        <w:jc w:val="left"/>
        <w:rPr>
          <w:rFonts w:eastAsia="仿宋_GB2312"/>
          <w:color w:val="000000"/>
          <w:sz w:val="28"/>
          <w:szCs w:val="28"/>
          <w:u w:val="single"/>
        </w:rPr>
      </w:pPr>
      <w:r>
        <w:rPr>
          <w:rFonts w:eastAsia="仿宋_GB2312"/>
          <w:color w:val="000000"/>
          <w:sz w:val="28"/>
          <w:szCs w:val="28"/>
        </w:rPr>
        <w:t>关于各可调因子、定值和变值权重，以及基本价格指数及其来源的约定：</w:t>
      </w:r>
      <w:r>
        <w:rPr>
          <w:rFonts w:hint="eastAsia" w:eastAsia="仿宋_GB2312"/>
          <w:color w:val="000000"/>
          <w:sz w:val="28"/>
          <w:szCs w:val="28"/>
          <w:u w:val="single"/>
        </w:rPr>
        <w:t>/</w:t>
      </w:r>
      <w:r>
        <w:rPr>
          <w:rFonts w:eastAsia="仿宋_GB2312"/>
          <w:color w:val="000000"/>
          <w:sz w:val="28"/>
          <w:szCs w:val="28"/>
        </w:rPr>
        <w:t xml:space="preserve">；  </w:t>
      </w:r>
    </w:p>
    <w:p w14:paraId="4D46564C">
      <w:pPr>
        <w:spacing w:line="500" w:lineRule="exact"/>
        <w:ind w:firstLine="560" w:firstLineChars="200"/>
        <w:jc w:val="left"/>
        <w:rPr>
          <w:rFonts w:eastAsia="仿宋_GB2312"/>
          <w:color w:val="000000"/>
          <w:sz w:val="28"/>
          <w:szCs w:val="28"/>
        </w:rPr>
      </w:pPr>
      <w:r>
        <w:rPr>
          <w:rFonts w:eastAsia="仿宋_GB2312"/>
          <w:color w:val="000000"/>
          <w:sz w:val="28"/>
          <w:szCs w:val="28"/>
        </w:rPr>
        <w:t>第2种方式：采用造价信息</w:t>
      </w:r>
      <w:r>
        <w:rPr>
          <w:rFonts w:hint="eastAsia" w:eastAsia="仿宋_GB2312"/>
          <w:color w:val="000000"/>
          <w:sz w:val="28"/>
          <w:szCs w:val="28"/>
        </w:rPr>
        <w:t>进行价格</w:t>
      </w:r>
      <w:r>
        <w:rPr>
          <w:rFonts w:eastAsia="仿宋_GB2312"/>
          <w:color w:val="000000"/>
          <w:sz w:val="28"/>
          <w:szCs w:val="28"/>
        </w:rPr>
        <w:t>调整。</w:t>
      </w:r>
    </w:p>
    <w:p w14:paraId="1E698A83">
      <w:pPr>
        <w:spacing w:line="500" w:lineRule="exact"/>
        <w:ind w:firstLine="560" w:firstLineChars="200"/>
        <w:jc w:val="left"/>
        <w:rPr>
          <w:rFonts w:eastAsia="仿宋_GB2312"/>
          <w:color w:val="000000"/>
          <w:sz w:val="28"/>
          <w:szCs w:val="28"/>
        </w:rPr>
      </w:pPr>
      <w:r>
        <w:rPr>
          <w:rFonts w:eastAsia="仿宋_GB2312"/>
          <w:color w:val="000000"/>
          <w:sz w:val="28"/>
          <w:szCs w:val="28"/>
        </w:rPr>
        <w:t>（2）关于基准价格的约定：</w:t>
      </w:r>
      <w:r>
        <w:rPr>
          <w:rFonts w:hint="eastAsia" w:eastAsia="仿宋_GB2312"/>
          <w:sz w:val="28"/>
          <w:szCs w:val="28"/>
          <w:u w:val="single"/>
        </w:rPr>
        <w:t>/</w:t>
      </w:r>
      <w:r>
        <w:rPr>
          <w:rFonts w:eastAsia="仿宋_GB2312"/>
          <w:sz w:val="28"/>
          <w:szCs w:val="28"/>
        </w:rPr>
        <w:t>。</w:t>
      </w:r>
    </w:p>
    <w:p w14:paraId="51F38274">
      <w:pPr>
        <w:spacing w:line="500" w:lineRule="exact"/>
        <w:ind w:firstLine="560" w:firstLineChars="200"/>
        <w:jc w:val="left"/>
        <w:rPr>
          <w:rFonts w:eastAsia="仿宋_GB2312"/>
          <w:color w:val="000000"/>
          <w:sz w:val="28"/>
          <w:szCs w:val="28"/>
        </w:rPr>
      </w:pPr>
      <w:r>
        <w:rPr>
          <w:rFonts w:eastAsia="仿宋_GB2312"/>
          <w:color w:val="000000"/>
          <w:sz w:val="28"/>
          <w:szCs w:val="28"/>
        </w:rPr>
        <w:t>专用合同条款</w:t>
      </w:r>
      <w:r>
        <w:rPr>
          <w:rFonts w:hint="eastAsia" w:ascii="宋体" w:hAnsi="宋体" w:cs="宋体"/>
          <w:color w:val="000000"/>
          <w:sz w:val="28"/>
          <w:szCs w:val="28"/>
        </w:rPr>
        <w:t>①</w:t>
      </w:r>
      <w:r>
        <w:rPr>
          <w:rFonts w:eastAsia="仿宋_GB2312"/>
          <w:color w:val="000000"/>
          <w:sz w:val="28"/>
          <w:szCs w:val="28"/>
        </w:rPr>
        <w:t>承包人在已标价工程量清单或预算书中载明的材料单价低于基准价格的：专用合同条款合同履行期间材料单价涨幅以基准价格为基础超过</w:t>
      </w:r>
      <w:r>
        <w:rPr>
          <w:rFonts w:hint="eastAsia" w:eastAsia="仿宋_GB2312"/>
          <w:color w:val="000000"/>
          <w:sz w:val="28"/>
          <w:szCs w:val="28"/>
          <w:u w:val="single"/>
        </w:rPr>
        <w:t>/</w:t>
      </w:r>
      <w:r>
        <w:rPr>
          <w:rFonts w:eastAsia="仿宋_GB2312"/>
          <w:color w:val="000000"/>
          <w:sz w:val="28"/>
          <w:szCs w:val="28"/>
        </w:rPr>
        <w:t>%时，或材料单价跌幅以已标价工程量清单或预算书中载明材料单价为基础超过</w:t>
      </w:r>
      <w:r>
        <w:rPr>
          <w:rFonts w:hint="eastAsia" w:eastAsia="仿宋_GB2312"/>
          <w:color w:val="000000"/>
          <w:sz w:val="28"/>
          <w:szCs w:val="28"/>
          <w:u w:val="single"/>
        </w:rPr>
        <w:t>/</w:t>
      </w:r>
      <w:r>
        <w:rPr>
          <w:rFonts w:eastAsia="仿宋_GB2312"/>
          <w:color w:val="000000"/>
          <w:sz w:val="28"/>
          <w:szCs w:val="28"/>
        </w:rPr>
        <w:t>%时，其超过部分据实调整。</w:t>
      </w:r>
    </w:p>
    <w:p w14:paraId="05E08532">
      <w:pPr>
        <w:spacing w:line="500" w:lineRule="exact"/>
        <w:ind w:firstLine="560" w:firstLineChars="200"/>
        <w:jc w:val="left"/>
        <w:rPr>
          <w:rFonts w:eastAsia="仿宋_GB2312"/>
          <w:color w:val="000000"/>
          <w:sz w:val="28"/>
          <w:szCs w:val="28"/>
        </w:rPr>
      </w:pPr>
      <w:r>
        <w:rPr>
          <w:rFonts w:hint="eastAsia" w:ascii="宋体" w:hAnsi="宋体" w:cs="宋体"/>
          <w:color w:val="000000"/>
          <w:sz w:val="28"/>
          <w:szCs w:val="28"/>
        </w:rPr>
        <w:t>②</w:t>
      </w:r>
      <w:r>
        <w:rPr>
          <w:rFonts w:eastAsia="仿宋_GB2312"/>
          <w:color w:val="000000"/>
          <w:sz w:val="28"/>
          <w:szCs w:val="28"/>
        </w:rPr>
        <w:t>承包人在已标价工程量清单或预算书中载明的材料单价高于基准价格的：专用合同条款合同履行期间材料单价跌幅以基准价格为基础超过</w:t>
      </w:r>
      <w:r>
        <w:rPr>
          <w:rFonts w:hint="eastAsia" w:eastAsia="仿宋_GB2312"/>
          <w:color w:val="000000"/>
          <w:sz w:val="28"/>
          <w:szCs w:val="28"/>
          <w:u w:val="single"/>
        </w:rPr>
        <w:t>/</w:t>
      </w:r>
      <w:r>
        <w:rPr>
          <w:rFonts w:eastAsia="仿宋_GB2312"/>
          <w:color w:val="000000"/>
          <w:sz w:val="28"/>
          <w:szCs w:val="28"/>
        </w:rPr>
        <w:t>%时，材料单价涨幅以已标价工程量清单或预算书中载明材料单价为基础超过</w:t>
      </w:r>
      <w:r>
        <w:rPr>
          <w:rFonts w:hint="eastAsia" w:eastAsia="仿宋_GB2312"/>
          <w:color w:val="000000"/>
          <w:sz w:val="28"/>
          <w:szCs w:val="28"/>
          <w:u w:val="single"/>
        </w:rPr>
        <w:t>/</w:t>
      </w:r>
      <w:r>
        <w:rPr>
          <w:rFonts w:eastAsia="仿宋_GB2312"/>
          <w:color w:val="000000"/>
          <w:sz w:val="28"/>
          <w:szCs w:val="28"/>
        </w:rPr>
        <w:t>%时，其超过部分据实调整。</w:t>
      </w:r>
    </w:p>
    <w:p w14:paraId="1162759B">
      <w:pPr>
        <w:spacing w:line="500" w:lineRule="exact"/>
        <w:ind w:firstLine="645"/>
        <w:jc w:val="left"/>
        <w:rPr>
          <w:rFonts w:eastAsia="仿宋_GB2312"/>
          <w:color w:val="000000"/>
          <w:sz w:val="28"/>
          <w:szCs w:val="28"/>
        </w:rPr>
      </w:pPr>
      <w:r>
        <w:rPr>
          <w:rFonts w:hint="eastAsia" w:ascii="宋体" w:hAnsi="宋体" w:cs="宋体"/>
          <w:color w:val="000000"/>
          <w:sz w:val="28"/>
          <w:szCs w:val="28"/>
        </w:rPr>
        <w:t>③</w:t>
      </w:r>
      <w:r>
        <w:rPr>
          <w:rFonts w:eastAsia="仿宋_GB2312"/>
          <w:color w:val="000000"/>
          <w:sz w:val="28"/>
          <w:szCs w:val="28"/>
        </w:rPr>
        <w:t>承包人在已标价工程量清单或预算书中载明的材料单价等于基准单价的：专用合同条款合同履行期间材料单价涨跌幅以基准单价为基础超过±</w:t>
      </w:r>
      <w:r>
        <w:rPr>
          <w:rFonts w:hint="eastAsia" w:eastAsia="仿宋_GB2312"/>
          <w:color w:val="000000"/>
          <w:sz w:val="28"/>
          <w:szCs w:val="28"/>
          <w:u w:val="single"/>
        </w:rPr>
        <w:t>/</w:t>
      </w:r>
      <w:r>
        <w:rPr>
          <w:rFonts w:eastAsia="仿宋_GB2312"/>
          <w:color w:val="000000"/>
          <w:sz w:val="28"/>
          <w:szCs w:val="28"/>
        </w:rPr>
        <w:t>%时，其超过部分据实调整。</w:t>
      </w:r>
    </w:p>
    <w:p w14:paraId="094675C2">
      <w:pPr>
        <w:spacing w:line="500" w:lineRule="exact"/>
        <w:ind w:firstLine="560" w:firstLineChars="200"/>
        <w:jc w:val="left"/>
        <w:rPr>
          <w:rFonts w:eastAsia="仿宋_GB2312"/>
          <w:color w:val="000000"/>
          <w:sz w:val="28"/>
          <w:szCs w:val="28"/>
        </w:rPr>
      </w:pPr>
      <w:r>
        <w:rPr>
          <w:rFonts w:eastAsia="仿宋_GB2312"/>
          <w:color w:val="000000"/>
          <w:sz w:val="28"/>
          <w:szCs w:val="28"/>
        </w:rPr>
        <w:t>第3种方式：其他价格调整方式：</w:t>
      </w:r>
      <w:r>
        <w:rPr>
          <w:rFonts w:hint="eastAsia" w:eastAsia="仿宋_GB2312"/>
          <w:color w:val="000000"/>
          <w:sz w:val="28"/>
          <w:szCs w:val="28"/>
          <w:u w:val="single"/>
        </w:rPr>
        <w:t>/</w:t>
      </w:r>
      <w:r>
        <w:rPr>
          <w:rFonts w:eastAsia="仿宋_GB2312"/>
          <w:color w:val="000000"/>
          <w:sz w:val="28"/>
          <w:szCs w:val="28"/>
        </w:rPr>
        <w:t>。</w:t>
      </w:r>
    </w:p>
    <w:bookmarkEnd w:id="1399"/>
    <w:bookmarkEnd w:id="1400"/>
    <w:bookmarkEnd w:id="1401"/>
    <w:bookmarkEnd w:id="1402"/>
    <w:bookmarkEnd w:id="1403"/>
    <w:bookmarkEnd w:id="1404"/>
    <w:p w14:paraId="6F203AA9">
      <w:pPr>
        <w:pStyle w:val="6"/>
        <w:spacing w:before="120" w:after="120" w:line="500" w:lineRule="exact"/>
        <w:rPr>
          <w:rFonts w:ascii="Times New Roman" w:hAnsi="Times New Roman"/>
          <w:b w:val="0"/>
          <w:color w:val="000000"/>
        </w:rPr>
      </w:pPr>
      <w:bookmarkStart w:id="1512" w:name="_Toc296891245"/>
      <w:bookmarkStart w:id="1513" w:name="_Toc296944544"/>
      <w:bookmarkStart w:id="1514" w:name="_Toc296891033"/>
      <w:bookmarkStart w:id="1515" w:name="_Toc297048391"/>
      <w:bookmarkStart w:id="1516" w:name="_Toc296503205"/>
      <w:bookmarkStart w:id="1517" w:name="_Toc296346706"/>
      <w:bookmarkStart w:id="1518" w:name="_Toc292559915"/>
      <w:bookmarkStart w:id="1519" w:name="_Toc297120505"/>
      <w:bookmarkStart w:id="1520" w:name="_Toc296347204"/>
      <w:bookmarkStart w:id="1521" w:name="_Toc292559410"/>
      <w:bookmarkStart w:id="1522" w:name="_Toc351203644"/>
      <w:bookmarkStart w:id="1523" w:name="_Toc297123552"/>
      <w:bookmarkStart w:id="1524" w:name="_Toc300935002"/>
      <w:bookmarkStart w:id="1525" w:name="_Toc297216211"/>
      <w:bookmarkStart w:id="1526" w:name="_Toc303539159"/>
      <w:bookmarkStart w:id="1527" w:name="_Toc304295579"/>
      <w:bookmarkStart w:id="1528" w:name="_Toc312678040"/>
      <w:r>
        <w:rPr>
          <w:rFonts w:ascii="Times New Roman" w:hAnsi="Times New Roman"/>
          <w:b w:val="0"/>
          <w:color w:val="000000"/>
        </w:rPr>
        <w:t xml:space="preserve">12. </w:t>
      </w:r>
      <w:bookmarkEnd w:id="1512"/>
      <w:bookmarkEnd w:id="1513"/>
      <w:bookmarkEnd w:id="1514"/>
      <w:bookmarkEnd w:id="1515"/>
      <w:bookmarkEnd w:id="1516"/>
      <w:bookmarkEnd w:id="1517"/>
      <w:bookmarkEnd w:id="1518"/>
      <w:bookmarkEnd w:id="1519"/>
      <w:bookmarkEnd w:id="1520"/>
      <w:bookmarkEnd w:id="1521"/>
      <w:r>
        <w:rPr>
          <w:rFonts w:ascii="Times New Roman" w:hAnsi="Times New Roman"/>
          <w:b w:val="0"/>
          <w:color w:val="000000"/>
        </w:rPr>
        <w:t>合同价格、计量与支付</w:t>
      </w:r>
      <w:bookmarkEnd w:id="1522"/>
    </w:p>
    <w:bookmarkEnd w:id="1523"/>
    <w:bookmarkEnd w:id="1524"/>
    <w:bookmarkEnd w:id="1525"/>
    <w:bookmarkEnd w:id="1526"/>
    <w:bookmarkEnd w:id="1527"/>
    <w:bookmarkEnd w:id="1528"/>
    <w:p w14:paraId="42776586">
      <w:pPr>
        <w:spacing w:after="120" w:line="500" w:lineRule="exact"/>
        <w:ind w:firstLine="560" w:firstLineChars="200"/>
        <w:rPr>
          <w:rFonts w:eastAsia="黑体"/>
          <w:color w:val="000000"/>
          <w:sz w:val="28"/>
          <w:szCs w:val="28"/>
        </w:rPr>
      </w:pPr>
      <w:bookmarkStart w:id="1529" w:name="_Toc267251461"/>
      <w:bookmarkStart w:id="1530" w:name="_Toc292559411"/>
      <w:bookmarkStart w:id="1531" w:name="_Toc292559916"/>
      <w:bookmarkStart w:id="1532" w:name="_Toc297120506"/>
      <w:bookmarkStart w:id="1533" w:name="_Toc296347205"/>
      <w:bookmarkStart w:id="1534" w:name="_Toc296891246"/>
      <w:bookmarkStart w:id="1535" w:name="_Toc297048392"/>
      <w:bookmarkStart w:id="1536" w:name="_Toc296944545"/>
      <w:bookmarkStart w:id="1537" w:name="_Toc296503206"/>
      <w:bookmarkStart w:id="1538" w:name="_Toc296346707"/>
      <w:bookmarkStart w:id="1539" w:name="_Toc296891034"/>
      <w:bookmarkStart w:id="1540" w:name="_Toc303539160"/>
      <w:bookmarkStart w:id="1541" w:name="_Toc297123553"/>
      <w:bookmarkStart w:id="1542" w:name="_Toc297216212"/>
      <w:bookmarkStart w:id="1543" w:name="_Toc304295580"/>
      <w:bookmarkStart w:id="1544" w:name="_Toc312678041"/>
      <w:bookmarkStart w:id="1545" w:name="_Toc300935003"/>
      <w:r>
        <w:rPr>
          <w:rFonts w:eastAsia="黑体"/>
          <w:color w:val="000000"/>
          <w:sz w:val="28"/>
          <w:szCs w:val="28"/>
        </w:rPr>
        <w:t>12.1 合</w:t>
      </w:r>
      <w:bookmarkEnd w:id="1529"/>
      <w:bookmarkEnd w:id="1530"/>
      <w:bookmarkEnd w:id="1531"/>
      <w:r>
        <w:rPr>
          <w:rFonts w:eastAsia="黑体"/>
          <w:color w:val="000000"/>
          <w:sz w:val="28"/>
          <w:szCs w:val="28"/>
        </w:rPr>
        <w:t>同价</w:t>
      </w:r>
      <w:bookmarkEnd w:id="1532"/>
      <w:bookmarkEnd w:id="1533"/>
      <w:bookmarkEnd w:id="1534"/>
      <w:bookmarkEnd w:id="1535"/>
      <w:bookmarkEnd w:id="1536"/>
      <w:bookmarkEnd w:id="1537"/>
      <w:bookmarkEnd w:id="1538"/>
      <w:bookmarkEnd w:id="1539"/>
      <w:r>
        <w:rPr>
          <w:rFonts w:eastAsia="黑体"/>
          <w:color w:val="000000"/>
          <w:sz w:val="28"/>
          <w:szCs w:val="28"/>
        </w:rPr>
        <w:t>格形式</w:t>
      </w:r>
    </w:p>
    <w:bookmarkEnd w:id="1540"/>
    <w:bookmarkEnd w:id="1541"/>
    <w:bookmarkEnd w:id="1542"/>
    <w:bookmarkEnd w:id="1543"/>
    <w:bookmarkEnd w:id="1544"/>
    <w:bookmarkEnd w:id="1545"/>
    <w:p w14:paraId="797E9088">
      <w:pPr>
        <w:spacing w:line="500" w:lineRule="exact"/>
        <w:ind w:firstLine="560" w:firstLineChars="200"/>
        <w:jc w:val="left"/>
        <w:rPr>
          <w:rFonts w:eastAsia="仿宋_GB2312"/>
          <w:color w:val="000000"/>
          <w:sz w:val="28"/>
          <w:szCs w:val="28"/>
        </w:rPr>
      </w:pPr>
      <w:r>
        <w:rPr>
          <w:rFonts w:eastAsia="仿宋_GB2312"/>
          <w:color w:val="000000"/>
          <w:sz w:val="28"/>
          <w:szCs w:val="28"/>
        </w:rPr>
        <w:t>1、单价合同。</w:t>
      </w:r>
    </w:p>
    <w:p w14:paraId="077B9CDB">
      <w:pPr>
        <w:spacing w:line="500" w:lineRule="exact"/>
        <w:ind w:firstLine="560" w:firstLineChars="200"/>
        <w:rPr>
          <w:rFonts w:eastAsia="仿宋_GB2312"/>
          <w:color w:val="000000"/>
          <w:sz w:val="28"/>
          <w:szCs w:val="28"/>
        </w:rPr>
      </w:pPr>
      <w:r>
        <w:rPr>
          <w:rFonts w:eastAsia="仿宋_GB2312"/>
          <w:color w:val="000000"/>
          <w:sz w:val="28"/>
          <w:szCs w:val="28"/>
        </w:rPr>
        <w:t>综合单价包含的风险范围：</w:t>
      </w:r>
    </w:p>
    <w:p w14:paraId="2C3D4352">
      <w:pPr>
        <w:spacing w:line="500" w:lineRule="exact"/>
        <w:ind w:firstLine="560" w:firstLineChars="200"/>
        <w:jc w:val="left"/>
        <w:rPr>
          <w:rFonts w:eastAsia="仿宋_GB2312"/>
          <w:color w:val="000000"/>
          <w:sz w:val="28"/>
          <w:szCs w:val="28"/>
          <w:u w:val="single"/>
        </w:rPr>
      </w:pPr>
      <w:r>
        <w:rPr>
          <w:rFonts w:hint="eastAsia" w:eastAsia="仿宋_GB2312"/>
          <w:color w:val="000000"/>
          <w:sz w:val="28"/>
          <w:szCs w:val="28"/>
          <w:u w:val="single"/>
        </w:rPr>
        <w:t>承包人所编写的投标预算总价在合同期内，不因所有由于燃料/电费、运输费、任何税率、税种、货币汇率升降、工资、地方政府征收的有关费用、材料差价等原因引致的价格波动而调整；也不因停电、停水、交通管制、夜间施工、雨季施工、二次搬运、施工场地不足、成品保护等情况可能引致的费用而调整；并已充分考虑了其他可能因素影响施工所增加的费用。承包人任何投标时的估算错误和漏项，一律由承包人承担，合同价款不会因承包人的施工组织设计问题、估算错误和漏项而做出调整。</w:t>
      </w:r>
    </w:p>
    <w:p w14:paraId="454C5863">
      <w:pPr>
        <w:spacing w:line="500" w:lineRule="exact"/>
        <w:ind w:firstLine="645"/>
        <w:jc w:val="left"/>
        <w:rPr>
          <w:rFonts w:eastAsia="仿宋_GB2312"/>
          <w:color w:val="000000"/>
          <w:sz w:val="28"/>
          <w:szCs w:val="28"/>
          <w:u w:val="single"/>
        </w:rPr>
      </w:pPr>
      <w:r>
        <w:rPr>
          <w:rFonts w:hint="eastAsia" w:eastAsia="仿宋_GB2312"/>
          <w:color w:val="000000"/>
          <w:sz w:val="28"/>
          <w:szCs w:val="28"/>
          <w:u w:val="single"/>
        </w:rPr>
        <w:t>综合单价风险范围：承包人报价时已考虑各种影响造价的自然因素及社会因素，包括但不限于：</w:t>
      </w:r>
    </w:p>
    <w:p w14:paraId="1CE79F44">
      <w:pPr>
        <w:spacing w:line="500" w:lineRule="exact"/>
        <w:ind w:firstLine="645"/>
        <w:jc w:val="left"/>
        <w:rPr>
          <w:rFonts w:eastAsia="仿宋_GB2312"/>
          <w:color w:val="000000"/>
          <w:sz w:val="28"/>
          <w:szCs w:val="28"/>
          <w:u w:val="single"/>
        </w:rPr>
      </w:pPr>
      <w:r>
        <w:rPr>
          <w:rFonts w:hint="eastAsia" w:eastAsia="仿宋_GB2312"/>
          <w:color w:val="000000"/>
          <w:sz w:val="28"/>
          <w:szCs w:val="28"/>
          <w:u w:val="single"/>
        </w:rPr>
        <w:t>（1）承包人投标报价中的错、漏项；</w:t>
      </w:r>
    </w:p>
    <w:p w14:paraId="7CD5AA3F">
      <w:pPr>
        <w:spacing w:line="500" w:lineRule="exact"/>
        <w:ind w:firstLine="645"/>
        <w:jc w:val="left"/>
        <w:rPr>
          <w:rFonts w:eastAsia="仿宋_GB2312"/>
          <w:color w:val="000000"/>
          <w:sz w:val="28"/>
          <w:szCs w:val="28"/>
          <w:u w:val="single"/>
        </w:rPr>
      </w:pPr>
      <w:r>
        <w:rPr>
          <w:rFonts w:hint="eastAsia" w:eastAsia="仿宋_GB2312"/>
          <w:color w:val="000000"/>
          <w:sz w:val="28"/>
          <w:szCs w:val="28"/>
          <w:u w:val="single"/>
        </w:rPr>
        <w:t>（2）人工费、机械费及材料费上涨或下落，其中施工期间主要材料、机械设备及人工等市场价格均不再进行调整。</w:t>
      </w:r>
    </w:p>
    <w:p w14:paraId="2BF13C15">
      <w:pPr>
        <w:spacing w:line="500" w:lineRule="exact"/>
        <w:ind w:firstLine="645"/>
        <w:jc w:val="left"/>
        <w:rPr>
          <w:rFonts w:eastAsia="仿宋_GB2312"/>
          <w:color w:val="000000"/>
          <w:sz w:val="28"/>
          <w:szCs w:val="28"/>
          <w:u w:val="single"/>
        </w:rPr>
      </w:pPr>
      <w:r>
        <w:rPr>
          <w:rFonts w:hint="eastAsia" w:eastAsia="仿宋_GB2312"/>
          <w:color w:val="000000"/>
          <w:sz w:val="28"/>
          <w:szCs w:val="28"/>
          <w:u w:val="single"/>
        </w:rPr>
        <w:t>（3）企业管理费和利润不再进行调整。</w:t>
      </w:r>
    </w:p>
    <w:p w14:paraId="609ABB95">
      <w:pPr>
        <w:spacing w:line="500" w:lineRule="exact"/>
        <w:ind w:firstLine="645"/>
        <w:jc w:val="left"/>
        <w:rPr>
          <w:rFonts w:eastAsia="仿宋_GB2312"/>
          <w:color w:val="000000"/>
          <w:sz w:val="28"/>
          <w:szCs w:val="28"/>
          <w:u w:val="single"/>
        </w:rPr>
      </w:pPr>
      <w:r>
        <w:rPr>
          <w:rFonts w:hint="eastAsia" w:eastAsia="仿宋_GB2312"/>
          <w:color w:val="000000"/>
          <w:sz w:val="28"/>
          <w:szCs w:val="28"/>
          <w:u w:val="single"/>
        </w:rPr>
        <w:t>（4）除合同约定可调整因素外，其他一律不予调整。</w:t>
      </w:r>
    </w:p>
    <w:p w14:paraId="2B1B27AF">
      <w:pPr>
        <w:spacing w:line="500" w:lineRule="exact"/>
        <w:ind w:firstLine="645"/>
        <w:jc w:val="left"/>
        <w:rPr>
          <w:rFonts w:eastAsia="仿宋_GB2312"/>
          <w:color w:val="000000"/>
          <w:sz w:val="28"/>
          <w:szCs w:val="28"/>
          <w:u w:val="single"/>
        </w:rPr>
      </w:pPr>
      <w:r>
        <w:rPr>
          <w:rFonts w:hint="eastAsia" w:eastAsia="仿宋_GB2312"/>
          <w:color w:val="000000"/>
          <w:sz w:val="28"/>
          <w:szCs w:val="28"/>
          <w:u w:val="single"/>
        </w:rPr>
        <w:t>合同文件约定的措施项目费、其他项目清单中的总承包服务费风险范围：</w:t>
      </w:r>
    </w:p>
    <w:p w14:paraId="4BCE3546">
      <w:pPr>
        <w:spacing w:line="500" w:lineRule="exact"/>
        <w:ind w:firstLine="645"/>
        <w:jc w:val="left"/>
        <w:rPr>
          <w:rFonts w:eastAsia="仿宋_GB2312"/>
          <w:color w:val="000000"/>
          <w:sz w:val="28"/>
          <w:szCs w:val="28"/>
          <w:u w:val="single"/>
        </w:rPr>
      </w:pPr>
      <w:r>
        <w:rPr>
          <w:rFonts w:hint="eastAsia" w:eastAsia="仿宋_GB2312"/>
          <w:color w:val="000000"/>
          <w:sz w:val="28"/>
          <w:szCs w:val="28"/>
          <w:u w:val="single"/>
        </w:rPr>
        <w:t>（1）按“项”报价的措施项目费在合同执行过程中不予调整，按照工程量报价的措施项目根据工程量变化据实调整。</w:t>
      </w:r>
    </w:p>
    <w:p w14:paraId="40DE89F5">
      <w:pPr>
        <w:spacing w:line="500" w:lineRule="exact"/>
        <w:ind w:firstLine="645"/>
        <w:jc w:val="left"/>
        <w:rPr>
          <w:rFonts w:eastAsia="仿宋_GB2312"/>
          <w:color w:val="000000"/>
          <w:sz w:val="28"/>
          <w:szCs w:val="28"/>
          <w:u w:val="single"/>
        </w:rPr>
      </w:pPr>
      <w:r>
        <w:rPr>
          <w:rFonts w:hint="eastAsia" w:eastAsia="仿宋_GB2312"/>
          <w:color w:val="000000"/>
          <w:sz w:val="28"/>
          <w:szCs w:val="28"/>
          <w:u w:val="single"/>
        </w:rPr>
        <w:t>（2）总包服务费的费率不予调整。</w:t>
      </w:r>
    </w:p>
    <w:p w14:paraId="345F5971">
      <w:pPr>
        <w:spacing w:line="500" w:lineRule="exact"/>
        <w:ind w:firstLine="645"/>
        <w:jc w:val="left"/>
        <w:rPr>
          <w:rFonts w:eastAsia="仿宋_GB2312"/>
          <w:color w:val="000000"/>
          <w:sz w:val="28"/>
          <w:szCs w:val="28"/>
        </w:rPr>
      </w:pPr>
      <w:r>
        <w:rPr>
          <w:rFonts w:eastAsia="仿宋_GB2312"/>
          <w:color w:val="000000"/>
          <w:sz w:val="28"/>
          <w:szCs w:val="28"/>
        </w:rPr>
        <w:t>风险费用的计算方法</w:t>
      </w:r>
      <w:r>
        <w:rPr>
          <w:rFonts w:hint="eastAsia" w:eastAsia="仿宋_GB2312"/>
          <w:color w:val="000000"/>
          <w:sz w:val="28"/>
          <w:szCs w:val="28"/>
        </w:rPr>
        <w:t>：</w:t>
      </w:r>
    </w:p>
    <w:p w14:paraId="48F70AEF">
      <w:pPr>
        <w:spacing w:line="500" w:lineRule="exact"/>
        <w:ind w:firstLine="645"/>
        <w:jc w:val="left"/>
        <w:rPr>
          <w:rFonts w:eastAsia="仿宋_GB2312"/>
          <w:color w:val="000000"/>
          <w:sz w:val="28"/>
          <w:szCs w:val="28"/>
          <w:u w:val="single"/>
        </w:rPr>
      </w:pPr>
      <w:r>
        <w:rPr>
          <w:rFonts w:hint="eastAsia" w:eastAsia="仿宋_GB2312"/>
          <w:color w:val="000000"/>
          <w:sz w:val="28"/>
          <w:szCs w:val="28"/>
          <w:u w:val="single"/>
        </w:rPr>
        <w:t>（1）投标报价中的取费项目及费率固定不变，并贯穿工程始终；</w:t>
      </w:r>
    </w:p>
    <w:p w14:paraId="486B4638">
      <w:pPr>
        <w:spacing w:line="500" w:lineRule="exact"/>
        <w:ind w:firstLine="645"/>
        <w:jc w:val="left"/>
        <w:rPr>
          <w:rFonts w:eastAsia="仿宋_GB2312"/>
          <w:color w:val="000000"/>
          <w:sz w:val="28"/>
          <w:szCs w:val="28"/>
          <w:u w:val="single"/>
        </w:rPr>
      </w:pPr>
      <w:r>
        <w:rPr>
          <w:rFonts w:hint="eastAsia" w:eastAsia="仿宋_GB2312"/>
          <w:color w:val="000000"/>
          <w:sz w:val="28"/>
          <w:szCs w:val="28"/>
          <w:u w:val="single"/>
        </w:rPr>
        <w:t>（2）招标文件中规定的固定费用，结算时不予调整；</w:t>
      </w:r>
    </w:p>
    <w:p w14:paraId="5671B28D">
      <w:pPr>
        <w:spacing w:line="500" w:lineRule="exact"/>
        <w:ind w:firstLine="645"/>
        <w:jc w:val="left"/>
        <w:rPr>
          <w:rFonts w:eastAsia="仿宋_GB2312"/>
          <w:color w:val="000000"/>
          <w:sz w:val="28"/>
          <w:szCs w:val="28"/>
          <w:u w:val="single"/>
        </w:rPr>
      </w:pPr>
      <w:r>
        <w:rPr>
          <w:rFonts w:hint="eastAsia" w:eastAsia="仿宋_GB2312"/>
          <w:color w:val="000000"/>
          <w:sz w:val="28"/>
          <w:szCs w:val="28"/>
          <w:u w:val="single"/>
        </w:rPr>
        <w:t>（3）投标报价中已有子目的经济洽商价款，按投标人报价中所报该子目的单价及费率进行计算并贯穿工程始终；</w:t>
      </w:r>
    </w:p>
    <w:p w14:paraId="62DBADC0">
      <w:pPr>
        <w:spacing w:line="500" w:lineRule="exact"/>
        <w:ind w:firstLine="645"/>
        <w:jc w:val="left"/>
        <w:rPr>
          <w:rFonts w:eastAsia="仿宋_GB2312"/>
          <w:color w:val="000000"/>
          <w:sz w:val="28"/>
          <w:szCs w:val="28"/>
        </w:rPr>
      </w:pPr>
      <w:r>
        <w:rPr>
          <w:rFonts w:hint="eastAsia" w:eastAsia="仿宋_GB2312"/>
          <w:color w:val="000000"/>
          <w:sz w:val="28"/>
          <w:szCs w:val="28"/>
          <w:u w:val="single"/>
        </w:rPr>
        <w:t>（4）投标报价中未包含子目的变更：单价参照2021年版《北京市房屋修缮工程预算消耗量标准》执行；如无参照，由承包人提出单价及单价分析，经发包人确认后作为结算的依据。</w:t>
      </w:r>
    </w:p>
    <w:p w14:paraId="20A5997C">
      <w:pPr>
        <w:spacing w:line="500" w:lineRule="exact"/>
        <w:ind w:firstLine="645"/>
        <w:jc w:val="left"/>
        <w:rPr>
          <w:rFonts w:eastAsia="仿宋_GB2312"/>
          <w:color w:val="000000"/>
          <w:sz w:val="28"/>
          <w:szCs w:val="28"/>
          <w:u w:val="single"/>
        </w:rPr>
      </w:pPr>
      <w:r>
        <w:rPr>
          <w:rFonts w:eastAsia="仿宋_GB2312"/>
          <w:color w:val="000000"/>
          <w:sz w:val="28"/>
          <w:szCs w:val="28"/>
        </w:rPr>
        <w:t>风险范围以外合同价格的调整方法：</w:t>
      </w:r>
    </w:p>
    <w:p w14:paraId="0BFDF1C2">
      <w:pPr>
        <w:spacing w:line="500" w:lineRule="exact"/>
        <w:ind w:firstLine="645"/>
        <w:jc w:val="left"/>
        <w:rPr>
          <w:rFonts w:eastAsia="仿宋_GB2312"/>
          <w:color w:val="000000"/>
          <w:sz w:val="28"/>
          <w:szCs w:val="28"/>
          <w:u w:val="single"/>
        </w:rPr>
      </w:pPr>
      <w:r>
        <w:rPr>
          <w:rFonts w:hint="eastAsia" w:eastAsia="仿宋_GB2312"/>
          <w:color w:val="000000"/>
          <w:sz w:val="28"/>
          <w:szCs w:val="28"/>
          <w:u w:val="single"/>
        </w:rPr>
        <w:t>材料、人工、机械价格均按投标中标价格执行；如若在施工期间发生的超出投标内容外的价格，参照造价信息价格执行；造价信息价中没有的，按发包人、承包人共同确认的市场价格为准。</w:t>
      </w:r>
    </w:p>
    <w:p w14:paraId="28304C6F">
      <w:pPr>
        <w:spacing w:line="500" w:lineRule="exact"/>
        <w:ind w:firstLine="645"/>
        <w:jc w:val="left"/>
        <w:rPr>
          <w:rFonts w:eastAsia="仿宋_GB2312"/>
          <w:color w:val="000000"/>
          <w:sz w:val="28"/>
          <w:szCs w:val="28"/>
          <w:u w:val="single"/>
        </w:rPr>
      </w:pPr>
      <w:r>
        <w:rPr>
          <w:rFonts w:hint="eastAsia" w:eastAsia="仿宋_GB2312"/>
          <w:color w:val="000000"/>
          <w:sz w:val="28"/>
          <w:szCs w:val="28"/>
          <w:u w:val="single"/>
        </w:rPr>
        <w:t>双方约定合同价款的其他调整因素：所有变更以及任何需要按本条要求予以确定其价格的追加或扣减项目（本合同中称为变更的工作），只要本合同中已经包含和存在同样的项目并已标明费率或价格，则应直接按照此类本合同中列明的费率或价格进行估价；如本合同中未包括适用于该变更工作的费率或价格，只要发包人和承包人都同意，则可采用本合同中的类似项目的费率或价格作为估价的基础。如做不到以上两点，合同中没有适用或类似于变更工作的价格，则以国标清单的工程量计算规则为依据，组价方式、组价原则执行承包人投标文件中单价分析表中的相同原则；直接费中材料机械缺项时采用投标期北京市工程造价信息的价格；管理费、利润、税金、规费等费率标准执行承包人投标价格文件中的相同标准。任何发包人和承包人之间未能最终达成一致的变更费用都不应包含在进度款付款中。</w:t>
      </w:r>
    </w:p>
    <w:p w14:paraId="5FF11790">
      <w:pPr>
        <w:spacing w:line="500" w:lineRule="exact"/>
        <w:ind w:firstLine="560" w:firstLineChars="200"/>
        <w:jc w:val="left"/>
        <w:rPr>
          <w:rFonts w:eastAsia="仿宋_GB2312"/>
          <w:color w:val="000000"/>
          <w:sz w:val="28"/>
          <w:szCs w:val="28"/>
        </w:rPr>
      </w:pPr>
      <w:r>
        <w:rPr>
          <w:rFonts w:eastAsia="仿宋_GB2312"/>
          <w:color w:val="000000"/>
          <w:sz w:val="28"/>
          <w:szCs w:val="28"/>
        </w:rPr>
        <w:t>2、总价合同。</w:t>
      </w:r>
    </w:p>
    <w:p w14:paraId="3F21D5F7">
      <w:pPr>
        <w:spacing w:line="500" w:lineRule="exact"/>
        <w:ind w:firstLine="560" w:firstLineChars="200"/>
        <w:jc w:val="left"/>
        <w:rPr>
          <w:rFonts w:eastAsia="仿宋_GB2312"/>
          <w:color w:val="000000"/>
          <w:sz w:val="28"/>
          <w:szCs w:val="28"/>
        </w:rPr>
      </w:pPr>
      <w:r>
        <w:rPr>
          <w:rFonts w:eastAsia="仿宋_GB2312"/>
          <w:color w:val="000000"/>
          <w:sz w:val="28"/>
          <w:szCs w:val="28"/>
        </w:rPr>
        <w:t>总价包含的风险范围：</w:t>
      </w:r>
      <w:r>
        <w:rPr>
          <w:rFonts w:hint="eastAsia" w:eastAsia="仿宋_GB2312"/>
          <w:color w:val="000000"/>
          <w:sz w:val="28"/>
          <w:szCs w:val="28"/>
          <w:u w:val="single"/>
        </w:rPr>
        <w:t>无</w:t>
      </w:r>
      <w:r>
        <w:rPr>
          <w:rFonts w:eastAsia="仿宋_GB2312"/>
          <w:color w:val="000000"/>
          <w:sz w:val="28"/>
          <w:szCs w:val="28"/>
        </w:rPr>
        <w:t>。</w:t>
      </w:r>
    </w:p>
    <w:p w14:paraId="101A38BA">
      <w:pPr>
        <w:spacing w:line="500" w:lineRule="exact"/>
        <w:ind w:firstLine="560" w:firstLineChars="200"/>
        <w:jc w:val="left"/>
        <w:rPr>
          <w:rFonts w:eastAsia="仿宋_GB2312"/>
          <w:color w:val="000000"/>
          <w:sz w:val="28"/>
          <w:szCs w:val="28"/>
        </w:rPr>
      </w:pPr>
      <w:r>
        <w:rPr>
          <w:rFonts w:eastAsia="仿宋_GB2312"/>
          <w:color w:val="000000"/>
          <w:sz w:val="28"/>
          <w:szCs w:val="28"/>
        </w:rPr>
        <w:t>风险费用的计算方法：</w:t>
      </w:r>
      <w:r>
        <w:rPr>
          <w:rFonts w:hint="eastAsia" w:eastAsia="仿宋_GB2312"/>
          <w:color w:val="000000"/>
          <w:sz w:val="28"/>
          <w:szCs w:val="28"/>
          <w:u w:val="single"/>
        </w:rPr>
        <w:t>无</w:t>
      </w:r>
      <w:r>
        <w:rPr>
          <w:rFonts w:eastAsia="仿宋_GB2312"/>
          <w:color w:val="000000"/>
          <w:sz w:val="28"/>
          <w:szCs w:val="28"/>
        </w:rPr>
        <w:t>。</w:t>
      </w:r>
    </w:p>
    <w:p w14:paraId="58FF02CC">
      <w:pPr>
        <w:spacing w:line="500" w:lineRule="exact"/>
        <w:ind w:firstLine="560" w:firstLineChars="200"/>
        <w:jc w:val="left"/>
        <w:rPr>
          <w:rFonts w:eastAsia="仿宋_GB2312"/>
          <w:color w:val="000000"/>
          <w:sz w:val="28"/>
          <w:szCs w:val="28"/>
        </w:rPr>
      </w:pPr>
      <w:r>
        <w:rPr>
          <w:rFonts w:eastAsia="仿宋_GB2312"/>
          <w:color w:val="000000"/>
          <w:sz w:val="28"/>
          <w:szCs w:val="28"/>
        </w:rPr>
        <w:t>风险范围以外合同价格的调整方法：</w:t>
      </w:r>
      <w:r>
        <w:rPr>
          <w:rFonts w:hint="eastAsia" w:eastAsia="仿宋_GB2312"/>
          <w:color w:val="000000"/>
          <w:sz w:val="28"/>
          <w:szCs w:val="28"/>
          <w:u w:val="single"/>
        </w:rPr>
        <w:t>无</w:t>
      </w:r>
      <w:r>
        <w:rPr>
          <w:rFonts w:eastAsia="仿宋_GB2312"/>
          <w:color w:val="000000"/>
          <w:sz w:val="28"/>
          <w:szCs w:val="28"/>
        </w:rPr>
        <w:t>。</w:t>
      </w:r>
    </w:p>
    <w:p w14:paraId="4A1B3409">
      <w:pPr>
        <w:spacing w:line="500" w:lineRule="exact"/>
        <w:ind w:firstLine="560" w:firstLineChars="200"/>
        <w:jc w:val="left"/>
        <w:rPr>
          <w:rFonts w:eastAsia="仿宋_GB2312"/>
          <w:color w:val="000000"/>
          <w:sz w:val="28"/>
          <w:szCs w:val="28"/>
        </w:rPr>
      </w:pPr>
      <w:r>
        <w:rPr>
          <w:rFonts w:eastAsia="仿宋_GB2312"/>
          <w:color w:val="000000"/>
          <w:sz w:val="28"/>
          <w:szCs w:val="28"/>
        </w:rPr>
        <w:t>3、其他价格方式：</w:t>
      </w:r>
      <w:r>
        <w:rPr>
          <w:rFonts w:hint="eastAsia" w:eastAsia="仿宋_GB2312"/>
          <w:color w:val="000000"/>
          <w:sz w:val="28"/>
          <w:szCs w:val="28"/>
          <w:u w:val="single"/>
        </w:rPr>
        <w:t>无</w:t>
      </w:r>
      <w:r>
        <w:rPr>
          <w:rFonts w:eastAsia="仿宋_GB2312"/>
          <w:color w:val="000000"/>
          <w:sz w:val="28"/>
          <w:szCs w:val="28"/>
        </w:rPr>
        <w:t>。</w:t>
      </w:r>
    </w:p>
    <w:p w14:paraId="10A814A4">
      <w:pPr>
        <w:spacing w:after="120" w:line="500" w:lineRule="exact"/>
        <w:ind w:firstLine="560" w:firstLineChars="200"/>
        <w:rPr>
          <w:rFonts w:eastAsia="黑体"/>
          <w:color w:val="000000"/>
          <w:sz w:val="28"/>
          <w:szCs w:val="28"/>
        </w:rPr>
      </w:pPr>
      <w:bookmarkStart w:id="1546" w:name="_Toc300935004"/>
      <w:bookmarkStart w:id="1547" w:name="_Toc297216213"/>
      <w:bookmarkStart w:id="1548" w:name="_Toc304295581"/>
      <w:bookmarkStart w:id="1549" w:name="_Toc312678042"/>
      <w:bookmarkStart w:id="1550" w:name="_Toc303539161"/>
      <w:bookmarkStart w:id="1551" w:name="_Toc297123554"/>
      <w:bookmarkStart w:id="1552" w:name="_Toc296346708"/>
      <w:bookmarkStart w:id="1553" w:name="_Toc296347206"/>
      <w:bookmarkStart w:id="1554" w:name="_Toc292559917"/>
      <w:bookmarkStart w:id="1555" w:name="_Toc296891247"/>
      <w:bookmarkStart w:id="1556" w:name="_Toc297048393"/>
      <w:bookmarkStart w:id="1557" w:name="_Toc296891035"/>
      <w:bookmarkStart w:id="1558" w:name="_Toc296503207"/>
      <w:bookmarkStart w:id="1559" w:name="_Toc292559412"/>
      <w:bookmarkStart w:id="1560" w:name="_Toc297120507"/>
      <w:bookmarkStart w:id="1561" w:name="_Toc296944546"/>
      <w:r>
        <w:rPr>
          <w:rFonts w:eastAsia="黑体"/>
          <w:color w:val="000000"/>
          <w:sz w:val="28"/>
          <w:szCs w:val="28"/>
        </w:rPr>
        <w:t xml:space="preserve">12.2 </w:t>
      </w:r>
      <w:r>
        <w:rPr>
          <w:rFonts w:hint="eastAsia" w:eastAsia="黑体"/>
          <w:color w:val="000000"/>
          <w:sz w:val="28"/>
          <w:szCs w:val="28"/>
        </w:rPr>
        <w:t>首</w:t>
      </w:r>
      <w:r>
        <w:rPr>
          <w:rFonts w:eastAsia="黑体"/>
          <w:color w:val="000000"/>
          <w:sz w:val="28"/>
          <w:szCs w:val="28"/>
        </w:rPr>
        <w:t>付款</w:t>
      </w:r>
    </w:p>
    <w:bookmarkEnd w:id="1546"/>
    <w:bookmarkEnd w:id="1547"/>
    <w:bookmarkEnd w:id="1548"/>
    <w:bookmarkEnd w:id="1549"/>
    <w:bookmarkEnd w:id="1550"/>
    <w:bookmarkEnd w:id="1551"/>
    <w:p w14:paraId="1B2C831D">
      <w:pPr>
        <w:spacing w:line="500" w:lineRule="exact"/>
        <w:ind w:firstLine="560" w:firstLineChars="200"/>
        <w:jc w:val="left"/>
        <w:rPr>
          <w:rFonts w:eastAsia="仿宋_GB2312"/>
          <w:color w:val="000000"/>
          <w:sz w:val="28"/>
          <w:szCs w:val="28"/>
        </w:rPr>
      </w:pPr>
      <w:r>
        <w:rPr>
          <w:rFonts w:eastAsia="仿宋_GB2312"/>
          <w:color w:val="000000"/>
          <w:sz w:val="28"/>
          <w:szCs w:val="28"/>
        </w:rPr>
        <w:t xml:space="preserve">12.2.1 </w:t>
      </w:r>
      <w:r>
        <w:rPr>
          <w:rFonts w:hint="eastAsia" w:eastAsia="仿宋_GB2312"/>
          <w:color w:val="000000"/>
          <w:sz w:val="28"/>
          <w:szCs w:val="28"/>
        </w:rPr>
        <w:t>首</w:t>
      </w:r>
      <w:r>
        <w:rPr>
          <w:rFonts w:eastAsia="仿宋_GB2312"/>
          <w:color w:val="000000"/>
          <w:sz w:val="28"/>
          <w:szCs w:val="28"/>
        </w:rPr>
        <w:t>付款的支付</w:t>
      </w:r>
    </w:p>
    <w:p w14:paraId="15AEB778">
      <w:pPr>
        <w:spacing w:line="500" w:lineRule="exact"/>
        <w:ind w:firstLine="560" w:firstLineChars="200"/>
        <w:jc w:val="left"/>
        <w:rPr>
          <w:rFonts w:eastAsia="仿宋_GB2312"/>
          <w:color w:val="000000"/>
          <w:sz w:val="28"/>
          <w:szCs w:val="28"/>
        </w:rPr>
      </w:pPr>
      <w:r>
        <w:rPr>
          <w:rFonts w:hint="eastAsia" w:eastAsia="仿宋_GB2312"/>
          <w:color w:val="000000"/>
          <w:sz w:val="28"/>
          <w:szCs w:val="28"/>
        </w:rPr>
        <w:t>首</w:t>
      </w:r>
      <w:r>
        <w:rPr>
          <w:rFonts w:eastAsia="仿宋_GB2312"/>
          <w:color w:val="000000"/>
          <w:sz w:val="28"/>
          <w:szCs w:val="28"/>
        </w:rPr>
        <w:t>付款支付比例或金额：</w:t>
      </w:r>
      <w:r>
        <w:rPr>
          <w:rFonts w:hint="eastAsia" w:eastAsia="仿宋_GB2312"/>
          <w:color w:val="000000"/>
          <w:sz w:val="28"/>
          <w:szCs w:val="28"/>
          <w:u w:val="single"/>
        </w:rPr>
        <w:t>/</w:t>
      </w:r>
      <w:r>
        <w:rPr>
          <w:rFonts w:eastAsia="仿宋_GB2312"/>
          <w:color w:val="000000"/>
          <w:sz w:val="28"/>
          <w:szCs w:val="28"/>
        </w:rPr>
        <w:t>。</w:t>
      </w:r>
    </w:p>
    <w:p w14:paraId="6AC13874">
      <w:pPr>
        <w:spacing w:line="500" w:lineRule="exact"/>
        <w:ind w:firstLine="560" w:firstLineChars="200"/>
        <w:jc w:val="left"/>
        <w:rPr>
          <w:rFonts w:eastAsia="仿宋_GB2312"/>
          <w:color w:val="000000"/>
          <w:sz w:val="28"/>
          <w:szCs w:val="28"/>
        </w:rPr>
      </w:pPr>
      <w:r>
        <w:rPr>
          <w:rFonts w:hint="eastAsia" w:eastAsia="仿宋_GB2312"/>
          <w:color w:val="000000"/>
          <w:sz w:val="28"/>
          <w:szCs w:val="28"/>
        </w:rPr>
        <w:t>首</w:t>
      </w:r>
      <w:r>
        <w:rPr>
          <w:rFonts w:eastAsia="仿宋_GB2312"/>
          <w:color w:val="000000"/>
          <w:sz w:val="28"/>
          <w:szCs w:val="28"/>
        </w:rPr>
        <w:t>付款支付期限：</w:t>
      </w:r>
      <w:r>
        <w:rPr>
          <w:rFonts w:hint="eastAsia" w:eastAsia="仿宋_GB2312"/>
          <w:color w:val="000000"/>
          <w:sz w:val="28"/>
          <w:szCs w:val="28"/>
          <w:u w:val="single"/>
        </w:rPr>
        <w:t>/</w:t>
      </w:r>
      <w:r>
        <w:rPr>
          <w:rFonts w:eastAsia="仿宋_GB2312"/>
          <w:color w:val="000000"/>
          <w:sz w:val="28"/>
          <w:szCs w:val="28"/>
        </w:rPr>
        <w:t>。</w:t>
      </w:r>
    </w:p>
    <w:p w14:paraId="119FAD62">
      <w:pPr>
        <w:spacing w:line="500" w:lineRule="exact"/>
        <w:ind w:firstLine="560" w:firstLineChars="200"/>
        <w:jc w:val="left"/>
        <w:rPr>
          <w:rFonts w:eastAsia="仿宋_GB2312"/>
          <w:color w:val="000000"/>
          <w:sz w:val="28"/>
          <w:szCs w:val="28"/>
        </w:rPr>
      </w:pPr>
      <w:r>
        <w:rPr>
          <w:rFonts w:hint="eastAsia" w:eastAsia="仿宋_GB2312"/>
          <w:color w:val="000000"/>
          <w:sz w:val="28"/>
          <w:szCs w:val="28"/>
        </w:rPr>
        <w:t>首</w:t>
      </w:r>
      <w:r>
        <w:rPr>
          <w:rFonts w:eastAsia="仿宋_GB2312"/>
          <w:color w:val="000000"/>
          <w:sz w:val="28"/>
          <w:szCs w:val="28"/>
        </w:rPr>
        <w:t>付款扣回的方式：</w:t>
      </w:r>
      <w:r>
        <w:rPr>
          <w:rFonts w:hint="eastAsia" w:eastAsia="仿宋_GB2312"/>
          <w:color w:val="000000"/>
          <w:sz w:val="28"/>
          <w:szCs w:val="28"/>
          <w:u w:val="single"/>
        </w:rPr>
        <w:t>/</w:t>
      </w:r>
      <w:r>
        <w:rPr>
          <w:rFonts w:eastAsia="仿宋_GB2312"/>
          <w:color w:val="000000"/>
          <w:sz w:val="28"/>
          <w:szCs w:val="28"/>
        </w:rPr>
        <w:t>。</w:t>
      </w:r>
    </w:p>
    <w:p w14:paraId="35CB4A04">
      <w:pPr>
        <w:spacing w:line="500" w:lineRule="exact"/>
        <w:ind w:firstLine="560" w:firstLineChars="200"/>
        <w:jc w:val="left"/>
        <w:rPr>
          <w:rFonts w:eastAsia="仿宋_GB2312"/>
          <w:color w:val="000000"/>
          <w:sz w:val="28"/>
          <w:szCs w:val="28"/>
        </w:rPr>
      </w:pPr>
      <w:r>
        <w:rPr>
          <w:rFonts w:eastAsia="仿宋_GB2312"/>
          <w:color w:val="000000"/>
          <w:sz w:val="28"/>
          <w:szCs w:val="28"/>
        </w:rPr>
        <w:t xml:space="preserve">12.2.2 </w:t>
      </w:r>
      <w:r>
        <w:rPr>
          <w:rFonts w:hint="eastAsia" w:eastAsia="仿宋_GB2312"/>
          <w:color w:val="000000"/>
          <w:sz w:val="28"/>
          <w:szCs w:val="28"/>
        </w:rPr>
        <w:t>首</w:t>
      </w:r>
      <w:r>
        <w:rPr>
          <w:rFonts w:eastAsia="仿宋_GB2312"/>
          <w:color w:val="000000"/>
          <w:sz w:val="28"/>
          <w:szCs w:val="28"/>
        </w:rPr>
        <w:t>付款担保</w:t>
      </w:r>
    </w:p>
    <w:p w14:paraId="52E344E2">
      <w:pPr>
        <w:spacing w:line="500" w:lineRule="exact"/>
        <w:ind w:firstLine="560" w:firstLineChars="200"/>
        <w:jc w:val="left"/>
        <w:rPr>
          <w:rFonts w:eastAsia="仿宋_GB2312"/>
          <w:color w:val="000000"/>
          <w:sz w:val="28"/>
          <w:szCs w:val="28"/>
        </w:rPr>
      </w:pPr>
      <w:r>
        <w:rPr>
          <w:rFonts w:eastAsia="仿宋_GB2312"/>
          <w:color w:val="000000"/>
          <w:sz w:val="28"/>
          <w:szCs w:val="28"/>
        </w:rPr>
        <w:t>承包人提交</w:t>
      </w:r>
      <w:r>
        <w:rPr>
          <w:rFonts w:hint="eastAsia" w:eastAsia="仿宋_GB2312"/>
          <w:color w:val="000000"/>
          <w:sz w:val="28"/>
          <w:szCs w:val="28"/>
        </w:rPr>
        <w:t>首</w:t>
      </w:r>
      <w:r>
        <w:rPr>
          <w:rFonts w:eastAsia="仿宋_GB2312"/>
          <w:color w:val="000000"/>
          <w:sz w:val="28"/>
          <w:szCs w:val="28"/>
        </w:rPr>
        <w:t>付款担保的期限：</w:t>
      </w:r>
      <w:r>
        <w:rPr>
          <w:rFonts w:hint="eastAsia" w:eastAsia="仿宋_GB2312"/>
          <w:color w:val="000000"/>
          <w:sz w:val="28"/>
          <w:szCs w:val="28"/>
          <w:u w:val="single"/>
        </w:rPr>
        <w:t>/</w:t>
      </w:r>
      <w:r>
        <w:rPr>
          <w:rFonts w:eastAsia="仿宋_GB2312"/>
          <w:color w:val="000000"/>
          <w:sz w:val="28"/>
          <w:szCs w:val="28"/>
        </w:rPr>
        <w:t>。</w:t>
      </w:r>
    </w:p>
    <w:p w14:paraId="73D66C3D">
      <w:pPr>
        <w:spacing w:line="500" w:lineRule="exact"/>
        <w:ind w:firstLine="560" w:firstLineChars="200"/>
        <w:jc w:val="left"/>
        <w:rPr>
          <w:rFonts w:eastAsia="仿宋_GB2312"/>
          <w:color w:val="000000"/>
          <w:sz w:val="28"/>
          <w:szCs w:val="28"/>
        </w:rPr>
      </w:pPr>
      <w:r>
        <w:rPr>
          <w:rFonts w:hint="eastAsia" w:eastAsia="仿宋_GB2312"/>
          <w:color w:val="000000"/>
          <w:sz w:val="28"/>
          <w:szCs w:val="28"/>
        </w:rPr>
        <w:t>首</w:t>
      </w:r>
      <w:r>
        <w:rPr>
          <w:rFonts w:eastAsia="仿宋_GB2312"/>
          <w:color w:val="000000"/>
          <w:sz w:val="28"/>
          <w:szCs w:val="28"/>
        </w:rPr>
        <w:t>付款担保的形式为：</w:t>
      </w:r>
      <w:r>
        <w:rPr>
          <w:rFonts w:hint="eastAsia" w:eastAsia="仿宋_GB2312"/>
          <w:color w:val="000000"/>
          <w:sz w:val="28"/>
          <w:szCs w:val="28"/>
          <w:u w:val="single"/>
        </w:rPr>
        <w:t>/</w:t>
      </w:r>
      <w:r>
        <w:rPr>
          <w:rFonts w:eastAsia="仿宋_GB2312"/>
          <w:color w:val="000000"/>
          <w:sz w:val="28"/>
          <w:szCs w:val="28"/>
        </w:rPr>
        <w:t>。</w:t>
      </w:r>
    </w:p>
    <w:bookmarkEnd w:id="1552"/>
    <w:bookmarkEnd w:id="1553"/>
    <w:bookmarkEnd w:id="1554"/>
    <w:bookmarkEnd w:id="1555"/>
    <w:bookmarkEnd w:id="1556"/>
    <w:bookmarkEnd w:id="1557"/>
    <w:bookmarkEnd w:id="1558"/>
    <w:bookmarkEnd w:id="1559"/>
    <w:bookmarkEnd w:id="1560"/>
    <w:bookmarkEnd w:id="1561"/>
    <w:p w14:paraId="04034DB6">
      <w:pPr>
        <w:spacing w:after="120" w:line="500" w:lineRule="exact"/>
        <w:ind w:firstLine="560" w:firstLineChars="200"/>
        <w:rPr>
          <w:rFonts w:eastAsia="黑体"/>
          <w:color w:val="000000"/>
          <w:sz w:val="28"/>
          <w:szCs w:val="28"/>
        </w:rPr>
      </w:pPr>
      <w:r>
        <w:rPr>
          <w:rFonts w:eastAsia="黑体"/>
          <w:color w:val="000000"/>
          <w:sz w:val="28"/>
          <w:szCs w:val="28"/>
        </w:rPr>
        <w:t>12.3 计量</w:t>
      </w:r>
    </w:p>
    <w:p w14:paraId="0DC8E1D0">
      <w:pPr>
        <w:spacing w:line="500" w:lineRule="exact"/>
        <w:ind w:firstLine="560" w:firstLineChars="200"/>
        <w:jc w:val="left"/>
        <w:rPr>
          <w:rFonts w:eastAsia="仿宋_GB2312"/>
          <w:color w:val="000000"/>
          <w:sz w:val="28"/>
          <w:szCs w:val="28"/>
        </w:rPr>
      </w:pPr>
      <w:r>
        <w:rPr>
          <w:rFonts w:eastAsia="仿宋_GB2312"/>
          <w:color w:val="000000"/>
          <w:sz w:val="28"/>
          <w:szCs w:val="28"/>
        </w:rPr>
        <w:t>12.3.1 计量原则</w:t>
      </w:r>
    </w:p>
    <w:p w14:paraId="6E8B9FDB">
      <w:pPr>
        <w:spacing w:line="500" w:lineRule="exact"/>
        <w:ind w:firstLine="560" w:firstLineChars="200"/>
        <w:jc w:val="left"/>
        <w:rPr>
          <w:rFonts w:eastAsia="仿宋_GB2312"/>
          <w:color w:val="000000"/>
          <w:sz w:val="28"/>
          <w:szCs w:val="28"/>
        </w:rPr>
      </w:pPr>
      <w:r>
        <w:rPr>
          <w:rFonts w:eastAsia="仿宋_GB2312"/>
          <w:color w:val="000000"/>
          <w:sz w:val="28"/>
          <w:szCs w:val="28"/>
        </w:rPr>
        <w:t>工程量计算规则：</w:t>
      </w:r>
      <w:r>
        <w:rPr>
          <w:rFonts w:hint="eastAsia" w:eastAsia="仿宋_GB2312"/>
          <w:color w:val="000000"/>
          <w:sz w:val="28"/>
          <w:szCs w:val="28"/>
          <w:u w:val="single"/>
        </w:rPr>
        <w:t>按实际发生计量</w:t>
      </w:r>
      <w:r>
        <w:rPr>
          <w:rFonts w:eastAsia="仿宋_GB2312"/>
          <w:color w:val="000000"/>
          <w:sz w:val="28"/>
          <w:szCs w:val="28"/>
        </w:rPr>
        <w:t>。</w:t>
      </w:r>
    </w:p>
    <w:p w14:paraId="7D8096B5">
      <w:pPr>
        <w:spacing w:line="500" w:lineRule="exact"/>
        <w:ind w:firstLine="560" w:firstLineChars="200"/>
        <w:jc w:val="left"/>
        <w:rPr>
          <w:rFonts w:eastAsia="仿宋_GB2312"/>
          <w:color w:val="000000"/>
          <w:sz w:val="28"/>
          <w:szCs w:val="28"/>
        </w:rPr>
      </w:pPr>
      <w:r>
        <w:rPr>
          <w:rFonts w:eastAsia="仿宋_GB2312"/>
          <w:color w:val="000000"/>
          <w:sz w:val="28"/>
          <w:szCs w:val="28"/>
        </w:rPr>
        <w:t>12.3.2 计量周期</w:t>
      </w:r>
    </w:p>
    <w:p w14:paraId="49228B39">
      <w:pPr>
        <w:spacing w:line="500" w:lineRule="exact"/>
        <w:ind w:firstLine="560" w:firstLineChars="200"/>
        <w:jc w:val="left"/>
        <w:rPr>
          <w:rFonts w:eastAsia="仿宋_GB2312"/>
          <w:color w:val="000000"/>
          <w:sz w:val="28"/>
          <w:szCs w:val="28"/>
        </w:rPr>
      </w:pPr>
      <w:r>
        <w:rPr>
          <w:rFonts w:eastAsia="仿宋_GB2312"/>
          <w:color w:val="000000"/>
          <w:sz w:val="28"/>
          <w:szCs w:val="28"/>
        </w:rPr>
        <w:t>关于计量周期的约定：</w:t>
      </w:r>
      <w:r>
        <w:rPr>
          <w:rFonts w:hint="eastAsia" w:eastAsia="仿宋_GB2312"/>
          <w:color w:val="000000"/>
          <w:sz w:val="28"/>
          <w:szCs w:val="28"/>
          <w:u w:val="single"/>
        </w:rPr>
        <w:t>/</w:t>
      </w:r>
      <w:r>
        <w:rPr>
          <w:rFonts w:eastAsia="仿宋_GB2312"/>
          <w:color w:val="000000"/>
          <w:sz w:val="28"/>
          <w:szCs w:val="28"/>
        </w:rPr>
        <w:t>。</w:t>
      </w:r>
    </w:p>
    <w:p w14:paraId="4D43F215">
      <w:pPr>
        <w:spacing w:line="500" w:lineRule="exact"/>
        <w:ind w:firstLine="560" w:firstLineChars="200"/>
        <w:jc w:val="left"/>
        <w:rPr>
          <w:rFonts w:eastAsia="仿宋_GB2312"/>
          <w:color w:val="000000"/>
          <w:sz w:val="28"/>
          <w:szCs w:val="28"/>
        </w:rPr>
      </w:pPr>
      <w:r>
        <w:rPr>
          <w:rFonts w:eastAsia="仿宋_GB2312"/>
          <w:color w:val="000000"/>
          <w:sz w:val="28"/>
          <w:szCs w:val="28"/>
        </w:rPr>
        <w:t>12.3.3 单价合同的计量</w:t>
      </w:r>
    </w:p>
    <w:p w14:paraId="42AAEA71">
      <w:pPr>
        <w:spacing w:line="500" w:lineRule="exact"/>
        <w:ind w:firstLine="560" w:firstLineChars="200"/>
        <w:jc w:val="left"/>
        <w:rPr>
          <w:rFonts w:eastAsia="仿宋_GB2312"/>
          <w:color w:val="000000"/>
          <w:sz w:val="28"/>
          <w:szCs w:val="28"/>
        </w:rPr>
      </w:pPr>
      <w:r>
        <w:rPr>
          <w:rFonts w:eastAsia="仿宋_GB2312"/>
          <w:color w:val="000000"/>
          <w:sz w:val="28"/>
          <w:szCs w:val="28"/>
        </w:rPr>
        <w:t>关于单价合同计量的约定：</w:t>
      </w:r>
      <w:r>
        <w:rPr>
          <w:rFonts w:hint="eastAsia" w:eastAsia="仿宋_GB2312"/>
          <w:color w:val="000000"/>
          <w:sz w:val="28"/>
          <w:szCs w:val="28"/>
          <w:u w:val="single"/>
        </w:rPr>
        <w:t>发包人与承包人共同现场核实实际发生工程量，作为工程价款支付的依据。因承包人原因造成返工的工程量，不予计量</w:t>
      </w:r>
      <w:r>
        <w:rPr>
          <w:rFonts w:eastAsia="仿宋_GB2312"/>
          <w:color w:val="000000"/>
          <w:sz w:val="28"/>
          <w:szCs w:val="28"/>
        </w:rPr>
        <w:t>。</w:t>
      </w:r>
    </w:p>
    <w:p w14:paraId="31F0D096">
      <w:pPr>
        <w:spacing w:line="500" w:lineRule="exact"/>
        <w:ind w:firstLine="560" w:firstLineChars="200"/>
        <w:jc w:val="left"/>
        <w:rPr>
          <w:rFonts w:eastAsia="仿宋_GB2312"/>
          <w:color w:val="000000"/>
          <w:sz w:val="28"/>
          <w:szCs w:val="28"/>
        </w:rPr>
      </w:pPr>
      <w:r>
        <w:rPr>
          <w:rFonts w:eastAsia="仿宋_GB2312"/>
          <w:color w:val="000000"/>
          <w:sz w:val="28"/>
          <w:szCs w:val="28"/>
        </w:rPr>
        <w:t>12.3.4 总价合同的计量</w:t>
      </w:r>
    </w:p>
    <w:p w14:paraId="7E7ED4AB">
      <w:pPr>
        <w:spacing w:line="500" w:lineRule="exact"/>
        <w:ind w:firstLine="560" w:firstLineChars="200"/>
        <w:jc w:val="left"/>
        <w:rPr>
          <w:rFonts w:eastAsia="仿宋_GB2312"/>
          <w:color w:val="000000"/>
          <w:sz w:val="28"/>
          <w:szCs w:val="28"/>
        </w:rPr>
      </w:pPr>
      <w:r>
        <w:rPr>
          <w:rFonts w:eastAsia="仿宋_GB2312"/>
          <w:color w:val="000000"/>
          <w:sz w:val="28"/>
          <w:szCs w:val="28"/>
        </w:rPr>
        <w:t>关于总价合同计量的约定：</w:t>
      </w:r>
      <w:r>
        <w:rPr>
          <w:rFonts w:hint="eastAsia" w:eastAsia="仿宋_GB2312"/>
          <w:color w:val="000000"/>
          <w:sz w:val="28"/>
          <w:szCs w:val="28"/>
          <w:u w:val="single"/>
        </w:rPr>
        <w:t>/</w:t>
      </w:r>
      <w:r>
        <w:rPr>
          <w:rFonts w:eastAsia="仿宋_GB2312"/>
          <w:color w:val="000000"/>
          <w:sz w:val="28"/>
          <w:szCs w:val="28"/>
        </w:rPr>
        <w:t>。</w:t>
      </w:r>
    </w:p>
    <w:p w14:paraId="62B19D94">
      <w:pPr>
        <w:spacing w:line="500" w:lineRule="exact"/>
        <w:ind w:firstLine="560" w:firstLineChars="200"/>
        <w:jc w:val="left"/>
        <w:rPr>
          <w:rFonts w:eastAsia="仿宋_GB2312"/>
          <w:color w:val="000000"/>
          <w:sz w:val="28"/>
          <w:szCs w:val="28"/>
        </w:rPr>
      </w:pPr>
      <w:r>
        <w:rPr>
          <w:rFonts w:eastAsia="仿宋_GB2312"/>
          <w:color w:val="000000"/>
          <w:sz w:val="28"/>
          <w:szCs w:val="28"/>
        </w:rPr>
        <w:t>12.3.5总价合同采用支付分解表计量支付的，是否适用第</w:t>
      </w:r>
      <w:r>
        <w:rPr>
          <w:rFonts w:eastAsia="仿宋_GB2312"/>
          <w:color w:val="000000"/>
          <w:kern w:val="0"/>
          <w:sz w:val="28"/>
          <w:szCs w:val="28"/>
        </w:rPr>
        <w:t xml:space="preserve">12.3.4 </w:t>
      </w:r>
      <w:r>
        <w:rPr>
          <w:rFonts w:eastAsia="仿宋_GB2312"/>
          <w:color w:val="000000"/>
          <w:sz w:val="28"/>
          <w:szCs w:val="28"/>
        </w:rPr>
        <w:t>项</w:t>
      </w:r>
      <w:r>
        <w:rPr>
          <w:rFonts w:hint="eastAsia" w:eastAsia="仿宋_GB2312"/>
          <w:color w:val="000000"/>
          <w:kern w:val="0"/>
          <w:sz w:val="28"/>
          <w:szCs w:val="28"/>
        </w:rPr>
        <w:t>〔</w:t>
      </w:r>
      <w:r>
        <w:rPr>
          <w:rFonts w:eastAsia="仿宋_GB2312"/>
          <w:color w:val="000000"/>
          <w:kern w:val="0"/>
          <w:sz w:val="28"/>
          <w:szCs w:val="28"/>
        </w:rPr>
        <w:t>总价合同的计量</w:t>
      </w:r>
      <w:r>
        <w:rPr>
          <w:rFonts w:hint="eastAsia" w:eastAsia="仿宋_GB2312"/>
          <w:color w:val="000000"/>
          <w:kern w:val="0"/>
          <w:sz w:val="28"/>
          <w:szCs w:val="28"/>
        </w:rPr>
        <w:t>〕</w:t>
      </w:r>
      <w:r>
        <w:rPr>
          <w:rFonts w:eastAsia="仿宋_GB2312"/>
          <w:color w:val="000000"/>
          <w:sz w:val="28"/>
          <w:szCs w:val="28"/>
        </w:rPr>
        <w:t>约定</w:t>
      </w:r>
      <w:r>
        <w:rPr>
          <w:rFonts w:hint="eastAsia" w:eastAsia="仿宋_GB2312"/>
          <w:color w:val="000000"/>
          <w:sz w:val="28"/>
          <w:szCs w:val="28"/>
        </w:rPr>
        <w:t>进行计量：</w:t>
      </w:r>
      <w:r>
        <w:rPr>
          <w:rFonts w:hint="eastAsia" w:eastAsia="仿宋_GB2312"/>
          <w:color w:val="000000"/>
          <w:sz w:val="28"/>
          <w:szCs w:val="28"/>
          <w:u w:val="single"/>
        </w:rPr>
        <w:t>/</w:t>
      </w:r>
      <w:r>
        <w:rPr>
          <w:rFonts w:eastAsia="仿宋_GB2312"/>
          <w:color w:val="000000"/>
          <w:sz w:val="28"/>
          <w:szCs w:val="28"/>
        </w:rPr>
        <w:t>。</w:t>
      </w:r>
    </w:p>
    <w:p w14:paraId="52F7218A">
      <w:pPr>
        <w:spacing w:line="500" w:lineRule="exact"/>
        <w:ind w:firstLine="560" w:firstLineChars="200"/>
        <w:jc w:val="left"/>
        <w:rPr>
          <w:rFonts w:eastAsia="仿宋_GB2312"/>
          <w:color w:val="000000"/>
          <w:sz w:val="28"/>
          <w:szCs w:val="28"/>
        </w:rPr>
      </w:pPr>
      <w:r>
        <w:rPr>
          <w:rFonts w:eastAsia="仿宋_GB2312"/>
          <w:color w:val="000000"/>
          <w:sz w:val="28"/>
          <w:szCs w:val="28"/>
        </w:rPr>
        <w:t>12.3.6 其他价格形式合同的计量</w:t>
      </w:r>
    </w:p>
    <w:p w14:paraId="6DCE7EC0">
      <w:pPr>
        <w:spacing w:line="500" w:lineRule="exact"/>
        <w:jc w:val="left"/>
        <w:rPr>
          <w:rFonts w:eastAsia="仿宋_GB2312"/>
          <w:color w:val="000000"/>
          <w:sz w:val="28"/>
          <w:szCs w:val="28"/>
        </w:rPr>
      </w:pPr>
      <w:r>
        <w:rPr>
          <w:rFonts w:eastAsia="仿宋_GB2312"/>
          <w:color w:val="000000"/>
          <w:sz w:val="28"/>
          <w:szCs w:val="28"/>
        </w:rPr>
        <w:t>其他价格形式的计量方式和程序：</w:t>
      </w:r>
      <w:r>
        <w:rPr>
          <w:rFonts w:hint="eastAsia" w:eastAsia="仿宋_GB2312"/>
          <w:color w:val="000000"/>
          <w:sz w:val="28"/>
          <w:szCs w:val="28"/>
          <w:u w:val="single"/>
        </w:rPr>
        <w:t>/</w:t>
      </w:r>
      <w:r>
        <w:rPr>
          <w:rFonts w:eastAsia="仿宋_GB2312"/>
          <w:color w:val="000000"/>
          <w:sz w:val="28"/>
          <w:szCs w:val="28"/>
        </w:rPr>
        <w:t>。</w:t>
      </w:r>
    </w:p>
    <w:p w14:paraId="25E180DD">
      <w:pPr>
        <w:spacing w:after="120" w:line="500" w:lineRule="exact"/>
        <w:ind w:firstLine="560" w:firstLineChars="200"/>
        <w:rPr>
          <w:rFonts w:eastAsia="黑体"/>
          <w:color w:val="000000"/>
          <w:sz w:val="28"/>
          <w:szCs w:val="28"/>
        </w:rPr>
      </w:pPr>
      <w:r>
        <w:rPr>
          <w:rFonts w:eastAsia="黑体"/>
          <w:color w:val="000000"/>
          <w:sz w:val="28"/>
          <w:szCs w:val="28"/>
        </w:rPr>
        <w:t>12.4 工程进度款支付</w:t>
      </w:r>
    </w:p>
    <w:p w14:paraId="57197487">
      <w:pPr>
        <w:spacing w:line="500" w:lineRule="exact"/>
        <w:ind w:firstLine="560" w:firstLineChars="200"/>
        <w:jc w:val="left"/>
        <w:rPr>
          <w:rFonts w:eastAsia="仿宋_GB2312"/>
          <w:color w:val="000000"/>
          <w:sz w:val="28"/>
          <w:szCs w:val="28"/>
        </w:rPr>
      </w:pPr>
      <w:bookmarkStart w:id="1562" w:name="_Toc296347210"/>
      <w:bookmarkStart w:id="1563" w:name="_Toc297123556"/>
      <w:bookmarkStart w:id="1564" w:name="_Toc297120511"/>
      <w:bookmarkStart w:id="1565" w:name="_Toc292559921"/>
      <w:bookmarkStart w:id="1566" w:name="_Toc300935006"/>
      <w:bookmarkStart w:id="1567" w:name="_Toc296891039"/>
      <w:bookmarkStart w:id="1568" w:name="_Toc292559416"/>
      <w:bookmarkStart w:id="1569" w:name="_Toc297048397"/>
      <w:bookmarkStart w:id="1570" w:name="_Toc303539163"/>
      <w:bookmarkStart w:id="1571" w:name="_Toc296891251"/>
      <w:bookmarkStart w:id="1572" w:name="_Toc297216215"/>
      <w:bookmarkStart w:id="1573" w:name="_Toc296503211"/>
      <w:bookmarkStart w:id="1574" w:name="_Toc296944550"/>
      <w:bookmarkStart w:id="1575" w:name="_Toc296346712"/>
      <w:r>
        <w:rPr>
          <w:rFonts w:eastAsia="仿宋_GB2312"/>
          <w:color w:val="000000"/>
          <w:sz w:val="28"/>
          <w:szCs w:val="28"/>
        </w:rPr>
        <w:t>12.4.1 付款</w:t>
      </w:r>
      <w:r>
        <w:rPr>
          <w:rFonts w:hint="eastAsia" w:eastAsia="仿宋_GB2312"/>
          <w:color w:val="000000"/>
          <w:sz w:val="28"/>
          <w:szCs w:val="28"/>
        </w:rPr>
        <w:t>时间及方式</w:t>
      </w:r>
    </w:p>
    <w:p w14:paraId="06983B82">
      <w:pPr>
        <w:spacing w:line="360" w:lineRule="auto"/>
        <w:ind w:firstLine="520"/>
        <w:jc w:val="left"/>
        <w:rPr>
          <w:rFonts w:eastAsia="仿宋_GB2312"/>
          <w:color w:val="000000"/>
          <w:sz w:val="28"/>
          <w:szCs w:val="28"/>
          <w:u w:val="single"/>
        </w:rPr>
      </w:pPr>
      <w:r>
        <w:rPr>
          <w:rFonts w:hint="eastAsia" w:eastAsia="仿宋_GB2312"/>
          <w:color w:val="000000"/>
          <w:sz w:val="28"/>
          <w:szCs w:val="28"/>
          <w:u w:val="single"/>
        </w:rPr>
        <w:t>本工程价格最终以实际发生工作量及投标报价并经审计审定金额为准；投标报价中没有的项目，参考投标报价、投标基准期对应的信息价、市场价执行，此价款为甲方获得本协议项下服务支付的全部金额，除此之外，甲方无需向乙方支付任何其他费用。</w:t>
      </w:r>
    </w:p>
    <w:p w14:paraId="192FA340">
      <w:pPr>
        <w:spacing w:line="360" w:lineRule="auto"/>
        <w:ind w:firstLine="520"/>
        <w:jc w:val="left"/>
        <w:rPr>
          <w:rFonts w:eastAsia="仿宋_GB2312"/>
          <w:color w:val="000000"/>
          <w:sz w:val="28"/>
          <w:szCs w:val="28"/>
          <w:u w:val="single"/>
        </w:rPr>
      </w:pPr>
      <w:r>
        <w:rPr>
          <w:rFonts w:hint="eastAsia" w:eastAsia="仿宋_GB2312"/>
          <w:color w:val="000000"/>
          <w:sz w:val="28"/>
          <w:szCs w:val="28"/>
          <w:u w:val="single"/>
        </w:rPr>
        <w:t>工程竣工经甲方验收合格，甲方按第三方评审机构实际结算审定结果在第三方出具审定结果后甲方另行通知乙方办理结算手续，甲方届时按照审定金额支付全部款项。乙方应在甲方付款前15日内向甲方开具等额、合法的国家正规普通发票。</w:t>
      </w:r>
    </w:p>
    <w:p w14:paraId="53968A7E">
      <w:pPr>
        <w:spacing w:line="360" w:lineRule="auto"/>
        <w:ind w:firstLine="520"/>
        <w:jc w:val="left"/>
        <w:rPr>
          <w:rFonts w:eastAsia="仿宋_GB2312"/>
          <w:color w:val="000000"/>
          <w:sz w:val="28"/>
          <w:szCs w:val="28"/>
          <w:u w:val="single"/>
        </w:rPr>
      </w:pPr>
      <w:r>
        <w:rPr>
          <w:rFonts w:hint="eastAsia" w:eastAsia="仿宋_GB2312"/>
          <w:color w:val="000000"/>
          <w:sz w:val="28"/>
          <w:szCs w:val="28"/>
          <w:u w:val="single"/>
        </w:rPr>
        <w:t>2026年11月及2026年12月两处配电室巡检维护及电工巡检保障人工费甲方将提前于2026年12月15日前支付，乙方于2026年11月30日前交付50000元保证金。如遇未达到计划服务天数，按实际服务天数结算。如按约定完成服务，甲方将于2027年1月退还全额保证金。</w:t>
      </w:r>
    </w:p>
    <w:p w14:paraId="514BDF1C">
      <w:pPr>
        <w:spacing w:line="500" w:lineRule="exact"/>
        <w:ind w:firstLine="560" w:firstLineChars="200"/>
        <w:jc w:val="left"/>
        <w:rPr>
          <w:rFonts w:eastAsia="仿宋_GB2312"/>
          <w:color w:val="000000"/>
          <w:sz w:val="28"/>
          <w:szCs w:val="28"/>
        </w:rPr>
      </w:pPr>
      <w:r>
        <w:rPr>
          <w:rFonts w:eastAsia="仿宋_GB2312"/>
          <w:color w:val="000000"/>
          <w:sz w:val="28"/>
          <w:szCs w:val="28"/>
        </w:rPr>
        <w:t>12.4.2 进度付款申请单的编制</w:t>
      </w:r>
    </w:p>
    <w:p w14:paraId="66BB1F1E">
      <w:pPr>
        <w:spacing w:line="500" w:lineRule="exact"/>
        <w:ind w:firstLine="560" w:firstLineChars="200"/>
        <w:jc w:val="left"/>
        <w:rPr>
          <w:rFonts w:eastAsia="仿宋_GB2312"/>
          <w:color w:val="000000"/>
          <w:sz w:val="28"/>
          <w:szCs w:val="28"/>
        </w:rPr>
      </w:pPr>
      <w:r>
        <w:rPr>
          <w:rFonts w:eastAsia="仿宋_GB2312"/>
          <w:color w:val="000000"/>
          <w:sz w:val="28"/>
          <w:szCs w:val="28"/>
        </w:rPr>
        <w:t>关于进度付款申请单编制的约定：</w:t>
      </w:r>
      <w:r>
        <w:rPr>
          <w:rFonts w:hint="eastAsia" w:eastAsia="仿宋_GB2312"/>
          <w:color w:val="000000"/>
          <w:sz w:val="28"/>
          <w:szCs w:val="28"/>
          <w:u w:val="single"/>
        </w:rPr>
        <w:t>/</w:t>
      </w:r>
      <w:r>
        <w:rPr>
          <w:rFonts w:eastAsia="仿宋_GB2312"/>
          <w:color w:val="000000"/>
          <w:sz w:val="28"/>
          <w:szCs w:val="28"/>
        </w:rPr>
        <w:t>。</w:t>
      </w:r>
    </w:p>
    <w:p w14:paraId="33A5BBF5">
      <w:pPr>
        <w:spacing w:line="500" w:lineRule="exact"/>
        <w:ind w:firstLine="560" w:firstLineChars="200"/>
        <w:jc w:val="left"/>
        <w:rPr>
          <w:rFonts w:eastAsia="仿宋_GB2312"/>
          <w:color w:val="000000"/>
          <w:sz w:val="28"/>
          <w:szCs w:val="28"/>
        </w:rPr>
      </w:pPr>
      <w:r>
        <w:rPr>
          <w:rFonts w:eastAsia="仿宋_GB2312"/>
          <w:color w:val="000000"/>
          <w:sz w:val="28"/>
          <w:szCs w:val="28"/>
        </w:rPr>
        <w:t>1</w:t>
      </w:r>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r>
        <w:rPr>
          <w:rFonts w:eastAsia="仿宋_GB2312"/>
          <w:color w:val="000000"/>
          <w:sz w:val="28"/>
          <w:szCs w:val="28"/>
        </w:rPr>
        <w:t>2.4.3 进度付款申请单的提交</w:t>
      </w:r>
    </w:p>
    <w:p w14:paraId="78287BB8">
      <w:pPr>
        <w:spacing w:line="500" w:lineRule="exact"/>
        <w:ind w:firstLine="560" w:firstLineChars="200"/>
        <w:jc w:val="left"/>
        <w:rPr>
          <w:rFonts w:eastAsia="仿宋_GB2312"/>
          <w:color w:val="000000"/>
          <w:sz w:val="28"/>
          <w:szCs w:val="28"/>
        </w:rPr>
      </w:pPr>
      <w:r>
        <w:rPr>
          <w:rFonts w:eastAsia="仿宋_GB2312"/>
          <w:color w:val="000000"/>
          <w:sz w:val="28"/>
          <w:szCs w:val="28"/>
        </w:rPr>
        <w:t>（1）单价合同进度付款申请单提交的约定</w:t>
      </w:r>
      <w:r>
        <w:rPr>
          <w:rFonts w:hint="eastAsia" w:eastAsia="仿宋_GB2312"/>
          <w:color w:val="000000"/>
          <w:sz w:val="28"/>
          <w:szCs w:val="28"/>
        </w:rPr>
        <w:t>：</w:t>
      </w:r>
      <w:r>
        <w:rPr>
          <w:rFonts w:hint="eastAsia" w:eastAsia="仿宋_GB2312"/>
          <w:color w:val="000000"/>
          <w:sz w:val="28"/>
          <w:szCs w:val="28"/>
          <w:u w:val="single"/>
        </w:rPr>
        <w:t>/</w:t>
      </w:r>
      <w:r>
        <w:rPr>
          <w:rFonts w:eastAsia="仿宋_GB2312"/>
          <w:color w:val="000000"/>
          <w:sz w:val="28"/>
          <w:szCs w:val="28"/>
        </w:rPr>
        <w:t>。</w:t>
      </w:r>
    </w:p>
    <w:p w14:paraId="441F3A41">
      <w:pPr>
        <w:spacing w:line="500" w:lineRule="exact"/>
        <w:ind w:firstLine="560" w:firstLineChars="200"/>
        <w:jc w:val="left"/>
        <w:rPr>
          <w:rFonts w:eastAsia="仿宋_GB2312"/>
          <w:color w:val="000000"/>
          <w:sz w:val="28"/>
          <w:szCs w:val="28"/>
        </w:rPr>
      </w:pPr>
      <w:r>
        <w:rPr>
          <w:rFonts w:eastAsia="仿宋_GB2312"/>
          <w:color w:val="000000"/>
          <w:sz w:val="28"/>
          <w:szCs w:val="28"/>
        </w:rPr>
        <w:t>（2）总价合同进度付款申请单提交的约定</w:t>
      </w:r>
      <w:r>
        <w:rPr>
          <w:rFonts w:hint="eastAsia" w:eastAsia="仿宋_GB2312"/>
          <w:color w:val="000000"/>
          <w:sz w:val="28"/>
          <w:szCs w:val="28"/>
        </w:rPr>
        <w:t>：</w:t>
      </w:r>
      <w:r>
        <w:rPr>
          <w:rFonts w:hint="eastAsia" w:eastAsia="仿宋_GB2312"/>
          <w:color w:val="000000"/>
          <w:sz w:val="28"/>
          <w:szCs w:val="28"/>
          <w:u w:val="single"/>
        </w:rPr>
        <w:t>/</w:t>
      </w:r>
      <w:r>
        <w:rPr>
          <w:rFonts w:eastAsia="仿宋_GB2312"/>
          <w:color w:val="000000"/>
          <w:sz w:val="28"/>
          <w:szCs w:val="28"/>
        </w:rPr>
        <w:t>。</w:t>
      </w:r>
    </w:p>
    <w:p w14:paraId="7D0AA58D">
      <w:pPr>
        <w:spacing w:line="500" w:lineRule="exact"/>
        <w:ind w:firstLine="560" w:firstLineChars="200"/>
        <w:jc w:val="left"/>
        <w:rPr>
          <w:rFonts w:eastAsia="仿宋_GB2312"/>
          <w:color w:val="000000"/>
          <w:sz w:val="28"/>
          <w:szCs w:val="28"/>
        </w:rPr>
      </w:pPr>
      <w:r>
        <w:rPr>
          <w:rFonts w:eastAsia="仿宋_GB2312"/>
          <w:color w:val="000000"/>
          <w:sz w:val="28"/>
          <w:szCs w:val="28"/>
        </w:rPr>
        <w:t>（3）其他价格形式合同进度付款申请单提交的约定：</w:t>
      </w:r>
      <w:r>
        <w:rPr>
          <w:rFonts w:hint="eastAsia" w:eastAsia="仿宋_GB2312"/>
          <w:color w:val="000000"/>
          <w:sz w:val="28"/>
          <w:szCs w:val="28"/>
          <w:u w:val="single"/>
        </w:rPr>
        <w:t>/</w:t>
      </w:r>
      <w:r>
        <w:rPr>
          <w:rFonts w:eastAsia="仿宋_GB2312"/>
          <w:color w:val="000000"/>
          <w:sz w:val="28"/>
          <w:szCs w:val="28"/>
        </w:rPr>
        <w:t>。</w:t>
      </w:r>
    </w:p>
    <w:p w14:paraId="1C7E1F8A">
      <w:pPr>
        <w:spacing w:line="500" w:lineRule="exact"/>
        <w:ind w:firstLine="560" w:firstLineChars="200"/>
        <w:jc w:val="left"/>
        <w:rPr>
          <w:rFonts w:eastAsia="仿宋_GB2312"/>
          <w:color w:val="000000"/>
          <w:sz w:val="28"/>
          <w:szCs w:val="28"/>
        </w:rPr>
      </w:pPr>
      <w:r>
        <w:rPr>
          <w:rFonts w:eastAsia="仿宋_GB2312"/>
          <w:color w:val="000000"/>
          <w:sz w:val="28"/>
          <w:szCs w:val="28"/>
        </w:rPr>
        <w:t>12.4.4 进度款审核和支付</w:t>
      </w:r>
    </w:p>
    <w:p w14:paraId="2D8CBACA">
      <w:pPr>
        <w:spacing w:line="500" w:lineRule="exact"/>
        <w:ind w:firstLine="560" w:firstLineChars="200"/>
        <w:jc w:val="left"/>
        <w:rPr>
          <w:rFonts w:eastAsia="仿宋_GB2312"/>
          <w:color w:val="000000"/>
          <w:sz w:val="28"/>
          <w:szCs w:val="28"/>
          <w:u w:val="single"/>
        </w:rPr>
      </w:pPr>
      <w:r>
        <w:rPr>
          <w:rFonts w:eastAsia="仿宋_GB2312"/>
          <w:color w:val="000000"/>
          <w:sz w:val="28"/>
          <w:szCs w:val="28"/>
        </w:rPr>
        <w:t>（1）监理人审查并报送发包人的期限：</w:t>
      </w:r>
      <w:r>
        <w:rPr>
          <w:rFonts w:hint="eastAsia" w:eastAsia="仿宋_GB2312"/>
          <w:color w:val="000000"/>
          <w:sz w:val="28"/>
          <w:szCs w:val="28"/>
          <w:u w:val="single"/>
        </w:rPr>
        <w:t>/</w:t>
      </w:r>
      <w:r>
        <w:rPr>
          <w:rFonts w:eastAsia="仿宋_GB2312"/>
          <w:color w:val="000000"/>
          <w:sz w:val="28"/>
          <w:szCs w:val="28"/>
        </w:rPr>
        <w:t>。</w:t>
      </w:r>
    </w:p>
    <w:p w14:paraId="0AE6A011">
      <w:pPr>
        <w:spacing w:line="500" w:lineRule="exact"/>
        <w:ind w:firstLine="560" w:firstLineChars="200"/>
        <w:jc w:val="left"/>
        <w:rPr>
          <w:rFonts w:eastAsia="仿宋_GB2312"/>
          <w:color w:val="000000"/>
          <w:sz w:val="28"/>
          <w:szCs w:val="28"/>
        </w:rPr>
      </w:pPr>
      <w:r>
        <w:rPr>
          <w:rFonts w:eastAsia="仿宋_GB2312"/>
          <w:color w:val="000000"/>
          <w:sz w:val="28"/>
          <w:szCs w:val="28"/>
        </w:rPr>
        <w:t>发包人完成审批并签发进度款支付证书的期限：</w:t>
      </w:r>
      <w:r>
        <w:rPr>
          <w:rFonts w:hint="eastAsia" w:eastAsia="仿宋_GB2312"/>
          <w:color w:val="000000"/>
          <w:sz w:val="28"/>
          <w:szCs w:val="28"/>
          <w:u w:val="single"/>
        </w:rPr>
        <w:t>/</w:t>
      </w:r>
      <w:r>
        <w:rPr>
          <w:rFonts w:eastAsia="仿宋_GB2312"/>
          <w:color w:val="000000"/>
          <w:sz w:val="28"/>
          <w:szCs w:val="28"/>
        </w:rPr>
        <w:t>。</w:t>
      </w:r>
    </w:p>
    <w:p w14:paraId="4C9766FE">
      <w:pPr>
        <w:spacing w:line="500" w:lineRule="exact"/>
        <w:ind w:firstLine="560" w:firstLineChars="200"/>
        <w:jc w:val="left"/>
        <w:rPr>
          <w:rFonts w:eastAsia="仿宋_GB2312"/>
          <w:color w:val="000000"/>
          <w:sz w:val="28"/>
          <w:szCs w:val="28"/>
        </w:rPr>
      </w:pPr>
      <w:r>
        <w:rPr>
          <w:rFonts w:eastAsia="仿宋_GB2312"/>
          <w:color w:val="000000"/>
          <w:sz w:val="28"/>
          <w:szCs w:val="28"/>
        </w:rPr>
        <w:t>（2）发包人支付进度款的期限：</w:t>
      </w:r>
      <w:r>
        <w:rPr>
          <w:rFonts w:hint="eastAsia" w:eastAsia="仿宋_GB2312"/>
          <w:color w:val="000000"/>
          <w:sz w:val="28"/>
          <w:szCs w:val="28"/>
          <w:u w:val="single"/>
        </w:rPr>
        <w:t>/</w:t>
      </w:r>
      <w:r>
        <w:rPr>
          <w:rFonts w:eastAsia="仿宋_GB2312"/>
          <w:color w:val="000000"/>
          <w:sz w:val="28"/>
          <w:szCs w:val="28"/>
        </w:rPr>
        <w:t>。</w:t>
      </w:r>
    </w:p>
    <w:p w14:paraId="67570EAA">
      <w:pPr>
        <w:spacing w:line="500" w:lineRule="exact"/>
        <w:ind w:firstLine="560" w:firstLineChars="200"/>
        <w:jc w:val="left"/>
        <w:rPr>
          <w:rFonts w:eastAsia="仿宋_GB2312"/>
          <w:color w:val="000000"/>
          <w:sz w:val="28"/>
          <w:szCs w:val="28"/>
        </w:rPr>
      </w:pPr>
      <w:r>
        <w:rPr>
          <w:rFonts w:eastAsia="仿宋_GB2312"/>
          <w:color w:val="000000"/>
          <w:sz w:val="28"/>
          <w:szCs w:val="28"/>
        </w:rPr>
        <w:t>发包人逾期支付进度款的违约金的计算方式：</w:t>
      </w:r>
      <w:r>
        <w:rPr>
          <w:rFonts w:hint="eastAsia" w:eastAsia="仿宋_GB2312"/>
          <w:color w:val="000000"/>
          <w:sz w:val="28"/>
          <w:szCs w:val="28"/>
          <w:u w:val="single"/>
        </w:rPr>
        <w:t>/</w:t>
      </w:r>
      <w:r>
        <w:rPr>
          <w:rFonts w:eastAsia="仿宋_GB2312"/>
          <w:color w:val="000000"/>
          <w:sz w:val="28"/>
          <w:szCs w:val="28"/>
        </w:rPr>
        <w:t>。</w:t>
      </w:r>
    </w:p>
    <w:p w14:paraId="11DA7B48">
      <w:pPr>
        <w:spacing w:line="500" w:lineRule="exact"/>
        <w:ind w:firstLine="700" w:firstLineChars="250"/>
        <w:jc w:val="left"/>
        <w:rPr>
          <w:rFonts w:eastAsia="仿宋_GB2312"/>
          <w:color w:val="000000"/>
          <w:sz w:val="28"/>
          <w:szCs w:val="28"/>
        </w:rPr>
      </w:pPr>
      <w:r>
        <w:rPr>
          <w:rFonts w:eastAsia="仿宋_GB2312"/>
          <w:color w:val="000000"/>
          <w:sz w:val="28"/>
          <w:szCs w:val="28"/>
        </w:rPr>
        <w:t>12.4.6 支付分解表的编制</w:t>
      </w:r>
    </w:p>
    <w:p w14:paraId="05B845BD">
      <w:pPr>
        <w:spacing w:line="500" w:lineRule="exact"/>
        <w:ind w:left="5636" w:leftChars="284" w:hanging="5040" w:hangingChars="1800"/>
        <w:jc w:val="left"/>
        <w:rPr>
          <w:rFonts w:eastAsia="仿宋_GB2312"/>
          <w:color w:val="000000"/>
          <w:sz w:val="28"/>
          <w:szCs w:val="28"/>
        </w:rPr>
      </w:pPr>
      <w:r>
        <w:rPr>
          <w:rFonts w:eastAsia="仿宋_GB2312"/>
          <w:color w:val="000000"/>
          <w:sz w:val="28"/>
          <w:szCs w:val="28"/>
        </w:rPr>
        <w:t>2、总价合同支付分解表的编制与审批：</w:t>
      </w:r>
      <w:r>
        <w:rPr>
          <w:rFonts w:hint="eastAsia" w:eastAsia="仿宋_GB2312"/>
          <w:color w:val="000000"/>
          <w:sz w:val="28"/>
          <w:szCs w:val="28"/>
          <w:u w:val="single"/>
        </w:rPr>
        <w:t>/</w:t>
      </w:r>
      <w:r>
        <w:rPr>
          <w:rFonts w:eastAsia="仿宋_GB2312"/>
          <w:color w:val="000000"/>
          <w:sz w:val="28"/>
          <w:szCs w:val="28"/>
        </w:rPr>
        <w:t>。</w:t>
      </w:r>
    </w:p>
    <w:p w14:paraId="09580934">
      <w:pPr>
        <w:spacing w:line="500" w:lineRule="exact"/>
        <w:ind w:firstLine="560" w:firstLineChars="200"/>
        <w:jc w:val="left"/>
        <w:rPr>
          <w:rFonts w:eastAsia="仿宋_GB2312"/>
          <w:color w:val="000000"/>
          <w:sz w:val="28"/>
          <w:szCs w:val="28"/>
        </w:rPr>
      </w:pPr>
      <w:r>
        <w:rPr>
          <w:rFonts w:eastAsia="仿宋_GB2312"/>
          <w:color w:val="000000"/>
          <w:sz w:val="28"/>
          <w:szCs w:val="28"/>
        </w:rPr>
        <w:t>3、单价合同的总价项目支付分解表的编制与审批：</w:t>
      </w:r>
      <w:r>
        <w:rPr>
          <w:rFonts w:hint="eastAsia" w:eastAsia="仿宋_GB2312"/>
          <w:color w:val="000000"/>
          <w:sz w:val="28"/>
          <w:szCs w:val="28"/>
          <w:u w:val="single"/>
        </w:rPr>
        <w:t>/</w:t>
      </w:r>
      <w:r>
        <w:rPr>
          <w:rFonts w:eastAsia="仿宋_GB2312"/>
          <w:color w:val="000000"/>
          <w:sz w:val="28"/>
          <w:szCs w:val="28"/>
        </w:rPr>
        <w:t>。</w:t>
      </w:r>
    </w:p>
    <w:bookmarkEnd w:id="1405"/>
    <w:p w14:paraId="1165C372">
      <w:pPr>
        <w:pStyle w:val="6"/>
        <w:spacing w:before="120" w:after="120" w:line="500" w:lineRule="exact"/>
        <w:rPr>
          <w:rFonts w:ascii="Times New Roman" w:hAnsi="Times New Roman"/>
          <w:b w:val="0"/>
          <w:color w:val="000000"/>
        </w:rPr>
      </w:pPr>
      <w:bookmarkStart w:id="1576" w:name="_Toc351203645"/>
      <w:bookmarkStart w:id="1577" w:name="_Toc292559929"/>
      <w:bookmarkStart w:id="1578" w:name="_Toc300935015"/>
      <w:bookmarkStart w:id="1579" w:name="_Toc292559424"/>
      <w:bookmarkStart w:id="1580" w:name="_Toc312678053"/>
      <w:bookmarkStart w:id="1581" w:name="_Toc296503219"/>
      <w:bookmarkStart w:id="1582" w:name="_Toc296944558"/>
      <w:bookmarkStart w:id="1583" w:name="_Toc297123564"/>
      <w:bookmarkStart w:id="1584" w:name="_Toc296346720"/>
      <w:bookmarkStart w:id="1585" w:name="_Toc297120519"/>
      <w:bookmarkStart w:id="1586" w:name="_Toc296891047"/>
      <w:bookmarkStart w:id="1587" w:name="_Toc297048405"/>
      <w:bookmarkStart w:id="1588" w:name="_Toc304295593"/>
      <w:bookmarkStart w:id="1589" w:name="_Toc296347218"/>
      <w:bookmarkStart w:id="1590" w:name="_Toc303539172"/>
      <w:bookmarkStart w:id="1591" w:name="_Toc296891259"/>
      <w:bookmarkStart w:id="1592" w:name="_Toc297216223"/>
      <w:r>
        <w:rPr>
          <w:rFonts w:ascii="Times New Roman" w:hAnsi="Times New Roman"/>
          <w:b w:val="0"/>
          <w:color w:val="000000"/>
        </w:rPr>
        <w:t>13.</w:t>
      </w:r>
      <w:r>
        <w:rPr>
          <w:rFonts w:hint="eastAsia" w:ascii="Times New Roman" w:hAnsi="Times New Roman"/>
          <w:b w:val="0"/>
          <w:color w:val="000000"/>
        </w:rPr>
        <w:t xml:space="preserve"> </w:t>
      </w:r>
      <w:r>
        <w:rPr>
          <w:rFonts w:ascii="Times New Roman" w:hAnsi="Times New Roman"/>
          <w:b w:val="0"/>
          <w:color w:val="000000"/>
        </w:rPr>
        <w:t>验收和工程试车</w:t>
      </w:r>
      <w:bookmarkEnd w:id="1576"/>
    </w:p>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p w14:paraId="08079EB2">
      <w:pPr>
        <w:spacing w:after="120" w:line="500" w:lineRule="exact"/>
        <w:ind w:firstLine="560" w:firstLineChars="200"/>
        <w:rPr>
          <w:rFonts w:eastAsia="黑体"/>
          <w:color w:val="000000"/>
          <w:sz w:val="28"/>
          <w:szCs w:val="28"/>
        </w:rPr>
      </w:pPr>
      <w:r>
        <w:rPr>
          <w:rFonts w:eastAsia="黑体"/>
          <w:color w:val="000000"/>
          <w:sz w:val="28"/>
          <w:szCs w:val="28"/>
        </w:rPr>
        <w:t>13.1 分部分项工程验收</w:t>
      </w:r>
    </w:p>
    <w:p w14:paraId="275FC192">
      <w:pPr>
        <w:spacing w:line="500" w:lineRule="exact"/>
        <w:ind w:firstLine="560" w:firstLineChars="200"/>
        <w:jc w:val="left"/>
        <w:rPr>
          <w:rFonts w:eastAsia="仿宋_GB2312"/>
          <w:sz w:val="28"/>
          <w:szCs w:val="28"/>
        </w:rPr>
      </w:pPr>
      <w:r>
        <w:rPr>
          <w:rFonts w:eastAsia="仿宋_GB2312"/>
          <w:sz w:val="28"/>
          <w:szCs w:val="28"/>
        </w:rPr>
        <w:t>13.1.2监理人不能按时进行验收时，应提前</w:t>
      </w:r>
      <w:r>
        <w:rPr>
          <w:rFonts w:hint="eastAsia" w:eastAsia="仿宋_GB2312"/>
          <w:sz w:val="28"/>
          <w:szCs w:val="28"/>
          <w:u w:val="single"/>
        </w:rPr>
        <w:t>/</w:t>
      </w:r>
      <w:r>
        <w:rPr>
          <w:rFonts w:eastAsia="仿宋_GB2312"/>
          <w:sz w:val="28"/>
          <w:szCs w:val="28"/>
        </w:rPr>
        <w:t>小时提交书面延期要求。</w:t>
      </w:r>
    </w:p>
    <w:p w14:paraId="1F91CCA4">
      <w:pPr>
        <w:spacing w:line="500" w:lineRule="exact"/>
        <w:ind w:firstLine="560" w:firstLineChars="200"/>
        <w:jc w:val="left"/>
        <w:rPr>
          <w:rFonts w:eastAsia="仿宋_GB2312"/>
          <w:b/>
          <w:color w:val="000000"/>
          <w:sz w:val="28"/>
          <w:szCs w:val="28"/>
        </w:rPr>
      </w:pPr>
      <w:r>
        <w:rPr>
          <w:rFonts w:eastAsia="仿宋_GB2312"/>
          <w:sz w:val="28"/>
          <w:szCs w:val="28"/>
        </w:rPr>
        <w:t>关于延期最长不得超过：</w:t>
      </w:r>
      <w:r>
        <w:rPr>
          <w:rFonts w:hint="eastAsia" w:eastAsia="仿宋_GB2312"/>
          <w:sz w:val="28"/>
          <w:szCs w:val="28"/>
          <w:u w:val="single"/>
        </w:rPr>
        <w:t>/</w:t>
      </w:r>
      <w:r>
        <w:rPr>
          <w:rFonts w:eastAsia="仿宋_GB2312"/>
          <w:sz w:val="28"/>
          <w:szCs w:val="28"/>
        </w:rPr>
        <w:t>小时。</w:t>
      </w:r>
    </w:p>
    <w:p w14:paraId="376477CF">
      <w:pPr>
        <w:spacing w:after="120" w:line="500" w:lineRule="exact"/>
        <w:ind w:firstLine="560" w:firstLineChars="200"/>
        <w:rPr>
          <w:rFonts w:eastAsia="黑体"/>
          <w:color w:val="000000"/>
          <w:sz w:val="28"/>
          <w:szCs w:val="28"/>
        </w:rPr>
      </w:pPr>
      <w:bookmarkStart w:id="1593" w:name="_Toc296944562"/>
      <w:bookmarkStart w:id="1594" w:name="_Toc296346724"/>
      <w:bookmarkStart w:id="1595" w:name="_Toc296347222"/>
      <w:bookmarkStart w:id="1596" w:name="_Toc296891263"/>
      <w:bookmarkStart w:id="1597" w:name="_Toc303539173"/>
      <w:bookmarkStart w:id="1598" w:name="_Toc300935016"/>
      <w:bookmarkStart w:id="1599" w:name="_Toc296503223"/>
      <w:bookmarkStart w:id="1600" w:name="_Toc292559933"/>
      <w:bookmarkStart w:id="1601" w:name="_Toc297048409"/>
      <w:bookmarkStart w:id="1602" w:name="_Toc304295596"/>
      <w:bookmarkStart w:id="1603" w:name="_Toc297216224"/>
      <w:bookmarkStart w:id="1604" w:name="_Toc297123565"/>
      <w:bookmarkStart w:id="1605" w:name="_Toc297120523"/>
      <w:bookmarkStart w:id="1606" w:name="_Toc292559428"/>
      <w:bookmarkStart w:id="1607" w:name="_Toc296891051"/>
      <w:bookmarkStart w:id="1608" w:name="_Toc312678056"/>
      <w:bookmarkStart w:id="1609" w:name="_Toc267251474"/>
      <w:bookmarkStart w:id="1610" w:name="_Toc267251476"/>
      <w:bookmarkStart w:id="1611" w:name="_Toc267251475"/>
      <w:bookmarkStart w:id="1612" w:name="_Toc267251471"/>
      <w:bookmarkStart w:id="1613" w:name="_Toc267251472"/>
      <w:bookmarkStart w:id="1614" w:name="_Toc267251470"/>
      <w:bookmarkStart w:id="1615" w:name="_Toc267251473"/>
      <w:r>
        <w:rPr>
          <w:rFonts w:eastAsia="黑体"/>
          <w:color w:val="000000"/>
          <w:sz w:val="28"/>
          <w:szCs w:val="28"/>
        </w:rPr>
        <w:t>13.2 竣工验收</w:t>
      </w:r>
    </w:p>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p w14:paraId="24551DF0">
      <w:pPr>
        <w:spacing w:line="500" w:lineRule="exact"/>
        <w:ind w:firstLine="560" w:firstLineChars="200"/>
        <w:jc w:val="left"/>
        <w:rPr>
          <w:rFonts w:eastAsia="仿宋_GB2312"/>
          <w:color w:val="000000"/>
          <w:sz w:val="28"/>
          <w:szCs w:val="28"/>
        </w:rPr>
      </w:pPr>
      <w:bookmarkStart w:id="1616" w:name="_Toc280868704"/>
      <w:bookmarkStart w:id="1617" w:name="_Toc280868705"/>
      <w:bookmarkStart w:id="1618" w:name="_Toc280868706"/>
      <w:bookmarkStart w:id="1619" w:name="_Toc280868707"/>
      <w:bookmarkStart w:id="1620" w:name="_Toc280868708"/>
      <w:bookmarkStart w:id="1621" w:name="_Toc280868709"/>
      <w:r>
        <w:rPr>
          <w:rFonts w:eastAsia="仿宋_GB2312"/>
          <w:color w:val="000000"/>
          <w:sz w:val="28"/>
          <w:szCs w:val="28"/>
        </w:rPr>
        <w:t>13.2.2竣工验收程序</w:t>
      </w:r>
    </w:p>
    <w:bookmarkEnd w:id="1616"/>
    <w:p w14:paraId="706A3C94">
      <w:pPr>
        <w:spacing w:line="500" w:lineRule="exact"/>
        <w:ind w:left="5636" w:leftChars="284" w:hanging="5040" w:hangingChars="1800"/>
        <w:jc w:val="left"/>
        <w:rPr>
          <w:rFonts w:eastAsia="仿宋_GB2312"/>
          <w:color w:val="000000"/>
          <w:sz w:val="28"/>
          <w:szCs w:val="28"/>
        </w:rPr>
      </w:pPr>
      <w:r>
        <w:rPr>
          <w:rFonts w:eastAsia="仿宋_GB2312"/>
          <w:color w:val="000000"/>
          <w:kern w:val="0"/>
          <w:sz w:val="28"/>
          <w:szCs w:val="28"/>
        </w:rPr>
        <w:t>关于竣工验收程序的约定：</w:t>
      </w:r>
      <w:r>
        <w:rPr>
          <w:rFonts w:hint="eastAsia" w:eastAsia="仿宋_GB2312"/>
          <w:color w:val="000000"/>
          <w:sz w:val="28"/>
          <w:szCs w:val="28"/>
          <w:u w:val="single"/>
        </w:rPr>
        <w:t>/</w:t>
      </w:r>
      <w:r>
        <w:rPr>
          <w:rFonts w:eastAsia="仿宋_GB2312"/>
          <w:color w:val="000000"/>
          <w:sz w:val="28"/>
          <w:szCs w:val="28"/>
        </w:rPr>
        <w:t>。</w:t>
      </w:r>
    </w:p>
    <w:p w14:paraId="36A2E30A">
      <w:pPr>
        <w:spacing w:line="500" w:lineRule="exact"/>
        <w:ind w:firstLine="560" w:firstLineChars="200"/>
        <w:jc w:val="left"/>
        <w:rPr>
          <w:rFonts w:eastAsia="仿宋_GB2312"/>
          <w:color w:val="000000"/>
          <w:sz w:val="28"/>
          <w:szCs w:val="28"/>
        </w:rPr>
      </w:pPr>
      <w:r>
        <w:rPr>
          <w:rFonts w:eastAsia="仿宋_GB2312"/>
          <w:color w:val="000000"/>
          <w:kern w:val="0"/>
          <w:sz w:val="28"/>
          <w:szCs w:val="28"/>
        </w:rPr>
        <w:t>发包人不按照本项约定组织竣工验收、颁发工程接收证书的违约金的计算方法：</w:t>
      </w:r>
      <w:r>
        <w:rPr>
          <w:rFonts w:hint="eastAsia" w:eastAsia="仿宋_GB2312"/>
          <w:color w:val="000000"/>
          <w:sz w:val="28"/>
          <w:szCs w:val="28"/>
          <w:u w:val="single"/>
        </w:rPr>
        <w:t>/</w:t>
      </w:r>
      <w:r>
        <w:rPr>
          <w:rFonts w:eastAsia="仿宋_GB2312"/>
          <w:color w:val="000000"/>
          <w:sz w:val="28"/>
          <w:szCs w:val="28"/>
        </w:rPr>
        <w:t>。</w:t>
      </w:r>
    </w:p>
    <w:bookmarkEnd w:id="1617"/>
    <w:p w14:paraId="21ECD86B">
      <w:pPr>
        <w:spacing w:line="500" w:lineRule="exact"/>
        <w:ind w:firstLine="560" w:firstLineChars="200"/>
        <w:jc w:val="left"/>
        <w:rPr>
          <w:rFonts w:eastAsia="仿宋_GB2312"/>
          <w:color w:val="000000"/>
          <w:sz w:val="28"/>
          <w:szCs w:val="28"/>
        </w:rPr>
      </w:pPr>
      <w:r>
        <w:rPr>
          <w:rFonts w:eastAsia="仿宋_GB2312"/>
          <w:color w:val="000000"/>
          <w:sz w:val="28"/>
          <w:szCs w:val="28"/>
        </w:rPr>
        <w:t>13.2.5移交、接收全部与部分工程</w:t>
      </w:r>
    </w:p>
    <w:bookmarkEnd w:id="1618"/>
    <w:p w14:paraId="163735EC">
      <w:pPr>
        <w:spacing w:line="500" w:lineRule="exact"/>
        <w:ind w:firstLine="560" w:firstLineChars="200"/>
        <w:jc w:val="left"/>
        <w:rPr>
          <w:rFonts w:eastAsia="仿宋_GB2312"/>
          <w:color w:val="000000"/>
          <w:kern w:val="0"/>
          <w:sz w:val="28"/>
          <w:szCs w:val="28"/>
        </w:rPr>
      </w:pPr>
      <w:r>
        <w:rPr>
          <w:rFonts w:hint="eastAsia" w:eastAsia="仿宋_GB2312"/>
          <w:color w:val="000000"/>
          <w:kern w:val="0"/>
          <w:sz w:val="28"/>
          <w:szCs w:val="28"/>
        </w:rPr>
        <w:t>承包人向发包人移交工程的期限：</w:t>
      </w:r>
      <w:r>
        <w:rPr>
          <w:rFonts w:hint="eastAsia" w:eastAsia="仿宋_GB2312"/>
          <w:color w:val="000000"/>
          <w:sz w:val="28"/>
          <w:szCs w:val="28"/>
          <w:u w:val="single"/>
        </w:rPr>
        <w:t>/</w:t>
      </w:r>
      <w:r>
        <w:rPr>
          <w:rFonts w:hint="eastAsia" w:eastAsia="仿宋_GB2312"/>
          <w:color w:val="000000"/>
          <w:sz w:val="28"/>
          <w:szCs w:val="28"/>
        </w:rPr>
        <w:t>。</w:t>
      </w:r>
    </w:p>
    <w:p w14:paraId="5F1C6949">
      <w:pPr>
        <w:spacing w:line="500" w:lineRule="exact"/>
        <w:ind w:firstLine="560" w:firstLineChars="200"/>
        <w:jc w:val="left"/>
        <w:rPr>
          <w:rFonts w:eastAsia="仿宋_GB2312"/>
          <w:color w:val="000000"/>
          <w:sz w:val="28"/>
          <w:szCs w:val="28"/>
          <w:u w:val="single"/>
        </w:rPr>
      </w:pPr>
      <w:r>
        <w:rPr>
          <w:rFonts w:eastAsia="仿宋_GB2312"/>
          <w:color w:val="000000"/>
          <w:kern w:val="0"/>
          <w:sz w:val="28"/>
          <w:szCs w:val="28"/>
        </w:rPr>
        <w:t>发包人未按本合同约定接收全部或部分工程的，违约金的计算方法为：</w:t>
      </w:r>
      <w:r>
        <w:rPr>
          <w:rFonts w:hint="eastAsia" w:eastAsia="仿宋_GB2312"/>
          <w:color w:val="000000"/>
          <w:sz w:val="28"/>
          <w:szCs w:val="28"/>
          <w:u w:val="single"/>
        </w:rPr>
        <w:t>/</w:t>
      </w:r>
      <w:r>
        <w:rPr>
          <w:rFonts w:eastAsia="仿宋_GB2312"/>
          <w:color w:val="000000"/>
          <w:sz w:val="28"/>
          <w:szCs w:val="28"/>
        </w:rPr>
        <w:t>。</w:t>
      </w:r>
    </w:p>
    <w:bookmarkEnd w:id="1619"/>
    <w:p w14:paraId="60000B74">
      <w:pPr>
        <w:spacing w:line="500" w:lineRule="exact"/>
        <w:ind w:firstLine="560" w:firstLineChars="200"/>
        <w:jc w:val="left"/>
        <w:rPr>
          <w:rFonts w:eastAsia="仿宋_GB2312"/>
          <w:color w:val="000000"/>
          <w:sz w:val="28"/>
          <w:szCs w:val="28"/>
        </w:rPr>
      </w:pPr>
      <w:r>
        <w:rPr>
          <w:rFonts w:eastAsia="仿宋_GB2312"/>
          <w:color w:val="000000"/>
          <w:sz w:val="28"/>
          <w:szCs w:val="28"/>
        </w:rPr>
        <w:t>承包人未按时移交工程的，违约金的计算方法为：</w:t>
      </w:r>
      <w:r>
        <w:rPr>
          <w:rFonts w:hint="eastAsia" w:eastAsia="仿宋_GB2312"/>
          <w:color w:val="000000"/>
          <w:sz w:val="28"/>
          <w:szCs w:val="28"/>
          <w:u w:val="single"/>
        </w:rPr>
        <w:t>/</w:t>
      </w:r>
      <w:r>
        <w:rPr>
          <w:rFonts w:eastAsia="仿宋_GB2312"/>
          <w:color w:val="000000"/>
          <w:sz w:val="28"/>
          <w:szCs w:val="28"/>
        </w:rPr>
        <w:t>。</w:t>
      </w:r>
    </w:p>
    <w:p w14:paraId="7CC45D98">
      <w:pPr>
        <w:spacing w:after="120" w:line="500" w:lineRule="exact"/>
        <w:ind w:firstLine="560" w:firstLineChars="200"/>
        <w:rPr>
          <w:rFonts w:eastAsia="黑体"/>
          <w:color w:val="000000"/>
          <w:sz w:val="28"/>
          <w:szCs w:val="28"/>
        </w:rPr>
      </w:pPr>
      <w:r>
        <w:rPr>
          <w:rFonts w:eastAsia="黑体"/>
          <w:color w:val="000000"/>
          <w:sz w:val="28"/>
          <w:szCs w:val="28"/>
        </w:rPr>
        <w:t>13.3 工程试车</w:t>
      </w:r>
    </w:p>
    <w:bookmarkEnd w:id="1620"/>
    <w:p w14:paraId="1447851C">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13.3.1 试车程序</w:t>
      </w:r>
    </w:p>
    <w:p w14:paraId="16CA4470">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工程试车内容：</w:t>
      </w:r>
      <w:r>
        <w:rPr>
          <w:rFonts w:hint="eastAsia" w:eastAsia="仿宋_GB2312"/>
          <w:color w:val="000000"/>
          <w:sz w:val="28"/>
          <w:szCs w:val="28"/>
          <w:u w:val="single"/>
        </w:rPr>
        <w:t>/</w:t>
      </w:r>
      <w:r>
        <w:rPr>
          <w:rFonts w:eastAsia="仿宋_GB2312"/>
          <w:color w:val="000000"/>
          <w:sz w:val="28"/>
          <w:szCs w:val="28"/>
        </w:rPr>
        <w:t>。</w:t>
      </w:r>
    </w:p>
    <w:p w14:paraId="68B0382E">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（1）单机无负荷试车费用由</w:t>
      </w:r>
      <w:r>
        <w:rPr>
          <w:rFonts w:hint="eastAsia" w:eastAsia="仿宋_GB2312"/>
          <w:color w:val="000000"/>
          <w:sz w:val="28"/>
          <w:szCs w:val="28"/>
          <w:u w:val="single"/>
        </w:rPr>
        <w:t>/</w:t>
      </w:r>
      <w:r>
        <w:rPr>
          <w:rFonts w:eastAsia="仿宋_GB2312"/>
          <w:color w:val="000000"/>
          <w:kern w:val="0"/>
          <w:sz w:val="28"/>
          <w:szCs w:val="28"/>
        </w:rPr>
        <w:t>承担；</w:t>
      </w:r>
    </w:p>
    <w:p w14:paraId="4B681F17">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（2）无负荷联动试车费用由</w:t>
      </w:r>
      <w:r>
        <w:rPr>
          <w:rFonts w:hint="eastAsia" w:eastAsia="仿宋_GB2312"/>
          <w:color w:val="000000"/>
          <w:sz w:val="28"/>
          <w:szCs w:val="28"/>
          <w:u w:val="single"/>
        </w:rPr>
        <w:t>/</w:t>
      </w:r>
      <w:r>
        <w:rPr>
          <w:rFonts w:eastAsia="仿宋_GB2312"/>
          <w:color w:val="000000"/>
          <w:kern w:val="0"/>
          <w:sz w:val="28"/>
          <w:szCs w:val="28"/>
        </w:rPr>
        <w:t>承担。</w:t>
      </w:r>
    </w:p>
    <w:p w14:paraId="747DA226">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13.3.3 投料试车</w:t>
      </w:r>
    </w:p>
    <w:p w14:paraId="12C2821F">
      <w:pPr>
        <w:spacing w:line="500" w:lineRule="exact"/>
        <w:ind w:firstLine="560" w:firstLineChars="200"/>
        <w:jc w:val="left"/>
        <w:rPr>
          <w:rFonts w:eastAsia="仿宋_GB2312"/>
          <w:color w:val="000000"/>
          <w:kern w:val="0"/>
          <w:sz w:val="28"/>
          <w:szCs w:val="28"/>
        </w:rPr>
      </w:pPr>
      <w:r>
        <w:rPr>
          <w:rFonts w:hint="eastAsia" w:eastAsia="仿宋_GB2312"/>
          <w:color w:val="000000"/>
          <w:kern w:val="0"/>
          <w:sz w:val="28"/>
          <w:szCs w:val="28"/>
        </w:rPr>
        <w:t>关于投料试车相关事项的约定：</w:t>
      </w:r>
      <w:r>
        <w:rPr>
          <w:rFonts w:hint="eastAsia" w:eastAsia="仿宋_GB2312"/>
          <w:color w:val="000000"/>
          <w:sz w:val="28"/>
          <w:szCs w:val="28"/>
          <w:u w:val="single"/>
        </w:rPr>
        <w:t>/</w:t>
      </w:r>
      <w:r>
        <w:rPr>
          <w:rFonts w:eastAsia="仿宋_GB2312"/>
          <w:color w:val="000000"/>
          <w:sz w:val="28"/>
          <w:szCs w:val="28"/>
        </w:rPr>
        <w:t>。</w:t>
      </w:r>
    </w:p>
    <w:p w14:paraId="4B068B8B">
      <w:pPr>
        <w:spacing w:after="120" w:line="500" w:lineRule="exact"/>
        <w:ind w:firstLine="560" w:firstLineChars="200"/>
        <w:outlineLvl w:val="0"/>
        <w:rPr>
          <w:rFonts w:eastAsia="黑体"/>
          <w:color w:val="000000"/>
          <w:sz w:val="28"/>
          <w:szCs w:val="28"/>
        </w:rPr>
      </w:pPr>
      <w:r>
        <w:rPr>
          <w:rFonts w:eastAsia="黑体"/>
          <w:color w:val="000000"/>
          <w:sz w:val="28"/>
          <w:szCs w:val="28"/>
        </w:rPr>
        <w:t>13.6 竣工退场</w:t>
      </w:r>
    </w:p>
    <w:p w14:paraId="55243ABF">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13.6.1 竣工退场</w:t>
      </w:r>
    </w:p>
    <w:p w14:paraId="69EE96C3">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承包人完成竣工退场的期限：</w:t>
      </w:r>
      <w:r>
        <w:rPr>
          <w:rFonts w:hint="eastAsia" w:eastAsia="仿宋_GB2312"/>
          <w:color w:val="000000"/>
          <w:sz w:val="28"/>
          <w:szCs w:val="28"/>
          <w:u w:val="single"/>
        </w:rPr>
        <w:t>/</w:t>
      </w:r>
      <w:r>
        <w:rPr>
          <w:rFonts w:eastAsia="仿宋_GB2312"/>
          <w:color w:val="000000"/>
          <w:kern w:val="0"/>
          <w:sz w:val="28"/>
          <w:szCs w:val="28"/>
        </w:rPr>
        <w:t>。</w:t>
      </w:r>
    </w:p>
    <w:p w14:paraId="011AADD5">
      <w:pPr>
        <w:pStyle w:val="6"/>
        <w:spacing w:before="120" w:after="120" w:line="500" w:lineRule="exact"/>
        <w:rPr>
          <w:rFonts w:ascii="Times New Roman" w:hAnsi="Times New Roman"/>
          <w:b w:val="0"/>
          <w:color w:val="000000"/>
        </w:rPr>
      </w:pPr>
      <w:bookmarkStart w:id="1622" w:name="_Toc351203646"/>
      <w:r>
        <w:rPr>
          <w:rFonts w:ascii="Times New Roman" w:hAnsi="Times New Roman"/>
          <w:b w:val="0"/>
          <w:color w:val="000000"/>
        </w:rPr>
        <w:t>14. 竣工结算</w:t>
      </w:r>
      <w:bookmarkEnd w:id="1622"/>
    </w:p>
    <w:p w14:paraId="778B6292">
      <w:pPr>
        <w:spacing w:after="120" w:line="500" w:lineRule="exact"/>
        <w:ind w:firstLine="560" w:firstLineChars="200"/>
        <w:rPr>
          <w:rFonts w:eastAsia="黑体"/>
          <w:color w:val="000000"/>
          <w:sz w:val="28"/>
          <w:szCs w:val="28"/>
        </w:rPr>
      </w:pPr>
      <w:r>
        <w:rPr>
          <w:rFonts w:eastAsia="黑体"/>
          <w:color w:val="000000"/>
          <w:sz w:val="28"/>
          <w:szCs w:val="28"/>
        </w:rPr>
        <w:t>14.1 竣工</w:t>
      </w:r>
      <w:r>
        <w:rPr>
          <w:rFonts w:hint="eastAsia" w:eastAsia="黑体"/>
          <w:color w:val="000000"/>
          <w:sz w:val="28"/>
          <w:szCs w:val="28"/>
        </w:rPr>
        <w:t>结算</w:t>
      </w:r>
      <w:r>
        <w:rPr>
          <w:rFonts w:eastAsia="黑体"/>
          <w:color w:val="000000"/>
          <w:sz w:val="28"/>
          <w:szCs w:val="28"/>
        </w:rPr>
        <w:t>申请</w:t>
      </w:r>
    </w:p>
    <w:p w14:paraId="395182F6">
      <w:pPr>
        <w:spacing w:line="500" w:lineRule="exact"/>
        <w:ind w:firstLine="560" w:firstLineChars="200"/>
        <w:jc w:val="left"/>
        <w:rPr>
          <w:rFonts w:eastAsia="仿宋_GB2312"/>
          <w:color w:val="000000"/>
          <w:sz w:val="28"/>
          <w:szCs w:val="28"/>
        </w:rPr>
      </w:pPr>
      <w:r>
        <w:rPr>
          <w:rFonts w:eastAsia="仿宋_GB2312"/>
          <w:sz w:val="28"/>
          <w:szCs w:val="28"/>
        </w:rPr>
        <w:t>承包人提交竣工</w:t>
      </w:r>
      <w:r>
        <w:rPr>
          <w:rFonts w:hint="eastAsia" w:eastAsia="仿宋_GB2312"/>
          <w:sz w:val="28"/>
          <w:szCs w:val="28"/>
        </w:rPr>
        <w:t>结算</w:t>
      </w:r>
      <w:r>
        <w:rPr>
          <w:rFonts w:eastAsia="仿宋_GB2312"/>
          <w:sz w:val="28"/>
          <w:szCs w:val="28"/>
        </w:rPr>
        <w:t>申请单的期限</w:t>
      </w:r>
      <w:r>
        <w:rPr>
          <w:rFonts w:hint="eastAsia" w:eastAsia="仿宋_GB2312"/>
          <w:color w:val="000000"/>
          <w:sz w:val="28"/>
          <w:szCs w:val="28"/>
        </w:rPr>
        <w:t>：</w:t>
      </w:r>
      <w:r>
        <w:rPr>
          <w:rFonts w:hint="eastAsia" w:eastAsia="仿宋_GB2312"/>
          <w:color w:val="000000"/>
          <w:sz w:val="28"/>
          <w:szCs w:val="28"/>
          <w:u w:val="single"/>
        </w:rPr>
        <w:t>工程竣工验收合格后，承包人需在15日内向发包人报送工程结算资料</w:t>
      </w:r>
      <w:r>
        <w:rPr>
          <w:rFonts w:eastAsia="仿宋_GB2312"/>
          <w:color w:val="000000"/>
          <w:sz w:val="28"/>
          <w:szCs w:val="28"/>
        </w:rPr>
        <w:t>。</w:t>
      </w:r>
    </w:p>
    <w:p w14:paraId="0719E96B">
      <w:pPr>
        <w:spacing w:line="500" w:lineRule="exact"/>
        <w:ind w:firstLine="560" w:firstLineChars="200"/>
        <w:jc w:val="left"/>
        <w:rPr>
          <w:rFonts w:eastAsia="仿宋_GB2312"/>
          <w:sz w:val="28"/>
          <w:szCs w:val="28"/>
        </w:rPr>
      </w:pPr>
      <w:r>
        <w:rPr>
          <w:rFonts w:eastAsia="仿宋_GB2312"/>
          <w:color w:val="000000"/>
          <w:sz w:val="28"/>
          <w:szCs w:val="28"/>
        </w:rPr>
        <w:t>竣工</w:t>
      </w:r>
      <w:r>
        <w:rPr>
          <w:rFonts w:hint="eastAsia" w:eastAsia="仿宋_GB2312"/>
          <w:color w:val="000000"/>
          <w:sz w:val="28"/>
          <w:szCs w:val="28"/>
        </w:rPr>
        <w:t>结算</w:t>
      </w:r>
      <w:r>
        <w:rPr>
          <w:rFonts w:eastAsia="仿宋_GB2312"/>
          <w:color w:val="000000"/>
          <w:sz w:val="28"/>
          <w:szCs w:val="28"/>
        </w:rPr>
        <w:t>申请单应包括的内容：</w:t>
      </w:r>
      <w:r>
        <w:rPr>
          <w:rFonts w:hint="eastAsia" w:eastAsia="仿宋_GB2312"/>
          <w:color w:val="000000"/>
          <w:sz w:val="28"/>
          <w:szCs w:val="28"/>
          <w:u w:val="single"/>
        </w:rPr>
        <w:t>/</w:t>
      </w:r>
      <w:r>
        <w:rPr>
          <w:rFonts w:eastAsia="仿宋_GB2312"/>
          <w:color w:val="000000"/>
          <w:sz w:val="28"/>
          <w:szCs w:val="28"/>
        </w:rPr>
        <w:t>。</w:t>
      </w:r>
    </w:p>
    <w:p w14:paraId="081C5D61">
      <w:pPr>
        <w:spacing w:after="120" w:line="500" w:lineRule="exact"/>
        <w:ind w:firstLine="560" w:firstLineChars="200"/>
        <w:outlineLvl w:val="0"/>
        <w:rPr>
          <w:rFonts w:eastAsia="黑体"/>
          <w:color w:val="000000"/>
          <w:sz w:val="28"/>
          <w:szCs w:val="28"/>
        </w:rPr>
      </w:pPr>
      <w:r>
        <w:rPr>
          <w:rFonts w:eastAsia="黑体"/>
          <w:color w:val="000000"/>
          <w:sz w:val="28"/>
          <w:szCs w:val="28"/>
        </w:rPr>
        <w:t>14.2 竣工结算审核</w:t>
      </w:r>
    </w:p>
    <w:p w14:paraId="43370BDC">
      <w:pPr>
        <w:spacing w:line="500" w:lineRule="exact"/>
        <w:ind w:firstLine="560" w:firstLineChars="200"/>
        <w:jc w:val="left"/>
        <w:rPr>
          <w:rFonts w:eastAsia="仿宋_GB2312"/>
          <w:color w:val="000000"/>
          <w:sz w:val="28"/>
          <w:szCs w:val="28"/>
        </w:rPr>
      </w:pPr>
      <w:r>
        <w:rPr>
          <w:rFonts w:eastAsia="仿宋_GB2312"/>
          <w:sz w:val="28"/>
          <w:szCs w:val="28"/>
        </w:rPr>
        <w:t>发包人</w:t>
      </w:r>
      <w:r>
        <w:rPr>
          <w:rFonts w:hint="eastAsia" w:eastAsia="仿宋_GB2312"/>
          <w:sz w:val="28"/>
          <w:szCs w:val="28"/>
        </w:rPr>
        <w:t>审批</w:t>
      </w:r>
      <w:r>
        <w:rPr>
          <w:rFonts w:eastAsia="仿宋_GB2312"/>
          <w:sz w:val="28"/>
          <w:szCs w:val="28"/>
        </w:rPr>
        <w:t>竣工付款申请单的期限：</w:t>
      </w:r>
      <w:r>
        <w:rPr>
          <w:rFonts w:hint="eastAsia" w:eastAsia="仿宋_GB2312"/>
          <w:color w:val="000000"/>
          <w:sz w:val="28"/>
          <w:szCs w:val="28"/>
          <w:u w:val="single"/>
        </w:rPr>
        <w:t>/</w:t>
      </w:r>
      <w:r>
        <w:rPr>
          <w:rFonts w:eastAsia="仿宋_GB2312"/>
          <w:color w:val="000000"/>
          <w:sz w:val="28"/>
          <w:szCs w:val="28"/>
        </w:rPr>
        <w:t>。</w:t>
      </w:r>
    </w:p>
    <w:p w14:paraId="31CEC48C">
      <w:pPr>
        <w:spacing w:line="500" w:lineRule="exact"/>
        <w:ind w:firstLine="560" w:firstLineChars="200"/>
        <w:jc w:val="left"/>
        <w:rPr>
          <w:rFonts w:eastAsia="仿宋_GB2312"/>
          <w:color w:val="000000"/>
          <w:sz w:val="28"/>
          <w:szCs w:val="28"/>
        </w:rPr>
      </w:pPr>
      <w:r>
        <w:rPr>
          <w:rFonts w:eastAsia="仿宋_GB2312"/>
          <w:sz w:val="28"/>
          <w:szCs w:val="28"/>
        </w:rPr>
        <w:t>发包人完成竣工付款的期限：</w:t>
      </w:r>
      <w:r>
        <w:rPr>
          <w:rFonts w:hint="eastAsia" w:eastAsia="仿宋_GB2312"/>
          <w:color w:val="000000"/>
          <w:sz w:val="28"/>
          <w:szCs w:val="28"/>
          <w:u w:val="single"/>
        </w:rPr>
        <w:t>/</w:t>
      </w:r>
      <w:r>
        <w:rPr>
          <w:rFonts w:eastAsia="仿宋_GB2312"/>
          <w:color w:val="000000"/>
          <w:sz w:val="28"/>
          <w:szCs w:val="28"/>
        </w:rPr>
        <w:t>。</w:t>
      </w:r>
    </w:p>
    <w:p w14:paraId="64570F97">
      <w:pPr>
        <w:spacing w:line="500" w:lineRule="exact"/>
        <w:ind w:firstLine="560" w:firstLineChars="200"/>
        <w:jc w:val="left"/>
        <w:rPr>
          <w:rFonts w:eastAsia="仿宋_GB2312"/>
          <w:color w:val="000000"/>
          <w:sz w:val="28"/>
          <w:szCs w:val="28"/>
        </w:rPr>
      </w:pPr>
      <w:r>
        <w:rPr>
          <w:rFonts w:hint="eastAsia" w:eastAsia="仿宋_GB2312"/>
          <w:color w:val="000000"/>
          <w:sz w:val="28"/>
          <w:szCs w:val="28"/>
        </w:rPr>
        <w:t>关于竣工付款证书异议部分复核的方式和程序：</w:t>
      </w:r>
      <w:r>
        <w:rPr>
          <w:rFonts w:hint="eastAsia" w:eastAsia="仿宋_GB2312"/>
          <w:color w:val="000000"/>
          <w:sz w:val="28"/>
          <w:szCs w:val="28"/>
          <w:u w:val="single"/>
        </w:rPr>
        <w:t>/</w:t>
      </w:r>
      <w:r>
        <w:rPr>
          <w:rFonts w:eastAsia="仿宋_GB2312"/>
          <w:color w:val="000000"/>
          <w:sz w:val="28"/>
          <w:szCs w:val="28"/>
        </w:rPr>
        <w:t>。</w:t>
      </w:r>
    </w:p>
    <w:p w14:paraId="7AFE00CC">
      <w:pPr>
        <w:spacing w:after="120" w:line="500" w:lineRule="exact"/>
        <w:ind w:firstLine="560" w:firstLineChars="200"/>
        <w:rPr>
          <w:rFonts w:eastAsia="黑体"/>
          <w:color w:val="000000"/>
          <w:sz w:val="28"/>
          <w:szCs w:val="28"/>
        </w:rPr>
      </w:pPr>
      <w:r>
        <w:rPr>
          <w:rFonts w:eastAsia="黑体"/>
          <w:color w:val="000000"/>
          <w:sz w:val="28"/>
          <w:szCs w:val="28"/>
        </w:rPr>
        <w:t>14.4 最终结清</w:t>
      </w:r>
    </w:p>
    <w:p w14:paraId="7D71965B">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14.4.1 最终结清申请单</w:t>
      </w:r>
    </w:p>
    <w:p w14:paraId="09A211D4">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承包人提交最终结清申请单的份数：</w:t>
      </w:r>
      <w:r>
        <w:rPr>
          <w:rFonts w:hint="eastAsia" w:eastAsia="仿宋_GB2312"/>
          <w:color w:val="000000"/>
          <w:sz w:val="28"/>
          <w:szCs w:val="28"/>
          <w:u w:val="single"/>
        </w:rPr>
        <w:t>/</w:t>
      </w:r>
      <w:r>
        <w:rPr>
          <w:rFonts w:eastAsia="仿宋_GB2312"/>
          <w:color w:val="000000"/>
          <w:sz w:val="28"/>
          <w:szCs w:val="28"/>
        </w:rPr>
        <w:t>。</w:t>
      </w:r>
    </w:p>
    <w:p w14:paraId="2992B3BB">
      <w:pPr>
        <w:spacing w:line="500" w:lineRule="exact"/>
        <w:ind w:firstLine="560" w:firstLineChars="200"/>
        <w:jc w:val="left"/>
        <w:rPr>
          <w:rFonts w:eastAsia="仿宋_GB2312"/>
          <w:sz w:val="28"/>
          <w:szCs w:val="28"/>
        </w:rPr>
      </w:pPr>
      <w:r>
        <w:rPr>
          <w:rFonts w:eastAsia="仿宋_GB2312"/>
          <w:color w:val="000000"/>
          <w:kern w:val="0"/>
          <w:sz w:val="28"/>
          <w:szCs w:val="28"/>
        </w:rPr>
        <w:t>承包人提交最终结算申请单的期限：</w:t>
      </w:r>
      <w:r>
        <w:rPr>
          <w:rFonts w:hint="eastAsia" w:eastAsia="仿宋_GB2312"/>
          <w:color w:val="000000"/>
          <w:sz w:val="28"/>
          <w:szCs w:val="28"/>
          <w:u w:val="single"/>
        </w:rPr>
        <w:t>/</w:t>
      </w:r>
      <w:r>
        <w:rPr>
          <w:rFonts w:eastAsia="仿宋_GB2312"/>
          <w:color w:val="000000"/>
          <w:sz w:val="28"/>
          <w:szCs w:val="28"/>
        </w:rPr>
        <w:t>。</w:t>
      </w:r>
      <w:r>
        <w:rPr>
          <w:rFonts w:eastAsia="仿宋_GB2312"/>
          <w:sz w:val="28"/>
          <w:szCs w:val="28"/>
        </w:rPr>
        <w:t xml:space="preserve"> </w:t>
      </w:r>
    </w:p>
    <w:p w14:paraId="7C05CBDF">
      <w:pPr>
        <w:spacing w:line="500" w:lineRule="exact"/>
        <w:ind w:firstLine="560" w:firstLineChars="200"/>
        <w:jc w:val="left"/>
        <w:rPr>
          <w:rFonts w:eastAsia="仿宋_GB2312"/>
          <w:sz w:val="28"/>
          <w:szCs w:val="28"/>
        </w:rPr>
      </w:pPr>
      <w:r>
        <w:rPr>
          <w:rFonts w:eastAsia="仿宋_GB2312"/>
          <w:sz w:val="28"/>
          <w:szCs w:val="28"/>
        </w:rPr>
        <w:t>14.4.2 最终结清证书和支付</w:t>
      </w:r>
    </w:p>
    <w:p w14:paraId="056B1A09">
      <w:pPr>
        <w:spacing w:line="500" w:lineRule="exact"/>
        <w:ind w:firstLine="560" w:firstLineChars="200"/>
        <w:jc w:val="left"/>
        <w:rPr>
          <w:rFonts w:eastAsia="仿宋_GB2312"/>
          <w:sz w:val="28"/>
          <w:szCs w:val="28"/>
        </w:rPr>
      </w:pPr>
      <w:r>
        <w:rPr>
          <w:rFonts w:eastAsia="仿宋_GB2312"/>
          <w:sz w:val="28"/>
          <w:szCs w:val="28"/>
        </w:rPr>
        <w:t>（1）发包人完成最终结清申请单的</w:t>
      </w:r>
      <w:r>
        <w:rPr>
          <w:rFonts w:hint="eastAsia" w:eastAsia="仿宋_GB2312"/>
          <w:sz w:val="28"/>
          <w:szCs w:val="28"/>
        </w:rPr>
        <w:t>审批</w:t>
      </w:r>
      <w:r>
        <w:rPr>
          <w:rFonts w:eastAsia="仿宋_GB2312"/>
          <w:sz w:val="28"/>
          <w:szCs w:val="28"/>
        </w:rPr>
        <w:t>并颁发最终结清证书的期限：</w:t>
      </w:r>
      <w:r>
        <w:rPr>
          <w:rFonts w:hint="eastAsia" w:eastAsia="仿宋_GB2312"/>
          <w:color w:val="000000"/>
          <w:sz w:val="28"/>
          <w:szCs w:val="28"/>
          <w:u w:val="single"/>
        </w:rPr>
        <w:t>/</w:t>
      </w:r>
      <w:r>
        <w:rPr>
          <w:rFonts w:eastAsia="仿宋_GB2312"/>
          <w:color w:val="000000"/>
          <w:sz w:val="28"/>
          <w:szCs w:val="28"/>
        </w:rPr>
        <w:t>。</w:t>
      </w:r>
    </w:p>
    <w:p w14:paraId="78D26DA9">
      <w:pPr>
        <w:spacing w:line="500" w:lineRule="exact"/>
        <w:ind w:firstLine="560" w:firstLineChars="200"/>
        <w:jc w:val="left"/>
        <w:rPr>
          <w:rFonts w:eastAsia="仿宋_GB2312"/>
          <w:sz w:val="28"/>
          <w:szCs w:val="28"/>
        </w:rPr>
      </w:pPr>
      <w:r>
        <w:rPr>
          <w:rFonts w:eastAsia="仿宋_GB2312"/>
          <w:sz w:val="28"/>
          <w:szCs w:val="28"/>
        </w:rPr>
        <w:t>（2）发包人完成支付的期限：</w:t>
      </w:r>
      <w:r>
        <w:rPr>
          <w:rFonts w:hint="eastAsia" w:eastAsia="仿宋_GB2312"/>
          <w:color w:val="000000"/>
          <w:sz w:val="28"/>
          <w:szCs w:val="28"/>
          <w:u w:val="single"/>
        </w:rPr>
        <w:t>/</w:t>
      </w:r>
      <w:r>
        <w:rPr>
          <w:rFonts w:eastAsia="仿宋_GB2312"/>
          <w:color w:val="000000"/>
          <w:sz w:val="28"/>
          <w:szCs w:val="28"/>
        </w:rPr>
        <w:t>。</w:t>
      </w:r>
    </w:p>
    <w:bookmarkEnd w:id="1609"/>
    <w:bookmarkEnd w:id="1610"/>
    <w:bookmarkEnd w:id="1611"/>
    <w:bookmarkEnd w:id="1612"/>
    <w:bookmarkEnd w:id="1613"/>
    <w:bookmarkEnd w:id="1614"/>
    <w:bookmarkEnd w:id="1615"/>
    <w:bookmarkEnd w:id="1621"/>
    <w:p w14:paraId="3BC5D48C">
      <w:pPr>
        <w:pStyle w:val="6"/>
        <w:spacing w:before="120" w:after="120" w:line="500" w:lineRule="exact"/>
        <w:rPr>
          <w:rFonts w:ascii="Times New Roman" w:hAnsi="Times New Roman"/>
          <w:b w:val="0"/>
          <w:color w:val="000000"/>
        </w:rPr>
      </w:pPr>
      <w:bookmarkStart w:id="1623" w:name="_Toc351203647"/>
      <w:bookmarkStart w:id="1624" w:name="_Toc267251483"/>
      <w:bookmarkStart w:id="1625" w:name="_Toc267251484"/>
      <w:bookmarkStart w:id="1626" w:name="_Toc267251482"/>
      <w:bookmarkStart w:id="1627" w:name="_Toc267251485"/>
      <w:bookmarkStart w:id="1628" w:name="_Toc267251486"/>
      <w:bookmarkStart w:id="1629" w:name="_Toc267251488"/>
      <w:bookmarkStart w:id="1630" w:name="_Toc267251490"/>
      <w:bookmarkStart w:id="1631" w:name="_Toc267251489"/>
      <w:bookmarkStart w:id="1632" w:name="_Toc267251503"/>
      <w:bookmarkStart w:id="1633" w:name="_Toc267251497"/>
      <w:bookmarkStart w:id="1634" w:name="_Toc267251496"/>
      <w:bookmarkStart w:id="1635" w:name="_Toc267251499"/>
      <w:bookmarkStart w:id="1636" w:name="_Toc267251492"/>
      <w:bookmarkStart w:id="1637" w:name="_Toc267251501"/>
      <w:bookmarkStart w:id="1638" w:name="_Toc267251491"/>
      <w:bookmarkStart w:id="1639" w:name="_Toc267251502"/>
      <w:bookmarkStart w:id="1640" w:name="_Toc267251493"/>
      <w:bookmarkStart w:id="1641" w:name="_Toc267251498"/>
      <w:bookmarkStart w:id="1642" w:name="_Toc267251495"/>
      <w:bookmarkStart w:id="1643" w:name="_Toc267251494"/>
      <w:bookmarkStart w:id="1644" w:name="_Toc267251506"/>
      <w:bookmarkStart w:id="1645" w:name="_Toc267251504"/>
      <w:bookmarkStart w:id="1646" w:name="_Toc267251507"/>
      <w:bookmarkStart w:id="1647" w:name="_Toc267251508"/>
      <w:bookmarkStart w:id="1648" w:name="_Toc267251509"/>
      <w:bookmarkStart w:id="1649" w:name="_Toc267251514"/>
      <w:bookmarkStart w:id="1650" w:name="_Toc267251510"/>
      <w:bookmarkStart w:id="1651" w:name="_Toc267251513"/>
      <w:bookmarkStart w:id="1652" w:name="_Toc267251511"/>
      <w:bookmarkStart w:id="1653" w:name="_Toc267251515"/>
      <w:r>
        <w:rPr>
          <w:rFonts w:ascii="Times New Roman" w:hAnsi="Times New Roman"/>
          <w:b w:val="0"/>
          <w:color w:val="000000"/>
        </w:rPr>
        <w:t>15. 缺陷责任期与保修</w:t>
      </w:r>
      <w:bookmarkEnd w:id="1623"/>
    </w:p>
    <w:p w14:paraId="2F77C4EB">
      <w:pPr>
        <w:spacing w:after="120" w:line="500" w:lineRule="exact"/>
        <w:ind w:firstLine="560" w:firstLineChars="200"/>
        <w:rPr>
          <w:rFonts w:eastAsia="黑体"/>
          <w:color w:val="000000"/>
          <w:sz w:val="28"/>
          <w:szCs w:val="28"/>
        </w:rPr>
      </w:pPr>
      <w:r>
        <w:rPr>
          <w:rFonts w:eastAsia="黑体"/>
          <w:color w:val="000000"/>
          <w:sz w:val="28"/>
          <w:szCs w:val="28"/>
        </w:rPr>
        <w:t>15.2缺陷责任期</w:t>
      </w:r>
      <w:bookmarkEnd w:id="1624"/>
    </w:p>
    <w:p w14:paraId="20CA3ED8">
      <w:pPr>
        <w:spacing w:line="500" w:lineRule="exact"/>
        <w:ind w:firstLine="560" w:firstLineChars="200"/>
        <w:jc w:val="left"/>
        <w:rPr>
          <w:rFonts w:eastAsia="仿宋_GB2312"/>
          <w:color w:val="000000"/>
          <w:sz w:val="28"/>
          <w:szCs w:val="28"/>
        </w:rPr>
      </w:pPr>
      <w:r>
        <w:rPr>
          <w:rFonts w:eastAsia="仿宋_GB2312"/>
          <w:color w:val="000000"/>
          <w:sz w:val="28"/>
          <w:szCs w:val="28"/>
        </w:rPr>
        <w:t>缺陷责任期的具体期限：</w:t>
      </w:r>
      <w:r>
        <w:rPr>
          <w:rFonts w:hint="eastAsia" w:eastAsia="仿宋_GB2312"/>
          <w:color w:val="000000"/>
          <w:sz w:val="28"/>
          <w:szCs w:val="28"/>
          <w:u w:val="single"/>
        </w:rPr>
        <w:t>二十四个月</w:t>
      </w:r>
      <w:r>
        <w:rPr>
          <w:rFonts w:eastAsia="仿宋_GB2312"/>
          <w:color w:val="000000"/>
          <w:sz w:val="28"/>
          <w:szCs w:val="28"/>
        </w:rPr>
        <w:t>。</w:t>
      </w:r>
    </w:p>
    <w:p w14:paraId="09D9A549">
      <w:pPr>
        <w:spacing w:after="120" w:line="500" w:lineRule="exact"/>
        <w:ind w:firstLine="560" w:firstLineChars="200"/>
        <w:outlineLvl w:val="0"/>
        <w:rPr>
          <w:rFonts w:eastAsia="黑体"/>
          <w:color w:val="000000"/>
          <w:sz w:val="28"/>
          <w:szCs w:val="28"/>
        </w:rPr>
      </w:pPr>
      <w:r>
        <w:rPr>
          <w:rFonts w:eastAsia="黑体"/>
          <w:color w:val="000000"/>
          <w:sz w:val="28"/>
          <w:szCs w:val="28"/>
        </w:rPr>
        <w:t>15.3 质量保证金</w:t>
      </w:r>
    </w:p>
    <w:p w14:paraId="7DA69990">
      <w:pPr>
        <w:spacing w:line="500" w:lineRule="exact"/>
        <w:ind w:firstLine="560" w:firstLineChars="200"/>
        <w:jc w:val="left"/>
        <w:rPr>
          <w:rFonts w:eastAsia="仿宋_GB2312"/>
          <w:color w:val="000000"/>
          <w:sz w:val="28"/>
          <w:szCs w:val="28"/>
        </w:rPr>
      </w:pPr>
      <w:r>
        <w:rPr>
          <w:rFonts w:hint="eastAsia" w:eastAsia="仿宋_GB2312"/>
          <w:color w:val="000000"/>
          <w:sz w:val="28"/>
          <w:szCs w:val="28"/>
        </w:rPr>
        <w:t>关于是否扣留质量保证金的约定：</w:t>
      </w:r>
      <w:r>
        <w:rPr>
          <w:rFonts w:hint="eastAsia" w:eastAsia="仿宋_GB2312"/>
          <w:color w:val="000000"/>
          <w:sz w:val="28"/>
          <w:szCs w:val="28"/>
          <w:u w:val="single"/>
        </w:rPr>
        <w:t>否</w:t>
      </w:r>
      <w:r>
        <w:rPr>
          <w:rFonts w:eastAsia="仿宋_GB2312"/>
          <w:color w:val="000000"/>
          <w:sz w:val="28"/>
          <w:szCs w:val="28"/>
        </w:rPr>
        <w:t>。</w:t>
      </w:r>
    </w:p>
    <w:p w14:paraId="7B5E246B">
      <w:pPr>
        <w:spacing w:line="500" w:lineRule="exact"/>
        <w:ind w:firstLine="560" w:firstLineChars="200"/>
        <w:jc w:val="left"/>
        <w:rPr>
          <w:rFonts w:eastAsia="仿宋_GB2312"/>
          <w:color w:val="000000"/>
          <w:sz w:val="28"/>
          <w:szCs w:val="28"/>
        </w:rPr>
      </w:pPr>
      <w:r>
        <w:rPr>
          <w:rFonts w:hint="eastAsia" w:eastAsia="仿宋_GB2312"/>
          <w:color w:val="000000"/>
          <w:sz w:val="28"/>
          <w:szCs w:val="28"/>
        </w:rPr>
        <w:t>在工程项目竣工前，承包人按专用合同条款第3.7条提供履约担保的，发包人不得同时预留工程质量保证金。</w:t>
      </w:r>
    </w:p>
    <w:p w14:paraId="65A8077E">
      <w:pPr>
        <w:spacing w:line="500" w:lineRule="exact"/>
        <w:ind w:firstLine="560" w:firstLineChars="200"/>
        <w:jc w:val="left"/>
        <w:outlineLvl w:val="0"/>
        <w:rPr>
          <w:rFonts w:eastAsia="仿宋_GB2312"/>
          <w:color w:val="000000"/>
          <w:sz w:val="28"/>
          <w:szCs w:val="28"/>
        </w:rPr>
      </w:pPr>
      <w:r>
        <w:rPr>
          <w:rFonts w:eastAsia="仿宋_GB2312"/>
          <w:color w:val="000000"/>
          <w:sz w:val="28"/>
          <w:szCs w:val="28"/>
        </w:rPr>
        <w:t xml:space="preserve">15.3.1 </w:t>
      </w:r>
      <w:r>
        <w:rPr>
          <w:rFonts w:hint="eastAsia" w:eastAsia="仿宋_GB2312"/>
          <w:color w:val="000000"/>
          <w:sz w:val="28"/>
          <w:szCs w:val="28"/>
        </w:rPr>
        <w:t>承包人提供</w:t>
      </w:r>
      <w:r>
        <w:rPr>
          <w:rFonts w:eastAsia="仿宋_GB2312"/>
          <w:color w:val="000000"/>
          <w:sz w:val="28"/>
          <w:szCs w:val="28"/>
        </w:rPr>
        <w:t>质量保证金的</w:t>
      </w:r>
      <w:r>
        <w:rPr>
          <w:rFonts w:hint="eastAsia" w:eastAsia="仿宋_GB2312"/>
          <w:color w:val="000000"/>
          <w:sz w:val="28"/>
          <w:szCs w:val="28"/>
        </w:rPr>
        <w:t>方</w:t>
      </w:r>
      <w:r>
        <w:rPr>
          <w:rFonts w:eastAsia="仿宋_GB2312"/>
          <w:color w:val="000000"/>
          <w:sz w:val="28"/>
          <w:szCs w:val="28"/>
        </w:rPr>
        <w:t>式</w:t>
      </w:r>
    </w:p>
    <w:p w14:paraId="7A3458E4">
      <w:pPr>
        <w:spacing w:line="500" w:lineRule="exact"/>
        <w:ind w:firstLine="560" w:firstLineChars="200"/>
        <w:jc w:val="left"/>
        <w:rPr>
          <w:rFonts w:eastAsia="仿宋_GB2312"/>
          <w:color w:val="000000"/>
          <w:sz w:val="28"/>
          <w:szCs w:val="28"/>
        </w:rPr>
      </w:pPr>
      <w:r>
        <w:rPr>
          <w:rFonts w:eastAsia="仿宋_GB2312"/>
          <w:color w:val="000000"/>
          <w:sz w:val="28"/>
          <w:szCs w:val="28"/>
        </w:rPr>
        <w:t>质量保证金采用以下第</w:t>
      </w:r>
      <w:r>
        <w:rPr>
          <w:rFonts w:eastAsia="仿宋_GB2312"/>
          <w:color w:val="000000"/>
          <w:kern w:val="0"/>
          <w:sz w:val="28"/>
          <w:szCs w:val="28"/>
          <w:u w:val="single"/>
        </w:rPr>
        <w:t>（</w:t>
      </w:r>
      <w:r>
        <w:rPr>
          <w:rFonts w:hint="eastAsia" w:eastAsia="仿宋_GB2312"/>
          <w:color w:val="000000"/>
          <w:kern w:val="0"/>
          <w:sz w:val="28"/>
          <w:szCs w:val="28"/>
          <w:u w:val="single"/>
        </w:rPr>
        <w:t>/</w:t>
      </w:r>
      <w:r>
        <w:rPr>
          <w:rFonts w:eastAsia="仿宋_GB2312"/>
          <w:color w:val="000000"/>
          <w:kern w:val="0"/>
          <w:sz w:val="28"/>
          <w:szCs w:val="28"/>
          <w:u w:val="single"/>
        </w:rPr>
        <w:t>）</w:t>
      </w:r>
      <w:r>
        <w:rPr>
          <w:rFonts w:eastAsia="仿宋_GB2312"/>
          <w:color w:val="000000"/>
          <w:sz w:val="28"/>
          <w:szCs w:val="28"/>
        </w:rPr>
        <w:t>种方式：</w:t>
      </w:r>
    </w:p>
    <w:p w14:paraId="45432727">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（1）质量保证金保函，保证金额为：</w:t>
      </w:r>
      <w:r>
        <w:rPr>
          <w:rFonts w:hint="eastAsia" w:eastAsia="仿宋_GB2312"/>
          <w:color w:val="000000"/>
          <w:kern w:val="0"/>
          <w:sz w:val="28"/>
          <w:szCs w:val="28"/>
          <w:u w:val="single"/>
        </w:rPr>
        <w:t>/</w:t>
      </w:r>
      <w:r>
        <w:rPr>
          <w:rFonts w:eastAsia="仿宋_GB2312"/>
          <w:color w:val="000000"/>
          <w:kern w:val="0"/>
          <w:sz w:val="28"/>
          <w:szCs w:val="28"/>
        </w:rPr>
        <w:t xml:space="preserve">； </w:t>
      </w:r>
    </w:p>
    <w:p w14:paraId="3C41D49E">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w:t>
      </w:r>
      <w:r>
        <w:rPr>
          <w:rFonts w:hint="eastAsia" w:eastAsia="仿宋_GB2312"/>
          <w:color w:val="000000"/>
          <w:kern w:val="0"/>
          <w:sz w:val="28"/>
          <w:szCs w:val="28"/>
          <w:u w:val="single"/>
        </w:rPr>
        <w:t>/</w:t>
      </w:r>
      <w:r>
        <w:rPr>
          <w:rFonts w:eastAsia="仿宋_GB2312"/>
          <w:color w:val="000000"/>
          <w:kern w:val="0"/>
          <w:sz w:val="28"/>
          <w:szCs w:val="28"/>
        </w:rPr>
        <w:t>%的工程款；</w:t>
      </w:r>
    </w:p>
    <w:p w14:paraId="448675E2">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（3）其他</w:t>
      </w:r>
      <w:r>
        <w:rPr>
          <w:rFonts w:hint="eastAsia" w:eastAsia="仿宋_GB2312"/>
          <w:color w:val="000000"/>
          <w:kern w:val="0"/>
          <w:sz w:val="28"/>
          <w:szCs w:val="28"/>
        </w:rPr>
        <w:t>方</w:t>
      </w:r>
      <w:r>
        <w:rPr>
          <w:rFonts w:eastAsia="仿宋_GB2312"/>
          <w:color w:val="000000"/>
          <w:kern w:val="0"/>
          <w:sz w:val="28"/>
          <w:szCs w:val="28"/>
        </w:rPr>
        <w:t>式:</w:t>
      </w:r>
      <w:r>
        <w:rPr>
          <w:rFonts w:hint="eastAsia" w:eastAsia="仿宋_GB2312"/>
          <w:color w:val="000000"/>
          <w:sz w:val="28"/>
          <w:szCs w:val="28"/>
          <w:u w:val="single"/>
        </w:rPr>
        <w:t>质量保证金金额为经审核后工程价款结算总额的3%</w:t>
      </w:r>
      <w:r>
        <w:rPr>
          <w:rFonts w:eastAsia="仿宋_GB2312"/>
          <w:color w:val="000000"/>
          <w:kern w:val="0"/>
          <w:sz w:val="28"/>
          <w:szCs w:val="28"/>
        </w:rPr>
        <w:t>。</w:t>
      </w:r>
    </w:p>
    <w:p w14:paraId="756539B0">
      <w:pPr>
        <w:spacing w:line="500" w:lineRule="exact"/>
        <w:ind w:firstLine="560" w:firstLineChars="200"/>
        <w:jc w:val="left"/>
        <w:outlineLvl w:val="0"/>
        <w:rPr>
          <w:rFonts w:eastAsia="仿宋_GB2312"/>
          <w:color w:val="000000"/>
          <w:sz w:val="28"/>
          <w:szCs w:val="28"/>
        </w:rPr>
      </w:pPr>
      <w:r>
        <w:rPr>
          <w:rFonts w:eastAsia="仿宋_GB2312"/>
          <w:color w:val="000000"/>
          <w:sz w:val="28"/>
          <w:szCs w:val="28"/>
        </w:rPr>
        <w:t xml:space="preserve">15.3.2 质量保证金的扣留 </w:t>
      </w:r>
    </w:p>
    <w:p w14:paraId="476305EE">
      <w:pPr>
        <w:spacing w:line="500" w:lineRule="exact"/>
        <w:ind w:firstLine="560" w:firstLineChars="200"/>
        <w:jc w:val="left"/>
        <w:rPr>
          <w:rFonts w:eastAsia="仿宋_GB2312"/>
          <w:color w:val="000000"/>
          <w:sz w:val="28"/>
          <w:szCs w:val="28"/>
        </w:rPr>
      </w:pPr>
      <w:r>
        <w:rPr>
          <w:rFonts w:eastAsia="仿宋_GB2312"/>
          <w:color w:val="000000"/>
          <w:sz w:val="28"/>
          <w:szCs w:val="28"/>
        </w:rPr>
        <w:t>质量保证金的扣留采取以下第</w:t>
      </w:r>
      <w:r>
        <w:rPr>
          <w:rFonts w:eastAsia="仿宋_GB2312"/>
          <w:color w:val="000000"/>
          <w:kern w:val="0"/>
          <w:sz w:val="28"/>
          <w:szCs w:val="28"/>
          <w:u w:val="single"/>
        </w:rPr>
        <w:t>（</w:t>
      </w:r>
      <w:r>
        <w:rPr>
          <w:rFonts w:hint="eastAsia" w:eastAsia="仿宋_GB2312"/>
          <w:color w:val="000000"/>
          <w:kern w:val="0"/>
          <w:sz w:val="28"/>
          <w:szCs w:val="28"/>
          <w:u w:val="single"/>
        </w:rPr>
        <w:t>/</w:t>
      </w:r>
      <w:r>
        <w:rPr>
          <w:rFonts w:eastAsia="仿宋_GB2312"/>
          <w:color w:val="000000"/>
          <w:kern w:val="0"/>
          <w:sz w:val="28"/>
          <w:szCs w:val="28"/>
          <w:u w:val="single"/>
        </w:rPr>
        <w:t>）</w:t>
      </w:r>
      <w:r>
        <w:rPr>
          <w:rFonts w:eastAsia="仿宋_GB2312"/>
          <w:color w:val="000000"/>
          <w:sz w:val="28"/>
          <w:szCs w:val="28"/>
        </w:rPr>
        <w:t>种方式：</w:t>
      </w:r>
    </w:p>
    <w:p w14:paraId="3CE75201">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（1）在支付工程进度款时逐次扣留，在此情形下，质量保证金的计算基数不包括预付款的支付、扣回以及价格调整的金额；</w:t>
      </w:r>
    </w:p>
    <w:p w14:paraId="1141C257">
      <w:pPr>
        <w:autoSpaceDE w:val="0"/>
        <w:autoSpaceDN w:val="0"/>
        <w:adjustRightInd w:val="0"/>
        <w:spacing w:line="500" w:lineRule="exact"/>
        <w:ind w:firstLine="560" w:firstLineChars="200"/>
        <w:jc w:val="left"/>
        <w:outlineLvl w:val="0"/>
        <w:rPr>
          <w:rFonts w:eastAsia="仿宋_GB2312"/>
          <w:color w:val="000000"/>
          <w:kern w:val="0"/>
          <w:sz w:val="28"/>
          <w:szCs w:val="28"/>
        </w:rPr>
      </w:pPr>
      <w:r>
        <w:rPr>
          <w:rFonts w:eastAsia="仿宋_GB2312"/>
          <w:color w:val="000000"/>
          <w:kern w:val="0"/>
          <w:sz w:val="28"/>
          <w:szCs w:val="28"/>
        </w:rPr>
        <w:t>（2）工程竣工结算时一次性扣留质量保证金；</w:t>
      </w:r>
    </w:p>
    <w:p w14:paraId="22C92C25">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（3）其他扣留方式</w:t>
      </w:r>
      <w:r>
        <w:rPr>
          <w:rFonts w:hint="eastAsia" w:eastAsia="仿宋_GB2312"/>
          <w:color w:val="000000"/>
          <w:kern w:val="0"/>
          <w:sz w:val="28"/>
          <w:szCs w:val="28"/>
        </w:rPr>
        <w:t>：</w:t>
      </w:r>
      <w:r>
        <w:rPr>
          <w:rFonts w:hint="eastAsia" w:eastAsia="仿宋_GB2312"/>
          <w:color w:val="000000"/>
          <w:sz w:val="28"/>
          <w:szCs w:val="28"/>
          <w:u w:val="single"/>
        </w:rPr>
        <w:t>工程竣工验收完成后，承包人向发包人提交满足发包人要求的质量保证金（支票或汇款）</w:t>
      </w:r>
      <w:r>
        <w:rPr>
          <w:rFonts w:eastAsia="仿宋_GB2312"/>
          <w:color w:val="000000"/>
          <w:kern w:val="0"/>
          <w:sz w:val="28"/>
          <w:szCs w:val="28"/>
        </w:rPr>
        <w:t>。</w:t>
      </w:r>
    </w:p>
    <w:p w14:paraId="1AAF452F">
      <w:pPr>
        <w:spacing w:line="500" w:lineRule="exact"/>
        <w:ind w:firstLine="560" w:firstLineChars="200"/>
        <w:jc w:val="left"/>
        <w:rPr>
          <w:rFonts w:eastAsia="仿宋_GB2312"/>
          <w:color w:val="000000"/>
          <w:sz w:val="28"/>
          <w:szCs w:val="28"/>
        </w:rPr>
      </w:pPr>
      <w:r>
        <w:rPr>
          <w:rFonts w:eastAsia="仿宋_GB2312"/>
          <w:color w:val="000000"/>
          <w:sz w:val="28"/>
          <w:szCs w:val="28"/>
        </w:rPr>
        <w:t>关于质量保证金的补充约定：</w:t>
      </w:r>
      <w:r>
        <w:rPr>
          <w:rFonts w:hint="eastAsia" w:eastAsia="仿宋_GB2312"/>
          <w:color w:val="000000"/>
          <w:kern w:val="0"/>
          <w:sz w:val="28"/>
          <w:szCs w:val="28"/>
          <w:u w:val="single"/>
        </w:rPr>
        <w:t>无</w:t>
      </w:r>
      <w:r>
        <w:rPr>
          <w:rFonts w:eastAsia="仿宋_GB2312"/>
          <w:color w:val="000000"/>
          <w:kern w:val="0"/>
          <w:sz w:val="28"/>
          <w:szCs w:val="28"/>
        </w:rPr>
        <w:t>。</w:t>
      </w:r>
    </w:p>
    <w:bookmarkEnd w:id="1625"/>
    <w:bookmarkEnd w:id="1626"/>
    <w:p w14:paraId="50FDE953">
      <w:pPr>
        <w:spacing w:after="120" w:line="500" w:lineRule="exact"/>
        <w:ind w:firstLine="560" w:firstLineChars="200"/>
        <w:rPr>
          <w:rFonts w:eastAsia="黑体"/>
          <w:color w:val="000000"/>
          <w:sz w:val="28"/>
          <w:szCs w:val="28"/>
        </w:rPr>
      </w:pPr>
      <w:r>
        <w:rPr>
          <w:rFonts w:eastAsia="黑体"/>
          <w:color w:val="000000"/>
          <w:sz w:val="28"/>
          <w:szCs w:val="28"/>
        </w:rPr>
        <w:t>15.4保修</w:t>
      </w:r>
    </w:p>
    <w:bookmarkEnd w:id="1627"/>
    <w:p w14:paraId="37ECF968">
      <w:pPr>
        <w:spacing w:line="500" w:lineRule="exact"/>
        <w:ind w:firstLine="546" w:firstLineChars="195"/>
        <w:jc w:val="left"/>
        <w:rPr>
          <w:rFonts w:eastAsia="仿宋_GB2312"/>
          <w:color w:val="000000"/>
          <w:sz w:val="28"/>
          <w:szCs w:val="28"/>
        </w:rPr>
      </w:pPr>
      <w:r>
        <w:rPr>
          <w:rFonts w:eastAsia="仿宋_GB2312"/>
          <w:color w:val="000000"/>
          <w:sz w:val="28"/>
          <w:szCs w:val="28"/>
        </w:rPr>
        <w:t>15.4.1 保修责任</w:t>
      </w:r>
    </w:p>
    <w:p w14:paraId="1928E5F9">
      <w:pPr>
        <w:spacing w:line="500" w:lineRule="exact"/>
        <w:ind w:firstLine="560" w:firstLineChars="200"/>
        <w:jc w:val="left"/>
        <w:rPr>
          <w:rFonts w:eastAsia="仿宋_GB2312"/>
          <w:color w:val="000000"/>
          <w:kern w:val="0"/>
          <w:sz w:val="28"/>
          <w:szCs w:val="28"/>
        </w:rPr>
      </w:pPr>
      <w:r>
        <w:rPr>
          <w:rFonts w:eastAsia="仿宋_GB2312"/>
          <w:color w:val="000000"/>
          <w:sz w:val="28"/>
          <w:szCs w:val="28"/>
        </w:rPr>
        <w:t>工程保修期为：</w:t>
      </w:r>
      <w:r>
        <w:rPr>
          <w:rFonts w:hint="eastAsia" w:eastAsia="仿宋_GB2312"/>
          <w:color w:val="000000"/>
          <w:kern w:val="0"/>
          <w:sz w:val="28"/>
          <w:szCs w:val="28"/>
        </w:rPr>
        <w:t>2年</w:t>
      </w:r>
      <w:r>
        <w:rPr>
          <w:rFonts w:eastAsia="仿宋_GB2312"/>
          <w:color w:val="000000"/>
          <w:kern w:val="0"/>
          <w:sz w:val="28"/>
          <w:szCs w:val="28"/>
        </w:rPr>
        <w:t>。</w:t>
      </w:r>
    </w:p>
    <w:p w14:paraId="510B371B">
      <w:pPr>
        <w:spacing w:line="500" w:lineRule="exact"/>
        <w:ind w:firstLine="546" w:firstLineChars="195"/>
        <w:jc w:val="left"/>
        <w:rPr>
          <w:rFonts w:eastAsia="仿宋_GB2312"/>
          <w:color w:val="000000"/>
          <w:sz w:val="28"/>
          <w:szCs w:val="28"/>
        </w:rPr>
      </w:pPr>
      <w:r>
        <w:rPr>
          <w:rFonts w:eastAsia="仿宋_GB2312"/>
          <w:color w:val="000000"/>
          <w:sz w:val="28"/>
          <w:szCs w:val="28"/>
        </w:rPr>
        <w:t>15.4.3 修复通知</w:t>
      </w:r>
    </w:p>
    <w:p w14:paraId="364DE2BF">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承包人收到保修通知并到达工程现场的合理时间：</w:t>
      </w:r>
      <w:r>
        <w:rPr>
          <w:rFonts w:hint="eastAsia" w:eastAsia="仿宋_GB2312"/>
          <w:color w:val="000000"/>
          <w:kern w:val="0"/>
          <w:sz w:val="28"/>
          <w:szCs w:val="28"/>
          <w:u w:val="single"/>
        </w:rPr>
        <w:t>7日内</w:t>
      </w:r>
      <w:r>
        <w:rPr>
          <w:rFonts w:eastAsia="仿宋_GB2312"/>
          <w:color w:val="000000"/>
          <w:kern w:val="0"/>
          <w:sz w:val="28"/>
          <w:szCs w:val="28"/>
        </w:rPr>
        <w:t>。</w:t>
      </w:r>
    </w:p>
    <w:bookmarkEnd w:id="1628"/>
    <w:bookmarkEnd w:id="1629"/>
    <w:bookmarkEnd w:id="1630"/>
    <w:bookmarkEnd w:id="1631"/>
    <w:p w14:paraId="65008E5A">
      <w:pPr>
        <w:pStyle w:val="6"/>
        <w:spacing w:before="120" w:after="120" w:line="500" w:lineRule="exact"/>
        <w:rPr>
          <w:rFonts w:ascii="Times New Roman" w:hAnsi="Times New Roman"/>
          <w:b w:val="0"/>
          <w:color w:val="000000"/>
        </w:rPr>
      </w:pPr>
      <w:bookmarkStart w:id="1654" w:name="_Toc351203648"/>
      <w:bookmarkStart w:id="1655" w:name="_Toc280868717"/>
      <w:bookmarkStart w:id="1656" w:name="_Toc280868718"/>
      <w:r>
        <w:rPr>
          <w:rFonts w:ascii="Times New Roman" w:hAnsi="Times New Roman"/>
          <w:b w:val="0"/>
          <w:color w:val="000000"/>
        </w:rPr>
        <w:t>16. 违约</w:t>
      </w:r>
      <w:bookmarkEnd w:id="1654"/>
    </w:p>
    <w:p w14:paraId="61621226">
      <w:pPr>
        <w:spacing w:after="120" w:line="500" w:lineRule="exact"/>
        <w:ind w:firstLine="560" w:firstLineChars="200"/>
        <w:outlineLvl w:val="0"/>
        <w:rPr>
          <w:rFonts w:eastAsia="黑体"/>
          <w:color w:val="000000"/>
          <w:sz w:val="28"/>
          <w:szCs w:val="28"/>
        </w:rPr>
      </w:pPr>
      <w:r>
        <w:rPr>
          <w:rFonts w:eastAsia="黑体"/>
          <w:color w:val="000000"/>
          <w:sz w:val="28"/>
          <w:szCs w:val="28"/>
        </w:rPr>
        <w:t>16.1 发包人违约</w:t>
      </w:r>
    </w:p>
    <w:p w14:paraId="0A5F1486">
      <w:pPr>
        <w:spacing w:line="500" w:lineRule="exact"/>
        <w:ind w:firstLine="560" w:firstLineChars="200"/>
        <w:jc w:val="left"/>
        <w:rPr>
          <w:rFonts w:eastAsia="仿宋_GB2312"/>
          <w:color w:val="000000"/>
          <w:sz w:val="28"/>
          <w:szCs w:val="28"/>
        </w:rPr>
      </w:pPr>
      <w:r>
        <w:rPr>
          <w:rFonts w:eastAsia="仿宋_GB2312"/>
          <w:color w:val="000000"/>
          <w:sz w:val="28"/>
          <w:szCs w:val="28"/>
        </w:rPr>
        <w:t>16.1.1发包人违约的情形</w:t>
      </w:r>
    </w:p>
    <w:p w14:paraId="7CA30E8D">
      <w:pPr>
        <w:spacing w:line="500" w:lineRule="exact"/>
        <w:ind w:firstLine="560" w:firstLineChars="200"/>
        <w:rPr>
          <w:rFonts w:eastAsia="仿宋_GB2312"/>
          <w:color w:val="000000"/>
          <w:sz w:val="28"/>
          <w:szCs w:val="28"/>
          <w:u w:val="single"/>
        </w:rPr>
      </w:pPr>
      <w:r>
        <w:rPr>
          <w:rFonts w:eastAsia="仿宋_GB2312"/>
          <w:color w:val="000000"/>
          <w:kern w:val="0"/>
          <w:sz w:val="28"/>
          <w:szCs w:val="28"/>
        </w:rPr>
        <w:t>发包人违约的其他情形：</w:t>
      </w:r>
      <w:r>
        <w:rPr>
          <w:rFonts w:hint="eastAsia" w:eastAsia="仿宋_GB2312"/>
          <w:color w:val="000000"/>
          <w:kern w:val="0"/>
          <w:sz w:val="28"/>
          <w:szCs w:val="28"/>
          <w:u w:val="single"/>
        </w:rPr>
        <w:t>/.</w:t>
      </w:r>
    </w:p>
    <w:p w14:paraId="16722811">
      <w:pPr>
        <w:spacing w:line="500" w:lineRule="exact"/>
        <w:ind w:left="1400" w:hanging="1400" w:hangingChars="500"/>
        <w:jc w:val="left"/>
        <w:rPr>
          <w:rFonts w:eastAsia="仿宋_GB2312"/>
          <w:color w:val="000000"/>
          <w:kern w:val="0"/>
          <w:sz w:val="28"/>
          <w:szCs w:val="28"/>
        </w:rPr>
      </w:pPr>
      <w:r>
        <w:rPr>
          <w:rFonts w:eastAsia="仿宋_GB2312"/>
          <w:color w:val="000000"/>
          <w:kern w:val="0"/>
          <w:sz w:val="28"/>
          <w:szCs w:val="28"/>
        </w:rPr>
        <w:t xml:space="preserve">    16.1.2 发包人违约的责任</w:t>
      </w:r>
    </w:p>
    <w:p w14:paraId="3477DCEF">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发包人违约责任的承担方式和计算方法：</w:t>
      </w:r>
    </w:p>
    <w:p w14:paraId="75637E9C">
      <w:pPr>
        <w:spacing w:line="500" w:lineRule="exact"/>
        <w:ind w:firstLine="560" w:firstLineChars="200"/>
        <w:jc w:val="left"/>
        <w:rPr>
          <w:rFonts w:eastAsia="仿宋_GB2312"/>
          <w:color w:val="000000"/>
          <w:kern w:val="0"/>
          <w:sz w:val="28"/>
          <w:szCs w:val="28"/>
          <w:u w:val="single"/>
        </w:rPr>
      </w:pPr>
      <w:r>
        <w:rPr>
          <w:rFonts w:eastAsia="仿宋_GB2312"/>
          <w:color w:val="000000"/>
          <w:kern w:val="0"/>
          <w:sz w:val="28"/>
          <w:szCs w:val="28"/>
        </w:rPr>
        <w:t>（1）因发包人原因未能在计划开工日期前7天内下达开工通知的违约责任：</w:t>
      </w:r>
      <w:r>
        <w:rPr>
          <w:rFonts w:hint="eastAsia" w:eastAsia="仿宋_GB2312"/>
          <w:color w:val="000000"/>
          <w:kern w:val="0"/>
          <w:sz w:val="28"/>
          <w:szCs w:val="28"/>
          <w:u w:val="single"/>
        </w:rPr>
        <w:t>/</w:t>
      </w:r>
      <w:r>
        <w:rPr>
          <w:rFonts w:eastAsia="仿宋_GB2312"/>
          <w:color w:val="000000"/>
          <w:kern w:val="0"/>
          <w:sz w:val="28"/>
          <w:szCs w:val="28"/>
        </w:rPr>
        <w:t>。</w:t>
      </w:r>
    </w:p>
    <w:p w14:paraId="04FD12F2">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（2）因发包人原因未能按合同约定支付合同价款的违约责任：</w:t>
      </w:r>
      <w:r>
        <w:rPr>
          <w:rFonts w:hint="eastAsia" w:eastAsia="仿宋_GB2312"/>
          <w:color w:val="000000"/>
          <w:kern w:val="0"/>
          <w:sz w:val="28"/>
          <w:szCs w:val="28"/>
          <w:u w:val="single"/>
        </w:rPr>
        <w:t>/</w:t>
      </w:r>
      <w:r>
        <w:rPr>
          <w:rFonts w:eastAsia="仿宋_GB2312"/>
          <w:color w:val="000000"/>
          <w:kern w:val="0"/>
          <w:sz w:val="28"/>
          <w:szCs w:val="28"/>
        </w:rPr>
        <w:t>。</w:t>
      </w:r>
    </w:p>
    <w:p w14:paraId="7BCC9385">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（3）发包人违反第10.1款</w:t>
      </w:r>
      <w:r>
        <w:rPr>
          <w:rFonts w:hint="eastAsia" w:eastAsia="仿宋_GB2312"/>
          <w:color w:val="000000"/>
          <w:kern w:val="0"/>
          <w:sz w:val="28"/>
          <w:szCs w:val="28"/>
        </w:rPr>
        <w:t>〔</w:t>
      </w:r>
      <w:r>
        <w:rPr>
          <w:rFonts w:eastAsia="仿宋_GB2312"/>
          <w:color w:val="000000"/>
          <w:kern w:val="0"/>
          <w:sz w:val="28"/>
          <w:szCs w:val="28"/>
        </w:rPr>
        <w:t>变更的范围</w:t>
      </w:r>
      <w:r>
        <w:rPr>
          <w:rFonts w:hint="eastAsia" w:eastAsia="仿宋_GB2312"/>
          <w:color w:val="000000"/>
          <w:kern w:val="0"/>
          <w:sz w:val="28"/>
          <w:szCs w:val="28"/>
        </w:rPr>
        <w:t>〕</w:t>
      </w:r>
      <w:r>
        <w:rPr>
          <w:rFonts w:eastAsia="仿宋_GB2312"/>
          <w:color w:val="000000"/>
          <w:kern w:val="0"/>
          <w:sz w:val="28"/>
          <w:szCs w:val="28"/>
        </w:rPr>
        <w:t>第（2）项约定，自行实施被取消的工作或转由他人实施的违约责任：</w:t>
      </w:r>
      <w:r>
        <w:rPr>
          <w:rFonts w:hint="eastAsia" w:eastAsia="仿宋_GB2312"/>
          <w:color w:val="000000"/>
          <w:kern w:val="0"/>
          <w:sz w:val="28"/>
          <w:szCs w:val="28"/>
          <w:u w:val="single"/>
        </w:rPr>
        <w:t>/</w:t>
      </w:r>
      <w:r>
        <w:rPr>
          <w:rFonts w:eastAsia="仿宋_GB2312"/>
          <w:color w:val="000000"/>
          <w:kern w:val="0"/>
          <w:sz w:val="28"/>
          <w:szCs w:val="28"/>
        </w:rPr>
        <w:t>。</w:t>
      </w:r>
    </w:p>
    <w:p w14:paraId="72444BB3">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（4）发包人提供的材料、工程设备的规格、数量或质量不符合合同约定，或因发包人原因导致交货日期延误或交货地点变更等情况的违约责任：</w:t>
      </w:r>
      <w:r>
        <w:rPr>
          <w:rFonts w:hint="eastAsia" w:eastAsia="仿宋_GB2312"/>
          <w:color w:val="000000"/>
          <w:kern w:val="0"/>
          <w:sz w:val="28"/>
          <w:szCs w:val="28"/>
          <w:u w:val="single"/>
        </w:rPr>
        <w:t>/</w:t>
      </w:r>
      <w:r>
        <w:rPr>
          <w:rFonts w:eastAsia="仿宋_GB2312"/>
          <w:color w:val="000000"/>
          <w:kern w:val="0"/>
          <w:sz w:val="28"/>
          <w:szCs w:val="28"/>
        </w:rPr>
        <w:t>。</w:t>
      </w:r>
    </w:p>
    <w:p w14:paraId="411911EE">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（5）因发包人违反合同约定造成暂停施工的违约责任：</w:t>
      </w:r>
      <w:r>
        <w:rPr>
          <w:rFonts w:hint="eastAsia" w:eastAsia="仿宋_GB2312"/>
          <w:color w:val="000000"/>
          <w:kern w:val="0"/>
          <w:sz w:val="28"/>
          <w:szCs w:val="28"/>
          <w:u w:val="single"/>
        </w:rPr>
        <w:t>/</w:t>
      </w:r>
      <w:r>
        <w:rPr>
          <w:rFonts w:eastAsia="仿宋_GB2312"/>
          <w:color w:val="000000"/>
          <w:kern w:val="0"/>
          <w:sz w:val="28"/>
          <w:szCs w:val="28"/>
        </w:rPr>
        <w:t>。</w:t>
      </w:r>
    </w:p>
    <w:p w14:paraId="79D1B3B2">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（6）发包人无正当理由没有在约定期限内发出复工指示，导致承包人无法复工的违约责任：</w:t>
      </w:r>
      <w:r>
        <w:rPr>
          <w:rFonts w:hint="eastAsia" w:eastAsia="仿宋_GB2312"/>
          <w:color w:val="000000"/>
          <w:kern w:val="0"/>
          <w:sz w:val="28"/>
          <w:szCs w:val="28"/>
          <w:u w:val="single"/>
        </w:rPr>
        <w:t>/</w:t>
      </w:r>
      <w:r>
        <w:rPr>
          <w:rFonts w:eastAsia="仿宋_GB2312"/>
          <w:color w:val="000000"/>
          <w:kern w:val="0"/>
          <w:sz w:val="28"/>
          <w:szCs w:val="28"/>
        </w:rPr>
        <w:t>。</w:t>
      </w:r>
    </w:p>
    <w:p w14:paraId="7CE7A481">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（7）</w:t>
      </w:r>
      <w:r>
        <w:rPr>
          <w:rFonts w:hint="eastAsia" w:eastAsia="仿宋_GB2312"/>
          <w:color w:val="000000"/>
          <w:kern w:val="0"/>
          <w:sz w:val="28"/>
          <w:szCs w:val="28"/>
        </w:rPr>
        <w:t>其他：</w:t>
      </w:r>
      <w:r>
        <w:rPr>
          <w:rFonts w:hint="eastAsia" w:eastAsia="仿宋_GB2312"/>
          <w:color w:val="000000"/>
          <w:kern w:val="0"/>
          <w:sz w:val="28"/>
          <w:szCs w:val="28"/>
          <w:u w:val="single"/>
        </w:rPr>
        <w:t>/</w:t>
      </w:r>
      <w:r>
        <w:rPr>
          <w:rFonts w:eastAsia="仿宋_GB2312"/>
          <w:color w:val="000000"/>
          <w:kern w:val="0"/>
          <w:sz w:val="28"/>
          <w:szCs w:val="28"/>
        </w:rPr>
        <w:t>。</w:t>
      </w:r>
    </w:p>
    <w:p w14:paraId="5D9ED7FB">
      <w:pPr>
        <w:spacing w:line="500" w:lineRule="exact"/>
        <w:ind w:firstLine="560" w:firstLineChars="200"/>
        <w:jc w:val="left"/>
        <w:rPr>
          <w:rFonts w:eastAsia="仿宋_GB2312"/>
          <w:color w:val="000000"/>
          <w:sz w:val="28"/>
          <w:szCs w:val="28"/>
        </w:rPr>
      </w:pPr>
      <w:r>
        <w:rPr>
          <w:rFonts w:eastAsia="仿宋_GB2312"/>
          <w:color w:val="000000"/>
          <w:sz w:val="28"/>
          <w:szCs w:val="28"/>
        </w:rPr>
        <w:t>16.1.3 因发包人违约解除合同</w:t>
      </w:r>
    </w:p>
    <w:p w14:paraId="31D0A069">
      <w:pPr>
        <w:autoSpaceDE w:val="0"/>
        <w:autoSpaceDN w:val="0"/>
        <w:adjustRightInd w:val="0"/>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承包人按16.1.1项</w:t>
      </w:r>
      <w:r>
        <w:rPr>
          <w:rFonts w:hint="eastAsia" w:eastAsia="仿宋_GB2312"/>
          <w:color w:val="000000"/>
          <w:kern w:val="0"/>
          <w:sz w:val="28"/>
          <w:szCs w:val="28"/>
        </w:rPr>
        <w:t>〔</w:t>
      </w:r>
      <w:r>
        <w:rPr>
          <w:rFonts w:eastAsia="仿宋_GB2312"/>
          <w:color w:val="000000"/>
          <w:kern w:val="0"/>
          <w:sz w:val="28"/>
          <w:szCs w:val="28"/>
        </w:rPr>
        <w:t>发包人违约的情形</w:t>
      </w:r>
      <w:r>
        <w:rPr>
          <w:rFonts w:hint="eastAsia" w:eastAsia="仿宋_GB2312"/>
          <w:color w:val="000000"/>
          <w:kern w:val="0"/>
          <w:sz w:val="28"/>
          <w:szCs w:val="28"/>
        </w:rPr>
        <w:t>〕</w:t>
      </w:r>
      <w:r>
        <w:rPr>
          <w:rFonts w:eastAsia="仿宋_GB2312"/>
          <w:color w:val="000000"/>
          <w:kern w:val="0"/>
          <w:sz w:val="28"/>
          <w:szCs w:val="28"/>
        </w:rPr>
        <w:t>约定暂停施工满</w:t>
      </w:r>
      <w:r>
        <w:rPr>
          <w:rFonts w:hint="eastAsia" w:eastAsia="仿宋_GB2312"/>
          <w:color w:val="000000"/>
          <w:kern w:val="0"/>
          <w:sz w:val="28"/>
          <w:szCs w:val="28"/>
          <w:u w:val="single"/>
        </w:rPr>
        <w:t>/</w:t>
      </w:r>
      <w:r>
        <w:rPr>
          <w:rFonts w:eastAsia="仿宋_GB2312"/>
          <w:color w:val="000000"/>
          <w:kern w:val="0"/>
          <w:sz w:val="28"/>
          <w:szCs w:val="28"/>
        </w:rPr>
        <w:t>天后发包人仍不纠正其违约行为并致使合同目的不能实现的，承包人有权解除合同。</w:t>
      </w:r>
    </w:p>
    <w:p w14:paraId="2BA6A906">
      <w:pPr>
        <w:spacing w:after="120" w:line="500" w:lineRule="exact"/>
        <w:ind w:firstLine="560" w:firstLineChars="200"/>
        <w:outlineLvl w:val="0"/>
        <w:rPr>
          <w:rFonts w:eastAsia="黑体"/>
          <w:color w:val="000000"/>
          <w:sz w:val="28"/>
          <w:szCs w:val="28"/>
        </w:rPr>
      </w:pPr>
      <w:r>
        <w:rPr>
          <w:rFonts w:eastAsia="黑体"/>
          <w:color w:val="000000"/>
          <w:sz w:val="28"/>
          <w:szCs w:val="28"/>
        </w:rPr>
        <w:t>16.2 承包人违约</w:t>
      </w:r>
    </w:p>
    <w:p w14:paraId="33AF0C98">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16.2.1 承包人违约的情形</w:t>
      </w:r>
    </w:p>
    <w:p w14:paraId="5D82ECA6">
      <w:pPr>
        <w:spacing w:line="500" w:lineRule="exact"/>
        <w:ind w:firstLine="560" w:firstLineChars="200"/>
        <w:rPr>
          <w:rFonts w:eastAsia="仿宋_GB2312"/>
          <w:color w:val="000000"/>
          <w:sz w:val="28"/>
          <w:szCs w:val="28"/>
          <w:u w:val="single"/>
        </w:rPr>
      </w:pPr>
      <w:r>
        <w:rPr>
          <w:rFonts w:eastAsia="仿宋_GB2312"/>
          <w:color w:val="000000"/>
          <w:kern w:val="0"/>
          <w:sz w:val="28"/>
          <w:szCs w:val="28"/>
        </w:rPr>
        <w:t>承包人违约的其他情形：</w:t>
      </w:r>
      <w:r>
        <w:rPr>
          <w:rFonts w:hint="eastAsia" w:eastAsia="仿宋_GB2312"/>
          <w:color w:val="000000"/>
          <w:sz w:val="28"/>
          <w:szCs w:val="28"/>
          <w:u w:val="single"/>
        </w:rPr>
        <w:t>承包人不能按照本合同约定的竣工日期或发包人同意顺延的工期竣工，承包人应承担逾期竣工的违约责任，且发包人有权解除本合同，另行委托其他施工单位完成承包人未完成工程，另行委托所需费用均由承包人承担。</w:t>
      </w:r>
    </w:p>
    <w:p w14:paraId="02BD7673">
      <w:pPr>
        <w:spacing w:line="500" w:lineRule="exact"/>
        <w:ind w:firstLine="560" w:firstLineChars="200"/>
        <w:rPr>
          <w:rFonts w:eastAsia="仿宋_GB2312"/>
          <w:color w:val="000000"/>
          <w:sz w:val="28"/>
          <w:szCs w:val="28"/>
          <w:u w:val="single"/>
        </w:rPr>
      </w:pPr>
      <w:r>
        <w:rPr>
          <w:rFonts w:hint="eastAsia" w:eastAsia="仿宋_GB2312"/>
          <w:color w:val="000000"/>
          <w:sz w:val="28"/>
          <w:szCs w:val="28"/>
          <w:u w:val="single"/>
        </w:rPr>
        <w:t>因承包人原因工程质量达不到本合同条款约定的质量标准，承包人负责返工、维修、完善使达到约定的质量标准，因此发生的费用全部由承包人承担。如延误工期或给发包人造成其他经济损失，则支付工期延误违约金并赔偿发包人经济损失。</w:t>
      </w:r>
    </w:p>
    <w:p w14:paraId="3975BA99">
      <w:pPr>
        <w:spacing w:line="500" w:lineRule="exact"/>
        <w:ind w:firstLine="560" w:firstLineChars="200"/>
        <w:rPr>
          <w:rFonts w:eastAsia="仿宋_GB2312"/>
          <w:color w:val="000000"/>
          <w:sz w:val="28"/>
          <w:szCs w:val="28"/>
          <w:u w:val="single"/>
        </w:rPr>
      </w:pPr>
      <w:r>
        <w:rPr>
          <w:rFonts w:hint="eastAsia" w:eastAsia="仿宋_GB2312"/>
          <w:color w:val="000000"/>
          <w:sz w:val="28"/>
          <w:szCs w:val="28"/>
          <w:u w:val="single"/>
        </w:rPr>
        <w:t>承包人违约应承担的违约责任：达不到约定的质量标准，承包人应按设计标准和施工规范要求返工至规范验收标准，由此引起的工期延误按本条款相应规定执行。</w:t>
      </w:r>
    </w:p>
    <w:p w14:paraId="7484487D">
      <w:pPr>
        <w:spacing w:line="500" w:lineRule="exact"/>
        <w:ind w:firstLine="560" w:firstLineChars="200"/>
        <w:rPr>
          <w:rFonts w:eastAsia="仿宋_GB2312"/>
          <w:color w:val="000000"/>
          <w:kern w:val="0"/>
          <w:sz w:val="28"/>
          <w:szCs w:val="28"/>
        </w:rPr>
      </w:pPr>
      <w:r>
        <w:rPr>
          <w:rFonts w:hint="eastAsia" w:eastAsia="仿宋_GB2312"/>
          <w:color w:val="000000"/>
          <w:sz w:val="28"/>
          <w:szCs w:val="28"/>
          <w:u w:val="single"/>
        </w:rPr>
        <w:t>双方约定的其他违约责任：如因承包人拖欠农民工工资等损害农民工利益的行为，直接或间接给发包人造成的一切损失，均应当由承包人予以全额赔偿</w:t>
      </w:r>
      <w:r>
        <w:rPr>
          <w:rFonts w:eastAsia="仿宋_GB2312"/>
          <w:color w:val="000000"/>
          <w:kern w:val="0"/>
          <w:sz w:val="28"/>
          <w:szCs w:val="28"/>
        </w:rPr>
        <w:t>。</w:t>
      </w:r>
    </w:p>
    <w:p w14:paraId="11DDCA24">
      <w:pPr>
        <w:spacing w:line="500" w:lineRule="exact"/>
        <w:ind w:firstLine="560" w:firstLineChars="200"/>
        <w:jc w:val="left"/>
        <w:rPr>
          <w:rFonts w:eastAsia="仿宋_GB2312"/>
          <w:color w:val="000000"/>
          <w:kern w:val="0"/>
          <w:sz w:val="28"/>
          <w:szCs w:val="28"/>
        </w:rPr>
      </w:pPr>
      <w:r>
        <w:rPr>
          <w:rFonts w:eastAsia="仿宋_GB2312"/>
          <w:color w:val="000000"/>
          <w:kern w:val="0"/>
          <w:sz w:val="28"/>
          <w:szCs w:val="28"/>
        </w:rPr>
        <w:t>16.2.2承包人违约的责任</w:t>
      </w:r>
    </w:p>
    <w:p w14:paraId="04A07BC2">
      <w:pPr>
        <w:spacing w:line="500" w:lineRule="exact"/>
        <w:ind w:left="1436" w:leftChars="284" w:hanging="840" w:hangingChars="300"/>
        <w:jc w:val="left"/>
        <w:rPr>
          <w:rFonts w:eastAsia="仿宋_GB2312"/>
          <w:color w:val="000000"/>
          <w:kern w:val="0"/>
          <w:sz w:val="28"/>
          <w:szCs w:val="28"/>
          <w:u w:val="single"/>
        </w:rPr>
      </w:pPr>
      <w:r>
        <w:rPr>
          <w:rFonts w:eastAsia="仿宋_GB2312"/>
          <w:color w:val="000000"/>
          <w:kern w:val="0"/>
          <w:sz w:val="28"/>
          <w:szCs w:val="28"/>
        </w:rPr>
        <w:t>承包人违约责任的承担方式和计算方法：</w:t>
      </w:r>
      <w:r>
        <w:rPr>
          <w:rFonts w:hint="eastAsia" w:eastAsia="仿宋_GB2312"/>
          <w:color w:val="000000"/>
          <w:kern w:val="0"/>
          <w:sz w:val="28"/>
          <w:szCs w:val="28"/>
          <w:u w:val="single"/>
        </w:rPr>
        <w:t>/</w:t>
      </w:r>
      <w:r>
        <w:rPr>
          <w:rFonts w:eastAsia="仿宋_GB2312"/>
          <w:color w:val="000000"/>
          <w:kern w:val="0"/>
          <w:sz w:val="28"/>
          <w:szCs w:val="28"/>
        </w:rPr>
        <w:t>。</w:t>
      </w:r>
      <w:r>
        <w:rPr>
          <w:rFonts w:eastAsia="仿宋_GB2312"/>
          <w:color w:val="000000"/>
          <w:sz w:val="28"/>
          <w:szCs w:val="28"/>
        </w:rPr>
        <w:t xml:space="preserve">    </w:t>
      </w:r>
    </w:p>
    <w:p w14:paraId="1BB86931">
      <w:pPr>
        <w:spacing w:line="500" w:lineRule="exact"/>
        <w:ind w:firstLine="560" w:firstLineChars="200"/>
        <w:jc w:val="left"/>
        <w:rPr>
          <w:rFonts w:eastAsia="仿宋_GB2312"/>
          <w:color w:val="000000"/>
          <w:sz w:val="28"/>
          <w:szCs w:val="28"/>
        </w:rPr>
      </w:pPr>
      <w:r>
        <w:rPr>
          <w:rFonts w:eastAsia="仿宋_GB2312"/>
          <w:color w:val="000000"/>
          <w:sz w:val="28"/>
          <w:szCs w:val="28"/>
        </w:rPr>
        <w:t>16.2.3 因承包人违约解除合同</w:t>
      </w:r>
    </w:p>
    <w:p w14:paraId="0CA83A9F">
      <w:pPr>
        <w:spacing w:before="120" w:after="120" w:line="500" w:lineRule="exact"/>
        <w:ind w:firstLine="560" w:firstLineChars="200"/>
        <w:rPr>
          <w:rFonts w:eastAsia="仿宋_GB2312"/>
          <w:color w:val="000000"/>
          <w:kern w:val="0"/>
          <w:sz w:val="28"/>
          <w:szCs w:val="28"/>
        </w:rPr>
      </w:pPr>
      <w:r>
        <w:rPr>
          <w:rFonts w:eastAsia="仿宋_GB2312"/>
          <w:color w:val="000000"/>
          <w:kern w:val="0"/>
          <w:sz w:val="28"/>
          <w:szCs w:val="28"/>
        </w:rPr>
        <w:t>关于承包人违约解除合同的特别约定：</w:t>
      </w:r>
      <w:r>
        <w:rPr>
          <w:rFonts w:hint="eastAsia" w:eastAsia="仿宋_GB2312"/>
          <w:color w:val="000000"/>
          <w:kern w:val="0"/>
          <w:sz w:val="28"/>
          <w:szCs w:val="28"/>
          <w:u w:val="single"/>
        </w:rPr>
        <w:t>/</w:t>
      </w:r>
      <w:r>
        <w:rPr>
          <w:rFonts w:eastAsia="仿宋_GB2312"/>
          <w:color w:val="000000"/>
          <w:kern w:val="0"/>
          <w:sz w:val="28"/>
          <w:szCs w:val="28"/>
        </w:rPr>
        <w:t>。</w:t>
      </w:r>
    </w:p>
    <w:p w14:paraId="2CDD939F">
      <w:pPr>
        <w:spacing w:before="120" w:after="120" w:line="500" w:lineRule="exact"/>
        <w:ind w:firstLine="560" w:firstLineChars="200"/>
        <w:rPr>
          <w:rFonts w:eastAsia="仿宋_GB2312"/>
          <w:color w:val="000000"/>
          <w:kern w:val="0"/>
          <w:sz w:val="28"/>
          <w:szCs w:val="28"/>
        </w:rPr>
      </w:pPr>
      <w:r>
        <w:rPr>
          <w:rFonts w:eastAsia="仿宋_GB2312"/>
          <w:color w:val="000000"/>
          <w:kern w:val="0"/>
          <w:sz w:val="28"/>
          <w:szCs w:val="28"/>
        </w:rPr>
        <w:t>发包人</w:t>
      </w:r>
      <w:r>
        <w:rPr>
          <w:rFonts w:hint="eastAsia" w:eastAsia="仿宋_GB2312"/>
          <w:color w:val="000000"/>
          <w:kern w:val="0"/>
          <w:sz w:val="28"/>
          <w:szCs w:val="28"/>
        </w:rPr>
        <w:t>继续</w:t>
      </w:r>
      <w:r>
        <w:rPr>
          <w:rFonts w:eastAsia="仿宋_GB2312"/>
          <w:color w:val="000000"/>
          <w:kern w:val="0"/>
          <w:sz w:val="28"/>
          <w:szCs w:val="28"/>
        </w:rPr>
        <w:t>使用承包人在施工现场的材料、设备、临时工程、承包人文件和由承包人或以其名义编制的其他文件</w:t>
      </w:r>
      <w:r>
        <w:rPr>
          <w:rFonts w:hint="eastAsia" w:eastAsia="仿宋_GB2312"/>
          <w:color w:val="000000"/>
          <w:kern w:val="0"/>
          <w:sz w:val="28"/>
          <w:szCs w:val="28"/>
        </w:rPr>
        <w:t>的费用承担方式</w:t>
      </w:r>
      <w:r>
        <w:rPr>
          <w:rFonts w:eastAsia="仿宋_GB2312"/>
          <w:color w:val="000000"/>
          <w:kern w:val="0"/>
          <w:sz w:val="28"/>
          <w:szCs w:val="28"/>
        </w:rPr>
        <w:t>：</w:t>
      </w:r>
      <w:r>
        <w:rPr>
          <w:rFonts w:hint="eastAsia" w:eastAsia="仿宋_GB2312"/>
          <w:color w:val="000000"/>
          <w:kern w:val="0"/>
          <w:sz w:val="28"/>
          <w:szCs w:val="28"/>
          <w:u w:val="single"/>
        </w:rPr>
        <w:t xml:space="preserve">/ </w:t>
      </w:r>
      <w:r>
        <w:rPr>
          <w:rFonts w:hint="eastAsia" w:eastAsia="仿宋_GB2312"/>
          <w:color w:val="000000"/>
          <w:kern w:val="0"/>
          <w:sz w:val="28"/>
          <w:szCs w:val="28"/>
        </w:rPr>
        <w:t>。</w:t>
      </w:r>
    </w:p>
    <w:p w14:paraId="4B74F488">
      <w:pPr>
        <w:pStyle w:val="6"/>
        <w:spacing w:before="120" w:after="120" w:line="500" w:lineRule="exact"/>
        <w:rPr>
          <w:rFonts w:ascii="Times New Roman" w:hAnsi="Times New Roman"/>
          <w:b w:val="0"/>
          <w:color w:val="000000"/>
        </w:rPr>
      </w:pPr>
      <w:bookmarkStart w:id="1657" w:name="_Toc351203649"/>
      <w:r>
        <w:rPr>
          <w:rFonts w:ascii="Times New Roman" w:hAnsi="Times New Roman"/>
          <w:b w:val="0"/>
          <w:color w:val="000000"/>
        </w:rPr>
        <w:t>17. 不可抗力</w:t>
      </w:r>
      <w:bookmarkEnd w:id="1657"/>
      <w:r>
        <w:rPr>
          <w:rFonts w:ascii="Times New Roman" w:hAnsi="Times New Roman"/>
          <w:b w:val="0"/>
          <w:color w:val="000000"/>
        </w:rPr>
        <w:t xml:space="preserve"> </w:t>
      </w:r>
      <w:bookmarkEnd w:id="1655"/>
    </w:p>
    <w:p w14:paraId="60D5E0F8">
      <w:pPr>
        <w:spacing w:after="120" w:line="500" w:lineRule="exact"/>
        <w:ind w:firstLine="560" w:firstLineChars="200"/>
        <w:rPr>
          <w:rFonts w:eastAsia="黑体"/>
          <w:color w:val="000000"/>
          <w:sz w:val="28"/>
          <w:szCs w:val="28"/>
        </w:rPr>
      </w:pPr>
      <w:r>
        <w:rPr>
          <w:rFonts w:eastAsia="黑体"/>
          <w:color w:val="000000"/>
          <w:sz w:val="28"/>
          <w:szCs w:val="28"/>
        </w:rPr>
        <w:t>17.1 不可抗力的确认</w:t>
      </w:r>
    </w:p>
    <w:p w14:paraId="08246296">
      <w:pPr>
        <w:spacing w:line="500" w:lineRule="exact"/>
        <w:ind w:firstLine="560" w:firstLineChars="200"/>
        <w:jc w:val="left"/>
        <w:rPr>
          <w:rFonts w:eastAsia="仿宋_GB2312"/>
          <w:color w:val="000000"/>
          <w:kern w:val="0"/>
          <w:sz w:val="28"/>
          <w:szCs w:val="28"/>
          <w:u w:val="single"/>
        </w:rPr>
      </w:pPr>
      <w:r>
        <w:rPr>
          <w:rFonts w:eastAsia="仿宋_GB2312"/>
          <w:color w:val="000000"/>
          <w:sz w:val="28"/>
          <w:szCs w:val="28"/>
        </w:rPr>
        <w:t>除通用合同条款约定的不可抗力事件之外，视为不可抗力的其他情形：</w:t>
      </w:r>
      <w:r>
        <w:rPr>
          <w:rFonts w:hint="eastAsia" w:eastAsia="仿宋_GB2312"/>
          <w:color w:val="000000"/>
          <w:sz w:val="28"/>
          <w:szCs w:val="28"/>
          <w:u w:val="single"/>
        </w:rPr>
        <w:t>按国家和北京市的有关规定执行</w:t>
      </w:r>
      <w:r>
        <w:rPr>
          <w:rFonts w:eastAsia="仿宋_GB2312"/>
          <w:color w:val="000000"/>
          <w:sz w:val="28"/>
          <w:szCs w:val="28"/>
        </w:rPr>
        <w:t>。</w:t>
      </w:r>
    </w:p>
    <w:p w14:paraId="76E6DBD2">
      <w:pPr>
        <w:spacing w:after="120" w:line="500" w:lineRule="exact"/>
        <w:ind w:firstLine="560" w:firstLineChars="200"/>
        <w:outlineLvl w:val="0"/>
        <w:rPr>
          <w:rFonts w:eastAsia="黑体"/>
          <w:color w:val="000000"/>
          <w:sz w:val="28"/>
          <w:szCs w:val="28"/>
        </w:rPr>
      </w:pPr>
      <w:r>
        <w:rPr>
          <w:rFonts w:eastAsia="黑体"/>
          <w:color w:val="000000"/>
          <w:sz w:val="28"/>
          <w:szCs w:val="28"/>
        </w:rPr>
        <w:t>17.4 因不可抗力解除合同</w:t>
      </w:r>
    </w:p>
    <w:p w14:paraId="118C047F">
      <w:pPr>
        <w:spacing w:line="500" w:lineRule="exact"/>
        <w:ind w:firstLine="560" w:firstLineChars="200"/>
        <w:jc w:val="left"/>
        <w:rPr>
          <w:rFonts w:eastAsia="仿宋_GB2312"/>
          <w:color w:val="000000"/>
          <w:sz w:val="28"/>
          <w:szCs w:val="28"/>
        </w:rPr>
      </w:pPr>
      <w:r>
        <w:rPr>
          <w:rFonts w:eastAsia="仿宋_GB2312"/>
          <w:color w:val="000000"/>
          <w:sz w:val="28"/>
          <w:szCs w:val="28"/>
        </w:rPr>
        <w:t>合同解除后，发包人应在商定或确定发包人应支付款项后</w:t>
      </w:r>
      <w:r>
        <w:rPr>
          <w:rFonts w:hint="eastAsia" w:eastAsia="仿宋_GB2312"/>
          <w:color w:val="000000"/>
          <w:sz w:val="28"/>
          <w:szCs w:val="28"/>
          <w:u w:val="single"/>
        </w:rPr>
        <w:t>/</w:t>
      </w:r>
      <w:r>
        <w:rPr>
          <w:rFonts w:eastAsia="仿宋_GB2312"/>
          <w:color w:val="000000"/>
          <w:sz w:val="28"/>
          <w:szCs w:val="28"/>
        </w:rPr>
        <w:t>天内完成款项的支付。</w:t>
      </w:r>
    </w:p>
    <w:p w14:paraId="439543B1">
      <w:pPr>
        <w:pStyle w:val="6"/>
        <w:spacing w:before="120" w:after="120" w:line="500" w:lineRule="exact"/>
        <w:rPr>
          <w:rFonts w:ascii="Times New Roman" w:hAnsi="Times New Roman"/>
          <w:b w:val="0"/>
          <w:color w:val="000000"/>
        </w:rPr>
      </w:pPr>
      <w:bookmarkStart w:id="1658" w:name="_Toc351203650"/>
      <w:r>
        <w:rPr>
          <w:rFonts w:ascii="Times New Roman" w:hAnsi="Times New Roman"/>
          <w:b w:val="0"/>
          <w:color w:val="000000"/>
        </w:rPr>
        <w:t>18. 保险</w:t>
      </w:r>
      <w:bookmarkEnd w:id="1658"/>
    </w:p>
    <w:bookmarkEnd w:id="1656"/>
    <w:p w14:paraId="5052C90C">
      <w:pPr>
        <w:spacing w:after="120" w:line="500" w:lineRule="exact"/>
        <w:ind w:firstLine="560" w:firstLineChars="200"/>
        <w:rPr>
          <w:rFonts w:eastAsia="黑体"/>
          <w:color w:val="000000"/>
          <w:sz w:val="28"/>
          <w:szCs w:val="28"/>
        </w:rPr>
      </w:pPr>
      <w:r>
        <w:rPr>
          <w:rFonts w:eastAsia="黑体"/>
          <w:color w:val="000000"/>
          <w:sz w:val="28"/>
          <w:szCs w:val="28"/>
        </w:rPr>
        <w:t>18.1 工程保险</w:t>
      </w:r>
    </w:p>
    <w:p w14:paraId="12F7B2D8">
      <w:pPr>
        <w:spacing w:line="500" w:lineRule="exact"/>
        <w:ind w:firstLine="560" w:firstLineChars="200"/>
        <w:jc w:val="left"/>
        <w:rPr>
          <w:rFonts w:eastAsia="仿宋_GB2312"/>
          <w:color w:val="000000"/>
          <w:sz w:val="28"/>
          <w:szCs w:val="28"/>
        </w:rPr>
      </w:pPr>
      <w:r>
        <w:rPr>
          <w:rFonts w:eastAsia="仿宋_GB2312"/>
          <w:color w:val="000000"/>
          <w:sz w:val="28"/>
          <w:szCs w:val="28"/>
        </w:rPr>
        <w:t>关于工程保险的特别约定：</w:t>
      </w:r>
      <w:r>
        <w:rPr>
          <w:rFonts w:hint="eastAsia" w:eastAsia="仿宋_GB2312"/>
          <w:color w:val="000000"/>
          <w:sz w:val="28"/>
          <w:szCs w:val="28"/>
          <w:u w:val="single"/>
        </w:rPr>
        <w:t>本工程双方约定承包人投保内容如下：通用条款项下内容及农民工工伤保险</w:t>
      </w:r>
      <w:r>
        <w:rPr>
          <w:rFonts w:eastAsia="仿宋_GB2312"/>
          <w:color w:val="000000"/>
          <w:kern w:val="0"/>
          <w:sz w:val="28"/>
          <w:szCs w:val="28"/>
        </w:rPr>
        <w:t>。</w:t>
      </w:r>
    </w:p>
    <w:p w14:paraId="4394C802">
      <w:pPr>
        <w:spacing w:after="120" w:line="500" w:lineRule="exact"/>
        <w:ind w:firstLine="560" w:firstLineChars="200"/>
        <w:outlineLvl w:val="0"/>
        <w:rPr>
          <w:rFonts w:eastAsia="黑体"/>
          <w:color w:val="000000"/>
          <w:sz w:val="28"/>
          <w:szCs w:val="28"/>
        </w:rPr>
      </w:pPr>
      <w:r>
        <w:rPr>
          <w:rFonts w:eastAsia="黑体"/>
          <w:color w:val="000000"/>
          <w:sz w:val="28"/>
          <w:szCs w:val="28"/>
        </w:rPr>
        <w:t>18.3 其他保险</w:t>
      </w:r>
    </w:p>
    <w:p w14:paraId="3DC9CFC4">
      <w:pPr>
        <w:spacing w:line="500" w:lineRule="exact"/>
        <w:ind w:firstLine="560" w:firstLineChars="200"/>
        <w:jc w:val="left"/>
        <w:rPr>
          <w:rFonts w:eastAsia="仿宋_GB2312"/>
          <w:color w:val="000000"/>
          <w:kern w:val="0"/>
          <w:sz w:val="28"/>
          <w:szCs w:val="28"/>
        </w:rPr>
      </w:pPr>
      <w:r>
        <w:rPr>
          <w:rFonts w:eastAsia="仿宋_GB2312"/>
          <w:color w:val="000000"/>
          <w:sz w:val="28"/>
          <w:szCs w:val="28"/>
        </w:rPr>
        <w:t>关于其他保险的约定：</w:t>
      </w:r>
      <w:r>
        <w:rPr>
          <w:rFonts w:hint="eastAsia" w:eastAsia="仿宋_GB2312"/>
          <w:color w:val="000000"/>
          <w:kern w:val="0"/>
          <w:sz w:val="28"/>
          <w:szCs w:val="28"/>
          <w:u w:val="single"/>
        </w:rPr>
        <w:t>/</w:t>
      </w:r>
      <w:r>
        <w:rPr>
          <w:rFonts w:eastAsia="仿宋_GB2312"/>
          <w:color w:val="000000"/>
          <w:kern w:val="0"/>
          <w:sz w:val="28"/>
          <w:szCs w:val="28"/>
        </w:rPr>
        <w:t>。</w:t>
      </w:r>
    </w:p>
    <w:p w14:paraId="02346048">
      <w:pPr>
        <w:spacing w:line="500" w:lineRule="exact"/>
        <w:ind w:firstLine="560" w:firstLineChars="200"/>
        <w:jc w:val="left"/>
        <w:rPr>
          <w:rFonts w:eastAsia="仿宋_GB2312"/>
          <w:color w:val="000000"/>
          <w:kern w:val="0"/>
          <w:sz w:val="28"/>
          <w:szCs w:val="28"/>
        </w:rPr>
      </w:pPr>
      <w:r>
        <w:rPr>
          <w:rFonts w:eastAsia="仿宋_GB2312"/>
          <w:color w:val="000000"/>
          <w:sz w:val="28"/>
          <w:szCs w:val="28"/>
        </w:rPr>
        <w:t>承包人是否应为其施工设备等办理财产保险：</w:t>
      </w:r>
      <w:r>
        <w:rPr>
          <w:rFonts w:hint="eastAsia" w:eastAsia="仿宋_GB2312"/>
          <w:color w:val="000000"/>
          <w:sz w:val="28"/>
          <w:szCs w:val="28"/>
          <w:u w:val="single"/>
        </w:rPr>
        <w:t>/</w:t>
      </w:r>
      <w:r>
        <w:rPr>
          <w:rFonts w:eastAsia="仿宋_GB2312"/>
          <w:color w:val="000000"/>
          <w:sz w:val="28"/>
          <w:szCs w:val="28"/>
        </w:rPr>
        <w:t>。</w:t>
      </w:r>
    </w:p>
    <w:p w14:paraId="2E5E67F9">
      <w:pPr>
        <w:spacing w:after="120" w:line="500" w:lineRule="exact"/>
        <w:ind w:firstLine="560" w:firstLineChars="200"/>
        <w:rPr>
          <w:rFonts w:eastAsia="黑体"/>
          <w:color w:val="000000"/>
          <w:sz w:val="28"/>
          <w:szCs w:val="28"/>
        </w:rPr>
      </w:pPr>
      <w:r>
        <w:rPr>
          <w:rFonts w:eastAsia="黑体"/>
          <w:color w:val="000000"/>
          <w:sz w:val="28"/>
          <w:szCs w:val="28"/>
        </w:rPr>
        <w:t>18.7 通知义务</w:t>
      </w:r>
    </w:p>
    <w:p w14:paraId="76C78FAD">
      <w:pPr>
        <w:spacing w:line="500" w:lineRule="exact"/>
        <w:ind w:firstLine="560" w:firstLineChars="200"/>
        <w:jc w:val="left"/>
        <w:rPr>
          <w:rFonts w:eastAsia="仿宋_GB2312"/>
          <w:color w:val="000000"/>
          <w:sz w:val="28"/>
          <w:szCs w:val="28"/>
        </w:rPr>
      </w:pPr>
      <w:r>
        <w:rPr>
          <w:rFonts w:eastAsia="仿宋_GB2312"/>
          <w:color w:val="000000"/>
          <w:kern w:val="0"/>
          <w:sz w:val="28"/>
          <w:szCs w:val="28"/>
        </w:rPr>
        <w:t>关于变更保险合同时的通知义务的约定：</w:t>
      </w:r>
      <w:r>
        <w:rPr>
          <w:rFonts w:hint="eastAsia" w:eastAsia="仿宋_GB2312"/>
          <w:color w:val="000000"/>
          <w:sz w:val="28"/>
          <w:szCs w:val="28"/>
          <w:u w:val="single"/>
        </w:rPr>
        <w:t>/</w:t>
      </w:r>
      <w:r>
        <w:rPr>
          <w:rFonts w:eastAsia="仿宋_GB2312"/>
          <w:color w:val="000000"/>
          <w:sz w:val="28"/>
          <w:szCs w:val="28"/>
        </w:rPr>
        <w:t>。</w:t>
      </w:r>
    </w:p>
    <w:bookmarkEnd w:id="1632"/>
    <w:bookmarkEnd w:id="1633"/>
    <w:bookmarkEnd w:id="1634"/>
    <w:bookmarkEnd w:id="1635"/>
    <w:bookmarkEnd w:id="1636"/>
    <w:bookmarkEnd w:id="1637"/>
    <w:bookmarkEnd w:id="1638"/>
    <w:bookmarkEnd w:id="1639"/>
    <w:bookmarkEnd w:id="1640"/>
    <w:bookmarkEnd w:id="1641"/>
    <w:bookmarkEnd w:id="1642"/>
    <w:bookmarkEnd w:id="1643"/>
    <w:p w14:paraId="60DFD6FB">
      <w:pPr>
        <w:pStyle w:val="6"/>
        <w:spacing w:before="120" w:after="120" w:line="500" w:lineRule="exact"/>
        <w:rPr>
          <w:rFonts w:ascii="Times New Roman" w:hAnsi="Times New Roman"/>
          <w:b w:val="0"/>
          <w:color w:val="000000"/>
        </w:rPr>
      </w:pPr>
      <w:bookmarkStart w:id="1659" w:name="_Toc351203651"/>
      <w:r>
        <w:rPr>
          <w:rFonts w:ascii="Times New Roman" w:hAnsi="Times New Roman"/>
          <w:b w:val="0"/>
          <w:color w:val="000000"/>
        </w:rPr>
        <w:t>20. 争议解决</w:t>
      </w:r>
      <w:bookmarkEnd w:id="1659"/>
    </w:p>
    <w:bookmarkEnd w:id="1644"/>
    <w:bookmarkEnd w:id="1645"/>
    <w:p w14:paraId="06475432">
      <w:pPr>
        <w:spacing w:after="120" w:line="500" w:lineRule="exact"/>
        <w:ind w:firstLine="560" w:firstLineChars="200"/>
        <w:outlineLvl w:val="0"/>
        <w:rPr>
          <w:rFonts w:eastAsia="黑体"/>
          <w:color w:val="000000"/>
          <w:sz w:val="28"/>
          <w:szCs w:val="28"/>
        </w:rPr>
      </w:pPr>
      <w:r>
        <w:rPr>
          <w:rFonts w:eastAsia="黑体"/>
          <w:color w:val="000000"/>
          <w:sz w:val="28"/>
          <w:szCs w:val="28"/>
        </w:rPr>
        <w:t>20.3 争</w:t>
      </w:r>
      <w:bookmarkEnd w:id="1646"/>
      <w:r>
        <w:rPr>
          <w:rFonts w:eastAsia="黑体"/>
          <w:color w:val="000000"/>
          <w:sz w:val="28"/>
          <w:szCs w:val="28"/>
        </w:rPr>
        <w:t>议评审</w:t>
      </w:r>
    </w:p>
    <w:p w14:paraId="7975C30C">
      <w:pPr>
        <w:spacing w:line="500" w:lineRule="exact"/>
        <w:ind w:firstLine="560" w:firstLineChars="200"/>
        <w:jc w:val="left"/>
        <w:rPr>
          <w:rFonts w:eastAsia="仿宋_GB2312"/>
          <w:color w:val="000000"/>
          <w:sz w:val="28"/>
          <w:szCs w:val="28"/>
        </w:rPr>
      </w:pPr>
      <w:r>
        <w:rPr>
          <w:rFonts w:eastAsia="仿宋_GB2312"/>
          <w:color w:val="000000"/>
          <w:sz w:val="28"/>
          <w:szCs w:val="28"/>
        </w:rPr>
        <w:t>合同当事人是否同意将工程争议提交争议评审小组决</w:t>
      </w:r>
      <w:r>
        <w:rPr>
          <w:rFonts w:hint="eastAsia" w:eastAsia="仿宋_GB2312"/>
          <w:color w:val="000000"/>
          <w:sz w:val="28"/>
          <w:szCs w:val="28"/>
        </w:rPr>
        <w:t>定：</w:t>
      </w:r>
      <w:r>
        <w:rPr>
          <w:rFonts w:hint="eastAsia" w:eastAsia="仿宋_GB2312"/>
          <w:color w:val="000000"/>
          <w:sz w:val="28"/>
          <w:szCs w:val="28"/>
          <w:u w:val="single"/>
        </w:rPr>
        <w:t>/</w:t>
      </w:r>
      <w:r>
        <w:rPr>
          <w:rFonts w:hint="eastAsia" w:eastAsia="仿宋_GB2312"/>
          <w:color w:val="000000"/>
          <w:sz w:val="28"/>
          <w:szCs w:val="28"/>
        </w:rPr>
        <w:t xml:space="preserve">。  </w:t>
      </w:r>
    </w:p>
    <w:p w14:paraId="35C8AF1A">
      <w:pPr>
        <w:spacing w:line="500" w:lineRule="exact"/>
        <w:ind w:firstLine="560" w:firstLineChars="200"/>
        <w:jc w:val="left"/>
        <w:outlineLvl w:val="0"/>
        <w:rPr>
          <w:rFonts w:eastAsia="仿宋_GB2312"/>
          <w:color w:val="000000"/>
          <w:sz w:val="28"/>
          <w:szCs w:val="28"/>
        </w:rPr>
      </w:pPr>
      <w:r>
        <w:rPr>
          <w:rFonts w:eastAsia="仿宋_GB2312"/>
          <w:color w:val="000000"/>
          <w:sz w:val="28"/>
          <w:szCs w:val="28"/>
        </w:rPr>
        <w:t>20.3.1 争议评审小组的确定</w:t>
      </w:r>
    </w:p>
    <w:p w14:paraId="6EF24924">
      <w:pPr>
        <w:spacing w:line="500" w:lineRule="exact"/>
        <w:ind w:firstLine="560" w:firstLineChars="200"/>
        <w:jc w:val="left"/>
        <w:rPr>
          <w:rFonts w:eastAsia="仿宋_GB2312"/>
          <w:color w:val="000000"/>
          <w:sz w:val="28"/>
          <w:szCs w:val="28"/>
          <w:u w:val="single"/>
        </w:rPr>
      </w:pPr>
      <w:r>
        <w:rPr>
          <w:rFonts w:eastAsia="仿宋_GB2312"/>
          <w:color w:val="000000"/>
          <w:sz w:val="28"/>
          <w:szCs w:val="28"/>
        </w:rPr>
        <w:t>争议评审小组成员的确定：</w:t>
      </w:r>
      <w:r>
        <w:rPr>
          <w:rFonts w:hint="eastAsia" w:eastAsia="仿宋_GB2312"/>
          <w:color w:val="000000"/>
          <w:sz w:val="28"/>
          <w:szCs w:val="28"/>
          <w:u w:val="single"/>
        </w:rPr>
        <w:t>/</w:t>
      </w:r>
      <w:r>
        <w:rPr>
          <w:rFonts w:eastAsia="仿宋_GB2312"/>
          <w:color w:val="000000"/>
          <w:sz w:val="28"/>
          <w:szCs w:val="28"/>
        </w:rPr>
        <w:t>。</w:t>
      </w:r>
    </w:p>
    <w:p w14:paraId="5FECDBF8">
      <w:pPr>
        <w:spacing w:line="500" w:lineRule="exact"/>
        <w:ind w:firstLine="560" w:firstLineChars="200"/>
        <w:jc w:val="left"/>
        <w:rPr>
          <w:rFonts w:eastAsia="仿宋_GB2312"/>
          <w:color w:val="000000"/>
          <w:sz w:val="28"/>
          <w:szCs w:val="28"/>
        </w:rPr>
      </w:pPr>
      <w:r>
        <w:rPr>
          <w:rFonts w:eastAsia="仿宋_GB2312"/>
          <w:color w:val="000000"/>
          <w:sz w:val="28"/>
          <w:szCs w:val="28"/>
        </w:rPr>
        <w:t>选定争议评审员的期限：</w:t>
      </w:r>
      <w:r>
        <w:rPr>
          <w:rFonts w:hint="eastAsia" w:eastAsia="仿宋_GB2312"/>
          <w:color w:val="000000"/>
          <w:sz w:val="28"/>
          <w:szCs w:val="28"/>
          <w:u w:val="single"/>
        </w:rPr>
        <w:t>/</w:t>
      </w:r>
      <w:r>
        <w:rPr>
          <w:rFonts w:eastAsia="仿宋_GB2312"/>
          <w:color w:val="000000"/>
          <w:sz w:val="28"/>
          <w:szCs w:val="28"/>
        </w:rPr>
        <w:t>。</w:t>
      </w:r>
    </w:p>
    <w:p w14:paraId="1CBF9688">
      <w:pPr>
        <w:spacing w:line="500" w:lineRule="exact"/>
        <w:ind w:firstLine="560" w:firstLineChars="200"/>
        <w:jc w:val="left"/>
        <w:rPr>
          <w:rFonts w:eastAsia="仿宋_GB2312"/>
          <w:color w:val="000000"/>
          <w:sz w:val="28"/>
          <w:szCs w:val="28"/>
        </w:rPr>
      </w:pPr>
      <w:r>
        <w:rPr>
          <w:rFonts w:eastAsia="仿宋_GB2312"/>
          <w:color w:val="000000"/>
          <w:sz w:val="28"/>
          <w:szCs w:val="28"/>
        </w:rPr>
        <w:t>争议评审小组成员的报酬承担方式：</w:t>
      </w:r>
      <w:r>
        <w:rPr>
          <w:rFonts w:hint="eastAsia" w:eastAsia="仿宋_GB2312"/>
          <w:color w:val="000000"/>
          <w:sz w:val="28"/>
          <w:szCs w:val="28"/>
          <w:u w:val="single"/>
        </w:rPr>
        <w:t>/</w:t>
      </w:r>
      <w:r>
        <w:rPr>
          <w:rFonts w:eastAsia="仿宋_GB2312"/>
          <w:color w:val="000000"/>
          <w:sz w:val="28"/>
          <w:szCs w:val="28"/>
        </w:rPr>
        <w:t>。</w:t>
      </w:r>
    </w:p>
    <w:p w14:paraId="7CFEA649">
      <w:pPr>
        <w:spacing w:line="500" w:lineRule="exact"/>
        <w:ind w:firstLine="560" w:firstLineChars="200"/>
        <w:jc w:val="left"/>
        <w:rPr>
          <w:rFonts w:eastAsia="仿宋_GB2312"/>
          <w:color w:val="000000"/>
          <w:sz w:val="28"/>
          <w:szCs w:val="28"/>
        </w:rPr>
      </w:pPr>
      <w:r>
        <w:rPr>
          <w:rFonts w:eastAsia="仿宋_GB2312"/>
          <w:color w:val="000000"/>
          <w:sz w:val="28"/>
          <w:szCs w:val="28"/>
        </w:rPr>
        <w:t>其他事项的约定：</w:t>
      </w:r>
      <w:r>
        <w:rPr>
          <w:rFonts w:hint="eastAsia" w:eastAsia="仿宋_GB2312"/>
          <w:color w:val="000000"/>
          <w:sz w:val="28"/>
          <w:szCs w:val="28"/>
          <w:u w:val="single"/>
        </w:rPr>
        <w:t>/</w:t>
      </w:r>
      <w:r>
        <w:rPr>
          <w:rFonts w:eastAsia="仿宋_GB2312"/>
          <w:color w:val="000000"/>
          <w:sz w:val="28"/>
          <w:szCs w:val="28"/>
        </w:rPr>
        <w:t>。</w:t>
      </w:r>
    </w:p>
    <w:p w14:paraId="503E3847">
      <w:pPr>
        <w:autoSpaceDE w:val="0"/>
        <w:autoSpaceDN w:val="0"/>
        <w:adjustRightInd w:val="0"/>
        <w:spacing w:line="500" w:lineRule="exact"/>
        <w:ind w:firstLine="560" w:firstLineChars="200"/>
        <w:jc w:val="left"/>
        <w:outlineLvl w:val="0"/>
        <w:rPr>
          <w:rFonts w:eastAsia="仿宋_GB2312"/>
          <w:color w:val="000000"/>
          <w:kern w:val="0"/>
          <w:sz w:val="28"/>
          <w:szCs w:val="28"/>
        </w:rPr>
      </w:pPr>
      <w:r>
        <w:rPr>
          <w:rFonts w:eastAsia="仿宋_GB2312"/>
          <w:color w:val="000000"/>
          <w:kern w:val="0"/>
          <w:sz w:val="28"/>
          <w:szCs w:val="28"/>
        </w:rPr>
        <w:t>20.3.2 争议评审小组的决定</w:t>
      </w:r>
    </w:p>
    <w:p w14:paraId="7E01DC13">
      <w:pPr>
        <w:spacing w:line="500" w:lineRule="exact"/>
        <w:ind w:firstLine="560" w:firstLineChars="200"/>
        <w:jc w:val="left"/>
        <w:rPr>
          <w:rFonts w:eastAsia="仿宋_GB2312"/>
          <w:color w:val="000000"/>
          <w:sz w:val="28"/>
          <w:szCs w:val="28"/>
        </w:rPr>
      </w:pPr>
      <w:r>
        <w:rPr>
          <w:rFonts w:eastAsia="仿宋_GB2312"/>
          <w:color w:val="000000"/>
          <w:sz w:val="28"/>
          <w:szCs w:val="28"/>
        </w:rPr>
        <w:t>合同当事人关于本项的约定：</w:t>
      </w:r>
      <w:r>
        <w:rPr>
          <w:rFonts w:hint="eastAsia" w:eastAsia="仿宋_GB2312"/>
          <w:color w:val="000000"/>
          <w:sz w:val="28"/>
          <w:szCs w:val="28"/>
          <w:u w:val="single"/>
        </w:rPr>
        <w:t>/</w:t>
      </w:r>
      <w:r>
        <w:rPr>
          <w:rFonts w:eastAsia="仿宋_GB2312"/>
          <w:color w:val="000000"/>
          <w:sz w:val="28"/>
          <w:szCs w:val="28"/>
        </w:rPr>
        <w:t>。</w:t>
      </w:r>
    </w:p>
    <w:p w14:paraId="2864AE67">
      <w:pPr>
        <w:spacing w:after="120" w:line="500" w:lineRule="exact"/>
        <w:ind w:firstLine="560" w:firstLineChars="200"/>
        <w:outlineLvl w:val="0"/>
        <w:rPr>
          <w:rFonts w:eastAsia="黑体"/>
          <w:color w:val="000000"/>
          <w:sz w:val="28"/>
          <w:szCs w:val="28"/>
        </w:rPr>
      </w:pPr>
      <w:r>
        <w:rPr>
          <w:rFonts w:eastAsia="黑体"/>
          <w:color w:val="000000"/>
          <w:sz w:val="28"/>
          <w:szCs w:val="28"/>
        </w:rPr>
        <w:t>20.4仲裁或诉讼</w:t>
      </w:r>
      <w:bookmarkEnd w:id="1647"/>
    </w:p>
    <w:p w14:paraId="398375AB">
      <w:pPr>
        <w:spacing w:after="120" w:line="500" w:lineRule="exact"/>
        <w:ind w:firstLine="560" w:firstLineChars="200"/>
        <w:rPr>
          <w:rFonts w:eastAsia="黑体"/>
          <w:color w:val="000000"/>
          <w:sz w:val="28"/>
          <w:szCs w:val="28"/>
        </w:rPr>
      </w:pPr>
      <w:r>
        <w:rPr>
          <w:rFonts w:eastAsia="仿宋_GB2312"/>
          <w:color w:val="000000"/>
          <w:sz w:val="28"/>
          <w:szCs w:val="28"/>
        </w:rPr>
        <w:t>因合同及合同有关事项发生的争议，按下列第</w:t>
      </w:r>
      <w:r>
        <w:rPr>
          <w:rFonts w:eastAsia="仿宋_GB2312"/>
          <w:color w:val="000000"/>
          <w:sz w:val="28"/>
          <w:szCs w:val="28"/>
          <w:u w:val="single"/>
        </w:rPr>
        <w:t>（2）</w:t>
      </w:r>
      <w:r>
        <w:rPr>
          <w:rFonts w:eastAsia="仿宋_GB2312"/>
          <w:color w:val="000000"/>
          <w:sz w:val="28"/>
          <w:szCs w:val="28"/>
        </w:rPr>
        <w:t>种方式</w:t>
      </w:r>
      <w:r>
        <w:rPr>
          <w:rFonts w:hint="eastAsia" w:eastAsia="仿宋_GB2312"/>
          <w:color w:val="000000"/>
          <w:sz w:val="28"/>
          <w:szCs w:val="28"/>
        </w:rPr>
        <w:t>解</w:t>
      </w:r>
      <w:r>
        <w:rPr>
          <w:rFonts w:eastAsia="仿宋_GB2312"/>
          <w:color w:val="000000"/>
          <w:sz w:val="28"/>
          <w:szCs w:val="28"/>
        </w:rPr>
        <w:t>决：</w:t>
      </w:r>
    </w:p>
    <w:p w14:paraId="0345E935">
      <w:pPr>
        <w:spacing w:line="500" w:lineRule="exact"/>
        <w:ind w:firstLine="560" w:firstLineChars="200"/>
        <w:jc w:val="left"/>
        <w:rPr>
          <w:rFonts w:eastAsia="仿宋_GB2312"/>
          <w:color w:val="000000"/>
          <w:sz w:val="28"/>
          <w:szCs w:val="28"/>
        </w:rPr>
      </w:pPr>
      <w:r>
        <w:rPr>
          <w:rFonts w:eastAsia="仿宋_GB2312"/>
          <w:color w:val="000000"/>
          <w:sz w:val="28"/>
          <w:szCs w:val="28"/>
        </w:rPr>
        <w:t>（1）向</w:t>
      </w:r>
      <w:r>
        <w:rPr>
          <w:rFonts w:hint="eastAsia" w:eastAsia="仿宋_GB2312"/>
          <w:color w:val="000000"/>
          <w:sz w:val="28"/>
          <w:szCs w:val="28"/>
          <w:u w:val="single"/>
        </w:rPr>
        <w:t>/</w:t>
      </w:r>
      <w:r>
        <w:rPr>
          <w:rFonts w:eastAsia="仿宋_GB2312"/>
          <w:color w:val="000000"/>
          <w:sz w:val="28"/>
          <w:szCs w:val="28"/>
        </w:rPr>
        <w:t>仲裁委员会申请仲裁；</w:t>
      </w:r>
    </w:p>
    <w:p w14:paraId="2C103FB1">
      <w:pPr>
        <w:spacing w:line="500" w:lineRule="exact"/>
        <w:ind w:firstLine="560" w:firstLineChars="200"/>
        <w:jc w:val="left"/>
        <w:rPr>
          <w:rFonts w:eastAsia="仿宋_GB2312"/>
          <w:color w:val="000000"/>
          <w:sz w:val="28"/>
          <w:szCs w:val="28"/>
        </w:rPr>
      </w:pPr>
      <w:r>
        <w:rPr>
          <w:rFonts w:eastAsia="仿宋_GB2312"/>
          <w:color w:val="000000"/>
          <w:sz w:val="28"/>
          <w:szCs w:val="28"/>
        </w:rPr>
        <w:t>（2）向</w:t>
      </w:r>
      <w:r>
        <w:rPr>
          <w:rFonts w:hint="eastAsia" w:eastAsia="仿宋_GB2312"/>
          <w:color w:val="000000"/>
          <w:sz w:val="28"/>
          <w:szCs w:val="28"/>
          <w:u w:val="single"/>
        </w:rPr>
        <w:t>发包人所在地</w:t>
      </w:r>
      <w:r>
        <w:rPr>
          <w:rFonts w:eastAsia="仿宋_GB2312"/>
          <w:color w:val="000000"/>
          <w:sz w:val="28"/>
          <w:szCs w:val="28"/>
        </w:rPr>
        <w:t>人民法院起诉。</w:t>
      </w:r>
      <w:bookmarkEnd w:id="1648"/>
      <w:bookmarkEnd w:id="1649"/>
      <w:bookmarkEnd w:id="1650"/>
      <w:bookmarkEnd w:id="1651"/>
      <w:bookmarkEnd w:id="1652"/>
      <w:bookmarkEnd w:id="1653"/>
    </w:p>
    <w:p w14:paraId="06682DF1">
      <w:pPr>
        <w:spacing w:line="500" w:lineRule="exact"/>
        <w:ind w:firstLine="560" w:firstLineChars="200"/>
        <w:jc w:val="left"/>
        <w:rPr>
          <w:rFonts w:eastAsia="仿宋_GB2312"/>
          <w:color w:val="000000"/>
          <w:sz w:val="28"/>
          <w:szCs w:val="28"/>
          <w:u w:val="single"/>
        </w:rPr>
      </w:pPr>
      <w:r>
        <w:rPr>
          <w:rFonts w:hint="eastAsia" w:eastAsia="仿宋_GB2312"/>
          <w:color w:val="000000"/>
          <w:sz w:val="28"/>
          <w:szCs w:val="28"/>
          <w:u w:val="single"/>
        </w:rPr>
        <w:t>在争议解决过程中，双方都应继续履行合同中不存在争议的部分，并保持施工连续，保护好已完工程。</w:t>
      </w:r>
    </w:p>
    <w:p w14:paraId="65B7295A">
      <w:pPr>
        <w:pStyle w:val="6"/>
        <w:spacing w:before="120" w:after="120" w:line="500" w:lineRule="exact"/>
        <w:rPr>
          <w:rFonts w:ascii="Times New Roman" w:hAnsi="Times New Roman"/>
          <w:color w:val="000000"/>
        </w:rPr>
      </w:pPr>
      <w:r>
        <w:rPr>
          <w:rFonts w:ascii="Times New Roman" w:hAnsi="Times New Roman"/>
          <w:b w:val="0"/>
          <w:color w:val="000000"/>
        </w:rPr>
        <w:t>2</w:t>
      </w:r>
      <w:r>
        <w:rPr>
          <w:rFonts w:hint="eastAsia" w:ascii="Times New Roman" w:hAnsi="Times New Roman"/>
          <w:b w:val="0"/>
          <w:color w:val="000000"/>
        </w:rPr>
        <w:t>1</w:t>
      </w:r>
      <w:r>
        <w:rPr>
          <w:rFonts w:ascii="Times New Roman" w:hAnsi="Times New Roman"/>
          <w:b w:val="0"/>
          <w:color w:val="000000"/>
        </w:rPr>
        <w:t xml:space="preserve">. </w:t>
      </w:r>
      <w:r>
        <w:rPr>
          <w:rFonts w:hint="eastAsia" w:ascii="Times New Roman" w:hAnsi="Times New Roman"/>
          <w:b w:val="0"/>
          <w:color w:val="000000"/>
        </w:rPr>
        <w:t>其他</w:t>
      </w:r>
    </w:p>
    <w:p w14:paraId="3EBA4161">
      <w:pPr>
        <w:spacing w:after="120" w:line="500" w:lineRule="exact"/>
        <w:ind w:firstLine="560" w:firstLineChars="200"/>
        <w:rPr>
          <w:rFonts w:eastAsia="仿宋_GB2312"/>
          <w:b/>
          <w:bCs/>
          <w:color w:val="000000"/>
          <w:sz w:val="28"/>
          <w:szCs w:val="28"/>
        </w:rPr>
      </w:pPr>
      <w:r>
        <w:rPr>
          <w:rFonts w:hint="eastAsia" w:eastAsia="仿宋_GB2312"/>
          <w:color w:val="000000"/>
          <w:sz w:val="28"/>
          <w:szCs w:val="28"/>
        </w:rPr>
        <w:t>21.1</w:t>
      </w:r>
      <w:r>
        <w:rPr>
          <w:rFonts w:hint="eastAsia" w:eastAsia="黑体"/>
          <w:color w:val="000000"/>
          <w:sz w:val="28"/>
          <w:szCs w:val="28"/>
        </w:rPr>
        <w:t>承包人采购材料设备</w:t>
      </w:r>
    </w:p>
    <w:p w14:paraId="0A6AFE5C">
      <w:pPr>
        <w:spacing w:line="500" w:lineRule="exact"/>
        <w:ind w:firstLine="560" w:firstLineChars="200"/>
        <w:jc w:val="left"/>
        <w:rPr>
          <w:rFonts w:eastAsia="仿宋_GB2312"/>
          <w:color w:val="000000"/>
          <w:sz w:val="28"/>
          <w:szCs w:val="28"/>
        </w:rPr>
      </w:pPr>
      <w:r>
        <w:rPr>
          <w:rFonts w:hint="eastAsia" w:eastAsia="仿宋_GB2312"/>
          <w:color w:val="000000"/>
          <w:sz w:val="28"/>
          <w:szCs w:val="28"/>
          <w:u w:val="single"/>
        </w:rPr>
        <w:t>承包人采购的材料设备必须符合国家现行标准</w:t>
      </w:r>
      <w:r>
        <w:rPr>
          <w:rFonts w:hint="eastAsia" w:eastAsia="仿宋_GB2312"/>
          <w:color w:val="000000"/>
          <w:sz w:val="28"/>
          <w:szCs w:val="28"/>
        </w:rPr>
        <w:t>。</w:t>
      </w:r>
    </w:p>
    <w:p w14:paraId="45ACB3E9">
      <w:pPr>
        <w:spacing w:after="120" w:line="500" w:lineRule="exact"/>
        <w:ind w:firstLine="560" w:firstLineChars="200"/>
        <w:rPr>
          <w:rFonts w:eastAsia="黑体"/>
          <w:color w:val="000000"/>
          <w:sz w:val="28"/>
          <w:szCs w:val="28"/>
          <w:lang w:val="zh-CN"/>
        </w:rPr>
      </w:pPr>
      <w:r>
        <w:rPr>
          <w:rFonts w:hint="eastAsia" w:eastAsia="仿宋_GB2312"/>
          <w:color w:val="000000"/>
          <w:sz w:val="28"/>
          <w:szCs w:val="28"/>
        </w:rPr>
        <w:t>21.2</w:t>
      </w:r>
      <w:r>
        <w:rPr>
          <w:rFonts w:hint="eastAsia" w:eastAsia="黑体"/>
          <w:color w:val="000000"/>
          <w:sz w:val="28"/>
          <w:szCs w:val="28"/>
          <w:lang w:val="zh-CN"/>
        </w:rPr>
        <w:t>材料试验</w:t>
      </w:r>
    </w:p>
    <w:p w14:paraId="0D7EDD18">
      <w:pPr>
        <w:spacing w:line="500" w:lineRule="exact"/>
        <w:ind w:firstLine="560" w:firstLineChars="200"/>
        <w:outlineLvl w:val="0"/>
        <w:rPr>
          <w:rFonts w:eastAsia="黑体"/>
          <w:color w:val="000000"/>
          <w:sz w:val="28"/>
          <w:szCs w:val="28"/>
          <w:lang w:val="zh-CN"/>
        </w:rPr>
      </w:pPr>
      <w:r>
        <w:rPr>
          <w:rFonts w:hint="eastAsia" w:eastAsia="仿宋_GB2312"/>
          <w:color w:val="000000"/>
          <w:sz w:val="28"/>
          <w:szCs w:val="28"/>
          <w:u w:val="single"/>
        </w:rPr>
        <w:t>/</w:t>
      </w:r>
      <w:r>
        <w:rPr>
          <w:rFonts w:hint="eastAsia" w:eastAsia="仿宋_GB2312"/>
          <w:color w:val="000000"/>
          <w:sz w:val="28"/>
          <w:szCs w:val="28"/>
        </w:rPr>
        <w:t>。</w:t>
      </w:r>
    </w:p>
    <w:p w14:paraId="56F4A753">
      <w:pPr>
        <w:spacing w:after="120" w:line="500" w:lineRule="exact"/>
        <w:ind w:firstLine="560" w:firstLineChars="200"/>
        <w:rPr>
          <w:rFonts w:hint="eastAsia" w:ascii="宋体" w:hAnsi="宋体"/>
          <w:color w:val="000000"/>
          <w:sz w:val="28"/>
          <w:szCs w:val="28"/>
        </w:rPr>
      </w:pPr>
      <w:r>
        <w:rPr>
          <w:rFonts w:hint="eastAsia" w:eastAsia="仿宋_GB2312"/>
          <w:color w:val="000000"/>
          <w:sz w:val="28"/>
          <w:szCs w:val="28"/>
        </w:rPr>
        <w:t>21.3</w:t>
      </w:r>
      <w:r>
        <w:rPr>
          <w:rFonts w:hint="eastAsia" w:eastAsia="黑体"/>
          <w:color w:val="000000"/>
          <w:sz w:val="28"/>
          <w:szCs w:val="28"/>
        </w:rPr>
        <w:t>违约</w:t>
      </w:r>
    </w:p>
    <w:p w14:paraId="02C4118B">
      <w:pPr>
        <w:spacing w:line="500" w:lineRule="exact"/>
        <w:ind w:firstLine="560" w:firstLineChars="200"/>
        <w:outlineLvl w:val="0"/>
        <w:rPr>
          <w:rFonts w:eastAsia="仿宋_GB2312"/>
          <w:color w:val="000000"/>
          <w:sz w:val="28"/>
          <w:szCs w:val="28"/>
          <w:u w:val="single"/>
        </w:rPr>
      </w:pPr>
      <w:r>
        <w:rPr>
          <w:rFonts w:hint="eastAsia" w:eastAsia="仿宋_GB2312"/>
          <w:color w:val="000000"/>
          <w:sz w:val="28"/>
          <w:szCs w:val="28"/>
          <w:u w:val="single"/>
        </w:rPr>
        <w:t>/</w:t>
      </w:r>
      <w:r>
        <w:rPr>
          <w:rFonts w:hint="eastAsia" w:eastAsia="仿宋_GB2312"/>
          <w:color w:val="000000"/>
          <w:sz w:val="28"/>
          <w:szCs w:val="28"/>
        </w:rPr>
        <w:t>。</w:t>
      </w:r>
    </w:p>
    <w:p w14:paraId="36E1B4AC">
      <w:pPr>
        <w:spacing w:line="500" w:lineRule="exact"/>
        <w:ind w:firstLine="560" w:firstLineChars="200"/>
        <w:outlineLvl w:val="0"/>
        <w:rPr>
          <w:rFonts w:eastAsia="仿宋_GB2312"/>
          <w:color w:val="000000"/>
          <w:sz w:val="28"/>
          <w:szCs w:val="28"/>
        </w:rPr>
      </w:pPr>
      <w:r>
        <w:rPr>
          <w:rFonts w:hint="eastAsia" w:eastAsia="仿宋_GB2312"/>
          <w:color w:val="000000"/>
          <w:sz w:val="28"/>
          <w:szCs w:val="28"/>
        </w:rPr>
        <w:t>21.4</w:t>
      </w:r>
      <w:r>
        <w:rPr>
          <w:rFonts w:hint="eastAsia" w:eastAsia="黑体"/>
          <w:color w:val="000000"/>
          <w:sz w:val="28"/>
          <w:szCs w:val="28"/>
        </w:rPr>
        <w:t>文物和地下障碍物</w:t>
      </w:r>
    </w:p>
    <w:p w14:paraId="0BDD06A7">
      <w:pPr>
        <w:spacing w:line="500" w:lineRule="exact"/>
        <w:ind w:firstLine="560" w:firstLineChars="200"/>
        <w:jc w:val="left"/>
        <w:rPr>
          <w:rFonts w:eastAsia="仿宋_GB2312"/>
          <w:color w:val="000000"/>
          <w:sz w:val="28"/>
          <w:szCs w:val="28"/>
          <w:u w:val="single"/>
          <w:lang w:val="zh-CN"/>
        </w:rPr>
      </w:pPr>
      <w:r>
        <w:rPr>
          <w:rFonts w:hint="eastAsia" w:eastAsia="仿宋_GB2312"/>
          <w:color w:val="000000"/>
          <w:sz w:val="28"/>
          <w:szCs w:val="28"/>
          <w:u w:val="single"/>
          <w:lang w:val="zh-CN"/>
        </w:rPr>
        <w:t>在施工中发现古墓、古建筑遗址等文物及化石或其他有考古、地质研究等价值物品时，承包人应立即保护好现场并于4小时内以书面形式通知工程师，工程师应于收到书面通知后4小时内报告文物管理部门，发包人承包人按文物管理部门的要求采取妥善保护措施。发包人承担由此发生的费用，顺延延误的工期。</w:t>
      </w:r>
    </w:p>
    <w:p w14:paraId="3954E8D2">
      <w:pPr>
        <w:spacing w:line="500" w:lineRule="exact"/>
        <w:ind w:firstLine="560" w:firstLineChars="200"/>
        <w:jc w:val="left"/>
        <w:rPr>
          <w:rFonts w:eastAsia="仿宋_GB2312"/>
          <w:color w:val="000000"/>
          <w:sz w:val="28"/>
          <w:szCs w:val="28"/>
          <w:u w:val="single"/>
          <w:lang w:val="zh-CN"/>
        </w:rPr>
      </w:pPr>
      <w:r>
        <w:rPr>
          <w:rFonts w:hint="eastAsia" w:eastAsia="仿宋_GB2312"/>
          <w:color w:val="000000"/>
          <w:sz w:val="28"/>
          <w:szCs w:val="28"/>
          <w:u w:val="single"/>
          <w:lang w:val="zh-CN"/>
        </w:rPr>
        <w:t>在施工中根据历史文献记载或传说，并经文物管理部门初步认定，施工场地某部位可能藏有重要文物或文物古建筑遗址并要求仔细挖掘时，承包人应以书面形式通知工程师，工程师在接到通知后48小时内给予书面确认。因挖掘文物或文物古建筑遗址发生的各种费用由发包人承担，工期相应顺延。工程师在48小时内未予答复，视为同意。工程师不同意承包人的书面报告，但实际确实挖掘出相应文物或文物古建筑遗址，所发生的各种费用仍由发包人承担，工期相应顺延。</w:t>
      </w:r>
    </w:p>
    <w:p w14:paraId="097483F4">
      <w:pPr>
        <w:spacing w:line="500" w:lineRule="exact"/>
        <w:ind w:firstLine="560" w:firstLineChars="200"/>
        <w:jc w:val="left"/>
        <w:rPr>
          <w:rFonts w:eastAsia="仿宋_GB2312"/>
          <w:color w:val="000000"/>
          <w:sz w:val="28"/>
          <w:szCs w:val="28"/>
          <w:u w:val="single"/>
          <w:lang w:val="zh-CN"/>
        </w:rPr>
      </w:pPr>
      <w:r>
        <w:rPr>
          <w:rFonts w:hint="eastAsia" w:eastAsia="仿宋_GB2312"/>
          <w:color w:val="000000"/>
          <w:sz w:val="28"/>
          <w:szCs w:val="28"/>
          <w:u w:val="single"/>
          <w:lang w:val="zh-CN"/>
        </w:rPr>
        <w:t>施工中发现文物后隐瞒不报，致使文物遭受破坏，责任者依法承担相应责任。根据历史文献记载或传说并经文物管理部门初步认定施工场地可能藏有重要文物或文物古建筑遗址，但施工中未能采取挖掘和相应保护措施，致使文物或文物古建筑遗址受损，责任者依法承担相应责任。</w:t>
      </w:r>
    </w:p>
    <w:p w14:paraId="55F6DBF1">
      <w:pPr>
        <w:spacing w:line="500" w:lineRule="exact"/>
        <w:ind w:firstLine="560" w:firstLineChars="200"/>
        <w:jc w:val="left"/>
        <w:rPr>
          <w:rFonts w:eastAsia="仿宋_GB2312"/>
          <w:color w:val="000000"/>
          <w:sz w:val="28"/>
          <w:szCs w:val="28"/>
          <w:u w:val="single"/>
          <w:lang w:val="zh-CN"/>
        </w:rPr>
      </w:pPr>
      <w:r>
        <w:rPr>
          <w:rFonts w:hint="eastAsia" w:eastAsia="仿宋_GB2312"/>
          <w:color w:val="000000"/>
          <w:sz w:val="28"/>
          <w:szCs w:val="28"/>
          <w:u w:val="single"/>
          <w:lang w:val="zh-CN"/>
        </w:rPr>
        <w:t>施工中发现影响施工的地下障碍物时，承包人应于8小时以内以书面形式通知工程师，同时提出处置方案，工程师收到处置方案后24小内予以认可或提出修正方案。发包人承担由此发生的费用，顺延延误的工期。</w:t>
      </w:r>
    </w:p>
    <w:p w14:paraId="7A607E25">
      <w:pPr>
        <w:spacing w:line="500" w:lineRule="exact"/>
        <w:ind w:firstLine="560" w:firstLineChars="200"/>
        <w:jc w:val="left"/>
        <w:rPr>
          <w:rFonts w:eastAsia="仿宋_GB2312"/>
          <w:color w:val="000000"/>
          <w:sz w:val="28"/>
          <w:szCs w:val="28"/>
          <w:u w:val="single"/>
          <w:lang w:val="zh-CN"/>
        </w:rPr>
      </w:pPr>
      <w:r>
        <w:rPr>
          <w:rFonts w:hint="eastAsia" w:eastAsia="仿宋_GB2312"/>
          <w:color w:val="000000"/>
          <w:sz w:val="28"/>
          <w:szCs w:val="28"/>
          <w:u w:val="single"/>
          <w:lang w:val="zh-CN"/>
        </w:rPr>
        <w:t>所发现的地下障碍物有归属单位时，发包人应报请有关部门协同处置。</w:t>
      </w:r>
    </w:p>
    <w:p w14:paraId="62D44A39">
      <w:pPr>
        <w:spacing w:line="500" w:lineRule="exact"/>
        <w:ind w:firstLine="560" w:firstLineChars="200"/>
        <w:outlineLvl w:val="0"/>
        <w:rPr>
          <w:rFonts w:hint="eastAsia" w:ascii="宋体" w:hAnsi="宋体"/>
          <w:color w:val="000000"/>
          <w:sz w:val="28"/>
          <w:szCs w:val="28"/>
        </w:rPr>
      </w:pPr>
      <w:r>
        <w:rPr>
          <w:rFonts w:hint="eastAsia" w:eastAsia="仿宋_GB2312"/>
          <w:color w:val="000000"/>
          <w:sz w:val="28"/>
          <w:szCs w:val="28"/>
        </w:rPr>
        <w:t>21.5</w:t>
      </w:r>
      <w:r>
        <w:rPr>
          <w:rFonts w:hint="eastAsia" w:eastAsia="黑体"/>
          <w:color w:val="000000"/>
          <w:sz w:val="28"/>
          <w:szCs w:val="28"/>
        </w:rPr>
        <w:t>合同解除和终止</w:t>
      </w:r>
    </w:p>
    <w:p w14:paraId="0530656C">
      <w:pPr>
        <w:spacing w:line="500" w:lineRule="exact"/>
        <w:ind w:firstLine="560" w:firstLineChars="200"/>
        <w:jc w:val="left"/>
        <w:rPr>
          <w:rFonts w:eastAsia="仿宋_GB2312"/>
          <w:color w:val="000000"/>
          <w:sz w:val="28"/>
          <w:szCs w:val="28"/>
          <w:u w:val="single"/>
          <w:lang w:val="zh-CN"/>
        </w:rPr>
      </w:pPr>
      <w:r>
        <w:rPr>
          <w:rFonts w:hint="eastAsia" w:eastAsia="仿宋_GB2312"/>
          <w:color w:val="000000"/>
          <w:sz w:val="28"/>
          <w:szCs w:val="28"/>
          <w:u w:val="single"/>
          <w:lang w:val="zh-CN"/>
        </w:rPr>
        <w:t>承包人不得将本合同规定的工程项目转包给第三方进场施工，如有上述事件发生，发包人有权终止与承包人的合同。</w:t>
      </w:r>
    </w:p>
    <w:p w14:paraId="2CAF8540">
      <w:pPr>
        <w:spacing w:line="500" w:lineRule="exact"/>
        <w:ind w:firstLine="560" w:firstLineChars="200"/>
        <w:jc w:val="left"/>
        <w:rPr>
          <w:rFonts w:eastAsia="仿宋_GB2312"/>
          <w:color w:val="000000"/>
          <w:sz w:val="28"/>
          <w:szCs w:val="28"/>
          <w:u w:val="single"/>
          <w:lang w:val="zh-CN"/>
        </w:rPr>
      </w:pPr>
      <w:r>
        <w:rPr>
          <w:rFonts w:hint="eastAsia" w:eastAsia="仿宋_GB2312"/>
          <w:color w:val="000000"/>
          <w:sz w:val="28"/>
          <w:szCs w:val="28"/>
          <w:u w:val="single"/>
          <w:lang w:val="zh-CN"/>
        </w:rPr>
        <w:t>未经发包人同意，承包人不按投标文件的承诺安排责任工程师或主要技术负责人，或擅自更换责任工程师或主要技术负责人以及责任工程师或主要技术负责人同时在两个或两个以上项目兼职，又不按发包人要求改正，发包人有权终止合同，承包人承担由此造成的发包人损失。</w:t>
      </w:r>
    </w:p>
    <w:p w14:paraId="6497B7BF">
      <w:pPr>
        <w:spacing w:line="500" w:lineRule="exact"/>
        <w:ind w:firstLine="560" w:firstLineChars="200"/>
        <w:jc w:val="left"/>
        <w:rPr>
          <w:rFonts w:eastAsia="仿宋_GB2312"/>
          <w:color w:val="000000"/>
          <w:sz w:val="28"/>
          <w:szCs w:val="28"/>
          <w:u w:val="single"/>
          <w:lang w:val="zh-CN"/>
        </w:rPr>
      </w:pPr>
      <w:r>
        <w:rPr>
          <w:rFonts w:hint="eastAsia" w:eastAsia="仿宋_GB2312"/>
          <w:color w:val="000000"/>
          <w:sz w:val="28"/>
          <w:szCs w:val="28"/>
          <w:u w:val="single"/>
        </w:rPr>
        <w:t>因以上原因，发包人终止合同后，有权重新选择工程承包单位；承包人应在发包人终止合同后5日内退场，每拖延一天清场，承包人向发包人交纳违约金10000元，合同终止后30日内，承包人赔偿发包人由此造成的损失并向发包人支付违约金，逾期支付违约金的，每延迟一天，以应付未付违约金的3‰计滞纳金；承包人将发包人给予承包人的所有图纸资料交还发包人，包括图纸、说明、变更、补充协议、会议纪要和其他文件；承包人撤出现场前的工程保护由承包人负责。</w:t>
      </w:r>
    </w:p>
    <w:p w14:paraId="2B710FE0">
      <w:pPr>
        <w:spacing w:line="500" w:lineRule="exact"/>
        <w:ind w:firstLine="560" w:firstLineChars="200"/>
        <w:jc w:val="left"/>
        <w:rPr>
          <w:rFonts w:eastAsia="仿宋_GB2312"/>
          <w:color w:val="000000"/>
          <w:sz w:val="28"/>
          <w:szCs w:val="28"/>
          <w:u w:val="single"/>
          <w:lang w:val="zh-CN"/>
        </w:rPr>
      </w:pPr>
      <w:r>
        <w:rPr>
          <w:rFonts w:hint="eastAsia" w:eastAsia="仿宋_GB2312"/>
          <w:color w:val="000000"/>
          <w:sz w:val="28"/>
          <w:szCs w:val="28"/>
          <w:u w:val="single"/>
          <w:lang w:val="zh-CN"/>
        </w:rPr>
        <w:t>双方履行合同全部义务，竣工结算价款支付完毕，承包人向发包人交付竣工工程后，本合同即告终止。</w:t>
      </w:r>
    </w:p>
    <w:p w14:paraId="2B7AD706">
      <w:pPr>
        <w:spacing w:line="500" w:lineRule="exact"/>
        <w:ind w:firstLine="560" w:firstLineChars="200"/>
        <w:jc w:val="left"/>
        <w:rPr>
          <w:rFonts w:eastAsia="仿宋_GB2312"/>
          <w:color w:val="000000"/>
          <w:sz w:val="28"/>
          <w:szCs w:val="28"/>
          <w:u w:val="single"/>
          <w:lang w:val="zh-CN"/>
        </w:rPr>
      </w:pPr>
      <w:r>
        <w:rPr>
          <w:rFonts w:hint="eastAsia" w:eastAsia="仿宋_GB2312"/>
          <w:color w:val="000000"/>
          <w:sz w:val="28"/>
          <w:szCs w:val="28"/>
          <w:u w:val="single"/>
          <w:lang w:val="zh-CN"/>
        </w:rPr>
        <w:t>合同权利义务终止后，双方应当遵循诚实信用的原则，履行通知、协助、保密等义务。</w:t>
      </w:r>
    </w:p>
    <w:p w14:paraId="2297C212">
      <w:pPr>
        <w:spacing w:line="500" w:lineRule="exact"/>
        <w:ind w:firstLine="560" w:firstLineChars="200"/>
        <w:outlineLvl w:val="0"/>
        <w:rPr>
          <w:rFonts w:eastAsia="黑体"/>
          <w:color w:val="000000"/>
          <w:sz w:val="28"/>
          <w:szCs w:val="28"/>
        </w:rPr>
      </w:pPr>
      <w:r>
        <w:rPr>
          <w:rFonts w:hint="eastAsia" w:eastAsia="仿宋_GB2312"/>
          <w:color w:val="000000"/>
          <w:sz w:val="28"/>
          <w:szCs w:val="28"/>
        </w:rPr>
        <w:t>21.6</w:t>
      </w:r>
      <w:r>
        <w:rPr>
          <w:rFonts w:hint="eastAsia" w:eastAsia="黑体"/>
          <w:color w:val="000000"/>
          <w:sz w:val="28"/>
          <w:szCs w:val="28"/>
        </w:rPr>
        <w:t>其他补充条款</w:t>
      </w:r>
    </w:p>
    <w:p w14:paraId="32FCEB8E">
      <w:pPr>
        <w:spacing w:line="500" w:lineRule="exact"/>
        <w:ind w:firstLine="560" w:firstLineChars="200"/>
        <w:jc w:val="left"/>
        <w:rPr>
          <w:rFonts w:eastAsia="仿宋_GB2312"/>
          <w:color w:val="000000"/>
          <w:sz w:val="28"/>
          <w:szCs w:val="28"/>
          <w:u w:val="single"/>
          <w:lang w:val="zh-CN"/>
        </w:rPr>
      </w:pPr>
      <w:r>
        <w:rPr>
          <w:rFonts w:hint="eastAsia" w:eastAsia="仿宋_GB2312"/>
          <w:color w:val="000000"/>
          <w:sz w:val="28"/>
          <w:szCs w:val="28"/>
          <w:u w:val="single"/>
          <w:lang w:val="zh-CN"/>
        </w:rPr>
        <w:t>若发包人要求，开工前双方须另行签订安全协议。</w:t>
      </w:r>
    </w:p>
    <w:p w14:paraId="2BE57736">
      <w:pPr>
        <w:spacing w:line="500" w:lineRule="exact"/>
        <w:ind w:firstLine="560" w:firstLineChars="200"/>
        <w:jc w:val="left"/>
        <w:rPr>
          <w:rFonts w:eastAsia="仿宋_GB2312"/>
          <w:color w:val="000000"/>
          <w:sz w:val="28"/>
          <w:szCs w:val="28"/>
          <w:u w:val="single"/>
          <w:lang w:val="zh-CN"/>
        </w:rPr>
      </w:pPr>
      <w:r>
        <w:rPr>
          <w:rFonts w:hint="eastAsia" w:eastAsia="仿宋_GB2312"/>
          <w:color w:val="000000"/>
          <w:sz w:val="28"/>
          <w:szCs w:val="28"/>
          <w:u w:val="single"/>
          <w:lang w:val="zh-CN"/>
        </w:rPr>
        <w:t>停工或延长工期事先需应征得</w:t>
      </w:r>
      <w:r>
        <w:rPr>
          <w:rFonts w:hint="eastAsia" w:eastAsia="仿宋_GB2312"/>
          <w:color w:val="000000"/>
          <w:sz w:val="28"/>
          <w:szCs w:val="28"/>
          <w:u w:val="single"/>
        </w:rPr>
        <w:t>甲方</w:t>
      </w:r>
      <w:r>
        <w:rPr>
          <w:rFonts w:hint="eastAsia" w:eastAsia="仿宋_GB2312"/>
          <w:color w:val="000000"/>
          <w:sz w:val="28"/>
          <w:szCs w:val="28"/>
          <w:u w:val="single"/>
          <w:lang w:val="zh-CN"/>
        </w:rPr>
        <w:t>同意。</w:t>
      </w:r>
    </w:p>
    <w:p w14:paraId="1D1B172E">
      <w:pPr>
        <w:spacing w:line="500" w:lineRule="exact"/>
        <w:ind w:firstLine="560" w:firstLineChars="200"/>
        <w:jc w:val="left"/>
        <w:rPr>
          <w:rFonts w:eastAsia="仿宋_GB2312"/>
          <w:color w:val="000000"/>
          <w:sz w:val="28"/>
          <w:szCs w:val="28"/>
          <w:u w:val="single"/>
          <w:lang w:val="zh-CN"/>
        </w:rPr>
      </w:pPr>
      <w:r>
        <w:rPr>
          <w:rFonts w:hint="eastAsia" w:eastAsia="仿宋_GB2312"/>
          <w:color w:val="000000"/>
          <w:sz w:val="28"/>
          <w:szCs w:val="28"/>
          <w:u w:val="single"/>
          <w:lang w:val="zh-CN"/>
        </w:rPr>
        <w:t>承包人拟派项目经理、技术负责人和其他相关人员必须和投标书中所报人员相符,其到位率必须达到100%，未经发包人和总监理工程师批准擅自离岗的,发包人有权和承包人立即解除合同，承包人并承担相应损失。</w:t>
      </w:r>
    </w:p>
    <w:p w14:paraId="3354FAE8">
      <w:pPr>
        <w:spacing w:line="500" w:lineRule="exact"/>
        <w:ind w:firstLine="560" w:firstLineChars="200"/>
        <w:jc w:val="left"/>
        <w:rPr>
          <w:rFonts w:eastAsia="仿宋_GB2312"/>
          <w:color w:val="000000"/>
          <w:sz w:val="28"/>
          <w:szCs w:val="28"/>
          <w:u w:val="single"/>
          <w:lang w:val="zh-CN"/>
        </w:rPr>
      </w:pPr>
      <w:r>
        <w:rPr>
          <w:rFonts w:hint="eastAsia" w:eastAsia="仿宋_GB2312"/>
          <w:color w:val="000000"/>
          <w:sz w:val="28"/>
          <w:szCs w:val="28"/>
          <w:u w:val="single"/>
          <w:lang w:val="zh-CN"/>
        </w:rPr>
        <w:t>承包人需对施工范围内的古树名木进行保护，费用由承包人承担；若因承包人原因导致范围内古树名木任何形式的损伤，依据《北京市古树名木评价标准》及颐和园相关古树保护管理规定，由承包人进行相应赔偿。</w:t>
      </w:r>
    </w:p>
    <w:p w14:paraId="5E2A5CCA">
      <w:pPr>
        <w:spacing w:line="500" w:lineRule="exact"/>
        <w:ind w:firstLine="560" w:firstLineChars="200"/>
        <w:jc w:val="left"/>
        <w:rPr>
          <w:rFonts w:eastAsia="仿宋_GB2312"/>
          <w:color w:val="000000"/>
          <w:sz w:val="28"/>
          <w:szCs w:val="28"/>
          <w:u w:val="single"/>
          <w:lang w:val="zh-CN"/>
        </w:rPr>
      </w:pPr>
      <w:r>
        <w:rPr>
          <w:rFonts w:hint="eastAsia" w:eastAsia="仿宋_GB2312"/>
          <w:color w:val="000000"/>
          <w:sz w:val="28"/>
          <w:szCs w:val="28"/>
          <w:u w:val="single"/>
          <w:lang w:val="zh-CN"/>
        </w:rPr>
        <w:t>承包人需对施工现场建筑本体现有彩画进行现状保护，不得因任何原因对其造成任何形式的损坏，凡因承包人的责任造成对彩画的破坏，后果及相关费用应由承包人负担。</w:t>
      </w:r>
    </w:p>
    <w:p w14:paraId="1A36884D">
      <w:pPr>
        <w:spacing w:line="500" w:lineRule="exact"/>
        <w:ind w:firstLine="560" w:firstLineChars="200"/>
        <w:jc w:val="left"/>
        <w:rPr>
          <w:rFonts w:eastAsia="仿宋_GB2312"/>
          <w:color w:val="000000"/>
          <w:sz w:val="28"/>
          <w:szCs w:val="28"/>
          <w:u w:val="single"/>
          <w:lang w:val="zh-CN"/>
        </w:rPr>
      </w:pPr>
      <w:r>
        <w:rPr>
          <w:rFonts w:hint="eastAsia" w:eastAsia="仿宋_GB2312"/>
          <w:color w:val="000000"/>
          <w:sz w:val="28"/>
          <w:szCs w:val="28"/>
          <w:u w:val="single"/>
          <w:lang w:val="zh-CN"/>
        </w:rPr>
        <w:t>施工围挡选材须采用规格统一、干净整洁且符合相关标准的金属材质的透风冲孔板进行搭设。</w:t>
      </w:r>
    </w:p>
    <w:p w14:paraId="3917C06C">
      <w:pPr>
        <w:spacing w:line="500" w:lineRule="exact"/>
        <w:ind w:firstLine="560" w:firstLineChars="200"/>
        <w:jc w:val="left"/>
        <w:rPr>
          <w:rFonts w:eastAsia="仿宋_GB2312"/>
          <w:color w:val="000000"/>
          <w:sz w:val="28"/>
          <w:szCs w:val="28"/>
          <w:u w:val="single"/>
          <w:lang w:val="zh-CN"/>
        </w:rPr>
      </w:pPr>
      <w:r>
        <w:rPr>
          <w:rFonts w:hint="eastAsia" w:eastAsia="仿宋_GB2312"/>
          <w:color w:val="000000"/>
          <w:sz w:val="28"/>
          <w:szCs w:val="28"/>
          <w:u w:val="single"/>
          <w:lang w:val="zh-CN"/>
        </w:rPr>
        <w:t>工程实施过程中承包人须履行施工现场安全管理职责，负责维护现场各类设备设施的安全责任，全面遵守执行北京市及各级主管单位的安全生产管理要求。同时施工场地内需根据工程建设单位各项需求，工序进展情况检查的安全走道及相应安全防护设施。因工程涉及内容丰富，各工种相互交叉，作业情况复杂，为规范施工现场秩序，杜绝一切安全事故发生，承包人须单独针对本工程特性制定施工安全管理规定并严格落实遵照执行。</w:t>
      </w:r>
    </w:p>
    <w:p w14:paraId="5F3DCFE4">
      <w:pPr>
        <w:spacing w:line="500" w:lineRule="exact"/>
        <w:ind w:firstLine="560" w:firstLineChars="200"/>
        <w:jc w:val="left"/>
        <w:rPr>
          <w:rFonts w:eastAsia="仿宋_GB2312"/>
          <w:color w:val="000000"/>
          <w:sz w:val="28"/>
          <w:szCs w:val="28"/>
          <w:u w:val="single"/>
          <w:lang w:val="zh-CN"/>
        </w:rPr>
      </w:pPr>
      <w:r>
        <w:rPr>
          <w:rFonts w:hint="eastAsia" w:eastAsia="仿宋_GB2312"/>
          <w:color w:val="000000"/>
          <w:sz w:val="28"/>
          <w:szCs w:val="28"/>
          <w:u w:val="single"/>
          <w:lang w:val="zh-CN"/>
        </w:rPr>
        <w:t>承包人在园内施工期间，应认真遵守颐和园的各项规章制度，</w:t>
      </w:r>
      <w:r>
        <w:rPr>
          <w:rFonts w:hint="eastAsia" w:eastAsia="仿宋_GB2312"/>
          <w:color w:val="000000"/>
          <w:sz w:val="28"/>
          <w:szCs w:val="28"/>
          <w:u w:val="single"/>
        </w:rPr>
        <w:t>包括</w:t>
      </w:r>
      <w:r>
        <w:rPr>
          <w:rFonts w:hint="eastAsia" w:eastAsia="仿宋_GB2312"/>
          <w:color w:val="000000"/>
          <w:sz w:val="28"/>
          <w:szCs w:val="28"/>
          <w:u w:val="single"/>
          <w:lang w:val="zh-CN"/>
        </w:rPr>
        <w:t>《颐和园基建工程管理细则》、《工程廉政承诺书》、《颐和园施工安全责任书》</w:t>
      </w:r>
      <w:r>
        <w:rPr>
          <w:rFonts w:hint="eastAsia" w:eastAsia="仿宋_GB2312"/>
          <w:color w:val="000000"/>
          <w:sz w:val="28"/>
          <w:szCs w:val="28"/>
          <w:u w:val="single"/>
        </w:rPr>
        <w:t>等</w:t>
      </w:r>
      <w:r>
        <w:rPr>
          <w:rFonts w:hint="eastAsia" w:eastAsia="仿宋_GB2312"/>
          <w:color w:val="000000"/>
          <w:sz w:val="28"/>
          <w:szCs w:val="28"/>
          <w:u w:val="single"/>
          <w:lang w:val="zh-CN"/>
        </w:rPr>
        <w:t xml:space="preserve">。                                                                                                                                                                    </w:t>
      </w:r>
    </w:p>
    <w:p w14:paraId="615D43CE">
      <w:pPr>
        <w:spacing w:line="500" w:lineRule="exact"/>
        <w:ind w:firstLine="560" w:firstLineChars="200"/>
        <w:jc w:val="left"/>
        <w:rPr>
          <w:rFonts w:eastAsia="仿宋_GB2312"/>
          <w:color w:val="000000"/>
          <w:sz w:val="28"/>
          <w:szCs w:val="28"/>
          <w:u w:val="single"/>
          <w:lang w:val="zh-CN"/>
        </w:rPr>
      </w:pPr>
      <w:r>
        <w:rPr>
          <w:rFonts w:hint="eastAsia" w:eastAsia="仿宋_GB2312"/>
          <w:color w:val="000000"/>
          <w:sz w:val="28"/>
          <w:szCs w:val="28"/>
          <w:u w:val="single"/>
          <w:lang w:val="zh-CN"/>
        </w:rPr>
        <w:t xml:space="preserve">施工前承包人应对施工人员进行文物保护意识及施工安全教育，承包人施工期间不得发生安全事故。施工过程中要提高游客服务意识，尽量减少和避免对游客游览造成影响。若发生安全事故和服务投诉事故则由承包人承担全部责任和经济赔偿。                                                                                       </w:t>
      </w:r>
    </w:p>
    <w:p w14:paraId="51FF17D7">
      <w:pPr>
        <w:spacing w:line="500" w:lineRule="exact"/>
        <w:ind w:firstLine="560" w:firstLineChars="200"/>
        <w:jc w:val="left"/>
        <w:rPr>
          <w:rFonts w:eastAsia="仿宋_GB2312"/>
          <w:color w:val="000000"/>
          <w:sz w:val="28"/>
          <w:szCs w:val="28"/>
          <w:u w:val="single"/>
          <w:lang w:val="zh-CN"/>
        </w:rPr>
      </w:pPr>
      <w:r>
        <w:rPr>
          <w:rFonts w:hint="eastAsia" w:eastAsia="仿宋_GB2312"/>
          <w:color w:val="000000"/>
          <w:sz w:val="28"/>
          <w:szCs w:val="28"/>
          <w:u w:val="single"/>
          <w:lang w:val="zh-CN"/>
        </w:rPr>
        <w:t>本协议项下工程</w:t>
      </w:r>
      <w:r>
        <w:rPr>
          <w:rFonts w:hint="eastAsia" w:eastAsia="仿宋_GB2312"/>
          <w:color w:val="000000"/>
          <w:sz w:val="28"/>
          <w:szCs w:val="28"/>
          <w:u w:val="single"/>
        </w:rPr>
        <w:t>维修</w:t>
      </w:r>
      <w:r>
        <w:rPr>
          <w:rFonts w:hint="eastAsia" w:eastAsia="仿宋_GB2312"/>
          <w:color w:val="000000"/>
          <w:sz w:val="28"/>
          <w:szCs w:val="28"/>
          <w:u w:val="single"/>
          <w:lang w:val="zh-CN"/>
        </w:rPr>
        <w:t>及验收标准参照</w:t>
      </w:r>
      <w:r>
        <w:rPr>
          <w:rFonts w:eastAsia="仿宋_GB2312"/>
          <w:color w:val="000000"/>
          <w:sz w:val="28"/>
          <w:szCs w:val="28"/>
          <w:u w:val="single"/>
          <w:lang w:val="zh-CN"/>
        </w:rPr>
        <w:t>DL409《电业安全工作规程（电力线路部分）》</w:t>
      </w:r>
      <w:r>
        <w:rPr>
          <w:rFonts w:hint="eastAsia" w:eastAsia="仿宋_GB2312"/>
          <w:color w:val="000000"/>
          <w:sz w:val="28"/>
          <w:szCs w:val="28"/>
          <w:u w:val="single"/>
          <w:lang w:val="zh-CN"/>
        </w:rPr>
        <w:t xml:space="preserve">标准执行，以甲方的最终确认为准。       </w:t>
      </w:r>
    </w:p>
    <w:p w14:paraId="4242836C">
      <w:pPr>
        <w:spacing w:line="500" w:lineRule="exact"/>
        <w:ind w:firstLine="560" w:firstLineChars="200"/>
        <w:jc w:val="left"/>
        <w:rPr>
          <w:rFonts w:eastAsia="仿宋_GB2312"/>
          <w:color w:val="000000"/>
          <w:sz w:val="28"/>
          <w:szCs w:val="28"/>
          <w:u w:val="single"/>
          <w:lang w:val="zh-CN"/>
        </w:rPr>
      </w:pPr>
      <w:r>
        <w:rPr>
          <w:rFonts w:hint="eastAsia" w:eastAsia="仿宋_GB2312"/>
          <w:color w:val="000000"/>
          <w:sz w:val="28"/>
          <w:szCs w:val="28"/>
          <w:u w:val="single"/>
          <w:lang w:val="zh-CN"/>
        </w:rPr>
        <w:t>每一单项工程竣工后，承包人应按发包人规定的时间、标准提交竣工文件及结算资料。若不按时提交，影响竣工结算及结算价款支付的，相关责任由承包人承担。</w:t>
      </w:r>
    </w:p>
    <w:p w14:paraId="0CB8AACB">
      <w:pPr>
        <w:spacing w:line="500" w:lineRule="exact"/>
        <w:ind w:firstLine="560" w:firstLineChars="200"/>
        <w:jc w:val="left"/>
        <w:rPr>
          <w:rFonts w:eastAsia="仿宋_GB2312"/>
          <w:color w:val="000000"/>
          <w:sz w:val="28"/>
          <w:szCs w:val="28"/>
          <w:u w:val="single"/>
          <w:lang w:val="zh-CN"/>
        </w:rPr>
      </w:pPr>
      <w:r>
        <w:rPr>
          <w:rFonts w:hint="eastAsia" w:eastAsia="仿宋_GB2312"/>
          <w:color w:val="000000"/>
          <w:sz w:val="28"/>
          <w:szCs w:val="28"/>
          <w:u w:val="single"/>
          <w:lang w:val="zh-CN"/>
        </w:rPr>
        <w:t>在施工期间，发包人不提供料厂及办公场地。料厂及办公场地等由承包人自行负责并承担相关费用，其标准应满足发包人的相关要求。若后期因条件具备，发包人提供料厂及办公场地，料厂及办公场地的安全、卫生、设施设备等维护的责任及相关费用由承包人承担。</w:t>
      </w:r>
    </w:p>
    <w:p w14:paraId="237CD815">
      <w:pPr>
        <w:spacing w:line="500" w:lineRule="exact"/>
        <w:ind w:firstLine="560" w:firstLineChars="200"/>
        <w:jc w:val="left"/>
        <w:rPr>
          <w:rFonts w:eastAsia="仿宋_GB2312"/>
          <w:color w:val="000000"/>
          <w:sz w:val="28"/>
          <w:szCs w:val="28"/>
          <w:u w:val="single"/>
          <w:lang w:val="zh-CN"/>
        </w:rPr>
      </w:pPr>
      <w:r>
        <w:rPr>
          <w:rFonts w:hint="eastAsia" w:eastAsia="仿宋_GB2312"/>
          <w:color w:val="000000"/>
          <w:sz w:val="28"/>
          <w:szCs w:val="28"/>
          <w:u w:val="single"/>
          <w:lang w:val="zh-CN"/>
        </w:rPr>
        <w:t xml:space="preserve">在园内施工期间，如承包人发生质量、安全等责任问题，造成不良影响的，将由监理单位下发《监理整改通知书》并予以相应的处罚。   </w:t>
      </w:r>
    </w:p>
    <w:p w14:paraId="077A6929">
      <w:pPr>
        <w:tabs>
          <w:tab w:val="left" w:pos="420"/>
        </w:tabs>
        <w:spacing w:line="360" w:lineRule="auto"/>
        <w:jc w:val="left"/>
        <w:rPr>
          <w:rFonts w:hint="eastAsia" w:ascii="宋体" w:hAnsi="宋体"/>
          <w:szCs w:val="20"/>
        </w:rPr>
      </w:pPr>
      <w:r>
        <w:rPr>
          <w:rFonts w:hint="eastAsia" w:eastAsia="仿宋_GB2312"/>
          <w:color w:val="000000"/>
          <w:sz w:val="28"/>
          <w:szCs w:val="28"/>
          <w:u w:val="single"/>
          <w:lang w:val="zh-CN"/>
        </w:rPr>
        <w:t>承包人须为其在颐和园施工场地内的自有人员和施工机械办理生命财产和设备保险，保险费用由承包人承担。</w:t>
      </w:r>
      <w:r>
        <w:rPr>
          <w:rFonts w:hint="eastAsia" w:ascii="宋体" w:hAnsi="宋体"/>
          <w:szCs w:val="20"/>
        </w:rPr>
        <w:t xml:space="preserve">          </w:t>
      </w:r>
    </w:p>
    <w:p w14:paraId="7E2100F7">
      <w:pPr>
        <w:widowControl/>
        <w:jc w:val="left"/>
        <w:rPr>
          <w:rFonts w:hint="eastAsia" w:ascii="宋体" w:hAnsi="宋体"/>
          <w:sz w:val="24"/>
        </w:rPr>
      </w:pPr>
    </w:p>
    <w:p w14:paraId="532EF0FA">
      <w:pPr>
        <w:rPr>
          <w:rFonts w:hint="eastAsia" w:ascii="宋体" w:hAnsi="宋体" w:cs="宋体"/>
          <w:spacing w:val="1"/>
          <w:sz w:val="28"/>
          <w:szCs w:val="28"/>
        </w:rPr>
      </w:pPr>
    </w:p>
    <w:p w14:paraId="4ADF7A5D">
      <w:pPr>
        <w:rPr>
          <w:rFonts w:hint="eastAsia" w:ascii="宋体" w:hAnsi="宋体" w:cs="宋体"/>
          <w:spacing w:val="1"/>
          <w:sz w:val="28"/>
          <w:szCs w:val="28"/>
        </w:rPr>
      </w:pPr>
    </w:p>
    <w:p w14:paraId="7A662FED">
      <w:pPr>
        <w:rPr>
          <w:rFonts w:hint="eastAsia" w:ascii="宋体" w:hAnsi="宋体" w:cs="宋体"/>
          <w:spacing w:val="1"/>
          <w:sz w:val="28"/>
          <w:szCs w:val="28"/>
        </w:rPr>
      </w:pPr>
    </w:p>
    <w:p w14:paraId="3D4997C0">
      <w:pPr>
        <w:rPr>
          <w:rFonts w:hint="eastAsia" w:ascii="宋体" w:hAnsi="宋体" w:cs="宋体"/>
          <w:spacing w:val="1"/>
          <w:sz w:val="28"/>
          <w:szCs w:val="28"/>
        </w:rPr>
      </w:pPr>
    </w:p>
    <w:p w14:paraId="4B4F75F1">
      <w:pPr>
        <w:rPr>
          <w:rFonts w:hint="eastAsia" w:ascii="宋体" w:hAnsi="宋体" w:cs="宋体"/>
          <w:spacing w:val="1"/>
          <w:sz w:val="28"/>
          <w:szCs w:val="28"/>
        </w:rPr>
      </w:pPr>
    </w:p>
    <w:p w14:paraId="426C8C8C">
      <w:pPr>
        <w:rPr>
          <w:rFonts w:hint="eastAsia" w:ascii="宋体" w:hAnsi="宋体" w:cs="宋体"/>
          <w:spacing w:val="1"/>
          <w:sz w:val="28"/>
          <w:szCs w:val="28"/>
        </w:rPr>
        <w:sectPr>
          <w:headerReference r:id="rId11" w:type="first"/>
          <w:footerReference r:id="rId13" w:type="first"/>
          <w:headerReference r:id="rId10" w:type="even"/>
          <w:footerReference r:id="rId12" w:type="even"/>
          <w:pgSz w:w="11907" w:h="16840"/>
          <w:pgMar w:top="1418" w:right="1134" w:bottom="1418" w:left="1701" w:header="851" w:footer="851" w:gutter="0"/>
          <w:cols w:space="720" w:num="1"/>
          <w:docGrid w:linePitch="462" w:charSpace="0"/>
        </w:sectPr>
      </w:pPr>
    </w:p>
    <w:p w14:paraId="5958A336">
      <w:pPr>
        <w:spacing w:before="120" w:beforeLines="50" w:after="120" w:afterLines="50" w:line="440" w:lineRule="exact"/>
        <w:jc w:val="left"/>
        <w:rPr>
          <w:rFonts w:ascii="仿宋_GB2312" w:eastAsia="仿宋_GB2312"/>
          <w:color w:val="000000"/>
          <w:sz w:val="30"/>
          <w:szCs w:val="30"/>
        </w:rPr>
      </w:pPr>
      <w:r>
        <w:rPr>
          <w:rFonts w:hint="eastAsia" w:ascii="仿宋_GB2312" w:eastAsia="仿宋_GB2312"/>
          <w:color w:val="000000"/>
          <w:sz w:val="30"/>
          <w:szCs w:val="30"/>
        </w:rPr>
        <w:t>附件1：</w:t>
      </w:r>
    </w:p>
    <w:p w14:paraId="387A2BFB">
      <w:pPr>
        <w:spacing w:before="120" w:beforeLines="50" w:after="120" w:afterLines="50" w:line="440" w:lineRule="exact"/>
        <w:jc w:val="center"/>
        <w:rPr>
          <w:rFonts w:eastAsia="黑体"/>
          <w:color w:val="000000"/>
          <w:sz w:val="30"/>
          <w:szCs w:val="30"/>
        </w:rPr>
      </w:pPr>
      <w:r>
        <w:rPr>
          <w:rFonts w:eastAsia="黑体"/>
          <w:color w:val="000000"/>
          <w:sz w:val="30"/>
          <w:szCs w:val="30"/>
        </w:rPr>
        <w:t>承包人承揽工程项目一览表</w:t>
      </w:r>
    </w:p>
    <w:tbl>
      <w:tblPr>
        <w:tblStyle w:val="57"/>
        <w:tblW w:w="0" w:type="auto"/>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14:paraId="40308C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vAlign w:val="center"/>
          </w:tcPr>
          <w:p w14:paraId="41F5FC19">
            <w:pPr>
              <w:pStyle w:val="21"/>
              <w:keepNext/>
              <w:spacing w:line="440" w:lineRule="exact"/>
              <w:ind w:left="63" w:right="63"/>
              <w:rPr>
                <w:rFonts w:hint="eastAsia" w:eastAsia="仿宋_GB2312"/>
                <w:color w:val="000000"/>
                <w:sz w:val="28"/>
                <w:szCs w:val="30"/>
              </w:rPr>
            </w:pPr>
            <w:r>
              <w:rPr>
                <w:rFonts w:eastAsia="仿宋_GB2312"/>
                <w:color w:val="000000"/>
                <w:sz w:val="28"/>
                <w:szCs w:val="30"/>
              </w:rPr>
              <w:t>单位工程名称</w:t>
            </w:r>
          </w:p>
        </w:tc>
        <w:tc>
          <w:tcPr>
            <w:tcW w:w="1843" w:type="dxa"/>
            <w:tcBorders>
              <w:top w:val="single" w:color="auto" w:sz="12" w:space="0"/>
              <w:bottom w:val="double" w:color="auto" w:sz="6" w:space="0"/>
            </w:tcBorders>
            <w:vAlign w:val="center"/>
          </w:tcPr>
          <w:p w14:paraId="14D5229A">
            <w:pPr>
              <w:pStyle w:val="21"/>
              <w:keepNext/>
              <w:spacing w:line="440" w:lineRule="exact"/>
              <w:ind w:left="63" w:right="63"/>
              <w:rPr>
                <w:rFonts w:hint="eastAsia" w:eastAsia="仿宋_GB2312"/>
                <w:color w:val="000000"/>
                <w:sz w:val="28"/>
                <w:szCs w:val="30"/>
              </w:rPr>
            </w:pPr>
            <w:r>
              <w:rPr>
                <w:rFonts w:eastAsia="仿宋_GB2312"/>
                <w:color w:val="000000"/>
                <w:sz w:val="28"/>
                <w:szCs w:val="30"/>
              </w:rPr>
              <w:t>建设规模</w:t>
            </w:r>
          </w:p>
        </w:tc>
        <w:tc>
          <w:tcPr>
            <w:tcW w:w="1417" w:type="dxa"/>
            <w:tcBorders>
              <w:top w:val="single" w:color="auto" w:sz="12" w:space="0"/>
              <w:bottom w:val="double" w:color="auto" w:sz="6" w:space="0"/>
            </w:tcBorders>
            <w:vAlign w:val="center"/>
          </w:tcPr>
          <w:p w14:paraId="4F9D276A">
            <w:pPr>
              <w:pStyle w:val="21"/>
              <w:keepNext/>
              <w:spacing w:line="440" w:lineRule="exact"/>
              <w:ind w:left="63" w:right="63"/>
              <w:rPr>
                <w:rFonts w:hint="eastAsia" w:eastAsia="仿宋_GB2312"/>
                <w:color w:val="000000"/>
                <w:sz w:val="28"/>
                <w:szCs w:val="30"/>
              </w:rPr>
            </w:pPr>
            <w:r>
              <w:rPr>
                <w:rFonts w:eastAsia="仿宋_GB2312"/>
                <w:color w:val="000000"/>
                <w:sz w:val="28"/>
                <w:szCs w:val="30"/>
              </w:rPr>
              <w:t>建筑面积(平方米)</w:t>
            </w:r>
          </w:p>
        </w:tc>
        <w:tc>
          <w:tcPr>
            <w:tcW w:w="2410" w:type="dxa"/>
            <w:tcBorders>
              <w:top w:val="single" w:color="auto" w:sz="12" w:space="0"/>
              <w:bottom w:val="double" w:color="auto" w:sz="6" w:space="0"/>
            </w:tcBorders>
            <w:vAlign w:val="center"/>
          </w:tcPr>
          <w:p w14:paraId="5AFDF38F">
            <w:pPr>
              <w:pStyle w:val="21"/>
              <w:keepNext/>
              <w:spacing w:line="440" w:lineRule="exact"/>
              <w:ind w:left="63" w:right="63"/>
              <w:rPr>
                <w:rFonts w:hint="eastAsia" w:eastAsia="仿宋_GB2312"/>
                <w:color w:val="000000"/>
                <w:sz w:val="28"/>
                <w:szCs w:val="30"/>
              </w:rPr>
            </w:pPr>
            <w:r>
              <w:rPr>
                <w:rFonts w:eastAsia="仿宋_GB2312"/>
                <w:color w:val="000000"/>
                <w:sz w:val="28"/>
                <w:szCs w:val="30"/>
              </w:rPr>
              <w:t>结构</w:t>
            </w:r>
            <w:r>
              <w:rPr>
                <w:rFonts w:hint="eastAsia" w:eastAsia="仿宋_GB2312"/>
                <w:color w:val="000000"/>
                <w:sz w:val="28"/>
                <w:szCs w:val="30"/>
              </w:rPr>
              <w:t>形式</w:t>
            </w:r>
          </w:p>
        </w:tc>
        <w:tc>
          <w:tcPr>
            <w:tcW w:w="850" w:type="dxa"/>
            <w:tcBorders>
              <w:top w:val="single" w:color="auto" w:sz="12" w:space="0"/>
              <w:bottom w:val="double" w:color="auto" w:sz="6" w:space="0"/>
            </w:tcBorders>
            <w:vAlign w:val="center"/>
          </w:tcPr>
          <w:p w14:paraId="5B759DEC">
            <w:pPr>
              <w:pStyle w:val="21"/>
              <w:keepNext/>
              <w:spacing w:line="440" w:lineRule="exact"/>
              <w:ind w:left="63" w:right="63"/>
              <w:rPr>
                <w:rFonts w:hint="eastAsia" w:eastAsia="仿宋_GB2312"/>
                <w:color w:val="000000"/>
                <w:sz w:val="28"/>
                <w:szCs w:val="30"/>
              </w:rPr>
            </w:pPr>
            <w:r>
              <w:rPr>
                <w:rFonts w:eastAsia="仿宋_GB2312"/>
                <w:color w:val="000000"/>
                <w:sz w:val="28"/>
                <w:szCs w:val="30"/>
              </w:rPr>
              <w:t>层数</w:t>
            </w:r>
          </w:p>
        </w:tc>
        <w:tc>
          <w:tcPr>
            <w:tcW w:w="1560" w:type="dxa"/>
            <w:tcBorders>
              <w:top w:val="single" w:color="auto" w:sz="12" w:space="0"/>
              <w:bottom w:val="double" w:color="auto" w:sz="6" w:space="0"/>
            </w:tcBorders>
            <w:vAlign w:val="center"/>
          </w:tcPr>
          <w:p w14:paraId="4A3852EE">
            <w:pPr>
              <w:pStyle w:val="21"/>
              <w:keepNext/>
              <w:spacing w:line="440" w:lineRule="exact"/>
              <w:ind w:left="63" w:right="63"/>
              <w:rPr>
                <w:rFonts w:hint="eastAsia" w:eastAsia="仿宋_GB2312"/>
                <w:color w:val="000000"/>
                <w:sz w:val="28"/>
                <w:szCs w:val="30"/>
              </w:rPr>
            </w:pPr>
            <w:r>
              <w:rPr>
                <w:rFonts w:eastAsia="仿宋_GB2312"/>
                <w:color w:val="000000"/>
                <w:sz w:val="28"/>
                <w:szCs w:val="30"/>
              </w:rPr>
              <w:t>生产能力</w:t>
            </w:r>
          </w:p>
        </w:tc>
        <w:tc>
          <w:tcPr>
            <w:tcW w:w="2126" w:type="dxa"/>
            <w:tcBorders>
              <w:top w:val="single" w:color="auto" w:sz="12" w:space="0"/>
              <w:bottom w:val="double" w:color="auto" w:sz="6" w:space="0"/>
            </w:tcBorders>
            <w:vAlign w:val="center"/>
          </w:tcPr>
          <w:p w14:paraId="6DD25963">
            <w:pPr>
              <w:pStyle w:val="21"/>
              <w:keepNext/>
              <w:spacing w:line="440" w:lineRule="exact"/>
              <w:ind w:left="63" w:right="63"/>
              <w:rPr>
                <w:rFonts w:hint="eastAsia" w:eastAsia="仿宋_GB2312"/>
                <w:color w:val="000000"/>
                <w:sz w:val="28"/>
                <w:szCs w:val="30"/>
              </w:rPr>
            </w:pPr>
            <w:r>
              <w:rPr>
                <w:rFonts w:eastAsia="仿宋_GB2312"/>
                <w:color w:val="000000"/>
                <w:sz w:val="28"/>
                <w:szCs w:val="30"/>
              </w:rPr>
              <w:t>设备安装内容</w:t>
            </w:r>
          </w:p>
        </w:tc>
        <w:tc>
          <w:tcPr>
            <w:tcW w:w="1417" w:type="dxa"/>
            <w:tcBorders>
              <w:top w:val="single" w:color="auto" w:sz="12" w:space="0"/>
              <w:bottom w:val="double" w:color="auto" w:sz="6" w:space="0"/>
            </w:tcBorders>
            <w:vAlign w:val="center"/>
          </w:tcPr>
          <w:p w14:paraId="39BC1E81">
            <w:pPr>
              <w:pStyle w:val="21"/>
              <w:keepNext/>
              <w:spacing w:line="440" w:lineRule="exact"/>
              <w:ind w:left="63" w:right="63"/>
              <w:rPr>
                <w:rFonts w:hint="eastAsia" w:eastAsia="仿宋_GB2312"/>
                <w:color w:val="000000"/>
                <w:sz w:val="28"/>
                <w:szCs w:val="30"/>
              </w:rPr>
            </w:pPr>
            <w:r>
              <w:rPr>
                <w:rFonts w:eastAsia="仿宋_GB2312"/>
                <w:color w:val="000000"/>
                <w:sz w:val="28"/>
                <w:szCs w:val="30"/>
              </w:rPr>
              <w:t>合同价格（元）</w:t>
            </w:r>
          </w:p>
        </w:tc>
        <w:tc>
          <w:tcPr>
            <w:tcW w:w="851" w:type="dxa"/>
            <w:tcBorders>
              <w:top w:val="single" w:color="auto" w:sz="12" w:space="0"/>
              <w:bottom w:val="double" w:color="auto" w:sz="6" w:space="0"/>
            </w:tcBorders>
            <w:vAlign w:val="center"/>
          </w:tcPr>
          <w:p w14:paraId="00EB184E">
            <w:pPr>
              <w:pStyle w:val="21"/>
              <w:keepNext/>
              <w:spacing w:line="440" w:lineRule="exact"/>
              <w:ind w:left="63" w:right="63"/>
              <w:rPr>
                <w:rFonts w:hint="eastAsia" w:eastAsia="仿宋_GB2312"/>
                <w:color w:val="000000"/>
                <w:sz w:val="28"/>
                <w:szCs w:val="30"/>
              </w:rPr>
            </w:pPr>
            <w:r>
              <w:rPr>
                <w:rFonts w:eastAsia="仿宋_GB2312"/>
                <w:color w:val="000000"/>
                <w:sz w:val="28"/>
                <w:szCs w:val="30"/>
              </w:rPr>
              <w:t>开工日期</w:t>
            </w:r>
          </w:p>
        </w:tc>
        <w:tc>
          <w:tcPr>
            <w:tcW w:w="850" w:type="dxa"/>
            <w:tcBorders>
              <w:top w:val="single" w:color="auto" w:sz="12" w:space="0"/>
              <w:bottom w:val="double" w:color="auto" w:sz="6" w:space="0"/>
            </w:tcBorders>
            <w:vAlign w:val="center"/>
          </w:tcPr>
          <w:p w14:paraId="561008DB">
            <w:pPr>
              <w:pStyle w:val="21"/>
              <w:keepNext/>
              <w:spacing w:line="440" w:lineRule="exact"/>
              <w:ind w:left="63" w:right="63"/>
              <w:rPr>
                <w:rFonts w:hint="eastAsia" w:eastAsia="仿宋_GB2312"/>
                <w:color w:val="000000"/>
                <w:sz w:val="28"/>
                <w:szCs w:val="30"/>
              </w:rPr>
            </w:pPr>
            <w:r>
              <w:rPr>
                <w:rFonts w:eastAsia="仿宋_GB2312"/>
                <w:color w:val="000000"/>
                <w:sz w:val="28"/>
                <w:szCs w:val="30"/>
              </w:rPr>
              <w:t>竣工日期</w:t>
            </w:r>
          </w:p>
        </w:tc>
      </w:tr>
      <w:tr w14:paraId="64FC0B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vAlign w:val="center"/>
          </w:tcPr>
          <w:p w14:paraId="219C5851">
            <w:pPr>
              <w:pStyle w:val="21"/>
              <w:keepNext/>
              <w:spacing w:line="440" w:lineRule="exact"/>
              <w:ind w:left="63" w:right="63"/>
              <w:rPr>
                <w:rFonts w:hint="eastAsia" w:eastAsia="仿宋_GB2312"/>
                <w:color w:val="000000"/>
                <w:sz w:val="30"/>
                <w:szCs w:val="30"/>
              </w:rPr>
            </w:pPr>
          </w:p>
        </w:tc>
        <w:tc>
          <w:tcPr>
            <w:tcW w:w="1843" w:type="dxa"/>
            <w:tcBorders>
              <w:top w:val="double" w:color="auto" w:sz="6" w:space="0"/>
              <w:bottom w:val="single" w:color="auto" w:sz="6" w:space="0"/>
            </w:tcBorders>
            <w:vAlign w:val="center"/>
          </w:tcPr>
          <w:p w14:paraId="05F4CF94">
            <w:pPr>
              <w:pStyle w:val="21"/>
              <w:keepNext/>
              <w:spacing w:line="440" w:lineRule="exact"/>
              <w:ind w:left="63" w:right="63"/>
              <w:rPr>
                <w:rFonts w:hint="eastAsia" w:eastAsia="仿宋_GB2312"/>
                <w:color w:val="000000"/>
                <w:sz w:val="30"/>
                <w:szCs w:val="30"/>
              </w:rPr>
            </w:pPr>
          </w:p>
        </w:tc>
        <w:tc>
          <w:tcPr>
            <w:tcW w:w="1417" w:type="dxa"/>
            <w:tcBorders>
              <w:top w:val="double" w:color="auto" w:sz="6" w:space="0"/>
              <w:bottom w:val="single" w:color="auto" w:sz="6" w:space="0"/>
            </w:tcBorders>
            <w:vAlign w:val="center"/>
          </w:tcPr>
          <w:p w14:paraId="1BCC246E">
            <w:pPr>
              <w:pStyle w:val="21"/>
              <w:keepNext/>
              <w:spacing w:line="440" w:lineRule="exact"/>
              <w:ind w:left="63" w:right="63"/>
              <w:rPr>
                <w:rFonts w:hint="eastAsia" w:eastAsia="仿宋_GB2312"/>
                <w:color w:val="000000"/>
                <w:sz w:val="30"/>
                <w:szCs w:val="30"/>
              </w:rPr>
            </w:pPr>
          </w:p>
        </w:tc>
        <w:tc>
          <w:tcPr>
            <w:tcW w:w="2410" w:type="dxa"/>
            <w:tcBorders>
              <w:top w:val="double" w:color="auto" w:sz="6" w:space="0"/>
              <w:bottom w:val="single" w:color="auto" w:sz="6" w:space="0"/>
            </w:tcBorders>
            <w:vAlign w:val="center"/>
          </w:tcPr>
          <w:p w14:paraId="019E4444">
            <w:pPr>
              <w:pStyle w:val="21"/>
              <w:keepNext/>
              <w:spacing w:line="440" w:lineRule="exact"/>
              <w:ind w:left="63" w:right="63"/>
              <w:rPr>
                <w:rFonts w:hint="eastAsia" w:eastAsia="仿宋_GB2312"/>
                <w:color w:val="000000"/>
                <w:sz w:val="30"/>
                <w:szCs w:val="30"/>
              </w:rPr>
            </w:pPr>
          </w:p>
        </w:tc>
        <w:tc>
          <w:tcPr>
            <w:tcW w:w="850" w:type="dxa"/>
            <w:tcBorders>
              <w:top w:val="double" w:color="auto" w:sz="6" w:space="0"/>
              <w:bottom w:val="single" w:color="auto" w:sz="6" w:space="0"/>
            </w:tcBorders>
            <w:vAlign w:val="center"/>
          </w:tcPr>
          <w:p w14:paraId="2FAD8FF0">
            <w:pPr>
              <w:pStyle w:val="21"/>
              <w:keepNext/>
              <w:spacing w:line="440" w:lineRule="exact"/>
              <w:ind w:left="63" w:right="63"/>
              <w:rPr>
                <w:rFonts w:hint="eastAsia" w:eastAsia="仿宋_GB2312"/>
                <w:color w:val="000000"/>
                <w:sz w:val="30"/>
                <w:szCs w:val="30"/>
              </w:rPr>
            </w:pPr>
          </w:p>
        </w:tc>
        <w:tc>
          <w:tcPr>
            <w:tcW w:w="1560" w:type="dxa"/>
            <w:tcBorders>
              <w:top w:val="double" w:color="auto" w:sz="6" w:space="0"/>
              <w:bottom w:val="single" w:color="auto" w:sz="6" w:space="0"/>
            </w:tcBorders>
            <w:vAlign w:val="center"/>
          </w:tcPr>
          <w:p w14:paraId="3077BC9C">
            <w:pPr>
              <w:pStyle w:val="21"/>
              <w:keepNext/>
              <w:spacing w:line="440" w:lineRule="exact"/>
              <w:ind w:left="63" w:right="63"/>
              <w:rPr>
                <w:rFonts w:hint="eastAsia" w:eastAsia="仿宋_GB2312"/>
                <w:color w:val="000000"/>
                <w:sz w:val="30"/>
                <w:szCs w:val="30"/>
              </w:rPr>
            </w:pPr>
          </w:p>
        </w:tc>
        <w:tc>
          <w:tcPr>
            <w:tcW w:w="2126" w:type="dxa"/>
            <w:tcBorders>
              <w:top w:val="double" w:color="auto" w:sz="6" w:space="0"/>
              <w:bottom w:val="single" w:color="auto" w:sz="6" w:space="0"/>
            </w:tcBorders>
            <w:vAlign w:val="center"/>
          </w:tcPr>
          <w:p w14:paraId="7C8B8A84">
            <w:pPr>
              <w:pStyle w:val="21"/>
              <w:keepNext/>
              <w:spacing w:line="440" w:lineRule="exact"/>
              <w:ind w:left="63" w:right="63"/>
              <w:rPr>
                <w:rFonts w:hint="eastAsia" w:eastAsia="仿宋_GB2312"/>
                <w:color w:val="000000"/>
                <w:sz w:val="30"/>
                <w:szCs w:val="30"/>
              </w:rPr>
            </w:pPr>
          </w:p>
        </w:tc>
        <w:tc>
          <w:tcPr>
            <w:tcW w:w="1417" w:type="dxa"/>
            <w:tcBorders>
              <w:top w:val="double" w:color="auto" w:sz="6" w:space="0"/>
              <w:bottom w:val="single" w:color="auto" w:sz="6" w:space="0"/>
            </w:tcBorders>
            <w:vAlign w:val="center"/>
          </w:tcPr>
          <w:p w14:paraId="104DEA59">
            <w:pPr>
              <w:pStyle w:val="21"/>
              <w:keepNext/>
              <w:spacing w:line="440" w:lineRule="exact"/>
              <w:ind w:left="63" w:right="63"/>
              <w:rPr>
                <w:rFonts w:hint="eastAsia" w:eastAsia="仿宋_GB2312"/>
                <w:color w:val="000000"/>
                <w:sz w:val="30"/>
                <w:szCs w:val="30"/>
              </w:rPr>
            </w:pPr>
          </w:p>
        </w:tc>
        <w:tc>
          <w:tcPr>
            <w:tcW w:w="851" w:type="dxa"/>
            <w:tcBorders>
              <w:top w:val="double" w:color="auto" w:sz="6" w:space="0"/>
              <w:bottom w:val="single" w:color="auto" w:sz="6" w:space="0"/>
            </w:tcBorders>
            <w:vAlign w:val="center"/>
          </w:tcPr>
          <w:p w14:paraId="182401EC">
            <w:pPr>
              <w:pStyle w:val="21"/>
              <w:keepNext/>
              <w:spacing w:line="440" w:lineRule="exact"/>
              <w:ind w:left="63" w:right="63"/>
              <w:rPr>
                <w:rFonts w:hint="eastAsia" w:eastAsia="仿宋_GB2312"/>
                <w:color w:val="000000"/>
                <w:sz w:val="30"/>
                <w:szCs w:val="30"/>
              </w:rPr>
            </w:pPr>
          </w:p>
        </w:tc>
        <w:tc>
          <w:tcPr>
            <w:tcW w:w="850" w:type="dxa"/>
            <w:tcBorders>
              <w:top w:val="double" w:color="auto" w:sz="6" w:space="0"/>
              <w:bottom w:val="single" w:color="auto" w:sz="6" w:space="0"/>
            </w:tcBorders>
            <w:vAlign w:val="center"/>
          </w:tcPr>
          <w:p w14:paraId="386A66F1">
            <w:pPr>
              <w:pStyle w:val="21"/>
              <w:keepNext/>
              <w:spacing w:line="440" w:lineRule="exact"/>
              <w:ind w:left="63" w:right="63"/>
              <w:rPr>
                <w:rFonts w:hint="eastAsia" w:eastAsia="仿宋_GB2312"/>
                <w:color w:val="000000"/>
                <w:sz w:val="30"/>
                <w:szCs w:val="30"/>
              </w:rPr>
            </w:pPr>
          </w:p>
        </w:tc>
      </w:tr>
      <w:tr w14:paraId="19699B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345ED3E1">
            <w:pPr>
              <w:pStyle w:val="21"/>
              <w:keepNext/>
              <w:spacing w:line="440" w:lineRule="exact"/>
              <w:ind w:left="63" w:right="63"/>
              <w:rPr>
                <w:rFonts w:hint="eastAsia" w:eastAsia="仿宋_GB2312"/>
                <w:color w:val="000000"/>
                <w:sz w:val="30"/>
                <w:szCs w:val="30"/>
              </w:rPr>
            </w:pPr>
          </w:p>
        </w:tc>
        <w:tc>
          <w:tcPr>
            <w:tcW w:w="1843" w:type="dxa"/>
            <w:tcBorders>
              <w:top w:val="nil"/>
            </w:tcBorders>
            <w:vAlign w:val="center"/>
          </w:tcPr>
          <w:p w14:paraId="34F32EFD">
            <w:pPr>
              <w:pStyle w:val="21"/>
              <w:keepNext/>
              <w:spacing w:line="440" w:lineRule="exact"/>
              <w:ind w:left="63" w:right="63"/>
              <w:rPr>
                <w:rFonts w:hint="eastAsia" w:eastAsia="仿宋_GB2312"/>
                <w:color w:val="000000"/>
                <w:sz w:val="30"/>
                <w:szCs w:val="30"/>
              </w:rPr>
            </w:pPr>
          </w:p>
        </w:tc>
        <w:tc>
          <w:tcPr>
            <w:tcW w:w="1417" w:type="dxa"/>
            <w:tcBorders>
              <w:top w:val="nil"/>
            </w:tcBorders>
            <w:vAlign w:val="center"/>
          </w:tcPr>
          <w:p w14:paraId="705E67FD">
            <w:pPr>
              <w:pStyle w:val="21"/>
              <w:keepNext/>
              <w:spacing w:line="440" w:lineRule="exact"/>
              <w:ind w:left="63" w:right="63"/>
              <w:rPr>
                <w:rFonts w:hint="eastAsia" w:eastAsia="仿宋_GB2312"/>
                <w:color w:val="000000"/>
                <w:sz w:val="30"/>
                <w:szCs w:val="30"/>
              </w:rPr>
            </w:pPr>
          </w:p>
        </w:tc>
        <w:tc>
          <w:tcPr>
            <w:tcW w:w="2410" w:type="dxa"/>
            <w:tcBorders>
              <w:top w:val="nil"/>
            </w:tcBorders>
            <w:vAlign w:val="center"/>
          </w:tcPr>
          <w:p w14:paraId="70C84B12">
            <w:pPr>
              <w:pStyle w:val="21"/>
              <w:keepNext/>
              <w:spacing w:line="440" w:lineRule="exact"/>
              <w:ind w:left="63" w:right="63"/>
              <w:rPr>
                <w:rFonts w:hint="eastAsia" w:eastAsia="仿宋_GB2312"/>
                <w:color w:val="000000"/>
                <w:sz w:val="30"/>
                <w:szCs w:val="30"/>
              </w:rPr>
            </w:pPr>
          </w:p>
        </w:tc>
        <w:tc>
          <w:tcPr>
            <w:tcW w:w="850" w:type="dxa"/>
            <w:tcBorders>
              <w:top w:val="nil"/>
            </w:tcBorders>
            <w:vAlign w:val="center"/>
          </w:tcPr>
          <w:p w14:paraId="4EF4DC9C">
            <w:pPr>
              <w:pStyle w:val="21"/>
              <w:keepNext/>
              <w:spacing w:line="440" w:lineRule="exact"/>
              <w:ind w:left="63" w:right="63"/>
              <w:rPr>
                <w:rFonts w:hint="eastAsia" w:eastAsia="仿宋_GB2312"/>
                <w:color w:val="000000"/>
                <w:sz w:val="30"/>
                <w:szCs w:val="30"/>
              </w:rPr>
            </w:pPr>
          </w:p>
        </w:tc>
        <w:tc>
          <w:tcPr>
            <w:tcW w:w="1560" w:type="dxa"/>
            <w:tcBorders>
              <w:top w:val="nil"/>
            </w:tcBorders>
            <w:vAlign w:val="center"/>
          </w:tcPr>
          <w:p w14:paraId="22C03C3E">
            <w:pPr>
              <w:pStyle w:val="21"/>
              <w:keepNext/>
              <w:spacing w:line="440" w:lineRule="exact"/>
              <w:ind w:left="63" w:right="63"/>
              <w:rPr>
                <w:rFonts w:hint="eastAsia" w:eastAsia="仿宋_GB2312"/>
                <w:color w:val="000000"/>
                <w:sz w:val="30"/>
                <w:szCs w:val="30"/>
              </w:rPr>
            </w:pPr>
          </w:p>
        </w:tc>
        <w:tc>
          <w:tcPr>
            <w:tcW w:w="2126" w:type="dxa"/>
            <w:tcBorders>
              <w:top w:val="nil"/>
            </w:tcBorders>
            <w:vAlign w:val="center"/>
          </w:tcPr>
          <w:p w14:paraId="43D3DBC2">
            <w:pPr>
              <w:pStyle w:val="21"/>
              <w:keepNext/>
              <w:spacing w:line="440" w:lineRule="exact"/>
              <w:ind w:left="63" w:right="63"/>
              <w:rPr>
                <w:rFonts w:hint="eastAsia" w:eastAsia="仿宋_GB2312"/>
                <w:color w:val="000000"/>
                <w:sz w:val="30"/>
                <w:szCs w:val="30"/>
              </w:rPr>
            </w:pPr>
          </w:p>
        </w:tc>
        <w:tc>
          <w:tcPr>
            <w:tcW w:w="1417" w:type="dxa"/>
            <w:tcBorders>
              <w:top w:val="nil"/>
            </w:tcBorders>
            <w:vAlign w:val="center"/>
          </w:tcPr>
          <w:p w14:paraId="31A27506">
            <w:pPr>
              <w:pStyle w:val="21"/>
              <w:keepNext/>
              <w:spacing w:line="440" w:lineRule="exact"/>
              <w:ind w:left="63" w:right="63"/>
              <w:rPr>
                <w:rFonts w:hint="eastAsia" w:eastAsia="仿宋_GB2312"/>
                <w:color w:val="000000"/>
                <w:sz w:val="30"/>
                <w:szCs w:val="30"/>
              </w:rPr>
            </w:pPr>
          </w:p>
        </w:tc>
        <w:tc>
          <w:tcPr>
            <w:tcW w:w="851" w:type="dxa"/>
            <w:tcBorders>
              <w:top w:val="nil"/>
            </w:tcBorders>
            <w:vAlign w:val="center"/>
          </w:tcPr>
          <w:p w14:paraId="40702EF6">
            <w:pPr>
              <w:pStyle w:val="21"/>
              <w:keepNext/>
              <w:spacing w:line="440" w:lineRule="exact"/>
              <w:ind w:left="63" w:right="63"/>
              <w:rPr>
                <w:rFonts w:hint="eastAsia" w:eastAsia="仿宋_GB2312"/>
                <w:color w:val="000000"/>
                <w:sz w:val="30"/>
                <w:szCs w:val="30"/>
              </w:rPr>
            </w:pPr>
          </w:p>
        </w:tc>
        <w:tc>
          <w:tcPr>
            <w:tcW w:w="850" w:type="dxa"/>
            <w:tcBorders>
              <w:top w:val="nil"/>
            </w:tcBorders>
            <w:vAlign w:val="center"/>
          </w:tcPr>
          <w:p w14:paraId="2AC66DA8">
            <w:pPr>
              <w:pStyle w:val="21"/>
              <w:keepNext/>
              <w:spacing w:line="440" w:lineRule="exact"/>
              <w:ind w:left="63" w:right="63"/>
              <w:rPr>
                <w:rFonts w:hint="eastAsia" w:eastAsia="仿宋_GB2312"/>
                <w:color w:val="000000"/>
                <w:sz w:val="30"/>
                <w:szCs w:val="30"/>
              </w:rPr>
            </w:pPr>
          </w:p>
        </w:tc>
      </w:tr>
      <w:tr w14:paraId="21B3C7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0371E7D6">
            <w:pPr>
              <w:pStyle w:val="21"/>
              <w:keepNext/>
              <w:spacing w:line="440" w:lineRule="exact"/>
              <w:ind w:left="63" w:right="63"/>
              <w:rPr>
                <w:rFonts w:hint="eastAsia" w:eastAsia="仿宋_GB2312"/>
                <w:color w:val="000000"/>
                <w:sz w:val="30"/>
                <w:szCs w:val="30"/>
              </w:rPr>
            </w:pPr>
          </w:p>
        </w:tc>
        <w:tc>
          <w:tcPr>
            <w:tcW w:w="1843" w:type="dxa"/>
            <w:tcBorders>
              <w:top w:val="nil"/>
            </w:tcBorders>
            <w:vAlign w:val="center"/>
          </w:tcPr>
          <w:p w14:paraId="43D7A6DA">
            <w:pPr>
              <w:pStyle w:val="21"/>
              <w:keepNext/>
              <w:spacing w:line="440" w:lineRule="exact"/>
              <w:ind w:left="63" w:right="63"/>
              <w:rPr>
                <w:rFonts w:hint="eastAsia" w:eastAsia="仿宋_GB2312"/>
                <w:color w:val="000000"/>
                <w:sz w:val="30"/>
                <w:szCs w:val="30"/>
              </w:rPr>
            </w:pPr>
          </w:p>
        </w:tc>
        <w:tc>
          <w:tcPr>
            <w:tcW w:w="1417" w:type="dxa"/>
            <w:tcBorders>
              <w:top w:val="nil"/>
            </w:tcBorders>
            <w:vAlign w:val="center"/>
          </w:tcPr>
          <w:p w14:paraId="4328D62E">
            <w:pPr>
              <w:pStyle w:val="21"/>
              <w:keepNext/>
              <w:spacing w:line="440" w:lineRule="exact"/>
              <w:ind w:left="63" w:right="63"/>
              <w:rPr>
                <w:rFonts w:hint="eastAsia" w:eastAsia="仿宋_GB2312"/>
                <w:color w:val="000000"/>
                <w:sz w:val="30"/>
                <w:szCs w:val="30"/>
              </w:rPr>
            </w:pPr>
          </w:p>
        </w:tc>
        <w:tc>
          <w:tcPr>
            <w:tcW w:w="2410" w:type="dxa"/>
            <w:tcBorders>
              <w:top w:val="nil"/>
            </w:tcBorders>
            <w:vAlign w:val="center"/>
          </w:tcPr>
          <w:p w14:paraId="10AD8C83">
            <w:pPr>
              <w:pStyle w:val="21"/>
              <w:keepNext/>
              <w:spacing w:line="440" w:lineRule="exact"/>
              <w:ind w:left="63" w:right="63"/>
              <w:rPr>
                <w:rFonts w:hint="eastAsia" w:eastAsia="仿宋_GB2312"/>
                <w:color w:val="000000"/>
                <w:sz w:val="30"/>
                <w:szCs w:val="30"/>
              </w:rPr>
            </w:pPr>
          </w:p>
        </w:tc>
        <w:tc>
          <w:tcPr>
            <w:tcW w:w="850" w:type="dxa"/>
            <w:tcBorders>
              <w:top w:val="nil"/>
            </w:tcBorders>
            <w:vAlign w:val="center"/>
          </w:tcPr>
          <w:p w14:paraId="6CF44358">
            <w:pPr>
              <w:pStyle w:val="21"/>
              <w:keepNext/>
              <w:spacing w:line="440" w:lineRule="exact"/>
              <w:ind w:left="63" w:right="63"/>
              <w:rPr>
                <w:rFonts w:hint="eastAsia" w:eastAsia="仿宋_GB2312"/>
                <w:color w:val="000000"/>
                <w:sz w:val="30"/>
                <w:szCs w:val="30"/>
              </w:rPr>
            </w:pPr>
          </w:p>
        </w:tc>
        <w:tc>
          <w:tcPr>
            <w:tcW w:w="1560" w:type="dxa"/>
            <w:tcBorders>
              <w:top w:val="nil"/>
            </w:tcBorders>
            <w:vAlign w:val="center"/>
          </w:tcPr>
          <w:p w14:paraId="71C88B4A">
            <w:pPr>
              <w:pStyle w:val="21"/>
              <w:keepNext/>
              <w:spacing w:line="440" w:lineRule="exact"/>
              <w:ind w:left="63" w:right="63"/>
              <w:rPr>
                <w:rFonts w:hint="eastAsia" w:eastAsia="仿宋_GB2312"/>
                <w:color w:val="000000"/>
                <w:sz w:val="30"/>
                <w:szCs w:val="30"/>
              </w:rPr>
            </w:pPr>
          </w:p>
        </w:tc>
        <w:tc>
          <w:tcPr>
            <w:tcW w:w="2126" w:type="dxa"/>
            <w:tcBorders>
              <w:top w:val="nil"/>
            </w:tcBorders>
            <w:vAlign w:val="center"/>
          </w:tcPr>
          <w:p w14:paraId="35948DB2">
            <w:pPr>
              <w:pStyle w:val="21"/>
              <w:keepNext/>
              <w:spacing w:line="440" w:lineRule="exact"/>
              <w:ind w:left="63" w:right="63"/>
              <w:rPr>
                <w:rFonts w:hint="eastAsia" w:eastAsia="仿宋_GB2312"/>
                <w:color w:val="000000"/>
                <w:sz w:val="30"/>
                <w:szCs w:val="30"/>
              </w:rPr>
            </w:pPr>
          </w:p>
        </w:tc>
        <w:tc>
          <w:tcPr>
            <w:tcW w:w="1417" w:type="dxa"/>
            <w:tcBorders>
              <w:top w:val="nil"/>
            </w:tcBorders>
            <w:vAlign w:val="center"/>
          </w:tcPr>
          <w:p w14:paraId="1F0CAA3A">
            <w:pPr>
              <w:pStyle w:val="21"/>
              <w:keepNext/>
              <w:spacing w:line="440" w:lineRule="exact"/>
              <w:ind w:left="63" w:right="63"/>
              <w:rPr>
                <w:rFonts w:hint="eastAsia" w:eastAsia="仿宋_GB2312"/>
                <w:color w:val="000000"/>
                <w:sz w:val="30"/>
                <w:szCs w:val="30"/>
              </w:rPr>
            </w:pPr>
          </w:p>
        </w:tc>
        <w:tc>
          <w:tcPr>
            <w:tcW w:w="851" w:type="dxa"/>
            <w:tcBorders>
              <w:top w:val="nil"/>
            </w:tcBorders>
            <w:vAlign w:val="center"/>
          </w:tcPr>
          <w:p w14:paraId="43EB2E44">
            <w:pPr>
              <w:pStyle w:val="21"/>
              <w:keepNext/>
              <w:spacing w:line="440" w:lineRule="exact"/>
              <w:ind w:left="63" w:right="63"/>
              <w:rPr>
                <w:rFonts w:hint="eastAsia" w:eastAsia="仿宋_GB2312"/>
                <w:color w:val="000000"/>
                <w:sz w:val="30"/>
                <w:szCs w:val="30"/>
              </w:rPr>
            </w:pPr>
          </w:p>
        </w:tc>
        <w:tc>
          <w:tcPr>
            <w:tcW w:w="850" w:type="dxa"/>
            <w:tcBorders>
              <w:top w:val="nil"/>
            </w:tcBorders>
            <w:vAlign w:val="center"/>
          </w:tcPr>
          <w:p w14:paraId="305AAD36">
            <w:pPr>
              <w:pStyle w:val="21"/>
              <w:keepNext/>
              <w:spacing w:line="440" w:lineRule="exact"/>
              <w:ind w:left="63" w:right="63"/>
              <w:rPr>
                <w:rFonts w:hint="eastAsia" w:eastAsia="仿宋_GB2312"/>
                <w:color w:val="000000"/>
                <w:sz w:val="30"/>
                <w:szCs w:val="30"/>
              </w:rPr>
            </w:pPr>
          </w:p>
        </w:tc>
      </w:tr>
      <w:tr w14:paraId="7FD594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14:paraId="08FAA139">
            <w:pPr>
              <w:pStyle w:val="21"/>
              <w:keepNext/>
              <w:spacing w:line="440" w:lineRule="exact"/>
              <w:ind w:left="63" w:right="63"/>
              <w:rPr>
                <w:rFonts w:hint="eastAsia" w:eastAsia="仿宋_GB2312"/>
                <w:color w:val="000000"/>
                <w:sz w:val="30"/>
                <w:szCs w:val="30"/>
              </w:rPr>
            </w:pPr>
          </w:p>
        </w:tc>
        <w:tc>
          <w:tcPr>
            <w:tcW w:w="1843" w:type="dxa"/>
            <w:vAlign w:val="center"/>
          </w:tcPr>
          <w:p w14:paraId="1207C201">
            <w:pPr>
              <w:pStyle w:val="21"/>
              <w:keepNext/>
              <w:spacing w:line="440" w:lineRule="exact"/>
              <w:ind w:left="63" w:right="63"/>
              <w:rPr>
                <w:rFonts w:hint="eastAsia" w:eastAsia="仿宋_GB2312"/>
                <w:color w:val="000000"/>
                <w:sz w:val="30"/>
                <w:szCs w:val="30"/>
              </w:rPr>
            </w:pPr>
          </w:p>
        </w:tc>
        <w:tc>
          <w:tcPr>
            <w:tcW w:w="1417" w:type="dxa"/>
            <w:vAlign w:val="center"/>
          </w:tcPr>
          <w:p w14:paraId="4EAA5FFA">
            <w:pPr>
              <w:pStyle w:val="21"/>
              <w:keepNext/>
              <w:spacing w:line="440" w:lineRule="exact"/>
              <w:ind w:left="63" w:right="63"/>
              <w:rPr>
                <w:rFonts w:hint="eastAsia" w:eastAsia="仿宋_GB2312"/>
                <w:color w:val="000000"/>
                <w:sz w:val="30"/>
                <w:szCs w:val="30"/>
              </w:rPr>
            </w:pPr>
          </w:p>
        </w:tc>
        <w:tc>
          <w:tcPr>
            <w:tcW w:w="2410" w:type="dxa"/>
            <w:vAlign w:val="center"/>
          </w:tcPr>
          <w:p w14:paraId="7930DBD3">
            <w:pPr>
              <w:pStyle w:val="21"/>
              <w:keepNext/>
              <w:spacing w:line="440" w:lineRule="exact"/>
              <w:ind w:left="63" w:right="63"/>
              <w:rPr>
                <w:rFonts w:hint="eastAsia" w:eastAsia="仿宋_GB2312"/>
                <w:color w:val="000000"/>
                <w:sz w:val="30"/>
                <w:szCs w:val="30"/>
              </w:rPr>
            </w:pPr>
          </w:p>
        </w:tc>
        <w:tc>
          <w:tcPr>
            <w:tcW w:w="850" w:type="dxa"/>
            <w:vAlign w:val="center"/>
          </w:tcPr>
          <w:p w14:paraId="626E1DF8">
            <w:pPr>
              <w:pStyle w:val="21"/>
              <w:keepNext/>
              <w:spacing w:line="440" w:lineRule="exact"/>
              <w:ind w:left="63" w:right="63"/>
              <w:rPr>
                <w:rFonts w:hint="eastAsia" w:eastAsia="仿宋_GB2312"/>
                <w:color w:val="000000"/>
                <w:sz w:val="30"/>
                <w:szCs w:val="30"/>
              </w:rPr>
            </w:pPr>
          </w:p>
        </w:tc>
        <w:tc>
          <w:tcPr>
            <w:tcW w:w="1560" w:type="dxa"/>
            <w:vAlign w:val="center"/>
          </w:tcPr>
          <w:p w14:paraId="358097B9">
            <w:pPr>
              <w:pStyle w:val="21"/>
              <w:keepNext/>
              <w:spacing w:line="440" w:lineRule="exact"/>
              <w:ind w:left="63" w:right="63"/>
              <w:rPr>
                <w:rFonts w:hint="eastAsia" w:eastAsia="仿宋_GB2312"/>
                <w:color w:val="000000"/>
                <w:sz w:val="30"/>
                <w:szCs w:val="30"/>
              </w:rPr>
            </w:pPr>
          </w:p>
        </w:tc>
        <w:tc>
          <w:tcPr>
            <w:tcW w:w="2126" w:type="dxa"/>
            <w:vAlign w:val="center"/>
          </w:tcPr>
          <w:p w14:paraId="21496BE0">
            <w:pPr>
              <w:pStyle w:val="21"/>
              <w:keepNext/>
              <w:spacing w:line="440" w:lineRule="exact"/>
              <w:ind w:left="63" w:right="63"/>
              <w:rPr>
                <w:rFonts w:hint="eastAsia" w:eastAsia="仿宋_GB2312"/>
                <w:color w:val="000000"/>
                <w:sz w:val="30"/>
                <w:szCs w:val="30"/>
              </w:rPr>
            </w:pPr>
          </w:p>
        </w:tc>
        <w:tc>
          <w:tcPr>
            <w:tcW w:w="1417" w:type="dxa"/>
            <w:vAlign w:val="center"/>
          </w:tcPr>
          <w:p w14:paraId="18BC37C9">
            <w:pPr>
              <w:pStyle w:val="21"/>
              <w:keepNext/>
              <w:spacing w:line="440" w:lineRule="exact"/>
              <w:ind w:left="63" w:right="63"/>
              <w:rPr>
                <w:rFonts w:hint="eastAsia" w:eastAsia="仿宋_GB2312"/>
                <w:color w:val="000000"/>
                <w:sz w:val="30"/>
                <w:szCs w:val="30"/>
              </w:rPr>
            </w:pPr>
          </w:p>
        </w:tc>
        <w:tc>
          <w:tcPr>
            <w:tcW w:w="851" w:type="dxa"/>
            <w:vAlign w:val="center"/>
          </w:tcPr>
          <w:p w14:paraId="07B4D178">
            <w:pPr>
              <w:pStyle w:val="21"/>
              <w:keepNext/>
              <w:spacing w:line="440" w:lineRule="exact"/>
              <w:ind w:left="63" w:right="63"/>
              <w:rPr>
                <w:rFonts w:hint="eastAsia" w:eastAsia="仿宋_GB2312"/>
                <w:color w:val="000000"/>
                <w:sz w:val="30"/>
                <w:szCs w:val="30"/>
              </w:rPr>
            </w:pPr>
          </w:p>
        </w:tc>
        <w:tc>
          <w:tcPr>
            <w:tcW w:w="850" w:type="dxa"/>
            <w:vAlign w:val="center"/>
          </w:tcPr>
          <w:p w14:paraId="3ED4ABF4">
            <w:pPr>
              <w:pStyle w:val="21"/>
              <w:keepNext/>
              <w:spacing w:line="440" w:lineRule="exact"/>
              <w:ind w:left="63" w:right="63"/>
              <w:rPr>
                <w:rFonts w:hint="eastAsia" w:eastAsia="仿宋_GB2312"/>
                <w:color w:val="000000"/>
                <w:sz w:val="30"/>
                <w:szCs w:val="30"/>
              </w:rPr>
            </w:pPr>
          </w:p>
        </w:tc>
      </w:tr>
      <w:tr w14:paraId="04A77D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3FBA11D4">
            <w:pPr>
              <w:pStyle w:val="21"/>
              <w:keepNext/>
              <w:spacing w:line="440" w:lineRule="exact"/>
              <w:ind w:left="63" w:right="63"/>
              <w:rPr>
                <w:rFonts w:hint="eastAsia" w:eastAsia="仿宋_GB2312"/>
                <w:color w:val="000000"/>
                <w:sz w:val="30"/>
                <w:szCs w:val="30"/>
              </w:rPr>
            </w:pPr>
          </w:p>
        </w:tc>
        <w:tc>
          <w:tcPr>
            <w:tcW w:w="1843" w:type="dxa"/>
            <w:tcBorders>
              <w:top w:val="nil"/>
            </w:tcBorders>
            <w:vAlign w:val="center"/>
          </w:tcPr>
          <w:p w14:paraId="604AC303">
            <w:pPr>
              <w:pStyle w:val="21"/>
              <w:keepNext/>
              <w:spacing w:line="440" w:lineRule="exact"/>
              <w:ind w:left="63" w:right="63"/>
              <w:rPr>
                <w:rFonts w:hint="eastAsia" w:eastAsia="仿宋_GB2312"/>
                <w:color w:val="000000"/>
                <w:sz w:val="30"/>
                <w:szCs w:val="30"/>
              </w:rPr>
            </w:pPr>
          </w:p>
        </w:tc>
        <w:tc>
          <w:tcPr>
            <w:tcW w:w="1417" w:type="dxa"/>
            <w:tcBorders>
              <w:top w:val="nil"/>
            </w:tcBorders>
            <w:vAlign w:val="center"/>
          </w:tcPr>
          <w:p w14:paraId="2F28317E">
            <w:pPr>
              <w:pStyle w:val="21"/>
              <w:keepNext/>
              <w:spacing w:line="440" w:lineRule="exact"/>
              <w:ind w:left="63" w:right="63"/>
              <w:rPr>
                <w:rFonts w:hint="eastAsia" w:eastAsia="仿宋_GB2312"/>
                <w:color w:val="000000"/>
                <w:sz w:val="30"/>
                <w:szCs w:val="30"/>
              </w:rPr>
            </w:pPr>
          </w:p>
        </w:tc>
        <w:tc>
          <w:tcPr>
            <w:tcW w:w="2410" w:type="dxa"/>
            <w:tcBorders>
              <w:top w:val="nil"/>
            </w:tcBorders>
            <w:vAlign w:val="center"/>
          </w:tcPr>
          <w:p w14:paraId="33FF7BBA">
            <w:pPr>
              <w:pStyle w:val="21"/>
              <w:keepNext/>
              <w:spacing w:line="440" w:lineRule="exact"/>
              <w:ind w:left="63" w:right="63"/>
              <w:rPr>
                <w:rFonts w:hint="eastAsia" w:eastAsia="仿宋_GB2312"/>
                <w:color w:val="000000"/>
                <w:sz w:val="30"/>
                <w:szCs w:val="30"/>
              </w:rPr>
            </w:pPr>
          </w:p>
        </w:tc>
        <w:tc>
          <w:tcPr>
            <w:tcW w:w="850" w:type="dxa"/>
            <w:tcBorders>
              <w:top w:val="nil"/>
            </w:tcBorders>
            <w:vAlign w:val="center"/>
          </w:tcPr>
          <w:p w14:paraId="6B3A56F3">
            <w:pPr>
              <w:pStyle w:val="21"/>
              <w:keepNext/>
              <w:spacing w:line="440" w:lineRule="exact"/>
              <w:ind w:left="63" w:right="63"/>
              <w:rPr>
                <w:rFonts w:hint="eastAsia" w:eastAsia="仿宋_GB2312"/>
                <w:color w:val="000000"/>
                <w:sz w:val="30"/>
                <w:szCs w:val="30"/>
              </w:rPr>
            </w:pPr>
          </w:p>
        </w:tc>
        <w:tc>
          <w:tcPr>
            <w:tcW w:w="1560" w:type="dxa"/>
            <w:tcBorders>
              <w:top w:val="nil"/>
            </w:tcBorders>
            <w:vAlign w:val="center"/>
          </w:tcPr>
          <w:p w14:paraId="382693F3">
            <w:pPr>
              <w:pStyle w:val="21"/>
              <w:keepNext/>
              <w:spacing w:line="440" w:lineRule="exact"/>
              <w:ind w:left="63" w:right="63"/>
              <w:rPr>
                <w:rFonts w:hint="eastAsia" w:eastAsia="仿宋_GB2312"/>
                <w:color w:val="000000"/>
                <w:sz w:val="30"/>
                <w:szCs w:val="30"/>
              </w:rPr>
            </w:pPr>
          </w:p>
        </w:tc>
        <w:tc>
          <w:tcPr>
            <w:tcW w:w="2126" w:type="dxa"/>
            <w:tcBorders>
              <w:top w:val="nil"/>
            </w:tcBorders>
            <w:vAlign w:val="center"/>
          </w:tcPr>
          <w:p w14:paraId="3B06ABDE">
            <w:pPr>
              <w:pStyle w:val="21"/>
              <w:keepNext/>
              <w:spacing w:line="440" w:lineRule="exact"/>
              <w:ind w:left="63" w:right="63"/>
              <w:rPr>
                <w:rFonts w:hint="eastAsia" w:eastAsia="仿宋_GB2312"/>
                <w:color w:val="000000"/>
                <w:sz w:val="30"/>
                <w:szCs w:val="30"/>
              </w:rPr>
            </w:pPr>
          </w:p>
        </w:tc>
        <w:tc>
          <w:tcPr>
            <w:tcW w:w="1417" w:type="dxa"/>
            <w:tcBorders>
              <w:top w:val="nil"/>
            </w:tcBorders>
            <w:vAlign w:val="center"/>
          </w:tcPr>
          <w:p w14:paraId="09FC2E48">
            <w:pPr>
              <w:pStyle w:val="21"/>
              <w:keepNext/>
              <w:spacing w:line="440" w:lineRule="exact"/>
              <w:ind w:left="63" w:right="63"/>
              <w:rPr>
                <w:rFonts w:hint="eastAsia" w:eastAsia="仿宋_GB2312"/>
                <w:color w:val="000000"/>
                <w:sz w:val="30"/>
                <w:szCs w:val="30"/>
              </w:rPr>
            </w:pPr>
          </w:p>
        </w:tc>
        <w:tc>
          <w:tcPr>
            <w:tcW w:w="851" w:type="dxa"/>
            <w:tcBorders>
              <w:top w:val="nil"/>
            </w:tcBorders>
            <w:vAlign w:val="center"/>
          </w:tcPr>
          <w:p w14:paraId="2A883056">
            <w:pPr>
              <w:pStyle w:val="21"/>
              <w:keepNext/>
              <w:spacing w:line="440" w:lineRule="exact"/>
              <w:ind w:left="63" w:right="63"/>
              <w:rPr>
                <w:rFonts w:hint="eastAsia" w:eastAsia="仿宋_GB2312"/>
                <w:color w:val="000000"/>
                <w:sz w:val="30"/>
                <w:szCs w:val="30"/>
              </w:rPr>
            </w:pPr>
          </w:p>
        </w:tc>
        <w:tc>
          <w:tcPr>
            <w:tcW w:w="850" w:type="dxa"/>
            <w:tcBorders>
              <w:top w:val="nil"/>
            </w:tcBorders>
            <w:vAlign w:val="center"/>
          </w:tcPr>
          <w:p w14:paraId="45B32537">
            <w:pPr>
              <w:pStyle w:val="21"/>
              <w:keepNext/>
              <w:spacing w:line="440" w:lineRule="exact"/>
              <w:ind w:left="63" w:right="63"/>
              <w:rPr>
                <w:rFonts w:hint="eastAsia" w:eastAsia="仿宋_GB2312"/>
                <w:color w:val="000000"/>
                <w:sz w:val="30"/>
                <w:szCs w:val="30"/>
              </w:rPr>
            </w:pPr>
          </w:p>
        </w:tc>
      </w:tr>
      <w:tr w14:paraId="101289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14:paraId="289504D8">
            <w:pPr>
              <w:pStyle w:val="21"/>
              <w:keepNext/>
              <w:spacing w:line="440" w:lineRule="exact"/>
              <w:ind w:left="63" w:right="63"/>
              <w:rPr>
                <w:rFonts w:hint="eastAsia" w:eastAsia="仿宋_GB2312"/>
                <w:color w:val="000000"/>
                <w:sz w:val="30"/>
                <w:szCs w:val="30"/>
              </w:rPr>
            </w:pPr>
          </w:p>
        </w:tc>
        <w:tc>
          <w:tcPr>
            <w:tcW w:w="1843" w:type="dxa"/>
            <w:vAlign w:val="center"/>
          </w:tcPr>
          <w:p w14:paraId="77E79FB7">
            <w:pPr>
              <w:pStyle w:val="21"/>
              <w:keepNext/>
              <w:spacing w:line="440" w:lineRule="exact"/>
              <w:ind w:left="63" w:right="63"/>
              <w:rPr>
                <w:rFonts w:hint="eastAsia" w:eastAsia="仿宋_GB2312"/>
                <w:color w:val="000000"/>
                <w:sz w:val="30"/>
                <w:szCs w:val="30"/>
              </w:rPr>
            </w:pPr>
          </w:p>
        </w:tc>
        <w:tc>
          <w:tcPr>
            <w:tcW w:w="1417" w:type="dxa"/>
            <w:vAlign w:val="center"/>
          </w:tcPr>
          <w:p w14:paraId="0BE73A1A">
            <w:pPr>
              <w:pStyle w:val="21"/>
              <w:keepNext/>
              <w:spacing w:line="440" w:lineRule="exact"/>
              <w:ind w:left="63" w:right="63"/>
              <w:rPr>
                <w:rFonts w:hint="eastAsia" w:eastAsia="仿宋_GB2312"/>
                <w:color w:val="000000"/>
                <w:sz w:val="30"/>
                <w:szCs w:val="30"/>
              </w:rPr>
            </w:pPr>
          </w:p>
        </w:tc>
        <w:tc>
          <w:tcPr>
            <w:tcW w:w="2410" w:type="dxa"/>
            <w:vAlign w:val="center"/>
          </w:tcPr>
          <w:p w14:paraId="40ACAC6B">
            <w:pPr>
              <w:pStyle w:val="21"/>
              <w:keepNext/>
              <w:spacing w:line="440" w:lineRule="exact"/>
              <w:ind w:left="63" w:right="63"/>
              <w:rPr>
                <w:rFonts w:hint="eastAsia" w:eastAsia="仿宋_GB2312"/>
                <w:color w:val="000000"/>
                <w:sz w:val="30"/>
                <w:szCs w:val="30"/>
              </w:rPr>
            </w:pPr>
          </w:p>
        </w:tc>
        <w:tc>
          <w:tcPr>
            <w:tcW w:w="850" w:type="dxa"/>
            <w:vAlign w:val="center"/>
          </w:tcPr>
          <w:p w14:paraId="3B5F6ED2">
            <w:pPr>
              <w:pStyle w:val="21"/>
              <w:keepNext/>
              <w:spacing w:line="440" w:lineRule="exact"/>
              <w:ind w:left="63" w:right="63"/>
              <w:rPr>
                <w:rFonts w:hint="eastAsia" w:eastAsia="仿宋_GB2312"/>
                <w:color w:val="000000"/>
                <w:sz w:val="30"/>
                <w:szCs w:val="30"/>
              </w:rPr>
            </w:pPr>
          </w:p>
        </w:tc>
        <w:tc>
          <w:tcPr>
            <w:tcW w:w="1560" w:type="dxa"/>
            <w:vAlign w:val="center"/>
          </w:tcPr>
          <w:p w14:paraId="572B41FC">
            <w:pPr>
              <w:pStyle w:val="21"/>
              <w:keepNext/>
              <w:spacing w:line="440" w:lineRule="exact"/>
              <w:ind w:left="63" w:right="63"/>
              <w:rPr>
                <w:rFonts w:hint="eastAsia" w:eastAsia="仿宋_GB2312"/>
                <w:color w:val="000000"/>
                <w:sz w:val="30"/>
                <w:szCs w:val="30"/>
              </w:rPr>
            </w:pPr>
          </w:p>
        </w:tc>
        <w:tc>
          <w:tcPr>
            <w:tcW w:w="2126" w:type="dxa"/>
            <w:vAlign w:val="center"/>
          </w:tcPr>
          <w:p w14:paraId="318F3644">
            <w:pPr>
              <w:pStyle w:val="21"/>
              <w:keepNext/>
              <w:spacing w:line="440" w:lineRule="exact"/>
              <w:ind w:left="63" w:right="63"/>
              <w:rPr>
                <w:rFonts w:hint="eastAsia" w:eastAsia="仿宋_GB2312"/>
                <w:color w:val="000000"/>
                <w:sz w:val="30"/>
                <w:szCs w:val="30"/>
              </w:rPr>
            </w:pPr>
          </w:p>
        </w:tc>
        <w:tc>
          <w:tcPr>
            <w:tcW w:w="1417" w:type="dxa"/>
            <w:vAlign w:val="center"/>
          </w:tcPr>
          <w:p w14:paraId="5E21A0C0">
            <w:pPr>
              <w:pStyle w:val="21"/>
              <w:keepNext/>
              <w:spacing w:line="440" w:lineRule="exact"/>
              <w:ind w:left="63" w:right="63"/>
              <w:rPr>
                <w:rFonts w:hint="eastAsia" w:eastAsia="仿宋_GB2312"/>
                <w:color w:val="000000"/>
                <w:sz w:val="30"/>
                <w:szCs w:val="30"/>
              </w:rPr>
            </w:pPr>
          </w:p>
        </w:tc>
        <w:tc>
          <w:tcPr>
            <w:tcW w:w="851" w:type="dxa"/>
            <w:vAlign w:val="center"/>
          </w:tcPr>
          <w:p w14:paraId="4B20BB9E">
            <w:pPr>
              <w:pStyle w:val="21"/>
              <w:keepNext/>
              <w:spacing w:line="440" w:lineRule="exact"/>
              <w:ind w:left="63" w:right="63"/>
              <w:rPr>
                <w:rFonts w:hint="eastAsia" w:eastAsia="仿宋_GB2312"/>
                <w:color w:val="000000"/>
                <w:sz w:val="30"/>
                <w:szCs w:val="30"/>
              </w:rPr>
            </w:pPr>
          </w:p>
        </w:tc>
        <w:tc>
          <w:tcPr>
            <w:tcW w:w="850" w:type="dxa"/>
            <w:vAlign w:val="center"/>
          </w:tcPr>
          <w:p w14:paraId="41CA7C62">
            <w:pPr>
              <w:pStyle w:val="21"/>
              <w:keepNext/>
              <w:spacing w:line="440" w:lineRule="exact"/>
              <w:ind w:left="63" w:right="63"/>
              <w:rPr>
                <w:rFonts w:hint="eastAsia" w:eastAsia="仿宋_GB2312"/>
                <w:color w:val="000000"/>
                <w:sz w:val="30"/>
                <w:szCs w:val="30"/>
              </w:rPr>
            </w:pPr>
          </w:p>
        </w:tc>
      </w:tr>
      <w:tr w14:paraId="0E15E5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322756CE">
            <w:pPr>
              <w:pStyle w:val="21"/>
              <w:keepNext/>
              <w:spacing w:line="440" w:lineRule="exact"/>
              <w:ind w:left="63" w:right="63"/>
              <w:rPr>
                <w:rFonts w:hint="eastAsia" w:eastAsia="仿宋_GB2312"/>
                <w:color w:val="000000"/>
                <w:sz w:val="30"/>
                <w:szCs w:val="30"/>
              </w:rPr>
            </w:pPr>
          </w:p>
        </w:tc>
        <w:tc>
          <w:tcPr>
            <w:tcW w:w="1843" w:type="dxa"/>
            <w:tcBorders>
              <w:top w:val="nil"/>
            </w:tcBorders>
            <w:vAlign w:val="center"/>
          </w:tcPr>
          <w:p w14:paraId="2A39E36C">
            <w:pPr>
              <w:pStyle w:val="21"/>
              <w:keepNext/>
              <w:spacing w:line="440" w:lineRule="exact"/>
              <w:ind w:left="63" w:right="63"/>
              <w:rPr>
                <w:rFonts w:hint="eastAsia" w:eastAsia="仿宋_GB2312"/>
                <w:color w:val="000000"/>
                <w:sz w:val="30"/>
                <w:szCs w:val="30"/>
              </w:rPr>
            </w:pPr>
          </w:p>
        </w:tc>
        <w:tc>
          <w:tcPr>
            <w:tcW w:w="1417" w:type="dxa"/>
            <w:tcBorders>
              <w:top w:val="nil"/>
            </w:tcBorders>
            <w:vAlign w:val="center"/>
          </w:tcPr>
          <w:p w14:paraId="09D65DC3">
            <w:pPr>
              <w:pStyle w:val="21"/>
              <w:keepNext/>
              <w:spacing w:line="440" w:lineRule="exact"/>
              <w:ind w:left="63" w:right="63"/>
              <w:rPr>
                <w:rFonts w:hint="eastAsia" w:eastAsia="仿宋_GB2312"/>
                <w:color w:val="000000"/>
                <w:sz w:val="30"/>
                <w:szCs w:val="30"/>
              </w:rPr>
            </w:pPr>
          </w:p>
        </w:tc>
        <w:tc>
          <w:tcPr>
            <w:tcW w:w="2410" w:type="dxa"/>
            <w:tcBorders>
              <w:top w:val="nil"/>
            </w:tcBorders>
            <w:vAlign w:val="center"/>
          </w:tcPr>
          <w:p w14:paraId="7FD7A5CD">
            <w:pPr>
              <w:pStyle w:val="21"/>
              <w:keepNext/>
              <w:spacing w:line="440" w:lineRule="exact"/>
              <w:ind w:left="63" w:right="63"/>
              <w:rPr>
                <w:rFonts w:hint="eastAsia" w:eastAsia="仿宋_GB2312"/>
                <w:color w:val="000000"/>
                <w:sz w:val="30"/>
                <w:szCs w:val="30"/>
              </w:rPr>
            </w:pPr>
          </w:p>
        </w:tc>
        <w:tc>
          <w:tcPr>
            <w:tcW w:w="850" w:type="dxa"/>
            <w:tcBorders>
              <w:top w:val="nil"/>
            </w:tcBorders>
            <w:vAlign w:val="center"/>
          </w:tcPr>
          <w:p w14:paraId="0F00B0DF">
            <w:pPr>
              <w:pStyle w:val="21"/>
              <w:keepNext/>
              <w:spacing w:line="440" w:lineRule="exact"/>
              <w:ind w:left="63" w:right="63"/>
              <w:rPr>
                <w:rFonts w:hint="eastAsia" w:eastAsia="仿宋_GB2312"/>
                <w:color w:val="000000"/>
                <w:sz w:val="30"/>
                <w:szCs w:val="30"/>
              </w:rPr>
            </w:pPr>
          </w:p>
        </w:tc>
        <w:tc>
          <w:tcPr>
            <w:tcW w:w="1560" w:type="dxa"/>
            <w:tcBorders>
              <w:top w:val="nil"/>
            </w:tcBorders>
            <w:vAlign w:val="center"/>
          </w:tcPr>
          <w:p w14:paraId="288E172E">
            <w:pPr>
              <w:pStyle w:val="21"/>
              <w:keepNext/>
              <w:spacing w:line="440" w:lineRule="exact"/>
              <w:ind w:left="63" w:right="63"/>
              <w:rPr>
                <w:rFonts w:hint="eastAsia" w:eastAsia="仿宋_GB2312"/>
                <w:color w:val="000000"/>
                <w:sz w:val="30"/>
                <w:szCs w:val="30"/>
              </w:rPr>
            </w:pPr>
          </w:p>
        </w:tc>
        <w:tc>
          <w:tcPr>
            <w:tcW w:w="2126" w:type="dxa"/>
            <w:tcBorders>
              <w:top w:val="nil"/>
            </w:tcBorders>
            <w:vAlign w:val="center"/>
          </w:tcPr>
          <w:p w14:paraId="6E1C1414">
            <w:pPr>
              <w:pStyle w:val="21"/>
              <w:keepNext/>
              <w:spacing w:line="440" w:lineRule="exact"/>
              <w:ind w:left="63" w:right="63"/>
              <w:rPr>
                <w:rFonts w:hint="eastAsia" w:eastAsia="仿宋_GB2312"/>
                <w:color w:val="000000"/>
                <w:sz w:val="30"/>
                <w:szCs w:val="30"/>
              </w:rPr>
            </w:pPr>
          </w:p>
        </w:tc>
        <w:tc>
          <w:tcPr>
            <w:tcW w:w="1417" w:type="dxa"/>
            <w:tcBorders>
              <w:top w:val="nil"/>
            </w:tcBorders>
            <w:vAlign w:val="center"/>
          </w:tcPr>
          <w:p w14:paraId="463B3156">
            <w:pPr>
              <w:pStyle w:val="21"/>
              <w:keepNext/>
              <w:spacing w:line="440" w:lineRule="exact"/>
              <w:ind w:left="63" w:right="63"/>
              <w:rPr>
                <w:rFonts w:hint="eastAsia" w:eastAsia="仿宋_GB2312"/>
                <w:color w:val="000000"/>
                <w:sz w:val="30"/>
                <w:szCs w:val="30"/>
              </w:rPr>
            </w:pPr>
          </w:p>
        </w:tc>
        <w:tc>
          <w:tcPr>
            <w:tcW w:w="851" w:type="dxa"/>
            <w:tcBorders>
              <w:top w:val="nil"/>
            </w:tcBorders>
            <w:vAlign w:val="center"/>
          </w:tcPr>
          <w:p w14:paraId="67E083A3">
            <w:pPr>
              <w:pStyle w:val="21"/>
              <w:keepNext/>
              <w:spacing w:line="440" w:lineRule="exact"/>
              <w:ind w:left="63" w:right="63"/>
              <w:rPr>
                <w:rFonts w:hint="eastAsia" w:eastAsia="仿宋_GB2312"/>
                <w:color w:val="000000"/>
                <w:sz w:val="30"/>
                <w:szCs w:val="30"/>
              </w:rPr>
            </w:pPr>
          </w:p>
        </w:tc>
        <w:tc>
          <w:tcPr>
            <w:tcW w:w="850" w:type="dxa"/>
            <w:tcBorders>
              <w:top w:val="nil"/>
            </w:tcBorders>
            <w:vAlign w:val="center"/>
          </w:tcPr>
          <w:p w14:paraId="2B26E46D">
            <w:pPr>
              <w:pStyle w:val="21"/>
              <w:keepNext/>
              <w:spacing w:line="440" w:lineRule="exact"/>
              <w:ind w:left="63" w:right="63"/>
              <w:rPr>
                <w:rFonts w:hint="eastAsia" w:eastAsia="仿宋_GB2312"/>
                <w:color w:val="000000"/>
                <w:sz w:val="30"/>
                <w:szCs w:val="30"/>
              </w:rPr>
            </w:pPr>
          </w:p>
        </w:tc>
      </w:tr>
      <w:tr w14:paraId="4033BE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791C6492">
            <w:pPr>
              <w:pStyle w:val="21"/>
              <w:keepNext/>
              <w:spacing w:line="440" w:lineRule="exact"/>
              <w:ind w:left="63" w:right="63"/>
              <w:rPr>
                <w:rFonts w:hint="eastAsia" w:eastAsia="仿宋_GB2312"/>
                <w:color w:val="000000"/>
                <w:sz w:val="30"/>
                <w:szCs w:val="30"/>
              </w:rPr>
            </w:pPr>
          </w:p>
        </w:tc>
        <w:tc>
          <w:tcPr>
            <w:tcW w:w="1843" w:type="dxa"/>
            <w:tcBorders>
              <w:top w:val="nil"/>
            </w:tcBorders>
            <w:vAlign w:val="center"/>
          </w:tcPr>
          <w:p w14:paraId="514B231C">
            <w:pPr>
              <w:pStyle w:val="21"/>
              <w:keepNext/>
              <w:spacing w:line="440" w:lineRule="exact"/>
              <w:ind w:left="63" w:right="63"/>
              <w:rPr>
                <w:rFonts w:hint="eastAsia" w:eastAsia="仿宋_GB2312"/>
                <w:color w:val="000000"/>
                <w:sz w:val="30"/>
                <w:szCs w:val="30"/>
              </w:rPr>
            </w:pPr>
          </w:p>
        </w:tc>
        <w:tc>
          <w:tcPr>
            <w:tcW w:w="1417" w:type="dxa"/>
            <w:tcBorders>
              <w:top w:val="nil"/>
            </w:tcBorders>
            <w:vAlign w:val="center"/>
          </w:tcPr>
          <w:p w14:paraId="4A8EBC91">
            <w:pPr>
              <w:pStyle w:val="21"/>
              <w:keepNext/>
              <w:spacing w:line="440" w:lineRule="exact"/>
              <w:ind w:left="63" w:right="63"/>
              <w:rPr>
                <w:rFonts w:hint="eastAsia" w:eastAsia="仿宋_GB2312"/>
                <w:color w:val="000000"/>
                <w:sz w:val="30"/>
                <w:szCs w:val="30"/>
              </w:rPr>
            </w:pPr>
          </w:p>
        </w:tc>
        <w:tc>
          <w:tcPr>
            <w:tcW w:w="2410" w:type="dxa"/>
            <w:tcBorders>
              <w:top w:val="nil"/>
            </w:tcBorders>
            <w:vAlign w:val="center"/>
          </w:tcPr>
          <w:p w14:paraId="60E4E6E2">
            <w:pPr>
              <w:pStyle w:val="21"/>
              <w:keepNext/>
              <w:spacing w:line="440" w:lineRule="exact"/>
              <w:ind w:left="63" w:right="63"/>
              <w:rPr>
                <w:rFonts w:hint="eastAsia" w:eastAsia="仿宋_GB2312"/>
                <w:color w:val="000000"/>
                <w:sz w:val="30"/>
                <w:szCs w:val="30"/>
              </w:rPr>
            </w:pPr>
          </w:p>
        </w:tc>
        <w:tc>
          <w:tcPr>
            <w:tcW w:w="850" w:type="dxa"/>
            <w:tcBorders>
              <w:top w:val="nil"/>
            </w:tcBorders>
            <w:vAlign w:val="center"/>
          </w:tcPr>
          <w:p w14:paraId="487A4EA2">
            <w:pPr>
              <w:pStyle w:val="21"/>
              <w:keepNext/>
              <w:spacing w:line="440" w:lineRule="exact"/>
              <w:ind w:left="63" w:right="63"/>
              <w:rPr>
                <w:rFonts w:hint="eastAsia" w:eastAsia="仿宋_GB2312"/>
                <w:color w:val="000000"/>
                <w:sz w:val="30"/>
                <w:szCs w:val="30"/>
              </w:rPr>
            </w:pPr>
          </w:p>
        </w:tc>
        <w:tc>
          <w:tcPr>
            <w:tcW w:w="1560" w:type="dxa"/>
            <w:tcBorders>
              <w:top w:val="nil"/>
            </w:tcBorders>
            <w:vAlign w:val="center"/>
          </w:tcPr>
          <w:p w14:paraId="17277139">
            <w:pPr>
              <w:pStyle w:val="21"/>
              <w:keepNext/>
              <w:spacing w:line="440" w:lineRule="exact"/>
              <w:ind w:left="63" w:right="63"/>
              <w:rPr>
                <w:rFonts w:hint="eastAsia" w:eastAsia="仿宋_GB2312"/>
                <w:color w:val="000000"/>
                <w:sz w:val="30"/>
                <w:szCs w:val="30"/>
              </w:rPr>
            </w:pPr>
          </w:p>
        </w:tc>
        <w:tc>
          <w:tcPr>
            <w:tcW w:w="2126" w:type="dxa"/>
            <w:tcBorders>
              <w:top w:val="nil"/>
            </w:tcBorders>
            <w:vAlign w:val="center"/>
          </w:tcPr>
          <w:p w14:paraId="5F2F5F69">
            <w:pPr>
              <w:pStyle w:val="21"/>
              <w:keepNext/>
              <w:spacing w:line="440" w:lineRule="exact"/>
              <w:ind w:left="63" w:right="63"/>
              <w:rPr>
                <w:rFonts w:hint="eastAsia" w:eastAsia="仿宋_GB2312"/>
                <w:color w:val="000000"/>
                <w:sz w:val="30"/>
                <w:szCs w:val="30"/>
              </w:rPr>
            </w:pPr>
          </w:p>
        </w:tc>
        <w:tc>
          <w:tcPr>
            <w:tcW w:w="1417" w:type="dxa"/>
            <w:tcBorders>
              <w:top w:val="nil"/>
            </w:tcBorders>
            <w:vAlign w:val="center"/>
          </w:tcPr>
          <w:p w14:paraId="376C38D4">
            <w:pPr>
              <w:pStyle w:val="21"/>
              <w:keepNext/>
              <w:spacing w:line="440" w:lineRule="exact"/>
              <w:ind w:left="63" w:right="63"/>
              <w:rPr>
                <w:rFonts w:hint="eastAsia" w:eastAsia="仿宋_GB2312"/>
                <w:color w:val="000000"/>
                <w:sz w:val="30"/>
                <w:szCs w:val="30"/>
              </w:rPr>
            </w:pPr>
          </w:p>
        </w:tc>
        <w:tc>
          <w:tcPr>
            <w:tcW w:w="851" w:type="dxa"/>
            <w:tcBorders>
              <w:top w:val="nil"/>
            </w:tcBorders>
            <w:vAlign w:val="center"/>
          </w:tcPr>
          <w:p w14:paraId="4DCCF641">
            <w:pPr>
              <w:pStyle w:val="21"/>
              <w:keepNext/>
              <w:spacing w:line="440" w:lineRule="exact"/>
              <w:ind w:left="63" w:right="63"/>
              <w:rPr>
                <w:rFonts w:hint="eastAsia" w:eastAsia="仿宋_GB2312"/>
                <w:color w:val="000000"/>
                <w:sz w:val="30"/>
                <w:szCs w:val="30"/>
              </w:rPr>
            </w:pPr>
          </w:p>
        </w:tc>
        <w:tc>
          <w:tcPr>
            <w:tcW w:w="850" w:type="dxa"/>
            <w:tcBorders>
              <w:top w:val="nil"/>
            </w:tcBorders>
            <w:vAlign w:val="center"/>
          </w:tcPr>
          <w:p w14:paraId="4B100244">
            <w:pPr>
              <w:pStyle w:val="21"/>
              <w:keepNext/>
              <w:spacing w:line="440" w:lineRule="exact"/>
              <w:ind w:left="63" w:right="63"/>
              <w:rPr>
                <w:rFonts w:hint="eastAsia" w:eastAsia="仿宋_GB2312"/>
                <w:color w:val="000000"/>
                <w:sz w:val="30"/>
                <w:szCs w:val="30"/>
              </w:rPr>
            </w:pPr>
          </w:p>
        </w:tc>
      </w:tr>
      <w:tr w14:paraId="216795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14:paraId="1C27A442">
            <w:pPr>
              <w:pStyle w:val="21"/>
              <w:keepNext/>
              <w:spacing w:line="440" w:lineRule="exact"/>
              <w:ind w:left="63" w:right="63"/>
              <w:rPr>
                <w:rFonts w:hint="eastAsia" w:eastAsia="仿宋_GB2312"/>
                <w:color w:val="000000"/>
                <w:sz w:val="30"/>
                <w:szCs w:val="30"/>
              </w:rPr>
            </w:pPr>
          </w:p>
        </w:tc>
        <w:tc>
          <w:tcPr>
            <w:tcW w:w="1843" w:type="dxa"/>
            <w:vAlign w:val="center"/>
          </w:tcPr>
          <w:p w14:paraId="37D5398A">
            <w:pPr>
              <w:pStyle w:val="21"/>
              <w:keepNext/>
              <w:spacing w:line="440" w:lineRule="exact"/>
              <w:ind w:left="63" w:right="63"/>
              <w:rPr>
                <w:rFonts w:hint="eastAsia" w:eastAsia="仿宋_GB2312"/>
                <w:color w:val="000000"/>
                <w:sz w:val="30"/>
                <w:szCs w:val="30"/>
              </w:rPr>
            </w:pPr>
          </w:p>
        </w:tc>
        <w:tc>
          <w:tcPr>
            <w:tcW w:w="1417" w:type="dxa"/>
            <w:vAlign w:val="center"/>
          </w:tcPr>
          <w:p w14:paraId="0A0D3A81">
            <w:pPr>
              <w:pStyle w:val="21"/>
              <w:keepNext/>
              <w:spacing w:line="440" w:lineRule="exact"/>
              <w:ind w:left="63" w:right="63"/>
              <w:rPr>
                <w:rFonts w:hint="eastAsia" w:eastAsia="仿宋_GB2312"/>
                <w:color w:val="000000"/>
                <w:sz w:val="30"/>
                <w:szCs w:val="30"/>
              </w:rPr>
            </w:pPr>
          </w:p>
        </w:tc>
        <w:tc>
          <w:tcPr>
            <w:tcW w:w="2410" w:type="dxa"/>
            <w:vAlign w:val="center"/>
          </w:tcPr>
          <w:p w14:paraId="388A1266">
            <w:pPr>
              <w:pStyle w:val="21"/>
              <w:keepNext/>
              <w:spacing w:line="440" w:lineRule="exact"/>
              <w:ind w:left="63" w:right="63"/>
              <w:rPr>
                <w:rFonts w:hint="eastAsia" w:eastAsia="仿宋_GB2312"/>
                <w:color w:val="000000"/>
                <w:sz w:val="30"/>
                <w:szCs w:val="30"/>
              </w:rPr>
            </w:pPr>
          </w:p>
        </w:tc>
        <w:tc>
          <w:tcPr>
            <w:tcW w:w="850" w:type="dxa"/>
            <w:vAlign w:val="center"/>
          </w:tcPr>
          <w:p w14:paraId="23F09AFD">
            <w:pPr>
              <w:pStyle w:val="21"/>
              <w:keepNext/>
              <w:spacing w:line="440" w:lineRule="exact"/>
              <w:ind w:left="63" w:right="63"/>
              <w:rPr>
                <w:rFonts w:hint="eastAsia" w:eastAsia="仿宋_GB2312"/>
                <w:color w:val="000000"/>
                <w:sz w:val="30"/>
                <w:szCs w:val="30"/>
              </w:rPr>
            </w:pPr>
          </w:p>
        </w:tc>
        <w:tc>
          <w:tcPr>
            <w:tcW w:w="1560" w:type="dxa"/>
            <w:vAlign w:val="center"/>
          </w:tcPr>
          <w:p w14:paraId="60769DC5">
            <w:pPr>
              <w:pStyle w:val="21"/>
              <w:keepNext/>
              <w:spacing w:line="440" w:lineRule="exact"/>
              <w:ind w:left="63" w:right="63"/>
              <w:rPr>
                <w:rFonts w:hint="eastAsia" w:eastAsia="仿宋_GB2312"/>
                <w:color w:val="000000"/>
                <w:sz w:val="30"/>
                <w:szCs w:val="30"/>
              </w:rPr>
            </w:pPr>
          </w:p>
        </w:tc>
        <w:tc>
          <w:tcPr>
            <w:tcW w:w="2126" w:type="dxa"/>
            <w:vAlign w:val="center"/>
          </w:tcPr>
          <w:p w14:paraId="418F81CE">
            <w:pPr>
              <w:pStyle w:val="21"/>
              <w:keepNext/>
              <w:spacing w:line="440" w:lineRule="exact"/>
              <w:ind w:left="63" w:right="63"/>
              <w:rPr>
                <w:rFonts w:hint="eastAsia" w:eastAsia="仿宋_GB2312"/>
                <w:color w:val="000000"/>
                <w:sz w:val="30"/>
                <w:szCs w:val="30"/>
              </w:rPr>
            </w:pPr>
          </w:p>
        </w:tc>
        <w:tc>
          <w:tcPr>
            <w:tcW w:w="1417" w:type="dxa"/>
            <w:vAlign w:val="center"/>
          </w:tcPr>
          <w:p w14:paraId="3973A39D">
            <w:pPr>
              <w:pStyle w:val="21"/>
              <w:keepNext/>
              <w:spacing w:line="440" w:lineRule="exact"/>
              <w:ind w:left="63" w:right="63"/>
              <w:rPr>
                <w:rFonts w:hint="eastAsia" w:eastAsia="仿宋_GB2312"/>
                <w:color w:val="000000"/>
                <w:sz w:val="30"/>
                <w:szCs w:val="30"/>
              </w:rPr>
            </w:pPr>
          </w:p>
        </w:tc>
        <w:tc>
          <w:tcPr>
            <w:tcW w:w="851" w:type="dxa"/>
            <w:vAlign w:val="center"/>
          </w:tcPr>
          <w:p w14:paraId="24588778">
            <w:pPr>
              <w:pStyle w:val="21"/>
              <w:keepNext/>
              <w:spacing w:line="440" w:lineRule="exact"/>
              <w:ind w:left="63" w:right="63"/>
              <w:rPr>
                <w:rFonts w:hint="eastAsia" w:eastAsia="仿宋_GB2312"/>
                <w:color w:val="000000"/>
                <w:sz w:val="30"/>
                <w:szCs w:val="30"/>
              </w:rPr>
            </w:pPr>
          </w:p>
        </w:tc>
        <w:tc>
          <w:tcPr>
            <w:tcW w:w="850" w:type="dxa"/>
            <w:vAlign w:val="center"/>
          </w:tcPr>
          <w:p w14:paraId="7351BA5E">
            <w:pPr>
              <w:pStyle w:val="21"/>
              <w:keepNext/>
              <w:spacing w:line="440" w:lineRule="exact"/>
              <w:ind w:left="63" w:right="63"/>
              <w:rPr>
                <w:rFonts w:hint="eastAsia" w:eastAsia="仿宋_GB2312"/>
                <w:color w:val="000000"/>
                <w:sz w:val="30"/>
                <w:szCs w:val="30"/>
              </w:rPr>
            </w:pPr>
          </w:p>
        </w:tc>
      </w:tr>
      <w:tr w14:paraId="6FE790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1DE696B9">
            <w:pPr>
              <w:pStyle w:val="21"/>
              <w:keepNext/>
              <w:spacing w:line="440" w:lineRule="exact"/>
              <w:ind w:left="63" w:right="63"/>
              <w:rPr>
                <w:rFonts w:hint="eastAsia" w:eastAsia="仿宋_GB2312"/>
                <w:color w:val="000000"/>
                <w:sz w:val="30"/>
                <w:szCs w:val="30"/>
              </w:rPr>
            </w:pPr>
          </w:p>
        </w:tc>
        <w:tc>
          <w:tcPr>
            <w:tcW w:w="1843" w:type="dxa"/>
            <w:tcBorders>
              <w:top w:val="nil"/>
            </w:tcBorders>
            <w:vAlign w:val="center"/>
          </w:tcPr>
          <w:p w14:paraId="3230EE81">
            <w:pPr>
              <w:pStyle w:val="21"/>
              <w:keepNext/>
              <w:spacing w:line="440" w:lineRule="exact"/>
              <w:ind w:left="63" w:right="63"/>
              <w:rPr>
                <w:rFonts w:hint="eastAsia" w:eastAsia="仿宋_GB2312"/>
                <w:color w:val="000000"/>
                <w:sz w:val="30"/>
                <w:szCs w:val="30"/>
              </w:rPr>
            </w:pPr>
          </w:p>
        </w:tc>
        <w:tc>
          <w:tcPr>
            <w:tcW w:w="1417" w:type="dxa"/>
            <w:tcBorders>
              <w:top w:val="nil"/>
            </w:tcBorders>
            <w:vAlign w:val="center"/>
          </w:tcPr>
          <w:p w14:paraId="1A3AA6A7">
            <w:pPr>
              <w:pStyle w:val="21"/>
              <w:keepNext/>
              <w:spacing w:line="440" w:lineRule="exact"/>
              <w:ind w:left="63" w:right="63"/>
              <w:rPr>
                <w:rFonts w:hint="eastAsia" w:eastAsia="仿宋_GB2312"/>
                <w:color w:val="000000"/>
                <w:sz w:val="30"/>
                <w:szCs w:val="30"/>
              </w:rPr>
            </w:pPr>
          </w:p>
        </w:tc>
        <w:tc>
          <w:tcPr>
            <w:tcW w:w="2410" w:type="dxa"/>
            <w:tcBorders>
              <w:top w:val="nil"/>
            </w:tcBorders>
            <w:vAlign w:val="center"/>
          </w:tcPr>
          <w:p w14:paraId="57181BB3">
            <w:pPr>
              <w:pStyle w:val="21"/>
              <w:keepNext/>
              <w:spacing w:line="440" w:lineRule="exact"/>
              <w:ind w:left="63" w:right="63"/>
              <w:rPr>
                <w:rFonts w:hint="eastAsia" w:eastAsia="仿宋_GB2312"/>
                <w:color w:val="000000"/>
                <w:sz w:val="30"/>
                <w:szCs w:val="30"/>
              </w:rPr>
            </w:pPr>
          </w:p>
        </w:tc>
        <w:tc>
          <w:tcPr>
            <w:tcW w:w="850" w:type="dxa"/>
            <w:tcBorders>
              <w:top w:val="nil"/>
            </w:tcBorders>
            <w:vAlign w:val="center"/>
          </w:tcPr>
          <w:p w14:paraId="52EB835C">
            <w:pPr>
              <w:pStyle w:val="21"/>
              <w:keepNext/>
              <w:spacing w:line="440" w:lineRule="exact"/>
              <w:ind w:left="63" w:right="63"/>
              <w:rPr>
                <w:rFonts w:hint="eastAsia" w:eastAsia="仿宋_GB2312"/>
                <w:color w:val="000000"/>
                <w:sz w:val="30"/>
                <w:szCs w:val="30"/>
              </w:rPr>
            </w:pPr>
          </w:p>
        </w:tc>
        <w:tc>
          <w:tcPr>
            <w:tcW w:w="1560" w:type="dxa"/>
            <w:tcBorders>
              <w:top w:val="nil"/>
            </w:tcBorders>
            <w:vAlign w:val="center"/>
          </w:tcPr>
          <w:p w14:paraId="301B3864">
            <w:pPr>
              <w:pStyle w:val="21"/>
              <w:keepNext/>
              <w:spacing w:line="440" w:lineRule="exact"/>
              <w:ind w:left="63" w:right="63"/>
              <w:rPr>
                <w:rFonts w:hint="eastAsia" w:eastAsia="仿宋_GB2312"/>
                <w:color w:val="000000"/>
                <w:sz w:val="30"/>
                <w:szCs w:val="30"/>
              </w:rPr>
            </w:pPr>
          </w:p>
        </w:tc>
        <w:tc>
          <w:tcPr>
            <w:tcW w:w="2126" w:type="dxa"/>
            <w:tcBorders>
              <w:top w:val="nil"/>
            </w:tcBorders>
            <w:vAlign w:val="center"/>
          </w:tcPr>
          <w:p w14:paraId="1F4F113F">
            <w:pPr>
              <w:pStyle w:val="21"/>
              <w:keepNext/>
              <w:spacing w:line="440" w:lineRule="exact"/>
              <w:ind w:left="63" w:right="63"/>
              <w:rPr>
                <w:rFonts w:hint="eastAsia" w:eastAsia="仿宋_GB2312"/>
                <w:color w:val="000000"/>
                <w:sz w:val="30"/>
                <w:szCs w:val="30"/>
              </w:rPr>
            </w:pPr>
          </w:p>
        </w:tc>
        <w:tc>
          <w:tcPr>
            <w:tcW w:w="1417" w:type="dxa"/>
            <w:tcBorders>
              <w:top w:val="nil"/>
            </w:tcBorders>
            <w:vAlign w:val="center"/>
          </w:tcPr>
          <w:p w14:paraId="37556B37">
            <w:pPr>
              <w:pStyle w:val="21"/>
              <w:keepNext/>
              <w:spacing w:line="440" w:lineRule="exact"/>
              <w:ind w:left="63" w:right="63"/>
              <w:rPr>
                <w:rFonts w:hint="eastAsia" w:eastAsia="仿宋_GB2312"/>
                <w:color w:val="000000"/>
                <w:sz w:val="30"/>
                <w:szCs w:val="30"/>
              </w:rPr>
            </w:pPr>
          </w:p>
        </w:tc>
        <w:tc>
          <w:tcPr>
            <w:tcW w:w="851" w:type="dxa"/>
            <w:tcBorders>
              <w:top w:val="nil"/>
            </w:tcBorders>
            <w:vAlign w:val="center"/>
          </w:tcPr>
          <w:p w14:paraId="62FEE1D6">
            <w:pPr>
              <w:pStyle w:val="21"/>
              <w:keepNext/>
              <w:spacing w:line="440" w:lineRule="exact"/>
              <w:ind w:left="63" w:right="63"/>
              <w:rPr>
                <w:rFonts w:hint="eastAsia" w:eastAsia="仿宋_GB2312"/>
                <w:color w:val="000000"/>
                <w:sz w:val="30"/>
                <w:szCs w:val="30"/>
              </w:rPr>
            </w:pPr>
          </w:p>
        </w:tc>
        <w:tc>
          <w:tcPr>
            <w:tcW w:w="850" w:type="dxa"/>
            <w:tcBorders>
              <w:top w:val="nil"/>
            </w:tcBorders>
            <w:vAlign w:val="center"/>
          </w:tcPr>
          <w:p w14:paraId="672ACC2C">
            <w:pPr>
              <w:pStyle w:val="21"/>
              <w:keepNext/>
              <w:spacing w:line="440" w:lineRule="exact"/>
              <w:ind w:left="63" w:right="63"/>
              <w:rPr>
                <w:rFonts w:hint="eastAsia" w:eastAsia="仿宋_GB2312"/>
                <w:color w:val="000000"/>
                <w:sz w:val="30"/>
                <w:szCs w:val="30"/>
              </w:rPr>
            </w:pPr>
          </w:p>
        </w:tc>
      </w:tr>
      <w:tr w14:paraId="66BF18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14:paraId="219A64EE">
            <w:pPr>
              <w:pStyle w:val="21"/>
              <w:keepNext/>
              <w:spacing w:line="440" w:lineRule="exact"/>
              <w:ind w:left="63" w:right="63"/>
              <w:rPr>
                <w:rFonts w:hint="eastAsia" w:eastAsia="仿宋_GB2312"/>
                <w:color w:val="000000"/>
                <w:sz w:val="30"/>
                <w:szCs w:val="30"/>
              </w:rPr>
            </w:pPr>
          </w:p>
        </w:tc>
        <w:tc>
          <w:tcPr>
            <w:tcW w:w="1843" w:type="dxa"/>
            <w:vAlign w:val="center"/>
          </w:tcPr>
          <w:p w14:paraId="3B1EBED3">
            <w:pPr>
              <w:pStyle w:val="21"/>
              <w:keepNext/>
              <w:spacing w:line="440" w:lineRule="exact"/>
              <w:ind w:left="63" w:right="63"/>
              <w:rPr>
                <w:rFonts w:hint="eastAsia" w:eastAsia="仿宋_GB2312"/>
                <w:color w:val="000000"/>
                <w:sz w:val="30"/>
                <w:szCs w:val="30"/>
              </w:rPr>
            </w:pPr>
          </w:p>
        </w:tc>
        <w:tc>
          <w:tcPr>
            <w:tcW w:w="1417" w:type="dxa"/>
            <w:vAlign w:val="center"/>
          </w:tcPr>
          <w:p w14:paraId="258B7F9E">
            <w:pPr>
              <w:pStyle w:val="21"/>
              <w:keepNext/>
              <w:spacing w:line="440" w:lineRule="exact"/>
              <w:ind w:left="63" w:right="63"/>
              <w:rPr>
                <w:rFonts w:hint="eastAsia" w:eastAsia="仿宋_GB2312"/>
                <w:color w:val="000000"/>
                <w:sz w:val="30"/>
                <w:szCs w:val="30"/>
              </w:rPr>
            </w:pPr>
          </w:p>
        </w:tc>
        <w:tc>
          <w:tcPr>
            <w:tcW w:w="2410" w:type="dxa"/>
            <w:vAlign w:val="center"/>
          </w:tcPr>
          <w:p w14:paraId="73AB9781">
            <w:pPr>
              <w:pStyle w:val="21"/>
              <w:keepNext/>
              <w:spacing w:line="440" w:lineRule="exact"/>
              <w:ind w:left="63" w:right="63"/>
              <w:rPr>
                <w:rFonts w:hint="eastAsia" w:eastAsia="仿宋_GB2312"/>
                <w:color w:val="000000"/>
                <w:sz w:val="30"/>
                <w:szCs w:val="30"/>
              </w:rPr>
            </w:pPr>
          </w:p>
        </w:tc>
        <w:tc>
          <w:tcPr>
            <w:tcW w:w="850" w:type="dxa"/>
            <w:vAlign w:val="center"/>
          </w:tcPr>
          <w:p w14:paraId="18E0182B">
            <w:pPr>
              <w:pStyle w:val="21"/>
              <w:keepNext/>
              <w:spacing w:line="440" w:lineRule="exact"/>
              <w:ind w:left="63" w:right="63"/>
              <w:rPr>
                <w:rFonts w:hint="eastAsia" w:eastAsia="仿宋_GB2312"/>
                <w:color w:val="000000"/>
                <w:sz w:val="30"/>
                <w:szCs w:val="30"/>
              </w:rPr>
            </w:pPr>
          </w:p>
        </w:tc>
        <w:tc>
          <w:tcPr>
            <w:tcW w:w="1560" w:type="dxa"/>
            <w:vAlign w:val="center"/>
          </w:tcPr>
          <w:p w14:paraId="680BD71A">
            <w:pPr>
              <w:pStyle w:val="21"/>
              <w:keepNext/>
              <w:spacing w:line="440" w:lineRule="exact"/>
              <w:ind w:left="63" w:right="63"/>
              <w:rPr>
                <w:rFonts w:hint="eastAsia" w:eastAsia="仿宋_GB2312"/>
                <w:color w:val="000000"/>
                <w:sz w:val="30"/>
                <w:szCs w:val="30"/>
              </w:rPr>
            </w:pPr>
          </w:p>
        </w:tc>
        <w:tc>
          <w:tcPr>
            <w:tcW w:w="2126" w:type="dxa"/>
            <w:vAlign w:val="center"/>
          </w:tcPr>
          <w:p w14:paraId="2947E41A">
            <w:pPr>
              <w:pStyle w:val="21"/>
              <w:keepNext/>
              <w:spacing w:line="440" w:lineRule="exact"/>
              <w:ind w:left="63" w:right="63"/>
              <w:rPr>
                <w:rFonts w:hint="eastAsia" w:eastAsia="仿宋_GB2312"/>
                <w:color w:val="000000"/>
                <w:sz w:val="30"/>
                <w:szCs w:val="30"/>
              </w:rPr>
            </w:pPr>
          </w:p>
        </w:tc>
        <w:tc>
          <w:tcPr>
            <w:tcW w:w="1417" w:type="dxa"/>
            <w:vAlign w:val="center"/>
          </w:tcPr>
          <w:p w14:paraId="46068340">
            <w:pPr>
              <w:pStyle w:val="21"/>
              <w:keepNext/>
              <w:spacing w:line="440" w:lineRule="exact"/>
              <w:ind w:left="63" w:right="63"/>
              <w:rPr>
                <w:rFonts w:hint="eastAsia" w:eastAsia="仿宋_GB2312"/>
                <w:color w:val="000000"/>
                <w:sz w:val="30"/>
                <w:szCs w:val="30"/>
              </w:rPr>
            </w:pPr>
          </w:p>
        </w:tc>
        <w:tc>
          <w:tcPr>
            <w:tcW w:w="851" w:type="dxa"/>
            <w:vAlign w:val="center"/>
          </w:tcPr>
          <w:p w14:paraId="02E604DF">
            <w:pPr>
              <w:pStyle w:val="21"/>
              <w:keepNext/>
              <w:spacing w:line="440" w:lineRule="exact"/>
              <w:ind w:left="63" w:right="63"/>
              <w:rPr>
                <w:rFonts w:hint="eastAsia" w:eastAsia="仿宋_GB2312"/>
                <w:color w:val="000000"/>
                <w:sz w:val="30"/>
                <w:szCs w:val="30"/>
              </w:rPr>
            </w:pPr>
          </w:p>
        </w:tc>
        <w:tc>
          <w:tcPr>
            <w:tcW w:w="850" w:type="dxa"/>
            <w:vAlign w:val="center"/>
          </w:tcPr>
          <w:p w14:paraId="4D559196">
            <w:pPr>
              <w:pStyle w:val="21"/>
              <w:keepNext/>
              <w:spacing w:line="440" w:lineRule="exact"/>
              <w:ind w:left="63" w:right="63"/>
              <w:rPr>
                <w:rFonts w:hint="eastAsia" w:eastAsia="仿宋_GB2312"/>
                <w:color w:val="000000"/>
                <w:sz w:val="30"/>
                <w:szCs w:val="30"/>
              </w:rPr>
            </w:pPr>
          </w:p>
        </w:tc>
      </w:tr>
    </w:tbl>
    <w:p w14:paraId="4C20FA55">
      <w:pPr>
        <w:rPr>
          <w:rFonts w:hint="eastAsia" w:ascii="宋体" w:hAnsi="宋体" w:cs="宋体"/>
          <w:spacing w:val="1"/>
          <w:sz w:val="28"/>
          <w:szCs w:val="28"/>
        </w:rPr>
        <w:sectPr>
          <w:pgSz w:w="16840" w:h="11907" w:orient="landscape"/>
          <w:pgMar w:top="1701" w:right="1418" w:bottom="1134" w:left="1418" w:header="851" w:footer="851" w:gutter="0"/>
          <w:cols w:space="720" w:num="1"/>
          <w:docGrid w:linePitch="462" w:charSpace="0"/>
        </w:sectPr>
      </w:pPr>
    </w:p>
    <w:p w14:paraId="283075E8">
      <w:pPr>
        <w:spacing w:line="500" w:lineRule="exact"/>
        <w:rPr>
          <w:rFonts w:eastAsia="黑体"/>
          <w:color w:val="000000"/>
          <w:sz w:val="28"/>
          <w:szCs w:val="28"/>
        </w:rPr>
      </w:pPr>
      <w:bookmarkStart w:id="1660" w:name="_Toc183434179"/>
      <w:r>
        <w:rPr>
          <w:rFonts w:eastAsia="仿宋_GB2312"/>
          <w:color w:val="000000"/>
          <w:sz w:val="28"/>
          <w:szCs w:val="28"/>
        </w:rPr>
        <w:t>附</w:t>
      </w:r>
      <w:bookmarkStart w:id="1661" w:name="_Toc267261692"/>
      <w:bookmarkStart w:id="1662" w:name="_Toc296944564"/>
      <w:bookmarkStart w:id="1663" w:name="_Toc296891265"/>
      <w:bookmarkStart w:id="1664" w:name="_Toc296503225"/>
      <w:bookmarkStart w:id="1665" w:name="_Toc296347224"/>
      <w:bookmarkStart w:id="1666" w:name="_Toc296346726"/>
      <w:bookmarkStart w:id="1667" w:name="_Toc296891053"/>
      <w:r>
        <w:rPr>
          <w:rFonts w:eastAsia="仿宋_GB2312"/>
          <w:color w:val="000000"/>
          <w:sz w:val="28"/>
          <w:szCs w:val="28"/>
        </w:rPr>
        <w:t>件2：</w:t>
      </w:r>
    </w:p>
    <w:bookmarkEnd w:id="1661"/>
    <w:bookmarkEnd w:id="1662"/>
    <w:bookmarkEnd w:id="1663"/>
    <w:bookmarkEnd w:id="1664"/>
    <w:bookmarkEnd w:id="1665"/>
    <w:bookmarkEnd w:id="1666"/>
    <w:bookmarkEnd w:id="1667"/>
    <w:p w14:paraId="662815C1">
      <w:pPr>
        <w:spacing w:before="120" w:beforeLines="50" w:after="120" w:afterLines="50" w:line="500" w:lineRule="exact"/>
        <w:jc w:val="center"/>
        <w:rPr>
          <w:rFonts w:eastAsia="黑体"/>
          <w:color w:val="000000"/>
          <w:sz w:val="28"/>
          <w:szCs w:val="28"/>
        </w:rPr>
      </w:pPr>
      <w:r>
        <w:rPr>
          <w:rFonts w:eastAsia="黑体"/>
          <w:color w:val="000000"/>
          <w:sz w:val="28"/>
          <w:szCs w:val="28"/>
        </w:rPr>
        <w:t>发包人供应材料设备一览表</w:t>
      </w:r>
    </w:p>
    <w:tbl>
      <w:tblPr>
        <w:tblStyle w:val="5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14:paraId="4771C8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vAlign w:val="center"/>
          </w:tcPr>
          <w:p w14:paraId="2AD76A1A">
            <w:pPr>
              <w:pStyle w:val="21"/>
              <w:keepNext/>
              <w:spacing w:line="500" w:lineRule="exact"/>
              <w:ind w:left="63" w:right="63"/>
              <w:rPr>
                <w:rFonts w:hint="eastAsia" w:eastAsia="仿宋_GB2312"/>
                <w:color w:val="000000"/>
                <w:sz w:val="28"/>
                <w:szCs w:val="28"/>
              </w:rPr>
            </w:pPr>
            <w:r>
              <w:rPr>
                <w:rFonts w:eastAsia="仿宋_GB2312"/>
                <w:color w:val="000000"/>
                <w:sz w:val="28"/>
                <w:szCs w:val="28"/>
              </w:rPr>
              <w:t>序号</w:t>
            </w:r>
          </w:p>
        </w:tc>
        <w:tc>
          <w:tcPr>
            <w:tcW w:w="1276" w:type="dxa"/>
            <w:tcBorders>
              <w:top w:val="single" w:color="auto" w:sz="12" w:space="0"/>
              <w:bottom w:val="double" w:color="auto" w:sz="6" w:space="0"/>
            </w:tcBorders>
            <w:vAlign w:val="center"/>
          </w:tcPr>
          <w:p w14:paraId="250E2AE2">
            <w:pPr>
              <w:pStyle w:val="21"/>
              <w:keepNext/>
              <w:spacing w:line="500" w:lineRule="exact"/>
              <w:ind w:left="63" w:right="63"/>
              <w:rPr>
                <w:rFonts w:hint="eastAsia" w:eastAsia="仿宋_GB2312"/>
                <w:color w:val="000000"/>
                <w:sz w:val="28"/>
                <w:szCs w:val="28"/>
              </w:rPr>
            </w:pPr>
            <w:r>
              <w:rPr>
                <w:rFonts w:hint="eastAsia" w:eastAsia="仿宋_GB2312"/>
                <w:color w:val="000000"/>
                <w:sz w:val="28"/>
                <w:szCs w:val="28"/>
              </w:rPr>
              <w:t xml:space="preserve">  </w:t>
            </w:r>
            <w:r>
              <w:rPr>
                <w:rFonts w:eastAsia="仿宋_GB2312"/>
                <w:color w:val="000000"/>
                <w:sz w:val="28"/>
                <w:szCs w:val="28"/>
              </w:rPr>
              <w:t>材料、</w:t>
            </w:r>
          </w:p>
          <w:p w14:paraId="2B8FE5DD">
            <w:pPr>
              <w:pStyle w:val="21"/>
              <w:keepNext/>
              <w:spacing w:line="500" w:lineRule="exact"/>
              <w:ind w:right="63"/>
              <w:rPr>
                <w:rFonts w:hint="eastAsia" w:eastAsia="仿宋_GB2312"/>
                <w:color w:val="000000"/>
                <w:sz w:val="28"/>
                <w:szCs w:val="28"/>
              </w:rPr>
            </w:pPr>
            <w:r>
              <w:rPr>
                <w:rFonts w:eastAsia="仿宋_GB2312"/>
                <w:color w:val="000000"/>
                <w:sz w:val="28"/>
                <w:szCs w:val="28"/>
              </w:rPr>
              <w:t>设备品种</w:t>
            </w:r>
          </w:p>
        </w:tc>
        <w:tc>
          <w:tcPr>
            <w:tcW w:w="1418" w:type="dxa"/>
            <w:tcBorders>
              <w:top w:val="single" w:color="auto" w:sz="12" w:space="0"/>
              <w:bottom w:val="double" w:color="auto" w:sz="6" w:space="0"/>
            </w:tcBorders>
            <w:vAlign w:val="center"/>
          </w:tcPr>
          <w:p w14:paraId="4A7206E2">
            <w:pPr>
              <w:pStyle w:val="21"/>
              <w:keepNext/>
              <w:spacing w:line="500" w:lineRule="exact"/>
              <w:ind w:left="63" w:right="63"/>
              <w:rPr>
                <w:rFonts w:hint="eastAsia" w:eastAsia="仿宋_GB2312"/>
                <w:color w:val="000000"/>
                <w:sz w:val="28"/>
                <w:szCs w:val="28"/>
              </w:rPr>
            </w:pPr>
            <w:r>
              <w:rPr>
                <w:rFonts w:eastAsia="仿宋_GB2312"/>
                <w:color w:val="000000"/>
                <w:sz w:val="28"/>
                <w:szCs w:val="28"/>
              </w:rPr>
              <w:t>规格型号</w:t>
            </w:r>
          </w:p>
        </w:tc>
        <w:tc>
          <w:tcPr>
            <w:tcW w:w="940" w:type="dxa"/>
            <w:tcBorders>
              <w:top w:val="single" w:color="auto" w:sz="12" w:space="0"/>
              <w:bottom w:val="double" w:color="auto" w:sz="6" w:space="0"/>
            </w:tcBorders>
            <w:vAlign w:val="center"/>
          </w:tcPr>
          <w:p w14:paraId="137EDD67">
            <w:pPr>
              <w:pStyle w:val="21"/>
              <w:keepNext/>
              <w:spacing w:line="500" w:lineRule="exact"/>
              <w:ind w:left="63" w:right="63"/>
              <w:rPr>
                <w:rFonts w:hint="eastAsia" w:eastAsia="仿宋_GB2312"/>
                <w:color w:val="000000"/>
                <w:sz w:val="28"/>
                <w:szCs w:val="28"/>
              </w:rPr>
            </w:pPr>
            <w:r>
              <w:rPr>
                <w:rFonts w:eastAsia="仿宋_GB2312"/>
                <w:color w:val="000000"/>
                <w:sz w:val="28"/>
                <w:szCs w:val="28"/>
              </w:rPr>
              <w:t>单位</w:t>
            </w:r>
          </w:p>
        </w:tc>
        <w:tc>
          <w:tcPr>
            <w:tcW w:w="851" w:type="dxa"/>
            <w:tcBorders>
              <w:top w:val="single" w:color="auto" w:sz="12" w:space="0"/>
              <w:bottom w:val="double" w:color="auto" w:sz="6" w:space="0"/>
            </w:tcBorders>
            <w:vAlign w:val="center"/>
          </w:tcPr>
          <w:p w14:paraId="05006EF8">
            <w:pPr>
              <w:pStyle w:val="21"/>
              <w:keepNext/>
              <w:spacing w:line="500" w:lineRule="exact"/>
              <w:ind w:left="63" w:right="63"/>
              <w:rPr>
                <w:rFonts w:hint="eastAsia" w:eastAsia="仿宋_GB2312"/>
                <w:color w:val="000000"/>
                <w:sz w:val="28"/>
                <w:szCs w:val="28"/>
              </w:rPr>
            </w:pPr>
            <w:r>
              <w:rPr>
                <w:rFonts w:eastAsia="仿宋_GB2312"/>
                <w:color w:val="000000"/>
                <w:sz w:val="28"/>
                <w:szCs w:val="28"/>
              </w:rPr>
              <w:t>数量</w:t>
            </w:r>
          </w:p>
        </w:tc>
        <w:tc>
          <w:tcPr>
            <w:tcW w:w="1044" w:type="dxa"/>
            <w:tcBorders>
              <w:top w:val="single" w:color="auto" w:sz="12" w:space="0"/>
              <w:bottom w:val="double" w:color="auto" w:sz="6" w:space="0"/>
            </w:tcBorders>
            <w:vAlign w:val="center"/>
          </w:tcPr>
          <w:p w14:paraId="7CADDC8F">
            <w:pPr>
              <w:pStyle w:val="21"/>
              <w:keepNext/>
              <w:spacing w:line="500" w:lineRule="exact"/>
              <w:ind w:left="63" w:right="63"/>
              <w:rPr>
                <w:rFonts w:hint="eastAsia" w:eastAsia="仿宋_GB2312"/>
                <w:color w:val="000000"/>
                <w:sz w:val="28"/>
                <w:szCs w:val="28"/>
              </w:rPr>
            </w:pPr>
            <w:r>
              <w:rPr>
                <w:rFonts w:eastAsia="仿宋_GB2312"/>
                <w:color w:val="000000"/>
                <w:sz w:val="28"/>
                <w:szCs w:val="28"/>
              </w:rPr>
              <w:t>单价</w:t>
            </w:r>
            <w:r>
              <w:rPr>
                <w:rFonts w:hint="eastAsia" w:eastAsia="仿宋_GB2312"/>
                <w:color w:val="000000"/>
                <w:sz w:val="28"/>
                <w:szCs w:val="28"/>
              </w:rPr>
              <w:t>（元）</w:t>
            </w:r>
          </w:p>
        </w:tc>
        <w:tc>
          <w:tcPr>
            <w:tcW w:w="992" w:type="dxa"/>
            <w:tcBorders>
              <w:top w:val="single" w:color="auto" w:sz="12" w:space="0"/>
              <w:bottom w:val="double" w:color="auto" w:sz="6" w:space="0"/>
            </w:tcBorders>
            <w:vAlign w:val="center"/>
          </w:tcPr>
          <w:p w14:paraId="34F34A31">
            <w:pPr>
              <w:pStyle w:val="21"/>
              <w:keepNext/>
              <w:spacing w:line="500" w:lineRule="exact"/>
              <w:ind w:left="63" w:right="63"/>
              <w:rPr>
                <w:rFonts w:hint="eastAsia" w:eastAsia="仿宋_GB2312"/>
                <w:color w:val="000000"/>
                <w:sz w:val="28"/>
                <w:szCs w:val="28"/>
              </w:rPr>
            </w:pPr>
            <w:r>
              <w:rPr>
                <w:rFonts w:eastAsia="仿宋_GB2312"/>
                <w:color w:val="000000"/>
                <w:sz w:val="28"/>
                <w:szCs w:val="28"/>
              </w:rPr>
              <w:t>质量等级</w:t>
            </w:r>
          </w:p>
        </w:tc>
        <w:tc>
          <w:tcPr>
            <w:tcW w:w="851" w:type="dxa"/>
            <w:tcBorders>
              <w:top w:val="single" w:color="auto" w:sz="12" w:space="0"/>
              <w:bottom w:val="double" w:color="auto" w:sz="6" w:space="0"/>
            </w:tcBorders>
            <w:vAlign w:val="center"/>
          </w:tcPr>
          <w:p w14:paraId="74721788">
            <w:pPr>
              <w:pStyle w:val="21"/>
              <w:keepNext/>
              <w:spacing w:line="500" w:lineRule="exact"/>
              <w:ind w:left="63" w:right="63"/>
              <w:rPr>
                <w:rFonts w:hint="eastAsia" w:eastAsia="仿宋_GB2312"/>
                <w:color w:val="000000"/>
                <w:sz w:val="28"/>
                <w:szCs w:val="28"/>
              </w:rPr>
            </w:pPr>
            <w:r>
              <w:rPr>
                <w:rFonts w:eastAsia="仿宋_GB2312"/>
                <w:color w:val="000000"/>
                <w:sz w:val="28"/>
                <w:szCs w:val="28"/>
              </w:rPr>
              <w:t>供应时间</w:t>
            </w:r>
          </w:p>
        </w:tc>
        <w:tc>
          <w:tcPr>
            <w:tcW w:w="1487" w:type="dxa"/>
            <w:tcBorders>
              <w:top w:val="single" w:color="auto" w:sz="12" w:space="0"/>
              <w:bottom w:val="double" w:color="auto" w:sz="6" w:space="0"/>
            </w:tcBorders>
            <w:vAlign w:val="center"/>
          </w:tcPr>
          <w:p w14:paraId="57FDC586">
            <w:pPr>
              <w:pStyle w:val="21"/>
              <w:keepNext/>
              <w:spacing w:line="500" w:lineRule="exact"/>
              <w:ind w:left="63" w:right="63"/>
              <w:rPr>
                <w:rFonts w:hint="eastAsia" w:eastAsia="仿宋_GB2312"/>
                <w:color w:val="000000"/>
                <w:sz w:val="28"/>
                <w:szCs w:val="28"/>
              </w:rPr>
            </w:pPr>
            <w:r>
              <w:rPr>
                <w:rFonts w:eastAsia="仿宋_GB2312"/>
                <w:color w:val="000000"/>
                <w:sz w:val="28"/>
                <w:szCs w:val="28"/>
              </w:rPr>
              <w:t>送达地点</w:t>
            </w:r>
          </w:p>
        </w:tc>
        <w:tc>
          <w:tcPr>
            <w:tcW w:w="992" w:type="dxa"/>
            <w:tcBorders>
              <w:top w:val="single" w:color="auto" w:sz="12" w:space="0"/>
              <w:bottom w:val="double" w:color="auto" w:sz="6" w:space="0"/>
            </w:tcBorders>
            <w:vAlign w:val="center"/>
          </w:tcPr>
          <w:p w14:paraId="3D8F8F1B">
            <w:pPr>
              <w:pStyle w:val="21"/>
              <w:keepNext/>
              <w:spacing w:line="500" w:lineRule="exact"/>
              <w:ind w:left="63" w:right="63"/>
              <w:rPr>
                <w:rFonts w:hint="eastAsia" w:eastAsia="仿宋_GB2312"/>
                <w:color w:val="000000"/>
                <w:sz w:val="28"/>
                <w:szCs w:val="28"/>
              </w:rPr>
            </w:pPr>
            <w:r>
              <w:rPr>
                <w:rFonts w:eastAsia="仿宋_GB2312"/>
                <w:color w:val="000000"/>
                <w:sz w:val="28"/>
                <w:szCs w:val="28"/>
              </w:rPr>
              <w:t>备注</w:t>
            </w:r>
          </w:p>
        </w:tc>
      </w:tr>
      <w:tr w14:paraId="16AD90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vAlign w:val="center"/>
          </w:tcPr>
          <w:p w14:paraId="7315E68E">
            <w:pPr>
              <w:pStyle w:val="21"/>
              <w:keepNext/>
              <w:spacing w:line="500" w:lineRule="exact"/>
              <w:ind w:left="63" w:right="63"/>
              <w:rPr>
                <w:rFonts w:hint="eastAsia" w:eastAsia="仿宋_GB2312"/>
                <w:color w:val="000000"/>
                <w:sz w:val="28"/>
                <w:szCs w:val="28"/>
              </w:rPr>
            </w:pPr>
          </w:p>
        </w:tc>
        <w:tc>
          <w:tcPr>
            <w:tcW w:w="1276" w:type="dxa"/>
            <w:tcBorders>
              <w:top w:val="double" w:color="auto" w:sz="6" w:space="0"/>
              <w:bottom w:val="single" w:color="auto" w:sz="6" w:space="0"/>
            </w:tcBorders>
            <w:vAlign w:val="center"/>
          </w:tcPr>
          <w:p w14:paraId="2A3ACB60">
            <w:pPr>
              <w:pStyle w:val="21"/>
              <w:keepNext/>
              <w:spacing w:line="500" w:lineRule="exact"/>
              <w:ind w:left="63" w:right="63"/>
              <w:rPr>
                <w:rFonts w:hint="eastAsia" w:eastAsia="仿宋_GB2312"/>
                <w:color w:val="000000"/>
                <w:sz w:val="28"/>
                <w:szCs w:val="28"/>
              </w:rPr>
            </w:pPr>
          </w:p>
        </w:tc>
        <w:tc>
          <w:tcPr>
            <w:tcW w:w="1418" w:type="dxa"/>
            <w:tcBorders>
              <w:top w:val="double" w:color="auto" w:sz="6" w:space="0"/>
              <w:bottom w:val="single" w:color="auto" w:sz="6" w:space="0"/>
            </w:tcBorders>
            <w:vAlign w:val="center"/>
          </w:tcPr>
          <w:p w14:paraId="2C98EA08">
            <w:pPr>
              <w:pStyle w:val="21"/>
              <w:keepNext/>
              <w:spacing w:line="500" w:lineRule="exact"/>
              <w:ind w:left="63" w:right="63"/>
              <w:rPr>
                <w:rFonts w:hint="eastAsia" w:eastAsia="仿宋_GB2312"/>
                <w:color w:val="000000"/>
                <w:sz w:val="28"/>
                <w:szCs w:val="28"/>
              </w:rPr>
            </w:pPr>
          </w:p>
        </w:tc>
        <w:tc>
          <w:tcPr>
            <w:tcW w:w="940" w:type="dxa"/>
            <w:tcBorders>
              <w:top w:val="double" w:color="auto" w:sz="6" w:space="0"/>
              <w:bottom w:val="single" w:color="auto" w:sz="6" w:space="0"/>
            </w:tcBorders>
            <w:vAlign w:val="center"/>
          </w:tcPr>
          <w:p w14:paraId="01570BAD">
            <w:pPr>
              <w:pStyle w:val="21"/>
              <w:keepNext/>
              <w:spacing w:line="500" w:lineRule="exact"/>
              <w:ind w:left="63" w:right="63"/>
              <w:rPr>
                <w:rFonts w:hint="eastAsia" w:eastAsia="仿宋_GB2312"/>
                <w:color w:val="000000"/>
                <w:sz w:val="28"/>
                <w:szCs w:val="28"/>
              </w:rPr>
            </w:pPr>
          </w:p>
        </w:tc>
        <w:tc>
          <w:tcPr>
            <w:tcW w:w="851" w:type="dxa"/>
            <w:tcBorders>
              <w:top w:val="double" w:color="auto" w:sz="6" w:space="0"/>
              <w:bottom w:val="single" w:color="auto" w:sz="6" w:space="0"/>
            </w:tcBorders>
            <w:vAlign w:val="center"/>
          </w:tcPr>
          <w:p w14:paraId="0367AC5D">
            <w:pPr>
              <w:pStyle w:val="21"/>
              <w:keepNext/>
              <w:spacing w:line="500" w:lineRule="exact"/>
              <w:ind w:left="63" w:right="63"/>
              <w:rPr>
                <w:rFonts w:hint="eastAsia" w:eastAsia="仿宋_GB2312"/>
                <w:color w:val="000000"/>
                <w:sz w:val="28"/>
                <w:szCs w:val="28"/>
              </w:rPr>
            </w:pPr>
          </w:p>
        </w:tc>
        <w:tc>
          <w:tcPr>
            <w:tcW w:w="1044" w:type="dxa"/>
            <w:tcBorders>
              <w:top w:val="double" w:color="auto" w:sz="6" w:space="0"/>
              <w:bottom w:val="single" w:color="auto" w:sz="6" w:space="0"/>
            </w:tcBorders>
            <w:vAlign w:val="center"/>
          </w:tcPr>
          <w:p w14:paraId="3B4C2E53">
            <w:pPr>
              <w:pStyle w:val="21"/>
              <w:keepNext/>
              <w:spacing w:line="500" w:lineRule="exact"/>
              <w:ind w:left="63" w:right="63"/>
              <w:rPr>
                <w:rFonts w:hint="eastAsia" w:eastAsia="仿宋_GB2312"/>
                <w:color w:val="000000"/>
                <w:sz w:val="28"/>
                <w:szCs w:val="28"/>
              </w:rPr>
            </w:pPr>
          </w:p>
        </w:tc>
        <w:tc>
          <w:tcPr>
            <w:tcW w:w="992" w:type="dxa"/>
            <w:tcBorders>
              <w:top w:val="double" w:color="auto" w:sz="6" w:space="0"/>
              <w:bottom w:val="single" w:color="auto" w:sz="6" w:space="0"/>
            </w:tcBorders>
            <w:vAlign w:val="center"/>
          </w:tcPr>
          <w:p w14:paraId="7499F083">
            <w:pPr>
              <w:pStyle w:val="21"/>
              <w:keepNext/>
              <w:spacing w:line="500" w:lineRule="exact"/>
              <w:ind w:left="63" w:right="63"/>
              <w:rPr>
                <w:rFonts w:hint="eastAsia" w:eastAsia="仿宋_GB2312"/>
                <w:color w:val="000000"/>
                <w:sz w:val="28"/>
                <w:szCs w:val="28"/>
              </w:rPr>
            </w:pPr>
          </w:p>
        </w:tc>
        <w:tc>
          <w:tcPr>
            <w:tcW w:w="851" w:type="dxa"/>
            <w:tcBorders>
              <w:top w:val="double" w:color="auto" w:sz="6" w:space="0"/>
              <w:bottom w:val="single" w:color="auto" w:sz="6" w:space="0"/>
            </w:tcBorders>
            <w:vAlign w:val="center"/>
          </w:tcPr>
          <w:p w14:paraId="50ACC1AF">
            <w:pPr>
              <w:pStyle w:val="21"/>
              <w:keepNext/>
              <w:spacing w:line="500" w:lineRule="exact"/>
              <w:ind w:left="63" w:right="63"/>
              <w:rPr>
                <w:rFonts w:hint="eastAsia" w:eastAsia="仿宋_GB2312"/>
                <w:color w:val="000000"/>
                <w:sz w:val="28"/>
                <w:szCs w:val="28"/>
              </w:rPr>
            </w:pPr>
          </w:p>
        </w:tc>
        <w:tc>
          <w:tcPr>
            <w:tcW w:w="1487" w:type="dxa"/>
            <w:tcBorders>
              <w:top w:val="double" w:color="auto" w:sz="6" w:space="0"/>
              <w:bottom w:val="single" w:color="auto" w:sz="6" w:space="0"/>
            </w:tcBorders>
            <w:vAlign w:val="center"/>
          </w:tcPr>
          <w:p w14:paraId="0E8F263A">
            <w:pPr>
              <w:pStyle w:val="21"/>
              <w:keepNext/>
              <w:spacing w:line="500" w:lineRule="exact"/>
              <w:ind w:left="63" w:right="63"/>
              <w:rPr>
                <w:rFonts w:hint="eastAsia" w:eastAsia="仿宋_GB2312"/>
                <w:color w:val="000000"/>
                <w:sz w:val="28"/>
                <w:szCs w:val="28"/>
              </w:rPr>
            </w:pPr>
          </w:p>
        </w:tc>
        <w:tc>
          <w:tcPr>
            <w:tcW w:w="992" w:type="dxa"/>
            <w:tcBorders>
              <w:top w:val="double" w:color="auto" w:sz="6" w:space="0"/>
              <w:bottom w:val="single" w:color="auto" w:sz="6" w:space="0"/>
            </w:tcBorders>
            <w:vAlign w:val="center"/>
          </w:tcPr>
          <w:p w14:paraId="24BA35C5">
            <w:pPr>
              <w:pStyle w:val="21"/>
              <w:keepNext/>
              <w:spacing w:line="500" w:lineRule="exact"/>
              <w:ind w:left="63" w:right="63"/>
              <w:rPr>
                <w:rFonts w:hint="eastAsia" w:eastAsia="仿宋_GB2312"/>
                <w:color w:val="000000"/>
                <w:sz w:val="28"/>
                <w:szCs w:val="28"/>
              </w:rPr>
            </w:pPr>
          </w:p>
        </w:tc>
      </w:tr>
      <w:tr w14:paraId="0D794B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vAlign w:val="center"/>
          </w:tcPr>
          <w:p w14:paraId="1B9F6219">
            <w:pPr>
              <w:pStyle w:val="21"/>
              <w:keepNext/>
              <w:spacing w:line="500" w:lineRule="exact"/>
              <w:ind w:left="63" w:right="63"/>
              <w:rPr>
                <w:rFonts w:hint="eastAsia" w:eastAsia="仿宋_GB2312"/>
                <w:color w:val="000000"/>
                <w:sz w:val="28"/>
                <w:szCs w:val="28"/>
              </w:rPr>
            </w:pPr>
          </w:p>
        </w:tc>
        <w:tc>
          <w:tcPr>
            <w:tcW w:w="1276" w:type="dxa"/>
            <w:tcBorders>
              <w:top w:val="nil"/>
            </w:tcBorders>
            <w:vAlign w:val="center"/>
          </w:tcPr>
          <w:p w14:paraId="4C83110E">
            <w:pPr>
              <w:pStyle w:val="21"/>
              <w:keepNext/>
              <w:spacing w:line="500" w:lineRule="exact"/>
              <w:ind w:left="63" w:right="63"/>
              <w:rPr>
                <w:rFonts w:hint="eastAsia" w:eastAsia="仿宋_GB2312"/>
                <w:color w:val="000000"/>
                <w:sz w:val="28"/>
                <w:szCs w:val="28"/>
              </w:rPr>
            </w:pPr>
          </w:p>
        </w:tc>
        <w:tc>
          <w:tcPr>
            <w:tcW w:w="1418" w:type="dxa"/>
            <w:tcBorders>
              <w:top w:val="nil"/>
            </w:tcBorders>
            <w:vAlign w:val="center"/>
          </w:tcPr>
          <w:p w14:paraId="5B3213DC">
            <w:pPr>
              <w:pStyle w:val="21"/>
              <w:keepNext/>
              <w:spacing w:line="500" w:lineRule="exact"/>
              <w:ind w:left="63" w:right="63"/>
              <w:rPr>
                <w:rFonts w:hint="eastAsia" w:eastAsia="仿宋_GB2312"/>
                <w:color w:val="000000"/>
                <w:sz w:val="28"/>
                <w:szCs w:val="28"/>
              </w:rPr>
            </w:pPr>
          </w:p>
        </w:tc>
        <w:tc>
          <w:tcPr>
            <w:tcW w:w="940" w:type="dxa"/>
            <w:tcBorders>
              <w:top w:val="nil"/>
            </w:tcBorders>
            <w:vAlign w:val="center"/>
          </w:tcPr>
          <w:p w14:paraId="2B30CD98">
            <w:pPr>
              <w:pStyle w:val="21"/>
              <w:keepNext/>
              <w:spacing w:line="500" w:lineRule="exact"/>
              <w:ind w:left="63" w:right="63"/>
              <w:rPr>
                <w:rFonts w:hint="eastAsia" w:eastAsia="仿宋_GB2312"/>
                <w:color w:val="000000"/>
                <w:sz w:val="28"/>
                <w:szCs w:val="28"/>
              </w:rPr>
            </w:pPr>
          </w:p>
        </w:tc>
        <w:tc>
          <w:tcPr>
            <w:tcW w:w="851" w:type="dxa"/>
            <w:tcBorders>
              <w:top w:val="nil"/>
            </w:tcBorders>
            <w:vAlign w:val="center"/>
          </w:tcPr>
          <w:p w14:paraId="0A4BFE90">
            <w:pPr>
              <w:pStyle w:val="21"/>
              <w:keepNext/>
              <w:spacing w:line="500" w:lineRule="exact"/>
              <w:ind w:left="63" w:right="63"/>
              <w:rPr>
                <w:rFonts w:hint="eastAsia" w:eastAsia="仿宋_GB2312"/>
                <w:color w:val="000000"/>
                <w:sz w:val="28"/>
                <w:szCs w:val="28"/>
              </w:rPr>
            </w:pPr>
          </w:p>
        </w:tc>
        <w:tc>
          <w:tcPr>
            <w:tcW w:w="1044" w:type="dxa"/>
            <w:tcBorders>
              <w:top w:val="nil"/>
            </w:tcBorders>
            <w:vAlign w:val="center"/>
          </w:tcPr>
          <w:p w14:paraId="20719296">
            <w:pPr>
              <w:pStyle w:val="21"/>
              <w:keepNext/>
              <w:spacing w:line="500" w:lineRule="exact"/>
              <w:ind w:left="63" w:right="63"/>
              <w:rPr>
                <w:rFonts w:hint="eastAsia" w:eastAsia="仿宋_GB2312"/>
                <w:color w:val="000000"/>
                <w:sz w:val="28"/>
                <w:szCs w:val="28"/>
              </w:rPr>
            </w:pPr>
          </w:p>
        </w:tc>
        <w:tc>
          <w:tcPr>
            <w:tcW w:w="992" w:type="dxa"/>
            <w:tcBorders>
              <w:top w:val="nil"/>
            </w:tcBorders>
            <w:vAlign w:val="center"/>
          </w:tcPr>
          <w:p w14:paraId="401147C7">
            <w:pPr>
              <w:pStyle w:val="21"/>
              <w:keepNext/>
              <w:spacing w:line="500" w:lineRule="exact"/>
              <w:ind w:left="63" w:right="63"/>
              <w:rPr>
                <w:rFonts w:hint="eastAsia" w:eastAsia="仿宋_GB2312"/>
                <w:color w:val="000000"/>
                <w:sz w:val="28"/>
                <w:szCs w:val="28"/>
              </w:rPr>
            </w:pPr>
          </w:p>
        </w:tc>
        <w:tc>
          <w:tcPr>
            <w:tcW w:w="851" w:type="dxa"/>
            <w:tcBorders>
              <w:top w:val="nil"/>
            </w:tcBorders>
            <w:vAlign w:val="center"/>
          </w:tcPr>
          <w:p w14:paraId="71FB7B7A">
            <w:pPr>
              <w:pStyle w:val="21"/>
              <w:keepNext/>
              <w:spacing w:line="500" w:lineRule="exact"/>
              <w:ind w:left="63" w:right="63"/>
              <w:rPr>
                <w:rFonts w:hint="eastAsia" w:eastAsia="仿宋_GB2312"/>
                <w:color w:val="000000"/>
                <w:sz w:val="28"/>
                <w:szCs w:val="28"/>
              </w:rPr>
            </w:pPr>
          </w:p>
        </w:tc>
        <w:tc>
          <w:tcPr>
            <w:tcW w:w="1487" w:type="dxa"/>
            <w:tcBorders>
              <w:top w:val="nil"/>
            </w:tcBorders>
            <w:vAlign w:val="center"/>
          </w:tcPr>
          <w:p w14:paraId="57BCDD85">
            <w:pPr>
              <w:pStyle w:val="21"/>
              <w:keepNext/>
              <w:spacing w:line="500" w:lineRule="exact"/>
              <w:ind w:left="63" w:right="63"/>
              <w:rPr>
                <w:rFonts w:hint="eastAsia" w:eastAsia="仿宋_GB2312"/>
                <w:color w:val="000000"/>
                <w:sz w:val="28"/>
                <w:szCs w:val="28"/>
              </w:rPr>
            </w:pPr>
          </w:p>
        </w:tc>
        <w:tc>
          <w:tcPr>
            <w:tcW w:w="992" w:type="dxa"/>
            <w:tcBorders>
              <w:top w:val="nil"/>
            </w:tcBorders>
            <w:vAlign w:val="center"/>
          </w:tcPr>
          <w:p w14:paraId="038B2E3B">
            <w:pPr>
              <w:pStyle w:val="21"/>
              <w:keepNext/>
              <w:spacing w:line="500" w:lineRule="exact"/>
              <w:ind w:left="63" w:right="63"/>
              <w:rPr>
                <w:rFonts w:hint="eastAsia" w:eastAsia="仿宋_GB2312"/>
                <w:color w:val="000000"/>
                <w:sz w:val="28"/>
                <w:szCs w:val="28"/>
              </w:rPr>
            </w:pPr>
          </w:p>
        </w:tc>
      </w:tr>
      <w:tr w14:paraId="515A71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01400ADD">
            <w:pPr>
              <w:pStyle w:val="21"/>
              <w:keepNext/>
              <w:spacing w:line="500" w:lineRule="exact"/>
              <w:ind w:left="63" w:right="63"/>
              <w:rPr>
                <w:rFonts w:hint="eastAsia" w:eastAsia="仿宋_GB2312"/>
                <w:color w:val="000000"/>
                <w:sz w:val="28"/>
                <w:szCs w:val="28"/>
              </w:rPr>
            </w:pPr>
          </w:p>
        </w:tc>
        <w:tc>
          <w:tcPr>
            <w:tcW w:w="1276" w:type="dxa"/>
            <w:vAlign w:val="center"/>
          </w:tcPr>
          <w:p w14:paraId="10ED600F">
            <w:pPr>
              <w:pStyle w:val="21"/>
              <w:keepNext/>
              <w:spacing w:line="500" w:lineRule="exact"/>
              <w:ind w:left="63" w:right="63"/>
              <w:rPr>
                <w:rFonts w:hint="eastAsia" w:eastAsia="仿宋_GB2312"/>
                <w:color w:val="000000"/>
                <w:sz w:val="28"/>
                <w:szCs w:val="28"/>
              </w:rPr>
            </w:pPr>
          </w:p>
        </w:tc>
        <w:tc>
          <w:tcPr>
            <w:tcW w:w="1418" w:type="dxa"/>
            <w:vAlign w:val="center"/>
          </w:tcPr>
          <w:p w14:paraId="7D8AD386">
            <w:pPr>
              <w:pStyle w:val="21"/>
              <w:keepNext/>
              <w:spacing w:line="500" w:lineRule="exact"/>
              <w:ind w:left="63" w:right="63"/>
              <w:rPr>
                <w:rFonts w:hint="eastAsia" w:eastAsia="仿宋_GB2312"/>
                <w:color w:val="000000"/>
                <w:sz w:val="28"/>
                <w:szCs w:val="28"/>
              </w:rPr>
            </w:pPr>
          </w:p>
        </w:tc>
        <w:tc>
          <w:tcPr>
            <w:tcW w:w="940" w:type="dxa"/>
            <w:vAlign w:val="center"/>
          </w:tcPr>
          <w:p w14:paraId="51E1AA3C">
            <w:pPr>
              <w:pStyle w:val="21"/>
              <w:keepNext/>
              <w:spacing w:line="500" w:lineRule="exact"/>
              <w:ind w:left="63" w:right="63"/>
              <w:rPr>
                <w:rFonts w:hint="eastAsia" w:eastAsia="仿宋_GB2312"/>
                <w:color w:val="000000"/>
                <w:sz w:val="28"/>
                <w:szCs w:val="28"/>
              </w:rPr>
            </w:pPr>
          </w:p>
        </w:tc>
        <w:tc>
          <w:tcPr>
            <w:tcW w:w="851" w:type="dxa"/>
            <w:vAlign w:val="center"/>
          </w:tcPr>
          <w:p w14:paraId="594CAD44">
            <w:pPr>
              <w:pStyle w:val="21"/>
              <w:keepNext/>
              <w:spacing w:line="500" w:lineRule="exact"/>
              <w:ind w:left="63" w:right="63"/>
              <w:rPr>
                <w:rFonts w:hint="eastAsia" w:eastAsia="仿宋_GB2312"/>
                <w:color w:val="000000"/>
                <w:sz w:val="28"/>
                <w:szCs w:val="28"/>
              </w:rPr>
            </w:pPr>
          </w:p>
        </w:tc>
        <w:tc>
          <w:tcPr>
            <w:tcW w:w="1044" w:type="dxa"/>
            <w:vAlign w:val="center"/>
          </w:tcPr>
          <w:p w14:paraId="6D9FF200">
            <w:pPr>
              <w:pStyle w:val="21"/>
              <w:keepNext/>
              <w:spacing w:line="500" w:lineRule="exact"/>
              <w:ind w:left="63" w:right="63"/>
              <w:rPr>
                <w:rFonts w:hint="eastAsia" w:eastAsia="仿宋_GB2312"/>
                <w:color w:val="000000"/>
                <w:sz w:val="28"/>
                <w:szCs w:val="28"/>
              </w:rPr>
            </w:pPr>
          </w:p>
        </w:tc>
        <w:tc>
          <w:tcPr>
            <w:tcW w:w="992" w:type="dxa"/>
            <w:vAlign w:val="center"/>
          </w:tcPr>
          <w:p w14:paraId="2C13E436">
            <w:pPr>
              <w:pStyle w:val="21"/>
              <w:keepNext/>
              <w:spacing w:line="500" w:lineRule="exact"/>
              <w:ind w:left="63" w:right="63"/>
              <w:rPr>
                <w:rFonts w:hint="eastAsia" w:eastAsia="仿宋_GB2312"/>
                <w:color w:val="000000"/>
                <w:sz w:val="28"/>
                <w:szCs w:val="28"/>
              </w:rPr>
            </w:pPr>
          </w:p>
        </w:tc>
        <w:tc>
          <w:tcPr>
            <w:tcW w:w="851" w:type="dxa"/>
            <w:vAlign w:val="center"/>
          </w:tcPr>
          <w:p w14:paraId="1226A8FD">
            <w:pPr>
              <w:pStyle w:val="21"/>
              <w:keepNext/>
              <w:spacing w:line="500" w:lineRule="exact"/>
              <w:ind w:left="63" w:right="63"/>
              <w:rPr>
                <w:rFonts w:hint="eastAsia" w:eastAsia="仿宋_GB2312"/>
                <w:color w:val="000000"/>
                <w:sz w:val="28"/>
                <w:szCs w:val="28"/>
              </w:rPr>
            </w:pPr>
          </w:p>
        </w:tc>
        <w:tc>
          <w:tcPr>
            <w:tcW w:w="1487" w:type="dxa"/>
            <w:vAlign w:val="center"/>
          </w:tcPr>
          <w:p w14:paraId="702D9C51">
            <w:pPr>
              <w:pStyle w:val="21"/>
              <w:keepNext/>
              <w:spacing w:line="500" w:lineRule="exact"/>
              <w:ind w:left="63" w:right="63"/>
              <w:rPr>
                <w:rFonts w:hint="eastAsia" w:eastAsia="仿宋_GB2312"/>
                <w:color w:val="000000"/>
                <w:sz w:val="28"/>
                <w:szCs w:val="28"/>
              </w:rPr>
            </w:pPr>
          </w:p>
        </w:tc>
        <w:tc>
          <w:tcPr>
            <w:tcW w:w="992" w:type="dxa"/>
            <w:vAlign w:val="center"/>
          </w:tcPr>
          <w:p w14:paraId="20D2C84A">
            <w:pPr>
              <w:pStyle w:val="21"/>
              <w:keepNext/>
              <w:spacing w:line="500" w:lineRule="exact"/>
              <w:ind w:left="63" w:right="63"/>
              <w:rPr>
                <w:rFonts w:hint="eastAsia" w:eastAsia="仿宋_GB2312"/>
                <w:color w:val="000000"/>
                <w:sz w:val="28"/>
                <w:szCs w:val="28"/>
              </w:rPr>
            </w:pPr>
          </w:p>
        </w:tc>
      </w:tr>
      <w:tr w14:paraId="59982E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15D0C5DF">
            <w:pPr>
              <w:pStyle w:val="21"/>
              <w:keepNext/>
              <w:spacing w:line="500" w:lineRule="exact"/>
              <w:ind w:left="63" w:right="63"/>
              <w:rPr>
                <w:rFonts w:hint="eastAsia" w:eastAsia="仿宋_GB2312"/>
                <w:color w:val="000000"/>
                <w:sz w:val="28"/>
                <w:szCs w:val="28"/>
              </w:rPr>
            </w:pPr>
          </w:p>
        </w:tc>
        <w:tc>
          <w:tcPr>
            <w:tcW w:w="1276" w:type="dxa"/>
            <w:vAlign w:val="center"/>
          </w:tcPr>
          <w:p w14:paraId="0543C7C5">
            <w:pPr>
              <w:pStyle w:val="21"/>
              <w:keepNext/>
              <w:spacing w:line="500" w:lineRule="exact"/>
              <w:ind w:left="63" w:right="63"/>
              <w:rPr>
                <w:rFonts w:hint="eastAsia" w:eastAsia="仿宋_GB2312"/>
                <w:color w:val="000000"/>
                <w:sz w:val="28"/>
                <w:szCs w:val="28"/>
              </w:rPr>
            </w:pPr>
          </w:p>
        </w:tc>
        <w:tc>
          <w:tcPr>
            <w:tcW w:w="1418" w:type="dxa"/>
            <w:vAlign w:val="center"/>
          </w:tcPr>
          <w:p w14:paraId="1453762F">
            <w:pPr>
              <w:pStyle w:val="21"/>
              <w:keepNext/>
              <w:spacing w:line="500" w:lineRule="exact"/>
              <w:ind w:left="63" w:right="63"/>
              <w:rPr>
                <w:rFonts w:hint="eastAsia" w:eastAsia="仿宋_GB2312"/>
                <w:color w:val="000000"/>
                <w:sz w:val="28"/>
                <w:szCs w:val="28"/>
              </w:rPr>
            </w:pPr>
          </w:p>
        </w:tc>
        <w:tc>
          <w:tcPr>
            <w:tcW w:w="940" w:type="dxa"/>
            <w:vAlign w:val="center"/>
          </w:tcPr>
          <w:p w14:paraId="60E9A397">
            <w:pPr>
              <w:pStyle w:val="21"/>
              <w:keepNext/>
              <w:spacing w:line="500" w:lineRule="exact"/>
              <w:ind w:left="63" w:right="63"/>
              <w:rPr>
                <w:rFonts w:hint="eastAsia" w:eastAsia="仿宋_GB2312"/>
                <w:color w:val="000000"/>
                <w:sz w:val="28"/>
                <w:szCs w:val="28"/>
              </w:rPr>
            </w:pPr>
          </w:p>
        </w:tc>
        <w:tc>
          <w:tcPr>
            <w:tcW w:w="851" w:type="dxa"/>
            <w:vAlign w:val="center"/>
          </w:tcPr>
          <w:p w14:paraId="7E35D2BC">
            <w:pPr>
              <w:pStyle w:val="21"/>
              <w:keepNext/>
              <w:spacing w:line="500" w:lineRule="exact"/>
              <w:ind w:left="63" w:right="63"/>
              <w:rPr>
                <w:rFonts w:hint="eastAsia" w:eastAsia="仿宋_GB2312"/>
                <w:color w:val="000000"/>
                <w:sz w:val="28"/>
                <w:szCs w:val="28"/>
              </w:rPr>
            </w:pPr>
          </w:p>
        </w:tc>
        <w:tc>
          <w:tcPr>
            <w:tcW w:w="1044" w:type="dxa"/>
            <w:vAlign w:val="center"/>
          </w:tcPr>
          <w:p w14:paraId="71E2724D">
            <w:pPr>
              <w:pStyle w:val="21"/>
              <w:keepNext/>
              <w:spacing w:line="500" w:lineRule="exact"/>
              <w:ind w:left="63" w:right="63"/>
              <w:rPr>
                <w:rFonts w:hint="eastAsia" w:eastAsia="仿宋_GB2312"/>
                <w:color w:val="000000"/>
                <w:sz w:val="28"/>
                <w:szCs w:val="28"/>
              </w:rPr>
            </w:pPr>
          </w:p>
        </w:tc>
        <w:tc>
          <w:tcPr>
            <w:tcW w:w="992" w:type="dxa"/>
            <w:vAlign w:val="center"/>
          </w:tcPr>
          <w:p w14:paraId="1747E57E">
            <w:pPr>
              <w:pStyle w:val="21"/>
              <w:keepNext/>
              <w:spacing w:line="500" w:lineRule="exact"/>
              <w:ind w:left="63" w:right="63"/>
              <w:rPr>
                <w:rFonts w:hint="eastAsia" w:eastAsia="仿宋_GB2312"/>
                <w:color w:val="000000"/>
                <w:sz w:val="28"/>
                <w:szCs w:val="28"/>
              </w:rPr>
            </w:pPr>
          </w:p>
        </w:tc>
        <w:tc>
          <w:tcPr>
            <w:tcW w:w="851" w:type="dxa"/>
            <w:vAlign w:val="center"/>
          </w:tcPr>
          <w:p w14:paraId="3C3BCD71">
            <w:pPr>
              <w:pStyle w:val="21"/>
              <w:keepNext/>
              <w:spacing w:line="500" w:lineRule="exact"/>
              <w:ind w:left="63" w:right="63"/>
              <w:rPr>
                <w:rFonts w:hint="eastAsia" w:eastAsia="仿宋_GB2312"/>
                <w:color w:val="000000"/>
                <w:sz w:val="28"/>
                <w:szCs w:val="28"/>
              </w:rPr>
            </w:pPr>
          </w:p>
        </w:tc>
        <w:tc>
          <w:tcPr>
            <w:tcW w:w="1487" w:type="dxa"/>
            <w:vAlign w:val="center"/>
          </w:tcPr>
          <w:p w14:paraId="5D454A81">
            <w:pPr>
              <w:pStyle w:val="21"/>
              <w:keepNext/>
              <w:spacing w:line="500" w:lineRule="exact"/>
              <w:ind w:left="63" w:right="63"/>
              <w:rPr>
                <w:rFonts w:hint="eastAsia" w:eastAsia="仿宋_GB2312"/>
                <w:color w:val="000000"/>
                <w:sz w:val="28"/>
                <w:szCs w:val="28"/>
              </w:rPr>
            </w:pPr>
          </w:p>
        </w:tc>
        <w:tc>
          <w:tcPr>
            <w:tcW w:w="992" w:type="dxa"/>
            <w:vAlign w:val="center"/>
          </w:tcPr>
          <w:p w14:paraId="46482AA1">
            <w:pPr>
              <w:pStyle w:val="21"/>
              <w:keepNext/>
              <w:spacing w:line="500" w:lineRule="exact"/>
              <w:ind w:left="63" w:right="63"/>
              <w:rPr>
                <w:rFonts w:hint="eastAsia" w:eastAsia="仿宋_GB2312"/>
                <w:color w:val="000000"/>
                <w:sz w:val="28"/>
                <w:szCs w:val="28"/>
              </w:rPr>
            </w:pPr>
          </w:p>
        </w:tc>
      </w:tr>
      <w:tr w14:paraId="41521B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3E35AC5F">
            <w:pPr>
              <w:pStyle w:val="21"/>
              <w:keepNext/>
              <w:spacing w:line="500" w:lineRule="exact"/>
              <w:ind w:left="63" w:right="63"/>
              <w:rPr>
                <w:rFonts w:hint="eastAsia" w:eastAsia="仿宋_GB2312"/>
                <w:color w:val="000000"/>
                <w:sz w:val="28"/>
                <w:szCs w:val="28"/>
              </w:rPr>
            </w:pPr>
          </w:p>
        </w:tc>
        <w:tc>
          <w:tcPr>
            <w:tcW w:w="1276" w:type="dxa"/>
            <w:vAlign w:val="center"/>
          </w:tcPr>
          <w:p w14:paraId="2C229546">
            <w:pPr>
              <w:pStyle w:val="21"/>
              <w:keepNext/>
              <w:spacing w:line="500" w:lineRule="exact"/>
              <w:ind w:left="63" w:right="63"/>
              <w:rPr>
                <w:rFonts w:hint="eastAsia" w:eastAsia="仿宋_GB2312"/>
                <w:color w:val="000000"/>
                <w:sz w:val="28"/>
                <w:szCs w:val="28"/>
              </w:rPr>
            </w:pPr>
          </w:p>
        </w:tc>
        <w:tc>
          <w:tcPr>
            <w:tcW w:w="1418" w:type="dxa"/>
            <w:vAlign w:val="center"/>
          </w:tcPr>
          <w:p w14:paraId="45C57353">
            <w:pPr>
              <w:pStyle w:val="21"/>
              <w:keepNext/>
              <w:spacing w:line="500" w:lineRule="exact"/>
              <w:ind w:left="63" w:right="63"/>
              <w:rPr>
                <w:rFonts w:hint="eastAsia" w:eastAsia="仿宋_GB2312"/>
                <w:color w:val="000000"/>
                <w:sz w:val="28"/>
                <w:szCs w:val="28"/>
              </w:rPr>
            </w:pPr>
          </w:p>
        </w:tc>
        <w:tc>
          <w:tcPr>
            <w:tcW w:w="940" w:type="dxa"/>
            <w:vAlign w:val="center"/>
          </w:tcPr>
          <w:p w14:paraId="42E60946">
            <w:pPr>
              <w:pStyle w:val="21"/>
              <w:keepNext/>
              <w:spacing w:line="500" w:lineRule="exact"/>
              <w:ind w:left="63" w:right="63"/>
              <w:rPr>
                <w:rFonts w:hint="eastAsia" w:eastAsia="仿宋_GB2312"/>
                <w:color w:val="000000"/>
                <w:sz w:val="28"/>
                <w:szCs w:val="28"/>
              </w:rPr>
            </w:pPr>
          </w:p>
        </w:tc>
        <w:tc>
          <w:tcPr>
            <w:tcW w:w="851" w:type="dxa"/>
            <w:vAlign w:val="center"/>
          </w:tcPr>
          <w:p w14:paraId="0DFE9F45">
            <w:pPr>
              <w:pStyle w:val="21"/>
              <w:keepNext/>
              <w:spacing w:line="500" w:lineRule="exact"/>
              <w:ind w:left="63" w:right="63"/>
              <w:rPr>
                <w:rFonts w:hint="eastAsia" w:eastAsia="仿宋_GB2312"/>
                <w:color w:val="000000"/>
                <w:sz w:val="28"/>
                <w:szCs w:val="28"/>
              </w:rPr>
            </w:pPr>
          </w:p>
        </w:tc>
        <w:tc>
          <w:tcPr>
            <w:tcW w:w="1044" w:type="dxa"/>
            <w:vAlign w:val="center"/>
          </w:tcPr>
          <w:p w14:paraId="7C30CF90">
            <w:pPr>
              <w:pStyle w:val="21"/>
              <w:keepNext/>
              <w:spacing w:line="500" w:lineRule="exact"/>
              <w:ind w:left="63" w:right="63"/>
              <w:rPr>
                <w:rFonts w:hint="eastAsia" w:eastAsia="仿宋_GB2312"/>
                <w:color w:val="000000"/>
                <w:sz w:val="28"/>
                <w:szCs w:val="28"/>
              </w:rPr>
            </w:pPr>
          </w:p>
        </w:tc>
        <w:tc>
          <w:tcPr>
            <w:tcW w:w="992" w:type="dxa"/>
            <w:vAlign w:val="center"/>
          </w:tcPr>
          <w:p w14:paraId="7797BBAC">
            <w:pPr>
              <w:pStyle w:val="21"/>
              <w:keepNext/>
              <w:spacing w:line="500" w:lineRule="exact"/>
              <w:ind w:left="63" w:right="63"/>
              <w:rPr>
                <w:rFonts w:hint="eastAsia" w:eastAsia="仿宋_GB2312"/>
                <w:color w:val="000000"/>
                <w:sz w:val="28"/>
                <w:szCs w:val="28"/>
              </w:rPr>
            </w:pPr>
          </w:p>
        </w:tc>
        <w:tc>
          <w:tcPr>
            <w:tcW w:w="851" w:type="dxa"/>
            <w:vAlign w:val="center"/>
          </w:tcPr>
          <w:p w14:paraId="1307B923">
            <w:pPr>
              <w:pStyle w:val="21"/>
              <w:keepNext/>
              <w:spacing w:line="500" w:lineRule="exact"/>
              <w:ind w:left="63" w:right="63"/>
              <w:rPr>
                <w:rFonts w:hint="eastAsia" w:eastAsia="仿宋_GB2312"/>
                <w:color w:val="000000"/>
                <w:sz w:val="28"/>
                <w:szCs w:val="28"/>
              </w:rPr>
            </w:pPr>
          </w:p>
        </w:tc>
        <w:tc>
          <w:tcPr>
            <w:tcW w:w="1487" w:type="dxa"/>
            <w:vAlign w:val="center"/>
          </w:tcPr>
          <w:p w14:paraId="2A562CBD">
            <w:pPr>
              <w:pStyle w:val="21"/>
              <w:keepNext/>
              <w:spacing w:line="500" w:lineRule="exact"/>
              <w:ind w:left="63" w:right="63"/>
              <w:rPr>
                <w:rFonts w:hint="eastAsia" w:eastAsia="仿宋_GB2312"/>
                <w:color w:val="000000"/>
                <w:sz w:val="28"/>
                <w:szCs w:val="28"/>
              </w:rPr>
            </w:pPr>
          </w:p>
        </w:tc>
        <w:tc>
          <w:tcPr>
            <w:tcW w:w="992" w:type="dxa"/>
            <w:vAlign w:val="center"/>
          </w:tcPr>
          <w:p w14:paraId="46FF0AE7">
            <w:pPr>
              <w:pStyle w:val="21"/>
              <w:keepNext/>
              <w:spacing w:line="500" w:lineRule="exact"/>
              <w:ind w:left="63" w:right="63"/>
              <w:rPr>
                <w:rFonts w:hint="eastAsia" w:eastAsia="仿宋_GB2312"/>
                <w:color w:val="000000"/>
                <w:sz w:val="28"/>
                <w:szCs w:val="28"/>
              </w:rPr>
            </w:pPr>
          </w:p>
        </w:tc>
      </w:tr>
      <w:tr w14:paraId="5CD92C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05EC7691">
            <w:pPr>
              <w:pStyle w:val="21"/>
              <w:keepNext/>
              <w:spacing w:line="500" w:lineRule="exact"/>
              <w:ind w:left="63" w:right="63"/>
              <w:rPr>
                <w:rFonts w:hint="eastAsia" w:eastAsia="仿宋_GB2312"/>
                <w:color w:val="000000"/>
                <w:sz w:val="28"/>
                <w:szCs w:val="28"/>
              </w:rPr>
            </w:pPr>
          </w:p>
        </w:tc>
        <w:tc>
          <w:tcPr>
            <w:tcW w:w="1276" w:type="dxa"/>
            <w:vAlign w:val="center"/>
          </w:tcPr>
          <w:p w14:paraId="5B8D4602">
            <w:pPr>
              <w:pStyle w:val="21"/>
              <w:keepNext/>
              <w:spacing w:line="500" w:lineRule="exact"/>
              <w:ind w:left="63" w:right="63"/>
              <w:rPr>
                <w:rFonts w:hint="eastAsia" w:eastAsia="仿宋_GB2312"/>
                <w:color w:val="000000"/>
                <w:sz w:val="28"/>
                <w:szCs w:val="28"/>
              </w:rPr>
            </w:pPr>
          </w:p>
        </w:tc>
        <w:tc>
          <w:tcPr>
            <w:tcW w:w="1418" w:type="dxa"/>
            <w:vAlign w:val="center"/>
          </w:tcPr>
          <w:p w14:paraId="55C39072">
            <w:pPr>
              <w:pStyle w:val="21"/>
              <w:keepNext/>
              <w:spacing w:line="500" w:lineRule="exact"/>
              <w:ind w:left="63" w:right="63"/>
              <w:rPr>
                <w:rFonts w:hint="eastAsia" w:eastAsia="仿宋_GB2312"/>
                <w:color w:val="000000"/>
                <w:sz w:val="28"/>
                <w:szCs w:val="28"/>
              </w:rPr>
            </w:pPr>
          </w:p>
        </w:tc>
        <w:tc>
          <w:tcPr>
            <w:tcW w:w="940" w:type="dxa"/>
            <w:vAlign w:val="center"/>
          </w:tcPr>
          <w:p w14:paraId="4A893776">
            <w:pPr>
              <w:pStyle w:val="21"/>
              <w:keepNext/>
              <w:spacing w:line="500" w:lineRule="exact"/>
              <w:ind w:left="63" w:right="63"/>
              <w:rPr>
                <w:rFonts w:hint="eastAsia" w:eastAsia="仿宋_GB2312"/>
                <w:color w:val="000000"/>
                <w:sz w:val="28"/>
                <w:szCs w:val="28"/>
              </w:rPr>
            </w:pPr>
          </w:p>
        </w:tc>
        <w:tc>
          <w:tcPr>
            <w:tcW w:w="851" w:type="dxa"/>
            <w:vAlign w:val="center"/>
          </w:tcPr>
          <w:p w14:paraId="0D217FBD">
            <w:pPr>
              <w:pStyle w:val="21"/>
              <w:keepNext/>
              <w:spacing w:line="500" w:lineRule="exact"/>
              <w:ind w:left="63" w:right="63"/>
              <w:rPr>
                <w:rFonts w:hint="eastAsia" w:eastAsia="仿宋_GB2312"/>
                <w:color w:val="000000"/>
                <w:sz w:val="28"/>
                <w:szCs w:val="28"/>
              </w:rPr>
            </w:pPr>
          </w:p>
        </w:tc>
        <w:tc>
          <w:tcPr>
            <w:tcW w:w="1044" w:type="dxa"/>
            <w:vAlign w:val="center"/>
          </w:tcPr>
          <w:p w14:paraId="592E2F47">
            <w:pPr>
              <w:pStyle w:val="21"/>
              <w:keepNext/>
              <w:spacing w:line="500" w:lineRule="exact"/>
              <w:ind w:left="63" w:right="63"/>
              <w:rPr>
                <w:rFonts w:hint="eastAsia" w:eastAsia="仿宋_GB2312"/>
                <w:color w:val="000000"/>
                <w:sz w:val="28"/>
                <w:szCs w:val="28"/>
              </w:rPr>
            </w:pPr>
          </w:p>
        </w:tc>
        <w:tc>
          <w:tcPr>
            <w:tcW w:w="992" w:type="dxa"/>
            <w:vAlign w:val="center"/>
          </w:tcPr>
          <w:p w14:paraId="5BD8AAC8">
            <w:pPr>
              <w:pStyle w:val="21"/>
              <w:keepNext/>
              <w:spacing w:line="500" w:lineRule="exact"/>
              <w:ind w:left="63" w:right="63"/>
              <w:rPr>
                <w:rFonts w:hint="eastAsia" w:eastAsia="仿宋_GB2312"/>
                <w:color w:val="000000"/>
                <w:sz w:val="28"/>
                <w:szCs w:val="28"/>
              </w:rPr>
            </w:pPr>
          </w:p>
        </w:tc>
        <w:tc>
          <w:tcPr>
            <w:tcW w:w="851" w:type="dxa"/>
            <w:vAlign w:val="center"/>
          </w:tcPr>
          <w:p w14:paraId="221C9B64">
            <w:pPr>
              <w:pStyle w:val="21"/>
              <w:keepNext/>
              <w:spacing w:line="500" w:lineRule="exact"/>
              <w:ind w:left="63" w:right="63"/>
              <w:rPr>
                <w:rFonts w:hint="eastAsia" w:eastAsia="仿宋_GB2312"/>
                <w:color w:val="000000"/>
                <w:sz w:val="28"/>
                <w:szCs w:val="28"/>
              </w:rPr>
            </w:pPr>
          </w:p>
        </w:tc>
        <w:tc>
          <w:tcPr>
            <w:tcW w:w="1487" w:type="dxa"/>
            <w:vAlign w:val="center"/>
          </w:tcPr>
          <w:p w14:paraId="3E8211E9">
            <w:pPr>
              <w:pStyle w:val="21"/>
              <w:keepNext/>
              <w:spacing w:line="500" w:lineRule="exact"/>
              <w:ind w:left="63" w:right="63"/>
              <w:rPr>
                <w:rFonts w:hint="eastAsia" w:eastAsia="仿宋_GB2312"/>
                <w:color w:val="000000"/>
                <w:sz w:val="28"/>
                <w:szCs w:val="28"/>
              </w:rPr>
            </w:pPr>
          </w:p>
        </w:tc>
        <w:tc>
          <w:tcPr>
            <w:tcW w:w="992" w:type="dxa"/>
            <w:vAlign w:val="center"/>
          </w:tcPr>
          <w:p w14:paraId="1EF5F588">
            <w:pPr>
              <w:pStyle w:val="21"/>
              <w:keepNext/>
              <w:spacing w:line="500" w:lineRule="exact"/>
              <w:ind w:left="63" w:right="63"/>
              <w:rPr>
                <w:rFonts w:hint="eastAsia" w:eastAsia="仿宋_GB2312"/>
                <w:color w:val="000000"/>
                <w:sz w:val="28"/>
                <w:szCs w:val="28"/>
              </w:rPr>
            </w:pPr>
          </w:p>
        </w:tc>
      </w:tr>
      <w:tr w14:paraId="5D3DA4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851" w:type="dxa"/>
            <w:vAlign w:val="center"/>
          </w:tcPr>
          <w:p w14:paraId="12960955">
            <w:pPr>
              <w:pStyle w:val="21"/>
              <w:keepNext/>
              <w:spacing w:line="500" w:lineRule="exact"/>
              <w:ind w:left="63" w:right="63"/>
              <w:rPr>
                <w:rFonts w:hint="eastAsia" w:eastAsia="仿宋_GB2312"/>
                <w:color w:val="000000"/>
                <w:sz w:val="28"/>
                <w:szCs w:val="28"/>
              </w:rPr>
            </w:pPr>
          </w:p>
        </w:tc>
        <w:tc>
          <w:tcPr>
            <w:tcW w:w="1276" w:type="dxa"/>
            <w:vAlign w:val="center"/>
          </w:tcPr>
          <w:p w14:paraId="20F0BDF9">
            <w:pPr>
              <w:pStyle w:val="21"/>
              <w:keepNext/>
              <w:spacing w:line="500" w:lineRule="exact"/>
              <w:ind w:left="63" w:right="63"/>
              <w:rPr>
                <w:rFonts w:hint="eastAsia" w:eastAsia="仿宋_GB2312"/>
                <w:color w:val="000000"/>
                <w:sz w:val="28"/>
                <w:szCs w:val="28"/>
              </w:rPr>
            </w:pPr>
          </w:p>
        </w:tc>
        <w:tc>
          <w:tcPr>
            <w:tcW w:w="1418" w:type="dxa"/>
            <w:vAlign w:val="center"/>
          </w:tcPr>
          <w:p w14:paraId="4EB4C6DB">
            <w:pPr>
              <w:pStyle w:val="21"/>
              <w:keepNext/>
              <w:spacing w:line="500" w:lineRule="exact"/>
              <w:ind w:left="63" w:right="63"/>
              <w:rPr>
                <w:rFonts w:hint="eastAsia" w:eastAsia="仿宋_GB2312"/>
                <w:color w:val="000000"/>
                <w:sz w:val="28"/>
                <w:szCs w:val="28"/>
              </w:rPr>
            </w:pPr>
          </w:p>
        </w:tc>
        <w:tc>
          <w:tcPr>
            <w:tcW w:w="940" w:type="dxa"/>
            <w:vAlign w:val="center"/>
          </w:tcPr>
          <w:p w14:paraId="083DB1C1">
            <w:pPr>
              <w:pStyle w:val="21"/>
              <w:keepNext/>
              <w:spacing w:line="500" w:lineRule="exact"/>
              <w:ind w:left="63" w:right="63"/>
              <w:rPr>
                <w:rFonts w:hint="eastAsia" w:eastAsia="仿宋_GB2312"/>
                <w:color w:val="000000"/>
                <w:sz w:val="28"/>
                <w:szCs w:val="28"/>
              </w:rPr>
            </w:pPr>
          </w:p>
        </w:tc>
        <w:tc>
          <w:tcPr>
            <w:tcW w:w="851" w:type="dxa"/>
            <w:vAlign w:val="center"/>
          </w:tcPr>
          <w:p w14:paraId="41D8E5B2">
            <w:pPr>
              <w:pStyle w:val="21"/>
              <w:keepNext/>
              <w:spacing w:line="500" w:lineRule="exact"/>
              <w:ind w:left="63" w:right="63"/>
              <w:rPr>
                <w:rFonts w:hint="eastAsia" w:eastAsia="仿宋_GB2312"/>
                <w:color w:val="000000"/>
                <w:sz w:val="28"/>
                <w:szCs w:val="28"/>
              </w:rPr>
            </w:pPr>
          </w:p>
        </w:tc>
        <w:tc>
          <w:tcPr>
            <w:tcW w:w="1044" w:type="dxa"/>
            <w:vAlign w:val="center"/>
          </w:tcPr>
          <w:p w14:paraId="38F0BA6D">
            <w:pPr>
              <w:pStyle w:val="21"/>
              <w:keepNext/>
              <w:spacing w:line="500" w:lineRule="exact"/>
              <w:ind w:left="63" w:right="63"/>
              <w:rPr>
                <w:rFonts w:hint="eastAsia" w:eastAsia="仿宋_GB2312"/>
                <w:color w:val="000000"/>
                <w:sz w:val="28"/>
                <w:szCs w:val="28"/>
              </w:rPr>
            </w:pPr>
          </w:p>
        </w:tc>
        <w:tc>
          <w:tcPr>
            <w:tcW w:w="992" w:type="dxa"/>
            <w:vAlign w:val="center"/>
          </w:tcPr>
          <w:p w14:paraId="062CBC7F">
            <w:pPr>
              <w:pStyle w:val="21"/>
              <w:keepNext/>
              <w:spacing w:line="500" w:lineRule="exact"/>
              <w:ind w:left="63" w:right="63"/>
              <w:rPr>
                <w:rFonts w:hint="eastAsia" w:eastAsia="仿宋_GB2312"/>
                <w:color w:val="000000"/>
                <w:sz w:val="28"/>
                <w:szCs w:val="28"/>
              </w:rPr>
            </w:pPr>
          </w:p>
        </w:tc>
        <w:tc>
          <w:tcPr>
            <w:tcW w:w="851" w:type="dxa"/>
            <w:vAlign w:val="center"/>
          </w:tcPr>
          <w:p w14:paraId="7D47FFE4">
            <w:pPr>
              <w:pStyle w:val="21"/>
              <w:keepNext/>
              <w:spacing w:line="500" w:lineRule="exact"/>
              <w:ind w:left="63" w:right="63"/>
              <w:rPr>
                <w:rFonts w:hint="eastAsia" w:eastAsia="仿宋_GB2312"/>
                <w:color w:val="000000"/>
                <w:sz w:val="28"/>
                <w:szCs w:val="28"/>
              </w:rPr>
            </w:pPr>
          </w:p>
        </w:tc>
        <w:tc>
          <w:tcPr>
            <w:tcW w:w="1487" w:type="dxa"/>
            <w:vAlign w:val="center"/>
          </w:tcPr>
          <w:p w14:paraId="4E30D107">
            <w:pPr>
              <w:pStyle w:val="21"/>
              <w:keepNext/>
              <w:spacing w:line="500" w:lineRule="exact"/>
              <w:ind w:left="63" w:right="63"/>
              <w:rPr>
                <w:rFonts w:hint="eastAsia" w:eastAsia="仿宋_GB2312"/>
                <w:color w:val="000000"/>
                <w:sz w:val="28"/>
                <w:szCs w:val="28"/>
              </w:rPr>
            </w:pPr>
          </w:p>
        </w:tc>
        <w:tc>
          <w:tcPr>
            <w:tcW w:w="992" w:type="dxa"/>
            <w:vAlign w:val="center"/>
          </w:tcPr>
          <w:p w14:paraId="41CFD57B">
            <w:pPr>
              <w:pStyle w:val="21"/>
              <w:keepNext/>
              <w:spacing w:line="500" w:lineRule="exact"/>
              <w:ind w:left="63" w:right="63"/>
              <w:rPr>
                <w:rFonts w:hint="eastAsia" w:eastAsia="仿宋_GB2312"/>
                <w:color w:val="000000"/>
                <w:sz w:val="28"/>
                <w:szCs w:val="28"/>
              </w:rPr>
            </w:pPr>
          </w:p>
        </w:tc>
      </w:tr>
      <w:tr w14:paraId="5AC0D0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20E273C3">
            <w:pPr>
              <w:pStyle w:val="21"/>
              <w:keepNext/>
              <w:spacing w:line="500" w:lineRule="exact"/>
              <w:ind w:left="63" w:right="63"/>
              <w:rPr>
                <w:rFonts w:hint="eastAsia" w:eastAsia="仿宋_GB2312"/>
                <w:color w:val="000000"/>
                <w:sz w:val="28"/>
                <w:szCs w:val="28"/>
              </w:rPr>
            </w:pPr>
          </w:p>
        </w:tc>
        <w:tc>
          <w:tcPr>
            <w:tcW w:w="1276" w:type="dxa"/>
            <w:vAlign w:val="center"/>
          </w:tcPr>
          <w:p w14:paraId="2A7FB231">
            <w:pPr>
              <w:pStyle w:val="21"/>
              <w:keepNext/>
              <w:spacing w:line="500" w:lineRule="exact"/>
              <w:ind w:left="63" w:right="63"/>
              <w:rPr>
                <w:rFonts w:hint="eastAsia" w:eastAsia="仿宋_GB2312"/>
                <w:color w:val="000000"/>
                <w:sz w:val="28"/>
                <w:szCs w:val="28"/>
              </w:rPr>
            </w:pPr>
          </w:p>
        </w:tc>
        <w:tc>
          <w:tcPr>
            <w:tcW w:w="1418" w:type="dxa"/>
            <w:vAlign w:val="center"/>
          </w:tcPr>
          <w:p w14:paraId="7FE3DE09">
            <w:pPr>
              <w:pStyle w:val="21"/>
              <w:keepNext/>
              <w:spacing w:line="500" w:lineRule="exact"/>
              <w:ind w:left="63" w:right="63"/>
              <w:rPr>
                <w:rFonts w:hint="eastAsia" w:eastAsia="仿宋_GB2312"/>
                <w:color w:val="000000"/>
                <w:sz w:val="28"/>
                <w:szCs w:val="28"/>
              </w:rPr>
            </w:pPr>
          </w:p>
        </w:tc>
        <w:tc>
          <w:tcPr>
            <w:tcW w:w="940" w:type="dxa"/>
            <w:vAlign w:val="center"/>
          </w:tcPr>
          <w:p w14:paraId="63C9F01C">
            <w:pPr>
              <w:pStyle w:val="21"/>
              <w:keepNext/>
              <w:spacing w:line="500" w:lineRule="exact"/>
              <w:ind w:left="63" w:right="63"/>
              <w:rPr>
                <w:rFonts w:hint="eastAsia" w:eastAsia="仿宋_GB2312"/>
                <w:color w:val="000000"/>
                <w:sz w:val="28"/>
                <w:szCs w:val="28"/>
              </w:rPr>
            </w:pPr>
          </w:p>
        </w:tc>
        <w:tc>
          <w:tcPr>
            <w:tcW w:w="851" w:type="dxa"/>
            <w:vAlign w:val="center"/>
          </w:tcPr>
          <w:p w14:paraId="550D514A">
            <w:pPr>
              <w:pStyle w:val="21"/>
              <w:keepNext/>
              <w:spacing w:line="500" w:lineRule="exact"/>
              <w:ind w:left="63" w:right="63"/>
              <w:rPr>
                <w:rFonts w:hint="eastAsia" w:eastAsia="仿宋_GB2312"/>
                <w:color w:val="000000"/>
                <w:sz w:val="28"/>
                <w:szCs w:val="28"/>
              </w:rPr>
            </w:pPr>
          </w:p>
        </w:tc>
        <w:tc>
          <w:tcPr>
            <w:tcW w:w="1044" w:type="dxa"/>
            <w:vAlign w:val="center"/>
          </w:tcPr>
          <w:p w14:paraId="7AF46C08">
            <w:pPr>
              <w:pStyle w:val="21"/>
              <w:keepNext/>
              <w:spacing w:line="500" w:lineRule="exact"/>
              <w:ind w:left="63" w:right="63"/>
              <w:rPr>
                <w:rFonts w:hint="eastAsia" w:eastAsia="仿宋_GB2312"/>
                <w:color w:val="000000"/>
                <w:sz w:val="28"/>
                <w:szCs w:val="28"/>
              </w:rPr>
            </w:pPr>
          </w:p>
        </w:tc>
        <w:tc>
          <w:tcPr>
            <w:tcW w:w="992" w:type="dxa"/>
            <w:vAlign w:val="center"/>
          </w:tcPr>
          <w:p w14:paraId="0DE15B2E">
            <w:pPr>
              <w:pStyle w:val="21"/>
              <w:keepNext/>
              <w:spacing w:line="500" w:lineRule="exact"/>
              <w:ind w:left="63" w:right="63"/>
              <w:rPr>
                <w:rFonts w:hint="eastAsia" w:eastAsia="仿宋_GB2312"/>
                <w:color w:val="000000"/>
                <w:sz w:val="28"/>
                <w:szCs w:val="28"/>
              </w:rPr>
            </w:pPr>
          </w:p>
        </w:tc>
        <w:tc>
          <w:tcPr>
            <w:tcW w:w="851" w:type="dxa"/>
            <w:vAlign w:val="center"/>
          </w:tcPr>
          <w:p w14:paraId="1973B952">
            <w:pPr>
              <w:pStyle w:val="21"/>
              <w:keepNext/>
              <w:spacing w:line="500" w:lineRule="exact"/>
              <w:ind w:left="63" w:right="63"/>
              <w:rPr>
                <w:rFonts w:hint="eastAsia" w:eastAsia="仿宋_GB2312"/>
                <w:color w:val="000000"/>
                <w:sz w:val="28"/>
                <w:szCs w:val="28"/>
              </w:rPr>
            </w:pPr>
          </w:p>
        </w:tc>
        <w:tc>
          <w:tcPr>
            <w:tcW w:w="1487" w:type="dxa"/>
            <w:vAlign w:val="center"/>
          </w:tcPr>
          <w:p w14:paraId="07994ED1">
            <w:pPr>
              <w:pStyle w:val="21"/>
              <w:keepNext/>
              <w:spacing w:line="500" w:lineRule="exact"/>
              <w:ind w:left="63" w:right="63"/>
              <w:rPr>
                <w:rFonts w:hint="eastAsia" w:eastAsia="仿宋_GB2312"/>
                <w:color w:val="000000"/>
                <w:sz w:val="28"/>
                <w:szCs w:val="28"/>
              </w:rPr>
            </w:pPr>
          </w:p>
        </w:tc>
        <w:tc>
          <w:tcPr>
            <w:tcW w:w="992" w:type="dxa"/>
            <w:vAlign w:val="center"/>
          </w:tcPr>
          <w:p w14:paraId="1F715B1B">
            <w:pPr>
              <w:pStyle w:val="21"/>
              <w:keepNext/>
              <w:spacing w:line="500" w:lineRule="exact"/>
              <w:ind w:left="63" w:right="63"/>
              <w:rPr>
                <w:rFonts w:hint="eastAsia" w:eastAsia="仿宋_GB2312"/>
                <w:color w:val="000000"/>
                <w:sz w:val="28"/>
                <w:szCs w:val="28"/>
              </w:rPr>
            </w:pPr>
          </w:p>
        </w:tc>
      </w:tr>
      <w:tr w14:paraId="26A667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320FB42F">
            <w:pPr>
              <w:spacing w:line="500" w:lineRule="exact"/>
              <w:jc w:val="center"/>
              <w:rPr>
                <w:rFonts w:eastAsia="仿宋_GB2312"/>
                <w:color w:val="000000"/>
                <w:sz w:val="28"/>
                <w:szCs w:val="28"/>
              </w:rPr>
            </w:pPr>
          </w:p>
        </w:tc>
        <w:tc>
          <w:tcPr>
            <w:tcW w:w="1276" w:type="dxa"/>
            <w:vAlign w:val="center"/>
          </w:tcPr>
          <w:p w14:paraId="1F803BCE">
            <w:pPr>
              <w:spacing w:line="500" w:lineRule="exact"/>
              <w:jc w:val="center"/>
              <w:rPr>
                <w:rFonts w:eastAsia="仿宋_GB2312"/>
                <w:color w:val="000000"/>
                <w:sz w:val="28"/>
                <w:szCs w:val="28"/>
              </w:rPr>
            </w:pPr>
          </w:p>
        </w:tc>
        <w:tc>
          <w:tcPr>
            <w:tcW w:w="1418" w:type="dxa"/>
            <w:vAlign w:val="center"/>
          </w:tcPr>
          <w:p w14:paraId="15830151">
            <w:pPr>
              <w:spacing w:line="500" w:lineRule="exact"/>
              <w:jc w:val="center"/>
              <w:rPr>
                <w:rFonts w:eastAsia="仿宋_GB2312"/>
                <w:color w:val="000000"/>
                <w:sz w:val="28"/>
                <w:szCs w:val="28"/>
              </w:rPr>
            </w:pPr>
          </w:p>
        </w:tc>
        <w:tc>
          <w:tcPr>
            <w:tcW w:w="940" w:type="dxa"/>
            <w:vAlign w:val="center"/>
          </w:tcPr>
          <w:p w14:paraId="5DD62BBC">
            <w:pPr>
              <w:spacing w:line="500" w:lineRule="exact"/>
              <w:jc w:val="center"/>
              <w:rPr>
                <w:rFonts w:eastAsia="仿宋_GB2312"/>
                <w:color w:val="000000"/>
                <w:sz w:val="28"/>
                <w:szCs w:val="28"/>
              </w:rPr>
            </w:pPr>
          </w:p>
        </w:tc>
        <w:tc>
          <w:tcPr>
            <w:tcW w:w="851" w:type="dxa"/>
            <w:vAlign w:val="center"/>
          </w:tcPr>
          <w:p w14:paraId="7C58A4AF">
            <w:pPr>
              <w:spacing w:line="500" w:lineRule="exact"/>
              <w:jc w:val="center"/>
              <w:rPr>
                <w:rFonts w:eastAsia="仿宋_GB2312"/>
                <w:color w:val="000000"/>
                <w:sz w:val="28"/>
                <w:szCs w:val="28"/>
              </w:rPr>
            </w:pPr>
          </w:p>
        </w:tc>
        <w:tc>
          <w:tcPr>
            <w:tcW w:w="1044" w:type="dxa"/>
            <w:vAlign w:val="center"/>
          </w:tcPr>
          <w:p w14:paraId="6FB2C229">
            <w:pPr>
              <w:spacing w:line="500" w:lineRule="exact"/>
              <w:jc w:val="center"/>
              <w:rPr>
                <w:rFonts w:eastAsia="仿宋_GB2312"/>
                <w:color w:val="000000"/>
                <w:sz w:val="28"/>
                <w:szCs w:val="28"/>
              </w:rPr>
            </w:pPr>
          </w:p>
        </w:tc>
        <w:tc>
          <w:tcPr>
            <w:tcW w:w="992" w:type="dxa"/>
            <w:vAlign w:val="center"/>
          </w:tcPr>
          <w:p w14:paraId="37CF9103">
            <w:pPr>
              <w:spacing w:line="500" w:lineRule="exact"/>
              <w:jc w:val="center"/>
              <w:rPr>
                <w:rFonts w:eastAsia="仿宋_GB2312"/>
                <w:color w:val="000000"/>
                <w:sz w:val="28"/>
                <w:szCs w:val="28"/>
              </w:rPr>
            </w:pPr>
          </w:p>
        </w:tc>
        <w:tc>
          <w:tcPr>
            <w:tcW w:w="851" w:type="dxa"/>
            <w:vAlign w:val="center"/>
          </w:tcPr>
          <w:p w14:paraId="30FAEC25">
            <w:pPr>
              <w:spacing w:line="500" w:lineRule="exact"/>
              <w:jc w:val="center"/>
              <w:rPr>
                <w:rFonts w:eastAsia="仿宋_GB2312"/>
                <w:color w:val="000000"/>
                <w:sz w:val="28"/>
                <w:szCs w:val="28"/>
              </w:rPr>
            </w:pPr>
          </w:p>
        </w:tc>
        <w:tc>
          <w:tcPr>
            <w:tcW w:w="1487" w:type="dxa"/>
            <w:vAlign w:val="center"/>
          </w:tcPr>
          <w:p w14:paraId="254208EE">
            <w:pPr>
              <w:spacing w:line="500" w:lineRule="exact"/>
              <w:jc w:val="center"/>
              <w:rPr>
                <w:rFonts w:eastAsia="仿宋_GB2312"/>
                <w:color w:val="000000"/>
                <w:sz w:val="28"/>
                <w:szCs w:val="28"/>
              </w:rPr>
            </w:pPr>
          </w:p>
        </w:tc>
        <w:tc>
          <w:tcPr>
            <w:tcW w:w="992" w:type="dxa"/>
            <w:vAlign w:val="center"/>
          </w:tcPr>
          <w:p w14:paraId="715D62DB">
            <w:pPr>
              <w:spacing w:line="500" w:lineRule="exact"/>
              <w:jc w:val="center"/>
              <w:rPr>
                <w:rFonts w:eastAsia="仿宋_GB2312"/>
                <w:color w:val="000000"/>
                <w:sz w:val="28"/>
                <w:szCs w:val="28"/>
              </w:rPr>
            </w:pPr>
          </w:p>
        </w:tc>
      </w:tr>
      <w:tr w14:paraId="70A3FF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58EE501B">
            <w:pPr>
              <w:pStyle w:val="21"/>
              <w:keepNext/>
              <w:spacing w:line="500" w:lineRule="exact"/>
              <w:ind w:left="63" w:right="63"/>
              <w:rPr>
                <w:rFonts w:hint="eastAsia" w:eastAsia="仿宋_GB2312"/>
                <w:color w:val="000000"/>
                <w:sz w:val="28"/>
                <w:szCs w:val="28"/>
              </w:rPr>
            </w:pPr>
          </w:p>
        </w:tc>
        <w:tc>
          <w:tcPr>
            <w:tcW w:w="1276" w:type="dxa"/>
            <w:vAlign w:val="center"/>
          </w:tcPr>
          <w:p w14:paraId="4984078E">
            <w:pPr>
              <w:pStyle w:val="21"/>
              <w:keepNext/>
              <w:spacing w:line="500" w:lineRule="exact"/>
              <w:ind w:left="63" w:right="63"/>
              <w:rPr>
                <w:rFonts w:hint="eastAsia" w:eastAsia="仿宋_GB2312"/>
                <w:color w:val="000000"/>
                <w:sz w:val="28"/>
                <w:szCs w:val="28"/>
              </w:rPr>
            </w:pPr>
          </w:p>
        </w:tc>
        <w:tc>
          <w:tcPr>
            <w:tcW w:w="1418" w:type="dxa"/>
            <w:vAlign w:val="center"/>
          </w:tcPr>
          <w:p w14:paraId="6922B411">
            <w:pPr>
              <w:pStyle w:val="21"/>
              <w:keepNext/>
              <w:spacing w:line="500" w:lineRule="exact"/>
              <w:ind w:left="63" w:right="63"/>
              <w:rPr>
                <w:rFonts w:hint="eastAsia" w:eastAsia="仿宋_GB2312"/>
                <w:color w:val="000000"/>
                <w:sz w:val="28"/>
                <w:szCs w:val="28"/>
              </w:rPr>
            </w:pPr>
          </w:p>
        </w:tc>
        <w:tc>
          <w:tcPr>
            <w:tcW w:w="940" w:type="dxa"/>
            <w:vAlign w:val="center"/>
          </w:tcPr>
          <w:p w14:paraId="7362D613">
            <w:pPr>
              <w:pStyle w:val="21"/>
              <w:keepNext/>
              <w:spacing w:line="500" w:lineRule="exact"/>
              <w:ind w:left="63" w:right="63"/>
              <w:rPr>
                <w:rFonts w:hint="eastAsia" w:eastAsia="仿宋_GB2312"/>
                <w:color w:val="000000"/>
                <w:sz w:val="28"/>
                <w:szCs w:val="28"/>
              </w:rPr>
            </w:pPr>
          </w:p>
        </w:tc>
        <w:tc>
          <w:tcPr>
            <w:tcW w:w="851" w:type="dxa"/>
            <w:vAlign w:val="center"/>
          </w:tcPr>
          <w:p w14:paraId="31BB984E">
            <w:pPr>
              <w:pStyle w:val="21"/>
              <w:keepNext/>
              <w:spacing w:line="500" w:lineRule="exact"/>
              <w:ind w:left="63" w:right="63"/>
              <w:rPr>
                <w:rFonts w:hint="eastAsia" w:eastAsia="仿宋_GB2312"/>
                <w:color w:val="000000"/>
                <w:sz w:val="28"/>
                <w:szCs w:val="28"/>
              </w:rPr>
            </w:pPr>
          </w:p>
        </w:tc>
        <w:tc>
          <w:tcPr>
            <w:tcW w:w="1044" w:type="dxa"/>
            <w:vAlign w:val="center"/>
          </w:tcPr>
          <w:p w14:paraId="04CEB67D">
            <w:pPr>
              <w:pStyle w:val="21"/>
              <w:keepNext/>
              <w:spacing w:line="500" w:lineRule="exact"/>
              <w:ind w:left="63" w:right="63"/>
              <w:rPr>
                <w:rFonts w:hint="eastAsia" w:eastAsia="仿宋_GB2312"/>
                <w:color w:val="000000"/>
                <w:sz w:val="28"/>
                <w:szCs w:val="28"/>
              </w:rPr>
            </w:pPr>
          </w:p>
        </w:tc>
        <w:tc>
          <w:tcPr>
            <w:tcW w:w="992" w:type="dxa"/>
            <w:vAlign w:val="center"/>
          </w:tcPr>
          <w:p w14:paraId="093B9E33">
            <w:pPr>
              <w:pStyle w:val="21"/>
              <w:keepNext/>
              <w:spacing w:line="500" w:lineRule="exact"/>
              <w:ind w:left="63" w:right="63"/>
              <w:rPr>
                <w:rFonts w:hint="eastAsia" w:eastAsia="仿宋_GB2312"/>
                <w:color w:val="000000"/>
                <w:sz w:val="28"/>
                <w:szCs w:val="28"/>
              </w:rPr>
            </w:pPr>
          </w:p>
        </w:tc>
        <w:tc>
          <w:tcPr>
            <w:tcW w:w="851" w:type="dxa"/>
            <w:vAlign w:val="center"/>
          </w:tcPr>
          <w:p w14:paraId="4F30B443">
            <w:pPr>
              <w:pStyle w:val="21"/>
              <w:keepNext/>
              <w:spacing w:line="500" w:lineRule="exact"/>
              <w:ind w:left="63" w:right="63"/>
              <w:rPr>
                <w:rFonts w:hint="eastAsia" w:eastAsia="仿宋_GB2312"/>
                <w:color w:val="000000"/>
                <w:sz w:val="28"/>
                <w:szCs w:val="28"/>
              </w:rPr>
            </w:pPr>
          </w:p>
        </w:tc>
        <w:tc>
          <w:tcPr>
            <w:tcW w:w="1487" w:type="dxa"/>
            <w:vAlign w:val="center"/>
          </w:tcPr>
          <w:p w14:paraId="1A804EDA">
            <w:pPr>
              <w:pStyle w:val="21"/>
              <w:keepNext/>
              <w:spacing w:line="500" w:lineRule="exact"/>
              <w:ind w:left="63" w:right="63"/>
              <w:rPr>
                <w:rFonts w:hint="eastAsia" w:eastAsia="仿宋_GB2312"/>
                <w:color w:val="000000"/>
                <w:sz w:val="28"/>
                <w:szCs w:val="28"/>
              </w:rPr>
            </w:pPr>
          </w:p>
        </w:tc>
        <w:tc>
          <w:tcPr>
            <w:tcW w:w="992" w:type="dxa"/>
            <w:vAlign w:val="center"/>
          </w:tcPr>
          <w:p w14:paraId="475DB2DF">
            <w:pPr>
              <w:pStyle w:val="21"/>
              <w:keepNext/>
              <w:spacing w:line="500" w:lineRule="exact"/>
              <w:ind w:left="63" w:right="63"/>
              <w:rPr>
                <w:rFonts w:hint="eastAsia" w:eastAsia="仿宋_GB2312"/>
                <w:color w:val="000000"/>
                <w:sz w:val="28"/>
                <w:szCs w:val="28"/>
              </w:rPr>
            </w:pPr>
          </w:p>
        </w:tc>
      </w:tr>
      <w:tr w14:paraId="37F403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5E84768B">
            <w:pPr>
              <w:spacing w:line="500" w:lineRule="exact"/>
              <w:jc w:val="center"/>
              <w:rPr>
                <w:rFonts w:eastAsia="仿宋_GB2312"/>
                <w:color w:val="000000"/>
                <w:sz w:val="28"/>
                <w:szCs w:val="28"/>
              </w:rPr>
            </w:pPr>
          </w:p>
        </w:tc>
        <w:tc>
          <w:tcPr>
            <w:tcW w:w="1276" w:type="dxa"/>
            <w:vAlign w:val="center"/>
          </w:tcPr>
          <w:p w14:paraId="1AC49E2C">
            <w:pPr>
              <w:spacing w:line="500" w:lineRule="exact"/>
              <w:jc w:val="center"/>
              <w:rPr>
                <w:rFonts w:eastAsia="仿宋_GB2312"/>
                <w:color w:val="000000"/>
                <w:sz w:val="28"/>
                <w:szCs w:val="28"/>
              </w:rPr>
            </w:pPr>
          </w:p>
        </w:tc>
        <w:tc>
          <w:tcPr>
            <w:tcW w:w="1418" w:type="dxa"/>
            <w:vAlign w:val="center"/>
          </w:tcPr>
          <w:p w14:paraId="03F4B223">
            <w:pPr>
              <w:spacing w:line="500" w:lineRule="exact"/>
              <w:jc w:val="center"/>
              <w:rPr>
                <w:rFonts w:eastAsia="仿宋_GB2312"/>
                <w:color w:val="000000"/>
                <w:sz w:val="28"/>
                <w:szCs w:val="28"/>
              </w:rPr>
            </w:pPr>
          </w:p>
        </w:tc>
        <w:tc>
          <w:tcPr>
            <w:tcW w:w="940" w:type="dxa"/>
            <w:vAlign w:val="center"/>
          </w:tcPr>
          <w:p w14:paraId="5D62AC60">
            <w:pPr>
              <w:spacing w:line="500" w:lineRule="exact"/>
              <w:jc w:val="center"/>
              <w:rPr>
                <w:rFonts w:eastAsia="仿宋_GB2312"/>
                <w:color w:val="000000"/>
                <w:sz w:val="28"/>
                <w:szCs w:val="28"/>
              </w:rPr>
            </w:pPr>
          </w:p>
        </w:tc>
        <w:tc>
          <w:tcPr>
            <w:tcW w:w="851" w:type="dxa"/>
            <w:vAlign w:val="center"/>
          </w:tcPr>
          <w:p w14:paraId="2D7BB98A">
            <w:pPr>
              <w:spacing w:line="500" w:lineRule="exact"/>
              <w:jc w:val="center"/>
              <w:rPr>
                <w:rFonts w:eastAsia="仿宋_GB2312"/>
                <w:color w:val="000000"/>
                <w:sz w:val="28"/>
                <w:szCs w:val="28"/>
              </w:rPr>
            </w:pPr>
          </w:p>
        </w:tc>
        <w:tc>
          <w:tcPr>
            <w:tcW w:w="1044" w:type="dxa"/>
            <w:vAlign w:val="center"/>
          </w:tcPr>
          <w:p w14:paraId="7E89B4BA">
            <w:pPr>
              <w:spacing w:line="500" w:lineRule="exact"/>
              <w:jc w:val="center"/>
              <w:rPr>
                <w:rFonts w:eastAsia="仿宋_GB2312"/>
                <w:color w:val="000000"/>
                <w:sz w:val="28"/>
                <w:szCs w:val="28"/>
              </w:rPr>
            </w:pPr>
          </w:p>
        </w:tc>
        <w:tc>
          <w:tcPr>
            <w:tcW w:w="992" w:type="dxa"/>
            <w:vAlign w:val="center"/>
          </w:tcPr>
          <w:p w14:paraId="03E73C5C">
            <w:pPr>
              <w:spacing w:line="500" w:lineRule="exact"/>
              <w:jc w:val="center"/>
              <w:rPr>
                <w:rFonts w:eastAsia="仿宋_GB2312"/>
                <w:color w:val="000000"/>
                <w:sz w:val="28"/>
                <w:szCs w:val="28"/>
              </w:rPr>
            </w:pPr>
          </w:p>
        </w:tc>
        <w:tc>
          <w:tcPr>
            <w:tcW w:w="851" w:type="dxa"/>
            <w:vAlign w:val="center"/>
          </w:tcPr>
          <w:p w14:paraId="59034167">
            <w:pPr>
              <w:spacing w:line="500" w:lineRule="exact"/>
              <w:jc w:val="center"/>
              <w:rPr>
                <w:rFonts w:eastAsia="仿宋_GB2312"/>
                <w:color w:val="000000"/>
                <w:sz w:val="28"/>
                <w:szCs w:val="28"/>
              </w:rPr>
            </w:pPr>
          </w:p>
        </w:tc>
        <w:tc>
          <w:tcPr>
            <w:tcW w:w="1487" w:type="dxa"/>
            <w:vAlign w:val="center"/>
          </w:tcPr>
          <w:p w14:paraId="6CF0FE28">
            <w:pPr>
              <w:spacing w:line="500" w:lineRule="exact"/>
              <w:jc w:val="center"/>
              <w:rPr>
                <w:rFonts w:eastAsia="仿宋_GB2312"/>
                <w:color w:val="000000"/>
                <w:sz w:val="28"/>
                <w:szCs w:val="28"/>
              </w:rPr>
            </w:pPr>
          </w:p>
        </w:tc>
        <w:tc>
          <w:tcPr>
            <w:tcW w:w="992" w:type="dxa"/>
            <w:vAlign w:val="center"/>
          </w:tcPr>
          <w:p w14:paraId="74533A64">
            <w:pPr>
              <w:spacing w:line="500" w:lineRule="exact"/>
              <w:jc w:val="center"/>
              <w:rPr>
                <w:rFonts w:eastAsia="仿宋_GB2312"/>
                <w:color w:val="000000"/>
                <w:sz w:val="28"/>
                <w:szCs w:val="28"/>
              </w:rPr>
            </w:pPr>
          </w:p>
        </w:tc>
      </w:tr>
      <w:tr w14:paraId="60C942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27461B85">
            <w:pPr>
              <w:spacing w:line="500" w:lineRule="exact"/>
              <w:jc w:val="center"/>
              <w:rPr>
                <w:rFonts w:eastAsia="仿宋_GB2312"/>
                <w:color w:val="000000"/>
                <w:sz w:val="28"/>
                <w:szCs w:val="28"/>
              </w:rPr>
            </w:pPr>
          </w:p>
        </w:tc>
        <w:tc>
          <w:tcPr>
            <w:tcW w:w="1276" w:type="dxa"/>
            <w:vAlign w:val="center"/>
          </w:tcPr>
          <w:p w14:paraId="479A810D">
            <w:pPr>
              <w:spacing w:line="500" w:lineRule="exact"/>
              <w:jc w:val="center"/>
              <w:rPr>
                <w:rFonts w:eastAsia="仿宋_GB2312"/>
                <w:color w:val="000000"/>
                <w:sz w:val="28"/>
                <w:szCs w:val="28"/>
              </w:rPr>
            </w:pPr>
          </w:p>
        </w:tc>
        <w:tc>
          <w:tcPr>
            <w:tcW w:w="1418" w:type="dxa"/>
            <w:vAlign w:val="center"/>
          </w:tcPr>
          <w:p w14:paraId="0D55B15C">
            <w:pPr>
              <w:spacing w:line="500" w:lineRule="exact"/>
              <w:jc w:val="center"/>
              <w:rPr>
                <w:rFonts w:eastAsia="仿宋_GB2312"/>
                <w:color w:val="000000"/>
                <w:sz w:val="28"/>
                <w:szCs w:val="28"/>
              </w:rPr>
            </w:pPr>
          </w:p>
        </w:tc>
        <w:tc>
          <w:tcPr>
            <w:tcW w:w="940" w:type="dxa"/>
            <w:vAlign w:val="center"/>
          </w:tcPr>
          <w:p w14:paraId="2B81BD89">
            <w:pPr>
              <w:spacing w:line="500" w:lineRule="exact"/>
              <w:jc w:val="center"/>
              <w:rPr>
                <w:rFonts w:eastAsia="仿宋_GB2312"/>
                <w:color w:val="000000"/>
                <w:sz w:val="28"/>
                <w:szCs w:val="28"/>
              </w:rPr>
            </w:pPr>
          </w:p>
        </w:tc>
        <w:tc>
          <w:tcPr>
            <w:tcW w:w="851" w:type="dxa"/>
            <w:vAlign w:val="center"/>
          </w:tcPr>
          <w:p w14:paraId="2B510391">
            <w:pPr>
              <w:spacing w:line="500" w:lineRule="exact"/>
              <w:jc w:val="center"/>
              <w:rPr>
                <w:rFonts w:eastAsia="仿宋_GB2312"/>
                <w:color w:val="000000"/>
                <w:sz w:val="28"/>
                <w:szCs w:val="28"/>
              </w:rPr>
            </w:pPr>
          </w:p>
        </w:tc>
        <w:tc>
          <w:tcPr>
            <w:tcW w:w="1044" w:type="dxa"/>
            <w:vAlign w:val="center"/>
          </w:tcPr>
          <w:p w14:paraId="5E02A080">
            <w:pPr>
              <w:spacing w:line="500" w:lineRule="exact"/>
              <w:jc w:val="center"/>
              <w:rPr>
                <w:rFonts w:eastAsia="仿宋_GB2312"/>
                <w:color w:val="000000"/>
                <w:sz w:val="28"/>
                <w:szCs w:val="28"/>
              </w:rPr>
            </w:pPr>
          </w:p>
        </w:tc>
        <w:tc>
          <w:tcPr>
            <w:tcW w:w="992" w:type="dxa"/>
            <w:vAlign w:val="center"/>
          </w:tcPr>
          <w:p w14:paraId="25D42BA3">
            <w:pPr>
              <w:spacing w:line="500" w:lineRule="exact"/>
              <w:jc w:val="center"/>
              <w:rPr>
                <w:rFonts w:eastAsia="仿宋_GB2312"/>
                <w:color w:val="000000"/>
                <w:sz w:val="28"/>
                <w:szCs w:val="28"/>
              </w:rPr>
            </w:pPr>
          </w:p>
        </w:tc>
        <w:tc>
          <w:tcPr>
            <w:tcW w:w="851" w:type="dxa"/>
            <w:vAlign w:val="center"/>
          </w:tcPr>
          <w:p w14:paraId="579ADD96">
            <w:pPr>
              <w:spacing w:line="500" w:lineRule="exact"/>
              <w:jc w:val="center"/>
              <w:rPr>
                <w:rFonts w:eastAsia="仿宋_GB2312"/>
                <w:color w:val="000000"/>
                <w:sz w:val="28"/>
                <w:szCs w:val="28"/>
              </w:rPr>
            </w:pPr>
          </w:p>
        </w:tc>
        <w:tc>
          <w:tcPr>
            <w:tcW w:w="1487" w:type="dxa"/>
            <w:vAlign w:val="center"/>
          </w:tcPr>
          <w:p w14:paraId="6B33A75F">
            <w:pPr>
              <w:spacing w:line="500" w:lineRule="exact"/>
              <w:jc w:val="center"/>
              <w:rPr>
                <w:rFonts w:eastAsia="仿宋_GB2312"/>
                <w:color w:val="000000"/>
                <w:sz w:val="28"/>
                <w:szCs w:val="28"/>
              </w:rPr>
            </w:pPr>
          </w:p>
        </w:tc>
        <w:tc>
          <w:tcPr>
            <w:tcW w:w="992" w:type="dxa"/>
            <w:vAlign w:val="center"/>
          </w:tcPr>
          <w:p w14:paraId="37A8C639">
            <w:pPr>
              <w:spacing w:line="500" w:lineRule="exact"/>
              <w:jc w:val="center"/>
              <w:rPr>
                <w:rFonts w:eastAsia="仿宋_GB2312"/>
                <w:color w:val="000000"/>
                <w:sz w:val="28"/>
                <w:szCs w:val="28"/>
              </w:rPr>
            </w:pPr>
          </w:p>
        </w:tc>
      </w:tr>
      <w:tr w14:paraId="555856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241AB16F">
            <w:pPr>
              <w:spacing w:line="500" w:lineRule="exact"/>
              <w:jc w:val="center"/>
              <w:rPr>
                <w:rFonts w:eastAsia="仿宋_GB2312"/>
                <w:color w:val="000000"/>
                <w:sz w:val="28"/>
                <w:szCs w:val="28"/>
              </w:rPr>
            </w:pPr>
          </w:p>
        </w:tc>
        <w:tc>
          <w:tcPr>
            <w:tcW w:w="1276" w:type="dxa"/>
            <w:vAlign w:val="center"/>
          </w:tcPr>
          <w:p w14:paraId="2F15AF8A">
            <w:pPr>
              <w:spacing w:line="500" w:lineRule="exact"/>
              <w:jc w:val="center"/>
              <w:rPr>
                <w:rFonts w:eastAsia="仿宋_GB2312"/>
                <w:color w:val="000000"/>
                <w:sz w:val="28"/>
                <w:szCs w:val="28"/>
              </w:rPr>
            </w:pPr>
          </w:p>
        </w:tc>
        <w:tc>
          <w:tcPr>
            <w:tcW w:w="1418" w:type="dxa"/>
            <w:vAlign w:val="center"/>
          </w:tcPr>
          <w:p w14:paraId="6DFC0E28">
            <w:pPr>
              <w:spacing w:line="500" w:lineRule="exact"/>
              <w:jc w:val="center"/>
              <w:rPr>
                <w:rFonts w:eastAsia="仿宋_GB2312"/>
                <w:color w:val="000000"/>
                <w:sz w:val="28"/>
                <w:szCs w:val="28"/>
              </w:rPr>
            </w:pPr>
          </w:p>
        </w:tc>
        <w:tc>
          <w:tcPr>
            <w:tcW w:w="940" w:type="dxa"/>
            <w:vAlign w:val="center"/>
          </w:tcPr>
          <w:p w14:paraId="79B80A3E">
            <w:pPr>
              <w:spacing w:line="500" w:lineRule="exact"/>
              <w:jc w:val="center"/>
              <w:rPr>
                <w:rFonts w:eastAsia="仿宋_GB2312"/>
                <w:color w:val="000000"/>
                <w:sz w:val="28"/>
                <w:szCs w:val="28"/>
              </w:rPr>
            </w:pPr>
          </w:p>
        </w:tc>
        <w:tc>
          <w:tcPr>
            <w:tcW w:w="851" w:type="dxa"/>
            <w:vAlign w:val="center"/>
          </w:tcPr>
          <w:p w14:paraId="246DD427">
            <w:pPr>
              <w:spacing w:line="500" w:lineRule="exact"/>
              <w:jc w:val="center"/>
              <w:rPr>
                <w:rFonts w:eastAsia="仿宋_GB2312"/>
                <w:color w:val="000000"/>
                <w:sz w:val="28"/>
                <w:szCs w:val="28"/>
              </w:rPr>
            </w:pPr>
          </w:p>
        </w:tc>
        <w:tc>
          <w:tcPr>
            <w:tcW w:w="1044" w:type="dxa"/>
            <w:vAlign w:val="center"/>
          </w:tcPr>
          <w:p w14:paraId="247097BD">
            <w:pPr>
              <w:spacing w:line="500" w:lineRule="exact"/>
              <w:jc w:val="center"/>
              <w:rPr>
                <w:rFonts w:eastAsia="仿宋_GB2312"/>
                <w:color w:val="000000"/>
                <w:sz w:val="28"/>
                <w:szCs w:val="28"/>
              </w:rPr>
            </w:pPr>
          </w:p>
        </w:tc>
        <w:tc>
          <w:tcPr>
            <w:tcW w:w="992" w:type="dxa"/>
            <w:vAlign w:val="center"/>
          </w:tcPr>
          <w:p w14:paraId="0E79F0A6">
            <w:pPr>
              <w:spacing w:line="500" w:lineRule="exact"/>
              <w:jc w:val="center"/>
              <w:rPr>
                <w:rFonts w:eastAsia="仿宋_GB2312"/>
                <w:color w:val="000000"/>
                <w:sz w:val="28"/>
                <w:szCs w:val="28"/>
              </w:rPr>
            </w:pPr>
          </w:p>
        </w:tc>
        <w:tc>
          <w:tcPr>
            <w:tcW w:w="851" w:type="dxa"/>
            <w:vAlign w:val="center"/>
          </w:tcPr>
          <w:p w14:paraId="7711D29D">
            <w:pPr>
              <w:spacing w:line="500" w:lineRule="exact"/>
              <w:jc w:val="center"/>
              <w:rPr>
                <w:rFonts w:eastAsia="仿宋_GB2312"/>
                <w:color w:val="000000"/>
                <w:sz w:val="28"/>
                <w:szCs w:val="28"/>
              </w:rPr>
            </w:pPr>
          </w:p>
        </w:tc>
        <w:tc>
          <w:tcPr>
            <w:tcW w:w="1487" w:type="dxa"/>
            <w:vAlign w:val="center"/>
          </w:tcPr>
          <w:p w14:paraId="01C9C7BA">
            <w:pPr>
              <w:spacing w:line="500" w:lineRule="exact"/>
              <w:jc w:val="center"/>
              <w:rPr>
                <w:rFonts w:eastAsia="仿宋_GB2312"/>
                <w:color w:val="000000"/>
                <w:sz w:val="28"/>
                <w:szCs w:val="28"/>
              </w:rPr>
            </w:pPr>
          </w:p>
        </w:tc>
        <w:tc>
          <w:tcPr>
            <w:tcW w:w="992" w:type="dxa"/>
            <w:vAlign w:val="center"/>
          </w:tcPr>
          <w:p w14:paraId="34FFD342">
            <w:pPr>
              <w:spacing w:line="500" w:lineRule="exact"/>
              <w:jc w:val="center"/>
              <w:rPr>
                <w:rFonts w:eastAsia="仿宋_GB2312"/>
                <w:color w:val="000000"/>
                <w:sz w:val="28"/>
                <w:szCs w:val="28"/>
              </w:rPr>
            </w:pPr>
          </w:p>
        </w:tc>
      </w:tr>
      <w:tr w14:paraId="402824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3901470B">
            <w:pPr>
              <w:spacing w:line="500" w:lineRule="exact"/>
              <w:jc w:val="center"/>
              <w:rPr>
                <w:rFonts w:eastAsia="仿宋_GB2312"/>
                <w:color w:val="000000"/>
                <w:sz w:val="28"/>
                <w:szCs w:val="28"/>
              </w:rPr>
            </w:pPr>
          </w:p>
        </w:tc>
        <w:tc>
          <w:tcPr>
            <w:tcW w:w="1276" w:type="dxa"/>
            <w:vAlign w:val="center"/>
          </w:tcPr>
          <w:p w14:paraId="010F4CF0">
            <w:pPr>
              <w:spacing w:line="500" w:lineRule="exact"/>
              <w:jc w:val="center"/>
              <w:rPr>
                <w:rFonts w:eastAsia="仿宋_GB2312"/>
                <w:color w:val="000000"/>
                <w:sz w:val="28"/>
                <w:szCs w:val="28"/>
              </w:rPr>
            </w:pPr>
          </w:p>
        </w:tc>
        <w:tc>
          <w:tcPr>
            <w:tcW w:w="1418" w:type="dxa"/>
            <w:vAlign w:val="center"/>
          </w:tcPr>
          <w:p w14:paraId="430741CB">
            <w:pPr>
              <w:spacing w:line="500" w:lineRule="exact"/>
              <w:jc w:val="center"/>
              <w:rPr>
                <w:rFonts w:eastAsia="仿宋_GB2312"/>
                <w:color w:val="000000"/>
                <w:sz w:val="28"/>
                <w:szCs w:val="28"/>
              </w:rPr>
            </w:pPr>
          </w:p>
        </w:tc>
        <w:tc>
          <w:tcPr>
            <w:tcW w:w="940" w:type="dxa"/>
            <w:vAlign w:val="center"/>
          </w:tcPr>
          <w:p w14:paraId="0873E1D7">
            <w:pPr>
              <w:spacing w:line="500" w:lineRule="exact"/>
              <w:jc w:val="center"/>
              <w:rPr>
                <w:rFonts w:eastAsia="仿宋_GB2312"/>
                <w:color w:val="000000"/>
                <w:sz w:val="28"/>
                <w:szCs w:val="28"/>
              </w:rPr>
            </w:pPr>
          </w:p>
        </w:tc>
        <w:tc>
          <w:tcPr>
            <w:tcW w:w="851" w:type="dxa"/>
            <w:vAlign w:val="center"/>
          </w:tcPr>
          <w:p w14:paraId="60ABB2EB">
            <w:pPr>
              <w:spacing w:line="500" w:lineRule="exact"/>
              <w:jc w:val="center"/>
              <w:rPr>
                <w:rFonts w:eastAsia="仿宋_GB2312"/>
                <w:color w:val="000000"/>
                <w:sz w:val="28"/>
                <w:szCs w:val="28"/>
              </w:rPr>
            </w:pPr>
          </w:p>
        </w:tc>
        <w:tc>
          <w:tcPr>
            <w:tcW w:w="1044" w:type="dxa"/>
            <w:vAlign w:val="center"/>
          </w:tcPr>
          <w:p w14:paraId="35FBDBF4">
            <w:pPr>
              <w:spacing w:line="500" w:lineRule="exact"/>
              <w:jc w:val="center"/>
              <w:rPr>
                <w:rFonts w:eastAsia="仿宋_GB2312"/>
                <w:color w:val="000000"/>
                <w:sz w:val="28"/>
                <w:szCs w:val="28"/>
              </w:rPr>
            </w:pPr>
          </w:p>
        </w:tc>
        <w:tc>
          <w:tcPr>
            <w:tcW w:w="992" w:type="dxa"/>
            <w:vAlign w:val="center"/>
          </w:tcPr>
          <w:p w14:paraId="1A31FFC7">
            <w:pPr>
              <w:spacing w:line="500" w:lineRule="exact"/>
              <w:jc w:val="center"/>
              <w:rPr>
                <w:rFonts w:eastAsia="仿宋_GB2312"/>
                <w:color w:val="000000"/>
                <w:sz w:val="28"/>
                <w:szCs w:val="28"/>
              </w:rPr>
            </w:pPr>
          </w:p>
        </w:tc>
        <w:tc>
          <w:tcPr>
            <w:tcW w:w="851" w:type="dxa"/>
            <w:vAlign w:val="center"/>
          </w:tcPr>
          <w:p w14:paraId="0B2E2A7F">
            <w:pPr>
              <w:spacing w:line="500" w:lineRule="exact"/>
              <w:jc w:val="center"/>
              <w:rPr>
                <w:rFonts w:eastAsia="仿宋_GB2312"/>
                <w:color w:val="000000"/>
                <w:sz w:val="28"/>
                <w:szCs w:val="28"/>
              </w:rPr>
            </w:pPr>
          </w:p>
        </w:tc>
        <w:tc>
          <w:tcPr>
            <w:tcW w:w="1487" w:type="dxa"/>
            <w:vAlign w:val="center"/>
          </w:tcPr>
          <w:p w14:paraId="0520FC45">
            <w:pPr>
              <w:spacing w:line="500" w:lineRule="exact"/>
              <w:jc w:val="center"/>
              <w:rPr>
                <w:rFonts w:eastAsia="仿宋_GB2312"/>
                <w:color w:val="000000"/>
                <w:sz w:val="28"/>
                <w:szCs w:val="28"/>
              </w:rPr>
            </w:pPr>
          </w:p>
        </w:tc>
        <w:tc>
          <w:tcPr>
            <w:tcW w:w="992" w:type="dxa"/>
            <w:vAlign w:val="center"/>
          </w:tcPr>
          <w:p w14:paraId="5D7A8409">
            <w:pPr>
              <w:spacing w:line="500" w:lineRule="exact"/>
              <w:jc w:val="center"/>
              <w:rPr>
                <w:rFonts w:eastAsia="仿宋_GB2312"/>
                <w:color w:val="000000"/>
                <w:sz w:val="28"/>
                <w:szCs w:val="28"/>
              </w:rPr>
            </w:pPr>
          </w:p>
        </w:tc>
      </w:tr>
      <w:tr w14:paraId="12F82A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5EFE3404">
            <w:pPr>
              <w:spacing w:line="500" w:lineRule="exact"/>
              <w:jc w:val="center"/>
              <w:rPr>
                <w:rFonts w:eastAsia="仿宋_GB2312"/>
                <w:color w:val="000000"/>
                <w:sz w:val="28"/>
                <w:szCs w:val="28"/>
              </w:rPr>
            </w:pPr>
          </w:p>
        </w:tc>
        <w:tc>
          <w:tcPr>
            <w:tcW w:w="1276" w:type="dxa"/>
            <w:vAlign w:val="center"/>
          </w:tcPr>
          <w:p w14:paraId="591E623B">
            <w:pPr>
              <w:spacing w:line="500" w:lineRule="exact"/>
              <w:jc w:val="center"/>
              <w:rPr>
                <w:rFonts w:eastAsia="仿宋_GB2312"/>
                <w:color w:val="000000"/>
                <w:sz w:val="28"/>
                <w:szCs w:val="28"/>
              </w:rPr>
            </w:pPr>
          </w:p>
        </w:tc>
        <w:tc>
          <w:tcPr>
            <w:tcW w:w="1418" w:type="dxa"/>
            <w:vAlign w:val="center"/>
          </w:tcPr>
          <w:p w14:paraId="7DAB5708">
            <w:pPr>
              <w:spacing w:line="500" w:lineRule="exact"/>
              <w:jc w:val="center"/>
              <w:rPr>
                <w:rFonts w:eastAsia="仿宋_GB2312"/>
                <w:color w:val="000000"/>
                <w:sz w:val="28"/>
                <w:szCs w:val="28"/>
              </w:rPr>
            </w:pPr>
          </w:p>
        </w:tc>
        <w:tc>
          <w:tcPr>
            <w:tcW w:w="940" w:type="dxa"/>
            <w:vAlign w:val="center"/>
          </w:tcPr>
          <w:p w14:paraId="3136D9CC">
            <w:pPr>
              <w:spacing w:line="500" w:lineRule="exact"/>
              <w:jc w:val="center"/>
              <w:rPr>
                <w:rFonts w:eastAsia="仿宋_GB2312"/>
                <w:color w:val="000000"/>
                <w:sz w:val="28"/>
                <w:szCs w:val="28"/>
              </w:rPr>
            </w:pPr>
          </w:p>
        </w:tc>
        <w:tc>
          <w:tcPr>
            <w:tcW w:w="851" w:type="dxa"/>
            <w:vAlign w:val="center"/>
          </w:tcPr>
          <w:p w14:paraId="204E45BF">
            <w:pPr>
              <w:spacing w:line="500" w:lineRule="exact"/>
              <w:jc w:val="center"/>
              <w:rPr>
                <w:rFonts w:eastAsia="仿宋_GB2312"/>
                <w:color w:val="000000"/>
                <w:sz w:val="28"/>
                <w:szCs w:val="28"/>
              </w:rPr>
            </w:pPr>
          </w:p>
        </w:tc>
        <w:tc>
          <w:tcPr>
            <w:tcW w:w="1044" w:type="dxa"/>
            <w:vAlign w:val="center"/>
          </w:tcPr>
          <w:p w14:paraId="75D673AB">
            <w:pPr>
              <w:spacing w:line="500" w:lineRule="exact"/>
              <w:jc w:val="center"/>
              <w:rPr>
                <w:rFonts w:eastAsia="仿宋_GB2312"/>
                <w:color w:val="000000"/>
                <w:sz w:val="28"/>
                <w:szCs w:val="28"/>
              </w:rPr>
            </w:pPr>
          </w:p>
        </w:tc>
        <w:tc>
          <w:tcPr>
            <w:tcW w:w="992" w:type="dxa"/>
            <w:vAlign w:val="center"/>
          </w:tcPr>
          <w:p w14:paraId="3F206BAB">
            <w:pPr>
              <w:spacing w:line="500" w:lineRule="exact"/>
              <w:jc w:val="center"/>
              <w:rPr>
                <w:rFonts w:eastAsia="仿宋_GB2312"/>
                <w:color w:val="000000"/>
                <w:sz w:val="28"/>
                <w:szCs w:val="28"/>
              </w:rPr>
            </w:pPr>
          </w:p>
        </w:tc>
        <w:tc>
          <w:tcPr>
            <w:tcW w:w="851" w:type="dxa"/>
            <w:vAlign w:val="center"/>
          </w:tcPr>
          <w:p w14:paraId="59CF6566">
            <w:pPr>
              <w:spacing w:line="500" w:lineRule="exact"/>
              <w:jc w:val="center"/>
              <w:rPr>
                <w:rFonts w:eastAsia="仿宋_GB2312"/>
                <w:color w:val="000000"/>
                <w:sz w:val="28"/>
                <w:szCs w:val="28"/>
              </w:rPr>
            </w:pPr>
          </w:p>
        </w:tc>
        <w:tc>
          <w:tcPr>
            <w:tcW w:w="1487" w:type="dxa"/>
            <w:vAlign w:val="center"/>
          </w:tcPr>
          <w:p w14:paraId="0471D193">
            <w:pPr>
              <w:spacing w:line="500" w:lineRule="exact"/>
              <w:jc w:val="center"/>
              <w:rPr>
                <w:rFonts w:eastAsia="仿宋_GB2312"/>
                <w:color w:val="000000"/>
                <w:sz w:val="28"/>
                <w:szCs w:val="28"/>
              </w:rPr>
            </w:pPr>
          </w:p>
        </w:tc>
        <w:tc>
          <w:tcPr>
            <w:tcW w:w="992" w:type="dxa"/>
            <w:vAlign w:val="center"/>
          </w:tcPr>
          <w:p w14:paraId="1D81ADE0">
            <w:pPr>
              <w:spacing w:line="500" w:lineRule="exact"/>
              <w:jc w:val="center"/>
              <w:rPr>
                <w:rFonts w:eastAsia="仿宋_GB2312"/>
                <w:color w:val="000000"/>
                <w:sz w:val="28"/>
                <w:szCs w:val="28"/>
              </w:rPr>
            </w:pPr>
          </w:p>
        </w:tc>
      </w:tr>
      <w:tr w14:paraId="5A81B8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851" w:type="dxa"/>
            <w:vAlign w:val="center"/>
          </w:tcPr>
          <w:p w14:paraId="557290C9">
            <w:pPr>
              <w:spacing w:line="500" w:lineRule="exact"/>
              <w:jc w:val="center"/>
              <w:rPr>
                <w:rFonts w:eastAsia="仿宋_GB2312"/>
                <w:color w:val="000000"/>
                <w:sz w:val="28"/>
                <w:szCs w:val="28"/>
              </w:rPr>
            </w:pPr>
          </w:p>
        </w:tc>
        <w:tc>
          <w:tcPr>
            <w:tcW w:w="1276" w:type="dxa"/>
            <w:vAlign w:val="center"/>
          </w:tcPr>
          <w:p w14:paraId="27295B38">
            <w:pPr>
              <w:spacing w:line="500" w:lineRule="exact"/>
              <w:jc w:val="center"/>
              <w:rPr>
                <w:rFonts w:eastAsia="仿宋_GB2312"/>
                <w:color w:val="000000"/>
                <w:sz w:val="28"/>
                <w:szCs w:val="28"/>
              </w:rPr>
            </w:pPr>
          </w:p>
        </w:tc>
        <w:tc>
          <w:tcPr>
            <w:tcW w:w="1418" w:type="dxa"/>
            <w:vAlign w:val="center"/>
          </w:tcPr>
          <w:p w14:paraId="789D31E8">
            <w:pPr>
              <w:spacing w:line="500" w:lineRule="exact"/>
              <w:jc w:val="center"/>
              <w:rPr>
                <w:rFonts w:eastAsia="仿宋_GB2312"/>
                <w:color w:val="000000"/>
                <w:sz w:val="28"/>
                <w:szCs w:val="28"/>
              </w:rPr>
            </w:pPr>
          </w:p>
        </w:tc>
        <w:tc>
          <w:tcPr>
            <w:tcW w:w="940" w:type="dxa"/>
            <w:vAlign w:val="center"/>
          </w:tcPr>
          <w:p w14:paraId="419084D2">
            <w:pPr>
              <w:spacing w:line="500" w:lineRule="exact"/>
              <w:jc w:val="center"/>
              <w:rPr>
                <w:rFonts w:eastAsia="仿宋_GB2312"/>
                <w:color w:val="000000"/>
                <w:sz w:val="28"/>
                <w:szCs w:val="28"/>
              </w:rPr>
            </w:pPr>
          </w:p>
        </w:tc>
        <w:tc>
          <w:tcPr>
            <w:tcW w:w="851" w:type="dxa"/>
            <w:vAlign w:val="center"/>
          </w:tcPr>
          <w:p w14:paraId="604449B9">
            <w:pPr>
              <w:spacing w:line="500" w:lineRule="exact"/>
              <w:jc w:val="center"/>
              <w:rPr>
                <w:rFonts w:eastAsia="仿宋_GB2312"/>
                <w:color w:val="000000"/>
                <w:sz w:val="28"/>
                <w:szCs w:val="28"/>
              </w:rPr>
            </w:pPr>
          </w:p>
        </w:tc>
        <w:tc>
          <w:tcPr>
            <w:tcW w:w="1044" w:type="dxa"/>
            <w:vAlign w:val="center"/>
          </w:tcPr>
          <w:p w14:paraId="36CD2B74">
            <w:pPr>
              <w:spacing w:line="500" w:lineRule="exact"/>
              <w:jc w:val="center"/>
              <w:rPr>
                <w:rFonts w:eastAsia="仿宋_GB2312"/>
                <w:color w:val="000000"/>
                <w:sz w:val="28"/>
                <w:szCs w:val="28"/>
              </w:rPr>
            </w:pPr>
          </w:p>
        </w:tc>
        <w:tc>
          <w:tcPr>
            <w:tcW w:w="992" w:type="dxa"/>
            <w:vAlign w:val="center"/>
          </w:tcPr>
          <w:p w14:paraId="7808D488">
            <w:pPr>
              <w:spacing w:line="500" w:lineRule="exact"/>
              <w:jc w:val="center"/>
              <w:rPr>
                <w:rFonts w:eastAsia="仿宋_GB2312"/>
                <w:color w:val="000000"/>
                <w:sz w:val="28"/>
                <w:szCs w:val="28"/>
              </w:rPr>
            </w:pPr>
          </w:p>
        </w:tc>
        <w:tc>
          <w:tcPr>
            <w:tcW w:w="851" w:type="dxa"/>
            <w:vAlign w:val="center"/>
          </w:tcPr>
          <w:p w14:paraId="05CE6BFB">
            <w:pPr>
              <w:spacing w:line="500" w:lineRule="exact"/>
              <w:jc w:val="center"/>
              <w:rPr>
                <w:rFonts w:eastAsia="仿宋_GB2312"/>
                <w:color w:val="000000"/>
                <w:sz w:val="28"/>
                <w:szCs w:val="28"/>
              </w:rPr>
            </w:pPr>
          </w:p>
        </w:tc>
        <w:tc>
          <w:tcPr>
            <w:tcW w:w="1487" w:type="dxa"/>
            <w:vAlign w:val="center"/>
          </w:tcPr>
          <w:p w14:paraId="5B11385A">
            <w:pPr>
              <w:spacing w:line="500" w:lineRule="exact"/>
              <w:jc w:val="center"/>
              <w:rPr>
                <w:rFonts w:eastAsia="仿宋_GB2312"/>
                <w:color w:val="000000"/>
                <w:sz w:val="28"/>
                <w:szCs w:val="28"/>
              </w:rPr>
            </w:pPr>
          </w:p>
        </w:tc>
        <w:tc>
          <w:tcPr>
            <w:tcW w:w="992" w:type="dxa"/>
            <w:vAlign w:val="center"/>
          </w:tcPr>
          <w:p w14:paraId="3EABA911">
            <w:pPr>
              <w:spacing w:line="500" w:lineRule="exact"/>
              <w:jc w:val="center"/>
              <w:rPr>
                <w:rFonts w:eastAsia="仿宋_GB2312"/>
                <w:color w:val="000000"/>
                <w:sz w:val="28"/>
                <w:szCs w:val="28"/>
              </w:rPr>
            </w:pPr>
          </w:p>
        </w:tc>
      </w:tr>
      <w:tr w14:paraId="10F2D8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3D9E896C">
            <w:pPr>
              <w:spacing w:line="500" w:lineRule="exact"/>
              <w:jc w:val="center"/>
              <w:rPr>
                <w:rFonts w:eastAsia="仿宋_GB2312"/>
                <w:color w:val="000000"/>
                <w:sz w:val="28"/>
                <w:szCs w:val="28"/>
              </w:rPr>
            </w:pPr>
          </w:p>
        </w:tc>
        <w:tc>
          <w:tcPr>
            <w:tcW w:w="1276" w:type="dxa"/>
            <w:vAlign w:val="center"/>
          </w:tcPr>
          <w:p w14:paraId="060ACD7A">
            <w:pPr>
              <w:spacing w:line="500" w:lineRule="exact"/>
              <w:jc w:val="center"/>
              <w:rPr>
                <w:rFonts w:eastAsia="仿宋_GB2312"/>
                <w:color w:val="000000"/>
                <w:sz w:val="28"/>
                <w:szCs w:val="28"/>
              </w:rPr>
            </w:pPr>
          </w:p>
        </w:tc>
        <w:tc>
          <w:tcPr>
            <w:tcW w:w="1418" w:type="dxa"/>
            <w:vAlign w:val="center"/>
          </w:tcPr>
          <w:p w14:paraId="6779819B">
            <w:pPr>
              <w:spacing w:line="500" w:lineRule="exact"/>
              <w:jc w:val="center"/>
              <w:rPr>
                <w:rFonts w:eastAsia="仿宋_GB2312"/>
                <w:color w:val="000000"/>
                <w:sz w:val="28"/>
                <w:szCs w:val="28"/>
              </w:rPr>
            </w:pPr>
          </w:p>
        </w:tc>
        <w:tc>
          <w:tcPr>
            <w:tcW w:w="940" w:type="dxa"/>
            <w:vAlign w:val="center"/>
          </w:tcPr>
          <w:p w14:paraId="3B6E11AB">
            <w:pPr>
              <w:spacing w:line="500" w:lineRule="exact"/>
              <w:jc w:val="center"/>
              <w:rPr>
                <w:rFonts w:eastAsia="仿宋_GB2312"/>
                <w:color w:val="000000"/>
                <w:sz w:val="28"/>
                <w:szCs w:val="28"/>
              </w:rPr>
            </w:pPr>
          </w:p>
        </w:tc>
        <w:tc>
          <w:tcPr>
            <w:tcW w:w="851" w:type="dxa"/>
            <w:vAlign w:val="center"/>
          </w:tcPr>
          <w:p w14:paraId="08A8985A">
            <w:pPr>
              <w:spacing w:line="500" w:lineRule="exact"/>
              <w:jc w:val="center"/>
              <w:rPr>
                <w:rFonts w:eastAsia="仿宋_GB2312"/>
                <w:color w:val="000000"/>
                <w:sz w:val="28"/>
                <w:szCs w:val="28"/>
              </w:rPr>
            </w:pPr>
          </w:p>
        </w:tc>
        <w:tc>
          <w:tcPr>
            <w:tcW w:w="1044" w:type="dxa"/>
            <w:vAlign w:val="center"/>
          </w:tcPr>
          <w:p w14:paraId="46E97642">
            <w:pPr>
              <w:spacing w:line="500" w:lineRule="exact"/>
              <w:jc w:val="center"/>
              <w:rPr>
                <w:rFonts w:eastAsia="仿宋_GB2312"/>
                <w:color w:val="000000"/>
                <w:sz w:val="28"/>
                <w:szCs w:val="28"/>
              </w:rPr>
            </w:pPr>
          </w:p>
        </w:tc>
        <w:tc>
          <w:tcPr>
            <w:tcW w:w="992" w:type="dxa"/>
            <w:vAlign w:val="center"/>
          </w:tcPr>
          <w:p w14:paraId="056A9959">
            <w:pPr>
              <w:spacing w:line="500" w:lineRule="exact"/>
              <w:jc w:val="center"/>
              <w:rPr>
                <w:rFonts w:eastAsia="仿宋_GB2312"/>
                <w:color w:val="000000"/>
                <w:sz w:val="28"/>
                <w:szCs w:val="28"/>
              </w:rPr>
            </w:pPr>
          </w:p>
        </w:tc>
        <w:tc>
          <w:tcPr>
            <w:tcW w:w="851" w:type="dxa"/>
            <w:vAlign w:val="center"/>
          </w:tcPr>
          <w:p w14:paraId="658996DD">
            <w:pPr>
              <w:spacing w:line="500" w:lineRule="exact"/>
              <w:jc w:val="center"/>
              <w:rPr>
                <w:rFonts w:eastAsia="仿宋_GB2312"/>
                <w:color w:val="000000"/>
                <w:sz w:val="28"/>
                <w:szCs w:val="28"/>
              </w:rPr>
            </w:pPr>
          </w:p>
        </w:tc>
        <w:tc>
          <w:tcPr>
            <w:tcW w:w="1487" w:type="dxa"/>
            <w:vAlign w:val="center"/>
          </w:tcPr>
          <w:p w14:paraId="6A6D8A94">
            <w:pPr>
              <w:spacing w:line="500" w:lineRule="exact"/>
              <w:jc w:val="center"/>
              <w:rPr>
                <w:rFonts w:eastAsia="仿宋_GB2312"/>
                <w:color w:val="000000"/>
                <w:sz w:val="28"/>
                <w:szCs w:val="28"/>
              </w:rPr>
            </w:pPr>
          </w:p>
        </w:tc>
        <w:tc>
          <w:tcPr>
            <w:tcW w:w="992" w:type="dxa"/>
            <w:vAlign w:val="center"/>
          </w:tcPr>
          <w:p w14:paraId="076A37FF">
            <w:pPr>
              <w:spacing w:line="500" w:lineRule="exact"/>
              <w:jc w:val="center"/>
              <w:rPr>
                <w:rFonts w:eastAsia="仿宋_GB2312"/>
                <w:color w:val="000000"/>
                <w:sz w:val="28"/>
                <w:szCs w:val="28"/>
              </w:rPr>
            </w:pPr>
          </w:p>
        </w:tc>
      </w:tr>
      <w:tr w14:paraId="30C3C0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851" w:type="dxa"/>
            <w:vAlign w:val="center"/>
          </w:tcPr>
          <w:p w14:paraId="4F5B1194">
            <w:pPr>
              <w:spacing w:line="500" w:lineRule="exact"/>
              <w:jc w:val="center"/>
              <w:rPr>
                <w:rFonts w:eastAsia="仿宋_GB2312"/>
                <w:color w:val="000000"/>
                <w:sz w:val="28"/>
                <w:szCs w:val="28"/>
              </w:rPr>
            </w:pPr>
          </w:p>
        </w:tc>
        <w:tc>
          <w:tcPr>
            <w:tcW w:w="1276" w:type="dxa"/>
            <w:vAlign w:val="center"/>
          </w:tcPr>
          <w:p w14:paraId="73BE4A8E">
            <w:pPr>
              <w:spacing w:line="500" w:lineRule="exact"/>
              <w:jc w:val="center"/>
              <w:rPr>
                <w:rFonts w:eastAsia="仿宋_GB2312"/>
                <w:color w:val="000000"/>
                <w:sz w:val="28"/>
                <w:szCs w:val="28"/>
              </w:rPr>
            </w:pPr>
          </w:p>
        </w:tc>
        <w:tc>
          <w:tcPr>
            <w:tcW w:w="1418" w:type="dxa"/>
            <w:vAlign w:val="center"/>
          </w:tcPr>
          <w:p w14:paraId="663F2A16">
            <w:pPr>
              <w:spacing w:line="500" w:lineRule="exact"/>
              <w:jc w:val="center"/>
              <w:rPr>
                <w:rFonts w:eastAsia="仿宋_GB2312"/>
                <w:color w:val="000000"/>
                <w:sz w:val="28"/>
                <w:szCs w:val="28"/>
              </w:rPr>
            </w:pPr>
          </w:p>
        </w:tc>
        <w:tc>
          <w:tcPr>
            <w:tcW w:w="940" w:type="dxa"/>
            <w:vAlign w:val="center"/>
          </w:tcPr>
          <w:p w14:paraId="203E7B9D">
            <w:pPr>
              <w:spacing w:line="500" w:lineRule="exact"/>
              <w:jc w:val="center"/>
              <w:rPr>
                <w:rFonts w:eastAsia="仿宋_GB2312"/>
                <w:color w:val="000000"/>
                <w:sz w:val="28"/>
                <w:szCs w:val="28"/>
              </w:rPr>
            </w:pPr>
          </w:p>
        </w:tc>
        <w:tc>
          <w:tcPr>
            <w:tcW w:w="851" w:type="dxa"/>
            <w:vAlign w:val="center"/>
          </w:tcPr>
          <w:p w14:paraId="181905E9">
            <w:pPr>
              <w:spacing w:line="500" w:lineRule="exact"/>
              <w:jc w:val="center"/>
              <w:rPr>
                <w:rFonts w:eastAsia="仿宋_GB2312"/>
                <w:color w:val="000000"/>
                <w:sz w:val="28"/>
                <w:szCs w:val="28"/>
              </w:rPr>
            </w:pPr>
          </w:p>
        </w:tc>
        <w:tc>
          <w:tcPr>
            <w:tcW w:w="1044" w:type="dxa"/>
            <w:vAlign w:val="center"/>
          </w:tcPr>
          <w:p w14:paraId="13048740">
            <w:pPr>
              <w:spacing w:line="500" w:lineRule="exact"/>
              <w:jc w:val="center"/>
              <w:rPr>
                <w:rFonts w:eastAsia="仿宋_GB2312"/>
                <w:color w:val="000000"/>
                <w:sz w:val="28"/>
                <w:szCs w:val="28"/>
              </w:rPr>
            </w:pPr>
          </w:p>
        </w:tc>
        <w:tc>
          <w:tcPr>
            <w:tcW w:w="992" w:type="dxa"/>
            <w:vAlign w:val="center"/>
          </w:tcPr>
          <w:p w14:paraId="2FC5604B">
            <w:pPr>
              <w:spacing w:line="500" w:lineRule="exact"/>
              <w:jc w:val="center"/>
              <w:rPr>
                <w:rFonts w:eastAsia="仿宋_GB2312"/>
                <w:color w:val="000000"/>
                <w:sz w:val="28"/>
                <w:szCs w:val="28"/>
              </w:rPr>
            </w:pPr>
          </w:p>
        </w:tc>
        <w:tc>
          <w:tcPr>
            <w:tcW w:w="851" w:type="dxa"/>
            <w:vAlign w:val="center"/>
          </w:tcPr>
          <w:p w14:paraId="420BE002">
            <w:pPr>
              <w:spacing w:line="500" w:lineRule="exact"/>
              <w:jc w:val="center"/>
              <w:rPr>
                <w:rFonts w:eastAsia="仿宋_GB2312"/>
                <w:color w:val="000000"/>
                <w:sz w:val="28"/>
                <w:szCs w:val="28"/>
              </w:rPr>
            </w:pPr>
          </w:p>
        </w:tc>
        <w:tc>
          <w:tcPr>
            <w:tcW w:w="1487" w:type="dxa"/>
            <w:vAlign w:val="center"/>
          </w:tcPr>
          <w:p w14:paraId="5C9D807F">
            <w:pPr>
              <w:spacing w:line="500" w:lineRule="exact"/>
              <w:jc w:val="center"/>
              <w:rPr>
                <w:rFonts w:eastAsia="仿宋_GB2312"/>
                <w:color w:val="000000"/>
                <w:sz w:val="28"/>
                <w:szCs w:val="28"/>
              </w:rPr>
            </w:pPr>
          </w:p>
        </w:tc>
        <w:tc>
          <w:tcPr>
            <w:tcW w:w="992" w:type="dxa"/>
            <w:vAlign w:val="center"/>
          </w:tcPr>
          <w:p w14:paraId="215764D3">
            <w:pPr>
              <w:spacing w:line="500" w:lineRule="exact"/>
              <w:jc w:val="center"/>
              <w:rPr>
                <w:rFonts w:eastAsia="仿宋_GB2312"/>
                <w:color w:val="000000"/>
                <w:sz w:val="28"/>
                <w:szCs w:val="28"/>
              </w:rPr>
            </w:pPr>
          </w:p>
        </w:tc>
      </w:tr>
    </w:tbl>
    <w:p w14:paraId="60BFC402">
      <w:pPr>
        <w:spacing w:line="360" w:lineRule="auto"/>
        <w:ind w:firstLine="723"/>
        <w:jc w:val="center"/>
        <w:outlineLvl w:val="0"/>
        <w:rPr>
          <w:rFonts w:hint="eastAsia" w:ascii="宋体" w:hAnsi="宋体"/>
          <w:b/>
          <w:sz w:val="36"/>
          <w:szCs w:val="36"/>
        </w:rPr>
        <w:sectPr>
          <w:pgSz w:w="11907" w:h="16840"/>
          <w:pgMar w:top="1418" w:right="1134" w:bottom="1418" w:left="1701" w:header="851" w:footer="851" w:gutter="0"/>
          <w:cols w:space="720" w:num="1"/>
          <w:docGrid w:linePitch="462" w:charSpace="0"/>
        </w:sectPr>
      </w:pPr>
    </w:p>
    <w:p w14:paraId="37CF5D30">
      <w:pPr>
        <w:spacing w:line="500" w:lineRule="exact"/>
        <w:rPr>
          <w:rFonts w:eastAsia="黑体"/>
          <w:color w:val="000000"/>
          <w:sz w:val="28"/>
          <w:szCs w:val="28"/>
        </w:rPr>
      </w:pPr>
      <w:r>
        <w:rPr>
          <w:rFonts w:eastAsia="仿宋_GB2312"/>
          <w:color w:val="000000"/>
          <w:sz w:val="28"/>
          <w:szCs w:val="28"/>
        </w:rPr>
        <w:t>附</w:t>
      </w:r>
      <w:bookmarkStart w:id="1668" w:name="_Toc296347225"/>
      <w:bookmarkStart w:id="1669" w:name="_Toc267261693"/>
      <w:bookmarkStart w:id="1670" w:name="_Toc296891266"/>
      <w:bookmarkStart w:id="1671" w:name="_Toc296944565"/>
      <w:bookmarkStart w:id="1672" w:name="_Toc296346727"/>
      <w:bookmarkStart w:id="1673" w:name="_Toc296503226"/>
      <w:bookmarkStart w:id="1674" w:name="_Toc296891054"/>
      <w:r>
        <w:rPr>
          <w:rFonts w:eastAsia="仿宋_GB2312"/>
          <w:color w:val="000000"/>
          <w:sz w:val="28"/>
          <w:szCs w:val="28"/>
        </w:rPr>
        <w:t>件3：</w:t>
      </w:r>
      <w:bookmarkEnd w:id="1668"/>
      <w:bookmarkEnd w:id="1669"/>
      <w:bookmarkEnd w:id="1670"/>
      <w:bookmarkEnd w:id="1671"/>
      <w:bookmarkEnd w:id="1672"/>
      <w:bookmarkEnd w:id="1673"/>
      <w:bookmarkEnd w:id="1674"/>
      <w:r>
        <w:rPr>
          <w:rFonts w:eastAsia="黑体"/>
          <w:color w:val="000000"/>
          <w:sz w:val="28"/>
          <w:szCs w:val="28"/>
        </w:rPr>
        <w:t xml:space="preserve">    </w:t>
      </w:r>
    </w:p>
    <w:p w14:paraId="2936D9D3">
      <w:pPr>
        <w:spacing w:line="500" w:lineRule="exact"/>
        <w:rPr>
          <w:rFonts w:eastAsia="黑体"/>
          <w:color w:val="000000"/>
          <w:sz w:val="28"/>
          <w:szCs w:val="28"/>
        </w:rPr>
      </w:pPr>
    </w:p>
    <w:p w14:paraId="384F2FE5">
      <w:pPr>
        <w:spacing w:before="120" w:beforeLines="50" w:after="120" w:afterLines="50" w:line="500" w:lineRule="exact"/>
        <w:jc w:val="center"/>
        <w:rPr>
          <w:rFonts w:eastAsia="黑体"/>
          <w:color w:val="000000"/>
          <w:sz w:val="28"/>
          <w:szCs w:val="28"/>
        </w:rPr>
      </w:pPr>
      <w:r>
        <w:rPr>
          <w:rFonts w:eastAsia="黑体"/>
          <w:color w:val="000000"/>
          <w:sz w:val="28"/>
          <w:szCs w:val="28"/>
        </w:rPr>
        <w:t>工程质量保修书</w:t>
      </w:r>
    </w:p>
    <w:p w14:paraId="50ED3F87">
      <w:pPr>
        <w:spacing w:line="500" w:lineRule="exact"/>
        <w:ind w:firstLine="560" w:firstLineChars="200"/>
        <w:rPr>
          <w:rFonts w:eastAsia="仿宋_GB2312"/>
          <w:color w:val="000000"/>
          <w:sz w:val="28"/>
          <w:szCs w:val="28"/>
        </w:rPr>
      </w:pPr>
      <w:r>
        <w:rPr>
          <w:rFonts w:eastAsia="仿宋_GB2312"/>
          <w:color w:val="000000"/>
          <w:sz w:val="28"/>
          <w:szCs w:val="28"/>
        </w:rPr>
        <w:t>发包人（全称）：</w:t>
      </w:r>
      <w:r>
        <w:rPr>
          <w:rFonts w:hint="eastAsia" w:eastAsia="仿宋_GB2312"/>
          <w:color w:val="000000"/>
          <w:sz w:val="28"/>
          <w:szCs w:val="28"/>
          <w:u w:val="single"/>
        </w:rPr>
        <w:t>北京市颐和园管理处</w:t>
      </w:r>
      <w:r>
        <w:rPr>
          <w:rFonts w:eastAsia="仿宋_GB2312"/>
          <w:color w:val="000000"/>
          <w:sz w:val="28"/>
          <w:szCs w:val="28"/>
        </w:rPr>
        <w:t xml:space="preserve"> </w:t>
      </w:r>
    </w:p>
    <w:p w14:paraId="38AB07FE">
      <w:pPr>
        <w:spacing w:line="500" w:lineRule="exact"/>
        <w:ind w:firstLine="560"/>
        <w:rPr>
          <w:rFonts w:eastAsia="仿宋_GB2312"/>
          <w:color w:val="000000"/>
          <w:sz w:val="28"/>
          <w:szCs w:val="28"/>
        </w:rPr>
      </w:pPr>
      <w:r>
        <w:rPr>
          <w:rFonts w:eastAsia="仿宋_GB2312"/>
          <w:color w:val="000000"/>
          <w:sz w:val="28"/>
          <w:szCs w:val="28"/>
        </w:rPr>
        <w:t>承包人（全称）：</w:t>
      </w:r>
      <w:r>
        <w:rPr>
          <w:rFonts w:hint="eastAsia" w:eastAsia="仿宋_GB2312"/>
          <w:color w:val="000000"/>
          <w:sz w:val="28"/>
          <w:szCs w:val="28"/>
          <w:u w:val="single"/>
        </w:rPr>
        <w:t xml:space="preserve">                        </w:t>
      </w:r>
      <w:r>
        <w:rPr>
          <w:rFonts w:eastAsia="仿宋_GB2312"/>
          <w:color w:val="000000"/>
          <w:sz w:val="28"/>
          <w:szCs w:val="28"/>
        </w:rPr>
        <w:t xml:space="preserve"> </w:t>
      </w:r>
    </w:p>
    <w:p w14:paraId="145E6EF9">
      <w:pPr>
        <w:spacing w:line="500" w:lineRule="exact"/>
        <w:ind w:firstLine="560"/>
        <w:rPr>
          <w:rFonts w:eastAsia="仿宋_GB2312"/>
          <w:color w:val="000000"/>
          <w:sz w:val="28"/>
          <w:szCs w:val="28"/>
        </w:rPr>
      </w:pPr>
    </w:p>
    <w:p w14:paraId="05D3F5D1">
      <w:pPr>
        <w:spacing w:line="500" w:lineRule="exact"/>
        <w:rPr>
          <w:rFonts w:eastAsia="仿宋_GB2312"/>
          <w:color w:val="000000"/>
          <w:sz w:val="28"/>
          <w:szCs w:val="28"/>
        </w:rPr>
      </w:pPr>
      <w:r>
        <w:rPr>
          <w:rFonts w:eastAsia="仿宋_GB2312"/>
          <w:color w:val="000000"/>
          <w:sz w:val="28"/>
          <w:szCs w:val="28"/>
        </w:rPr>
        <w:t>　　发包人和承包人根据《中华人民共和国建筑法》和《建设工程质量管理条例》，经协商一致就</w:t>
      </w:r>
      <w:r>
        <w:rPr>
          <w:rFonts w:hint="eastAsia" w:eastAsia="仿宋_GB2312"/>
          <w:color w:val="000000"/>
          <w:sz w:val="28"/>
          <w:szCs w:val="28"/>
          <w:u w:val="single"/>
        </w:rPr>
        <w:t>颐和园园内水电及基础设施维修（第一标段：配电设备设施运维）</w:t>
      </w:r>
      <w:r>
        <w:rPr>
          <w:rFonts w:eastAsia="仿宋_GB2312"/>
          <w:color w:val="000000"/>
          <w:sz w:val="28"/>
          <w:szCs w:val="28"/>
        </w:rPr>
        <w:t>（工程全称）签订工程质量保修书。</w:t>
      </w:r>
    </w:p>
    <w:p w14:paraId="2F89FE9C">
      <w:pPr>
        <w:spacing w:line="500" w:lineRule="exact"/>
        <w:outlineLvl w:val="0"/>
        <w:rPr>
          <w:rFonts w:eastAsia="黑体"/>
          <w:color w:val="000000"/>
          <w:sz w:val="28"/>
          <w:szCs w:val="28"/>
        </w:rPr>
      </w:pPr>
      <w:r>
        <w:rPr>
          <w:rFonts w:eastAsia="黑体"/>
          <w:color w:val="000000"/>
          <w:sz w:val="28"/>
          <w:szCs w:val="28"/>
        </w:rPr>
        <w:t>　　一、工程质量保修范围和内容</w:t>
      </w:r>
    </w:p>
    <w:p w14:paraId="5BF97C8A">
      <w:pPr>
        <w:spacing w:line="500" w:lineRule="exact"/>
        <w:rPr>
          <w:rFonts w:eastAsia="仿宋_GB2312"/>
          <w:color w:val="000000"/>
          <w:sz w:val="28"/>
          <w:szCs w:val="28"/>
        </w:rPr>
      </w:pPr>
      <w:r>
        <w:rPr>
          <w:rFonts w:eastAsia="仿宋_GB2312"/>
          <w:color w:val="000000"/>
          <w:sz w:val="28"/>
          <w:szCs w:val="28"/>
        </w:rPr>
        <w:t>　　承包人在质量保修期内，按照有关法律规定和合同约定，承担工程质量保修责任。</w:t>
      </w:r>
    </w:p>
    <w:p w14:paraId="0D2B9A1F">
      <w:pPr>
        <w:spacing w:line="500" w:lineRule="exact"/>
        <w:rPr>
          <w:rFonts w:eastAsia="仿宋_GB2312"/>
          <w:color w:val="000000"/>
          <w:sz w:val="28"/>
          <w:szCs w:val="28"/>
        </w:rPr>
      </w:pPr>
      <w:r>
        <w:rPr>
          <w:rFonts w:eastAsia="仿宋_GB2312"/>
          <w:color w:val="000000"/>
          <w:sz w:val="28"/>
          <w:szCs w:val="28"/>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5CC43E86">
      <w:pPr>
        <w:spacing w:line="500" w:lineRule="exact"/>
        <w:rPr>
          <w:rFonts w:eastAsia="仿宋_GB2312"/>
          <w:color w:val="000000"/>
          <w:sz w:val="28"/>
          <w:szCs w:val="28"/>
        </w:rPr>
      </w:pPr>
      <w:r>
        <w:rPr>
          <w:rFonts w:eastAsia="仿宋_GB2312"/>
          <w:color w:val="000000"/>
          <w:sz w:val="28"/>
          <w:szCs w:val="28"/>
        </w:rPr>
        <w:t>　　</w:t>
      </w:r>
      <w:r>
        <w:rPr>
          <w:rFonts w:hint="eastAsia" w:eastAsia="仿宋_GB2312"/>
          <w:sz w:val="28"/>
          <w:szCs w:val="28"/>
          <w:u w:val="single"/>
        </w:rPr>
        <w:t>施工招标工程量清单所包含的全部施工内容均要按照《建设工程质量管理条例》等国家相关法律法规进行保修</w:t>
      </w:r>
      <w:r>
        <w:rPr>
          <w:rFonts w:eastAsia="仿宋_GB2312"/>
          <w:sz w:val="28"/>
          <w:szCs w:val="28"/>
        </w:rPr>
        <w:t>。</w:t>
      </w:r>
    </w:p>
    <w:p w14:paraId="6F9F7B69">
      <w:pPr>
        <w:spacing w:line="500" w:lineRule="exact"/>
        <w:outlineLvl w:val="0"/>
        <w:rPr>
          <w:rFonts w:eastAsia="黑体"/>
          <w:color w:val="000000"/>
          <w:sz w:val="28"/>
          <w:szCs w:val="28"/>
        </w:rPr>
      </w:pPr>
      <w:r>
        <w:rPr>
          <w:rFonts w:eastAsia="仿宋_GB2312"/>
          <w:b/>
          <w:color w:val="000000"/>
          <w:sz w:val="28"/>
          <w:szCs w:val="28"/>
        </w:rPr>
        <w:t>　　</w:t>
      </w:r>
      <w:r>
        <w:rPr>
          <w:rFonts w:eastAsia="黑体"/>
          <w:color w:val="000000"/>
          <w:sz w:val="28"/>
          <w:szCs w:val="28"/>
        </w:rPr>
        <w:t>二、质量保修期</w:t>
      </w:r>
    </w:p>
    <w:p w14:paraId="544E5817">
      <w:pPr>
        <w:spacing w:line="500" w:lineRule="exact"/>
        <w:ind w:firstLine="560" w:firstLineChars="200"/>
        <w:rPr>
          <w:rFonts w:eastAsia="仿宋_GB2312"/>
          <w:color w:val="000000"/>
          <w:sz w:val="28"/>
          <w:szCs w:val="28"/>
        </w:rPr>
      </w:pPr>
      <w:r>
        <w:rPr>
          <w:rFonts w:eastAsia="仿宋_GB2312"/>
          <w:color w:val="000000"/>
          <w:sz w:val="28"/>
          <w:szCs w:val="28"/>
        </w:rPr>
        <w:t>根据《建设工程质量管理条例》及有关规定，工程的质量保修期如下：</w:t>
      </w:r>
    </w:p>
    <w:p w14:paraId="5C964864">
      <w:pPr>
        <w:spacing w:line="500" w:lineRule="exact"/>
        <w:ind w:firstLine="560" w:firstLineChars="200"/>
        <w:rPr>
          <w:rFonts w:ascii="仿宋_GB2312" w:eastAsia="仿宋_GB2312"/>
          <w:sz w:val="28"/>
          <w:szCs w:val="28"/>
        </w:rPr>
      </w:pPr>
      <w:r>
        <w:rPr>
          <w:rFonts w:hint="eastAsia" w:ascii="仿宋_GB2312" w:eastAsia="仿宋_GB2312"/>
          <w:sz w:val="28"/>
          <w:szCs w:val="28"/>
        </w:rPr>
        <w:t>1</w:t>
      </w:r>
      <w:r>
        <w:rPr>
          <w:rFonts w:hint="eastAsia" w:eastAsia="仿宋_GB2312"/>
          <w:color w:val="000000"/>
          <w:sz w:val="28"/>
          <w:szCs w:val="28"/>
        </w:rPr>
        <w:t>．</w:t>
      </w:r>
      <w:r>
        <w:rPr>
          <w:rFonts w:hint="eastAsia" w:ascii="仿宋_GB2312" w:eastAsia="仿宋_GB2312"/>
          <w:sz w:val="28"/>
          <w:szCs w:val="28"/>
        </w:rPr>
        <w:t>地基基础工程和主体结构工程为设计文件规定的工程合理使用年限；</w:t>
      </w:r>
    </w:p>
    <w:p w14:paraId="0C63FC99">
      <w:pPr>
        <w:spacing w:line="500" w:lineRule="exact"/>
        <w:ind w:firstLine="560" w:firstLineChars="200"/>
        <w:rPr>
          <w:rFonts w:eastAsia="仿宋_GB2312"/>
          <w:color w:val="000000"/>
          <w:sz w:val="28"/>
          <w:szCs w:val="28"/>
        </w:rPr>
      </w:pPr>
      <w:r>
        <w:rPr>
          <w:rFonts w:hint="eastAsia" w:eastAsia="仿宋_GB2312"/>
          <w:color w:val="000000"/>
          <w:sz w:val="28"/>
          <w:szCs w:val="28"/>
        </w:rPr>
        <w:t>2</w:t>
      </w:r>
      <w:r>
        <w:rPr>
          <w:rFonts w:hint="eastAsia" w:ascii="仿宋_GB2312" w:eastAsia="仿宋_GB2312"/>
          <w:sz w:val="28"/>
          <w:szCs w:val="28"/>
        </w:rPr>
        <w:t>．</w:t>
      </w:r>
      <w:r>
        <w:rPr>
          <w:rFonts w:eastAsia="仿宋_GB2312"/>
          <w:color w:val="000000"/>
          <w:sz w:val="28"/>
          <w:szCs w:val="28"/>
        </w:rPr>
        <w:t>屋面防水工程、有防水要求的卫生间、房间和外墙面的防渗</w:t>
      </w:r>
      <w:r>
        <w:rPr>
          <w:rFonts w:hint="eastAsia" w:eastAsia="仿宋_GB2312"/>
          <w:color w:val="000000"/>
          <w:sz w:val="28"/>
          <w:szCs w:val="28"/>
        </w:rPr>
        <w:t>为</w:t>
      </w:r>
      <w:r>
        <w:rPr>
          <w:rFonts w:hint="eastAsia" w:eastAsia="仿宋_GB2312"/>
          <w:color w:val="000000"/>
          <w:sz w:val="28"/>
          <w:szCs w:val="28"/>
          <w:u w:val="single"/>
        </w:rPr>
        <w:t xml:space="preserve">5        </w:t>
      </w:r>
      <w:r>
        <w:rPr>
          <w:rFonts w:eastAsia="仿宋_GB2312"/>
          <w:color w:val="000000"/>
          <w:sz w:val="28"/>
          <w:szCs w:val="28"/>
        </w:rPr>
        <w:t>年；</w:t>
      </w:r>
    </w:p>
    <w:p w14:paraId="72DE2C02">
      <w:pPr>
        <w:spacing w:line="500" w:lineRule="exact"/>
        <w:ind w:left="420" w:leftChars="200" w:firstLine="140" w:firstLineChars="50"/>
        <w:rPr>
          <w:rFonts w:eastAsia="仿宋_GB2312"/>
          <w:color w:val="000000"/>
          <w:sz w:val="28"/>
          <w:szCs w:val="28"/>
        </w:rPr>
      </w:pPr>
      <w:r>
        <w:rPr>
          <w:rFonts w:hint="eastAsia" w:eastAsia="仿宋_GB2312"/>
          <w:color w:val="000000"/>
          <w:sz w:val="28"/>
          <w:szCs w:val="28"/>
        </w:rPr>
        <w:t>3</w:t>
      </w:r>
      <w:r>
        <w:rPr>
          <w:rFonts w:hint="eastAsia" w:ascii="仿宋_GB2312" w:eastAsia="仿宋_GB2312"/>
          <w:sz w:val="28"/>
          <w:szCs w:val="28"/>
        </w:rPr>
        <w:t>．</w:t>
      </w:r>
      <w:r>
        <w:rPr>
          <w:rFonts w:eastAsia="仿宋_GB2312"/>
          <w:color w:val="000000"/>
          <w:sz w:val="28"/>
          <w:szCs w:val="28"/>
        </w:rPr>
        <w:t>装修工程为</w:t>
      </w:r>
      <w:r>
        <w:rPr>
          <w:rFonts w:hint="eastAsia" w:eastAsia="仿宋_GB2312"/>
          <w:color w:val="000000"/>
          <w:sz w:val="28"/>
          <w:szCs w:val="28"/>
          <w:u w:val="single"/>
        </w:rPr>
        <w:t>2</w:t>
      </w:r>
      <w:r>
        <w:rPr>
          <w:rFonts w:eastAsia="仿宋_GB2312"/>
          <w:color w:val="000000"/>
          <w:sz w:val="28"/>
          <w:szCs w:val="28"/>
        </w:rPr>
        <w:t>年；</w:t>
      </w:r>
    </w:p>
    <w:p w14:paraId="504B2BEE">
      <w:pPr>
        <w:spacing w:line="500" w:lineRule="exact"/>
        <w:ind w:left="420" w:leftChars="200" w:firstLine="140" w:firstLineChars="50"/>
        <w:rPr>
          <w:rFonts w:eastAsia="仿宋_GB2312"/>
          <w:color w:val="000000"/>
          <w:sz w:val="28"/>
          <w:szCs w:val="28"/>
        </w:rPr>
      </w:pPr>
      <w:r>
        <w:rPr>
          <w:rFonts w:hint="eastAsia" w:eastAsia="仿宋_GB2312"/>
          <w:color w:val="000000"/>
          <w:sz w:val="28"/>
          <w:szCs w:val="28"/>
        </w:rPr>
        <w:t>4</w:t>
      </w:r>
      <w:r>
        <w:rPr>
          <w:rFonts w:hint="eastAsia" w:ascii="仿宋_GB2312" w:eastAsia="仿宋_GB2312"/>
          <w:sz w:val="28"/>
          <w:szCs w:val="28"/>
        </w:rPr>
        <w:t>．</w:t>
      </w:r>
      <w:r>
        <w:rPr>
          <w:rFonts w:eastAsia="仿宋_GB2312"/>
          <w:color w:val="000000"/>
          <w:sz w:val="28"/>
          <w:szCs w:val="28"/>
        </w:rPr>
        <w:t>电气管线、给排水管道、设备安装工程为</w:t>
      </w:r>
      <w:r>
        <w:rPr>
          <w:rFonts w:hint="eastAsia" w:eastAsia="仿宋_GB2312"/>
          <w:color w:val="000000"/>
          <w:sz w:val="28"/>
          <w:szCs w:val="28"/>
          <w:u w:val="single"/>
        </w:rPr>
        <w:t>2</w:t>
      </w:r>
      <w:r>
        <w:rPr>
          <w:rFonts w:eastAsia="仿宋_GB2312"/>
          <w:color w:val="000000"/>
          <w:sz w:val="28"/>
          <w:szCs w:val="28"/>
        </w:rPr>
        <w:t>年；</w:t>
      </w:r>
    </w:p>
    <w:p w14:paraId="6EE1362E">
      <w:pPr>
        <w:spacing w:line="500" w:lineRule="exact"/>
        <w:ind w:left="420" w:leftChars="200" w:firstLine="140" w:firstLineChars="50"/>
        <w:rPr>
          <w:rFonts w:eastAsia="仿宋_GB2312"/>
          <w:color w:val="000000"/>
          <w:sz w:val="28"/>
          <w:szCs w:val="28"/>
        </w:rPr>
      </w:pPr>
      <w:r>
        <w:rPr>
          <w:rFonts w:hint="eastAsia" w:eastAsia="仿宋_GB2312"/>
          <w:color w:val="000000"/>
          <w:sz w:val="28"/>
          <w:szCs w:val="28"/>
        </w:rPr>
        <w:t>5</w:t>
      </w:r>
      <w:r>
        <w:rPr>
          <w:rFonts w:hint="eastAsia" w:ascii="仿宋_GB2312" w:eastAsia="仿宋_GB2312"/>
          <w:sz w:val="28"/>
          <w:szCs w:val="28"/>
        </w:rPr>
        <w:t>．</w:t>
      </w:r>
      <w:r>
        <w:rPr>
          <w:rFonts w:eastAsia="仿宋_GB2312"/>
          <w:color w:val="000000"/>
          <w:sz w:val="28"/>
          <w:szCs w:val="28"/>
        </w:rPr>
        <w:t>供热与供冷系统为</w:t>
      </w:r>
      <w:r>
        <w:rPr>
          <w:rFonts w:hint="eastAsia" w:eastAsia="仿宋_GB2312"/>
          <w:color w:val="000000"/>
          <w:sz w:val="28"/>
          <w:szCs w:val="28"/>
          <w:u w:val="single"/>
        </w:rPr>
        <w:t>2</w:t>
      </w:r>
      <w:r>
        <w:rPr>
          <w:rFonts w:eastAsia="仿宋_GB2312"/>
          <w:color w:val="000000"/>
          <w:sz w:val="28"/>
          <w:szCs w:val="28"/>
        </w:rPr>
        <w:t>个采暖期、供冷期；</w:t>
      </w:r>
    </w:p>
    <w:p w14:paraId="50E8720E">
      <w:pPr>
        <w:spacing w:line="500" w:lineRule="exact"/>
        <w:ind w:left="420" w:leftChars="200" w:firstLine="140" w:firstLineChars="50"/>
        <w:rPr>
          <w:rFonts w:eastAsia="仿宋_GB2312"/>
          <w:color w:val="000000"/>
          <w:sz w:val="28"/>
          <w:szCs w:val="28"/>
        </w:rPr>
      </w:pPr>
      <w:r>
        <w:rPr>
          <w:rFonts w:hint="eastAsia" w:eastAsia="仿宋_GB2312"/>
          <w:color w:val="000000"/>
          <w:sz w:val="28"/>
          <w:szCs w:val="28"/>
        </w:rPr>
        <w:t>6</w:t>
      </w:r>
      <w:r>
        <w:rPr>
          <w:rFonts w:hint="eastAsia" w:ascii="仿宋_GB2312" w:eastAsia="仿宋_GB2312"/>
          <w:sz w:val="28"/>
          <w:szCs w:val="28"/>
        </w:rPr>
        <w:t>．</w:t>
      </w:r>
      <w:r>
        <w:rPr>
          <w:rFonts w:eastAsia="仿宋_GB2312"/>
          <w:color w:val="000000"/>
          <w:sz w:val="28"/>
          <w:szCs w:val="28"/>
        </w:rPr>
        <w:t>住宅小区内的给排水设施、道路等配套工程为</w:t>
      </w:r>
      <w:r>
        <w:rPr>
          <w:rFonts w:hint="eastAsia" w:eastAsia="仿宋_GB2312"/>
          <w:color w:val="000000"/>
          <w:sz w:val="28"/>
          <w:szCs w:val="28"/>
          <w:u w:val="single"/>
        </w:rPr>
        <w:t>2</w:t>
      </w:r>
      <w:r>
        <w:rPr>
          <w:rFonts w:eastAsia="仿宋_GB2312"/>
          <w:color w:val="000000"/>
          <w:sz w:val="28"/>
          <w:szCs w:val="28"/>
        </w:rPr>
        <w:t>年；</w:t>
      </w:r>
    </w:p>
    <w:p w14:paraId="006C59EF">
      <w:pPr>
        <w:spacing w:line="500" w:lineRule="exact"/>
        <w:ind w:left="420" w:leftChars="200" w:firstLine="140" w:firstLineChars="50"/>
        <w:rPr>
          <w:rFonts w:eastAsia="仿宋_GB2312"/>
          <w:color w:val="000000"/>
          <w:sz w:val="28"/>
          <w:szCs w:val="28"/>
        </w:rPr>
      </w:pPr>
      <w:r>
        <w:rPr>
          <w:rFonts w:hint="eastAsia" w:eastAsia="仿宋_GB2312"/>
          <w:color w:val="000000"/>
          <w:sz w:val="28"/>
          <w:szCs w:val="28"/>
        </w:rPr>
        <w:t>7</w:t>
      </w:r>
      <w:r>
        <w:rPr>
          <w:rFonts w:hint="eastAsia" w:ascii="仿宋_GB2312" w:eastAsia="仿宋_GB2312"/>
          <w:sz w:val="28"/>
          <w:szCs w:val="28"/>
        </w:rPr>
        <w:t>．</w:t>
      </w:r>
      <w:r>
        <w:rPr>
          <w:rFonts w:eastAsia="仿宋_GB2312"/>
          <w:color w:val="000000"/>
          <w:sz w:val="28"/>
          <w:szCs w:val="28"/>
        </w:rPr>
        <w:t>其他项目保修期限约定如下：</w:t>
      </w:r>
    </w:p>
    <w:p w14:paraId="57C2C6F1">
      <w:pPr>
        <w:spacing w:line="500" w:lineRule="exact"/>
        <w:ind w:firstLine="560" w:firstLineChars="200"/>
        <w:rPr>
          <w:rFonts w:eastAsia="仿宋_GB2312"/>
          <w:color w:val="000000"/>
          <w:sz w:val="28"/>
          <w:szCs w:val="28"/>
        </w:rPr>
      </w:pPr>
      <w:r>
        <w:rPr>
          <w:rFonts w:hint="eastAsia" w:eastAsia="仿宋_GB2312"/>
          <w:color w:val="000000"/>
          <w:sz w:val="28"/>
          <w:szCs w:val="28"/>
          <w:u w:val="single"/>
        </w:rPr>
        <w:t>对施工的全部内容进行保修，上述未明确保修期的施工内容，保修期限均为2年</w:t>
      </w:r>
      <w:r>
        <w:rPr>
          <w:rFonts w:eastAsia="仿宋_GB2312"/>
          <w:color w:val="000000"/>
          <w:sz w:val="28"/>
          <w:szCs w:val="28"/>
        </w:rPr>
        <w:t>。　　</w:t>
      </w:r>
    </w:p>
    <w:p w14:paraId="6656F054">
      <w:pPr>
        <w:spacing w:line="500" w:lineRule="exact"/>
        <w:ind w:firstLine="560" w:firstLineChars="200"/>
        <w:rPr>
          <w:rFonts w:eastAsia="仿宋_GB2312"/>
          <w:color w:val="000000"/>
          <w:sz w:val="28"/>
          <w:szCs w:val="28"/>
        </w:rPr>
      </w:pPr>
      <w:r>
        <w:rPr>
          <w:rFonts w:eastAsia="仿宋_GB2312"/>
          <w:color w:val="000000"/>
          <w:sz w:val="28"/>
          <w:szCs w:val="28"/>
        </w:rPr>
        <w:t>质量保修期自工程竣工验收合格之日起计算。</w:t>
      </w:r>
    </w:p>
    <w:p w14:paraId="304EB795">
      <w:pPr>
        <w:spacing w:line="500" w:lineRule="exact"/>
        <w:ind w:firstLine="560" w:firstLineChars="200"/>
        <w:outlineLvl w:val="0"/>
        <w:rPr>
          <w:rFonts w:eastAsia="黑体"/>
          <w:color w:val="000000"/>
          <w:sz w:val="28"/>
          <w:szCs w:val="28"/>
        </w:rPr>
      </w:pPr>
      <w:r>
        <w:rPr>
          <w:rFonts w:eastAsia="黑体"/>
          <w:color w:val="000000"/>
          <w:sz w:val="28"/>
          <w:szCs w:val="28"/>
        </w:rPr>
        <w:t>三、缺陷责任期</w:t>
      </w:r>
    </w:p>
    <w:p w14:paraId="56E5ACA3">
      <w:pPr>
        <w:spacing w:line="500" w:lineRule="exact"/>
        <w:ind w:firstLine="560" w:firstLineChars="200"/>
        <w:rPr>
          <w:rFonts w:eastAsia="仿宋_GB2312"/>
          <w:color w:val="000000"/>
          <w:sz w:val="28"/>
          <w:szCs w:val="28"/>
        </w:rPr>
      </w:pPr>
      <w:r>
        <w:rPr>
          <w:rFonts w:eastAsia="仿宋_GB2312"/>
          <w:color w:val="000000"/>
          <w:sz w:val="28"/>
          <w:szCs w:val="28"/>
        </w:rPr>
        <w:t>工程缺陷责任期为</w:t>
      </w:r>
      <w:r>
        <w:rPr>
          <w:rFonts w:hint="eastAsia" w:eastAsia="仿宋_GB2312"/>
          <w:color w:val="000000"/>
          <w:sz w:val="28"/>
          <w:szCs w:val="28"/>
          <w:u w:val="single"/>
        </w:rPr>
        <w:t>24</w:t>
      </w:r>
      <w:r>
        <w:rPr>
          <w:rFonts w:eastAsia="仿宋_GB2312"/>
          <w:color w:val="000000"/>
          <w:sz w:val="28"/>
          <w:szCs w:val="28"/>
        </w:rPr>
        <w:t>个月，缺陷责任期自工程</w:t>
      </w:r>
      <w:r>
        <w:rPr>
          <w:rFonts w:hint="eastAsia" w:eastAsia="仿宋_GB2312"/>
          <w:color w:val="000000"/>
          <w:sz w:val="28"/>
          <w:szCs w:val="28"/>
        </w:rPr>
        <w:t>通过竣工验收</w:t>
      </w:r>
      <w:r>
        <w:rPr>
          <w:rFonts w:eastAsia="仿宋_GB2312"/>
          <w:color w:val="000000"/>
          <w:sz w:val="28"/>
          <w:szCs w:val="28"/>
        </w:rPr>
        <w:t>之日起计算。单位工程先于全部工程进行验收，单位工程缺陷责任期自单位工程验收合格之日起算。</w:t>
      </w:r>
    </w:p>
    <w:p w14:paraId="441CDD6E">
      <w:pPr>
        <w:spacing w:line="500" w:lineRule="exact"/>
        <w:outlineLvl w:val="0"/>
        <w:rPr>
          <w:rFonts w:eastAsia="黑体"/>
          <w:color w:val="000000"/>
          <w:sz w:val="28"/>
          <w:szCs w:val="28"/>
        </w:rPr>
      </w:pPr>
      <w:r>
        <w:rPr>
          <w:rFonts w:eastAsia="黑体"/>
          <w:color w:val="000000"/>
          <w:sz w:val="28"/>
          <w:szCs w:val="28"/>
        </w:rPr>
        <w:t xml:space="preserve">    四、质量保修责任</w:t>
      </w:r>
    </w:p>
    <w:p w14:paraId="2267943D">
      <w:pPr>
        <w:spacing w:line="500" w:lineRule="exact"/>
        <w:ind w:left="105" w:leftChars="50" w:firstLine="574" w:firstLineChars="205"/>
        <w:rPr>
          <w:rFonts w:eastAsia="仿宋_GB2312"/>
          <w:color w:val="000000"/>
          <w:sz w:val="28"/>
          <w:szCs w:val="28"/>
        </w:rPr>
      </w:pPr>
      <w:r>
        <w:rPr>
          <w:rFonts w:hint="eastAsia" w:eastAsia="仿宋_GB2312"/>
          <w:color w:val="000000"/>
          <w:sz w:val="28"/>
          <w:szCs w:val="28"/>
        </w:rPr>
        <w:t>1</w:t>
      </w:r>
      <w:r>
        <w:rPr>
          <w:rFonts w:hint="eastAsia" w:ascii="仿宋_GB2312" w:eastAsia="仿宋_GB2312"/>
          <w:sz w:val="28"/>
          <w:szCs w:val="28"/>
        </w:rPr>
        <w:t>．</w:t>
      </w:r>
      <w:r>
        <w:rPr>
          <w:rFonts w:eastAsia="仿宋_GB2312"/>
          <w:color w:val="000000"/>
          <w:sz w:val="28"/>
          <w:szCs w:val="28"/>
        </w:rPr>
        <w:t>属于保修范围、内容的项目，承包人应当在接到保修通知之日起7天内派人保修。承包人不在约定期限内派人保修的，发包人可以委托他人修理。</w:t>
      </w:r>
    </w:p>
    <w:p w14:paraId="7AAEA260">
      <w:pPr>
        <w:spacing w:line="500" w:lineRule="exact"/>
        <w:ind w:left="105" w:leftChars="50" w:firstLine="574" w:firstLineChars="205"/>
        <w:rPr>
          <w:rFonts w:eastAsia="仿宋_GB2312"/>
          <w:color w:val="000000"/>
          <w:sz w:val="28"/>
          <w:szCs w:val="28"/>
        </w:rPr>
      </w:pPr>
      <w:r>
        <w:rPr>
          <w:rFonts w:hint="eastAsia" w:eastAsia="仿宋_GB2312"/>
          <w:color w:val="000000"/>
          <w:sz w:val="28"/>
          <w:szCs w:val="28"/>
        </w:rPr>
        <w:t>2</w:t>
      </w:r>
      <w:r>
        <w:rPr>
          <w:rFonts w:hint="eastAsia" w:ascii="仿宋_GB2312" w:eastAsia="仿宋_GB2312"/>
          <w:sz w:val="28"/>
          <w:szCs w:val="28"/>
        </w:rPr>
        <w:t>．</w:t>
      </w:r>
      <w:r>
        <w:rPr>
          <w:rFonts w:eastAsia="仿宋_GB2312"/>
          <w:color w:val="000000"/>
          <w:sz w:val="28"/>
          <w:szCs w:val="28"/>
        </w:rPr>
        <w:t>发生紧急事故需抢修的，承包人在接到事故通知后，应当立即到达事故现场抢修。</w:t>
      </w:r>
    </w:p>
    <w:p w14:paraId="18984240">
      <w:pPr>
        <w:spacing w:line="500" w:lineRule="exact"/>
        <w:ind w:left="105" w:leftChars="50" w:firstLine="574" w:firstLineChars="205"/>
        <w:rPr>
          <w:rFonts w:eastAsia="仿宋_GB2312"/>
          <w:color w:val="000000"/>
          <w:sz w:val="28"/>
          <w:szCs w:val="28"/>
        </w:rPr>
      </w:pPr>
      <w:r>
        <w:rPr>
          <w:rFonts w:hint="eastAsia" w:eastAsia="仿宋_GB2312"/>
          <w:color w:val="000000"/>
          <w:sz w:val="28"/>
          <w:szCs w:val="28"/>
        </w:rPr>
        <w:t>3</w:t>
      </w:r>
      <w:r>
        <w:rPr>
          <w:rFonts w:hint="eastAsia" w:ascii="仿宋_GB2312" w:eastAsia="仿宋_GB2312"/>
          <w:sz w:val="28"/>
          <w:szCs w:val="28"/>
        </w:rPr>
        <w:t>．</w:t>
      </w:r>
      <w:r>
        <w:rPr>
          <w:rFonts w:eastAsia="仿宋_GB2312"/>
          <w:color w:val="000000"/>
          <w:sz w:val="28"/>
          <w:szCs w:val="28"/>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24325104">
      <w:pPr>
        <w:spacing w:line="500" w:lineRule="exact"/>
        <w:ind w:left="420" w:leftChars="200" w:firstLine="140" w:firstLineChars="50"/>
        <w:rPr>
          <w:rFonts w:eastAsia="仿宋_GB2312"/>
          <w:color w:val="000000"/>
          <w:sz w:val="28"/>
          <w:szCs w:val="28"/>
        </w:rPr>
      </w:pPr>
      <w:r>
        <w:rPr>
          <w:rFonts w:hint="eastAsia" w:eastAsia="仿宋_GB2312"/>
          <w:color w:val="000000"/>
          <w:sz w:val="28"/>
          <w:szCs w:val="28"/>
        </w:rPr>
        <w:t>4</w:t>
      </w:r>
      <w:r>
        <w:rPr>
          <w:rFonts w:hint="eastAsia" w:ascii="仿宋_GB2312" w:eastAsia="仿宋_GB2312"/>
          <w:sz w:val="28"/>
          <w:szCs w:val="28"/>
        </w:rPr>
        <w:t>．</w:t>
      </w:r>
      <w:r>
        <w:rPr>
          <w:rFonts w:eastAsia="仿宋_GB2312"/>
          <w:color w:val="000000"/>
          <w:sz w:val="28"/>
          <w:szCs w:val="28"/>
        </w:rPr>
        <w:t>质量保修完成后，由发包人组织验收。</w:t>
      </w:r>
    </w:p>
    <w:p w14:paraId="395AD009">
      <w:pPr>
        <w:spacing w:line="500" w:lineRule="exact"/>
        <w:outlineLvl w:val="0"/>
        <w:rPr>
          <w:rFonts w:eastAsia="黑体"/>
          <w:color w:val="000000"/>
          <w:sz w:val="28"/>
          <w:szCs w:val="28"/>
        </w:rPr>
      </w:pPr>
      <w:r>
        <w:rPr>
          <w:rFonts w:eastAsia="黑体"/>
          <w:color w:val="000000"/>
          <w:sz w:val="28"/>
          <w:szCs w:val="28"/>
        </w:rPr>
        <w:t>　　五、保修费用</w:t>
      </w:r>
    </w:p>
    <w:p w14:paraId="6BEBAAFB">
      <w:pPr>
        <w:spacing w:line="500" w:lineRule="exact"/>
        <w:rPr>
          <w:rFonts w:eastAsia="仿宋_GB2312"/>
          <w:color w:val="000000"/>
          <w:sz w:val="28"/>
          <w:szCs w:val="28"/>
        </w:rPr>
      </w:pPr>
      <w:r>
        <w:rPr>
          <w:rFonts w:eastAsia="仿宋_GB2312"/>
          <w:color w:val="000000"/>
          <w:sz w:val="28"/>
          <w:szCs w:val="28"/>
        </w:rPr>
        <w:t>　　保修费用由造成质量缺陷的责任方承担。</w:t>
      </w:r>
    </w:p>
    <w:p w14:paraId="4B0B447C">
      <w:pPr>
        <w:spacing w:line="500" w:lineRule="exact"/>
        <w:ind w:firstLine="562" w:firstLineChars="200"/>
        <w:jc w:val="left"/>
        <w:rPr>
          <w:rFonts w:eastAsia="仿宋_GB2312"/>
          <w:color w:val="000000"/>
          <w:sz w:val="28"/>
          <w:szCs w:val="28"/>
        </w:rPr>
      </w:pPr>
      <w:r>
        <w:rPr>
          <w:rFonts w:eastAsia="黑体"/>
          <w:b/>
          <w:color w:val="000000"/>
          <w:sz w:val="28"/>
          <w:szCs w:val="28"/>
        </w:rPr>
        <w:t>六</w:t>
      </w:r>
      <w:r>
        <w:rPr>
          <w:rFonts w:eastAsia="黑体"/>
          <w:color w:val="000000"/>
          <w:sz w:val="28"/>
          <w:szCs w:val="28"/>
        </w:rPr>
        <w:t>、双方约定的其他工程质量保修事项</w:t>
      </w:r>
      <w:r>
        <w:rPr>
          <w:rFonts w:eastAsia="仿宋_GB2312"/>
          <w:color w:val="000000"/>
          <w:sz w:val="28"/>
          <w:szCs w:val="28"/>
        </w:rPr>
        <w:t>：</w:t>
      </w:r>
      <w:r>
        <w:rPr>
          <w:rFonts w:hint="eastAsia" w:eastAsia="仿宋_GB2312"/>
          <w:sz w:val="28"/>
          <w:szCs w:val="28"/>
          <w:u w:val="single"/>
        </w:rPr>
        <w:t>保修期间内如因乙方材料或施工不良所造成之损失，由乙方无偿修复，但如因周围环境改变及不可抗拒之外力所造成之损失，经查非乙方责任者，则不在此限</w:t>
      </w:r>
      <w:r>
        <w:rPr>
          <w:rFonts w:eastAsia="仿宋_GB2312"/>
          <w:sz w:val="28"/>
          <w:szCs w:val="28"/>
        </w:rPr>
        <w:t>。</w:t>
      </w:r>
    </w:p>
    <w:p w14:paraId="0A4F3911">
      <w:pPr>
        <w:spacing w:line="500" w:lineRule="exact"/>
        <w:ind w:firstLine="532" w:firstLineChars="190"/>
        <w:rPr>
          <w:rFonts w:eastAsia="仿宋_GB2312"/>
          <w:color w:val="000000"/>
          <w:sz w:val="28"/>
          <w:szCs w:val="28"/>
        </w:rPr>
      </w:pPr>
      <w:r>
        <w:rPr>
          <w:rFonts w:eastAsia="仿宋_GB2312"/>
          <w:color w:val="000000"/>
          <w:sz w:val="28"/>
          <w:szCs w:val="28"/>
        </w:rPr>
        <w:t>工程质量保修书由发包人、承包人在工程竣工验收前共同签署，作为施工合同附件，其有效期限至保修期满。</w:t>
      </w:r>
    </w:p>
    <w:p w14:paraId="1C4D09DC">
      <w:pPr>
        <w:spacing w:line="500" w:lineRule="exact"/>
        <w:ind w:firstLine="532" w:firstLineChars="190"/>
        <w:rPr>
          <w:rFonts w:eastAsia="仿宋_GB2312"/>
          <w:color w:val="000000"/>
          <w:sz w:val="28"/>
          <w:szCs w:val="28"/>
        </w:rPr>
      </w:pPr>
    </w:p>
    <w:p w14:paraId="527FF7BD">
      <w:pPr>
        <w:spacing w:line="500" w:lineRule="exact"/>
        <w:rPr>
          <w:rFonts w:eastAsia="仿宋_GB2312"/>
          <w:color w:val="000000"/>
          <w:sz w:val="28"/>
          <w:szCs w:val="28"/>
        </w:rPr>
      </w:pPr>
      <w:r>
        <w:rPr>
          <w:rFonts w:hint="eastAsia" w:eastAsia="仿宋_GB2312"/>
          <w:color w:val="000000"/>
          <w:sz w:val="28"/>
          <w:szCs w:val="28"/>
        </w:rPr>
        <w:t>发包人：（公章）                       承包人：  （公章）</w:t>
      </w:r>
    </w:p>
    <w:p w14:paraId="124FFE0E">
      <w:pPr>
        <w:spacing w:line="500" w:lineRule="exact"/>
        <w:ind w:firstLine="532" w:firstLineChars="190"/>
        <w:rPr>
          <w:rFonts w:eastAsia="仿宋_GB2312"/>
          <w:color w:val="000000"/>
          <w:sz w:val="28"/>
          <w:szCs w:val="28"/>
        </w:rPr>
      </w:pPr>
    </w:p>
    <w:p w14:paraId="21D2243F">
      <w:pPr>
        <w:spacing w:line="500" w:lineRule="exact"/>
        <w:ind w:firstLine="532" w:firstLineChars="190"/>
        <w:rPr>
          <w:rFonts w:eastAsia="仿宋_GB2312"/>
          <w:color w:val="000000"/>
          <w:sz w:val="28"/>
          <w:szCs w:val="28"/>
        </w:rPr>
      </w:pPr>
    </w:p>
    <w:p w14:paraId="15C55177">
      <w:pPr>
        <w:spacing w:line="500" w:lineRule="exact"/>
        <w:rPr>
          <w:rFonts w:eastAsia="仿宋_GB2312"/>
          <w:color w:val="000000"/>
          <w:sz w:val="28"/>
          <w:szCs w:val="28"/>
        </w:rPr>
      </w:pPr>
      <w:r>
        <w:rPr>
          <w:rFonts w:hint="eastAsia" w:eastAsia="仿宋_GB2312"/>
          <w:color w:val="000000"/>
          <w:sz w:val="28"/>
          <w:szCs w:val="28"/>
        </w:rPr>
        <w:t>法定代表人或                          法定代表人</w:t>
      </w:r>
    </w:p>
    <w:p w14:paraId="4DD30E22">
      <w:pPr>
        <w:spacing w:line="500" w:lineRule="exact"/>
        <w:rPr>
          <w:rFonts w:eastAsia="仿宋_GB2312"/>
          <w:color w:val="000000"/>
          <w:sz w:val="28"/>
          <w:szCs w:val="28"/>
        </w:rPr>
      </w:pPr>
      <w:r>
        <w:rPr>
          <w:rFonts w:hint="eastAsia" w:eastAsia="仿宋_GB2312"/>
          <w:color w:val="000000"/>
          <w:sz w:val="28"/>
          <w:szCs w:val="28"/>
        </w:rPr>
        <w:t>委托代理人：（签字）                   或委托代理人：（签字）</w:t>
      </w:r>
    </w:p>
    <w:p w14:paraId="34D20844">
      <w:pPr>
        <w:spacing w:line="500" w:lineRule="exact"/>
        <w:ind w:firstLine="532" w:firstLineChars="190"/>
        <w:rPr>
          <w:rFonts w:eastAsia="仿宋_GB2312"/>
          <w:color w:val="000000"/>
          <w:sz w:val="28"/>
          <w:szCs w:val="28"/>
        </w:rPr>
      </w:pPr>
    </w:p>
    <w:p w14:paraId="7893F157">
      <w:pPr>
        <w:spacing w:line="500" w:lineRule="exact"/>
        <w:ind w:firstLine="532" w:firstLineChars="190"/>
        <w:rPr>
          <w:rFonts w:eastAsia="仿宋_GB2312"/>
          <w:color w:val="000000"/>
          <w:sz w:val="28"/>
          <w:szCs w:val="28"/>
        </w:rPr>
      </w:pPr>
    </w:p>
    <w:p w14:paraId="5E9E923C">
      <w:pPr>
        <w:spacing w:line="500" w:lineRule="exact"/>
        <w:ind w:firstLine="532" w:firstLineChars="190"/>
        <w:rPr>
          <w:rFonts w:eastAsia="仿宋_GB2312"/>
          <w:color w:val="000000"/>
          <w:sz w:val="28"/>
          <w:szCs w:val="28"/>
        </w:rPr>
      </w:pPr>
    </w:p>
    <w:p w14:paraId="045CFCEA">
      <w:pPr>
        <w:spacing w:line="500" w:lineRule="exact"/>
        <w:rPr>
          <w:rFonts w:eastAsia="仿宋_GB2312"/>
          <w:color w:val="000000"/>
          <w:sz w:val="28"/>
          <w:szCs w:val="28"/>
        </w:rPr>
      </w:pPr>
      <w:r>
        <w:rPr>
          <w:rFonts w:hint="eastAsia" w:eastAsia="仿宋_GB2312"/>
          <w:color w:val="000000"/>
          <w:sz w:val="28"/>
          <w:szCs w:val="28"/>
        </w:rPr>
        <w:t>项目负责人或部门负责人：（签字）</w:t>
      </w:r>
    </w:p>
    <w:p w14:paraId="7E5F4CCF">
      <w:pPr>
        <w:spacing w:line="500" w:lineRule="exact"/>
        <w:ind w:firstLine="532" w:firstLineChars="190"/>
        <w:rPr>
          <w:rFonts w:eastAsia="仿宋_GB2312"/>
          <w:color w:val="000000"/>
          <w:sz w:val="28"/>
          <w:szCs w:val="28"/>
        </w:rPr>
      </w:pPr>
    </w:p>
    <w:p w14:paraId="29129D0F">
      <w:pPr>
        <w:spacing w:line="500" w:lineRule="exact"/>
        <w:ind w:firstLine="532" w:firstLineChars="190"/>
        <w:rPr>
          <w:rFonts w:eastAsia="仿宋_GB2312"/>
          <w:color w:val="000000"/>
          <w:sz w:val="28"/>
          <w:szCs w:val="28"/>
        </w:rPr>
      </w:pPr>
    </w:p>
    <w:p w14:paraId="4A2005AA">
      <w:pPr>
        <w:spacing w:line="500" w:lineRule="exact"/>
        <w:ind w:firstLine="532" w:firstLineChars="190"/>
        <w:rPr>
          <w:rFonts w:eastAsia="仿宋_GB2312"/>
          <w:color w:val="000000"/>
          <w:sz w:val="28"/>
          <w:szCs w:val="28"/>
        </w:rPr>
      </w:pPr>
    </w:p>
    <w:p w14:paraId="498633F5">
      <w:pPr>
        <w:spacing w:line="500" w:lineRule="exact"/>
        <w:ind w:firstLine="3329" w:firstLineChars="1189"/>
        <w:rPr>
          <w:rFonts w:eastAsia="仿宋_GB2312"/>
          <w:color w:val="000000"/>
          <w:sz w:val="28"/>
          <w:szCs w:val="28"/>
        </w:rPr>
      </w:pPr>
    </w:p>
    <w:p w14:paraId="3C8418BE">
      <w:pPr>
        <w:spacing w:line="360" w:lineRule="auto"/>
        <w:ind w:firstLine="723"/>
        <w:jc w:val="center"/>
        <w:outlineLvl w:val="0"/>
        <w:rPr>
          <w:rFonts w:hint="eastAsia" w:ascii="宋体" w:hAnsi="宋体"/>
          <w:b/>
          <w:sz w:val="36"/>
          <w:szCs w:val="36"/>
        </w:rPr>
        <w:sectPr>
          <w:pgSz w:w="11907" w:h="16840"/>
          <w:pgMar w:top="1418" w:right="1134" w:bottom="1418" w:left="1701" w:header="851" w:footer="851" w:gutter="0"/>
          <w:cols w:space="720" w:num="1"/>
          <w:docGrid w:linePitch="462" w:charSpace="0"/>
        </w:sectPr>
      </w:pPr>
      <w:r>
        <w:rPr>
          <w:rFonts w:hint="eastAsia" w:eastAsia="仿宋_GB2312"/>
          <w:color w:val="000000"/>
          <w:sz w:val="28"/>
          <w:szCs w:val="28"/>
        </w:rPr>
        <w:t>年   月   日                   年   月   日</w:t>
      </w:r>
    </w:p>
    <w:p w14:paraId="32B60997">
      <w:pPr>
        <w:spacing w:line="360" w:lineRule="auto"/>
        <w:ind w:firstLine="723"/>
        <w:jc w:val="center"/>
        <w:outlineLvl w:val="0"/>
        <w:rPr>
          <w:rFonts w:hint="eastAsia" w:ascii="宋体" w:hAnsi="宋体"/>
          <w:b/>
          <w:sz w:val="36"/>
          <w:szCs w:val="36"/>
        </w:rPr>
      </w:pPr>
      <w:r>
        <w:rPr>
          <w:rFonts w:ascii="宋体" w:hAnsi="宋体"/>
          <w:b/>
          <w:sz w:val="36"/>
          <w:szCs w:val="36"/>
        </w:rPr>
        <w:t>第</w:t>
      </w:r>
      <w:r>
        <w:rPr>
          <w:rFonts w:hint="eastAsia" w:ascii="宋体" w:hAnsi="宋体"/>
          <w:b/>
          <w:sz w:val="36"/>
          <w:szCs w:val="36"/>
        </w:rPr>
        <w:t>六</w:t>
      </w:r>
      <w:r>
        <w:rPr>
          <w:rFonts w:ascii="宋体" w:hAnsi="宋体"/>
          <w:b/>
          <w:sz w:val="36"/>
          <w:szCs w:val="36"/>
        </w:rPr>
        <w:t>章   响应文件格式</w:t>
      </w:r>
      <w:bookmarkEnd w:id="1660"/>
    </w:p>
    <w:p w14:paraId="0C9AB429">
      <w:pPr>
        <w:pStyle w:val="71"/>
        <w:ind w:firstLine="482"/>
        <w:rPr>
          <w:rFonts w:hint="eastAsia" w:ascii="宋体" w:hAnsi="宋体"/>
          <w:b/>
          <w:bCs/>
          <w:sz w:val="24"/>
        </w:rPr>
      </w:pPr>
      <w:r>
        <w:rPr>
          <w:rFonts w:hint="eastAsia" w:ascii="宋体" w:hAnsi="宋体"/>
          <w:b/>
          <w:bCs/>
          <w:sz w:val="24"/>
        </w:rPr>
        <w:t>供应商编制文件须知</w:t>
      </w:r>
    </w:p>
    <w:p w14:paraId="25FE3541">
      <w:pPr>
        <w:pStyle w:val="71"/>
        <w:spacing w:line="360" w:lineRule="auto"/>
        <w:ind w:firstLine="480"/>
        <w:rPr>
          <w:rFonts w:hint="eastAsia" w:ascii="宋体" w:hAnsi="宋体"/>
          <w:sz w:val="24"/>
        </w:rPr>
      </w:pPr>
      <w:r>
        <w:rPr>
          <w:rFonts w:ascii="宋体" w:hAnsi="宋体"/>
          <w:sz w:val="24"/>
        </w:rPr>
        <w:t>1</w:t>
      </w:r>
      <w:r>
        <w:rPr>
          <w:rFonts w:hint="eastAsia" w:ascii="宋体" w:hAnsi="宋体"/>
          <w:sz w:val="24"/>
        </w:rPr>
        <w:t>、供应商按照本部分的顺序编制响应文件，编制中涉及格式资料的，应按照本部分</w:t>
      </w:r>
      <w:r>
        <w:rPr>
          <w:rFonts w:hint="eastAsia" w:ascii="Leelawadee UI" w:hAnsi="Leelawadee UI" w:cs="Leelawadee UI"/>
          <w:sz w:val="24"/>
        </w:rPr>
        <w:t>提</w:t>
      </w:r>
      <w:r>
        <w:rPr>
          <w:rFonts w:hint="eastAsia" w:ascii="宋体" w:hAnsi="宋体"/>
          <w:sz w:val="24"/>
        </w:rPr>
        <w:t>供的内容和格式（所有表格的格式可扩展）填写</w:t>
      </w:r>
      <w:r>
        <w:rPr>
          <w:rFonts w:hint="eastAsia" w:ascii="Leelawadee UI" w:hAnsi="Leelawadee UI" w:cs="Leelawadee UI"/>
          <w:sz w:val="24"/>
        </w:rPr>
        <w:t>提</w:t>
      </w:r>
      <w:r>
        <w:rPr>
          <w:rFonts w:hint="eastAsia" w:ascii="宋体" w:hAnsi="宋体"/>
          <w:sz w:val="24"/>
        </w:rPr>
        <w:t>交。</w:t>
      </w:r>
    </w:p>
    <w:p w14:paraId="244DC679">
      <w:pPr>
        <w:pStyle w:val="71"/>
        <w:spacing w:line="360" w:lineRule="auto"/>
        <w:ind w:firstLine="480"/>
        <w:rPr>
          <w:rFonts w:hint="eastAsia" w:ascii="宋体" w:hAnsi="宋体"/>
          <w:sz w:val="24"/>
        </w:rPr>
      </w:pPr>
      <w:r>
        <w:rPr>
          <w:rFonts w:ascii="宋体" w:hAnsi="宋体"/>
          <w:sz w:val="24"/>
        </w:rPr>
        <w:t>2</w:t>
      </w:r>
      <w:r>
        <w:rPr>
          <w:rFonts w:hint="eastAsia" w:ascii="宋体" w:hAnsi="宋体"/>
          <w:sz w:val="24"/>
        </w:rPr>
        <w:t>、对于竞争性磋商文件中标记了“实质性格式”文件的，供应商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b/>
          <w:bCs/>
          <w:sz w:val="24"/>
        </w:rPr>
        <w:t>否则响应无效。</w:t>
      </w:r>
    </w:p>
    <w:p w14:paraId="56C3CAD9">
      <w:pPr>
        <w:pStyle w:val="71"/>
        <w:spacing w:line="360" w:lineRule="auto"/>
        <w:ind w:firstLine="480"/>
        <w:rPr>
          <w:rFonts w:hint="eastAsia" w:ascii="宋体" w:hAnsi="宋体"/>
          <w:sz w:val="24"/>
        </w:rPr>
      </w:pPr>
      <w:r>
        <w:rPr>
          <w:rFonts w:hint="eastAsia" w:ascii="宋体" w:hAnsi="宋体"/>
          <w:sz w:val="24"/>
        </w:rPr>
        <w:t>未标记</w:t>
      </w:r>
      <w:r>
        <w:rPr>
          <w:rFonts w:hint="eastAsia" w:ascii="Nirmala UI" w:hAnsi="Nirmala UI" w:cs="Nirmala UI"/>
          <w:sz w:val="24"/>
        </w:rPr>
        <w:t>“</w:t>
      </w:r>
      <w:r>
        <w:rPr>
          <w:rFonts w:hint="eastAsia" w:ascii="宋体" w:hAnsi="宋体"/>
          <w:sz w:val="24"/>
        </w:rPr>
        <w:t>实质性格式</w:t>
      </w:r>
      <w:r>
        <w:rPr>
          <w:rFonts w:hint="eastAsia" w:ascii="Nirmala UI" w:hAnsi="Nirmala UI" w:cs="Nirmala UI"/>
          <w:sz w:val="24"/>
        </w:rPr>
        <w:t>”</w:t>
      </w:r>
      <w:r>
        <w:rPr>
          <w:rFonts w:hint="eastAsia" w:ascii="宋体" w:hAnsi="宋体"/>
          <w:sz w:val="24"/>
        </w:rPr>
        <w:t>的文件和竞争性磋商文件未</w:t>
      </w:r>
      <w:r>
        <w:rPr>
          <w:rFonts w:hint="eastAsia" w:ascii="Leelawadee UI" w:hAnsi="Leelawadee UI" w:cs="Leelawadee UI"/>
          <w:sz w:val="24"/>
        </w:rPr>
        <w:t>提</w:t>
      </w:r>
      <w:r>
        <w:rPr>
          <w:rFonts w:hint="eastAsia" w:ascii="宋体" w:hAnsi="宋体"/>
          <w:sz w:val="24"/>
        </w:rPr>
        <w:t>供格式的内容，可由供应商自行编写。</w:t>
      </w:r>
    </w:p>
    <w:p w14:paraId="3049DE32">
      <w:pPr>
        <w:pStyle w:val="71"/>
        <w:spacing w:line="360" w:lineRule="auto"/>
        <w:ind w:firstLine="480"/>
        <w:rPr>
          <w:rFonts w:hint="eastAsia" w:ascii="宋体" w:hAnsi="宋体"/>
          <w:sz w:val="24"/>
        </w:rPr>
      </w:pPr>
      <w:r>
        <w:rPr>
          <w:rFonts w:hint="eastAsia" w:ascii="宋体" w:hAnsi="宋体"/>
          <w:sz w:val="24"/>
        </w:rPr>
        <w:t>3、全部声明和问题的回答及所附材料必须是真实的、准确的和完整的。</w:t>
      </w:r>
    </w:p>
    <w:p w14:paraId="1CDDE534">
      <w:pPr>
        <w:pStyle w:val="71"/>
        <w:spacing w:line="360" w:lineRule="auto"/>
        <w:ind w:firstLine="480"/>
        <w:rPr>
          <w:rFonts w:hint="eastAsia" w:ascii="宋体" w:hAnsi="宋体"/>
          <w:sz w:val="24"/>
        </w:rPr>
      </w:pPr>
    </w:p>
    <w:p w14:paraId="07AEC8D9">
      <w:pPr>
        <w:pStyle w:val="71"/>
        <w:spacing w:line="360" w:lineRule="auto"/>
        <w:ind w:firstLine="480"/>
        <w:rPr>
          <w:rFonts w:hint="eastAsia" w:ascii="宋体" w:hAnsi="宋体"/>
          <w:sz w:val="24"/>
        </w:rPr>
      </w:pPr>
    </w:p>
    <w:p w14:paraId="575BCED9">
      <w:pPr>
        <w:pStyle w:val="71"/>
        <w:ind w:left="0" w:leftChars="0" w:firstLine="0" w:firstLineChars="0"/>
        <w:rPr>
          <w:rFonts w:hint="eastAsia" w:ascii="宋体" w:hAnsi="宋体"/>
          <w:sz w:val="24"/>
        </w:rPr>
      </w:pPr>
    </w:p>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p w14:paraId="781B4680">
      <w:pPr>
        <w:ind w:firstLine="562"/>
        <w:rPr>
          <w:rFonts w:hint="eastAsia" w:ascii="宋体" w:hAnsi="宋体"/>
          <w:b/>
          <w:spacing w:val="20"/>
          <w:szCs w:val="21"/>
        </w:rPr>
      </w:pPr>
    </w:p>
    <w:p w14:paraId="496C9D60">
      <w:pPr>
        <w:pStyle w:val="71"/>
        <w:ind w:firstLine="502"/>
        <w:rPr>
          <w:rFonts w:hint="eastAsia" w:ascii="宋体" w:hAnsi="宋体"/>
          <w:b/>
          <w:spacing w:val="20"/>
          <w:szCs w:val="21"/>
        </w:rPr>
      </w:pPr>
    </w:p>
    <w:p w14:paraId="66DE55E6">
      <w:pPr>
        <w:widowControl/>
        <w:ind w:firstLine="562"/>
        <w:jc w:val="left"/>
        <w:rPr>
          <w:rFonts w:hint="eastAsia" w:ascii="宋体" w:hAnsi="宋体"/>
          <w:b/>
          <w:spacing w:val="20"/>
          <w:szCs w:val="21"/>
          <w:lang w:val="zh-CN"/>
        </w:rPr>
      </w:pPr>
      <w:r>
        <w:rPr>
          <w:rFonts w:ascii="宋体" w:hAnsi="宋体"/>
          <w:b/>
          <w:spacing w:val="20"/>
          <w:szCs w:val="21"/>
        </w:rPr>
        <w:br w:type="page"/>
      </w:r>
    </w:p>
    <w:p w14:paraId="7A923337">
      <w:pPr>
        <w:ind w:firstLine="562"/>
        <w:rPr>
          <w:b/>
          <w:sz w:val="24"/>
        </w:rPr>
      </w:pPr>
      <w:r>
        <w:rPr>
          <w:rFonts w:ascii="宋体" w:hAnsi="宋体"/>
          <w:b/>
          <w:spacing w:val="20"/>
          <w:sz w:val="24"/>
        </w:rPr>
        <w:t>响应文件</w:t>
      </w:r>
      <w:r>
        <w:rPr>
          <w:rFonts w:ascii="宋体" w:hAnsi="宋体"/>
          <w:b/>
          <w:sz w:val="24"/>
        </w:rPr>
        <w:t>封面</w:t>
      </w:r>
      <w:r>
        <w:rPr>
          <w:b/>
          <w:sz w:val="24"/>
        </w:rPr>
        <w:t>（非实质性格式）</w:t>
      </w:r>
    </w:p>
    <w:p w14:paraId="55C3BCF1">
      <w:pPr>
        <w:ind w:firstLine="482"/>
        <w:rPr>
          <w:rFonts w:hint="eastAsia" w:ascii="宋体" w:hAnsi="宋体"/>
          <w:b/>
          <w:sz w:val="24"/>
        </w:rPr>
      </w:pPr>
    </w:p>
    <w:p w14:paraId="51343C0C">
      <w:pPr>
        <w:ind w:firstLine="480"/>
        <w:jc w:val="center"/>
        <w:rPr>
          <w:rFonts w:hint="eastAsia" w:ascii="宋体" w:hAnsi="宋体"/>
          <w:szCs w:val="21"/>
        </w:rPr>
      </w:pPr>
    </w:p>
    <w:p w14:paraId="5BF071AC">
      <w:pPr>
        <w:ind w:firstLine="1927"/>
        <w:jc w:val="center"/>
        <w:rPr>
          <w:rFonts w:hint="eastAsia" w:ascii="宋体" w:hAnsi="宋体"/>
          <w:b/>
          <w:spacing w:val="60"/>
          <w:sz w:val="84"/>
          <w:szCs w:val="84"/>
        </w:rPr>
      </w:pPr>
      <w:r>
        <w:rPr>
          <w:rFonts w:ascii="宋体" w:hAnsi="宋体"/>
          <w:b/>
          <w:spacing w:val="60"/>
          <w:sz w:val="84"/>
          <w:szCs w:val="84"/>
        </w:rPr>
        <w:t>响 应 文 件</w:t>
      </w:r>
    </w:p>
    <w:p w14:paraId="3245C11B">
      <w:pPr>
        <w:ind w:firstLine="1284"/>
        <w:jc w:val="center"/>
        <w:rPr>
          <w:rFonts w:hint="eastAsia" w:ascii="宋体" w:hAnsi="宋体"/>
          <w:b/>
          <w:spacing w:val="60"/>
          <w:sz w:val="52"/>
          <w:szCs w:val="52"/>
        </w:rPr>
      </w:pPr>
    </w:p>
    <w:p w14:paraId="390DF8AF">
      <w:pPr>
        <w:ind w:firstLine="542" w:firstLineChars="150"/>
        <w:rPr>
          <w:rFonts w:hint="eastAsia" w:ascii="宋体" w:hAnsi="宋体"/>
          <w:b/>
          <w:spacing w:val="20"/>
          <w:sz w:val="32"/>
          <w:szCs w:val="32"/>
        </w:rPr>
      </w:pPr>
    </w:p>
    <w:p w14:paraId="680A1D2D">
      <w:pPr>
        <w:ind w:firstLine="542" w:firstLineChars="150"/>
        <w:rPr>
          <w:rFonts w:hint="eastAsia" w:ascii="宋体" w:hAnsi="宋体"/>
          <w:b/>
          <w:spacing w:val="20"/>
          <w:sz w:val="32"/>
          <w:szCs w:val="32"/>
        </w:rPr>
      </w:pPr>
    </w:p>
    <w:p w14:paraId="670E2BC0">
      <w:pPr>
        <w:ind w:firstLine="542" w:firstLineChars="150"/>
        <w:rPr>
          <w:rFonts w:hint="eastAsia" w:ascii="宋体" w:hAnsi="宋体"/>
          <w:b/>
          <w:spacing w:val="20"/>
          <w:sz w:val="32"/>
          <w:szCs w:val="32"/>
        </w:rPr>
      </w:pPr>
      <w:r>
        <w:rPr>
          <w:rFonts w:ascii="宋体" w:hAnsi="宋体"/>
          <w:b/>
          <w:spacing w:val="20"/>
          <w:sz w:val="32"/>
          <w:szCs w:val="32"/>
        </w:rPr>
        <w:t>项目名称:</w:t>
      </w:r>
    </w:p>
    <w:p w14:paraId="25B14DE0">
      <w:pPr>
        <w:ind w:firstLine="542" w:firstLineChars="150"/>
        <w:rPr>
          <w:rFonts w:hint="eastAsia" w:ascii="宋体" w:hAnsi="宋体"/>
          <w:b/>
          <w:spacing w:val="20"/>
          <w:sz w:val="32"/>
          <w:szCs w:val="32"/>
        </w:rPr>
      </w:pPr>
      <w:r>
        <w:rPr>
          <w:rFonts w:ascii="宋体" w:hAnsi="宋体"/>
          <w:b/>
          <w:spacing w:val="20"/>
          <w:sz w:val="32"/>
          <w:szCs w:val="32"/>
        </w:rPr>
        <w:t>项目编号/包号：</w:t>
      </w:r>
    </w:p>
    <w:p w14:paraId="1E055E26">
      <w:pPr>
        <w:ind w:firstLine="542" w:firstLineChars="150"/>
        <w:rPr>
          <w:rFonts w:hint="eastAsia" w:ascii="宋体" w:hAnsi="宋体"/>
          <w:b/>
          <w:spacing w:val="20"/>
          <w:sz w:val="32"/>
          <w:szCs w:val="32"/>
        </w:rPr>
      </w:pPr>
    </w:p>
    <w:p w14:paraId="4EF98E21">
      <w:pPr>
        <w:ind w:firstLine="542" w:firstLineChars="150"/>
        <w:rPr>
          <w:rFonts w:hint="eastAsia" w:ascii="宋体" w:hAnsi="宋体"/>
          <w:b/>
          <w:spacing w:val="20"/>
          <w:sz w:val="32"/>
          <w:szCs w:val="32"/>
        </w:rPr>
      </w:pPr>
    </w:p>
    <w:p w14:paraId="56CE55EA">
      <w:pPr>
        <w:ind w:firstLine="643"/>
        <w:jc w:val="center"/>
        <w:rPr>
          <w:rFonts w:hint="eastAsia" w:ascii="宋体" w:hAnsi="宋体"/>
          <w:b/>
          <w:sz w:val="32"/>
          <w:szCs w:val="32"/>
        </w:rPr>
      </w:pPr>
    </w:p>
    <w:p w14:paraId="44C2C840">
      <w:pPr>
        <w:ind w:firstLine="643"/>
        <w:jc w:val="center"/>
        <w:rPr>
          <w:rFonts w:hint="eastAsia" w:ascii="宋体" w:hAnsi="宋体"/>
          <w:b/>
          <w:sz w:val="32"/>
          <w:szCs w:val="32"/>
        </w:rPr>
      </w:pPr>
    </w:p>
    <w:p w14:paraId="7F891BB5">
      <w:pPr>
        <w:ind w:firstLine="643"/>
        <w:jc w:val="center"/>
        <w:rPr>
          <w:rFonts w:hint="eastAsia" w:ascii="宋体" w:hAnsi="宋体"/>
          <w:b/>
          <w:sz w:val="32"/>
          <w:szCs w:val="32"/>
        </w:rPr>
      </w:pPr>
    </w:p>
    <w:p w14:paraId="49F8F480">
      <w:pPr>
        <w:ind w:firstLine="723"/>
        <w:jc w:val="center"/>
        <w:rPr>
          <w:rFonts w:hint="eastAsia" w:ascii="宋体" w:hAnsi="宋体"/>
          <w:b/>
          <w:spacing w:val="20"/>
          <w:sz w:val="32"/>
          <w:szCs w:val="32"/>
        </w:rPr>
      </w:pPr>
    </w:p>
    <w:p w14:paraId="6EC8B52E">
      <w:pPr>
        <w:ind w:firstLine="723"/>
        <w:jc w:val="center"/>
        <w:rPr>
          <w:rFonts w:hint="eastAsia" w:ascii="宋体" w:hAnsi="宋体"/>
          <w:b/>
          <w:spacing w:val="20"/>
          <w:sz w:val="32"/>
          <w:szCs w:val="32"/>
        </w:rPr>
      </w:pPr>
    </w:p>
    <w:p w14:paraId="24DB8805">
      <w:pPr>
        <w:ind w:firstLine="723"/>
        <w:jc w:val="center"/>
        <w:rPr>
          <w:rFonts w:hint="eastAsia" w:ascii="宋体" w:hAnsi="宋体"/>
          <w:b/>
          <w:spacing w:val="20"/>
          <w:sz w:val="32"/>
          <w:szCs w:val="32"/>
        </w:rPr>
      </w:pPr>
    </w:p>
    <w:p w14:paraId="14FDE749">
      <w:pPr>
        <w:ind w:firstLine="723"/>
        <w:jc w:val="center"/>
        <w:rPr>
          <w:rFonts w:hint="eastAsia" w:ascii="宋体" w:hAnsi="宋体"/>
          <w:b/>
          <w:spacing w:val="20"/>
          <w:sz w:val="32"/>
          <w:szCs w:val="32"/>
        </w:rPr>
      </w:pPr>
    </w:p>
    <w:p w14:paraId="6B9E8939">
      <w:pPr>
        <w:ind w:firstLine="723"/>
        <w:jc w:val="center"/>
        <w:rPr>
          <w:rFonts w:hint="eastAsia" w:ascii="宋体" w:hAnsi="宋体"/>
          <w:b/>
          <w:spacing w:val="20"/>
          <w:sz w:val="32"/>
          <w:szCs w:val="32"/>
        </w:rPr>
      </w:pPr>
    </w:p>
    <w:p w14:paraId="3C034844">
      <w:pPr>
        <w:ind w:firstLine="723"/>
        <w:jc w:val="center"/>
        <w:rPr>
          <w:rFonts w:hint="eastAsia" w:ascii="宋体" w:hAnsi="宋体"/>
          <w:b/>
          <w:spacing w:val="20"/>
          <w:sz w:val="32"/>
          <w:szCs w:val="32"/>
        </w:rPr>
      </w:pPr>
    </w:p>
    <w:p w14:paraId="64F83C95">
      <w:pPr>
        <w:ind w:firstLine="723"/>
        <w:jc w:val="center"/>
        <w:rPr>
          <w:rFonts w:hint="eastAsia" w:ascii="宋体" w:hAnsi="宋体"/>
          <w:b/>
          <w:spacing w:val="20"/>
          <w:sz w:val="32"/>
          <w:szCs w:val="32"/>
        </w:rPr>
      </w:pPr>
    </w:p>
    <w:p w14:paraId="2238FED7">
      <w:pPr>
        <w:ind w:firstLine="723"/>
        <w:jc w:val="center"/>
        <w:rPr>
          <w:rFonts w:hint="eastAsia" w:ascii="宋体" w:hAnsi="宋体"/>
          <w:b/>
          <w:spacing w:val="20"/>
          <w:sz w:val="32"/>
          <w:szCs w:val="32"/>
        </w:rPr>
      </w:pPr>
    </w:p>
    <w:p w14:paraId="7F95485B">
      <w:pPr>
        <w:ind w:firstLine="723"/>
        <w:jc w:val="center"/>
        <w:rPr>
          <w:rFonts w:hint="eastAsia" w:ascii="宋体" w:hAnsi="宋体"/>
          <w:b/>
          <w:spacing w:val="20"/>
          <w:sz w:val="32"/>
          <w:szCs w:val="32"/>
        </w:rPr>
      </w:pPr>
    </w:p>
    <w:p w14:paraId="1D05CB7D">
      <w:pPr>
        <w:spacing w:line="360" w:lineRule="auto"/>
        <w:ind w:firstLine="1445" w:firstLineChars="400"/>
        <w:jc w:val="left"/>
        <w:rPr>
          <w:rFonts w:hint="eastAsia" w:ascii="宋体" w:hAnsi="宋体"/>
          <w:b/>
          <w:spacing w:val="20"/>
          <w:sz w:val="32"/>
          <w:szCs w:val="32"/>
        </w:rPr>
      </w:pPr>
      <w:r>
        <w:rPr>
          <w:rFonts w:ascii="宋体" w:hAnsi="宋体"/>
          <w:b/>
          <w:spacing w:val="20"/>
          <w:sz w:val="32"/>
          <w:szCs w:val="32"/>
        </w:rPr>
        <w:t>供应商名称：</w:t>
      </w:r>
    </w:p>
    <w:p w14:paraId="025C3AC7">
      <w:pPr>
        <w:ind w:firstLine="643"/>
        <w:jc w:val="center"/>
        <w:rPr>
          <w:rFonts w:hint="eastAsia" w:ascii="宋体" w:hAnsi="宋体"/>
          <w:b/>
          <w:sz w:val="32"/>
          <w:szCs w:val="32"/>
        </w:rPr>
      </w:pPr>
    </w:p>
    <w:p w14:paraId="274798E5">
      <w:pPr>
        <w:ind w:firstLine="723"/>
        <w:rPr>
          <w:rFonts w:hint="eastAsia" w:ascii="宋体" w:hAnsi="宋体"/>
          <w:b/>
        </w:rPr>
      </w:pPr>
      <w:r>
        <w:rPr>
          <w:rFonts w:ascii="宋体" w:hAnsi="宋体"/>
          <w:b/>
          <w:spacing w:val="20"/>
          <w:sz w:val="32"/>
          <w:szCs w:val="32"/>
        </w:rPr>
        <w:br w:type="page"/>
      </w:r>
    </w:p>
    <w:p w14:paraId="00C1504E">
      <w:pPr>
        <w:tabs>
          <w:tab w:val="left" w:pos="360"/>
        </w:tabs>
        <w:snapToGrid w:val="0"/>
        <w:spacing w:line="360" w:lineRule="auto"/>
        <w:outlineLvl w:val="1"/>
        <w:rPr>
          <w:rFonts w:hint="eastAsia" w:ascii="宋体" w:hAnsi="宋体"/>
          <w:sz w:val="24"/>
        </w:rPr>
      </w:pPr>
      <w:r>
        <w:rPr>
          <w:rFonts w:ascii="宋体" w:hAnsi="宋体"/>
          <w:sz w:val="24"/>
        </w:rPr>
        <w:t>1 满足《中华人民共和国政府采购法》第二十二条规定及法律法规的其他规定</w:t>
      </w:r>
    </w:p>
    <w:p w14:paraId="133272EA">
      <w:pPr>
        <w:spacing w:line="360" w:lineRule="auto"/>
        <w:outlineLvl w:val="2"/>
        <w:rPr>
          <w:rFonts w:hint="eastAsia" w:ascii="宋体" w:hAnsi="宋体"/>
          <w:sz w:val="24"/>
        </w:rPr>
      </w:pPr>
      <w:r>
        <w:rPr>
          <w:rFonts w:ascii="宋体" w:hAnsi="宋体"/>
          <w:sz w:val="24"/>
        </w:rPr>
        <w:t>1-1营业执照等证明文件</w:t>
      </w:r>
    </w:p>
    <w:p w14:paraId="116F45CA">
      <w:pPr>
        <w:tabs>
          <w:tab w:val="left" w:pos="1080"/>
        </w:tabs>
        <w:snapToGrid w:val="0"/>
        <w:rPr>
          <w:rFonts w:hint="eastAsia" w:ascii="宋体" w:hAnsi="宋体"/>
          <w:sz w:val="24"/>
        </w:rPr>
      </w:pPr>
    </w:p>
    <w:p w14:paraId="74D51FFF">
      <w:pPr>
        <w:widowControl/>
        <w:jc w:val="left"/>
        <w:rPr>
          <w:rFonts w:hint="eastAsia" w:ascii="宋体" w:hAnsi="宋体"/>
          <w:sz w:val="24"/>
          <w:szCs w:val="20"/>
        </w:rPr>
      </w:pPr>
      <w:r>
        <w:rPr>
          <w:rFonts w:ascii="宋体" w:hAnsi="宋体"/>
          <w:sz w:val="24"/>
        </w:rPr>
        <w:br w:type="page"/>
      </w:r>
    </w:p>
    <w:p w14:paraId="2F397861">
      <w:pPr>
        <w:pStyle w:val="5"/>
        <w:rPr>
          <w:rFonts w:hint="eastAsia" w:hAnsi="宋体"/>
          <w:b w:val="0"/>
          <w:bCs/>
          <w:szCs w:val="24"/>
          <w:u w:val="none"/>
        </w:rPr>
      </w:pPr>
      <w:r>
        <w:rPr>
          <w:rFonts w:hAnsi="宋体"/>
          <w:b w:val="0"/>
          <w:szCs w:val="24"/>
          <w:u w:val="none"/>
        </w:rPr>
        <w:t>1-2 供应商资格声明书（实质性格式）</w:t>
      </w:r>
    </w:p>
    <w:p w14:paraId="4ACBF156">
      <w:pPr>
        <w:ind w:firstLine="723"/>
        <w:jc w:val="center"/>
        <w:rPr>
          <w:rFonts w:hint="eastAsia" w:ascii="宋体" w:hAnsi="宋体"/>
          <w:b/>
          <w:sz w:val="36"/>
          <w:szCs w:val="36"/>
        </w:rPr>
      </w:pPr>
      <w:r>
        <w:rPr>
          <w:rFonts w:hint="eastAsia" w:ascii="宋体" w:hAnsi="宋体"/>
          <w:b/>
          <w:sz w:val="36"/>
          <w:szCs w:val="36"/>
        </w:rPr>
        <w:t>供应商资格声明书</w:t>
      </w:r>
    </w:p>
    <w:p w14:paraId="0CF650C1">
      <w:pPr>
        <w:tabs>
          <w:tab w:val="left" w:pos="5580"/>
        </w:tabs>
        <w:spacing w:line="360" w:lineRule="auto"/>
        <w:rPr>
          <w:rFonts w:hint="eastAsia" w:ascii="宋体" w:hAnsi="宋体"/>
          <w:sz w:val="24"/>
        </w:rPr>
      </w:pPr>
    </w:p>
    <w:p w14:paraId="6084ADCA">
      <w:pPr>
        <w:tabs>
          <w:tab w:val="left" w:pos="5580"/>
        </w:tabs>
        <w:spacing w:line="360" w:lineRule="auto"/>
        <w:rPr>
          <w:rFonts w:hint="eastAsia" w:ascii="宋体" w:hAnsi="宋体"/>
          <w:sz w:val="24"/>
        </w:rPr>
      </w:pPr>
      <w:r>
        <w:rPr>
          <w:rFonts w:ascii="宋体" w:hAnsi="宋体"/>
          <w:sz w:val="24"/>
        </w:rPr>
        <w:t>致：</w:t>
      </w:r>
      <w:r>
        <w:rPr>
          <w:rFonts w:ascii="宋体" w:hAnsi="宋体"/>
          <w:sz w:val="24"/>
          <w:u w:val="single"/>
        </w:rPr>
        <w:t>采购人或采购代理机构</w:t>
      </w:r>
    </w:p>
    <w:p w14:paraId="5D0C08A1">
      <w:pPr>
        <w:spacing w:line="360" w:lineRule="auto"/>
        <w:ind w:firstLine="480" w:firstLineChars="200"/>
        <w:rPr>
          <w:rFonts w:hint="eastAsia" w:ascii="宋体" w:hAnsi="宋体"/>
          <w:sz w:val="24"/>
        </w:rPr>
      </w:pPr>
      <w:r>
        <w:rPr>
          <w:rFonts w:ascii="宋体" w:hAnsi="宋体"/>
          <w:sz w:val="24"/>
        </w:rPr>
        <w:t>在参与本次项目磋商中，我单位承诺：</w:t>
      </w:r>
    </w:p>
    <w:p w14:paraId="31B3F80F">
      <w:pPr>
        <w:spacing w:line="360" w:lineRule="auto"/>
        <w:ind w:firstLine="480" w:firstLineChars="200"/>
        <w:rPr>
          <w:rFonts w:hint="eastAsia" w:ascii="宋体" w:hAnsi="宋体"/>
          <w:sz w:val="24"/>
          <w:szCs w:val="22"/>
        </w:rPr>
      </w:pPr>
      <w:r>
        <w:rPr>
          <w:rFonts w:hint="eastAsia" w:ascii="宋体" w:hAnsi="宋体"/>
          <w:sz w:val="24"/>
          <w:szCs w:val="22"/>
        </w:rPr>
        <w:t>（一）</w:t>
      </w:r>
      <w:r>
        <w:rPr>
          <w:rFonts w:ascii="宋体" w:hAnsi="宋体"/>
          <w:sz w:val="24"/>
          <w:szCs w:val="22"/>
        </w:rPr>
        <w:t>具有良好的商业信誉和健全的财务会计制度；</w:t>
      </w:r>
    </w:p>
    <w:p w14:paraId="60401CAE">
      <w:pPr>
        <w:spacing w:line="360" w:lineRule="auto"/>
        <w:ind w:firstLine="480" w:firstLineChars="200"/>
        <w:rPr>
          <w:rFonts w:hint="eastAsia" w:ascii="宋体" w:hAnsi="宋体"/>
          <w:sz w:val="24"/>
          <w:szCs w:val="22"/>
        </w:rPr>
      </w:pPr>
      <w:r>
        <w:rPr>
          <w:rFonts w:hint="eastAsia" w:ascii="宋体" w:hAnsi="宋体"/>
          <w:sz w:val="24"/>
          <w:szCs w:val="22"/>
        </w:rPr>
        <w:t>（二）</w:t>
      </w:r>
      <w:r>
        <w:rPr>
          <w:rFonts w:ascii="宋体" w:hAnsi="宋体"/>
          <w:sz w:val="24"/>
          <w:szCs w:val="22"/>
        </w:rPr>
        <w:t>具有履行合同所必需的设备和专业技术能力；</w:t>
      </w:r>
    </w:p>
    <w:p w14:paraId="1699391F">
      <w:pPr>
        <w:spacing w:line="360" w:lineRule="auto"/>
        <w:ind w:firstLine="480" w:firstLineChars="200"/>
        <w:rPr>
          <w:rFonts w:hint="eastAsia" w:ascii="宋体" w:hAnsi="宋体"/>
          <w:sz w:val="24"/>
          <w:szCs w:val="22"/>
        </w:rPr>
      </w:pPr>
      <w:r>
        <w:rPr>
          <w:rFonts w:hint="eastAsia" w:ascii="宋体" w:hAnsi="宋体"/>
          <w:sz w:val="24"/>
          <w:szCs w:val="22"/>
        </w:rPr>
        <w:t>（三）</w:t>
      </w:r>
      <w:r>
        <w:rPr>
          <w:rFonts w:ascii="宋体" w:hAnsi="宋体"/>
          <w:sz w:val="24"/>
          <w:szCs w:val="22"/>
        </w:rPr>
        <w:t>有依法缴纳税收和社会保障资金的良好记录；</w:t>
      </w:r>
    </w:p>
    <w:p w14:paraId="0F31220C">
      <w:pPr>
        <w:spacing w:line="360" w:lineRule="auto"/>
        <w:ind w:firstLine="480" w:firstLineChars="200"/>
        <w:rPr>
          <w:rFonts w:hint="eastAsia" w:ascii="宋体" w:hAnsi="宋体"/>
          <w:sz w:val="24"/>
          <w:szCs w:val="22"/>
        </w:rPr>
      </w:pPr>
      <w:r>
        <w:rPr>
          <w:rFonts w:hint="eastAsia" w:ascii="宋体" w:hAnsi="宋体"/>
          <w:sz w:val="24"/>
          <w:szCs w:val="22"/>
        </w:rPr>
        <w:t>（四）</w:t>
      </w: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AF3DA48">
      <w:pPr>
        <w:spacing w:line="360" w:lineRule="auto"/>
        <w:ind w:firstLine="480" w:firstLineChars="200"/>
        <w:rPr>
          <w:rFonts w:hint="eastAsia" w:ascii="宋体" w:hAnsi="宋体"/>
          <w:sz w:val="24"/>
          <w:szCs w:val="22"/>
        </w:rPr>
      </w:pPr>
      <w:r>
        <w:rPr>
          <w:rFonts w:hint="eastAsia" w:ascii="宋体" w:hAnsi="宋体"/>
          <w:sz w:val="24"/>
          <w:szCs w:val="22"/>
        </w:rPr>
        <w:t>（五）</w:t>
      </w:r>
      <w:r>
        <w:rPr>
          <w:rFonts w:ascii="宋体" w:hAnsi="宋体"/>
          <w:sz w:val="24"/>
          <w:szCs w:val="22"/>
        </w:rPr>
        <w:t>我单位不属于政府采购法律、行政法规规定的公益一类事业单位、或使用事业编制且由财政拨款保障的群团组织（仅适用于政府购买服务项目）；</w:t>
      </w:r>
    </w:p>
    <w:p w14:paraId="2809F7A4">
      <w:pPr>
        <w:spacing w:line="360" w:lineRule="auto"/>
        <w:ind w:firstLine="480" w:firstLineChars="200"/>
        <w:rPr>
          <w:rFonts w:hint="eastAsia" w:ascii="宋体" w:hAnsi="宋体"/>
          <w:sz w:val="24"/>
          <w:szCs w:val="22"/>
        </w:rPr>
      </w:pPr>
      <w:r>
        <w:rPr>
          <w:rFonts w:hint="eastAsia" w:ascii="宋体" w:hAnsi="宋体"/>
          <w:sz w:val="24"/>
          <w:szCs w:val="22"/>
        </w:rPr>
        <w:t>（六）</w:t>
      </w:r>
      <w:r>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216E0F3E">
      <w:pPr>
        <w:spacing w:line="360" w:lineRule="auto"/>
        <w:ind w:firstLine="480" w:firstLineChars="200"/>
        <w:rPr>
          <w:rFonts w:hint="eastAsia" w:ascii="宋体" w:hAnsi="宋体"/>
          <w:sz w:val="24"/>
          <w:szCs w:val="22"/>
        </w:rPr>
      </w:pPr>
      <w:r>
        <w:rPr>
          <w:rFonts w:hint="eastAsia" w:ascii="宋体" w:hAnsi="宋体"/>
          <w:sz w:val="24"/>
          <w:szCs w:val="22"/>
        </w:rPr>
        <w:t>（七）</w:t>
      </w:r>
      <w:r>
        <w:rPr>
          <w:rFonts w:ascii="宋体" w:hAnsi="宋体"/>
          <w:sz w:val="24"/>
          <w:szCs w:val="22"/>
        </w:rPr>
        <w:t>与我单位存在“单位负责人为同一人或者存在直接控股、管理关系”的其他法人单位信息如下（如有，不论其是否参加同一合同项下的政府采购活动均须填写）：</w:t>
      </w:r>
    </w:p>
    <w:tbl>
      <w:tblPr>
        <w:tblStyle w:val="57"/>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554BAF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64B8E00">
            <w:pPr>
              <w:jc w:val="center"/>
              <w:rPr>
                <w:rFonts w:hint="eastAsia" w:ascii="宋体" w:hAnsi="宋体"/>
                <w:sz w:val="24"/>
              </w:rPr>
            </w:pPr>
            <w:r>
              <w:rPr>
                <w:rFonts w:ascii="宋体" w:hAnsi="宋体"/>
                <w:sz w:val="24"/>
              </w:rPr>
              <w:t>序号</w:t>
            </w:r>
          </w:p>
        </w:tc>
        <w:tc>
          <w:tcPr>
            <w:tcW w:w="4574" w:type="dxa"/>
            <w:vAlign w:val="center"/>
          </w:tcPr>
          <w:p w14:paraId="6B934C9F">
            <w:pPr>
              <w:jc w:val="center"/>
              <w:rPr>
                <w:rFonts w:hint="eastAsia" w:ascii="宋体" w:hAnsi="宋体"/>
                <w:sz w:val="24"/>
              </w:rPr>
            </w:pPr>
            <w:r>
              <w:rPr>
                <w:rFonts w:ascii="宋体" w:hAnsi="宋体"/>
                <w:sz w:val="24"/>
              </w:rPr>
              <w:t>单位名称</w:t>
            </w:r>
          </w:p>
        </w:tc>
        <w:tc>
          <w:tcPr>
            <w:tcW w:w="2976" w:type="dxa"/>
            <w:vAlign w:val="center"/>
          </w:tcPr>
          <w:p w14:paraId="0CEF5990">
            <w:pPr>
              <w:jc w:val="center"/>
              <w:rPr>
                <w:rFonts w:hint="eastAsia" w:ascii="宋体" w:hAnsi="宋体"/>
                <w:sz w:val="24"/>
              </w:rPr>
            </w:pPr>
            <w:r>
              <w:rPr>
                <w:rFonts w:ascii="宋体" w:hAnsi="宋体"/>
                <w:sz w:val="24"/>
              </w:rPr>
              <w:t>相互关系</w:t>
            </w:r>
          </w:p>
        </w:tc>
      </w:tr>
      <w:tr w14:paraId="6EB1D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3882380">
            <w:pPr>
              <w:jc w:val="center"/>
              <w:rPr>
                <w:rFonts w:hint="eastAsia" w:ascii="宋体" w:hAnsi="宋体"/>
                <w:sz w:val="24"/>
              </w:rPr>
            </w:pPr>
            <w:r>
              <w:rPr>
                <w:rFonts w:ascii="宋体" w:hAnsi="宋体"/>
                <w:sz w:val="24"/>
              </w:rPr>
              <w:t>1</w:t>
            </w:r>
          </w:p>
        </w:tc>
        <w:tc>
          <w:tcPr>
            <w:tcW w:w="4574" w:type="dxa"/>
            <w:vAlign w:val="center"/>
          </w:tcPr>
          <w:p w14:paraId="28C6B6CD">
            <w:pPr>
              <w:jc w:val="center"/>
              <w:rPr>
                <w:rFonts w:hint="eastAsia" w:ascii="宋体" w:hAnsi="宋体"/>
                <w:sz w:val="24"/>
              </w:rPr>
            </w:pPr>
          </w:p>
        </w:tc>
        <w:tc>
          <w:tcPr>
            <w:tcW w:w="2976" w:type="dxa"/>
            <w:vAlign w:val="center"/>
          </w:tcPr>
          <w:p w14:paraId="6A5F8D05">
            <w:pPr>
              <w:jc w:val="center"/>
              <w:rPr>
                <w:rFonts w:hint="eastAsia" w:ascii="宋体" w:hAnsi="宋体"/>
                <w:sz w:val="24"/>
              </w:rPr>
            </w:pPr>
          </w:p>
        </w:tc>
      </w:tr>
      <w:tr w14:paraId="6C34A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844392F">
            <w:pPr>
              <w:jc w:val="center"/>
              <w:rPr>
                <w:rFonts w:hint="eastAsia" w:ascii="宋体" w:hAnsi="宋体"/>
                <w:sz w:val="24"/>
              </w:rPr>
            </w:pPr>
            <w:r>
              <w:rPr>
                <w:rFonts w:ascii="宋体" w:hAnsi="宋体"/>
                <w:sz w:val="24"/>
              </w:rPr>
              <w:t>2</w:t>
            </w:r>
          </w:p>
        </w:tc>
        <w:tc>
          <w:tcPr>
            <w:tcW w:w="4574" w:type="dxa"/>
            <w:vAlign w:val="center"/>
          </w:tcPr>
          <w:p w14:paraId="2C529DD0">
            <w:pPr>
              <w:jc w:val="center"/>
              <w:rPr>
                <w:rFonts w:hint="eastAsia" w:ascii="宋体" w:hAnsi="宋体"/>
                <w:sz w:val="24"/>
              </w:rPr>
            </w:pPr>
          </w:p>
        </w:tc>
        <w:tc>
          <w:tcPr>
            <w:tcW w:w="2976" w:type="dxa"/>
            <w:vAlign w:val="center"/>
          </w:tcPr>
          <w:p w14:paraId="787CF0F4">
            <w:pPr>
              <w:jc w:val="center"/>
              <w:rPr>
                <w:rFonts w:hint="eastAsia" w:ascii="宋体" w:hAnsi="宋体"/>
                <w:sz w:val="24"/>
              </w:rPr>
            </w:pPr>
          </w:p>
        </w:tc>
      </w:tr>
      <w:tr w14:paraId="7D4DF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B6757CA">
            <w:pPr>
              <w:jc w:val="center"/>
              <w:rPr>
                <w:rFonts w:hint="eastAsia" w:ascii="宋体" w:hAnsi="宋体"/>
                <w:sz w:val="24"/>
              </w:rPr>
            </w:pPr>
            <w:r>
              <w:rPr>
                <w:rFonts w:ascii="宋体" w:hAnsi="宋体"/>
                <w:sz w:val="24"/>
              </w:rPr>
              <w:t>…</w:t>
            </w:r>
          </w:p>
        </w:tc>
        <w:tc>
          <w:tcPr>
            <w:tcW w:w="4574" w:type="dxa"/>
            <w:vAlign w:val="center"/>
          </w:tcPr>
          <w:p w14:paraId="069FBBE0">
            <w:pPr>
              <w:jc w:val="center"/>
              <w:rPr>
                <w:rFonts w:hint="eastAsia" w:ascii="宋体" w:hAnsi="宋体"/>
                <w:sz w:val="24"/>
              </w:rPr>
            </w:pPr>
          </w:p>
        </w:tc>
        <w:tc>
          <w:tcPr>
            <w:tcW w:w="2976" w:type="dxa"/>
            <w:vAlign w:val="center"/>
          </w:tcPr>
          <w:p w14:paraId="38F72B89">
            <w:pPr>
              <w:jc w:val="center"/>
              <w:rPr>
                <w:rFonts w:hint="eastAsia" w:ascii="宋体" w:hAnsi="宋体"/>
                <w:sz w:val="24"/>
              </w:rPr>
            </w:pPr>
          </w:p>
        </w:tc>
      </w:tr>
    </w:tbl>
    <w:p w14:paraId="32524B2D">
      <w:pPr>
        <w:ind w:firstLine="480"/>
        <w:rPr>
          <w:rFonts w:hint="eastAsia" w:ascii="宋体" w:hAnsi="宋体"/>
        </w:rPr>
      </w:pPr>
    </w:p>
    <w:p w14:paraId="1A1AC881">
      <w:pPr>
        <w:ind w:firstLine="480" w:firstLineChars="200"/>
        <w:rPr>
          <w:rFonts w:hint="eastAsia" w:ascii="宋体" w:hAnsi="宋体"/>
          <w:sz w:val="24"/>
          <w:szCs w:val="22"/>
        </w:rPr>
      </w:pPr>
      <w:r>
        <w:rPr>
          <w:rFonts w:ascii="宋体" w:hAnsi="宋体"/>
          <w:sz w:val="24"/>
        </w:rPr>
        <w:t>上述声明真实有效，否则我方负全部责任。</w:t>
      </w:r>
    </w:p>
    <w:p w14:paraId="108AB776">
      <w:pPr>
        <w:spacing w:line="360" w:lineRule="auto"/>
        <w:rPr>
          <w:rFonts w:hint="eastAsia" w:ascii="宋体" w:hAnsi="宋体"/>
          <w:sz w:val="24"/>
        </w:rPr>
      </w:pPr>
    </w:p>
    <w:p w14:paraId="34ACDEFE">
      <w:pPr>
        <w:autoSpaceDE w:val="0"/>
        <w:autoSpaceDN w:val="0"/>
        <w:adjustRightInd w:val="0"/>
        <w:snapToGrid w:val="0"/>
        <w:spacing w:before="25" w:after="25" w:line="360" w:lineRule="auto"/>
        <w:ind w:right="63"/>
        <w:jc w:val="right"/>
        <w:rPr>
          <w:rFonts w:hint="eastAsia"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66F387CB">
      <w:pPr>
        <w:spacing w:line="360" w:lineRule="auto"/>
        <w:ind w:right="63" w:firstLine="480"/>
        <w:jc w:val="right"/>
        <w:rPr>
          <w:rFonts w:hint="eastAsia" w:ascii="宋体" w:hAnsi="宋体"/>
          <w:sz w:val="24"/>
        </w:rPr>
      </w:pPr>
      <w:r>
        <w:rPr>
          <w:rFonts w:ascii="宋体" w:hAnsi="宋体"/>
          <w:sz w:val="24"/>
          <w:szCs w:val="20"/>
        </w:rPr>
        <w:t xml:space="preserve">日期：____年____月____日   </w:t>
      </w:r>
    </w:p>
    <w:p w14:paraId="27AD6890">
      <w:pPr>
        <w:spacing w:line="360" w:lineRule="auto"/>
        <w:rPr>
          <w:rFonts w:hint="eastAsia" w:ascii="宋体" w:hAnsi="宋体"/>
          <w:sz w:val="24"/>
        </w:rPr>
      </w:pPr>
      <w:r>
        <w:rPr>
          <w:rFonts w:hint="eastAsia" w:ascii="宋体" w:hAnsi="宋体"/>
          <w:sz w:val="24"/>
        </w:rPr>
        <w:t>说明：供应商承诺不实的，依据《政府采购法》第七十七条“提供虚假材料谋取中标、成交的”有关规定予以处理。</w:t>
      </w:r>
    </w:p>
    <w:p w14:paraId="429132C8">
      <w:pPr>
        <w:tabs>
          <w:tab w:val="left" w:pos="5580"/>
        </w:tabs>
        <w:spacing w:line="360" w:lineRule="auto"/>
        <w:rPr>
          <w:rFonts w:hint="eastAsia" w:ascii="宋体" w:hAnsi="宋体"/>
          <w:sz w:val="24"/>
        </w:rPr>
        <w:sectPr>
          <w:pgSz w:w="11907" w:h="16840"/>
          <w:pgMar w:top="1418" w:right="1134" w:bottom="1418" w:left="1701" w:header="851" w:footer="851" w:gutter="0"/>
          <w:cols w:space="720" w:num="1"/>
          <w:docGrid w:linePitch="462" w:charSpace="0"/>
        </w:sectPr>
      </w:pPr>
    </w:p>
    <w:p w14:paraId="5755EDA9">
      <w:pPr>
        <w:tabs>
          <w:tab w:val="left" w:pos="360"/>
        </w:tabs>
        <w:snapToGrid w:val="0"/>
        <w:spacing w:line="360" w:lineRule="auto"/>
        <w:outlineLvl w:val="1"/>
        <w:rPr>
          <w:rFonts w:hint="eastAsia" w:ascii="宋体" w:hAnsi="宋体"/>
          <w:sz w:val="24"/>
        </w:rPr>
      </w:pPr>
      <w:r>
        <w:rPr>
          <w:rFonts w:ascii="宋体" w:hAnsi="宋体"/>
          <w:sz w:val="24"/>
        </w:rPr>
        <w:t>2 落实政府采购政策需满足的资格要求（如有）</w:t>
      </w:r>
    </w:p>
    <w:p w14:paraId="168B3F6B">
      <w:pPr>
        <w:spacing w:line="360" w:lineRule="auto"/>
        <w:outlineLvl w:val="2"/>
        <w:rPr>
          <w:rFonts w:hint="eastAsia" w:ascii="宋体" w:hAnsi="宋体"/>
          <w:sz w:val="24"/>
          <w:szCs w:val="20"/>
        </w:rPr>
      </w:pPr>
      <w:r>
        <w:rPr>
          <w:rFonts w:ascii="宋体" w:hAnsi="宋体"/>
          <w:sz w:val="24"/>
          <w:szCs w:val="20"/>
        </w:rPr>
        <w:t>2-1中小企业声明函</w:t>
      </w:r>
    </w:p>
    <w:p w14:paraId="770CA93C">
      <w:pPr>
        <w:tabs>
          <w:tab w:val="left" w:pos="5580"/>
        </w:tabs>
        <w:spacing w:line="360" w:lineRule="auto"/>
        <w:rPr>
          <w:rFonts w:hint="eastAsia" w:ascii="宋体" w:hAnsi="宋体"/>
          <w:sz w:val="24"/>
        </w:rPr>
      </w:pPr>
    </w:p>
    <w:p w14:paraId="3BC559EF">
      <w:pPr>
        <w:tabs>
          <w:tab w:val="left" w:pos="5580"/>
        </w:tabs>
        <w:spacing w:line="360" w:lineRule="auto"/>
        <w:rPr>
          <w:rFonts w:hint="eastAsia" w:ascii="宋体" w:hAnsi="宋体"/>
          <w:sz w:val="24"/>
        </w:rPr>
      </w:pPr>
      <w:r>
        <w:rPr>
          <w:rFonts w:ascii="宋体" w:hAnsi="宋体"/>
          <w:sz w:val="24"/>
        </w:rPr>
        <w:t>说明：</w:t>
      </w:r>
    </w:p>
    <w:p w14:paraId="1D17F879">
      <w:pPr>
        <w:tabs>
          <w:tab w:val="left" w:pos="5580"/>
        </w:tabs>
        <w:spacing w:line="360" w:lineRule="auto"/>
        <w:rPr>
          <w:rFonts w:hint="eastAsia" w:ascii="宋体" w:hAnsi="宋体"/>
          <w:sz w:val="24"/>
        </w:rPr>
      </w:pPr>
      <w:r>
        <w:rPr>
          <w:rFonts w:ascii="宋体" w:hAnsi="宋体"/>
          <w:sz w:val="24"/>
        </w:rPr>
        <w:t>（1）如本项目（包）不专门面向中小企业预留采购份额，</w:t>
      </w:r>
      <w:r>
        <w:rPr>
          <w:rFonts w:hint="eastAsia" w:ascii="宋体" w:hAnsi="宋体"/>
          <w:sz w:val="24"/>
        </w:rPr>
        <w:t>供应商非必须</w:t>
      </w:r>
      <w:r>
        <w:rPr>
          <w:rFonts w:ascii="宋体" w:hAnsi="宋体"/>
          <w:sz w:val="24"/>
        </w:rPr>
        <w:t>提供</w:t>
      </w:r>
      <w:r>
        <w:rPr>
          <w:rFonts w:hint="eastAsia" w:ascii="宋体" w:hAnsi="宋体"/>
          <w:sz w:val="24"/>
        </w:rPr>
        <w:t>；当小微企业拟享受中小企业扶持政策时，仍应提供</w:t>
      </w:r>
      <w:r>
        <w:rPr>
          <w:rFonts w:ascii="宋体" w:hAnsi="宋体"/>
          <w:sz w:val="24"/>
        </w:rPr>
        <w:t>《中小企业声明函》</w:t>
      </w:r>
      <w:r>
        <w:rPr>
          <w:rFonts w:hint="eastAsia" w:ascii="宋体" w:hAnsi="宋体"/>
          <w:sz w:val="24"/>
        </w:rPr>
        <w:t>，</w:t>
      </w:r>
      <w:r>
        <w:rPr>
          <w:rFonts w:ascii="宋体" w:hAnsi="宋体"/>
          <w:sz w:val="24"/>
        </w:rPr>
        <w:t>否则不得享受相关中小企业扶持政策。</w:t>
      </w:r>
    </w:p>
    <w:p w14:paraId="3BA3FAD8">
      <w:pPr>
        <w:tabs>
          <w:tab w:val="left" w:pos="5580"/>
        </w:tabs>
        <w:spacing w:line="360" w:lineRule="auto"/>
        <w:rPr>
          <w:rFonts w:hint="eastAsia" w:ascii="宋体" w:hAnsi="宋体"/>
          <w:sz w:val="24"/>
        </w:rPr>
      </w:pPr>
      <w:r>
        <w:rPr>
          <w:rFonts w:ascii="宋体" w:hAnsi="宋体"/>
          <w:sz w:val="24"/>
        </w:rPr>
        <w:t>（2）如本项目（包）专门面向中小/小微企业采购，须提供《中小企业声明函》（实质性格式）。</w:t>
      </w:r>
    </w:p>
    <w:p w14:paraId="1CDB15D9">
      <w:pPr>
        <w:tabs>
          <w:tab w:val="left" w:pos="5580"/>
        </w:tabs>
        <w:spacing w:line="360" w:lineRule="auto"/>
        <w:rPr>
          <w:rFonts w:hint="eastAsia" w:ascii="宋体" w:hAnsi="宋体"/>
          <w:sz w:val="24"/>
        </w:rPr>
      </w:pPr>
      <w:r>
        <w:rPr>
          <w:rFonts w:ascii="宋体" w:hAnsi="宋体"/>
          <w:sz w:val="24"/>
        </w:rPr>
        <w:t>（3）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1BE1F675">
      <w:pPr>
        <w:tabs>
          <w:tab w:val="left" w:pos="5580"/>
        </w:tabs>
        <w:spacing w:line="360" w:lineRule="auto"/>
        <w:rPr>
          <w:rFonts w:hint="eastAsia" w:ascii="宋体" w:hAnsi="宋体"/>
          <w:sz w:val="24"/>
        </w:rPr>
      </w:pPr>
      <w:r>
        <w:rPr>
          <w:rFonts w:ascii="宋体" w:hAnsi="宋体"/>
          <w:sz w:val="24"/>
        </w:rPr>
        <w:t>（4）其他</w:t>
      </w:r>
    </w:p>
    <w:p w14:paraId="46B8AB10">
      <w:pPr>
        <w:tabs>
          <w:tab w:val="left" w:pos="5580"/>
        </w:tabs>
        <w:spacing w:line="360" w:lineRule="auto"/>
        <w:rPr>
          <w:rFonts w:hint="eastAsia" w:ascii="宋体" w:hAnsi="宋体"/>
          <w:sz w:val="24"/>
        </w:rPr>
      </w:pPr>
      <w:r>
        <w:rPr>
          <w:rFonts w:ascii="宋体" w:hAnsi="宋体"/>
          <w:sz w:val="24"/>
        </w:rPr>
        <w:t>1）中小企业参加政府采购活动，应当出具此格式文件。《中小企业声明函》由参加政府采购活动的供应商出具。联合体响应的，《中小企业声明函》由牵头人出具。</w:t>
      </w:r>
    </w:p>
    <w:p w14:paraId="3587665F">
      <w:pPr>
        <w:tabs>
          <w:tab w:val="left" w:pos="5580"/>
        </w:tabs>
        <w:spacing w:line="360" w:lineRule="auto"/>
        <w:rPr>
          <w:rFonts w:hint="eastAsia" w:ascii="宋体" w:hAnsi="宋体"/>
          <w:sz w:val="24"/>
        </w:rPr>
      </w:pPr>
      <w:r>
        <w:rPr>
          <w:rFonts w:ascii="宋体" w:hAnsi="宋体"/>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266F1105">
      <w:pPr>
        <w:tabs>
          <w:tab w:val="left" w:pos="5580"/>
        </w:tabs>
        <w:spacing w:line="360" w:lineRule="auto"/>
        <w:rPr>
          <w:rFonts w:hint="eastAsia" w:ascii="宋体" w:hAnsi="宋体"/>
          <w:sz w:val="24"/>
        </w:rPr>
      </w:pPr>
      <w:r>
        <w:rPr>
          <w:rFonts w:ascii="宋体" w:hAnsi="宋体"/>
          <w:sz w:val="24"/>
        </w:rPr>
        <w:t>3）对于多标的的采购项目，供应商应充分、准确地了解所投产品制造企业信息。对相关情况了解不清楚的，不建议填报本声明函。</w:t>
      </w:r>
    </w:p>
    <w:p w14:paraId="0DECC3BD">
      <w:pPr>
        <w:tabs>
          <w:tab w:val="left" w:pos="5580"/>
        </w:tabs>
        <w:spacing w:line="360" w:lineRule="auto"/>
        <w:rPr>
          <w:rFonts w:hint="eastAsia" w:ascii="宋体" w:hAnsi="宋体"/>
          <w:sz w:val="24"/>
        </w:rPr>
      </w:pPr>
      <w:r>
        <w:rPr>
          <w:rFonts w:ascii="宋体" w:hAnsi="宋体"/>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4F1DD1BF">
      <w:pPr>
        <w:tabs>
          <w:tab w:val="left" w:pos="5580"/>
        </w:tabs>
        <w:spacing w:line="360" w:lineRule="auto"/>
        <w:rPr>
          <w:rFonts w:hint="eastAsia" w:ascii="宋体" w:hAnsi="宋体"/>
          <w:sz w:val="24"/>
        </w:rPr>
      </w:pPr>
    </w:p>
    <w:p w14:paraId="46046D0B">
      <w:pPr>
        <w:widowControl/>
        <w:jc w:val="left"/>
        <w:rPr>
          <w:rFonts w:hint="eastAsia" w:ascii="宋体" w:hAnsi="宋体"/>
          <w:sz w:val="24"/>
        </w:rPr>
      </w:pPr>
    </w:p>
    <w:p w14:paraId="32D824FA">
      <w:pPr>
        <w:widowControl/>
        <w:jc w:val="left"/>
        <w:rPr>
          <w:rFonts w:hint="eastAsia" w:ascii="宋体" w:hAnsi="宋体"/>
          <w:sz w:val="24"/>
        </w:rPr>
      </w:pPr>
    </w:p>
    <w:p w14:paraId="290F4677">
      <w:pPr>
        <w:widowControl/>
        <w:jc w:val="left"/>
        <w:rPr>
          <w:rFonts w:hint="eastAsia" w:ascii="宋体" w:hAnsi="宋体"/>
          <w:sz w:val="24"/>
        </w:rPr>
      </w:pPr>
    </w:p>
    <w:p w14:paraId="4A0F0D2F">
      <w:pPr>
        <w:spacing w:before="240" w:beforeLines="100" w:after="240" w:afterLines="100" w:line="360" w:lineRule="auto"/>
        <w:ind w:firstLine="482"/>
        <w:jc w:val="left"/>
        <w:rPr>
          <w:rFonts w:hint="eastAsia" w:ascii="宋体" w:hAnsi="宋体"/>
          <w:b/>
          <w:bCs/>
          <w:sz w:val="36"/>
          <w:szCs w:val="36"/>
        </w:rPr>
      </w:pPr>
      <w:r>
        <w:rPr>
          <w:rFonts w:hint="eastAsia" w:ascii="宋体" w:hAnsi="宋体"/>
          <w:b/>
          <w:bCs/>
          <w:sz w:val="24"/>
        </w:rPr>
        <w:t>2-1-1 中小企业声明函及残疾人福利性单位声明函格式</w:t>
      </w:r>
    </w:p>
    <w:p w14:paraId="3E79A8A1">
      <w:pPr>
        <w:spacing w:before="240" w:beforeLines="100" w:after="240" w:afterLines="100" w:line="360" w:lineRule="auto"/>
        <w:jc w:val="center"/>
        <w:rPr>
          <w:rFonts w:hint="eastAsia" w:ascii="宋体" w:hAnsi="宋体"/>
          <w:b/>
          <w:bCs/>
          <w:sz w:val="36"/>
          <w:szCs w:val="36"/>
        </w:rPr>
      </w:pPr>
      <w:r>
        <w:rPr>
          <w:rFonts w:ascii="宋体" w:hAnsi="宋体"/>
          <w:b/>
          <w:bCs/>
          <w:sz w:val="36"/>
          <w:szCs w:val="36"/>
        </w:rPr>
        <w:t>中小企业声明函（工程、服务）格式</w:t>
      </w:r>
    </w:p>
    <w:p w14:paraId="5C46F92F">
      <w:pPr>
        <w:spacing w:line="360" w:lineRule="auto"/>
        <w:ind w:firstLine="504"/>
        <w:rPr>
          <w:rFonts w:hint="eastAsia" w:ascii="宋体" w:hAnsi="宋体"/>
          <w:spacing w:val="6"/>
          <w:sz w:val="24"/>
        </w:rPr>
      </w:pPr>
      <w:r>
        <w:rPr>
          <w:rFonts w:ascii="宋体" w:hAnsi="宋体"/>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29D271F8">
      <w:pPr>
        <w:spacing w:line="360" w:lineRule="auto"/>
        <w:ind w:firstLine="504"/>
        <w:rPr>
          <w:rFonts w:hint="eastAsia" w:ascii="宋体" w:hAnsi="宋体"/>
          <w:spacing w:val="6"/>
          <w:sz w:val="24"/>
        </w:rPr>
      </w:pPr>
      <w:r>
        <w:rPr>
          <w:rFonts w:ascii="宋体" w:hAnsi="宋体"/>
          <w:spacing w:val="6"/>
          <w:sz w:val="24"/>
        </w:rPr>
        <w:t>1.</w:t>
      </w:r>
      <w:r>
        <w:rPr>
          <w:rFonts w:ascii="宋体" w:hAnsi="宋体"/>
          <w:spacing w:val="6"/>
          <w:sz w:val="24"/>
          <w:u w:val="single"/>
        </w:rPr>
        <w:t xml:space="preserve"> （标的名称） </w:t>
      </w:r>
      <w:r>
        <w:rPr>
          <w:rFonts w:ascii="宋体" w:hAnsi="宋体"/>
          <w:spacing w:val="6"/>
          <w:sz w:val="24"/>
        </w:rPr>
        <w:t>，属于</w:t>
      </w:r>
      <w:r>
        <w:rPr>
          <w:rFonts w:ascii="宋体" w:hAnsi="宋体"/>
          <w:spacing w:val="6"/>
          <w:sz w:val="24"/>
          <w:u w:val="single"/>
        </w:rPr>
        <w:t>（竞争性磋商文件中明确的所属行业）</w:t>
      </w:r>
      <w:r>
        <w:rPr>
          <w:rFonts w:ascii="宋体" w:hAnsi="宋体"/>
          <w:spacing w:val="6"/>
          <w:sz w:val="24"/>
        </w:rPr>
        <w:t>行业；承建（承接）企业为</w:t>
      </w:r>
      <w:r>
        <w:rPr>
          <w:rFonts w:ascii="宋体" w:hAnsi="宋体"/>
          <w:spacing w:val="6"/>
          <w:sz w:val="24"/>
          <w:u w:val="single"/>
        </w:rPr>
        <w:t>（企业名称）</w:t>
      </w:r>
      <w:r>
        <w:rPr>
          <w:rFonts w:ascii="宋体" w:hAnsi="宋体"/>
          <w:spacing w:val="6"/>
          <w:sz w:val="24"/>
        </w:rPr>
        <w:t>，从业人员</w:t>
      </w:r>
      <w:r>
        <w:rPr>
          <w:rFonts w:ascii="宋体" w:hAnsi="宋体"/>
          <w:sz w:val="24"/>
        </w:rPr>
        <w:t>______</w:t>
      </w:r>
      <w:r>
        <w:rPr>
          <w:rFonts w:ascii="宋体" w:hAnsi="宋体"/>
          <w:spacing w:val="6"/>
          <w:sz w:val="24"/>
        </w:rPr>
        <w:t>人，营业收入为</w:t>
      </w:r>
      <w:r>
        <w:rPr>
          <w:rFonts w:ascii="宋体" w:hAnsi="宋体"/>
          <w:sz w:val="24"/>
        </w:rPr>
        <w:t>______</w:t>
      </w:r>
      <w:r>
        <w:rPr>
          <w:rFonts w:ascii="宋体" w:hAnsi="宋体"/>
          <w:spacing w:val="6"/>
          <w:sz w:val="24"/>
        </w:rPr>
        <w:t>万元，资产总额为</w:t>
      </w:r>
      <w:r>
        <w:rPr>
          <w:rFonts w:ascii="宋体" w:hAnsi="宋体"/>
          <w:sz w:val="24"/>
        </w:rPr>
        <w:t>______</w:t>
      </w:r>
      <w:r>
        <w:rPr>
          <w:rFonts w:ascii="宋体" w:hAnsi="宋体"/>
          <w:spacing w:val="6"/>
          <w:sz w:val="24"/>
        </w:rPr>
        <w:t>万元</w:t>
      </w:r>
      <w:r>
        <w:rPr>
          <w:rFonts w:ascii="宋体" w:hAnsi="宋体"/>
          <w:spacing w:val="6"/>
          <w:sz w:val="24"/>
          <w:vertAlign w:val="superscript"/>
        </w:rPr>
        <w:t>1</w:t>
      </w:r>
      <w:r>
        <w:rPr>
          <w:rFonts w:ascii="宋体" w:hAnsi="宋体"/>
          <w:spacing w:val="6"/>
          <w:sz w:val="24"/>
        </w:rPr>
        <w:t>，属于（中型企业、小型企业、微型企业）；</w:t>
      </w:r>
    </w:p>
    <w:p w14:paraId="096AEE2B">
      <w:pPr>
        <w:spacing w:line="360" w:lineRule="auto"/>
        <w:ind w:firstLine="504"/>
        <w:rPr>
          <w:rFonts w:hint="eastAsia" w:ascii="宋体" w:hAnsi="宋体"/>
          <w:spacing w:val="6"/>
          <w:sz w:val="24"/>
        </w:rPr>
      </w:pPr>
      <w:r>
        <w:rPr>
          <w:rFonts w:ascii="宋体" w:hAnsi="宋体"/>
          <w:spacing w:val="6"/>
          <w:sz w:val="24"/>
        </w:rPr>
        <w:t xml:space="preserve">2. </w:t>
      </w:r>
      <w:r>
        <w:rPr>
          <w:rFonts w:ascii="宋体" w:hAnsi="宋体"/>
          <w:spacing w:val="6"/>
          <w:sz w:val="24"/>
          <w:u w:val="single"/>
        </w:rPr>
        <w:t xml:space="preserve">（标的名称） </w:t>
      </w:r>
      <w:r>
        <w:rPr>
          <w:rFonts w:ascii="宋体" w:hAnsi="宋体"/>
          <w:spacing w:val="6"/>
          <w:sz w:val="24"/>
        </w:rPr>
        <w:t>，属于</w:t>
      </w:r>
      <w:r>
        <w:rPr>
          <w:rFonts w:ascii="宋体" w:hAnsi="宋体"/>
          <w:spacing w:val="6"/>
          <w:sz w:val="24"/>
          <w:u w:val="single"/>
        </w:rPr>
        <w:t>（竞争性磋商文件中明确的所属行业）</w:t>
      </w:r>
      <w:r>
        <w:rPr>
          <w:rFonts w:ascii="宋体" w:hAnsi="宋体"/>
          <w:spacing w:val="6"/>
          <w:sz w:val="24"/>
        </w:rPr>
        <w:t>行业；承建（承接）企业为</w:t>
      </w:r>
      <w:r>
        <w:rPr>
          <w:rFonts w:ascii="宋体" w:hAnsi="宋体"/>
          <w:spacing w:val="6"/>
          <w:sz w:val="24"/>
          <w:u w:val="single"/>
        </w:rPr>
        <w:t>（企业名称）</w:t>
      </w:r>
      <w:r>
        <w:rPr>
          <w:rFonts w:ascii="宋体" w:hAnsi="宋体"/>
          <w:spacing w:val="6"/>
          <w:sz w:val="24"/>
        </w:rPr>
        <w:t>，从业人员</w:t>
      </w:r>
      <w:r>
        <w:rPr>
          <w:rFonts w:ascii="宋体" w:hAnsi="宋体"/>
          <w:sz w:val="24"/>
        </w:rPr>
        <w:t>______</w:t>
      </w:r>
      <w:r>
        <w:rPr>
          <w:rFonts w:ascii="宋体" w:hAnsi="宋体"/>
          <w:spacing w:val="6"/>
          <w:sz w:val="24"/>
        </w:rPr>
        <w:t>人，营业收入为</w:t>
      </w:r>
      <w:r>
        <w:rPr>
          <w:rFonts w:ascii="宋体" w:hAnsi="宋体"/>
          <w:sz w:val="24"/>
        </w:rPr>
        <w:t>______</w:t>
      </w:r>
      <w:r>
        <w:rPr>
          <w:rFonts w:ascii="宋体" w:hAnsi="宋体"/>
          <w:spacing w:val="6"/>
          <w:sz w:val="24"/>
        </w:rPr>
        <w:t>万元，资产总额为</w:t>
      </w:r>
      <w:r>
        <w:rPr>
          <w:rFonts w:ascii="宋体" w:hAnsi="宋体"/>
          <w:sz w:val="24"/>
        </w:rPr>
        <w:t>______</w:t>
      </w:r>
      <w:r>
        <w:rPr>
          <w:rFonts w:ascii="宋体" w:hAnsi="宋体"/>
          <w:spacing w:val="6"/>
          <w:sz w:val="24"/>
        </w:rPr>
        <w:t>万元，属于</w:t>
      </w:r>
      <w:r>
        <w:rPr>
          <w:rFonts w:ascii="宋体" w:hAnsi="宋体"/>
          <w:spacing w:val="6"/>
          <w:sz w:val="24"/>
          <w:u w:val="single"/>
        </w:rPr>
        <w:t>（中型企业、小型企业、微型企业）</w:t>
      </w:r>
      <w:r>
        <w:rPr>
          <w:rFonts w:ascii="宋体" w:hAnsi="宋体"/>
          <w:spacing w:val="6"/>
          <w:sz w:val="24"/>
        </w:rPr>
        <w:t>；</w:t>
      </w:r>
    </w:p>
    <w:p w14:paraId="663FAE80">
      <w:pPr>
        <w:spacing w:line="360" w:lineRule="auto"/>
        <w:ind w:firstLine="504"/>
        <w:rPr>
          <w:rFonts w:hint="eastAsia" w:ascii="宋体" w:hAnsi="宋体"/>
          <w:spacing w:val="6"/>
          <w:sz w:val="24"/>
        </w:rPr>
      </w:pPr>
    </w:p>
    <w:p w14:paraId="34165E42">
      <w:pPr>
        <w:spacing w:line="360" w:lineRule="auto"/>
        <w:ind w:firstLine="504"/>
        <w:rPr>
          <w:rFonts w:hint="eastAsia" w:ascii="宋体" w:hAnsi="宋体"/>
          <w:spacing w:val="6"/>
          <w:sz w:val="24"/>
        </w:rPr>
      </w:pPr>
      <w:r>
        <w:rPr>
          <w:rFonts w:ascii="宋体" w:hAnsi="宋体"/>
          <w:spacing w:val="6"/>
          <w:sz w:val="24"/>
        </w:rPr>
        <w:t>……</w:t>
      </w:r>
    </w:p>
    <w:p w14:paraId="592AEA2F">
      <w:pPr>
        <w:spacing w:line="360" w:lineRule="auto"/>
        <w:ind w:firstLine="504"/>
        <w:rPr>
          <w:rFonts w:hint="eastAsia" w:ascii="宋体" w:hAnsi="宋体"/>
          <w:spacing w:val="6"/>
          <w:sz w:val="24"/>
        </w:rPr>
      </w:pPr>
      <w:r>
        <w:rPr>
          <w:rFonts w:ascii="宋体" w:hAnsi="宋体"/>
          <w:spacing w:val="6"/>
          <w:sz w:val="24"/>
        </w:rPr>
        <w:t>以上企业，不属于大企业的分支机构，不存在控股股东为大企业的情形，也不存在与大企业的负责人为同一人的情形。</w:t>
      </w:r>
    </w:p>
    <w:p w14:paraId="5E66EF9A">
      <w:pPr>
        <w:spacing w:line="360" w:lineRule="auto"/>
        <w:ind w:firstLine="504"/>
        <w:rPr>
          <w:rFonts w:hint="eastAsia" w:ascii="宋体" w:hAnsi="宋体"/>
          <w:spacing w:val="6"/>
          <w:sz w:val="24"/>
        </w:rPr>
      </w:pPr>
      <w:r>
        <w:rPr>
          <w:rFonts w:ascii="宋体" w:hAnsi="宋体"/>
          <w:spacing w:val="6"/>
          <w:sz w:val="24"/>
        </w:rPr>
        <w:t>本企业对上述声明内容的真实性负责。如有虚假，将依法承担相应责任。</w:t>
      </w:r>
    </w:p>
    <w:p w14:paraId="2E02E1AE">
      <w:pPr>
        <w:spacing w:line="360" w:lineRule="auto"/>
        <w:ind w:right="63" w:firstLine="480"/>
        <w:jc w:val="right"/>
        <w:rPr>
          <w:rFonts w:hint="eastAsia" w:ascii="宋体" w:hAnsi="宋体"/>
          <w:sz w:val="24"/>
        </w:rPr>
      </w:pPr>
    </w:p>
    <w:p w14:paraId="3F9897EB">
      <w:pPr>
        <w:spacing w:line="360" w:lineRule="auto"/>
        <w:ind w:right="63" w:firstLine="480"/>
        <w:jc w:val="right"/>
        <w:rPr>
          <w:rFonts w:hint="eastAsia" w:ascii="宋体" w:hAnsi="宋体"/>
          <w:sz w:val="24"/>
        </w:rPr>
      </w:pPr>
      <w:r>
        <w:rPr>
          <w:rFonts w:ascii="宋体" w:hAnsi="宋体"/>
          <w:sz w:val="24"/>
        </w:rPr>
        <w:t>企业名称（盖章）：______</w:t>
      </w:r>
    </w:p>
    <w:p w14:paraId="5C08E5B1">
      <w:pPr>
        <w:spacing w:line="360" w:lineRule="auto"/>
        <w:ind w:right="63" w:firstLine="480"/>
        <w:jc w:val="right"/>
        <w:rPr>
          <w:rFonts w:hint="eastAsia" w:ascii="宋体" w:hAnsi="宋体"/>
          <w:sz w:val="24"/>
        </w:rPr>
      </w:pPr>
      <w:r>
        <w:rPr>
          <w:rFonts w:ascii="宋体" w:hAnsi="宋体"/>
          <w:sz w:val="24"/>
        </w:rPr>
        <w:t>日 期：______</w:t>
      </w:r>
    </w:p>
    <w:p w14:paraId="5C60908A">
      <w:pPr>
        <w:adjustRightInd w:val="0"/>
        <w:snapToGrid w:val="0"/>
        <w:jc w:val="left"/>
        <w:rPr>
          <w:rFonts w:hint="eastAsia" w:ascii="宋体" w:hAnsi="宋体"/>
          <w:sz w:val="24"/>
          <w:szCs w:val="21"/>
        </w:rPr>
      </w:pPr>
    </w:p>
    <w:p w14:paraId="7F95E4C8">
      <w:pPr>
        <w:adjustRightInd w:val="0"/>
        <w:snapToGrid w:val="0"/>
        <w:jc w:val="left"/>
        <w:rPr>
          <w:rFonts w:hint="eastAsia" w:ascii="宋体" w:hAnsi="宋体"/>
          <w:sz w:val="24"/>
          <w:szCs w:val="21"/>
        </w:rPr>
      </w:pPr>
    </w:p>
    <w:tbl>
      <w:tblPr>
        <w:tblStyle w:val="57"/>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4BBDAFC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3476C704">
            <w:pPr>
              <w:adjustRightInd w:val="0"/>
              <w:snapToGrid w:val="0"/>
              <w:ind w:firstLine="480"/>
              <w:jc w:val="left"/>
              <w:rPr>
                <w:rFonts w:hint="eastAsia" w:ascii="宋体" w:hAnsi="宋体"/>
                <w:szCs w:val="21"/>
              </w:rPr>
            </w:pPr>
            <w:r>
              <w:rPr>
                <w:rFonts w:ascii="宋体" w:hAnsi="宋体"/>
                <w:szCs w:val="21"/>
                <w:vertAlign w:val="superscript"/>
              </w:rPr>
              <w:t>1</w:t>
            </w:r>
            <w:r>
              <w:rPr>
                <w:rFonts w:ascii="宋体" w:hAnsi="宋体"/>
                <w:szCs w:val="21"/>
              </w:rPr>
              <w:t>从业人员、营业收入、资产总额填报上一年度数据，无上一年度数据的新成立企业可不填报。</w:t>
            </w:r>
          </w:p>
        </w:tc>
      </w:tr>
    </w:tbl>
    <w:p w14:paraId="470C6E02">
      <w:pPr>
        <w:adjustRightInd w:val="0"/>
        <w:snapToGrid w:val="0"/>
        <w:ind w:firstLine="480"/>
        <w:jc w:val="left"/>
        <w:rPr>
          <w:rFonts w:hint="eastAsia" w:ascii="宋体" w:hAnsi="宋体"/>
          <w:szCs w:val="21"/>
          <w:vertAlign w:val="superscript"/>
        </w:rPr>
      </w:pPr>
    </w:p>
    <w:p w14:paraId="42E515F9">
      <w:pPr>
        <w:widowControl/>
        <w:jc w:val="left"/>
        <w:rPr>
          <w:rFonts w:hint="eastAsia" w:ascii="宋体" w:hAnsi="宋体"/>
          <w:szCs w:val="21"/>
          <w:vertAlign w:val="superscript"/>
        </w:rPr>
      </w:pPr>
      <w:r>
        <w:rPr>
          <w:rFonts w:hint="eastAsia" w:ascii="宋体" w:hAnsi="宋体"/>
          <w:szCs w:val="21"/>
          <w:vertAlign w:val="superscript"/>
        </w:rPr>
        <w:br w:type="page"/>
      </w:r>
    </w:p>
    <w:p w14:paraId="6988C3BA">
      <w:pPr>
        <w:rPr>
          <w:rFonts w:hint="eastAsia" w:ascii="宋体" w:hAnsi="宋体" w:cs="楷体"/>
        </w:rPr>
      </w:pPr>
      <w:r>
        <w:rPr>
          <w:rFonts w:hint="eastAsia" w:ascii="宋体" w:hAnsi="宋体" w:cs="楷体"/>
        </w:rPr>
        <w:t>供应商根据工信部等部委发布的《关于印发中小企业划型标准规定的通知》（工信部联企业〔2011〕300号），按照本次采购标的所属行业的划型标准填写《中小企业声明函》。</w:t>
      </w:r>
    </w:p>
    <w:p w14:paraId="3EC9A158">
      <w:pPr>
        <w:spacing w:line="360" w:lineRule="auto"/>
        <w:ind w:firstLine="422" w:firstLineChars="200"/>
        <w:jc w:val="center"/>
        <w:rPr>
          <w:rFonts w:hint="eastAsia" w:ascii="宋体" w:hAnsi="宋体" w:cs="楷体"/>
        </w:rPr>
      </w:pPr>
      <w:r>
        <w:rPr>
          <w:rFonts w:hint="eastAsia" w:ascii="宋体" w:hAnsi="宋体" w:cs="楷体"/>
          <w:b/>
          <w:bCs/>
        </w:rPr>
        <w:t>中小企业划型标准规定</w:t>
      </w:r>
    </w:p>
    <w:p w14:paraId="583F8096">
      <w:pPr>
        <w:spacing w:line="360" w:lineRule="auto"/>
        <w:ind w:firstLine="420" w:firstLineChars="200"/>
        <w:rPr>
          <w:rFonts w:hint="eastAsia" w:ascii="宋体" w:hAnsi="宋体" w:cs="楷体"/>
        </w:rPr>
      </w:pPr>
      <w:r>
        <w:rPr>
          <w:rFonts w:hint="eastAsia" w:ascii="宋体" w:hAnsi="宋体" w:cs="楷体"/>
        </w:rPr>
        <w:t>一、根据《中华人民共和国中小企业促进法》和《国务院关于进一步促进中小企业发展的若干意见》(国发〔2009〕36号)，制定本规定。</w:t>
      </w:r>
    </w:p>
    <w:p w14:paraId="1734EF9C">
      <w:pPr>
        <w:spacing w:line="360" w:lineRule="auto"/>
        <w:ind w:firstLine="420" w:firstLineChars="200"/>
        <w:rPr>
          <w:rFonts w:hint="eastAsia" w:ascii="宋体" w:hAnsi="宋体" w:cs="楷体"/>
        </w:rPr>
      </w:pPr>
      <w:r>
        <w:rPr>
          <w:rFonts w:hint="eastAsia" w:ascii="宋体" w:hAnsi="宋体" w:cs="楷体"/>
        </w:rPr>
        <w:t>二、中小企业划分为中型、小型、微型三种类型，具体标准根据企业从业人员、营业收入、资产总额等指标，结合行业特点制定。</w:t>
      </w:r>
    </w:p>
    <w:p w14:paraId="64D8E379">
      <w:pPr>
        <w:spacing w:line="360" w:lineRule="auto"/>
        <w:ind w:firstLine="420" w:firstLineChars="200"/>
        <w:rPr>
          <w:rFonts w:hint="eastAsia" w:ascii="宋体" w:hAnsi="宋体" w:cs="楷体"/>
        </w:rPr>
      </w:pPr>
      <w:r>
        <w:rPr>
          <w:rFonts w:hint="eastAsia" w:ascii="宋体" w:hAnsi="宋体" w:cs="楷体"/>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F9B94D0">
      <w:pPr>
        <w:spacing w:line="360" w:lineRule="auto"/>
        <w:ind w:firstLine="420" w:firstLineChars="200"/>
        <w:rPr>
          <w:rFonts w:hint="eastAsia" w:ascii="宋体" w:hAnsi="宋体" w:cs="楷体"/>
        </w:rPr>
      </w:pPr>
      <w:r>
        <w:rPr>
          <w:rFonts w:hint="eastAsia" w:ascii="宋体" w:hAnsi="宋体" w:cs="楷体"/>
        </w:rPr>
        <w:t>四、各行业划型标准为：</w:t>
      </w:r>
    </w:p>
    <w:p w14:paraId="3EA8D311">
      <w:pPr>
        <w:spacing w:line="360" w:lineRule="auto"/>
        <w:ind w:firstLine="420" w:firstLineChars="200"/>
        <w:rPr>
          <w:rFonts w:hint="eastAsia" w:ascii="宋体" w:hAnsi="宋体" w:cs="楷体"/>
        </w:rPr>
      </w:pPr>
      <w:r>
        <w:rPr>
          <w:rFonts w:hint="eastAsia" w:ascii="宋体" w:hAnsi="宋体" w:cs="楷体"/>
        </w:rPr>
        <w:t>（一）农、林、牧、渔业。营业收入20000万元以下的为中小微型企业。其中，营业收入500万元及以上的为中型企业，营业收入50万元及以上的为小型企业，营业收入50万元以下的为微型企业。</w:t>
      </w:r>
    </w:p>
    <w:p w14:paraId="6DB61568">
      <w:pPr>
        <w:spacing w:line="360" w:lineRule="auto"/>
        <w:ind w:firstLine="420" w:firstLineChars="200"/>
        <w:rPr>
          <w:rFonts w:hint="eastAsia" w:ascii="宋体" w:hAnsi="宋体" w:cs="楷体"/>
        </w:rPr>
      </w:pPr>
      <w:r>
        <w:rPr>
          <w:rFonts w:hint="eastAsia" w:ascii="宋体" w:hAnsi="宋体" w:cs="楷体"/>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D6015A3">
      <w:pPr>
        <w:spacing w:line="360" w:lineRule="auto"/>
        <w:ind w:firstLine="420" w:firstLineChars="200"/>
        <w:rPr>
          <w:rFonts w:hint="eastAsia" w:ascii="宋体" w:hAnsi="宋体" w:cs="楷体"/>
        </w:rPr>
      </w:pPr>
      <w:r>
        <w:rPr>
          <w:rFonts w:hint="eastAsia" w:ascii="宋体" w:hAnsi="宋体" w:cs="楷体"/>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A2B0CEB">
      <w:pPr>
        <w:spacing w:line="360" w:lineRule="auto"/>
        <w:ind w:firstLine="420" w:firstLineChars="200"/>
        <w:rPr>
          <w:rFonts w:hint="eastAsia" w:ascii="宋体" w:hAnsi="宋体" w:cs="楷体"/>
        </w:rPr>
      </w:pPr>
      <w:r>
        <w:rPr>
          <w:rFonts w:hint="eastAsia" w:ascii="宋体" w:hAnsi="宋体" w:cs="楷体"/>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09B7335">
      <w:pPr>
        <w:spacing w:line="360" w:lineRule="auto"/>
        <w:ind w:firstLine="420" w:firstLineChars="200"/>
        <w:rPr>
          <w:rFonts w:hint="eastAsia" w:ascii="宋体" w:hAnsi="宋体" w:cs="楷体"/>
        </w:rPr>
      </w:pPr>
      <w:r>
        <w:rPr>
          <w:rFonts w:hint="eastAsia" w:ascii="宋体" w:hAnsi="宋体" w:cs="楷体"/>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69F77F2">
      <w:pPr>
        <w:spacing w:line="360" w:lineRule="auto"/>
        <w:ind w:firstLine="420" w:firstLineChars="200"/>
        <w:rPr>
          <w:rFonts w:hint="eastAsia" w:ascii="宋体" w:hAnsi="宋体" w:cs="楷体"/>
        </w:rPr>
      </w:pPr>
      <w:r>
        <w:rPr>
          <w:rFonts w:hint="eastAsia" w:ascii="宋体" w:hAnsi="宋体" w:cs="楷体"/>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EC94187">
      <w:pPr>
        <w:spacing w:line="360" w:lineRule="auto"/>
        <w:ind w:firstLine="420" w:firstLineChars="200"/>
        <w:rPr>
          <w:rFonts w:hint="eastAsia" w:ascii="宋体" w:hAnsi="宋体" w:cs="楷体"/>
        </w:rPr>
      </w:pPr>
      <w:r>
        <w:rPr>
          <w:rFonts w:hint="eastAsia" w:ascii="宋体" w:hAnsi="宋体" w:cs="楷体"/>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9E39DE1">
      <w:pPr>
        <w:spacing w:line="360" w:lineRule="auto"/>
        <w:ind w:firstLine="420" w:firstLineChars="200"/>
        <w:rPr>
          <w:rFonts w:hint="eastAsia" w:ascii="宋体" w:hAnsi="宋体" w:cs="楷体"/>
        </w:rPr>
      </w:pPr>
      <w:r>
        <w:rPr>
          <w:rFonts w:hint="eastAsia" w:ascii="宋体" w:hAnsi="宋体" w:cs="楷体"/>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C2C7F4E">
      <w:pPr>
        <w:spacing w:line="360" w:lineRule="auto"/>
        <w:ind w:firstLine="420" w:firstLineChars="200"/>
        <w:rPr>
          <w:rFonts w:hint="eastAsia" w:ascii="宋体" w:hAnsi="宋体" w:cs="楷体"/>
        </w:rPr>
      </w:pPr>
      <w:r>
        <w:rPr>
          <w:rFonts w:hint="eastAsia" w:ascii="宋体" w:hAnsi="宋体" w:cs="楷体"/>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21CA082">
      <w:pPr>
        <w:spacing w:line="360" w:lineRule="auto"/>
        <w:ind w:firstLine="420" w:firstLineChars="200"/>
        <w:rPr>
          <w:rFonts w:hint="eastAsia" w:ascii="宋体" w:hAnsi="宋体" w:cs="楷体"/>
        </w:rPr>
      </w:pPr>
      <w:r>
        <w:rPr>
          <w:rFonts w:hint="eastAsia" w:ascii="宋体" w:hAnsi="宋体" w:cs="楷体"/>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F469EE0">
      <w:pPr>
        <w:spacing w:line="360" w:lineRule="auto"/>
        <w:ind w:firstLine="420" w:firstLineChars="200"/>
        <w:rPr>
          <w:rFonts w:hint="eastAsia" w:ascii="宋体" w:hAnsi="宋体" w:cs="楷体"/>
        </w:rPr>
      </w:pPr>
      <w:r>
        <w:rPr>
          <w:rFonts w:hint="eastAsia" w:ascii="宋体" w:hAnsi="宋体" w:cs="楷体"/>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349D6C2">
      <w:pPr>
        <w:spacing w:line="360" w:lineRule="auto"/>
        <w:ind w:firstLine="420" w:firstLineChars="200"/>
        <w:rPr>
          <w:rFonts w:hint="eastAsia" w:ascii="宋体" w:hAnsi="宋体" w:cs="楷体"/>
        </w:rPr>
      </w:pPr>
      <w:r>
        <w:rPr>
          <w:rFonts w:hint="eastAsia" w:ascii="宋体" w:hAnsi="宋体" w:cs="楷体"/>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2C0B316">
      <w:pPr>
        <w:spacing w:line="360" w:lineRule="auto"/>
        <w:ind w:firstLine="420" w:firstLineChars="200"/>
        <w:rPr>
          <w:rFonts w:hint="eastAsia" w:ascii="宋体" w:hAnsi="宋体" w:cs="楷体"/>
        </w:rPr>
      </w:pPr>
      <w:r>
        <w:rPr>
          <w:rFonts w:hint="eastAsia" w:ascii="宋体" w:hAnsi="宋体" w:cs="楷体"/>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5A307F7">
      <w:pPr>
        <w:spacing w:line="360" w:lineRule="auto"/>
        <w:ind w:firstLine="420" w:firstLineChars="200"/>
        <w:rPr>
          <w:rFonts w:hint="eastAsia" w:ascii="宋体" w:hAnsi="宋体" w:cs="楷体"/>
        </w:rPr>
      </w:pPr>
      <w:r>
        <w:rPr>
          <w:rFonts w:hint="eastAsia" w:ascii="宋体" w:hAnsi="宋体" w:cs="楷体"/>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A7578AD">
      <w:pPr>
        <w:spacing w:line="360" w:lineRule="auto"/>
        <w:ind w:firstLine="420" w:firstLineChars="200"/>
        <w:rPr>
          <w:rFonts w:hint="eastAsia" w:ascii="宋体" w:hAnsi="宋体" w:cs="楷体"/>
        </w:rPr>
      </w:pPr>
      <w:r>
        <w:rPr>
          <w:rFonts w:hint="eastAsia" w:ascii="宋体" w:hAnsi="宋体" w:cs="楷体"/>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7A37EE8">
      <w:pPr>
        <w:spacing w:line="360" w:lineRule="auto"/>
        <w:ind w:firstLine="420" w:firstLineChars="200"/>
        <w:rPr>
          <w:rFonts w:hint="eastAsia" w:ascii="宋体" w:hAnsi="宋体" w:cs="楷体"/>
        </w:rPr>
      </w:pPr>
      <w:r>
        <w:rPr>
          <w:rFonts w:hint="eastAsia" w:ascii="宋体" w:hAnsi="宋体" w:cs="楷体"/>
        </w:rPr>
        <w:t>（十六）其他未列明行业。从业人员300人以下的为中小微型企业。其中，从业人员100人及以上的为中型企业；从业人员10人及以上的为小型企业；从业人员10人以下的为微型企业。</w:t>
      </w:r>
    </w:p>
    <w:p w14:paraId="16486001">
      <w:pPr>
        <w:spacing w:line="360" w:lineRule="auto"/>
        <w:ind w:firstLine="420" w:firstLineChars="200"/>
        <w:rPr>
          <w:rFonts w:hint="eastAsia" w:ascii="宋体" w:hAnsi="宋体" w:cs="楷体"/>
        </w:rPr>
      </w:pPr>
      <w:r>
        <w:rPr>
          <w:rFonts w:hint="eastAsia" w:ascii="宋体" w:hAnsi="宋体" w:cs="楷体"/>
        </w:rPr>
        <w:t>五、企业类型的划分以统计部门的统计数据为依据。</w:t>
      </w:r>
    </w:p>
    <w:p w14:paraId="7197B20B">
      <w:pPr>
        <w:spacing w:line="360" w:lineRule="auto"/>
        <w:ind w:firstLine="420" w:firstLineChars="200"/>
        <w:rPr>
          <w:rFonts w:hint="eastAsia" w:ascii="宋体" w:hAnsi="宋体" w:cs="楷体"/>
        </w:rPr>
      </w:pPr>
      <w:r>
        <w:rPr>
          <w:rFonts w:hint="eastAsia" w:ascii="宋体" w:hAnsi="宋体" w:cs="楷体"/>
        </w:rPr>
        <w:t>六、本规定适用于在中华人民共和国境内依法设立的各类所有制和各种组织形式的企业。个体工商户和本规定以外的行业，参照本规定进行划型。</w:t>
      </w:r>
    </w:p>
    <w:p w14:paraId="63964C3A">
      <w:pPr>
        <w:spacing w:line="360" w:lineRule="auto"/>
        <w:ind w:firstLine="420" w:firstLineChars="200"/>
        <w:rPr>
          <w:rFonts w:hint="eastAsia" w:ascii="宋体" w:hAnsi="宋体" w:cs="楷体"/>
        </w:rPr>
      </w:pPr>
      <w:r>
        <w:rPr>
          <w:rFonts w:hint="eastAsia" w:ascii="宋体" w:hAnsi="宋体" w:cs="楷体"/>
        </w:rPr>
        <w:t>七、本规定的中型企业标准上限即为大型企业标准的下限，国家统计部门据此制定大中小微型企业的统计分类。国务院有关部门据此进行相关数据分析，不得制定与本规定不一致的企业划型标准。</w:t>
      </w:r>
    </w:p>
    <w:p w14:paraId="17F72D35">
      <w:pPr>
        <w:spacing w:line="360" w:lineRule="auto"/>
        <w:ind w:firstLine="420" w:firstLineChars="200"/>
        <w:rPr>
          <w:rFonts w:hint="eastAsia" w:ascii="宋体" w:hAnsi="宋体" w:cs="楷体"/>
        </w:rPr>
      </w:pPr>
      <w:r>
        <w:rPr>
          <w:rFonts w:hint="eastAsia" w:ascii="宋体" w:hAnsi="宋体" w:cs="楷体"/>
        </w:rPr>
        <w:t>八、本规定由工业和信息化部、国家统计局会同有关部门根据《国民经济行业分类》修订情况和企业发展变化情况适时修订。</w:t>
      </w:r>
    </w:p>
    <w:p w14:paraId="008DFF75">
      <w:pPr>
        <w:spacing w:line="360" w:lineRule="auto"/>
        <w:ind w:firstLine="420" w:firstLineChars="200"/>
        <w:rPr>
          <w:rFonts w:hint="eastAsia" w:ascii="宋体" w:hAnsi="宋体" w:cs="楷体"/>
        </w:rPr>
      </w:pPr>
      <w:r>
        <w:rPr>
          <w:rFonts w:hint="eastAsia" w:ascii="宋体" w:hAnsi="宋体" w:cs="楷体"/>
        </w:rPr>
        <w:t>九、本规定由工业和信息化部、国家统计局会同有关部门负责解释。</w:t>
      </w:r>
    </w:p>
    <w:p w14:paraId="628DDDA1">
      <w:pPr>
        <w:spacing w:line="360" w:lineRule="auto"/>
        <w:ind w:firstLine="420" w:firstLineChars="200"/>
        <w:rPr>
          <w:rFonts w:hint="eastAsia" w:ascii="宋体" w:hAnsi="宋体" w:cs="楷体"/>
        </w:rPr>
        <w:sectPr>
          <w:pgSz w:w="12240" w:h="15840"/>
          <w:pgMar w:top="1440" w:right="1800" w:bottom="1440" w:left="1800" w:header="720" w:footer="720" w:gutter="0"/>
          <w:cols w:space="720" w:num="1"/>
        </w:sectPr>
      </w:pPr>
      <w:r>
        <w:rPr>
          <w:rFonts w:hint="eastAsia" w:ascii="宋体" w:hAnsi="宋体" w:cs="楷体"/>
        </w:rPr>
        <w:t>十、本规定自发布之日起执行，原国家经贸委、原国家计委、财政部和国家统计局2003年颁布的《中小企业标准暂行规定》同时废止。</w:t>
      </w:r>
    </w:p>
    <w:p w14:paraId="777C572E">
      <w:pPr>
        <w:spacing w:before="240" w:beforeLines="100" w:after="240" w:afterLines="100" w:line="360" w:lineRule="auto"/>
        <w:ind w:firstLine="723"/>
        <w:jc w:val="center"/>
        <w:rPr>
          <w:rFonts w:hint="eastAsia" w:ascii="宋体" w:hAnsi="宋体"/>
          <w:b/>
          <w:sz w:val="36"/>
          <w:szCs w:val="36"/>
        </w:rPr>
      </w:pPr>
      <w:r>
        <w:rPr>
          <w:rFonts w:ascii="宋体" w:hAnsi="宋体"/>
          <w:b/>
          <w:bCs/>
          <w:sz w:val="36"/>
          <w:szCs w:val="36"/>
        </w:rPr>
        <w:t>残疾人福利性单位声明函格式</w:t>
      </w:r>
      <w:r>
        <w:rPr>
          <w:rFonts w:ascii="宋体" w:hAnsi="宋体"/>
          <w:b/>
          <w:sz w:val="36"/>
          <w:szCs w:val="36"/>
        </w:rPr>
        <w:t xml:space="preserve">       </w:t>
      </w:r>
    </w:p>
    <w:p w14:paraId="78298861">
      <w:pPr>
        <w:spacing w:line="588" w:lineRule="exact"/>
        <w:ind w:firstLine="504"/>
        <w:rPr>
          <w:rFonts w:hint="eastAsia" w:ascii="宋体" w:hAnsi="宋体"/>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 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14:paraId="6C61D710">
      <w:pPr>
        <w:spacing w:line="588" w:lineRule="exact"/>
        <w:ind w:firstLine="482"/>
        <w:rPr>
          <w:rFonts w:hint="eastAsia" w:ascii="宋体" w:hAnsi="宋体"/>
          <w:b/>
          <w:spacing w:val="6"/>
          <w:sz w:val="24"/>
        </w:rPr>
      </w:pPr>
      <w:r>
        <w:rPr>
          <w:rFonts w:ascii="宋体" w:hAnsi="宋体"/>
          <w:b/>
          <w:sz w:val="24"/>
        </w:rPr>
        <w:t>□</w:t>
      </w:r>
      <w:r>
        <w:rPr>
          <w:rFonts w:ascii="宋体" w:hAnsi="宋体"/>
          <w:b/>
          <w:spacing w:val="6"/>
          <w:sz w:val="24"/>
        </w:rPr>
        <w:t>不属于符合条件的残疾人福利性单位。</w:t>
      </w:r>
    </w:p>
    <w:p w14:paraId="00847B53">
      <w:pPr>
        <w:spacing w:line="588" w:lineRule="exact"/>
        <w:ind w:firstLine="482"/>
        <w:rPr>
          <w:rFonts w:hint="eastAsia" w:ascii="宋体" w:hAnsi="宋体"/>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w:t>
      </w:r>
      <w:r>
        <w:rPr>
          <w:rFonts w:ascii="宋体" w:hAnsi="宋体"/>
          <w:sz w:val="24"/>
        </w:rPr>
        <w:t>______</w:t>
      </w:r>
      <w:r>
        <w:rPr>
          <w:rFonts w:ascii="宋体" w:hAnsi="宋体"/>
          <w:spacing w:val="6"/>
          <w:sz w:val="24"/>
        </w:rPr>
        <w:t>单位的</w:t>
      </w:r>
      <w:r>
        <w:rPr>
          <w:rFonts w:ascii="宋体" w:hAnsi="宋体"/>
          <w:sz w:val="24"/>
        </w:rPr>
        <w:t>______</w:t>
      </w:r>
      <w:r>
        <w:rPr>
          <w:rFonts w:ascii="宋体" w:hAnsi="宋体"/>
          <w:spacing w:val="6"/>
          <w:sz w:val="24"/>
        </w:rPr>
        <w:t>项目采购活动提供本单位制造的货物（由本单位承担工程/提供服务），或者提供其他残疾人福利性单位制造的货物（不包括使用非残疾人福利性单位注册商标的货物）。</w:t>
      </w:r>
    </w:p>
    <w:p w14:paraId="757BD207">
      <w:pPr>
        <w:spacing w:line="588" w:lineRule="exact"/>
        <w:ind w:firstLine="506" w:firstLineChars="200"/>
        <w:rPr>
          <w:rFonts w:hint="eastAsia" w:ascii="宋体" w:hAnsi="宋体"/>
          <w:spacing w:val="6"/>
          <w:sz w:val="24"/>
        </w:rPr>
      </w:pPr>
      <w:r>
        <w:rPr>
          <w:rFonts w:ascii="宋体" w:hAnsi="宋体"/>
          <w:b/>
          <w:spacing w:val="6"/>
          <w:sz w:val="24"/>
        </w:rPr>
        <w:t>本单位对上述声明的真实性负责。如有虚假，将依法承担相应责任。</w:t>
      </w:r>
    </w:p>
    <w:p w14:paraId="2A353D33">
      <w:pPr>
        <w:spacing w:line="588" w:lineRule="exact"/>
        <w:ind w:firstLine="504" w:firstLineChars="200"/>
        <w:rPr>
          <w:rFonts w:hint="eastAsia" w:ascii="宋体" w:hAnsi="宋体"/>
          <w:spacing w:val="6"/>
          <w:sz w:val="24"/>
        </w:rPr>
      </w:pPr>
    </w:p>
    <w:p w14:paraId="577986B2">
      <w:pPr>
        <w:spacing w:line="588" w:lineRule="exact"/>
        <w:ind w:firstLine="504" w:firstLineChars="200"/>
        <w:rPr>
          <w:rFonts w:hint="eastAsia" w:ascii="宋体" w:hAnsi="宋体"/>
          <w:spacing w:val="6"/>
          <w:sz w:val="24"/>
        </w:rPr>
      </w:pPr>
    </w:p>
    <w:p w14:paraId="6C314B34">
      <w:pPr>
        <w:tabs>
          <w:tab w:val="left" w:pos="4860"/>
        </w:tabs>
        <w:spacing w:line="588" w:lineRule="exact"/>
        <w:ind w:right="63" w:firstLine="504" w:firstLineChars="200"/>
        <w:jc w:val="right"/>
        <w:rPr>
          <w:rFonts w:hint="eastAsia" w:ascii="宋体" w:hAnsi="宋体"/>
          <w:spacing w:val="6"/>
          <w:sz w:val="24"/>
        </w:rPr>
      </w:pPr>
      <w:r>
        <w:rPr>
          <w:rFonts w:ascii="宋体" w:hAnsi="宋体"/>
          <w:spacing w:val="6"/>
          <w:sz w:val="24"/>
        </w:rPr>
        <w:t xml:space="preserve">          单位名称（盖章）：</w:t>
      </w:r>
      <w:r>
        <w:rPr>
          <w:rFonts w:ascii="宋体" w:hAnsi="宋体"/>
          <w:sz w:val="24"/>
        </w:rPr>
        <w:t>______</w:t>
      </w:r>
    </w:p>
    <w:p w14:paraId="3A1F035A">
      <w:pPr>
        <w:tabs>
          <w:tab w:val="left" w:pos="4860"/>
        </w:tabs>
        <w:spacing w:line="588" w:lineRule="exact"/>
        <w:ind w:right="63" w:firstLine="504" w:firstLineChars="200"/>
        <w:jc w:val="right"/>
        <w:rPr>
          <w:rFonts w:hint="eastAsia" w:ascii="宋体" w:hAnsi="宋体"/>
          <w:sz w:val="24"/>
        </w:rPr>
      </w:pPr>
      <w:r>
        <w:rPr>
          <w:rFonts w:ascii="宋体" w:hAnsi="宋体"/>
          <w:spacing w:val="6"/>
          <w:sz w:val="24"/>
        </w:rPr>
        <w:t xml:space="preserve">       日  期：</w:t>
      </w:r>
      <w:r>
        <w:rPr>
          <w:rFonts w:ascii="宋体" w:hAnsi="宋体"/>
          <w:sz w:val="24"/>
        </w:rPr>
        <w:t>______</w:t>
      </w:r>
    </w:p>
    <w:p w14:paraId="52D0581B">
      <w:pPr>
        <w:widowControl/>
        <w:jc w:val="left"/>
        <w:rPr>
          <w:rFonts w:hint="eastAsia" w:ascii="宋体" w:hAnsi="宋体"/>
          <w:sz w:val="24"/>
        </w:rPr>
      </w:pPr>
      <w:r>
        <w:rPr>
          <w:rFonts w:ascii="宋体" w:hAnsi="宋体"/>
          <w:sz w:val="24"/>
        </w:rPr>
        <w:br w:type="page"/>
      </w:r>
    </w:p>
    <w:p w14:paraId="1DD0D76E">
      <w:pPr>
        <w:spacing w:line="360" w:lineRule="auto"/>
        <w:ind w:left="450" w:leftChars="100" w:hanging="240" w:hangingChars="100"/>
        <w:rPr>
          <w:rFonts w:hint="eastAsia" w:ascii="宋体" w:hAnsi="宋体"/>
          <w:spacing w:val="6"/>
          <w:sz w:val="24"/>
        </w:rPr>
      </w:pPr>
      <w:r>
        <w:rPr>
          <w:rFonts w:hint="eastAsia" w:ascii="宋体" w:hAnsi="宋体"/>
          <w:sz w:val="24"/>
        </w:rPr>
        <w:t>2-1-2 拟分包情况说明及分包意向协议</w:t>
      </w:r>
      <w:r>
        <w:rPr>
          <w:rFonts w:ascii="宋体" w:hAnsi="宋体"/>
          <w:sz w:val="24"/>
        </w:rPr>
        <w:cr/>
      </w:r>
      <w:r>
        <w:rPr>
          <w:rFonts w:hint="eastAsia" w:ascii="宋体" w:hAnsi="宋体"/>
          <w:spacing w:val="6"/>
          <w:sz w:val="24"/>
        </w:rPr>
        <w:t>说明：</w:t>
      </w:r>
    </w:p>
    <w:p w14:paraId="6FE565B5">
      <w:pPr>
        <w:spacing w:line="360" w:lineRule="auto"/>
        <w:ind w:firstLine="504"/>
        <w:rPr>
          <w:rFonts w:hint="eastAsia" w:ascii="宋体" w:hAnsi="宋体"/>
          <w:spacing w:val="6"/>
          <w:sz w:val="24"/>
        </w:rPr>
      </w:pPr>
      <w:r>
        <w:rPr>
          <w:rFonts w:hint="eastAsia" w:ascii="宋体" w:hAnsi="宋体"/>
          <w:spacing w:val="6"/>
          <w:sz w:val="24"/>
        </w:rPr>
        <w:t>如本项目（包）允许分包，且供应商拟进行分包时，</w:t>
      </w:r>
    </w:p>
    <w:p w14:paraId="4E7BCD49">
      <w:pPr>
        <w:spacing w:line="360" w:lineRule="auto"/>
        <w:ind w:firstLine="504"/>
        <w:rPr>
          <w:rFonts w:hint="eastAsia" w:ascii="宋体" w:hAnsi="宋体"/>
          <w:spacing w:val="6"/>
          <w:sz w:val="24"/>
        </w:rPr>
      </w:pPr>
      <w:r>
        <w:rPr>
          <w:rFonts w:hint="eastAsia" w:ascii="宋体" w:hAnsi="宋体"/>
          <w:spacing w:val="6"/>
          <w:sz w:val="24"/>
        </w:rPr>
        <w:t>（</w:t>
      </w:r>
      <w:r>
        <w:rPr>
          <w:rFonts w:ascii="宋体" w:hAnsi="宋体"/>
          <w:spacing w:val="6"/>
          <w:sz w:val="24"/>
        </w:rPr>
        <w:t>1</w:t>
      </w:r>
      <w:r>
        <w:rPr>
          <w:rFonts w:hint="eastAsia" w:ascii="宋体" w:hAnsi="宋体"/>
          <w:spacing w:val="6"/>
          <w:sz w:val="24"/>
        </w:rPr>
        <w:t>）响应文件中须提供《拟分包情况说明》，否则</w:t>
      </w:r>
      <w:r>
        <w:rPr>
          <w:rFonts w:hint="eastAsia" w:ascii="宋体" w:hAnsi="宋体"/>
          <w:b/>
          <w:bCs/>
          <w:spacing w:val="6"/>
          <w:sz w:val="24"/>
        </w:rPr>
        <w:t>响应无效；</w:t>
      </w:r>
    </w:p>
    <w:p w14:paraId="7E7F3F29">
      <w:pPr>
        <w:spacing w:line="360" w:lineRule="auto"/>
        <w:ind w:firstLine="504"/>
        <w:rPr>
          <w:rFonts w:hint="eastAsia" w:ascii="宋体" w:hAnsi="宋体"/>
          <w:spacing w:val="6"/>
          <w:sz w:val="24"/>
        </w:rPr>
      </w:pPr>
      <w:r>
        <w:rPr>
          <w:rFonts w:hint="eastAsia" w:ascii="宋体" w:hAnsi="宋体"/>
          <w:spacing w:val="6"/>
          <w:sz w:val="24"/>
        </w:rPr>
        <w:t>（</w:t>
      </w:r>
      <w:r>
        <w:rPr>
          <w:rFonts w:ascii="宋体" w:hAnsi="宋体"/>
          <w:spacing w:val="6"/>
          <w:sz w:val="24"/>
        </w:rPr>
        <w:t>2</w:t>
      </w:r>
      <w:r>
        <w:rPr>
          <w:rFonts w:hint="eastAsia" w:ascii="宋体" w:hAnsi="宋体"/>
          <w:spacing w:val="6"/>
          <w:sz w:val="24"/>
        </w:rPr>
        <w:t>）当同时符合下列情形时，响应文件还须提供《分包意议》，否则</w:t>
      </w:r>
      <w:r>
        <w:rPr>
          <w:rFonts w:hint="eastAsia" w:ascii="宋体" w:hAnsi="宋体"/>
          <w:b/>
          <w:bCs/>
          <w:spacing w:val="6"/>
          <w:sz w:val="24"/>
        </w:rPr>
        <w:t>响应无效</w:t>
      </w:r>
      <w:r>
        <w:rPr>
          <w:rFonts w:hint="eastAsia" w:ascii="宋体" w:hAnsi="宋体"/>
          <w:spacing w:val="6"/>
          <w:sz w:val="24"/>
        </w:rPr>
        <w:t>：</w:t>
      </w:r>
    </w:p>
    <w:p w14:paraId="72A6F955">
      <w:pPr>
        <w:spacing w:line="360" w:lineRule="auto"/>
        <w:ind w:left="840" w:leftChars="400"/>
        <w:rPr>
          <w:rFonts w:hint="eastAsia" w:ascii="宋体" w:hAnsi="宋体"/>
          <w:spacing w:val="6"/>
          <w:sz w:val="24"/>
        </w:rPr>
      </w:pPr>
      <w:r>
        <w:rPr>
          <w:rFonts w:hint="eastAsia" w:ascii="宋体" w:hAnsi="宋体"/>
          <w:spacing w:val="6"/>
          <w:sz w:val="24"/>
        </w:rPr>
        <w:t>A. 本项目（包）预留部分采购项目预算专门面向中小企业采购，且要求获得采购合同的供应商将采购项目中的一定比例分包给一家或者多家中小企业的；</w:t>
      </w:r>
    </w:p>
    <w:p w14:paraId="0AB83262">
      <w:pPr>
        <w:spacing w:line="360" w:lineRule="auto"/>
        <w:ind w:firstLine="1008" w:firstLineChars="400"/>
        <w:rPr>
          <w:rFonts w:hint="eastAsia" w:ascii="宋体" w:hAnsi="宋体"/>
          <w:spacing w:val="6"/>
          <w:sz w:val="24"/>
        </w:rPr>
      </w:pPr>
      <w:r>
        <w:rPr>
          <w:rFonts w:hint="eastAsia" w:ascii="宋体" w:hAnsi="宋体"/>
          <w:spacing w:val="6"/>
          <w:sz w:val="24"/>
        </w:rPr>
        <w:t>B. 供应商通过分包方式满足中小企业政策要求的。</w:t>
      </w:r>
    </w:p>
    <w:p w14:paraId="5771A0DB">
      <w:pPr>
        <w:spacing w:line="360" w:lineRule="auto"/>
        <w:ind w:firstLine="504"/>
        <w:rPr>
          <w:rFonts w:hint="eastAsia" w:ascii="宋体" w:hAnsi="宋体"/>
          <w:spacing w:val="6"/>
          <w:sz w:val="24"/>
        </w:rPr>
      </w:pPr>
      <w:r>
        <w:rPr>
          <w:rFonts w:hint="eastAsia" w:ascii="宋体" w:hAnsi="宋体"/>
          <w:spacing w:val="6"/>
          <w:sz w:val="24"/>
        </w:rPr>
        <w:t>（</w:t>
      </w:r>
      <w:r>
        <w:rPr>
          <w:rFonts w:ascii="宋体" w:hAnsi="宋体"/>
          <w:spacing w:val="6"/>
          <w:sz w:val="24"/>
        </w:rPr>
        <w:t>3</w:t>
      </w:r>
      <w:r>
        <w:rPr>
          <w:rFonts w:hint="eastAsia" w:ascii="宋体" w:hAnsi="宋体"/>
          <w:spacing w:val="6"/>
          <w:sz w:val="24"/>
        </w:rPr>
        <w:t>）不属于上述情形时，无须提供《拟分包情况说明》及《分包意向协议》。</w:t>
      </w:r>
    </w:p>
    <w:p w14:paraId="3D34E7CC">
      <w:pPr>
        <w:widowControl/>
        <w:ind w:firstLine="504"/>
        <w:jc w:val="left"/>
        <w:rPr>
          <w:rFonts w:hint="eastAsia" w:ascii="宋体" w:hAnsi="宋体"/>
          <w:spacing w:val="6"/>
          <w:sz w:val="24"/>
        </w:rPr>
      </w:pPr>
      <w:r>
        <w:rPr>
          <w:rFonts w:ascii="宋体" w:hAnsi="宋体"/>
          <w:spacing w:val="6"/>
          <w:sz w:val="24"/>
        </w:rPr>
        <w:br w:type="page"/>
      </w:r>
    </w:p>
    <w:p w14:paraId="31AD48B7">
      <w:pPr>
        <w:autoSpaceDE w:val="0"/>
        <w:autoSpaceDN w:val="0"/>
        <w:adjustRightInd w:val="0"/>
        <w:spacing w:line="360" w:lineRule="auto"/>
        <w:ind w:firstLine="723"/>
        <w:jc w:val="center"/>
        <w:rPr>
          <w:rFonts w:hint="eastAsia" w:ascii="宋体" w:hAnsi="宋体"/>
          <w:b/>
          <w:sz w:val="36"/>
          <w:szCs w:val="36"/>
        </w:rPr>
      </w:pPr>
      <w:r>
        <w:rPr>
          <w:rFonts w:hint="eastAsia" w:ascii="宋体" w:hAnsi="宋体"/>
          <w:b/>
          <w:sz w:val="36"/>
          <w:szCs w:val="36"/>
        </w:rPr>
        <w:t>拟分包情况说明</w:t>
      </w:r>
    </w:p>
    <w:p w14:paraId="5FCB5285">
      <w:pPr>
        <w:tabs>
          <w:tab w:val="left" w:pos="5580"/>
        </w:tabs>
        <w:spacing w:line="360" w:lineRule="auto"/>
        <w:rPr>
          <w:rFonts w:hint="eastAsia" w:ascii="宋体" w:hAnsi="宋体"/>
          <w:sz w:val="24"/>
        </w:rPr>
      </w:pPr>
      <w:r>
        <w:rPr>
          <w:rFonts w:ascii="宋体" w:hAnsi="宋体"/>
          <w:sz w:val="24"/>
        </w:rPr>
        <w:t>致：</w:t>
      </w:r>
      <w:r>
        <w:rPr>
          <w:rFonts w:ascii="宋体" w:hAnsi="宋体"/>
          <w:sz w:val="24"/>
          <w:u w:val="single"/>
        </w:rPr>
        <w:t>（采购人或采购代理机构）</w:t>
      </w:r>
    </w:p>
    <w:p w14:paraId="1629A172">
      <w:pPr>
        <w:adjustRightInd w:val="0"/>
        <w:snapToGrid w:val="0"/>
        <w:spacing w:line="360" w:lineRule="auto"/>
        <w:ind w:firstLine="480" w:firstLineChars="200"/>
        <w:jc w:val="left"/>
        <w:rPr>
          <w:rFonts w:hint="eastAsia" w:ascii="宋体" w:hAnsi="宋体"/>
          <w:sz w:val="24"/>
        </w:rPr>
      </w:pPr>
      <w:r>
        <w:rPr>
          <w:rFonts w:ascii="宋体" w:hAnsi="宋体"/>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5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52368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56233FD2">
            <w:pPr>
              <w:pStyle w:val="201"/>
              <w:jc w:val="center"/>
              <w:rPr>
                <w:rFonts w:ascii="Calibri" w:hAnsi="Calibri" w:cs="黑体"/>
                <w:sz w:val="24"/>
              </w:rPr>
            </w:pPr>
            <w:r>
              <w:rPr>
                <w:rFonts w:ascii="Calibri" w:hAnsi="Calibri" w:cs="黑体"/>
                <w:sz w:val="24"/>
              </w:rPr>
              <w:t>序号</w:t>
            </w:r>
          </w:p>
        </w:tc>
        <w:tc>
          <w:tcPr>
            <w:tcW w:w="1287" w:type="dxa"/>
            <w:vAlign w:val="center"/>
          </w:tcPr>
          <w:p w14:paraId="215437FA">
            <w:pPr>
              <w:pStyle w:val="201"/>
              <w:jc w:val="center"/>
              <w:rPr>
                <w:rFonts w:ascii="Calibri" w:hAnsi="Calibri" w:cs="黑体"/>
                <w:sz w:val="24"/>
              </w:rPr>
            </w:pPr>
            <w:r>
              <w:rPr>
                <w:rFonts w:ascii="Calibri" w:hAnsi="Calibri" w:cs="黑体"/>
                <w:sz w:val="24"/>
              </w:rPr>
              <w:t>分包承担</w:t>
            </w:r>
          </w:p>
          <w:p w14:paraId="36F43FBF">
            <w:pPr>
              <w:pStyle w:val="201"/>
              <w:jc w:val="center"/>
              <w:rPr>
                <w:rFonts w:ascii="Calibri" w:hAnsi="Calibri" w:cs="黑体"/>
                <w:sz w:val="24"/>
              </w:rPr>
            </w:pPr>
            <w:r>
              <w:rPr>
                <w:rFonts w:ascii="Calibri" w:hAnsi="Calibri" w:cs="黑体"/>
                <w:sz w:val="24"/>
              </w:rPr>
              <w:t>主体名称</w:t>
            </w:r>
          </w:p>
        </w:tc>
        <w:tc>
          <w:tcPr>
            <w:tcW w:w="1513" w:type="dxa"/>
            <w:vAlign w:val="center"/>
          </w:tcPr>
          <w:p w14:paraId="533E58A1">
            <w:pPr>
              <w:pStyle w:val="201"/>
              <w:jc w:val="center"/>
              <w:rPr>
                <w:rFonts w:ascii="Calibri" w:hAnsi="Calibri" w:cs="黑体"/>
                <w:sz w:val="24"/>
                <w:lang w:eastAsia="zh-CN"/>
              </w:rPr>
            </w:pPr>
            <w:r>
              <w:rPr>
                <w:rFonts w:ascii="Calibri" w:hAnsi="Calibri" w:cs="黑体"/>
                <w:sz w:val="24"/>
                <w:lang w:eastAsia="zh-CN"/>
              </w:rPr>
              <w:t>分包承担</w:t>
            </w:r>
          </w:p>
          <w:p w14:paraId="19DAF4F4">
            <w:pPr>
              <w:pStyle w:val="201"/>
              <w:jc w:val="center"/>
              <w:rPr>
                <w:rFonts w:ascii="Calibri" w:hAnsi="Calibri" w:cs="黑体"/>
                <w:sz w:val="24"/>
                <w:lang w:eastAsia="zh-CN"/>
              </w:rPr>
            </w:pPr>
            <w:r>
              <w:rPr>
                <w:rFonts w:ascii="Calibri" w:hAnsi="Calibri" w:cs="黑体"/>
                <w:sz w:val="24"/>
                <w:lang w:eastAsia="zh-CN"/>
              </w:rPr>
              <w:t>主体类型</w:t>
            </w:r>
          </w:p>
          <w:p w14:paraId="7FF3EDA8">
            <w:pPr>
              <w:pStyle w:val="201"/>
              <w:jc w:val="center"/>
              <w:rPr>
                <w:rFonts w:ascii="Calibri" w:hAnsi="Calibri" w:cs="黑体"/>
                <w:sz w:val="24"/>
                <w:lang w:eastAsia="zh-CN"/>
              </w:rPr>
            </w:pPr>
            <w:r>
              <w:rPr>
                <w:rFonts w:hint="eastAsia" w:ascii="Calibri" w:hAnsi="Calibri" w:cs="黑体"/>
                <w:sz w:val="24"/>
                <w:lang w:eastAsia="zh-CN"/>
              </w:rPr>
              <w:t>（勾选）</w:t>
            </w:r>
          </w:p>
        </w:tc>
        <w:tc>
          <w:tcPr>
            <w:tcW w:w="1125" w:type="dxa"/>
            <w:vAlign w:val="center"/>
          </w:tcPr>
          <w:p w14:paraId="4BF14F00">
            <w:pPr>
              <w:pStyle w:val="201"/>
              <w:jc w:val="center"/>
              <w:rPr>
                <w:rFonts w:ascii="Calibri" w:hAnsi="Calibri" w:cs="黑体"/>
                <w:sz w:val="24"/>
              </w:rPr>
            </w:pPr>
            <w:r>
              <w:rPr>
                <w:rFonts w:ascii="Calibri" w:hAnsi="Calibri" w:cs="黑体"/>
                <w:sz w:val="24"/>
              </w:rPr>
              <w:t>资质等级</w:t>
            </w:r>
          </w:p>
        </w:tc>
        <w:tc>
          <w:tcPr>
            <w:tcW w:w="1561" w:type="dxa"/>
            <w:vAlign w:val="center"/>
          </w:tcPr>
          <w:p w14:paraId="03708E57">
            <w:pPr>
              <w:pStyle w:val="201"/>
              <w:jc w:val="center"/>
              <w:rPr>
                <w:rFonts w:ascii="Calibri" w:hAnsi="Calibri" w:cs="黑体"/>
                <w:sz w:val="24"/>
              </w:rPr>
            </w:pPr>
            <w:r>
              <w:rPr>
                <w:rFonts w:ascii="Calibri" w:hAnsi="Calibri" w:cs="黑体"/>
                <w:sz w:val="24"/>
              </w:rPr>
              <w:t>拟分包</w:t>
            </w:r>
          </w:p>
          <w:p w14:paraId="10116332">
            <w:pPr>
              <w:pStyle w:val="201"/>
              <w:jc w:val="center"/>
              <w:rPr>
                <w:rFonts w:ascii="Calibri" w:hAnsi="Calibri" w:cs="黑体"/>
                <w:sz w:val="24"/>
              </w:rPr>
            </w:pPr>
            <w:r>
              <w:rPr>
                <w:rFonts w:ascii="Calibri" w:hAnsi="Calibri" w:cs="黑体"/>
                <w:sz w:val="24"/>
              </w:rPr>
              <w:t>合同内容</w:t>
            </w:r>
          </w:p>
        </w:tc>
        <w:tc>
          <w:tcPr>
            <w:tcW w:w="1498" w:type="dxa"/>
            <w:vAlign w:val="center"/>
          </w:tcPr>
          <w:p w14:paraId="06172280">
            <w:pPr>
              <w:pStyle w:val="201"/>
              <w:jc w:val="center"/>
              <w:rPr>
                <w:rFonts w:ascii="Calibri" w:hAnsi="Calibri" w:cs="黑体"/>
                <w:sz w:val="24"/>
                <w:lang w:eastAsia="zh-CN"/>
              </w:rPr>
            </w:pPr>
            <w:r>
              <w:rPr>
                <w:rFonts w:ascii="Calibri" w:hAnsi="Calibri" w:cs="黑体"/>
                <w:sz w:val="24"/>
                <w:lang w:eastAsia="zh-CN"/>
              </w:rPr>
              <w:t>拟分包</w:t>
            </w:r>
          </w:p>
          <w:p w14:paraId="409337DB">
            <w:pPr>
              <w:pStyle w:val="201"/>
              <w:jc w:val="center"/>
              <w:rPr>
                <w:rFonts w:ascii="Calibri" w:hAnsi="Calibri" w:cs="黑体"/>
                <w:sz w:val="24"/>
                <w:lang w:eastAsia="zh-CN"/>
              </w:rPr>
            </w:pPr>
            <w:r>
              <w:rPr>
                <w:rFonts w:ascii="Calibri" w:hAnsi="Calibri" w:cs="黑体"/>
                <w:sz w:val="24"/>
                <w:lang w:eastAsia="zh-CN"/>
              </w:rPr>
              <w:t>合同金额</w:t>
            </w:r>
          </w:p>
          <w:p w14:paraId="6AD29E9A">
            <w:pPr>
              <w:pStyle w:val="201"/>
              <w:jc w:val="center"/>
              <w:rPr>
                <w:rFonts w:ascii="Calibri" w:hAnsi="Calibri" w:cs="黑体"/>
                <w:sz w:val="24"/>
                <w:lang w:eastAsia="zh-CN"/>
              </w:rPr>
            </w:pPr>
            <w:r>
              <w:rPr>
                <w:rFonts w:ascii="Calibri" w:hAnsi="Calibri" w:cs="黑体"/>
                <w:sz w:val="24"/>
                <w:lang w:eastAsia="zh-CN"/>
              </w:rPr>
              <w:t>（人民币元）</w:t>
            </w:r>
          </w:p>
        </w:tc>
        <w:tc>
          <w:tcPr>
            <w:tcW w:w="1564" w:type="dxa"/>
            <w:vAlign w:val="center"/>
          </w:tcPr>
          <w:p w14:paraId="2D1B762E">
            <w:pPr>
              <w:pStyle w:val="201"/>
              <w:jc w:val="center"/>
              <w:rPr>
                <w:rFonts w:ascii="Calibri" w:hAnsi="Calibri" w:cs="黑体"/>
                <w:sz w:val="24"/>
                <w:lang w:eastAsia="zh-CN"/>
              </w:rPr>
            </w:pPr>
            <w:r>
              <w:rPr>
                <w:rFonts w:ascii="Calibri" w:hAnsi="Calibri" w:cs="黑体"/>
                <w:sz w:val="24"/>
                <w:lang w:eastAsia="zh-CN"/>
              </w:rPr>
              <w:t>占该采购包</w:t>
            </w:r>
          </w:p>
          <w:p w14:paraId="11917C7C">
            <w:pPr>
              <w:pStyle w:val="201"/>
              <w:ind w:firstLine="241" w:firstLineChars="100"/>
              <w:rPr>
                <w:rFonts w:ascii="Calibri" w:hAnsi="Calibri" w:cs="黑体"/>
                <w:b/>
                <w:sz w:val="24"/>
                <w:lang w:eastAsia="zh-CN"/>
              </w:rPr>
            </w:pPr>
            <w:r>
              <w:rPr>
                <w:rFonts w:hint="eastAsia" w:ascii="Calibri" w:hAnsi="Calibri" w:cs="黑体"/>
                <w:b/>
                <w:sz w:val="24"/>
                <w:lang w:eastAsia="zh-CN"/>
              </w:rPr>
              <w:t>预算</w:t>
            </w:r>
            <w:r>
              <w:rPr>
                <w:rFonts w:ascii="Calibri" w:hAnsi="Calibri" w:cs="黑体"/>
                <w:b/>
                <w:sz w:val="24"/>
                <w:lang w:eastAsia="zh-CN"/>
              </w:rPr>
              <w:t>金额的</w:t>
            </w:r>
          </w:p>
          <w:p w14:paraId="15615640">
            <w:pPr>
              <w:pStyle w:val="201"/>
              <w:jc w:val="center"/>
              <w:rPr>
                <w:rFonts w:ascii="Calibri" w:hAnsi="Calibri" w:cs="黑体"/>
                <w:sz w:val="24"/>
                <w:lang w:eastAsia="zh-CN"/>
              </w:rPr>
            </w:pPr>
            <w:r>
              <w:rPr>
                <w:rFonts w:ascii="Calibri" w:hAnsi="Calibri" w:cs="黑体"/>
                <w:sz w:val="24"/>
                <w:lang w:eastAsia="zh-CN"/>
              </w:rPr>
              <w:t>比例</w:t>
            </w:r>
            <w:r>
              <w:rPr>
                <w:rFonts w:hint="eastAsia" w:ascii="Calibri" w:hAnsi="Calibri" w:cs="黑体"/>
                <w:sz w:val="24"/>
                <w:lang w:eastAsia="zh-CN"/>
              </w:rPr>
              <w:t>（</w:t>
            </w:r>
            <w:r>
              <w:rPr>
                <w:rFonts w:ascii="Calibri" w:hAnsi="Calibri" w:cs="黑体"/>
                <w:sz w:val="24"/>
                <w:lang w:eastAsia="zh-CN"/>
              </w:rPr>
              <w:t>%</w:t>
            </w:r>
            <w:r>
              <w:rPr>
                <w:rFonts w:hint="eastAsia" w:ascii="Calibri" w:hAnsi="Calibri" w:cs="黑体"/>
                <w:sz w:val="24"/>
                <w:lang w:eastAsia="zh-CN"/>
              </w:rPr>
              <w:t>）</w:t>
            </w:r>
          </w:p>
        </w:tc>
      </w:tr>
      <w:tr w14:paraId="3B9DA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0F45B93">
            <w:pPr>
              <w:pStyle w:val="201"/>
              <w:ind w:firstLine="480"/>
              <w:jc w:val="center"/>
              <w:rPr>
                <w:rFonts w:ascii="Calibri" w:hAnsi="Calibri" w:cs="黑体"/>
                <w:sz w:val="24"/>
              </w:rPr>
            </w:pPr>
            <w:r>
              <w:rPr>
                <w:rFonts w:ascii="Calibri" w:hAnsi="Calibri" w:cs="黑体"/>
                <w:sz w:val="24"/>
              </w:rPr>
              <w:t>1</w:t>
            </w:r>
          </w:p>
        </w:tc>
        <w:tc>
          <w:tcPr>
            <w:tcW w:w="1287" w:type="dxa"/>
            <w:vAlign w:val="center"/>
          </w:tcPr>
          <w:p w14:paraId="0969C6E2">
            <w:pPr>
              <w:pStyle w:val="201"/>
              <w:ind w:firstLine="600"/>
              <w:jc w:val="center"/>
              <w:rPr>
                <w:rFonts w:ascii="Calibri" w:hAnsi="Calibri" w:cs="Times New Roman"/>
                <w:sz w:val="30"/>
              </w:rPr>
            </w:pPr>
          </w:p>
        </w:tc>
        <w:tc>
          <w:tcPr>
            <w:tcW w:w="1513" w:type="dxa"/>
            <w:vAlign w:val="center"/>
          </w:tcPr>
          <w:p w14:paraId="39FF9395">
            <w:pPr>
              <w:pStyle w:val="201"/>
              <w:tabs>
                <w:tab w:val="left" w:pos="235"/>
              </w:tabs>
              <w:ind w:left="1" w:leftChars="-43" w:hanging="91" w:hangingChars="38"/>
              <w:jc w:val="center"/>
              <w:rPr>
                <w:rFonts w:ascii="Calibri" w:hAnsi="Calibri" w:cs="Times New Roman"/>
                <w:sz w:val="24"/>
                <w:lang w:eastAsia="zh-CN"/>
              </w:rPr>
            </w:pPr>
            <w:r>
              <w:rPr>
                <w:rFonts w:ascii="Calibri" w:hAnsi="Calibri" w:cs="Times New Roman"/>
                <w:sz w:val="24"/>
                <w:lang w:eastAsia="zh-CN"/>
              </w:rPr>
              <w:t>□中型企业</w:t>
            </w:r>
          </w:p>
          <w:p w14:paraId="1CCD9FE9">
            <w:pPr>
              <w:pStyle w:val="201"/>
              <w:tabs>
                <w:tab w:val="left" w:pos="235"/>
              </w:tabs>
              <w:ind w:left="1" w:leftChars="-43" w:hanging="91" w:hangingChars="38"/>
              <w:jc w:val="center"/>
              <w:rPr>
                <w:rFonts w:ascii="Calibri" w:hAnsi="Calibri" w:cs="Times New Roman"/>
                <w:sz w:val="24"/>
                <w:lang w:eastAsia="zh-CN"/>
              </w:rPr>
            </w:pPr>
            <w:r>
              <w:rPr>
                <w:rFonts w:ascii="Calibri" w:hAnsi="Calibri" w:cs="Times New Roman"/>
                <w:sz w:val="24"/>
                <w:lang w:eastAsia="zh-CN"/>
              </w:rPr>
              <w:t>□小微企业</w:t>
            </w:r>
          </w:p>
          <w:p w14:paraId="177C6CE3">
            <w:pPr>
              <w:pStyle w:val="201"/>
              <w:tabs>
                <w:tab w:val="left" w:pos="235"/>
              </w:tabs>
              <w:ind w:left="1" w:leftChars="-43" w:hanging="91" w:hangingChars="38"/>
              <w:jc w:val="center"/>
              <w:rPr>
                <w:rFonts w:ascii="Calibri" w:hAnsi="Calibri" w:cs="Times New Roman"/>
                <w:sz w:val="24"/>
                <w:lang w:eastAsia="zh-CN"/>
              </w:rPr>
            </w:pPr>
            <w:r>
              <w:rPr>
                <w:rFonts w:ascii="Calibri" w:hAnsi="Calibri" w:cs="Times New Roman"/>
                <w:sz w:val="24"/>
                <w:lang w:eastAsia="zh-CN"/>
              </w:rPr>
              <w:t>□</w:t>
            </w:r>
            <w:r>
              <w:rPr>
                <w:rFonts w:hint="eastAsia" w:ascii="Calibri" w:hAnsi="Calibri" w:cs="Times New Roman"/>
                <w:sz w:val="24"/>
                <w:lang w:eastAsia="zh-CN"/>
              </w:rPr>
              <w:t>其他</w:t>
            </w:r>
          </w:p>
        </w:tc>
        <w:tc>
          <w:tcPr>
            <w:tcW w:w="1125" w:type="dxa"/>
            <w:vAlign w:val="center"/>
          </w:tcPr>
          <w:p w14:paraId="1B69FFA2">
            <w:pPr>
              <w:pStyle w:val="201"/>
              <w:ind w:firstLine="600"/>
              <w:jc w:val="center"/>
              <w:rPr>
                <w:rFonts w:ascii="Calibri" w:hAnsi="Calibri" w:cs="黑体"/>
                <w:sz w:val="30"/>
                <w:lang w:eastAsia="zh-CN"/>
              </w:rPr>
            </w:pPr>
          </w:p>
        </w:tc>
        <w:tc>
          <w:tcPr>
            <w:tcW w:w="1561" w:type="dxa"/>
            <w:vAlign w:val="center"/>
          </w:tcPr>
          <w:p w14:paraId="4C80A20C">
            <w:pPr>
              <w:pStyle w:val="201"/>
              <w:ind w:firstLine="600"/>
              <w:jc w:val="center"/>
              <w:rPr>
                <w:rFonts w:ascii="Calibri" w:hAnsi="Calibri" w:cs="黑体"/>
                <w:sz w:val="30"/>
                <w:lang w:eastAsia="zh-CN"/>
              </w:rPr>
            </w:pPr>
          </w:p>
        </w:tc>
        <w:tc>
          <w:tcPr>
            <w:tcW w:w="1498" w:type="dxa"/>
            <w:vAlign w:val="center"/>
          </w:tcPr>
          <w:p w14:paraId="7DD58909">
            <w:pPr>
              <w:pStyle w:val="201"/>
              <w:ind w:firstLine="600"/>
              <w:jc w:val="center"/>
              <w:rPr>
                <w:rFonts w:ascii="Calibri" w:hAnsi="Calibri" w:cs="黑体"/>
                <w:sz w:val="30"/>
                <w:lang w:eastAsia="zh-CN"/>
              </w:rPr>
            </w:pPr>
          </w:p>
        </w:tc>
        <w:tc>
          <w:tcPr>
            <w:tcW w:w="1564" w:type="dxa"/>
            <w:vAlign w:val="center"/>
          </w:tcPr>
          <w:p w14:paraId="03F726F1">
            <w:pPr>
              <w:pStyle w:val="201"/>
              <w:ind w:firstLine="600"/>
              <w:jc w:val="center"/>
              <w:rPr>
                <w:rFonts w:ascii="Calibri" w:hAnsi="Calibri" w:cs="黑体"/>
                <w:sz w:val="30"/>
                <w:lang w:eastAsia="zh-CN"/>
              </w:rPr>
            </w:pPr>
          </w:p>
        </w:tc>
      </w:tr>
      <w:tr w14:paraId="5EC91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AB68C86">
            <w:pPr>
              <w:pStyle w:val="201"/>
              <w:ind w:firstLine="480"/>
              <w:jc w:val="center"/>
              <w:rPr>
                <w:rFonts w:ascii="Calibri" w:hAnsi="Calibri" w:cs="黑体"/>
                <w:sz w:val="24"/>
                <w:lang w:eastAsia="zh-CN"/>
              </w:rPr>
            </w:pPr>
            <w:r>
              <w:rPr>
                <w:rFonts w:hint="eastAsia" w:ascii="Calibri" w:hAnsi="Calibri" w:cs="黑体"/>
                <w:sz w:val="24"/>
                <w:lang w:eastAsia="zh-CN"/>
              </w:rPr>
              <w:t>2</w:t>
            </w:r>
          </w:p>
        </w:tc>
        <w:tc>
          <w:tcPr>
            <w:tcW w:w="1287" w:type="dxa"/>
            <w:vAlign w:val="center"/>
          </w:tcPr>
          <w:p w14:paraId="3839C2E0">
            <w:pPr>
              <w:pStyle w:val="201"/>
              <w:ind w:firstLine="600"/>
              <w:jc w:val="center"/>
              <w:rPr>
                <w:rFonts w:ascii="Calibri" w:hAnsi="Calibri" w:cs="黑体"/>
                <w:sz w:val="30"/>
              </w:rPr>
            </w:pPr>
          </w:p>
        </w:tc>
        <w:tc>
          <w:tcPr>
            <w:tcW w:w="1513" w:type="dxa"/>
            <w:vAlign w:val="center"/>
          </w:tcPr>
          <w:p w14:paraId="1AF5EF2F">
            <w:pPr>
              <w:pStyle w:val="201"/>
              <w:tabs>
                <w:tab w:val="left" w:pos="235"/>
              </w:tabs>
              <w:ind w:left="1" w:leftChars="-43" w:hanging="91" w:hangingChars="38"/>
              <w:jc w:val="center"/>
              <w:rPr>
                <w:rFonts w:ascii="Calibri" w:hAnsi="Calibri" w:cs="Times New Roman"/>
                <w:sz w:val="24"/>
                <w:lang w:eastAsia="zh-CN"/>
              </w:rPr>
            </w:pPr>
            <w:r>
              <w:rPr>
                <w:rFonts w:ascii="Calibri" w:hAnsi="Calibri" w:cs="Times New Roman"/>
                <w:sz w:val="24"/>
                <w:lang w:eastAsia="zh-CN"/>
              </w:rPr>
              <w:t>□中型企业</w:t>
            </w:r>
          </w:p>
          <w:p w14:paraId="67E58F73">
            <w:pPr>
              <w:pStyle w:val="201"/>
              <w:tabs>
                <w:tab w:val="left" w:pos="235"/>
              </w:tabs>
              <w:ind w:left="1" w:leftChars="-43" w:hanging="91" w:hangingChars="38"/>
              <w:jc w:val="center"/>
              <w:rPr>
                <w:rFonts w:ascii="Calibri" w:hAnsi="Calibri" w:cs="Times New Roman"/>
                <w:sz w:val="24"/>
                <w:lang w:eastAsia="zh-CN"/>
              </w:rPr>
            </w:pPr>
            <w:r>
              <w:rPr>
                <w:rFonts w:ascii="Calibri" w:hAnsi="Calibri" w:cs="Times New Roman"/>
                <w:sz w:val="24"/>
                <w:lang w:eastAsia="zh-CN"/>
              </w:rPr>
              <w:t>□小微企业</w:t>
            </w:r>
          </w:p>
          <w:p w14:paraId="6CBD2383">
            <w:pPr>
              <w:pStyle w:val="201"/>
              <w:tabs>
                <w:tab w:val="left" w:pos="235"/>
              </w:tabs>
              <w:ind w:left="1" w:leftChars="-43" w:hanging="91" w:hangingChars="38"/>
              <w:jc w:val="center"/>
              <w:rPr>
                <w:rFonts w:ascii="Calibri" w:hAnsi="Calibri" w:cs="Times New Roman"/>
                <w:sz w:val="24"/>
                <w:lang w:eastAsia="zh-CN"/>
              </w:rPr>
            </w:pPr>
            <w:r>
              <w:rPr>
                <w:rFonts w:ascii="Calibri" w:hAnsi="Calibri" w:cs="Times New Roman"/>
                <w:sz w:val="24"/>
                <w:lang w:eastAsia="zh-CN"/>
              </w:rPr>
              <w:t>□</w:t>
            </w:r>
            <w:r>
              <w:rPr>
                <w:rFonts w:hint="eastAsia" w:ascii="Calibri" w:hAnsi="Calibri" w:cs="Times New Roman"/>
                <w:sz w:val="24"/>
                <w:lang w:eastAsia="zh-CN"/>
              </w:rPr>
              <w:t>其他</w:t>
            </w:r>
          </w:p>
        </w:tc>
        <w:tc>
          <w:tcPr>
            <w:tcW w:w="1125" w:type="dxa"/>
            <w:vAlign w:val="center"/>
          </w:tcPr>
          <w:p w14:paraId="2F0858A5">
            <w:pPr>
              <w:pStyle w:val="201"/>
              <w:ind w:firstLine="600"/>
              <w:jc w:val="center"/>
              <w:rPr>
                <w:rFonts w:ascii="Calibri" w:hAnsi="Calibri" w:cs="黑体"/>
                <w:sz w:val="30"/>
                <w:lang w:eastAsia="zh-CN"/>
              </w:rPr>
            </w:pPr>
          </w:p>
        </w:tc>
        <w:tc>
          <w:tcPr>
            <w:tcW w:w="1561" w:type="dxa"/>
            <w:vAlign w:val="center"/>
          </w:tcPr>
          <w:p w14:paraId="6E3D75C0">
            <w:pPr>
              <w:pStyle w:val="201"/>
              <w:ind w:firstLine="600"/>
              <w:jc w:val="center"/>
              <w:rPr>
                <w:rFonts w:ascii="Calibri" w:hAnsi="Calibri" w:cs="黑体"/>
                <w:sz w:val="30"/>
                <w:lang w:eastAsia="zh-CN"/>
              </w:rPr>
            </w:pPr>
          </w:p>
        </w:tc>
        <w:tc>
          <w:tcPr>
            <w:tcW w:w="1498" w:type="dxa"/>
            <w:vAlign w:val="center"/>
          </w:tcPr>
          <w:p w14:paraId="46DB2F5A">
            <w:pPr>
              <w:pStyle w:val="201"/>
              <w:ind w:firstLine="600"/>
              <w:jc w:val="center"/>
              <w:rPr>
                <w:rFonts w:ascii="Calibri" w:hAnsi="Calibri" w:cs="黑体"/>
                <w:sz w:val="30"/>
                <w:lang w:eastAsia="zh-CN"/>
              </w:rPr>
            </w:pPr>
          </w:p>
        </w:tc>
        <w:tc>
          <w:tcPr>
            <w:tcW w:w="1564" w:type="dxa"/>
            <w:vAlign w:val="center"/>
          </w:tcPr>
          <w:p w14:paraId="61B4590C">
            <w:pPr>
              <w:pStyle w:val="201"/>
              <w:ind w:firstLine="600"/>
              <w:jc w:val="center"/>
              <w:rPr>
                <w:rFonts w:ascii="Calibri" w:hAnsi="Calibri" w:cs="黑体"/>
                <w:sz w:val="30"/>
                <w:lang w:eastAsia="zh-CN"/>
              </w:rPr>
            </w:pPr>
          </w:p>
        </w:tc>
      </w:tr>
      <w:tr w14:paraId="619E7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4198E7E">
            <w:pPr>
              <w:pStyle w:val="201"/>
              <w:ind w:firstLine="480"/>
              <w:jc w:val="center"/>
              <w:rPr>
                <w:rFonts w:ascii="Calibri" w:hAnsi="Calibri" w:cs="黑体"/>
                <w:sz w:val="24"/>
                <w:lang w:eastAsia="zh-CN"/>
              </w:rPr>
            </w:pPr>
            <w:r>
              <w:rPr>
                <w:rFonts w:ascii="Calibri" w:hAnsi="Calibri" w:cs="黑体"/>
                <w:sz w:val="24"/>
                <w:lang w:eastAsia="zh-CN"/>
              </w:rPr>
              <w:t>…</w:t>
            </w:r>
          </w:p>
        </w:tc>
        <w:tc>
          <w:tcPr>
            <w:tcW w:w="1287" w:type="dxa"/>
            <w:vAlign w:val="center"/>
          </w:tcPr>
          <w:p w14:paraId="437C66AB">
            <w:pPr>
              <w:pStyle w:val="201"/>
              <w:ind w:firstLine="600"/>
              <w:jc w:val="center"/>
              <w:rPr>
                <w:rFonts w:ascii="Calibri" w:hAnsi="Calibri" w:cs="黑体"/>
                <w:sz w:val="30"/>
              </w:rPr>
            </w:pPr>
          </w:p>
        </w:tc>
        <w:tc>
          <w:tcPr>
            <w:tcW w:w="1513" w:type="dxa"/>
            <w:vAlign w:val="center"/>
          </w:tcPr>
          <w:p w14:paraId="167B815F">
            <w:pPr>
              <w:pStyle w:val="201"/>
              <w:tabs>
                <w:tab w:val="left" w:pos="235"/>
              </w:tabs>
              <w:ind w:firstLine="480"/>
              <w:jc w:val="center"/>
              <w:rPr>
                <w:rFonts w:ascii="Calibri" w:hAnsi="Calibri" w:cs="黑体"/>
                <w:sz w:val="24"/>
              </w:rPr>
            </w:pPr>
          </w:p>
        </w:tc>
        <w:tc>
          <w:tcPr>
            <w:tcW w:w="1125" w:type="dxa"/>
            <w:vAlign w:val="center"/>
          </w:tcPr>
          <w:p w14:paraId="1B1EC56C">
            <w:pPr>
              <w:pStyle w:val="201"/>
              <w:ind w:firstLine="600"/>
              <w:jc w:val="center"/>
              <w:rPr>
                <w:rFonts w:ascii="Calibri" w:hAnsi="Calibri" w:cs="黑体"/>
                <w:sz w:val="30"/>
              </w:rPr>
            </w:pPr>
          </w:p>
        </w:tc>
        <w:tc>
          <w:tcPr>
            <w:tcW w:w="1561" w:type="dxa"/>
            <w:vAlign w:val="center"/>
          </w:tcPr>
          <w:p w14:paraId="068884A6">
            <w:pPr>
              <w:pStyle w:val="201"/>
              <w:ind w:firstLine="600"/>
              <w:jc w:val="center"/>
              <w:rPr>
                <w:rFonts w:ascii="Calibri" w:hAnsi="Calibri" w:cs="黑体"/>
                <w:sz w:val="30"/>
              </w:rPr>
            </w:pPr>
          </w:p>
        </w:tc>
        <w:tc>
          <w:tcPr>
            <w:tcW w:w="1498" w:type="dxa"/>
            <w:vAlign w:val="center"/>
          </w:tcPr>
          <w:p w14:paraId="3E558190">
            <w:pPr>
              <w:pStyle w:val="201"/>
              <w:ind w:firstLine="600"/>
              <w:jc w:val="center"/>
              <w:rPr>
                <w:rFonts w:ascii="Calibri" w:hAnsi="Calibri" w:cs="黑体"/>
                <w:sz w:val="30"/>
              </w:rPr>
            </w:pPr>
          </w:p>
        </w:tc>
        <w:tc>
          <w:tcPr>
            <w:tcW w:w="1564" w:type="dxa"/>
            <w:vAlign w:val="center"/>
          </w:tcPr>
          <w:p w14:paraId="7158400F">
            <w:pPr>
              <w:pStyle w:val="201"/>
              <w:ind w:firstLine="600"/>
              <w:jc w:val="center"/>
              <w:rPr>
                <w:rFonts w:ascii="Calibri" w:hAnsi="Calibri" w:cs="黑体"/>
                <w:sz w:val="30"/>
              </w:rPr>
            </w:pPr>
          </w:p>
        </w:tc>
      </w:tr>
      <w:tr w14:paraId="4A461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180721D4">
            <w:pPr>
              <w:pStyle w:val="201"/>
              <w:ind w:right="57" w:rightChars="27" w:firstLine="480"/>
              <w:jc w:val="right"/>
              <w:rPr>
                <w:rFonts w:ascii="Calibri" w:hAnsi="Calibri" w:cs="黑体"/>
                <w:sz w:val="24"/>
                <w:lang w:eastAsia="zh-CN"/>
              </w:rPr>
            </w:pPr>
            <w:r>
              <w:rPr>
                <w:rFonts w:hint="eastAsia" w:ascii="Calibri" w:hAnsi="Calibri" w:cs="黑体"/>
                <w:sz w:val="24"/>
                <w:lang w:eastAsia="zh-CN"/>
              </w:rPr>
              <w:t>合计：</w:t>
            </w:r>
          </w:p>
        </w:tc>
        <w:tc>
          <w:tcPr>
            <w:tcW w:w="1498" w:type="dxa"/>
            <w:vAlign w:val="center"/>
          </w:tcPr>
          <w:p w14:paraId="64A98D18">
            <w:pPr>
              <w:pStyle w:val="201"/>
              <w:ind w:firstLine="600"/>
              <w:jc w:val="center"/>
              <w:rPr>
                <w:rFonts w:ascii="Calibri" w:hAnsi="Calibri" w:cs="黑体"/>
                <w:sz w:val="30"/>
              </w:rPr>
            </w:pPr>
          </w:p>
        </w:tc>
        <w:tc>
          <w:tcPr>
            <w:tcW w:w="1564" w:type="dxa"/>
            <w:vAlign w:val="center"/>
          </w:tcPr>
          <w:p w14:paraId="5796ABB5">
            <w:pPr>
              <w:pStyle w:val="201"/>
              <w:ind w:firstLine="600"/>
              <w:jc w:val="center"/>
              <w:rPr>
                <w:rFonts w:ascii="Calibri" w:hAnsi="Calibri" w:cs="黑体"/>
                <w:sz w:val="30"/>
              </w:rPr>
            </w:pPr>
          </w:p>
        </w:tc>
      </w:tr>
    </w:tbl>
    <w:p w14:paraId="7F07A6EE">
      <w:pPr>
        <w:adjustRightInd w:val="0"/>
        <w:snapToGrid w:val="0"/>
        <w:spacing w:line="360" w:lineRule="auto"/>
        <w:jc w:val="left"/>
        <w:rPr>
          <w:rFonts w:hint="eastAsia" w:ascii="宋体" w:hAnsi="宋体"/>
          <w:sz w:val="24"/>
        </w:rPr>
      </w:pPr>
    </w:p>
    <w:p w14:paraId="639BEDCC">
      <w:pPr>
        <w:autoSpaceDE w:val="0"/>
        <w:autoSpaceDN w:val="0"/>
        <w:adjustRightInd w:val="0"/>
        <w:snapToGrid w:val="0"/>
        <w:spacing w:before="25" w:after="25" w:line="360" w:lineRule="auto"/>
        <w:jc w:val="right"/>
        <w:rPr>
          <w:rFonts w:hint="eastAsia" w:ascii="宋体" w:hAnsi="宋体"/>
          <w:sz w:val="24"/>
          <w:lang w:val="zh-CN"/>
        </w:rPr>
      </w:pPr>
      <w:r>
        <w:rPr>
          <w:rFonts w:hint="eastAsia" w:ascii="宋体" w:hAnsi="宋体"/>
          <w:sz w:val="24"/>
        </w:rPr>
        <w:t>供应商</w:t>
      </w:r>
      <w:r>
        <w:rPr>
          <w:rFonts w:ascii="宋体" w:hAnsi="宋体"/>
          <w:sz w:val="24"/>
        </w:rPr>
        <w:t>名称（加盖公章）</w:t>
      </w:r>
      <w:r>
        <w:rPr>
          <w:rFonts w:ascii="宋体" w:hAnsi="宋体"/>
          <w:sz w:val="24"/>
          <w:lang w:val="zh-CN"/>
        </w:rPr>
        <w:t>：____________</w:t>
      </w:r>
    </w:p>
    <w:p w14:paraId="6FFE9654">
      <w:pPr>
        <w:spacing w:line="360" w:lineRule="auto"/>
        <w:ind w:right="63" w:firstLine="480"/>
        <w:jc w:val="right"/>
        <w:rPr>
          <w:rFonts w:hint="eastAsia" w:ascii="宋体" w:hAnsi="宋体"/>
          <w:sz w:val="24"/>
        </w:rPr>
      </w:pPr>
      <w:r>
        <w:rPr>
          <w:rFonts w:ascii="宋体" w:hAnsi="宋体"/>
          <w:sz w:val="24"/>
          <w:szCs w:val="20"/>
        </w:rPr>
        <w:t>日期：_____年______月______日</w:t>
      </w:r>
    </w:p>
    <w:p w14:paraId="14DA11F3">
      <w:pPr>
        <w:adjustRightInd w:val="0"/>
        <w:snapToGrid w:val="0"/>
        <w:spacing w:line="360" w:lineRule="auto"/>
        <w:jc w:val="left"/>
        <w:rPr>
          <w:rFonts w:hint="eastAsia" w:ascii="宋体" w:hAnsi="宋体"/>
          <w:sz w:val="24"/>
        </w:rPr>
      </w:pPr>
    </w:p>
    <w:p w14:paraId="0CEF4D74">
      <w:pPr>
        <w:adjustRightInd w:val="0"/>
        <w:snapToGrid w:val="0"/>
        <w:spacing w:line="360" w:lineRule="auto"/>
        <w:jc w:val="left"/>
        <w:rPr>
          <w:rFonts w:hint="eastAsia" w:ascii="宋体" w:hAnsi="宋体"/>
          <w:sz w:val="24"/>
        </w:rPr>
      </w:pPr>
      <w:r>
        <w:rPr>
          <w:rFonts w:ascii="宋体" w:hAnsi="宋体"/>
          <w:sz w:val="24"/>
        </w:rPr>
        <w:t>说明：</w:t>
      </w:r>
    </w:p>
    <w:p w14:paraId="537B1B21">
      <w:pPr>
        <w:spacing w:line="360" w:lineRule="auto"/>
        <w:ind w:firstLine="480"/>
        <w:rPr>
          <w:rFonts w:hint="eastAsia" w:ascii="宋体" w:hAnsi="宋体"/>
          <w:sz w:val="24"/>
        </w:rPr>
      </w:pPr>
      <w:r>
        <w:rPr>
          <w:rFonts w:hint="eastAsia" w:ascii="宋体" w:hAnsi="宋体"/>
          <w:sz w:val="24"/>
        </w:rPr>
        <w:t>（</w:t>
      </w:r>
      <w:r>
        <w:rPr>
          <w:rFonts w:ascii="宋体" w:hAnsi="宋体"/>
          <w:sz w:val="24"/>
        </w:rPr>
        <w:t>1</w:t>
      </w:r>
      <w:r>
        <w:rPr>
          <w:rFonts w:hint="eastAsia" w:ascii="宋体" w:hAnsi="宋体"/>
          <w:sz w:val="24"/>
        </w:rPr>
        <w:t>）当供应商属于本部分说明中第（</w:t>
      </w:r>
      <w:r>
        <w:rPr>
          <w:rFonts w:ascii="宋体" w:hAnsi="宋体"/>
          <w:sz w:val="24"/>
        </w:rPr>
        <w:t>1</w:t>
      </w:r>
      <w:r>
        <w:rPr>
          <w:rFonts w:hint="eastAsia" w:ascii="宋体" w:hAnsi="宋体"/>
          <w:sz w:val="24"/>
        </w:rPr>
        <w:t>）类情形，如未</w:t>
      </w:r>
      <w:r>
        <w:rPr>
          <w:rFonts w:hint="eastAsia" w:ascii="Leelawadee UI" w:hAnsi="Leelawadee UI" w:cs="Leelawadee UI"/>
          <w:sz w:val="24"/>
        </w:rPr>
        <w:t>提</w:t>
      </w:r>
      <w:r>
        <w:rPr>
          <w:rFonts w:hint="eastAsia" w:ascii="宋体" w:hAnsi="宋体"/>
          <w:sz w:val="24"/>
        </w:rPr>
        <w:t>供《拟分包情况说明》，或</w:t>
      </w:r>
      <w:r>
        <w:rPr>
          <w:rFonts w:hint="eastAsia" w:ascii="Leelawadee UI" w:hAnsi="Leelawadee UI" w:cs="Leelawadee UI"/>
          <w:sz w:val="24"/>
        </w:rPr>
        <w:t>提</w:t>
      </w:r>
      <w:r>
        <w:rPr>
          <w:rFonts w:hint="eastAsia" w:ascii="宋体" w:hAnsi="宋体"/>
          <w:sz w:val="24"/>
        </w:rPr>
        <w:t>供了《拟分包情况说明》但未填写分包承担主体名称、拟分包合同内容、拟分包合同金额，其</w:t>
      </w:r>
      <w:r>
        <w:rPr>
          <w:rFonts w:hint="eastAsia" w:ascii="宋体" w:hAnsi="宋体"/>
          <w:b/>
          <w:bCs/>
          <w:sz w:val="24"/>
        </w:rPr>
        <w:t>响应无效</w:t>
      </w:r>
      <w:r>
        <w:rPr>
          <w:rFonts w:hint="eastAsia" w:ascii="宋体" w:hAnsi="宋体"/>
          <w:sz w:val="24"/>
        </w:rPr>
        <w:t>；</w:t>
      </w:r>
    </w:p>
    <w:p w14:paraId="34CC9F79">
      <w:pPr>
        <w:spacing w:line="360" w:lineRule="auto"/>
        <w:ind w:firstLine="480"/>
        <w:rPr>
          <w:rFonts w:hint="eastAsia" w:ascii="宋体" w:hAnsi="宋体"/>
          <w:sz w:val="24"/>
        </w:rPr>
      </w:pPr>
      <w:r>
        <w:rPr>
          <w:rFonts w:hint="eastAsia" w:ascii="宋体" w:hAnsi="宋体"/>
          <w:sz w:val="24"/>
        </w:rPr>
        <w:t>（</w:t>
      </w:r>
      <w:r>
        <w:rPr>
          <w:rFonts w:ascii="宋体" w:hAnsi="宋体"/>
          <w:sz w:val="24"/>
        </w:rPr>
        <w:t>2</w:t>
      </w:r>
      <w:r>
        <w:rPr>
          <w:rFonts w:hint="eastAsia" w:ascii="宋体" w:hAnsi="宋体"/>
          <w:sz w:val="24"/>
        </w:rPr>
        <w:t>）当供应商属于本部分说明中第（</w:t>
      </w:r>
      <w:r>
        <w:rPr>
          <w:rFonts w:ascii="宋体" w:hAnsi="宋体"/>
          <w:sz w:val="24"/>
        </w:rPr>
        <w:t>2</w:t>
      </w:r>
      <w:r>
        <w:rPr>
          <w:rFonts w:hint="eastAsia" w:ascii="宋体" w:hAnsi="宋体"/>
          <w:sz w:val="24"/>
        </w:rPr>
        <w:t>）类情形，如未</w:t>
      </w:r>
      <w:r>
        <w:rPr>
          <w:rFonts w:hint="eastAsia" w:ascii="Leelawadee UI" w:hAnsi="Leelawadee UI" w:cs="Leelawadee UI"/>
          <w:sz w:val="24"/>
        </w:rPr>
        <w:t>提</w:t>
      </w:r>
      <w:r>
        <w:rPr>
          <w:rFonts w:hint="eastAsia" w:ascii="宋体" w:hAnsi="宋体"/>
          <w:sz w:val="24"/>
        </w:rPr>
        <w:t>供《拟分包情况说明》，或</w:t>
      </w:r>
      <w:r>
        <w:rPr>
          <w:rFonts w:hint="eastAsia" w:ascii="Leelawadee UI" w:hAnsi="Leelawadee UI" w:cs="Leelawadee UI"/>
          <w:sz w:val="24"/>
        </w:rPr>
        <w:t>提</w:t>
      </w:r>
      <w:r>
        <w:rPr>
          <w:rFonts w:hint="eastAsia" w:ascii="宋体" w:hAnsi="宋体"/>
          <w:sz w:val="24"/>
        </w:rPr>
        <w:t>供了《拟分包情况说明》但未填写分包承担主体名称、分包承担主体类型、拟分包合同内容、拟分包合同金额，其</w:t>
      </w:r>
      <w:r>
        <w:rPr>
          <w:rFonts w:hint="eastAsia" w:ascii="宋体" w:hAnsi="宋体"/>
          <w:b/>
          <w:bCs/>
          <w:sz w:val="24"/>
        </w:rPr>
        <w:t>响应无效</w:t>
      </w:r>
      <w:r>
        <w:rPr>
          <w:rFonts w:hint="eastAsia" w:ascii="宋体" w:hAnsi="宋体"/>
          <w:sz w:val="24"/>
        </w:rPr>
        <w:t>；</w:t>
      </w:r>
    </w:p>
    <w:p w14:paraId="290EC0AC">
      <w:pPr>
        <w:spacing w:line="360" w:lineRule="auto"/>
        <w:ind w:firstLine="480"/>
        <w:rPr>
          <w:rFonts w:hint="eastAsia" w:ascii="宋体" w:hAnsi="宋体"/>
          <w:sz w:val="24"/>
        </w:rPr>
      </w:pPr>
      <w:r>
        <w:rPr>
          <w:rFonts w:hint="eastAsia" w:ascii="宋体" w:hAnsi="宋体"/>
          <w:sz w:val="24"/>
        </w:rPr>
        <w:t>（3）如本采购文件《供应商须知资料表》载明本项目分包承担主体应具备的相应资质条件，则供应商须在本表中列明分包承担主体的资质等级，并后附资质证书电子件，否则</w:t>
      </w:r>
      <w:r>
        <w:rPr>
          <w:rFonts w:hint="eastAsia" w:ascii="宋体" w:hAnsi="宋体"/>
          <w:b/>
          <w:bCs/>
          <w:sz w:val="24"/>
        </w:rPr>
        <w:t>响应无效</w:t>
      </w:r>
      <w:r>
        <w:rPr>
          <w:rFonts w:hint="eastAsia" w:ascii="宋体" w:hAnsi="宋体"/>
          <w:sz w:val="24"/>
        </w:rPr>
        <w:t>。</w:t>
      </w:r>
    </w:p>
    <w:p w14:paraId="3602468D">
      <w:pPr>
        <w:spacing w:line="360" w:lineRule="auto"/>
        <w:ind w:firstLine="723"/>
        <w:outlineLvl w:val="2"/>
        <w:rPr>
          <w:rFonts w:hint="eastAsia" w:ascii="宋体" w:hAnsi="宋体"/>
          <w:sz w:val="24"/>
          <w:szCs w:val="20"/>
        </w:rPr>
      </w:pPr>
      <w:r>
        <w:rPr>
          <w:rFonts w:hint="eastAsia" w:ascii="宋体" w:hAnsi="宋体"/>
          <w:b/>
          <w:sz w:val="36"/>
          <w:szCs w:val="36"/>
        </w:rPr>
        <w:t>附：分包意向协议（实质性格式）</w:t>
      </w:r>
    </w:p>
    <w:p w14:paraId="10594E51">
      <w:pPr>
        <w:autoSpaceDE w:val="0"/>
        <w:autoSpaceDN w:val="0"/>
        <w:adjustRightInd w:val="0"/>
        <w:spacing w:line="360" w:lineRule="auto"/>
        <w:ind w:firstLine="723"/>
        <w:jc w:val="center"/>
        <w:rPr>
          <w:rFonts w:hint="eastAsia" w:ascii="宋体" w:hAnsi="宋体"/>
          <w:b/>
          <w:sz w:val="36"/>
          <w:szCs w:val="36"/>
        </w:rPr>
      </w:pPr>
    </w:p>
    <w:p w14:paraId="4D1E2AA7">
      <w:pPr>
        <w:adjustRightInd w:val="0"/>
        <w:snapToGrid w:val="0"/>
        <w:spacing w:line="360" w:lineRule="auto"/>
        <w:ind w:firstLine="480" w:firstLineChars="200"/>
        <w:jc w:val="left"/>
        <w:rPr>
          <w:rFonts w:hint="eastAsia" w:ascii="宋体" w:hAnsi="宋体"/>
          <w:sz w:val="24"/>
        </w:rPr>
      </w:pPr>
      <w:r>
        <w:rPr>
          <w:rFonts w:ascii="宋体" w:hAnsi="宋体"/>
          <w:sz w:val="24"/>
        </w:rPr>
        <w:t>甲方（</w:t>
      </w:r>
      <w:r>
        <w:rPr>
          <w:rFonts w:hint="eastAsia" w:ascii="宋体" w:hAnsi="宋体"/>
          <w:sz w:val="24"/>
        </w:rPr>
        <w:t>供应商</w:t>
      </w:r>
      <w:r>
        <w:rPr>
          <w:rFonts w:ascii="宋体" w:hAnsi="宋体"/>
          <w:sz w:val="24"/>
        </w:rPr>
        <w:t>）：________</w:t>
      </w:r>
    </w:p>
    <w:p w14:paraId="19572F79">
      <w:pPr>
        <w:adjustRightInd w:val="0"/>
        <w:snapToGrid w:val="0"/>
        <w:spacing w:line="360" w:lineRule="auto"/>
        <w:ind w:firstLine="480" w:firstLineChars="200"/>
        <w:jc w:val="left"/>
        <w:rPr>
          <w:rFonts w:hint="eastAsia" w:ascii="宋体" w:hAnsi="宋体"/>
          <w:sz w:val="24"/>
        </w:rPr>
      </w:pPr>
      <w:r>
        <w:rPr>
          <w:rFonts w:ascii="宋体" w:hAnsi="宋体"/>
          <w:sz w:val="24"/>
        </w:rPr>
        <w:t>乙方（拟分包单位）：________</w:t>
      </w:r>
    </w:p>
    <w:p w14:paraId="40C4F086">
      <w:pPr>
        <w:adjustRightInd w:val="0"/>
        <w:snapToGrid w:val="0"/>
        <w:spacing w:line="360" w:lineRule="auto"/>
        <w:ind w:firstLine="480" w:firstLineChars="200"/>
        <w:jc w:val="left"/>
        <w:rPr>
          <w:rFonts w:hint="eastAsia" w:ascii="宋体" w:hAnsi="宋体"/>
          <w:sz w:val="24"/>
        </w:rPr>
      </w:pPr>
      <w:r>
        <w:rPr>
          <w:rFonts w:ascii="宋体" w:hAnsi="宋体"/>
          <w:sz w:val="24"/>
        </w:rPr>
        <w:t>甲方承诺，一旦在_________（采购项目名称）（项目编号/包号为：_______）招标采购项目中获得采购合同，将按照下述约定将合同项下部分内容分包给乙方：</w:t>
      </w:r>
    </w:p>
    <w:p w14:paraId="5E4C2E07">
      <w:pPr>
        <w:adjustRightInd w:val="0"/>
        <w:snapToGrid w:val="0"/>
        <w:spacing w:line="360" w:lineRule="auto"/>
        <w:ind w:firstLine="480" w:firstLineChars="200"/>
        <w:jc w:val="left"/>
        <w:rPr>
          <w:rFonts w:hint="eastAsia" w:ascii="宋体" w:hAnsi="宋体"/>
          <w:sz w:val="24"/>
        </w:rPr>
      </w:pPr>
      <w:r>
        <w:rPr>
          <w:rFonts w:ascii="宋体" w:hAnsi="宋体"/>
          <w:sz w:val="24"/>
        </w:rPr>
        <w:t>1.分包内容：_____。</w:t>
      </w:r>
    </w:p>
    <w:p w14:paraId="2B8EAB38">
      <w:pPr>
        <w:adjustRightInd w:val="0"/>
        <w:snapToGrid w:val="0"/>
        <w:spacing w:line="360" w:lineRule="auto"/>
        <w:ind w:firstLine="480" w:firstLineChars="200"/>
        <w:jc w:val="left"/>
        <w:rPr>
          <w:rFonts w:hint="eastAsia" w:ascii="宋体" w:hAnsi="宋体"/>
          <w:sz w:val="24"/>
        </w:rPr>
      </w:pPr>
      <w:r>
        <w:rPr>
          <w:rFonts w:ascii="宋体" w:hAnsi="宋体"/>
          <w:sz w:val="24"/>
        </w:rPr>
        <w:t>2.分包金额：_____，该金额占该采购包预算总金额的比例为___%。</w:t>
      </w:r>
    </w:p>
    <w:p w14:paraId="1B4B53AB">
      <w:pPr>
        <w:adjustRightInd w:val="0"/>
        <w:snapToGrid w:val="0"/>
        <w:spacing w:line="360" w:lineRule="auto"/>
        <w:ind w:firstLine="480" w:firstLineChars="200"/>
        <w:jc w:val="left"/>
        <w:rPr>
          <w:rFonts w:hint="eastAsia" w:ascii="宋体" w:hAnsi="宋体"/>
          <w:bCs/>
          <w:sz w:val="24"/>
        </w:rPr>
      </w:pPr>
      <w:r>
        <w:rPr>
          <w:rFonts w:ascii="宋体" w:hAnsi="宋体"/>
          <w:sz w:val="24"/>
        </w:rPr>
        <w:t>乙方承诺将在上述情况下与甲方签订分包合同。</w:t>
      </w:r>
    </w:p>
    <w:p w14:paraId="33D5962C">
      <w:pPr>
        <w:adjustRightInd w:val="0"/>
        <w:snapToGrid w:val="0"/>
        <w:spacing w:line="360" w:lineRule="auto"/>
        <w:ind w:firstLine="480" w:firstLineChars="200"/>
        <w:jc w:val="left"/>
        <w:rPr>
          <w:rFonts w:hint="eastAsia" w:ascii="宋体" w:hAnsi="宋体"/>
          <w:sz w:val="24"/>
        </w:rPr>
      </w:pPr>
      <w:r>
        <w:rPr>
          <w:rFonts w:ascii="宋体" w:hAnsi="宋体"/>
          <w:sz w:val="24"/>
        </w:rPr>
        <w:t>本协议自各方盖章之日起生效，如甲方未在该项目（采购包）中标，本协议自动终止。</w:t>
      </w:r>
    </w:p>
    <w:p w14:paraId="23EEE1AA">
      <w:pPr>
        <w:spacing w:line="360" w:lineRule="auto"/>
        <w:ind w:firstLine="482"/>
        <w:rPr>
          <w:rFonts w:hint="eastAsia" w:ascii="宋体" w:hAnsi="宋体"/>
          <w:b/>
          <w:sz w:val="24"/>
        </w:rPr>
      </w:pPr>
    </w:p>
    <w:p w14:paraId="1E53FBC5">
      <w:pPr>
        <w:spacing w:line="360" w:lineRule="auto"/>
        <w:ind w:firstLine="480"/>
        <w:rPr>
          <w:rFonts w:hint="eastAsia" w:ascii="宋体" w:hAnsi="宋体"/>
          <w:b/>
          <w:sz w:val="24"/>
        </w:rPr>
      </w:pPr>
      <w:r>
        <w:rPr>
          <w:rFonts w:ascii="宋体" w:hAnsi="宋体"/>
          <w:sz w:val="24"/>
        </w:rPr>
        <w:t>甲方（盖章）：_________                 乙方（盖章）：_________</w:t>
      </w:r>
    </w:p>
    <w:p w14:paraId="16EE7336">
      <w:pPr>
        <w:spacing w:line="360" w:lineRule="auto"/>
        <w:ind w:left="480"/>
        <w:jc w:val="right"/>
        <w:rPr>
          <w:rFonts w:hint="eastAsia" w:ascii="宋体" w:hAnsi="宋体"/>
          <w:sz w:val="24"/>
        </w:rPr>
      </w:pPr>
    </w:p>
    <w:p w14:paraId="54C68C66">
      <w:pPr>
        <w:wordWrap w:val="0"/>
        <w:spacing w:line="360" w:lineRule="auto"/>
        <w:ind w:left="480"/>
        <w:jc w:val="right"/>
        <w:rPr>
          <w:rFonts w:hint="eastAsia" w:ascii="宋体" w:hAnsi="宋体"/>
          <w:b/>
          <w:sz w:val="24"/>
        </w:rPr>
      </w:pPr>
      <w:r>
        <w:rPr>
          <w:rFonts w:ascii="宋体" w:hAnsi="宋体"/>
          <w:sz w:val="24"/>
          <w:szCs w:val="20"/>
        </w:rPr>
        <w:t xml:space="preserve">日期：_____年______月______日   </w:t>
      </w:r>
    </w:p>
    <w:p w14:paraId="6004FE38">
      <w:pPr>
        <w:tabs>
          <w:tab w:val="left" w:pos="8280"/>
        </w:tabs>
        <w:spacing w:line="360" w:lineRule="auto"/>
        <w:ind w:firstLine="480"/>
        <w:rPr>
          <w:rFonts w:hint="eastAsia" w:ascii="宋体" w:hAnsi="宋体"/>
          <w:sz w:val="24"/>
        </w:rPr>
      </w:pPr>
    </w:p>
    <w:p w14:paraId="3A998A07">
      <w:pPr>
        <w:spacing w:line="360" w:lineRule="auto"/>
        <w:ind w:firstLine="480"/>
        <w:rPr>
          <w:rFonts w:hint="eastAsia" w:ascii="宋体" w:hAnsi="宋体"/>
          <w:sz w:val="24"/>
        </w:rPr>
      </w:pPr>
      <w:r>
        <w:rPr>
          <w:rFonts w:hint="eastAsia" w:ascii="宋体" w:hAnsi="宋体"/>
          <w:sz w:val="24"/>
        </w:rPr>
        <w:t>注：</w:t>
      </w:r>
    </w:p>
    <w:p w14:paraId="2F5106A9">
      <w:pPr>
        <w:spacing w:line="360" w:lineRule="auto"/>
        <w:ind w:firstLine="480"/>
        <w:rPr>
          <w:rFonts w:hint="eastAsia" w:ascii="宋体" w:hAnsi="宋体"/>
          <w:sz w:val="24"/>
        </w:rPr>
      </w:pPr>
      <w:r>
        <w:rPr>
          <w:rFonts w:hint="eastAsia" w:ascii="宋体" w:hAnsi="宋体"/>
          <w:sz w:val="24"/>
        </w:rPr>
        <w:t>（</w:t>
      </w:r>
      <w:r>
        <w:rPr>
          <w:rFonts w:ascii="宋体" w:hAnsi="宋体"/>
          <w:sz w:val="24"/>
        </w:rPr>
        <w:t>1</w:t>
      </w:r>
      <w:r>
        <w:rPr>
          <w:rFonts w:hint="eastAsia" w:ascii="宋体" w:hAnsi="宋体"/>
          <w:sz w:val="24"/>
        </w:rPr>
        <w:t>）当供应商属于本部分说明中第（</w:t>
      </w:r>
      <w:r>
        <w:rPr>
          <w:rFonts w:ascii="宋体" w:hAnsi="宋体"/>
          <w:sz w:val="24"/>
        </w:rPr>
        <w:t>2</w:t>
      </w:r>
      <w:r>
        <w:rPr>
          <w:rFonts w:hint="eastAsia" w:ascii="宋体" w:hAnsi="宋体"/>
          <w:sz w:val="24"/>
        </w:rPr>
        <w:t>）类情形，必须</w:t>
      </w:r>
      <w:r>
        <w:rPr>
          <w:rFonts w:hint="eastAsia" w:ascii="Leelawadee UI" w:hAnsi="Leelawadee UI" w:cs="Leelawadee UI"/>
          <w:sz w:val="24"/>
        </w:rPr>
        <w:t>提</w:t>
      </w:r>
      <w:r>
        <w:rPr>
          <w:rFonts w:hint="eastAsia" w:ascii="宋体" w:hAnsi="宋体"/>
          <w:sz w:val="24"/>
        </w:rPr>
        <w:t>供，否则响应无效；其他情形无须</w:t>
      </w:r>
      <w:r>
        <w:rPr>
          <w:rFonts w:hint="eastAsia" w:ascii="Leelawadee UI" w:hAnsi="Leelawadee UI" w:cs="Leelawadee UI"/>
          <w:sz w:val="24"/>
        </w:rPr>
        <w:t>提</w:t>
      </w:r>
      <w:r>
        <w:rPr>
          <w:rFonts w:hint="eastAsia" w:ascii="宋体" w:hAnsi="宋体"/>
          <w:sz w:val="24"/>
        </w:rPr>
        <w:t>供；</w:t>
      </w:r>
    </w:p>
    <w:p w14:paraId="52794C3F">
      <w:pPr>
        <w:spacing w:line="360" w:lineRule="auto"/>
        <w:ind w:firstLine="480"/>
        <w:rPr>
          <w:rFonts w:hint="eastAsia" w:ascii="宋体" w:hAnsi="宋体"/>
          <w:sz w:val="24"/>
        </w:rPr>
      </w:pPr>
      <w:r>
        <w:rPr>
          <w:rFonts w:hint="eastAsia" w:ascii="宋体" w:hAnsi="宋体"/>
          <w:sz w:val="24"/>
        </w:rPr>
        <w:t>（2）供应商须与所有拟分包单位分别签订《分包意向协议》，每单位签订一份，并在响应文件中</w:t>
      </w:r>
      <w:r>
        <w:rPr>
          <w:rFonts w:hint="eastAsia" w:ascii="Leelawadee UI" w:hAnsi="Leelawadee UI" w:cs="Leelawadee UI"/>
          <w:sz w:val="24"/>
        </w:rPr>
        <w:t>提</w:t>
      </w:r>
      <w:r>
        <w:rPr>
          <w:rFonts w:hint="eastAsia" w:ascii="宋体" w:hAnsi="宋体"/>
          <w:sz w:val="24"/>
        </w:rPr>
        <w:t>交全部协议原件的电子件，否则响应无效。</w:t>
      </w:r>
    </w:p>
    <w:p w14:paraId="126EF856">
      <w:pPr>
        <w:spacing w:line="360" w:lineRule="auto"/>
        <w:ind w:firstLine="504"/>
        <w:rPr>
          <w:rFonts w:hint="eastAsia" w:ascii="宋体" w:hAnsi="宋体"/>
          <w:spacing w:val="6"/>
          <w:sz w:val="24"/>
        </w:rPr>
      </w:pPr>
    </w:p>
    <w:p w14:paraId="4639C0DA">
      <w:pPr>
        <w:widowControl/>
        <w:ind w:firstLine="504"/>
        <w:jc w:val="left"/>
        <w:rPr>
          <w:rFonts w:hint="eastAsia" w:ascii="宋体" w:hAnsi="宋体"/>
          <w:spacing w:val="6"/>
          <w:sz w:val="24"/>
        </w:rPr>
      </w:pPr>
      <w:r>
        <w:rPr>
          <w:rFonts w:ascii="宋体" w:hAnsi="宋体"/>
          <w:spacing w:val="6"/>
          <w:sz w:val="24"/>
        </w:rPr>
        <w:br w:type="page"/>
      </w:r>
    </w:p>
    <w:p w14:paraId="30A83B38">
      <w:pPr>
        <w:autoSpaceDE w:val="0"/>
        <w:autoSpaceDN w:val="0"/>
        <w:adjustRightInd w:val="0"/>
        <w:spacing w:line="360" w:lineRule="auto"/>
        <w:jc w:val="left"/>
        <w:rPr>
          <w:rFonts w:hint="eastAsia" w:ascii="宋体" w:hAnsi="宋体"/>
          <w:sz w:val="24"/>
          <w:szCs w:val="20"/>
        </w:rPr>
      </w:pPr>
      <w:r>
        <w:rPr>
          <w:rFonts w:ascii="宋体" w:hAnsi="宋体"/>
          <w:sz w:val="24"/>
          <w:szCs w:val="20"/>
        </w:rPr>
        <w:t xml:space="preserve">2-2 </w:t>
      </w:r>
      <w:r>
        <w:rPr>
          <w:rFonts w:ascii="宋体" w:hAnsi="宋体"/>
          <w:sz w:val="24"/>
        </w:rPr>
        <w:t>其它落实政府采购政策的资格要求</w:t>
      </w:r>
      <w:r>
        <w:rPr>
          <w:rFonts w:ascii="宋体" w:hAnsi="宋体"/>
          <w:sz w:val="24"/>
          <w:szCs w:val="20"/>
        </w:rPr>
        <w:t>（如有）</w:t>
      </w:r>
    </w:p>
    <w:p w14:paraId="40F4ACE2">
      <w:pPr>
        <w:widowControl/>
        <w:jc w:val="left"/>
        <w:rPr>
          <w:rFonts w:hint="eastAsia" w:ascii="宋体" w:hAnsi="宋体"/>
          <w:sz w:val="24"/>
        </w:rPr>
      </w:pPr>
    </w:p>
    <w:p w14:paraId="05993644">
      <w:pPr>
        <w:widowControl/>
        <w:jc w:val="left"/>
        <w:rPr>
          <w:rFonts w:hint="eastAsia" w:ascii="宋体" w:hAnsi="宋体"/>
          <w:sz w:val="24"/>
        </w:rPr>
      </w:pPr>
      <w:r>
        <w:rPr>
          <w:rFonts w:ascii="宋体" w:hAnsi="宋体"/>
          <w:sz w:val="24"/>
        </w:rPr>
        <w:br w:type="page"/>
      </w:r>
    </w:p>
    <w:p w14:paraId="61C39236">
      <w:pPr>
        <w:tabs>
          <w:tab w:val="left" w:pos="360"/>
        </w:tabs>
        <w:snapToGrid w:val="0"/>
        <w:spacing w:line="360" w:lineRule="auto"/>
        <w:outlineLvl w:val="1"/>
        <w:rPr>
          <w:rFonts w:hint="eastAsia" w:ascii="宋体" w:hAnsi="宋体"/>
          <w:sz w:val="24"/>
        </w:rPr>
      </w:pPr>
      <w:r>
        <w:rPr>
          <w:rFonts w:ascii="宋体" w:hAnsi="宋体"/>
          <w:sz w:val="24"/>
        </w:rPr>
        <w:t>3 本项目的特定资格要求（如有）</w:t>
      </w:r>
    </w:p>
    <w:p w14:paraId="26CD14B5">
      <w:pPr>
        <w:spacing w:line="360" w:lineRule="auto"/>
        <w:outlineLvl w:val="2"/>
        <w:rPr>
          <w:rFonts w:hint="eastAsia" w:ascii="宋体" w:hAnsi="宋体"/>
          <w:sz w:val="24"/>
          <w:szCs w:val="20"/>
        </w:rPr>
      </w:pPr>
      <w:r>
        <w:rPr>
          <w:rFonts w:ascii="宋体" w:hAnsi="宋体"/>
          <w:sz w:val="24"/>
          <w:szCs w:val="20"/>
        </w:rPr>
        <w:t>3-1联合协议（如有）（实质性格式）</w:t>
      </w:r>
    </w:p>
    <w:p w14:paraId="24A03D98">
      <w:pPr>
        <w:autoSpaceDE w:val="0"/>
        <w:autoSpaceDN w:val="0"/>
        <w:adjustRightInd w:val="0"/>
        <w:spacing w:line="360" w:lineRule="auto"/>
        <w:ind w:firstLine="723"/>
        <w:jc w:val="center"/>
        <w:rPr>
          <w:rFonts w:hint="eastAsia" w:ascii="宋体" w:hAnsi="宋体"/>
          <w:b/>
          <w:sz w:val="36"/>
          <w:szCs w:val="36"/>
        </w:rPr>
      </w:pPr>
      <w:r>
        <w:rPr>
          <w:rFonts w:hint="eastAsia" w:ascii="宋体" w:hAnsi="宋体"/>
          <w:b/>
          <w:sz w:val="36"/>
          <w:szCs w:val="36"/>
        </w:rPr>
        <w:t>联合协议</w:t>
      </w:r>
    </w:p>
    <w:p w14:paraId="3267C1E4">
      <w:pPr>
        <w:spacing w:line="360" w:lineRule="auto"/>
        <w:ind w:firstLine="828" w:firstLineChars="345"/>
        <w:rPr>
          <w:rFonts w:hint="eastAsia" w:ascii="宋体" w:hAnsi="宋体"/>
          <w:bCs/>
        </w:rPr>
      </w:pPr>
      <w:r>
        <w:rPr>
          <w:rFonts w:ascii="宋体" w:hAnsi="宋体"/>
          <w:sz w:val="24"/>
        </w:rPr>
        <w:t>______</w:t>
      </w:r>
      <w:r>
        <w:rPr>
          <w:rFonts w:ascii="宋体" w:hAnsi="宋体"/>
          <w:bCs/>
          <w:sz w:val="24"/>
        </w:rPr>
        <w:t xml:space="preserve"> 、</w:t>
      </w:r>
      <w:r>
        <w:rPr>
          <w:rFonts w:ascii="宋体" w:hAnsi="宋体"/>
          <w:sz w:val="24"/>
        </w:rPr>
        <w:t>______</w:t>
      </w:r>
      <w:r>
        <w:rPr>
          <w:rFonts w:ascii="宋体" w:hAnsi="宋体"/>
          <w:bCs/>
          <w:sz w:val="24"/>
        </w:rPr>
        <w:t>及</w:t>
      </w:r>
      <w:r>
        <w:rPr>
          <w:rFonts w:ascii="宋体" w:hAnsi="宋体"/>
          <w:sz w:val="24"/>
        </w:rPr>
        <w:t>______</w:t>
      </w:r>
      <w:r>
        <w:rPr>
          <w:rFonts w:ascii="宋体" w:hAnsi="宋体"/>
          <w:bCs/>
          <w:sz w:val="24"/>
        </w:rPr>
        <w:t>就“</w:t>
      </w:r>
      <w:r>
        <w:rPr>
          <w:rFonts w:ascii="宋体" w:hAnsi="宋体"/>
          <w:sz w:val="24"/>
        </w:rPr>
        <w:t>______</w:t>
      </w:r>
      <w:r>
        <w:rPr>
          <w:rFonts w:ascii="宋体" w:hAnsi="宋体"/>
          <w:bCs/>
          <w:sz w:val="24"/>
        </w:rPr>
        <w:t>（项目名称）</w:t>
      </w:r>
      <w:r>
        <w:rPr>
          <w:rFonts w:ascii="宋体" w:hAnsi="宋体"/>
          <w:sz w:val="24"/>
        </w:rPr>
        <w:t>” ______包</w:t>
      </w:r>
      <w:r>
        <w:rPr>
          <w:rFonts w:ascii="宋体" w:hAnsi="宋体"/>
          <w:bCs/>
          <w:sz w:val="24"/>
        </w:rPr>
        <w:t>采购项目的磋商事宜，经各方充分协商一致，达成如下协议：</w:t>
      </w:r>
    </w:p>
    <w:p w14:paraId="51862138">
      <w:pPr>
        <w:tabs>
          <w:tab w:val="left" w:pos="780"/>
        </w:tabs>
        <w:spacing w:line="360" w:lineRule="auto"/>
        <w:rPr>
          <w:rFonts w:hint="eastAsia" w:ascii="宋体" w:hAnsi="宋体"/>
          <w:bCs/>
          <w:sz w:val="24"/>
        </w:rPr>
      </w:pPr>
      <w:r>
        <w:rPr>
          <w:rFonts w:hint="eastAsia" w:ascii="宋体" w:hAnsi="宋体"/>
          <w:bCs/>
          <w:sz w:val="24"/>
        </w:rPr>
        <w:t>一、</w:t>
      </w:r>
      <w:r>
        <w:rPr>
          <w:rFonts w:ascii="宋体" w:hAnsi="宋体"/>
          <w:bCs/>
          <w:sz w:val="24"/>
        </w:rPr>
        <w:t>由</w:t>
      </w:r>
      <w:r>
        <w:rPr>
          <w:rFonts w:ascii="宋体" w:hAnsi="宋体"/>
          <w:sz w:val="24"/>
        </w:rPr>
        <w:t>____</w:t>
      </w:r>
      <w:r>
        <w:rPr>
          <w:rFonts w:ascii="宋体" w:hAnsi="宋体"/>
          <w:bCs/>
          <w:sz w:val="24"/>
        </w:rPr>
        <w:t>__</w:t>
      </w:r>
      <w:r>
        <w:rPr>
          <w:rFonts w:ascii="宋体" w:hAnsi="宋体"/>
          <w:sz w:val="24"/>
        </w:rPr>
        <w:t>__</w:t>
      </w:r>
      <w:r>
        <w:rPr>
          <w:rFonts w:ascii="宋体" w:hAnsi="宋体"/>
          <w:bCs/>
          <w:sz w:val="24"/>
        </w:rPr>
        <w:t>牵头，</w:t>
      </w:r>
      <w:r>
        <w:rPr>
          <w:rFonts w:ascii="宋体" w:hAnsi="宋体"/>
          <w:sz w:val="24"/>
        </w:rPr>
        <w:t>___</w:t>
      </w:r>
      <w:r>
        <w:rPr>
          <w:rFonts w:ascii="宋体" w:hAnsi="宋体"/>
          <w:bCs/>
          <w:sz w:val="24"/>
        </w:rPr>
        <w:t>__</w:t>
      </w:r>
      <w:r>
        <w:rPr>
          <w:rFonts w:ascii="宋体" w:hAnsi="宋体"/>
          <w:sz w:val="24"/>
        </w:rPr>
        <w:t>___</w:t>
      </w:r>
      <w:r>
        <w:rPr>
          <w:rFonts w:ascii="宋体" w:hAnsi="宋体"/>
          <w:bCs/>
          <w:sz w:val="24"/>
        </w:rPr>
        <w:t>、</w:t>
      </w:r>
      <w:r>
        <w:rPr>
          <w:rFonts w:ascii="宋体" w:hAnsi="宋体"/>
          <w:sz w:val="24"/>
        </w:rPr>
        <w:t>___</w:t>
      </w:r>
      <w:r>
        <w:rPr>
          <w:rFonts w:ascii="宋体" w:hAnsi="宋体"/>
          <w:bCs/>
          <w:sz w:val="24"/>
        </w:rPr>
        <w:t>__</w:t>
      </w:r>
      <w:r>
        <w:rPr>
          <w:rFonts w:ascii="宋体" w:hAnsi="宋体"/>
          <w:sz w:val="24"/>
        </w:rPr>
        <w:t>___</w:t>
      </w:r>
      <w:r>
        <w:rPr>
          <w:rFonts w:ascii="宋体" w:hAnsi="宋体"/>
          <w:bCs/>
          <w:sz w:val="24"/>
        </w:rPr>
        <w:t>参加，组成联合体共同进行采购项目的磋商工作。</w:t>
      </w:r>
    </w:p>
    <w:p w14:paraId="21B52F92">
      <w:pPr>
        <w:tabs>
          <w:tab w:val="left" w:pos="780"/>
        </w:tabs>
        <w:spacing w:line="360" w:lineRule="auto"/>
        <w:rPr>
          <w:rFonts w:hint="eastAsia" w:ascii="宋体" w:hAnsi="宋体"/>
          <w:bCs/>
          <w:sz w:val="24"/>
        </w:rPr>
      </w:pPr>
      <w:r>
        <w:rPr>
          <w:rFonts w:hint="eastAsia" w:ascii="宋体" w:hAnsi="宋体"/>
          <w:sz w:val="24"/>
        </w:rPr>
        <w:t>二、</w:t>
      </w:r>
      <w:r>
        <w:rPr>
          <w:rFonts w:ascii="宋体" w:hAnsi="宋体"/>
          <w:sz w:val="24"/>
        </w:rPr>
        <w:t>______</w:t>
      </w:r>
      <w:r>
        <w:rPr>
          <w:rFonts w:ascii="宋体" w:hAnsi="宋体"/>
          <w:bCs/>
          <w:sz w:val="24"/>
        </w:rPr>
        <w:t>为本次磋商的牵头人，联合体以牵头人的名义参加磋商，联合体成交后，联合体各方共同与采购人签订合同，就</w:t>
      </w:r>
      <w:r>
        <w:rPr>
          <w:rFonts w:ascii="宋体" w:hAnsi="宋体"/>
          <w:sz w:val="24"/>
          <w:szCs w:val="20"/>
        </w:rPr>
        <w:t>采购合同约定的事项</w:t>
      </w:r>
      <w:r>
        <w:rPr>
          <w:rFonts w:ascii="宋体" w:hAnsi="宋体"/>
          <w:bCs/>
          <w:sz w:val="24"/>
        </w:rPr>
        <w:t>对采购人承担连带责任。</w:t>
      </w:r>
    </w:p>
    <w:p w14:paraId="3EEEBFCB">
      <w:pPr>
        <w:tabs>
          <w:tab w:val="left" w:pos="780"/>
        </w:tabs>
        <w:spacing w:line="360" w:lineRule="auto"/>
        <w:rPr>
          <w:rFonts w:hint="eastAsia" w:ascii="宋体" w:hAnsi="宋体"/>
          <w:bCs/>
          <w:sz w:val="24"/>
        </w:rPr>
      </w:pPr>
      <w:r>
        <w:rPr>
          <w:rFonts w:hint="eastAsia" w:ascii="宋体" w:hAnsi="宋体"/>
          <w:bCs/>
          <w:sz w:val="24"/>
        </w:rPr>
        <w:t>三、</w:t>
      </w:r>
      <w:r>
        <w:rPr>
          <w:rFonts w:ascii="宋体" w:hAnsi="宋体"/>
          <w:bCs/>
          <w:sz w:val="24"/>
        </w:rPr>
        <w:t>联合体各方均同意由牵头人代表其他联合体成员单位按竞争性磋商文件要求出具《授权委托书》。</w:t>
      </w:r>
    </w:p>
    <w:p w14:paraId="68409AB9">
      <w:pPr>
        <w:pStyle w:val="74"/>
        <w:numPr>
          <w:ilvl w:val="0"/>
          <w:numId w:val="14"/>
        </w:numPr>
        <w:tabs>
          <w:tab w:val="left" w:pos="780"/>
        </w:tabs>
        <w:spacing w:line="360" w:lineRule="auto"/>
        <w:ind w:firstLineChars="0"/>
        <w:rPr>
          <w:rFonts w:hint="eastAsia" w:ascii="宋体" w:hAnsi="宋体"/>
          <w:bCs/>
          <w:sz w:val="24"/>
        </w:rPr>
      </w:pPr>
      <w:r>
        <w:rPr>
          <w:rFonts w:ascii="宋体" w:hAnsi="宋体"/>
          <w:bCs/>
          <w:sz w:val="24"/>
        </w:rPr>
        <w:t>牵头人为项目的总负责单位；组织各参加方进行项目实施工作。</w:t>
      </w:r>
    </w:p>
    <w:p w14:paraId="117C8C18">
      <w:pPr>
        <w:pStyle w:val="74"/>
        <w:numPr>
          <w:ilvl w:val="0"/>
          <w:numId w:val="14"/>
        </w:numPr>
        <w:tabs>
          <w:tab w:val="left" w:pos="780"/>
        </w:tabs>
        <w:spacing w:line="360" w:lineRule="auto"/>
        <w:ind w:firstLineChars="0"/>
        <w:rPr>
          <w:rFonts w:hint="eastAsia" w:ascii="宋体" w:hAnsi="宋体"/>
          <w:bCs/>
          <w:sz w:val="24"/>
        </w:rPr>
      </w:pPr>
      <w:r>
        <w:rPr>
          <w:rFonts w:ascii="宋体" w:hAnsi="宋体"/>
          <w:sz w:val="24"/>
        </w:rPr>
        <w:t>______</w:t>
      </w:r>
      <w:r>
        <w:rPr>
          <w:rFonts w:ascii="宋体" w:hAnsi="宋体"/>
          <w:bCs/>
          <w:sz w:val="24"/>
        </w:rPr>
        <w:t>负责</w:t>
      </w:r>
      <w:r>
        <w:rPr>
          <w:rFonts w:ascii="宋体" w:hAnsi="宋体"/>
          <w:sz w:val="24"/>
        </w:rPr>
        <w:t>______</w:t>
      </w:r>
      <w:r>
        <w:rPr>
          <w:rFonts w:ascii="宋体" w:hAnsi="宋体"/>
          <w:bCs/>
          <w:sz w:val="24"/>
        </w:rPr>
        <w:t>，具体工作范围、内容以响应文件及合同为准。</w:t>
      </w:r>
    </w:p>
    <w:p w14:paraId="721722DF">
      <w:pPr>
        <w:tabs>
          <w:tab w:val="left" w:pos="780"/>
        </w:tabs>
        <w:spacing w:line="360" w:lineRule="auto"/>
        <w:rPr>
          <w:rFonts w:hint="eastAsia" w:ascii="宋体" w:hAnsi="宋体"/>
          <w:bCs/>
          <w:sz w:val="24"/>
        </w:rPr>
      </w:pPr>
      <w:r>
        <w:rPr>
          <w:rFonts w:hint="eastAsia" w:ascii="宋体" w:hAnsi="宋体"/>
          <w:sz w:val="24"/>
        </w:rPr>
        <w:t>六、</w:t>
      </w:r>
      <w:r>
        <w:rPr>
          <w:rFonts w:ascii="宋体" w:hAnsi="宋体"/>
          <w:sz w:val="24"/>
        </w:rPr>
        <w:t>______</w:t>
      </w:r>
      <w:r>
        <w:rPr>
          <w:rFonts w:ascii="宋体" w:hAnsi="宋体"/>
          <w:bCs/>
          <w:sz w:val="24"/>
        </w:rPr>
        <w:t>负责</w:t>
      </w:r>
      <w:r>
        <w:rPr>
          <w:rFonts w:ascii="宋体" w:hAnsi="宋体"/>
          <w:sz w:val="24"/>
        </w:rPr>
        <w:t>______</w:t>
      </w:r>
      <w:r>
        <w:rPr>
          <w:rFonts w:ascii="宋体" w:hAnsi="宋体"/>
          <w:bCs/>
          <w:sz w:val="24"/>
        </w:rPr>
        <w:t>，具体工作范围、内容以响应文件及合同为准。</w:t>
      </w:r>
    </w:p>
    <w:p w14:paraId="7CA1C104">
      <w:pPr>
        <w:tabs>
          <w:tab w:val="left" w:pos="780"/>
        </w:tabs>
        <w:spacing w:line="360" w:lineRule="auto"/>
        <w:rPr>
          <w:rFonts w:hint="eastAsia" w:ascii="宋体" w:hAnsi="宋体"/>
          <w:bCs/>
          <w:sz w:val="24"/>
        </w:rPr>
      </w:pPr>
      <w:r>
        <w:rPr>
          <w:rFonts w:hint="eastAsia" w:ascii="宋体" w:hAnsi="宋体"/>
          <w:sz w:val="24"/>
        </w:rPr>
        <w:t>七、</w:t>
      </w:r>
      <w:r>
        <w:rPr>
          <w:rFonts w:ascii="宋体" w:hAnsi="宋体"/>
          <w:sz w:val="24"/>
        </w:rPr>
        <w:t>______</w:t>
      </w:r>
      <w:r>
        <w:rPr>
          <w:rFonts w:ascii="宋体" w:hAnsi="宋体"/>
          <w:bCs/>
          <w:sz w:val="24"/>
        </w:rPr>
        <w:t>负责</w:t>
      </w:r>
      <w:r>
        <w:rPr>
          <w:rFonts w:ascii="宋体" w:hAnsi="宋体"/>
          <w:sz w:val="24"/>
        </w:rPr>
        <w:t>______</w:t>
      </w:r>
      <w:r>
        <w:rPr>
          <w:rFonts w:ascii="宋体" w:hAnsi="宋体"/>
          <w:bCs/>
          <w:sz w:val="24"/>
        </w:rPr>
        <w:t>（如有），具体工作范围、内容以响应文件及合同为准。</w:t>
      </w:r>
    </w:p>
    <w:p w14:paraId="6476A7F8">
      <w:pPr>
        <w:tabs>
          <w:tab w:val="left" w:pos="780"/>
        </w:tabs>
        <w:spacing w:line="360" w:lineRule="auto"/>
        <w:rPr>
          <w:rFonts w:hint="eastAsia" w:ascii="宋体" w:hAnsi="宋体"/>
          <w:sz w:val="24"/>
        </w:rPr>
      </w:pPr>
      <w:r>
        <w:rPr>
          <w:rFonts w:hint="eastAsia" w:ascii="宋体" w:hAnsi="宋体"/>
          <w:sz w:val="24"/>
        </w:rPr>
        <w:t>八、</w:t>
      </w:r>
      <w:r>
        <w:rPr>
          <w:rFonts w:ascii="宋体" w:hAnsi="宋体"/>
          <w:sz w:val="24"/>
        </w:rPr>
        <w:t>本项目联合协议合同总额为______元，联合体各成员按照如下比例分摊（按联合体成员分别列明）：</w:t>
      </w:r>
    </w:p>
    <w:p w14:paraId="3716B620">
      <w:pPr>
        <w:tabs>
          <w:tab w:val="left" w:pos="720"/>
          <w:tab w:val="left" w:pos="900"/>
        </w:tabs>
        <w:spacing w:line="360" w:lineRule="auto"/>
        <w:ind w:left="851"/>
        <w:rPr>
          <w:rFonts w:hint="eastAsia" w:ascii="宋体" w:hAnsi="宋体"/>
          <w:sz w:val="24"/>
          <w:szCs w:val="20"/>
        </w:rPr>
      </w:pPr>
      <w:r>
        <w:rPr>
          <w:rFonts w:ascii="宋体" w:hAnsi="宋体"/>
          <w:sz w:val="24"/>
          <w:szCs w:val="20"/>
        </w:rPr>
        <w:t>（1）</w:t>
      </w:r>
      <w:r>
        <w:rPr>
          <w:rFonts w:ascii="宋体" w:hAnsi="宋体"/>
          <w:sz w:val="24"/>
        </w:rPr>
        <w:t>______</w:t>
      </w:r>
      <w:r>
        <w:rPr>
          <w:rFonts w:ascii="宋体" w:hAnsi="宋体"/>
          <w:sz w:val="24"/>
          <w:szCs w:val="20"/>
        </w:rPr>
        <w:t>为□大型企业□中型企业、□小微企业（包含监狱企业、残疾人福利性单位）、□其他，合同金额为</w:t>
      </w:r>
      <w:r>
        <w:rPr>
          <w:rFonts w:ascii="宋体" w:hAnsi="宋体"/>
          <w:sz w:val="24"/>
        </w:rPr>
        <w:t>______</w:t>
      </w:r>
      <w:r>
        <w:rPr>
          <w:rFonts w:ascii="宋体" w:hAnsi="宋体"/>
          <w:sz w:val="24"/>
          <w:szCs w:val="20"/>
        </w:rPr>
        <w:t>元；</w:t>
      </w:r>
    </w:p>
    <w:p w14:paraId="7D55CC14">
      <w:pPr>
        <w:tabs>
          <w:tab w:val="left" w:pos="720"/>
          <w:tab w:val="left" w:pos="900"/>
        </w:tabs>
        <w:spacing w:line="360" w:lineRule="auto"/>
        <w:ind w:left="851"/>
        <w:rPr>
          <w:rFonts w:hint="eastAsia" w:ascii="宋体" w:hAnsi="宋体"/>
          <w:sz w:val="24"/>
          <w:szCs w:val="20"/>
        </w:rPr>
      </w:pPr>
      <w:r>
        <w:rPr>
          <w:rFonts w:ascii="宋体" w:hAnsi="宋体"/>
          <w:sz w:val="24"/>
          <w:szCs w:val="20"/>
        </w:rPr>
        <w:t>（2）</w:t>
      </w:r>
      <w:r>
        <w:rPr>
          <w:rFonts w:ascii="宋体" w:hAnsi="宋体"/>
          <w:sz w:val="24"/>
        </w:rPr>
        <w:t>______</w:t>
      </w:r>
      <w:r>
        <w:rPr>
          <w:rFonts w:ascii="宋体" w:hAnsi="宋体"/>
          <w:sz w:val="24"/>
          <w:szCs w:val="20"/>
        </w:rPr>
        <w:t>为□大型企业□中型企业、□小微企业（包含监狱企业、残疾人福利性单位）、□其他，合同金额为</w:t>
      </w:r>
      <w:r>
        <w:rPr>
          <w:rFonts w:ascii="宋体" w:hAnsi="宋体"/>
          <w:sz w:val="24"/>
        </w:rPr>
        <w:t>______</w:t>
      </w:r>
      <w:r>
        <w:rPr>
          <w:rFonts w:ascii="宋体" w:hAnsi="宋体"/>
          <w:sz w:val="24"/>
          <w:szCs w:val="20"/>
        </w:rPr>
        <w:t>元；</w:t>
      </w:r>
    </w:p>
    <w:p w14:paraId="5F830F07">
      <w:pPr>
        <w:tabs>
          <w:tab w:val="left" w:pos="720"/>
          <w:tab w:val="left" w:pos="900"/>
        </w:tabs>
        <w:spacing w:line="360" w:lineRule="auto"/>
        <w:ind w:left="851"/>
        <w:rPr>
          <w:rFonts w:hint="eastAsia" w:ascii="宋体" w:hAnsi="宋体"/>
          <w:sz w:val="24"/>
          <w:szCs w:val="20"/>
        </w:rPr>
      </w:pPr>
      <w:r>
        <w:rPr>
          <w:rFonts w:ascii="宋体" w:hAnsi="宋体"/>
          <w:sz w:val="24"/>
          <w:szCs w:val="20"/>
        </w:rPr>
        <w:t>（…）</w:t>
      </w:r>
      <w:r>
        <w:rPr>
          <w:rFonts w:ascii="宋体" w:hAnsi="宋体"/>
          <w:sz w:val="24"/>
        </w:rPr>
        <w:t>______</w:t>
      </w:r>
      <w:r>
        <w:rPr>
          <w:rFonts w:ascii="宋体" w:hAnsi="宋体"/>
          <w:sz w:val="24"/>
          <w:szCs w:val="20"/>
        </w:rPr>
        <w:t>为□大型企业□中型企业、□小微企业（包含监狱企业、残疾人福利性单位）、□其他，合同金额为</w:t>
      </w:r>
      <w:r>
        <w:rPr>
          <w:rFonts w:ascii="宋体" w:hAnsi="宋体"/>
          <w:sz w:val="24"/>
        </w:rPr>
        <w:t>______</w:t>
      </w:r>
      <w:r>
        <w:rPr>
          <w:rFonts w:ascii="宋体" w:hAnsi="宋体"/>
          <w:sz w:val="24"/>
          <w:szCs w:val="20"/>
        </w:rPr>
        <w:t>元。</w:t>
      </w:r>
    </w:p>
    <w:p w14:paraId="41E471CF">
      <w:pPr>
        <w:numPr>
          <w:ilvl w:val="0"/>
          <w:numId w:val="14"/>
        </w:numPr>
        <w:tabs>
          <w:tab w:val="left" w:pos="780"/>
          <w:tab w:val="left" w:pos="993"/>
        </w:tabs>
        <w:spacing w:line="360" w:lineRule="auto"/>
        <w:ind w:firstLine="480"/>
        <w:rPr>
          <w:rFonts w:hint="eastAsia" w:ascii="宋体" w:hAnsi="宋体"/>
          <w:bCs/>
          <w:sz w:val="24"/>
        </w:rPr>
      </w:pPr>
      <w:r>
        <w:rPr>
          <w:rFonts w:ascii="宋体" w:hAnsi="宋体"/>
          <w:sz w:val="24"/>
          <w:szCs w:val="20"/>
        </w:rPr>
        <w:t>以联合体形式参加政府采购活动的，联合体各方不得再单独参加或者与其他供应商另外组成联合体参加同一合同项下的政府采购活动。</w:t>
      </w:r>
    </w:p>
    <w:p w14:paraId="73EEEC1C">
      <w:pPr>
        <w:numPr>
          <w:ilvl w:val="0"/>
          <w:numId w:val="14"/>
        </w:numPr>
        <w:tabs>
          <w:tab w:val="left" w:pos="780"/>
        </w:tabs>
        <w:spacing w:line="360" w:lineRule="auto"/>
        <w:ind w:firstLine="480"/>
        <w:rPr>
          <w:rFonts w:hint="eastAsia" w:ascii="宋体" w:hAnsi="宋体"/>
          <w:bCs/>
          <w:sz w:val="24"/>
        </w:rPr>
      </w:pPr>
      <w:r>
        <w:rPr>
          <w:rFonts w:ascii="宋体" w:hAnsi="宋体"/>
          <w:bCs/>
          <w:sz w:val="24"/>
        </w:rPr>
        <w:t>其他约定（如有）：</w:t>
      </w:r>
      <w:r>
        <w:rPr>
          <w:rFonts w:ascii="宋体" w:hAnsi="宋体"/>
          <w:sz w:val="24"/>
        </w:rPr>
        <w:t>______</w:t>
      </w:r>
      <w:r>
        <w:rPr>
          <w:rFonts w:hint="eastAsia" w:ascii="宋体" w:hAnsi="宋体"/>
          <w:sz w:val="24"/>
        </w:rPr>
        <w:t>。</w:t>
      </w:r>
    </w:p>
    <w:p w14:paraId="2FE4ED2D">
      <w:pPr>
        <w:tabs>
          <w:tab w:val="left" w:pos="780"/>
        </w:tabs>
        <w:spacing w:line="360" w:lineRule="auto"/>
        <w:ind w:left="180" w:firstLine="480" w:firstLineChars="200"/>
        <w:rPr>
          <w:rFonts w:hint="eastAsia" w:ascii="宋体" w:hAnsi="宋体"/>
          <w:b/>
          <w:sz w:val="24"/>
        </w:rPr>
      </w:pPr>
      <w:r>
        <w:rPr>
          <w:rFonts w:ascii="宋体" w:hAnsi="宋体"/>
          <w:bCs/>
          <w:sz w:val="24"/>
        </w:rPr>
        <w:t>本协议自各方盖章后生效，采购合同履行完毕后自动失效。如未成交，本协议自动终止。</w:t>
      </w:r>
    </w:p>
    <w:p w14:paraId="7C6BACB0">
      <w:pPr>
        <w:spacing w:line="360" w:lineRule="auto"/>
        <w:ind w:firstLine="480"/>
        <w:rPr>
          <w:rFonts w:hint="eastAsia" w:ascii="宋体" w:hAnsi="宋体"/>
          <w:sz w:val="24"/>
        </w:rPr>
      </w:pPr>
      <w:r>
        <w:rPr>
          <w:rFonts w:hint="eastAsia" w:ascii="宋体" w:hAnsi="宋体"/>
          <w:sz w:val="24"/>
        </w:rPr>
        <w:t>联合体</w:t>
      </w:r>
      <w:r>
        <w:rPr>
          <w:rFonts w:ascii="宋体" w:hAnsi="宋体"/>
          <w:sz w:val="24"/>
        </w:rPr>
        <w:t>牵头人</w:t>
      </w:r>
      <w:r>
        <w:rPr>
          <w:rFonts w:hint="eastAsia" w:ascii="宋体" w:hAnsi="宋体"/>
          <w:sz w:val="24"/>
        </w:rPr>
        <w:t>名称：</w:t>
      </w:r>
      <w:r>
        <w:rPr>
          <w:rFonts w:ascii="宋体" w:hAnsi="宋体"/>
          <w:sz w:val="24"/>
          <w:szCs w:val="20"/>
        </w:rPr>
        <w:t>______</w:t>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 xml:space="preserve"> </w:t>
      </w:r>
      <w:r>
        <w:rPr>
          <w:rFonts w:hint="eastAsia" w:ascii="宋体" w:hAnsi="宋体"/>
          <w:sz w:val="24"/>
        </w:rPr>
        <w:t>联合体成员名称</w:t>
      </w:r>
      <w:r>
        <w:rPr>
          <w:rFonts w:ascii="宋体" w:hAnsi="宋体"/>
          <w:sz w:val="24"/>
        </w:rPr>
        <w:t>：</w:t>
      </w:r>
      <w:r>
        <w:rPr>
          <w:rFonts w:ascii="宋体" w:hAnsi="宋体"/>
          <w:sz w:val="24"/>
          <w:szCs w:val="20"/>
        </w:rPr>
        <w:t>______</w:t>
      </w:r>
    </w:p>
    <w:p w14:paraId="49CCD7DE">
      <w:pPr>
        <w:spacing w:line="360" w:lineRule="auto"/>
        <w:ind w:firstLine="480"/>
        <w:rPr>
          <w:rFonts w:hint="eastAsia" w:ascii="宋体" w:hAnsi="宋体"/>
          <w:sz w:val="24"/>
        </w:rPr>
      </w:pPr>
      <w:r>
        <w:rPr>
          <w:rFonts w:ascii="宋体" w:hAnsi="宋体"/>
          <w:sz w:val="24"/>
        </w:rPr>
        <w:t>盖章：</w:t>
      </w:r>
      <w:r>
        <w:rPr>
          <w:rFonts w:ascii="宋体" w:hAnsi="宋体"/>
          <w:sz w:val="24"/>
          <w:szCs w:val="20"/>
        </w:rPr>
        <w:t>______</w:t>
      </w:r>
      <w:r>
        <w:rPr>
          <w:rFonts w:ascii="宋体" w:hAnsi="宋体"/>
          <w:sz w:val="24"/>
        </w:rPr>
        <w:t xml:space="preserve">                           盖章：</w:t>
      </w:r>
      <w:r>
        <w:rPr>
          <w:rFonts w:ascii="宋体" w:hAnsi="宋体"/>
          <w:sz w:val="24"/>
          <w:szCs w:val="20"/>
        </w:rPr>
        <w:t>______</w:t>
      </w:r>
    </w:p>
    <w:p w14:paraId="52824A45">
      <w:pPr>
        <w:spacing w:line="360" w:lineRule="auto"/>
        <w:ind w:firstLine="480"/>
        <w:rPr>
          <w:rFonts w:hint="eastAsia" w:ascii="宋体" w:hAnsi="宋体"/>
          <w:sz w:val="24"/>
        </w:rPr>
      </w:pPr>
    </w:p>
    <w:p w14:paraId="6B68251C">
      <w:pPr>
        <w:spacing w:line="360" w:lineRule="auto"/>
        <w:ind w:firstLine="480"/>
        <w:rPr>
          <w:rFonts w:hint="eastAsia" w:ascii="宋体" w:hAnsi="宋体"/>
          <w:sz w:val="24"/>
        </w:rPr>
      </w:pPr>
    </w:p>
    <w:p w14:paraId="1564A088">
      <w:pPr>
        <w:spacing w:line="360" w:lineRule="auto"/>
        <w:ind w:firstLine="480"/>
        <w:rPr>
          <w:rFonts w:hint="eastAsia" w:ascii="宋体" w:hAnsi="宋体"/>
          <w:sz w:val="24"/>
        </w:rPr>
      </w:pPr>
      <w:r>
        <w:rPr>
          <w:rFonts w:hint="eastAsia" w:ascii="宋体" w:hAnsi="宋体"/>
          <w:sz w:val="24"/>
        </w:rPr>
        <w:t>联合体成员名称</w:t>
      </w:r>
      <w:r>
        <w:rPr>
          <w:rFonts w:ascii="宋体" w:hAnsi="宋体"/>
          <w:sz w:val="24"/>
        </w:rPr>
        <w:t>：</w:t>
      </w:r>
      <w:r>
        <w:rPr>
          <w:rFonts w:ascii="宋体" w:hAnsi="宋体"/>
          <w:sz w:val="24"/>
          <w:szCs w:val="20"/>
        </w:rPr>
        <w:t>______</w:t>
      </w:r>
    </w:p>
    <w:p w14:paraId="506F3089">
      <w:pPr>
        <w:widowControl/>
        <w:ind w:firstLine="480" w:firstLineChars="200"/>
        <w:jc w:val="left"/>
        <w:rPr>
          <w:rFonts w:hint="eastAsia" w:ascii="宋体" w:hAnsi="宋体"/>
          <w:sz w:val="24"/>
        </w:rPr>
      </w:pPr>
      <w:r>
        <w:rPr>
          <w:rFonts w:ascii="宋体" w:hAnsi="宋体"/>
          <w:sz w:val="24"/>
        </w:rPr>
        <w:t>盖章：</w:t>
      </w:r>
      <w:r>
        <w:rPr>
          <w:rFonts w:ascii="宋体" w:hAnsi="宋体"/>
          <w:sz w:val="24"/>
          <w:szCs w:val="20"/>
        </w:rPr>
        <w:t>______</w:t>
      </w:r>
      <w:r>
        <w:rPr>
          <w:rFonts w:ascii="宋体" w:hAnsi="宋体"/>
          <w:sz w:val="24"/>
        </w:rPr>
        <w:t xml:space="preserve">         </w:t>
      </w:r>
    </w:p>
    <w:p w14:paraId="54A5DB46">
      <w:pPr>
        <w:spacing w:line="360" w:lineRule="auto"/>
        <w:ind w:left="480"/>
        <w:jc w:val="right"/>
        <w:rPr>
          <w:rFonts w:hint="eastAsia" w:ascii="宋体" w:hAnsi="宋体"/>
          <w:sz w:val="24"/>
        </w:rPr>
      </w:pPr>
    </w:p>
    <w:p w14:paraId="79D9EEA8">
      <w:pPr>
        <w:spacing w:line="360" w:lineRule="auto"/>
        <w:ind w:left="480"/>
        <w:jc w:val="right"/>
        <w:rPr>
          <w:rFonts w:hint="eastAsia" w:ascii="宋体" w:hAnsi="宋体"/>
          <w:sz w:val="24"/>
        </w:rPr>
      </w:pPr>
      <w:r>
        <w:rPr>
          <w:rFonts w:ascii="宋体" w:hAnsi="宋体"/>
          <w:sz w:val="24"/>
          <w:szCs w:val="20"/>
        </w:rPr>
        <w:t>日期：</w:t>
      </w:r>
      <w:r>
        <w:rPr>
          <w:rFonts w:ascii="宋体" w:hAnsi="宋体"/>
          <w:sz w:val="24"/>
        </w:rPr>
        <w:t>______</w:t>
      </w:r>
      <w:r>
        <w:rPr>
          <w:rFonts w:ascii="宋体" w:hAnsi="宋体"/>
          <w:sz w:val="24"/>
          <w:szCs w:val="20"/>
        </w:rPr>
        <w:t>年</w:t>
      </w:r>
      <w:r>
        <w:rPr>
          <w:rFonts w:ascii="宋体" w:hAnsi="宋体"/>
          <w:sz w:val="24"/>
        </w:rPr>
        <w:t>______</w:t>
      </w:r>
      <w:r>
        <w:rPr>
          <w:rFonts w:ascii="宋体" w:hAnsi="宋体"/>
          <w:sz w:val="24"/>
          <w:szCs w:val="20"/>
        </w:rPr>
        <w:t>月</w:t>
      </w:r>
      <w:r>
        <w:rPr>
          <w:rFonts w:ascii="宋体" w:hAnsi="宋体"/>
          <w:sz w:val="24"/>
        </w:rPr>
        <w:t>______</w:t>
      </w:r>
      <w:r>
        <w:rPr>
          <w:rFonts w:ascii="宋体" w:hAnsi="宋体"/>
          <w:sz w:val="24"/>
          <w:szCs w:val="20"/>
        </w:rPr>
        <w:t>日</w:t>
      </w:r>
    </w:p>
    <w:p w14:paraId="38A5A841">
      <w:pPr>
        <w:spacing w:line="360" w:lineRule="auto"/>
        <w:ind w:left="480" w:firstLine="482"/>
        <w:jc w:val="right"/>
        <w:rPr>
          <w:rFonts w:hint="eastAsia" w:ascii="宋体" w:hAnsi="宋体"/>
          <w:b/>
          <w:sz w:val="24"/>
        </w:rPr>
      </w:pPr>
    </w:p>
    <w:p w14:paraId="46349DF4">
      <w:pPr>
        <w:tabs>
          <w:tab w:val="left" w:pos="8280"/>
        </w:tabs>
        <w:spacing w:line="360" w:lineRule="auto"/>
        <w:ind w:firstLine="480"/>
        <w:rPr>
          <w:rFonts w:hint="eastAsia" w:ascii="宋体" w:hAnsi="宋体"/>
          <w:sz w:val="24"/>
        </w:rPr>
      </w:pPr>
    </w:p>
    <w:p w14:paraId="6B9C7966">
      <w:pPr>
        <w:tabs>
          <w:tab w:val="left" w:pos="8280"/>
        </w:tabs>
        <w:spacing w:line="360" w:lineRule="auto"/>
        <w:ind w:firstLine="480"/>
        <w:rPr>
          <w:rFonts w:hint="eastAsia" w:ascii="宋体" w:hAnsi="宋体"/>
          <w:sz w:val="24"/>
        </w:rPr>
      </w:pPr>
    </w:p>
    <w:p w14:paraId="6CEA1D23">
      <w:pPr>
        <w:spacing w:line="360" w:lineRule="auto"/>
        <w:ind w:left="719" w:leftChars="228" w:hanging="240" w:hangingChars="100"/>
        <w:rPr>
          <w:rFonts w:hint="eastAsia" w:ascii="宋体" w:hAnsi="宋体"/>
          <w:sz w:val="24"/>
        </w:rPr>
      </w:pPr>
      <w:r>
        <w:rPr>
          <w:rFonts w:ascii="宋体" w:hAnsi="宋体"/>
          <w:sz w:val="24"/>
        </w:rPr>
        <w:t>注：联合体各方成员应在本协议上共同盖章，不得分别签署协议书。</w:t>
      </w:r>
    </w:p>
    <w:p w14:paraId="6C6CB4E2">
      <w:pPr>
        <w:widowControl/>
        <w:jc w:val="left"/>
        <w:rPr>
          <w:rFonts w:hint="eastAsia" w:ascii="宋体" w:hAnsi="宋体"/>
          <w:sz w:val="24"/>
        </w:rPr>
      </w:pPr>
      <w:r>
        <w:rPr>
          <w:rFonts w:ascii="宋体" w:hAnsi="宋体"/>
          <w:sz w:val="24"/>
        </w:rPr>
        <w:br w:type="page"/>
      </w:r>
    </w:p>
    <w:p w14:paraId="216434F8">
      <w:pPr>
        <w:spacing w:line="360" w:lineRule="auto"/>
        <w:outlineLvl w:val="2"/>
        <w:rPr>
          <w:rFonts w:hint="eastAsia" w:ascii="宋体" w:hAnsi="宋体"/>
          <w:sz w:val="24"/>
          <w:szCs w:val="20"/>
        </w:rPr>
      </w:pPr>
      <w:r>
        <w:rPr>
          <w:rFonts w:ascii="宋体" w:hAnsi="宋体"/>
          <w:sz w:val="24"/>
          <w:szCs w:val="20"/>
        </w:rPr>
        <w:t>3-2其他特定资格要求</w:t>
      </w:r>
    </w:p>
    <w:p w14:paraId="1C50D31B">
      <w:pPr>
        <w:tabs>
          <w:tab w:val="left" w:pos="5580"/>
        </w:tabs>
        <w:spacing w:line="360" w:lineRule="auto"/>
        <w:rPr>
          <w:rFonts w:hint="eastAsia" w:ascii="宋体" w:hAnsi="宋体"/>
          <w:sz w:val="24"/>
        </w:rPr>
      </w:pPr>
    </w:p>
    <w:p w14:paraId="63BF7172">
      <w:pPr>
        <w:widowControl/>
        <w:jc w:val="left"/>
        <w:rPr>
          <w:rFonts w:hint="eastAsia" w:ascii="宋体" w:hAnsi="宋体"/>
          <w:sz w:val="24"/>
          <w:szCs w:val="20"/>
        </w:rPr>
      </w:pPr>
      <w:r>
        <w:rPr>
          <w:rFonts w:ascii="宋体" w:hAnsi="宋体"/>
          <w:sz w:val="24"/>
          <w:szCs w:val="20"/>
        </w:rPr>
        <w:br w:type="page"/>
      </w:r>
    </w:p>
    <w:p w14:paraId="42701CEC">
      <w:pPr>
        <w:tabs>
          <w:tab w:val="left" w:pos="360"/>
        </w:tabs>
        <w:snapToGrid w:val="0"/>
        <w:spacing w:line="360" w:lineRule="auto"/>
        <w:outlineLvl w:val="1"/>
        <w:rPr>
          <w:rFonts w:hint="eastAsia" w:ascii="宋体" w:hAnsi="宋体"/>
          <w:sz w:val="24"/>
        </w:rPr>
      </w:pPr>
      <w:r>
        <w:rPr>
          <w:rFonts w:ascii="宋体" w:hAnsi="宋体"/>
          <w:sz w:val="24"/>
        </w:rPr>
        <w:t>4 磋商保证金凭证/交款单据电子件</w:t>
      </w:r>
    </w:p>
    <w:p w14:paraId="621262E6">
      <w:pPr>
        <w:widowControl/>
        <w:ind w:firstLine="482"/>
        <w:jc w:val="left"/>
        <w:rPr>
          <w:rFonts w:hint="eastAsia" w:ascii="宋体" w:hAnsi="宋体"/>
          <w:kern w:val="0"/>
          <w:sz w:val="24"/>
          <w:szCs w:val="20"/>
        </w:rPr>
      </w:pPr>
      <w:r>
        <w:rPr>
          <w:rFonts w:ascii="宋体" w:hAnsi="宋体"/>
          <w:b/>
          <w:sz w:val="24"/>
        </w:rPr>
        <w:br w:type="page"/>
      </w:r>
    </w:p>
    <w:p w14:paraId="7668F13C">
      <w:pPr>
        <w:widowControl/>
        <w:ind w:firstLine="482"/>
        <w:jc w:val="left"/>
        <w:rPr>
          <w:rFonts w:hint="eastAsia" w:ascii="宋体" w:hAnsi="宋体"/>
          <w:b/>
          <w:sz w:val="24"/>
        </w:rPr>
      </w:pPr>
    </w:p>
    <w:p w14:paraId="32FB8947">
      <w:pPr>
        <w:tabs>
          <w:tab w:val="left" w:pos="360"/>
        </w:tabs>
        <w:snapToGrid w:val="0"/>
        <w:spacing w:line="360" w:lineRule="auto"/>
        <w:outlineLvl w:val="1"/>
        <w:rPr>
          <w:rFonts w:hint="eastAsia" w:ascii="宋体" w:hAnsi="宋体"/>
          <w:sz w:val="24"/>
        </w:rPr>
      </w:pPr>
      <w:bookmarkStart w:id="1675" w:name="_Hlt520274065"/>
      <w:bookmarkEnd w:id="1675"/>
      <w:bookmarkStart w:id="1676" w:name="_Hlt520274407"/>
      <w:bookmarkEnd w:id="1676"/>
      <w:bookmarkStart w:id="1677" w:name="_Hlt520274121"/>
      <w:bookmarkEnd w:id="1677"/>
      <w:bookmarkStart w:id="1678" w:name="_Hlt520343000"/>
      <w:bookmarkEnd w:id="1678"/>
      <w:bookmarkStart w:id="1679" w:name="_Hlt520271212"/>
      <w:bookmarkEnd w:id="1679"/>
      <w:bookmarkStart w:id="1680" w:name="_Hlt520274393"/>
      <w:bookmarkEnd w:id="1680"/>
      <w:bookmarkStart w:id="1681" w:name="_Hlt520350918"/>
      <w:bookmarkEnd w:id="1681"/>
      <w:bookmarkStart w:id="1682" w:name="_Hlt520343392"/>
      <w:bookmarkEnd w:id="1682"/>
      <w:bookmarkStart w:id="1683" w:name="_Hlt520273711"/>
      <w:bookmarkEnd w:id="1683"/>
      <w:bookmarkStart w:id="1684" w:name="_Hlt520355504"/>
      <w:bookmarkEnd w:id="1684"/>
      <w:bookmarkStart w:id="1685" w:name="_Ref467988698"/>
      <w:bookmarkStart w:id="1686" w:name="_Toc480942349"/>
      <w:bookmarkStart w:id="1687" w:name="_Toc226965829"/>
      <w:bookmarkStart w:id="1688" w:name="_Toc150480794"/>
      <w:bookmarkStart w:id="1689" w:name="_Toc127151556"/>
      <w:bookmarkStart w:id="1690" w:name="_Toc226309800"/>
      <w:bookmarkStart w:id="1691" w:name="_Toc226965746"/>
      <w:bookmarkStart w:id="1692" w:name="_Toc226337252"/>
      <w:bookmarkStart w:id="1693" w:name="_Toc142311058"/>
      <w:bookmarkStart w:id="1694" w:name="_Toc195842921"/>
      <w:bookmarkStart w:id="1695" w:name="_Toc150774761"/>
      <w:bookmarkStart w:id="1696" w:name="_Toc520356217"/>
      <w:r>
        <w:rPr>
          <w:rFonts w:ascii="宋体" w:hAnsi="宋体"/>
          <w:sz w:val="24"/>
        </w:rPr>
        <w:t xml:space="preserve">5  </w:t>
      </w:r>
      <w:bookmarkEnd w:id="1685"/>
      <w:bookmarkEnd w:id="1686"/>
      <w:r>
        <w:rPr>
          <w:rFonts w:ascii="宋体" w:hAnsi="宋体"/>
          <w:sz w:val="24"/>
        </w:rPr>
        <w:t>响应书</w:t>
      </w:r>
      <w:bookmarkEnd w:id="1687"/>
      <w:bookmarkEnd w:id="1688"/>
      <w:bookmarkEnd w:id="1689"/>
      <w:bookmarkEnd w:id="1690"/>
      <w:bookmarkEnd w:id="1691"/>
      <w:bookmarkEnd w:id="1692"/>
      <w:bookmarkEnd w:id="1693"/>
      <w:bookmarkEnd w:id="1694"/>
      <w:bookmarkEnd w:id="1695"/>
      <w:bookmarkEnd w:id="1696"/>
      <w:r>
        <w:rPr>
          <w:rFonts w:hint="eastAsia" w:ascii="宋体" w:hAnsi="宋体"/>
          <w:sz w:val="24"/>
        </w:rPr>
        <w:t>（实质性格式）</w:t>
      </w:r>
    </w:p>
    <w:p w14:paraId="76CE33A5">
      <w:pPr>
        <w:tabs>
          <w:tab w:val="left" w:pos="5580"/>
        </w:tabs>
        <w:spacing w:line="360" w:lineRule="auto"/>
        <w:rPr>
          <w:rFonts w:hint="eastAsia" w:ascii="宋体" w:hAnsi="宋体"/>
          <w:sz w:val="24"/>
        </w:rPr>
      </w:pPr>
    </w:p>
    <w:p w14:paraId="5FA02C63">
      <w:pPr>
        <w:spacing w:line="360" w:lineRule="auto"/>
        <w:ind w:firstLine="723"/>
        <w:jc w:val="center"/>
        <w:rPr>
          <w:rFonts w:hint="eastAsia" w:ascii="宋体" w:hAnsi="宋体"/>
          <w:b/>
          <w:sz w:val="36"/>
          <w:szCs w:val="36"/>
        </w:rPr>
      </w:pPr>
      <w:r>
        <w:rPr>
          <w:rFonts w:hint="eastAsia" w:ascii="宋体" w:hAnsi="宋体"/>
          <w:b/>
          <w:sz w:val="36"/>
          <w:szCs w:val="36"/>
        </w:rPr>
        <w:t>响应书</w:t>
      </w:r>
    </w:p>
    <w:p w14:paraId="1ED3BE17">
      <w:pPr>
        <w:tabs>
          <w:tab w:val="left" w:pos="5580"/>
        </w:tabs>
        <w:spacing w:line="360" w:lineRule="auto"/>
        <w:rPr>
          <w:rFonts w:hint="eastAsia" w:ascii="宋体" w:hAnsi="宋体"/>
          <w:sz w:val="24"/>
        </w:rPr>
      </w:pPr>
      <w:r>
        <w:rPr>
          <w:rFonts w:ascii="宋体" w:hAnsi="宋体"/>
          <w:sz w:val="24"/>
        </w:rPr>
        <w:t>致：</w:t>
      </w:r>
      <w:r>
        <w:rPr>
          <w:rFonts w:ascii="宋体" w:hAnsi="宋体"/>
          <w:sz w:val="24"/>
          <w:u w:val="single"/>
        </w:rPr>
        <w:t>（采购人或采购代理机构）</w:t>
      </w:r>
    </w:p>
    <w:p w14:paraId="3C302FF4">
      <w:pPr>
        <w:tabs>
          <w:tab w:val="left" w:pos="5580"/>
        </w:tabs>
        <w:spacing w:line="360" w:lineRule="auto"/>
        <w:rPr>
          <w:rFonts w:hint="eastAsia" w:ascii="宋体" w:hAnsi="宋体"/>
          <w:sz w:val="24"/>
          <w:szCs w:val="20"/>
        </w:rPr>
      </w:pPr>
    </w:p>
    <w:p w14:paraId="1FAC74F1">
      <w:pPr>
        <w:tabs>
          <w:tab w:val="left" w:pos="5580"/>
        </w:tabs>
        <w:spacing w:line="360" w:lineRule="auto"/>
        <w:ind w:firstLine="480"/>
        <w:rPr>
          <w:rFonts w:hint="eastAsia" w:ascii="宋体" w:hAnsi="宋体"/>
          <w:sz w:val="24"/>
          <w:szCs w:val="20"/>
        </w:rPr>
      </w:pPr>
      <w:r>
        <w:rPr>
          <w:rFonts w:ascii="宋体" w:hAnsi="宋体"/>
          <w:sz w:val="24"/>
          <w:szCs w:val="20"/>
        </w:rPr>
        <w:t>我方参加你方就</w:t>
      </w:r>
      <w:r>
        <w:rPr>
          <w:rFonts w:ascii="宋体" w:hAnsi="宋体"/>
          <w:sz w:val="24"/>
        </w:rPr>
        <w:t>______</w:t>
      </w:r>
      <w:r>
        <w:rPr>
          <w:rFonts w:ascii="宋体" w:hAnsi="宋体"/>
          <w:sz w:val="24"/>
          <w:szCs w:val="20"/>
        </w:rPr>
        <w:t>（项目名称，项目编号/包号）组织的采购活动，并对此项目进行磋商。</w:t>
      </w:r>
    </w:p>
    <w:p w14:paraId="360EF819">
      <w:pPr>
        <w:tabs>
          <w:tab w:val="left" w:pos="5580"/>
        </w:tabs>
        <w:spacing w:line="360" w:lineRule="auto"/>
        <w:ind w:firstLine="480"/>
        <w:rPr>
          <w:rFonts w:hint="eastAsia" w:ascii="宋体" w:hAnsi="宋体"/>
          <w:sz w:val="24"/>
          <w:szCs w:val="20"/>
        </w:rPr>
      </w:pPr>
      <w:r>
        <w:rPr>
          <w:rFonts w:ascii="宋体" w:hAnsi="宋体"/>
          <w:sz w:val="24"/>
          <w:szCs w:val="20"/>
        </w:rPr>
        <w:t>1. 我方</w:t>
      </w:r>
      <w:r>
        <w:rPr>
          <w:rFonts w:ascii="宋体" w:hAnsi="宋体"/>
          <w:sz w:val="24"/>
        </w:rPr>
        <w:t>已详细审查全部竞争性磋商文件</w:t>
      </w:r>
      <w:r>
        <w:rPr>
          <w:rFonts w:ascii="宋体" w:hAnsi="宋体"/>
          <w:sz w:val="24"/>
          <w:szCs w:val="20"/>
        </w:rPr>
        <w:t>，自愿参与磋商并承诺如下：</w:t>
      </w:r>
    </w:p>
    <w:p w14:paraId="7750B9E9">
      <w:pPr>
        <w:tabs>
          <w:tab w:val="left" w:pos="720"/>
          <w:tab w:val="left" w:pos="900"/>
        </w:tabs>
        <w:spacing w:line="360" w:lineRule="auto"/>
        <w:ind w:left="360" w:firstLine="72" w:firstLineChars="30"/>
        <w:rPr>
          <w:rFonts w:hint="eastAsia" w:ascii="宋体" w:hAnsi="宋体"/>
          <w:sz w:val="24"/>
          <w:szCs w:val="20"/>
        </w:rPr>
      </w:pPr>
      <w:r>
        <w:rPr>
          <w:rFonts w:ascii="宋体" w:hAnsi="宋体"/>
          <w:sz w:val="24"/>
          <w:szCs w:val="20"/>
        </w:rPr>
        <w:t>（1）本响应有效期为自提交响应文件的截止之日起</w:t>
      </w:r>
      <w:r>
        <w:rPr>
          <w:rFonts w:ascii="宋体" w:hAnsi="宋体"/>
          <w:sz w:val="24"/>
        </w:rPr>
        <w:t>______</w:t>
      </w:r>
      <w:r>
        <w:rPr>
          <w:rFonts w:ascii="宋体" w:hAnsi="宋体"/>
          <w:sz w:val="24"/>
          <w:szCs w:val="20"/>
        </w:rPr>
        <w:t>个日历日。</w:t>
      </w:r>
    </w:p>
    <w:p w14:paraId="6EF90FE2">
      <w:pPr>
        <w:tabs>
          <w:tab w:val="left" w:pos="720"/>
          <w:tab w:val="left" w:pos="900"/>
        </w:tabs>
        <w:spacing w:line="360" w:lineRule="auto"/>
        <w:ind w:left="360" w:firstLine="72" w:firstLineChars="30"/>
        <w:rPr>
          <w:rFonts w:hint="eastAsia" w:ascii="宋体" w:hAnsi="宋体"/>
          <w:sz w:val="24"/>
          <w:szCs w:val="20"/>
        </w:rPr>
      </w:pPr>
      <w:r>
        <w:rPr>
          <w:rFonts w:ascii="宋体" w:hAnsi="宋体"/>
          <w:sz w:val="24"/>
          <w:szCs w:val="20"/>
        </w:rPr>
        <w:t>（2）除合同条款及采购需求偏离表列出的偏离外，我方响应竞争性磋商文件的全部要求。</w:t>
      </w:r>
    </w:p>
    <w:p w14:paraId="63E35533">
      <w:pPr>
        <w:tabs>
          <w:tab w:val="left" w:pos="5580"/>
        </w:tabs>
        <w:spacing w:line="360" w:lineRule="auto"/>
        <w:ind w:firstLine="420" w:firstLineChars="175"/>
        <w:rPr>
          <w:rFonts w:hint="eastAsia" w:ascii="宋体" w:hAnsi="宋体"/>
          <w:sz w:val="24"/>
          <w:szCs w:val="20"/>
        </w:rPr>
      </w:pPr>
      <w:r>
        <w:rPr>
          <w:rFonts w:ascii="宋体" w:hAnsi="宋体"/>
          <w:sz w:val="24"/>
          <w:szCs w:val="20"/>
        </w:rPr>
        <w:t>（3）我方已提供的全部文件资料是真实、准确的，并对此承担一切法律后果。</w:t>
      </w:r>
    </w:p>
    <w:p w14:paraId="2348685C">
      <w:pPr>
        <w:tabs>
          <w:tab w:val="left" w:pos="5580"/>
        </w:tabs>
        <w:spacing w:line="360" w:lineRule="auto"/>
        <w:ind w:firstLine="420" w:firstLineChars="175"/>
        <w:rPr>
          <w:rFonts w:hint="eastAsia" w:ascii="宋体" w:hAnsi="宋体"/>
          <w:sz w:val="24"/>
        </w:rPr>
      </w:pPr>
      <w:r>
        <w:rPr>
          <w:rFonts w:ascii="宋体" w:hAnsi="宋体"/>
          <w:sz w:val="24"/>
          <w:szCs w:val="20"/>
        </w:rPr>
        <w:t>（4）如我方成交，我方将在法律规定的期限内与你方签订合同，按照竞争性磋商文件要求提交履约保证金，并在合同约定的期限内完成合同规定的全部义务。</w:t>
      </w:r>
    </w:p>
    <w:p w14:paraId="2BD85B4D">
      <w:pPr>
        <w:spacing w:line="360" w:lineRule="auto"/>
        <w:ind w:left="420"/>
        <w:rPr>
          <w:rFonts w:hint="eastAsia" w:ascii="宋体" w:hAnsi="宋体"/>
          <w:sz w:val="24"/>
        </w:rPr>
      </w:pPr>
      <w:r>
        <w:rPr>
          <w:rFonts w:ascii="宋体" w:hAnsi="宋体"/>
          <w:sz w:val="24"/>
        </w:rPr>
        <w:t>2. 其他补充条款（如有）：______。</w:t>
      </w:r>
    </w:p>
    <w:p w14:paraId="2633768F">
      <w:pPr>
        <w:spacing w:line="360" w:lineRule="auto"/>
        <w:ind w:firstLine="480" w:firstLineChars="200"/>
        <w:rPr>
          <w:rFonts w:hint="eastAsia" w:ascii="宋体" w:hAnsi="宋体"/>
          <w:sz w:val="24"/>
        </w:rPr>
      </w:pPr>
      <w:r>
        <w:rPr>
          <w:rFonts w:ascii="宋体" w:hAnsi="宋体"/>
          <w:sz w:val="24"/>
        </w:rPr>
        <w:t>与本磋商有关的一切正式往来信函请寄：</w:t>
      </w:r>
    </w:p>
    <w:p w14:paraId="1F5820C5">
      <w:pPr>
        <w:tabs>
          <w:tab w:val="left" w:pos="5580"/>
        </w:tabs>
        <w:spacing w:line="360" w:lineRule="auto"/>
        <w:ind w:left="420"/>
        <w:rPr>
          <w:rFonts w:hint="eastAsia" w:ascii="宋体" w:hAnsi="宋体"/>
          <w:sz w:val="24"/>
          <w:szCs w:val="20"/>
        </w:rPr>
      </w:pPr>
    </w:p>
    <w:p w14:paraId="12EDF0B9">
      <w:pPr>
        <w:tabs>
          <w:tab w:val="left" w:pos="5580"/>
        </w:tabs>
        <w:spacing w:line="360" w:lineRule="auto"/>
        <w:ind w:left="420"/>
        <w:rPr>
          <w:rFonts w:hint="eastAsia" w:ascii="宋体" w:hAnsi="宋体"/>
          <w:sz w:val="24"/>
          <w:szCs w:val="20"/>
        </w:rPr>
      </w:pPr>
      <w:r>
        <w:rPr>
          <w:rFonts w:ascii="宋体" w:hAnsi="宋体"/>
          <w:sz w:val="24"/>
          <w:szCs w:val="20"/>
        </w:rPr>
        <w:t>地址</w:t>
      </w:r>
      <w:r>
        <w:rPr>
          <w:rFonts w:ascii="宋体" w:hAnsi="宋体"/>
          <w:bCs/>
          <w:sz w:val="24"/>
        </w:rPr>
        <w:t>_________________________</w:t>
      </w:r>
      <w:r>
        <w:rPr>
          <w:rFonts w:ascii="宋体" w:hAnsi="宋体"/>
          <w:sz w:val="24"/>
          <w:szCs w:val="20"/>
        </w:rPr>
        <w:t xml:space="preserve">    传   真</w:t>
      </w:r>
      <w:r>
        <w:rPr>
          <w:rFonts w:ascii="宋体" w:hAnsi="宋体"/>
          <w:bCs/>
          <w:sz w:val="24"/>
        </w:rPr>
        <w:t>_________________________</w:t>
      </w:r>
    </w:p>
    <w:p w14:paraId="4D38A3CD">
      <w:pPr>
        <w:tabs>
          <w:tab w:val="left" w:pos="5580"/>
        </w:tabs>
        <w:spacing w:line="360" w:lineRule="auto"/>
        <w:ind w:left="420"/>
        <w:rPr>
          <w:rFonts w:hint="eastAsia" w:ascii="宋体" w:hAnsi="宋体"/>
          <w:sz w:val="24"/>
          <w:szCs w:val="20"/>
        </w:rPr>
      </w:pPr>
      <w:r>
        <w:rPr>
          <w:rFonts w:ascii="宋体" w:hAnsi="宋体"/>
          <w:sz w:val="24"/>
          <w:szCs w:val="20"/>
        </w:rPr>
        <w:t>电话</w:t>
      </w:r>
      <w:r>
        <w:rPr>
          <w:rFonts w:ascii="宋体" w:hAnsi="宋体"/>
          <w:bCs/>
          <w:sz w:val="24"/>
        </w:rPr>
        <w:t>_________________________</w:t>
      </w:r>
      <w:r>
        <w:rPr>
          <w:rFonts w:ascii="宋体" w:hAnsi="宋体"/>
          <w:sz w:val="24"/>
          <w:szCs w:val="20"/>
        </w:rPr>
        <w:t xml:space="preserve">   电子函件</w:t>
      </w:r>
      <w:r>
        <w:rPr>
          <w:rFonts w:ascii="宋体" w:hAnsi="宋体"/>
          <w:bCs/>
          <w:sz w:val="24"/>
        </w:rPr>
        <w:t>_________________________</w:t>
      </w:r>
    </w:p>
    <w:p w14:paraId="10F0CAF7">
      <w:pPr>
        <w:tabs>
          <w:tab w:val="left" w:pos="5580"/>
        </w:tabs>
        <w:spacing w:line="360" w:lineRule="auto"/>
        <w:ind w:left="420"/>
        <w:rPr>
          <w:rFonts w:hint="eastAsia" w:ascii="宋体" w:hAnsi="宋体"/>
          <w:sz w:val="24"/>
          <w:szCs w:val="20"/>
        </w:rPr>
      </w:pPr>
    </w:p>
    <w:p w14:paraId="00A710E5">
      <w:pPr>
        <w:tabs>
          <w:tab w:val="left" w:pos="5580"/>
        </w:tabs>
        <w:spacing w:line="360" w:lineRule="auto"/>
        <w:ind w:left="420"/>
        <w:rPr>
          <w:rFonts w:hint="eastAsia" w:ascii="宋体" w:hAnsi="宋体"/>
          <w:sz w:val="24"/>
          <w:szCs w:val="20"/>
        </w:rPr>
      </w:pPr>
    </w:p>
    <w:p w14:paraId="243FC648">
      <w:pPr>
        <w:tabs>
          <w:tab w:val="left" w:pos="5580"/>
        </w:tabs>
        <w:spacing w:line="360" w:lineRule="auto"/>
        <w:ind w:left="420"/>
        <w:rPr>
          <w:rFonts w:hint="eastAsia" w:ascii="宋体" w:hAnsi="宋体"/>
          <w:sz w:val="24"/>
          <w:szCs w:val="20"/>
        </w:rPr>
      </w:pPr>
    </w:p>
    <w:p w14:paraId="3DA68EA0">
      <w:pPr>
        <w:autoSpaceDE w:val="0"/>
        <w:autoSpaceDN w:val="0"/>
        <w:adjustRightInd w:val="0"/>
        <w:snapToGrid w:val="0"/>
        <w:spacing w:before="25" w:after="25" w:line="360" w:lineRule="auto"/>
        <w:ind w:right="63" w:firstLine="360" w:firstLineChars="150"/>
        <w:rPr>
          <w:rFonts w:hint="eastAsia" w:ascii="宋体" w:hAnsi="宋体"/>
          <w:sz w:val="24"/>
          <w:lang w:val="zh-CN"/>
        </w:rPr>
      </w:pPr>
      <w:r>
        <w:rPr>
          <w:rFonts w:hint="eastAsia" w:ascii="宋体" w:hAnsi="宋体"/>
          <w:sz w:val="24"/>
        </w:rPr>
        <w:t>供应商</w:t>
      </w:r>
      <w:r>
        <w:rPr>
          <w:rFonts w:ascii="宋体" w:hAnsi="宋体"/>
          <w:sz w:val="24"/>
        </w:rPr>
        <w:t>名称（加盖公章）</w:t>
      </w:r>
      <w:r>
        <w:rPr>
          <w:rFonts w:ascii="宋体" w:hAnsi="宋体"/>
          <w:sz w:val="24"/>
          <w:lang w:val="zh-CN"/>
        </w:rPr>
        <w:t>：</w:t>
      </w:r>
      <w:r>
        <w:rPr>
          <w:rFonts w:ascii="宋体" w:hAnsi="宋体"/>
          <w:sz w:val="24"/>
        </w:rPr>
        <w:t>______</w:t>
      </w:r>
    </w:p>
    <w:p w14:paraId="39BA66A1">
      <w:pPr>
        <w:tabs>
          <w:tab w:val="left" w:pos="5580"/>
        </w:tabs>
        <w:spacing w:line="360" w:lineRule="auto"/>
        <w:ind w:firstLine="360" w:firstLineChars="150"/>
        <w:rPr>
          <w:rFonts w:hint="eastAsia" w:ascii="宋体" w:hAnsi="宋体"/>
          <w:sz w:val="24"/>
          <w:szCs w:val="20"/>
        </w:rPr>
      </w:pPr>
      <w:r>
        <w:rPr>
          <w:rFonts w:ascii="宋体" w:hAnsi="宋体"/>
          <w:sz w:val="24"/>
          <w:szCs w:val="20"/>
        </w:rPr>
        <w:t xml:space="preserve">日期：____年____月____日  </w:t>
      </w:r>
      <w:bookmarkStart w:id="1697" w:name="_Hlt520355938"/>
      <w:bookmarkEnd w:id="1697"/>
      <w:bookmarkStart w:id="1698" w:name="_Hlt520356243"/>
      <w:bookmarkEnd w:id="1698"/>
      <w:bookmarkStart w:id="1699" w:name="_Toc195842922"/>
      <w:bookmarkStart w:id="1700" w:name="_Toc226337253"/>
      <w:bookmarkStart w:id="1701" w:name="_Toc150480795"/>
      <w:bookmarkStart w:id="1702" w:name="_Toc480942350"/>
      <w:bookmarkStart w:id="1703" w:name="_Toc305158899"/>
      <w:bookmarkStart w:id="1704" w:name="_Toc305158825"/>
      <w:bookmarkStart w:id="1705" w:name="_Toc142311059"/>
      <w:bookmarkStart w:id="1706" w:name="_Toc520356218"/>
      <w:bookmarkStart w:id="1707" w:name="_Toc150774762"/>
      <w:bookmarkStart w:id="1708" w:name="_Toc226309801"/>
      <w:bookmarkStart w:id="1709" w:name="_Toc265228395"/>
      <w:bookmarkStart w:id="1710" w:name="_Toc127151557"/>
      <w:bookmarkStart w:id="1711" w:name="_Toc226965830"/>
      <w:bookmarkStart w:id="1712" w:name="_Toc264969247"/>
      <w:bookmarkStart w:id="1713" w:name="_Ref467988705"/>
      <w:bookmarkStart w:id="1714" w:name="_Toc226965747"/>
    </w:p>
    <w:p w14:paraId="3F001032">
      <w:pPr>
        <w:tabs>
          <w:tab w:val="left" w:pos="5580"/>
        </w:tabs>
        <w:spacing w:line="360" w:lineRule="auto"/>
        <w:ind w:firstLine="360" w:firstLineChars="150"/>
        <w:rPr>
          <w:rFonts w:hint="eastAsia" w:ascii="宋体" w:hAnsi="宋体"/>
          <w:sz w:val="24"/>
          <w:szCs w:val="20"/>
        </w:rPr>
      </w:pPr>
    </w:p>
    <w:p w14:paraId="007A229D">
      <w:pPr>
        <w:tabs>
          <w:tab w:val="left" w:pos="5580"/>
        </w:tabs>
        <w:spacing w:line="360" w:lineRule="auto"/>
        <w:ind w:firstLine="360" w:firstLineChars="150"/>
        <w:rPr>
          <w:rFonts w:hint="eastAsia" w:ascii="宋体" w:hAnsi="宋体"/>
          <w:sz w:val="24"/>
          <w:szCs w:val="20"/>
        </w:rPr>
      </w:pPr>
    </w:p>
    <w:p w14:paraId="688E8958">
      <w:pPr>
        <w:tabs>
          <w:tab w:val="left" w:pos="5580"/>
        </w:tabs>
        <w:spacing w:line="360" w:lineRule="auto"/>
        <w:ind w:firstLine="360" w:firstLineChars="150"/>
        <w:rPr>
          <w:rFonts w:hint="eastAsia" w:ascii="宋体" w:hAnsi="宋体"/>
          <w:sz w:val="24"/>
          <w:szCs w:val="20"/>
        </w:rPr>
      </w:pPr>
    </w:p>
    <w:p w14:paraId="3F37EA88">
      <w:pPr>
        <w:tabs>
          <w:tab w:val="left" w:pos="5580"/>
        </w:tabs>
        <w:spacing w:line="360" w:lineRule="auto"/>
        <w:ind w:firstLine="360" w:firstLineChars="150"/>
        <w:rPr>
          <w:rFonts w:hint="eastAsia" w:ascii="宋体" w:hAnsi="宋体"/>
          <w:sz w:val="24"/>
          <w:szCs w:val="20"/>
        </w:rPr>
      </w:pPr>
    </w:p>
    <w:p w14:paraId="5F2D487C">
      <w:pPr>
        <w:tabs>
          <w:tab w:val="left" w:pos="360"/>
        </w:tabs>
        <w:snapToGrid w:val="0"/>
        <w:spacing w:line="360" w:lineRule="auto"/>
        <w:outlineLvl w:val="1"/>
        <w:rPr>
          <w:rFonts w:hint="eastAsia" w:ascii="宋体" w:hAnsi="宋体"/>
          <w:sz w:val="24"/>
        </w:rPr>
      </w:pPr>
      <w:r>
        <w:rPr>
          <w:rFonts w:ascii="宋体" w:hAnsi="宋体"/>
          <w:sz w:val="24"/>
        </w:rPr>
        <w:t>6  授权委托书</w:t>
      </w:r>
    </w:p>
    <w:p w14:paraId="67429828">
      <w:pPr>
        <w:autoSpaceDE w:val="0"/>
        <w:autoSpaceDN w:val="0"/>
        <w:adjustRightInd w:val="0"/>
        <w:spacing w:line="360" w:lineRule="auto"/>
        <w:ind w:firstLine="723"/>
        <w:jc w:val="center"/>
        <w:rPr>
          <w:rFonts w:hint="eastAsia" w:ascii="宋体" w:hAnsi="宋体"/>
          <w:b/>
          <w:sz w:val="36"/>
          <w:szCs w:val="36"/>
        </w:rPr>
      </w:pPr>
      <w:r>
        <w:rPr>
          <w:rFonts w:hint="eastAsia" w:ascii="宋体" w:hAnsi="宋体"/>
          <w:b/>
          <w:sz w:val="36"/>
          <w:szCs w:val="36"/>
        </w:rPr>
        <w:t>授权委托书</w:t>
      </w:r>
    </w:p>
    <w:p w14:paraId="00D431F1">
      <w:pPr>
        <w:spacing w:line="360" w:lineRule="auto"/>
        <w:ind w:firstLine="480"/>
        <w:rPr>
          <w:rFonts w:hint="eastAsia" w:ascii="宋体" w:hAnsi="宋体"/>
          <w:sz w:val="24"/>
          <w:szCs w:val="20"/>
        </w:rPr>
      </w:pPr>
      <w:r>
        <w:rPr>
          <w:rFonts w:ascii="宋体" w:hAnsi="宋体"/>
          <w:sz w:val="24"/>
          <w:szCs w:val="20"/>
        </w:rPr>
        <w:t>本人____（姓名）系____（</w:t>
      </w:r>
      <w:r>
        <w:rPr>
          <w:rFonts w:hint="eastAsia" w:ascii="宋体" w:hAnsi="宋体"/>
          <w:sz w:val="24"/>
          <w:szCs w:val="20"/>
        </w:rPr>
        <w:t>供应商</w:t>
      </w:r>
      <w:r>
        <w:rPr>
          <w:rFonts w:ascii="宋体" w:hAnsi="宋体"/>
          <w:sz w:val="24"/>
          <w:szCs w:val="20"/>
        </w:rPr>
        <w:t>名称）的法定代表人（单位负责人），现委托_____ （姓名）为我方代理人。代理人根据授权，以我方名义签署、澄清确认、递交、撤回、修改____（项目名称）响应文件和处理有关事宜，其法律后果由我方承担。</w:t>
      </w:r>
    </w:p>
    <w:p w14:paraId="678CA43E">
      <w:pPr>
        <w:spacing w:line="360" w:lineRule="auto"/>
        <w:ind w:firstLine="480"/>
        <w:rPr>
          <w:rFonts w:hint="eastAsia" w:ascii="宋体" w:hAnsi="宋体"/>
          <w:sz w:val="24"/>
          <w:szCs w:val="20"/>
        </w:rPr>
      </w:pPr>
      <w:r>
        <w:rPr>
          <w:rFonts w:ascii="宋体" w:hAnsi="宋体"/>
          <w:sz w:val="24"/>
          <w:szCs w:val="20"/>
        </w:rPr>
        <w:t>委托期限：自本授权委托书签署之日起至响应有效期届满之日止。</w:t>
      </w:r>
    </w:p>
    <w:p w14:paraId="1985D97C">
      <w:pPr>
        <w:spacing w:line="360" w:lineRule="auto"/>
        <w:ind w:firstLine="480"/>
        <w:rPr>
          <w:rFonts w:hint="eastAsia" w:ascii="宋体" w:hAnsi="宋体"/>
          <w:sz w:val="24"/>
          <w:szCs w:val="20"/>
        </w:rPr>
      </w:pPr>
      <w:r>
        <w:rPr>
          <w:rFonts w:ascii="宋体" w:hAnsi="宋体"/>
          <w:sz w:val="24"/>
          <w:szCs w:val="20"/>
        </w:rPr>
        <w:t>代理人无转委托权。</w:t>
      </w:r>
      <w:r>
        <w:rPr>
          <w:rFonts w:ascii="宋体" w:hAnsi="宋体"/>
          <w:sz w:val="24"/>
          <w:szCs w:val="20"/>
        </w:rPr>
        <w:cr/>
      </w:r>
    </w:p>
    <w:p w14:paraId="3EF52BC2">
      <w:pPr>
        <w:spacing w:line="360" w:lineRule="auto"/>
        <w:rPr>
          <w:rFonts w:hint="eastAsia"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szCs w:val="20"/>
        </w:rPr>
        <w:t>______________</w:t>
      </w:r>
    </w:p>
    <w:p w14:paraId="5E9C96C7">
      <w:pPr>
        <w:spacing w:line="360" w:lineRule="auto"/>
        <w:rPr>
          <w:rFonts w:hint="eastAsia" w:ascii="宋体" w:hAnsi="宋体"/>
          <w:sz w:val="24"/>
          <w:szCs w:val="20"/>
        </w:rPr>
      </w:pPr>
      <w:r>
        <w:rPr>
          <w:rFonts w:ascii="宋体" w:hAnsi="宋体"/>
          <w:sz w:val="24"/>
          <w:szCs w:val="20"/>
        </w:rPr>
        <w:t>法定代表人（单位负责人）（签字</w:t>
      </w:r>
      <w:r>
        <w:rPr>
          <w:rFonts w:hint="eastAsia" w:ascii="宋体" w:hAnsi="宋体"/>
          <w:sz w:val="24"/>
          <w:szCs w:val="20"/>
        </w:rPr>
        <w:t>或盖章</w:t>
      </w:r>
      <w:r>
        <w:rPr>
          <w:rFonts w:ascii="宋体" w:hAnsi="宋体"/>
          <w:sz w:val="24"/>
          <w:szCs w:val="20"/>
        </w:rPr>
        <w:t>）：______________</w:t>
      </w:r>
    </w:p>
    <w:p w14:paraId="38514050">
      <w:pPr>
        <w:autoSpaceDE w:val="0"/>
        <w:autoSpaceDN w:val="0"/>
        <w:adjustRightInd w:val="0"/>
        <w:snapToGrid w:val="0"/>
        <w:spacing w:line="360" w:lineRule="auto"/>
        <w:rPr>
          <w:rFonts w:hint="eastAsia" w:ascii="宋体" w:hAnsi="宋体"/>
          <w:sz w:val="24"/>
          <w:lang w:val="zh-CN"/>
        </w:rPr>
      </w:pPr>
      <w:r>
        <w:rPr>
          <w:rFonts w:ascii="宋体" w:hAnsi="宋体"/>
          <w:sz w:val="24"/>
        </w:rPr>
        <w:t>委托代理人（</w:t>
      </w:r>
      <w:r>
        <w:rPr>
          <w:rFonts w:ascii="宋体" w:hAnsi="宋体"/>
          <w:sz w:val="24"/>
          <w:szCs w:val="20"/>
        </w:rPr>
        <w:t>签字</w:t>
      </w:r>
      <w:r>
        <w:rPr>
          <w:rFonts w:hint="eastAsia" w:ascii="宋体" w:hAnsi="宋体"/>
          <w:sz w:val="24"/>
          <w:szCs w:val="20"/>
        </w:rPr>
        <w:t>或盖章</w:t>
      </w:r>
      <w:r>
        <w:rPr>
          <w:rFonts w:ascii="宋体" w:hAnsi="宋体"/>
          <w:sz w:val="24"/>
        </w:rPr>
        <w:t>）：</w:t>
      </w:r>
      <w:r>
        <w:rPr>
          <w:rFonts w:ascii="宋体" w:hAnsi="宋体"/>
          <w:sz w:val="24"/>
          <w:szCs w:val="20"/>
        </w:rPr>
        <w:t>______________</w:t>
      </w:r>
      <w:r>
        <w:rPr>
          <w:rFonts w:ascii="宋体" w:hAnsi="宋体"/>
          <w:sz w:val="24"/>
          <w:lang w:val="zh-CN"/>
        </w:rPr>
        <w:t xml:space="preserve">        </w:t>
      </w:r>
    </w:p>
    <w:p w14:paraId="201D05BF">
      <w:pPr>
        <w:autoSpaceDE w:val="0"/>
        <w:autoSpaceDN w:val="0"/>
        <w:adjustRightInd w:val="0"/>
        <w:snapToGrid w:val="0"/>
        <w:spacing w:line="360" w:lineRule="auto"/>
        <w:rPr>
          <w:rFonts w:hint="eastAsia" w:ascii="宋体" w:hAnsi="宋体"/>
          <w:sz w:val="24"/>
          <w:lang w:val="zh-CN"/>
        </w:rPr>
      </w:pPr>
      <w:r>
        <w:rPr>
          <w:rFonts w:ascii="宋体" w:hAnsi="宋体"/>
          <w:sz w:val="24"/>
        </w:rPr>
        <w:t>日期：</w:t>
      </w:r>
      <w:r>
        <w:rPr>
          <w:rFonts w:ascii="宋体" w:hAnsi="宋体"/>
          <w:sz w:val="24"/>
          <w:szCs w:val="20"/>
        </w:rPr>
        <w:t>____</w:t>
      </w:r>
      <w:r>
        <w:rPr>
          <w:rFonts w:ascii="宋体" w:hAnsi="宋体"/>
          <w:sz w:val="24"/>
        </w:rPr>
        <w:t>年</w:t>
      </w:r>
      <w:r>
        <w:rPr>
          <w:rFonts w:ascii="宋体" w:hAnsi="宋体"/>
          <w:sz w:val="24"/>
          <w:szCs w:val="20"/>
        </w:rPr>
        <w:t>____</w:t>
      </w:r>
      <w:r>
        <w:rPr>
          <w:rFonts w:ascii="宋体" w:hAnsi="宋体"/>
          <w:sz w:val="24"/>
        </w:rPr>
        <w:t>月</w:t>
      </w:r>
      <w:r>
        <w:rPr>
          <w:rFonts w:ascii="宋体" w:hAnsi="宋体"/>
          <w:sz w:val="24"/>
          <w:szCs w:val="20"/>
        </w:rPr>
        <w:t>____</w:t>
      </w:r>
      <w:r>
        <w:rPr>
          <w:rFonts w:ascii="宋体" w:hAnsi="宋体"/>
          <w:sz w:val="24"/>
        </w:rPr>
        <w:t>日</w:t>
      </w:r>
    </w:p>
    <w:p w14:paraId="14722B35">
      <w:pPr>
        <w:tabs>
          <w:tab w:val="left" w:pos="5580"/>
        </w:tabs>
        <w:spacing w:line="360" w:lineRule="auto"/>
        <w:ind w:firstLine="480" w:firstLineChars="200"/>
        <w:rPr>
          <w:rFonts w:hint="eastAsia" w:ascii="宋体" w:hAnsi="宋体"/>
          <w:sz w:val="24"/>
          <w:szCs w:val="20"/>
        </w:rPr>
      </w:pPr>
    </w:p>
    <w:p w14:paraId="7AF05A48">
      <w:pPr>
        <w:tabs>
          <w:tab w:val="left" w:pos="5580"/>
        </w:tabs>
        <w:spacing w:line="360" w:lineRule="auto"/>
        <w:jc w:val="left"/>
        <w:rPr>
          <w:rFonts w:hint="eastAsia" w:ascii="宋体" w:hAnsi="宋体"/>
          <w:sz w:val="24"/>
          <w:szCs w:val="20"/>
        </w:rPr>
      </w:pPr>
      <w:r>
        <w:rPr>
          <w:rFonts w:ascii="宋体" w:hAnsi="宋体"/>
          <w:sz w:val="24"/>
          <w:szCs w:val="20"/>
        </w:rPr>
        <w:t>法定代表人（单位负责人）有效期内的身份证</w:t>
      </w:r>
      <w:r>
        <w:rPr>
          <w:rFonts w:ascii="宋体" w:hAnsi="宋体"/>
          <w:b/>
          <w:sz w:val="24"/>
          <w:szCs w:val="20"/>
        </w:rPr>
        <w:t>正反面</w:t>
      </w:r>
      <w:r>
        <w:rPr>
          <w:rFonts w:ascii="宋体" w:hAnsi="宋体"/>
          <w:sz w:val="24"/>
          <w:szCs w:val="20"/>
        </w:rPr>
        <w:t>电子件：</w:t>
      </w:r>
    </w:p>
    <w:tbl>
      <w:tblPr>
        <w:tblStyle w:val="57"/>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7581D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71C467AD">
            <w:pPr>
              <w:tabs>
                <w:tab w:val="left" w:pos="5580"/>
              </w:tabs>
              <w:spacing w:line="360" w:lineRule="auto"/>
              <w:jc w:val="left"/>
              <w:rPr>
                <w:rFonts w:hint="eastAsia" w:ascii="宋体" w:hAnsi="宋体"/>
                <w:sz w:val="24"/>
                <w:szCs w:val="20"/>
              </w:rPr>
            </w:pPr>
          </w:p>
          <w:p w14:paraId="16CA4ADE">
            <w:pPr>
              <w:tabs>
                <w:tab w:val="left" w:pos="5580"/>
              </w:tabs>
              <w:spacing w:line="360" w:lineRule="auto"/>
              <w:jc w:val="left"/>
              <w:rPr>
                <w:rFonts w:hint="eastAsia" w:ascii="宋体" w:hAnsi="宋体"/>
                <w:sz w:val="24"/>
                <w:szCs w:val="20"/>
              </w:rPr>
            </w:pPr>
          </w:p>
          <w:p w14:paraId="69A6D33B">
            <w:pPr>
              <w:tabs>
                <w:tab w:val="left" w:pos="5580"/>
              </w:tabs>
              <w:spacing w:line="360" w:lineRule="auto"/>
              <w:jc w:val="left"/>
              <w:rPr>
                <w:rFonts w:hint="eastAsia" w:ascii="宋体" w:hAnsi="宋体"/>
                <w:sz w:val="24"/>
                <w:szCs w:val="20"/>
              </w:rPr>
            </w:pPr>
          </w:p>
        </w:tc>
        <w:tc>
          <w:tcPr>
            <w:tcW w:w="4536" w:type="dxa"/>
          </w:tcPr>
          <w:p w14:paraId="40025B32">
            <w:pPr>
              <w:tabs>
                <w:tab w:val="left" w:pos="5580"/>
              </w:tabs>
              <w:spacing w:line="360" w:lineRule="auto"/>
              <w:jc w:val="left"/>
              <w:rPr>
                <w:rFonts w:hint="eastAsia" w:ascii="宋体" w:hAnsi="宋体"/>
                <w:sz w:val="24"/>
                <w:szCs w:val="20"/>
              </w:rPr>
            </w:pPr>
          </w:p>
          <w:p w14:paraId="3571620F">
            <w:pPr>
              <w:tabs>
                <w:tab w:val="left" w:pos="5580"/>
              </w:tabs>
              <w:spacing w:line="360" w:lineRule="auto"/>
              <w:jc w:val="left"/>
              <w:rPr>
                <w:rFonts w:hint="eastAsia" w:ascii="宋体" w:hAnsi="宋体"/>
                <w:sz w:val="24"/>
                <w:szCs w:val="20"/>
              </w:rPr>
            </w:pPr>
          </w:p>
          <w:p w14:paraId="59CBAB92">
            <w:pPr>
              <w:tabs>
                <w:tab w:val="left" w:pos="5580"/>
              </w:tabs>
              <w:spacing w:line="360" w:lineRule="auto"/>
              <w:jc w:val="left"/>
              <w:rPr>
                <w:rFonts w:hint="eastAsia" w:ascii="宋体" w:hAnsi="宋体"/>
                <w:sz w:val="24"/>
                <w:szCs w:val="20"/>
              </w:rPr>
            </w:pPr>
          </w:p>
        </w:tc>
      </w:tr>
    </w:tbl>
    <w:p w14:paraId="1203593D">
      <w:pPr>
        <w:tabs>
          <w:tab w:val="left" w:pos="5580"/>
        </w:tabs>
        <w:spacing w:line="360" w:lineRule="auto"/>
        <w:jc w:val="left"/>
        <w:rPr>
          <w:rFonts w:hint="eastAsia" w:ascii="宋体" w:hAnsi="宋体"/>
          <w:sz w:val="24"/>
          <w:szCs w:val="20"/>
        </w:rPr>
      </w:pPr>
      <w:r>
        <w:rPr>
          <w:rFonts w:ascii="宋体" w:hAnsi="宋体"/>
          <w:sz w:val="24"/>
          <w:szCs w:val="20"/>
        </w:rPr>
        <w:t>委托代理人有效期内的身份证</w:t>
      </w:r>
      <w:r>
        <w:rPr>
          <w:rFonts w:ascii="宋体" w:hAnsi="宋体"/>
          <w:b/>
          <w:sz w:val="24"/>
          <w:szCs w:val="20"/>
        </w:rPr>
        <w:t>正反面</w:t>
      </w:r>
      <w:r>
        <w:rPr>
          <w:rFonts w:ascii="宋体" w:hAnsi="宋体"/>
          <w:sz w:val="24"/>
          <w:szCs w:val="20"/>
        </w:rPr>
        <w:t>电子件：</w:t>
      </w:r>
    </w:p>
    <w:tbl>
      <w:tblPr>
        <w:tblStyle w:val="57"/>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27710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25834750">
            <w:pPr>
              <w:tabs>
                <w:tab w:val="left" w:pos="5580"/>
              </w:tabs>
              <w:spacing w:line="360" w:lineRule="auto"/>
              <w:jc w:val="left"/>
              <w:rPr>
                <w:rFonts w:hint="eastAsia" w:ascii="宋体" w:hAnsi="宋体"/>
                <w:sz w:val="24"/>
                <w:szCs w:val="20"/>
              </w:rPr>
            </w:pPr>
          </w:p>
          <w:p w14:paraId="38538CD9">
            <w:pPr>
              <w:tabs>
                <w:tab w:val="left" w:pos="5580"/>
              </w:tabs>
              <w:spacing w:line="360" w:lineRule="auto"/>
              <w:jc w:val="left"/>
              <w:rPr>
                <w:rFonts w:hint="eastAsia" w:ascii="宋体" w:hAnsi="宋体"/>
                <w:sz w:val="24"/>
                <w:szCs w:val="20"/>
              </w:rPr>
            </w:pPr>
          </w:p>
          <w:p w14:paraId="784F30ED">
            <w:pPr>
              <w:tabs>
                <w:tab w:val="left" w:pos="5580"/>
              </w:tabs>
              <w:spacing w:line="360" w:lineRule="auto"/>
              <w:jc w:val="left"/>
              <w:rPr>
                <w:rFonts w:hint="eastAsia" w:ascii="宋体" w:hAnsi="宋体"/>
                <w:sz w:val="24"/>
                <w:szCs w:val="20"/>
              </w:rPr>
            </w:pPr>
          </w:p>
        </w:tc>
        <w:tc>
          <w:tcPr>
            <w:tcW w:w="4536" w:type="dxa"/>
          </w:tcPr>
          <w:p w14:paraId="1114FAF9">
            <w:pPr>
              <w:tabs>
                <w:tab w:val="left" w:pos="5580"/>
              </w:tabs>
              <w:spacing w:line="360" w:lineRule="auto"/>
              <w:jc w:val="left"/>
              <w:rPr>
                <w:rFonts w:hint="eastAsia" w:ascii="宋体" w:hAnsi="宋体"/>
                <w:sz w:val="24"/>
                <w:szCs w:val="20"/>
              </w:rPr>
            </w:pPr>
          </w:p>
          <w:p w14:paraId="6CECD422">
            <w:pPr>
              <w:tabs>
                <w:tab w:val="left" w:pos="5580"/>
              </w:tabs>
              <w:spacing w:line="360" w:lineRule="auto"/>
              <w:jc w:val="left"/>
              <w:rPr>
                <w:rFonts w:hint="eastAsia" w:ascii="宋体" w:hAnsi="宋体"/>
                <w:sz w:val="24"/>
                <w:szCs w:val="20"/>
              </w:rPr>
            </w:pPr>
          </w:p>
          <w:p w14:paraId="54930699">
            <w:pPr>
              <w:tabs>
                <w:tab w:val="left" w:pos="5580"/>
              </w:tabs>
              <w:spacing w:line="360" w:lineRule="auto"/>
              <w:jc w:val="left"/>
              <w:rPr>
                <w:rFonts w:hint="eastAsia" w:ascii="宋体" w:hAnsi="宋体"/>
                <w:sz w:val="24"/>
                <w:szCs w:val="20"/>
              </w:rPr>
            </w:pPr>
          </w:p>
        </w:tc>
      </w:tr>
    </w:tbl>
    <w:p w14:paraId="36CB5C25">
      <w:pPr>
        <w:tabs>
          <w:tab w:val="left" w:pos="5580"/>
        </w:tabs>
        <w:spacing w:line="360" w:lineRule="auto"/>
        <w:jc w:val="left"/>
        <w:rPr>
          <w:rFonts w:hint="eastAsia" w:ascii="宋体" w:hAnsi="宋体"/>
          <w:sz w:val="24"/>
          <w:szCs w:val="20"/>
        </w:rPr>
      </w:pPr>
      <w:r>
        <w:rPr>
          <w:rFonts w:ascii="宋体" w:hAnsi="宋体"/>
          <w:sz w:val="24"/>
          <w:szCs w:val="20"/>
        </w:rPr>
        <w:t>说明：</w:t>
      </w:r>
    </w:p>
    <w:p w14:paraId="329AC2BF">
      <w:pPr>
        <w:tabs>
          <w:tab w:val="left" w:pos="5580"/>
        </w:tabs>
        <w:spacing w:line="360" w:lineRule="auto"/>
        <w:jc w:val="left"/>
        <w:rPr>
          <w:rFonts w:hint="eastAsia" w:ascii="宋体" w:hAnsi="宋体"/>
          <w:sz w:val="24"/>
          <w:szCs w:val="20"/>
        </w:rPr>
      </w:pPr>
      <w:r>
        <w:rPr>
          <w:rFonts w:ascii="宋体" w:hAnsi="宋体"/>
          <w:sz w:val="24"/>
          <w:szCs w:val="20"/>
        </w:rPr>
        <w:t>1.若供应商为事业单位或其他组织或分支机构（仅当磋商文件注明允许分支机构响应的），则法定代表人（单位负责人）处的签署人可为单位负责人。</w:t>
      </w:r>
    </w:p>
    <w:p w14:paraId="762DE1EA">
      <w:pPr>
        <w:tabs>
          <w:tab w:val="left" w:pos="5580"/>
        </w:tabs>
        <w:spacing w:line="360" w:lineRule="auto"/>
        <w:jc w:val="left"/>
        <w:rPr>
          <w:rFonts w:hint="eastAsia" w:ascii="宋体" w:hAnsi="宋体"/>
          <w:sz w:val="24"/>
          <w:szCs w:val="20"/>
        </w:rPr>
      </w:pPr>
      <w:r>
        <w:rPr>
          <w:rFonts w:ascii="宋体" w:hAnsi="宋体"/>
          <w:sz w:val="24"/>
          <w:szCs w:val="20"/>
        </w:rPr>
        <w:t>2.若响应文件中签字之处均为法定代表人（单位负责人）本人签署，则可不提供本《授权委托书》，但须提供《法定代表人（单位负责人）身份证明》（实质性格式）。</w:t>
      </w:r>
    </w:p>
    <w:p w14:paraId="5940C79D">
      <w:pPr>
        <w:tabs>
          <w:tab w:val="left" w:pos="5580"/>
        </w:tabs>
        <w:spacing w:line="360" w:lineRule="auto"/>
        <w:jc w:val="left"/>
        <w:rPr>
          <w:rFonts w:hint="eastAsia" w:ascii="宋体" w:hAnsi="宋体"/>
          <w:sz w:val="24"/>
          <w:szCs w:val="20"/>
        </w:rPr>
      </w:pPr>
      <w:r>
        <w:rPr>
          <w:rFonts w:ascii="宋体" w:hAnsi="宋体"/>
          <w:sz w:val="24"/>
          <w:szCs w:val="20"/>
        </w:rPr>
        <w:t>3.供应商为自然人的情形，可不提供本《授权委托书》。</w:t>
      </w:r>
    </w:p>
    <w:p w14:paraId="2536CABF">
      <w:pPr>
        <w:widowControl/>
        <w:ind w:firstLine="600"/>
        <w:jc w:val="left"/>
        <w:rPr>
          <w:rFonts w:hint="eastAsia" w:ascii="宋体" w:hAnsi="宋体"/>
          <w:sz w:val="30"/>
          <w:szCs w:val="30"/>
        </w:rPr>
      </w:pPr>
    </w:p>
    <w:p w14:paraId="420CCCC4">
      <w:pPr>
        <w:autoSpaceDE w:val="0"/>
        <w:autoSpaceDN w:val="0"/>
        <w:adjustRightInd w:val="0"/>
        <w:spacing w:line="360" w:lineRule="auto"/>
        <w:ind w:firstLine="723"/>
        <w:jc w:val="center"/>
        <w:rPr>
          <w:rFonts w:hint="eastAsia" w:ascii="宋体" w:hAnsi="宋体"/>
          <w:b/>
          <w:sz w:val="36"/>
          <w:szCs w:val="36"/>
        </w:rPr>
      </w:pPr>
      <w:r>
        <w:rPr>
          <w:rFonts w:hint="eastAsia" w:ascii="宋体" w:hAnsi="宋体"/>
          <w:b/>
          <w:sz w:val="36"/>
          <w:szCs w:val="36"/>
        </w:rPr>
        <w:t>附：法定代表人（单位负责人）身份证明</w:t>
      </w:r>
    </w:p>
    <w:p w14:paraId="00184AB5">
      <w:pPr>
        <w:kinsoku w:val="0"/>
        <w:overflowPunct w:val="0"/>
        <w:spacing w:line="200" w:lineRule="exact"/>
        <w:ind w:firstLine="400"/>
        <w:rPr>
          <w:rFonts w:hint="eastAsia" w:ascii="宋体" w:hAnsi="宋体"/>
          <w:sz w:val="20"/>
          <w:szCs w:val="20"/>
        </w:rPr>
      </w:pPr>
    </w:p>
    <w:p w14:paraId="3EF6AA84">
      <w:pPr>
        <w:tabs>
          <w:tab w:val="left" w:pos="5580"/>
        </w:tabs>
        <w:spacing w:line="360" w:lineRule="auto"/>
        <w:rPr>
          <w:rFonts w:hint="eastAsia" w:ascii="宋体" w:hAnsi="宋体"/>
          <w:sz w:val="24"/>
        </w:rPr>
      </w:pPr>
      <w:r>
        <w:rPr>
          <w:rFonts w:ascii="宋体" w:hAnsi="宋体"/>
          <w:sz w:val="24"/>
        </w:rPr>
        <w:t>致：</w:t>
      </w:r>
      <w:r>
        <w:rPr>
          <w:rFonts w:ascii="宋体" w:hAnsi="宋体"/>
          <w:sz w:val="24"/>
          <w:szCs w:val="20"/>
        </w:rPr>
        <w:t>____</w:t>
      </w:r>
      <w:r>
        <w:rPr>
          <w:rFonts w:ascii="宋体" w:hAnsi="宋体"/>
          <w:sz w:val="24"/>
        </w:rPr>
        <w:t>（采购人或采购代理机构）</w:t>
      </w:r>
    </w:p>
    <w:p w14:paraId="17F85C9A">
      <w:pPr>
        <w:pStyle w:val="21"/>
        <w:tabs>
          <w:tab w:val="left" w:pos="2412"/>
          <w:tab w:val="left" w:pos="3883"/>
          <w:tab w:val="left" w:pos="5352"/>
          <w:tab w:val="left" w:pos="6821"/>
        </w:tabs>
        <w:kinsoku w:val="0"/>
        <w:overflowPunct w:val="0"/>
        <w:spacing w:line="335" w:lineRule="exact"/>
        <w:ind w:firstLine="480" w:firstLineChars="200"/>
        <w:rPr>
          <w:rFonts w:hint="eastAsia"/>
        </w:rPr>
      </w:pPr>
      <w:r>
        <w:t>兹证明，</w:t>
      </w:r>
    </w:p>
    <w:p w14:paraId="2E054E79">
      <w:pPr>
        <w:pStyle w:val="21"/>
        <w:tabs>
          <w:tab w:val="left" w:pos="1690"/>
          <w:tab w:val="left" w:pos="3400"/>
          <w:tab w:val="left" w:pos="5110"/>
          <w:tab w:val="left" w:pos="6821"/>
        </w:tabs>
        <w:kinsoku w:val="0"/>
        <w:overflowPunct w:val="0"/>
        <w:spacing w:line="335" w:lineRule="exact"/>
        <w:rPr>
          <w:rFonts w:hint="eastAsia"/>
        </w:rPr>
      </w:pPr>
      <w:r>
        <w:t>姓名：</w:t>
      </w:r>
      <w:r>
        <w:rPr>
          <w:szCs w:val="20"/>
        </w:rPr>
        <w:t>____</w:t>
      </w:r>
      <w:r>
        <w:t>性别：</w:t>
      </w:r>
      <w:r>
        <w:rPr>
          <w:szCs w:val="20"/>
        </w:rPr>
        <w:t>____</w:t>
      </w:r>
      <w:r>
        <w:t>年龄：</w:t>
      </w:r>
      <w:r>
        <w:rPr>
          <w:szCs w:val="20"/>
        </w:rPr>
        <w:t>____</w:t>
      </w:r>
      <w:r>
        <w:t>职务：</w:t>
      </w:r>
      <w:r>
        <w:rPr>
          <w:szCs w:val="20"/>
        </w:rPr>
        <w:t>____</w:t>
      </w:r>
    </w:p>
    <w:p w14:paraId="1CA03939">
      <w:pPr>
        <w:pStyle w:val="21"/>
        <w:tabs>
          <w:tab w:val="left" w:pos="2412"/>
          <w:tab w:val="left" w:pos="3883"/>
          <w:tab w:val="left" w:pos="5352"/>
          <w:tab w:val="left" w:pos="6821"/>
        </w:tabs>
        <w:kinsoku w:val="0"/>
        <w:overflowPunct w:val="0"/>
        <w:spacing w:line="335" w:lineRule="exact"/>
        <w:rPr>
          <w:rFonts w:hint="eastAsia"/>
        </w:rPr>
      </w:pPr>
    </w:p>
    <w:p w14:paraId="49BFFB33">
      <w:pPr>
        <w:pStyle w:val="21"/>
        <w:tabs>
          <w:tab w:val="left" w:pos="2250"/>
          <w:tab w:val="left" w:pos="2412"/>
          <w:tab w:val="left" w:pos="3883"/>
          <w:tab w:val="left" w:pos="5352"/>
          <w:tab w:val="left" w:pos="6821"/>
          <w:tab w:val="clear" w:pos="567"/>
        </w:tabs>
        <w:kinsoku w:val="0"/>
        <w:overflowPunct w:val="0"/>
        <w:spacing w:line="335" w:lineRule="exact"/>
        <w:rPr>
          <w:rFonts w:hint="eastAsia"/>
        </w:rPr>
      </w:pPr>
      <w:r>
        <w:t>系</w:t>
      </w:r>
      <w:r>
        <w:rPr>
          <w:szCs w:val="20"/>
        </w:rPr>
        <w:t>__________</w:t>
      </w:r>
      <w:r>
        <w:t>（供应商名称）的法定代表人（单位负责人）。</w:t>
      </w:r>
    </w:p>
    <w:p w14:paraId="6514B5E8">
      <w:pPr>
        <w:pStyle w:val="21"/>
        <w:tabs>
          <w:tab w:val="left" w:pos="2412"/>
          <w:tab w:val="left" w:pos="3883"/>
          <w:tab w:val="left" w:pos="5352"/>
          <w:tab w:val="left" w:pos="6821"/>
        </w:tabs>
        <w:kinsoku w:val="0"/>
        <w:overflowPunct w:val="0"/>
        <w:spacing w:line="335" w:lineRule="exact"/>
        <w:rPr>
          <w:rFonts w:hint="eastAsia"/>
        </w:rPr>
      </w:pPr>
    </w:p>
    <w:p w14:paraId="66937213">
      <w:pPr>
        <w:pStyle w:val="21"/>
        <w:tabs>
          <w:tab w:val="left" w:pos="2412"/>
          <w:tab w:val="left" w:pos="3883"/>
          <w:tab w:val="left" w:pos="5352"/>
          <w:tab w:val="left" w:pos="6821"/>
        </w:tabs>
        <w:kinsoku w:val="0"/>
        <w:overflowPunct w:val="0"/>
        <w:spacing w:line="335" w:lineRule="exact"/>
        <w:rPr>
          <w:rFonts w:hint="eastAsia"/>
        </w:rPr>
      </w:pPr>
    </w:p>
    <w:p w14:paraId="418C3937">
      <w:pPr>
        <w:pStyle w:val="21"/>
        <w:tabs>
          <w:tab w:val="left" w:pos="2412"/>
          <w:tab w:val="left" w:pos="3883"/>
          <w:tab w:val="left" w:pos="5352"/>
          <w:tab w:val="left" w:pos="6821"/>
        </w:tabs>
        <w:kinsoku w:val="0"/>
        <w:overflowPunct w:val="0"/>
        <w:spacing w:line="335" w:lineRule="exact"/>
        <w:rPr>
          <w:rFonts w:hint="eastAsia"/>
        </w:rPr>
      </w:pPr>
    </w:p>
    <w:p w14:paraId="3B7BC58D">
      <w:pPr>
        <w:pStyle w:val="21"/>
        <w:kinsoku w:val="0"/>
        <w:overflowPunct w:val="0"/>
        <w:spacing w:line="583" w:lineRule="auto"/>
        <w:ind w:right="63"/>
        <w:rPr>
          <w:rFonts w:hint="eastAsia"/>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）有效期内的身份证正反面电子件。</w:t>
      </w:r>
    </w:p>
    <w:tbl>
      <w:tblPr>
        <w:tblStyle w:val="57"/>
        <w:tblW w:w="83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165"/>
        <w:gridCol w:w="4165"/>
      </w:tblGrid>
      <w:tr w14:paraId="095C4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165" w:type="dxa"/>
          </w:tcPr>
          <w:p w14:paraId="16569282">
            <w:pPr>
              <w:tabs>
                <w:tab w:val="left" w:pos="5580"/>
              </w:tabs>
              <w:spacing w:line="360" w:lineRule="auto"/>
              <w:jc w:val="left"/>
              <w:rPr>
                <w:rFonts w:hint="eastAsia" w:ascii="宋体" w:hAnsi="宋体"/>
                <w:sz w:val="24"/>
                <w:szCs w:val="20"/>
              </w:rPr>
            </w:pPr>
          </w:p>
          <w:p w14:paraId="123F485E">
            <w:pPr>
              <w:tabs>
                <w:tab w:val="left" w:pos="5580"/>
              </w:tabs>
              <w:spacing w:line="360" w:lineRule="auto"/>
              <w:jc w:val="left"/>
              <w:rPr>
                <w:rFonts w:hint="eastAsia" w:ascii="宋体" w:hAnsi="宋体"/>
                <w:sz w:val="24"/>
                <w:szCs w:val="20"/>
              </w:rPr>
            </w:pPr>
          </w:p>
          <w:p w14:paraId="20C7E809">
            <w:pPr>
              <w:tabs>
                <w:tab w:val="left" w:pos="5580"/>
              </w:tabs>
              <w:spacing w:line="360" w:lineRule="auto"/>
              <w:jc w:val="left"/>
              <w:rPr>
                <w:rFonts w:hint="eastAsia" w:ascii="宋体" w:hAnsi="宋体"/>
                <w:sz w:val="24"/>
                <w:szCs w:val="20"/>
              </w:rPr>
            </w:pPr>
          </w:p>
        </w:tc>
        <w:tc>
          <w:tcPr>
            <w:tcW w:w="4165" w:type="dxa"/>
          </w:tcPr>
          <w:p w14:paraId="301D695A">
            <w:pPr>
              <w:tabs>
                <w:tab w:val="left" w:pos="5580"/>
              </w:tabs>
              <w:spacing w:line="360" w:lineRule="auto"/>
              <w:jc w:val="left"/>
              <w:rPr>
                <w:rFonts w:hint="eastAsia" w:ascii="宋体" w:hAnsi="宋体"/>
                <w:sz w:val="24"/>
                <w:szCs w:val="20"/>
              </w:rPr>
            </w:pPr>
          </w:p>
          <w:p w14:paraId="735F717E">
            <w:pPr>
              <w:tabs>
                <w:tab w:val="left" w:pos="5580"/>
              </w:tabs>
              <w:spacing w:line="360" w:lineRule="auto"/>
              <w:jc w:val="left"/>
              <w:rPr>
                <w:rFonts w:hint="eastAsia" w:ascii="宋体" w:hAnsi="宋体"/>
                <w:sz w:val="24"/>
                <w:szCs w:val="20"/>
              </w:rPr>
            </w:pPr>
          </w:p>
          <w:p w14:paraId="2F91D9C6">
            <w:pPr>
              <w:tabs>
                <w:tab w:val="left" w:pos="5580"/>
              </w:tabs>
              <w:spacing w:line="360" w:lineRule="auto"/>
              <w:jc w:val="left"/>
              <w:rPr>
                <w:rFonts w:hint="eastAsia" w:ascii="宋体" w:hAnsi="宋体"/>
                <w:sz w:val="24"/>
                <w:szCs w:val="20"/>
              </w:rPr>
            </w:pPr>
          </w:p>
        </w:tc>
      </w:tr>
    </w:tbl>
    <w:p w14:paraId="3386B21B">
      <w:pPr>
        <w:pStyle w:val="21"/>
        <w:kinsoku w:val="0"/>
        <w:overflowPunct w:val="0"/>
        <w:spacing w:line="583" w:lineRule="auto"/>
        <w:ind w:right="63" w:firstLine="468"/>
        <w:rPr>
          <w:rFonts w:hint="eastAsia"/>
          <w:spacing w:val="-3"/>
        </w:rPr>
      </w:pPr>
    </w:p>
    <w:p w14:paraId="516B8D19">
      <w:pPr>
        <w:pStyle w:val="21"/>
        <w:kinsoku w:val="0"/>
        <w:overflowPunct w:val="0"/>
        <w:spacing w:line="583" w:lineRule="auto"/>
        <w:ind w:right="63" w:firstLine="468"/>
        <w:rPr>
          <w:rFonts w:hint="eastAsia"/>
          <w:spacing w:val="-3"/>
        </w:rPr>
      </w:pPr>
    </w:p>
    <w:p w14:paraId="2610E960">
      <w:pPr>
        <w:pStyle w:val="21"/>
        <w:kinsoku w:val="0"/>
        <w:overflowPunct w:val="0"/>
        <w:spacing w:line="583" w:lineRule="auto"/>
        <w:ind w:right="63" w:firstLine="468"/>
        <w:rPr>
          <w:rFonts w:hint="eastAsia"/>
          <w:spacing w:val="-3"/>
        </w:rPr>
      </w:pPr>
    </w:p>
    <w:p w14:paraId="71D5D3ED">
      <w:pPr>
        <w:autoSpaceDE w:val="0"/>
        <w:autoSpaceDN w:val="0"/>
        <w:adjustRightInd w:val="0"/>
        <w:snapToGrid w:val="0"/>
        <w:spacing w:line="360" w:lineRule="auto"/>
        <w:rPr>
          <w:rFonts w:hint="eastAsia"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333012F3">
      <w:pPr>
        <w:autoSpaceDE w:val="0"/>
        <w:autoSpaceDN w:val="0"/>
        <w:adjustRightInd w:val="0"/>
        <w:snapToGrid w:val="0"/>
        <w:spacing w:line="360" w:lineRule="auto"/>
        <w:rPr>
          <w:rFonts w:hint="eastAsia" w:ascii="宋体" w:hAnsi="宋体"/>
          <w:sz w:val="24"/>
          <w:lang w:val="zh-CN"/>
        </w:rPr>
      </w:pPr>
      <w:r>
        <w:rPr>
          <w:rFonts w:ascii="宋体" w:hAnsi="宋体"/>
          <w:spacing w:val="-3"/>
          <w:sz w:val="24"/>
        </w:rPr>
        <w:t>法定代表人（</w:t>
      </w:r>
      <w:r>
        <w:rPr>
          <w:rFonts w:ascii="宋体" w:hAnsi="宋体"/>
          <w:sz w:val="24"/>
        </w:rPr>
        <w:t>单位负责人</w:t>
      </w:r>
      <w:r>
        <w:rPr>
          <w:rFonts w:ascii="宋体" w:hAnsi="宋体"/>
          <w:spacing w:val="-3"/>
          <w:sz w:val="24"/>
        </w:rPr>
        <w:t>）（签字</w:t>
      </w:r>
      <w:r>
        <w:rPr>
          <w:rFonts w:hint="eastAsia" w:ascii="宋体" w:hAnsi="宋体"/>
          <w:sz w:val="24"/>
          <w:szCs w:val="20"/>
        </w:rPr>
        <w:t>或盖章</w:t>
      </w:r>
      <w:r>
        <w:rPr>
          <w:rFonts w:ascii="宋体" w:hAnsi="宋体"/>
          <w:spacing w:val="-3"/>
          <w:sz w:val="24"/>
        </w:rPr>
        <w:t>）：</w:t>
      </w:r>
      <w:r>
        <w:rPr>
          <w:rFonts w:ascii="宋体" w:hAnsi="宋体"/>
          <w:sz w:val="24"/>
        </w:rPr>
        <w:t>______</w:t>
      </w:r>
    </w:p>
    <w:p w14:paraId="5653C4D3">
      <w:pPr>
        <w:autoSpaceDE w:val="0"/>
        <w:autoSpaceDN w:val="0"/>
        <w:adjustRightInd w:val="0"/>
        <w:snapToGrid w:val="0"/>
        <w:spacing w:line="360" w:lineRule="auto"/>
        <w:rPr>
          <w:rFonts w:hint="eastAsia" w:ascii="宋体" w:hAnsi="宋体"/>
          <w:sz w:val="24"/>
          <w:lang w:val="zh-CN"/>
        </w:rPr>
      </w:pPr>
      <w:r>
        <w:rPr>
          <w:rFonts w:ascii="宋体" w:hAnsi="宋体"/>
          <w:sz w:val="24"/>
        </w:rPr>
        <w:t>日期：</w:t>
      </w:r>
      <w:r>
        <w:rPr>
          <w:rFonts w:ascii="宋体" w:hAnsi="宋体"/>
          <w:sz w:val="24"/>
          <w:szCs w:val="20"/>
        </w:rPr>
        <w:t>____年____月____日</w:t>
      </w:r>
    </w:p>
    <w:p w14:paraId="66B2B69B">
      <w:pPr>
        <w:widowControl/>
        <w:jc w:val="left"/>
        <w:rPr>
          <w:rFonts w:hint="eastAsia" w:ascii="宋体" w:hAnsi="宋体"/>
          <w:i/>
          <w:sz w:val="24"/>
          <w:szCs w:val="20"/>
          <w:u w:val="single"/>
        </w:rPr>
      </w:pPr>
    </w:p>
    <w:p w14:paraId="71143DFC">
      <w:pPr>
        <w:widowControl/>
        <w:jc w:val="left"/>
        <w:rPr>
          <w:rFonts w:hint="eastAsia" w:ascii="宋体" w:hAnsi="宋体"/>
          <w:sz w:val="24"/>
          <w:szCs w:val="20"/>
        </w:rPr>
      </w:pPr>
      <w:r>
        <w:rPr>
          <w:rFonts w:ascii="宋体" w:hAnsi="宋体"/>
          <w:sz w:val="24"/>
          <w:szCs w:val="20"/>
        </w:rPr>
        <w:br w:type="page"/>
      </w:r>
    </w:p>
    <w:p w14:paraId="309AD90B">
      <w:pPr>
        <w:tabs>
          <w:tab w:val="left" w:pos="360"/>
        </w:tabs>
        <w:snapToGrid w:val="0"/>
        <w:spacing w:line="360" w:lineRule="auto"/>
        <w:outlineLvl w:val="1"/>
        <w:rPr>
          <w:rFonts w:hint="eastAsia" w:ascii="宋体" w:hAnsi="宋体"/>
          <w:sz w:val="24"/>
        </w:rPr>
      </w:pPr>
      <w:r>
        <w:rPr>
          <w:rFonts w:ascii="宋体" w:hAnsi="宋体"/>
          <w:sz w:val="24"/>
        </w:rPr>
        <w:t>7  报价一览表</w:t>
      </w:r>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p>
    <w:p w14:paraId="3F85556F">
      <w:pPr>
        <w:spacing w:line="360" w:lineRule="exact"/>
        <w:ind w:firstLine="723"/>
        <w:jc w:val="center"/>
        <w:rPr>
          <w:rFonts w:hint="eastAsia" w:ascii="宋体" w:hAnsi="宋体"/>
          <w:b/>
          <w:sz w:val="36"/>
          <w:szCs w:val="36"/>
        </w:rPr>
      </w:pPr>
      <w:bookmarkStart w:id="1715" w:name="_Toc305158826"/>
      <w:bookmarkStart w:id="1716" w:name="_Toc164608827"/>
      <w:bookmarkStart w:id="1717" w:name="_Toc265228396"/>
      <w:bookmarkStart w:id="1718" w:name="_Toc226965748"/>
      <w:bookmarkStart w:id="1719" w:name="_Toc264969248"/>
      <w:bookmarkStart w:id="1720" w:name="_Toc226337254"/>
      <w:bookmarkStart w:id="1721" w:name="_Toc195842923"/>
      <w:bookmarkStart w:id="1722" w:name="_Toc226309802"/>
      <w:bookmarkStart w:id="1723" w:name="_Toc305158900"/>
      <w:bookmarkStart w:id="1724" w:name="_Toc226965831"/>
      <w:bookmarkStart w:id="1725" w:name="_Toc164608672"/>
      <w:r>
        <w:rPr>
          <w:rFonts w:hint="eastAsia" w:ascii="宋体" w:hAnsi="宋体"/>
          <w:b/>
          <w:sz w:val="36"/>
          <w:szCs w:val="36"/>
        </w:rPr>
        <w:t>报价一览表</w:t>
      </w:r>
      <w:bookmarkEnd w:id="1715"/>
      <w:bookmarkEnd w:id="1716"/>
      <w:bookmarkEnd w:id="1717"/>
      <w:bookmarkEnd w:id="1718"/>
      <w:bookmarkEnd w:id="1719"/>
      <w:bookmarkEnd w:id="1720"/>
      <w:bookmarkEnd w:id="1721"/>
      <w:bookmarkEnd w:id="1722"/>
      <w:bookmarkEnd w:id="1723"/>
      <w:bookmarkEnd w:id="1724"/>
      <w:bookmarkEnd w:id="1725"/>
    </w:p>
    <w:p w14:paraId="792B6660">
      <w:pPr>
        <w:tabs>
          <w:tab w:val="left" w:pos="1800"/>
          <w:tab w:val="left" w:pos="5580"/>
        </w:tabs>
        <w:spacing w:line="360" w:lineRule="auto"/>
        <w:ind w:firstLine="240" w:firstLineChars="100"/>
        <w:jc w:val="left"/>
        <w:rPr>
          <w:rFonts w:hint="eastAsia" w:ascii="宋体" w:hAnsi="宋体"/>
          <w:sz w:val="24"/>
        </w:rPr>
      </w:pPr>
      <w:r>
        <w:rPr>
          <w:rFonts w:ascii="宋体" w:hAnsi="宋体"/>
          <w:sz w:val="24"/>
        </w:rPr>
        <w:t xml:space="preserve">项目编号/包号：__________________     </w:t>
      </w:r>
      <w:r>
        <w:rPr>
          <w:rFonts w:hint="eastAsia" w:ascii="宋体" w:hAnsi="宋体"/>
          <w:sz w:val="24"/>
        </w:rPr>
        <w:t xml:space="preserve">   </w:t>
      </w:r>
      <w:r>
        <w:rPr>
          <w:rFonts w:ascii="宋体" w:hAnsi="宋体"/>
          <w:sz w:val="24"/>
        </w:rPr>
        <w:t>项目名称：____________</w:t>
      </w:r>
      <w:r>
        <w:rPr>
          <w:rFonts w:hint="eastAsia" w:ascii="宋体" w:hAnsi="宋体"/>
          <w:sz w:val="24"/>
          <w:u w:val="single"/>
        </w:rPr>
        <w:t xml:space="preserve">  </w:t>
      </w:r>
      <w:r>
        <w:rPr>
          <w:rFonts w:hint="eastAsia" w:ascii="宋体" w:hAnsi="宋体"/>
          <w:sz w:val="24"/>
        </w:rPr>
        <w:t xml:space="preserve"> </w:t>
      </w:r>
    </w:p>
    <w:tbl>
      <w:tblPr>
        <w:tblStyle w:val="5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14"/>
        <w:gridCol w:w="2250"/>
        <w:gridCol w:w="1977"/>
        <w:gridCol w:w="1689"/>
        <w:gridCol w:w="1692"/>
      </w:tblGrid>
      <w:tr w14:paraId="2BE6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29" w:type="pct"/>
            <w:vMerge w:val="restart"/>
            <w:vAlign w:val="center"/>
          </w:tcPr>
          <w:p w14:paraId="11037607">
            <w:pPr>
              <w:tabs>
                <w:tab w:val="left" w:pos="5580"/>
              </w:tabs>
              <w:jc w:val="center"/>
              <w:rPr>
                <w:rFonts w:hint="eastAsia" w:ascii="宋体" w:hAnsi="宋体"/>
                <w:b/>
                <w:sz w:val="24"/>
              </w:rPr>
            </w:pPr>
            <w:r>
              <w:rPr>
                <w:rFonts w:ascii="宋体" w:hAnsi="宋体"/>
                <w:b/>
                <w:sz w:val="24"/>
              </w:rPr>
              <w:t>序号</w:t>
            </w:r>
          </w:p>
        </w:tc>
        <w:tc>
          <w:tcPr>
            <w:tcW w:w="1352" w:type="pct"/>
            <w:vMerge w:val="restart"/>
            <w:vAlign w:val="center"/>
          </w:tcPr>
          <w:p w14:paraId="4CD3957A">
            <w:pPr>
              <w:tabs>
                <w:tab w:val="left" w:pos="5580"/>
              </w:tabs>
              <w:jc w:val="center"/>
              <w:rPr>
                <w:rFonts w:hint="eastAsia" w:ascii="宋体" w:hAnsi="宋体"/>
                <w:b/>
                <w:sz w:val="24"/>
              </w:rPr>
            </w:pPr>
            <w:r>
              <w:rPr>
                <w:rFonts w:hint="eastAsia" w:ascii="宋体" w:hAnsi="宋体"/>
                <w:b/>
                <w:sz w:val="24"/>
              </w:rPr>
              <w:t>分包名称</w:t>
            </w:r>
          </w:p>
        </w:tc>
        <w:tc>
          <w:tcPr>
            <w:tcW w:w="1188" w:type="pct"/>
            <w:vMerge w:val="restart"/>
            <w:vAlign w:val="center"/>
          </w:tcPr>
          <w:p w14:paraId="6C1A463B">
            <w:pPr>
              <w:tabs>
                <w:tab w:val="left" w:pos="5580"/>
              </w:tabs>
              <w:jc w:val="center"/>
              <w:rPr>
                <w:rFonts w:hint="eastAsia" w:ascii="宋体" w:hAnsi="宋体"/>
                <w:b/>
                <w:sz w:val="24"/>
              </w:rPr>
            </w:pPr>
            <w:r>
              <w:rPr>
                <w:rFonts w:hint="eastAsia" w:ascii="宋体" w:hAnsi="宋体"/>
                <w:b/>
                <w:sz w:val="24"/>
              </w:rPr>
              <w:t>合同履行期限</w:t>
            </w:r>
          </w:p>
        </w:tc>
        <w:tc>
          <w:tcPr>
            <w:tcW w:w="2031" w:type="pct"/>
            <w:gridSpan w:val="2"/>
            <w:vAlign w:val="center"/>
          </w:tcPr>
          <w:p w14:paraId="47052844">
            <w:pPr>
              <w:tabs>
                <w:tab w:val="left" w:pos="5580"/>
              </w:tabs>
              <w:jc w:val="center"/>
              <w:rPr>
                <w:rFonts w:hint="eastAsia" w:ascii="宋体" w:hAnsi="宋体"/>
                <w:b/>
                <w:sz w:val="24"/>
              </w:rPr>
            </w:pPr>
            <w:r>
              <w:rPr>
                <w:rFonts w:ascii="宋体" w:hAnsi="宋体"/>
                <w:b/>
                <w:sz w:val="24"/>
              </w:rPr>
              <w:t>投标报价</w:t>
            </w:r>
          </w:p>
        </w:tc>
      </w:tr>
      <w:tr w14:paraId="45702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29" w:type="pct"/>
            <w:vMerge w:val="continue"/>
            <w:vAlign w:val="center"/>
          </w:tcPr>
          <w:p w14:paraId="452F4B96">
            <w:pPr>
              <w:tabs>
                <w:tab w:val="left" w:pos="5580"/>
              </w:tabs>
              <w:jc w:val="center"/>
              <w:rPr>
                <w:rFonts w:hint="eastAsia" w:ascii="宋体" w:hAnsi="宋体"/>
                <w:sz w:val="24"/>
              </w:rPr>
            </w:pPr>
          </w:p>
        </w:tc>
        <w:tc>
          <w:tcPr>
            <w:tcW w:w="1352" w:type="pct"/>
            <w:vMerge w:val="continue"/>
            <w:vAlign w:val="center"/>
          </w:tcPr>
          <w:p w14:paraId="42738A31">
            <w:pPr>
              <w:tabs>
                <w:tab w:val="left" w:pos="5580"/>
              </w:tabs>
              <w:jc w:val="center"/>
              <w:rPr>
                <w:rFonts w:hint="eastAsia" w:ascii="宋体" w:hAnsi="宋体"/>
                <w:sz w:val="24"/>
              </w:rPr>
            </w:pPr>
          </w:p>
        </w:tc>
        <w:tc>
          <w:tcPr>
            <w:tcW w:w="1188" w:type="pct"/>
            <w:vMerge w:val="continue"/>
          </w:tcPr>
          <w:p w14:paraId="65894554">
            <w:pPr>
              <w:tabs>
                <w:tab w:val="left" w:pos="5580"/>
              </w:tabs>
              <w:jc w:val="center"/>
              <w:rPr>
                <w:rFonts w:hint="eastAsia" w:ascii="宋体" w:hAnsi="宋体"/>
                <w:b/>
                <w:sz w:val="24"/>
              </w:rPr>
            </w:pPr>
          </w:p>
        </w:tc>
        <w:tc>
          <w:tcPr>
            <w:tcW w:w="1015" w:type="pct"/>
            <w:vAlign w:val="center"/>
          </w:tcPr>
          <w:p w14:paraId="5E3584F3">
            <w:pPr>
              <w:tabs>
                <w:tab w:val="left" w:pos="5580"/>
              </w:tabs>
              <w:jc w:val="center"/>
              <w:rPr>
                <w:rFonts w:hint="eastAsia" w:ascii="宋体" w:hAnsi="宋体"/>
                <w:b/>
                <w:sz w:val="24"/>
              </w:rPr>
            </w:pPr>
            <w:r>
              <w:rPr>
                <w:rFonts w:ascii="宋体" w:hAnsi="宋体"/>
                <w:b/>
                <w:sz w:val="24"/>
              </w:rPr>
              <w:t>大写</w:t>
            </w:r>
          </w:p>
        </w:tc>
        <w:tc>
          <w:tcPr>
            <w:tcW w:w="1016" w:type="pct"/>
            <w:vAlign w:val="center"/>
          </w:tcPr>
          <w:p w14:paraId="463A4B86">
            <w:pPr>
              <w:tabs>
                <w:tab w:val="left" w:pos="5580"/>
              </w:tabs>
              <w:jc w:val="center"/>
              <w:rPr>
                <w:rFonts w:hint="eastAsia" w:ascii="宋体" w:hAnsi="宋体"/>
                <w:b/>
                <w:sz w:val="24"/>
              </w:rPr>
            </w:pPr>
            <w:r>
              <w:rPr>
                <w:rFonts w:ascii="宋体" w:hAnsi="宋体"/>
                <w:b/>
                <w:sz w:val="24"/>
              </w:rPr>
              <w:t>小写</w:t>
            </w:r>
          </w:p>
        </w:tc>
      </w:tr>
      <w:tr w14:paraId="65360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29" w:type="pct"/>
            <w:vAlign w:val="center"/>
          </w:tcPr>
          <w:p w14:paraId="7A97E41B">
            <w:pPr>
              <w:tabs>
                <w:tab w:val="left" w:pos="5580"/>
              </w:tabs>
              <w:jc w:val="center"/>
              <w:rPr>
                <w:rFonts w:hint="eastAsia" w:ascii="宋体" w:hAnsi="宋体"/>
                <w:sz w:val="24"/>
              </w:rPr>
            </w:pPr>
            <w:r>
              <w:rPr>
                <w:rFonts w:hint="eastAsia" w:ascii="宋体" w:hAnsi="宋体"/>
                <w:sz w:val="24"/>
              </w:rPr>
              <w:t>1</w:t>
            </w:r>
          </w:p>
        </w:tc>
        <w:tc>
          <w:tcPr>
            <w:tcW w:w="1352" w:type="pct"/>
            <w:vAlign w:val="center"/>
          </w:tcPr>
          <w:p w14:paraId="3016E8B4">
            <w:pPr>
              <w:tabs>
                <w:tab w:val="left" w:pos="5580"/>
              </w:tabs>
              <w:jc w:val="center"/>
              <w:rPr>
                <w:rFonts w:hint="eastAsia" w:ascii="宋体" w:hAnsi="宋体"/>
                <w:sz w:val="24"/>
              </w:rPr>
            </w:pPr>
            <w:r>
              <w:rPr>
                <w:rFonts w:hint="eastAsia" w:ascii="宋体" w:hAnsi="宋体"/>
                <w:sz w:val="24"/>
              </w:rPr>
              <w:t>第一标段：</w:t>
            </w:r>
            <w:r>
              <w:rPr>
                <w:rFonts w:hint="eastAsia" w:ascii="宋体" w:hAnsi="宋体"/>
                <w:color w:val="FF0000"/>
                <w:sz w:val="24"/>
              </w:rPr>
              <w:t>配电设备设施</w:t>
            </w:r>
            <w:r>
              <w:rPr>
                <w:rFonts w:hint="eastAsia" w:ascii="宋体" w:hAnsi="宋体"/>
                <w:color w:val="FF0000"/>
                <w:sz w:val="24"/>
                <w:lang w:eastAsia="zh-CN"/>
              </w:rPr>
              <w:t>运维</w:t>
            </w:r>
          </w:p>
        </w:tc>
        <w:tc>
          <w:tcPr>
            <w:tcW w:w="1188" w:type="pct"/>
          </w:tcPr>
          <w:p w14:paraId="79EA15D5">
            <w:pPr>
              <w:tabs>
                <w:tab w:val="left" w:pos="5580"/>
              </w:tabs>
              <w:jc w:val="center"/>
              <w:rPr>
                <w:rFonts w:hint="eastAsia" w:ascii="宋体" w:hAnsi="宋体"/>
                <w:sz w:val="24"/>
              </w:rPr>
            </w:pPr>
          </w:p>
        </w:tc>
        <w:tc>
          <w:tcPr>
            <w:tcW w:w="1015" w:type="pct"/>
            <w:vAlign w:val="center"/>
          </w:tcPr>
          <w:p w14:paraId="2454816B">
            <w:pPr>
              <w:tabs>
                <w:tab w:val="left" w:pos="5580"/>
              </w:tabs>
              <w:jc w:val="center"/>
              <w:rPr>
                <w:rFonts w:hint="eastAsia" w:ascii="宋体" w:hAnsi="宋体"/>
                <w:sz w:val="24"/>
              </w:rPr>
            </w:pPr>
          </w:p>
        </w:tc>
        <w:tc>
          <w:tcPr>
            <w:tcW w:w="1016" w:type="pct"/>
            <w:vAlign w:val="center"/>
          </w:tcPr>
          <w:p w14:paraId="58F5B538">
            <w:pPr>
              <w:tabs>
                <w:tab w:val="left" w:pos="5580"/>
              </w:tabs>
              <w:jc w:val="center"/>
              <w:rPr>
                <w:rFonts w:hint="eastAsia" w:ascii="宋体" w:hAnsi="宋体"/>
                <w:sz w:val="24"/>
              </w:rPr>
            </w:pPr>
          </w:p>
        </w:tc>
      </w:tr>
    </w:tbl>
    <w:p w14:paraId="65998814">
      <w:pPr>
        <w:autoSpaceDE w:val="0"/>
        <w:autoSpaceDN w:val="0"/>
        <w:adjustRightInd w:val="0"/>
        <w:jc w:val="left"/>
        <w:rPr>
          <w:rFonts w:hint="eastAsia" w:ascii="宋体" w:hAnsi="宋体"/>
          <w:kern w:val="0"/>
          <w:sz w:val="24"/>
        </w:rPr>
      </w:pPr>
    </w:p>
    <w:p w14:paraId="4E064DC4">
      <w:pPr>
        <w:autoSpaceDE w:val="0"/>
        <w:autoSpaceDN w:val="0"/>
        <w:adjustRightInd w:val="0"/>
        <w:jc w:val="left"/>
        <w:rPr>
          <w:rFonts w:hint="eastAsia" w:ascii="宋体" w:hAnsi="宋体"/>
          <w:sz w:val="24"/>
          <w:szCs w:val="20"/>
        </w:rPr>
      </w:pPr>
      <w:r>
        <w:rPr>
          <w:rFonts w:ascii="宋体" w:hAnsi="宋体"/>
          <w:kern w:val="0"/>
          <w:sz w:val="24"/>
        </w:rPr>
        <w:t>注：1</w:t>
      </w:r>
      <w:r>
        <w:rPr>
          <w:rFonts w:ascii="宋体" w:hAnsi="宋体"/>
          <w:sz w:val="24"/>
          <w:szCs w:val="20"/>
        </w:rPr>
        <w:t>.此表中，每包的投标报价应和《投标分项报价表》中的总价相一致。</w:t>
      </w:r>
    </w:p>
    <w:p w14:paraId="62E2449F">
      <w:pPr>
        <w:tabs>
          <w:tab w:val="left" w:pos="5580"/>
        </w:tabs>
        <w:ind w:firstLine="480" w:firstLineChars="200"/>
        <w:rPr>
          <w:rFonts w:hint="eastAsia" w:ascii="宋体" w:hAnsi="宋体"/>
          <w:sz w:val="24"/>
          <w:szCs w:val="20"/>
        </w:rPr>
      </w:pPr>
      <w:r>
        <w:rPr>
          <w:rFonts w:ascii="宋体" w:hAnsi="宋体"/>
          <w:sz w:val="24"/>
          <w:szCs w:val="20"/>
        </w:rPr>
        <w:t>2.本表必须按包分别填写。</w:t>
      </w:r>
    </w:p>
    <w:p w14:paraId="1D6F8199">
      <w:pPr>
        <w:autoSpaceDE w:val="0"/>
        <w:autoSpaceDN w:val="0"/>
        <w:adjustRightInd w:val="0"/>
        <w:snapToGrid w:val="0"/>
        <w:spacing w:before="25" w:after="25" w:line="360" w:lineRule="auto"/>
        <w:rPr>
          <w:rFonts w:hint="eastAsia" w:ascii="宋体" w:hAnsi="宋体"/>
          <w:sz w:val="24"/>
          <w:lang w:val="zh-CN"/>
        </w:rPr>
      </w:pPr>
    </w:p>
    <w:p w14:paraId="59CB8B65">
      <w:pPr>
        <w:autoSpaceDE w:val="0"/>
        <w:autoSpaceDN w:val="0"/>
        <w:adjustRightInd w:val="0"/>
        <w:snapToGrid w:val="0"/>
        <w:spacing w:before="25" w:after="25" w:line="360" w:lineRule="auto"/>
        <w:rPr>
          <w:rFonts w:hint="eastAsia" w:ascii="宋体" w:hAnsi="宋体"/>
          <w:sz w:val="24"/>
          <w:lang w:val="zh-CN"/>
        </w:rPr>
      </w:pPr>
      <w:r>
        <w:rPr>
          <w:rFonts w:ascii="宋体" w:hAnsi="宋体"/>
          <w:sz w:val="24"/>
          <w:lang w:val="zh-CN"/>
        </w:rPr>
        <w:t xml:space="preserve">                         </w:t>
      </w:r>
    </w:p>
    <w:p w14:paraId="70AF8019">
      <w:pPr>
        <w:pStyle w:val="21"/>
        <w:kinsoku w:val="0"/>
        <w:overflowPunct w:val="0"/>
        <w:spacing w:line="583" w:lineRule="auto"/>
        <w:ind w:right="63" w:firstLine="468"/>
        <w:rPr>
          <w:rFonts w:hint="eastAsia"/>
          <w:spacing w:val="-3"/>
        </w:rPr>
      </w:pPr>
    </w:p>
    <w:p w14:paraId="17D23A31">
      <w:pPr>
        <w:autoSpaceDE w:val="0"/>
        <w:autoSpaceDN w:val="0"/>
        <w:adjustRightInd w:val="0"/>
        <w:snapToGrid w:val="0"/>
        <w:spacing w:line="360" w:lineRule="auto"/>
        <w:rPr>
          <w:rFonts w:hint="eastAsia"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770F2E0F">
      <w:pPr>
        <w:autoSpaceDE w:val="0"/>
        <w:autoSpaceDN w:val="0"/>
        <w:adjustRightInd w:val="0"/>
        <w:snapToGrid w:val="0"/>
        <w:spacing w:line="360" w:lineRule="auto"/>
        <w:rPr>
          <w:rFonts w:hint="eastAsia" w:ascii="宋体" w:hAnsi="宋体"/>
          <w:sz w:val="24"/>
          <w:lang w:val="zh-CN"/>
        </w:rPr>
      </w:pPr>
      <w:r>
        <w:rPr>
          <w:rFonts w:ascii="宋体" w:hAnsi="宋体"/>
          <w:sz w:val="24"/>
        </w:rPr>
        <w:t>日期：</w:t>
      </w:r>
      <w:r>
        <w:rPr>
          <w:rFonts w:ascii="宋体" w:hAnsi="宋体"/>
          <w:sz w:val="24"/>
          <w:szCs w:val="20"/>
        </w:rPr>
        <w:t>____年____月____日</w:t>
      </w:r>
    </w:p>
    <w:p w14:paraId="1C66E180">
      <w:pPr>
        <w:autoSpaceDE w:val="0"/>
        <w:autoSpaceDN w:val="0"/>
        <w:adjustRightInd w:val="0"/>
        <w:snapToGrid w:val="0"/>
        <w:spacing w:before="25" w:after="25" w:line="360" w:lineRule="auto"/>
        <w:rPr>
          <w:rFonts w:hint="eastAsia" w:ascii="宋体" w:hAnsi="宋体"/>
          <w:sz w:val="24"/>
          <w:lang w:val="zh-CN"/>
        </w:rPr>
      </w:pPr>
      <w:r>
        <w:rPr>
          <w:rFonts w:ascii="宋体" w:hAnsi="宋体"/>
          <w:sz w:val="24"/>
          <w:szCs w:val="20"/>
        </w:rPr>
        <w:t xml:space="preserve">  </w:t>
      </w:r>
    </w:p>
    <w:p w14:paraId="31E59C48">
      <w:pPr>
        <w:widowControl/>
        <w:jc w:val="left"/>
        <w:rPr>
          <w:rFonts w:hint="eastAsia" w:ascii="宋体" w:hAnsi="宋体"/>
          <w:sz w:val="24"/>
          <w:szCs w:val="20"/>
        </w:rPr>
      </w:pPr>
      <w:r>
        <w:rPr>
          <w:rFonts w:ascii="宋体" w:hAnsi="宋体"/>
          <w:sz w:val="24"/>
          <w:szCs w:val="20"/>
        </w:rPr>
        <w:br w:type="page"/>
      </w:r>
    </w:p>
    <w:p w14:paraId="50A93326">
      <w:pPr>
        <w:autoSpaceDE w:val="0"/>
        <w:autoSpaceDN w:val="0"/>
        <w:adjustRightInd w:val="0"/>
        <w:snapToGrid w:val="0"/>
        <w:spacing w:before="25" w:after="25" w:line="360" w:lineRule="auto"/>
        <w:ind w:firstLine="482"/>
        <w:rPr>
          <w:rFonts w:hint="eastAsia" w:ascii="宋体" w:hAnsi="宋体"/>
          <w:sz w:val="24"/>
          <w:lang w:val="zh-CN"/>
        </w:rPr>
      </w:pPr>
      <w:r>
        <w:rPr>
          <w:rFonts w:hint="eastAsia" w:ascii="宋体" w:hAnsi="宋体" w:cs="宋体"/>
          <w:b/>
          <w:bCs/>
        </w:rPr>
        <w:t>已标价工程量清单</w:t>
      </w:r>
      <w:r>
        <w:rPr>
          <w:rFonts w:ascii="宋体" w:hAnsi="宋体"/>
          <w:sz w:val="24"/>
          <w:szCs w:val="20"/>
        </w:rPr>
        <w:t xml:space="preserve"> </w:t>
      </w:r>
    </w:p>
    <w:p w14:paraId="061C0D1A">
      <w:pPr>
        <w:widowControl/>
        <w:jc w:val="left"/>
        <w:rPr>
          <w:rFonts w:hint="eastAsia" w:ascii="宋体" w:hAnsi="宋体"/>
          <w:sz w:val="24"/>
          <w:szCs w:val="20"/>
        </w:rPr>
      </w:pPr>
      <w:bookmarkStart w:id="1726" w:name="_Toc150480796"/>
      <w:bookmarkStart w:id="1727" w:name="_Toc226309803"/>
      <w:bookmarkStart w:id="1728" w:name="_Toc305158901"/>
      <w:bookmarkStart w:id="1729" w:name="_Toc226965832"/>
      <w:bookmarkStart w:id="1730" w:name="_Toc195842924"/>
      <w:bookmarkStart w:id="1731" w:name="_Toc142311060"/>
      <w:bookmarkStart w:id="1732" w:name="_Toc127151558"/>
      <w:bookmarkStart w:id="1733" w:name="_Toc226965749"/>
      <w:bookmarkStart w:id="1734" w:name="_Toc150774763"/>
      <w:bookmarkStart w:id="1735" w:name="_Toc264969249"/>
      <w:bookmarkStart w:id="1736" w:name="_Toc226337255"/>
      <w:bookmarkStart w:id="1737" w:name="_Toc265228397"/>
      <w:bookmarkStart w:id="1738" w:name="_Toc305158827"/>
      <w:r>
        <w:rPr>
          <w:rFonts w:ascii="宋体" w:hAnsi="宋体"/>
          <w:sz w:val="24"/>
          <w:szCs w:val="20"/>
        </w:rPr>
        <w:br w:type="page"/>
      </w:r>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Start w:id="1739" w:name="_Toc305158830"/>
      <w:bookmarkStart w:id="1740" w:name="_Toc195842927"/>
      <w:bookmarkStart w:id="1741" w:name="_Toc142311062"/>
      <w:bookmarkStart w:id="1742" w:name="_Toc150774765"/>
      <w:bookmarkStart w:id="1743" w:name="_Toc265228400"/>
      <w:bookmarkStart w:id="1744" w:name="_Toc264969252"/>
      <w:bookmarkStart w:id="1745" w:name="_Toc226309806"/>
      <w:bookmarkStart w:id="1746" w:name="_Toc226337258"/>
      <w:bookmarkStart w:id="1747" w:name="_Toc226965835"/>
      <w:bookmarkStart w:id="1748" w:name="_Toc150480798"/>
      <w:bookmarkStart w:id="1749" w:name="_Toc305158904"/>
      <w:bookmarkStart w:id="1750" w:name="_Toc127151562"/>
      <w:bookmarkStart w:id="1751" w:name="_Toc226965752"/>
      <w:bookmarkStart w:id="1752" w:name="_Toc150774764"/>
      <w:bookmarkStart w:id="1753" w:name="_Toc226965751"/>
      <w:bookmarkStart w:id="1754" w:name="_Toc127151561"/>
      <w:bookmarkStart w:id="1755" w:name="_Toc264969251"/>
      <w:bookmarkStart w:id="1756" w:name="_Toc226337257"/>
      <w:bookmarkStart w:id="1757" w:name="_Toc305158903"/>
      <w:bookmarkStart w:id="1758" w:name="_Toc305158829"/>
      <w:bookmarkStart w:id="1759" w:name="_Toc150480797"/>
      <w:bookmarkStart w:id="1760" w:name="_Toc195842926"/>
      <w:bookmarkStart w:id="1761" w:name="_Toc226309805"/>
      <w:bookmarkStart w:id="1762" w:name="_Toc142311061"/>
      <w:bookmarkStart w:id="1763" w:name="_Toc226965834"/>
      <w:bookmarkStart w:id="1764" w:name="_Toc265228399"/>
    </w:p>
    <w:p w14:paraId="7D2F5F2E">
      <w:pPr>
        <w:tabs>
          <w:tab w:val="left" w:pos="360"/>
        </w:tabs>
        <w:snapToGrid w:val="0"/>
        <w:spacing w:line="360" w:lineRule="auto"/>
        <w:outlineLvl w:val="1"/>
        <w:rPr>
          <w:rFonts w:hint="eastAsia" w:ascii="宋体" w:hAnsi="宋体"/>
          <w:sz w:val="24"/>
          <w:szCs w:val="20"/>
        </w:rPr>
      </w:pPr>
      <w:r>
        <w:rPr>
          <w:rFonts w:hint="eastAsia" w:ascii="宋体" w:hAnsi="宋体"/>
          <w:sz w:val="24"/>
        </w:rPr>
        <w:t>8</w:t>
      </w:r>
      <w:r>
        <w:rPr>
          <w:rFonts w:ascii="宋体" w:hAnsi="宋体"/>
          <w:sz w:val="24"/>
        </w:rPr>
        <w:t xml:space="preserve">  合同条款偏离表</w:t>
      </w:r>
      <w:bookmarkEnd w:id="1739"/>
      <w:bookmarkEnd w:id="1740"/>
      <w:bookmarkEnd w:id="1741"/>
      <w:bookmarkEnd w:id="1742"/>
      <w:bookmarkEnd w:id="1743"/>
      <w:bookmarkEnd w:id="1744"/>
      <w:bookmarkEnd w:id="1745"/>
      <w:bookmarkEnd w:id="1746"/>
      <w:bookmarkEnd w:id="1747"/>
      <w:bookmarkEnd w:id="1748"/>
      <w:bookmarkEnd w:id="1749"/>
      <w:bookmarkEnd w:id="1750"/>
      <w:bookmarkEnd w:id="1751"/>
      <w:r>
        <w:rPr>
          <w:rFonts w:ascii="宋体" w:hAnsi="宋体"/>
          <w:sz w:val="24"/>
          <w:szCs w:val="20"/>
        </w:rPr>
        <w:t>（实质性格式）</w:t>
      </w:r>
    </w:p>
    <w:p w14:paraId="1D636585">
      <w:pPr>
        <w:spacing w:line="360" w:lineRule="auto"/>
        <w:rPr>
          <w:rFonts w:hint="eastAsia" w:ascii="宋体" w:hAnsi="宋体"/>
          <w:sz w:val="24"/>
          <w:szCs w:val="20"/>
        </w:rPr>
      </w:pPr>
    </w:p>
    <w:p w14:paraId="093A51E6">
      <w:pPr>
        <w:tabs>
          <w:tab w:val="left" w:pos="2775"/>
          <w:tab w:val="center" w:pos="4153"/>
        </w:tabs>
        <w:autoSpaceDE w:val="0"/>
        <w:autoSpaceDN w:val="0"/>
        <w:adjustRightInd w:val="0"/>
        <w:spacing w:line="360" w:lineRule="auto"/>
        <w:ind w:firstLine="720"/>
        <w:jc w:val="left"/>
        <w:rPr>
          <w:rFonts w:hint="eastAsia" w:ascii="宋体" w:hAnsi="宋体"/>
          <w:b/>
          <w:sz w:val="36"/>
          <w:szCs w:val="36"/>
        </w:rPr>
      </w:pPr>
      <w:r>
        <w:rPr>
          <w:rFonts w:ascii="宋体" w:hAnsi="宋体"/>
          <w:sz w:val="36"/>
          <w:szCs w:val="36"/>
        </w:rPr>
        <w:tab/>
      </w:r>
      <w:r>
        <w:rPr>
          <w:rFonts w:ascii="宋体" w:hAnsi="宋体"/>
          <w:b/>
          <w:sz w:val="36"/>
          <w:szCs w:val="36"/>
        </w:rPr>
        <w:tab/>
      </w:r>
      <w:r>
        <w:rPr>
          <w:rFonts w:hint="eastAsia" w:ascii="宋体" w:hAnsi="宋体"/>
          <w:b/>
          <w:sz w:val="36"/>
          <w:szCs w:val="36"/>
        </w:rPr>
        <w:t>合同条款偏离表</w:t>
      </w:r>
    </w:p>
    <w:p w14:paraId="1D6488F9">
      <w:pPr>
        <w:spacing w:line="360" w:lineRule="auto"/>
        <w:rPr>
          <w:rFonts w:hint="eastAsia" w:ascii="宋体" w:hAnsi="宋体"/>
          <w:sz w:val="24"/>
          <w:szCs w:val="20"/>
        </w:rPr>
      </w:pPr>
    </w:p>
    <w:p w14:paraId="34E77693">
      <w:pPr>
        <w:tabs>
          <w:tab w:val="left" w:pos="1800"/>
          <w:tab w:val="left" w:pos="5580"/>
        </w:tabs>
        <w:spacing w:line="360" w:lineRule="auto"/>
        <w:ind w:firstLine="360" w:firstLineChars="150"/>
        <w:jc w:val="left"/>
        <w:rPr>
          <w:rFonts w:hint="eastAsia" w:ascii="宋体" w:hAnsi="宋体"/>
          <w:sz w:val="24"/>
        </w:rPr>
      </w:pPr>
      <w:r>
        <w:rPr>
          <w:rFonts w:ascii="宋体" w:hAnsi="宋体"/>
          <w:sz w:val="24"/>
        </w:rPr>
        <w:t>项目编号/包号：_______________     项目名称：_______________</w:t>
      </w:r>
    </w:p>
    <w:tbl>
      <w:tblPr>
        <w:tblStyle w:val="57"/>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591"/>
        <w:gridCol w:w="2126"/>
        <w:gridCol w:w="1985"/>
        <w:gridCol w:w="1776"/>
        <w:gridCol w:w="770"/>
      </w:tblGrid>
      <w:tr w14:paraId="7C6CB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14" w:type="dxa"/>
            <w:vAlign w:val="center"/>
          </w:tcPr>
          <w:p w14:paraId="2EBCAF22">
            <w:pPr>
              <w:adjustRightInd w:val="0"/>
              <w:snapToGrid w:val="0"/>
              <w:jc w:val="center"/>
              <w:rPr>
                <w:rFonts w:hint="eastAsia" w:ascii="宋体" w:hAnsi="宋体"/>
                <w:sz w:val="24"/>
              </w:rPr>
            </w:pPr>
            <w:r>
              <w:rPr>
                <w:rFonts w:ascii="宋体" w:hAnsi="宋体"/>
                <w:sz w:val="24"/>
              </w:rPr>
              <w:t>序号</w:t>
            </w:r>
          </w:p>
        </w:tc>
        <w:tc>
          <w:tcPr>
            <w:tcW w:w="1591" w:type="dxa"/>
            <w:vAlign w:val="center"/>
          </w:tcPr>
          <w:p w14:paraId="17977B01">
            <w:pPr>
              <w:adjustRightInd w:val="0"/>
              <w:snapToGrid w:val="0"/>
              <w:jc w:val="center"/>
              <w:rPr>
                <w:rFonts w:hint="eastAsia" w:ascii="宋体" w:hAnsi="宋体"/>
                <w:sz w:val="24"/>
              </w:rPr>
            </w:pPr>
            <w:r>
              <w:rPr>
                <w:rFonts w:ascii="宋体" w:hAnsi="宋体"/>
                <w:sz w:val="24"/>
                <w:szCs w:val="21"/>
              </w:rPr>
              <w:t>竞争性磋商文件</w:t>
            </w:r>
            <w:r>
              <w:rPr>
                <w:rFonts w:ascii="宋体" w:hAnsi="宋体"/>
                <w:sz w:val="24"/>
              </w:rPr>
              <w:t>条目号（页码）</w:t>
            </w:r>
          </w:p>
        </w:tc>
        <w:tc>
          <w:tcPr>
            <w:tcW w:w="2126" w:type="dxa"/>
            <w:vAlign w:val="center"/>
          </w:tcPr>
          <w:p w14:paraId="29568C10">
            <w:pPr>
              <w:adjustRightInd w:val="0"/>
              <w:snapToGrid w:val="0"/>
              <w:jc w:val="center"/>
              <w:rPr>
                <w:rFonts w:hint="eastAsia" w:ascii="宋体" w:hAnsi="宋体"/>
                <w:sz w:val="24"/>
              </w:rPr>
            </w:pPr>
            <w:r>
              <w:rPr>
                <w:rFonts w:ascii="宋体" w:hAnsi="宋体"/>
                <w:sz w:val="24"/>
                <w:szCs w:val="21"/>
              </w:rPr>
              <w:t>竞争性磋商文件</w:t>
            </w:r>
            <w:r>
              <w:rPr>
                <w:rFonts w:ascii="宋体" w:hAnsi="宋体"/>
                <w:sz w:val="24"/>
              </w:rPr>
              <w:t>要求</w:t>
            </w:r>
          </w:p>
        </w:tc>
        <w:tc>
          <w:tcPr>
            <w:tcW w:w="1985" w:type="dxa"/>
            <w:vAlign w:val="center"/>
          </w:tcPr>
          <w:p w14:paraId="78480C37">
            <w:pPr>
              <w:adjustRightInd w:val="0"/>
              <w:snapToGrid w:val="0"/>
              <w:jc w:val="center"/>
              <w:rPr>
                <w:rFonts w:hint="eastAsia" w:ascii="宋体" w:hAnsi="宋体"/>
                <w:sz w:val="24"/>
              </w:rPr>
            </w:pPr>
            <w:r>
              <w:rPr>
                <w:rFonts w:ascii="宋体" w:hAnsi="宋体"/>
                <w:sz w:val="24"/>
              </w:rPr>
              <w:t>响应文件内容</w:t>
            </w:r>
          </w:p>
        </w:tc>
        <w:tc>
          <w:tcPr>
            <w:tcW w:w="1776" w:type="dxa"/>
            <w:vAlign w:val="center"/>
          </w:tcPr>
          <w:p w14:paraId="7F0981FA">
            <w:pPr>
              <w:adjustRightInd w:val="0"/>
              <w:snapToGrid w:val="0"/>
              <w:jc w:val="center"/>
              <w:rPr>
                <w:rFonts w:hint="eastAsia" w:ascii="宋体" w:hAnsi="宋体"/>
                <w:sz w:val="24"/>
              </w:rPr>
            </w:pPr>
            <w:r>
              <w:rPr>
                <w:rFonts w:ascii="宋体" w:hAnsi="宋体"/>
                <w:sz w:val="24"/>
              </w:rPr>
              <w:t>偏离情况</w:t>
            </w:r>
          </w:p>
        </w:tc>
        <w:tc>
          <w:tcPr>
            <w:tcW w:w="770" w:type="dxa"/>
            <w:vAlign w:val="center"/>
          </w:tcPr>
          <w:p w14:paraId="2ACC5885">
            <w:pPr>
              <w:adjustRightInd w:val="0"/>
              <w:snapToGrid w:val="0"/>
              <w:jc w:val="center"/>
              <w:rPr>
                <w:rFonts w:hint="eastAsia" w:ascii="宋体" w:hAnsi="宋体"/>
                <w:sz w:val="24"/>
              </w:rPr>
            </w:pPr>
            <w:r>
              <w:rPr>
                <w:rFonts w:ascii="宋体" w:hAnsi="宋体"/>
                <w:sz w:val="24"/>
              </w:rPr>
              <w:t>说明</w:t>
            </w:r>
          </w:p>
        </w:tc>
      </w:tr>
      <w:tr w14:paraId="07765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062" w:type="dxa"/>
            <w:gridSpan w:val="6"/>
            <w:vAlign w:val="center"/>
          </w:tcPr>
          <w:p w14:paraId="7148A4E4">
            <w:pPr>
              <w:adjustRightInd w:val="0"/>
              <w:snapToGrid w:val="0"/>
              <w:jc w:val="left"/>
              <w:rPr>
                <w:rFonts w:hint="eastAsia" w:ascii="宋体" w:hAnsi="宋体"/>
                <w:sz w:val="24"/>
              </w:rPr>
            </w:pPr>
            <w:r>
              <w:rPr>
                <w:rFonts w:hint="eastAsia" w:ascii="宋体" w:hAnsi="宋体"/>
                <w:b/>
                <w:bCs/>
                <w:sz w:val="24"/>
              </w:rPr>
              <w:t>对本项目合同条款的偏离情况</w:t>
            </w:r>
            <w:r>
              <w:rPr>
                <w:rFonts w:hint="eastAsia" w:ascii="宋体" w:hAnsi="宋体"/>
                <w:sz w:val="24"/>
              </w:rPr>
              <w:t>（应进行选择，未选择</w:t>
            </w:r>
            <w:r>
              <w:rPr>
                <w:rFonts w:hint="eastAsia" w:ascii="宋体" w:hAnsi="宋体"/>
                <w:b/>
                <w:bCs/>
                <w:sz w:val="24"/>
              </w:rPr>
              <w:t>响应无效</w:t>
            </w:r>
            <w:r>
              <w:rPr>
                <w:rFonts w:hint="eastAsia" w:ascii="宋体" w:hAnsi="宋体"/>
                <w:sz w:val="24"/>
              </w:rPr>
              <w:t>）：</w:t>
            </w:r>
          </w:p>
          <w:p w14:paraId="0AEAC5ED">
            <w:pPr>
              <w:adjustRightInd w:val="0"/>
              <w:snapToGrid w:val="0"/>
              <w:jc w:val="left"/>
              <w:rPr>
                <w:rFonts w:hint="eastAsia" w:ascii="宋体" w:hAnsi="宋体"/>
                <w:sz w:val="24"/>
              </w:rPr>
            </w:pPr>
            <w:r>
              <w:rPr>
                <w:rFonts w:hint="eastAsia" w:ascii="宋体" w:hAnsi="宋体"/>
                <w:sz w:val="24"/>
              </w:rPr>
              <w:t>□</w:t>
            </w:r>
            <w:r>
              <w:rPr>
                <w:rFonts w:hint="eastAsia" w:ascii="宋体" w:hAnsi="宋体"/>
                <w:b/>
                <w:bCs/>
                <w:sz w:val="24"/>
              </w:rPr>
              <w:t>无偏离</w:t>
            </w:r>
            <w:r>
              <w:rPr>
                <w:rFonts w:hint="eastAsia" w:ascii="宋体" w:hAnsi="宋体"/>
                <w:sz w:val="24"/>
              </w:rPr>
              <w:t>（如无偏离，仅选择无偏离即可；无偏离即为对合同条款中的所有要求，均视作供应商已对之理解和响应。）</w:t>
            </w:r>
          </w:p>
          <w:p w14:paraId="6BB7DBC1">
            <w:pPr>
              <w:adjustRightInd w:val="0"/>
              <w:snapToGrid w:val="0"/>
              <w:jc w:val="left"/>
              <w:rPr>
                <w:rFonts w:hint="eastAsia" w:ascii="宋体" w:hAnsi="宋体"/>
                <w:sz w:val="24"/>
              </w:rPr>
            </w:pPr>
            <w:r>
              <w:rPr>
                <w:rFonts w:hint="eastAsia" w:ascii="宋体" w:hAnsi="宋体"/>
                <w:sz w:val="24"/>
              </w:rPr>
              <w:t>□</w:t>
            </w:r>
            <w:r>
              <w:rPr>
                <w:rFonts w:hint="eastAsia" w:ascii="宋体" w:hAnsi="宋体"/>
                <w:b/>
                <w:bCs/>
                <w:sz w:val="24"/>
              </w:rPr>
              <w:t>有偏离</w:t>
            </w:r>
            <w:r>
              <w:rPr>
                <w:rFonts w:hint="eastAsia" w:ascii="宋体" w:hAnsi="宋体"/>
                <w:sz w:val="24"/>
              </w:rPr>
              <w:t>（如有偏离，则应在本表中对负偏离项逐一列明，否则</w:t>
            </w:r>
            <w:r>
              <w:rPr>
                <w:rFonts w:hint="eastAsia" w:ascii="宋体" w:hAnsi="宋体"/>
                <w:b/>
                <w:bCs/>
                <w:sz w:val="24"/>
              </w:rPr>
              <w:t>响应无效</w:t>
            </w:r>
            <w:r>
              <w:rPr>
                <w:rFonts w:hint="eastAsia" w:ascii="宋体" w:hAnsi="宋体"/>
                <w:sz w:val="24"/>
              </w:rPr>
              <w:t>；对合同条款中的所有要求，除本表列明的偏离外，均视作供应商已对之理解和响应。）</w:t>
            </w:r>
          </w:p>
        </w:tc>
      </w:tr>
      <w:tr w14:paraId="19063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14" w:type="dxa"/>
            <w:vAlign w:val="center"/>
          </w:tcPr>
          <w:p w14:paraId="634C7373">
            <w:pPr>
              <w:adjustRightInd w:val="0"/>
              <w:snapToGrid w:val="0"/>
              <w:jc w:val="center"/>
              <w:rPr>
                <w:rFonts w:hint="eastAsia" w:ascii="宋体" w:hAnsi="宋体"/>
                <w:sz w:val="24"/>
              </w:rPr>
            </w:pPr>
          </w:p>
        </w:tc>
        <w:tc>
          <w:tcPr>
            <w:tcW w:w="1591" w:type="dxa"/>
            <w:vAlign w:val="center"/>
          </w:tcPr>
          <w:p w14:paraId="06F5F220">
            <w:pPr>
              <w:adjustRightInd w:val="0"/>
              <w:snapToGrid w:val="0"/>
              <w:jc w:val="center"/>
              <w:rPr>
                <w:rFonts w:hint="eastAsia" w:ascii="宋体" w:hAnsi="宋体"/>
                <w:sz w:val="24"/>
              </w:rPr>
            </w:pPr>
          </w:p>
        </w:tc>
        <w:tc>
          <w:tcPr>
            <w:tcW w:w="2126" w:type="dxa"/>
            <w:vAlign w:val="center"/>
          </w:tcPr>
          <w:p w14:paraId="245665F5">
            <w:pPr>
              <w:adjustRightInd w:val="0"/>
              <w:snapToGrid w:val="0"/>
              <w:jc w:val="center"/>
              <w:rPr>
                <w:rFonts w:hint="eastAsia" w:ascii="宋体" w:hAnsi="宋体"/>
                <w:sz w:val="24"/>
              </w:rPr>
            </w:pPr>
          </w:p>
        </w:tc>
        <w:tc>
          <w:tcPr>
            <w:tcW w:w="1985" w:type="dxa"/>
            <w:vAlign w:val="center"/>
          </w:tcPr>
          <w:p w14:paraId="2192218D">
            <w:pPr>
              <w:adjustRightInd w:val="0"/>
              <w:snapToGrid w:val="0"/>
              <w:jc w:val="center"/>
              <w:rPr>
                <w:rFonts w:hint="eastAsia" w:ascii="宋体" w:hAnsi="宋体"/>
                <w:sz w:val="24"/>
              </w:rPr>
            </w:pPr>
          </w:p>
        </w:tc>
        <w:tc>
          <w:tcPr>
            <w:tcW w:w="1776" w:type="dxa"/>
            <w:vAlign w:val="center"/>
          </w:tcPr>
          <w:p w14:paraId="7E1DE4E0">
            <w:pPr>
              <w:adjustRightInd w:val="0"/>
              <w:snapToGrid w:val="0"/>
              <w:jc w:val="center"/>
              <w:rPr>
                <w:rFonts w:hint="eastAsia" w:ascii="宋体" w:hAnsi="宋体"/>
                <w:sz w:val="24"/>
              </w:rPr>
            </w:pPr>
          </w:p>
        </w:tc>
        <w:tc>
          <w:tcPr>
            <w:tcW w:w="770" w:type="dxa"/>
            <w:vAlign w:val="center"/>
          </w:tcPr>
          <w:p w14:paraId="5BE27097">
            <w:pPr>
              <w:adjustRightInd w:val="0"/>
              <w:snapToGrid w:val="0"/>
              <w:jc w:val="center"/>
              <w:rPr>
                <w:rFonts w:hint="eastAsia" w:ascii="宋体" w:hAnsi="宋体"/>
                <w:sz w:val="24"/>
              </w:rPr>
            </w:pPr>
          </w:p>
        </w:tc>
      </w:tr>
      <w:tr w14:paraId="7B561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14" w:type="dxa"/>
            <w:vAlign w:val="center"/>
          </w:tcPr>
          <w:p w14:paraId="1F751FC0">
            <w:pPr>
              <w:adjustRightInd w:val="0"/>
              <w:snapToGrid w:val="0"/>
              <w:jc w:val="center"/>
              <w:rPr>
                <w:rFonts w:hint="eastAsia" w:ascii="宋体" w:hAnsi="宋体"/>
                <w:sz w:val="24"/>
              </w:rPr>
            </w:pPr>
          </w:p>
        </w:tc>
        <w:tc>
          <w:tcPr>
            <w:tcW w:w="1591" w:type="dxa"/>
            <w:vAlign w:val="center"/>
          </w:tcPr>
          <w:p w14:paraId="6B4FB914">
            <w:pPr>
              <w:adjustRightInd w:val="0"/>
              <w:snapToGrid w:val="0"/>
              <w:jc w:val="center"/>
              <w:rPr>
                <w:rFonts w:hint="eastAsia" w:ascii="宋体" w:hAnsi="宋体"/>
                <w:sz w:val="24"/>
              </w:rPr>
            </w:pPr>
          </w:p>
        </w:tc>
        <w:tc>
          <w:tcPr>
            <w:tcW w:w="2126" w:type="dxa"/>
            <w:vAlign w:val="center"/>
          </w:tcPr>
          <w:p w14:paraId="6C7C142C">
            <w:pPr>
              <w:adjustRightInd w:val="0"/>
              <w:snapToGrid w:val="0"/>
              <w:jc w:val="center"/>
              <w:rPr>
                <w:rFonts w:hint="eastAsia" w:ascii="宋体" w:hAnsi="宋体"/>
                <w:sz w:val="24"/>
              </w:rPr>
            </w:pPr>
          </w:p>
        </w:tc>
        <w:tc>
          <w:tcPr>
            <w:tcW w:w="1985" w:type="dxa"/>
            <w:vAlign w:val="center"/>
          </w:tcPr>
          <w:p w14:paraId="6F1EC901">
            <w:pPr>
              <w:adjustRightInd w:val="0"/>
              <w:snapToGrid w:val="0"/>
              <w:jc w:val="center"/>
              <w:rPr>
                <w:rFonts w:hint="eastAsia" w:ascii="宋体" w:hAnsi="宋体"/>
                <w:sz w:val="24"/>
              </w:rPr>
            </w:pPr>
          </w:p>
        </w:tc>
        <w:tc>
          <w:tcPr>
            <w:tcW w:w="1776" w:type="dxa"/>
            <w:vAlign w:val="center"/>
          </w:tcPr>
          <w:p w14:paraId="0B12104C">
            <w:pPr>
              <w:adjustRightInd w:val="0"/>
              <w:snapToGrid w:val="0"/>
              <w:jc w:val="center"/>
              <w:rPr>
                <w:rFonts w:hint="eastAsia" w:ascii="宋体" w:hAnsi="宋体"/>
                <w:sz w:val="24"/>
              </w:rPr>
            </w:pPr>
          </w:p>
        </w:tc>
        <w:tc>
          <w:tcPr>
            <w:tcW w:w="770" w:type="dxa"/>
            <w:vAlign w:val="center"/>
          </w:tcPr>
          <w:p w14:paraId="4F07DA7F">
            <w:pPr>
              <w:adjustRightInd w:val="0"/>
              <w:snapToGrid w:val="0"/>
              <w:jc w:val="center"/>
              <w:rPr>
                <w:rFonts w:hint="eastAsia" w:ascii="宋体" w:hAnsi="宋体"/>
                <w:sz w:val="24"/>
              </w:rPr>
            </w:pPr>
          </w:p>
        </w:tc>
      </w:tr>
      <w:tr w14:paraId="07598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14" w:type="dxa"/>
            <w:vAlign w:val="center"/>
          </w:tcPr>
          <w:p w14:paraId="31D8BD84">
            <w:pPr>
              <w:adjustRightInd w:val="0"/>
              <w:snapToGrid w:val="0"/>
              <w:jc w:val="center"/>
              <w:rPr>
                <w:rFonts w:hint="eastAsia" w:ascii="宋体" w:hAnsi="宋体"/>
                <w:sz w:val="24"/>
              </w:rPr>
            </w:pPr>
          </w:p>
        </w:tc>
        <w:tc>
          <w:tcPr>
            <w:tcW w:w="1591" w:type="dxa"/>
            <w:vAlign w:val="center"/>
          </w:tcPr>
          <w:p w14:paraId="62EB4D0A">
            <w:pPr>
              <w:adjustRightInd w:val="0"/>
              <w:snapToGrid w:val="0"/>
              <w:jc w:val="center"/>
              <w:rPr>
                <w:rFonts w:hint="eastAsia" w:ascii="宋体" w:hAnsi="宋体"/>
                <w:sz w:val="24"/>
              </w:rPr>
            </w:pPr>
          </w:p>
        </w:tc>
        <w:tc>
          <w:tcPr>
            <w:tcW w:w="2126" w:type="dxa"/>
            <w:vAlign w:val="center"/>
          </w:tcPr>
          <w:p w14:paraId="77F75B89">
            <w:pPr>
              <w:adjustRightInd w:val="0"/>
              <w:snapToGrid w:val="0"/>
              <w:jc w:val="center"/>
              <w:rPr>
                <w:rFonts w:hint="eastAsia" w:ascii="宋体" w:hAnsi="宋体"/>
                <w:sz w:val="24"/>
              </w:rPr>
            </w:pPr>
          </w:p>
        </w:tc>
        <w:tc>
          <w:tcPr>
            <w:tcW w:w="1985" w:type="dxa"/>
            <w:vAlign w:val="center"/>
          </w:tcPr>
          <w:p w14:paraId="677F8DFA">
            <w:pPr>
              <w:adjustRightInd w:val="0"/>
              <w:snapToGrid w:val="0"/>
              <w:jc w:val="center"/>
              <w:rPr>
                <w:rFonts w:hint="eastAsia" w:ascii="宋体" w:hAnsi="宋体"/>
                <w:sz w:val="24"/>
              </w:rPr>
            </w:pPr>
          </w:p>
        </w:tc>
        <w:tc>
          <w:tcPr>
            <w:tcW w:w="1776" w:type="dxa"/>
            <w:vAlign w:val="center"/>
          </w:tcPr>
          <w:p w14:paraId="2376AFBA">
            <w:pPr>
              <w:adjustRightInd w:val="0"/>
              <w:snapToGrid w:val="0"/>
              <w:jc w:val="center"/>
              <w:rPr>
                <w:rFonts w:hint="eastAsia" w:ascii="宋体" w:hAnsi="宋体"/>
                <w:sz w:val="24"/>
              </w:rPr>
            </w:pPr>
          </w:p>
        </w:tc>
        <w:tc>
          <w:tcPr>
            <w:tcW w:w="770" w:type="dxa"/>
            <w:vAlign w:val="center"/>
          </w:tcPr>
          <w:p w14:paraId="1B40285F">
            <w:pPr>
              <w:adjustRightInd w:val="0"/>
              <w:snapToGrid w:val="0"/>
              <w:jc w:val="center"/>
              <w:rPr>
                <w:rFonts w:hint="eastAsia" w:ascii="宋体" w:hAnsi="宋体"/>
                <w:sz w:val="24"/>
              </w:rPr>
            </w:pPr>
          </w:p>
        </w:tc>
      </w:tr>
      <w:tr w14:paraId="52E8A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14" w:type="dxa"/>
            <w:vAlign w:val="center"/>
          </w:tcPr>
          <w:p w14:paraId="10C41AE9">
            <w:pPr>
              <w:adjustRightInd w:val="0"/>
              <w:snapToGrid w:val="0"/>
              <w:jc w:val="center"/>
              <w:rPr>
                <w:rFonts w:hint="eastAsia" w:ascii="宋体" w:hAnsi="宋体"/>
                <w:sz w:val="24"/>
              </w:rPr>
            </w:pPr>
          </w:p>
        </w:tc>
        <w:tc>
          <w:tcPr>
            <w:tcW w:w="1591" w:type="dxa"/>
            <w:vAlign w:val="center"/>
          </w:tcPr>
          <w:p w14:paraId="4E49101F">
            <w:pPr>
              <w:adjustRightInd w:val="0"/>
              <w:snapToGrid w:val="0"/>
              <w:jc w:val="center"/>
              <w:rPr>
                <w:rFonts w:hint="eastAsia" w:ascii="宋体" w:hAnsi="宋体"/>
                <w:sz w:val="24"/>
              </w:rPr>
            </w:pPr>
          </w:p>
        </w:tc>
        <w:tc>
          <w:tcPr>
            <w:tcW w:w="2126" w:type="dxa"/>
            <w:vAlign w:val="center"/>
          </w:tcPr>
          <w:p w14:paraId="63FC46EF">
            <w:pPr>
              <w:adjustRightInd w:val="0"/>
              <w:snapToGrid w:val="0"/>
              <w:jc w:val="center"/>
              <w:rPr>
                <w:rFonts w:hint="eastAsia" w:ascii="宋体" w:hAnsi="宋体"/>
                <w:sz w:val="24"/>
              </w:rPr>
            </w:pPr>
          </w:p>
        </w:tc>
        <w:tc>
          <w:tcPr>
            <w:tcW w:w="1985" w:type="dxa"/>
            <w:vAlign w:val="center"/>
          </w:tcPr>
          <w:p w14:paraId="603A1836">
            <w:pPr>
              <w:adjustRightInd w:val="0"/>
              <w:snapToGrid w:val="0"/>
              <w:jc w:val="center"/>
              <w:rPr>
                <w:rFonts w:hint="eastAsia" w:ascii="宋体" w:hAnsi="宋体"/>
                <w:sz w:val="24"/>
              </w:rPr>
            </w:pPr>
          </w:p>
        </w:tc>
        <w:tc>
          <w:tcPr>
            <w:tcW w:w="1776" w:type="dxa"/>
            <w:vAlign w:val="center"/>
          </w:tcPr>
          <w:p w14:paraId="2FBFC435">
            <w:pPr>
              <w:adjustRightInd w:val="0"/>
              <w:snapToGrid w:val="0"/>
              <w:jc w:val="center"/>
              <w:rPr>
                <w:rFonts w:hint="eastAsia" w:ascii="宋体" w:hAnsi="宋体"/>
                <w:sz w:val="24"/>
              </w:rPr>
            </w:pPr>
          </w:p>
        </w:tc>
        <w:tc>
          <w:tcPr>
            <w:tcW w:w="770" w:type="dxa"/>
            <w:vAlign w:val="center"/>
          </w:tcPr>
          <w:p w14:paraId="6AD6F101">
            <w:pPr>
              <w:adjustRightInd w:val="0"/>
              <w:snapToGrid w:val="0"/>
              <w:jc w:val="center"/>
              <w:rPr>
                <w:rFonts w:hint="eastAsia" w:ascii="宋体" w:hAnsi="宋体"/>
                <w:sz w:val="24"/>
              </w:rPr>
            </w:pPr>
          </w:p>
        </w:tc>
      </w:tr>
    </w:tbl>
    <w:p w14:paraId="4229CB6C">
      <w:pPr>
        <w:tabs>
          <w:tab w:val="left" w:pos="1800"/>
          <w:tab w:val="left" w:pos="5580"/>
        </w:tabs>
        <w:jc w:val="left"/>
        <w:rPr>
          <w:rFonts w:hint="eastAsia" w:ascii="宋体" w:hAnsi="宋体"/>
          <w:sz w:val="24"/>
        </w:rPr>
      </w:pPr>
    </w:p>
    <w:p w14:paraId="586DD0B0">
      <w:pPr>
        <w:tabs>
          <w:tab w:val="left" w:pos="1800"/>
          <w:tab w:val="left" w:pos="5580"/>
        </w:tabs>
        <w:jc w:val="left"/>
        <w:rPr>
          <w:rFonts w:hint="eastAsia" w:ascii="宋体" w:hAnsi="宋体"/>
          <w:sz w:val="24"/>
        </w:rPr>
      </w:pPr>
      <w:r>
        <w:rPr>
          <w:rFonts w:hint="eastAsia" w:ascii="宋体" w:hAnsi="宋体"/>
          <w:sz w:val="24"/>
        </w:rPr>
        <w:t>注：“偏离情况”列应据实填写“正偏离”或“负偏离”。</w:t>
      </w:r>
    </w:p>
    <w:p w14:paraId="07EBE3B5">
      <w:pPr>
        <w:spacing w:line="360" w:lineRule="auto"/>
        <w:rPr>
          <w:rFonts w:hint="eastAsia" w:ascii="宋体" w:hAnsi="宋体"/>
          <w:sz w:val="24"/>
          <w:szCs w:val="20"/>
        </w:rPr>
      </w:pPr>
    </w:p>
    <w:p w14:paraId="7F8B3C37">
      <w:pPr>
        <w:autoSpaceDE w:val="0"/>
        <w:autoSpaceDN w:val="0"/>
        <w:adjustRightInd w:val="0"/>
        <w:snapToGrid w:val="0"/>
        <w:spacing w:before="25" w:after="25" w:line="360" w:lineRule="auto"/>
        <w:rPr>
          <w:rFonts w:hint="eastAsia"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_______________</w:t>
      </w:r>
    </w:p>
    <w:p w14:paraId="1B92034B">
      <w:pPr>
        <w:autoSpaceDE w:val="0"/>
        <w:autoSpaceDN w:val="0"/>
        <w:adjustRightInd w:val="0"/>
        <w:snapToGrid w:val="0"/>
        <w:spacing w:before="25" w:after="25" w:line="360" w:lineRule="auto"/>
        <w:rPr>
          <w:rFonts w:hint="eastAsia" w:ascii="宋体" w:hAnsi="宋体"/>
          <w:sz w:val="24"/>
          <w:lang w:val="zh-CN"/>
        </w:rPr>
      </w:pPr>
      <w:r>
        <w:rPr>
          <w:rFonts w:ascii="宋体" w:hAnsi="宋体"/>
          <w:sz w:val="24"/>
          <w:szCs w:val="20"/>
        </w:rPr>
        <w:t xml:space="preserve">日期：____年____月____日    </w:t>
      </w:r>
    </w:p>
    <w:p w14:paraId="4B950AB8">
      <w:pPr>
        <w:tabs>
          <w:tab w:val="left" w:pos="360"/>
        </w:tabs>
        <w:snapToGrid w:val="0"/>
        <w:spacing w:line="360" w:lineRule="auto"/>
        <w:outlineLvl w:val="1"/>
        <w:rPr>
          <w:rFonts w:hint="eastAsia" w:ascii="宋体" w:hAnsi="宋体"/>
          <w:sz w:val="24"/>
          <w:szCs w:val="20"/>
        </w:rPr>
      </w:pPr>
      <w:r>
        <w:rPr>
          <w:rFonts w:ascii="宋体" w:hAnsi="宋体"/>
          <w:sz w:val="24"/>
          <w:szCs w:val="20"/>
        </w:rPr>
        <w:br w:type="page"/>
      </w:r>
      <w:r>
        <w:rPr>
          <w:rFonts w:hint="eastAsia" w:ascii="宋体" w:hAnsi="宋体"/>
          <w:sz w:val="24"/>
        </w:rPr>
        <w:t>9</w:t>
      </w:r>
      <w:r>
        <w:rPr>
          <w:rFonts w:ascii="宋体" w:hAnsi="宋体"/>
          <w:sz w:val="24"/>
        </w:rPr>
        <w:t xml:space="preserve">  </w:t>
      </w:r>
      <w:bookmarkEnd w:id="1752"/>
      <w:bookmarkEnd w:id="1753"/>
      <w:bookmarkEnd w:id="1754"/>
      <w:bookmarkEnd w:id="1755"/>
      <w:bookmarkEnd w:id="1756"/>
      <w:bookmarkEnd w:id="1757"/>
      <w:bookmarkEnd w:id="1758"/>
      <w:bookmarkEnd w:id="1759"/>
      <w:bookmarkEnd w:id="1760"/>
      <w:bookmarkEnd w:id="1761"/>
      <w:bookmarkEnd w:id="1762"/>
      <w:bookmarkEnd w:id="1763"/>
      <w:bookmarkEnd w:id="1764"/>
      <w:r>
        <w:rPr>
          <w:rFonts w:ascii="宋体" w:hAnsi="宋体"/>
          <w:sz w:val="24"/>
        </w:rPr>
        <w:t>采购需求偏离表</w:t>
      </w:r>
    </w:p>
    <w:p w14:paraId="2FC910B5">
      <w:pPr>
        <w:autoSpaceDE w:val="0"/>
        <w:autoSpaceDN w:val="0"/>
        <w:adjustRightInd w:val="0"/>
        <w:spacing w:line="360" w:lineRule="auto"/>
        <w:ind w:firstLine="723"/>
        <w:jc w:val="center"/>
        <w:rPr>
          <w:rFonts w:hint="eastAsia" w:ascii="宋体" w:hAnsi="宋体"/>
          <w:b/>
          <w:sz w:val="36"/>
          <w:szCs w:val="36"/>
        </w:rPr>
      </w:pPr>
      <w:r>
        <w:rPr>
          <w:rFonts w:hint="eastAsia" w:ascii="宋体" w:hAnsi="宋体"/>
          <w:b/>
          <w:sz w:val="36"/>
          <w:szCs w:val="36"/>
        </w:rPr>
        <w:t>采购需求偏离表</w:t>
      </w:r>
    </w:p>
    <w:p w14:paraId="4F92BDC1">
      <w:pPr>
        <w:tabs>
          <w:tab w:val="left" w:pos="1800"/>
          <w:tab w:val="left" w:pos="5580"/>
        </w:tabs>
        <w:spacing w:line="360" w:lineRule="auto"/>
        <w:ind w:firstLine="360" w:firstLineChars="150"/>
        <w:jc w:val="left"/>
        <w:rPr>
          <w:rFonts w:hint="eastAsia" w:ascii="宋体" w:hAnsi="宋体"/>
          <w:sz w:val="24"/>
        </w:rPr>
      </w:pPr>
      <w:r>
        <w:rPr>
          <w:rFonts w:ascii="宋体" w:hAnsi="宋体"/>
          <w:sz w:val="24"/>
        </w:rPr>
        <w:t>项目编号/包号：_______________     项目名称：_______________</w:t>
      </w:r>
    </w:p>
    <w:tbl>
      <w:tblPr>
        <w:tblStyle w:val="57"/>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5537A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4B867253">
            <w:pPr>
              <w:adjustRightInd w:val="0"/>
              <w:snapToGrid w:val="0"/>
              <w:jc w:val="center"/>
              <w:rPr>
                <w:rFonts w:hint="eastAsia" w:ascii="宋体" w:hAnsi="宋体"/>
                <w:sz w:val="24"/>
              </w:rPr>
            </w:pPr>
            <w:r>
              <w:rPr>
                <w:rFonts w:ascii="宋体" w:hAnsi="宋体"/>
                <w:sz w:val="24"/>
              </w:rPr>
              <w:t>序号</w:t>
            </w:r>
          </w:p>
        </w:tc>
        <w:tc>
          <w:tcPr>
            <w:tcW w:w="1482" w:type="dxa"/>
            <w:vAlign w:val="center"/>
          </w:tcPr>
          <w:p w14:paraId="7FDCB27D">
            <w:pPr>
              <w:adjustRightInd w:val="0"/>
              <w:snapToGrid w:val="0"/>
              <w:jc w:val="center"/>
              <w:rPr>
                <w:rFonts w:hint="eastAsia" w:ascii="宋体" w:hAnsi="宋体"/>
                <w:sz w:val="24"/>
              </w:rPr>
            </w:pPr>
            <w:r>
              <w:rPr>
                <w:rFonts w:ascii="宋体" w:hAnsi="宋体"/>
                <w:sz w:val="24"/>
              </w:rPr>
              <w:t>竞争性磋商文件条目号(页码)</w:t>
            </w:r>
          </w:p>
        </w:tc>
        <w:tc>
          <w:tcPr>
            <w:tcW w:w="2384" w:type="dxa"/>
            <w:vAlign w:val="center"/>
          </w:tcPr>
          <w:p w14:paraId="50B86B88">
            <w:pPr>
              <w:adjustRightInd w:val="0"/>
              <w:snapToGrid w:val="0"/>
              <w:jc w:val="center"/>
              <w:rPr>
                <w:rFonts w:hint="eastAsia" w:ascii="宋体" w:hAnsi="宋体"/>
                <w:sz w:val="24"/>
              </w:rPr>
            </w:pPr>
            <w:r>
              <w:rPr>
                <w:rFonts w:ascii="宋体" w:hAnsi="宋体"/>
                <w:sz w:val="24"/>
              </w:rPr>
              <w:t>竞争性磋商文件要求</w:t>
            </w:r>
          </w:p>
        </w:tc>
        <w:tc>
          <w:tcPr>
            <w:tcW w:w="2126" w:type="dxa"/>
            <w:vAlign w:val="center"/>
          </w:tcPr>
          <w:p w14:paraId="4E021FA4">
            <w:pPr>
              <w:adjustRightInd w:val="0"/>
              <w:snapToGrid w:val="0"/>
              <w:jc w:val="center"/>
              <w:rPr>
                <w:rFonts w:hint="eastAsia" w:ascii="宋体" w:hAnsi="宋体"/>
                <w:sz w:val="24"/>
              </w:rPr>
            </w:pPr>
            <w:r>
              <w:rPr>
                <w:rFonts w:ascii="宋体" w:hAnsi="宋体"/>
                <w:sz w:val="24"/>
              </w:rPr>
              <w:t>响应内容</w:t>
            </w:r>
          </w:p>
        </w:tc>
        <w:tc>
          <w:tcPr>
            <w:tcW w:w="1875" w:type="dxa"/>
            <w:vAlign w:val="center"/>
          </w:tcPr>
          <w:p w14:paraId="4284AB3F">
            <w:pPr>
              <w:adjustRightInd w:val="0"/>
              <w:snapToGrid w:val="0"/>
              <w:jc w:val="center"/>
              <w:rPr>
                <w:rFonts w:hint="eastAsia" w:ascii="宋体" w:hAnsi="宋体"/>
                <w:sz w:val="24"/>
              </w:rPr>
            </w:pPr>
            <w:r>
              <w:rPr>
                <w:rFonts w:ascii="宋体" w:hAnsi="宋体"/>
                <w:sz w:val="24"/>
              </w:rPr>
              <w:t>偏离情况</w:t>
            </w:r>
          </w:p>
          <w:p w14:paraId="76AA7377">
            <w:pPr>
              <w:adjustRightInd w:val="0"/>
              <w:snapToGrid w:val="0"/>
              <w:jc w:val="center"/>
              <w:rPr>
                <w:rFonts w:hint="eastAsia" w:ascii="宋体" w:hAnsi="宋体"/>
                <w:sz w:val="24"/>
              </w:rPr>
            </w:pPr>
            <w:r>
              <w:rPr>
                <w:rFonts w:ascii="宋体" w:hAnsi="宋体"/>
                <w:sz w:val="24"/>
                <w:szCs w:val="21"/>
              </w:rPr>
              <w:t>（据实填写）</w:t>
            </w:r>
          </w:p>
        </w:tc>
        <w:tc>
          <w:tcPr>
            <w:tcW w:w="1009" w:type="dxa"/>
            <w:vAlign w:val="center"/>
          </w:tcPr>
          <w:p w14:paraId="041C856F">
            <w:pPr>
              <w:adjustRightInd w:val="0"/>
              <w:snapToGrid w:val="0"/>
              <w:jc w:val="center"/>
              <w:rPr>
                <w:rFonts w:hint="eastAsia" w:ascii="宋体" w:hAnsi="宋体"/>
                <w:sz w:val="24"/>
              </w:rPr>
            </w:pPr>
            <w:r>
              <w:rPr>
                <w:rFonts w:ascii="宋体" w:hAnsi="宋体"/>
                <w:sz w:val="24"/>
              </w:rPr>
              <w:t>说明</w:t>
            </w:r>
          </w:p>
        </w:tc>
      </w:tr>
      <w:tr w14:paraId="44363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3295697">
            <w:pPr>
              <w:adjustRightInd w:val="0"/>
              <w:snapToGrid w:val="0"/>
              <w:jc w:val="center"/>
              <w:rPr>
                <w:rFonts w:hint="eastAsia" w:ascii="宋体" w:hAnsi="宋体"/>
                <w:sz w:val="24"/>
              </w:rPr>
            </w:pPr>
          </w:p>
        </w:tc>
        <w:tc>
          <w:tcPr>
            <w:tcW w:w="1482" w:type="dxa"/>
            <w:vAlign w:val="center"/>
          </w:tcPr>
          <w:p w14:paraId="73EBD384">
            <w:pPr>
              <w:adjustRightInd w:val="0"/>
              <w:snapToGrid w:val="0"/>
              <w:jc w:val="center"/>
              <w:rPr>
                <w:rFonts w:hint="eastAsia" w:ascii="宋体" w:hAnsi="宋体"/>
                <w:sz w:val="24"/>
              </w:rPr>
            </w:pPr>
          </w:p>
        </w:tc>
        <w:tc>
          <w:tcPr>
            <w:tcW w:w="2384" w:type="dxa"/>
            <w:vAlign w:val="center"/>
          </w:tcPr>
          <w:p w14:paraId="391E680A">
            <w:pPr>
              <w:adjustRightInd w:val="0"/>
              <w:snapToGrid w:val="0"/>
              <w:jc w:val="center"/>
              <w:rPr>
                <w:rFonts w:hint="eastAsia" w:ascii="宋体" w:hAnsi="宋体"/>
                <w:sz w:val="24"/>
              </w:rPr>
            </w:pPr>
          </w:p>
        </w:tc>
        <w:tc>
          <w:tcPr>
            <w:tcW w:w="2126" w:type="dxa"/>
            <w:vAlign w:val="center"/>
          </w:tcPr>
          <w:p w14:paraId="5E8A0F7D">
            <w:pPr>
              <w:adjustRightInd w:val="0"/>
              <w:snapToGrid w:val="0"/>
              <w:jc w:val="center"/>
              <w:rPr>
                <w:rFonts w:hint="eastAsia" w:ascii="宋体" w:hAnsi="宋体"/>
                <w:sz w:val="24"/>
              </w:rPr>
            </w:pPr>
          </w:p>
        </w:tc>
        <w:tc>
          <w:tcPr>
            <w:tcW w:w="1875" w:type="dxa"/>
            <w:vAlign w:val="center"/>
          </w:tcPr>
          <w:p w14:paraId="71810FAA">
            <w:pPr>
              <w:adjustRightInd w:val="0"/>
              <w:snapToGrid w:val="0"/>
              <w:jc w:val="center"/>
              <w:rPr>
                <w:rFonts w:hint="eastAsia" w:ascii="宋体" w:hAnsi="宋体"/>
                <w:sz w:val="24"/>
              </w:rPr>
            </w:pPr>
          </w:p>
        </w:tc>
        <w:tc>
          <w:tcPr>
            <w:tcW w:w="1009" w:type="dxa"/>
            <w:vAlign w:val="center"/>
          </w:tcPr>
          <w:p w14:paraId="7F42E41D">
            <w:pPr>
              <w:adjustRightInd w:val="0"/>
              <w:snapToGrid w:val="0"/>
              <w:jc w:val="center"/>
              <w:rPr>
                <w:rFonts w:hint="eastAsia" w:ascii="宋体" w:hAnsi="宋体"/>
                <w:sz w:val="24"/>
              </w:rPr>
            </w:pPr>
          </w:p>
        </w:tc>
      </w:tr>
      <w:tr w14:paraId="27A2E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F6A48DE">
            <w:pPr>
              <w:adjustRightInd w:val="0"/>
              <w:snapToGrid w:val="0"/>
              <w:jc w:val="center"/>
              <w:rPr>
                <w:rFonts w:hint="eastAsia" w:ascii="宋体" w:hAnsi="宋体"/>
                <w:sz w:val="24"/>
              </w:rPr>
            </w:pPr>
          </w:p>
        </w:tc>
        <w:tc>
          <w:tcPr>
            <w:tcW w:w="1482" w:type="dxa"/>
            <w:vAlign w:val="center"/>
          </w:tcPr>
          <w:p w14:paraId="5B7A5E3D">
            <w:pPr>
              <w:adjustRightInd w:val="0"/>
              <w:snapToGrid w:val="0"/>
              <w:jc w:val="center"/>
              <w:rPr>
                <w:rFonts w:hint="eastAsia" w:ascii="宋体" w:hAnsi="宋体"/>
                <w:sz w:val="24"/>
              </w:rPr>
            </w:pPr>
          </w:p>
        </w:tc>
        <w:tc>
          <w:tcPr>
            <w:tcW w:w="2384" w:type="dxa"/>
            <w:vAlign w:val="center"/>
          </w:tcPr>
          <w:p w14:paraId="007E3217">
            <w:pPr>
              <w:adjustRightInd w:val="0"/>
              <w:snapToGrid w:val="0"/>
              <w:jc w:val="center"/>
              <w:rPr>
                <w:rFonts w:hint="eastAsia" w:ascii="宋体" w:hAnsi="宋体"/>
                <w:sz w:val="24"/>
              </w:rPr>
            </w:pPr>
          </w:p>
        </w:tc>
        <w:tc>
          <w:tcPr>
            <w:tcW w:w="2126" w:type="dxa"/>
            <w:vAlign w:val="center"/>
          </w:tcPr>
          <w:p w14:paraId="04544D5D">
            <w:pPr>
              <w:adjustRightInd w:val="0"/>
              <w:snapToGrid w:val="0"/>
              <w:jc w:val="center"/>
              <w:rPr>
                <w:rFonts w:hint="eastAsia" w:ascii="宋体" w:hAnsi="宋体"/>
                <w:sz w:val="24"/>
              </w:rPr>
            </w:pPr>
          </w:p>
        </w:tc>
        <w:tc>
          <w:tcPr>
            <w:tcW w:w="1875" w:type="dxa"/>
            <w:vAlign w:val="center"/>
          </w:tcPr>
          <w:p w14:paraId="31289452">
            <w:pPr>
              <w:adjustRightInd w:val="0"/>
              <w:snapToGrid w:val="0"/>
              <w:jc w:val="center"/>
              <w:rPr>
                <w:rFonts w:hint="eastAsia" w:ascii="宋体" w:hAnsi="宋体"/>
                <w:sz w:val="24"/>
              </w:rPr>
            </w:pPr>
          </w:p>
        </w:tc>
        <w:tc>
          <w:tcPr>
            <w:tcW w:w="1009" w:type="dxa"/>
            <w:vAlign w:val="center"/>
          </w:tcPr>
          <w:p w14:paraId="7CCEE137">
            <w:pPr>
              <w:adjustRightInd w:val="0"/>
              <w:snapToGrid w:val="0"/>
              <w:jc w:val="center"/>
              <w:rPr>
                <w:rFonts w:hint="eastAsia" w:ascii="宋体" w:hAnsi="宋体"/>
                <w:sz w:val="24"/>
              </w:rPr>
            </w:pPr>
          </w:p>
        </w:tc>
      </w:tr>
      <w:tr w14:paraId="1392E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FFFF927">
            <w:pPr>
              <w:adjustRightInd w:val="0"/>
              <w:snapToGrid w:val="0"/>
              <w:jc w:val="center"/>
              <w:rPr>
                <w:rFonts w:hint="eastAsia" w:ascii="宋体" w:hAnsi="宋体"/>
                <w:sz w:val="24"/>
              </w:rPr>
            </w:pPr>
          </w:p>
        </w:tc>
        <w:tc>
          <w:tcPr>
            <w:tcW w:w="1482" w:type="dxa"/>
            <w:vAlign w:val="center"/>
          </w:tcPr>
          <w:p w14:paraId="0A06175A">
            <w:pPr>
              <w:adjustRightInd w:val="0"/>
              <w:snapToGrid w:val="0"/>
              <w:jc w:val="center"/>
              <w:rPr>
                <w:rFonts w:hint="eastAsia" w:ascii="宋体" w:hAnsi="宋体"/>
                <w:sz w:val="24"/>
              </w:rPr>
            </w:pPr>
          </w:p>
        </w:tc>
        <w:tc>
          <w:tcPr>
            <w:tcW w:w="2384" w:type="dxa"/>
            <w:vAlign w:val="center"/>
          </w:tcPr>
          <w:p w14:paraId="26BA846E">
            <w:pPr>
              <w:adjustRightInd w:val="0"/>
              <w:snapToGrid w:val="0"/>
              <w:jc w:val="center"/>
              <w:rPr>
                <w:rFonts w:hint="eastAsia" w:ascii="宋体" w:hAnsi="宋体"/>
                <w:sz w:val="24"/>
              </w:rPr>
            </w:pPr>
          </w:p>
        </w:tc>
        <w:tc>
          <w:tcPr>
            <w:tcW w:w="2126" w:type="dxa"/>
            <w:vAlign w:val="center"/>
          </w:tcPr>
          <w:p w14:paraId="5C77344B">
            <w:pPr>
              <w:adjustRightInd w:val="0"/>
              <w:snapToGrid w:val="0"/>
              <w:jc w:val="center"/>
              <w:rPr>
                <w:rFonts w:hint="eastAsia" w:ascii="宋体" w:hAnsi="宋体"/>
                <w:sz w:val="24"/>
              </w:rPr>
            </w:pPr>
          </w:p>
        </w:tc>
        <w:tc>
          <w:tcPr>
            <w:tcW w:w="1875" w:type="dxa"/>
            <w:vAlign w:val="center"/>
          </w:tcPr>
          <w:p w14:paraId="641E1442">
            <w:pPr>
              <w:adjustRightInd w:val="0"/>
              <w:snapToGrid w:val="0"/>
              <w:jc w:val="center"/>
              <w:rPr>
                <w:rFonts w:hint="eastAsia" w:ascii="宋体" w:hAnsi="宋体"/>
                <w:sz w:val="24"/>
              </w:rPr>
            </w:pPr>
          </w:p>
        </w:tc>
        <w:tc>
          <w:tcPr>
            <w:tcW w:w="1009" w:type="dxa"/>
            <w:vAlign w:val="center"/>
          </w:tcPr>
          <w:p w14:paraId="70FC2135">
            <w:pPr>
              <w:adjustRightInd w:val="0"/>
              <w:snapToGrid w:val="0"/>
              <w:jc w:val="center"/>
              <w:rPr>
                <w:rFonts w:hint="eastAsia" w:ascii="宋体" w:hAnsi="宋体"/>
                <w:sz w:val="24"/>
              </w:rPr>
            </w:pPr>
          </w:p>
        </w:tc>
      </w:tr>
      <w:tr w14:paraId="69DA1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637973D">
            <w:pPr>
              <w:adjustRightInd w:val="0"/>
              <w:snapToGrid w:val="0"/>
              <w:jc w:val="center"/>
              <w:rPr>
                <w:rFonts w:hint="eastAsia" w:ascii="宋体" w:hAnsi="宋体"/>
                <w:sz w:val="24"/>
              </w:rPr>
            </w:pPr>
          </w:p>
        </w:tc>
        <w:tc>
          <w:tcPr>
            <w:tcW w:w="1482" w:type="dxa"/>
            <w:vAlign w:val="center"/>
          </w:tcPr>
          <w:p w14:paraId="1DB1B184">
            <w:pPr>
              <w:adjustRightInd w:val="0"/>
              <w:snapToGrid w:val="0"/>
              <w:jc w:val="center"/>
              <w:rPr>
                <w:rFonts w:hint="eastAsia" w:ascii="宋体" w:hAnsi="宋体"/>
                <w:sz w:val="24"/>
              </w:rPr>
            </w:pPr>
          </w:p>
        </w:tc>
        <w:tc>
          <w:tcPr>
            <w:tcW w:w="2384" w:type="dxa"/>
            <w:vAlign w:val="center"/>
          </w:tcPr>
          <w:p w14:paraId="44F3CAD4">
            <w:pPr>
              <w:adjustRightInd w:val="0"/>
              <w:snapToGrid w:val="0"/>
              <w:jc w:val="center"/>
              <w:rPr>
                <w:rFonts w:hint="eastAsia" w:ascii="宋体" w:hAnsi="宋体"/>
                <w:sz w:val="24"/>
              </w:rPr>
            </w:pPr>
          </w:p>
        </w:tc>
        <w:tc>
          <w:tcPr>
            <w:tcW w:w="2126" w:type="dxa"/>
            <w:vAlign w:val="center"/>
          </w:tcPr>
          <w:p w14:paraId="57B8F17E">
            <w:pPr>
              <w:adjustRightInd w:val="0"/>
              <w:snapToGrid w:val="0"/>
              <w:jc w:val="center"/>
              <w:rPr>
                <w:rFonts w:hint="eastAsia" w:ascii="宋体" w:hAnsi="宋体"/>
                <w:sz w:val="24"/>
              </w:rPr>
            </w:pPr>
          </w:p>
        </w:tc>
        <w:tc>
          <w:tcPr>
            <w:tcW w:w="1875" w:type="dxa"/>
            <w:vAlign w:val="center"/>
          </w:tcPr>
          <w:p w14:paraId="6D155DBD">
            <w:pPr>
              <w:adjustRightInd w:val="0"/>
              <w:snapToGrid w:val="0"/>
              <w:jc w:val="center"/>
              <w:rPr>
                <w:rFonts w:hint="eastAsia" w:ascii="宋体" w:hAnsi="宋体"/>
                <w:sz w:val="24"/>
              </w:rPr>
            </w:pPr>
          </w:p>
        </w:tc>
        <w:tc>
          <w:tcPr>
            <w:tcW w:w="1009" w:type="dxa"/>
            <w:vAlign w:val="center"/>
          </w:tcPr>
          <w:p w14:paraId="67BA1C3C">
            <w:pPr>
              <w:adjustRightInd w:val="0"/>
              <w:snapToGrid w:val="0"/>
              <w:jc w:val="center"/>
              <w:rPr>
                <w:rFonts w:hint="eastAsia" w:ascii="宋体" w:hAnsi="宋体"/>
                <w:sz w:val="24"/>
              </w:rPr>
            </w:pPr>
          </w:p>
        </w:tc>
      </w:tr>
      <w:tr w14:paraId="24DF1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FC9A7D8">
            <w:pPr>
              <w:adjustRightInd w:val="0"/>
              <w:snapToGrid w:val="0"/>
              <w:jc w:val="center"/>
              <w:rPr>
                <w:rFonts w:hint="eastAsia" w:ascii="宋体" w:hAnsi="宋体"/>
                <w:sz w:val="24"/>
              </w:rPr>
            </w:pPr>
          </w:p>
        </w:tc>
        <w:tc>
          <w:tcPr>
            <w:tcW w:w="1482" w:type="dxa"/>
            <w:vAlign w:val="center"/>
          </w:tcPr>
          <w:p w14:paraId="2638FFEF">
            <w:pPr>
              <w:adjustRightInd w:val="0"/>
              <w:snapToGrid w:val="0"/>
              <w:jc w:val="center"/>
              <w:rPr>
                <w:rFonts w:hint="eastAsia" w:ascii="宋体" w:hAnsi="宋体"/>
                <w:sz w:val="24"/>
              </w:rPr>
            </w:pPr>
          </w:p>
        </w:tc>
        <w:tc>
          <w:tcPr>
            <w:tcW w:w="2384" w:type="dxa"/>
            <w:vAlign w:val="center"/>
          </w:tcPr>
          <w:p w14:paraId="73BF2E0A">
            <w:pPr>
              <w:adjustRightInd w:val="0"/>
              <w:snapToGrid w:val="0"/>
              <w:jc w:val="center"/>
              <w:rPr>
                <w:rFonts w:hint="eastAsia" w:ascii="宋体" w:hAnsi="宋体"/>
                <w:sz w:val="24"/>
              </w:rPr>
            </w:pPr>
          </w:p>
        </w:tc>
        <w:tc>
          <w:tcPr>
            <w:tcW w:w="2126" w:type="dxa"/>
            <w:vAlign w:val="center"/>
          </w:tcPr>
          <w:p w14:paraId="08563B02">
            <w:pPr>
              <w:adjustRightInd w:val="0"/>
              <w:snapToGrid w:val="0"/>
              <w:jc w:val="center"/>
              <w:rPr>
                <w:rFonts w:hint="eastAsia" w:ascii="宋体" w:hAnsi="宋体"/>
                <w:sz w:val="24"/>
              </w:rPr>
            </w:pPr>
          </w:p>
        </w:tc>
        <w:tc>
          <w:tcPr>
            <w:tcW w:w="1875" w:type="dxa"/>
            <w:vAlign w:val="center"/>
          </w:tcPr>
          <w:p w14:paraId="6F227B7D">
            <w:pPr>
              <w:adjustRightInd w:val="0"/>
              <w:snapToGrid w:val="0"/>
              <w:jc w:val="center"/>
              <w:rPr>
                <w:rFonts w:hint="eastAsia" w:ascii="宋体" w:hAnsi="宋体"/>
                <w:sz w:val="24"/>
              </w:rPr>
            </w:pPr>
          </w:p>
        </w:tc>
        <w:tc>
          <w:tcPr>
            <w:tcW w:w="1009" w:type="dxa"/>
            <w:vAlign w:val="center"/>
          </w:tcPr>
          <w:p w14:paraId="18E85A5B">
            <w:pPr>
              <w:adjustRightInd w:val="0"/>
              <w:snapToGrid w:val="0"/>
              <w:jc w:val="center"/>
              <w:rPr>
                <w:rFonts w:hint="eastAsia" w:ascii="宋体" w:hAnsi="宋体"/>
                <w:sz w:val="24"/>
              </w:rPr>
            </w:pPr>
          </w:p>
        </w:tc>
      </w:tr>
      <w:tr w14:paraId="351FD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D7F289D">
            <w:pPr>
              <w:adjustRightInd w:val="0"/>
              <w:snapToGrid w:val="0"/>
              <w:jc w:val="center"/>
              <w:rPr>
                <w:rFonts w:hint="eastAsia" w:ascii="宋体" w:hAnsi="宋体"/>
                <w:sz w:val="24"/>
              </w:rPr>
            </w:pPr>
          </w:p>
        </w:tc>
        <w:tc>
          <w:tcPr>
            <w:tcW w:w="1482" w:type="dxa"/>
            <w:vAlign w:val="center"/>
          </w:tcPr>
          <w:p w14:paraId="3245D073">
            <w:pPr>
              <w:adjustRightInd w:val="0"/>
              <w:snapToGrid w:val="0"/>
              <w:jc w:val="center"/>
              <w:rPr>
                <w:rFonts w:hint="eastAsia" w:ascii="宋体" w:hAnsi="宋体"/>
                <w:sz w:val="24"/>
              </w:rPr>
            </w:pPr>
          </w:p>
        </w:tc>
        <w:tc>
          <w:tcPr>
            <w:tcW w:w="2384" w:type="dxa"/>
            <w:vAlign w:val="center"/>
          </w:tcPr>
          <w:p w14:paraId="3B5A9535">
            <w:pPr>
              <w:adjustRightInd w:val="0"/>
              <w:snapToGrid w:val="0"/>
              <w:jc w:val="center"/>
              <w:rPr>
                <w:rFonts w:hint="eastAsia" w:ascii="宋体" w:hAnsi="宋体"/>
                <w:sz w:val="24"/>
              </w:rPr>
            </w:pPr>
          </w:p>
        </w:tc>
        <w:tc>
          <w:tcPr>
            <w:tcW w:w="2126" w:type="dxa"/>
            <w:vAlign w:val="center"/>
          </w:tcPr>
          <w:p w14:paraId="1D1AEC65">
            <w:pPr>
              <w:adjustRightInd w:val="0"/>
              <w:snapToGrid w:val="0"/>
              <w:jc w:val="center"/>
              <w:rPr>
                <w:rFonts w:hint="eastAsia" w:ascii="宋体" w:hAnsi="宋体"/>
                <w:sz w:val="24"/>
              </w:rPr>
            </w:pPr>
          </w:p>
        </w:tc>
        <w:tc>
          <w:tcPr>
            <w:tcW w:w="1875" w:type="dxa"/>
            <w:vAlign w:val="center"/>
          </w:tcPr>
          <w:p w14:paraId="2CEBA5E0">
            <w:pPr>
              <w:adjustRightInd w:val="0"/>
              <w:snapToGrid w:val="0"/>
              <w:jc w:val="center"/>
              <w:rPr>
                <w:rFonts w:hint="eastAsia" w:ascii="宋体" w:hAnsi="宋体"/>
                <w:sz w:val="24"/>
              </w:rPr>
            </w:pPr>
          </w:p>
        </w:tc>
        <w:tc>
          <w:tcPr>
            <w:tcW w:w="1009" w:type="dxa"/>
            <w:vAlign w:val="center"/>
          </w:tcPr>
          <w:p w14:paraId="67474B47">
            <w:pPr>
              <w:adjustRightInd w:val="0"/>
              <w:snapToGrid w:val="0"/>
              <w:jc w:val="center"/>
              <w:rPr>
                <w:rFonts w:hint="eastAsia" w:ascii="宋体" w:hAnsi="宋体"/>
                <w:sz w:val="24"/>
              </w:rPr>
            </w:pPr>
          </w:p>
        </w:tc>
      </w:tr>
    </w:tbl>
    <w:p w14:paraId="21D013C5">
      <w:pPr>
        <w:tabs>
          <w:tab w:val="left" w:pos="1800"/>
          <w:tab w:val="left" w:pos="5580"/>
        </w:tabs>
        <w:spacing w:line="360" w:lineRule="auto"/>
        <w:ind w:firstLine="360" w:firstLineChars="150"/>
        <w:jc w:val="left"/>
        <w:rPr>
          <w:rFonts w:hint="eastAsia" w:ascii="宋体" w:hAnsi="宋体"/>
          <w:sz w:val="24"/>
          <w:u w:val="single"/>
        </w:rPr>
      </w:pPr>
    </w:p>
    <w:p w14:paraId="469332D9">
      <w:pPr>
        <w:tabs>
          <w:tab w:val="left" w:pos="1800"/>
          <w:tab w:val="left" w:pos="5580"/>
        </w:tabs>
        <w:spacing w:line="360" w:lineRule="auto"/>
        <w:ind w:firstLine="360" w:firstLineChars="150"/>
        <w:jc w:val="left"/>
        <w:rPr>
          <w:rFonts w:hint="eastAsia" w:ascii="宋体" w:hAnsi="宋体"/>
          <w:sz w:val="24"/>
          <w:u w:val="single"/>
        </w:rPr>
      </w:pPr>
    </w:p>
    <w:p w14:paraId="18129736">
      <w:pPr>
        <w:tabs>
          <w:tab w:val="left" w:pos="1800"/>
          <w:tab w:val="left" w:pos="5580"/>
        </w:tabs>
        <w:jc w:val="left"/>
        <w:rPr>
          <w:rFonts w:hint="eastAsia" w:ascii="宋体" w:hAnsi="宋体"/>
          <w:sz w:val="24"/>
        </w:rPr>
      </w:pPr>
      <w:r>
        <w:rPr>
          <w:rFonts w:ascii="宋体" w:hAnsi="宋体"/>
          <w:sz w:val="24"/>
        </w:rPr>
        <w:t>注：</w:t>
      </w:r>
    </w:p>
    <w:p w14:paraId="1C3FA712">
      <w:pPr>
        <w:tabs>
          <w:tab w:val="left" w:pos="1800"/>
          <w:tab w:val="left" w:pos="5580"/>
        </w:tabs>
        <w:jc w:val="left"/>
        <w:rPr>
          <w:rFonts w:hint="eastAsia" w:ascii="宋体" w:hAnsi="宋体"/>
          <w:sz w:val="24"/>
        </w:rPr>
      </w:pPr>
      <w:r>
        <w:rPr>
          <w:rFonts w:hint="eastAsia" w:ascii="宋体" w:hAnsi="宋体"/>
          <w:sz w:val="24"/>
        </w:rPr>
        <w:t>1</w:t>
      </w:r>
      <w:r>
        <w:rPr>
          <w:rFonts w:ascii="宋体" w:hAnsi="宋体"/>
          <w:sz w:val="24"/>
        </w:rPr>
        <w:t>. 对竞争性磋商文件中的所有商务、技术要求，除本表所列明的所有偏离外，均视作供应商已对之理解和响应。此表中若无任何文字说明，内容为空白的</w:t>
      </w:r>
      <w:r>
        <w:rPr>
          <w:rFonts w:ascii="宋体" w:hAnsi="宋体"/>
          <w:b/>
          <w:sz w:val="24"/>
        </w:rPr>
        <w:t>响应无效</w:t>
      </w:r>
      <w:r>
        <w:rPr>
          <w:rFonts w:ascii="宋体" w:hAnsi="宋体"/>
          <w:sz w:val="24"/>
        </w:rPr>
        <w:t>。</w:t>
      </w:r>
    </w:p>
    <w:p w14:paraId="50F916B5">
      <w:pPr>
        <w:tabs>
          <w:tab w:val="left" w:pos="1800"/>
          <w:tab w:val="left" w:pos="5580"/>
        </w:tabs>
        <w:jc w:val="left"/>
        <w:rPr>
          <w:rFonts w:hint="eastAsia" w:ascii="宋体" w:hAnsi="宋体"/>
          <w:sz w:val="24"/>
        </w:rPr>
      </w:pPr>
      <w:r>
        <w:rPr>
          <w:rFonts w:ascii="宋体" w:hAnsi="宋体"/>
          <w:sz w:val="24"/>
        </w:rPr>
        <w:t>2.</w:t>
      </w:r>
      <w:r>
        <w:rPr>
          <w:rFonts w:hint="eastAsia" w:ascii="宋体" w:hAnsi="宋体"/>
          <w:sz w:val="24"/>
        </w:rPr>
        <w:t>“偏离情况”列应据实填写“正偏离”或“负偏离”。</w:t>
      </w:r>
    </w:p>
    <w:p w14:paraId="7EE90E4B">
      <w:pPr>
        <w:tabs>
          <w:tab w:val="left" w:pos="1800"/>
          <w:tab w:val="left" w:pos="5580"/>
        </w:tabs>
        <w:jc w:val="left"/>
        <w:rPr>
          <w:rFonts w:hint="eastAsia" w:ascii="宋体" w:hAnsi="宋体"/>
          <w:sz w:val="24"/>
        </w:rPr>
      </w:pPr>
    </w:p>
    <w:p w14:paraId="4DD64CB4">
      <w:pPr>
        <w:rPr>
          <w:rFonts w:hint="eastAsia" w:ascii="宋体" w:hAnsi="宋体"/>
          <w:sz w:val="24"/>
          <w:szCs w:val="20"/>
        </w:rPr>
      </w:pPr>
    </w:p>
    <w:p w14:paraId="3149802A">
      <w:pPr>
        <w:autoSpaceDE w:val="0"/>
        <w:autoSpaceDN w:val="0"/>
        <w:adjustRightInd w:val="0"/>
        <w:snapToGrid w:val="0"/>
        <w:spacing w:before="25" w:after="25" w:line="360" w:lineRule="auto"/>
        <w:ind w:right="63"/>
        <w:jc w:val="left"/>
        <w:rPr>
          <w:rFonts w:hint="eastAsia"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6BC69EE0">
      <w:pPr>
        <w:autoSpaceDE w:val="0"/>
        <w:autoSpaceDN w:val="0"/>
        <w:adjustRightInd w:val="0"/>
        <w:snapToGrid w:val="0"/>
        <w:spacing w:before="25" w:after="25" w:line="360" w:lineRule="auto"/>
        <w:ind w:right="63"/>
        <w:jc w:val="left"/>
        <w:rPr>
          <w:rFonts w:hint="eastAsia" w:ascii="宋体" w:hAnsi="宋体"/>
          <w:sz w:val="24"/>
          <w:szCs w:val="20"/>
        </w:rPr>
      </w:pPr>
      <w:r>
        <w:rPr>
          <w:rFonts w:ascii="宋体" w:hAnsi="宋体"/>
          <w:sz w:val="24"/>
          <w:szCs w:val="20"/>
        </w:rPr>
        <w:t xml:space="preserve">日期：____年____月____日 </w:t>
      </w:r>
    </w:p>
    <w:p w14:paraId="3DC9EC7D">
      <w:pPr>
        <w:tabs>
          <w:tab w:val="left" w:pos="360"/>
        </w:tabs>
        <w:snapToGrid w:val="0"/>
        <w:spacing w:line="360" w:lineRule="auto"/>
        <w:outlineLvl w:val="1"/>
        <w:rPr>
          <w:rFonts w:hint="eastAsia" w:ascii="宋体" w:hAnsi="宋体"/>
          <w:sz w:val="24"/>
        </w:rPr>
      </w:pPr>
      <w:r>
        <w:rPr>
          <w:rFonts w:ascii="宋体" w:hAnsi="宋体"/>
          <w:sz w:val="24"/>
          <w:szCs w:val="20"/>
        </w:rPr>
        <w:br w:type="page"/>
      </w:r>
    </w:p>
    <w:p w14:paraId="06824DA8">
      <w:pPr>
        <w:tabs>
          <w:tab w:val="left" w:pos="360"/>
        </w:tabs>
        <w:snapToGrid w:val="0"/>
        <w:spacing w:line="360" w:lineRule="auto"/>
        <w:outlineLvl w:val="1"/>
        <w:rPr>
          <w:rFonts w:hint="eastAsia" w:ascii="宋体" w:hAnsi="宋体"/>
          <w:sz w:val="24"/>
        </w:rPr>
      </w:pPr>
      <w:r>
        <w:rPr>
          <w:rFonts w:ascii="宋体" w:hAnsi="宋体"/>
          <w:sz w:val="24"/>
        </w:rPr>
        <w:t>1</w:t>
      </w:r>
      <w:r>
        <w:rPr>
          <w:rFonts w:hint="eastAsia" w:ascii="宋体" w:hAnsi="宋体"/>
          <w:sz w:val="24"/>
        </w:rPr>
        <w:t>0</w:t>
      </w:r>
      <w:r>
        <w:rPr>
          <w:rFonts w:ascii="宋体" w:hAnsi="宋体"/>
          <w:sz w:val="24"/>
        </w:rPr>
        <w:t xml:space="preserve">  竞争性磋商文件要求提供或供应商认为应附的其他材料</w:t>
      </w:r>
    </w:p>
    <w:p w14:paraId="4FE9DC21">
      <w:pPr>
        <w:tabs>
          <w:tab w:val="left" w:pos="360"/>
        </w:tabs>
        <w:snapToGrid w:val="0"/>
        <w:spacing w:line="360" w:lineRule="auto"/>
        <w:outlineLvl w:val="1"/>
        <w:rPr>
          <w:rFonts w:hint="eastAsia" w:ascii="宋体" w:hAnsi="宋体"/>
          <w:sz w:val="24"/>
        </w:rPr>
      </w:pPr>
      <w:r>
        <w:rPr>
          <w:rFonts w:ascii="宋体" w:hAnsi="宋体"/>
          <w:sz w:val="24"/>
        </w:rPr>
        <w:t>1</w:t>
      </w:r>
      <w:r>
        <w:rPr>
          <w:rFonts w:hint="eastAsia" w:ascii="宋体" w:hAnsi="宋体"/>
          <w:sz w:val="24"/>
        </w:rPr>
        <w:t>0</w:t>
      </w:r>
      <w:r>
        <w:rPr>
          <w:rFonts w:ascii="宋体" w:hAnsi="宋体"/>
          <w:sz w:val="24"/>
        </w:rPr>
        <w:t>-1 供应商信息采集表</w:t>
      </w:r>
    </w:p>
    <w:tbl>
      <w:tblPr>
        <w:tblStyle w:val="5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767"/>
        <w:gridCol w:w="2767"/>
        <w:gridCol w:w="2768"/>
      </w:tblGrid>
      <w:tr w14:paraId="7DFFA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67" w:type="dxa"/>
          </w:tcPr>
          <w:p w14:paraId="59AEBD5F">
            <w:pPr>
              <w:tabs>
                <w:tab w:val="left" w:pos="360"/>
              </w:tabs>
              <w:snapToGrid w:val="0"/>
              <w:spacing w:line="360" w:lineRule="auto"/>
              <w:jc w:val="center"/>
              <w:outlineLvl w:val="1"/>
              <w:rPr>
                <w:rFonts w:hint="eastAsia" w:ascii="宋体" w:hAnsi="宋体"/>
                <w:sz w:val="24"/>
              </w:rPr>
            </w:pPr>
            <w:r>
              <w:rPr>
                <w:rFonts w:ascii="宋体" w:hAnsi="宋体"/>
                <w:sz w:val="24"/>
              </w:rPr>
              <w:t>信息采集表</w:t>
            </w:r>
          </w:p>
        </w:tc>
        <w:tc>
          <w:tcPr>
            <w:tcW w:w="2767" w:type="dxa"/>
          </w:tcPr>
          <w:p w14:paraId="1FA3C81F">
            <w:pPr>
              <w:tabs>
                <w:tab w:val="left" w:pos="360"/>
              </w:tabs>
              <w:snapToGrid w:val="0"/>
              <w:spacing w:line="360" w:lineRule="auto"/>
              <w:jc w:val="center"/>
              <w:outlineLvl w:val="1"/>
              <w:rPr>
                <w:rFonts w:hint="eastAsia" w:ascii="宋体" w:hAnsi="宋体"/>
                <w:sz w:val="24"/>
              </w:rPr>
            </w:pPr>
            <w:r>
              <w:rPr>
                <w:rFonts w:ascii="宋体" w:hAnsi="宋体"/>
                <w:sz w:val="24"/>
              </w:rPr>
              <w:t>供应商所属性别</w:t>
            </w:r>
          </w:p>
        </w:tc>
        <w:tc>
          <w:tcPr>
            <w:tcW w:w="2768" w:type="dxa"/>
          </w:tcPr>
          <w:p w14:paraId="6941023C">
            <w:pPr>
              <w:tabs>
                <w:tab w:val="left" w:pos="360"/>
              </w:tabs>
              <w:snapToGrid w:val="0"/>
              <w:spacing w:line="360" w:lineRule="auto"/>
              <w:jc w:val="center"/>
              <w:outlineLvl w:val="1"/>
              <w:rPr>
                <w:rFonts w:hint="eastAsia" w:ascii="宋体" w:hAnsi="宋体"/>
                <w:sz w:val="24"/>
              </w:rPr>
            </w:pPr>
            <w:r>
              <w:rPr>
                <w:rFonts w:ascii="宋体" w:hAnsi="宋体"/>
                <w:sz w:val="24"/>
              </w:rPr>
              <w:t>外商投资类型</w:t>
            </w:r>
          </w:p>
        </w:tc>
      </w:tr>
      <w:tr w14:paraId="1ECE1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67" w:type="dxa"/>
          </w:tcPr>
          <w:p w14:paraId="52ECF015">
            <w:pPr>
              <w:tabs>
                <w:tab w:val="left" w:pos="360"/>
              </w:tabs>
              <w:snapToGrid w:val="0"/>
              <w:spacing w:line="360" w:lineRule="auto"/>
              <w:outlineLvl w:val="1"/>
              <w:rPr>
                <w:rFonts w:hint="eastAsia" w:ascii="宋体" w:hAnsi="宋体"/>
                <w:sz w:val="24"/>
              </w:rPr>
            </w:pPr>
          </w:p>
        </w:tc>
        <w:tc>
          <w:tcPr>
            <w:tcW w:w="2767" w:type="dxa"/>
          </w:tcPr>
          <w:p w14:paraId="66C32B6B">
            <w:pPr>
              <w:tabs>
                <w:tab w:val="left" w:pos="360"/>
              </w:tabs>
              <w:snapToGrid w:val="0"/>
              <w:spacing w:line="360" w:lineRule="auto"/>
              <w:outlineLvl w:val="1"/>
              <w:rPr>
                <w:rFonts w:hint="eastAsia" w:ascii="宋体" w:hAnsi="宋体"/>
                <w:sz w:val="24"/>
              </w:rPr>
            </w:pPr>
          </w:p>
        </w:tc>
        <w:tc>
          <w:tcPr>
            <w:tcW w:w="2768" w:type="dxa"/>
          </w:tcPr>
          <w:p w14:paraId="6865A73F">
            <w:pPr>
              <w:tabs>
                <w:tab w:val="left" w:pos="360"/>
              </w:tabs>
              <w:snapToGrid w:val="0"/>
              <w:spacing w:line="360" w:lineRule="auto"/>
              <w:outlineLvl w:val="1"/>
              <w:rPr>
                <w:rFonts w:hint="eastAsia" w:ascii="宋体" w:hAnsi="宋体"/>
                <w:sz w:val="24"/>
              </w:rPr>
            </w:pPr>
          </w:p>
        </w:tc>
      </w:tr>
      <w:tr w14:paraId="1E6BA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67" w:type="dxa"/>
          </w:tcPr>
          <w:p w14:paraId="62E1FDFE">
            <w:pPr>
              <w:tabs>
                <w:tab w:val="left" w:pos="360"/>
              </w:tabs>
              <w:snapToGrid w:val="0"/>
              <w:spacing w:line="360" w:lineRule="auto"/>
              <w:outlineLvl w:val="1"/>
              <w:rPr>
                <w:rFonts w:hint="eastAsia" w:ascii="宋体" w:hAnsi="宋体"/>
                <w:sz w:val="24"/>
              </w:rPr>
            </w:pPr>
          </w:p>
        </w:tc>
        <w:tc>
          <w:tcPr>
            <w:tcW w:w="2767" w:type="dxa"/>
          </w:tcPr>
          <w:p w14:paraId="12D9E9BE">
            <w:pPr>
              <w:tabs>
                <w:tab w:val="left" w:pos="360"/>
              </w:tabs>
              <w:snapToGrid w:val="0"/>
              <w:spacing w:line="360" w:lineRule="auto"/>
              <w:outlineLvl w:val="1"/>
              <w:rPr>
                <w:rFonts w:hint="eastAsia" w:ascii="宋体" w:hAnsi="宋体"/>
                <w:sz w:val="24"/>
              </w:rPr>
            </w:pPr>
          </w:p>
        </w:tc>
        <w:tc>
          <w:tcPr>
            <w:tcW w:w="2768" w:type="dxa"/>
          </w:tcPr>
          <w:p w14:paraId="4CE8EA26">
            <w:pPr>
              <w:tabs>
                <w:tab w:val="left" w:pos="360"/>
              </w:tabs>
              <w:snapToGrid w:val="0"/>
              <w:spacing w:line="360" w:lineRule="auto"/>
              <w:outlineLvl w:val="1"/>
              <w:rPr>
                <w:rFonts w:hint="eastAsia" w:ascii="宋体" w:hAnsi="宋体"/>
                <w:sz w:val="24"/>
              </w:rPr>
            </w:pPr>
          </w:p>
        </w:tc>
      </w:tr>
      <w:tr w14:paraId="7B2BE4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67" w:type="dxa"/>
          </w:tcPr>
          <w:p w14:paraId="224AA067">
            <w:pPr>
              <w:tabs>
                <w:tab w:val="left" w:pos="360"/>
              </w:tabs>
              <w:snapToGrid w:val="0"/>
              <w:spacing w:line="360" w:lineRule="auto"/>
              <w:outlineLvl w:val="1"/>
              <w:rPr>
                <w:rFonts w:hint="eastAsia" w:ascii="宋体" w:hAnsi="宋体"/>
                <w:sz w:val="24"/>
              </w:rPr>
            </w:pPr>
          </w:p>
        </w:tc>
        <w:tc>
          <w:tcPr>
            <w:tcW w:w="2767" w:type="dxa"/>
          </w:tcPr>
          <w:p w14:paraId="23F865D0">
            <w:pPr>
              <w:tabs>
                <w:tab w:val="left" w:pos="360"/>
              </w:tabs>
              <w:snapToGrid w:val="0"/>
              <w:spacing w:line="360" w:lineRule="auto"/>
              <w:outlineLvl w:val="1"/>
              <w:rPr>
                <w:rFonts w:hint="eastAsia" w:ascii="宋体" w:hAnsi="宋体"/>
                <w:sz w:val="24"/>
              </w:rPr>
            </w:pPr>
          </w:p>
        </w:tc>
        <w:tc>
          <w:tcPr>
            <w:tcW w:w="2768" w:type="dxa"/>
          </w:tcPr>
          <w:p w14:paraId="0B66A09A">
            <w:pPr>
              <w:tabs>
                <w:tab w:val="left" w:pos="360"/>
              </w:tabs>
              <w:snapToGrid w:val="0"/>
              <w:spacing w:line="360" w:lineRule="auto"/>
              <w:outlineLvl w:val="1"/>
              <w:rPr>
                <w:rFonts w:hint="eastAsia" w:ascii="宋体" w:hAnsi="宋体"/>
                <w:sz w:val="24"/>
              </w:rPr>
            </w:pPr>
          </w:p>
        </w:tc>
      </w:tr>
      <w:tr w14:paraId="0AB73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67" w:type="dxa"/>
          </w:tcPr>
          <w:p w14:paraId="5DF2708F">
            <w:pPr>
              <w:tabs>
                <w:tab w:val="left" w:pos="360"/>
              </w:tabs>
              <w:snapToGrid w:val="0"/>
              <w:spacing w:line="360" w:lineRule="auto"/>
              <w:outlineLvl w:val="1"/>
              <w:rPr>
                <w:rFonts w:hint="eastAsia" w:ascii="宋体" w:hAnsi="宋体"/>
                <w:sz w:val="24"/>
              </w:rPr>
            </w:pPr>
          </w:p>
        </w:tc>
        <w:tc>
          <w:tcPr>
            <w:tcW w:w="2767" w:type="dxa"/>
          </w:tcPr>
          <w:p w14:paraId="38D518C2">
            <w:pPr>
              <w:tabs>
                <w:tab w:val="left" w:pos="360"/>
              </w:tabs>
              <w:snapToGrid w:val="0"/>
              <w:spacing w:line="360" w:lineRule="auto"/>
              <w:outlineLvl w:val="1"/>
              <w:rPr>
                <w:rFonts w:hint="eastAsia" w:ascii="宋体" w:hAnsi="宋体"/>
                <w:sz w:val="24"/>
              </w:rPr>
            </w:pPr>
          </w:p>
        </w:tc>
        <w:tc>
          <w:tcPr>
            <w:tcW w:w="2768" w:type="dxa"/>
          </w:tcPr>
          <w:p w14:paraId="62239926">
            <w:pPr>
              <w:tabs>
                <w:tab w:val="left" w:pos="360"/>
              </w:tabs>
              <w:snapToGrid w:val="0"/>
              <w:spacing w:line="360" w:lineRule="auto"/>
              <w:outlineLvl w:val="1"/>
              <w:rPr>
                <w:rFonts w:hint="eastAsia" w:ascii="宋体" w:hAnsi="宋体"/>
                <w:sz w:val="24"/>
              </w:rPr>
            </w:pPr>
          </w:p>
        </w:tc>
      </w:tr>
    </w:tbl>
    <w:p w14:paraId="3293BBC4">
      <w:pPr>
        <w:tabs>
          <w:tab w:val="left" w:pos="360"/>
        </w:tabs>
        <w:snapToGrid w:val="0"/>
        <w:spacing w:line="360" w:lineRule="auto"/>
        <w:outlineLvl w:val="1"/>
        <w:rPr>
          <w:rFonts w:hint="eastAsia" w:ascii="宋体" w:hAnsi="宋体"/>
          <w:sz w:val="24"/>
        </w:rPr>
      </w:pPr>
    </w:p>
    <w:p w14:paraId="68970AF8">
      <w:pPr>
        <w:tabs>
          <w:tab w:val="left" w:pos="360"/>
        </w:tabs>
        <w:snapToGrid w:val="0"/>
        <w:spacing w:line="360" w:lineRule="auto"/>
        <w:outlineLvl w:val="1"/>
        <w:rPr>
          <w:rFonts w:hint="eastAsia" w:ascii="宋体" w:hAnsi="宋体"/>
          <w:sz w:val="24"/>
        </w:rPr>
      </w:pPr>
    </w:p>
    <w:p w14:paraId="058CB1DA">
      <w:pPr>
        <w:tabs>
          <w:tab w:val="left" w:pos="360"/>
        </w:tabs>
        <w:snapToGrid w:val="0"/>
        <w:spacing w:line="360" w:lineRule="auto"/>
        <w:outlineLvl w:val="1"/>
        <w:rPr>
          <w:rFonts w:hint="eastAsia" w:ascii="宋体" w:hAnsi="宋体"/>
          <w:sz w:val="24"/>
        </w:rPr>
      </w:pPr>
    </w:p>
    <w:p w14:paraId="018F9EF0">
      <w:pPr>
        <w:tabs>
          <w:tab w:val="left" w:pos="360"/>
        </w:tabs>
        <w:snapToGrid w:val="0"/>
        <w:spacing w:line="360" w:lineRule="auto"/>
        <w:outlineLvl w:val="1"/>
        <w:rPr>
          <w:rFonts w:hint="eastAsia" w:ascii="宋体" w:hAnsi="宋体"/>
          <w:sz w:val="24"/>
        </w:rPr>
      </w:pPr>
      <w:r>
        <w:rPr>
          <w:rFonts w:ascii="宋体" w:hAnsi="宋体"/>
          <w:sz w:val="24"/>
        </w:rPr>
        <w:t xml:space="preserve">注：1.供应商如为联合体，则应填写联合体各成员信息。 </w:t>
      </w:r>
    </w:p>
    <w:p w14:paraId="7DD10D23">
      <w:pPr>
        <w:tabs>
          <w:tab w:val="left" w:pos="360"/>
        </w:tabs>
        <w:snapToGrid w:val="0"/>
        <w:spacing w:line="360" w:lineRule="auto"/>
        <w:ind w:firstLine="480" w:firstLineChars="200"/>
        <w:outlineLvl w:val="1"/>
        <w:rPr>
          <w:rFonts w:hint="eastAsia" w:ascii="宋体" w:hAnsi="宋体"/>
          <w:sz w:val="24"/>
        </w:rPr>
      </w:pPr>
      <w:r>
        <w:rPr>
          <w:rFonts w:ascii="宋体" w:hAnsi="宋体"/>
          <w:sz w:val="24"/>
        </w:rPr>
        <w:t xml:space="preserve">2.供应商所属性别请填写“男”或“女”，指拥有供应商51%以上绝对所有权的性别；绝对所有权拥有者可以是一个人，也可以是多人合计计算。 </w:t>
      </w:r>
    </w:p>
    <w:p w14:paraId="57F20182">
      <w:pPr>
        <w:tabs>
          <w:tab w:val="left" w:pos="360"/>
        </w:tabs>
        <w:snapToGrid w:val="0"/>
        <w:spacing w:line="360" w:lineRule="auto"/>
        <w:ind w:firstLine="480" w:firstLineChars="200"/>
        <w:outlineLvl w:val="1"/>
        <w:rPr>
          <w:rFonts w:hint="eastAsia" w:ascii="宋体" w:hAnsi="宋体"/>
          <w:sz w:val="24"/>
        </w:rPr>
      </w:pPr>
      <w:r>
        <w:rPr>
          <w:rFonts w:ascii="宋体" w:hAnsi="宋体"/>
          <w:sz w:val="24"/>
        </w:rPr>
        <w:t>3.外商投资类型请填写“外商单独投资”、“外商部分投资”或“内资”。</w:t>
      </w:r>
    </w:p>
    <w:p w14:paraId="7A30BF1A">
      <w:pPr>
        <w:widowControl/>
        <w:jc w:val="left"/>
        <w:rPr>
          <w:rFonts w:hint="eastAsia" w:ascii="宋体" w:hAnsi="宋体"/>
          <w:sz w:val="24"/>
        </w:rPr>
      </w:pPr>
    </w:p>
    <w:p w14:paraId="3B203158">
      <w:pPr>
        <w:widowControl/>
        <w:jc w:val="left"/>
        <w:rPr>
          <w:rFonts w:hint="eastAsia" w:ascii="宋体" w:hAnsi="宋体"/>
          <w:sz w:val="24"/>
        </w:rPr>
      </w:pPr>
      <w:r>
        <w:rPr>
          <w:rFonts w:hint="eastAsia" w:ascii="宋体" w:hAnsi="宋体"/>
          <w:sz w:val="24"/>
        </w:rPr>
        <w:br w:type="page"/>
      </w:r>
    </w:p>
    <w:p w14:paraId="5D11E232">
      <w:pPr>
        <w:widowControl/>
        <w:jc w:val="left"/>
        <w:rPr>
          <w:rFonts w:hint="eastAsia" w:ascii="宋体" w:hAnsi="宋体"/>
          <w:sz w:val="24"/>
        </w:rPr>
      </w:pPr>
    </w:p>
    <w:p w14:paraId="121F8137">
      <w:pPr>
        <w:tabs>
          <w:tab w:val="left" w:pos="360"/>
        </w:tabs>
        <w:snapToGrid w:val="0"/>
        <w:spacing w:line="360" w:lineRule="auto"/>
        <w:outlineLvl w:val="1"/>
        <w:rPr>
          <w:rFonts w:hint="eastAsia" w:ascii="宋体" w:hAnsi="宋体"/>
          <w:sz w:val="24"/>
        </w:rPr>
      </w:pPr>
      <w:r>
        <w:rPr>
          <w:rFonts w:hint="eastAsia" w:ascii="宋体" w:hAnsi="宋体"/>
          <w:sz w:val="24"/>
        </w:rPr>
        <w:t>11</w:t>
      </w:r>
      <w:r>
        <w:rPr>
          <w:rFonts w:ascii="宋体" w:hAnsi="宋体"/>
          <w:sz w:val="24"/>
        </w:rPr>
        <w:t xml:space="preserve">  </w:t>
      </w:r>
      <w:r>
        <w:rPr>
          <w:rFonts w:hint="eastAsia" w:ascii="宋体" w:hAnsi="宋体"/>
          <w:sz w:val="24"/>
        </w:rPr>
        <w:t>投标人/供应商认为需要提供的其他内容</w:t>
      </w:r>
    </w:p>
    <w:p w14:paraId="5DACE7C8">
      <w:pPr>
        <w:tabs>
          <w:tab w:val="left" w:pos="360"/>
        </w:tabs>
        <w:snapToGrid w:val="0"/>
        <w:spacing w:line="360" w:lineRule="auto"/>
        <w:outlineLvl w:val="1"/>
        <w:rPr>
          <w:rFonts w:hint="eastAsia" w:ascii="宋体" w:hAnsi="宋体"/>
          <w:sz w:val="24"/>
        </w:rPr>
      </w:pPr>
      <w:r>
        <w:rPr>
          <w:rFonts w:hint="eastAsia" w:ascii="宋体" w:hAnsi="宋体"/>
          <w:sz w:val="24"/>
        </w:rPr>
        <w:t>注：以下表格格式仅供参考，供应商可根据项目情况具体调整。</w:t>
      </w:r>
    </w:p>
    <w:p w14:paraId="4D44C477">
      <w:pPr>
        <w:autoSpaceDE w:val="0"/>
        <w:autoSpaceDN w:val="0"/>
        <w:adjustRightInd w:val="0"/>
        <w:snapToGrid w:val="0"/>
        <w:spacing w:line="300" w:lineRule="auto"/>
        <w:jc w:val="center"/>
        <w:rPr>
          <w:b/>
        </w:rPr>
      </w:pPr>
      <w:r>
        <w:rPr>
          <w:rFonts w:hint="eastAsia" w:ascii="宋体" w:hAnsi="宋体"/>
          <w:sz w:val="24"/>
        </w:rPr>
        <w:br w:type="page"/>
      </w:r>
      <w:r>
        <w:rPr>
          <w:rFonts w:hint="eastAsia"/>
          <w:b/>
        </w:rPr>
        <w:t>项目组织机构配备情况表</w:t>
      </w:r>
    </w:p>
    <w:tbl>
      <w:tblPr>
        <w:tblStyle w:val="57"/>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807"/>
        <w:gridCol w:w="900"/>
        <w:gridCol w:w="1080"/>
        <w:gridCol w:w="1260"/>
        <w:gridCol w:w="3599"/>
      </w:tblGrid>
      <w:tr w14:paraId="423FB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vAlign w:val="center"/>
          </w:tcPr>
          <w:p w14:paraId="6231D6C8">
            <w:pPr>
              <w:snapToGrid w:val="0"/>
              <w:spacing w:before="120" w:line="300" w:lineRule="auto"/>
              <w:rPr>
                <w:rFonts w:hint="eastAsia" w:ascii="宋体" w:hAnsi="宋体"/>
              </w:rPr>
            </w:pPr>
            <w:r>
              <w:rPr>
                <w:rFonts w:hint="eastAsia" w:ascii="宋体" w:hAnsi="宋体"/>
              </w:rPr>
              <w:t>序号</w:t>
            </w:r>
          </w:p>
        </w:tc>
        <w:tc>
          <w:tcPr>
            <w:tcW w:w="1807" w:type="dxa"/>
            <w:vAlign w:val="center"/>
          </w:tcPr>
          <w:p w14:paraId="2D09906C">
            <w:pPr>
              <w:snapToGrid w:val="0"/>
              <w:spacing w:before="120" w:line="300" w:lineRule="auto"/>
              <w:ind w:firstLine="480"/>
              <w:jc w:val="center"/>
              <w:rPr>
                <w:rFonts w:hint="eastAsia" w:ascii="宋体" w:hAnsi="宋体"/>
              </w:rPr>
            </w:pPr>
            <w:r>
              <w:rPr>
                <w:rFonts w:hint="eastAsia" w:ascii="宋体" w:hAnsi="宋体"/>
              </w:rPr>
              <w:t>姓名</w:t>
            </w:r>
          </w:p>
        </w:tc>
        <w:tc>
          <w:tcPr>
            <w:tcW w:w="900" w:type="dxa"/>
            <w:vAlign w:val="center"/>
          </w:tcPr>
          <w:p w14:paraId="62F649F0">
            <w:pPr>
              <w:snapToGrid w:val="0"/>
              <w:spacing w:before="120" w:line="300" w:lineRule="auto"/>
              <w:rPr>
                <w:rFonts w:hint="eastAsia" w:ascii="宋体" w:hAnsi="宋体"/>
              </w:rPr>
            </w:pPr>
            <w:r>
              <w:rPr>
                <w:rFonts w:hint="eastAsia" w:ascii="宋体" w:hAnsi="宋体"/>
              </w:rPr>
              <w:t>年龄</w:t>
            </w:r>
          </w:p>
        </w:tc>
        <w:tc>
          <w:tcPr>
            <w:tcW w:w="1080" w:type="dxa"/>
            <w:vAlign w:val="center"/>
          </w:tcPr>
          <w:p w14:paraId="1D7F59B3">
            <w:pPr>
              <w:snapToGrid w:val="0"/>
              <w:spacing w:before="120" w:line="300" w:lineRule="auto"/>
              <w:rPr>
                <w:rFonts w:hint="eastAsia" w:ascii="宋体" w:hAnsi="宋体"/>
              </w:rPr>
            </w:pPr>
            <w:r>
              <w:rPr>
                <w:rFonts w:hint="eastAsia" w:ascii="宋体" w:hAnsi="宋体"/>
              </w:rPr>
              <w:t>专业</w:t>
            </w:r>
          </w:p>
        </w:tc>
        <w:tc>
          <w:tcPr>
            <w:tcW w:w="1260" w:type="dxa"/>
            <w:vAlign w:val="center"/>
          </w:tcPr>
          <w:p w14:paraId="39A0F5E1">
            <w:pPr>
              <w:snapToGrid w:val="0"/>
              <w:spacing w:before="120" w:line="300" w:lineRule="auto"/>
              <w:ind w:firstLine="480"/>
              <w:jc w:val="center"/>
              <w:rPr>
                <w:rFonts w:hint="eastAsia" w:ascii="宋体" w:hAnsi="宋体"/>
              </w:rPr>
            </w:pPr>
            <w:r>
              <w:rPr>
                <w:rFonts w:hint="eastAsia" w:ascii="宋体" w:hAnsi="宋体"/>
              </w:rPr>
              <w:t>职称</w:t>
            </w:r>
          </w:p>
        </w:tc>
        <w:tc>
          <w:tcPr>
            <w:tcW w:w="3599" w:type="dxa"/>
            <w:vAlign w:val="center"/>
          </w:tcPr>
          <w:p w14:paraId="6F058803">
            <w:pPr>
              <w:snapToGrid w:val="0"/>
              <w:spacing w:before="120" w:line="300" w:lineRule="auto"/>
              <w:ind w:firstLine="480"/>
              <w:jc w:val="center"/>
              <w:rPr>
                <w:rFonts w:hint="eastAsia" w:ascii="宋体" w:hAnsi="宋体"/>
              </w:rPr>
            </w:pPr>
            <w:r>
              <w:rPr>
                <w:rFonts w:hint="eastAsia" w:ascii="宋体" w:hAnsi="宋体"/>
              </w:rPr>
              <w:t>在本项目中拟担任工作</w:t>
            </w:r>
          </w:p>
        </w:tc>
      </w:tr>
      <w:tr w14:paraId="65970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10" w:type="dxa"/>
            <w:vAlign w:val="center"/>
          </w:tcPr>
          <w:p w14:paraId="220F9492">
            <w:pPr>
              <w:snapToGrid w:val="0"/>
              <w:spacing w:line="300" w:lineRule="auto"/>
              <w:rPr>
                <w:rFonts w:hint="eastAsia" w:ascii="宋体" w:hAnsi="宋体"/>
              </w:rPr>
            </w:pPr>
            <w:r>
              <w:rPr>
                <w:rFonts w:hint="eastAsia" w:ascii="宋体" w:hAnsi="宋体"/>
              </w:rPr>
              <w:t>1</w:t>
            </w:r>
          </w:p>
        </w:tc>
        <w:tc>
          <w:tcPr>
            <w:tcW w:w="1807" w:type="dxa"/>
            <w:vAlign w:val="center"/>
          </w:tcPr>
          <w:p w14:paraId="4AC36BC5">
            <w:pPr>
              <w:snapToGrid w:val="0"/>
              <w:spacing w:line="300" w:lineRule="auto"/>
              <w:ind w:firstLine="480"/>
              <w:jc w:val="center"/>
              <w:rPr>
                <w:rFonts w:ascii="仿宋_GB2312" w:eastAsia="仿宋_GB2312"/>
              </w:rPr>
            </w:pPr>
          </w:p>
        </w:tc>
        <w:tc>
          <w:tcPr>
            <w:tcW w:w="900" w:type="dxa"/>
            <w:vAlign w:val="center"/>
          </w:tcPr>
          <w:p w14:paraId="460A5063">
            <w:pPr>
              <w:snapToGrid w:val="0"/>
              <w:spacing w:line="300" w:lineRule="auto"/>
              <w:ind w:firstLine="480"/>
              <w:jc w:val="center"/>
              <w:rPr>
                <w:rFonts w:ascii="仿宋_GB2312" w:eastAsia="仿宋_GB2312"/>
              </w:rPr>
            </w:pPr>
          </w:p>
        </w:tc>
        <w:tc>
          <w:tcPr>
            <w:tcW w:w="1080" w:type="dxa"/>
          </w:tcPr>
          <w:p w14:paraId="14BACE6B">
            <w:pPr>
              <w:snapToGrid w:val="0"/>
              <w:spacing w:line="300" w:lineRule="auto"/>
              <w:ind w:firstLine="480"/>
              <w:jc w:val="center"/>
              <w:rPr>
                <w:rFonts w:ascii="仿宋_GB2312" w:eastAsia="仿宋_GB2312"/>
              </w:rPr>
            </w:pPr>
          </w:p>
        </w:tc>
        <w:tc>
          <w:tcPr>
            <w:tcW w:w="1260" w:type="dxa"/>
            <w:vAlign w:val="center"/>
          </w:tcPr>
          <w:p w14:paraId="5D8D9A4A">
            <w:pPr>
              <w:snapToGrid w:val="0"/>
              <w:spacing w:line="300" w:lineRule="auto"/>
              <w:ind w:firstLine="480"/>
              <w:jc w:val="center"/>
              <w:rPr>
                <w:rFonts w:ascii="仿宋_GB2312" w:eastAsia="仿宋_GB2312"/>
              </w:rPr>
            </w:pPr>
          </w:p>
        </w:tc>
        <w:tc>
          <w:tcPr>
            <w:tcW w:w="3599" w:type="dxa"/>
            <w:vAlign w:val="center"/>
          </w:tcPr>
          <w:p w14:paraId="1C64E44C">
            <w:pPr>
              <w:snapToGrid w:val="0"/>
              <w:spacing w:before="120" w:line="300" w:lineRule="auto"/>
              <w:ind w:firstLine="480"/>
              <w:jc w:val="center"/>
              <w:rPr>
                <w:rFonts w:ascii="仿宋_GB2312" w:eastAsia="仿宋_GB2312"/>
              </w:rPr>
            </w:pPr>
          </w:p>
        </w:tc>
      </w:tr>
      <w:tr w14:paraId="285A2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10" w:type="dxa"/>
            <w:vAlign w:val="center"/>
          </w:tcPr>
          <w:p w14:paraId="6D3AD4D4">
            <w:pPr>
              <w:snapToGrid w:val="0"/>
              <w:spacing w:line="300" w:lineRule="auto"/>
              <w:rPr>
                <w:rFonts w:hint="eastAsia" w:ascii="宋体" w:hAnsi="宋体"/>
              </w:rPr>
            </w:pPr>
            <w:r>
              <w:rPr>
                <w:rFonts w:hint="eastAsia" w:ascii="宋体" w:hAnsi="宋体"/>
              </w:rPr>
              <w:t>2</w:t>
            </w:r>
          </w:p>
        </w:tc>
        <w:tc>
          <w:tcPr>
            <w:tcW w:w="1807" w:type="dxa"/>
            <w:vAlign w:val="center"/>
          </w:tcPr>
          <w:p w14:paraId="0503C57A">
            <w:pPr>
              <w:snapToGrid w:val="0"/>
              <w:spacing w:line="300" w:lineRule="auto"/>
              <w:ind w:firstLine="480"/>
              <w:jc w:val="center"/>
              <w:rPr>
                <w:rFonts w:ascii="仿宋_GB2312" w:eastAsia="仿宋_GB2312"/>
              </w:rPr>
            </w:pPr>
          </w:p>
        </w:tc>
        <w:tc>
          <w:tcPr>
            <w:tcW w:w="900" w:type="dxa"/>
            <w:vAlign w:val="center"/>
          </w:tcPr>
          <w:p w14:paraId="7CBB818E">
            <w:pPr>
              <w:snapToGrid w:val="0"/>
              <w:spacing w:line="300" w:lineRule="auto"/>
              <w:ind w:firstLine="480"/>
              <w:jc w:val="center"/>
              <w:rPr>
                <w:rFonts w:ascii="仿宋_GB2312" w:eastAsia="仿宋_GB2312"/>
              </w:rPr>
            </w:pPr>
          </w:p>
        </w:tc>
        <w:tc>
          <w:tcPr>
            <w:tcW w:w="1080" w:type="dxa"/>
          </w:tcPr>
          <w:p w14:paraId="4066132E">
            <w:pPr>
              <w:snapToGrid w:val="0"/>
              <w:spacing w:line="300" w:lineRule="auto"/>
              <w:ind w:firstLine="480"/>
              <w:jc w:val="center"/>
              <w:rPr>
                <w:rFonts w:ascii="仿宋_GB2312" w:eastAsia="仿宋_GB2312"/>
              </w:rPr>
            </w:pPr>
          </w:p>
        </w:tc>
        <w:tc>
          <w:tcPr>
            <w:tcW w:w="1260" w:type="dxa"/>
            <w:vAlign w:val="center"/>
          </w:tcPr>
          <w:p w14:paraId="26FAA973">
            <w:pPr>
              <w:snapToGrid w:val="0"/>
              <w:spacing w:line="300" w:lineRule="auto"/>
              <w:ind w:firstLine="480"/>
              <w:jc w:val="center"/>
              <w:rPr>
                <w:rFonts w:ascii="仿宋_GB2312" w:eastAsia="仿宋_GB2312"/>
              </w:rPr>
            </w:pPr>
          </w:p>
        </w:tc>
        <w:tc>
          <w:tcPr>
            <w:tcW w:w="3599" w:type="dxa"/>
            <w:vAlign w:val="center"/>
          </w:tcPr>
          <w:p w14:paraId="79435D2B">
            <w:pPr>
              <w:snapToGrid w:val="0"/>
              <w:spacing w:before="120" w:line="300" w:lineRule="auto"/>
              <w:ind w:firstLine="480"/>
              <w:jc w:val="center"/>
              <w:rPr>
                <w:rFonts w:ascii="仿宋_GB2312" w:eastAsia="仿宋_GB2312"/>
              </w:rPr>
            </w:pPr>
          </w:p>
        </w:tc>
      </w:tr>
      <w:tr w14:paraId="54E31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10" w:type="dxa"/>
            <w:vAlign w:val="center"/>
          </w:tcPr>
          <w:p w14:paraId="251FE9FA">
            <w:pPr>
              <w:autoSpaceDE w:val="0"/>
              <w:autoSpaceDN w:val="0"/>
              <w:adjustRightInd w:val="0"/>
              <w:snapToGrid w:val="0"/>
              <w:spacing w:line="300" w:lineRule="auto"/>
              <w:rPr>
                <w:rFonts w:hint="eastAsia" w:ascii="宋体" w:hAnsi="宋体"/>
              </w:rPr>
            </w:pPr>
            <w:r>
              <w:rPr>
                <w:rFonts w:hint="eastAsia" w:ascii="宋体" w:hAnsi="宋体"/>
              </w:rPr>
              <w:t>3</w:t>
            </w:r>
          </w:p>
        </w:tc>
        <w:tc>
          <w:tcPr>
            <w:tcW w:w="1807" w:type="dxa"/>
            <w:vAlign w:val="center"/>
          </w:tcPr>
          <w:p w14:paraId="545FD0DE">
            <w:pPr>
              <w:autoSpaceDE w:val="0"/>
              <w:autoSpaceDN w:val="0"/>
              <w:adjustRightInd w:val="0"/>
              <w:snapToGrid w:val="0"/>
              <w:spacing w:line="300" w:lineRule="auto"/>
              <w:ind w:firstLine="480"/>
              <w:jc w:val="center"/>
              <w:rPr>
                <w:rFonts w:ascii="仿宋_GB2312" w:eastAsia="仿宋_GB2312"/>
              </w:rPr>
            </w:pPr>
          </w:p>
        </w:tc>
        <w:tc>
          <w:tcPr>
            <w:tcW w:w="900" w:type="dxa"/>
            <w:vAlign w:val="center"/>
          </w:tcPr>
          <w:p w14:paraId="7ADCC590">
            <w:pPr>
              <w:autoSpaceDE w:val="0"/>
              <w:autoSpaceDN w:val="0"/>
              <w:adjustRightInd w:val="0"/>
              <w:snapToGrid w:val="0"/>
              <w:spacing w:line="300" w:lineRule="auto"/>
              <w:ind w:firstLine="480"/>
              <w:jc w:val="center"/>
              <w:rPr>
                <w:rFonts w:ascii="仿宋_GB2312" w:eastAsia="仿宋_GB2312"/>
              </w:rPr>
            </w:pPr>
          </w:p>
        </w:tc>
        <w:tc>
          <w:tcPr>
            <w:tcW w:w="1080" w:type="dxa"/>
          </w:tcPr>
          <w:p w14:paraId="02941B41">
            <w:pPr>
              <w:autoSpaceDE w:val="0"/>
              <w:autoSpaceDN w:val="0"/>
              <w:adjustRightInd w:val="0"/>
              <w:snapToGrid w:val="0"/>
              <w:spacing w:line="300" w:lineRule="auto"/>
              <w:ind w:firstLine="480"/>
              <w:jc w:val="center"/>
              <w:rPr>
                <w:rFonts w:ascii="仿宋_GB2312" w:eastAsia="仿宋_GB2312"/>
              </w:rPr>
            </w:pPr>
          </w:p>
        </w:tc>
        <w:tc>
          <w:tcPr>
            <w:tcW w:w="1260" w:type="dxa"/>
            <w:vAlign w:val="center"/>
          </w:tcPr>
          <w:p w14:paraId="06E63C7F">
            <w:pPr>
              <w:autoSpaceDE w:val="0"/>
              <w:autoSpaceDN w:val="0"/>
              <w:adjustRightInd w:val="0"/>
              <w:snapToGrid w:val="0"/>
              <w:spacing w:line="300" w:lineRule="auto"/>
              <w:ind w:firstLine="480"/>
              <w:jc w:val="center"/>
              <w:rPr>
                <w:rFonts w:ascii="仿宋_GB2312" w:eastAsia="仿宋_GB2312"/>
              </w:rPr>
            </w:pPr>
          </w:p>
        </w:tc>
        <w:tc>
          <w:tcPr>
            <w:tcW w:w="3599" w:type="dxa"/>
            <w:vAlign w:val="center"/>
          </w:tcPr>
          <w:p w14:paraId="49AB8A3D">
            <w:pPr>
              <w:autoSpaceDE w:val="0"/>
              <w:autoSpaceDN w:val="0"/>
              <w:adjustRightInd w:val="0"/>
              <w:snapToGrid w:val="0"/>
              <w:spacing w:line="300" w:lineRule="auto"/>
              <w:ind w:firstLine="480"/>
              <w:jc w:val="center"/>
              <w:rPr>
                <w:rFonts w:ascii="仿宋_GB2312" w:eastAsia="仿宋_GB2312"/>
              </w:rPr>
            </w:pPr>
          </w:p>
        </w:tc>
      </w:tr>
      <w:tr w14:paraId="16E29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10" w:type="dxa"/>
            <w:vAlign w:val="center"/>
          </w:tcPr>
          <w:p w14:paraId="26D6869A">
            <w:pPr>
              <w:autoSpaceDE w:val="0"/>
              <w:autoSpaceDN w:val="0"/>
              <w:adjustRightInd w:val="0"/>
              <w:snapToGrid w:val="0"/>
              <w:spacing w:line="300" w:lineRule="auto"/>
              <w:ind w:firstLine="480"/>
              <w:rPr>
                <w:rFonts w:ascii="仿宋_GB2312" w:eastAsia="仿宋_GB2312"/>
              </w:rPr>
            </w:pPr>
          </w:p>
        </w:tc>
        <w:tc>
          <w:tcPr>
            <w:tcW w:w="1807" w:type="dxa"/>
            <w:vAlign w:val="center"/>
          </w:tcPr>
          <w:p w14:paraId="0EF69C03">
            <w:pPr>
              <w:autoSpaceDE w:val="0"/>
              <w:autoSpaceDN w:val="0"/>
              <w:adjustRightInd w:val="0"/>
              <w:snapToGrid w:val="0"/>
              <w:spacing w:line="300" w:lineRule="auto"/>
              <w:ind w:firstLine="480"/>
              <w:jc w:val="center"/>
              <w:rPr>
                <w:rFonts w:ascii="仿宋_GB2312" w:eastAsia="仿宋_GB2312"/>
              </w:rPr>
            </w:pPr>
          </w:p>
        </w:tc>
        <w:tc>
          <w:tcPr>
            <w:tcW w:w="900" w:type="dxa"/>
            <w:vAlign w:val="center"/>
          </w:tcPr>
          <w:p w14:paraId="25CBDF4E">
            <w:pPr>
              <w:autoSpaceDE w:val="0"/>
              <w:autoSpaceDN w:val="0"/>
              <w:adjustRightInd w:val="0"/>
              <w:snapToGrid w:val="0"/>
              <w:spacing w:line="300" w:lineRule="auto"/>
              <w:ind w:firstLine="480"/>
              <w:jc w:val="center"/>
              <w:rPr>
                <w:rFonts w:ascii="仿宋_GB2312" w:eastAsia="仿宋_GB2312"/>
              </w:rPr>
            </w:pPr>
          </w:p>
        </w:tc>
        <w:tc>
          <w:tcPr>
            <w:tcW w:w="1080" w:type="dxa"/>
          </w:tcPr>
          <w:p w14:paraId="1942805D">
            <w:pPr>
              <w:autoSpaceDE w:val="0"/>
              <w:autoSpaceDN w:val="0"/>
              <w:adjustRightInd w:val="0"/>
              <w:snapToGrid w:val="0"/>
              <w:spacing w:line="300" w:lineRule="auto"/>
              <w:ind w:firstLine="480"/>
              <w:jc w:val="center"/>
              <w:rPr>
                <w:rFonts w:ascii="仿宋_GB2312" w:eastAsia="仿宋_GB2312"/>
              </w:rPr>
            </w:pPr>
          </w:p>
        </w:tc>
        <w:tc>
          <w:tcPr>
            <w:tcW w:w="1260" w:type="dxa"/>
            <w:vAlign w:val="center"/>
          </w:tcPr>
          <w:p w14:paraId="27433F23">
            <w:pPr>
              <w:autoSpaceDE w:val="0"/>
              <w:autoSpaceDN w:val="0"/>
              <w:adjustRightInd w:val="0"/>
              <w:snapToGrid w:val="0"/>
              <w:spacing w:line="300" w:lineRule="auto"/>
              <w:ind w:firstLine="480"/>
              <w:jc w:val="center"/>
              <w:rPr>
                <w:rFonts w:ascii="仿宋_GB2312" w:eastAsia="仿宋_GB2312"/>
              </w:rPr>
            </w:pPr>
          </w:p>
        </w:tc>
        <w:tc>
          <w:tcPr>
            <w:tcW w:w="3599" w:type="dxa"/>
            <w:vAlign w:val="center"/>
          </w:tcPr>
          <w:p w14:paraId="59D9E2E7">
            <w:pPr>
              <w:autoSpaceDE w:val="0"/>
              <w:autoSpaceDN w:val="0"/>
              <w:adjustRightInd w:val="0"/>
              <w:snapToGrid w:val="0"/>
              <w:spacing w:line="300" w:lineRule="auto"/>
              <w:ind w:firstLine="480"/>
              <w:jc w:val="center"/>
              <w:rPr>
                <w:rFonts w:ascii="仿宋_GB2312" w:eastAsia="仿宋_GB2312"/>
              </w:rPr>
            </w:pPr>
          </w:p>
        </w:tc>
      </w:tr>
      <w:tr w14:paraId="335C7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10" w:type="dxa"/>
            <w:vAlign w:val="center"/>
          </w:tcPr>
          <w:p w14:paraId="0D26CF57">
            <w:pPr>
              <w:autoSpaceDE w:val="0"/>
              <w:autoSpaceDN w:val="0"/>
              <w:adjustRightInd w:val="0"/>
              <w:snapToGrid w:val="0"/>
              <w:spacing w:line="300" w:lineRule="auto"/>
              <w:ind w:firstLine="480"/>
              <w:rPr>
                <w:rFonts w:ascii="仿宋_GB2312" w:eastAsia="仿宋_GB2312"/>
              </w:rPr>
            </w:pPr>
          </w:p>
        </w:tc>
        <w:tc>
          <w:tcPr>
            <w:tcW w:w="1807" w:type="dxa"/>
            <w:vAlign w:val="center"/>
          </w:tcPr>
          <w:p w14:paraId="24ED02AA">
            <w:pPr>
              <w:autoSpaceDE w:val="0"/>
              <w:autoSpaceDN w:val="0"/>
              <w:adjustRightInd w:val="0"/>
              <w:snapToGrid w:val="0"/>
              <w:spacing w:line="300" w:lineRule="auto"/>
              <w:ind w:firstLine="480"/>
              <w:jc w:val="center"/>
              <w:rPr>
                <w:rFonts w:ascii="仿宋_GB2312" w:eastAsia="仿宋_GB2312"/>
              </w:rPr>
            </w:pPr>
          </w:p>
        </w:tc>
        <w:tc>
          <w:tcPr>
            <w:tcW w:w="900" w:type="dxa"/>
            <w:vAlign w:val="center"/>
          </w:tcPr>
          <w:p w14:paraId="338C073B">
            <w:pPr>
              <w:autoSpaceDE w:val="0"/>
              <w:autoSpaceDN w:val="0"/>
              <w:adjustRightInd w:val="0"/>
              <w:snapToGrid w:val="0"/>
              <w:spacing w:line="300" w:lineRule="auto"/>
              <w:ind w:firstLine="480"/>
              <w:jc w:val="center"/>
              <w:rPr>
                <w:rFonts w:ascii="仿宋_GB2312" w:eastAsia="仿宋_GB2312"/>
              </w:rPr>
            </w:pPr>
          </w:p>
        </w:tc>
        <w:tc>
          <w:tcPr>
            <w:tcW w:w="1080" w:type="dxa"/>
          </w:tcPr>
          <w:p w14:paraId="1DFE2340">
            <w:pPr>
              <w:autoSpaceDE w:val="0"/>
              <w:autoSpaceDN w:val="0"/>
              <w:adjustRightInd w:val="0"/>
              <w:snapToGrid w:val="0"/>
              <w:spacing w:line="300" w:lineRule="auto"/>
              <w:ind w:firstLine="480"/>
              <w:jc w:val="center"/>
              <w:rPr>
                <w:rFonts w:ascii="仿宋_GB2312" w:eastAsia="仿宋_GB2312"/>
              </w:rPr>
            </w:pPr>
          </w:p>
        </w:tc>
        <w:tc>
          <w:tcPr>
            <w:tcW w:w="1260" w:type="dxa"/>
            <w:vAlign w:val="center"/>
          </w:tcPr>
          <w:p w14:paraId="399B064C">
            <w:pPr>
              <w:autoSpaceDE w:val="0"/>
              <w:autoSpaceDN w:val="0"/>
              <w:adjustRightInd w:val="0"/>
              <w:snapToGrid w:val="0"/>
              <w:spacing w:line="300" w:lineRule="auto"/>
              <w:ind w:firstLine="480"/>
              <w:jc w:val="center"/>
              <w:rPr>
                <w:rFonts w:ascii="仿宋_GB2312" w:eastAsia="仿宋_GB2312"/>
              </w:rPr>
            </w:pPr>
          </w:p>
        </w:tc>
        <w:tc>
          <w:tcPr>
            <w:tcW w:w="3599" w:type="dxa"/>
            <w:vAlign w:val="center"/>
          </w:tcPr>
          <w:p w14:paraId="0B4D665B">
            <w:pPr>
              <w:autoSpaceDE w:val="0"/>
              <w:autoSpaceDN w:val="0"/>
              <w:adjustRightInd w:val="0"/>
              <w:snapToGrid w:val="0"/>
              <w:spacing w:line="300" w:lineRule="auto"/>
              <w:ind w:firstLine="480"/>
              <w:jc w:val="center"/>
              <w:rPr>
                <w:rFonts w:ascii="仿宋_GB2312" w:eastAsia="仿宋_GB2312"/>
              </w:rPr>
            </w:pPr>
          </w:p>
        </w:tc>
      </w:tr>
      <w:tr w14:paraId="2BB25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10" w:type="dxa"/>
            <w:vAlign w:val="center"/>
          </w:tcPr>
          <w:p w14:paraId="7D0AB099">
            <w:pPr>
              <w:autoSpaceDE w:val="0"/>
              <w:autoSpaceDN w:val="0"/>
              <w:adjustRightInd w:val="0"/>
              <w:snapToGrid w:val="0"/>
              <w:spacing w:line="300" w:lineRule="auto"/>
              <w:ind w:firstLine="480"/>
              <w:rPr>
                <w:rFonts w:ascii="仿宋_GB2312" w:eastAsia="仿宋_GB2312"/>
              </w:rPr>
            </w:pPr>
          </w:p>
        </w:tc>
        <w:tc>
          <w:tcPr>
            <w:tcW w:w="1807" w:type="dxa"/>
            <w:vAlign w:val="center"/>
          </w:tcPr>
          <w:p w14:paraId="1E25DF0F">
            <w:pPr>
              <w:autoSpaceDE w:val="0"/>
              <w:autoSpaceDN w:val="0"/>
              <w:adjustRightInd w:val="0"/>
              <w:snapToGrid w:val="0"/>
              <w:spacing w:line="300" w:lineRule="auto"/>
              <w:ind w:firstLine="480"/>
              <w:jc w:val="center"/>
              <w:rPr>
                <w:rFonts w:ascii="仿宋_GB2312" w:eastAsia="仿宋_GB2312"/>
              </w:rPr>
            </w:pPr>
          </w:p>
        </w:tc>
        <w:tc>
          <w:tcPr>
            <w:tcW w:w="900" w:type="dxa"/>
            <w:vAlign w:val="center"/>
          </w:tcPr>
          <w:p w14:paraId="2DEB177F">
            <w:pPr>
              <w:autoSpaceDE w:val="0"/>
              <w:autoSpaceDN w:val="0"/>
              <w:adjustRightInd w:val="0"/>
              <w:snapToGrid w:val="0"/>
              <w:spacing w:line="300" w:lineRule="auto"/>
              <w:ind w:firstLine="480"/>
              <w:jc w:val="center"/>
              <w:rPr>
                <w:rFonts w:ascii="仿宋_GB2312" w:eastAsia="仿宋_GB2312"/>
              </w:rPr>
            </w:pPr>
          </w:p>
        </w:tc>
        <w:tc>
          <w:tcPr>
            <w:tcW w:w="1080" w:type="dxa"/>
          </w:tcPr>
          <w:p w14:paraId="2EF11CD5">
            <w:pPr>
              <w:autoSpaceDE w:val="0"/>
              <w:autoSpaceDN w:val="0"/>
              <w:adjustRightInd w:val="0"/>
              <w:snapToGrid w:val="0"/>
              <w:spacing w:line="300" w:lineRule="auto"/>
              <w:ind w:firstLine="480"/>
              <w:jc w:val="center"/>
              <w:rPr>
                <w:rFonts w:ascii="仿宋_GB2312" w:eastAsia="仿宋_GB2312"/>
              </w:rPr>
            </w:pPr>
          </w:p>
        </w:tc>
        <w:tc>
          <w:tcPr>
            <w:tcW w:w="1260" w:type="dxa"/>
            <w:vAlign w:val="center"/>
          </w:tcPr>
          <w:p w14:paraId="72EBEBF8">
            <w:pPr>
              <w:autoSpaceDE w:val="0"/>
              <w:autoSpaceDN w:val="0"/>
              <w:adjustRightInd w:val="0"/>
              <w:snapToGrid w:val="0"/>
              <w:spacing w:line="300" w:lineRule="auto"/>
              <w:ind w:firstLine="480"/>
              <w:jc w:val="center"/>
              <w:rPr>
                <w:rFonts w:ascii="仿宋_GB2312" w:eastAsia="仿宋_GB2312"/>
              </w:rPr>
            </w:pPr>
          </w:p>
        </w:tc>
        <w:tc>
          <w:tcPr>
            <w:tcW w:w="3599" w:type="dxa"/>
            <w:vAlign w:val="center"/>
          </w:tcPr>
          <w:p w14:paraId="5FC88C11">
            <w:pPr>
              <w:autoSpaceDE w:val="0"/>
              <w:autoSpaceDN w:val="0"/>
              <w:adjustRightInd w:val="0"/>
              <w:snapToGrid w:val="0"/>
              <w:spacing w:line="300" w:lineRule="auto"/>
              <w:ind w:firstLine="480"/>
              <w:jc w:val="center"/>
              <w:rPr>
                <w:rFonts w:ascii="仿宋_GB2312" w:eastAsia="仿宋_GB2312"/>
              </w:rPr>
            </w:pPr>
          </w:p>
        </w:tc>
      </w:tr>
      <w:tr w14:paraId="5A7B4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10" w:type="dxa"/>
            <w:vAlign w:val="center"/>
          </w:tcPr>
          <w:p w14:paraId="7386C37F">
            <w:pPr>
              <w:autoSpaceDE w:val="0"/>
              <w:autoSpaceDN w:val="0"/>
              <w:adjustRightInd w:val="0"/>
              <w:snapToGrid w:val="0"/>
              <w:spacing w:line="300" w:lineRule="auto"/>
              <w:ind w:firstLine="480"/>
              <w:rPr>
                <w:rFonts w:ascii="仿宋_GB2312" w:eastAsia="仿宋_GB2312"/>
              </w:rPr>
            </w:pPr>
          </w:p>
        </w:tc>
        <w:tc>
          <w:tcPr>
            <w:tcW w:w="1807" w:type="dxa"/>
            <w:vAlign w:val="center"/>
          </w:tcPr>
          <w:p w14:paraId="1406E197">
            <w:pPr>
              <w:autoSpaceDE w:val="0"/>
              <w:autoSpaceDN w:val="0"/>
              <w:adjustRightInd w:val="0"/>
              <w:snapToGrid w:val="0"/>
              <w:spacing w:line="300" w:lineRule="auto"/>
              <w:ind w:firstLine="480"/>
              <w:jc w:val="center"/>
              <w:rPr>
                <w:rFonts w:ascii="仿宋_GB2312" w:eastAsia="仿宋_GB2312"/>
              </w:rPr>
            </w:pPr>
          </w:p>
        </w:tc>
        <w:tc>
          <w:tcPr>
            <w:tcW w:w="900" w:type="dxa"/>
            <w:vAlign w:val="center"/>
          </w:tcPr>
          <w:p w14:paraId="67091A78">
            <w:pPr>
              <w:autoSpaceDE w:val="0"/>
              <w:autoSpaceDN w:val="0"/>
              <w:adjustRightInd w:val="0"/>
              <w:snapToGrid w:val="0"/>
              <w:spacing w:line="300" w:lineRule="auto"/>
              <w:ind w:firstLine="480"/>
              <w:jc w:val="center"/>
              <w:rPr>
                <w:rFonts w:ascii="仿宋_GB2312" w:eastAsia="仿宋_GB2312"/>
              </w:rPr>
            </w:pPr>
          </w:p>
        </w:tc>
        <w:tc>
          <w:tcPr>
            <w:tcW w:w="1080" w:type="dxa"/>
          </w:tcPr>
          <w:p w14:paraId="63496BC5">
            <w:pPr>
              <w:autoSpaceDE w:val="0"/>
              <w:autoSpaceDN w:val="0"/>
              <w:adjustRightInd w:val="0"/>
              <w:snapToGrid w:val="0"/>
              <w:spacing w:line="300" w:lineRule="auto"/>
              <w:ind w:firstLine="480"/>
              <w:jc w:val="center"/>
              <w:rPr>
                <w:rFonts w:ascii="仿宋_GB2312" w:eastAsia="仿宋_GB2312"/>
              </w:rPr>
            </w:pPr>
          </w:p>
        </w:tc>
        <w:tc>
          <w:tcPr>
            <w:tcW w:w="1260" w:type="dxa"/>
            <w:vAlign w:val="center"/>
          </w:tcPr>
          <w:p w14:paraId="12B86047">
            <w:pPr>
              <w:autoSpaceDE w:val="0"/>
              <w:autoSpaceDN w:val="0"/>
              <w:adjustRightInd w:val="0"/>
              <w:snapToGrid w:val="0"/>
              <w:spacing w:line="300" w:lineRule="auto"/>
              <w:ind w:firstLine="480"/>
              <w:jc w:val="center"/>
              <w:rPr>
                <w:rFonts w:ascii="仿宋_GB2312" w:eastAsia="仿宋_GB2312"/>
              </w:rPr>
            </w:pPr>
          </w:p>
        </w:tc>
        <w:tc>
          <w:tcPr>
            <w:tcW w:w="3599" w:type="dxa"/>
            <w:vAlign w:val="center"/>
          </w:tcPr>
          <w:p w14:paraId="465232FF">
            <w:pPr>
              <w:autoSpaceDE w:val="0"/>
              <w:autoSpaceDN w:val="0"/>
              <w:adjustRightInd w:val="0"/>
              <w:snapToGrid w:val="0"/>
              <w:spacing w:line="300" w:lineRule="auto"/>
              <w:ind w:firstLine="480"/>
              <w:jc w:val="center"/>
              <w:rPr>
                <w:rFonts w:ascii="仿宋_GB2312" w:eastAsia="仿宋_GB2312"/>
              </w:rPr>
            </w:pPr>
          </w:p>
        </w:tc>
      </w:tr>
      <w:tr w14:paraId="32483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10" w:type="dxa"/>
            <w:vAlign w:val="center"/>
          </w:tcPr>
          <w:p w14:paraId="46FD4F48">
            <w:pPr>
              <w:autoSpaceDE w:val="0"/>
              <w:autoSpaceDN w:val="0"/>
              <w:adjustRightInd w:val="0"/>
              <w:snapToGrid w:val="0"/>
              <w:spacing w:line="300" w:lineRule="auto"/>
              <w:ind w:firstLine="480"/>
              <w:rPr>
                <w:rFonts w:ascii="仿宋_GB2312" w:eastAsia="仿宋_GB2312"/>
              </w:rPr>
            </w:pPr>
          </w:p>
        </w:tc>
        <w:tc>
          <w:tcPr>
            <w:tcW w:w="1807" w:type="dxa"/>
            <w:vAlign w:val="center"/>
          </w:tcPr>
          <w:p w14:paraId="7ED75C63">
            <w:pPr>
              <w:autoSpaceDE w:val="0"/>
              <w:autoSpaceDN w:val="0"/>
              <w:adjustRightInd w:val="0"/>
              <w:snapToGrid w:val="0"/>
              <w:spacing w:line="300" w:lineRule="auto"/>
              <w:ind w:firstLine="480"/>
              <w:jc w:val="center"/>
              <w:rPr>
                <w:rFonts w:ascii="仿宋_GB2312" w:eastAsia="仿宋_GB2312"/>
              </w:rPr>
            </w:pPr>
          </w:p>
        </w:tc>
        <w:tc>
          <w:tcPr>
            <w:tcW w:w="900" w:type="dxa"/>
            <w:vAlign w:val="center"/>
          </w:tcPr>
          <w:p w14:paraId="27003D00">
            <w:pPr>
              <w:autoSpaceDE w:val="0"/>
              <w:autoSpaceDN w:val="0"/>
              <w:adjustRightInd w:val="0"/>
              <w:snapToGrid w:val="0"/>
              <w:spacing w:line="300" w:lineRule="auto"/>
              <w:ind w:firstLine="480"/>
              <w:jc w:val="center"/>
              <w:rPr>
                <w:rFonts w:ascii="仿宋_GB2312" w:eastAsia="仿宋_GB2312"/>
              </w:rPr>
            </w:pPr>
          </w:p>
        </w:tc>
        <w:tc>
          <w:tcPr>
            <w:tcW w:w="1080" w:type="dxa"/>
          </w:tcPr>
          <w:p w14:paraId="4F30E65E">
            <w:pPr>
              <w:autoSpaceDE w:val="0"/>
              <w:autoSpaceDN w:val="0"/>
              <w:adjustRightInd w:val="0"/>
              <w:snapToGrid w:val="0"/>
              <w:spacing w:line="300" w:lineRule="auto"/>
              <w:ind w:firstLine="480"/>
              <w:jc w:val="center"/>
              <w:rPr>
                <w:rFonts w:ascii="仿宋_GB2312" w:eastAsia="仿宋_GB2312"/>
              </w:rPr>
            </w:pPr>
          </w:p>
        </w:tc>
        <w:tc>
          <w:tcPr>
            <w:tcW w:w="1260" w:type="dxa"/>
            <w:vAlign w:val="center"/>
          </w:tcPr>
          <w:p w14:paraId="220274EC">
            <w:pPr>
              <w:autoSpaceDE w:val="0"/>
              <w:autoSpaceDN w:val="0"/>
              <w:adjustRightInd w:val="0"/>
              <w:snapToGrid w:val="0"/>
              <w:spacing w:line="300" w:lineRule="auto"/>
              <w:ind w:firstLine="480"/>
              <w:jc w:val="center"/>
              <w:rPr>
                <w:rFonts w:ascii="仿宋_GB2312" w:eastAsia="仿宋_GB2312"/>
              </w:rPr>
            </w:pPr>
          </w:p>
        </w:tc>
        <w:tc>
          <w:tcPr>
            <w:tcW w:w="3599" w:type="dxa"/>
            <w:vAlign w:val="center"/>
          </w:tcPr>
          <w:p w14:paraId="534C543B">
            <w:pPr>
              <w:autoSpaceDE w:val="0"/>
              <w:autoSpaceDN w:val="0"/>
              <w:adjustRightInd w:val="0"/>
              <w:snapToGrid w:val="0"/>
              <w:spacing w:line="300" w:lineRule="auto"/>
              <w:ind w:firstLine="480"/>
              <w:jc w:val="center"/>
              <w:rPr>
                <w:rFonts w:ascii="仿宋_GB2312" w:eastAsia="仿宋_GB2312"/>
              </w:rPr>
            </w:pPr>
          </w:p>
        </w:tc>
      </w:tr>
      <w:tr w14:paraId="0DDF6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10" w:type="dxa"/>
            <w:vAlign w:val="center"/>
          </w:tcPr>
          <w:p w14:paraId="171C7102">
            <w:pPr>
              <w:autoSpaceDE w:val="0"/>
              <w:autoSpaceDN w:val="0"/>
              <w:adjustRightInd w:val="0"/>
              <w:snapToGrid w:val="0"/>
              <w:spacing w:line="300" w:lineRule="auto"/>
              <w:ind w:firstLine="480"/>
              <w:rPr>
                <w:rFonts w:ascii="仿宋_GB2312" w:eastAsia="仿宋_GB2312"/>
              </w:rPr>
            </w:pPr>
          </w:p>
        </w:tc>
        <w:tc>
          <w:tcPr>
            <w:tcW w:w="1807" w:type="dxa"/>
            <w:vAlign w:val="center"/>
          </w:tcPr>
          <w:p w14:paraId="3928299A">
            <w:pPr>
              <w:autoSpaceDE w:val="0"/>
              <w:autoSpaceDN w:val="0"/>
              <w:adjustRightInd w:val="0"/>
              <w:snapToGrid w:val="0"/>
              <w:spacing w:line="300" w:lineRule="auto"/>
              <w:ind w:firstLine="480"/>
              <w:jc w:val="center"/>
              <w:rPr>
                <w:rFonts w:ascii="仿宋_GB2312" w:eastAsia="仿宋_GB2312"/>
              </w:rPr>
            </w:pPr>
          </w:p>
        </w:tc>
        <w:tc>
          <w:tcPr>
            <w:tcW w:w="900" w:type="dxa"/>
            <w:vAlign w:val="center"/>
          </w:tcPr>
          <w:p w14:paraId="54D0C48C">
            <w:pPr>
              <w:autoSpaceDE w:val="0"/>
              <w:autoSpaceDN w:val="0"/>
              <w:adjustRightInd w:val="0"/>
              <w:snapToGrid w:val="0"/>
              <w:spacing w:line="300" w:lineRule="auto"/>
              <w:ind w:firstLine="480"/>
              <w:jc w:val="center"/>
              <w:rPr>
                <w:rFonts w:ascii="仿宋_GB2312" w:eastAsia="仿宋_GB2312"/>
              </w:rPr>
            </w:pPr>
          </w:p>
        </w:tc>
        <w:tc>
          <w:tcPr>
            <w:tcW w:w="1080" w:type="dxa"/>
          </w:tcPr>
          <w:p w14:paraId="68111343">
            <w:pPr>
              <w:autoSpaceDE w:val="0"/>
              <w:autoSpaceDN w:val="0"/>
              <w:adjustRightInd w:val="0"/>
              <w:snapToGrid w:val="0"/>
              <w:spacing w:line="300" w:lineRule="auto"/>
              <w:ind w:firstLine="480"/>
              <w:jc w:val="center"/>
              <w:rPr>
                <w:rFonts w:ascii="仿宋_GB2312" w:eastAsia="仿宋_GB2312"/>
              </w:rPr>
            </w:pPr>
          </w:p>
        </w:tc>
        <w:tc>
          <w:tcPr>
            <w:tcW w:w="1260" w:type="dxa"/>
            <w:vAlign w:val="center"/>
          </w:tcPr>
          <w:p w14:paraId="721CDA76">
            <w:pPr>
              <w:autoSpaceDE w:val="0"/>
              <w:autoSpaceDN w:val="0"/>
              <w:adjustRightInd w:val="0"/>
              <w:snapToGrid w:val="0"/>
              <w:spacing w:line="300" w:lineRule="auto"/>
              <w:ind w:firstLine="480"/>
              <w:jc w:val="center"/>
              <w:rPr>
                <w:rFonts w:ascii="仿宋_GB2312" w:eastAsia="仿宋_GB2312"/>
              </w:rPr>
            </w:pPr>
          </w:p>
        </w:tc>
        <w:tc>
          <w:tcPr>
            <w:tcW w:w="3599" w:type="dxa"/>
            <w:vAlign w:val="center"/>
          </w:tcPr>
          <w:p w14:paraId="57F5DB00">
            <w:pPr>
              <w:autoSpaceDE w:val="0"/>
              <w:autoSpaceDN w:val="0"/>
              <w:adjustRightInd w:val="0"/>
              <w:snapToGrid w:val="0"/>
              <w:spacing w:line="300" w:lineRule="auto"/>
              <w:ind w:firstLine="480"/>
              <w:jc w:val="center"/>
              <w:rPr>
                <w:rFonts w:ascii="仿宋_GB2312" w:eastAsia="仿宋_GB2312"/>
              </w:rPr>
            </w:pPr>
          </w:p>
        </w:tc>
      </w:tr>
      <w:tr w14:paraId="03912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10" w:type="dxa"/>
            <w:vAlign w:val="center"/>
          </w:tcPr>
          <w:p w14:paraId="4F38CC9B">
            <w:pPr>
              <w:autoSpaceDE w:val="0"/>
              <w:autoSpaceDN w:val="0"/>
              <w:adjustRightInd w:val="0"/>
              <w:snapToGrid w:val="0"/>
              <w:spacing w:line="300" w:lineRule="auto"/>
              <w:ind w:firstLine="480"/>
              <w:rPr>
                <w:rFonts w:ascii="仿宋_GB2312" w:eastAsia="仿宋_GB2312"/>
              </w:rPr>
            </w:pPr>
          </w:p>
        </w:tc>
        <w:tc>
          <w:tcPr>
            <w:tcW w:w="1807" w:type="dxa"/>
            <w:vAlign w:val="center"/>
          </w:tcPr>
          <w:p w14:paraId="510E244F">
            <w:pPr>
              <w:autoSpaceDE w:val="0"/>
              <w:autoSpaceDN w:val="0"/>
              <w:adjustRightInd w:val="0"/>
              <w:snapToGrid w:val="0"/>
              <w:spacing w:line="300" w:lineRule="auto"/>
              <w:ind w:firstLine="480"/>
              <w:jc w:val="center"/>
              <w:rPr>
                <w:rFonts w:ascii="仿宋_GB2312" w:eastAsia="仿宋_GB2312"/>
              </w:rPr>
            </w:pPr>
          </w:p>
        </w:tc>
        <w:tc>
          <w:tcPr>
            <w:tcW w:w="900" w:type="dxa"/>
            <w:vAlign w:val="center"/>
          </w:tcPr>
          <w:p w14:paraId="2693C7E9">
            <w:pPr>
              <w:autoSpaceDE w:val="0"/>
              <w:autoSpaceDN w:val="0"/>
              <w:adjustRightInd w:val="0"/>
              <w:snapToGrid w:val="0"/>
              <w:spacing w:line="300" w:lineRule="auto"/>
              <w:ind w:firstLine="480"/>
              <w:jc w:val="center"/>
              <w:rPr>
                <w:rFonts w:ascii="仿宋_GB2312" w:eastAsia="仿宋_GB2312"/>
              </w:rPr>
            </w:pPr>
          </w:p>
        </w:tc>
        <w:tc>
          <w:tcPr>
            <w:tcW w:w="1080" w:type="dxa"/>
          </w:tcPr>
          <w:p w14:paraId="0E690DFD">
            <w:pPr>
              <w:autoSpaceDE w:val="0"/>
              <w:autoSpaceDN w:val="0"/>
              <w:adjustRightInd w:val="0"/>
              <w:snapToGrid w:val="0"/>
              <w:spacing w:line="300" w:lineRule="auto"/>
              <w:ind w:firstLine="480"/>
              <w:jc w:val="center"/>
              <w:rPr>
                <w:rFonts w:ascii="仿宋_GB2312" w:eastAsia="仿宋_GB2312"/>
              </w:rPr>
            </w:pPr>
          </w:p>
        </w:tc>
        <w:tc>
          <w:tcPr>
            <w:tcW w:w="1260" w:type="dxa"/>
            <w:vAlign w:val="center"/>
          </w:tcPr>
          <w:p w14:paraId="6F4A5C4D">
            <w:pPr>
              <w:autoSpaceDE w:val="0"/>
              <w:autoSpaceDN w:val="0"/>
              <w:adjustRightInd w:val="0"/>
              <w:snapToGrid w:val="0"/>
              <w:spacing w:line="300" w:lineRule="auto"/>
              <w:ind w:firstLine="480"/>
              <w:jc w:val="center"/>
              <w:rPr>
                <w:rFonts w:ascii="仿宋_GB2312" w:eastAsia="仿宋_GB2312"/>
              </w:rPr>
            </w:pPr>
          </w:p>
        </w:tc>
        <w:tc>
          <w:tcPr>
            <w:tcW w:w="3599" w:type="dxa"/>
            <w:vAlign w:val="center"/>
          </w:tcPr>
          <w:p w14:paraId="12C3FB6C">
            <w:pPr>
              <w:autoSpaceDE w:val="0"/>
              <w:autoSpaceDN w:val="0"/>
              <w:adjustRightInd w:val="0"/>
              <w:snapToGrid w:val="0"/>
              <w:spacing w:line="300" w:lineRule="auto"/>
              <w:ind w:firstLine="480"/>
              <w:jc w:val="center"/>
              <w:rPr>
                <w:rFonts w:ascii="仿宋_GB2312" w:eastAsia="仿宋_GB2312"/>
              </w:rPr>
            </w:pPr>
          </w:p>
        </w:tc>
      </w:tr>
      <w:tr w14:paraId="16BAE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10" w:type="dxa"/>
            <w:vAlign w:val="center"/>
          </w:tcPr>
          <w:p w14:paraId="7246E36C">
            <w:pPr>
              <w:autoSpaceDE w:val="0"/>
              <w:autoSpaceDN w:val="0"/>
              <w:adjustRightInd w:val="0"/>
              <w:snapToGrid w:val="0"/>
              <w:spacing w:line="300" w:lineRule="auto"/>
              <w:ind w:firstLine="480"/>
              <w:rPr>
                <w:rFonts w:ascii="仿宋_GB2312" w:eastAsia="仿宋_GB2312"/>
              </w:rPr>
            </w:pPr>
          </w:p>
        </w:tc>
        <w:tc>
          <w:tcPr>
            <w:tcW w:w="1807" w:type="dxa"/>
            <w:vAlign w:val="center"/>
          </w:tcPr>
          <w:p w14:paraId="248F8A91">
            <w:pPr>
              <w:autoSpaceDE w:val="0"/>
              <w:autoSpaceDN w:val="0"/>
              <w:adjustRightInd w:val="0"/>
              <w:snapToGrid w:val="0"/>
              <w:spacing w:line="300" w:lineRule="auto"/>
              <w:ind w:firstLine="480"/>
              <w:jc w:val="center"/>
              <w:rPr>
                <w:rFonts w:ascii="仿宋_GB2312" w:eastAsia="仿宋_GB2312"/>
              </w:rPr>
            </w:pPr>
          </w:p>
        </w:tc>
        <w:tc>
          <w:tcPr>
            <w:tcW w:w="900" w:type="dxa"/>
            <w:vAlign w:val="center"/>
          </w:tcPr>
          <w:p w14:paraId="31C3988B">
            <w:pPr>
              <w:autoSpaceDE w:val="0"/>
              <w:autoSpaceDN w:val="0"/>
              <w:adjustRightInd w:val="0"/>
              <w:snapToGrid w:val="0"/>
              <w:spacing w:line="300" w:lineRule="auto"/>
              <w:ind w:firstLine="480"/>
              <w:jc w:val="center"/>
              <w:rPr>
                <w:rFonts w:ascii="仿宋_GB2312" w:eastAsia="仿宋_GB2312"/>
              </w:rPr>
            </w:pPr>
          </w:p>
        </w:tc>
        <w:tc>
          <w:tcPr>
            <w:tcW w:w="1080" w:type="dxa"/>
          </w:tcPr>
          <w:p w14:paraId="37BFEB5B">
            <w:pPr>
              <w:autoSpaceDE w:val="0"/>
              <w:autoSpaceDN w:val="0"/>
              <w:adjustRightInd w:val="0"/>
              <w:snapToGrid w:val="0"/>
              <w:spacing w:line="300" w:lineRule="auto"/>
              <w:ind w:firstLine="480"/>
              <w:jc w:val="center"/>
              <w:rPr>
                <w:rFonts w:ascii="仿宋_GB2312" w:eastAsia="仿宋_GB2312"/>
              </w:rPr>
            </w:pPr>
          </w:p>
        </w:tc>
        <w:tc>
          <w:tcPr>
            <w:tcW w:w="1260" w:type="dxa"/>
            <w:vAlign w:val="center"/>
          </w:tcPr>
          <w:p w14:paraId="58B4DA3F">
            <w:pPr>
              <w:autoSpaceDE w:val="0"/>
              <w:autoSpaceDN w:val="0"/>
              <w:adjustRightInd w:val="0"/>
              <w:snapToGrid w:val="0"/>
              <w:spacing w:line="300" w:lineRule="auto"/>
              <w:ind w:firstLine="480"/>
              <w:jc w:val="center"/>
              <w:rPr>
                <w:rFonts w:ascii="仿宋_GB2312" w:eastAsia="仿宋_GB2312"/>
              </w:rPr>
            </w:pPr>
          </w:p>
        </w:tc>
        <w:tc>
          <w:tcPr>
            <w:tcW w:w="3599" w:type="dxa"/>
            <w:vAlign w:val="center"/>
          </w:tcPr>
          <w:p w14:paraId="2D259B13">
            <w:pPr>
              <w:autoSpaceDE w:val="0"/>
              <w:autoSpaceDN w:val="0"/>
              <w:adjustRightInd w:val="0"/>
              <w:snapToGrid w:val="0"/>
              <w:spacing w:line="300" w:lineRule="auto"/>
              <w:ind w:firstLine="480"/>
              <w:jc w:val="center"/>
              <w:rPr>
                <w:rFonts w:ascii="仿宋_GB2312" w:eastAsia="仿宋_GB2312"/>
              </w:rPr>
            </w:pPr>
          </w:p>
        </w:tc>
      </w:tr>
      <w:tr w14:paraId="4FC31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10" w:type="dxa"/>
            <w:vAlign w:val="center"/>
          </w:tcPr>
          <w:p w14:paraId="1B8452A2">
            <w:pPr>
              <w:autoSpaceDE w:val="0"/>
              <w:autoSpaceDN w:val="0"/>
              <w:adjustRightInd w:val="0"/>
              <w:snapToGrid w:val="0"/>
              <w:spacing w:line="300" w:lineRule="auto"/>
              <w:ind w:firstLine="480"/>
              <w:rPr>
                <w:rFonts w:ascii="仿宋_GB2312" w:eastAsia="仿宋_GB2312"/>
              </w:rPr>
            </w:pPr>
          </w:p>
        </w:tc>
        <w:tc>
          <w:tcPr>
            <w:tcW w:w="1807" w:type="dxa"/>
            <w:vAlign w:val="center"/>
          </w:tcPr>
          <w:p w14:paraId="3E62DD5B">
            <w:pPr>
              <w:autoSpaceDE w:val="0"/>
              <w:autoSpaceDN w:val="0"/>
              <w:adjustRightInd w:val="0"/>
              <w:snapToGrid w:val="0"/>
              <w:spacing w:line="300" w:lineRule="auto"/>
              <w:ind w:firstLine="480"/>
              <w:jc w:val="center"/>
              <w:rPr>
                <w:rFonts w:ascii="仿宋_GB2312" w:eastAsia="仿宋_GB2312"/>
              </w:rPr>
            </w:pPr>
          </w:p>
        </w:tc>
        <w:tc>
          <w:tcPr>
            <w:tcW w:w="900" w:type="dxa"/>
            <w:vAlign w:val="center"/>
          </w:tcPr>
          <w:p w14:paraId="71D2B0FD">
            <w:pPr>
              <w:autoSpaceDE w:val="0"/>
              <w:autoSpaceDN w:val="0"/>
              <w:adjustRightInd w:val="0"/>
              <w:snapToGrid w:val="0"/>
              <w:spacing w:line="300" w:lineRule="auto"/>
              <w:ind w:firstLine="480"/>
              <w:jc w:val="center"/>
              <w:rPr>
                <w:rFonts w:ascii="仿宋_GB2312" w:eastAsia="仿宋_GB2312"/>
              </w:rPr>
            </w:pPr>
          </w:p>
        </w:tc>
        <w:tc>
          <w:tcPr>
            <w:tcW w:w="1080" w:type="dxa"/>
          </w:tcPr>
          <w:p w14:paraId="3ADCDE4F">
            <w:pPr>
              <w:autoSpaceDE w:val="0"/>
              <w:autoSpaceDN w:val="0"/>
              <w:adjustRightInd w:val="0"/>
              <w:snapToGrid w:val="0"/>
              <w:spacing w:line="300" w:lineRule="auto"/>
              <w:ind w:firstLine="480"/>
              <w:jc w:val="center"/>
              <w:rPr>
                <w:rFonts w:ascii="仿宋_GB2312" w:eastAsia="仿宋_GB2312"/>
              </w:rPr>
            </w:pPr>
          </w:p>
        </w:tc>
        <w:tc>
          <w:tcPr>
            <w:tcW w:w="1260" w:type="dxa"/>
            <w:vAlign w:val="center"/>
          </w:tcPr>
          <w:p w14:paraId="4649550A">
            <w:pPr>
              <w:autoSpaceDE w:val="0"/>
              <w:autoSpaceDN w:val="0"/>
              <w:adjustRightInd w:val="0"/>
              <w:snapToGrid w:val="0"/>
              <w:spacing w:line="300" w:lineRule="auto"/>
              <w:ind w:firstLine="480"/>
              <w:jc w:val="center"/>
              <w:rPr>
                <w:rFonts w:ascii="仿宋_GB2312" w:eastAsia="仿宋_GB2312"/>
              </w:rPr>
            </w:pPr>
          </w:p>
        </w:tc>
        <w:tc>
          <w:tcPr>
            <w:tcW w:w="3599" w:type="dxa"/>
            <w:vAlign w:val="center"/>
          </w:tcPr>
          <w:p w14:paraId="06504065">
            <w:pPr>
              <w:autoSpaceDE w:val="0"/>
              <w:autoSpaceDN w:val="0"/>
              <w:adjustRightInd w:val="0"/>
              <w:snapToGrid w:val="0"/>
              <w:spacing w:line="300" w:lineRule="auto"/>
              <w:ind w:firstLine="480"/>
              <w:jc w:val="center"/>
              <w:rPr>
                <w:rFonts w:ascii="仿宋_GB2312" w:eastAsia="仿宋_GB2312"/>
              </w:rPr>
            </w:pPr>
          </w:p>
        </w:tc>
      </w:tr>
    </w:tbl>
    <w:p w14:paraId="0AFF783E">
      <w:pPr>
        <w:snapToGrid w:val="0"/>
        <w:spacing w:line="300" w:lineRule="auto"/>
        <w:ind w:firstLine="480"/>
      </w:pPr>
      <w:r>
        <w:rPr>
          <w:rFonts w:hint="eastAsia"/>
        </w:rPr>
        <w:t xml:space="preserve"> </w:t>
      </w:r>
    </w:p>
    <w:p w14:paraId="05B4A7FC">
      <w:pPr>
        <w:snapToGrid w:val="0"/>
        <w:spacing w:line="300" w:lineRule="auto"/>
        <w:ind w:firstLine="480"/>
      </w:pPr>
      <w:r>
        <w:rPr>
          <w:rFonts w:hint="eastAsia"/>
        </w:rPr>
        <w:t>附：附相关证明材料复印件。</w:t>
      </w:r>
    </w:p>
    <w:p w14:paraId="7E9D30A1">
      <w:pPr>
        <w:snapToGrid w:val="0"/>
        <w:spacing w:line="300" w:lineRule="auto"/>
        <w:ind w:firstLine="840" w:firstLineChars="400"/>
      </w:pPr>
    </w:p>
    <w:p w14:paraId="6F5F98A1">
      <w:pPr>
        <w:snapToGrid w:val="0"/>
        <w:spacing w:line="300" w:lineRule="auto"/>
        <w:ind w:firstLine="840" w:firstLineChars="400"/>
      </w:pPr>
    </w:p>
    <w:p w14:paraId="416F5A57">
      <w:pPr>
        <w:snapToGrid w:val="0"/>
        <w:spacing w:line="300" w:lineRule="auto"/>
        <w:ind w:firstLine="840" w:firstLineChars="400"/>
      </w:pPr>
    </w:p>
    <w:p w14:paraId="67E98D33">
      <w:pPr>
        <w:autoSpaceDE w:val="0"/>
        <w:autoSpaceDN w:val="0"/>
        <w:adjustRightInd w:val="0"/>
        <w:snapToGrid w:val="0"/>
        <w:spacing w:before="25" w:after="25" w:line="360" w:lineRule="auto"/>
        <w:rPr>
          <w:rFonts w:hint="eastAsia"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_______________</w:t>
      </w:r>
    </w:p>
    <w:p w14:paraId="05DAD651">
      <w:pPr>
        <w:autoSpaceDE w:val="0"/>
        <w:autoSpaceDN w:val="0"/>
        <w:adjustRightInd w:val="0"/>
        <w:snapToGrid w:val="0"/>
        <w:spacing w:before="25" w:after="25" w:line="360" w:lineRule="auto"/>
        <w:rPr>
          <w:rFonts w:hint="eastAsia" w:ascii="宋体" w:hAnsi="宋体"/>
          <w:sz w:val="24"/>
          <w:lang w:val="zh-CN"/>
        </w:rPr>
      </w:pPr>
      <w:r>
        <w:rPr>
          <w:rFonts w:ascii="宋体" w:hAnsi="宋体"/>
          <w:sz w:val="24"/>
          <w:szCs w:val="20"/>
        </w:rPr>
        <w:t xml:space="preserve">日期：____年____月____日    </w:t>
      </w:r>
    </w:p>
    <w:p w14:paraId="375C8D69">
      <w:pPr>
        <w:autoSpaceDE w:val="0"/>
        <w:autoSpaceDN w:val="0"/>
        <w:adjustRightInd w:val="0"/>
        <w:snapToGrid w:val="0"/>
        <w:spacing w:line="300" w:lineRule="auto"/>
        <w:ind w:firstLine="482"/>
        <w:rPr>
          <w:b/>
        </w:rPr>
      </w:pPr>
    </w:p>
    <w:p w14:paraId="74A9C085">
      <w:pPr>
        <w:autoSpaceDE w:val="0"/>
        <w:autoSpaceDN w:val="0"/>
        <w:adjustRightInd w:val="0"/>
        <w:snapToGrid w:val="0"/>
        <w:spacing w:line="300" w:lineRule="auto"/>
        <w:ind w:firstLine="560"/>
        <w:jc w:val="center"/>
        <w:rPr>
          <w:b/>
          <w:bCs/>
        </w:rPr>
      </w:pPr>
      <w:r>
        <w:rPr>
          <w:sz w:val="28"/>
        </w:rPr>
        <w:br w:type="page"/>
      </w:r>
      <w:r>
        <w:rPr>
          <w:rFonts w:hint="eastAsia"/>
          <w:b/>
          <w:bCs/>
        </w:rPr>
        <w:t>项目经理简历表</w:t>
      </w:r>
    </w:p>
    <w:tbl>
      <w:tblPr>
        <w:tblStyle w:val="57"/>
        <w:tblW w:w="9368" w:type="dxa"/>
        <w:tblInd w:w="108" w:type="dxa"/>
        <w:tblLayout w:type="fixed"/>
        <w:tblCellMar>
          <w:top w:w="0" w:type="dxa"/>
          <w:left w:w="108" w:type="dxa"/>
          <w:bottom w:w="0" w:type="dxa"/>
          <w:right w:w="108" w:type="dxa"/>
        </w:tblCellMar>
      </w:tblPr>
      <w:tblGrid>
        <w:gridCol w:w="1221"/>
        <w:gridCol w:w="512"/>
        <w:gridCol w:w="961"/>
        <w:gridCol w:w="6"/>
        <w:gridCol w:w="940"/>
        <w:gridCol w:w="864"/>
        <w:gridCol w:w="716"/>
        <w:gridCol w:w="1080"/>
        <w:gridCol w:w="721"/>
        <w:gridCol w:w="488"/>
        <w:gridCol w:w="51"/>
        <w:gridCol w:w="1808"/>
      </w:tblGrid>
      <w:tr w14:paraId="5E52D0D3">
        <w:tblPrEx>
          <w:tblCellMar>
            <w:top w:w="0" w:type="dxa"/>
            <w:left w:w="108" w:type="dxa"/>
            <w:bottom w:w="0" w:type="dxa"/>
            <w:right w:w="108" w:type="dxa"/>
          </w:tblCellMar>
        </w:tblPrEx>
        <w:trPr>
          <w:trHeight w:val="907" w:hRule="exact"/>
        </w:trPr>
        <w:tc>
          <w:tcPr>
            <w:tcW w:w="1221" w:type="dxa"/>
            <w:tcBorders>
              <w:top w:val="single" w:color="auto" w:sz="6" w:space="0"/>
              <w:left w:val="single" w:color="auto" w:sz="6" w:space="0"/>
              <w:right w:val="single" w:color="auto" w:sz="6" w:space="0"/>
            </w:tcBorders>
            <w:vAlign w:val="center"/>
          </w:tcPr>
          <w:p w14:paraId="2F4BA42E">
            <w:pPr>
              <w:snapToGrid w:val="0"/>
              <w:spacing w:line="300" w:lineRule="auto"/>
              <w:ind w:left="-90" w:firstLine="480"/>
              <w:jc w:val="center"/>
            </w:pPr>
            <w:r>
              <w:rPr>
                <w:rFonts w:hint="eastAsia"/>
              </w:rPr>
              <w:t>姓名</w:t>
            </w:r>
          </w:p>
        </w:tc>
        <w:tc>
          <w:tcPr>
            <w:tcW w:w="1479" w:type="dxa"/>
            <w:gridSpan w:val="3"/>
            <w:tcBorders>
              <w:top w:val="single" w:color="auto" w:sz="6" w:space="0"/>
              <w:left w:val="single" w:color="auto" w:sz="6" w:space="0"/>
              <w:right w:val="single" w:color="auto" w:sz="6" w:space="0"/>
            </w:tcBorders>
            <w:vAlign w:val="center"/>
          </w:tcPr>
          <w:p w14:paraId="03E647EA">
            <w:pPr>
              <w:snapToGrid w:val="0"/>
              <w:spacing w:line="300" w:lineRule="auto"/>
              <w:ind w:left="-90" w:firstLine="480"/>
              <w:jc w:val="center"/>
            </w:pPr>
          </w:p>
        </w:tc>
        <w:tc>
          <w:tcPr>
            <w:tcW w:w="1804" w:type="dxa"/>
            <w:gridSpan w:val="2"/>
            <w:tcBorders>
              <w:top w:val="single" w:color="auto" w:sz="6" w:space="0"/>
              <w:left w:val="single" w:color="auto" w:sz="6" w:space="0"/>
              <w:right w:val="single" w:color="auto" w:sz="6" w:space="0"/>
            </w:tcBorders>
            <w:vAlign w:val="center"/>
          </w:tcPr>
          <w:p w14:paraId="34618F43">
            <w:pPr>
              <w:snapToGrid w:val="0"/>
              <w:spacing w:line="300" w:lineRule="auto"/>
              <w:ind w:left="-90" w:firstLine="480"/>
              <w:jc w:val="center"/>
            </w:pPr>
            <w:r>
              <w:rPr>
                <w:rFonts w:hint="eastAsia"/>
              </w:rPr>
              <w:t>性别</w:t>
            </w:r>
          </w:p>
        </w:tc>
        <w:tc>
          <w:tcPr>
            <w:tcW w:w="1796" w:type="dxa"/>
            <w:gridSpan w:val="2"/>
            <w:tcBorders>
              <w:top w:val="single" w:color="auto" w:sz="6" w:space="0"/>
              <w:left w:val="single" w:color="auto" w:sz="6" w:space="0"/>
              <w:right w:val="single" w:color="auto" w:sz="6" w:space="0"/>
            </w:tcBorders>
            <w:vAlign w:val="center"/>
          </w:tcPr>
          <w:p w14:paraId="1DC1BA1C">
            <w:pPr>
              <w:snapToGrid w:val="0"/>
              <w:spacing w:line="300" w:lineRule="auto"/>
              <w:ind w:left="-90" w:firstLine="480"/>
              <w:jc w:val="center"/>
            </w:pPr>
          </w:p>
        </w:tc>
        <w:tc>
          <w:tcPr>
            <w:tcW w:w="1260" w:type="dxa"/>
            <w:gridSpan w:val="3"/>
            <w:tcBorders>
              <w:top w:val="single" w:color="auto" w:sz="6" w:space="0"/>
              <w:left w:val="single" w:color="auto" w:sz="6" w:space="0"/>
              <w:right w:val="single" w:color="auto" w:sz="6" w:space="0"/>
            </w:tcBorders>
            <w:vAlign w:val="center"/>
          </w:tcPr>
          <w:p w14:paraId="2C0D8390">
            <w:pPr>
              <w:snapToGrid w:val="0"/>
              <w:spacing w:line="300" w:lineRule="auto"/>
              <w:ind w:left="-90" w:firstLine="480"/>
              <w:jc w:val="center"/>
            </w:pPr>
            <w:r>
              <w:rPr>
                <w:rFonts w:hint="eastAsia"/>
              </w:rPr>
              <w:t>年龄</w:t>
            </w:r>
          </w:p>
        </w:tc>
        <w:tc>
          <w:tcPr>
            <w:tcW w:w="1808" w:type="dxa"/>
            <w:tcBorders>
              <w:top w:val="single" w:color="auto" w:sz="6" w:space="0"/>
              <w:left w:val="single" w:color="auto" w:sz="6" w:space="0"/>
              <w:right w:val="single" w:color="auto" w:sz="6" w:space="0"/>
            </w:tcBorders>
          </w:tcPr>
          <w:p w14:paraId="1D7CF86B">
            <w:pPr>
              <w:snapToGrid w:val="0"/>
              <w:spacing w:line="300" w:lineRule="auto"/>
              <w:ind w:left="-90" w:firstLine="480"/>
            </w:pPr>
          </w:p>
        </w:tc>
      </w:tr>
      <w:tr w14:paraId="3D750A6A">
        <w:tblPrEx>
          <w:tblCellMar>
            <w:top w:w="0" w:type="dxa"/>
            <w:left w:w="108" w:type="dxa"/>
            <w:bottom w:w="0" w:type="dxa"/>
            <w:right w:w="108" w:type="dxa"/>
          </w:tblCellMar>
        </w:tblPrEx>
        <w:trPr>
          <w:trHeight w:val="907" w:hRule="exact"/>
        </w:trPr>
        <w:tc>
          <w:tcPr>
            <w:tcW w:w="1221" w:type="dxa"/>
            <w:tcBorders>
              <w:top w:val="single" w:color="auto" w:sz="4" w:space="0"/>
              <w:left w:val="single" w:color="auto" w:sz="4" w:space="0"/>
              <w:bottom w:val="single" w:color="auto" w:sz="6" w:space="0"/>
              <w:right w:val="single" w:color="auto" w:sz="6" w:space="0"/>
            </w:tcBorders>
            <w:vAlign w:val="center"/>
          </w:tcPr>
          <w:p w14:paraId="2A221215">
            <w:pPr>
              <w:snapToGrid w:val="0"/>
              <w:spacing w:line="300" w:lineRule="auto"/>
              <w:ind w:left="-90" w:firstLine="480"/>
              <w:jc w:val="center"/>
            </w:pPr>
            <w:r>
              <w:rPr>
                <w:rFonts w:hint="eastAsia"/>
              </w:rPr>
              <w:t>职务</w:t>
            </w:r>
          </w:p>
        </w:tc>
        <w:tc>
          <w:tcPr>
            <w:tcW w:w="1479" w:type="dxa"/>
            <w:gridSpan w:val="3"/>
            <w:tcBorders>
              <w:top w:val="single" w:color="auto" w:sz="4" w:space="0"/>
              <w:left w:val="single" w:color="auto" w:sz="6" w:space="0"/>
              <w:bottom w:val="single" w:color="auto" w:sz="6" w:space="0"/>
              <w:right w:val="single" w:color="auto" w:sz="6" w:space="0"/>
            </w:tcBorders>
            <w:vAlign w:val="center"/>
          </w:tcPr>
          <w:p w14:paraId="781C8AE3">
            <w:pPr>
              <w:snapToGrid w:val="0"/>
              <w:spacing w:line="300" w:lineRule="auto"/>
              <w:ind w:left="-90" w:firstLine="480"/>
              <w:jc w:val="center"/>
            </w:pPr>
          </w:p>
        </w:tc>
        <w:tc>
          <w:tcPr>
            <w:tcW w:w="1804" w:type="dxa"/>
            <w:gridSpan w:val="2"/>
            <w:tcBorders>
              <w:top w:val="single" w:color="auto" w:sz="4" w:space="0"/>
              <w:left w:val="single" w:color="auto" w:sz="6" w:space="0"/>
              <w:bottom w:val="single" w:color="auto" w:sz="6" w:space="0"/>
              <w:right w:val="single" w:color="auto" w:sz="6" w:space="0"/>
            </w:tcBorders>
            <w:vAlign w:val="center"/>
          </w:tcPr>
          <w:p w14:paraId="7A092FCE">
            <w:pPr>
              <w:snapToGrid w:val="0"/>
              <w:spacing w:line="300" w:lineRule="auto"/>
              <w:ind w:left="-90" w:firstLine="480"/>
              <w:jc w:val="center"/>
            </w:pPr>
            <w:r>
              <w:rPr>
                <w:rFonts w:hint="eastAsia"/>
              </w:rPr>
              <w:t>职称</w:t>
            </w:r>
          </w:p>
        </w:tc>
        <w:tc>
          <w:tcPr>
            <w:tcW w:w="1796" w:type="dxa"/>
            <w:gridSpan w:val="2"/>
            <w:tcBorders>
              <w:top w:val="single" w:color="auto" w:sz="4" w:space="0"/>
              <w:left w:val="single" w:color="auto" w:sz="6" w:space="0"/>
              <w:bottom w:val="single" w:color="auto" w:sz="6" w:space="0"/>
              <w:right w:val="single" w:color="auto" w:sz="6" w:space="0"/>
            </w:tcBorders>
            <w:vAlign w:val="center"/>
          </w:tcPr>
          <w:p w14:paraId="4D7BF017">
            <w:pPr>
              <w:snapToGrid w:val="0"/>
              <w:spacing w:line="300" w:lineRule="auto"/>
              <w:ind w:left="-90" w:firstLine="480"/>
              <w:jc w:val="center"/>
            </w:pPr>
          </w:p>
        </w:tc>
        <w:tc>
          <w:tcPr>
            <w:tcW w:w="1260" w:type="dxa"/>
            <w:gridSpan w:val="3"/>
            <w:tcBorders>
              <w:top w:val="single" w:color="auto" w:sz="4" w:space="0"/>
              <w:left w:val="single" w:color="auto" w:sz="6" w:space="0"/>
              <w:bottom w:val="single" w:color="auto" w:sz="6" w:space="0"/>
              <w:right w:val="single" w:color="auto" w:sz="6" w:space="0"/>
            </w:tcBorders>
            <w:vAlign w:val="center"/>
          </w:tcPr>
          <w:p w14:paraId="26B67EBE">
            <w:pPr>
              <w:snapToGrid w:val="0"/>
              <w:spacing w:line="300" w:lineRule="auto"/>
              <w:ind w:left="-90" w:firstLine="480"/>
              <w:jc w:val="center"/>
            </w:pPr>
            <w:r>
              <w:rPr>
                <w:rFonts w:hint="eastAsia"/>
              </w:rPr>
              <w:t>学历</w:t>
            </w:r>
          </w:p>
        </w:tc>
        <w:tc>
          <w:tcPr>
            <w:tcW w:w="1808" w:type="dxa"/>
            <w:tcBorders>
              <w:top w:val="single" w:color="auto" w:sz="4" w:space="0"/>
              <w:left w:val="single" w:color="auto" w:sz="6" w:space="0"/>
              <w:bottom w:val="single" w:color="auto" w:sz="6" w:space="0"/>
              <w:right w:val="single" w:color="auto" w:sz="4" w:space="0"/>
            </w:tcBorders>
          </w:tcPr>
          <w:p w14:paraId="42291770">
            <w:pPr>
              <w:snapToGrid w:val="0"/>
              <w:spacing w:line="300" w:lineRule="auto"/>
              <w:ind w:left="-90" w:firstLine="480"/>
            </w:pPr>
          </w:p>
        </w:tc>
      </w:tr>
      <w:tr w14:paraId="6A50C2F7">
        <w:tblPrEx>
          <w:tblCellMar>
            <w:top w:w="0" w:type="dxa"/>
            <w:left w:w="108" w:type="dxa"/>
            <w:bottom w:w="0" w:type="dxa"/>
            <w:right w:w="108" w:type="dxa"/>
          </w:tblCellMar>
        </w:tblPrEx>
        <w:trPr>
          <w:trHeight w:val="907" w:hRule="exact"/>
        </w:trPr>
        <w:tc>
          <w:tcPr>
            <w:tcW w:w="2694" w:type="dxa"/>
            <w:gridSpan w:val="3"/>
            <w:tcBorders>
              <w:top w:val="single" w:color="auto" w:sz="6" w:space="0"/>
              <w:left w:val="single" w:color="auto" w:sz="4" w:space="0"/>
              <w:bottom w:val="single" w:color="auto" w:sz="6" w:space="0"/>
              <w:right w:val="single" w:color="auto" w:sz="6" w:space="0"/>
            </w:tcBorders>
            <w:vAlign w:val="center"/>
          </w:tcPr>
          <w:p w14:paraId="4E1D5F78">
            <w:pPr>
              <w:snapToGrid w:val="0"/>
              <w:spacing w:line="300" w:lineRule="auto"/>
              <w:ind w:left="-90" w:firstLine="480"/>
              <w:jc w:val="center"/>
            </w:pPr>
            <w:r>
              <w:rPr>
                <w:rFonts w:hint="eastAsia"/>
              </w:rPr>
              <w:t>参加工作时间</w:t>
            </w:r>
          </w:p>
        </w:tc>
        <w:tc>
          <w:tcPr>
            <w:tcW w:w="1810" w:type="dxa"/>
            <w:gridSpan w:val="3"/>
            <w:tcBorders>
              <w:top w:val="single" w:color="auto" w:sz="6" w:space="0"/>
              <w:left w:val="single" w:color="auto" w:sz="6" w:space="0"/>
              <w:bottom w:val="single" w:color="auto" w:sz="6" w:space="0"/>
              <w:right w:val="single" w:color="auto" w:sz="6" w:space="0"/>
            </w:tcBorders>
            <w:vAlign w:val="center"/>
          </w:tcPr>
          <w:p w14:paraId="57E46C10">
            <w:pPr>
              <w:snapToGrid w:val="0"/>
              <w:spacing w:line="300" w:lineRule="auto"/>
              <w:ind w:left="-90" w:firstLine="480"/>
              <w:jc w:val="center"/>
            </w:pPr>
          </w:p>
        </w:tc>
        <w:tc>
          <w:tcPr>
            <w:tcW w:w="2517" w:type="dxa"/>
            <w:gridSpan w:val="3"/>
            <w:tcBorders>
              <w:top w:val="single" w:color="auto" w:sz="6" w:space="0"/>
              <w:left w:val="single" w:color="auto" w:sz="6" w:space="0"/>
              <w:bottom w:val="single" w:color="auto" w:sz="6" w:space="0"/>
              <w:right w:val="single" w:color="auto" w:sz="6" w:space="0"/>
            </w:tcBorders>
            <w:vAlign w:val="center"/>
          </w:tcPr>
          <w:p w14:paraId="71128A1C">
            <w:pPr>
              <w:snapToGrid w:val="0"/>
              <w:spacing w:line="300" w:lineRule="auto"/>
              <w:ind w:left="-90" w:firstLine="480"/>
              <w:jc w:val="center"/>
            </w:pPr>
            <w:r>
              <w:rPr>
                <w:rFonts w:hint="eastAsia"/>
              </w:rPr>
              <w:t>从事项目经理年限</w:t>
            </w:r>
          </w:p>
        </w:tc>
        <w:tc>
          <w:tcPr>
            <w:tcW w:w="2347" w:type="dxa"/>
            <w:gridSpan w:val="3"/>
            <w:tcBorders>
              <w:top w:val="single" w:color="auto" w:sz="6" w:space="0"/>
              <w:left w:val="single" w:color="auto" w:sz="6" w:space="0"/>
              <w:bottom w:val="single" w:color="auto" w:sz="6" w:space="0"/>
              <w:right w:val="single" w:color="auto" w:sz="4" w:space="0"/>
            </w:tcBorders>
            <w:vAlign w:val="center"/>
          </w:tcPr>
          <w:p w14:paraId="6F494E61">
            <w:pPr>
              <w:snapToGrid w:val="0"/>
              <w:spacing w:line="300" w:lineRule="auto"/>
              <w:ind w:left="-90" w:firstLine="480"/>
              <w:jc w:val="center"/>
            </w:pPr>
          </w:p>
        </w:tc>
      </w:tr>
      <w:tr w14:paraId="3E171B04">
        <w:tblPrEx>
          <w:tblCellMar>
            <w:top w:w="0" w:type="dxa"/>
            <w:left w:w="108" w:type="dxa"/>
            <w:bottom w:w="0" w:type="dxa"/>
            <w:right w:w="108" w:type="dxa"/>
          </w:tblCellMar>
        </w:tblPrEx>
        <w:trPr>
          <w:trHeight w:val="907" w:hRule="exact"/>
        </w:trPr>
        <w:tc>
          <w:tcPr>
            <w:tcW w:w="9368" w:type="dxa"/>
            <w:gridSpan w:val="12"/>
            <w:tcBorders>
              <w:top w:val="single" w:color="auto" w:sz="6" w:space="0"/>
              <w:left w:val="single" w:color="auto" w:sz="4" w:space="0"/>
              <w:bottom w:val="single" w:color="auto" w:sz="6" w:space="0"/>
              <w:right w:val="single" w:color="auto" w:sz="4" w:space="0"/>
            </w:tcBorders>
            <w:vAlign w:val="center"/>
          </w:tcPr>
          <w:p w14:paraId="375474F1">
            <w:pPr>
              <w:snapToGrid w:val="0"/>
              <w:spacing w:line="300" w:lineRule="auto"/>
              <w:ind w:left="-90" w:firstLine="480"/>
              <w:jc w:val="center"/>
            </w:pPr>
            <w:r>
              <w:rPr>
                <w:rFonts w:hint="eastAsia"/>
              </w:rPr>
              <w:t>已完项目项目情况</w:t>
            </w:r>
          </w:p>
        </w:tc>
      </w:tr>
      <w:tr w14:paraId="05E23451">
        <w:tblPrEx>
          <w:tblCellMar>
            <w:top w:w="0" w:type="dxa"/>
            <w:left w:w="108" w:type="dxa"/>
            <w:bottom w:w="0" w:type="dxa"/>
            <w:right w:w="108" w:type="dxa"/>
          </w:tblCellMar>
        </w:tblPrEx>
        <w:trPr>
          <w:trHeight w:val="907" w:hRule="exact"/>
        </w:trPr>
        <w:tc>
          <w:tcPr>
            <w:tcW w:w="1733" w:type="dxa"/>
            <w:gridSpan w:val="2"/>
            <w:tcBorders>
              <w:top w:val="single" w:color="auto" w:sz="6" w:space="0"/>
              <w:left w:val="single" w:color="auto" w:sz="4" w:space="0"/>
              <w:bottom w:val="single" w:color="auto" w:sz="6" w:space="0"/>
              <w:right w:val="single" w:color="auto" w:sz="6" w:space="0"/>
            </w:tcBorders>
            <w:vAlign w:val="center"/>
          </w:tcPr>
          <w:p w14:paraId="17743DA6">
            <w:pPr>
              <w:snapToGrid w:val="0"/>
              <w:spacing w:line="300" w:lineRule="auto"/>
              <w:ind w:left="-90" w:firstLine="480"/>
              <w:jc w:val="center"/>
            </w:pPr>
            <w:r>
              <w:rPr>
                <w:rFonts w:hint="eastAsia"/>
              </w:rPr>
              <w:t>建设单位</w:t>
            </w:r>
          </w:p>
        </w:tc>
        <w:tc>
          <w:tcPr>
            <w:tcW w:w="1907" w:type="dxa"/>
            <w:gridSpan w:val="3"/>
            <w:tcBorders>
              <w:top w:val="single" w:color="auto" w:sz="6" w:space="0"/>
              <w:left w:val="single" w:color="auto" w:sz="6" w:space="0"/>
              <w:bottom w:val="single" w:color="auto" w:sz="6" w:space="0"/>
              <w:right w:val="single" w:color="auto" w:sz="6" w:space="0"/>
            </w:tcBorders>
            <w:vAlign w:val="center"/>
          </w:tcPr>
          <w:p w14:paraId="616DD0EF">
            <w:pPr>
              <w:snapToGrid w:val="0"/>
              <w:spacing w:line="300" w:lineRule="auto"/>
              <w:ind w:left="-90" w:firstLine="480"/>
              <w:jc w:val="center"/>
            </w:pPr>
            <w:r>
              <w:rPr>
                <w:rFonts w:hint="eastAsia"/>
              </w:rPr>
              <w:t>项目名称</w:t>
            </w:r>
          </w:p>
        </w:tc>
        <w:tc>
          <w:tcPr>
            <w:tcW w:w="1580" w:type="dxa"/>
            <w:gridSpan w:val="2"/>
            <w:tcBorders>
              <w:top w:val="single" w:color="auto" w:sz="6" w:space="0"/>
              <w:left w:val="single" w:color="auto" w:sz="6" w:space="0"/>
              <w:bottom w:val="single" w:color="auto" w:sz="6" w:space="0"/>
              <w:right w:val="single" w:color="auto" w:sz="6" w:space="0"/>
            </w:tcBorders>
            <w:vAlign w:val="center"/>
          </w:tcPr>
          <w:p w14:paraId="4CF5538A">
            <w:pPr>
              <w:snapToGrid w:val="0"/>
              <w:spacing w:line="300" w:lineRule="auto"/>
              <w:ind w:left="-90" w:firstLine="480"/>
              <w:jc w:val="center"/>
            </w:pPr>
            <w:r>
              <w:rPr>
                <w:rFonts w:hint="eastAsia"/>
              </w:rPr>
              <w:t>建设规模</w:t>
            </w:r>
          </w:p>
        </w:tc>
        <w:tc>
          <w:tcPr>
            <w:tcW w:w="2289" w:type="dxa"/>
            <w:gridSpan w:val="3"/>
            <w:tcBorders>
              <w:top w:val="single" w:color="auto" w:sz="6" w:space="0"/>
              <w:left w:val="single" w:color="auto" w:sz="6" w:space="0"/>
              <w:bottom w:val="single" w:color="auto" w:sz="6" w:space="0"/>
              <w:right w:val="single" w:color="auto" w:sz="6" w:space="0"/>
            </w:tcBorders>
            <w:vAlign w:val="center"/>
          </w:tcPr>
          <w:p w14:paraId="7A92B27D">
            <w:pPr>
              <w:snapToGrid w:val="0"/>
              <w:spacing w:line="300" w:lineRule="auto"/>
              <w:ind w:left="-90" w:firstLine="480"/>
              <w:jc w:val="center"/>
            </w:pPr>
            <w:r>
              <w:rPr>
                <w:rFonts w:hint="eastAsia"/>
              </w:rPr>
              <w:t>项目质量</w:t>
            </w:r>
          </w:p>
        </w:tc>
        <w:tc>
          <w:tcPr>
            <w:tcW w:w="1859" w:type="dxa"/>
            <w:gridSpan w:val="2"/>
            <w:tcBorders>
              <w:top w:val="single" w:color="auto" w:sz="6" w:space="0"/>
              <w:left w:val="single" w:color="auto" w:sz="6" w:space="0"/>
              <w:bottom w:val="single" w:color="auto" w:sz="6" w:space="0"/>
              <w:right w:val="single" w:color="auto" w:sz="4" w:space="0"/>
            </w:tcBorders>
            <w:vAlign w:val="center"/>
          </w:tcPr>
          <w:p w14:paraId="68D6720C">
            <w:pPr>
              <w:snapToGrid w:val="0"/>
              <w:spacing w:line="300" w:lineRule="auto"/>
              <w:ind w:left="-90" w:firstLine="480"/>
            </w:pPr>
            <w:r>
              <w:t xml:space="preserve">  </w:t>
            </w:r>
            <w:r>
              <w:rPr>
                <w:rFonts w:hint="eastAsia"/>
              </w:rPr>
              <w:t>担任职务</w:t>
            </w:r>
          </w:p>
        </w:tc>
      </w:tr>
      <w:tr w14:paraId="37A0D7AD">
        <w:tblPrEx>
          <w:tblCellMar>
            <w:top w:w="0" w:type="dxa"/>
            <w:left w:w="108" w:type="dxa"/>
            <w:bottom w:w="0" w:type="dxa"/>
            <w:right w:w="108" w:type="dxa"/>
          </w:tblCellMar>
        </w:tblPrEx>
        <w:trPr>
          <w:trHeight w:val="907" w:hRule="exact"/>
        </w:trPr>
        <w:tc>
          <w:tcPr>
            <w:tcW w:w="1733" w:type="dxa"/>
            <w:gridSpan w:val="2"/>
            <w:tcBorders>
              <w:top w:val="single" w:color="auto" w:sz="6" w:space="0"/>
              <w:left w:val="single" w:color="auto" w:sz="4" w:space="0"/>
              <w:bottom w:val="single" w:color="auto" w:sz="6" w:space="0"/>
              <w:right w:val="single" w:color="auto" w:sz="6" w:space="0"/>
            </w:tcBorders>
            <w:vAlign w:val="center"/>
          </w:tcPr>
          <w:p w14:paraId="51FDC7DD">
            <w:pPr>
              <w:snapToGrid w:val="0"/>
              <w:spacing w:line="300" w:lineRule="auto"/>
              <w:ind w:left="-90" w:firstLine="480"/>
              <w:jc w:val="center"/>
            </w:pPr>
          </w:p>
        </w:tc>
        <w:tc>
          <w:tcPr>
            <w:tcW w:w="1907" w:type="dxa"/>
            <w:gridSpan w:val="3"/>
            <w:tcBorders>
              <w:top w:val="single" w:color="auto" w:sz="6" w:space="0"/>
              <w:left w:val="single" w:color="auto" w:sz="6" w:space="0"/>
              <w:bottom w:val="single" w:color="auto" w:sz="6" w:space="0"/>
              <w:right w:val="single" w:color="auto" w:sz="6" w:space="0"/>
            </w:tcBorders>
            <w:vAlign w:val="center"/>
          </w:tcPr>
          <w:p w14:paraId="0FE94B38">
            <w:pPr>
              <w:snapToGrid w:val="0"/>
              <w:spacing w:line="300" w:lineRule="auto"/>
              <w:ind w:left="-90" w:firstLine="480"/>
              <w:jc w:val="center"/>
            </w:pPr>
          </w:p>
        </w:tc>
        <w:tc>
          <w:tcPr>
            <w:tcW w:w="1580" w:type="dxa"/>
            <w:gridSpan w:val="2"/>
            <w:tcBorders>
              <w:top w:val="single" w:color="auto" w:sz="6" w:space="0"/>
              <w:left w:val="single" w:color="auto" w:sz="6" w:space="0"/>
              <w:bottom w:val="single" w:color="auto" w:sz="6" w:space="0"/>
              <w:right w:val="single" w:color="auto" w:sz="6" w:space="0"/>
            </w:tcBorders>
            <w:vAlign w:val="center"/>
          </w:tcPr>
          <w:p w14:paraId="03F76655">
            <w:pPr>
              <w:snapToGrid w:val="0"/>
              <w:spacing w:line="300" w:lineRule="auto"/>
              <w:ind w:left="-90" w:firstLine="480"/>
              <w:jc w:val="center"/>
            </w:pPr>
          </w:p>
        </w:tc>
        <w:tc>
          <w:tcPr>
            <w:tcW w:w="2289" w:type="dxa"/>
            <w:gridSpan w:val="3"/>
            <w:tcBorders>
              <w:top w:val="single" w:color="auto" w:sz="6" w:space="0"/>
              <w:left w:val="single" w:color="auto" w:sz="6" w:space="0"/>
              <w:bottom w:val="single" w:color="auto" w:sz="6" w:space="0"/>
              <w:right w:val="single" w:color="auto" w:sz="6" w:space="0"/>
            </w:tcBorders>
            <w:vAlign w:val="center"/>
          </w:tcPr>
          <w:p w14:paraId="451D8D31">
            <w:pPr>
              <w:snapToGrid w:val="0"/>
              <w:spacing w:line="300" w:lineRule="auto"/>
              <w:ind w:left="-90" w:firstLine="480"/>
              <w:jc w:val="center"/>
            </w:pPr>
          </w:p>
        </w:tc>
        <w:tc>
          <w:tcPr>
            <w:tcW w:w="1859" w:type="dxa"/>
            <w:gridSpan w:val="2"/>
            <w:tcBorders>
              <w:top w:val="single" w:color="auto" w:sz="6" w:space="0"/>
              <w:left w:val="single" w:color="auto" w:sz="6" w:space="0"/>
              <w:bottom w:val="single" w:color="auto" w:sz="6" w:space="0"/>
              <w:right w:val="single" w:color="auto" w:sz="4" w:space="0"/>
            </w:tcBorders>
            <w:vAlign w:val="center"/>
          </w:tcPr>
          <w:p w14:paraId="19BE6120">
            <w:pPr>
              <w:snapToGrid w:val="0"/>
              <w:spacing w:line="300" w:lineRule="auto"/>
              <w:ind w:left="-90" w:firstLine="480"/>
            </w:pPr>
          </w:p>
        </w:tc>
      </w:tr>
      <w:tr w14:paraId="12B39F80">
        <w:tblPrEx>
          <w:tblCellMar>
            <w:top w:w="0" w:type="dxa"/>
            <w:left w:w="108" w:type="dxa"/>
            <w:bottom w:w="0" w:type="dxa"/>
            <w:right w:w="108" w:type="dxa"/>
          </w:tblCellMar>
        </w:tblPrEx>
        <w:trPr>
          <w:trHeight w:val="907" w:hRule="exact"/>
        </w:trPr>
        <w:tc>
          <w:tcPr>
            <w:tcW w:w="1733" w:type="dxa"/>
            <w:gridSpan w:val="2"/>
            <w:tcBorders>
              <w:top w:val="single" w:color="auto" w:sz="6" w:space="0"/>
              <w:left w:val="single" w:color="auto" w:sz="4" w:space="0"/>
              <w:bottom w:val="single" w:color="auto" w:sz="6" w:space="0"/>
              <w:right w:val="single" w:color="auto" w:sz="6" w:space="0"/>
            </w:tcBorders>
            <w:vAlign w:val="center"/>
          </w:tcPr>
          <w:p w14:paraId="307ED387">
            <w:pPr>
              <w:snapToGrid w:val="0"/>
              <w:spacing w:line="300" w:lineRule="auto"/>
              <w:ind w:left="-90" w:firstLine="480"/>
              <w:jc w:val="center"/>
            </w:pPr>
          </w:p>
        </w:tc>
        <w:tc>
          <w:tcPr>
            <w:tcW w:w="1907" w:type="dxa"/>
            <w:gridSpan w:val="3"/>
            <w:tcBorders>
              <w:top w:val="single" w:color="auto" w:sz="6" w:space="0"/>
              <w:left w:val="single" w:color="auto" w:sz="6" w:space="0"/>
              <w:bottom w:val="single" w:color="auto" w:sz="6" w:space="0"/>
              <w:right w:val="single" w:color="auto" w:sz="6" w:space="0"/>
            </w:tcBorders>
            <w:vAlign w:val="center"/>
          </w:tcPr>
          <w:p w14:paraId="0C85A70E">
            <w:pPr>
              <w:snapToGrid w:val="0"/>
              <w:spacing w:line="300" w:lineRule="auto"/>
              <w:ind w:left="-90" w:firstLine="480"/>
              <w:jc w:val="center"/>
            </w:pPr>
          </w:p>
        </w:tc>
        <w:tc>
          <w:tcPr>
            <w:tcW w:w="1580" w:type="dxa"/>
            <w:gridSpan w:val="2"/>
            <w:tcBorders>
              <w:top w:val="single" w:color="auto" w:sz="6" w:space="0"/>
              <w:left w:val="single" w:color="auto" w:sz="6" w:space="0"/>
              <w:bottom w:val="single" w:color="auto" w:sz="6" w:space="0"/>
              <w:right w:val="single" w:color="auto" w:sz="6" w:space="0"/>
            </w:tcBorders>
            <w:vAlign w:val="center"/>
          </w:tcPr>
          <w:p w14:paraId="7E6682B9">
            <w:pPr>
              <w:snapToGrid w:val="0"/>
              <w:spacing w:line="300" w:lineRule="auto"/>
              <w:ind w:left="-90" w:firstLine="480"/>
              <w:jc w:val="center"/>
            </w:pPr>
          </w:p>
        </w:tc>
        <w:tc>
          <w:tcPr>
            <w:tcW w:w="2289" w:type="dxa"/>
            <w:gridSpan w:val="3"/>
            <w:tcBorders>
              <w:top w:val="single" w:color="auto" w:sz="6" w:space="0"/>
              <w:left w:val="single" w:color="auto" w:sz="6" w:space="0"/>
              <w:bottom w:val="single" w:color="auto" w:sz="6" w:space="0"/>
              <w:right w:val="single" w:color="auto" w:sz="6" w:space="0"/>
            </w:tcBorders>
            <w:vAlign w:val="center"/>
          </w:tcPr>
          <w:p w14:paraId="3DB1EDB7">
            <w:pPr>
              <w:snapToGrid w:val="0"/>
              <w:spacing w:line="300" w:lineRule="auto"/>
              <w:ind w:left="-90" w:firstLine="480"/>
              <w:jc w:val="center"/>
            </w:pPr>
          </w:p>
        </w:tc>
        <w:tc>
          <w:tcPr>
            <w:tcW w:w="1859" w:type="dxa"/>
            <w:gridSpan w:val="2"/>
            <w:tcBorders>
              <w:top w:val="single" w:color="auto" w:sz="6" w:space="0"/>
              <w:left w:val="single" w:color="auto" w:sz="6" w:space="0"/>
              <w:bottom w:val="single" w:color="auto" w:sz="6" w:space="0"/>
              <w:right w:val="single" w:color="auto" w:sz="4" w:space="0"/>
            </w:tcBorders>
            <w:vAlign w:val="center"/>
          </w:tcPr>
          <w:p w14:paraId="6DF95EB8">
            <w:pPr>
              <w:snapToGrid w:val="0"/>
              <w:spacing w:line="300" w:lineRule="auto"/>
              <w:ind w:left="-90" w:firstLine="480"/>
            </w:pPr>
          </w:p>
        </w:tc>
      </w:tr>
      <w:tr w14:paraId="571E6B8F">
        <w:tblPrEx>
          <w:tblCellMar>
            <w:top w:w="0" w:type="dxa"/>
            <w:left w:w="108" w:type="dxa"/>
            <w:bottom w:w="0" w:type="dxa"/>
            <w:right w:w="108" w:type="dxa"/>
          </w:tblCellMar>
        </w:tblPrEx>
        <w:trPr>
          <w:trHeight w:val="907" w:hRule="exact"/>
        </w:trPr>
        <w:tc>
          <w:tcPr>
            <w:tcW w:w="1733" w:type="dxa"/>
            <w:gridSpan w:val="2"/>
            <w:tcBorders>
              <w:top w:val="single" w:color="auto" w:sz="6" w:space="0"/>
              <w:left w:val="single" w:color="auto" w:sz="4" w:space="0"/>
              <w:bottom w:val="single" w:color="auto" w:sz="6" w:space="0"/>
              <w:right w:val="single" w:color="auto" w:sz="6" w:space="0"/>
            </w:tcBorders>
            <w:vAlign w:val="center"/>
          </w:tcPr>
          <w:p w14:paraId="0FFA9F49">
            <w:pPr>
              <w:snapToGrid w:val="0"/>
              <w:spacing w:line="300" w:lineRule="auto"/>
              <w:ind w:left="-90" w:firstLine="480"/>
              <w:jc w:val="center"/>
            </w:pPr>
          </w:p>
        </w:tc>
        <w:tc>
          <w:tcPr>
            <w:tcW w:w="1907" w:type="dxa"/>
            <w:gridSpan w:val="3"/>
            <w:tcBorders>
              <w:top w:val="single" w:color="auto" w:sz="6" w:space="0"/>
              <w:left w:val="single" w:color="auto" w:sz="6" w:space="0"/>
              <w:bottom w:val="single" w:color="auto" w:sz="6" w:space="0"/>
              <w:right w:val="single" w:color="auto" w:sz="6" w:space="0"/>
            </w:tcBorders>
            <w:vAlign w:val="center"/>
          </w:tcPr>
          <w:p w14:paraId="1CBD6653">
            <w:pPr>
              <w:snapToGrid w:val="0"/>
              <w:spacing w:line="300" w:lineRule="auto"/>
              <w:ind w:left="-90" w:firstLine="480"/>
              <w:jc w:val="center"/>
            </w:pPr>
          </w:p>
        </w:tc>
        <w:tc>
          <w:tcPr>
            <w:tcW w:w="1580" w:type="dxa"/>
            <w:gridSpan w:val="2"/>
            <w:tcBorders>
              <w:top w:val="single" w:color="auto" w:sz="6" w:space="0"/>
              <w:left w:val="single" w:color="auto" w:sz="6" w:space="0"/>
              <w:bottom w:val="single" w:color="auto" w:sz="6" w:space="0"/>
              <w:right w:val="single" w:color="auto" w:sz="6" w:space="0"/>
            </w:tcBorders>
            <w:vAlign w:val="center"/>
          </w:tcPr>
          <w:p w14:paraId="290B3779">
            <w:pPr>
              <w:snapToGrid w:val="0"/>
              <w:spacing w:line="300" w:lineRule="auto"/>
              <w:ind w:left="-90" w:firstLine="480"/>
              <w:jc w:val="center"/>
            </w:pPr>
          </w:p>
        </w:tc>
        <w:tc>
          <w:tcPr>
            <w:tcW w:w="2289" w:type="dxa"/>
            <w:gridSpan w:val="3"/>
            <w:tcBorders>
              <w:top w:val="single" w:color="auto" w:sz="6" w:space="0"/>
              <w:left w:val="single" w:color="auto" w:sz="6" w:space="0"/>
              <w:bottom w:val="single" w:color="auto" w:sz="6" w:space="0"/>
              <w:right w:val="single" w:color="auto" w:sz="6" w:space="0"/>
            </w:tcBorders>
            <w:vAlign w:val="center"/>
          </w:tcPr>
          <w:p w14:paraId="2E5BF513">
            <w:pPr>
              <w:snapToGrid w:val="0"/>
              <w:spacing w:line="300" w:lineRule="auto"/>
              <w:ind w:left="-90" w:firstLine="480"/>
              <w:jc w:val="center"/>
            </w:pPr>
          </w:p>
        </w:tc>
        <w:tc>
          <w:tcPr>
            <w:tcW w:w="1859" w:type="dxa"/>
            <w:gridSpan w:val="2"/>
            <w:tcBorders>
              <w:top w:val="single" w:color="auto" w:sz="6" w:space="0"/>
              <w:left w:val="single" w:color="auto" w:sz="6" w:space="0"/>
              <w:bottom w:val="single" w:color="auto" w:sz="6" w:space="0"/>
              <w:right w:val="single" w:color="auto" w:sz="4" w:space="0"/>
            </w:tcBorders>
            <w:vAlign w:val="center"/>
          </w:tcPr>
          <w:p w14:paraId="18D5A4C2">
            <w:pPr>
              <w:snapToGrid w:val="0"/>
              <w:spacing w:line="300" w:lineRule="auto"/>
              <w:ind w:left="-90" w:firstLine="480"/>
            </w:pPr>
          </w:p>
        </w:tc>
      </w:tr>
    </w:tbl>
    <w:p w14:paraId="451138EC">
      <w:pPr>
        <w:snapToGrid w:val="0"/>
        <w:spacing w:line="300" w:lineRule="auto"/>
        <w:ind w:firstLine="480"/>
      </w:pPr>
      <w:r>
        <w:rPr>
          <w:rFonts w:hint="eastAsia"/>
        </w:rPr>
        <w:t>注：附相关证明材料复印件。</w:t>
      </w:r>
    </w:p>
    <w:p w14:paraId="40C185C2">
      <w:pPr>
        <w:snapToGrid w:val="0"/>
        <w:spacing w:line="300" w:lineRule="auto"/>
        <w:ind w:firstLine="480"/>
      </w:pPr>
    </w:p>
    <w:p w14:paraId="5B353D04">
      <w:pPr>
        <w:snapToGrid w:val="0"/>
        <w:spacing w:line="300" w:lineRule="auto"/>
        <w:ind w:firstLine="480"/>
      </w:pPr>
    </w:p>
    <w:p w14:paraId="24729E9E">
      <w:pPr>
        <w:snapToGrid w:val="0"/>
        <w:spacing w:line="300" w:lineRule="auto"/>
        <w:ind w:firstLine="480"/>
      </w:pPr>
    </w:p>
    <w:p w14:paraId="5C3BD6E8">
      <w:pPr>
        <w:autoSpaceDE w:val="0"/>
        <w:autoSpaceDN w:val="0"/>
        <w:adjustRightInd w:val="0"/>
        <w:snapToGrid w:val="0"/>
        <w:spacing w:before="25" w:after="25" w:line="360" w:lineRule="auto"/>
        <w:rPr>
          <w:rFonts w:hint="eastAsia"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_______________</w:t>
      </w:r>
    </w:p>
    <w:p w14:paraId="7EB0755E">
      <w:pPr>
        <w:autoSpaceDE w:val="0"/>
        <w:autoSpaceDN w:val="0"/>
        <w:adjustRightInd w:val="0"/>
        <w:snapToGrid w:val="0"/>
        <w:spacing w:before="25" w:after="25" w:line="360" w:lineRule="auto"/>
        <w:rPr>
          <w:rFonts w:hint="eastAsia" w:ascii="宋体" w:hAnsi="宋体"/>
          <w:sz w:val="24"/>
          <w:lang w:val="zh-CN"/>
        </w:rPr>
      </w:pPr>
      <w:r>
        <w:rPr>
          <w:rFonts w:ascii="宋体" w:hAnsi="宋体"/>
          <w:sz w:val="24"/>
          <w:szCs w:val="20"/>
        </w:rPr>
        <w:t xml:space="preserve">日期：____年____月____日    </w:t>
      </w:r>
    </w:p>
    <w:p w14:paraId="5293975A">
      <w:pPr>
        <w:autoSpaceDE w:val="0"/>
        <w:autoSpaceDN w:val="0"/>
        <w:adjustRightInd w:val="0"/>
        <w:snapToGrid w:val="0"/>
        <w:spacing w:line="300" w:lineRule="auto"/>
        <w:ind w:firstLine="480"/>
      </w:pPr>
    </w:p>
    <w:p w14:paraId="03222972">
      <w:pPr>
        <w:autoSpaceDE w:val="0"/>
        <w:autoSpaceDN w:val="0"/>
        <w:adjustRightInd w:val="0"/>
        <w:snapToGrid w:val="0"/>
        <w:spacing w:line="300" w:lineRule="auto"/>
        <w:ind w:firstLine="480"/>
      </w:pPr>
    </w:p>
    <w:p w14:paraId="509CB468">
      <w:pPr>
        <w:autoSpaceDE w:val="0"/>
        <w:autoSpaceDN w:val="0"/>
        <w:adjustRightInd w:val="0"/>
        <w:snapToGrid w:val="0"/>
        <w:spacing w:line="300" w:lineRule="auto"/>
        <w:ind w:firstLine="480"/>
      </w:pPr>
    </w:p>
    <w:p w14:paraId="26C1EA41">
      <w:pPr>
        <w:autoSpaceDE w:val="0"/>
        <w:autoSpaceDN w:val="0"/>
        <w:adjustRightInd w:val="0"/>
        <w:snapToGrid w:val="0"/>
        <w:spacing w:line="300" w:lineRule="auto"/>
        <w:ind w:firstLine="480"/>
      </w:pPr>
    </w:p>
    <w:p w14:paraId="78447C61">
      <w:pPr>
        <w:autoSpaceDE w:val="0"/>
        <w:autoSpaceDN w:val="0"/>
        <w:adjustRightInd w:val="0"/>
        <w:snapToGrid w:val="0"/>
        <w:spacing w:line="300" w:lineRule="auto"/>
        <w:ind w:firstLine="480"/>
      </w:pPr>
    </w:p>
    <w:p w14:paraId="76647AFD">
      <w:pPr>
        <w:autoSpaceDE w:val="0"/>
        <w:autoSpaceDN w:val="0"/>
        <w:adjustRightInd w:val="0"/>
        <w:snapToGrid w:val="0"/>
        <w:spacing w:line="300" w:lineRule="auto"/>
        <w:ind w:firstLine="480"/>
      </w:pPr>
    </w:p>
    <w:p w14:paraId="07CF2F87">
      <w:pPr>
        <w:autoSpaceDE w:val="0"/>
        <w:autoSpaceDN w:val="0"/>
        <w:adjustRightInd w:val="0"/>
        <w:snapToGrid w:val="0"/>
        <w:spacing w:line="300" w:lineRule="auto"/>
        <w:ind w:firstLine="480"/>
      </w:pPr>
    </w:p>
    <w:p w14:paraId="325F0C03">
      <w:pPr>
        <w:autoSpaceDE w:val="0"/>
        <w:autoSpaceDN w:val="0"/>
        <w:adjustRightInd w:val="0"/>
        <w:snapToGrid w:val="0"/>
        <w:spacing w:line="300" w:lineRule="auto"/>
        <w:ind w:firstLine="480"/>
      </w:pPr>
    </w:p>
    <w:p w14:paraId="035C8AE3">
      <w:pPr>
        <w:autoSpaceDE w:val="0"/>
        <w:autoSpaceDN w:val="0"/>
        <w:adjustRightInd w:val="0"/>
        <w:snapToGrid w:val="0"/>
        <w:spacing w:line="300" w:lineRule="auto"/>
        <w:ind w:firstLine="480"/>
      </w:pPr>
    </w:p>
    <w:p w14:paraId="1048D7FF">
      <w:pPr>
        <w:autoSpaceDE w:val="0"/>
        <w:autoSpaceDN w:val="0"/>
        <w:adjustRightInd w:val="0"/>
        <w:snapToGrid w:val="0"/>
        <w:spacing w:line="300" w:lineRule="auto"/>
        <w:ind w:firstLine="480"/>
      </w:pPr>
    </w:p>
    <w:p w14:paraId="55930796">
      <w:pPr>
        <w:autoSpaceDE w:val="0"/>
        <w:autoSpaceDN w:val="0"/>
        <w:adjustRightInd w:val="0"/>
        <w:snapToGrid w:val="0"/>
        <w:spacing w:line="300" w:lineRule="auto"/>
        <w:ind w:firstLine="482"/>
        <w:jc w:val="center"/>
      </w:pPr>
      <w:r>
        <w:rPr>
          <w:b/>
          <w:bCs/>
        </w:rPr>
        <w:br w:type="page"/>
      </w:r>
    </w:p>
    <w:p w14:paraId="0496D6F1">
      <w:pPr>
        <w:snapToGrid w:val="0"/>
        <w:spacing w:line="300" w:lineRule="auto"/>
        <w:ind w:firstLine="482"/>
        <w:jc w:val="center"/>
        <w:rPr>
          <w:b/>
        </w:rPr>
      </w:pPr>
      <w:r>
        <w:rPr>
          <w:rFonts w:hint="eastAsia"/>
          <w:b/>
        </w:rPr>
        <w:t>近三年承担的类似业绩表</w:t>
      </w:r>
    </w:p>
    <w:tbl>
      <w:tblPr>
        <w:tblStyle w:val="57"/>
        <w:tblW w:w="9306" w:type="dxa"/>
        <w:jc w:val="center"/>
        <w:tblLayout w:type="fixed"/>
        <w:tblCellMar>
          <w:top w:w="0" w:type="dxa"/>
          <w:left w:w="108" w:type="dxa"/>
          <w:bottom w:w="0" w:type="dxa"/>
          <w:right w:w="108" w:type="dxa"/>
        </w:tblCellMar>
      </w:tblPr>
      <w:tblGrid>
        <w:gridCol w:w="1207"/>
        <w:gridCol w:w="2068"/>
        <w:gridCol w:w="1550"/>
        <w:gridCol w:w="1896"/>
        <w:gridCol w:w="2585"/>
      </w:tblGrid>
      <w:tr w14:paraId="1E18D640">
        <w:tblPrEx>
          <w:tblCellMar>
            <w:top w:w="0" w:type="dxa"/>
            <w:left w:w="108" w:type="dxa"/>
            <w:bottom w:w="0" w:type="dxa"/>
            <w:right w:w="108" w:type="dxa"/>
          </w:tblCellMar>
        </w:tblPrEx>
        <w:trPr>
          <w:trHeight w:val="1138" w:hRule="exact"/>
          <w:jc w:val="center"/>
        </w:trPr>
        <w:tc>
          <w:tcPr>
            <w:tcW w:w="1207" w:type="dxa"/>
            <w:tcBorders>
              <w:top w:val="single" w:color="auto" w:sz="6" w:space="0"/>
              <w:left w:val="single" w:color="auto" w:sz="6" w:space="0"/>
              <w:bottom w:val="single" w:color="auto" w:sz="6" w:space="0"/>
              <w:right w:val="single" w:color="auto" w:sz="6" w:space="0"/>
            </w:tcBorders>
            <w:vAlign w:val="center"/>
          </w:tcPr>
          <w:p w14:paraId="29C0A009">
            <w:pPr>
              <w:snapToGrid w:val="0"/>
              <w:spacing w:line="300" w:lineRule="auto"/>
              <w:ind w:left="-90" w:firstLine="480"/>
              <w:jc w:val="center"/>
            </w:pPr>
            <w:r>
              <w:rPr>
                <w:rFonts w:hint="eastAsia"/>
              </w:rPr>
              <w:t>序号</w:t>
            </w:r>
          </w:p>
        </w:tc>
        <w:tc>
          <w:tcPr>
            <w:tcW w:w="2068" w:type="dxa"/>
            <w:tcBorders>
              <w:top w:val="single" w:color="auto" w:sz="6" w:space="0"/>
              <w:left w:val="single" w:color="auto" w:sz="6" w:space="0"/>
              <w:bottom w:val="single" w:color="auto" w:sz="6" w:space="0"/>
              <w:right w:val="single" w:color="auto" w:sz="6" w:space="0"/>
            </w:tcBorders>
            <w:vAlign w:val="center"/>
          </w:tcPr>
          <w:p w14:paraId="5DC853DB">
            <w:pPr>
              <w:snapToGrid w:val="0"/>
              <w:spacing w:line="300" w:lineRule="auto"/>
              <w:ind w:left="-90" w:firstLine="480"/>
              <w:jc w:val="center"/>
            </w:pPr>
            <w:r>
              <w:rPr>
                <w:rFonts w:hint="eastAsia"/>
              </w:rPr>
              <w:t>项目名称</w:t>
            </w:r>
          </w:p>
        </w:tc>
        <w:tc>
          <w:tcPr>
            <w:tcW w:w="1550" w:type="dxa"/>
            <w:tcBorders>
              <w:top w:val="single" w:color="auto" w:sz="6" w:space="0"/>
              <w:left w:val="single" w:color="auto" w:sz="6" w:space="0"/>
              <w:bottom w:val="single" w:color="auto" w:sz="6" w:space="0"/>
              <w:right w:val="single" w:color="auto" w:sz="6" w:space="0"/>
            </w:tcBorders>
            <w:vAlign w:val="center"/>
          </w:tcPr>
          <w:p w14:paraId="6945E98C">
            <w:pPr>
              <w:snapToGrid w:val="0"/>
              <w:spacing w:line="300" w:lineRule="auto"/>
              <w:ind w:left="-90" w:firstLine="480"/>
              <w:jc w:val="center"/>
            </w:pPr>
            <w:r>
              <w:rPr>
                <w:rFonts w:hint="eastAsia"/>
              </w:rPr>
              <w:t>业主单位</w:t>
            </w:r>
          </w:p>
        </w:tc>
        <w:tc>
          <w:tcPr>
            <w:tcW w:w="1896" w:type="dxa"/>
            <w:tcBorders>
              <w:top w:val="single" w:color="auto" w:sz="6" w:space="0"/>
              <w:left w:val="single" w:color="auto" w:sz="6" w:space="0"/>
              <w:bottom w:val="single" w:color="auto" w:sz="6" w:space="0"/>
              <w:right w:val="single" w:color="auto" w:sz="6" w:space="0"/>
            </w:tcBorders>
            <w:vAlign w:val="center"/>
          </w:tcPr>
          <w:p w14:paraId="3A1D9CC4">
            <w:pPr>
              <w:snapToGrid w:val="0"/>
              <w:spacing w:line="300" w:lineRule="auto"/>
              <w:ind w:left="-90" w:firstLine="480"/>
              <w:jc w:val="center"/>
            </w:pPr>
            <w:r>
              <w:rPr>
                <w:rFonts w:hint="eastAsia"/>
              </w:rPr>
              <w:t>服务规模</w:t>
            </w:r>
          </w:p>
        </w:tc>
        <w:tc>
          <w:tcPr>
            <w:tcW w:w="2585" w:type="dxa"/>
            <w:tcBorders>
              <w:top w:val="single" w:color="auto" w:sz="6" w:space="0"/>
              <w:left w:val="single" w:color="auto" w:sz="6" w:space="0"/>
              <w:bottom w:val="single" w:color="auto" w:sz="6" w:space="0"/>
              <w:right w:val="single" w:color="auto" w:sz="6" w:space="0"/>
            </w:tcBorders>
            <w:vAlign w:val="center"/>
          </w:tcPr>
          <w:p w14:paraId="1D13DD2D">
            <w:pPr>
              <w:snapToGrid w:val="0"/>
              <w:spacing w:line="300" w:lineRule="auto"/>
              <w:ind w:left="-90" w:firstLine="480"/>
              <w:jc w:val="center"/>
            </w:pPr>
            <w:r>
              <w:rPr>
                <w:rFonts w:hint="eastAsia"/>
              </w:rPr>
              <w:t>合同签订时间</w:t>
            </w:r>
          </w:p>
        </w:tc>
      </w:tr>
      <w:tr w14:paraId="5F526F61">
        <w:tblPrEx>
          <w:tblCellMar>
            <w:top w:w="0" w:type="dxa"/>
            <w:left w:w="108" w:type="dxa"/>
            <w:bottom w:w="0" w:type="dxa"/>
            <w:right w:w="108" w:type="dxa"/>
          </w:tblCellMar>
        </w:tblPrEx>
        <w:trPr>
          <w:trHeight w:val="1138" w:hRule="exact"/>
          <w:jc w:val="center"/>
        </w:trPr>
        <w:tc>
          <w:tcPr>
            <w:tcW w:w="1207" w:type="dxa"/>
            <w:tcBorders>
              <w:top w:val="single" w:color="auto" w:sz="6" w:space="0"/>
              <w:left w:val="single" w:color="auto" w:sz="6" w:space="0"/>
              <w:bottom w:val="single" w:color="auto" w:sz="6" w:space="0"/>
              <w:right w:val="single" w:color="auto" w:sz="6" w:space="0"/>
            </w:tcBorders>
            <w:vAlign w:val="center"/>
          </w:tcPr>
          <w:p w14:paraId="39E012FE">
            <w:pPr>
              <w:snapToGrid w:val="0"/>
              <w:spacing w:line="300" w:lineRule="auto"/>
              <w:ind w:left="-90" w:firstLine="480"/>
              <w:jc w:val="center"/>
            </w:pPr>
          </w:p>
        </w:tc>
        <w:tc>
          <w:tcPr>
            <w:tcW w:w="2068" w:type="dxa"/>
            <w:tcBorders>
              <w:top w:val="single" w:color="auto" w:sz="6" w:space="0"/>
              <w:left w:val="single" w:color="auto" w:sz="6" w:space="0"/>
              <w:bottom w:val="single" w:color="auto" w:sz="6" w:space="0"/>
              <w:right w:val="single" w:color="auto" w:sz="6" w:space="0"/>
            </w:tcBorders>
            <w:vAlign w:val="center"/>
          </w:tcPr>
          <w:p w14:paraId="64456786">
            <w:pPr>
              <w:snapToGrid w:val="0"/>
              <w:spacing w:line="300" w:lineRule="auto"/>
              <w:ind w:left="-90" w:firstLine="480"/>
              <w:jc w:val="center"/>
            </w:pPr>
          </w:p>
        </w:tc>
        <w:tc>
          <w:tcPr>
            <w:tcW w:w="1550" w:type="dxa"/>
            <w:tcBorders>
              <w:top w:val="single" w:color="auto" w:sz="6" w:space="0"/>
              <w:left w:val="single" w:color="auto" w:sz="6" w:space="0"/>
              <w:bottom w:val="single" w:color="auto" w:sz="6" w:space="0"/>
              <w:right w:val="single" w:color="auto" w:sz="6" w:space="0"/>
            </w:tcBorders>
            <w:vAlign w:val="center"/>
          </w:tcPr>
          <w:p w14:paraId="55A163EF">
            <w:pPr>
              <w:snapToGrid w:val="0"/>
              <w:spacing w:line="300" w:lineRule="auto"/>
              <w:ind w:left="-90" w:firstLine="480"/>
              <w:jc w:val="center"/>
            </w:pPr>
          </w:p>
        </w:tc>
        <w:tc>
          <w:tcPr>
            <w:tcW w:w="1896" w:type="dxa"/>
            <w:tcBorders>
              <w:top w:val="single" w:color="auto" w:sz="6" w:space="0"/>
              <w:left w:val="single" w:color="auto" w:sz="6" w:space="0"/>
              <w:bottom w:val="single" w:color="auto" w:sz="6" w:space="0"/>
              <w:right w:val="single" w:color="auto" w:sz="6" w:space="0"/>
            </w:tcBorders>
            <w:vAlign w:val="center"/>
          </w:tcPr>
          <w:p w14:paraId="2B83A303">
            <w:pPr>
              <w:snapToGrid w:val="0"/>
              <w:spacing w:line="300" w:lineRule="auto"/>
              <w:ind w:left="-90" w:firstLine="480"/>
              <w:jc w:val="center"/>
            </w:pPr>
          </w:p>
        </w:tc>
        <w:tc>
          <w:tcPr>
            <w:tcW w:w="2585" w:type="dxa"/>
            <w:tcBorders>
              <w:top w:val="single" w:color="auto" w:sz="6" w:space="0"/>
              <w:left w:val="single" w:color="auto" w:sz="6" w:space="0"/>
              <w:bottom w:val="single" w:color="auto" w:sz="6" w:space="0"/>
              <w:right w:val="single" w:color="auto" w:sz="6" w:space="0"/>
            </w:tcBorders>
            <w:vAlign w:val="center"/>
          </w:tcPr>
          <w:p w14:paraId="74118619">
            <w:pPr>
              <w:snapToGrid w:val="0"/>
              <w:spacing w:line="300" w:lineRule="auto"/>
              <w:ind w:left="-90" w:firstLine="480"/>
              <w:jc w:val="center"/>
            </w:pPr>
          </w:p>
        </w:tc>
      </w:tr>
      <w:tr w14:paraId="2BDBEC16">
        <w:tblPrEx>
          <w:tblCellMar>
            <w:top w:w="0" w:type="dxa"/>
            <w:left w:w="108" w:type="dxa"/>
            <w:bottom w:w="0" w:type="dxa"/>
            <w:right w:w="108" w:type="dxa"/>
          </w:tblCellMar>
        </w:tblPrEx>
        <w:trPr>
          <w:trHeight w:val="1138" w:hRule="exact"/>
          <w:jc w:val="center"/>
        </w:trPr>
        <w:tc>
          <w:tcPr>
            <w:tcW w:w="1207" w:type="dxa"/>
            <w:tcBorders>
              <w:top w:val="single" w:color="auto" w:sz="6" w:space="0"/>
              <w:left w:val="single" w:color="auto" w:sz="6" w:space="0"/>
              <w:bottom w:val="single" w:color="auto" w:sz="6" w:space="0"/>
              <w:right w:val="single" w:color="auto" w:sz="6" w:space="0"/>
            </w:tcBorders>
            <w:vAlign w:val="center"/>
          </w:tcPr>
          <w:p w14:paraId="7887D7A4">
            <w:pPr>
              <w:snapToGrid w:val="0"/>
              <w:spacing w:line="300" w:lineRule="auto"/>
              <w:ind w:left="-90" w:firstLine="480"/>
              <w:jc w:val="center"/>
            </w:pPr>
          </w:p>
        </w:tc>
        <w:tc>
          <w:tcPr>
            <w:tcW w:w="2068" w:type="dxa"/>
            <w:tcBorders>
              <w:top w:val="single" w:color="auto" w:sz="6" w:space="0"/>
              <w:left w:val="single" w:color="auto" w:sz="6" w:space="0"/>
              <w:bottom w:val="single" w:color="auto" w:sz="6" w:space="0"/>
              <w:right w:val="single" w:color="auto" w:sz="6" w:space="0"/>
            </w:tcBorders>
            <w:vAlign w:val="center"/>
          </w:tcPr>
          <w:p w14:paraId="0E68B501">
            <w:pPr>
              <w:snapToGrid w:val="0"/>
              <w:spacing w:line="300" w:lineRule="auto"/>
              <w:ind w:left="-90" w:firstLine="480"/>
              <w:jc w:val="center"/>
            </w:pPr>
          </w:p>
        </w:tc>
        <w:tc>
          <w:tcPr>
            <w:tcW w:w="1550" w:type="dxa"/>
            <w:tcBorders>
              <w:top w:val="single" w:color="auto" w:sz="6" w:space="0"/>
              <w:left w:val="single" w:color="auto" w:sz="6" w:space="0"/>
              <w:bottom w:val="single" w:color="auto" w:sz="6" w:space="0"/>
              <w:right w:val="single" w:color="auto" w:sz="6" w:space="0"/>
            </w:tcBorders>
            <w:vAlign w:val="center"/>
          </w:tcPr>
          <w:p w14:paraId="61F495BE">
            <w:pPr>
              <w:snapToGrid w:val="0"/>
              <w:spacing w:line="300" w:lineRule="auto"/>
              <w:ind w:left="-90" w:firstLine="480"/>
              <w:jc w:val="center"/>
            </w:pPr>
          </w:p>
        </w:tc>
        <w:tc>
          <w:tcPr>
            <w:tcW w:w="1896" w:type="dxa"/>
            <w:tcBorders>
              <w:top w:val="single" w:color="auto" w:sz="6" w:space="0"/>
              <w:left w:val="single" w:color="auto" w:sz="6" w:space="0"/>
              <w:bottom w:val="single" w:color="auto" w:sz="6" w:space="0"/>
              <w:right w:val="single" w:color="auto" w:sz="6" w:space="0"/>
            </w:tcBorders>
            <w:vAlign w:val="center"/>
          </w:tcPr>
          <w:p w14:paraId="7F218491">
            <w:pPr>
              <w:snapToGrid w:val="0"/>
              <w:spacing w:line="300" w:lineRule="auto"/>
              <w:ind w:left="-90" w:firstLine="480"/>
              <w:jc w:val="center"/>
            </w:pPr>
          </w:p>
        </w:tc>
        <w:tc>
          <w:tcPr>
            <w:tcW w:w="2585" w:type="dxa"/>
            <w:tcBorders>
              <w:top w:val="single" w:color="auto" w:sz="6" w:space="0"/>
              <w:left w:val="single" w:color="auto" w:sz="6" w:space="0"/>
              <w:bottom w:val="single" w:color="auto" w:sz="6" w:space="0"/>
              <w:right w:val="single" w:color="auto" w:sz="6" w:space="0"/>
            </w:tcBorders>
            <w:vAlign w:val="center"/>
          </w:tcPr>
          <w:p w14:paraId="43E7BA1E">
            <w:pPr>
              <w:snapToGrid w:val="0"/>
              <w:spacing w:line="300" w:lineRule="auto"/>
              <w:ind w:left="-90" w:firstLine="480"/>
              <w:jc w:val="center"/>
            </w:pPr>
          </w:p>
        </w:tc>
      </w:tr>
      <w:tr w14:paraId="5AAD077B">
        <w:tblPrEx>
          <w:tblCellMar>
            <w:top w:w="0" w:type="dxa"/>
            <w:left w:w="108" w:type="dxa"/>
            <w:bottom w:w="0" w:type="dxa"/>
            <w:right w:w="108" w:type="dxa"/>
          </w:tblCellMar>
        </w:tblPrEx>
        <w:trPr>
          <w:trHeight w:val="1138" w:hRule="exact"/>
          <w:jc w:val="center"/>
        </w:trPr>
        <w:tc>
          <w:tcPr>
            <w:tcW w:w="1207" w:type="dxa"/>
            <w:tcBorders>
              <w:top w:val="single" w:color="auto" w:sz="6" w:space="0"/>
              <w:left w:val="single" w:color="auto" w:sz="6" w:space="0"/>
              <w:bottom w:val="single" w:color="auto" w:sz="6" w:space="0"/>
              <w:right w:val="single" w:color="auto" w:sz="6" w:space="0"/>
            </w:tcBorders>
            <w:vAlign w:val="center"/>
          </w:tcPr>
          <w:p w14:paraId="2EFCE401">
            <w:pPr>
              <w:snapToGrid w:val="0"/>
              <w:spacing w:line="300" w:lineRule="auto"/>
              <w:ind w:left="-90" w:firstLine="480"/>
              <w:jc w:val="center"/>
            </w:pPr>
          </w:p>
        </w:tc>
        <w:tc>
          <w:tcPr>
            <w:tcW w:w="2068" w:type="dxa"/>
            <w:tcBorders>
              <w:top w:val="single" w:color="auto" w:sz="6" w:space="0"/>
              <w:left w:val="single" w:color="auto" w:sz="6" w:space="0"/>
              <w:bottom w:val="single" w:color="auto" w:sz="6" w:space="0"/>
              <w:right w:val="single" w:color="auto" w:sz="6" w:space="0"/>
            </w:tcBorders>
            <w:vAlign w:val="center"/>
          </w:tcPr>
          <w:p w14:paraId="36C3D64D">
            <w:pPr>
              <w:snapToGrid w:val="0"/>
              <w:spacing w:line="300" w:lineRule="auto"/>
              <w:ind w:left="-90" w:firstLine="480"/>
              <w:jc w:val="center"/>
            </w:pPr>
          </w:p>
        </w:tc>
        <w:tc>
          <w:tcPr>
            <w:tcW w:w="1550" w:type="dxa"/>
            <w:tcBorders>
              <w:top w:val="single" w:color="auto" w:sz="6" w:space="0"/>
              <w:left w:val="single" w:color="auto" w:sz="6" w:space="0"/>
              <w:bottom w:val="single" w:color="auto" w:sz="6" w:space="0"/>
              <w:right w:val="single" w:color="auto" w:sz="6" w:space="0"/>
            </w:tcBorders>
            <w:vAlign w:val="center"/>
          </w:tcPr>
          <w:p w14:paraId="12011CF2">
            <w:pPr>
              <w:snapToGrid w:val="0"/>
              <w:spacing w:line="300" w:lineRule="auto"/>
              <w:ind w:left="-90" w:firstLine="480"/>
              <w:jc w:val="center"/>
            </w:pPr>
          </w:p>
        </w:tc>
        <w:tc>
          <w:tcPr>
            <w:tcW w:w="1896" w:type="dxa"/>
            <w:tcBorders>
              <w:top w:val="single" w:color="auto" w:sz="6" w:space="0"/>
              <w:left w:val="single" w:color="auto" w:sz="6" w:space="0"/>
              <w:bottom w:val="single" w:color="auto" w:sz="6" w:space="0"/>
              <w:right w:val="single" w:color="auto" w:sz="6" w:space="0"/>
            </w:tcBorders>
            <w:vAlign w:val="center"/>
          </w:tcPr>
          <w:p w14:paraId="4FC022A4">
            <w:pPr>
              <w:snapToGrid w:val="0"/>
              <w:spacing w:line="300" w:lineRule="auto"/>
              <w:ind w:left="-90" w:firstLine="480"/>
              <w:jc w:val="center"/>
            </w:pPr>
          </w:p>
        </w:tc>
        <w:tc>
          <w:tcPr>
            <w:tcW w:w="2585" w:type="dxa"/>
            <w:tcBorders>
              <w:top w:val="single" w:color="auto" w:sz="6" w:space="0"/>
              <w:left w:val="single" w:color="auto" w:sz="6" w:space="0"/>
              <w:bottom w:val="single" w:color="auto" w:sz="6" w:space="0"/>
              <w:right w:val="single" w:color="auto" w:sz="6" w:space="0"/>
            </w:tcBorders>
            <w:vAlign w:val="center"/>
          </w:tcPr>
          <w:p w14:paraId="18FDC64C">
            <w:pPr>
              <w:snapToGrid w:val="0"/>
              <w:spacing w:line="300" w:lineRule="auto"/>
              <w:ind w:left="-90" w:firstLine="480"/>
              <w:jc w:val="center"/>
            </w:pPr>
          </w:p>
        </w:tc>
      </w:tr>
      <w:tr w14:paraId="29E06C57">
        <w:tblPrEx>
          <w:tblCellMar>
            <w:top w:w="0" w:type="dxa"/>
            <w:left w:w="108" w:type="dxa"/>
            <w:bottom w:w="0" w:type="dxa"/>
            <w:right w:w="108" w:type="dxa"/>
          </w:tblCellMar>
        </w:tblPrEx>
        <w:trPr>
          <w:trHeight w:val="1138" w:hRule="exact"/>
          <w:jc w:val="center"/>
        </w:trPr>
        <w:tc>
          <w:tcPr>
            <w:tcW w:w="1207" w:type="dxa"/>
            <w:tcBorders>
              <w:top w:val="single" w:color="auto" w:sz="6" w:space="0"/>
              <w:left w:val="single" w:color="auto" w:sz="6" w:space="0"/>
              <w:bottom w:val="single" w:color="auto" w:sz="6" w:space="0"/>
              <w:right w:val="single" w:color="auto" w:sz="6" w:space="0"/>
            </w:tcBorders>
            <w:vAlign w:val="center"/>
          </w:tcPr>
          <w:p w14:paraId="3B04EA87">
            <w:pPr>
              <w:snapToGrid w:val="0"/>
              <w:spacing w:line="300" w:lineRule="auto"/>
              <w:ind w:left="-90" w:firstLine="480"/>
              <w:jc w:val="center"/>
            </w:pPr>
          </w:p>
        </w:tc>
        <w:tc>
          <w:tcPr>
            <w:tcW w:w="2068" w:type="dxa"/>
            <w:tcBorders>
              <w:top w:val="single" w:color="auto" w:sz="6" w:space="0"/>
              <w:left w:val="single" w:color="auto" w:sz="6" w:space="0"/>
              <w:bottom w:val="single" w:color="auto" w:sz="6" w:space="0"/>
              <w:right w:val="single" w:color="auto" w:sz="6" w:space="0"/>
            </w:tcBorders>
            <w:vAlign w:val="center"/>
          </w:tcPr>
          <w:p w14:paraId="46A605A6">
            <w:pPr>
              <w:snapToGrid w:val="0"/>
              <w:spacing w:line="300" w:lineRule="auto"/>
              <w:ind w:left="-90" w:firstLine="480"/>
              <w:jc w:val="center"/>
            </w:pPr>
          </w:p>
        </w:tc>
        <w:tc>
          <w:tcPr>
            <w:tcW w:w="1550" w:type="dxa"/>
            <w:tcBorders>
              <w:top w:val="single" w:color="auto" w:sz="6" w:space="0"/>
              <w:left w:val="single" w:color="auto" w:sz="6" w:space="0"/>
              <w:bottom w:val="single" w:color="auto" w:sz="6" w:space="0"/>
              <w:right w:val="single" w:color="auto" w:sz="6" w:space="0"/>
            </w:tcBorders>
            <w:vAlign w:val="center"/>
          </w:tcPr>
          <w:p w14:paraId="6A338B84">
            <w:pPr>
              <w:snapToGrid w:val="0"/>
              <w:spacing w:line="300" w:lineRule="auto"/>
              <w:ind w:left="-90" w:firstLine="480"/>
              <w:jc w:val="center"/>
            </w:pPr>
          </w:p>
        </w:tc>
        <w:tc>
          <w:tcPr>
            <w:tcW w:w="1896" w:type="dxa"/>
            <w:tcBorders>
              <w:top w:val="single" w:color="auto" w:sz="6" w:space="0"/>
              <w:left w:val="single" w:color="auto" w:sz="6" w:space="0"/>
              <w:bottom w:val="single" w:color="auto" w:sz="6" w:space="0"/>
              <w:right w:val="single" w:color="auto" w:sz="6" w:space="0"/>
            </w:tcBorders>
            <w:vAlign w:val="center"/>
          </w:tcPr>
          <w:p w14:paraId="567C3B77">
            <w:pPr>
              <w:snapToGrid w:val="0"/>
              <w:spacing w:line="300" w:lineRule="auto"/>
              <w:ind w:left="-90" w:firstLine="480"/>
              <w:jc w:val="center"/>
            </w:pPr>
          </w:p>
        </w:tc>
        <w:tc>
          <w:tcPr>
            <w:tcW w:w="2585" w:type="dxa"/>
            <w:tcBorders>
              <w:top w:val="single" w:color="auto" w:sz="6" w:space="0"/>
              <w:left w:val="single" w:color="auto" w:sz="6" w:space="0"/>
              <w:bottom w:val="single" w:color="auto" w:sz="6" w:space="0"/>
              <w:right w:val="single" w:color="auto" w:sz="6" w:space="0"/>
            </w:tcBorders>
            <w:vAlign w:val="center"/>
          </w:tcPr>
          <w:p w14:paraId="77022F60">
            <w:pPr>
              <w:snapToGrid w:val="0"/>
              <w:spacing w:line="300" w:lineRule="auto"/>
              <w:ind w:left="-90" w:firstLine="480"/>
              <w:jc w:val="center"/>
            </w:pPr>
          </w:p>
        </w:tc>
      </w:tr>
      <w:tr w14:paraId="2135E912">
        <w:tblPrEx>
          <w:tblCellMar>
            <w:top w:w="0" w:type="dxa"/>
            <w:left w:w="108" w:type="dxa"/>
            <w:bottom w:w="0" w:type="dxa"/>
            <w:right w:w="108" w:type="dxa"/>
          </w:tblCellMar>
        </w:tblPrEx>
        <w:trPr>
          <w:trHeight w:val="1138" w:hRule="exact"/>
          <w:jc w:val="center"/>
        </w:trPr>
        <w:tc>
          <w:tcPr>
            <w:tcW w:w="1207" w:type="dxa"/>
            <w:tcBorders>
              <w:top w:val="single" w:color="auto" w:sz="6" w:space="0"/>
              <w:left w:val="single" w:color="auto" w:sz="6" w:space="0"/>
              <w:bottom w:val="single" w:color="auto" w:sz="6" w:space="0"/>
              <w:right w:val="single" w:color="auto" w:sz="6" w:space="0"/>
            </w:tcBorders>
            <w:vAlign w:val="center"/>
          </w:tcPr>
          <w:p w14:paraId="21A8FFD4">
            <w:pPr>
              <w:snapToGrid w:val="0"/>
              <w:spacing w:line="300" w:lineRule="auto"/>
              <w:ind w:left="-90" w:firstLine="480"/>
              <w:jc w:val="center"/>
            </w:pPr>
          </w:p>
        </w:tc>
        <w:tc>
          <w:tcPr>
            <w:tcW w:w="2068" w:type="dxa"/>
            <w:tcBorders>
              <w:top w:val="single" w:color="auto" w:sz="6" w:space="0"/>
              <w:left w:val="single" w:color="auto" w:sz="6" w:space="0"/>
              <w:bottom w:val="single" w:color="auto" w:sz="6" w:space="0"/>
              <w:right w:val="single" w:color="auto" w:sz="6" w:space="0"/>
            </w:tcBorders>
            <w:vAlign w:val="center"/>
          </w:tcPr>
          <w:p w14:paraId="6B6B20A9">
            <w:pPr>
              <w:snapToGrid w:val="0"/>
              <w:spacing w:line="300" w:lineRule="auto"/>
              <w:ind w:left="-90" w:firstLine="480"/>
              <w:jc w:val="center"/>
            </w:pPr>
          </w:p>
        </w:tc>
        <w:tc>
          <w:tcPr>
            <w:tcW w:w="1550" w:type="dxa"/>
            <w:tcBorders>
              <w:top w:val="single" w:color="auto" w:sz="6" w:space="0"/>
              <w:left w:val="single" w:color="auto" w:sz="6" w:space="0"/>
              <w:bottom w:val="single" w:color="auto" w:sz="6" w:space="0"/>
              <w:right w:val="single" w:color="auto" w:sz="6" w:space="0"/>
            </w:tcBorders>
            <w:vAlign w:val="center"/>
          </w:tcPr>
          <w:p w14:paraId="07D0D987">
            <w:pPr>
              <w:snapToGrid w:val="0"/>
              <w:spacing w:line="300" w:lineRule="auto"/>
              <w:ind w:left="-90" w:firstLine="480"/>
              <w:jc w:val="center"/>
            </w:pPr>
          </w:p>
        </w:tc>
        <w:tc>
          <w:tcPr>
            <w:tcW w:w="1896" w:type="dxa"/>
            <w:tcBorders>
              <w:top w:val="single" w:color="auto" w:sz="6" w:space="0"/>
              <w:left w:val="single" w:color="auto" w:sz="6" w:space="0"/>
              <w:bottom w:val="single" w:color="auto" w:sz="6" w:space="0"/>
              <w:right w:val="single" w:color="auto" w:sz="6" w:space="0"/>
            </w:tcBorders>
            <w:vAlign w:val="center"/>
          </w:tcPr>
          <w:p w14:paraId="7235B355">
            <w:pPr>
              <w:snapToGrid w:val="0"/>
              <w:spacing w:line="300" w:lineRule="auto"/>
              <w:ind w:left="-90" w:firstLine="480"/>
              <w:jc w:val="center"/>
            </w:pPr>
          </w:p>
        </w:tc>
        <w:tc>
          <w:tcPr>
            <w:tcW w:w="2585" w:type="dxa"/>
            <w:tcBorders>
              <w:top w:val="single" w:color="auto" w:sz="6" w:space="0"/>
              <w:left w:val="single" w:color="auto" w:sz="6" w:space="0"/>
              <w:bottom w:val="single" w:color="auto" w:sz="6" w:space="0"/>
              <w:right w:val="single" w:color="auto" w:sz="6" w:space="0"/>
            </w:tcBorders>
            <w:vAlign w:val="center"/>
          </w:tcPr>
          <w:p w14:paraId="112DB2ED">
            <w:pPr>
              <w:snapToGrid w:val="0"/>
              <w:spacing w:line="300" w:lineRule="auto"/>
              <w:ind w:left="-90" w:firstLine="480"/>
              <w:jc w:val="center"/>
            </w:pPr>
          </w:p>
        </w:tc>
      </w:tr>
      <w:tr w14:paraId="1AD78F0D">
        <w:tblPrEx>
          <w:tblCellMar>
            <w:top w:w="0" w:type="dxa"/>
            <w:left w:w="108" w:type="dxa"/>
            <w:bottom w:w="0" w:type="dxa"/>
            <w:right w:w="108" w:type="dxa"/>
          </w:tblCellMar>
        </w:tblPrEx>
        <w:trPr>
          <w:trHeight w:val="1138" w:hRule="exact"/>
          <w:jc w:val="center"/>
        </w:trPr>
        <w:tc>
          <w:tcPr>
            <w:tcW w:w="1207" w:type="dxa"/>
            <w:tcBorders>
              <w:top w:val="single" w:color="auto" w:sz="6" w:space="0"/>
              <w:left w:val="single" w:color="auto" w:sz="6" w:space="0"/>
              <w:bottom w:val="single" w:color="auto" w:sz="6" w:space="0"/>
              <w:right w:val="single" w:color="auto" w:sz="6" w:space="0"/>
            </w:tcBorders>
            <w:vAlign w:val="center"/>
          </w:tcPr>
          <w:p w14:paraId="2C3B0925">
            <w:pPr>
              <w:snapToGrid w:val="0"/>
              <w:spacing w:line="300" w:lineRule="auto"/>
              <w:ind w:left="-90" w:firstLine="480"/>
              <w:jc w:val="center"/>
            </w:pPr>
          </w:p>
        </w:tc>
        <w:tc>
          <w:tcPr>
            <w:tcW w:w="2068" w:type="dxa"/>
            <w:tcBorders>
              <w:top w:val="single" w:color="auto" w:sz="6" w:space="0"/>
              <w:left w:val="single" w:color="auto" w:sz="6" w:space="0"/>
              <w:bottom w:val="single" w:color="auto" w:sz="6" w:space="0"/>
              <w:right w:val="single" w:color="auto" w:sz="6" w:space="0"/>
            </w:tcBorders>
            <w:vAlign w:val="center"/>
          </w:tcPr>
          <w:p w14:paraId="6FDA8D5B">
            <w:pPr>
              <w:snapToGrid w:val="0"/>
              <w:spacing w:line="300" w:lineRule="auto"/>
              <w:ind w:left="-90" w:firstLine="480"/>
              <w:jc w:val="center"/>
            </w:pPr>
          </w:p>
        </w:tc>
        <w:tc>
          <w:tcPr>
            <w:tcW w:w="1550" w:type="dxa"/>
            <w:tcBorders>
              <w:top w:val="single" w:color="auto" w:sz="6" w:space="0"/>
              <w:left w:val="single" w:color="auto" w:sz="6" w:space="0"/>
              <w:bottom w:val="single" w:color="auto" w:sz="6" w:space="0"/>
              <w:right w:val="single" w:color="auto" w:sz="6" w:space="0"/>
            </w:tcBorders>
            <w:vAlign w:val="center"/>
          </w:tcPr>
          <w:p w14:paraId="2E6DCFC0">
            <w:pPr>
              <w:snapToGrid w:val="0"/>
              <w:spacing w:line="300" w:lineRule="auto"/>
              <w:ind w:left="-90" w:firstLine="480"/>
              <w:jc w:val="center"/>
            </w:pPr>
          </w:p>
        </w:tc>
        <w:tc>
          <w:tcPr>
            <w:tcW w:w="1896" w:type="dxa"/>
            <w:tcBorders>
              <w:top w:val="single" w:color="auto" w:sz="6" w:space="0"/>
              <w:left w:val="single" w:color="auto" w:sz="6" w:space="0"/>
              <w:bottom w:val="single" w:color="auto" w:sz="6" w:space="0"/>
              <w:right w:val="single" w:color="auto" w:sz="6" w:space="0"/>
            </w:tcBorders>
            <w:vAlign w:val="center"/>
          </w:tcPr>
          <w:p w14:paraId="45C7BD9C">
            <w:pPr>
              <w:snapToGrid w:val="0"/>
              <w:spacing w:line="300" w:lineRule="auto"/>
              <w:ind w:left="-90" w:firstLine="480"/>
              <w:jc w:val="center"/>
            </w:pPr>
          </w:p>
        </w:tc>
        <w:tc>
          <w:tcPr>
            <w:tcW w:w="2585" w:type="dxa"/>
            <w:tcBorders>
              <w:top w:val="single" w:color="auto" w:sz="6" w:space="0"/>
              <w:left w:val="single" w:color="auto" w:sz="6" w:space="0"/>
              <w:bottom w:val="single" w:color="auto" w:sz="6" w:space="0"/>
              <w:right w:val="single" w:color="auto" w:sz="6" w:space="0"/>
            </w:tcBorders>
            <w:vAlign w:val="center"/>
          </w:tcPr>
          <w:p w14:paraId="1AC1E0BE">
            <w:pPr>
              <w:snapToGrid w:val="0"/>
              <w:spacing w:line="300" w:lineRule="auto"/>
              <w:ind w:left="-90" w:firstLine="480"/>
              <w:jc w:val="center"/>
            </w:pPr>
          </w:p>
        </w:tc>
      </w:tr>
    </w:tbl>
    <w:p w14:paraId="5A9797C6">
      <w:pPr>
        <w:snapToGrid w:val="0"/>
        <w:spacing w:line="300" w:lineRule="auto"/>
        <w:ind w:firstLine="630" w:firstLineChars="300"/>
      </w:pPr>
    </w:p>
    <w:p w14:paraId="04A66DA9">
      <w:pPr>
        <w:autoSpaceDE w:val="0"/>
        <w:autoSpaceDN w:val="0"/>
        <w:adjustRightInd w:val="0"/>
        <w:snapToGrid w:val="0"/>
        <w:spacing w:before="25" w:after="25" w:line="360" w:lineRule="auto"/>
        <w:rPr>
          <w:rFonts w:hint="eastAsia"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_______________</w:t>
      </w:r>
    </w:p>
    <w:p w14:paraId="7FC9A0FE">
      <w:pPr>
        <w:autoSpaceDE w:val="0"/>
        <w:autoSpaceDN w:val="0"/>
        <w:adjustRightInd w:val="0"/>
        <w:snapToGrid w:val="0"/>
        <w:spacing w:before="25" w:after="25" w:line="360" w:lineRule="auto"/>
        <w:rPr>
          <w:rFonts w:hint="eastAsia" w:ascii="宋体" w:hAnsi="宋体"/>
          <w:sz w:val="24"/>
          <w:lang w:val="zh-CN"/>
        </w:rPr>
      </w:pPr>
      <w:r>
        <w:rPr>
          <w:rFonts w:ascii="宋体" w:hAnsi="宋体"/>
          <w:sz w:val="24"/>
          <w:szCs w:val="20"/>
        </w:rPr>
        <w:t xml:space="preserve">日期：____年____月____日    </w:t>
      </w:r>
    </w:p>
    <w:p w14:paraId="75321DBE">
      <w:pPr>
        <w:snapToGrid w:val="0"/>
        <w:spacing w:line="300" w:lineRule="auto"/>
        <w:ind w:firstLine="480"/>
      </w:pPr>
    </w:p>
    <w:p w14:paraId="1EABEA67">
      <w:pPr>
        <w:snapToGrid w:val="0"/>
        <w:spacing w:line="300" w:lineRule="auto"/>
        <w:ind w:firstLine="480"/>
      </w:pPr>
    </w:p>
    <w:p w14:paraId="444C25F1">
      <w:pPr>
        <w:snapToGrid w:val="0"/>
        <w:spacing w:line="300" w:lineRule="auto"/>
        <w:ind w:firstLine="480"/>
      </w:pPr>
    </w:p>
    <w:p w14:paraId="3858750E">
      <w:pPr>
        <w:snapToGrid w:val="0"/>
        <w:spacing w:line="300" w:lineRule="auto"/>
        <w:ind w:firstLine="480"/>
      </w:pPr>
    </w:p>
    <w:p w14:paraId="348F6025">
      <w:pPr>
        <w:snapToGrid w:val="0"/>
        <w:spacing w:line="300" w:lineRule="auto"/>
        <w:ind w:firstLine="480"/>
      </w:pPr>
    </w:p>
    <w:p w14:paraId="7B683EE9">
      <w:pPr>
        <w:snapToGrid w:val="0"/>
        <w:spacing w:line="300" w:lineRule="auto"/>
        <w:ind w:firstLine="480"/>
      </w:pPr>
    </w:p>
    <w:p w14:paraId="694257D2">
      <w:pPr>
        <w:snapToGrid w:val="0"/>
        <w:spacing w:line="300" w:lineRule="auto"/>
        <w:ind w:firstLine="480"/>
      </w:pPr>
    </w:p>
    <w:p w14:paraId="312FF1C6">
      <w:pPr>
        <w:snapToGrid w:val="0"/>
        <w:spacing w:line="300" w:lineRule="auto"/>
        <w:ind w:firstLine="480"/>
      </w:pPr>
    </w:p>
    <w:p w14:paraId="175B14A5">
      <w:pPr>
        <w:snapToGrid w:val="0"/>
        <w:spacing w:line="300" w:lineRule="auto"/>
        <w:ind w:firstLine="480"/>
      </w:pPr>
    </w:p>
    <w:p w14:paraId="1C33BE02">
      <w:pPr>
        <w:snapToGrid w:val="0"/>
        <w:spacing w:line="300" w:lineRule="auto"/>
        <w:ind w:firstLine="480"/>
      </w:pPr>
    </w:p>
    <w:p w14:paraId="080D11D2">
      <w:pPr>
        <w:snapToGrid w:val="0"/>
        <w:spacing w:line="300" w:lineRule="auto"/>
        <w:ind w:firstLine="480"/>
      </w:pPr>
    </w:p>
    <w:p w14:paraId="78715684">
      <w:pPr>
        <w:snapToGrid w:val="0"/>
        <w:spacing w:line="300" w:lineRule="auto"/>
        <w:ind w:firstLine="480"/>
      </w:pPr>
    </w:p>
    <w:p w14:paraId="2F10ECC2">
      <w:pPr>
        <w:snapToGrid w:val="0"/>
        <w:spacing w:line="300" w:lineRule="auto"/>
        <w:ind w:firstLine="480"/>
      </w:pPr>
    </w:p>
    <w:p w14:paraId="37578A0C">
      <w:pPr>
        <w:widowControl/>
        <w:jc w:val="left"/>
        <w:rPr>
          <w:rFonts w:hint="eastAsia" w:ascii="宋体" w:hAnsi="宋体"/>
          <w:sz w:val="24"/>
        </w:rPr>
      </w:pPr>
    </w:p>
    <w:p w14:paraId="3457B159">
      <w:pPr>
        <w:widowControl/>
        <w:jc w:val="left"/>
        <w:rPr>
          <w:rFonts w:hint="eastAsia" w:ascii="宋体" w:hAnsi="宋体"/>
          <w:sz w:val="24"/>
        </w:rPr>
      </w:pPr>
      <w:r>
        <w:rPr>
          <w:rFonts w:ascii="宋体" w:hAnsi="宋体"/>
          <w:sz w:val="24"/>
        </w:rPr>
        <w:t>1</w:t>
      </w:r>
      <w:r>
        <w:rPr>
          <w:rFonts w:hint="eastAsia" w:ascii="宋体" w:hAnsi="宋体"/>
          <w:sz w:val="24"/>
        </w:rPr>
        <w:t>2</w:t>
      </w:r>
      <w:r>
        <w:rPr>
          <w:rFonts w:ascii="宋体" w:hAnsi="宋体"/>
          <w:sz w:val="24"/>
        </w:rPr>
        <w:t xml:space="preserve">  最后报价一览表（实质性格式，磋商后提交）</w:t>
      </w:r>
    </w:p>
    <w:p w14:paraId="233B65A5">
      <w:pPr>
        <w:widowControl/>
        <w:jc w:val="left"/>
        <w:rPr>
          <w:rFonts w:hint="eastAsia" w:ascii="宋体" w:hAnsi="宋体"/>
          <w:kern w:val="0"/>
          <w:sz w:val="24"/>
          <w:szCs w:val="20"/>
        </w:rPr>
      </w:pPr>
    </w:p>
    <w:p w14:paraId="38B73B44">
      <w:pPr>
        <w:spacing w:line="360" w:lineRule="exact"/>
        <w:ind w:firstLine="723"/>
        <w:jc w:val="center"/>
        <w:rPr>
          <w:rFonts w:hint="eastAsia" w:ascii="宋体" w:hAnsi="宋体"/>
          <w:b/>
          <w:sz w:val="36"/>
          <w:szCs w:val="36"/>
        </w:rPr>
      </w:pPr>
      <w:r>
        <w:rPr>
          <w:rFonts w:hint="eastAsia" w:ascii="宋体" w:hAnsi="宋体"/>
          <w:b/>
          <w:sz w:val="36"/>
          <w:szCs w:val="36"/>
        </w:rPr>
        <w:t>最后报价一览表</w:t>
      </w:r>
    </w:p>
    <w:p w14:paraId="68696EC0">
      <w:pPr>
        <w:tabs>
          <w:tab w:val="left" w:pos="1800"/>
          <w:tab w:val="left" w:pos="5580"/>
        </w:tabs>
        <w:spacing w:line="360" w:lineRule="auto"/>
        <w:jc w:val="left"/>
        <w:rPr>
          <w:rFonts w:hint="eastAsia" w:ascii="宋体" w:hAnsi="宋体"/>
          <w:sz w:val="24"/>
        </w:rPr>
      </w:pPr>
    </w:p>
    <w:p w14:paraId="2FCAADCB">
      <w:pPr>
        <w:tabs>
          <w:tab w:val="left" w:pos="1800"/>
          <w:tab w:val="left" w:pos="5580"/>
        </w:tabs>
        <w:spacing w:line="360" w:lineRule="auto"/>
        <w:ind w:firstLine="360" w:firstLineChars="150"/>
        <w:jc w:val="left"/>
        <w:rPr>
          <w:rFonts w:hint="eastAsia" w:ascii="宋体" w:hAnsi="宋体"/>
          <w:sz w:val="24"/>
        </w:rPr>
      </w:pPr>
      <w:r>
        <w:rPr>
          <w:rFonts w:ascii="宋体" w:hAnsi="宋体"/>
          <w:sz w:val="24"/>
        </w:rPr>
        <w:t>项目编号/包号：_______________     项目名称：_______________</w:t>
      </w:r>
    </w:p>
    <w:tbl>
      <w:tblPr>
        <w:tblStyle w:val="57"/>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3"/>
        <w:gridCol w:w="1877"/>
        <w:gridCol w:w="1877"/>
        <w:gridCol w:w="1746"/>
        <w:gridCol w:w="1652"/>
        <w:gridCol w:w="1177"/>
      </w:tblGrid>
      <w:tr w14:paraId="78FF3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733" w:type="dxa"/>
            <w:vMerge w:val="restart"/>
            <w:vAlign w:val="center"/>
          </w:tcPr>
          <w:p w14:paraId="0D7A09C2">
            <w:pPr>
              <w:tabs>
                <w:tab w:val="left" w:pos="5580"/>
              </w:tabs>
              <w:jc w:val="center"/>
              <w:rPr>
                <w:rFonts w:hint="eastAsia" w:ascii="宋体" w:hAnsi="宋体"/>
                <w:b/>
                <w:sz w:val="24"/>
              </w:rPr>
            </w:pPr>
            <w:r>
              <w:rPr>
                <w:rFonts w:ascii="宋体" w:hAnsi="宋体"/>
                <w:b/>
                <w:sz w:val="24"/>
              </w:rPr>
              <w:t>序号</w:t>
            </w:r>
          </w:p>
        </w:tc>
        <w:tc>
          <w:tcPr>
            <w:tcW w:w="1877" w:type="dxa"/>
            <w:vMerge w:val="restart"/>
            <w:vAlign w:val="center"/>
          </w:tcPr>
          <w:p w14:paraId="1DD5161E">
            <w:pPr>
              <w:tabs>
                <w:tab w:val="left" w:pos="5580"/>
              </w:tabs>
              <w:jc w:val="center"/>
              <w:rPr>
                <w:rFonts w:hint="eastAsia" w:ascii="宋体" w:hAnsi="宋体"/>
                <w:b/>
                <w:sz w:val="24"/>
              </w:rPr>
            </w:pPr>
            <w:r>
              <w:rPr>
                <w:rFonts w:hint="eastAsia" w:ascii="宋体" w:hAnsi="宋体"/>
                <w:b/>
                <w:sz w:val="24"/>
              </w:rPr>
              <w:t>分包名称</w:t>
            </w:r>
          </w:p>
        </w:tc>
        <w:tc>
          <w:tcPr>
            <w:tcW w:w="1877" w:type="dxa"/>
            <w:vMerge w:val="restart"/>
            <w:vAlign w:val="center"/>
          </w:tcPr>
          <w:p w14:paraId="12BE510C">
            <w:pPr>
              <w:tabs>
                <w:tab w:val="left" w:pos="5580"/>
              </w:tabs>
              <w:jc w:val="center"/>
              <w:rPr>
                <w:rFonts w:hint="eastAsia" w:ascii="宋体" w:hAnsi="宋体"/>
                <w:b/>
                <w:sz w:val="24"/>
              </w:rPr>
            </w:pPr>
            <w:r>
              <w:rPr>
                <w:rFonts w:ascii="宋体" w:hAnsi="宋体"/>
                <w:b/>
                <w:sz w:val="24"/>
              </w:rPr>
              <w:t>合同履行期限</w:t>
            </w:r>
          </w:p>
        </w:tc>
        <w:tc>
          <w:tcPr>
            <w:tcW w:w="3398" w:type="dxa"/>
            <w:gridSpan w:val="2"/>
            <w:vAlign w:val="center"/>
          </w:tcPr>
          <w:p w14:paraId="2A37EC2A">
            <w:pPr>
              <w:tabs>
                <w:tab w:val="left" w:pos="5580"/>
              </w:tabs>
              <w:jc w:val="center"/>
              <w:rPr>
                <w:rFonts w:hint="eastAsia" w:ascii="宋体" w:hAnsi="宋体"/>
                <w:b/>
                <w:sz w:val="24"/>
              </w:rPr>
            </w:pPr>
            <w:r>
              <w:rPr>
                <w:rFonts w:ascii="宋体" w:hAnsi="宋体"/>
                <w:b/>
                <w:sz w:val="24"/>
              </w:rPr>
              <w:t>最后报价</w:t>
            </w:r>
          </w:p>
        </w:tc>
        <w:tc>
          <w:tcPr>
            <w:tcW w:w="1177" w:type="dxa"/>
            <w:vMerge w:val="restart"/>
            <w:vAlign w:val="center"/>
          </w:tcPr>
          <w:p w14:paraId="3E6BC094">
            <w:pPr>
              <w:tabs>
                <w:tab w:val="left" w:pos="5580"/>
              </w:tabs>
              <w:jc w:val="center"/>
              <w:rPr>
                <w:rFonts w:hint="eastAsia" w:ascii="宋体" w:hAnsi="宋体"/>
                <w:b/>
                <w:sz w:val="24"/>
              </w:rPr>
            </w:pPr>
            <w:r>
              <w:rPr>
                <w:rFonts w:ascii="宋体" w:hAnsi="宋体"/>
                <w:b/>
                <w:sz w:val="24"/>
              </w:rPr>
              <w:t>其他</w:t>
            </w:r>
          </w:p>
          <w:p w14:paraId="46C7C5E2">
            <w:pPr>
              <w:tabs>
                <w:tab w:val="left" w:pos="5580"/>
              </w:tabs>
              <w:jc w:val="center"/>
              <w:rPr>
                <w:rFonts w:hint="eastAsia" w:ascii="宋体" w:hAnsi="宋体"/>
                <w:b/>
                <w:sz w:val="24"/>
              </w:rPr>
            </w:pPr>
            <w:r>
              <w:rPr>
                <w:rFonts w:ascii="宋体" w:hAnsi="宋体"/>
                <w:b/>
                <w:sz w:val="24"/>
              </w:rPr>
              <w:t>声明</w:t>
            </w:r>
          </w:p>
        </w:tc>
      </w:tr>
      <w:tr w14:paraId="6FA18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733" w:type="dxa"/>
            <w:vMerge w:val="continue"/>
            <w:vAlign w:val="center"/>
          </w:tcPr>
          <w:p w14:paraId="725F3116">
            <w:pPr>
              <w:tabs>
                <w:tab w:val="left" w:pos="5580"/>
              </w:tabs>
              <w:jc w:val="center"/>
              <w:rPr>
                <w:rFonts w:hint="eastAsia" w:ascii="宋体" w:hAnsi="宋体"/>
                <w:sz w:val="24"/>
              </w:rPr>
            </w:pPr>
          </w:p>
        </w:tc>
        <w:tc>
          <w:tcPr>
            <w:tcW w:w="1877" w:type="dxa"/>
            <w:vMerge w:val="continue"/>
            <w:vAlign w:val="center"/>
          </w:tcPr>
          <w:p w14:paraId="48EB051D">
            <w:pPr>
              <w:tabs>
                <w:tab w:val="left" w:pos="5580"/>
              </w:tabs>
              <w:jc w:val="center"/>
              <w:rPr>
                <w:rFonts w:hint="eastAsia" w:ascii="宋体" w:hAnsi="宋体"/>
                <w:sz w:val="24"/>
              </w:rPr>
            </w:pPr>
          </w:p>
        </w:tc>
        <w:tc>
          <w:tcPr>
            <w:tcW w:w="1877" w:type="dxa"/>
            <w:vMerge w:val="continue"/>
          </w:tcPr>
          <w:p w14:paraId="7B300791">
            <w:pPr>
              <w:tabs>
                <w:tab w:val="left" w:pos="5580"/>
              </w:tabs>
              <w:ind w:firstLine="482"/>
              <w:jc w:val="center"/>
              <w:rPr>
                <w:rFonts w:hint="eastAsia" w:ascii="宋体" w:hAnsi="宋体"/>
                <w:b/>
                <w:sz w:val="24"/>
              </w:rPr>
            </w:pPr>
          </w:p>
        </w:tc>
        <w:tc>
          <w:tcPr>
            <w:tcW w:w="1746" w:type="dxa"/>
            <w:vAlign w:val="center"/>
          </w:tcPr>
          <w:p w14:paraId="7C9F444D">
            <w:pPr>
              <w:tabs>
                <w:tab w:val="left" w:pos="5580"/>
              </w:tabs>
              <w:jc w:val="center"/>
              <w:rPr>
                <w:rFonts w:hint="eastAsia" w:ascii="宋体" w:hAnsi="宋体"/>
                <w:b/>
                <w:sz w:val="24"/>
              </w:rPr>
            </w:pPr>
            <w:r>
              <w:rPr>
                <w:rFonts w:ascii="宋体" w:hAnsi="宋体"/>
                <w:b/>
                <w:sz w:val="24"/>
              </w:rPr>
              <w:t>大写</w:t>
            </w:r>
          </w:p>
        </w:tc>
        <w:tc>
          <w:tcPr>
            <w:tcW w:w="1652" w:type="dxa"/>
            <w:vAlign w:val="center"/>
          </w:tcPr>
          <w:p w14:paraId="050C3D48">
            <w:pPr>
              <w:tabs>
                <w:tab w:val="left" w:pos="5580"/>
              </w:tabs>
              <w:jc w:val="center"/>
              <w:rPr>
                <w:rFonts w:hint="eastAsia" w:ascii="宋体" w:hAnsi="宋体"/>
                <w:b/>
                <w:sz w:val="24"/>
              </w:rPr>
            </w:pPr>
            <w:r>
              <w:rPr>
                <w:rFonts w:ascii="宋体" w:hAnsi="宋体"/>
                <w:b/>
                <w:sz w:val="24"/>
              </w:rPr>
              <w:t>小写</w:t>
            </w:r>
          </w:p>
        </w:tc>
        <w:tc>
          <w:tcPr>
            <w:tcW w:w="1177" w:type="dxa"/>
            <w:vMerge w:val="continue"/>
            <w:vAlign w:val="center"/>
          </w:tcPr>
          <w:p w14:paraId="419797A6">
            <w:pPr>
              <w:tabs>
                <w:tab w:val="left" w:pos="5580"/>
              </w:tabs>
              <w:ind w:firstLine="482"/>
              <w:jc w:val="center"/>
              <w:rPr>
                <w:rFonts w:hint="eastAsia" w:ascii="宋体" w:hAnsi="宋体"/>
                <w:b/>
                <w:sz w:val="24"/>
              </w:rPr>
            </w:pPr>
          </w:p>
        </w:tc>
      </w:tr>
      <w:tr w14:paraId="6F27F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733" w:type="dxa"/>
            <w:vAlign w:val="center"/>
          </w:tcPr>
          <w:p w14:paraId="21C741F0">
            <w:pPr>
              <w:tabs>
                <w:tab w:val="left" w:pos="5580"/>
              </w:tabs>
              <w:jc w:val="center"/>
              <w:rPr>
                <w:rFonts w:hint="eastAsia" w:ascii="宋体" w:hAnsi="宋体"/>
                <w:sz w:val="24"/>
              </w:rPr>
            </w:pPr>
            <w:r>
              <w:rPr>
                <w:rFonts w:hint="eastAsia" w:ascii="宋体" w:hAnsi="宋体"/>
                <w:sz w:val="24"/>
              </w:rPr>
              <w:t>1</w:t>
            </w:r>
          </w:p>
        </w:tc>
        <w:tc>
          <w:tcPr>
            <w:tcW w:w="1877" w:type="dxa"/>
            <w:vAlign w:val="center"/>
          </w:tcPr>
          <w:p w14:paraId="74396448">
            <w:pPr>
              <w:tabs>
                <w:tab w:val="left" w:pos="5580"/>
              </w:tabs>
              <w:jc w:val="center"/>
              <w:rPr>
                <w:rFonts w:hint="eastAsia" w:ascii="宋体" w:hAnsi="宋体"/>
                <w:sz w:val="24"/>
              </w:rPr>
            </w:pPr>
            <w:r>
              <w:rPr>
                <w:rFonts w:hint="eastAsia" w:ascii="宋体" w:hAnsi="宋体"/>
                <w:sz w:val="24"/>
              </w:rPr>
              <w:t>第一标段：</w:t>
            </w:r>
            <w:r>
              <w:rPr>
                <w:rFonts w:hint="eastAsia" w:ascii="宋体" w:hAnsi="宋体"/>
                <w:color w:val="FF0000"/>
                <w:sz w:val="24"/>
              </w:rPr>
              <w:t>配电设备设施</w:t>
            </w:r>
            <w:r>
              <w:rPr>
                <w:rFonts w:hint="eastAsia" w:ascii="宋体" w:hAnsi="宋体"/>
                <w:color w:val="FF0000"/>
                <w:sz w:val="24"/>
                <w:lang w:eastAsia="zh-CN"/>
              </w:rPr>
              <w:t>运维</w:t>
            </w:r>
          </w:p>
        </w:tc>
        <w:tc>
          <w:tcPr>
            <w:tcW w:w="1877" w:type="dxa"/>
          </w:tcPr>
          <w:p w14:paraId="58C92507">
            <w:pPr>
              <w:tabs>
                <w:tab w:val="left" w:pos="5580"/>
              </w:tabs>
              <w:jc w:val="center"/>
              <w:rPr>
                <w:rFonts w:hint="eastAsia" w:ascii="宋体" w:hAnsi="宋体"/>
                <w:sz w:val="24"/>
              </w:rPr>
            </w:pPr>
          </w:p>
        </w:tc>
        <w:tc>
          <w:tcPr>
            <w:tcW w:w="1746" w:type="dxa"/>
            <w:vAlign w:val="center"/>
          </w:tcPr>
          <w:p w14:paraId="379E5596">
            <w:pPr>
              <w:tabs>
                <w:tab w:val="left" w:pos="5580"/>
              </w:tabs>
              <w:jc w:val="center"/>
              <w:rPr>
                <w:rFonts w:hint="eastAsia" w:ascii="宋体" w:hAnsi="宋体"/>
                <w:sz w:val="24"/>
              </w:rPr>
            </w:pPr>
          </w:p>
        </w:tc>
        <w:tc>
          <w:tcPr>
            <w:tcW w:w="1652" w:type="dxa"/>
            <w:vAlign w:val="center"/>
          </w:tcPr>
          <w:p w14:paraId="50461F60">
            <w:pPr>
              <w:tabs>
                <w:tab w:val="left" w:pos="5580"/>
              </w:tabs>
              <w:jc w:val="center"/>
              <w:rPr>
                <w:rFonts w:hint="eastAsia" w:ascii="宋体" w:hAnsi="宋体"/>
                <w:sz w:val="24"/>
              </w:rPr>
            </w:pPr>
          </w:p>
        </w:tc>
        <w:tc>
          <w:tcPr>
            <w:tcW w:w="1177" w:type="dxa"/>
            <w:vAlign w:val="center"/>
          </w:tcPr>
          <w:p w14:paraId="2D2E9572">
            <w:pPr>
              <w:tabs>
                <w:tab w:val="left" w:pos="5580"/>
              </w:tabs>
              <w:jc w:val="center"/>
              <w:rPr>
                <w:rFonts w:hint="eastAsia" w:ascii="宋体" w:hAnsi="宋体"/>
                <w:sz w:val="24"/>
              </w:rPr>
            </w:pPr>
          </w:p>
        </w:tc>
      </w:tr>
    </w:tbl>
    <w:p w14:paraId="6BEDE2D9">
      <w:pPr>
        <w:autoSpaceDE w:val="0"/>
        <w:autoSpaceDN w:val="0"/>
        <w:adjustRightInd w:val="0"/>
        <w:jc w:val="left"/>
        <w:rPr>
          <w:rFonts w:hint="eastAsia" w:ascii="宋体" w:hAnsi="宋体"/>
          <w:kern w:val="0"/>
          <w:sz w:val="24"/>
        </w:rPr>
      </w:pPr>
    </w:p>
    <w:p w14:paraId="20248D0E">
      <w:pPr>
        <w:autoSpaceDE w:val="0"/>
        <w:autoSpaceDN w:val="0"/>
        <w:adjustRightInd w:val="0"/>
        <w:jc w:val="left"/>
        <w:rPr>
          <w:rFonts w:hint="eastAsia" w:ascii="宋体" w:hAnsi="宋体"/>
          <w:sz w:val="24"/>
          <w:szCs w:val="20"/>
        </w:rPr>
      </w:pPr>
      <w:r>
        <w:rPr>
          <w:rFonts w:ascii="宋体" w:hAnsi="宋体"/>
          <w:kern w:val="0"/>
          <w:sz w:val="24"/>
        </w:rPr>
        <w:t>注：1</w:t>
      </w:r>
      <w:r>
        <w:rPr>
          <w:rFonts w:ascii="宋体" w:hAnsi="宋体"/>
          <w:sz w:val="24"/>
          <w:szCs w:val="20"/>
        </w:rPr>
        <w:t>.此表中，每包的报价应和《最后分项报价表》中的总价相一致。</w:t>
      </w:r>
    </w:p>
    <w:p w14:paraId="35440D0E">
      <w:pPr>
        <w:tabs>
          <w:tab w:val="left" w:pos="5580"/>
        </w:tabs>
        <w:ind w:firstLine="480" w:firstLineChars="200"/>
        <w:rPr>
          <w:rFonts w:hint="eastAsia" w:ascii="宋体" w:hAnsi="宋体"/>
          <w:sz w:val="24"/>
          <w:szCs w:val="20"/>
        </w:rPr>
      </w:pPr>
      <w:r>
        <w:rPr>
          <w:rFonts w:ascii="宋体" w:hAnsi="宋体"/>
          <w:sz w:val="24"/>
          <w:szCs w:val="20"/>
        </w:rPr>
        <w:t>2.本表必须按包分别填写。</w:t>
      </w:r>
    </w:p>
    <w:p w14:paraId="0EB5AA0E">
      <w:pPr>
        <w:tabs>
          <w:tab w:val="left" w:pos="5580"/>
        </w:tabs>
        <w:ind w:firstLine="480" w:firstLineChars="200"/>
        <w:rPr>
          <w:rFonts w:hint="eastAsia" w:ascii="宋体" w:hAnsi="宋体"/>
          <w:sz w:val="24"/>
          <w:szCs w:val="20"/>
        </w:rPr>
      </w:pPr>
      <w:r>
        <w:rPr>
          <w:rFonts w:ascii="宋体" w:hAnsi="宋体"/>
          <w:sz w:val="24"/>
          <w:szCs w:val="20"/>
        </w:rPr>
        <w:t>3.</w:t>
      </w:r>
      <w:r>
        <w:rPr>
          <w:rFonts w:hint="eastAsia" w:ascii="宋体" w:hAnsi="宋体"/>
          <w:sz w:val="24"/>
          <w:szCs w:val="20"/>
        </w:rPr>
        <w:t>此表无需在响应文件中</w:t>
      </w:r>
      <w:r>
        <w:rPr>
          <w:rFonts w:hint="eastAsia" w:ascii="Leelawadee UI" w:hAnsi="Leelawadee UI" w:cs="Leelawadee UI"/>
          <w:sz w:val="24"/>
          <w:szCs w:val="20"/>
        </w:rPr>
        <w:t>提</w:t>
      </w:r>
      <w:r>
        <w:rPr>
          <w:rFonts w:hint="eastAsia" w:ascii="宋体" w:hAnsi="宋体"/>
          <w:sz w:val="24"/>
          <w:szCs w:val="20"/>
        </w:rPr>
        <w:t>交，磋商后供应商按磋商小组要求</w:t>
      </w:r>
      <w:r>
        <w:rPr>
          <w:rFonts w:hint="eastAsia" w:ascii="Leelawadee UI" w:hAnsi="Leelawadee UI" w:cs="Leelawadee UI"/>
          <w:sz w:val="24"/>
          <w:szCs w:val="20"/>
        </w:rPr>
        <w:t>提</w:t>
      </w:r>
      <w:r>
        <w:rPr>
          <w:rFonts w:hint="eastAsia" w:ascii="宋体" w:hAnsi="宋体"/>
          <w:sz w:val="24"/>
          <w:szCs w:val="20"/>
        </w:rPr>
        <w:t>交。</w:t>
      </w:r>
      <w:r>
        <w:rPr>
          <w:rFonts w:ascii="宋体" w:hAnsi="宋体"/>
          <w:sz w:val="24"/>
          <w:szCs w:val="20"/>
        </w:rPr>
        <w:cr/>
      </w:r>
    </w:p>
    <w:p w14:paraId="6A499800">
      <w:pPr>
        <w:autoSpaceDE w:val="0"/>
        <w:autoSpaceDN w:val="0"/>
        <w:adjustRightInd w:val="0"/>
        <w:snapToGrid w:val="0"/>
        <w:spacing w:before="25" w:after="25" w:line="360" w:lineRule="auto"/>
        <w:rPr>
          <w:rFonts w:hint="eastAsia" w:ascii="宋体" w:hAnsi="宋体"/>
          <w:sz w:val="24"/>
          <w:lang w:val="zh-CN"/>
        </w:rPr>
      </w:pPr>
    </w:p>
    <w:p w14:paraId="24592BB1">
      <w:pPr>
        <w:autoSpaceDE w:val="0"/>
        <w:autoSpaceDN w:val="0"/>
        <w:adjustRightInd w:val="0"/>
        <w:snapToGrid w:val="0"/>
        <w:spacing w:before="25" w:after="25" w:line="360" w:lineRule="auto"/>
        <w:rPr>
          <w:rFonts w:hint="eastAsia" w:ascii="宋体" w:hAnsi="宋体"/>
          <w:sz w:val="24"/>
          <w:lang w:val="zh-CN"/>
        </w:rPr>
      </w:pPr>
      <w:r>
        <w:rPr>
          <w:rFonts w:ascii="宋体" w:hAnsi="宋体"/>
          <w:sz w:val="24"/>
          <w:lang w:val="zh-CN"/>
        </w:rPr>
        <w:t xml:space="preserve">      </w:t>
      </w:r>
    </w:p>
    <w:p w14:paraId="0BEDEA2A">
      <w:pPr>
        <w:autoSpaceDE w:val="0"/>
        <w:autoSpaceDN w:val="0"/>
        <w:adjustRightInd w:val="0"/>
        <w:snapToGrid w:val="0"/>
        <w:spacing w:before="25" w:after="25" w:line="360" w:lineRule="auto"/>
        <w:rPr>
          <w:rFonts w:hint="eastAsia" w:ascii="宋体" w:hAnsi="宋体"/>
          <w:sz w:val="24"/>
          <w:lang w:val="zh-CN"/>
        </w:rPr>
      </w:pPr>
      <w:r>
        <w:rPr>
          <w:rFonts w:ascii="宋体" w:hAnsi="宋体"/>
          <w:sz w:val="24"/>
        </w:rPr>
        <w:t>供应商授权代表签字（或加盖供应商公章）</w:t>
      </w:r>
      <w:r>
        <w:rPr>
          <w:rFonts w:ascii="宋体" w:hAnsi="宋体"/>
          <w:sz w:val="24"/>
          <w:lang w:val="zh-CN"/>
        </w:rPr>
        <w:t xml:space="preserve">：___________ </w:t>
      </w:r>
    </w:p>
    <w:p w14:paraId="413CFDF6">
      <w:pPr>
        <w:widowControl/>
        <w:jc w:val="left"/>
        <w:rPr>
          <w:rFonts w:hint="eastAsia" w:ascii="宋体" w:hAnsi="宋体"/>
          <w:sz w:val="24"/>
          <w:szCs w:val="20"/>
        </w:rPr>
      </w:pPr>
      <w:r>
        <w:rPr>
          <w:rFonts w:ascii="宋体" w:hAnsi="宋体"/>
          <w:sz w:val="24"/>
          <w:szCs w:val="20"/>
        </w:rPr>
        <w:t xml:space="preserve">日期：____年____月____日   </w:t>
      </w:r>
    </w:p>
    <w:p w14:paraId="5BE7A2C1">
      <w:pPr>
        <w:widowControl/>
        <w:jc w:val="left"/>
        <w:rPr>
          <w:rFonts w:hint="eastAsia" w:ascii="宋体" w:hAnsi="宋体"/>
          <w:sz w:val="24"/>
          <w:szCs w:val="20"/>
        </w:rPr>
      </w:pPr>
      <w:r>
        <w:rPr>
          <w:rFonts w:ascii="宋体" w:hAnsi="宋体"/>
          <w:sz w:val="24"/>
          <w:szCs w:val="20"/>
        </w:rPr>
        <w:br w:type="page"/>
      </w:r>
    </w:p>
    <w:p w14:paraId="605B9E87">
      <w:pPr>
        <w:tabs>
          <w:tab w:val="left" w:pos="360"/>
        </w:tabs>
        <w:snapToGrid w:val="0"/>
        <w:spacing w:line="360" w:lineRule="auto"/>
        <w:outlineLvl w:val="1"/>
        <w:rPr>
          <w:rFonts w:hint="eastAsia" w:ascii="宋体" w:hAnsi="宋体"/>
          <w:sz w:val="24"/>
        </w:rPr>
      </w:pPr>
      <w:r>
        <w:rPr>
          <w:rFonts w:hint="eastAsia" w:ascii="宋体" w:hAnsi="宋体"/>
          <w:sz w:val="24"/>
        </w:rPr>
        <w:t>13</w:t>
      </w:r>
      <w:r>
        <w:rPr>
          <w:rFonts w:ascii="宋体" w:hAnsi="宋体"/>
          <w:sz w:val="24"/>
        </w:rPr>
        <w:t xml:space="preserve">  </w:t>
      </w:r>
      <w:r>
        <w:rPr>
          <w:rFonts w:hint="eastAsia" w:ascii="宋体" w:hAnsi="宋体"/>
          <w:sz w:val="24"/>
        </w:rPr>
        <w:t>项目服务方案</w:t>
      </w:r>
    </w:p>
    <w:p w14:paraId="35DD87C5">
      <w:pPr>
        <w:pStyle w:val="21"/>
        <w:spacing w:before="240" w:beforeLines="100" w:line="360" w:lineRule="auto"/>
        <w:ind w:firstLine="482"/>
        <w:jc w:val="center"/>
        <w:rPr>
          <w:rFonts w:hint="eastAsia"/>
          <w:b/>
          <w:snapToGrid w:val="0"/>
        </w:rPr>
      </w:pPr>
      <w:bookmarkStart w:id="1765" w:name="_Toc25775_WPSOffice_Level1"/>
      <w:r>
        <w:rPr>
          <w:rFonts w:hint="eastAsia"/>
          <w:b/>
          <w:snapToGrid w:val="0"/>
        </w:rPr>
        <w:t>项目服务方案</w:t>
      </w:r>
      <w:bookmarkEnd w:id="1765"/>
    </w:p>
    <w:p w14:paraId="0EAE6B88">
      <w:pPr>
        <w:pStyle w:val="21"/>
        <w:rPr>
          <w:rFonts w:hint="eastAsia"/>
          <w:snapToGrid w:val="0"/>
        </w:rPr>
      </w:pPr>
    </w:p>
    <w:p w14:paraId="54600783">
      <w:pPr>
        <w:pStyle w:val="21"/>
        <w:rPr>
          <w:rFonts w:hint="eastAsia"/>
          <w:snapToGrid w:val="0"/>
        </w:rPr>
      </w:pPr>
    </w:p>
    <w:p w14:paraId="030D14E5">
      <w:pPr>
        <w:pStyle w:val="21"/>
        <w:rPr>
          <w:rFonts w:hint="eastAsia"/>
          <w:snapToGrid w:val="0"/>
        </w:rPr>
      </w:pPr>
    </w:p>
    <w:p w14:paraId="27E742AD">
      <w:pPr>
        <w:pStyle w:val="21"/>
        <w:rPr>
          <w:rFonts w:hint="eastAsia"/>
          <w:snapToGrid w:val="0"/>
        </w:rPr>
      </w:pPr>
    </w:p>
    <w:p w14:paraId="6DF5A424">
      <w:pPr>
        <w:pStyle w:val="21"/>
        <w:rPr>
          <w:rFonts w:hint="eastAsia"/>
          <w:snapToGrid w:val="0"/>
        </w:rPr>
      </w:pPr>
    </w:p>
    <w:p w14:paraId="03A6D9E4">
      <w:pPr>
        <w:pStyle w:val="21"/>
        <w:rPr>
          <w:rFonts w:hint="eastAsia"/>
          <w:snapToGrid w:val="0"/>
        </w:rPr>
      </w:pPr>
    </w:p>
    <w:p w14:paraId="3301A704">
      <w:pPr>
        <w:pStyle w:val="21"/>
        <w:rPr>
          <w:rFonts w:hint="eastAsia"/>
          <w:snapToGrid w:val="0"/>
        </w:rPr>
      </w:pPr>
    </w:p>
    <w:p w14:paraId="61711E37">
      <w:pPr>
        <w:pStyle w:val="21"/>
        <w:spacing w:line="360" w:lineRule="auto"/>
        <w:ind w:left="459" w:firstLine="240" w:firstLineChars="100"/>
        <w:rPr>
          <w:rFonts w:hint="eastAsia"/>
          <w:snapToGrid w:val="0"/>
        </w:rPr>
      </w:pPr>
    </w:p>
    <w:p w14:paraId="4BA1150C">
      <w:pPr>
        <w:pStyle w:val="21"/>
        <w:spacing w:line="360" w:lineRule="auto"/>
        <w:ind w:left="459" w:firstLine="240" w:firstLineChars="100"/>
        <w:rPr>
          <w:rFonts w:hint="eastAsia"/>
          <w:snapToGrid w:val="0"/>
        </w:rPr>
      </w:pPr>
      <w:r>
        <w:rPr>
          <w:snapToGrid w:val="0"/>
        </w:rPr>
        <w:t xml:space="preserve">                             </w:t>
      </w:r>
    </w:p>
    <w:p w14:paraId="7DB14ADE">
      <w:pPr>
        <w:pStyle w:val="21"/>
        <w:spacing w:before="9"/>
        <w:rPr>
          <w:rFonts w:hint="eastAsia"/>
          <w:snapToGrid w:val="0"/>
        </w:rPr>
      </w:pPr>
      <w:r>
        <w:rPr>
          <w:snapToGrid w:val="0"/>
        </w:rPr>
        <w:br w:type="page"/>
      </w:r>
    </w:p>
    <w:p w14:paraId="15921ADD">
      <w:pPr>
        <w:widowControl/>
        <w:jc w:val="left"/>
        <w:rPr>
          <w:rFonts w:hint="eastAsia" w:ascii="宋体" w:hAnsi="宋体"/>
          <w:sz w:val="24"/>
        </w:rPr>
      </w:pPr>
    </w:p>
    <w:p w14:paraId="211D5FA3">
      <w:pPr>
        <w:spacing w:line="360" w:lineRule="auto"/>
        <w:ind w:firstLine="723"/>
        <w:jc w:val="center"/>
        <w:outlineLvl w:val="0"/>
        <w:rPr>
          <w:rFonts w:hint="eastAsia" w:ascii="宋体" w:hAnsi="宋体"/>
          <w:b/>
          <w:sz w:val="36"/>
          <w:szCs w:val="36"/>
        </w:rPr>
      </w:pPr>
      <w:bookmarkStart w:id="1766" w:name="_Toc183434180"/>
      <w:r>
        <w:rPr>
          <w:rFonts w:ascii="宋体" w:hAnsi="宋体"/>
          <w:b/>
          <w:sz w:val="36"/>
          <w:szCs w:val="36"/>
        </w:rPr>
        <w:t>第</w:t>
      </w:r>
      <w:r>
        <w:rPr>
          <w:rFonts w:hint="eastAsia" w:ascii="宋体" w:hAnsi="宋体"/>
          <w:b/>
          <w:sz w:val="36"/>
          <w:szCs w:val="36"/>
        </w:rPr>
        <w:t>七</w:t>
      </w:r>
      <w:r>
        <w:rPr>
          <w:rFonts w:ascii="宋体" w:hAnsi="宋体"/>
          <w:b/>
          <w:sz w:val="36"/>
          <w:szCs w:val="36"/>
        </w:rPr>
        <w:t xml:space="preserve">章   </w:t>
      </w:r>
      <w:r>
        <w:rPr>
          <w:rFonts w:hint="eastAsia" w:ascii="宋体" w:hAnsi="宋体"/>
          <w:b/>
          <w:sz w:val="36"/>
          <w:szCs w:val="36"/>
        </w:rPr>
        <w:t>工程量清单</w:t>
      </w:r>
      <w:bookmarkEnd w:id="1766"/>
    </w:p>
    <w:p w14:paraId="7EEAB166">
      <w:pPr>
        <w:widowControl/>
        <w:jc w:val="left"/>
        <w:rPr>
          <w:rFonts w:hint="eastAsia" w:ascii="宋体" w:hAnsi="宋体"/>
          <w:b/>
          <w:sz w:val="36"/>
          <w:szCs w:val="36"/>
        </w:rPr>
      </w:pPr>
    </w:p>
    <w:sectPr>
      <w:headerReference r:id="rId15" w:type="first"/>
      <w:footerReference r:id="rId17" w:type="first"/>
      <w:headerReference r:id="rId14" w:type="even"/>
      <w:footerReference r:id="rId16" w:type="even"/>
      <w:pgSz w:w="11906" w:h="16838"/>
      <w:pgMar w:top="1440" w:right="1797" w:bottom="1440" w:left="1797"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Garamond">
    <w:panose1 w:val="02020404030301010803"/>
    <w:charset w:val="00"/>
    <w:family w:val="roman"/>
    <w:pitch w:val="default"/>
    <w:sig w:usb0="00000287" w:usb1="00000000" w:usb2="00000000" w:usb3="00000000" w:csb0="0000009F" w:csb1="DFD70000"/>
  </w:font>
  <w:font w:name="Helvetica Neue">
    <w:altName w:val="微软雅黑"/>
    <w:panose1 w:val="00000000000000000000"/>
    <w:charset w:val="00"/>
    <w:family w:val="auto"/>
    <w:pitch w:val="default"/>
    <w:sig w:usb0="00000000" w:usb1="00000000" w:usb2="00000000" w:usb3="00000000" w:csb0="00000001" w:csb1="00000000"/>
  </w:font>
  <w:font w:name="ヒラギノ角ゴ Pro W3">
    <w:altName w:val="MS Mincho"/>
    <w:panose1 w:val="00000000000000000000"/>
    <w:charset w:val="80"/>
    <w:family w:val="auto"/>
    <w:pitch w:val="default"/>
    <w:sig w:usb0="00000000" w:usb1="00000000" w:usb2="00000010" w:usb3="00000000" w:csb0="00020000" w:csb1="00000000"/>
  </w:font>
  <w:font w:name="MS Mincho">
    <w:panose1 w:val="02020609040205080304"/>
    <w:charset w:val="80"/>
    <w:family w:val="modern"/>
    <w:pitch w:val="default"/>
    <w:sig w:usb0="A00002BF" w:usb1="68C7FCFB" w:usb2="00000010" w:usb3="00000000" w:csb0="4002009F" w:csb1="DFD70000"/>
  </w:font>
  <w:font w:name="方正书宋简体">
    <w:altName w:val="宋体"/>
    <w:panose1 w:val="00000000000000000000"/>
    <w:charset w:val="86"/>
    <w:family w:val="auto"/>
    <w:pitch w:val="default"/>
    <w:sig w:usb0="00000000" w:usb1="00000000" w:usb2="00000010" w:usb3="00000000" w:csb0="00040000" w:csb1="00000000"/>
  </w:font>
  <w:font w:name="方正小标宋简体">
    <w:altName w:val="黑体"/>
    <w:panose1 w:val="00000000000000000000"/>
    <w:charset w:val="86"/>
    <w:family w:val="auto"/>
    <w:pitch w:val="default"/>
    <w:sig w:usb0="00000000" w:usb1="00000000" w:usb2="00000010" w:usb3="00000000" w:csb0="00040000" w:csb1="00000000"/>
  </w:font>
  <w:font w:name="Sim Sun+ 2">
    <w:altName w:val="宋体"/>
    <w:panose1 w:val="00000000000000000000"/>
    <w:charset w:val="86"/>
    <w:family w:val="auto"/>
    <w:pitch w:val="default"/>
    <w:sig w:usb0="00000000" w:usb1="00000000" w:usb2="00000010" w:usb3="00000000" w:csb0="00040000" w:csb1="00000000"/>
  </w:font>
  <w:font w:name="Helvetica-Condensed-Bold">
    <w:altName w:val="黑体"/>
    <w:panose1 w:val="00000000000000000000"/>
    <w:charset w:val="86"/>
    <w:family w:val="auto"/>
    <w:pitch w:val="default"/>
    <w:sig w:usb0="00000000" w:usb1="00000000" w:usb2="00000010" w:usb3="00000000" w:csb0="00040000" w:csb1="00000000"/>
  </w:font>
  <w:font w:name="Ari">
    <w:altName w:val="Arial"/>
    <w:panose1 w:val="00000000000000000000"/>
    <w:charset w:val="00"/>
    <w:family w:val="auto"/>
    <w:pitch w:val="default"/>
    <w:sig w:usb0="00000000" w:usb1="00000000" w:usb2="00000000" w:usb3="00000000" w:csb0="00000001" w:csb1="00000000"/>
  </w:font>
  <w:font w:name="全真中明體">
    <w:altName w:val="MingLiU-ExtB"/>
    <w:panose1 w:val="00000000000000000000"/>
    <w:charset w:val="88"/>
    <w:family w:val="auto"/>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Arial Narrow">
    <w:panose1 w:val="020B0606020202030204"/>
    <w:charset w:val="00"/>
    <w:family w:val="swiss"/>
    <w:pitch w:val="default"/>
    <w:sig w:usb0="00000287" w:usb1="000008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font-weight : 400">
    <w:altName w:val="Calibri"/>
    <w:panose1 w:val="00000000000000000000"/>
    <w:charset w:val="00"/>
    <w:family w:val="auto"/>
    <w:pitch w:val="default"/>
    <w:sig w:usb0="00000000" w:usb1="00000000" w:usb2="00000000" w:usb3="00000000" w:csb0="00040001" w:csb1="00000000"/>
  </w:font>
  <w:font w:nam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Segoe UI Symbol">
    <w:panose1 w:val="020B0502040204020203"/>
    <w:charset w:val="00"/>
    <w:family w:val="swiss"/>
    <w:pitch w:val="default"/>
    <w:sig w:usb0="800001E3" w:usb1="1200FFEF" w:usb2="00040000" w:usb3="04000000" w:csb0="00000001" w:csb1="40000000"/>
  </w:font>
  <w:font w:name="Leelawadee UI">
    <w:panose1 w:val="020B0502040204020203"/>
    <w:charset w:val="00"/>
    <w:family w:val="swiss"/>
    <w:pitch w:val="default"/>
    <w:sig w:usb0="83000003" w:usb1="00000000" w:usb2="00010000" w:usb3="00000001" w:csb0="00010101" w:csb1="00000000"/>
  </w:font>
  <w:font w:name="Nirmala UI">
    <w:panose1 w:val="020B0502040204020203"/>
    <w:charset w:val="00"/>
    <w:family w:val="swiss"/>
    <w:pitch w:val="default"/>
    <w:sig w:usb0="80FF8023" w:usb1="0200004A" w:usb2="00000200" w:usb3="0004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AD41B">
    <w:pPr>
      <w:pStyle w:val="34"/>
      <w:jc w:val="center"/>
      <w:rPr>
        <w:rFonts w:asci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C70B1">
    <w:pPr>
      <w:pStyle w:val="34"/>
      <w:framePr w:wrap="around" w:vAnchor="text" w:hAnchor="margin" w:xAlign="center" w:y="1"/>
      <w:rPr>
        <w:rStyle w:val="63"/>
      </w:rPr>
    </w:pPr>
    <w:r>
      <w:fldChar w:fldCharType="begin"/>
    </w:r>
    <w:r>
      <w:rPr>
        <w:rStyle w:val="63"/>
      </w:rPr>
      <w:instrText xml:space="preserve">PAGE  </w:instrText>
    </w:r>
    <w:r>
      <w:fldChar w:fldCharType="end"/>
    </w:r>
  </w:p>
  <w:p w14:paraId="207C1397">
    <w:pPr>
      <w:pStyle w:val="3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C1685">
    <w:pPr>
      <w:pStyle w:val="34"/>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294B4">
    <w:pPr>
      <w:pStyle w:val="34"/>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32</w:t>
    </w:r>
    <w:r>
      <w:rPr>
        <w:rFonts w:asci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1D72E">
    <w:pPr>
      <w:pStyle w:val="34"/>
      <w:jc w:val="center"/>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95FFB">
    <w:pPr>
      <w:pStyle w:val="34"/>
      <w:framePr w:wrap="around" w:vAnchor="text" w:hAnchor="margin" w:xAlign="right" w:y="1"/>
      <w:rPr>
        <w:rStyle w:val="63"/>
      </w:rPr>
    </w:pPr>
    <w:r>
      <w:rPr>
        <w:rStyle w:val="63"/>
      </w:rPr>
      <w:fldChar w:fldCharType="begin"/>
    </w:r>
    <w:r>
      <w:rPr>
        <w:rStyle w:val="63"/>
      </w:rPr>
      <w:instrText xml:space="preserve">PAGE  </w:instrText>
    </w:r>
    <w:r>
      <w:rPr>
        <w:rStyle w:val="63"/>
      </w:rPr>
      <w:fldChar w:fldCharType="end"/>
    </w:r>
  </w:p>
  <w:p w14:paraId="1AC3FA7A">
    <w:pPr>
      <w:pStyle w:val="34"/>
      <w:ind w:right="360"/>
    </w:pPr>
  </w:p>
  <w:p w14:paraId="6B6CC913"/>
  <w:p w14:paraId="476AC4EE"/>
  <w:p w14:paraId="6611AF02"/>
  <w:p w14:paraId="4F73C3AE"/>
  <w:p w14:paraId="2726CFE4"/>
  <w:p w14:paraId="170223F7"/>
  <w:p w14:paraId="482A6ECE"/>
  <w:p w14:paraId="1EE9B7E5"/>
  <w:p w14:paraId="0740849E"/>
  <w:p w14:paraId="512C4C42"/>
  <w:p w14:paraId="2B7655EC"/>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691AB">
    <w:pPr>
      <w:pStyle w:val="34"/>
    </w:pPr>
  </w:p>
  <w:p w14:paraId="580F0A56"/>
  <w:p w14:paraId="540C6E71"/>
  <w:p w14:paraId="7BF5BFC9"/>
  <w:p w14:paraId="1DCB80F3"/>
  <w:p w14:paraId="231EB8BB"/>
  <w:p w14:paraId="6CA1983A"/>
  <w:p w14:paraId="0E59CF0D"/>
  <w:p w14:paraId="2668E171"/>
  <w:p w14:paraId="209D7CFA"/>
  <w:p w14:paraId="54D03CE4"/>
  <w:p w14:paraId="53BCC7E6"/>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42369">
    <w:pPr>
      <w:pStyle w:val="34"/>
      <w:framePr w:wrap="around" w:vAnchor="text" w:hAnchor="margin" w:xAlign="right" w:y="1"/>
      <w:rPr>
        <w:rStyle w:val="63"/>
      </w:rPr>
    </w:pPr>
    <w:r>
      <w:rPr>
        <w:rStyle w:val="63"/>
      </w:rPr>
      <w:fldChar w:fldCharType="begin"/>
    </w:r>
    <w:r>
      <w:rPr>
        <w:rStyle w:val="63"/>
      </w:rPr>
      <w:instrText xml:space="preserve">PAGE  </w:instrText>
    </w:r>
    <w:r>
      <w:rPr>
        <w:rStyle w:val="63"/>
      </w:rPr>
      <w:fldChar w:fldCharType="end"/>
    </w:r>
  </w:p>
  <w:p w14:paraId="2F2F469E">
    <w:pPr>
      <w:pStyle w:val="34"/>
      <w:ind w:right="360"/>
    </w:pPr>
  </w:p>
  <w:p w14:paraId="43B4DC36"/>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31342">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FDE29">
    <w:pPr>
      <w:pStyle w:val="35"/>
      <w:jc w:val="right"/>
    </w:pPr>
    <w:r>
      <w:rPr>
        <w:rFonts w:hint="eastAsia"/>
      </w:rPr>
      <w:t xml:space="preserve">北京市政府采购项目竞争性磋商文件示范文本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2AB37">
    <w:pPr>
      <w:pStyle w:val="35"/>
      <w:pBdr>
        <w:bottom w:val="single" w:color="auto" w:sz="4" w:space="1"/>
      </w:pBdr>
      <w:jc w:val="right"/>
    </w:pPr>
    <w:r>
      <w:rPr>
        <w:rFonts w:hint="eastAsia"/>
      </w:rPr>
      <w:t>北京市政府采购项目竞争性磋商文件示范文本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5B835">
    <w:pPr>
      <w:pStyle w:val="35"/>
    </w:pPr>
  </w:p>
  <w:p w14:paraId="0268978F"/>
  <w:p w14:paraId="018AF550"/>
  <w:p w14:paraId="4AF19F8F"/>
  <w:p w14:paraId="328302D7"/>
  <w:p w14:paraId="6710CD4B"/>
  <w:p w14:paraId="0AA09243"/>
  <w:p w14:paraId="4D17C9EA"/>
  <w:p w14:paraId="24A9EAFA"/>
  <w:p w14:paraId="25A851E9"/>
  <w:p w14:paraId="455B305C"/>
  <w:p w14:paraId="565B15A8"/>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1DCA9">
    <w:pPr>
      <w:pStyle w:val="35"/>
    </w:pPr>
  </w:p>
  <w:p w14:paraId="4D6AFA36"/>
  <w:p w14:paraId="1C0DDA03"/>
  <w:p w14:paraId="5A716A3F"/>
  <w:p w14:paraId="4C05E5D4"/>
  <w:p w14:paraId="194EC1EC"/>
  <w:p w14:paraId="7D722E48"/>
  <w:p w14:paraId="20667F29"/>
  <w:p w14:paraId="17291D3E"/>
  <w:p w14:paraId="1F5382BB"/>
  <w:p w14:paraId="61CB040B"/>
  <w:p w14:paraId="4466F81B"/>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93CEE">
    <w:pPr>
      <w:pStyle w:val="35"/>
    </w:pPr>
  </w:p>
  <w:p w14:paraId="7AF33F37"/>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BFB49">
    <w:pPr>
      <w:pStyle w:val="3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pStyle w:val="278"/>
      <w:lvlText w:val="第%1章"/>
      <w:lvlJc w:val="left"/>
      <w:pPr>
        <w:tabs>
          <w:tab w:val="left" w:pos="7352"/>
        </w:tabs>
        <w:ind w:left="7352" w:hanging="1140"/>
      </w:pPr>
      <w:rPr>
        <w:rFonts w:hint="eastAsia"/>
      </w:rPr>
    </w:lvl>
    <w:lvl w:ilvl="1" w:tentative="0">
      <w:start w:val="1"/>
      <w:numFmt w:val="lowerLetter"/>
      <w:lvlText w:val="%2)"/>
      <w:lvlJc w:val="left"/>
      <w:pPr>
        <w:tabs>
          <w:tab w:val="left" w:pos="7052"/>
        </w:tabs>
        <w:ind w:left="7052" w:hanging="420"/>
      </w:pPr>
    </w:lvl>
    <w:lvl w:ilvl="2" w:tentative="0">
      <w:start w:val="1"/>
      <w:numFmt w:val="lowerRoman"/>
      <w:lvlText w:val="%3."/>
      <w:lvlJc w:val="right"/>
      <w:pPr>
        <w:tabs>
          <w:tab w:val="left" w:pos="7472"/>
        </w:tabs>
        <w:ind w:left="7472" w:hanging="420"/>
      </w:pPr>
    </w:lvl>
    <w:lvl w:ilvl="3" w:tentative="0">
      <w:start w:val="1"/>
      <w:numFmt w:val="decimal"/>
      <w:lvlText w:val="%4."/>
      <w:lvlJc w:val="left"/>
      <w:pPr>
        <w:tabs>
          <w:tab w:val="left" w:pos="7892"/>
        </w:tabs>
        <w:ind w:left="7892" w:hanging="420"/>
      </w:pPr>
    </w:lvl>
    <w:lvl w:ilvl="4" w:tentative="0">
      <w:start w:val="1"/>
      <w:numFmt w:val="lowerLetter"/>
      <w:lvlText w:val="%5)"/>
      <w:lvlJc w:val="left"/>
      <w:pPr>
        <w:tabs>
          <w:tab w:val="left" w:pos="8312"/>
        </w:tabs>
        <w:ind w:left="8312" w:hanging="420"/>
      </w:pPr>
    </w:lvl>
    <w:lvl w:ilvl="5" w:tentative="0">
      <w:start w:val="1"/>
      <w:numFmt w:val="lowerRoman"/>
      <w:lvlText w:val="%6."/>
      <w:lvlJc w:val="right"/>
      <w:pPr>
        <w:tabs>
          <w:tab w:val="left" w:pos="8732"/>
        </w:tabs>
        <w:ind w:left="8732" w:hanging="420"/>
      </w:pPr>
    </w:lvl>
    <w:lvl w:ilvl="6" w:tentative="0">
      <w:start w:val="1"/>
      <w:numFmt w:val="decimal"/>
      <w:lvlText w:val="%7."/>
      <w:lvlJc w:val="left"/>
      <w:pPr>
        <w:tabs>
          <w:tab w:val="left" w:pos="9152"/>
        </w:tabs>
        <w:ind w:left="9152" w:hanging="420"/>
      </w:pPr>
    </w:lvl>
    <w:lvl w:ilvl="7" w:tentative="0">
      <w:start w:val="1"/>
      <w:numFmt w:val="lowerLetter"/>
      <w:lvlText w:val="%8)"/>
      <w:lvlJc w:val="left"/>
      <w:pPr>
        <w:tabs>
          <w:tab w:val="left" w:pos="9572"/>
        </w:tabs>
        <w:ind w:left="9572" w:hanging="420"/>
      </w:pPr>
    </w:lvl>
    <w:lvl w:ilvl="8" w:tentative="0">
      <w:start w:val="1"/>
      <w:numFmt w:val="lowerRoman"/>
      <w:lvlText w:val="%9."/>
      <w:lvlJc w:val="right"/>
      <w:pPr>
        <w:tabs>
          <w:tab w:val="left" w:pos="9992"/>
        </w:tabs>
        <w:ind w:left="9992" w:hanging="420"/>
      </w:pPr>
    </w:lvl>
  </w:abstractNum>
  <w:abstractNum w:abstractNumId="1">
    <w:nsid w:val="00000006"/>
    <w:multiLevelType w:val="singleLevel"/>
    <w:tmpl w:val="00000006"/>
    <w:lvl w:ilvl="0" w:tentative="0">
      <w:start w:val="1"/>
      <w:numFmt w:val="decimal"/>
      <w:suff w:val="nothing"/>
      <w:lvlText w:val="（%1）"/>
      <w:lvlJc w:val="left"/>
    </w:lvl>
  </w:abstractNum>
  <w:abstractNum w:abstractNumId="2">
    <w:nsid w:val="0000000A"/>
    <w:multiLevelType w:val="multilevel"/>
    <w:tmpl w:val="0000000A"/>
    <w:lvl w:ilvl="0" w:tentative="0">
      <w:start w:val="1"/>
      <w:numFmt w:val="decimal"/>
      <w:pStyle w:val="83"/>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58"/>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28"/>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277"/>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isLgl/>
      <w:suff w:val="nothing"/>
      <w:lvlText w:val="%1.%2　"/>
      <w:lvlJc w:val="left"/>
      <w:pPr>
        <w:ind w:left="-25" w:firstLine="0"/>
      </w:pPr>
      <w:rPr>
        <w:rFonts w:hint="default" w:ascii="Times New Roman" w:hAnsi="Times New Roman" w:eastAsia="宋体"/>
        <w:b/>
        <w:i w:val="0"/>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3"/>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2"/>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1"/>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4"/>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97"/>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15"/>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pStyle w:val="256"/>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82"/>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E230849"/>
    <w:multiLevelType w:val="multilevel"/>
    <w:tmpl w:val="0E230849"/>
    <w:lvl w:ilvl="0" w:tentative="0">
      <w:start w:val="1"/>
      <w:numFmt w:val="decimal"/>
      <w:pStyle w:val="177"/>
      <w:lvlText w:val="%1"/>
      <w:lvlJc w:val="left"/>
      <w:pPr>
        <w:ind w:left="680" w:hanging="680"/>
      </w:pPr>
      <w:rPr>
        <w:rFonts w:hint="eastAsia" w:ascii="宋体" w:hAnsi="宋体" w:eastAsia="宋体"/>
      </w:rPr>
    </w:lvl>
    <w:lvl w:ilvl="1" w:tentative="0">
      <w:start w:val="1"/>
      <w:numFmt w:val="decimal"/>
      <w:pStyle w:val="178"/>
      <w:lvlText w:val="%1.%2"/>
      <w:lvlJc w:val="left"/>
      <w:pPr>
        <w:ind w:left="851" w:hanging="851"/>
      </w:pPr>
      <w:rPr>
        <w:rFonts w:hint="eastAsia" w:ascii="宋体" w:hAnsi="宋体" w:eastAsia="宋体"/>
        <w:color w:val="auto"/>
      </w:rPr>
    </w:lvl>
    <w:lvl w:ilvl="2" w:tentative="0">
      <w:start w:val="1"/>
      <w:numFmt w:val="decimal"/>
      <w:pStyle w:val="179"/>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667154C"/>
    <w:multiLevelType w:val="multilevel"/>
    <w:tmpl w:val="1667154C"/>
    <w:lvl w:ilvl="0" w:tentative="0">
      <w:start w:val="1"/>
      <w:numFmt w:val="decimal"/>
      <w:pStyle w:val="274"/>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357F7D72"/>
    <w:multiLevelType w:val="multilevel"/>
    <w:tmpl w:val="357F7D72"/>
    <w:lvl w:ilvl="0" w:tentative="0">
      <w:start w:val="4"/>
      <w:numFmt w:val="japaneseCounting"/>
      <w:lvlText w:val="%1、"/>
      <w:lvlJc w:val="left"/>
      <w:pPr>
        <w:ind w:left="480" w:hanging="48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3">
    <w:nsid w:val="5C0A2B1D"/>
    <w:multiLevelType w:val="multilevel"/>
    <w:tmpl w:val="5C0A2B1D"/>
    <w:lvl w:ilvl="0" w:tentative="0">
      <w:start w:val="1"/>
      <w:numFmt w:val="decimal"/>
      <w:pStyle w:val="255"/>
      <w:lvlText w:val="%1)"/>
      <w:lvlJc w:val="left"/>
      <w:pPr>
        <w:ind w:left="1530" w:hanging="420"/>
      </w:pPr>
    </w:lvl>
    <w:lvl w:ilvl="1" w:tentative="0">
      <w:start w:val="1"/>
      <w:numFmt w:val="lowerLetter"/>
      <w:lvlText w:val="%2)"/>
      <w:lvlJc w:val="left"/>
      <w:pPr>
        <w:ind w:left="1950" w:hanging="420"/>
      </w:pPr>
    </w:lvl>
    <w:lvl w:ilvl="2" w:tentative="0">
      <w:start w:val="1"/>
      <w:numFmt w:val="lowerRoman"/>
      <w:lvlText w:val="%3."/>
      <w:lvlJc w:val="right"/>
      <w:pPr>
        <w:ind w:left="2370" w:hanging="420"/>
      </w:pPr>
    </w:lvl>
    <w:lvl w:ilvl="3" w:tentative="0">
      <w:start w:val="1"/>
      <w:numFmt w:val="decimal"/>
      <w:lvlText w:val="%4."/>
      <w:lvlJc w:val="left"/>
      <w:pPr>
        <w:ind w:left="2790" w:hanging="420"/>
      </w:pPr>
    </w:lvl>
    <w:lvl w:ilvl="4" w:tentative="0">
      <w:start w:val="1"/>
      <w:numFmt w:val="lowerLetter"/>
      <w:lvlText w:val="%5)"/>
      <w:lvlJc w:val="left"/>
      <w:pPr>
        <w:ind w:left="3210" w:hanging="420"/>
      </w:pPr>
    </w:lvl>
    <w:lvl w:ilvl="5" w:tentative="0">
      <w:start w:val="1"/>
      <w:numFmt w:val="lowerRoman"/>
      <w:lvlText w:val="%6."/>
      <w:lvlJc w:val="right"/>
      <w:pPr>
        <w:ind w:left="3630" w:hanging="420"/>
      </w:pPr>
    </w:lvl>
    <w:lvl w:ilvl="6" w:tentative="0">
      <w:start w:val="1"/>
      <w:numFmt w:val="decimal"/>
      <w:lvlText w:val="%7."/>
      <w:lvlJc w:val="left"/>
      <w:pPr>
        <w:ind w:left="4050" w:hanging="420"/>
      </w:pPr>
    </w:lvl>
    <w:lvl w:ilvl="7" w:tentative="0">
      <w:start w:val="1"/>
      <w:numFmt w:val="lowerLetter"/>
      <w:lvlText w:val="%8)"/>
      <w:lvlJc w:val="left"/>
      <w:pPr>
        <w:ind w:left="4470" w:hanging="420"/>
      </w:pPr>
    </w:lvl>
    <w:lvl w:ilvl="8" w:tentative="0">
      <w:start w:val="1"/>
      <w:numFmt w:val="lowerRoman"/>
      <w:lvlText w:val="%9."/>
      <w:lvlJc w:val="right"/>
      <w:pPr>
        <w:ind w:left="4890" w:hanging="420"/>
      </w:pPr>
    </w:lvl>
  </w:abstractNum>
  <w:num w:numId="1">
    <w:abstractNumId w:val="8"/>
  </w:num>
  <w:num w:numId="2">
    <w:abstractNumId w:val="2"/>
  </w:num>
  <w:num w:numId="3">
    <w:abstractNumId w:val="5"/>
  </w:num>
  <w:num w:numId="4">
    <w:abstractNumId w:val="6"/>
  </w:num>
  <w:num w:numId="5">
    <w:abstractNumId w:val="4"/>
  </w:num>
  <w:num w:numId="6">
    <w:abstractNumId w:val="3"/>
  </w:num>
  <w:num w:numId="7">
    <w:abstractNumId w:val="9"/>
  </w:num>
  <w:num w:numId="8">
    <w:abstractNumId w:val="13"/>
  </w:num>
  <w:num w:numId="9">
    <w:abstractNumId w:val="7"/>
  </w:num>
  <w:num w:numId="10">
    <w:abstractNumId w:val="11"/>
  </w:num>
  <w:num w:numId="11">
    <w:abstractNumId w:val="0"/>
  </w:num>
  <w:num w:numId="12">
    <w:abstractNumId w:val="10"/>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MTM5MWQ0YTY1MzUxZTQxMTYwMzA5YTg4ZjA4MWRmMDk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839"/>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172"/>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D8"/>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8DB"/>
    <w:rsid w:val="00022BE1"/>
    <w:rsid w:val="00022C7A"/>
    <w:rsid w:val="00022D53"/>
    <w:rsid w:val="00022F7D"/>
    <w:rsid w:val="0002328F"/>
    <w:rsid w:val="00023327"/>
    <w:rsid w:val="00023458"/>
    <w:rsid w:val="000234AD"/>
    <w:rsid w:val="00023825"/>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522"/>
    <w:rsid w:val="00033665"/>
    <w:rsid w:val="000337D2"/>
    <w:rsid w:val="00033A69"/>
    <w:rsid w:val="0003416B"/>
    <w:rsid w:val="00034376"/>
    <w:rsid w:val="000343B7"/>
    <w:rsid w:val="000343F4"/>
    <w:rsid w:val="0003447F"/>
    <w:rsid w:val="00034786"/>
    <w:rsid w:val="00034820"/>
    <w:rsid w:val="000348FC"/>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A"/>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797"/>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48"/>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C81"/>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0FD"/>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AEB"/>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02"/>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27"/>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611"/>
    <w:rsid w:val="00085AF9"/>
    <w:rsid w:val="00085B15"/>
    <w:rsid w:val="00085C48"/>
    <w:rsid w:val="00085D2A"/>
    <w:rsid w:val="00085D4B"/>
    <w:rsid w:val="00085D71"/>
    <w:rsid w:val="00085F6D"/>
    <w:rsid w:val="0008601C"/>
    <w:rsid w:val="00086020"/>
    <w:rsid w:val="000861B9"/>
    <w:rsid w:val="000861C0"/>
    <w:rsid w:val="0008620D"/>
    <w:rsid w:val="00086230"/>
    <w:rsid w:val="0008626C"/>
    <w:rsid w:val="00086927"/>
    <w:rsid w:val="00086998"/>
    <w:rsid w:val="00086C03"/>
    <w:rsid w:val="00086EFE"/>
    <w:rsid w:val="00087001"/>
    <w:rsid w:val="000871CC"/>
    <w:rsid w:val="00087282"/>
    <w:rsid w:val="000874B3"/>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7A1"/>
    <w:rsid w:val="00094A82"/>
    <w:rsid w:val="00094BE8"/>
    <w:rsid w:val="00094C51"/>
    <w:rsid w:val="00094C99"/>
    <w:rsid w:val="00094CC8"/>
    <w:rsid w:val="00094CE8"/>
    <w:rsid w:val="00094EBC"/>
    <w:rsid w:val="000950F5"/>
    <w:rsid w:val="00095224"/>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3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7D6"/>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1B"/>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E65"/>
    <w:rsid w:val="000B3FFC"/>
    <w:rsid w:val="000B3FFE"/>
    <w:rsid w:val="000B4066"/>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EA8"/>
    <w:rsid w:val="000C4EC0"/>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86"/>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9AA"/>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D4C"/>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16"/>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4CF"/>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167"/>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CDD"/>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6EB6"/>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83D"/>
    <w:rsid w:val="001359D7"/>
    <w:rsid w:val="00135DD4"/>
    <w:rsid w:val="00135E44"/>
    <w:rsid w:val="0013606C"/>
    <w:rsid w:val="001361CD"/>
    <w:rsid w:val="001361D6"/>
    <w:rsid w:val="0013624E"/>
    <w:rsid w:val="001363BC"/>
    <w:rsid w:val="0013654A"/>
    <w:rsid w:val="001371D4"/>
    <w:rsid w:val="001371DC"/>
    <w:rsid w:val="001377D7"/>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1AE"/>
    <w:rsid w:val="001523EE"/>
    <w:rsid w:val="00152731"/>
    <w:rsid w:val="001527B5"/>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5FFE"/>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4FB"/>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D26"/>
    <w:rsid w:val="00166E60"/>
    <w:rsid w:val="00166EBE"/>
    <w:rsid w:val="00166F3F"/>
    <w:rsid w:val="001670EA"/>
    <w:rsid w:val="001674A5"/>
    <w:rsid w:val="001674B2"/>
    <w:rsid w:val="0016784B"/>
    <w:rsid w:val="001679B2"/>
    <w:rsid w:val="001679E0"/>
    <w:rsid w:val="00167A55"/>
    <w:rsid w:val="00167AB6"/>
    <w:rsid w:val="00167EBA"/>
    <w:rsid w:val="00167FB2"/>
    <w:rsid w:val="00167FD9"/>
    <w:rsid w:val="001700A5"/>
    <w:rsid w:val="001703B4"/>
    <w:rsid w:val="001705E4"/>
    <w:rsid w:val="00170998"/>
    <w:rsid w:val="00170D89"/>
    <w:rsid w:val="00170FF3"/>
    <w:rsid w:val="0017116A"/>
    <w:rsid w:val="001711DB"/>
    <w:rsid w:val="001712A1"/>
    <w:rsid w:val="001712C4"/>
    <w:rsid w:val="0017131B"/>
    <w:rsid w:val="00171325"/>
    <w:rsid w:val="00171451"/>
    <w:rsid w:val="00171482"/>
    <w:rsid w:val="001719E1"/>
    <w:rsid w:val="00171AB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350"/>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A39"/>
    <w:rsid w:val="00194C53"/>
    <w:rsid w:val="00194D42"/>
    <w:rsid w:val="00194D65"/>
    <w:rsid w:val="001950C6"/>
    <w:rsid w:val="0019525E"/>
    <w:rsid w:val="00195427"/>
    <w:rsid w:val="001954C1"/>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D96"/>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9C0"/>
    <w:rsid w:val="001B1C0B"/>
    <w:rsid w:val="001B1D06"/>
    <w:rsid w:val="001B1F85"/>
    <w:rsid w:val="001B2015"/>
    <w:rsid w:val="001B2049"/>
    <w:rsid w:val="001B2067"/>
    <w:rsid w:val="001B2322"/>
    <w:rsid w:val="001B28F9"/>
    <w:rsid w:val="001B2A06"/>
    <w:rsid w:val="001B2D0D"/>
    <w:rsid w:val="001B2D3E"/>
    <w:rsid w:val="001B2EB9"/>
    <w:rsid w:val="001B2FD0"/>
    <w:rsid w:val="001B302C"/>
    <w:rsid w:val="001B30FE"/>
    <w:rsid w:val="001B3159"/>
    <w:rsid w:val="001B3793"/>
    <w:rsid w:val="001B38ED"/>
    <w:rsid w:val="001B39CE"/>
    <w:rsid w:val="001B39DF"/>
    <w:rsid w:val="001B3B2F"/>
    <w:rsid w:val="001B3B98"/>
    <w:rsid w:val="001B3BBA"/>
    <w:rsid w:val="001B3BE1"/>
    <w:rsid w:val="001B3EF9"/>
    <w:rsid w:val="001B40F1"/>
    <w:rsid w:val="001B43B1"/>
    <w:rsid w:val="001B4499"/>
    <w:rsid w:val="001B468C"/>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CEC"/>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FC"/>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4F5F"/>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A3"/>
    <w:rsid w:val="001E7CB2"/>
    <w:rsid w:val="001E7CBF"/>
    <w:rsid w:val="001E7CFD"/>
    <w:rsid w:val="001E7F02"/>
    <w:rsid w:val="001F00CF"/>
    <w:rsid w:val="001F0106"/>
    <w:rsid w:val="001F02AC"/>
    <w:rsid w:val="001F0615"/>
    <w:rsid w:val="001F0624"/>
    <w:rsid w:val="001F07D6"/>
    <w:rsid w:val="001F07F7"/>
    <w:rsid w:val="001F08D7"/>
    <w:rsid w:val="001F0958"/>
    <w:rsid w:val="001F0C50"/>
    <w:rsid w:val="001F126A"/>
    <w:rsid w:val="001F137C"/>
    <w:rsid w:val="001F17AB"/>
    <w:rsid w:val="001F1B18"/>
    <w:rsid w:val="001F1B3E"/>
    <w:rsid w:val="001F1D26"/>
    <w:rsid w:val="001F1E70"/>
    <w:rsid w:val="001F22F5"/>
    <w:rsid w:val="001F2402"/>
    <w:rsid w:val="001F28AA"/>
    <w:rsid w:val="001F2AB7"/>
    <w:rsid w:val="001F2E13"/>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73A"/>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633"/>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38"/>
    <w:rsid w:val="00214F86"/>
    <w:rsid w:val="00214FA6"/>
    <w:rsid w:val="0021509C"/>
    <w:rsid w:val="002152AD"/>
    <w:rsid w:val="00215476"/>
    <w:rsid w:val="0021554A"/>
    <w:rsid w:val="00215AFE"/>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40F"/>
    <w:rsid w:val="002225F0"/>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6A3"/>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07"/>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8C8"/>
    <w:rsid w:val="00245972"/>
    <w:rsid w:val="002460FE"/>
    <w:rsid w:val="00246133"/>
    <w:rsid w:val="0024623F"/>
    <w:rsid w:val="00246812"/>
    <w:rsid w:val="002468FC"/>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A1C"/>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9B7"/>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1F0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4D38"/>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23A"/>
    <w:rsid w:val="00270331"/>
    <w:rsid w:val="0027033A"/>
    <w:rsid w:val="0027037A"/>
    <w:rsid w:val="00270464"/>
    <w:rsid w:val="0027078B"/>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C70"/>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56D"/>
    <w:rsid w:val="002837B1"/>
    <w:rsid w:val="00283AA1"/>
    <w:rsid w:val="00283ACA"/>
    <w:rsid w:val="00283C48"/>
    <w:rsid w:val="00283D5E"/>
    <w:rsid w:val="00283E2E"/>
    <w:rsid w:val="00283ED2"/>
    <w:rsid w:val="00283FC0"/>
    <w:rsid w:val="002846A1"/>
    <w:rsid w:val="00284859"/>
    <w:rsid w:val="00284905"/>
    <w:rsid w:val="00284C10"/>
    <w:rsid w:val="00284F69"/>
    <w:rsid w:val="00285231"/>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9A4"/>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2A0"/>
    <w:rsid w:val="0029467E"/>
    <w:rsid w:val="00294B02"/>
    <w:rsid w:val="00294EEB"/>
    <w:rsid w:val="0029533F"/>
    <w:rsid w:val="0029552E"/>
    <w:rsid w:val="00295708"/>
    <w:rsid w:val="002957E5"/>
    <w:rsid w:val="00295929"/>
    <w:rsid w:val="00295B27"/>
    <w:rsid w:val="00295B83"/>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202"/>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35"/>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3E24"/>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4F2"/>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1C4E"/>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1B0"/>
    <w:rsid w:val="002E229A"/>
    <w:rsid w:val="002E2303"/>
    <w:rsid w:val="002E2659"/>
    <w:rsid w:val="002E2666"/>
    <w:rsid w:val="002E297F"/>
    <w:rsid w:val="002E2B06"/>
    <w:rsid w:val="002E2CE9"/>
    <w:rsid w:val="002E3635"/>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E7E62"/>
    <w:rsid w:val="002F004E"/>
    <w:rsid w:val="002F0092"/>
    <w:rsid w:val="002F0096"/>
    <w:rsid w:val="002F0332"/>
    <w:rsid w:val="002F0A22"/>
    <w:rsid w:val="002F0B08"/>
    <w:rsid w:val="002F0C1C"/>
    <w:rsid w:val="002F0C94"/>
    <w:rsid w:val="002F0D4F"/>
    <w:rsid w:val="002F0DBD"/>
    <w:rsid w:val="002F0E94"/>
    <w:rsid w:val="002F0F16"/>
    <w:rsid w:val="002F0F66"/>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B57"/>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1C"/>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C15"/>
    <w:rsid w:val="00314D15"/>
    <w:rsid w:val="00314D31"/>
    <w:rsid w:val="00315055"/>
    <w:rsid w:val="003151F7"/>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935"/>
    <w:rsid w:val="00317E84"/>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4CF"/>
    <w:rsid w:val="0032351D"/>
    <w:rsid w:val="003235F4"/>
    <w:rsid w:val="00323658"/>
    <w:rsid w:val="00323AA8"/>
    <w:rsid w:val="003240A6"/>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12"/>
    <w:rsid w:val="003359B9"/>
    <w:rsid w:val="00335B05"/>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62"/>
    <w:rsid w:val="00341CFB"/>
    <w:rsid w:val="00341E81"/>
    <w:rsid w:val="00342094"/>
    <w:rsid w:val="003421CC"/>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4EDB"/>
    <w:rsid w:val="00345469"/>
    <w:rsid w:val="003457B8"/>
    <w:rsid w:val="0034581F"/>
    <w:rsid w:val="00345A10"/>
    <w:rsid w:val="00345F57"/>
    <w:rsid w:val="003460FF"/>
    <w:rsid w:val="00346218"/>
    <w:rsid w:val="003462E1"/>
    <w:rsid w:val="0034674E"/>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11"/>
    <w:rsid w:val="00360548"/>
    <w:rsid w:val="003606B1"/>
    <w:rsid w:val="00360902"/>
    <w:rsid w:val="00360CAA"/>
    <w:rsid w:val="003610BA"/>
    <w:rsid w:val="003611CD"/>
    <w:rsid w:val="003611D0"/>
    <w:rsid w:val="003611EB"/>
    <w:rsid w:val="00361229"/>
    <w:rsid w:val="0036146B"/>
    <w:rsid w:val="00361558"/>
    <w:rsid w:val="003616CD"/>
    <w:rsid w:val="003617D6"/>
    <w:rsid w:val="003618EF"/>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67A"/>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4F8F"/>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4D5"/>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C20"/>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0F7"/>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8D"/>
    <w:rsid w:val="003B1FE6"/>
    <w:rsid w:val="003B2035"/>
    <w:rsid w:val="003B2168"/>
    <w:rsid w:val="003B21DA"/>
    <w:rsid w:val="003B223B"/>
    <w:rsid w:val="003B2502"/>
    <w:rsid w:val="003B2664"/>
    <w:rsid w:val="003B27CC"/>
    <w:rsid w:val="003B2CF2"/>
    <w:rsid w:val="003B2F25"/>
    <w:rsid w:val="003B3002"/>
    <w:rsid w:val="003B30AB"/>
    <w:rsid w:val="003B3E4A"/>
    <w:rsid w:val="003B3F34"/>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EF0"/>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CC"/>
    <w:rsid w:val="003D13DE"/>
    <w:rsid w:val="003D1419"/>
    <w:rsid w:val="003D17A4"/>
    <w:rsid w:val="003D1835"/>
    <w:rsid w:val="003D1C9B"/>
    <w:rsid w:val="003D1CAC"/>
    <w:rsid w:val="003D1DAB"/>
    <w:rsid w:val="003D1F1E"/>
    <w:rsid w:val="003D1FF0"/>
    <w:rsid w:val="003D20F2"/>
    <w:rsid w:val="003D222C"/>
    <w:rsid w:val="003D231E"/>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2E"/>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C0"/>
    <w:rsid w:val="003E22EF"/>
    <w:rsid w:val="003E2554"/>
    <w:rsid w:val="003E281C"/>
    <w:rsid w:val="003E292E"/>
    <w:rsid w:val="003E2A2E"/>
    <w:rsid w:val="003E2B3B"/>
    <w:rsid w:val="003E2B91"/>
    <w:rsid w:val="003E2BCE"/>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5AC"/>
    <w:rsid w:val="003E5628"/>
    <w:rsid w:val="003E56E1"/>
    <w:rsid w:val="003E5A69"/>
    <w:rsid w:val="003E5C42"/>
    <w:rsid w:val="003E5E13"/>
    <w:rsid w:val="003E5E2A"/>
    <w:rsid w:val="003E63C1"/>
    <w:rsid w:val="003E6569"/>
    <w:rsid w:val="003E6589"/>
    <w:rsid w:val="003E696D"/>
    <w:rsid w:val="003E69BF"/>
    <w:rsid w:val="003E6BE1"/>
    <w:rsid w:val="003E703A"/>
    <w:rsid w:val="003E7118"/>
    <w:rsid w:val="003E723A"/>
    <w:rsid w:val="003E738E"/>
    <w:rsid w:val="003E744C"/>
    <w:rsid w:val="003E778B"/>
    <w:rsid w:val="003E77E1"/>
    <w:rsid w:val="003E792A"/>
    <w:rsid w:val="003E7BD4"/>
    <w:rsid w:val="003E7C13"/>
    <w:rsid w:val="003E7DFC"/>
    <w:rsid w:val="003F0228"/>
    <w:rsid w:val="003F022F"/>
    <w:rsid w:val="003F0461"/>
    <w:rsid w:val="003F0781"/>
    <w:rsid w:val="003F07E2"/>
    <w:rsid w:val="003F0A92"/>
    <w:rsid w:val="003F0C88"/>
    <w:rsid w:val="003F0D04"/>
    <w:rsid w:val="003F0EFC"/>
    <w:rsid w:val="003F0F52"/>
    <w:rsid w:val="003F10D9"/>
    <w:rsid w:val="003F122D"/>
    <w:rsid w:val="003F14D8"/>
    <w:rsid w:val="003F158D"/>
    <w:rsid w:val="003F1718"/>
    <w:rsid w:val="003F1FE3"/>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4F1"/>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03"/>
    <w:rsid w:val="004051B4"/>
    <w:rsid w:val="00405368"/>
    <w:rsid w:val="0040567F"/>
    <w:rsid w:val="004056C1"/>
    <w:rsid w:val="00405789"/>
    <w:rsid w:val="00405940"/>
    <w:rsid w:val="00405AB7"/>
    <w:rsid w:val="00405BB1"/>
    <w:rsid w:val="00405C17"/>
    <w:rsid w:val="00405C81"/>
    <w:rsid w:val="00405CFC"/>
    <w:rsid w:val="0040667F"/>
    <w:rsid w:val="004066DC"/>
    <w:rsid w:val="004067F2"/>
    <w:rsid w:val="004068D6"/>
    <w:rsid w:val="00406AC6"/>
    <w:rsid w:val="00406C82"/>
    <w:rsid w:val="00406D6D"/>
    <w:rsid w:val="00406D9A"/>
    <w:rsid w:val="00406DB3"/>
    <w:rsid w:val="004072D4"/>
    <w:rsid w:val="0040762C"/>
    <w:rsid w:val="004076C9"/>
    <w:rsid w:val="00407728"/>
    <w:rsid w:val="00407796"/>
    <w:rsid w:val="00407A48"/>
    <w:rsid w:val="00407B86"/>
    <w:rsid w:val="004100CC"/>
    <w:rsid w:val="004100F9"/>
    <w:rsid w:val="0041017F"/>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681"/>
    <w:rsid w:val="00412715"/>
    <w:rsid w:val="00412768"/>
    <w:rsid w:val="00412CAE"/>
    <w:rsid w:val="0041333F"/>
    <w:rsid w:val="00413352"/>
    <w:rsid w:val="004134D5"/>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3B0"/>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21"/>
    <w:rsid w:val="004457C8"/>
    <w:rsid w:val="004457EE"/>
    <w:rsid w:val="00445971"/>
    <w:rsid w:val="00445ABE"/>
    <w:rsid w:val="00445BC2"/>
    <w:rsid w:val="00445C65"/>
    <w:rsid w:val="00445C71"/>
    <w:rsid w:val="00445F8D"/>
    <w:rsid w:val="00446100"/>
    <w:rsid w:val="004461DB"/>
    <w:rsid w:val="00446268"/>
    <w:rsid w:val="00446334"/>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CAD"/>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774"/>
    <w:rsid w:val="00456AA0"/>
    <w:rsid w:val="00456B07"/>
    <w:rsid w:val="00456C34"/>
    <w:rsid w:val="00456CE2"/>
    <w:rsid w:val="00456DC5"/>
    <w:rsid w:val="00456E5E"/>
    <w:rsid w:val="00456E6D"/>
    <w:rsid w:val="0045701E"/>
    <w:rsid w:val="00457393"/>
    <w:rsid w:val="0045745E"/>
    <w:rsid w:val="00457560"/>
    <w:rsid w:val="0045782B"/>
    <w:rsid w:val="0045787A"/>
    <w:rsid w:val="00457BD8"/>
    <w:rsid w:val="00457D39"/>
    <w:rsid w:val="00457F6E"/>
    <w:rsid w:val="00457F79"/>
    <w:rsid w:val="00460032"/>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A1D"/>
    <w:rsid w:val="00461BC6"/>
    <w:rsid w:val="00461C1B"/>
    <w:rsid w:val="00461E28"/>
    <w:rsid w:val="00461F9B"/>
    <w:rsid w:val="00462C10"/>
    <w:rsid w:val="00462CDF"/>
    <w:rsid w:val="00462F1C"/>
    <w:rsid w:val="00462F92"/>
    <w:rsid w:val="004632F6"/>
    <w:rsid w:val="00463382"/>
    <w:rsid w:val="0046349B"/>
    <w:rsid w:val="00463507"/>
    <w:rsid w:val="004635E0"/>
    <w:rsid w:val="004637A0"/>
    <w:rsid w:val="004637D6"/>
    <w:rsid w:val="004638F4"/>
    <w:rsid w:val="00463A6B"/>
    <w:rsid w:val="00463B1A"/>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5EE"/>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CEC"/>
    <w:rsid w:val="00475DDF"/>
    <w:rsid w:val="00475EB7"/>
    <w:rsid w:val="00475EF9"/>
    <w:rsid w:val="004760A4"/>
    <w:rsid w:val="00476129"/>
    <w:rsid w:val="0047647F"/>
    <w:rsid w:val="00476816"/>
    <w:rsid w:val="00476822"/>
    <w:rsid w:val="004768A1"/>
    <w:rsid w:val="004769D3"/>
    <w:rsid w:val="004769D5"/>
    <w:rsid w:val="0047790D"/>
    <w:rsid w:val="00477938"/>
    <w:rsid w:val="00477B54"/>
    <w:rsid w:val="00477B57"/>
    <w:rsid w:val="00477C2C"/>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9E2"/>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BA"/>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553"/>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30"/>
    <w:rsid w:val="004A2945"/>
    <w:rsid w:val="004A2A49"/>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2"/>
    <w:rsid w:val="004A60FC"/>
    <w:rsid w:val="004A626F"/>
    <w:rsid w:val="004A634E"/>
    <w:rsid w:val="004A6379"/>
    <w:rsid w:val="004A6381"/>
    <w:rsid w:val="004A649A"/>
    <w:rsid w:val="004A663C"/>
    <w:rsid w:val="004A6799"/>
    <w:rsid w:val="004A69CD"/>
    <w:rsid w:val="004A6A5A"/>
    <w:rsid w:val="004A6AF3"/>
    <w:rsid w:val="004A6B3D"/>
    <w:rsid w:val="004A6E42"/>
    <w:rsid w:val="004A725E"/>
    <w:rsid w:val="004A76F6"/>
    <w:rsid w:val="004A786A"/>
    <w:rsid w:val="004A78F8"/>
    <w:rsid w:val="004A7955"/>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8FE"/>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AC"/>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9C2"/>
    <w:rsid w:val="004C4A2C"/>
    <w:rsid w:val="004C4A30"/>
    <w:rsid w:val="004C4AE7"/>
    <w:rsid w:val="004C4BCC"/>
    <w:rsid w:val="004C4D68"/>
    <w:rsid w:val="004C4D88"/>
    <w:rsid w:val="004C508A"/>
    <w:rsid w:val="004C50AA"/>
    <w:rsid w:val="004C51EB"/>
    <w:rsid w:val="004C5516"/>
    <w:rsid w:val="004C554D"/>
    <w:rsid w:val="004C5695"/>
    <w:rsid w:val="004C5852"/>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F15"/>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2D1"/>
    <w:rsid w:val="004D338A"/>
    <w:rsid w:val="004D338F"/>
    <w:rsid w:val="004D3488"/>
    <w:rsid w:val="004D352F"/>
    <w:rsid w:val="004D354E"/>
    <w:rsid w:val="004D363D"/>
    <w:rsid w:val="004D36F7"/>
    <w:rsid w:val="004D37B6"/>
    <w:rsid w:val="004D3981"/>
    <w:rsid w:val="004D39A9"/>
    <w:rsid w:val="004D3A03"/>
    <w:rsid w:val="004D3A39"/>
    <w:rsid w:val="004D3CF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188"/>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12"/>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800"/>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4F7FE2"/>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3E"/>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31B"/>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6D4"/>
    <w:rsid w:val="00531746"/>
    <w:rsid w:val="00531919"/>
    <w:rsid w:val="00531A60"/>
    <w:rsid w:val="00531AA2"/>
    <w:rsid w:val="00531CAC"/>
    <w:rsid w:val="00531D5E"/>
    <w:rsid w:val="00532033"/>
    <w:rsid w:val="005320B8"/>
    <w:rsid w:val="0053230B"/>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3E"/>
    <w:rsid w:val="00533FD9"/>
    <w:rsid w:val="005341C6"/>
    <w:rsid w:val="00534376"/>
    <w:rsid w:val="00534724"/>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403"/>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4CA5"/>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6DC2"/>
    <w:rsid w:val="00547183"/>
    <w:rsid w:val="005471CF"/>
    <w:rsid w:val="0054720F"/>
    <w:rsid w:val="005473EF"/>
    <w:rsid w:val="0054749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3F1"/>
    <w:rsid w:val="005518BE"/>
    <w:rsid w:val="00551941"/>
    <w:rsid w:val="005519FC"/>
    <w:rsid w:val="00551A02"/>
    <w:rsid w:val="00551AC0"/>
    <w:rsid w:val="00551B4D"/>
    <w:rsid w:val="00551C85"/>
    <w:rsid w:val="00551F80"/>
    <w:rsid w:val="00551FF2"/>
    <w:rsid w:val="005520ED"/>
    <w:rsid w:val="005522D2"/>
    <w:rsid w:val="005525B7"/>
    <w:rsid w:val="005526FA"/>
    <w:rsid w:val="00552768"/>
    <w:rsid w:val="00552896"/>
    <w:rsid w:val="0055293A"/>
    <w:rsid w:val="00552AA8"/>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E3F"/>
    <w:rsid w:val="00554FE7"/>
    <w:rsid w:val="0055508D"/>
    <w:rsid w:val="005550F2"/>
    <w:rsid w:val="00555341"/>
    <w:rsid w:val="005555D0"/>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47"/>
    <w:rsid w:val="005607CA"/>
    <w:rsid w:val="005608DB"/>
    <w:rsid w:val="005609BF"/>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E5D"/>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5F40"/>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3E3"/>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536"/>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AF2"/>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815"/>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09"/>
    <w:rsid w:val="005A3752"/>
    <w:rsid w:val="005A37E5"/>
    <w:rsid w:val="005A3933"/>
    <w:rsid w:val="005A3B89"/>
    <w:rsid w:val="005A3DBA"/>
    <w:rsid w:val="005A3EAD"/>
    <w:rsid w:val="005A3EC6"/>
    <w:rsid w:val="005A44AE"/>
    <w:rsid w:val="005A44D3"/>
    <w:rsid w:val="005A45F6"/>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08"/>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944"/>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118"/>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25C"/>
    <w:rsid w:val="005B7328"/>
    <w:rsid w:val="005B752A"/>
    <w:rsid w:val="005B752E"/>
    <w:rsid w:val="005B7BBC"/>
    <w:rsid w:val="005C0398"/>
    <w:rsid w:val="005C04CD"/>
    <w:rsid w:val="005C0C8D"/>
    <w:rsid w:val="005C0D6F"/>
    <w:rsid w:val="005C0E2C"/>
    <w:rsid w:val="005C0F0C"/>
    <w:rsid w:val="005C11B0"/>
    <w:rsid w:val="005C129A"/>
    <w:rsid w:val="005C15E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8EC"/>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92"/>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5E"/>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A20"/>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0BF9"/>
    <w:rsid w:val="005E0D55"/>
    <w:rsid w:val="005E1590"/>
    <w:rsid w:val="005E1749"/>
    <w:rsid w:val="005E1848"/>
    <w:rsid w:val="005E1921"/>
    <w:rsid w:val="005E1C8A"/>
    <w:rsid w:val="005E1DA5"/>
    <w:rsid w:val="005E202B"/>
    <w:rsid w:val="005E222A"/>
    <w:rsid w:val="005E23B5"/>
    <w:rsid w:val="005E23E1"/>
    <w:rsid w:val="005E291A"/>
    <w:rsid w:val="005E2B37"/>
    <w:rsid w:val="005E3188"/>
    <w:rsid w:val="005E33C3"/>
    <w:rsid w:val="005E3679"/>
    <w:rsid w:val="005E38EB"/>
    <w:rsid w:val="005E3A8C"/>
    <w:rsid w:val="005E3DB2"/>
    <w:rsid w:val="005E4759"/>
    <w:rsid w:val="005E47C2"/>
    <w:rsid w:val="005E4A56"/>
    <w:rsid w:val="005E4BD8"/>
    <w:rsid w:val="005E4C96"/>
    <w:rsid w:val="005E4F07"/>
    <w:rsid w:val="005E4F2D"/>
    <w:rsid w:val="005E4FE1"/>
    <w:rsid w:val="005E5327"/>
    <w:rsid w:val="005E5605"/>
    <w:rsid w:val="005E5AC7"/>
    <w:rsid w:val="005E5B6D"/>
    <w:rsid w:val="005E5D33"/>
    <w:rsid w:val="005E6164"/>
    <w:rsid w:val="005E6402"/>
    <w:rsid w:val="005E6430"/>
    <w:rsid w:val="005E6457"/>
    <w:rsid w:val="005E64C2"/>
    <w:rsid w:val="005E67CB"/>
    <w:rsid w:val="005E6E35"/>
    <w:rsid w:val="005E6EB7"/>
    <w:rsid w:val="005E72AA"/>
    <w:rsid w:val="005E73CA"/>
    <w:rsid w:val="005E74F8"/>
    <w:rsid w:val="005E75C7"/>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747"/>
    <w:rsid w:val="005F18D0"/>
    <w:rsid w:val="005F1AED"/>
    <w:rsid w:val="005F1D62"/>
    <w:rsid w:val="005F215B"/>
    <w:rsid w:val="005F22AF"/>
    <w:rsid w:val="005F25BE"/>
    <w:rsid w:val="005F2711"/>
    <w:rsid w:val="005F2739"/>
    <w:rsid w:val="005F27CD"/>
    <w:rsid w:val="005F2AB4"/>
    <w:rsid w:val="005F2BAE"/>
    <w:rsid w:val="005F2CA1"/>
    <w:rsid w:val="005F2D37"/>
    <w:rsid w:val="005F311F"/>
    <w:rsid w:val="005F3171"/>
    <w:rsid w:val="005F31BB"/>
    <w:rsid w:val="005F32DD"/>
    <w:rsid w:val="005F334C"/>
    <w:rsid w:val="005F3650"/>
    <w:rsid w:val="005F36BE"/>
    <w:rsid w:val="005F384F"/>
    <w:rsid w:val="005F38C5"/>
    <w:rsid w:val="005F3934"/>
    <w:rsid w:val="005F3ED4"/>
    <w:rsid w:val="005F41ED"/>
    <w:rsid w:val="005F4200"/>
    <w:rsid w:val="005F4256"/>
    <w:rsid w:val="005F4407"/>
    <w:rsid w:val="005F449D"/>
    <w:rsid w:val="005F451E"/>
    <w:rsid w:val="005F48CC"/>
    <w:rsid w:val="005F4AD8"/>
    <w:rsid w:val="005F4EB4"/>
    <w:rsid w:val="005F4EF9"/>
    <w:rsid w:val="005F4F45"/>
    <w:rsid w:val="005F4F5C"/>
    <w:rsid w:val="005F4FE9"/>
    <w:rsid w:val="005F51F0"/>
    <w:rsid w:val="005F550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EF"/>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0DE3"/>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2FA9"/>
    <w:rsid w:val="0060305E"/>
    <w:rsid w:val="00603072"/>
    <w:rsid w:val="00603113"/>
    <w:rsid w:val="006032B0"/>
    <w:rsid w:val="006034D6"/>
    <w:rsid w:val="0060376B"/>
    <w:rsid w:val="00603963"/>
    <w:rsid w:val="00603A39"/>
    <w:rsid w:val="006043FC"/>
    <w:rsid w:val="006046C4"/>
    <w:rsid w:val="00604734"/>
    <w:rsid w:val="00604770"/>
    <w:rsid w:val="00604AD6"/>
    <w:rsid w:val="00604CB4"/>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553"/>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E60"/>
    <w:rsid w:val="00612F5F"/>
    <w:rsid w:val="006130A8"/>
    <w:rsid w:val="006131F6"/>
    <w:rsid w:val="00613258"/>
    <w:rsid w:val="00613310"/>
    <w:rsid w:val="006133E4"/>
    <w:rsid w:val="0061362E"/>
    <w:rsid w:val="00613A1D"/>
    <w:rsid w:val="00613EB1"/>
    <w:rsid w:val="00613ED8"/>
    <w:rsid w:val="006140D2"/>
    <w:rsid w:val="0061413F"/>
    <w:rsid w:val="00614486"/>
    <w:rsid w:val="006144DE"/>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4C83"/>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5F4"/>
    <w:rsid w:val="006337E8"/>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2"/>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6CB6"/>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B56"/>
    <w:rsid w:val="00660C01"/>
    <w:rsid w:val="00660C30"/>
    <w:rsid w:val="00660C46"/>
    <w:rsid w:val="00660E2F"/>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6A6"/>
    <w:rsid w:val="00664CA5"/>
    <w:rsid w:val="00665170"/>
    <w:rsid w:val="006654E8"/>
    <w:rsid w:val="00665803"/>
    <w:rsid w:val="006659C6"/>
    <w:rsid w:val="00665A65"/>
    <w:rsid w:val="00665B53"/>
    <w:rsid w:val="00665C03"/>
    <w:rsid w:val="00665C67"/>
    <w:rsid w:val="00665EC5"/>
    <w:rsid w:val="00666097"/>
    <w:rsid w:val="00666355"/>
    <w:rsid w:val="00666373"/>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C3"/>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C56"/>
    <w:rsid w:val="00674DAE"/>
    <w:rsid w:val="00674F95"/>
    <w:rsid w:val="00675379"/>
    <w:rsid w:val="0067561D"/>
    <w:rsid w:val="00675628"/>
    <w:rsid w:val="00675B79"/>
    <w:rsid w:val="00675C31"/>
    <w:rsid w:val="00676065"/>
    <w:rsid w:val="0067613A"/>
    <w:rsid w:val="006761C4"/>
    <w:rsid w:val="006762A2"/>
    <w:rsid w:val="006762B9"/>
    <w:rsid w:val="006762FC"/>
    <w:rsid w:val="006763C0"/>
    <w:rsid w:val="006768CA"/>
    <w:rsid w:val="006768CC"/>
    <w:rsid w:val="0067693D"/>
    <w:rsid w:val="006769FE"/>
    <w:rsid w:val="00676C29"/>
    <w:rsid w:val="00676E97"/>
    <w:rsid w:val="00676F74"/>
    <w:rsid w:val="00676FD4"/>
    <w:rsid w:val="00677018"/>
    <w:rsid w:val="00677178"/>
    <w:rsid w:val="0067737E"/>
    <w:rsid w:val="0067759C"/>
    <w:rsid w:val="00677761"/>
    <w:rsid w:val="00677785"/>
    <w:rsid w:val="00677CCA"/>
    <w:rsid w:val="00677DE9"/>
    <w:rsid w:val="00677F5C"/>
    <w:rsid w:val="00680060"/>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11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4EE9"/>
    <w:rsid w:val="006853DA"/>
    <w:rsid w:val="00685632"/>
    <w:rsid w:val="00685A09"/>
    <w:rsid w:val="00685DB2"/>
    <w:rsid w:val="00685E50"/>
    <w:rsid w:val="00685EE4"/>
    <w:rsid w:val="00685F1A"/>
    <w:rsid w:val="00685F3C"/>
    <w:rsid w:val="00685F5D"/>
    <w:rsid w:val="006862E8"/>
    <w:rsid w:val="0068631A"/>
    <w:rsid w:val="00686668"/>
    <w:rsid w:val="0068688C"/>
    <w:rsid w:val="00686A1D"/>
    <w:rsid w:val="00686B66"/>
    <w:rsid w:val="00686DAF"/>
    <w:rsid w:val="00686E91"/>
    <w:rsid w:val="00687145"/>
    <w:rsid w:val="006873E0"/>
    <w:rsid w:val="0068752A"/>
    <w:rsid w:val="006875FB"/>
    <w:rsid w:val="0068768A"/>
    <w:rsid w:val="00687AFD"/>
    <w:rsid w:val="00687BEB"/>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12"/>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CD"/>
    <w:rsid w:val="006A1BDA"/>
    <w:rsid w:val="006A1D19"/>
    <w:rsid w:val="006A1FFE"/>
    <w:rsid w:val="006A203D"/>
    <w:rsid w:val="006A20EF"/>
    <w:rsid w:val="006A226F"/>
    <w:rsid w:val="006A233A"/>
    <w:rsid w:val="006A244D"/>
    <w:rsid w:val="006A2721"/>
    <w:rsid w:val="006A292C"/>
    <w:rsid w:val="006A31E7"/>
    <w:rsid w:val="006A354D"/>
    <w:rsid w:val="006A36D1"/>
    <w:rsid w:val="006A3AB6"/>
    <w:rsid w:val="006A3AF3"/>
    <w:rsid w:val="006A3E5A"/>
    <w:rsid w:val="006A3F3D"/>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6EE"/>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0D3E"/>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239"/>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ABB"/>
    <w:rsid w:val="006D2B4E"/>
    <w:rsid w:val="006D2EF2"/>
    <w:rsid w:val="006D3042"/>
    <w:rsid w:val="006D30DF"/>
    <w:rsid w:val="006D342A"/>
    <w:rsid w:val="006D34DF"/>
    <w:rsid w:val="006D38A7"/>
    <w:rsid w:val="006D3A97"/>
    <w:rsid w:val="006D3B23"/>
    <w:rsid w:val="006D3BF5"/>
    <w:rsid w:val="006D3CA6"/>
    <w:rsid w:val="006D42C5"/>
    <w:rsid w:val="006D4525"/>
    <w:rsid w:val="006D455A"/>
    <w:rsid w:val="006D4588"/>
    <w:rsid w:val="006D476E"/>
    <w:rsid w:val="006D4A83"/>
    <w:rsid w:val="006D4DD2"/>
    <w:rsid w:val="006D4E72"/>
    <w:rsid w:val="006D4E86"/>
    <w:rsid w:val="006D5150"/>
    <w:rsid w:val="006D5889"/>
    <w:rsid w:val="006D5BF2"/>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B83"/>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A4"/>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32"/>
    <w:rsid w:val="007012FE"/>
    <w:rsid w:val="007013AD"/>
    <w:rsid w:val="00701675"/>
    <w:rsid w:val="0070179D"/>
    <w:rsid w:val="00701852"/>
    <w:rsid w:val="00702107"/>
    <w:rsid w:val="007025C2"/>
    <w:rsid w:val="007025F4"/>
    <w:rsid w:val="007026F2"/>
    <w:rsid w:val="007026F3"/>
    <w:rsid w:val="007028AC"/>
    <w:rsid w:val="00702926"/>
    <w:rsid w:val="00702B46"/>
    <w:rsid w:val="0070331E"/>
    <w:rsid w:val="007037AA"/>
    <w:rsid w:val="00703821"/>
    <w:rsid w:val="00703A15"/>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76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AB3"/>
    <w:rsid w:val="00711DE3"/>
    <w:rsid w:val="00712139"/>
    <w:rsid w:val="007123E6"/>
    <w:rsid w:val="00712646"/>
    <w:rsid w:val="0071286D"/>
    <w:rsid w:val="00712958"/>
    <w:rsid w:val="00712B26"/>
    <w:rsid w:val="00712C92"/>
    <w:rsid w:val="00712D21"/>
    <w:rsid w:val="00712ECA"/>
    <w:rsid w:val="00712EDE"/>
    <w:rsid w:val="00712FC5"/>
    <w:rsid w:val="0071356C"/>
    <w:rsid w:val="00713704"/>
    <w:rsid w:val="007137A2"/>
    <w:rsid w:val="00713962"/>
    <w:rsid w:val="0071398F"/>
    <w:rsid w:val="00713CF7"/>
    <w:rsid w:val="00713D24"/>
    <w:rsid w:val="00713DC1"/>
    <w:rsid w:val="00713DEE"/>
    <w:rsid w:val="007141CD"/>
    <w:rsid w:val="0071423F"/>
    <w:rsid w:val="007142B6"/>
    <w:rsid w:val="00714312"/>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433"/>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673"/>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01A"/>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1C7"/>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772"/>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CCB"/>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3B"/>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6A5"/>
    <w:rsid w:val="007577CB"/>
    <w:rsid w:val="00757AF7"/>
    <w:rsid w:val="00760008"/>
    <w:rsid w:val="007600FB"/>
    <w:rsid w:val="00760258"/>
    <w:rsid w:val="007602C9"/>
    <w:rsid w:val="00760816"/>
    <w:rsid w:val="00760B98"/>
    <w:rsid w:val="00760C0D"/>
    <w:rsid w:val="00760FB1"/>
    <w:rsid w:val="0076127C"/>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029"/>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8CF"/>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249"/>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A5A"/>
    <w:rsid w:val="00791B18"/>
    <w:rsid w:val="00791B4F"/>
    <w:rsid w:val="00791C41"/>
    <w:rsid w:val="00791CCB"/>
    <w:rsid w:val="00791D9E"/>
    <w:rsid w:val="00791E00"/>
    <w:rsid w:val="00792193"/>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171"/>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08"/>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6"/>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1DE"/>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DF1"/>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1FB0"/>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29"/>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99E"/>
    <w:rsid w:val="007F2B0C"/>
    <w:rsid w:val="007F2EDF"/>
    <w:rsid w:val="007F31AB"/>
    <w:rsid w:val="007F32AE"/>
    <w:rsid w:val="007F33C2"/>
    <w:rsid w:val="007F34BD"/>
    <w:rsid w:val="007F3802"/>
    <w:rsid w:val="007F38F3"/>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8D4"/>
    <w:rsid w:val="007F5C0C"/>
    <w:rsid w:val="007F5D71"/>
    <w:rsid w:val="007F5FAB"/>
    <w:rsid w:val="007F600B"/>
    <w:rsid w:val="007F615C"/>
    <w:rsid w:val="007F67A8"/>
    <w:rsid w:val="007F6B9A"/>
    <w:rsid w:val="007F6C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CF2"/>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31F"/>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4BC"/>
    <w:rsid w:val="00825508"/>
    <w:rsid w:val="0082553A"/>
    <w:rsid w:val="008255BB"/>
    <w:rsid w:val="008256BC"/>
    <w:rsid w:val="00825DF2"/>
    <w:rsid w:val="00825E12"/>
    <w:rsid w:val="00825E44"/>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9FB"/>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9E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C49"/>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DD2"/>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E94"/>
    <w:rsid w:val="00865F05"/>
    <w:rsid w:val="00865F0C"/>
    <w:rsid w:val="008661B5"/>
    <w:rsid w:val="00866591"/>
    <w:rsid w:val="008665B6"/>
    <w:rsid w:val="00866736"/>
    <w:rsid w:val="008668DC"/>
    <w:rsid w:val="008669AD"/>
    <w:rsid w:val="00866B7A"/>
    <w:rsid w:val="00866BFD"/>
    <w:rsid w:val="00866CE9"/>
    <w:rsid w:val="00866D1C"/>
    <w:rsid w:val="00866DC7"/>
    <w:rsid w:val="00866F8D"/>
    <w:rsid w:val="008674D3"/>
    <w:rsid w:val="00867712"/>
    <w:rsid w:val="00867B19"/>
    <w:rsid w:val="00867D83"/>
    <w:rsid w:val="00867DCB"/>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A3F"/>
    <w:rsid w:val="00874CC2"/>
    <w:rsid w:val="00874E0E"/>
    <w:rsid w:val="00874F7B"/>
    <w:rsid w:val="00875025"/>
    <w:rsid w:val="008753BC"/>
    <w:rsid w:val="00875BA4"/>
    <w:rsid w:val="00875BA5"/>
    <w:rsid w:val="00875D85"/>
    <w:rsid w:val="00875ED9"/>
    <w:rsid w:val="00875EEA"/>
    <w:rsid w:val="00875FAB"/>
    <w:rsid w:val="0087642E"/>
    <w:rsid w:val="008764B8"/>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11C"/>
    <w:rsid w:val="00884627"/>
    <w:rsid w:val="00884699"/>
    <w:rsid w:val="0088470D"/>
    <w:rsid w:val="008848E2"/>
    <w:rsid w:val="00884AA1"/>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5F5"/>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37"/>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A70"/>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467"/>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6F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C62"/>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495"/>
    <w:rsid w:val="008C65A7"/>
    <w:rsid w:val="008C6918"/>
    <w:rsid w:val="008C6947"/>
    <w:rsid w:val="008C6953"/>
    <w:rsid w:val="008C7170"/>
    <w:rsid w:val="008C7190"/>
    <w:rsid w:val="008C7259"/>
    <w:rsid w:val="008C72F9"/>
    <w:rsid w:val="008C76FD"/>
    <w:rsid w:val="008C7767"/>
    <w:rsid w:val="008C7B20"/>
    <w:rsid w:val="008C7C1A"/>
    <w:rsid w:val="008C7C3C"/>
    <w:rsid w:val="008C7D23"/>
    <w:rsid w:val="008D00D3"/>
    <w:rsid w:val="008D026A"/>
    <w:rsid w:val="008D0272"/>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351"/>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A04"/>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2"/>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50F"/>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250"/>
    <w:rsid w:val="009004F3"/>
    <w:rsid w:val="009005AD"/>
    <w:rsid w:val="00900AF3"/>
    <w:rsid w:val="00900EE6"/>
    <w:rsid w:val="00900F5F"/>
    <w:rsid w:val="00901065"/>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8DC"/>
    <w:rsid w:val="00902A3A"/>
    <w:rsid w:val="00902C42"/>
    <w:rsid w:val="00902CDE"/>
    <w:rsid w:val="00902DF7"/>
    <w:rsid w:val="00902E0D"/>
    <w:rsid w:val="00902FD3"/>
    <w:rsid w:val="00903008"/>
    <w:rsid w:val="0090319F"/>
    <w:rsid w:val="009031A3"/>
    <w:rsid w:val="009034BD"/>
    <w:rsid w:val="009035C5"/>
    <w:rsid w:val="0090368F"/>
    <w:rsid w:val="009036E9"/>
    <w:rsid w:val="00903911"/>
    <w:rsid w:val="00903A2F"/>
    <w:rsid w:val="00903B3E"/>
    <w:rsid w:val="00903D9D"/>
    <w:rsid w:val="00903EFE"/>
    <w:rsid w:val="0090404C"/>
    <w:rsid w:val="009043BA"/>
    <w:rsid w:val="009044EA"/>
    <w:rsid w:val="0090463B"/>
    <w:rsid w:val="009046D4"/>
    <w:rsid w:val="00904925"/>
    <w:rsid w:val="00904AF3"/>
    <w:rsid w:val="00904C8E"/>
    <w:rsid w:val="00904DCE"/>
    <w:rsid w:val="0090517C"/>
    <w:rsid w:val="0090539C"/>
    <w:rsid w:val="009053FA"/>
    <w:rsid w:val="009057AC"/>
    <w:rsid w:val="00905823"/>
    <w:rsid w:val="00905A08"/>
    <w:rsid w:val="00905BC2"/>
    <w:rsid w:val="00905C79"/>
    <w:rsid w:val="00905D96"/>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4F"/>
    <w:rsid w:val="009119E4"/>
    <w:rsid w:val="00911B5B"/>
    <w:rsid w:val="00911C67"/>
    <w:rsid w:val="00911DB0"/>
    <w:rsid w:val="00911E9A"/>
    <w:rsid w:val="00911F43"/>
    <w:rsid w:val="009121A7"/>
    <w:rsid w:val="00912218"/>
    <w:rsid w:val="009125E8"/>
    <w:rsid w:val="0091271A"/>
    <w:rsid w:val="0091285C"/>
    <w:rsid w:val="00912C4A"/>
    <w:rsid w:val="00912C7D"/>
    <w:rsid w:val="00913077"/>
    <w:rsid w:val="00913340"/>
    <w:rsid w:val="0091334E"/>
    <w:rsid w:val="0091366F"/>
    <w:rsid w:val="009137E6"/>
    <w:rsid w:val="009138AF"/>
    <w:rsid w:val="00913AB1"/>
    <w:rsid w:val="00913F2E"/>
    <w:rsid w:val="00913FB0"/>
    <w:rsid w:val="00914434"/>
    <w:rsid w:val="00914541"/>
    <w:rsid w:val="00914ADC"/>
    <w:rsid w:val="00914B9E"/>
    <w:rsid w:val="00914C7A"/>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03"/>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07"/>
    <w:rsid w:val="00921C31"/>
    <w:rsid w:val="00921D5D"/>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2F36"/>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E97"/>
    <w:rsid w:val="00926F9E"/>
    <w:rsid w:val="0092726F"/>
    <w:rsid w:val="00927294"/>
    <w:rsid w:val="009273E6"/>
    <w:rsid w:val="00927623"/>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8A2"/>
    <w:rsid w:val="00933B9E"/>
    <w:rsid w:val="00933C22"/>
    <w:rsid w:val="00933E42"/>
    <w:rsid w:val="00933FFF"/>
    <w:rsid w:val="0093407C"/>
    <w:rsid w:val="0093422D"/>
    <w:rsid w:val="00934323"/>
    <w:rsid w:val="00934905"/>
    <w:rsid w:val="00934C78"/>
    <w:rsid w:val="00934D5D"/>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B70"/>
    <w:rsid w:val="00945E6A"/>
    <w:rsid w:val="00945F83"/>
    <w:rsid w:val="00946254"/>
    <w:rsid w:val="009463F8"/>
    <w:rsid w:val="009465DB"/>
    <w:rsid w:val="009465FF"/>
    <w:rsid w:val="00946666"/>
    <w:rsid w:val="009468A6"/>
    <w:rsid w:val="009469D8"/>
    <w:rsid w:val="00946AA1"/>
    <w:rsid w:val="00946BDB"/>
    <w:rsid w:val="00946CCD"/>
    <w:rsid w:val="00946DF8"/>
    <w:rsid w:val="00947206"/>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3C"/>
    <w:rsid w:val="009540A7"/>
    <w:rsid w:val="00954128"/>
    <w:rsid w:val="009547A7"/>
    <w:rsid w:val="00954DB9"/>
    <w:rsid w:val="00954F12"/>
    <w:rsid w:val="0095502C"/>
    <w:rsid w:val="009552E8"/>
    <w:rsid w:val="00955C13"/>
    <w:rsid w:val="00955DA2"/>
    <w:rsid w:val="00955EE1"/>
    <w:rsid w:val="00956060"/>
    <w:rsid w:val="009560A9"/>
    <w:rsid w:val="009561D9"/>
    <w:rsid w:val="0095632F"/>
    <w:rsid w:val="0095634D"/>
    <w:rsid w:val="00956636"/>
    <w:rsid w:val="00956C12"/>
    <w:rsid w:val="00956DAB"/>
    <w:rsid w:val="00956E13"/>
    <w:rsid w:val="009576B3"/>
    <w:rsid w:val="00957747"/>
    <w:rsid w:val="009578AC"/>
    <w:rsid w:val="009578F0"/>
    <w:rsid w:val="009579B7"/>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BF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0D7"/>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273"/>
    <w:rsid w:val="009723F2"/>
    <w:rsid w:val="009725D1"/>
    <w:rsid w:val="009726E4"/>
    <w:rsid w:val="0097285B"/>
    <w:rsid w:val="00972AB4"/>
    <w:rsid w:val="00972D36"/>
    <w:rsid w:val="00972EBB"/>
    <w:rsid w:val="00973416"/>
    <w:rsid w:val="0097347E"/>
    <w:rsid w:val="009736C3"/>
    <w:rsid w:val="0097395A"/>
    <w:rsid w:val="0097397D"/>
    <w:rsid w:val="00973C21"/>
    <w:rsid w:val="00973C4C"/>
    <w:rsid w:val="00973C88"/>
    <w:rsid w:val="009745EE"/>
    <w:rsid w:val="0097476F"/>
    <w:rsid w:val="0097481B"/>
    <w:rsid w:val="00974CA4"/>
    <w:rsid w:val="00974D42"/>
    <w:rsid w:val="00974E23"/>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98C"/>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04"/>
    <w:rsid w:val="009828C1"/>
    <w:rsid w:val="00982AB7"/>
    <w:rsid w:val="00982C2F"/>
    <w:rsid w:val="00982E88"/>
    <w:rsid w:val="00982EDC"/>
    <w:rsid w:val="009836AB"/>
    <w:rsid w:val="009836F3"/>
    <w:rsid w:val="009839ED"/>
    <w:rsid w:val="00983C0B"/>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D52"/>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0D3"/>
    <w:rsid w:val="0099113C"/>
    <w:rsid w:val="00991285"/>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4FF"/>
    <w:rsid w:val="009969CA"/>
    <w:rsid w:val="0099708C"/>
    <w:rsid w:val="0099709E"/>
    <w:rsid w:val="0099710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6A"/>
    <w:rsid w:val="009A78B4"/>
    <w:rsid w:val="009A7D7B"/>
    <w:rsid w:val="009A7E5E"/>
    <w:rsid w:val="009B0014"/>
    <w:rsid w:val="009B0059"/>
    <w:rsid w:val="009B017F"/>
    <w:rsid w:val="009B03C2"/>
    <w:rsid w:val="009B04AB"/>
    <w:rsid w:val="009B091A"/>
    <w:rsid w:val="009B0963"/>
    <w:rsid w:val="009B0A64"/>
    <w:rsid w:val="009B0AD7"/>
    <w:rsid w:val="009B0B99"/>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BF1"/>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0EDE"/>
    <w:rsid w:val="009C113D"/>
    <w:rsid w:val="009C11C0"/>
    <w:rsid w:val="009C15EC"/>
    <w:rsid w:val="009C15F0"/>
    <w:rsid w:val="009C16A5"/>
    <w:rsid w:val="009C1993"/>
    <w:rsid w:val="009C199B"/>
    <w:rsid w:val="009C1D81"/>
    <w:rsid w:val="009C1D8C"/>
    <w:rsid w:val="009C1E67"/>
    <w:rsid w:val="009C1FBB"/>
    <w:rsid w:val="009C1FCE"/>
    <w:rsid w:val="009C2579"/>
    <w:rsid w:val="009C25D7"/>
    <w:rsid w:val="009C2819"/>
    <w:rsid w:val="009C2AD3"/>
    <w:rsid w:val="009C2E42"/>
    <w:rsid w:val="009C3097"/>
    <w:rsid w:val="009C32A3"/>
    <w:rsid w:val="009C3486"/>
    <w:rsid w:val="009C3781"/>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6CC"/>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76D"/>
    <w:rsid w:val="009D27A3"/>
    <w:rsid w:val="009D2A80"/>
    <w:rsid w:val="009D2B5A"/>
    <w:rsid w:val="009D2B8F"/>
    <w:rsid w:val="009D2C18"/>
    <w:rsid w:val="009D2C19"/>
    <w:rsid w:val="009D316B"/>
    <w:rsid w:val="009D3350"/>
    <w:rsid w:val="009D3412"/>
    <w:rsid w:val="009D361D"/>
    <w:rsid w:val="009D3A8D"/>
    <w:rsid w:val="009D3B84"/>
    <w:rsid w:val="009D3C33"/>
    <w:rsid w:val="009D3CE6"/>
    <w:rsid w:val="009D3F41"/>
    <w:rsid w:val="009D403B"/>
    <w:rsid w:val="009D459C"/>
    <w:rsid w:val="009D470F"/>
    <w:rsid w:val="009D4A13"/>
    <w:rsid w:val="009D4BB9"/>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90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3D6A"/>
    <w:rsid w:val="009E4A6A"/>
    <w:rsid w:val="009E505E"/>
    <w:rsid w:val="009E51F0"/>
    <w:rsid w:val="009E53B0"/>
    <w:rsid w:val="009E5427"/>
    <w:rsid w:val="009E55B5"/>
    <w:rsid w:val="009E5615"/>
    <w:rsid w:val="009E562D"/>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1EA"/>
    <w:rsid w:val="009F062E"/>
    <w:rsid w:val="009F066D"/>
    <w:rsid w:val="009F06A9"/>
    <w:rsid w:val="009F08BD"/>
    <w:rsid w:val="009F0D6F"/>
    <w:rsid w:val="009F0FFD"/>
    <w:rsid w:val="009F11F4"/>
    <w:rsid w:val="009F1428"/>
    <w:rsid w:val="009F152C"/>
    <w:rsid w:val="009F178C"/>
    <w:rsid w:val="009F19FC"/>
    <w:rsid w:val="009F1AAB"/>
    <w:rsid w:val="009F1B6E"/>
    <w:rsid w:val="009F1E22"/>
    <w:rsid w:val="009F1EB2"/>
    <w:rsid w:val="009F1F9C"/>
    <w:rsid w:val="009F2076"/>
    <w:rsid w:val="009F2295"/>
    <w:rsid w:val="009F2467"/>
    <w:rsid w:val="009F297A"/>
    <w:rsid w:val="009F2B85"/>
    <w:rsid w:val="009F2FBB"/>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5D44"/>
    <w:rsid w:val="00A060B4"/>
    <w:rsid w:val="00A060EB"/>
    <w:rsid w:val="00A0629E"/>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B45"/>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2EC"/>
    <w:rsid w:val="00A2035D"/>
    <w:rsid w:val="00A203F0"/>
    <w:rsid w:val="00A20477"/>
    <w:rsid w:val="00A2059D"/>
    <w:rsid w:val="00A206E4"/>
    <w:rsid w:val="00A20702"/>
    <w:rsid w:val="00A20703"/>
    <w:rsid w:val="00A2080F"/>
    <w:rsid w:val="00A20A0B"/>
    <w:rsid w:val="00A20A0C"/>
    <w:rsid w:val="00A20A26"/>
    <w:rsid w:val="00A20AC2"/>
    <w:rsid w:val="00A20EBF"/>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BA4"/>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6E8B"/>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29B"/>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1EA"/>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09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98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6F"/>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6F0A"/>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62"/>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9C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286"/>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A88"/>
    <w:rsid w:val="00A80D5E"/>
    <w:rsid w:val="00A80D6F"/>
    <w:rsid w:val="00A81355"/>
    <w:rsid w:val="00A8147F"/>
    <w:rsid w:val="00A81590"/>
    <w:rsid w:val="00A81693"/>
    <w:rsid w:val="00A817A8"/>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81E"/>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82"/>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B21"/>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65A"/>
    <w:rsid w:val="00AB080A"/>
    <w:rsid w:val="00AB0869"/>
    <w:rsid w:val="00AB0990"/>
    <w:rsid w:val="00AB0A9D"/>
    <w:rsid w:val="00AB0B8A"/>
    <w:rsid w:val="00AB0B8D"/>
    <w:rsid w:val="00AB1678"/>
    <w:rsid w:val="00AB16D4"/>
    <w:rsid w:val="00AB17A8"/>
    <w:rsid w:val="00AB1967"/>
    <w:rsid w:val="00AB1FCB"/>
    <w:rsid w:val="00AB26B5"/>
    <w:rsid w:val="00AB2D51"/>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A1C"/>
    <w:rsid w:val="00AC2CC1"/>
    <w:rsid w:val="00AC2D3F"/>
    <w:rsid w:val="00AC2DD6"/>
    <w:rsid w:val="00AC2E89"/>
    <w:rsid w:val="00AC2F2D"/>
    <w:rsid w:val="00AC31D1"/>
    <w:rsid w:val="00AC33F1"/>
    <w:rsid w:val="00AC3717"/>
    <w:rsid w:val="00AC37A1"/>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A14"/>
    <w:rsid w:val="00AC7AC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3FAF"/>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D1F"/>
    <w:rsid w:val="00AF5EC5"/>
    <w:rsid w:val="00AF66DE"/>
    <w:rsid w:val="00AF6A8A"/>
    <w:rsid w:val="00AF6B26"/>
    <w:rsid w:val="00AF6BDB"/>
    <w:rsid w:val="00AF6D53"/>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B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14A"/>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3F38"/>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0DE8"/>
    <w:rsid w:val="00B21494"/>
    <w:rsid w:val="00B21CF0"/>
    <w:rsid w:val="00B21D08"/>
    <w:rsid w:val="00B21D2C"/>
    <w:rsid w:val="00B22269"/>
    <w:rsid w:val="00B222C8"/>
    <w:rsid w:val="00B2243C"/>
    <w:rsid w:val="00B225FE"/>
    <w:rsid w:val="00B226F2"/>
    <w:rsid w:val="00B2274E"/>
    <w:rsid w:val="00B227C5"/>
    <w:rsid w:val="00B22801"/>
    <w:rsid w:val="00B22829"/>
    <w:rsid w:val="00B22A1F"/>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20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65C"/>
    <w:rsid w:val="00B6387E"/>
    <w:rsid w:val="00B6391C"/>
    <w:rsid w:val="00B639A5"/>
    <w:rsid w:val="00B63AB7"/>
    <w:rsid w:val="00B63C37"/>
    <w:rsid w:val="00B63CBC"/>
    <w:rsid w:val="00B63E94"/>
    <w:rsid w:val="00B63F7D"/>
    <w:rsid w:val="00B64064"/>
    <w:rsid w:val="00B6407F"/>
    <w:rsid w:val="00B6437B"/>
    <w:rsid w:val="00B64439"/>
    <w:rsid w:val="00B64479"/>
    <w:rsid w:val="00B644CF"/>
    <w:rsid w:val="00B645A6"/>
    <w:rsid w:val="00B6470C"/>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1D"/>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4DD"/>
    <w:rsid w:val="00B7372C"/>
    <w:rsid w:val="00B738DB"/>
    <w:rsid w:val="00B73B96"/>
    <w:rsid w:val="00B73D9B"/>
    <w:rsid w:val="00B740DB"/>
    <w:rsid w:val="00B742AD"/>
    <w:rsid w:val="00B74331"/>
    <w:rsid w:val="00B7438F"/>
    <w:rsid w:val="00B74562"/>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895"/>
    <w:rsid w:val="00B77930"/>
    <w:rsid w:val="00B77ABE"/>
    <w:rsid w:val="00B77B91"/>
    <w:rsid w:val="00B77EE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34"/>
    <w:rsid w:val="00B909A7"/>
    <w:rsid w:val="00B90E70"/>
    <w:rsid w:val="00B90F66"/>
    <w:rsid w:val="00B90FC6"/>
    <w:rsid w:val="00B912AA"/>
    <w:rsid w:val="00B91520"/>
    <w:rsid w:val="00B915F5"/>
    <w:rsid w:val="00B916D6"/>
    <w:rsid w:val="00B918BD"/>
    <w:rsid w:val="00B91916"/>
    <w:rsid w:val="00B919E1"/>
    <w:rsid w:val="00B91A7A"/>
    <w:rsid w:val="00B91A9E"/>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321"/>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6A"/>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866"/>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7F7"/>
    <w:rsid w:val="00BA78BA"/>
    <w:rsid w:val="00BA7AB7"/>
    <w:rsid w:val="00BA7E56"/>
    <w:rsid w:val="00BB00AA"/>
    <w:rsid w:val="00BB00FE"/>
    <w:rsid w:val="00BB046D"/>
    <w:rsid w:val="00BB04FF"/>
    <w:rsid w:val="00BB0673"/>
    <w:rsid w:val="00BB09A9"/>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2E45"/>
    <w:rsid w:val="00BB30FF"/>
    <w:rsid w:val="00BB3306"/>
    <w:rsid w:val="00BB33C2"/>
    <w:rsid w:val="00BB3442"/>
    <w:rsid w:val="00BB38EA"/>
    <w:rsid w:val="00BB39E4"/>
    <w:rsid w:val="00BB3C76"/>
    <w:rsid w:val="00BB3C9D"/>
    <w:rsid w:val="00BB3EB4"/>
    <w:rsid w:val="00BB4212"/>
    <w:rsid w:val="00BB4403"/>
    <w:rsid w:val="00BB46BF"/>
    <w:rsid w:val="00BB4858"/>
    <w:rsid w:val="00BB4A8C"/>
    <w:rsid w:val="00BB4CCF"/>
    <w:rsid w:val="00BB4E88"/>
    <w:rsid w:val="00BB4E8F"/>
    <w:rsid w:val="00BB4ECF"/>
    <w:rsid w:val="00BB4F1C"/>
    <w:rsid w:val="00BB4F35"/>
    <w:rsid w:val="00BB52D0"/>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58F"/>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C18"/>
    <w:rsid w:val="00BD0D90"/>
    <w:rsid w:val="00BD0E5B"/>
    <w:rsid w:val="00BD0FFE"/>
    <w:rsid w:val="00BD123F"/>
    <w:rsid w:val="00BD133D"/>
    <w:rsid w:val="00BD1389"/>
    <w:rsid w:val="00BD1500"/>
    <w:rsid w:val="00BD1589"/>
    <w:rsid w:val="00BD1792"/>
    <w:rsid w:val="00BD1A29"/>
    <w:rsid w:val="00BD1ABB"/>
    <w:rsid w:val="00BD1AC4"/>
    <w:rsid w:val="00BD1B2D"/>
    <w:rsid w:val="00BD1B42"/>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523"/>
    <w:rsid w:val="00BE3990"/>
    <w:rsid w:val="00BE3AE6"/>
    <w:rsid w:val="00BE3CA2"/>
    <w:rsid w:val="00BE3E18"/>
    <w:rsid w:val="00BE3FAB"/>
    <w:rsid w:val="00BE4550"/>
    <w:rsid w:val="00BE4A40"/>
    <w:rsid w:val="00BE4B1D"/>
    <w:rsid w:val="00BE51E3"/>
    <w:rsid w:val="00BE53DF"/>
    <w:rsid w:val="00BE54CF"/>
    <w:rsid w:val="00BE5604"/>
    <w:rsid w:val="00BE5642"/>
    <w:rsid w:val="00BE5713"/>
    <w:rsid w:val="00BE5749"/>
    <w:rsid w:val="00BE58BD"/>
    <w:rsid w:val="00BE5911"/>
    <w:rsid w:val="00BE5B3A"/>
    <w:rsid w:val="00BE5BC0"/>
    <w:rsid w:val="00BE5D30"/>
    <w:rsid w:val="00BE5DF3"/>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7A6"/>
    <w:rsid w:val="00BF0A9D"/>
    <w:rsid w:val="00BF0DAE"/>
    <w:rsid w:val="00BF0F34"/>
    <w:rsid w:val="00BF10B7"/>
    <w:rsid w:val="00BF114E"/>
    <w:rsid w:val="00BF1401"/>
    <w:rsid w:val="00BF1480"/>
    <w:rsid w:val="00BF1651"/>
    <w:rsid w:val="00BF1A35"/>
    <w:rsid w:val="00BF1BD7"/>
    <w:rsid w:val="00BF1CA3"/>
    <w:rsid w:val="00BF1D73"/>
    <w:rsid w:val="00BF225C"/>
    <w:rsid w:val="00BF2348"/>
    <w:rsid w:val="00BF26BE"/>
    <w:rsid w:val="00BF26C3"/>
    <w:rsid w:val="00BF2803"/>
    <w:rsid w:val="00BF2D63"/>
    <w:rsid w:val="00BF33AD"/>
    <w:rsid w:val="00BF344D"/>
    <w:rsid w:val="00BF34E7"/>
    <w:rsid w:val="00BF3777"/>
    <w:rsid w:val="00BF3914"/>
    <w:rsid w:val="00BF3A01"/>
    <w:rsid w:val="00BF3BF6"/>
    <w:rsid w:val="00BF3EBE"/>
    <w:rsid w:val="00BF3EC6"/>
    <w:rsid w:val="00BF48F4"/>
    <w:rsid w:val="00BF497A"/>
    <w:rsid w:val="00BF4B98"/>
    <w:rsid w:val="00BF4DE8"/>
    <w:rsid w:val="00BF4E7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8CA"/>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14"/>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5F"/>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CAE"/>
    <w:rsid w:val="00C13F6C"/>
    <w:rsid w:val="00C13F9E"/>
    <w:rsid w:val="00C143A3"/>
    <w:rsid w:val="00C14479"/>
    <w:rsid w:val="00C144BD"/>
    <w:rsid w:val="00C145AF"/>
    <w:rsid w:val="00C14A4D"/>
    <w:rsid w:val="00C14AE3"/>
    <w:rsid w:val="00C14B86"/>
    <w:rsid w:val="00C14DF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111"/>
    <w:rsid w:val="00C176E9"/>
    <w:rsid w:val="00C178E6"/>
    <w:rsid w:val="00C179EB"/>
    <w:rsid w:val="00C17D90"/>
    <w:rsid w:val="00C17EA5"/>
    <w:rsid w:val="00C17FC3"/>
    <w:rsid w:val="00C2012B"/>
    <w:rsid w:val="00C20311"/>
    <w:rsid w:val="00C203E8"/>
    <w:rsid w:val="00C206A9"/>
    <w:rsid w:val="00C20794"/>
    <w:rsid w:val="00C2081E"/>
    <w:rsid w:val="00C20C68"/>
    <w:rsid w:val="00C20D4D"/>
    <w:rsid w:val="00C2107D"/>
    <w:rsid w:val="00C2123D"/>
    <w:rsid w:val="00C2156B"/>
    <w:rsid w:val="00C21875"/>
    <w:rsid w:val="00C21BBD"/>
    <w:rsid w:val="00C21CDE"/>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3F1F"/>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4EC"/>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0FA1"/>
    <w:rsid w:val="00C31173"/>
    <w:rsid w:val="00C312DF"/>
    <w:rsid w:val="00C31501"/>
    <w:rsid w:val="00C315AB"/>
    <w:rsid w:val="00C316DD"/>
    <w:rsid w:val="00C31CD6"/>
    <w:rsid w:val="00C31DE7"/>
    <w:rsid w:val="00C31E10"/>
    <w:rsid w:val="00C320B7"/>
    <w:rsid w:val="00C32148"/>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3DB4"/>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0437"/>
    <w:rsid w:val="00C5089E"/>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0A"/>
    <w:rsid w:val="00C52E6C"/>
    <w:rsid w:val="00C52E79"/>
    <w:rsid w:val="00C534AD"/>
    <w:rsid w:val="00C53669"/>
    <w:rsid w:val="00C536D8"/>
    <w:rsid w:val="00C5370C"/>
    <w:rsid w:val="00C53937"/>
    <w:rsid w:val="00C53BD5"/>
    <w:rsid w:val="00C53D31"/>
    <w:rsid w:val="00C53D90"/>
    <w:rsid w:val="00C53DD8"/>
    <w:rsid w:val="00C53ECF"/>
    <w:rsid w:val="00C54129"/>
    <w:rsid w:val="00C544E0"/>
    <w:rsid w:val="00C546BE"/>
    <w:rsid w:val="00C54A10"/>
    <w:rsid w:val="00C54A77"/>
    <w:rsid w:val="00C54BA8"/>
    <w:rsid w:val="00C54D16"/>
    <w:rsid w:val="00C54F79"/>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A0C"/>
    <w:rsid w:val="00C56AAF"/>
    <w:rsid w:val="00C56BF8"/>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95"/>
    <w:rsid w:val="00C70B23"/>
    <w:rsid w:val="00C70BEA"/>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15"/>
    <w:rsid w:val="00C7614A"/>
    <w:rsid w:val="00C761D5"/>
    <w:rsid w:val="00C764D9"/>
    <w:rsid w:val="00C76646"/>
    <w:rsid w:val="00C766E7"/>
    <w:rsid w:val="00C7671C"/>
    <w:rsid w:val="00C76F18"/>
    <w:rsid w:val="00C77034"/>
    <w:rsid w:val="00C7764B"/>
    <w:rsid w:val="00C7765D"/>
    <w:rsid w:val="00C77763"/>
    <w:rsid w:val="00C77A08"/>
    <w:rsid w:val="00C77AA1"/>
    <w:rsid w:val="00C77CA0"/>
    <w:rsid w:val="00C77EAA"/>
    <w:rsid w:val="00C80348"/>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1C3"/>
    <w:rsid w:val="00C8426B"/>
    <w:rsid w:val="00C8428C"/>
    <w:rsid w:val="00C842BB"/>
    <w:rsid w:val="00C843A0"/>
    <w:rsid w:val="00C84687"/>
    <w:rsid w:val="00C8473C"/>
    <w:rsid w:val="00C8492E"/>
    <w:rsid w:val="00C849BA"/>
    <w:rsid w:val="00C84AE4"/>
    <w:rsid w:val="00C84C47"/>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6CEB"/>
    <w:rsid w:val="00C87057"/>
    <w:rsid w:val="00C87269"/>
    <w:rsid w:val="00C8731E"/>
    <w:rsid w:val="00C87522"/>
    <w:rsid w:val="00C8768C"/>
    <w:rsid w:val="00C8771A"/>
    <w:rsid w:val="00C87792"/>
    <w:rsid w:val="00C87819"/>
    <w:rsid w:val="00C87CFC"/>
    <w:rsid w:val="00C900CA"/>
    <w:rsid w:val="00C902DA"/>
    <w:rsid w:val="00C9057C"/>
    <w:rsid w:val="00C906A3"/>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C22"/>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22"/>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472"/>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83E"/>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7EB"/>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CBA"/>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941"/>
    <w:rsid w:val="00CF0C9C"/>
    <w:rsid w:val="00CF130A"/>
    <w:rsid w:val="00CF13AF"/>
    <w:rsid w:val="00CF1441"/>
    <w:rsid w:val="00CF1B11"/>
    <w:rsid w:val="00CF1BDA"/>
    <w:rsid w:val="00CF1D86"/>
    <w:rsid w:val="00CF2564"/>
    <w:rsid w:val="00CF2AE6"/>
    <w:rsid w:val="00CF304C"/>
    <w:rsid w:val="00CF393C"/>
    <w:rsid w:val="00CF3C43"/>
    <w:rsid w:val="00CF3C57"/>
    <w:rsid w:val="00CF3F90"/>
    <w:rsid w:val="00CF404F"/>
    <w:rsid w:val="00CF414C"/>
    <w:rsid w:val="00CF4219"/>
    <w:rsid w:val="00CF44C8"/>
    <w:rsid w:val="00CF4656"/>
    <w:rsid w:val="00CF4662"/>
    <w:rsid w:val="00CF4FA6"/>
    <w:rsid w:val="00CF4FDC"/>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9DC"/>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10"/>
    <w:rsid w:val="00D027E7"/>
    <w:rsid w:val="00D02865"/>
    <w:rsid w:val="00D02BD1"/>
    <w:rsid w:val="00D02C48"/>
    <w:rsid w:val="00D02E63"/>
    <w:rsid w:val="00D02E8D"/>
    <w:rsid w:val="00D02FBF"/>
    <w:rsid w:val="00D03384"/>
    <w:rsid w:val="00D036AA"/>
    <w:rsid w:val="00D03742"/>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45A"/>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3E"/>
    <w:rsid w:val="00D16980"/>
    <w:rsid w:val="00D16A8A"/>
    <w:rsid w:val="00D16B4C"/>
    <w:rsid w:val="00D16D96"/>
    <w:rsid w:val="00D16DEF"/>
    <w:rsid w:val="00D16E9B"/>
    <w:rsid w:val="00D16F3C"/>
    <w:rsid w:val="00D170A4"/>
    <w:rsid w:val="00D1765E"/>
    <w:rsid w:val="00D17A04"/>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684"/>
    <w:rsid w:val="00D22A83"/>
    <w:rsid w:val="00D22C26"/>
    <w:rsid w:val="00D22CD3"/>
    <w:rsid w:val="00D2301F"/>
    <w:rsid w:val="00D23286"/>
    <w:rsid w:val="00D23416"/>
    <w:rsid w:val="00D23524"/>
    <w:rsid w:val="00D236C2"/>
    <w:rsid w:val="00D238CB"/>
    <w:rsid w:val="00D238D9"/>
    <w:rsid w:val="00D238FA"/>
    <w:rsid w:val="00D2391D"/>
    <w:rsid w:val="00D23C54"/>
    <w:rsid w:val="00D23CF1"/>
    <w:rsid w:val="00D23F9C"/>
    <w:rsid w:val="00D24196"/>
    <w:rsid w:val="00D241E2"/>
    <w:rsid w:val="00D246CD"/>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1ED"/>
    <w:rsid w:val="00D26391"/>
    <w:rsid w:val="00D26472"/>
    <w:rsid w:val="00D264F3"/>
    <w:rsid w:val="00D26746"/>
    <w:rsid w:val="00D26752"/>
    <w:rsid w:val="00D26ABB"/>
    <w:rsid w:val="00D26AF0"/>
    <w:rsid w:val="00D26BBE"/>
    <w:rsid w:val="00D26CEA"/>
    <w:rsid w:val="00D26D28"/>
    <w:rsid w:val="00D2700C"/>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0D"/>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89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A03"/>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C85"/>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093"/>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8CE"/>
    <w:rsid w:val="00D67939"/>
    <w:rsid w:val="00D679A2"/>
    <w:rsid w:val="00D67D9D"/>
    <w:rsid w:val="00D67E6A"/>
    <w:rsid w:val="00D67EA3"/>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A3D"/>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47E"/>
    <w:rsid w:val="00D76689"/>
    <w:rsid w:val="00D76702"/>
    <w:rsid w:val="00D7687B"/>
    <w:rsid w:val="00D769FC"/>
    <w:rsid w:val="00D76A0A"/>
    <w:rsid w:val="00D76B19"/>
    <w:rsid w:val="00D76B1B"/>
    <w:rsid w:val="00D77194"/>
    <w:rsid w:val="00D771AA"/>
    <w:rsid w:val="00D7724A"/>
    <w:rsid w:val="00D7764C"/>
    <w:rsid w:val="00D776DA"/>
    <w:rsid w:val="00D7770A"/>
    <w:rsid w:val="00D77781"/>
    <w:rsid w:val="00D777CF"/>
    <w:rsid w:val="00D77D28"/>
    <w:rsid w:val="00D77EF4"/>
    <w:rsid w:val="00D77EF6"/>
    <w:rsid w:val="00D77FA3"/>
    <w:rsid w:val="00D800B9"/>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051"/>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521"/>
    <w:rsid w:val="00D90655"/>
    <w:rsid w:val="00D90767"/>
    <w:rsid w:val="00D909AE"/>
    <w:rsid w:val="00D909F9"/>
    <w:rsid w:val="00D90B84"/>
    <w:rsid w:val="00D91045"/>
    <w:rsid w:val="00D91610"/>
    <w:rsid w:val="00D916CC"/>
    <w:rsid w:val="00D916ED"/>
    <w:rsid w:val="00D91761"/>
    <w:rsid w:val="00D919CF"/>
    <w:rsid w:val="00D91BA7"/>
    <w:rsid w:val="00D92426"/>
    <w:rsid w:val="00D925B8"/>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B21"/>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5FE5"/>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07"/>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2927"/>
    <w:rsid w:val="00DB341E"/>
    <w:rsid w:val="00DB34E0"/>
    <w:rsid w:val="00DB3623"/>
    <w:rsid w:val="00DB367D"/>
    <w:rsid w:val="00DB399C"/>
    <w:rsid w:val="00DB3C3F"/>
    <w:rsid w:val="00DB3CA2"/>
    <w:rsid w:val="00DB41C2"/>
    <w:rsid w:val="00DB4261"/>
    <w:rsid w:val="00DB4369"/>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0C4"/>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1C36"/>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4B3"/>
    <w:rsid w:val="00DE4552"/>
    <w:rsid w:val="00DE4720"/>
    <w:rsid w:val="00DE48A4"/>
    <w:rsid w:val="00DE4B9F"/>
    <w:rsid w:val="00DE4C0C"/>
    <w:rsid w:val="00DE4C79"/>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97C"/>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E68"/>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C5D"/>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111"/>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D8"/>
    <w:rsid w:val="00E222FD"/>
    <w:rsid w:val="00E225C4"/>
    <w:rsid w:val="00E22624"/>
    <w:rsid w:val="00E22FEC"/>
    <w:rsid w:val="00E2326C"/>
    <w:rsid w:val="00E233C7"/>
    <w:rsid w:val="00E23528"/>
    <w:rsid w:val="00E23723"/>
    <w:rsid w:val="00E23918"/>
    <w:rsid w:val="00E23940"/>
    <w:rsid w:val="00E23B7A"/>
    <w:rsid w:val="00E23ECE"/>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E1B"/>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52F"/>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0C87"/>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150"/>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C07"/>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2E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721"/>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E5"/>
    <w:rsid w:val="00E67CF6"/>
    <w:rsid w:val="00E67D1E"/>
    <w:rsid w:val="00E70276"/>
    <w:rsid w:val="00E703A4"/>
    <w:rsid w:val="00E705CB"/>
    <w:rsid w:val="00E705F0"/>
    <w:rsid w:val="00E70C77"/>
    <w:rsid w:val="00E70CB0"/>
    <w:rsid w:val="00E70DFF"/>
    <w:rsid w:val="00E70E63"/>
    <w:rsid w:val="00E70EE5"/>
    <w:rsid w:val="00E70F0A"/>
    <w:rsid w:val="00E70F7B"/>
    <w:rsid w:val="00E71291"/>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2FF"/>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2B"/>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00"/>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66E"/>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B1C"/>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61C"/>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2FC"/>
    <w:rsid w:val="00EA66B2"/>
    <w:rsid w:val="00EA67F5"/>
    <w:rsid w:val="00EA69D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25"/>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1F8"/>
    <w:rsid w:val="00EB5298"/>
    <w:rsid w:val="00EB5319"/>
    <w:rsid w:val="00EB5364"/>
    <w:rsid w:val="00EB55EA"/>
    <w:rsid w:val="00EB571A"/>
    <w:rsid w:val="00EB5763"/>
    <w:rsid w:val="00EB58A0"/>
    <w:rsid w:val="00EB5BD5"/>
    <w:rsid w:val="00EB5EAC"/>
    <w:rsid w:val="00EB61A0"/>
    <w:rsid w:val="00EB63FA"/>
    <w:rsid w:val="00EB6872"/>
    <w:rsid w:val="00EB6A00"/>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563"/>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9F7"/>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6A"/>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A3"/>
    <w:rsid w:val="00ED19A1"/>
    <w:rsid w:val="00ED1A3E"/>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487"/>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561"/>
    <w:rsid w:val="00EE5677"/>
    <w:rsid w:val="00EE5806"/>
    <w:rsid w:val="00EE5B34"/>
    <w:rsid w:val="00EE5BAF"/>
    <w:rsid w:val="00EE6104"/>
    <w:rsid w:val="00EE6500"/>
    <w:rsid w:val="00EE6898"/>
    <w:rsid w:val="00EE6984"/>
    <w:rsid w:val="00EE69A4"/>
    <w:rsid w:val="00EE6B10"/>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88"/>
    <w:rsid w:val="00EF16D4"/>
    <w:rsid w:val="00EF1B04"/>
    <w:rsid w:val="00EF1B14"/>
    <w:rsid w:val="00EF1BE4"/>
    <w:rsid w:val="00EF1C39"/>
    <w:rsid w:val="00EF1C9B"/>
    <w:rsid w:val="00EF2956"/>
    <w:rsid w:val="00EF2EEA"/>
    <w:rsid w:val="00EF2FF5"/>
    <w:rsid w:val="00EF32EF"/>
    <w:rsid w:val="00EF332E"/>
    <w:rsid w:val="00EF33BB"/>
    <w:rsid w:val="00EF33CC"/>
    <w:rsid w:val="00EF3821"/>
    <w:rsid w:val="00EF3AFF"/>
    <w:rsid w:val="00EF3C24"/>
    <w:rsid w:val="00EF3F75"/>
    <w:rsid w:val="00EF3FAA"/>
    <w:rsid w:val="00EF409D"/>
    <w:rsid w:val="00EF4185"/>
    <w:rsid w:val="00EF421E"/>
    <w:rsid w:val="00EF4329"/>
    <w:rsid w:val="00EF45C3"/>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1B6"/>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85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F0F"/>
    <w:rsid w:val="00F26066"/>
    <w:rsid w:val="00F26125"/>
    <w:rsid w:val="00F261FB"/>
    <w:rsid w:val="00F2622B"/>
    <w:rsid w:val="00F262C1"/>
    <w:rsid w:val="00F264D9"/>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6B6"/>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35A"/>
    <w:rsid w:val="00F4056B"/>
    <w:rsid w:val="00F40647"/>
    <w:rsid w:val="00F4082D"/>
    <w:rsid w:val="00F40928"/>
    <w:rsid w:val="00F40929"/>
    <w:rsid w:val="00F40952"/>
    <w:rsid w:val="00F409DA"/>
    <w:rsid w:val="00F40B2B"/>
    <w:rsid w:val="00F40BF9"/>
    <w:rsid w:val="00F410E5"/>
    <w:rsid w:val="00F412CF"/>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57"/>
    <w:rsid w:val="00F432F0"/>
    <w:rsid w:val="00F4356D"/>
    <w:rsid w:val="00F43581"/>
    <w:rsid w:val="00F435F9"/>
    <w:rsid w:val="00F43650"/>
    <w:rsid w:val="00F43A56"/>
    <w:rsid w:val="00F43B87"/>
    <w:rsid w:val="00F4400E"/>
    <w:rsid w:val="00F44172"/>
    <w:rsid w:val="00F44214"/>
    <w:rsid w:val="00F44521"/>
    <w:rsid w:val="00F445DC"/>
    <w:rsid w:val="00F445FB"/>
    <w:rsid w:val="00F44818"/>
    <w:rsid w:val="00F44B66"/>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784"/>
    <w:rsid w:val="00F6399B"/>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1CE"/>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5E6"/>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6CD"/>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9DA"/>
    <w:rsid w:val="00F97AE2"/>
    <w:rsid w:val="00F97C3B"/>
    <w:rsid w:val="00F97F05"/>
    <w:rsid w:val="00FA04E5"/>
    <w:rsid w:val="00FA09A0"/>
    <w:rsid w:val="00FA09FA"/>
    <w:rsid w:val="00FA0CFA"/>
    <w:rsid w:val="00FA10C2"/>
    <w:rsid w:val="00FA127F"/>
    <w:rsid w:val="00FA13A6"/>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89E"/>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DF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42"/>
    <w:rsid w:val="00FB5189"/>
    <w:rsid w:val="00FB5361"/>
    <w:rsid w:val="00FB53E3"/>
    <w:rsid w:val="00FB5403"/>
    <w:rsid w:val="00FB55F0"/>
    <w:rsid w:val="00FB566A"/>
    <w:rsid w:val="00FB56C5"/>
    <w:rsid w:val="00FB5A73"/>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26C"/>
    <w:rsid w:val="00FC7844"/>
    <w:rsid w:val="00FC7D4D"/>
    <w:rsid w:val="00FC7E53"/>
    <w:rsid w:val="00FD01E1"/>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A2F"/>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C65"/>
    <w:rsid w:val="00FE0D8A"/>
    <w:rsid w:val="00FE0E98"/>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5C75"/>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2C53"/>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AD0"/>
    <w:rsid w:val="00FF5C14"/>
    <w:rsid w:val="00FF5FA3"/>
    <w:rsid w:val="00FF5FF1"/>
    <w:rsid w:val="00FF6005"/>
    <w:rsid w:val="00FF613D"/>
    <w:rsid w:val="00FF6189"/>
    <w:rsid w:val="00FF677B"/>
    <w:rsid w:val="00FF6916"/>
    <w:rsid w:val="00FF6982"/>
    <w:rsid w:val="00FF6A2B"/>
    <w:rsid w:val="00FF6C1C"/>
    <w:rsid w:val="00FF6C35"/>
    <w:rsid w:val="00FF6F3E"/>
    <w:rsid w:val="00FF6F85"/>
    <w:rsid w:val="00FF7060"/>
    <w:rsid w:val="00FF7636"/>
    <w:rsid w:val="00FF765F"/>
    <w:rsid w:val="00FF7989"/>
    <w:rsid w:val="00FF7D03"/>
    <w:rsid w:val="05CE0B75"/>
    <w:rsid w:val="0B660C1A"/>
    <w:rsid w:val="0B9D5D1C"/>
    <w:rsid w:val="0D6E6D55"/>
    <w:rsid w:val="11741482"/>
    <w:rsid w:val="127B3E5B"/>
    <w:rsid w:val="128E3CBA"/>
    <w:rsid w:val="134F1CE1"/>
    <w:rsid w:val="13634949"/>
    <w:rsid w:val="17F93E0B"/>
    <w:rsid w:val="1B8C196C"/>
    <w:rsid w:val="1C455CA5"/>
    <w:rsid w:val="1D2C69D2"/>
    <w:rsid w:val="1DD261D8"/>
    <w:rsid w:val="20B73315"/>
    <w:rsid w:val="216D2BBB"/>
    <w:rsid w:val="239E00B4"/>
    <w:rsid w:val="251E74A4"/>
    <w:rsid w:val="253F0D7D"/>
    <w:rsid w:val="27843CE5"/>
    <w:rsid w:val="2D5E5C9A"/>
    <w:rsid w:val="32EB653A"/>
    <w:rsid w:val="34655FB2"/>
    <w:rsid w:val="348F07D4"/>
    <w:rsid w:val="350350F2"/>
    <w:rsid w:val="35E6740F"/>
    <w:rsid w:val="37192788"/>
    <w:rsid w:val="3BCB6780"/>
    <w:rsid w:val="3DEF25D3"/>
    <w:rsid w:val="3E4A4A12"/>
    <w:rsid w:val="3FF5F3AE"/>
    <w:rsid w:val="40F57964"/>
    <w:rsid w:val="42A72E6B"/>
    <w:rsid w:val="42CD0A98"/>
    <w:rsid w:val="431A0C09"/>
    <w:rsid w:val="453863B4"/>
    <w:rsid w:val="45BC44EF"/>
    <w:rsid w:val="46430435"/>
    <w:rsid w:val="480E2158"/>
    <w:rsid w:val="48583E3C"/>
    <w:rsid w:val="4B65373A"/>
    <w:rsid w:val="4D00163A"/>
    <w:rsid w:val="4E4656EC"/>
    <w:rsid w:val="4F0F5BE3"/>
    <w:rsid w:val="52422029"/>
    <w:rsid w:val="55040901"/>
    <w:rsid w:val="568F5D15"/>
    <w:rsid w:val="56DF05DE"/>
    <w:rsid w:val="57FC6189"/>
    <w:rsid w:val="591A0269"/>
    <w:rsid w:val="5A8F1DB5"/>
    <w:rsid w:val="5BDB7A2A"/>
    <w:rsid w:val="5CDB17AA"/>
    <w:rsid w:val="5DF907DE"/>
    <w:rsid w:val="5E2F4773"/>
    <w:rsid w:val="5F073306"/>
    <w:rsid w:val="5F5F73B9"/>
    <w:rsid w:val="60070D31"/>
    <w:rsid w:val="63D35786"/>
    <w:rsid w:val="63DA25D3"/>
    <w:rsid w:val="65D500DD"/>
    <w:rsid w:val="6838144E"/>
    <w:rsid w:val="688E6FAC"/>
    <w:rsid w:val="68AA7398"/>
    <w:rsid w:val="6E6E00DD"/>
    <w:rsid w:val="6E880137"/>
    <w:rsid w:val="6FAD39F7"/>
    <w:rsid w:val="71D74A37"/>
    <w:rsid w:val="742C597A"/>
    <w:rsid w:val="764709F5"/>
    <w:rsid w:val="772F47BC"/>
    <w:rsid w:val="7F5B7748"/>
    <w:rsid w:val="7FC159ED"/>
    <w:rsid w:val="DF7AD8D6"/>
    <w:rsid w:val="F3EFE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42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42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471"/>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472"/>
    <w:qFormat/>
    <w:uiPriority w:val="99"/>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473"/>
    <w:qFormat/>
    <w:uiPriority w:val="99"/>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474"/>
    <w:qFormat/>
    <w:uiPriority w:val="99"/>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475"/>
    <w:qFormat/>
    <w:uiPriority w:val="99"/>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476"/>
    <w:qFormat/>
    <w:uiPriority w:val="99"/>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61">
    <w:name w:val="Default Paragraph Font"/>
    <w:semiHidden/>
    <w:unhideWhenUsed/>
    <w:qFormat/>
    <w:uiPriority w:val="1"/>
  </w:style>
  <w:style w:type="table" w:default="1" w:styleId="5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431"/>
    <w:qFormat/>
    <w:uiPriority w:val="0"/>
    <w:pPr>
      <w:autoSpaceDE w:val="0"/>
      <w:autoSpaceDN w:val="0"/>
      <w:adjustRightInd w:val="0"/>
      <w:ind w:firstLine="420"/>
      <w:jc w:val="left"/>
    </w:pPr>
    <w:rPr>
      <w:rFonts w:ascii="宋体"/>
      <w:sz w:val="24"/>
    </w:rPr>
  </w:style>
  <w:style w:type="paragraph" w:styleId="12">
    <w:name w:val="List 3"/>
    <w:basedOn w:val="1"/>
    <w:qFormat/>
    <w:uiPriority w:val="0"/>
    <w:pPr>
      <w:spacing w:line="360" w:lineRule="auto"/>
      <w:ind w:left="100" w:leftChars="400" w:hanging="200" w:hangingChars="200"/>
    </w:pPr>
    <w:rPr>
      <w:rFonts w:ascii="Calibri" w:hAnsi="Calibri"/>
      <w:sz w:val="28"/>
    </w:rPr>
  </w:style>
  <w:style w:type="paragraph" w:styleId="13">
    <w:name w:val="toc 7"/>
    <w:basedOn w:val="1"/>
    <w:next w:val="1"/>
    <w:qFormat/>
    <w:uiPriority w:val="39"/>
    <w:pPr>
      <w:ind w:left="2520" w:leftChars="1200"/>
    </w:pPr>
  </w:style>
  <w:style w:type="paragraph" w:styleId="14">
    <w:name w:val="caption"/>
    <w:basedOn w:val="1"/>
    <w:next w:val="1"/>
    <w:link w:val="507"/>
    <w:qFormat/>
    <w:uiPriority w:val="0"/>
    <w:pPr>
      <w:spacing w:line="480" w:lineRule="auto"/>
    </w:pPr>
    <w:rPr>
      <w:rFonts w:ascii="华文中宋" w:hAnsi="华文中宋" w:eastAsia="华文中宋"/>
      <w:sz w:val="36"/>
      <w:szCs w:val="20"/>
    </w:rPr>
  </w:style>
  <w:style w:type="paragraph" w:styleId="15">
    <w:name w:val="index 5"/>
    <w:basedOn w:val="1"/>
    <w:next w:val="1"/>
    <w:qFormat/>
    <w:uiPriority w:val="0"/>
    <w:pPr>
      <w:ind w:left="800" w:leftChars="800"/>
    </w:pPr>
  </w:style>
  <w:style w:type="paragraph" w:styleId="16">
    <w:name w:val="Document Map"/>
    <w:basedOn w:val="1"/>
    <w:link w:val="477"/>
    <w:qFormat/>
    <w:uiPriority w:val="99"/>
    <w:pPr>
      <w:shd w:val="clear" w:color="auto" w:fill="000080"/>
    </w:pPr>
  </w:style>
  <w:style w:type="paragraph" w:styleId="17">
    <w:name w:val="annotation text"/>
    <w:basedOn w:val="1"/>
    <w:link w:val="450"/>
    <w:qFormat/>
    <w:uiPriority w:val="99"/>
    <w:pPr>
      <w:jc w:val="left"/>
    </w:pPr>
  </w:style>
  <w:style w:type="paragraph" w:styleId="18">
    <w:name w:val="Salutation"/>
    <w:basedOn w:val="1"/>
    <w:next w:val="1"/>
    <w:link w:val="511"/>
    <w:qFormat/>
    <w:uiPriority w:val="0"/>
    <w:pPr>
      <w:widowControl/>
      <w:jc w:val="left"/>
    </w:pPr>
    <w:rPr>
      <w:kern w:val="0"/>
      <w:sz w:val="30"/>
      <w:szCs w:val="20"/>
      <w:lang w:val="zh-CN"/>
    </w:rPr>
  </w:style>
  <w:style w:type="paragraph" w:styleId="19">
    <w:name w:val="Body Text 3"/>
    <w:basedOn w:val="1"/>
    <w:link w:val="478"/>
    <w:qFormat/>
    <w:uiPriority w:val="99"/>
    <w:pPr>
      <w:spacing w:after="120"/>
    </w:pPr>
    <w:rPr>
      <w:sz w:val="16"/>
      <w:szCs w:val="16"/>
    </w:rPr>
  </w:style>
  <w:style w:type="paragraph" w:styleId="20">
    <w:name w:val="List Bullet 3"/>
    <w:basedOn w:val="1"/>
    <w:qFormat/>
    <w:uiPriority w:val="0"/>
    <w:pPr>
      <w:widowControl/>
      <w:tabs>
        <w:tab w:val="left" w:pos="435"/>
      </w:tabs>
      <w:spacing w:after="120" w:line="360" w:lineRule="auto"/>
      <w:ind w:left="435" w:hanging="454"/>
      <w:jc w:val="left"/>
    </w:pPr>
    <w:rPr>
      <w:rFonts w:ascii="Calibri" w:hAnsi="Calibri" w:cs="Arial"/>
      <w:kern w:val="0"/>
      <w:sz w:val="20"/>
      <w:szCs w:val="20"/>
    </w:rPr>
  </w:style>
  <w:style w:type="paragraph" w:styleId="21">
    <w:name w:val="Body Text"/>
    <w:basedOn w:val="1"/>
    <w:link w:val="479"/>
    <w:qFormat/>
    <w:uiPriority w:val="0"/>
    <w:pPr>
      <w:tabs>
        <w:tab w:val="left" w:pos="567"/>
      </w:tabs>
      <w:spacing w:before="120" w:line="22" w:lineRule="atLeast"/>
    </w:pPr>
    <w:rPr>
      <w:rFonts w:ascii="宋体" w:hAnsi="宋体"/>
      <w:sz w:val="24"/>
    </w:rPr>
  </w:style>
  <w:style w:type="paragraph" w:styleId="22">
    <w:name w:val="Body Text Indent"/>
    <w:basedOn w:val="1"/>
    <w:link w:val="435"/>
    <w:qFormat/>
    <w:uiPriority w:val="99"/>
    <w:pPr>
      <w:spacing w:line="360" w:lineRule="auto"/>
      <w:ind w:firstLine="570"/>
    </w:pPr>
    <w:rPr>
      <w:sz w:val="24"/>
    </w:rPr>
  </w:style>
  <w:style w:type="paragraph" w:styleId="23">
    <w:name w:val="List 2"/>
    <w:basedOn w:val="1"/>
    <w:qFormat/>
    <w:uiPriority w:val="0"/>
    <w:pPr>
      <w:ind w:left="100" w:leftChars="200" w:hanging="200" w:hangingChars="200"/>
    </w:pPr>
  </w:style>
  <w:style w:type="paragraph" w:styleId="24">
    <w:name w:val="Block Text"/>
    <w:basedOn w:val="1"/>
    <w:qFormat/>
    <w:uiPriority w:val="0"/>
    <w:pPr>
      <w:widowControl/>
      <w:ind w:left="480" w:right="-341" w:firstLine="513"/>
    </w:pPr>
    <w:rPr>
      <w:kern w:val="0"/>
      <w:sz w:val="24"/>
      <w:szCs w:val="20"/>
    </w:rPr>
  </w:style>
  <w:style w:type="paragraph" w:styleId="25">
    <w:name w:val="index 4"/>
    <w:basedOn w:val="1"/>
    <w:next w:val="1"/>
    <w:qFormat/>
    <w:uiPriority w:val="0"/>
    <w:pPr>
      <w:ind w:left="600" w:leftChars="600"/>
    </w:pPr>
  </w:style>
  <w:style w:type="paragraph" w:styleId="26">
    <w:name w:val="toc 5"/>
    <w:basedOn w:val="1"/>
    <w:next w:val="1"/>
    <w:qFormat/>
    <w:uiPriority w:val="39"/>
    <w:pPr>
      <w:ind w:left="1680" w:leftChars="800"/>
    </w:pPr>
  </w:style>
  <w:style w:type="paragraph" w:styleId="27">
    <w:name w:val="toc 3"/>
    <w:basedOn w:val="1"/>
    <w:next w:val="1"/>
    <w:qFormat/>
    <w:uiPriority w:val="39"/>
    <w:pPr>
      <w:ind w:left="840" w:leftChars="400"/>
    </w:pPr>
  </w:style>
  <w:style w:type="paragraph" w:styleId="28">
    <w:name w:val="Plain Text"/>
    <w:basedOn w:val="1"/>
    <w:link w:val="460"/>
    <w:qFormat/>
    <w:uiPriority w:val="0"/>
    <w:rPr>
      <w:rFonts w:hint="eastAsia" w:ascii="宋体" w:hAnsi="Courier New"/>
      <w:szCs w:val="20"/>
    </w:rPr>
  </w:style>
  <w:style w:type="paragraph" w:styleId="29">
    <w:name w:val="toc 8"/>
    <w:basedOn w:val="1"/>
    <w:next w:val="1"/>
    <w:qFormat/>
    <w:uiPriority w:val="39"/>
    <w:pPr>
      <w:ind w:left="2940" w:leftChars="1400"/>
    </w:pPr>
  </w:style>
  <w:style w:type="paragraph" w:styleId="30">
    <w:name w:val="Date"/>
    <w:basedOn w:val="1"/>
    <w:next w:val="1"/>
    <w:link w:val="480"/>
    <w:qFormat/>
    <w:uiPriority w:val="0"/>
    <w:pPr>
      <w:ind w:left="100" w:leftChars="2500"/>
    </w:pPr>
    <w:rPr>
      <w:rFonts w:ascii="仿宋_GB2312" w:hAnsi="宋体" w:eastAsia="仿宋_GB2312"/>
      <w:color w:val="000000"/>
      <w:sz w:val="24"/>
    </w:rPr>
  </w:style>
  <w:style w:type="paragraph" w:styleId="31">
    <w:name w:val="Body Text Indent 2"/>
    <w:basedOn w:val="1"/>
    <w:link w:val="481"/>
    <w:qFormat/>
    <w:uiPriority w:val="99"/>
    <w:pPr>
      <w:ind w:firstLine="480" w:firstLineChars="200"/>
    </w:pPr>
    <w:rPr>
      <w:rFonts w:ascii="仿宋_GB2312" w:eastAsia="仿宋_GB2312"/>
      <w:sz w:val="24"/>
    </w:rPr>
  </w:style>
  <w:style w:type="paragraph" w:styleId="32">
    <w:name w:val="List Continue 5"/>
    <w:basedOn w:val="1"/>
    <w:qFormat/>
    <w:uiPriority w:val="0"/>
    <w:pPr>
      <w:spacing w:after="120" w:line="360" w:lineRule="auto"/>
      <w:ind w:left="2100" w:leftChars="1000"/>
    </w:pPr>
    <w:rPr>
      <w:rFonts w:ascii="Calibri" w:hAnsi="Calibri"/>
      <w:sz w:val="28"/>
    </w:rPr>
  </w:style>
  <w:style w:type="paragraph" w:styleId="33">
    <w:name w:val="Balloon Text"/>
    <w:basedOn w:val="1"/>
    <w:link w:val="482"/>
    <w:qFormat/>
    <w:uiPriority w:val="0"/>
    <w:rPr>
      <w:sz w:val="18"/>
      <w:szCs w:val="18"/>
    </w:rPr>
  </w:style>
  <w:style w:type="paragraph" w:styleId="34">
    <w:name w:val="footer"/>
    <w:basedOn w:val="1"/>
    <w:link w:val="446"/>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5">
    <w:name w:val="header"/>
    <w:basedOn w:val="1"/>
    <w:link w:val="442"/>
    <w:qFormat/>
    <w:uiPriority w:val="99"/>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7">
    <w:name w:val="toc 4"/>
    <w:basedOn w:val="1"/>
    <w:next w:val="1"/>
    <w:qFormat/>
    <w:uiPriority w:val="39"/>
    <w:pPr>
      <w:ind w:left="1260" w:leftChars="600"/>
    </w:pPr>
  </w:style>
  <w:style w:type="paragraph" w:styleId="38">
    <w:name w:val="Subtitle"/>
    <w:basedOn w:val="1"/>
    <w:next w:val="1"/>
    <w:link w:val="522"/>
    <w:qFormat/>
    <w:uiPriority w:val="11"/>
    <w:pPr>
      <w:spacing w:before="240" w:after="60" w:line="312" w:lineRule="auto"/>
      <w:jc w:val="center"/>
      <w:outlineLvl w:val="1"/>
    </w:pPr>
    <w:rPr>
      <w:rFonts w:ascii="Cambria" w:hAnsi="Cambria"/>
      <w:b/>
      <w:bCs/>
      <w:kern w:val="28"/>
      <w:sz w:val="32"/>
      <w:szCs w:val="32"/>
      <w:lang w:val="zh-CN"/>
    </w:rPr>
  </w:style>
  <w:style w:type="paragraph" w:styleId="39">
    <w:name w:val="List"/>
    <w:basedOn w:val="1"/>
    <w:qFormat/>
    <w:uiPriority w:val="0"/>
    <w:pPr>
      <w:adjustRightInd w:val="0"/>
      <w:spacing w:line="360" w:lineRule="atLeast"/>
      <w:ind w:left="420" w:hanging="420"/>
      <w:jc w:val="left"/>
    </w:pPr>
    <w:rPr>
      <w:rFonts w:ascii="宋体"/>
      <w:kern w:val="0"/>
      <w:sz w:val="24"/>
      <w:szCs w:val="20"/>
    </w:rPr>
  </w:style>
  <w:style w:type="paragraph" w:styleId="40">
    <w:name w:val="footnote text"/>
    <w:basedOn w:val="1"/>
    <w:link w:val="524"/>
    <w:qFormat/>
    <w:uiPriority w:val="0"/>
    <w:pPr>
      <w:snapToGrid w:val="0"/>
      <w:jc w:val="left"/>
    </w:pPr>
    <w:rPr>
      <w:kern w:val="0"/>
      <w:sz w:val="18"/>
      <w:szCs w:val="18"/>
      <w:lang w:val="zh-CN"/>
    </w:rPr>
  </w:style>
  <w:style w:type="paragraph" w:styleId="41">
    <w:name w:val="toc 6"/>
    <w:basedOn w:val="1"/>
    <w:next w:val="1"/>
    <w:qFormat/>
    <w:uiPriority w:val="39"/>
    <w:pPr>
      <w:ind w:left="2100" w:leftChars="1000"/>
    </w:pPr>
  </w:style>
  <w:style w:type="paragraph" w:styleId="42">
    <w:name w:val="List 5"/>
    <w:basedOn w:val="1"/>
    <w:qFormat/>
    <w:uiPriority w:val="0"/>
    <w:pPr>
      <w:spacing w:line="360" w:lineRule="auto"/>
      <w:ind w:left="100" w:leftChars="800" w:hanging="200" w:hangingChars="200"/>
    </w:pPr>
    <w:rPr>
      <w:rFonts w:ascii="Calibri" w:hAnsi="Calibri"/>
      <w:sz w:val="28"/>
    </w:rPr>
  </w:style>
  <w:style w:type="paragraph" w:styleId="43">
    <w:name w:val="Body Text Indent 3"/>
    <w:basedOn w:val="1"/>
    <w:link w:val="483"/>
    <w:qFormat/>
    <w:uiPriority w:val="99"/>
    <w:pPr>
      <w:autoSpaceDE w:val="0"/>
      <w:autoSpaceDN w:val="0"/>
      <w:adjustRightInd w:val="0"/>
      <w:spacing w:before="120" w:line="22" w:lineRule="atLeast"/>
      <w:ind w:left="720" w:firstLine="480"/>
      <w:jc w:val="left"/>
    </w:pPr>
    <w:rPr>
      <w:rFonts w:ascii="宋体"/>
      <w:kern w:val="0"/>
      <w:sz w:val="24"/>
      <w:szCs w:val="20"/>
    </w:rPr>
  </w:style>
  <w:style w:type="paragraph" w:styleId="44">
    <w:name w:val="table of figures"/>
    <w:basedOn w:val="1"/>
    <w:next w:val="1"/>
    <w:qFormat/>
    <w:uiPriority w:val="0"/>
    <w:pPr>
      <w:ind w:left="200" w:leftChars="200" w:hanging="200" w:hangingChars="200"/>
    </w:pPr>
  </w:style>
  <w:style w:type="paragraph" w:styleId="45">
    <w:name w:val="toc 2"/>
    <w:basedOn w:val="1"/>
    <w:next w:val="1"/>
    <w:qFormat/>
    <w:uiPriority w:val="39"/>
    <w:pPr>
      <w:tabs>
        <w:tab w:val="right" w:leader="dot" w:pos="8937"/>
      </w:tabs>
      <w:spacing w:line="312" w:lineRule="auto"/>
      <w:ind w:left="420" w:leftChars="200"/>
    </w:pPr>
  </w:style>
  <w:style w:type="paragraph" w:styleId="46">
    <w:name w:val="toc 9"/>
    <w:basedOn w:val="1"/>
    <w:next w:val="1"/>
    <w:qFormat/>
    <w:uiPriority w:val="39"/>
    <w:pPr>
      <w:ind w:left="3360" w:leftChars="1600"/>
    </w:pPr>
  </w:style>
  <w:style w:type="paragraph" w:styleId="47">
    <w:name w:val="Body Text 2"/>
    <w:basedOn w:val="1"/>
    <w:link w:val="491"/>
    <w:qFormat/>
    <w:uiPriority w:val="99"/>
    <w:pPr>
      <w:jc w:val="center"/>
    </w:pPr>
    <w:rPr>
      <w:rFonts w:eastAsia="黑体"/>
      <w:bCs/>
      <w:kern w:val="0"/>
      <w:sz w:val="24"/>
    </w:rPr>
  </w:style>
  <w:style w:type="paragraph" w:styleId="48">
    <w:name w:val="List 4"/>
    <w:basedOn w:val="1"/>
    <w:qFormat/>
    <w:uiPriority w:val="0"/>
    <w:pPr>
      <w:spacing w:line="360" w:lineRule="auto"/>
      <w:ind w:left="100" w:leftChars="600" w:hanging="200" w:hangingChars="200"/>
    </w:pPr>
    <w:rPr>
      <w:rFonts w:ascii="Calibri" w:hAnsi="Calibri"/>
      <w:sz w:val="28"/>
    </w:rPr>
  </w:style>
  <w:style w:type="paragraph" w:styleId="49">
    <w:name w:val="List Continue 2"/>
    <w:basedOn w:val="1"/>
    <w:qFormat/>
    <w:uiPriority w:val="0"/>
    <w:pPr>
      <w:spacing w:after="120" w:line="360" w:lineRule="auto"/>
      <w:ind w:left="840" w:leftChars="400"/>
    </w:pPr>
    <w:rPr>
      <w:rFonts w:ascii="Calibri" w:hAnsi="Calibri"/>
      <w:sz w:val="28"/>
    </w:rPr>
  </w:style>
  <w:style w:type="paragraph" w:styleId="50">
    <w:name w:val="HTML Preformatted"/>
    <w:basedOn w:val="1"/>
    <w:link w:val="48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5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52">
    <w:name w:val="index 1"/>
    <w:basedOn w:val="1"/>
    <w:next w:val="1"/>
    <w:qFormat/>
    <w:uiPriority w:val="0"/>
    <w:rPr>
      <w:szCs w:val="20"/>
    </w:rPr>
  </w:style>
  <w:style w:type="paragraph" w:styleId="53">
    <w:name w:val="Title"/>
    <w:basedOn w:val="1"/>
    <w:link w:val="453"/>
    <w:qFormat/>
    <w:uiPriority w:val="99"/>
    <w:pPr>
      <w:jc w:val="center"/>
      <w:outlineLvl w:val="0"/>
    </w:pPr>
    <w:rPr>
      <w:b/>
      <w:sz w:val="32"/>
      <w:szCs w:val="20"/>
    </w:rPr>
  </w:style>
  <w:style w:type="paragraph" w:styleId="54">
    <w:name w:val="annotation subject"/>
    <w:basedOn w:val="17"/>
    <w:next w:val="17"/>
    <w:link w:val="485"/>
    <w:qFormat/>
    <w:uiPriority w:val="99"/>
    <w:rPr>
      <w:b/>
      <w:bCs/>
    </w:rPr>
  </w:style>
  <w:style w:type="paragraph" w:styleId="55">
    <w:name w:val="Body Text First Indent"/>
    <w:basedOn w:val="21"/>
    <w:link w:val="706"/>
    <w:qFormat/>
    <w:uiPriority w:val="0"/>
    <w:pPr>
      <w:spacing w:before="0" w:after="120" w:line="240" w:lineRule="auto"/>
      <w:ind w:firstLine="420" w:firstLineChars="100"/>
    </w:pPr>
    <w:rPr>
      <w:rFonts w:ascii="Times New Roman" w:hAnsi="Times New Roman"/>
      <w:sz w:val="21"/>
    </w:rPr>
  </w:style>
  <w:style w:type="paragraph" w:styleId="56">
    <w:name w:val="Body Text First Indent 2"/>
    <w:basedOn w:val="22"/>
    <w:link w:val="486"/>
    <w:qFormat/>
    <w:uiPriority w:val="0"/>
    <w:pPr>
      <w:spacing w:after="120" w:line="480" w:lineRule="exact"/>
      <w:ind w:left="420" w:leftChars="200" w:firstLine="420" w:firstLineChars="200"/>
    </w:pPr>
    <w:rPr>
      <w:szCs w:val="20"/>
    </w:rPr>
  </w:style>
  <w:style w:type="table" w:styleId="58">
    <w:name w:val="Table Grid"/>
    <w:basedOn w:val="5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59">
    <w:name w:val="Table Elegant"/>
    <w:basedOn w:val="57"/>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0">
    <w:name w:val="Medium Grid 1 Accent 2"/>
    <w:basedOn w:val="57"/>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62">
    <w:name w:val="Strong"/>
    <w:qFormat/>
    <w:uiPriority w:val="0"/>
    <w:rPr>
      <w:b/>
      <w:bCs/>
    </w:rPr>
  </w:style>
  <w:style w:type="character" w:styleId="63">
    <w:name w:val="page number"/>
    <w:basedOn w:val="61"/>
    <w:qFormat/>
    <w:uiPriority w:val="0"/>
  </w:style>
  <w:style w:type="character" w:styleId="64">
    <w:name w:val="FollowedHyperlink"/>
    <w:qFormat/>
    <w:uiPriority w:val="99"/>
    <w:rPr>
      <w:color w:val="800080"/>
      <w:u w:val="single"/>
    </w:rPr>
  </w:style>
  <w:style w:type="character" w:styleId="65">
    <w:name w:val="Emphasis"/>
    <w:qFormat/>
    <w:uiPriority w:val="0"/>
    <w:rPr>
      <w:color w:val="CC0033"/>
    </w:rPr>
  </w:style>
  <w:style w:type="character" w:styleId="66">
    <w:name w:val="HTML Typewriter"/>
    <w:qFormat/>
    <w:uiPriority w:val="0"/>
    <w:rPr>
      <w:rFonts w:ascii="宋体" w:hAnsi="宋体" w:eastAsia="宋体" w:cs="Times New Roman"/>
      <w:sz w:val="18"/>
    </w:rPr>
  </w:style>
  <w:style w:type="character" w:styleId="67">
    <w:name w:val="Hyperlink"/>
    <w:qFormat/>
    <w:uiPriority w:val="99"/>
    <w:rPr>
      <w:color w:val="0000FF"/>
      <w:u w:val="single"/>
    </w:rPr>
  </w:style>
  <w:style w:type="character" w:styleId="68">
    <w:name w:val="annotation reference"/>
    <w:qFormat/>
    <w:uiPriority w:val="0"/>
    <w:rPr>
      <w:sz w:val="21"/>
      <w:szCs w:val="21"/>
    </w:rPr>
  </w:style>
  <w:style w:type="character" w:styleId="69">
    <w:name w:val="HTML Cite"/>
    <w:qFormat/>
    <w:uiPriority w:val="0"/>
    <w:rPr>
      <w:i/>
      <w:iCs/>
    </w:rPr>
  </w:style>
  <w:style w:type="character" w:styleId="70">
    <w:name w:val="footnote reference"/>
    <w:qFormat/>
    <w:uiPriority w:val="0"/>
    <w:rPr>
      <w:rFonts w:ascii="Calibri" w:hAnsi="Calibri" w:eastAsia="宋体" w:cs="Times New Roman"/>
      <w:vertAlign w:val="superscript"/>
    </w:rPr>
  </w:style>
  <w:style w:type="paragraph" w:customStyle="1" w:styleId="71">
    <w:name w:val="正文首行缩进 21"/>
    <w:basedOn w:val="1"/>
    <w:qFormat/>
    <w:uiPriority w:val="0"/>
    <w:pPr>
      <w:spacing w:before="120" w:after="120"/>
      <w:ind w:left="420" w:leftChars="200" w:firstLine="420" w:firstLineChars="200"/>
    </w:pPr>
    <w:rPr>
      <w:lang w:val="zh-CN"/>
    </w:rPr>
  </w:style>
  <w:style w:type="paragraph" w:customStyle="1" w:styleId="72">
    <w:name w:val="正文文本缩进1"/>
    <w:basedOn w:val="1"/>
    <w:link w:val="432"/>
    <w:qFormat/>
    <w:uiPriority w:val="0"/>
    <w:pPr>
      <w:spacing w:line="480" w:lineRule="exact"/>
      <w:ind w:firstLine="480" w:firstLineChars="200"/>
    </w:pPr>
    <w:rPr>
      <w:rFonts w:ascii="宋体" w:hAnsi="宋体"/>
      <w:kern w:val="0"/>
      <w:sz w:val="24"/>
    </w:rPr>
  </w:style>
  <w:style w:type="paragraph" w:customStyle="1" w:styleId="73">
    <w:name w:val="正文缩进1"/>
    <w:basedOn w:val="1"/>
    <w:link w:val="436"/>
    <w:qFormat/>
    <w:uiPriority w:val="0"/>
    <w:pPr>
      <w:widowControl/>
      <w:adjustRightInd w:val="0"/>
      <w:snapToGrid w:val="0"/>
      <w:spacing w:line="480" w:lineRule="exact"/>
      <w:ind w:firstLine="567"/>
    </w:pPr>
    <w:rPr>
      <w:rFonts w:ascii="宋体"/>
      <w:snapToGrid w:val="0"/>
      <w:color w:val="000000"/>
      <w:kern w:val="28"/>
      <w:sz w:val="28"/>
      <w:szCs w:val="20"/>
    </w:rPr>
  </w:style>
  <w:style w:type="paragraph" w:customStyle="1" w:styleId="74">
    <w:name w:val="列表段落1"/>
    <w:basedOn w:val="1"/>
    <w:link w:val="439"/>
    <w:qFormat/>
    <w:uiPriority w:val="99"/>
    <w:pPr>
      <w:ind w:firstLine="420" w:firstLineChars="200"/>
    </w:pPr>
    <w:rPr>
      <w:rFonts w:ascii="Calibri" w:hAnsi="Calibri"/>
      <w:szCs w:val="22"/>
    </w:rPr>
  </w:style>
  <w:style w:type="paragraph" w:customStyle="1" w:styleId="75">
    <w:name w:val="二级条标题"/>
    <w:basedOn w:val="76"/>
    <w:next w:val="1"/>
    <w:qFormat/>
    <w:uiPriority w:val="0"/>
    <w:pPr>
      <w:tabs>
        <w:tab w:val="left" w:pos="360"/>
        <w:tab w:val="left" w:pos="840"/>
      </w:tabs>
      <w:outlineLvl w:val="2"/>
    </w:pPr>
    <w:rPr>
      <w:rFonts w:ascii="宋体" w:eastAsia="宋体"/>
      <w:b w:val="0"/>
    </w:rPr>
  </w:style>
  <w:style w:type="paragraph" w:customStyle="1" w:styleId="76">
    <w:name w:val="一级条标题"/>
    <w:basedOn w:val="77"/>
    <w:next w:val="1"/>
    <w:qFormat/>
    <w:uiPriority w:val="0"/>
    <w:pPr>
      <w:tabs>
        <w:tab w:val="left" w:pos="360"/>
        <w:tab w:val="left" w:pos="840"/>
      </w:tabs>
      <w:ind w:hanging="840"/>
      <w:outlineLvl w:val="1"/>
    </w:pPr>
  </w:style>
  <w:style w:type="paragraph" w:customStyle="1" w:styleId="77">
    <w:name w:val="章标题"/>
    <w:next w:val="1"/>
    <w:qFormat/>
    <w:uiPriority w:val="0"/>
    <w:pPr>
      <w:spacing w:before="156" w:beforeLines="50" w:after="156" w:afterLines="50" w:line="460" w:lineRule="exact"/>
      <w:jc w:val="both"/>
      <w:outlineLvl w:val="0"/>
    </w:pPr>
    <w:rPr>
      <w:rFonts w:ascii="黑体" w:hAnsi="Times New Roman" w:eastAsia="黑体" w:cs="Times New Roman"/>
      <w:b/>
      <w:sz w:val="28"/>
      <w:lang w:val="en-US" w:eastAsia="zh-CN" w:bidi="ar-SA"/>
    </w:rPr>
  </w:style>
  <w:style w:type="paragraph" w:customStyle="1" w:styleId="78">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79">
    <w:name w:val="字元 字元"/>
    <w:basedOn w:val="1"/>
    <w:qFormat/>
    <w:uiPriority w:val="0"/>
    <w:rPr>
      <w:rFonts w:ascii="Tahoma" w:hAnsi="Tahoma"/>
      <w:sz w:val="24"/>
      <w:szCs w:val="20"/>
    </w:rPr>
  </w:style>
  <w:style w:type="paragraph" w:customStyle="1" w:styleId="80">
    <w:name w:val="Char3 Char Char Char"/>
    <w:basedOn w:val="1"/>
    <w:qFormat/>
    <w:uiPriority w:val="0"/>
    <w:rPr>
      <w:rFonts w:ascii="Tahoma" w:hAnsi="Tahoma"/>
      <w:sz w:val="24"/>
      <w:szCs w:val="20"/>
    </w:rPr>
  </w:style>
  <w:style w:type="paragraph" w:customStyle="1" w:styleId="81">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2">
    <w:name w:val="项目编号2"/>
    <w:basedOn w:val="83"/>
    <w:qFormat/>
    <w:uiPriority w:val="0"/>
    <w:pPr>
      <w:numPr>
        <w:numId w:val="1"/>
      </w:numPr>
    </w:pPr>
  </w:style>
  <w:style w:type="paragraph" w:customStyle="1" w:styleId="83">
    <w:name w:val="项目编号1"/>
    <w:basedOn w:val="1"/>
    <w:qFormat/>
    <w:uiPriority w:val="0"/>
    <w:pPr>
      <w:numPr>
        <w:ilvl w:val="0"/>
        <w:numId w:val="2"/>
      </w:numPr>
      <w:spacing w:before="100" w:beforeAutospacing="1" w:after="100" w:afterAutospacing="1" w:line="360" w:lineRule="auto"/>
    </w:pPr>
    <w:rPr>
      <w:sz w:val="24"/>
    </w:rPr>
  </w:style>
  <w:style w:type="paragraph" w:customStyle="1" w:styleId="84">
    <w:name w:val="图中文字"/>
    <w:basedOn w:val="1"/>
    <w:qFormat/>
    <w:uiPriority w:val="0"/>
    <w:pPr>
      <w:adjustRightInd w:val="0"/>
      <w:snapToGrid w:val="0"/>
      <w:spacing w:line="0" w:lineRule="atLeast"/>
      <w:jc w:val="center"/>
    </w:pPr>
    <w:rPr>
      <w:sz w:val="24"/>
      <w:szCs w:val="20"/>
    </w:rPr>
  </w:style>
  <w:style w:type="paragraph" w:customStyle="1" w:styleId="85">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8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87">
    <w:name w:val="Char2"/>
    <w:basedOn w:val="1"/>
    <w:qFormat/>
    <w:uiPriority w:val="0"/>
    <w:rPr>
      <w:rFonts w:ascii="Tahoma" w:hAnsi="Tahoma"/>
      <w:sz w:val="24"/>
      <w:szCs w:val="20"/>
    </w:rPr>
  </w:style>
  <w:style w:type="paragraph" w:customStyle="1" w:styleId="88">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8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0">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1">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2">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3">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95">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96">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97">
    <w:name w:val="正文列项_数字"/>
    <w:basedOn w:val="1"/>
    <w:qFormat/>
    <w:uiPriority w:val="0"/>
    <w:pPr>
      <w:numPr>
        <w:ilvl w:val="7"/>
        <w:numId w:val="3"/>
      </w:numPr>
      <w:autoSpaceDE w:val="0"/>
      <w:autoSpaceDN w:val="0"/>
      <w:spacing w:line="460" w:lineRule="exact"/>
      <w:ind w:left="680" w:leftChars="530" w:hanging="150" w:hangingChars="150"/>
      <w:outlineLvl w:val="7"/>
    </w:pPr>
    <w:rPr>
      <w:rFonts w:ascii="宋体"/>
      <w:kern w:val="0"/>
      <w:sz w:val="28"/>
      <w:szCs w:val="20"/>
    </w:rPr>
  </w:style>
  <w:style w:type="paragraph" w:customStyle="1" w:styleId="9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99">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1">
    <w:name w:val="font8"/>
    <w:basedOn w:val="1"/>
    <w:qFormat/>
    <w:uiPriority w:val="0"/>
    <w:pPr>
      <w:widowControl/>
      <w:spacing w:before="100" w:beforeAutospacing="1" w:after="100" w:afterAutospacing="1"/>
      <w:jc w:val="left"/>
    </w:pPr>
    <w:rPr>
      <w:kern w:val="0"/>
      <w:sz w:val="36"/>
      <w:szCs w:val="36"/>
    </w:rPr>
  </w:style>
  <w:style w:type="paragraph" w:customStyle="1" w:styleId="102">
    <w:name w:val="Char"/>
    <w:basedOn w:val="1"/>
    <w:qFormat/>
    <w:uiPriority w:val="0"/>
    <w:pPr>
      <w:tabs>
        <w:tab w:val="left" w:pos="360"/>
      </w:tabs>
    </w:pPr>
    <w:rPr>
      <w:sz w:val="24"/>
    </w:rPr>
  </w:style>
  <w:style w:type="paragraph" w:customStyle="1" w:styleId="103">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4">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5">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6">
    <w:name w:val="Char Char1"/>
    <w:basedOn w:val="16"/>
    <w:qFormat/>
    <w:uiPriority w:val="0"/>
    <w:rPr>
      <w:rFonts w:ascii="Tahoma" w:hAnsi="Tahoma"/>
      <w:sz w:val="24"/>
    </w:rPr>
  </w:style>
  <w:style w:type="paragraph" w:customStyle="1" w:styleId="10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0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9">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0">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1">
    <w:name w:val="Char1 Char Char Char1"/>
    <w:basedOn w:val="1"/>
    <w:qFormat/>
    <w:uiPriority w:val="0"/>
    <w:rPr>
      <w:rFonts w:ascii="Tahoma" w:hAnsi="Tahoma" w:cs="仿宋_GB2312"/>
      <w:sz w:val="24"/>
      <w:szCs w:val="28"/>
    </w:rPr>
  </w:style>
  <w:style w:type="paragraph" w:customStyle="1" w:styleId="112">
    <w:name w:val="四级条标题"/>
    <w:basedOn w:val="113"/>
    <w:next w:val="1"/>
    <w:qFormat/>
    <w:uiPriority w:val="0"/>
    <w:pPr>
      <w:numPr>
        <w:ilvl w:val="4"/>
      </w:numPr>
      <w:tabs>
        <w:tab w:val="left" w:pos="360"/>
        <w:tab w:val="left" w:pos="840"/>
      </w:tabs>
      <w:ind w:left="0" w:hanging="840"/>
      <w:outlineLvl w:val="4"/>
    </w:pPr>
  </w:style>
  <w:style w:type="paragraph" w:customStyle="1" w:styleId="113">
    <w:name w:val="三级条标题"/>
    <w:basedOn w:val="75"/>
    <w:next w:val="1"/>
    <w:qFormat/>
    <w:uiPriority w:val="0"/>
    <w:pPr>
      <w:numPr>
        <w:ilvl w:val="3"/>
        <w:numId w:val="3"/>
      </w:numPr>
      <w:ind w:left="0" w:hanging="840"/>
      <w:outlineLvl w:val="3"/>
    </w:pPr>
  </w:style>
  <w:style w:type="paragraph" w:customStyle="1" w:styleId="114">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5">
    <w:name w:val="样式 标题 2 + 宋体 五号 行距: 单倍行距"/>
    <w:basedOn w:val="3"/>
    <w:qFormat/>
    <w:uiPriority w:val="0"/>
    <w:pPr>
      <w:numPr>
        <w:ilvl w:val="1"/>
        <w:numId w:val="4"/>
      </w:numPr>
      <w:tabs>
        <w:tab w:val="left" w:pos="768"/>
      </w:tabs>
      <w:spacing w:before="260" w:after="260" w:line="240" w:lineRule="auto"/>
      <w:jc w:val="left"/>
      <w:textAlignment w:val="baseline"/>
    </w:pPr>
    <w:rPr>
      <w:rFonts w:ascii="宋体" w:hAnsi="宋体" w:eastAsia="宋体"/>
      <w:bCs/>
      <w:sz w:val="21"/>
    </w:rPr>
  </w:style>
  <w:style w:type="paragraph" w:customStyle="1" w:styleId="116">
    <w:name w:val="List Paragraph1"/>
    <w:basedOn w:val="1"/>
    <w:qFormat/>
    <w:uiPriority w:val="34"/>
    <w:pPr>
      <w:ind w:firstLine="420" w:firstLineChars="200"/>
    </w:pPr>
    <w:rPr>
      <w:rFonts w:ascii="Calibri" w:hAnsi="Calibri"/>
      <w:szCs w:val="22"/>
    </w:rPr>
  </w:style>
  <w:style w:type="paragraph" w:customStyle="1" w:styleId="117">
    <w:name w:val="项目符号1"/>
    <w:basedOn w:val="118"/>
    <w:qFormat/>
    <w:uiPriority w:val="0"/>
    <w:pPr>
      <w:ind w:left="-25" w:firstLine="0"/>
    </w:pPr>
  </w:style>
  <w:style w:type="paragraph" w:customStyle="1" w:styleId="118">
    <w:name w:val="正文文本样式"/>
    <w:basedOn w:val="1"/>
    <w:qFormat/>
    <w:uiPriority w:val="0"/>
    <w:pPr>
      <w:spacing w:line="360" w:lineRule="auto"/>
      <w:ind w:firstLine="482"/>
    </w:pPr>
    <w:rPr>
      <w:rFonts w:cs="宋体"/>
      <w:sz w:val="24"/>
      <w:szCs w:val="20"/>
    </w:rPr>
  </w:style>
  <w:style w:type="paragraph" w:customStyle="1" w:styleId="11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1">
    <w:name w:val="五级条标题"/>
    <w:basedOn w:val="112"/>
    <w:next w:val="1"/>
    <w:qFormat/>
    <w:uiPriority w:val="0"/>
    <w:pPr>
      <w:numPr>
        <w:ilvl w:val="5"/>
      </w:numPr>
      <w:ind w:left="0" w:hanging="840"/>
      <w:outlineLvl w:val="5"/>
    </w:pPr>
  </w:style>
  <w:style w:type="paragraph" w:customStyle="1" w:styleId="122">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3">
    <w:name w:val="文档正文"/>
    <w:basedOn w:val="1"/>
    <w:link w:val="533"/>
    <w:qFormat/>
    <w:uiPriority w:val="0"/>
    <w:pPr>
      <w:snapToGrid w:val="0"/>
      <w:spacing w:before="120" w:after="120" w:line="180" w:lineRule="auto"/>
    </w:pPr>
    <w:rPr>
      <w:rFonts w:ascii="Arial" w:hAnsi="Arial"/>
      <w:szCs w:val="20"/>
    </w:rPr>
  </w:style>
  <w:style w:type="paragraph" w:customStyle="1" w:styleId="124">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5">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26">
    <w:name w:val="Char Char Char1 Char"/>
    <w:basedOn w:val="1"/>
    <w:qFormat/>
    <w:uiPriority w:val="0"/>
    <w:rPr>
      <w:rFonts w:ascii="Tahoma" w:hAnsi="Tahoma"/>
      <w:sz w:val="24"/>
      <w:szCs w:val="20"/>
    </w:rPr>
  </w:style>
  <w:style w:type="paragraph" w:customStyle="1" w:styleId="127">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28">
    <w:name w:val="1名"/>
    <w:basedOn w:val="1"/>
    <w:qFormat/>
    <w:uiPriority w:val="0"/>
    <w:pPr>
      <w:numPr>
        <w:ilvl w:val="0"/>
        <w:numId w:val="5"/>
      </w:numPr>
      <w:spacing w:before="120"/>
    </w:pPr>
    <w:rPr>
      <w:rFonts w:ascii="宋体"/>
      <w:sz w:val="28"/>
      <w:szCs w:val="20"/>
    </w:rPr>
  </w:style>
  <w:style w:type="paragraph" w:customStyle="1" w:styleId="129">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0">
    <w:name w:val="Char Char Char1 Char1"/>
    <w:basedOn w:val="1"/>
    <w:qFormat/>
    <w:uiPriority w:val="0"/>
    <w:rPr>
      <w:rFonts w:ascii="Tahoma" w:hAnsi="Tahoma"/>
      <w:sz w:val="24"/>
      <w:szCs w:val="20"/>
    </w:rPr>
  </w:style>
  <w:style w:type="paragraph" w:customStyle="1" w:styleId="131">
    <w:name w:val="Char Char Char Char Char Char Char Char Char Char"/>
    <w:basedOn w:val="1"/>
    <w:qFormat/>
    <w:uiPriority w:val="0"/>
  </w:style>
  <w:style w:type="paragraph" w:customStyle="1" w:styleId="13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3">
    <w:name w:val="Char1"/>
    <w:basedOn w:val="1"/>
    <w:qFormat/>
    <w:uiPriority w:val="0"/>
    <w:pPr>
      <w:tabs>
        <w:tab w:val="left" w:pos="360"/>
      </w:tabs>
    </w:pPr>
    <w:rPr>
      <w:sz w:val="24"/>
    </w:rPr>
  </w:style>
  <w:style w:type="paragraph" w:customStyle="1" w:styleId="134">
    <w:name w:val="正文列项_字母"/>
    <w:basedOn w:val="1"/>
    <w:qFormat/>
    <w:uiPriority w:val="0"/>
    <w:pPr>
      <w:numPr>
        <w:ilvl w:val="6"/>
        <w:numId w:val="3"/>
      </w:numPr>
      <w:autoSpaceDE w:val="0"/>
      <w:autoSpaceDN w:val="0"/>
      <w:spacing w:line="460" w:lineRule="exact"/>
      <w:ind w:left="480" w:leftChars="300" w:hanging="180" w:hangingChars="180"/>
      <w:outlineLvl w:val="6"/>
    </w:pPr>
    <w:rPr>
      <w:rFonts w:ascii="宋体"/>
      <w:kern w:val="0"/>
      <w:sz w:val="28"/>
      <w:szCs w:val="20"/>
    </w:rPr>
  </w:style>
  <w:style w:type="paragraph" w:customStyle="1" w:styleId="13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6">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7">
    <w:name w:val="默认段落字体 Para Char Char Char Char"/>
    <w:basedOn w:val="1"/>
    <w:qFormat/>
    <w:uiPriority w:val="0"/>
    <w:rPr>
      <w:rFonts w:ascii="Arial" w:hAnsi="Arial" w:cs="Arial"/>
      <w:szCs w:val="21"/>
    </w:rPr>
  </w:style>
  <w:style w:type="paragraph" w:customStyle="1" w:styleId="138">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3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0">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1">
    <w:name w:val="Char Char Char"/>
    <w:basedOn w:val="1"/>
    <w:qFormat/>
    <w:uiPriority w:val="0"/>
    <w:rPr>
      <w:rFonts w:ascii="Tahoma" w:hAnsi="Tahoma"/>
      <w:sz w:val="24"/>
      <w:szCs w:val="20"/>
    </w:rPr>
  </w:style>
  <w:style w:type="paragraph" w:customStyle="1" w:styleId="142">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3">
    <w:name w:val="缺省文本"/>
    <w:basedOn w:val="1"/>
    <w:qFormat/>
    <w:uiPriority w:val="0"/>
    <w:pPr>
      <w:autoSpaceDE w:val="0"/>
      <w:autoSpaceDN w:val="0"/>
      <w:adjustRightInd w:val="0"/>
      <w:jc w:val="left"/>
    </w:pPr>
    <w:rPr>
      <w:kern w:val="0"/>
      <w:sz w:val="24"/>
    </w:rPr>
  </w:style>
  <w:style w:type="paragraph" w:customStyle="1" w:styleId="144">
    <w:name w:val="Char Char Char1"/>
    <w:basedOn w:val="1"/>
    <w:qFormat/>
    <w:uiPriority w:val="0"/>
    <w:rPr>
      <w:rFonts w:ascii="Tahoma" w:hAnsi="Tahoma"/>
      <w:sz w:val="24"/>
      <w:szCs w:val="20"/>
    </w:rPr>
  </w:style>
  <w:style w:type="paragraph" w:customStyle="1" w:styleId="145">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46">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47">
    <w:name w:val="样式2"/>
    <w:basedOn w:val="52"/>
    <w:qFormat/>
    <w:uiPriority w:val="0"/>
    <w:pPr>
      <w:spacing w:line="360" w:lineRule="auto"/>
      <w:jc w:val="center"/>
    </w:pPr>
    <w:rPr>
      <w:sz w:val="24"/>
    </w:rPr>
  </w:style>
  <w:style w:type="paragraph" w:customStyle="1" w:styleId="14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0">
    <w:name w:val="正文 + 楷体_GB2312"/>
    <w:basedOn w:val="1"/>
    <w:qFormat/>
    <w:uiPriority w:val="0"/>
    <w:pPr>
      <w:widowControl/>
      <w:jc w:val="left"/>
    </w:pPr>
    <w:rPr>
      <w:rFonts w:ascii="楷体_GB2312" w:eastAsia="楷体_GB2312" w:cs="Arial"/>
      <w:kern w:val="0"/>
      <w:sz w:val="24"/>
    </w:rPr>
  </w:style>
  <w:style w:type="paragraph" w:customStyle="1" w:styleId="15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2">
    <w:name w:val="1 Char Char Char Char"/>
    <w:basedOn w:val="1"/>
    <w:qFormat/>
    <w:uiPriority w:val="0"/>
    <w:rPr>
      <w:rFonts w:ascii="Tahoma" w:hAnsi="Tahoma"/>
      <w:sz w:val="24"/>
      <w:szCs w:val="20"/>
    </w:rPr>
  </w:style>
  <w:style w:type="paragraph" w:customStyle="1" w:styleId="153">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4">
    <w:name w:val="列出段落1"/>
    <w:basedOn w:val="1"/>
    <w:link w:val="534"/>
    <w:qFormat/>
    <w:uiPriority w:val="0"/>
    <w:pPr>
      <w:ind w:firstLine="420" w:firstLineChars="200"/>
    </w:pPr>
    <w:rPr>
      <w:rFonts w:ascii="Calibri" w:hAnsi="Calibri"/>
      <w:szCs w:val="22"/>
    </w:rPr>
  </w:style>
  <w:style w:type="paragraph" w:customStyle="1" w:styleId="155">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56">
    <w:name w:val="字元 字元1"/>
    <w:basedOn w:val="1"/>
    <w:qFormat/>
    <w:uiPriority w:val="0"/>
    <w:rPr>
      <w:rFonts w:ascii="Tahoma" w:hAnsi="Tahoma"/>
      <w:sz w:val="24"/>
      <w:szCs w:val="20"/>
    </w:rPr>
  </w:style>
  <w:style w:type="paragraph" w:customStyle="1" w:styleId="157">
    <w:name w:val="_Style 160"/>
    <w:qFormat/>
    <w:uiPriority w:val="0"/>
    <w:rPr>
      <w:rFonts w:ascii="Times New Roman" w:hAnsi="Times New Roman" w:eastAsia="宋体" w:cs="Times New Roman"/>
      <w:kern w:val="2"/>
      <w:sz w:val="21"/>
      <w:szCs w:val="24"/>
      <w:lang w:val="en-US" w:eastAsia="zh-CN" w:bidi="ar-SA"/>
    </w:rPr>
  </w:style>
  <w:style w:type="paragraph" w:customStyle="1" w:styleId="158">
    <w:name w:val="项目编号3"/>
    <w:basedOn w:val="118"/>
    <w:qFormat/>
    <w:uiPriority w:val="0"/>
    <w:pPr>
      <w:numPr>
        <w:ilvl w:val="0"/>
        <w:numId w:val="6"/>
      </w:numPr>
    </w:pPr>
  </w:style>
  <w:style w:type="paragraph" w:customStyle="1" w:styleId="159">
    <w:name w:val="Char21"/>
    <w:basedOn w:val="1"/>
    <w:qFormat/>
    <w:uiPriority w:val="0"/>
    <w:rPr>
      <w:rFonts w:ascii="Tahoma" w:hAnsi="Tahoma"/>
      <w:sz w:val="24"/>
      <w:szCs w:val="20"/>
    </w:rPr>
  </w:style>
  <w:style w:type="paragraph" w:customStyle="1" w:styleId="160">
    <w:name w:val="表格文字"/>
    <w:basedOn w:val="22"/>
    <w:qFormat/>
    <w:uiPriority w:val="0"/>
    <w:pPr>
      <w:spacing w:before="20" w:after="20" w:line="240" w:lineRule="auto"/>
      <w:ind w:firstLine="0"/>
    </w:pPr>
    <w:rPr>
      <w:rFonts w:ascii="Century Gothic" w:hAnsi="Century Gothic"/>
      <w:sz w:val="20"/>
      <w:szCs w:val="20"/>
    </w:rPr>
  </w:style>
  <w:style w:type="paragraph" w:customStyle="1" w:styleId="161">
    <w:name w:val="Char Char Char Char Char Char Char Char Char Char1"/>
    <w:basedOn w:val="1"/>
    <w:qFormat/>
    <w:uiPriority w:val="0"/>
    <w:rPr>
      <w:rFonts w:ascii="宋体" w:hAnsi="宋体" w:cs="Courier New"/>
      <w:sz w:val="32"/>
      <w:szCs w:val="32"/>
    </w:rPr>
  </w:style>
  <w:style w:type="paragraph" w:customStyle="1" w:styleId="162">
    <w:name w:val="正文文本样式 加粗"/>
    <w:basedOn w:val="118"/>
    <w:qFormat/>
    <w:uiPriority w:val="0"/>
    <w:rPr>
      <w:b/>
    </w:rPr>
  </w:style>
  <w:style w:type="paragraph" w:customStyle="1" w:styleId="163">
    <w:name w:val="Char2 Char Char Char Char Char Char"/>
    <w:basedOn w:val="1"/>
    <w:qFormat/>
    <w:uiPriority w:val="0"/>
    <w:pPr>
      <w:widowControl/>
      <w:spacing w:line="400" w:lineRule="exact"/>
      <w:jc w:val="center"/>
    </w:pPr>
  </w:style>
  <w:style w:type="paragraph" w:customStyle="1" w:styleId="164">
    <w:name w:val="Char Char4"/>
    <w:basedOn w:val="1"/>
    <w:qFormat/>
    <w:uiPriority w:val="0"/>
    <w:pPr>
      <w:widowControl/>
      <w:spacing w:line="400" w:lineRule="exact"/>
      <w:jc w:val="center"/>
    </w:pPr>
  </w:style>
  <w:style w:type="paragraph" w:customStyle="1" w:styleId="165">
    <w:name w:val="Char3 Char Char Char1"/>
    <w:basedOn w:val="1"/>
    <w:qFormat/>
    <w:uiPriority w:val="0"/>
    <w:rPr>
      <w:rFonts w:ascii="Tahoma" w:hAnsi="Tahoma"/>
      <w:sz w:val="24"/>
      <w:szCs w:val="20"/>
    </w:rPr>
  </w:style>
  <w:style w:type="paragraph" w:customStyle="1" w:styleId="166">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7">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168">
    <w:name w:val="1"/>
    <w:link w:val="447"/>
    <w:qFormat/>
    <w:uiPriority w:val="0"/>
    <w:rPr>
      <w:rFonts w:ascii="Times New Roman" w:hAnsi="Times New Roman" w:eastAsia="宋体" w:cs="Times New Roman"/>
      <w:kern w:val="2"/>
      <w:sz w:val="21"/>
      <w:szCs w:val="24"/>
      <w:lang w:val="zh-CN" w:eastAsia="zh-CN" w:bidi="ar-SA"/>
    </w:rPr>
  </w:style>
  <w:style w:type="paragraph" w:customStyle="1" w:styleId="169">
    <w:name w:val="图文"/>
    <w:basedOn w:val="1"/>
    <w:qFormat/>
    <w:uiPriority w:val="0"/>
    <w:pPr>
      <w:adjustRightInd w:val="0"/>
      <w:snapToGrid w:val="0"/>
      <w:spacing w:after="50" w:line="360" w:lineRule="auto"/>
    </w:pPr>
    <w:rPr>
      <w:sz w:val="24"/>
    </w:rPr>
  </w:style>
  <w:style w:type="paragraph" w:customStyle="1" w:styleId="170">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1">
    <w:name w:val="正文表格"/>
    <w:basedOn w:val="1"/>
    <w:link w:val="448"/>
    <w:qFormat/>
    <w:uiPriority w:val="0"/>
    <w:pPr>
      <w:adjustRightInd w:val="0"/>
      <w:snapToGrid w:val="0"/>
      <w:jc w:val="left"/>
    </w:pPr>
    <w:rPr>
      <w:rFonts w:ascii="宋体" w:hAnsi="宋体"/>
      <w:color w:val="000000"/>
      <w:szCs w:val="21"/>
    </w:rPr>
  </w:style>
  <w:style w:type="paragraph" w:customStyle="1" w:styleId="172">
    <w:name w:val="正文重点"/>
    <w:basedOn w:val="1"/>
    <w:link w:val="449"/>
    <w:qFormat/>
    <w:uiPriority w:val="0"/>
    <w:pPr>
      <w:adjustRightInd w:val="0"/>
      <w:spacing w:line="360" w:lineRule="auto"/>
      <w:ind w:firstLine="482" w:firstLineChars="200"/>
      <w:jc w:val="left"/>
      <w:textAlignment w:val="baseline"/>
    </w:pPr>
    <w:rPr>
      <w:b/>
      <w:kern w:val="0"/>
      <w:sz w:val="24"/>
      <w:szCs w:val="20"/>
    </w:rPr>
  </w:style>
  <w:style w:type="paragraph" w:customStyle="1" w:styleId="173">
    <w:name w:val="标题1-附件"/>
    <w:basedOn w:val="2"/>
    <w:qFormat/>
    <w:uiPriority w:val="0"/>
    <w:pPr>
      <w:jc w:val="left"/>
    </w:pPr>
    <w:rPr>
      <w:sz w:val="24"/>
      <w:szCs w:val="24"/>
    </w:rPr>
  </w:style>
  <w:style w:type="paragraph" w:customStyle="1" w:styleId="174">
    <w:name w:val="正文小标题"/>
    <w:basedOn w:val="1"/>
    <w:next w:val="4"/>
    <w:link w:val="451"/>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paragraph" w:customStyle="1" w:styleId="175">
    <w:name w:val="正文大标题"/>
    <w:basedOn w:val="174"/>
    <w:next w:val="4"/>
    <w:link w:val="452"/>
    <w:qFormat/>
    <w:uiPriority w:val="0"/>
    <w:pPr>
      <w:jc w:val="center"/>
    </w:pPr>
    <w:rPr>
      <w:i w:val="0"/>
      <w:color w:val="000000"/>
      <w:sz w:val="28"/>
      <w:szCs w:val="21"/>
    </w:rPr>
  </w:style>
  <w:style w:type="paragraph" w:customStyle="1" w:styleId="176">
    <w:name w:val="注释"/>
    <w:basedOn w:val="1"/>
    <w:link w:val="454"/>
    <w:qFormat/>
    <w:uiPriority w:val="0"/>
    <w:pPr>
      <w:adjustRightInd w:val="0"/>
      <w:snapToGrid w:val="0"/>
      <w:ind w:left="420" w:hanging="420" w:hangingChars="200"/>
      <w:jc w:val="left"/>
    </w:pPr>
    <w:rPr>
      <w:rFonts w:ascii="宋体" w:hAnsi="宋体"/>
      <w:szCs w:val="21"/>
    </w:rPr>
  </w:style>
  <w:style w:type="paragraph" w:customStyle="1" w:styleId="177">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78">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79">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paragraph" w:customStyle="1" w:styleId="180">
    <w:name w:val="表格1"/>
    <w:basedOn w:val="1"/>
    <w:qFormat/>
    <w:uiPriority w:val="0"/>
    <w:pPr>
      <w:ind w:firstLine="480" w:firstLineChars="200"/>
      <w:jc w:val="center"/>
    </w:pPr>
    <w:rPr>
      <w:sz w:val="24"/>
      <w:szCs w:val="20"/>
    </w:rPr>
  </w:style>
  <w:style w:type="paragraph" w:customStyle="1" w:styleId="181">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82">
    <w:name w:val="正文格式"/>
    <w:basedOn w:val="1"/>
    <w:link w:val="459"/>
    <w:qFormat/>
    <w:uiPriority w:val="0"/>
    <w:pPr>
      <w:spacing w:beforeLines="50" w:line="360" w:lineRule="auto"/>
      <w:ind w:firstLine="480" w:firstLineChars="200"/>
    </w:pPr>
    <w:rPr>
      <w:rFonts w:ascii="宋体" w:hAnsi="宋体"/>
      <w:kern w:val="0"/>
      <w:sz w:val="24"/>
    </w:rPr>
  </w:style>
  <w:style w:type="paragraph" w:customStyle="1" w:styleId="183">
    <w:name w:val="列出段落3"/>
    <w:basedOn w:val="1"/>
    <w:link w:val="465"/>
    <w:unhideWhenUsed/>
    <w:qFormat/>
    <w:uiPriority w:val="34"/>
    <w:pPr>
      <w:ind w:firstLine="420" w:firstLineChars="200"/>
    </w:pPr>
    <w:rPr>
      <w:rFonts w:ascii="Calibri" w:hAnsi="Calibri"/>
      <w:szCs w:val="22"/>
    </w:rPr>
  </w:style>
  <w:style w:type="paragraph" w:customStyle="1" w:styleId="184">
    <w:name w:val="字元 字元2"/>
    <w:basedOn w:val="1"/>
    <w:qFormat/>
    <w:uiPriority w:val="0"/>
    <w:rPr>
      <w:rFonts w:ascii="Tahoma" w:hAnsi="Tahoma"/>
      <w:sz w:val="24"/>
      <w:szCs w:val="20"/>
    </w:rPr>
  </w:style>
  <w:style w:type="paragraph" w:customStyle="1" w:styleId="185">
    <w:name w:val="Char3 Char Char Char2"/>
    <w:basedOn w:val="1"/>
    <w:qFormat/>
    <w:uiPriority w:val="0"/>
    <w:rPr>
      <w:rFonts w:ascii="Tahoma" w:hAnsi="Tahoma"/>
      <w:sz w:val="24"/>
      <w:szCs w:val="20"/>
    </w:rPr>
  </w:style>
  <w:style w:type="paragraph" w:customStyle="1" w:styleId="186">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187">
    <w:name w:val="Char3"/>
    <w:basedOn w:val="1"/>
    <w:qFormat/>
    <w:uiPriority w:val="0"/>
    <w:pPr>
      <w:tabs>
        <w:tab w:val="left" w:pos="360"/>
      </w:tabs>
    </w:pPr>
    <w:rPr>
      <w:sz w:val="24"/>
    </w:rPr>
  </w:style>
  <w:style w:type="paragraph" w:customStyle="1" w:styleId="188">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89">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90">
    <w:name w:val="列出段落2"/>
    <w:basedOn w:val="1"/>
    <w:link w:val="535"/>
    <w:qFormat/>
    <w:uiPriority w:val="0"/>
    <w:pPr>
      <w:ind w:firstLine="420" w:firstLineChars="200"/>
    </w:pPr>
    <w:rPr>
      <w:rFonts w:ascii="Calibri" w:hAnsi="Calibri"/>
      <w:szCs w:val="22"/>
    </w:rPr>
  </w:style>
  <w:style w:type="paragraph" w:customStyle="1" w:styleId="191">
    <w:name w:val="Char Char Char1 Char2"/>
    <w:basedOn w:val="1"/>
    <w:qFormat/>
    <w:uiPriority w:val="0"/>
    <w:rPr>
      <w:rFonts w:ascii="Tahoma" w:hAnsi="Tahoma"/>
      <w:sz w:val="24"/>
      <w:szCs w:val="20"/>
    </w:rPr>
  </w:style>
  <w:style w:type="paragraph" w:customStyle="1" w:styleId="192">
    <w:name w:val="Char Char Char2"/>
    <w:basedOn w:val="1"/>
    <w:qFormat/>
    <w:uiPriority w:val="0"/>
    <w:rPr>
      <w:rFonts w:ascii="Tahoma" w:hAnsi="Tahoma"/>
      <w:sz w:val="24"/>
      <w:szCs w:val="20"/>
    </w:rPr>
  </w:style>
  <w:style w:type="paragraph" w:customStyle="1" w:styleId="193">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194">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95">
    <w:name w:val="修订1"/>
    <w:qFormat/>
    <w:uiPriority w:val="99"/>
    <w:rPr>
      <w:rFonts w:ascii="Times New Roman" w:hAnsi="Times New Roman" w:eastAsia="宋体" w:cs="Times New Roman"/>
      <w:kern w:val="2"/>
      <w:sz w:val="21"/>
      <w:szCs w:val="24"/>
      <w:lang w:val="en-US" w:eastAsia="zh-CN" w:bidi="ar-SA"/>
    </w:rPr>
  </w:style>
  <w:style w:type="paragraph" w:customStyle="1" w:styleId="196">
    <w:name w:val="Char22"/>
    <w:basedOn w:val="1"/>
    <w:qFormat/>
    <w:uiPriority w:val="0"/>
    <w:rPr>
      <w:rFonts w:ascii="Tahoma" w:hAnsi="Tahoma"/>
      <w:sz w:val="24"/>
      <w:szCs w:val="20"/>
    </w:rPr>
  </w:style>
  <w:style w:type="paragraph" w:customStyle="1" w:styleId="197">
    <w:name w:val="Char Char Char Char Char Char Char Char Char Char2"/>
    <w:basedOn w:val="1"/>
    <w:qFormat/>
    <w:uiPriority w:val="0"/>
    <w:rPr>
      <w:rFonts w:ascii="宋体" w:hAnsi="宋体" w:cs="Courier New"/>
      <w:sz w:val="32"/>
      <w:szCs w:val="32"/>
    </w:rPr>
  </w:style>
  <w:style w:type="paragraph" w:customStyle="1" w:styleId="198">
    <w:name w:val="Char2 Char Char Char Char Char Char1"/>
    <w:basedOn w:val="1"/>
    <w:qFormat/>
    <w:uiPriority w:val="0"/>
    <w:pPr>
      <w:widowControl/>
      <w:spacing w:line="400" w:lineRule="exact"/>
      <w:jc w:val="center"/>
    </w:pPr>
  </w:style>
  <w:style w:type="paragraph" w:customStyle="1" w:styleId="199">
    <w:name w:val="Char Char41"/>
    <w:basedOn w:val="1"/>
    <w:qFormat/>
    <w:uiPriority w:val="0"/>
    <w:pPr>
      <w:widowControl/>
      <w:spacing w:line="400" w:lineRule="exact"/>
      <w:jc w:val="center"/>
    </w:pPr>
  </w:style>
  <w:style w:type="paragraph" w:customStyle="1" w:styleId="200">
    <w:name w:val="图例"/>
    <w:basedOn w:val="1"/>
    <w:qFormat/>
    <w:uiPriority w:val="0"/>
    <w:pPr>
      <w:spacing w:before="120" w:after="120" w:line="360" w:lineRule="auto"/>
      <w:jc w:val="center"/>
    </w:pPr>
    <w:rPr>
      <w:rFonts w:eastAsia="仿宋_GB2312"/>
      <w:b/>
      <w:sz w:val="24"/>
      <w:szCs w:val="20"/>
    </w:rPr>
  </w:style>
  <w:style w:type="paragraph" w:customStyle="1" w:styleId="201">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02">
    <w:name w:val="内加粗"/>
    <w:basedOn w:val="203"/>
    <w:link w:val="487"/>
    <w:qFormat/>
    <w:uiPriority w:val="0"/>
    <w:pPr>
      <w:ind w:firstLine="482"/>
    </w:pPr>
    <w:rPr>
      <w:b/>
      <w:kern w:val="0"/>
    </w:rPr>
  </w:style>
  <w:style w:type="paragraph" w:customStyle="1" w:styleId="203">
    <w:name w:val="内文"/>
    <w:basedOn w:val="1"/>
    <w:link w:val="488"/>
    <w:qFormat/>
    <w:uiPriority w:val="99"/>
    <w:pPr>
      <w:spacing w:line="560" w:lineRule="exact"/>
      <w:ind w:firstLine="200" w:firstLineChars="200"/>
      <w:jc w:val="left"/>
    </w:pPr>
    <w:rPr>
      <w:rFonts w:ascii="宋体" w:hAnsi="宋体" w:cs="宋体"/>
      <w:sz w:val="24"/>
      <w:szCs w:val="28"/>
    </w:rPr>
  </w:style>
  <w:style w:type="paragraph" w:customStyle="1" w:styleId="204">
    <w:name w:val="！正文"/>
    <w:basedOn w:val="1"/>
    <w:link w:val="489"/>
    <w:qFormat/>
    <w:uiPriority w:val="0"/>
    <w:pPr>
      <w:spacing w:line="360" w:lineRule="auto"/>
      <w:ind w:firstLine="560" w:firstLineChars="200"/>
      <w:jc w:val="left"/>
    </w:pPr>
    <w:rPr>
      <w:rFonts w:eastAsia="仿宋_GB2312"/>
      <w:kern w:val="0"/>
      <w:sz w:val="28"/>
      <w:szCs w:val="28"/>
    </w:rPr>
  </w:style>
  <w:style w:type="paragraph" w:customStyle="1" w:styleId="205">
    <w:name w:val="修订2"/>
    <w:hidden/>
    <w:qFormat/>
    <w:uiPriority w:val="99"/>
    <w:rPr>
      <w:rFonts w:ascii="Times New Roman" w:hAnsi="Times New Roman" w:eastAsia="宋体" w:cs="Times New Roman"/>
      <w:kern w:val="2"/>
      <w:sz w:val="21"/>
      <w:szCs w:val="24"/>
      <w:lang w:val="en-US" w:eastAsia="zh-CN" w:bidi="ar-SA"/>
    </w:rPr>
  </w:style>
  <w:style w:type="paragraph" w:customStyle="1" w:styleId="206">
    <w:name w:val="样式 标题 3 + (中文) 黑体 小四 非加粗 段前: 7.8 磅 段后: 0 磅 行距: 固定值 20 磅"/>
    <w:basedOn w:val="5"/>
    <w:qFormat/>
    <w:uiPriority w:val="0"/>
    <w:pPr>
      <w:adjustRightInd/>
      <w:spacing w:before="260" w:beforeLines="50" w:after="260" w:afterLines="50" w:line="360" w:lineRule="auto"/>
      <w:jc w:val="both"/>
    </w:pPr>
    <w:rPr>
      <w:b w:val="0"/>
      <w:u w:val="none"/>
    </w:rPr>
  </w:style>
  <w:style w:type="paragraph" w:customStyle="1" w:styleId="207">
    <w:name w:val="样式 标题 2 + Times New Roman 四号 非加粗 段前: 5 磅 段后: 0 磅 行距: 固定值 20..."/>
    <w:basedOn w:val="3"/>
    <w:qFormat/>
    <w:uiPriority w:val="0"/>
    <w:pPr>
      <w:adjustRightInd/>
      <w:spacing w:before="260" w:beforeLines="50" w:after="260" w:afterLines="50" w:line="360" w:lineRule="auto"/>
      <w:jc w:val="both"/>
    </w:pPr>
    <w:rPr>
      <w:rFonts w:ascii="宋体" w:hAnsi="Times New Roman" w:eastAsia="宋体" w:cs="宋体"/>
      <w:b w:val="0"/>
      <w:sz w:val="28"/>
    </w:rPr>
  </w:style>
  <w:style w:type="paragraph" w:customStyle="1" w:styleId="208">
    <w:name w:val="3"/>
    <w:basedOn w:val="1"/>
    <w:next w:val="19"/>
    <w:qFormat/>
    <w:uiPriority w:val="0"/>
    <w:rPr>
      <w:rFonts w:ascii="宋体"/>
      <w:sz w:val="24"/>
      <w:szCs w:val="20"/>
    </w:rPr>
  </w:style>
  <w:style w:type="paragraph" w:customStyle="1" w:styleId="209">
    <w:name w:val="2"/>
    <w:basedOn w:val="1"/>
    <w:next w:val="22"/>
    <w:qFormat/>
    <w:uiPriority w:val="0"/>
    <w:pPr>
      <w:ind w:left="432"/>
    </w:pPr>
    <w:rPr>
      <w:szCs w:val="20"/>
    </w:rPr>
  </w:style>
  <w:style w:type="paragraph" w:customStyle="1" w:styleId="210">
    <w:name w:val="样式"/>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11">
    <w:name w:val="样式 标题 1 + 黑体 三号 非加粗 居中 段前: 6 磅 段后: 6 磅 行距: 固定值 20 磅"/>
    <w:basedOn w:val="2"/>
    <w:qFormat/>
    <w:uiPriority w:val="0"/>
    <w:pPr>
      <w:adjustRightInd/>
      <w:spacing w:before="120" w:line="400" w:lineRule="exact"/>
    </w:pPr>
    <w:rPr>
      <w:rFonts w:ascii="黑体" w:hAnsi="黑体" w:eastAsia="黑体" w:cs="宋体"/>
      <w:b w:val="0"/>
      <w:sz w:val="44"/>
    </w:rPr>
  </w:style>
  <w:style w:type="paragraph" w:customStyle="1" w:styleId="212">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213">
    <w:name w:val="表格"/>
    <w:basedOn w:val="1"/>
    <w:link w:val="624"/>
    <w:qFormat/>
    <w:uiPriority w:val="0"/>
    <w:pPr>
      <w:jc w:val="center"/>
      <w:textAlignment w:val="center"/>
    </w:pPr>
    <w:rPr>
      <w:rFonts w:ascii="华文细黑" w:hAnsi="华文细黑"/>
      <w:kern w:val="0"/>
      <w:szCs w:val="20"/>
    </w:rPr>
  </w:style>
  <w:style w:type="paragraph" w:customStyle="1" w:styleId="214">
    <w:name w:val="XW正文"/>
    <w:basedOn w:val="22"/>
    <w:qFormat/>
    <w:uiPriority w:val="0"/>
    <w:pPr>
      <w:adjustRightInd w:val="0"/>
      <w:snapToGrid w:val="0"/>
      <w:spacing w:line="300" w:lineRule="auto"/>
      <w:ind w:firstLine="520" w:firstLineChars="200"/>
      <w:jc w:val="left"/>
    </w:pPr>
    <w:rPr>
      <w:kern w:val="0"/>
    </w:rPr>
  </w:style>
  <w:style w:type="paragraph" w:customStyle="1" w:styleId="215">
    <w:name w:val="金安桥正文"/>
    <w:basedOn w:val="22"/>
    <w:qFormat/>
    <w:uiPriority w:val="0"/>
    <w:pPr>
      <w:adjustRightInd w:val="0"/>
      <w:spacing w:line="300" w:lineRule="auto"/>
      <w:ind w:firstLine="200" w:firstLineChars="200"/>
      <w:jc w:val="left"/>
    </w:pPr>
    <w:rPr>
      <w:kern w:val="0"/>
      <w:szCs w:val="20"/>
    </w:rPr>
  </w:style>
  <w:style w:type="paragraph" w:customStyle="1" w:styleId="216">
    <w:name w:val="TOC 标题1"/>
    <w:basedOn w:val="2"/>
    <w:next w:val="1"/>
    <w:qFormat/>
    <w:uiPriority w:val="0"/>
    <w:pPr>
      <w:widowControl/>
      <w:adjustRightInd/>
      <w:spacing w:before="480" w:after="0" w:line="276" w:lineRule="auto"/>
      <w:jc w:val="left"/>
      <w:outlineLvl w:val="9"/>
    </w:pPr>
    <w:rPr>
      <w:rFonts w:ascii="Cambria" w:hAnsi="Cambria"/>
      <w:bCs/>
      <w:color w:val="365F91"/>
      <w:kern w:val="0"/>
      <w:sz w:val="28"/>
      <w:szCs w:val="28"/>
    </w:rPr>
  </w:style>
  <w:style w:type="paragraph" w:customStyle="1" w:styleId="217">
    <w:name w:val="Char Char Char Char"/>
    <w:basedOn w:val="1"/>
    <w:qFormat/>
    <w:uiPriority w:val="0"/>
    <w:pPr>
      <w:widowControl/>
      <w:spacing w:after="160" w:line="240" w:lineRule="exact"/>
      <w:jc w:val="left"/>
    </w:pPr>
    <w:rPr>
      <w:szCs w:val="20"/>
    </w:rPr>
  </w:style>
  <w:style w:type="paragraph" w:customStyle="1" w:styleId="218">
    <w:name w:val="p17"/>
    <w:basedOn w:val="1"/>
    <w:qFormat/>
    <w:uiPriority w:val="0"/>
    <w:pPr>
      <w:widowControl/>
    </w:pPr>
    <w:rPr>
      <w:kern w:val="0"/>
      <w:szCs w:val="21"/>
    </w:rPr>
  </w:style>
  <w:style w:type="paragraph" w:customStyle="1" w:styleId="219">
    <w:name w:val="Normal_0"/>
    <w:qFormat/>
    <w:uiPriority w:val="0"/>
    <w:pPr>
      <w:spacing w:before="120" w:after="240"/>
      <w:jc w:val="both"/>
    </w:pPr>
    <w:rPr>
      <w:rFonts w:ascii="Calibri" w:hAnsi="Calibri" w:eastAsia="宋体" w:cs="Times New Roman"/>
      <w:sz w:val="22"/>
      <w:szCs w:val="22"/>
      <w:lang w:val="en-US" w:eastAsia="en-US" w:bidi="ar-SA"/>
    </w:rPr>
  </w:style>
  <w:style w:type="paragraph" w:customStyle="1" w:styleId="220">
    <w:name w:val="Char12"/>
    <w:basedOn w:val="1"/>
    <w:qFormat/>
    <w:uiPriority w:val="0"/>
    <w:rPr>
      <w:rFonts w:ascii="Tahoma" w:hAnsi="Tahoma"/>
      <w:sz w:val="24"/>
      <w:szCs w:val="20"/>
    </w:rPr>
  </w:style>
  <w:style w:type="paragraph" w:customStyle="1" w:styleId="221">
    <w:name w:val="Char Char Char Char2"/>
    <w:basedOn w:val="1"/>
    <w:qFormat/>
    <w:uiPriority w:val="0"/>
    <w:pPr>
      <w:widowControl/>
      <w:spacing w:after="160" w:line="240" w:lineRule="exact"/>
      <w:jc w:val="left"/>
    </w:pPr>
    <w:rPr>
      <w:szCs w:val="20"/>
    </w:rPr>
  </w:style>
  <w:style w:type="paragraph" w:customStyle="1" w:styleId="222">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23">
    <w:name w:val="样式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4">
    <w:name w:val="Char11"/>
    <w:basedOn w:val="1"/>
    <w:qFormat/>
    <w:uiPriority w:val="0"/>
    <w:rPr>
      <w:rFonts w:ascii="Tahoma" w:hAnsi="Tahoma"/>
      <w:sz w:val="24"/>
      <w:szCs w:val="20"/>
    </w:rPr>
  </w:style>
  <w:style w:type="paragraph" w:customStyle="1" w:styleId="225">
    <w:name w:val="Char Char Char Char1"/>
    <w:basedOn w:val="1"/>
    <w:qFormat/>
    <w:uiPriority w:val="99"/>
    <w:pPr>
      <w:widowControl/>
      <w:spacing w:after="160" w:line="240" w:lineRule="exact"/>
      <w:jc w:val="left"/>
    </w:pPr>
    <w:rPr>
      <w:szCs w:val="20"/>
    </w:rPr>
  </w:style>
  <w:style w:type="paragraph" w:customStyle="1" w:styleId="226">
    <w:name w:val="_Style 296"/>
    <w:basedOn w:val="1"/>
    <w:next w:val="74"/>
    <w:link w:val="532"/>
    <w:qFormat/>
    <w:uiPriority w:val="99"/>
    <w:pPr>
      <w:ind w:firstLine="420" w:firstLineChars="200"/>
    </w:pPr>
    <w:rPr>
      <w:rFonts w:ascii="Calibri" w:hAnsi="Calibri"/>
      <w:szCs w:val="22"/>
    </w:rPr>
  </w:style>
  <w:style w:type="paragraph" w:customStyle="1" w:styleId="227">
    <w:name w:val="修订3"/>
    <w:qFormat/>
    <w:uiPriority w:val="0"/>
    <w:rPr>
      <w:rFonts w:ascii="Times New Roman" w:hAnsi="Times New Roman" w:eastAsia="宋体" w:cs="Times New Roman"/>
      <w:kern w:val="2"/>
      <w:sz w:val="21"/>
      <w:szCs w:val="24"/>
      <w:lang w:val="en-US" w:eastAsia="zh-CN" w:bidi="ar-SA"/>
    </w:rPr>
  </w:style>
  <w:style w:type="paragraph" w:customStyle="1" w:styleId="228">
    <w:name w:val="p0"/>
    <w:basedOn w:val="1"/>
    <w:qFormat/>
    <w:uiPriority w:val="0"/>
    <w:pPr>
      <w:widowControl/>
    </w:pPr>
    <w:rPr>
      <w:kern w:val="0"/>
      <w:szCs w:val="21"/>
    </w:rPr>
  </w:style>
  <w:style w:type="paragraph" w:customStyle="1" w:styleId="229">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cs="宋体"/>
      <w:b/>
      <w:bCs/>
      <w:kern w:val="0"/>
      <w:szCs w:val="20"/>
    </w:rPr>
  </w:style>
  <w:style w:type="paragraph" w:customStyle="1" w:styleId="230">
    <w:name w:val="项目2"/>
    <w:basedOn w:val="1"/>
    <w:qFormat/>
    <w:uiPriority w:val="0"/>
    <w:pPr>
      <w:widowControl/>
      <w:tabs>
        <w:tab w:val="left" w:pos="720"/>
      </w:tabs>
      <w:spacing w:after="50" w:line="360" w:lineRule="auto"/>
      <w:ind w:right="240" w:firstLine="360"/>
      <w:jc w:val="left"/>
    </w:pPr>
    <w:rPr>
      <w:rFonts w:ascii="宋体"/>
      <w:kern w:val="0"/>
      <w:sz w:val="24"/>
    </w:rPr>
  </w:style>
  <w:style w:type="paragraph" w:customStyle="1" w:styleId="231">
    <w:name w:val="Char Char Char1 Char Char Char Char"/>
    <w:basedOn w:val="1"/>
    <w:qFormat/>
    <w:uiPriority w:val="0"/>
    <w:rPr>
      <w:rFonts w:ascii="Tahoma" w:hAnsi="Tahoma"/>
      <w:sz w:val="24"/>
      <w:szCs w:val="20"/>
    </w:rPr>
  </w:style>
  <w:style w:type="paragraph" w:customStyle="1" w:styleId="232">
    <w:name w:val="带符号"/>
    <w:basedOn w:val="1"/>
    <w:qFormat/>
    <w:uiPriority w:val="0"/>
    <w:pPr>
      <w:tabs>
        <w:tab w:val="left" w:pos="1500"/>
      </w:tabs>
      <w:spacing w:line="360" w:lineRule="auto"/>
      <w:ind w:left="1500" w:hanging="420"/>
    </w:pPr>
    <w:rPr>
      <w:sz w:val="24"/>
    </w:rPr>
  </w:style>
  <w:style w:type="paragraph" w:customStyle="1" w:styleId="233">
    <w:name w:val="普通 (Web)"/>
    <w:basedOn w:val="1"/>
    <w:qFormat/>
    <w:uiPriority w:val="0"/>
    <w:pPr>
      <w:widowControl/>
      <w:spacing w:before="100" w:after="100"/>
      <w:jc w:val="left"/>
    </w:pPr>
    <w:rPr>
      <w:rFonts w:ascii="宋体" w:hAnsi="宋体"/>
      <w:kern w:val="0"/>
      <w:sz w:val="24"/>
    </w:rPr>
  </w:style>
  <w:style w:type="paragraph" w:customStyle="1" w:styleId="234">
    <w:name w:val="批注框文本1"/>
    <w:basedOn w:val="1"/>
    <w:qFormat/>
    <w:uiPriority w:val="0"/>
    <w:rPr>
      <w:sz w:val="18"/>
      <w:szCs w:val="18"/>
    </w:rPr>
  </w:style>
  <w:style w:type="paragraph" w:customStyle="1" w:styleId="235">
    <w:name w:val="项目"/>
    <w:basedOn w:val="1"/>
    <w:qFormat/>
    <w:uiPriority w:val="0"/>
    <w:pPr>
      <w:widowControl/>
      <w:tabs>
        <w:tab w:val="left" w:pos="780"/>
      </w:tabs>
      <w:spacing w:after="156" w:line="360" w:lineRule="exact"/>
      <w:ind w:left="250" w:firstLine="170"/>
      <w:jc w:val="left"/>
    </w:pPr>
    <w:rPr>
      <w:rFonts w:ascii="宋体" w:hAnsi="宋体"/>
      <w:kern w:val="0"/>
      <w:sz w:val="24"/>
    </w:rPr>
  </w:style>
  <w:style w:type="paragraph" w:customStyle="1" w:styleId="236">
    <w:name w:val="Number List"/>
    <w:basedOn w:val="1"/>
    <w:qFormat/>
    <w:uiPriority w:val="0"/>
    <w:pPr>
      <w:autoSpaceDE w:val="0"/>
      <w:autoSpaceDN w:val="0"/>
      <w:adjustRightInd w:val="0"/>
      <w:ind w:left="360" w:hanging="360"/>
      <w:jc w:val="left"/>
    </w:pPr>
    <w:rPr>
      <w:kern w:val="0"/>
      <w:sz w:val="24"/>
      <w:szCs w:val="20"/>
    </w:rPr>
  </w:style>
  <w:style w:type="paragraph" w:customStyle="1" w:styleId="237">
    <w:name w:val="方案正文"/>
    <w:basedOn w:val="1"/>
    <w:qFormat/>
    <w:uiPriority w:val="0"/>
    <w:pPr>
      <w:tabs>
        <w:tab w:val="left" w:pos="8520"/>
      </w:tabs>
      <w:spacing w:line="312" w:lineRule="auto"/>
      <w:ind w:right="-210" w:firstLine="560" w:firstLineChars="200"/>
    </w:pPr>
    <w:rPr>
      <w:rFonts w:ascii="仿宋_GB2312" w:eastAsia="仿宋_GB2312" w:cs="宋体"/>
      <w:sz w:val="28"/>
      <w:szCs w:val="20"/>
    </w:rPr>
  </w:style>
  <w:style w:type="paragraph" w:customStyle="1" w:styleId="238">
    <w:name w:val="首行缩进(A-S-1)"/>
    <w:qFormat/>
    <w:uiPriority w:val="0"/>
    <w:pPr>
      <w:spacing w:line="360" w:lineRule="auto"/>
      <w:ind w:firstLine="454"/>
    </w:pPr>
    <w:rPr>
      <w:rFonts w:ascii="Times New Roman" w:hAnsi="Times New Roman" w:eastAsia="宋体" w:cs="Times New Roman"/>
      <w:sz w:val="24"/>
      <w:lang w:val="en-US" w:eastAsia="zh-CN" w:bidi="ar-SA"/>
    </w:rPr>
  </w:style>
  <w:style w:type="paragraph" w:customStyle="1" w:styleId="239">
    <w:name w:val="黑列表"/>
    <w:basedOn w:val="1"/>
    <w:qFormat/>
    <w:uiPriority w:val="0"/>
    <w:pPr>
      <w:widowControl/>
      <w:tabs>
        <w:tab w:val="left" w:pos="960"/>
      </w:tabs>
      <w:adjustRightInd w:val="0"/>
      <w:spacing w:line="300" w:lineRule="auto"/>
      <w:ind w:left="840" w:hanging="240"/>
      <w:jc w:val="left"/>
    </w:pPr>
    <w:rPr>
      <w:kern w:val="0"/>
      <w:sz w:val="24"/>
      <w:szCs w:val="20"/>
    </w:rPr>
  </w:style>
  <w:style w:type="paragraph" w:customStyle="1" w:styleId="240">
    <w:name w:val="Char Char Char Char Char Char Char Char"/>
    <w:basedOn w:val="1"/>
    <w:qFormat/>
    <w:uiPriority w:val="0"/>
  </w:style>
  <w:style w:type="paragraph" w:customStyle="1" w:styleId="241">
    <w:name w:val="标一"/>
    <w:basedOn w:val="2"/>
    <w:qFormat/>
    <w:uiPriority w:val="0"/>
    <w:pPr>
      <w:adjustRightInd/>
      <w:snapToGrid w:val="0"/>
      <w:spacing w:before="0" w:after="0" w:line="420" w:lineRule="exact"/>
      <w:jc w:val="both"/>
    </w:pPr>
    <w:rPr>
      <w:rFonts w:hAnsi="宋体"/>
      <w:b w:val="0"/>
      <w:kern w:val="0"/>
      <w:sz w:val="24"/>
      <w:lang w:val="zh-CN"/>
    </w:rPr>
  </w:style>
  <w:style w:type="paragraph" w:customStyle="1" w:styleId="242">
    <w:name w:val="Char Char Char Char Char Char"/>
    <w:basedOn w:val="1"/>
    <w:qFormat/>
    <w:uiPriority w:val="0"/>
    <w:pPr>
      <w:adjustRightInd w:val="0"/>
      <w:spacing w:line="360" w:lineRule="auto"/>
    </w:pPr>
    <w:rPr>
      <w:kern w:val="0"/>
      <w:sz w:val="24"/>
      <w:szCs w:val="20"/>
    </w:rPr>
  </w:style>
  <w:style w:type="paragraph" w:customStyle="1" w:styleId="243">
    <w:name w:val="我的征文"/>
    <w:basedOn w:val="1"/>
    <w:qFormat/>
    <w:uiPriority w:val="0"/>
    <w:pPr>
      <w:tabs>
        <w:tab w:val="left" w:pos="851"/>
      </w:tabs>
      <w:spacing w:before="360" w:after="360"/>
      <w:ind w:left="851" w:right="113" w:hanging="851"/>
    </w:pPr>
    <w:rPr>
      <w:szCs w:val="20"/>
    </w:rPr>
  </w:style>
  <w:style w:type="paragraph" w:customStyle="1" w:styleId="244">
    <w:name w:val="列表段落11"/>
    <w:basedOn w:val="1"/>
    <w:link w:val="536"/>
    <w:unhideWhenUsed/>
    <w:qFormat/>
    <w:uiPriority w:val="99"/>
    <w:pPr>
      <w:ind w:firstLine="420" w:firstLineChars="200"/>
    </w:pPr>
    <w:rPr>
      <w:lang w:val="zh-CN"/>
    </w:rPr>
  </w:style>
  <w:style w:type="paragraph" w:customStyle="1" w:styleId="245">
    <w:name w:val="样式 标题 1 + 四号 居中 段前: 12 磅 段后: 12 磅 行距: 单倍行距"/>
    <w:basedOn w:val="2"/>
    <w:qFormat/>
    <w:uiPriority w:val="0"/>
    <w:pPr>
      <w:tabs>
        <w:tab w:val="left" w:pos="425"/>
      </w:tabs>
      <w:spacing w:after="240" w:line="240" w:lineRule="auto"/>
      <w:ind w:left="425" w:hanging="425"/>
      <w:textAlignment w:val="baseline"/>
    </w:pPr>
    <w:rPr>
      <w:rFonts w:ascii="Times New Roman"/>
      <w:sz w:val="28"/>
      <w:lang w:val="zh-CN"/>
    </w:rPr>
  </w:style>
  <w:style w:type="paragraph" w:customStyle="1" w:styleId="246">
    <w:name w:val="列出段落11"/>
    <w:basedOn w:val="1"/>
    <w:semiHidden/>
    <w:qFormat/>
    <w:uiPriority w:val="99"/>
    <w:pPr>
      <w:widowControl/>
      <w:spacing w:before="40" w:after="160"/>
      <w:ind w:firstLine="420" w:firstLineChars="200"/>
      <w:jc w:val="left"/>
    </w:pPr>
    <w:rPr>
      <w:rFonts w:ascii="Cambria" w:hAnsi="Cambria" w:eastAsia="微软雅黑" w:cs="Cambria"/>
      <w:color w:val="565656"/>
      <w:kern w:val="20"/>
      <w:szCs w:val="21"/>
      <w:lang w:val="zh-CN"/>
    </w:rPr>
  </w:style>
  <w:style w:type="paragraph" w:customStyle="1" w:styleId="247">
    <w:name w:val="Body text|7"/>
    <w:basedOn w:val="1"/>
    <w:link w:val="537"/>
    <w:qFormat/>
    <w:uiPriority w:val="0"/>
    <w:pPr>
      <w:shd w:val="clear" w:color="auto" w:fill="FFFFFF"/>
      <w:spacing w:line="626" w:lineRule="exact"/>
      <w:jc w:val="distribute"/>
    </w:pPr>
    <w:rPr>
      <w:rFonts w:ascii="PMingLiU" w:hAnsi="PMingLiU" w:eastAsia="PMingLiU" w:cs="PMingLiU"/>
      <w:b/>
      <w:bCs/>
      <w:spacing w:val="20"/>
      <w:kern w:val="0"/>
      <w:sz w:val="20"/>
      <w:szCs w:val="20"/>
    </w:rPr>
  </w:style>
  <w:style w:type="paragraph" w:customStyle="1" w:styleId="248">
    <w:name w:val="Body text|2"/>
    <w:basedOn w:val="1"/>
    <w:link w:val="538"/>
    <w:qFormat/>
    <w:uiPriority w:val="0"/>
    <w:pPr>
      <w:shd w:val="clear" w:color="auto" w:fill="FFFFFF"/>
      <w:spacing w:before="560" w:line="626" w:lineRule="exact"/>
      <w:jc w:val="left"/>
    </w:pPr>
    <w:rPr>
      <w:rFonts w:ascii="PMingLiU" w:hAnsi="PMingLiU" w:eastAsia="PMingLiU" w:cs="PMingLiU"/>
      <w:spacing w:val="30"/>
      <w:kern w:val="0"/>
      <w:sz w:val="20"/>
      <w:szCs w:val="20"/>
    </w:rPr>
  </w:style>
  <w:style w:type="paragraph" w:customStyle="1" w:styleId="249">
    <w:name w:val="float--left"/>
    <w:basedOn w:val="1"/>
    <w:qFormat/>
    <w:uiPriority w:val="0"/>
    <w:pPr>
      <w:widowControl/>
      <w:spacing w:before="100" w:beforeAutospacing="1" w:after="100" w:afterAutospacing="1"/>
      <w:jc w:val="left"/>
    </w:pPr>
    <w:rPr>
      <w:rFonts w:ascii="宋体" w:hAnsi="宋体" w:cs="宋体"/>
      <w:kern w:val="0"/>
      <w:sz w:val="24"/>
    </w:rPr>
  </w:style>
  <w:style w:type="paragraph" w:customStyle="1" w:styleId="250">
    <w:name w:val="_Style 106"/>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51">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2">
    <w:name w:val="Char111"/>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253">
    <w:name w:val="文件正文"/>
    <w:qFormat/>
    <w:uiPriority w:val="0"/>
    <w:pPr>
      <w:spacing w:line="440" w:lineRule="exact"/>
      <w:jc w:val="both"/>
    </w:pPr>
    <w:rPr>
      <w:rFonts w:ascii="Times New Roman" w:hAnsi="Times New Roman" w:eastAsia="宋体" w:cs="Times New Roman"/>
      <w:sz w:val="28"/>
      <w:lang w:val="en-US" w:eastAsia="zh-CN" w:bidi="ar-SA"/>
    </w:rPr>
  </w:style>
  <w:style w:type="paragraph" w:customStyle="1" w:styleId="254">
    <w:name w:val="段"/>
    <w:qFormat/>
    <w:uiPriority w:val="0"/>
    <w:pPr>
      <w:widowControl w:val="0"/>
      <w:autoSpaceDE w:val="0"/>
      <w:autoSpaceDN w:val="0"/>
      <w:spacing w:line="460" w:lineRule="exact"/>
      <w:ind w:firstLine="200" w:firstLineChars="200"/>
      <w:jc w:val="both"/>
    </w:pPr>
    <w:rPr>
      <w:rFonts w:ascii="宋体" w:hAnsi="Times New Roman" w:eastAsia="宋体" w:cs="Times New Roman"/>
      <w:sz w:val="28"/>
      <w:lang w:val="en-US" w:eastAsia="zh-CN" w:bidi="ar-SA"/>
    </w:rPr>
  </w:style>
  <w:style w:type="paragraph" w:customStyle="1" w:styleId="255">
    <w:name w:val="正文表标题"/>
    <w:next w:val="254"/>
    <w:qFormat/>
    <w:uiPriority w:val="0"/>
    <w:pPr>
      <w:numPr>
        <w:ilvl w:val="0"/>
        <w:numId w:val="8"/>
      </w:numPr>
      <w:jc w:val="center"/>
    </w:pPr>
    <w:rPr>
      <w:rFonts w:ascii="黑体" w:hAnsi="Times New Roman" w:eastAsia="黑体" w:cs="Times New Roman"/>
      <w:sz w:val="28"/>
      <w:lang w:val="en-US" w:eastAsia="zh-CN" w:bidi="ar-SA"/>
    </w:rPr>
  </w:style>
  <w:style w:type="paragraph" w:customStyle="1" w:styleId="256">
    <w:name w:val="正文图标题"/>
    <w:next w:val="254"/>
    <w:qFormat/>
    <w:uiPriority w:val="0"/>
    <w:pPr>
      <w:numPr>
        <w:ilvl w:val="0"/>
        <w:numId w:val="9"/>
      </w:numPr>
      <w:jc w:val="center"/>
    </w:pPr>
    <w:rPr>
      <w:rFonts w:ascii="黑体" w:hAnsi="Times New Roman" w:eastAsia="黑体" w:cs="Times New Roman"/>
      <w:sz w:val="28"/>
      <w:lang w:val="en-US" w:eastAsia="zh-CN" w:bidi="ar-SA"/>
    </w:rPr>
  </w:style>
  <w:style w:type="paragraph" w:customStyle="1" w:styleId="257">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58">
    <w:name w:val="xl64"/>
    <w:basedOn w:val="1"/>
    <w:qFormat/>
    <w:uiPriority w:val="0"/>
    <w:pPr>
      <w:widowControl/>
      <w:spacing w:before="100" w:beforeAutospacing="1" w:after="100" w:afterAutospacing="1"/>
      <w:jc w:val="center"/>
    </w:pPr>
    <w:rPr>
      <w:rFonts w:ascii="宋体" w:hAnsi="宋体" w:cs="宋体"/>
      <w:kern w:val="0"/>
      <w:sz w:val="24"/>
    </w:rPr>
  </w:style>
  <w:style w:type="paragraph" w:customStyle="1" w:styleId="259">
    <w:name w:val="xl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260">
    <w:name w:val="xl66"/>
    <w:basedOn w:val="1"/>
    <w:qFormat/>
    <w:uiPriority w:val="0"/>
    <w:pPr>
      <w:widowControl/>
      <w:spacing w:before="100" w:beforeAutospacing="1" w:after="100" w:afterAutospacing="1"/>
      <w:jc w:val="center"/>
    </w:pPr>
    <w:rPr>
      <w:rFonts w:ascii="宋体" w:hAnsi="宋体" w:cs="宋体"/>
      <w:b/>
      <w:bCs/>
      <w:color w:val="FF0000"/>
      <w:kern w:val="0"/>
      <w:sz w:val="24"/>
    </w:rPr>
  </w:style>
  <w:style w:type="paragraph" w:customStyle="1" w:styleId="26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62">
    <w:name w:val="xl68"/>
    <w:basedOn w:val="1"/>
    <w:qFormat/>
    <w:uiPriority w:val="0"/>
    <w:pPr>
      <w:widowControl/>
      <w:spacing w:before="100" w:beforeAutospacing="1" w:after="100" w:afterAutospacing="1"/>
      <w:jc w:val="center"/>
    </w:pPr>
    <w:rPr>
      <w:rFonts w:ascii="宋体" w:hAnsi="宋体" w:cs="宋体"/>
      <w:b/>
      <w:bCs/>
      <w:kern w:val="0"/>
      <w:sz w:val="24"/>
    </w:rPr>
  </w:style>
  <w:style w:type="paragraph" w:customStyle="1" w:styleId="26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64">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24"/>
    </w:rPr>
  </w:style>
  <w:style w:type="paragraph" w:customStyle="1" w:styleId="265">
    <w:name w:val="xl71"/>
    <w:basedOn w:val="1"/>
    <w:qFormat/>
    <w:uiPriority w:val="0"/>
    <w:pPr>
      <w:widowControl/>
      <w:shd w:val="clear" w:color="000000" w:fill="FFFF00"/>
      <w:spacing w:before="100" w:beforeAutospacing="1" w:after="100" w:afterAutospacing="1"/>
      <w:jc w:val="center"/>
    </w:pPr>
    <w:rPr>
      <w:rFonts w:ascii="宋体" w:hAnsi="宋体" w:cs="宋体"/>
      <w:kern w:val="0"/>
      <w:sz w:val="24"/>
    </w:rPr>
  </w:style>
  <w:style w:type="paragraph" w:customStyle="1" w:styleId="26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267">
    <w:name w:val="xl73"/>
    <w:basedOn w:val="1"/>
    <w:qFormat/>
    <w:uiPriority w:val="0"/>
    <w:pPr>
      <w:widowControl/>
      <w:spacing w:before="100" w:beforeAutospacing="1" w:after="100" w:afterAutospacing="1"/>
      <w:jc w:val="center"/>
    </w:pPr>
    <w:rPr>
      <w:rFonts w:ascii="宋体" w:hAnsi="宋体" w:cs="宋体"/>
      <w:color w:val="FF0000"/>
      <w:kern w:val="0"/>
      <w:sz w:val="24"/>
    </w:rPr>
  </w:style>
  <w:style w:type="paragraph" w:customStyle="1" w:styleId="268">
    <w:name w:val="标题2"/>
    <w:basedOn w:val="1"/>
    <w:next w:val="1"/>
    <w:qFormat/>
    <w:uiPriority w:val="0"/>
    <w:pPr>
      <w:spacing w:before="240" w:after="60"/>
      <w:jc w:val="center"/>
      <w:outlineLvl w:val="0"/>
    </w:pPr>
    <w:rPr>
      <w:rFonts w:ascii="Cambria" w:hAnsi="Cambria"/>
      <w:b/>
      <w:bCs/>
      <w:sz w:val="32"/>
      <w:szCs w:val="32"/>
    </w:rPr>
  </w:style>
  <w:style w:type="paragraph" w:customStyle="1" w:styleId="269">
    <w:name w:val="Char Char Char Char1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70">
    <w:name w:val="Char Char1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71">
    <w:name w:val="Char1 Char Char Char"/>
    <w:basedOn w:val="1"/>
    <w:qFormat/>
    <w:uiPriority w:val="0"/>
    <w:rPr>
      <w:rFonts w:ascii="Tahoma" w:hAnsi="Tahoma"/>
      <w:sz w:val="24"/>
      <w:szCs w:val="20"/>
    </w:rPr>
  </w:style>
  <w:style w:type="paragraph" w:customStyle="1" w:styleId="272">
    <w:name w:val="_Style 26"/>
    <w:basedOn w:val="1"/>
    <w:qFormat/>
    <w:uiPriority w:val="0"/>
    <w:pPr>
      <w:widowControl/>
      <w:spacing w:after="160" w:line="240" w:lineRule="exact"/>
      <w:jc w:val="left"/>
    </w:pPr>
  </w:style>
  <w:style w:type="paragraph" w:customStyle="1" w:styleId="273">
    <w:name w:val="样式4"/>
    <w:basedOn w:val="1"/>
    <w:qFormat/>
    <w:uiPriority w:val="0"/>
    <w:pPr>
      <w:jc w:val="center"/>
      <w:outlineLvl w:val="0"/>
    </w:pPr>
    <w:rPr>
      <w:b/>
      <w:sz w:val="32"/>
      <w:szCs w:val="20"/>
    </w:rPr>
  </w:style>
  <w:style w:type="paragraph" w:customStyle="1" w:styleId="274">
    <w:name w:val="ListeNum"/>
    <w:basedOn w:val="39"/>
    <w:qFormat/>
    <w:uiPriority w:val="0"/>
    <w:pPr>
      <w:numPr>
        <w:ilvl w:val="0"/>
        <w:numId w:val="10"/>
      </w:numPr>
      <w:tabs>
        <w:tab w:val="left" w:pos="375"/>
        <w:tab w:val="left" w:pos="1005"/>
      </w:tabs>
      <w:adjustRightInd/>
      <w:spacing w:before="120" w:line="240" w:lineRule="auto"/>
      <w:ind w:left="283" w:right="-357" w:hanging="283"/>
    </w:pPr>
    <w:rPr>
      <w:rFonts w:ascii="Arial" w:hAnsi="Arial"/>
      <w:snapToGrid w:val="0"/>
      <w:sz w:val="22"/>
      <w:lang w:eastAsia="en-US"/>
    </w:rPr>
  </w:style>
  <w:style w:type="paragraph" w:customStyle="1" w:styleId="275">
    <w:name w:val="修订4"/>
    <w:unhideWhenUsed/>
    <w:qFormat/>
    <w:uiPriority w:val="0"/>
    <w:rPr>
      <w:rFonts w:ascii="Times New Roman" w:hAnsi="Times New Roman" w:eastAsia="宋体" w:cs="Times New Roman"/>
      <w:kern w:val="2"/>
      <w:sz w:val="21"/>
      <w:szCs w:val="24"/>
      <w:lang w:val="en-US" w:eastAsia="zh-CN" w:bidi="ar-SA"/>
    </w:rPr>
  </w:style>
  <w:style w:type="paragraph" w:customStyle="1" w:styleId="276">
    <w:name w:val="表"/>
    <w:basedOn w:val="1"/>
    <w:qFormat/>
    <w:uiPriority w:val="99"/>
    <w:pPr>
      <w:spacing w:line="360" w:lineRule="auto"/>
    </w:pPr>
    <w:rPr>
      <w:rFonts w:cs="Garamond"/>
      <w:b/>
      <w:bCs/>
      <w:color w:val="FF0000"/>
      <w:szCs w:val="20"/>
    </w:rPr>
  </w:style>
  <w:style w:type="paragraph" w:customStyle="1" w:styleId="277">
    <w:name w:val="二级无"/>
    <w:basedOn w:val="75"/>
    <w:qFormat/>
    <w:uiPriority w:val="0"/>
    <w:pPr>
      <w:numPr>
        <w:ilvl w:val="0"/>
        <w:numId w:val="3"/>
      </w:numPr>
      <w:spacing w:before="0" w:beforeLines="0" w:after="0" w:afterLines="0" w:line="240" w:lineRule="auto"/>
      <w:jc w:val="left"/>
      <w:outlineLvl w:val="3"/>
    </w:pPr>
    <w:rPr>
      <w:rFonts w:hint="eastAsia"/>
      <w:sz w:val="21"/>
    </w:rPr>
  </w:style>
  <w:style w:type="paragraph" w:customStyle="1" w:styleId="278">
    <w:name w:val="字母编号列项（一级）"/>
    <w:qFormat/>
    <w:uiPriority w:val="0"/>
    <w:pPr>
      <w:numPr>
        <w:ilvl w:val="0"/>
        <w:numId w:val="11"/>
      </w:numPr>
      <w:tabs>
        <w:tab w:val="left" w:pos="840"/>
      </w:tabs>
      <w:jc w:val="both"/>
    </w:pPr>
    <w:rPr>
      <w:rFonts w:ascii="宋体" w:hAnsi="Times New Roman" w:eastAsia="宋体" w:cs="Times New Roman"/>
      <w:sz w:val="21"/>
      <w:lang w:val="en-US" w:eastAsia="zh-CN" w:bidi="ar-SA"/>
    </w:rPr>
  </w:style>
  <w:style w:type="paragraph" w:customStyle="1" w:styleId="279">
    <w:name w:val="一级无"/>
    <w:basedOn w:val="76"/>
    <w:qFormat/>
    <w:uiPriority w:val="0"/>
    <w:pPr>
      <w:tabs>
        <w:tab w:val="clear" w:pos="360"/>
        <w:tab w:val="clear" w:pos="840"/>
      </w:tabs>
      <w:spacing w:before="0" w:beforeLines="0" w:after="0" w:afterLines="0" w:line="240" w:lineRule="auto"/>
      <w:ind w:firstLine="0"/>
      <w:jc w:val="left"/>
      <w:outlineLvl w:val="2"/>
    </w:pPr>
    <w:rPr>
      <w:rFonts w:hint="eastAsia" w:ascii="宋体" w:eastAsia="宋体"/>
      <w:b w:val="0"/>
      <w:sz w:val="21"/>
    </w:rPr>
  </w:style>
  <w:style w:type="paragraph" w:customStyle="1" w:styleId="280">
    <w:name w:val="地址"/>
    <w:qFormat/>
    <w:uiPriority w:val="0"/>
    <w:pPr>
      <w:tabs>
        <w:tab w:val="right" w:pos="8505"/>
      </w:tabs>
      <w:spacing w:after="40"/>
    </w:pPr>
    <w:rPr>
      <w:rFonts w:ascii="Helvetica Neue" w:hAnsi="Helvetica Neue" w:eastAsia="ヒラギノ角ゴ Pro W3" w:cs="Times New Roman"/>
      <w:color w:val="32302E"/>
      <w:spacing w:val="7"/>
      <w:sz w:val="14"/>
      <w:szCs w:val="22"/>
      <w:lang w:val="en-US" w:eastAsia="zh-CN" w:bidi="ar-SA"/>
    </w:rPr>
  </w:style>
  <w:style w:type="paragraph" w:customStyle="1" w:styleId="281">
    <w:name w:val="Char2 Char Char"/>
    <w:basedOn w:val="1"/>
    <w:qFormat/>
    <w:uiPriority w:val="0"/>
    <w:rPr>
      <w:rFonts w:ascii="Tahoma" w:hAnsi="Tahoma"/>
      <w:sz w:val="24"/>
      <w:szCs w:val="20"/>
    </w:rPr>
  </w:style>
  <w:style w:type="paragraph" w:customStyle="1" w:styleId="282">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283">
    <w:name w:val="TOC 标题2"/>
    <w:basedOn w:val="2"/>
    <w:next w:val="1"/>
    <w:qFormat/>
    <w:uiPriority w:val="0"/>
    <w:pPr>
      <w:widowControl/>
      <w:adjustRightInd/>
      <w:spacing w:before="480" w:after="0" w:line="276" w:lineRule="auto"/>
      <w:jc w:val="left"/>
      <w:outlineLvl w:val="9"/>
    </w:pPr>
    <w:rPr>
      <w:rFonts w:ascii="Cambria" w:hAnsi="Cambria"/>
      <w:bCs/>
      <w:color w:val="365F91"/>
      <w:kern w:val="0"/>
      <w:sz w:val="28"/>
      <w:szCs w:val="28"/>
      <w:lang w:val="zh-CN"/>
    </w:rPr>
  </w:style>
  <w:style w:type="paragraph" w:customStyle="1" w:styleId="28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85">
    <w:name w:val="样式3"/>
    <w:basedOn w:val="28"/>
    <w:qFormat/>
    <w:uiPriority w:val="0"/>
    <w:pPr>
      <w:spacing w:line="240" w:lineRule="atLeast"/>
      <w:outlineLvl w:val="0"/>
    </w:pPr>
    <w:rPr>
      <w:rFonts w:hint="default"/>
      <w:sz w:val="28"/>
    </w:rPr>
  </w:style>
  <w:style w:type="paragraph" w:customStyle="1" w:styleId="286">
    <w:name w:val="目录文字"/>
    <w:basedOn w:val="1"/>
    <w:qFormat/>
    <w:uiPriority w:val="0"/>
    <w:pPr>
      <w:widowControl/>
      <w:spacing w:line="480" w:lineRule="auto"/>
      <w:jc w:val="left"/>
    </w:pPr>
    <w:rPr>
      <w:rFonts w:ascii="宋体" w:hAnsi="宋体"/>
      <w:kern w:val="0"/>
      <w:sz w:val="24"/>
      <w:szCs w:val="20"/>
    </w:rPr>
  </w:style>
  <w:style w:type="paragraph" w:customStyle="1" w:styleId="287">
    <w:name w:val="p15"/>
    <w:basedOn w:val="1"/>
    <w:qFormat/>
    <w:uiPriority w:val="0"/>
    <w:pPr>
      <w:widowControl/>
    </w:pPr>
    <w:rPr>
      <w:rFonts w:ascii="宋体" w:hAnsi="宋体" w:cs="宋体"/>
      <w:kern w:val="0"/>
      <w:sz w:val="24"/>
    </w:rPr>
  </w:style>
  <w:style w:type="paragraph" w:customStyle="1" w:styleId="288">
    <w:name w:val="GP正文(首行缩进)"/>
    <w:basedOn w:val="1"/>
    <w:link w:val="593"/>
    <w:qFormat/>
    <w:uiPriority w:val="0"/>
    <w:pPr>
      <w:ind w:firstLine="482"/>
    </w:pPr>
    <w:rPr>
      <w:rFonts w:ascii="宋体" w:hAnsi="宋体"/>
      <w:kern w:val="0"/>
      <w:sz w:val="24"/>
    </w:rPr>
  </w:style>
  <w:style w:type="paragraph" w:customStyle="1" w:styleId="289">
    <w:name w:val="无间隔112"/>
    <w:link w:val="595"/>
    <w:qFormat/>
    <w:uiPriority w:val="0"/>
    <w:rPr>
      <w:rFonts w:ascii="Times New Roman" w:hAnsi="Times New Roman" w:eastAsia="宋体" w:cs="Times New Roman"/>
      <w:sz w:val="22"/>
      <w:lang w:val="en-US" w:eastAsia="zh-CN" w:bidi="ar-SA"/>
    </w:rPr>
  </w:style>
  <w:style w:type="paragraph" w:customStyle="1" w:styleId="290">
    <w:name w:val="段落内容二级列表"/>
    <w:basedOn w:val="1"/>
    <w:link w:val="598"/>
    <w:qFormat/>
    <w:uiPriority w:val="0"/>
    <w:rPr>
      <w:rFonts w:ascii="宋体" w:hAnsi="宋体"/>
      <w:kern w:val="0"/>
      <w:sz w:val="24"/>
      <w:lang w:bidi="en-US"/>
    </w:rPr>
  </w:style>
  <w:style w:type="paragraph" w:customStyle="1" w:styleId="291">
    <w:name w:val="正文段落内容"/>
    <w:basedOn w:val="1"/>
    <w:link w:val="599"/>
    <w:qFormat/>
    <w:uiPriority w:val="0"/>
    <w:pPr>
      <w:ind w:firstLine="425" w:firstLineChars="177"/>
    </w:pPr>
    <w:rPr>
      <w:rFonts w:ascii="宋体" w:hAnsi="宋体"/>
      <w:kern w:val="0"/>
      <w:sz w:val="24"/>
      <w:lang w:bidi="en-US"/>
    </w:rPr>
  </w:style>
  <w:style w:type="paragraph" w:customStyle="1" w:styleId="292">
    <w:name w:val="MM Topic 3"/>
    <w:basedOn w:val="5"/>
    <w:link w:val="606"/>
    <w:qFormat/>
    <w:uiPriority w:val="0"/>
    <w:pPr>
      <w:widowControl/>
      <w:adjustRightInd/>
      <w:spacing w:before="260" w:after="260" w:line="416" w:lineRule="auto"/>
      <w:jc w:val="both"/>
    </w:pPr>
    <w:rPr>
      <w:rFonts w:ascii="Times New Roman"/>
      <w:bCs/>
      <w:sz w:val="32"/>
      <w:szCs w:val="32"/>
      <w:u w:val="none"/>
    </w:rPr>
  </w:style>
  <w:style w:type="paragraph" w:customStyle="1" w:styleId="293">
    <w:name w:val="图表编号及题目"/>
    <w:basedOn w:val="1"/>
    <w:link w:val="607"/>
    <w:qFormat/>
    <w:uiPriority w:val="99"/>
    <w:pPr>
      <w:adjustRightInd w:val="0"/>
      <w:snapToGrid w:val="0"/>
      <w:spacing w:before="60" w:after="60" w:line="300" w:lineRule="auto"/>
      <w:ind w:firstLine="420"/>
      <w:jc w:val="center"/>
    </w:pPr>
    <w:rPr>
      <w:rFonts w:ascii="黑体" w:eastAsia="黑体"/>
      <w:b/>
      <w:bCs/>
      <w:kern w:val="0"/>
      <w:sz w:val="20"/>
      <w:szCs w:val="21"/>
    </w:rPr>
  </w:style>
  <w:style w:type="paragraph" w:customStyle="1" w:styleId="294">
    <w:name w:val="标书突出内容（文字加粗）"/>
    <w:basedOn w:val="291"/>
    <w:next w:val="291"/>
    <w:link w:val="610"/>
    <w:qFormat/>
    <w:uiPriority w:val="1"/>
    <w:rPr>
      <w:b/>
    </w:rPr>
  </w:style>
  <w:style w:type="paragraph" w:customStyle="1" w:styleId="295">
    <w:name w:val="段落内容一级列表"/>
    <w:basedOn w:val="1"/>
    <w:link w:val="621"/>
    <w:qFormat/>
    <w:uiPriority w:val="0"/>
    <w:pPr>
      <w:adjustRightInd w:val="0"/>
    </w:pPr>
    <w:rPr>
      <w:rFonts w:ascii="宋体" w:hAnsi="宋体"/>
      <w:kern w:val="0"/>
      <w:sz w:val="24"/>
      <w:lang w:bidi="en-US"/>
    </w:rPr>
  </w:style>
  <w:style w:type="paragraph" w:customStyle="1" w:styleId="296">
    <w:name w:val="MM Topic 1"/>
    <w:basedOn w:val="2"/>
    <w:link w:val="622"/>
    <w:qFormat/>
    <w:uiPriority w:val="0"/>
    <w:pPr>
      <w:adjustRightInd/>
      <w:spacing w:before="100" w:beforeAutospacing="1" w:after="100" w:afterAutospacing="1" w:line="576" w:lineRule="auto"/>
      <w:jc w:val="both"/>
    </w:pPr>
    <w:rPr>
      <w:rFonts w:ascii="Times New Roman"/>
      <w:bCs/>
      <w:sz w:val="36"/>
      <w:szCs w:val="44"/>
    </w:rPr>
  </w:style>
  <w:style w:type="paragraph" w:customStyle="1" w:styleId="297">
    <w:name w:val="段落内容三级列表"/>
    <w:link w:val="623"/>
    <w:qFormat/>
    <w:uiPriority w:val="0"/>
    <w:pPr>
      <w:spacing w:line="360" w:lineRule="auto"/>
    </w:pPr>
    <w:rPr>
      <w:rFonts w:ascii="宋体" w:hAnsi="宋体" w:eastAsia="宋体" w:cs="Times New Roman"/>
      <w:sz w:val="24"/>
      <w:szCs w:val="24"/>
      <w:lang w:val="en-US" w:eastAsia="zh-CN" w:bidi="en-US"/>
    </w:rPr>
  </w:style>
  <w:style w:type="paragraph" w:customStyle="1" w:styleId="298">
    <w:name w:val="段落内容无序列表"/>
    <w:basedOn w:val="1"/>
    <w:link w:val="641"/>
    <w:qFormat/>
    <w:uiPriority w:val="0"/>
    <w:pPr>
      <w:widowControl/>
      <w:wordWrap w:val="0"/>
      <w:ind w:left="420" w:firstLine="177" w:firstLineChars="177"/>
    </w:pPr>
    <w:rPr>
      <w:rFonts w:ascii="宋体" w:hAnsi="宋体"/>
      <w:kern w:val="0"/>
      <w:sz w:val="24"/>
      <w:lang w:bidi="en-US"/>
    </w:rPr>
  </w:style>
  <w:style w:type="paragraph" w:customStyle="1" w:styleId="299">
    <w:name w:val="MM Topic 4"/>
    <w:basedOn w:val="6"/>
    <w:link w:val="643"/>
    <w:qFormat/>
    <w:uiPriority w:val="0"/>
    <w:pPr>
      <w:adjustRightInd/>
      <w:spacing w:before="100" w:beforeAutospacing="1" w:after="100" w:afterAutospacing="1" w:line="374" w:lineRule="auto"/>
      <w:textAlignment w:val="auto"/>
    </w:pPr>
    <w:rPr>
      <w:bCs/>
      <w:szCs w:val="28"/>
    </w:rPr>
  </w:style>
  <w:style w:type="paragraph" w:customStyle="1" w:styleId="300">
    <w:name w:val="投标书正文"/>
    <w:link w:val="645"/>
    <w:qFormat/>
    <w:uiPriority w:val="0"/>
    <w:pPr>
      <w:autoSpaceDE w:val="0"/>
      <w:spacing w:line="360" w:lineRule="auto"/>
      <w:ind w:firstLine="200" w:firstLineChars="200"/>
    </w:pPr>
    <w:rPr>
      <w:rFonts w:ascii="Times New Roman" w:hAnsi="Times New Roman" w:eastAsia="宋体" w:cs="Times New Roman"/>
      <w:sz w:val="24"/>
      <w:szCs w:val="24"/>
      <w:lang w:val="en-US" w:eastAsia="zh-CN" w:bidi="ar-SA"/>
    </w:rPr>
  </w:style>
  <w:style w:type="paragraph" w:customStyle="1" w:styleId="301">
    <w:name w:val="正文 xxha"/>
    <w:basedOn w:val="1"/>
    <w:link w:val="648"/>
    <w:qFormat/>
    <w:uiPriority w:val="0"/>
    <w:pPr>
      <w:snapToGrid w:val="0"/>
      <w:spacing w:line="360" w:lineRule="auto"/>
      <w:ind w:firstLine="200" w:firstLineChars="200"/>
    </w:pPr>
    <w:rPr>
      <w:kern w:val="0"/>
      <w:sz w:val="24"/>
    </w:rPr>
  </w:style>
  <w:style w:type="paragraph" w:customStyle="1" w:styleId="302">
    <w:name w:val="MM Topic 2"/>
    <w:basedOn w:val="3"/>
    <w:link w:val="649"/>
    <w:qFormat/>
    <w:uiPriority w:val="0"/>
    <w:pPr>
      <w:widowControl/>
      <w:adjustRightInd/>
      <w:spacing w:before="260" w:after="260" w:line="416" w:lineRule="auto"/>
    </w:pPr>
    <w:rPr>
      <w:rFonts w:ascii="Cambria" w:hAnsi="Cambria" w:eastAsia="宋体"/>
      <w:bCs/>
      <w:sz w:val="32"/>
      <w:szCs w:val="32"/>
    </w:rPr>
  </w:style>
  <w:style w:type="paragraph" w:customStyle="1" w:styleId="303">
    <w:name w:val="图片（居中）"/>
    <w:basedOn w:val="1"/>
    <w:next w:val="291"/>
    <w:link w:val="653"/>
    <w:qFormat/>
    <w:uiPriority w:val="0"/>
    <w:pPr>
      <w:jc w:val="center"/>
    </w:pPr>
    <w:rPr>
      <w:rFonts w:ascii="宋体" w:hAnsi="宋体"/>
      <w:kern w:val="0"/>
      <w:sz w:val="24"/>
      <w:lang w:bidi="en-US"/>
    </w:rPr>
  </w:style>
  <w:style w:type="paragraph" w:customStyle="1" w:styleId="304">
    <w:name w:val="正文1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05">
    <w:name w:val="Char Char Char Char Char Char Char Char Char Char Char Char Char"/>
    <w:basedOn w:val="1"/>
    <w:qFormat/>
    <w:uiPriority w:val="0"/>
    <w:rPr>
      <w:rFonts w:ascii="仿宋_GB2312" w:hAnsi="Calibri" w:eastAsia="仿宋_GB2312"/>
      <w:b/>
      <w:sz w:val="32"/>
      <w:szCs w:val="32"/>
    </w:rPr>
  </w:style>
  <w:style w:type="paragraph" w:customStyle="1" w:styleId="306">
    <w:name w:val="item1.1"/>
    <w:basedOn w:val="1"/>
    <w:qFormat/>
    <w:uiPriority w:val="0"/>
    <w:pPr>
      <w:tabs>
        <w:tab w:val="left" w:pos="4140"/>
      </w:tabs>
      <w:spacing w:line="700" w:lineRule="exact"/>
    </w:pPr>
    <w:rPr>
      <w:rFonts w:ascii="宋体" w:hAnsi="宋体"/>
      <w:sz w:val="24"/>
    </w:rPr>
  </w:style>
  <w:style w:type="paragraph" w:customStyle="1" w:styleId="307">
    <w:name w:val="菲页2"/>
    <w:basedOn w:val="5"/>
    <w:qFormat/>
    <w:uiPriority w:val="0"/>
    <w:pPr>
      <w:widowControl/>
      <w:tabs>
        <w:tab w:val="left" w:pos="1241"/>
      </w:tabs>
      <w:adjustRightInd/>
      <w:spacing w:before="120" w:line="360" w:lineRule="auto"/>
      <w:ind w:left="1241" w:hanging="420"/>
      <w:jc w:val="center"/>
    </w:pPr>
    <w:rPr>
      <w:rFonts w:ascii="黑体" w:hAnsi="宋体" w:eastAsia="黑体"/>
      <w:b w:val="0"/>
      <w:sz w:val="44"/>
      <w:u w:val="none"/>
    </w:rPr>
  </w:style>
  <w:style w:type="paragraph" w:customStyle="1" w:styleId="308">
    <w:name w:val="样式 标题 2 + (西文) 方正书宋简体 (中文) 方正黑体简体 非加粗 黑色 行距: 固定值 15 磅1"/>
    <w:basedOn w:val="3"/>
    <w:qFormat/>
    <w:uiPriority w:val="0"/>
    <w:pPr>
      <w:tabs>
        <w:tab w:val="left" w:pos="1134"/>
      </w:tabs>
      <w:adjustRightInd/>
      <w:spacing w:before="0" w:line="300" w:lineRule="exact"/>
      <w:jc w:val="left"/>
    </w:pPr>
    <w:rPr>
      <w:rFonts w:ascii="方正书宋简体" w:hAnsi="宋体" w:eastAsia="方正小标宋简体" w:cs="宋体"/>
      <w:b w:val="0"/>
      <w:color w:val="000000"/>
      <w:kern w:val="2"/>
      <w:sz w:val="21"/>
    </w:rPr>
  </w:style>
  <w:style w:type="paragraph" w:customStyle="1" w:styleId="309">
    <w:name w:val="正文文本 21"/>
    <w:basedOn w:val="1"/>
    <w:qFormat/>
    <w:uiPriority w:val="0"/>
    <w:pPr>
      <w:adjustRightInd w:val="0"/>
      <w:spacing w:line="300" w:lineRule="auto"/>
      <w:jc w:val="center"/>
      <w:textAlignment w:val="baseline"/>
    </w:pPr>
    <w:rPr>
      <w:rFonts w:ascii="宋体" w:hAnsi="宋体"/>
      <w:sz w:val="24"/>
    </w:rPr>
  </w:style>
  <w:style w:type="paragraph" w:customStyle="1" w:styleId="310">
    <w:name w:val="xl54"/>
    <w:basedOn w:val="1"/>
    <w:qFormat/>
    <w:uiPriority w:val="0"/>
    <w:pPr>
      <w:widowControl/>
      <w:spacing w:before="100" w:beforeAutospacing="1" w:after="100" w:afterAutospacing="1"/>
      <w:jc w:val="left"/>
    </w:pPr>
    <w:rPr>
      <w:rFonts w:ascii="Arial Unicode MS" w:hAnsi="Arial Unicode MS" w:cs="Arial Unicode MS"/>
      <w:kern w:val="0"/>
      <w:sz w:val="24"/>
    </w:rPr>
  </w:style>
  <w:style w:type="paragraph" w:customStyle="1" w:styleId="311">
    <w:name w:val="SANGFOR_6_1级编号"/>
    <w:basedOn w:val="1"/>
    <w:qFormat/>
    <w:uiPriority w:val="0"/>
    <w:pPr>
      <w:tabs>
        <w:tab w:val="left" w:pos="0"/>
      </w:tabs>
    </w:pPr>
    <w:rPr>
      <w:rFonts w:ascii="Calibri" w:hAnsi="Calibri"/>
    </w:rPr>
  </w:style>
  <w:style w:type="paragraph" w:customStyle="1" w:styleId="312">
    <w:name w:val="Char Char1 Char Char Char Char Char Char Char"/>
    <w:basedOn w:val="1"/>
    <w:qFormat/>
    <w:uiPriority w:val="0"/>
    <w:rPr>
      <w:rFonts w:ascii="Tahoma" w:hAnsi="Tahoma"/>
      <w:sz w:val="24"/>
      <w:szCs w:val="20"/>
    </w:rPr>
  </w:style>
  <w:style w:type="paragraph" w:customStyle="1" w:styleId="313">
    <w:name w:val="样式 首行缩进:  2 字符"/>
    <w:basedOn w:val="1"/>
    <w:qFormat/>
    <w:uiPriority w:val="0"/>
    <w:pPr>
      <w:spacing w:line="360" w:lineRule="auto"/>
      <w:ind w:firstLine="480" w:firstLineChars="200"/>
    </w:pPr>
    <w:rPr>
      <w:rFonts w:ascii="宋体" w:cs="宋体"/>
      <w:sz w:val="24"/>
    </w:rPr>
  </w:style>
  <w:style w:type="paragraph" w:customStyle="1" w:styleId="314">
    <w:name w:val="标书正文"/>
    <w:basedOn w:val="1"/>
    <w:qFormat/>
    <w:uiPriority w:val="0"/>
    <w:pPr>
      <w:tabs>
        <w:tab w:val="left" w:pos="600"/>
      </w:tabs>
      <w:snapToGrid w:val="0"/>
      <w:spacing w:line="480" w:lineRule="atLeast"/>
      <w:jc w:val="center"/>
    </w:pPr>
    <w:rPr>
      <w:rFonts w:ascii="Calibri" w:hAnsi="Calibri" w:eastAsia="黑体"/>
      <w:b/>
      <w:sz w:val="30"/>
      <w:szCs w:val="30"/>
    </w:rPr>
  </w:style>
  <w:style w:type="paragraph" w:customStyle="1" w:styleId="315">
    <w:name w:val="_Style 234"/>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6">
    <w:name w:val="Style Heading 2 + Line spacing:  1.5 lines"/>
    <w:basedOn w:val="3"/>
    <w:qFormat/>
    <w:uiPriority w:val="0"/>
    <w:pPr>
      <w:adjustRightInd/>
      <w:spacing w:after="120" w:line="360" w:lineRule="auto"/>
    </w:pPr>
    <w:rPr>
      <w:rFonts w:ascii="Calibri" w:hAnsi="Calibri" w:eastAsia="宋体"/>
      <w:bCs/>
      <w:kern w:val="2"/>
      <w:sz w:val="32"/>
      <w:szCs w:val="32"/>
      <w:lang w:val="zh-CN"/>
    </w:rPr>
  </w:style>
  <w:style w:type="paragraph" w:customStyle="1" w:styleId="317">
    <w:name w:val="Char Char Char Char3"/>
    <w:basedOn w:val="1"/>
    <w:qFormat/>
    <w:uiPriority w:val="0"/>
    <w:pPr>
      <w:widowControl/>
      <w:spacing w:after="160" w:line="240" w:lineRule="exact"/>
      <w:jc w:val="left"/>
    </w:pPr>
    <w:rPr>
      <w:rFonts w:ascii="Calibri" w:hAnsi="Calibri"/>
      <w:szCs w:val="20"/>
    </w:rPr>
  </w:style>
  <w:style w:type="paragraph" w:customStyle="1" w:styleId="318">
    <w:name w:val="首行缩进"/>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paragraph" w:customStyle="1" w:styleId="319">
    <w:name w:val="普通(网站)11"/>
    <w:basedOn w:val="1"/>
    <w:qFormat/>
    <w:uiPriority w:val="0"/>
    <w:pPr>
      <w:widowControl/>
      <w:spacing w:before="100" w:beforeAutospacing="1" w:after="100" w:afterAutospacing="1"/>
      <w:jc w:val="left"/>
    </w:pPr>
    <w:rPr>
      <w:rFonts w:hint="eastAsia" w:ascii="宋体" w:hAnsi="Calibri"/>
      <w:kern w:val="0"/>
      <w:sz w:val="24"/>
    </w:rPr>
  </w:style>
  <w:style w:type="paragraph" w:customStyle="1" w:styleId="320">
    <w:name w:val="xl61"/>
    <w:basedOn w:val="1"/>
    <w:qFormat/>
    <w:uiPriority w:val="0"/>
    <w:pPr>
      <w:widowControl/>
      <w:spacing w:before="100" w:beforeAutospacing="1" w:after="100" w:afterAutospacing="1"/>
      <w:jc w:val="left"/>
      <w:textAlignment w:val="bottom"/>
    </w:pPr>
    <w:rPr>
      <w:rFonts w:ascii="Calibri" w:hAnsi="Calibri"/>
      <w:kern w:val="0"/>
      <w:sz w:val="24"/>
    </w:rPr>
  </w:style>
  <w:style w:type="paragraph" w:customStyle="1" w:styleId="321">
    <w:name w:val="3 Char Char Char Char Char Char Char Char Char Char Char Char"/>
    <w:basedOn w:val="1"/>
    <w:qFormat/>
    <w:uiPriority w:val="0"/>
    <w:rPr>
      <w:rFonts w:ascii="仿宋_GB2312" w:hAnsi="Calibri" w:eastAsia="仿宋_GB2312"/>
      <w:b/>
      <w:sz w:val="32"/>
      <w:szCs w:val="32"/>
    </w:rPr>
  </w:style>
  <w:style w:type="paragraph" w:customStyle="1" w:styleId="322">
    <w:name w:val="1111 Char Char Char Char"/>
    <w:basedOn w:val="1"/>
    <w:qFormat/>
    <w:uiPriority w:val="0"/>
    <w:pPr>
      <w:spacing w:line="360" w:lineRule="auto"/>
      <w:ind w:firstLine="560" w:firstLineChars="200"/>
    </w:pPr>
    <w:rPr>
      <w:rFonts w:ascii="Calibri" w:hAnsi="Calibri"/>
      <w:szCs w:val="20"/>
    </w:rPr>
  </w:style>
  <w:style w:type="paragraph" w:customStyle="1" w:styleId="323">
    <w:name w:val="纯文本1"/>
    <w:basedOn w:val="1"/>
    <w:qFormat/>
    <w:uiPriority w:val="0"/>
    <w:rPr>
      <w:rFonts w:ascii="宋体" w:hAnsi="Courier New"/>
      <w:szCs w:val="20"/>
    </w:rPr>
  </w:style>
  <w:style w:type="paragraph" w:customStyle="1" w:styleId="324">
    <w:name w:val="菲页(卷)"/>
    <w:basedOn w:val="2"/>
    <w:next w:val="304"/>
    <w:qFormat/>
    <w:uiPriority w:val="0"/>
    <w:pPr>
      <w:widowControl/>
      <w:tabs>
        <w:tab w:val="left" w:pos="435"/>
      </w:tabs>
      <w:adjustRightInd/>
      <w:spacing w:before="0" w:after="0" w:line="240" w:lineRule="auto"/>
      <w:ind w:left="435" w:hanging="454"/>
      <w:outlineLvl w:val="1"/>
    </w:pPr>
    <w:rPr>
      <w:rFonts w:ascii="黑体" w:hAnsi="Calibri" w:eastAsia="黑体"/>
      <w:b w:val="0"/>
      <w:kern w:val="0"/>
      <w:sz w:val="52"/>
      <w:lang w:val="zh-CN"/>
    </w:rPr>
  </w:style>
  <w:style w:type="paragraph" w:customStyle="1" w:styleId="325">
    <w:name w:val="正文 + Arial"/>
    <w:basedOn w:val="1"/>
    <w:qFormat/>
    <w:uiPriority w:val="0"/>
    <w:pPr>
      <w:jc w:val="center"/>
    </w:pPr>
    <w:rPr>
      <w:rFonts w:ascii="宋体" w:hAnsi="宋体" w:cs="Arial"/>
      <w:szCs w:val="21"/>
    </w:rPr>
  </w:style>
  <w:style w:type="paragraph" w:customStyle="1" w:styleId="326">
    <w:name w:val="xl57"/>
    <w:basedOn w:val="1"/>
    <w:qFormat/>
    <w:uiPriority w:val="0"/>
    <w:pPr>
      <w:widowControl/>
      <w:pBdr>
        <w:top w:val="single" w:color="auto" w:sz="4" w:space="0"/>
        <w:right w:val="single" w:color="auto" w:sz="4" w:space="0"/>
      </w:pBdr>
      <w:spacing w:before="100" w:beforeAutospacing="1" w:after="100" w:afterAutospacing="1"/>
      <w:jc w:val="left"/>
      <w:textAlignment w:val="bottom"/>
    </w:pPr>
    <w:rPr>
      <w:rFonts w:ascii="Arial Unicode MS" w:hAnsi="Arial Unicode MS" w:cs="Arial Unicode MS"/>
      <w:kern w:val="0"/>
      <w:sz w:val="24"/>
    </w:rPr>
  </w:style>
  <w:style w:type="paragraph" w:customStyle="1" w:styleId="327">
    <w:name w:val="MM Topic 5"/>
    <w:basedOn w:val="7"/>
    <w:qFormat/>
    <w:uiPriority w:val="0"/>
    <w:pPr>
      <w:adjustRightInd/>
      <w:spacing w:line="374" w:lineRule="auto"/>
      <w:ind w:firstLine="200" w:firstLineChars="200"/>
      <w:textAlignment w:val="auto"/>
    </w:pPr>
    <w:rPr>
      <w:bCs/>
      <w:szCs w:val="28"/>
      <w:lang w:val="zh-CN" w:eastAsia="ar-SA"/>
    </w:rPr>
  </w:style>
  <w:style w:type="paragraph" w:customStyle="1" w:styleId="328">
    <w:name w:val="TOC 标题21"/>
    <w:basedOn w:val="2"/>
    <w:next w:val="1"/>
    <w:qFormat/>
    <w:uiPriority w:val="39"/>
    <w:pPr>
      <w:widowControl/>
      <w:tabs>
        <w:tab w:val="left" w:pos="432"/>
      </w:tabs>
      <w:adjustRightInd/>
      <w:spacing w:before="480" w:after="0" w:line="276" w:lineRule="auto"/>
      <w:jc w:val="left"/>
      <w:outlineLvl w:val="9"/>
    </w:pPr>
    <w:rPr>
      <w:rFonts w:ascii="Cambria" w:hAnsi="Cambria"/>
      <w:bCs/>
      <w:color w:val="365F91"/>
      <w:sz w:val="28"/>
      <w:szCs w:val="28"/>
      <w:lang w:val="zh-CN"/>
    </w:rPr>
  </w:style>
  <w:style w:type="paragraph" w:customStyle="1" w:styleId="329">
    <w:name w:val="列表1"/>
    <w:basedOn w:val="1"/>
    <w:qFormat/>
    <w:uiPriority w:val="0"/>
    <w:pPr>
      <w:tabs>
        <w:tab w:val="left" w:pos="360"/>
      </w:tabs>
      <w:spacing w:line="328" w:lineRule="auto"/>
      <w:ind w:left="360" w:hanging="360"/>
      <w:jc w:val="center"/>
    </w:pPr>
    <w:rPr>
      <w:rFonts w:ascii="宋体" w:hAnsi="宋体"/>
      <w:sz w:val="24"/>
      <w:szCs w:val="44"/>
    </w:rPr>
  </w:style>
  <w:style w:type="paragraph" w:customStyle="1" w:styleId="330">
    <w:name w:val="Char Char Char Char Char Char Char Char Char2 Char Char Char Char Char Char Char Char Char Char Char Char Char1"/>
    <w:basedOn w:val="1"/>
    <w:qFormat/>
    <w:uiPriority w:val="0"/>
    <w:rPr>
      <w:rFonts w:ascii="Calibri" w:hAnsi="Calibri"/>
    </w:rPr>
  </w:style>
  <w:style w:type="paragraph" w:customStyle="1" w:styleId="331">
    <w:name w:val="Char Char Char Char Char Char Char Char Char2 Char Char Char Char Char Char Char Char Char Char Char Char Char2"/>
    <w:basedOn w:val="1"/>
    <w:qFormat/>
    <w:uiPriority w:val="0"/>
    <w:rPr>
      <w:rFonts w:ascii="Calibri" w:hAnsi="Calibri"/>
    </w:rPr>
  </w:style>
  <w:style w:type="paragraph" w:customStyle="1" w:styleId="332">
    <w:name w:val="图片"/>
    <w:basedOn w:val="1"/>
    <w:next w:val="291"/>
    <w:qFormat/>
    <w:uiPriority w:val="0"/>
    <w:pPr>
      <w:jc w:val="center"/>
    </w:pPr>
    <w:rPr>
      <w:rFonts w:ascii="Calibri" w:hAnsi="Calibri" w:cs="宋体"/>
      <w:sz w:val="24"/>
    </w:rPr>
  </w:style>
  <w:style w:type="paragraph" w:customStyle="1" w:styleId="333">
    <w:name w:val="强调文字"/>
    <w:basedOn w:val="1"/>
    <w:qFormat/>
    <w:uiPriority w:val="0"/>
    <w:pPr>
      <w:spacing w:line="440" w:lineRule="exact"/>
      <w:ind w:firstLine="480" w:firstLineChars="200"/>
    </w:pPr>
    <w:rPr>
      <w:rFonts w:ascii="华文细黑" w:hAnsi="华文细黑" w:eastAsia="黑体" w:cs="Arial"/>
      <w:color w:val="800000"/>
      <w:kern w:val="0"/>
      <w:sz w:val="24"/>
      <w:szCs w:val="28"/>
    </w:rPr>
  </w:style>
  <w:style w:type="paragraph" w:customStyle="1" w:styleId="334">
    <w:name w:val="二级节标题"/>
    <w:next w:val="1"/>
    <w:qFormat/>
    <w:uiPriority w:val="0"/>
    <w:pPr>
      <w:tabs>
        <w:tab w:val="left" w:pos="672"/>
        <w:tab w:val="left" w:pos="1191"/>
      </w:tabs>
      <w:spacing w:before="240" w:after="240" w:line="400" w:lineRule="atLeast"/>
      <w:ind w:left="851" w:hanging="738"/>
      <w:outlineLvl w:val="2"/>
    </w:pPr>
    <w:rPr>
      <w:rFonts w:ascii="Arial" w:hAnsi="Arial" w:eastAsia="宋体" w:cs="Times New Roman"/>
      <w:b/>
      <w:sz w:val="30"/>
      <w:szCs w:val="30"/>
      <w:lang w:val="en-US" w:eastAsia="zh-CN" w:bidi="ar-SA"/>
    </w:rPr>
  </w:style>
  <w:style w:type="paragraph" w:customStyle="1" w:styleId="335">
    <w:name w:val="强调文字2"/>
    <w:basedOn w:val="333"/>
    <w:qFormat/>
    <w:uiPriority w:val="0"/>
    <w:rPr>
      <w:rFonts w:ascii="Calibri" w:hAnsi="Calibri" w:eastAsia="宋体" w:cs="Times New Roman"/>
    </w:rPr>
  </w:style>
  <w:style w:type="paragraph" w:customStyle="1" w:styleId="336">
    <w:name w:val="chap"/>
    <w:basedOn w:val="1"/>
    <w:qFormat/>
    <w:uiPriority w:val="0"/>
    <w:pPr>
      <w:widowControl/>
      <w:ind w:right="-30"/>
    </w:pPr>
    <w:rPr>
      <w:rFonts w:ascii="Arial" w:hAnsi="Arial"/>
      <w:b/>
      <w:caps/>
      <w:kern w:val="0"/>
      <w:sz w:val="24"/>
      <w:szCs w:val="20"/>
    </w:rPr>
  </w:style>
  <w:style w:type="paragraph" w:customStyle="1" w:styleId="337">
    <w:name w:val="he"/>
    <w:basedOn w:val="1"/>
    <w:next w:val="1"/>
    <w:qFormat/>
    <w:uiPriority w:val="0"/>
    <w:pPr>
      <w:keepNext/>
      <w:keepLines/>
      <w:widowControl/>
      <w:spacing w:before="340" w:after="330"/>
      <w:jc w:val="center"/>
      <w:outlineLvl w:val="0"/>
    </w:pPr>
    <w:rPr>
      <w:rFonts w:ascii="宋体" w:hAnsi="宋体" w:eastAsia="黑体"/>
      <w:b/>
      <w:bCs/>
      <w:kern w:val="44"/>
      <w:sz w:val="44"/>
      <w:szCs w:val="44"/>
      <w:lang w:bidi="en-US"/>
    </w:rPr>
  </w:style>
  <w:style w:type="paragraph" w:customStyle="1" w:styleId="338">
    <w:name w:val="3 Char Char Char Char"/>
    <w:basedOn w:val="1"/>
    <w:qFormat/>
    <w:uiPriority w:val="0"/>
    <w:rPr>
      <w:rFonts w:ascii="仿宋_GB2312" w:hAnsi="Calibri" w:eastAsia="仿宋_GB2312"/>
      <w:b/>
      <w:sz w:val="32"/>
      <w:szCs w:val="32"/>
    </w:rPr>
  </w:style>
  <w:style w:type="paragraph" w:customStyle="1" w:styleId="339">
    <w:name w:val="样式 标题 2 + (西文) 方正书宋简体 (中文) 方正黑体简体 非加粗 黑色 行距: 固定值 15 磅"/>
    <w:basedOn w:val="3"/>
    <w:qFormat/>
    <w:uiPriority w:val="0"/>
    <w:pPr>
      <w:tabs>
        <w:tab w:val="left" w:pos="1418"/>
      </w:tabs>
      <w:adjustRightInd/>
      <w:spacing w:before="0" w:line="300" w:lineRule="exact"/>
      <w:ind w:firstLine="200" w:firstLineChars="200"/>
      <w:jc w:val="left"/>
    </w:pPr>
    <w:rPr>
      <w:rFonts w:ascii="方正书宋简体" w:hAnsi="宋体" w:eastAsia="方正小标宋简体" w:cs="宋体"/>
      <w:b w:val="0"/>
      <w:color w:val="000000"/>
      <w:kern w:val="2"/>
      <w:sz w:val="21"/>
    </w:rPr>
  </w:style>
  <w:style w:type="paragraph" w:customStyle="1" w:styleId="340">
    <w:name w:val="xl62"/>
    <w:basedOn w:val="1"/>
    <w:qFormat/>
    <w:uiPriority w:val="0"/>
    <w:pPr>
      <w:widowControl/>
      <w:pBdr>
        <w:left w:val="single" w:color="auto" w:sz="4" w:space="0"/>
        <w:bottom w:val="single" w:color="auto" w:sz="4" w:space="0"/>
      </w:pBdr>
      <w:spacing w:before="100" w:beforeAutospacing="1" w:after="100" w:afterAutospacing="1"/>
      <w:jc w:val="left"/>
      <w:textAlignment w:val="bottom"/>
    </w:pPr>
    <w:rPr>
      <w:rFonts w:ascii="Arial Unicode MS" w:hAnsi="Arial Unicode MS" w:cs="Arial Unicode MS"/>
      <w:kern w:val="0"/>
      <w:sz w:val="24"/>
    </w:rPr>
  </w:style>
  <w:style w:type="paragraph" w:customStyle="1" w:styleId="341">
    <w:name w:val="font11"/>
    <w:basedOn w:val="1"/>
    <w:qFormat/>
    <w:uiPriority w:val="0"/>
    <w:pPr>
      <w:widowControl/>
      <w:spacing w:before="100" w:beforeAutospacing="1" w:after="100" w:afterAutospacing="1"/>
      <w:jc w:val="left"/>
    </w:pPr>
    <w:rPr>
      <w:rFonts w:ascii="宋体" w:hAnsi="宋体" w:cs="Arial Unicode MS"/>
      <w:b/>
      <w:bCs/>
      <w:kern w:val="0"/>
      <w:sz w:val="22"/>
      <w:szCs w:val="22"/>
    </w:rPr>
  </w:style>
  <w:style w:type="paragraph" w:customStyle="1" w:styleId="342">
    <w:name w:val="1."/>
    <w:basedOn w:val="1"/>
    <w:qFormat/>
    <w:uiPriority w:val="0"/>
    <w:pPr>
      <w:spacing w:line="360" w:lineRule="auto"/>
    </w:pPr>
    <w:rPr>
      <w:rFonts w:ascii="Calibri" w:hAnsi="Calibri"/>
      <w:sz w:val="24"/>
    </w:rPr>
  </w:style>
  <w:style w:type="paragraph" w:customStyle="1" w:styleId="343">
    <w:name w:val="样式 正文缩进 + 首行缩进:  2.06 字符"/>
    <w:basedOn w:val="4"/>
    <w:qFormat/>
    <w:uiPriority w:val="0"/>
    <w:pPr>
      <w:adjustRightInd/>
      <w:spacing w:line="360" w:lineRule="auto"/>
      <w:ind w:right="31" w:rightChars="15" w:firstLine="433" w:firstLineChars="206"/>
      <w:jc w:val="both"/>
    </w:pPr>
    <w:rPr>
      <w:rFonts w:ascii="Calibri" w:hAnsi="宋体" w:cs="宋体"/>
      <w:szCs w:val="20"/>
      <w:lang w:val="zh-CN"/>
    </w:rPr>
  </w:style>
  <w:style w:type="paragraph" w:customStyle="1" w:styleId="344">
    <w:name w:val="底端对齐"/>
    <w:basedOn w:val="1"/>
    <w:next w:val="1"/>
    <w:qFormat/>
    <w:uiPriority w:val="0"/>
    <w:pPr>
      <w:textAlignment w:val="bottom"/>
    </w:pPr>
    <w:rPr>
      <w:rFonts w:ascii="宋体" w:hAnsi="宋体"/>
      <w:szCs w:val="21"/>
    </w:rPr>
  </w:style>
  <w:style w:type="paragraph" w:customStyle="1" w:styleId="345">
    <w:name w:val=".."/>
    <w:basedOn w:val="1"/>
    <w:next w:val="1"/>
    <w:qFormat/>
    <w:uiPriority w:val="0"/>
    <w:pPr>
      <w:autoSpaceDE w:val="0"/>
      <w:autoSpaceDN w:val="0"/>
      <w:adjustRightInd w:val="0"/>
      <w:jc w:val="left"/>
    </w:pPr>
    <w:rPr>
      <w:rFonts w:ascii="Sim Sun+ 2" w:hAnsi="Calibri" w:eastAsia="Sim Sun+ 2"/>
      <w:kern w:val="0"/>
      <w:sz w:val="20"/>
      <w:lang w:eastAsia="en-US"/>
    </w:rPr>
  </w:style>
  <w:style w:type="paragraph" w:customStyle="1" w:styleId="346">
    <w:name w:val="Pa4"/>
    <w:basedOn w:val="1"/>
    <w:next w:val="1"/>
    <w:qFormat/>
    <w:uiPriority w:val="0"/>
    <w:pPr>
      <w:autoSpaceDE w:val="0"/>
      <w:autoSpaceDN w:val="0"/>
      <w:adjustRightInd w:val="0"/>
      <w:spacing w:before="80" w:line="140" w:lineRule="auto"/>
      <w:jc w:val="left"/>
    </w:pPr>
    <w:rPr>
      <w:rFonts w:ascii="Helvetica-Condensed-Bold" w:hAnsi="Calibri" w:eastAsia="Helvetica-Condensed-Bold"/>
      <w:kern w:val="0"/>
      <w:sz w:val="20"/>
    </w:rPr>
  </w:style>
  <w:style w:type="paragraph" w:customStyle="1" w:styleId="347">
    <w:name w:val="样式 标题 2 + (西文) 方正书宋简体 (中文) 方正黑体简体 非加粗 黑色 行距: 固定值 15 磅2"/>
    <w:basedOn w:val="3"/>
    <w:qFormat/>
    <w:uiPriority w:val="0"/>
    <w:pPr>
      <w:tabs>
        <w:tab w:val="left" w:pos="1418"/>
      </w:tabs>
      <w:adjustRightInd/>
      <w:spacing w:before="0" w:line="300" w:lineRule="exact"/>
      <w:ind w:firstLine="200" w:firstLineChars="200"/>
      <w:jc w:val="left"/>
    </w:pPr>
    <w:rPr>
      <w:rFonts w:ascii="方正书宋简体" w:hAnsi="Calibri" w:eastAsia="方正小标宋简体" w:cs="宋体"/>
      <w:b w:val="0"/>
      <w:color w:val="000000"/>
      <w:kern w:val="2"/>
      <w:sz w:val="21"/>
    </w:rPr>
  </w:style>
  <w:style w:type="paragraph" w:customStyle="1" w:styleId="348">
    <w:name w:val="xl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olor w:val="000000"/>
      <w:kern w:val="0"/>
      <w:sz w:val="18"/>
      <w:szCs w:val="18"/>
    </w:rPr>
  </w:style>
  <w:style w:type="paragraph" w:customStyle="1" w:styleId="349">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350">
    <w:name w:val="news"/>
    <w:basedOn w:val="1"/>
    <w:qFormat/>
    <w:uiPriority w:val="0"/>
    <w:pPr>
      <w:widowControl/>
      <w:spacing w:before="100" w:beforeAutospacing="1" w:after="100" w:afterAutospacing="1"/>
      <w:jc w:val="left"/>
    </w:pPr>
    <w:rPr>
      <w:rFonts w:ascii="宋体" w:hAnsi="宋体"/>
      <w:kern w:val="0"/>
      <w:sz w:val="20"/>
      <w:szCs w:val="20"/>
    </w:rPr>
  </w:style>
  <w:style w:type="paragraph" w:customStyle="1" w:styleId="351">
    <w:name w:val="表格标题"/>
    <w:basedOn w:val="1"/>
    <w:qFormat/>
    <w:uiPriority w:val="0"/>
    <w:pPr>
      <w:adjustRightInd w:val="0"/>
      <w:snapToGrid w:val="0"/>
      <w:ind w:left="505" w:leftChars="1" w:right="113" w:hanging="503"/>
      <w:jc w:val="center"/>
    </w:pPr>
    <w:rPr>
      <w:rFonts w:ascii="Ari" w:hAnsi="Calibri" w:eastAsia="Times New Roman"/>
      <w:color w:val="000000"/>
      <w:sz w:val="36"/>
      <w:szCs w:val="36"/>
    </w:rPr>
  </w:style>
  <w:style w:type="paragraph" w:customStyle="1" w:styleId="352">
    <w:name w:val="样式 题注 + (西文) 宋体 五号 加粗 段前: 2.4 磅 段后: 2.4 磅 行距: 1.5 倍行距"/>
    <w:basedOn w:val="14"/>
    <w:qFormat/>
    <w:uiPriority w:val="0"/>
    <w:pPr>
      <w:spacing w:before="48" w:after="48" w:line="360" w:lineRule="auto"/>
    </w:pPr>
    <w:rPr>
      <w:rFonts w:ascii="宋体" w:hAnsi="宋体" w:eastAsia="宋体" w:cs="宋体"/>
      <w:b/>
      <w:bCs/>
      <w:kern w:val="0"/>
      <w:sz w:val="24"/>
      <w:lang w:eastAsia="ar-SA"/>
    </w:rPr>
  </w:style>
  <w:style w:type="paragraph" w:customStyle="1" w:styleId="353">
    <w:name w:val="font10"/>
    <w:basedOn w:val="1"/>
    <w:qFormat/>
    <w:uiPriority w:val="0"/>
    <w:pPr>
      <w:widowControl/>
      <w:spacing w:before="100" w:beforeAutospacing="1" w:after="100" w:afterAutospacing="1"/>
      <w:jc w:val="left"/>
    </w:pPr>
    <w:rPr>
      <w:rFonts w:ascii="Calibri" w:hAnsi="Calibri"/>
      <w:kern w:val="0"/>
      <w:sz w:val="20"/>
      <w:szCs w:val="20"/>
    </w:rPr>
  </w:style>
  <w:style w:type="paragraph" w:customStyle="1" w:styleId="354">
    <w:name w:val="图标"/>
    <w:basedOn w:val="1"/>
    <w:next w:val="1"/>
    <w:qFormat/>
    <w:uiPriority w:val="0"/>
    <w:pPr>
      <w:tabs>
        <w:tab w:val="left" w:pos="567"/>
      </w:tabs>
      <w:autoSpaceDE w:val="0"/>
      <w:autoSpaceDN w:val="0"/>
      <w:adjustRightInd w:val="0"/>
      <w:snapToGrid w:val="0"/>
      <w:spacing w:before="120" w:after="120" w:line="320" w:lineRule="atLeast"/>
      <w:jc w:val="center"/>
      <w:textAlignment w:val="baseline"/>
    </w:pPr>
    <w:rPr>
      <w:rFonts w:ascii="Calibri" w:hAnsi="Calibri" w:eastAsia="仿宋_GB2312"/>
      <w:kern w:val="0"/>
      <w:sz w:val="24"/>
    </w:rPr>
  </w:style>
  <w:style w:type="paragraph" w:customStyle="1" w:styleId="355">
    <w:name w:val="4"/>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56">
    <w:name w:val="样式 标题 2 + (西文) 方正书宋简体 (中文) 方正黑体简体 非加粗 黑色 段前: 0 磅 段后: 0 磅 行..."/>
    <w:basedOn w:val="3"/>
    <w:qFormat/>
    <w:uiPriority w:val="0"/>
    <w:pPr>
      <w:tabs>
        <w:tab w:val="left" w:pos="1134"/>
      </w:tabs>
      <w:adjustRightInd/>
      <w:spacing w:before="0" w:line="300" w:lineRule="exact"/>
      <w:jc w:val="left"/>
    </w:pPr>
    <w:rPr>
      <w:rFonts w:ascii="方正书宋简体" w:hAnsi="宋体" w:eastAsia="方正小标宋简体" w:cs="宋体"/>
      <w:b w:val="0"/>
      <w:color w:val="000000"/>
      <w:kern w:val="2"/>
      <w:sz w:val="21"/>
    </w:rPr>
  </w:style>
  <w:style w:type="paragraph" w:customStyle="1" w:styleId="357">
    <w:name w:val="xl56"/>
    <w:basedOn w:val="1"/>
    <w:qFormat/>
    <w:uiPriority w:val="0"/>
    <w:pPr>
      <w:widowControl/>
      <w:pBdr>
        <w:top w:val="single" w:color="auto" w:sz="4" w:space="0"/>
        <w:left w:val="single" w:color="auto" w:sz="4" w:space="0"/>
      </w:pBdr>
      <w:spacing w:before="100" w:beforeAutospacing="1" w:after="100" w:afterAutospacing="1"/>
      <w:jc w:val="center"/>
    </w:pPr>
    <w:rPr>
      <w:rFonts w:ascii="Arial Unicode MS" w:hAnsi="Arial Unicode MS" w:cs="Arial Unicode MS"/>
      <w:b/>
      <w:bCs/>
      <w:kern w:val="0"/>
      <w:sz w:val="18"/>
      <w:szCs w:val="18"/>
    </w:rPr>
  </w:style>
  <w:style w:type="paragraph" w:customStyle="1" w:styleId="358">
    <w:name w:val="菲页1"/>
    <w:basedOn w:val="3"/>
    <w:qFormat/>
    <w:uiPriority w:val="0"/>
    <w:pPr>
      <w:widowControl/>
      <w:adjustRightInd/>
      <w:spacing w:before="260" w:after="260" w:line="415" w:lineRule="auto"/>
    </w:pPr>
    <w:rPr>
      <w:rFonts w:ascii="黑体" w:hAnsi="宋体" w:eastAsia="宋体"/>
      <w:b w:val="0"/>
      <w:sz w:val="52"/>
    </w:rPr>
  </w:style>
  <w:style w:type="paragraph" w:customStyle="1" w:styleId="359">
    <w:name w:val="Char Char Char Char Char Char1 Char"/>
    <w:basedOn w:val="1"/>
    <w:qFormat/>
    <w:uiPriority w:val="0"/>
    <w:pPr>
      <w:widowControl/>
      <w:wordWrap w:val="0"/>
      <w:jc w:val="left"/>
    </w:pPr>
    <w:rPr>
      <w:rFonts w:ascii="Tahoma" w:hAnsi="Tahoma"/>
      <w:sz w:val="24"/>
      <w:szCs w:val="20"/>
    </w:rPr>
  </w:style>
  <w:style w:type="paragraph" w:customStyle="1" w:styleId="360">
    <w:name w:val="MM Topic 6"/>
    <w:basedOn w:val="8"/>
    <w:qFormat/>
    <w:uiPriority w:val="0"/>
    <w:pPr>
      <w:adjustRightInd/>
      <w:spacing w:line="319" w:lineRule="auto"/>
      <w:ind w:firstLine="200" w:firstLineChars="200"/>
      <w:textAlignment w:val="auto"/>
    </w:pPr>
    <w:rPr>
      <w:rFonts w:ascii="Calibri" w:hAnsi="Calibri" w:eastAsia="宋体"/>
      <w:bCs/>
      <w:szCs w:val="24"/>
      <w:lang w:val="zh-CN"/>
    </w:rPr>
  </w:style>
  <w:style w:type="paragraph" w:customStyle="1" w:styleId="361">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62">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b/>
      <w:bCs/>
      <w:kern w:val="0"/>
      <w:sz w:val="18"/>
      <w:szCs w:val="18"/>
    </w:rPr>
  </w:style>
  <w:style w:type="paragraph" w:customStyle="1" w:styleId="363">
    <w:name w:val="默认段落字体 Para Char Char Char Char Char Char Char"/>
    <w:basedOn w:val="16"/>
    <w:qFormat/>
    <w:uiPriority w:val="0"/>
    <w:pPr>
      <w:adjustRightInd w:val="0"/>
      <w:spacing w:line="436" w:lineRule="exact"/>
      <w:ind w:left="357"/>
      <w:jc w:val="left"/>
      <w:outlineLvl w:val="3"/>
    </w:pPr>
    <w:rPr>
      <w:rFonts w:ascii="Calibri" w:hAnsi="Calibri" w:eastAsia="Times New Roman"/>
      <w:kern w:val="0"/>
      <w:sz w:val="20"/>
      <w:szCs w:val="20"/>
      <w:lang w:val="zh-CN"/>
    </w:rPr>
  </w:style>
  <w:style w:type="paragraph" w:customStyle="1" w:styleId="364">
    <w:name w:val="xl60"/>
    <w:basedOn w:val="1"/>
    <w:qFormat/>
    <w:uiPriority w:val="0"/>
    <w:pPr>
      <w:widowControl/>
      <w:pBdr>
        <w:right w:val="single" w:color="auto" w:sz="4" w:space="0"/>
      </w:pBdr>
      <w:spacing w:before="100" w:beforeAutospacing="1" w:after="100" w:afterAutospacing="1"/>
      <w:jc w:val="left"/>
      <w:textAlignment w:val="bottom"/>
    </w:pPr>
    <w:rPr>
      <w:rFonts w:ascii="Arial Unicode MS" w:hAnsi="Arial Unicode MS" w:cs="Arial Unicode MS"/>
      <w:kern w:val="0"/>
      <w:sz w:val="24"/>
    </w:rPr>
  </w:style>
  <w:style w:type="paragraph" w:customStyle="1" w:styleId="365">
    <w:name w:val="List Paragraph11"/>
    <w:basedOn w:val="1"/>
    <w:qFormat/>
    <w:uiPriority w:val="34"/>
    <w:pPr>
      <w:ind w:firstLine="420" w:firstLineChars="200"/>
    </w:pPr>
  </w:style>
  <w:style w:type="paragraph" w:customStyle="1" w:styleId="366">
    <w:name w:val="_Style 243"/>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7">
    <w:name w:val="表内居中"/>
    <w:basedOn w:val="1"/>
    <w:qFormat/>
    <w:uiPriority w:val="0"/>
    <w:pPr>
      <w:textAlignment w:val="center"/>
    </w:pPr>
    <w:rPr>
      <w:rFonts w:ascii="宋体" w:hAnsi="宋体"/>
      <w:b/>
      <w:sz w:val="24"/>
      <w:szCs w:val="21"/>
    </w:rPr>
  </w:style>
  <w:style w:type="paragraph" w:customStyle="1" w:styleId="368">
    <w:name w:val="样式 宋体 加粗 首行缩进:  0.74 厘米 行距: 1.5 倍行距"/>
    <w:basedOn w:val="1"/>
    <w:qFormat/>
    <w:uiPriority w:val="0"/>
    <w:pPr>
      <w:ind w:firstLine="420"/>
    </w:pPr>
    <w:rPr>
      <w:rFonts w:ascii="宋体" w:hAnsi="宋体" w:cs="宋体"/>
      <w:b/>
      <w:bCs/>
      <w:spacing w:val="4"/>
      <w:sz w:val="24"/>
    </w:rPr>
  </w:style>
  <w:style w:type="paragraph" w:customStyle="1" w:styleId="369">
    <w:name w:val="普通(网站)1"/>
    <w:basedOn w:val="1"/>
    <w:qFormat/>
    <w:uiPriority w:val="0"/>
    <w:pPr>
      <w:widowControl/>
      <w:spacing w:before="100" w:beforeAutospacing="1" w:after="100" w:afterAutospacing="1"/>
      <w:jc w:val="left"/>
    </w:pPr>
    <w:rPr>
      <w:rFonts w:hint="eastAsia" w:ascii="宋体" w:hAnsi="Calibri"/>
      <w:kern w:val="0"/>
      <w:sz w:val="24"/>
    </w:rPr>
  </w:style>
  <w:style w:type="paragraph" w:customStyle="1" w:styleId="370">
    <w:name w:val="第一章"/>
    <w:basedOn w:val="1"/>
    <w:qFormat/>
    <w:uiPriority w:val="0"/>
    <w:pPr>
      <w:pageBreakBefore/>
      <w:spacing w:afterLines="100" w:line="360" w:lineRule="auto"/>
      <w:ind w:firstLine="200" w:firstLineChars="200"/>
      <w:jc w:val="left"/>
    </w:pPr>
    <w:rPr>
      <w:rFonts w:ascii="Calibri" w:hAnsi="Calibri" w:eastAsia="黑体"/>
      <w:b/>
      <w:sz w:val="32"/>
    </w:rPr>
  </w:style>
  <w:style w:type="paragraph" w:customStyle="1" w:styleId="371">
    <w:name w:val="xl59"/>
    <w:basedOn w:val="1"/>
    <w:qFormat/>
    <w:uiPriority w:val="0"/>
    <w:pPr>
      <w:widowControl/>
      <w:spacing w:before="100" w:beforeAutospacing="1" w:after="100" w:afterAutospacing="1"/>
      <w:jc w:val="left"/>
      <w:textAlignment w:val="bottom"/>
    </w:pPr>
    <w:rPr>
      <w:rFonts w:ascii="Arial Unicode MS" w:hAnsi="Arial Unicode MS" w:cs="Arial Unicode MS"/>
      <w:kern w:val="0"/>
      <w:sz w:val="24"/>
    </w:rPr>
  </w:style>
  <w:style w:type="paragraph" w:customStyle="1" w:styleId="372">
    <w:name w:val="FA正文"/>
    <w:basedOn w:val="1"/>
    <w:qFormat/>
    <w:uiPriority w:val="0"/>
    <w:pPr>
      <w:tabs>
        <w:tab w:val="left" w:pos="960"/>
      </w:tabs>
      <w:ind w:left="960"/>
    </w:pPr>
    <w:rPr>
      <w:rFonts w:ascii="Calibri" w:hAnsi="宋体" w:cs="宋体"/>
      <w:sz w:val="24"/>
      <w:szCs w:val="21"/>
    </w:rPr>
  </w:style>
  <w:style w:type="paragraph" w:customStyle="1" w:styleId="373">
    <w:name w:val="xl58"/>
    <w:basedOn w:val="1"/>
    <w:qFormat/>
    <w:uiPriority w:val="0"/>
    <w:pPr>
      <w:widowControl/>
      <w:pBdr>
        <w:left w:val="single" w:color="auto" w:sz="4" w:space="0"/>
      </w:pBdr>
      <w:spacing w:before="100" w:beforeAutospacing="1" w:after="100" w:afterAutospacing="1"/>
      <w:jc w:val="left"/>
      <w:textAlignment w:val="bottom"/>
    </w:pPr>
    <w:rPr>
      <w:rFonts w:ascii="Arial Unicode MS" w:hAnsi="Arial Unicode MS" w:cs="Arial Unicode MS"/>
      <w:kern w:val="0"/>
      <w:sz w:val="24"/>
    </w:rPr>
  </w:style>
  <w:style w:type="paragraph" w:customStyle="1" w:styleId="374">
    <w:name w:val="font1"/>
    <w:basedOn w:val="1"/>
    <w:qFormat/>
    <w:uiPriority w:val="0"/>
    <w:pPr>
      <w:widowControl/>
      <w:spacing w:before="100" w:beforeAutospacing="1" w:after="100" w:afterAutospacing="1"/>
      <w:jc w:val="left"/>
    </w:pPr>
    <w:rPr>
      <w:rFonts w:ascii="宋体" w:hAnsi="宋体" w:cs="宋体"/>
      <w:kern w:val="0"/>
      <w:sz w:val="24"/>
    </w:rPr>
  </w:style>
  <w:style w:type="paragraph" w:customStyle="1" w:styleId="375">
    <w:name w:val="_Style 189"/>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6">
    <w:name w:val="项目符号A"/>
    <w:basedOn w:val="1"/>
    <w:qFormat/>
    <w:uiPriority w:val="0"/>
    <w:pPr>
      <w:tabs>
        <w:tab w:val="left" w:pos="1936"/>
      </w:tabs>
      <w:spacing w:line="360" w:lineRule="auto"/>
      <w:ind w:left="420"/>
      <w:jc w:val="left"/>
    </w:pPr>
    <w:rPr>
      <w:rFonts w:ascii="Arial" w:hAnsi="Arial"/>
      <w:b/>
      <w:bCs/>
      <w:color w:val="000000"/>
      <w:sz w:val="24"/>
    </w:rPr>
  </w:style>
  <w:style w:type="paragraph" w:customStyle="1" w:styleId="377">
    <w:name w:val="WW-正文文本缩进 3"/>
    <w:basedOn w:val="1"/>
    <w:qFormat/>
    <w:uiPriority w:val="0"/>
    <w:pPr>
      <w:suppressAutoHyphens/>
      <w:spacing w:line="360" w:lineRule="auto"/>
      <w:ind w:left="2" w:firstLine="482"/>
    </w:pPr>
    <w:rPr>
      <w:rFonts w:hint="eastAsia" w:ascii="宋体" w:hAnsi="宋体"/>
      <w:sz w:val="24"/>
      <w:lang w:val="zh-CN" w:eastAsia="ar-SA"/>
    </w:rPr>
  </w:style>
  <w:style w:type="paragraph" w:customStyle="1" w:styleId="378">
    <w:name w:val="Char1 Char Char"/>
    <w:basedOn w:val="1"/>
    <w:qFormat/>
    <w:uiPriority w:val="0"/>
    <w:rPr>
      <w:rFonts w:ascii="仿宋_GB2312" w:hAnsi="Calibri" w:eastAsia="仿宋_GB2312"/>
      <w:b/>
      <w:sz w:val="32"/>
      <w:szCs w:val="32"/>
    </w:rPr>
  </w:style>
  <w:style w:type="paragraph" w:customStyle="1" w:styleId="379">
    <w:name w:val="style4"/>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380">
    <w:name w:val="Char Char Char Char Char Char Char Char Char2 Char Char Char Char Char Char Char Char Char Char Char Char Char"/>
    <w:basedOn w:val="1"/>
    <w:qFormat/>
    <w:uiPriority w:val="0"/>
    <w:rPr>
      <w:rFonts w:ascii="仿宋_GB2312" w:hAnsi="Calibri" w:eastAsia="仿宋_GB2312"/>
      <w:b/>
      <w:sz w:val="32"/>
      <w:szCs w:val="32"/>
    </w:rPr>
  </w:style>
  <w:style w:type="paragraph" w:customStyle="1" w:styleId="381">
    <w:name w:val="标书正文居左"/>
    <w:basedOn w:val="314"/>
    <w:qFormat/>
    <w:uiPriority w:val="0"/>
    <w:pPr>
      <w:tabs>
        <w:tab w:val="clear" w:pos="600"/>
      </w:tabs>
      <w:jc w:val="both"/>
    </w:pPr>
    <w:rPr>
      <w:rFonts w:eastAsia="宋体"/>
      <w:b w:val="0"/>
      <w:bCs/>
      <w:color w:val="000000"/>
      <w:sz w:val="24"/>
      <w:szCs w:val="24"/>
      <w:shd w:val="clear" w:color="auto" w:fill="FFFFFF"/>
    </w:rPr>
  </w:style>
  <w:style w:type="paragraph" w:customStyle="1" w:styleId="382">
    <w:name w:val="样式一"/>
    <w:basedOn w:val="1"/>
    <w:qFormat/>
    <w:uiPriority w:val="0"/>
    <w:pPr>
      <w:autoSpaceDE w:val="0"/>
      <w:autoSpaceDN w:val="0"/>
      <w:adjustRightInd w:val="0"/>
      <w:spacing w:line="360" w:lineRule="auto"/>
      <w:textAlignment w:val="baseline"/>
    </w:pPr>
    <w:rPr>
      <w:rFonts w:ascii="宋体" w:hAnsi="宋体"/>
      <w:kern w:val="0"/>
      <w:sz w:val="24"/>
      <w:szCs w:val="20"/>
    </w:rPr>
  </w:style>
  <w:style w:type="paragraph" w:customStyle="1" w:styleId="383">
    <w:name w:val="P1"/>
    <w:qFormat/>
    <w:uiPriority w:val="0"/>
    <w:pPr>
      <w:widowControl w:val="0"/>
      <w:adjustRightInd w:val="0"/>
      <w:spacing w:after="240" w:line="240" w:lineRule="atLeast"/>
      <w:ind w:left="2304" w:hanging="576"/>
      <w:jc w:val="both"/>
      <w:textAlignment w:val="baseline"/>
    </w:pPr>
    <w:rPr>
      <w:rFonts w:ascii="Times New Roman" w:hAnsi="Times New Roman" w:eastAsia="全真中明體" w:cs="Times New Roman"/>
      <w:spacing w:val="20"/>
      <w:sz w:val="24"/>
      <w:lang w:val="en-US" w:eastAsia="zh-TW" w:bidi="ar-SA"/>
    </w:rPr>
  </w:style>
  <w:style w:type="paragraph" w:customStyle="1" w:styleId="384">
    <w:name w:val="样式 右侧:  0.05 厘米 段前: 2 磅 段后: 2 磅"/>
    <w:basedOn w:val="1"/>
    <w:qFormat/>
    <w:uiPriority w:val="0"/>
    <w:pPr>
      <w:ind w:right="28" w:firstLine="420"/>
    </w:pPr>
    <w:rPr>
      <w:rFonts w:ascii="Calibri" w:hAnsi="Calibri"/>
    </w:rPr>
  </w:style>
  <w:style w:type="paragraph" w:customStyle="1" w:styleId="385">
    <w:name w:val="_Style 24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6">
    <w:name w:val="Char Char Char Char Char Char1"/>
    <w:basedOn w:val="1"/>
    <w:qFormat/>
    <w:uiPriority w:val="0"/>
    <w:rPr>
      <w:rFonts w:ascii="Tahoma" w:hAnsi="Tahoma"/>
      <w:sz w:val="24"/>
      <w:szCs w:val="20"/>
    </w:rPr>
  </w:style>
  <w:style w:type="paragraph" w:customStyle="1" w:styleId="387">
    <w:name w:val="正文an"/>
    <w:basedOn w:val="1"/>
    <w:qFormat/>
    <w:uiPriority w:val="0"/>
    <w:pPr>
      <w:adjustRightInd w:val="0"/>
      <w:snapToGrid w:val="0"/>
      <w:spacing w:line="300" w:lineRule="auto"/>
    </w:pPr>
    <w:rPr>
      <w:rFonts w:ascii="Arial Narrow" w:hAnsi="Arial Narrow" w:eastAsia="楷体_GB2312"/>
      <w:sz w:val="26"/>
    </w:rPr>
  </w:style>
  <w:style w:type="paragraph" w:customStyle="1" w:styleId="388">
    <w:name w:val="简单回函地址"/>
    <w:basedOn w:val="1"/>
    <w:qFormat/>
    <w:uiPriority w:val="0"/>
    <w:rPr>
      <w:rFonts w:ascii="Calibri" w:hAnsi="Calibri"/>
      <w:szCs w:val="20"/>
    </w:rPr>
  </w:style>
  <w:style w:type="paragraph" w:customStyle="1" w:styleId="389">
    <w:name w:val="Char Char Char Char Char Char Char Char Char Char Char Char Char1"/>
    <w:basedOn w:val="1"/>
    <w:qFormat/>
    <w:uiPriority w:val="0"/>
    <w:rPr>
      <w:rFonts w:ascii="仿宋_GB2312" w:hAnsi="Calibri" w:eastAsia="仿宋_GB2312"/>
      <w:b/>
      <w:sz w:val="32"/>
      <w:szCs w:val="32"/>
    </w:rPr>
  </w:style>
  <w:style w:type="paragraph" w:customStyle="1" w:styleId="390">
    <w:name w:val="正文首缩两字"/>
    <w:basedOn w:val="1"/>
    <w:qFormat/>
    <w:uiPriority w:val="0"/>
    <w:pPr>
      <w:spacing w:line="360" w:lineRule="auto"/>
      <w:ind w:left="210" w:right="210" w:firstLine="480" w:firstLineChars="200"/>
      <w:jc w:val="left"/>
    </w:pPr>
    <w:rPr>
      <w:rFonts w:ascii="宋体" w:hAnsi="宋体"/>
      <w:color w:val="000000"/>
      <w:sz w:val="24"/>
      <w:szCs w:val="20"/>
    </w:rPr>
  </w:style>
  <w:style w:type="paragraph" w:customStyle="1" w:styleId="391">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392">
    <w:name w:val="3 Char Char Char Char Char Char Char"/>
    <w:basedOn w:val="1"/>
    <w:qFormat/>
    <w:uiPriority w:val="0"/>
    <w:rPr>
      <w:rFonts w:ascii="仿宋_GB2312" w:hAnsi="Calibri" w:eastAsia="仿宋_GB2312"/>
      <w:b/>
      <w:sz w:val="32"/>
      <w:szCs w:val="32"/>
    </w:rPr>
  </w:style>
  <w:style w:type="paragraph" w:customStyle="1" w:styleId="393">
    <w:name w:val="代码"/>
    <w:basedOn w:val="1"/>
    <w:qFormat/>
    <w:uiPriority w:val="0"/>
    <w:pPr>
      <w:spacing w:beforeLines="50" w:afterLines="50"/>
      <w:ind w:left="960" w:leftChars="400"/>
    </w:pPr>
    <w:rPr>
      <w:rFonts w:ascii="Courier New" w:hAnsi="Courier New" w:eastAsia="楷体_GB2312"/>
      <w:szCs w:val="21"/>
    </w:rPr>
  </w:style>
  <w:style w:type="paragraph" w:customStyle="1" w:styleId="394">
    <w:name w:val="TOC Heading11"/>
    <w:basedOn w:val="2"/>
    <w:next w:val="1"/>
    <w:qFormat/>
    <w:uiPriority w:val="39"/>
    <w:pPr>
      <w:widowControl/>
      <w:adjustRightInd/>
      <w:spacing w:before="480" w:after="0" w:line="276" w:lineRule="auto"/>
      <w:jc w:val="left"/>
      <w:outlineLvl w:val="9"/>
    </w:pPr>
    <w:rPr>
      <w:rFonts w:ascii="Cambria" w:hAnsi="Cambria"/>
      <w:bCs/>
      <w:color w:val="365F91"/>
      <w:kern w:val="0"/>
      <w:sz w:val="28"/>
      <w:szCs w:val="28"/>
      <w:lang w:val="zh-CN"/>
    </w:rPr>
  </w:style>
  <w:style w:type="paragraph" w:customStyle="1" w:styleId="395">
    <w:name w:val="1)"/>
    <w:basedOn w:val="1"/>
    <w:qFormat/>
    <w:uiPriority w:val="0"/>
    <w:pPr>
      <w:tabs>
        <w:tab w:val="left" w:pos="964"/>
      </w:tabs>
      <w:spacing w:line="360" w:lineRule="auto"/>
      <w:ind w:left="964" w:hanging="482"/>
    </w:pPr>
    <w:rPr>
      <w:rFonts w:ascii="Calibri" w:hAnsi="Calibri"/>
      <w:sz w:val="24"/>
    </w:rPr>
  </w:style>
  <w:style w:type="paragraph" w:customStyle="1" w:styleId="396">
    <w:name w:val="样式 Arial 左侧:  2 字符 行距: 固定值 29 磅"/>
    <w:basedOn w:val="1"/>
    <w:qFormat/>
    <w:uiPriority w:val="0"/>
    <w:pPr>
      <w:adjustRightInd w:val="0"/>
      <w:spacing w:line="580" w:lineRule="atLeast"/>
    </w:pPr>
    <w:rPr>
      <w:rFonts w:ascii="Arial" w:hAnsi="Arial"/>
      <w:kern w:val="0"/>
      <w:sz w:val="24"/>
      <w:szCs w:val="20"/>
    </w:rPr>
  </w:style>
  <w:style w:type="paragraph" w:customStyle="1" w:styleId="397">
    <w:name w:val="Char Char Char Char4"/>
    <w:basedOn w:val="1"/>
    <w:qFormat/>
    <w:uiPriority w:val="0"/>
    <w:pPr>
      <w:widowControl/>
      <w:spacing w:after="160" w:line="240" w:lineRule="exact"/>
      <w:jc w:val="left"/>
    </w:pPr>
    <w:rPr>
      <w:rFonts w:ascii="Calibri" w:hAnsi="Calibri"/>
      <w:szCs w:val="20"/>
    </w:rPr>
  </w:style>
  <w:style w:type="paragraph" w:customStyle="1" w:styleId="398">
    <w:name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9">
    <w:name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0">
    <w:name w:val="无间隔111"/>
    <w:qFormat/>
    <w:uiPriority w:val="0"/>
    <w:rPr>
      <w:rFonts w:ascii="Calibri" w:hAnsi="Calibri" w:eastAsia="宋体" w:cs="Times New Roman"/>
      <w:sz w:val="22"/>
      <w:szCs w:val="22"/>
      <w:lang w:val="en-US" w:eastAsia="zh-CN" w:bidi="ar-SA"/>
    </w:rPr>
  </w:style>
  <w:style w:type="paragraph" w:customStyle="1" w:styleId="401">
    <w:name w:val="_Style 14"/>
    <w:basedOn w:val="1"/>
    <w:next w:val="28"/>
    <w:qFormat/>
    <w:uiPriority w:val="0"/>
    <w:rPr>
      <w:rFonts w:hint="eastAsia" w:ascii="宋体" w:hAnsi="Courier New"/>
      <w:szCs w:val="21"/>
    </w:rPr>
  </w:style>
  <w:style w:type="paragraph" w:customStyle="1" w:styleId="402">
    <w:name w:val="TOC Heading1"/>
    <w:basedOn w:val="2"/>
    <w:next w:val="1"/>
    <w:qFormat/>
    <w:uiPriority w:val="39"/>
    <w:pPr>
      <w:widowControl/>
      <w:tabs>
        <w:tab w:val="left" w:pos="432"/>
      </w:tabs>
      <w:adjustRightInd/>
      <w:spacing w:before="480" w:after="0" w:line="276" w:lineRule="auto"/>
      <w:jc w:val="left"/>
      <w:outlineLvl w:val="9"/>
    </w:pPr>
    <w:rPr>
      <w:rFonts w:ascii="Cambria" w:hAnsi="Cambria"/>
      <w:bCs/>
      <w:color w:val="365F91"/>
      <w:sz w:val="28"/>
      <w:szCs w:val="28"/>
      <w:lang w:val="zh-CN"/>
    </w:rPr>
  </w:style>
  <w:style w:type="paragraph" w:customStyle="1" w:styleId="403">
    <w:name w:val="无间隔11"/>
    <w:qFormat/>
    <w:uiPriority w:val="0"/>
    <w:rPr>
      <w:rFonts w:ascii="Calibri" w:hAnsi="Calibri" w:eastAsia="宋体" w:cs="Times New Roman"/>
      <w:sz w:val="22"/>
      <w:szCs w:val="22"/>
      <w:lang w:val="en-US" w:eastAsia="zh-CN" w:bidi="ar-SA"/>
    </w:rPr>
  </w:style>
  <w:style w:type="paragraph" w:customStyle="1" w:styleId="404">
    <w:name w:val="TOC 标题11"/>
    <w:basedOn w:val="2"/>
    <w:next w:val="1"/>
    <w:qFormat/>
    <w:uiPriority w:val="39"/>
    <w:pPr>
      <w:widowControl/>
      <w:tabs>
        <w:tab w:val="left" w:pos="432"/>
      </w:tabs>
      <w:adjustRightInd/>
      <w:spacing w:before="480" w:after="0" w:line="276" w:lineRule="auto"/>
      <w:jc w:val="left"/>
      <w:outlineLvl w:val="9"/>
    </w:pPr>
    <w:rPr>
      <w:rFonts w:ascii="Cambria" w:hAnsi="Cambria"/>
      <w:bCs/>
      <w:color w:val="365F91"/>
      <w:sz w:val="28"/>
      <w:szCs w:val="28"/>
      <w:lang w:val="zh-CN"/>
    </w:rPr>
  </w:style>
  <w:style w:type="paragraph" w:customStyle="1" w:styleId="405">
    <w:name w:val="xl74"/>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406">
    <w:name w:val="xl75"/>
    <w:basedOn w:val="1"/>
    <w:qFormat/>
    <w:uiPriority w:val="0"/>
    <w:pPr>
      <w:widowControl/>
      <w:pBdr>
        <w:top w:val="single" w:color="000000" w:sz="4" w:space="0"/>
        <w:left w:val="single" w:color="000000" w:sz="4" w:space="0"/>
        <w:bottom w:val="single" w:color="000000" w:sz="8" w:space="0"/>
        <w:right w:val="single" w:color="000000" w:sz="8" w:space="0"/>
      </w:pBdr>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407">
    <w:name w:val="xl76"/>
    <w:basedOn w:val="1"/>
    <w:qFormat/>
    <w:uiPriority w:val="0"/>
    <w:pPr>
      <w:widowControl/>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408">
    <w:name w:val="xl77"/>
    <w:basedOn w:val="1"/>
    <w:qFormat/>
    <w:uiPriority w:val="0"/>
    <w:pPr>
      <w:widowControl/>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409">
    <w:name w:val="xl78"/>
    <w:basedOn w:val="1"/>
    <w:qFormat/>
    <w:uiPriority w:val="0"/>
    <w:pPr>
      <w:widowControl/>
      <w:shd w:val="clear" w:color="FFFFFF" w:fill="FFFFFF"/>
      <w:spacing w:before="100" w:beforeAutospacing="1" w:after="100" w:afterAutospacing="1"/>
      <w:jc w:val="center"/>
      <w:textAlignment w:val="center"/>
    </w:pPr>
    <w:rPr>
      <w:rFonts w:ascii="黑体" w:hAnsi="黑体" w:eastAsia="黑体" w:cs="宋体"/>
      <w:kern w:val="0"/>
      <w:sz w:val="32"/>
      <w:szCs w:val="32"/>
    </w:rPr>
  </w:style>
  <w:style w:type="paragraph" w:customStyle="1" w:styleId="410">
    <w:name w:val="xl79"/>
    <w:basedOn w:val="1"/>
    <w:qFormat/>
    <w:uiPriority w:val="0"/>
    <w:pPr>
      <w:widowControl/>
      <w:pBdr>
        <w:top w:val="single" w:color="000000" w:sz="8"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411">
    <w:name w:val="xl80"/>
    <w:basedOn w:val="1"/>
    <w:qFormat/>
    <w:uiPriority w:val="0"/>
    <w:pPr>
      <w:widowControl/>
      <w:pBdr>
        <w:top w:val="single" w:color="000000" w:sz="8"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412">
    <w:name w:val="xl81"/>
    <w:basedOn w:val="1"/>
    <w:qFormat/>
    <w:uiPriority w:val="0"/>
    <w:pPr>
      <w:widowControl/>
      <w:pBdr>
        <w:top w:val="single" w:color="000000" w:sz="8"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413">
    <w:name w:val="xl82"/>
    <w:basedOn w:val="1"/>
    <w:qFormat/>
    <w:uiPriority w:val="0"/>
    <w:pPr>
      <w:widowControl/>
      <w:pBdr>
        <w:top w:val="single" w:color="000000" w:sz="4" w:space="0"/>
        <w:left w:val="single" w:color="000000" w:sz="8"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414">
    <w:name w:val="xl83"/>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415">
    <w:name w:val="xl84"/>
    <w:basedOn w:val="1"/>
    <w:qFormat/>
    <w:uiPriority w:val="0"/>
    <w:pPr>
      <w:widowControl/>
      <w:shd w:val="clear" w:color="FFFFFF" w:fill="FFFFFF"/>
      <w:spacing w:before="100" w:beforeAutospacing="1" w:after="100" w:afterAutospacing="1"/>
      <w:jc w:val="left"/>
      <w:textAlignment w:val="center"/>
    </w:pPr>
    <w:rPr>
      <w:rFonts w:ascii="黑体" w:hAnsi="黑体" w:eastAsia="黑体" w:cs="宋体"/>
      <w:kern w:val="0"/>
      <w:sz w:val="20"/>
      <w:szCs w:val="20"/>
    </w:rPr>
  </w:style>
  <w:style w:type="paragraph" w:customStyle="1" w:styleId="416">
    <w:name w:val="明显引用1"/>
    <w:basedOn w:val="1"/>
    <w:next w:val="1"/>
    <w:link w:val="685"/>
    <w:qFormat/>
    <w:uiPriority w:val="0"/>
    <w:pPr>
      <w:pBdr>
        <w:bottom w:val="single" w:color="4F81BD" w:sz="4" w:space="4"/>
      </w:pBdr>
      <w:spacing w:before="200" w:after="280"/>
      <w:ind w:left="936" w:right="936"/>
    </w:pPr>
    <w:rPr>
      <w:b/>
      <w:bCs/>
      <w:i/>
      <w:iCs/>
      <w:color w:val="4F81BD"/>
      <w:szCs w:val="22"/>
    </w:rPr>
  </w:style>
  <w:style w:type="paragraph" w:customStyle="1" w:styleId="417">
    <w:name w:val="标题4"/>
    <w:basedOn w:val="3"/>
    <w:next w:val="25"/>
    <w:link w:val="688"/>
    <w:qFormat/>
    <w:uiPriority w:val="0"/>
    <w:pPr>
      <w:adjustRightInd/>
      <w:spacing w:before="260" w:after="260" w:line="413" w:lineRule="auto"/>
      <w:jc w:val="both"/>
    </w:pPr>
    <w:rPr>
      <w:rFonts w:eastAsia="宋体"/>
      <w:bCs/>
      <w:sz w:val="24"/>
      <w:szCs w:val="32"/>
    </w:rPr>
  </w:style>
  <w:style w:type="paragraph" w:customStyle="1" w:styleId="418">
    <w:name w:val="标题5"/>
    <w:basedOn w:val="5"/>
    <w:link w:val="689"/>
    <w:qFormat/>
    <w:uiPriority w:val="0"/>
    <w:pPr>
      <w:adjustRightInd/>
      <w:spacing w:before="260" w:after="260" w:line="413" w:lineRule="auto"/>
      <w:jc w:val="both"/>
    </w:pPr>
    <w:rPr>
      <w:rFonts w:ascii="Arial" w:hAnsi="Arial"/>
      <w:bCs/>
      <w:szCs w:val="32"/>
      <w:u w:val="none"/>
    </w:rPr>
  </w:style>
  <w:style w:type="paragraph" w:customStyle="1" w:styleId="419">
    <w:name w:val="引用1"/>
    <w:basedOn w:val="1"/>
    <w:next w:val="1"/>
    <w:link w:val="692"/>
    <w:qFormat/>
    <w:uiPriority w:val="0"/>
    <w:rPr>
      <w:i/>
      <w:iCs/>
      <w:color w:val="000000"/>
      <w:szCs w:val="22"/>
    </w:rPr>
  </w:style>
  <w:style w:type="paragraph" w:customStyle="1" w:styleId="42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421">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character" w:customStyle="1" w:styleId="422">
    <w:name w:val="标题 2 Char"/>
    <w:qFormat/>
    <w:uiPriority w:val="0"/>
    <w:rPr>
      <w:rFonts w:ascii="Arial" w:hAnsi="Arial" w:eastAsia="黑体"/>
      <w:b/>
      <w:sz w:val="30"/>
      <w:lang w:val="en-US" w:eastAsia="zh-CN" w:bidi="ar-SA"/>
    </w:rPr>
  </w:style>
  <w:style w:type="character" w:customStyle="1" w:styleId="423">
    <w:name w:val="标题 2 字符"/>
    <w:link w:val="3"/>
    <w:qFormat/>
    <w:uiPriority w:val="0"/>
    <w:rPr>
      <w:rFonts w:ascii="Arial" w:hAnsi="Arial" w:eastAsia="黑体"/>
      <w:b/>
      <w:sz w:val="30"/>
      <w:lang w:val="en-US" w:eastAsia="zh-CN" w:bidi="ar-SA"/>
    </w:rPr>
  </w:style>
  <w:style w:type="character" w:customStyle="1" w:styleId="424">
    <w:name w:val="标题 3 字符"/>
    <w:link w:val="5"/>
    <w:qFormat/>
    <w:uiPriority w:val="99"/>
    <w:rPr>
      <w:rFonts w:ascii="宋体" w:eastAsia="宋体"/>
      <w:b/>
      <w:sz w:val="24"/>
      <w:u w:val="single"/>
      <w:lang w:val="en-US" w:eastAsia="zh-CN" w:bidi="ar-SA"/>
    </w:rPr>
  </w:style>
  <w:style w:type="character" w:customStyle="1" w:styleId="425">
    <w:name w:val="c21"/>
    <w:qFormat/>
    <w:uiPriority w:val="0"/>
    <w:rPr>
      <w:rFonts w:hint="default" w:ascii="ˎ̥" w:hAnsi="ˎ̥"/>
      <w:color w:val="000000"/>
      <w:sz w:val="20"/>
      <w:szCs w:val="20"/>
      <w:u w:val="none"/>
    </w:rPr>
  </w:style>
  <w:style w:type="character" w:customStyle="1" w:styleId="426">
    <w:name w:val="title4"/>
    <w:qFormat/>
    <w:uiPriority w:val="0"/>
    <w:rPr>
      <w:b/>
      <w:bCs/>
      <w:color w:val="1D87B3"/>
      <w:sz w:val="15"/>
      <w:szCs w:val="15"/>
    </w:rPr>
  </w:style>
  <w:style w:type="character" w:customStyle="1" w:styleId="427">
    <w:name w:val="标题 2 Char Char"/>
    <w:qFormat/>
    <w:uiPriority w:val="0"/>
    <w:rPr>
      <w:rFonts w:ascii="Arial" w:hAnsi="Arial" w:eastAsia="黑体"/>
      <w:b/>
      <w:bCs/>
      <w:kern w:val="2"/>
      <w:sz w:val="32"/>
      <w:szCs w:val="32"/>
      <w:lang w:val="en-US" w:eastAsia="zh-CN" w:bidi="ar-SA"/>
    </w:rPr>
  </w:style>
  <w:style w:type="character" w:customStyle="1" w:styleId="428">
    <w:name w:val="black1"/>
    <w:qFormat/>
    <w:uiPriority w:val="0"/>
    <w:rPr>
      <w:color w:val="000000"/>
    </w:rPr>
  </w:style>
  <w:style w:type="character" w:customStyle="1" w:styleId="429">
    <w:name w:val="street-address"/>
    <w:basedOn w:val="61"/>
    <w:qFormat/>
    <w:uiPriority w:val="0"/>
  </w:style>
  <w:style w:type="character" w:customStyle="1" w:styleId="430">
    <w:name w:val="locality"/>
    <w:basedOn w:val="61"/>
    <w:qFormat/>
    <w:uiPriority w:val="0"/>
  </w:style>
  <w:style w:type="character" w:customStyle="1" w:styleId="431">
    <w:name w:val="正文缩进 字符"/>
    <w:link w:val="4"/>
    <w:qFormat/>
    <w:uiPriority w:val="0"/>
    <w:rPr>
      <w:rFonts w:ascii="宋体" w:eastAsia="宋体"/>
      <w:kern w:val="2"/>
      <w:sz w:val="24"/>
      <w:szCs w:val="24"/>
      <w:lang w:val="en-US" w:eastAsia="zh-CN" w:bidi="ar-SA"/>
    </w:rPr>
  </w:style>
  <w:style w:type="character" w:customStyle="1" w:styleId="432">
    <w:name w:val="正文文本缩进 Char1"/>
    <w:link w:val="72"/>
    <w:qFormat/>
    <w:uiPriority w:val="0"/>
    <w:rPr>
      <w:rFonts w:ascii="宋体" w:hAnsi="宋体" w:eastAsia="宋体"/>
      <w:sz w:val="24"/>
      <w:szCs w:val="24"/>
      <w:lang w:bidi="ar-SA"/>
    </w:rPr>
  </w:style>
  <w:style w:type="character" w:customStyle="1" w:styleId="433">
    <w:name w:val="Char Char11"/>
    <w:qFormat/>
    <w:uiPriority w:val="0"/>
    <w:rPr>
      <w:rFonts w:ascii="宋体" w:eastAsia="宋体"/>
      <w:b/>
      <w:sz w:val="24"/>
      <w:u w:val="single"/>
      <w:lang w:val="en-US" w:eastAsia="zh-CN" w:bidi="ar-SA"/>
    </w:rPr>
  </w:style>
  <w:style w:type="character" w:customStyle="1" w:styleId="434">
    <w:name w:val="txt"/>
    <w:basedOn w:val="61"/>
    <w:qFormat/>
    <w:uiPriority w:val="0"/>
  </w:style>
  <w:style w:type="character" w:customStyle="1" w:styleId="435">
    <w:name w:val="正文文本缩进 字符"/>
    <w:link w:val="22"/>
    <w:qFormat/>
    <w:uiPriority w:val="99"/>
    <w:rPr>
      <w:rFonts w:eastAsia="宋体"/>
      <w:kern w:val="2"/>
      <w:sz w:val="24"/>
      <w:szCs w:val="24"/>
      <w:lang w:val="en-US" w:eastAsia="zh-CN" w:bidi="ar-SA"/>
    </w:rPr>
  </w:style>
  <w:style w:type="character" w:customStyle="1" w:styleId="436">
    <w:name w:val="正文缩进 Char Char"/>
    <w:link w:val="73"/>
    <w:qFormat/>
    <w:uiPriority w:val="0"/>
    <w:rPr>
      <w:rFonts w:ascii="宋体" w:eastAsia="宋体"/>
      <w:snapToGrid w:val="0"/>
      <w:color w:val="000000"/>
      <w:kern w:val="28"/>
      <w:sz w:val="28"/>
      <w:lang w:bidi="ar-SA"/>
    </w:rPr>
  </w:style>
  <w:style w:type="character" w:customStyle="1" w:styleId="437">
    <w:name w:val="普通文字1 Char1"/>
    <w:qFormat/>
    <w:uiPriority w:val="0"/>
    <w:rPr>
      <w:rFonts w:ascii="宋体" w:hAnsi="Courier New" w:eastAsia="宋体"/>
      <w:kern w:val="2"/>
      <w:sz w:val="21"/>
      <w:lang w:val="en-US" w:eastAsia="zh-CN" w:bidi="ar-SA"/>
    </w:rPr>
  </w:style>
  <w:style w:type="character" w:customStyle="1" w:styleId="438">
    <w:name w:val="chanpin1"/>
    <w:qFormat/>
    <w:uiPriority w:val="0"/>
    <w:rPr>
      <w:rFonts w:hint="default" w:ascii="ˎ̥" w:hAnsi="ˎ̥"/>
      <w:color w:val="000000"/>
      <w:sz w:val="20"/>
      <w:szCs w:val="20"/>
      <w:u w:val="none"/>
    </w:rPr>
  </w:style>
  <w:style w:type="character" w:customStyle="1" w:styleId="439">
    <w:name w:val="列表段落 字符"/>
    <w:link w:val="74"/>
    <w:qFormat/>
    <w:uiPriority w:val="99"/>
    <w:rPr>
      <w:rFonts w:ascii="Calibri" w:hAnsi="Calibri" w:eastAsia="宋体"/>
      <w:kern w:val="2"/>
      <w:sz w:val="21"/>
      <w:szCs w:val="22"/>
      <w:lang w:val="en-US" w:eastAsia="zh-CN" w:bidi="ar-SA"/>
    </w:rPr>
  </w:style>
  <w:style w:type="character" w:customStyle="1" w:styleId="440">
    <w:name w:val="标题 3 Char Char"/>
    <w:qFormat/>
    <w:uiPriority w:val="0"/>
    <w:rPr>
      <w:rFonts w:eastAsia="宋体"/>
      <w:b/>
      <w:bCs/>
      <w:kern w:val="2"/>
      <w:sz w:val="32"/>
      <w:szCs w:val="32"/>
      <w:lang w:val="en-US" w:eastAsia="zh-CN" w:bidi="ar-SA"/>
    </w:rPr>
  </w:style>
  <w:style w:type="character" w:customStyle="1" w:styleId="441">
    <w:name w:val="段1 Char"/>
    <w:qFormat/>
    <w:uiPriority w:val="0"/>
    <w:rPr>
      <w:rFonts w:ascii="宋体" w:eastAsia="宋体"/>
      <w:sz w:val="24"/>
      <w:lang w:val="en-US" w:eastAsia="zh-CN" w:bidi="ar-SA"/>
    </w:rPr>
  </w:style>
  <w:style w:type="character" w:customStyle="1" w:styleId="442">
    <w:name w:val="页眉 字符"/>
    <w:link w:val="35"/>
    <w:qFormat/>
    <w:uiPriority w:val="99"/>
    <w:rPr>
      <w:rFonts w:eastAsia="宋体"/>
      <w:kern w:val="2"/>
      <w:sz w:val="18"/>
      <w:szCs w:val="18"/>
      <w:lang w:val="en-US" w:eastAsia="zh-CN" w:bidi="ar-SA"/>
    </w:rPr>
  </w:style>
  <w:style w:type="character" w:customStyle="1" w:styleId="443">
    <w:name w:val="chanpin拷贝"/>
    <w:basedOn w:val="61"/>
    <w:qFormat/>
    <w:uiPriority w:val="0"/>
  </w:style>
  <w:style w:type="character" w:customStyle="1" w:styleId="444">
    <w:name w:val="纯文本 Char1"/>
    <w:qFormat/>
    <w:uiPriority w:val="0"/>
    <w:rPr>
      <w:rFonts w:ascii="宋体" w:hAnsi="Courier New" w:eastAsia="宋体"/>
      <w:kern w:val="2"/>
      <w:sz w:val="21"/>
      <w:lang w:val="en-US" w:eastAsia="zh-CN" w:bidi="ar-SA"/>
    </w:rPr>
  </w:style>
  <w:style w:type="character" w:customStyle="1" w:styleId="445">
    <w:name w:val="apple-style-span"/>
    <w:qFormat/>
    <w:uiPriority w:val="0"/>
    <w:rPr>
      <w:rFonts w:cs="Times New Roman"/>
    </w:rPr>
  </w:style>
  <w:style w:type="character" w:customStyle="1" w:styleId="446">
    <w:name w:val="页脚 字符"/>
    <w:link w:val="34"/>
    <w:qFormat/>
    <w:uiPriority w:val="99"/>
    <w:rPr>
      <w:rFonts w:ascii="宋体" w:eastAsia="宋体"/>
      <w:sz w:val="18"/>
      <w:lang w:val="en-US" w:eastAsia="zh-CN" w:bidi="ar-SA"/>
    </w:rPr>
  </w:style>
  <w:style w:type="character" w:customStyle="1" w:styleId="447">
    <w:name w:val="中等深浅网格 1 - 强调文字颜色 2 Char"/>
    <w:link w:val="168"/>
    <w:qFormat/>
    <w:uiPriority w:val="0"/>
    <w:rPr>
      <w:kern w:val="2"/>
      <w:sz w:val="21"/>
      <w:szCs w:val="24"/>
      <w:lang w:val="zh-CN" w:eastAsia="zh-CN"/>
    </w:rPr>
  </w:style>
  <w:style w:type="character" w:customStyle="1" w:styleId="448">
    <w:name w:val="正文表格 Char"/>
    <w:link w:val="171"/>
    <w:qFormat/>
    <w:uiPriority w:val="0"/>
    <w:rPr>
      <w:rFonts w:ascii="宋体" w:hAnsi="宋体"/>
      <w:color w:val="000000"/>
      <w:kern w:val="2"/>
      <w:sz w:val="21"/>
      <w:szCs w:val="21"/>
    </w:rPr>
  </w:style>
  <w:style w:type="character" w:customStyle="1" w:styleId="449">
    <w:name w:val="正文重点 Char"/>
    <w:link w:val="172"/>
    <w:qFormat/>
    <w:uiPriority w:val="0"/>
    <w:rPr>
      <w:b/>
      <w:sz w:val="24"/>
    </w:rPr>
  </w:style>
  <w:style w:type="character" w:customStyle="1" w:styleId="450">
    <w:name w:val="批注文字 字符1"/>
    <w:link w:val="17"/>
    <w:qFormat/>
    <w:uiPriority w:val="99"/>
    <w:rPr>
      <w:kern w:val="2"/>
      <w:sz w:val="21"/>
      <w:szCs w:val="24"/>
    </w:rPr>
  </w:style>
  <w:style w:type="character" w:customStyle="1" w:styleId="451">
    <w:name w:val="正文小标题 Char"/>
    <w:link w:val="174"/>
    <w:qFormat/>
    <w:uiPriority w:val="0"/>
    <w:rPr>
      <w:rFonts w:ascii="宋体" w:hAnsi="宋体"/>
      <w:b/>
      <w:i/>
      <w:color w:val="FF0000"/>
      <w:kern w:val="2"/>
      <w:sz w:val="24"/>
    </w:rPr>
  </w:style>
  <w:style w:type="character" w:customStyle="1" w:styleId="452">
    <w:name w:val="正文大标题 Char"/>
    <w:link w:val="175"/>
    <w:qFormat/>
    <w:uiPriority w:val="0"/>
    <w:rPr>
      <w:rFonts w:ascii="宋体" w:hAnsi="宋体"/>
      <w:b/>
      <w:color w:val="000000"/>
      <w:kern w:val="2"/>
      <w:sz w:val="28"/>
      <w:szCs w:val="21"/>
    </w:rPr>
  </w:style>
  <w:style w:type="character" w:customStyle="1" w:styleId="453">
    <w:name w:val="标题 字符"/>
    <w:link w:val="53"/>
    <w:qFormat/>
    <w:uiPriority w:val="99"/>
    <w:rPr>
      <w:b/>
      <w:kern w:val="2"/>
      <w:sz w:val="32"/>
    </w:rPr>
  </w:style>
  <w:style w:type="character" w:customStyle="1" w:styleId="454">
    <w:name w:val="注释 Char"/>
    <w:link w:val="176"/>
    <w:qFormat/>
    <w:uiPriority w:val="0"/>
    <w:rPr>
      <w:rFonts w:ascii="宋体" w:hAnsi="宋体"/>
      <w:kern w:val="2"/>
      <w:sz w:val="21"/>
      <w:szCs w:val="21"/>
    </w:rPr>
  </w:style>
  <w:style w:type="character" w:customStyle="1" w:styleId="455">
    <w:name w:val="批注文字 字符"/>
    <w:qFormat/>
    <w:uiPriority w:val="0"/>
    <w:rPr>
      <w:rFonts w:ascii="Times New Roman" w:hAnsi="Times New Roman" w:eastAsia="宋体" w:cs="Times New Roman"/>
      <w:sz w:val="24"/>
      <w:lang w:val="en-US" w:eastAsia="zh-CN" w:bidi="ar-SA"/>
    </w:rPr>
  </w:style>
  <w:style w:type="character" w:customStyle="1" w:styleId="456">
    <w:name w:val="纯文本 字符"/>
    <w:qFormat/>
    <w:uiPriority w:val="99"/>
    <w:rPr>
      <w:rFonts w:ascii="宋体" w:hAnsi="Courier New" w:eastAsia="宋体" w:cs="Times New Roman"/>
      <w:kern w:val="2"/>
      <w:sz w:val="21"/>
      <w:szCs w:val="21"/>
      <w:lang w:val="en-US" w:eastAsia="zh-CN" w:bidi="ar-SA"/>
    </w:rPr>
  </w:style>
  <w:style w:type="character" w:customStyle="1" w:styleId="457">
    <w:name w:val="纯文本 字符1"/>
    <w:qFormat/>
    <w:uiPriority w:val="0"/>
    <w:rPr>
      <w:rFonts w:ascii="宋体" w:hAnsi="Courier New"/>
    </w:rPr>
  </w:style>
  <w:style w:type="character" w:customStyle="1" w:styleId="458">
    <w:name w:val="bjh-p"/>
    <w:qFormat/>
    <w:uiPriority w:val="0"/>
  </w:style>
  <w:style w:type="character" w:customStyle="1" w:styleId="459">
    <w:name w:val="正文格式 Char"/>
    <w:link w:val="182"/>
    <w:qFormat/>
    <w:locked/>
    <w:uiPriority w:val="0"/>
    <w:rPr>
      <w:rFonts w:ascii="宋体" w:hAnsi="宋体"/>
      <w:sz w:val="24"/>
      <w:szCs w:val="24"/>
    </w:rPr>
  </w:style>
  <w:style w:type="character" w:customStyle="1" w:styleId="460">
    <w:name w:val="纯文本 字符2"/>
    <w:link w:val="28"/>
    <w:qFormat/>
    <w:uiPriority w:val="99"/>
    <w:rPr>
      <w:rFonts w:hint="eastAsia" w:ascii="宋体" w:hAnsi="Courier New" w:eastAsia="宋体" w:cs="宋体"/>
      <w:kern w:val="2"/>
      <w:sz w:val="21"/>
    </w:rPr>
  </w:style>
  <w:style w:type="character" w:customStyle="1" w:styleId="461">
    <w:name w:val="标题 3 Char"/>
    <w:qFormat/>
    <w:uiPriority w:val="0"/>
    <w:rPr>
      <w:rFonts w:ascii="宋体" w:eastAsia="宋体"/>
      <w:b/>
      <w:sz w:val="24"/>
      <w:u w:val="single"/>
      <w:lang w:val="en-US" w:eastAsia="zh-CN" w:bidi="ar-SA"/>
    </w:rPr>
  </w:style>
  <w:style w:type="character" w:customStyle="1" w:styleId="462">
    <w:name w:val="正文缩进 Char"/>
    <w:qFormat/>
    <w:uiPriority w:val="0"/>
    <w:rPr>
      <w:rFonts w:ascii="宋体" w:eastAsia="宋体"/>
      <w:kern w:val="2"/>
      <w:sz w:val="24"/>
      <w:szCs w:val="24"/>
      <w:lang w:val="en-US" w:eastAsia="zh-CN" w:bidi="ar-SA"/>
    </w:rPr>
  </w:style>
  <w:style w:type="character" w:customStyle="1" w:styleId="463">
    <w:name w:val="Char Char111"/>
    <w:qFormat/>
    <w:uiPriority w:val="0"/>
    <w:rPr>
      <w:rFonts w:ascii="宋体" w:eastAsia="宋体"/>
      <w:b/>
      <w:sz w:val="24"/>
      <w:u w:val="single"/>
      <w:lang w:val="en-US" w:eastAsia="zh-CN" w:bidi="ar-SA"/>
    </w:rPr>
  </w:style>
  <w:style w:type="character" w:customStyle="1" w:styleId="464">
    <w:name w:val="正文文本缩进 Char"/>
    <w:qFormat/>
    <w:uiPriority w:val="99"/>
    <w:rPr>
      <w:rFonts w:eastAsia="宋体"/>
      <w:kern w:val="2"/>
      <w:sz w:val="24"/>
      <w:szCs w:val="24"/>
      <w:lang w:val="en-US" w:eastAsia="zh-CN" w:bidi="ar-SA"/>
    </w:rPr>
  </w:style>
  <w:style w:type="character" w:customStyle="1" w:styleId="465">
    <w:name w:val="列出段落 Char"/>
    <w:link w:val="183"/>
    <w:qFormat/>
    <w:uiPriority w:val="34"/>
    <w:rPr>
      <w:rFonts w:ascii="Calibri" w:hAnsi="Calibri" w:eastAsia="宋体"/>
      <w:kern w:val="2"/>
      <w:sz w:val="21"/>
      <w:szCs w:val="22"/>
      <w:lang w:val="en-US" w:eastAsia="zh-CN" w:bidi="ar-SA"/>
    </w:rPr>
  </w:style>
  <w:style w:type="character" w:customStyle="1" w:styleId="466">
    <w:name w:val="页眉 Char"/>
    <w:qFormat/>
    <w:uiPriority w:val="0"/>
    <w:rPr>
      <w:rFonts w:eastAsia="宋体"/>
      <w:kern w:val="2"/>
      <w:sz w:val="18"/>
      <w:szCs w:val="18"/>
      <w:lang w:val="en-US" w:eastAsia="zh-CN" w:bidi="ar-SA"/>
    </w:rPr>
  </w:style>
  <w:style w:type="character" w:customStyle="1" w:styleId="467">
    <w:name w:val="页脚 Char"/>
    <w:qFormat/>
    <w:uiPriority w:val="99"/>
    <w:rPr>
      <w:rFonts w:ascii="宋体" w:eastAsia="宋体"/>
      <w:sz w:val="18"/>
      <w:lang w:val="en-US" w:eastAsia="zh-CN" w:bidi="ar-SA"/>
    </w:rPr>
  </w:style>
  <w:style w:type="character" w:customStyle="1" w:styleId="468">
    <w:name w:val="批注文字 Char"/>
    <w:qFormat/>
    <w:uiPriority w:val="0"/>
    <w:rPr>
      <w:kern w:val="2"/>
      <w:sz w:val="21"/>
      <w:szCs w:val="24"/>
    </w:rPr>
  </w:style>
  <w:style w:type="character" w:customStyle="1" w:styleId="469">
    <w:name w:val="标题 Char"/>
    <w:qFormat/>
    <w:uiPriority w:val="0"/>
    <w:rPr>
      <w:b/>
      <w:kern w:val="2"/>
      <w:sz w:val="32"/>
    </w:rPr>
  </w:style>
  <w:style w:type="character" w:customStyle="1" w:styleId="470">
    <w:name w:val="标题 1 字符"/>
    <w:link w:val="2"/>
    <w:qFormat/>
    <w:uiPriority w:val="99"/>
    <w:rPr>
      <w:rFonts w:ascii="宋体"/>
      <w:b/>
      <w:kern w:val="44"/>
      <w:sz w:val="32"/>
    </w:rPr>
  </w:style>
  <w:style w:type="character" w:customStyle="1" w:styleId="471">
    <w:name w:val="标题 4 字符"/>
    <w:link w:val="6"/>
    <w:qFormat/>
    <w:uiPriority w:val="99"/>
    <w:rPr>
      <w:rFonts w:ascii="Arial" w:hAnsi="Arial" w:eastAsia="黑体"/>
      <w:b/>
      <w:sz w:val="28"/>
    </w:rPr>
  </w:style>
  <w:style w:type="character" w:customStyle="1" w:styleId="472">
    <w:name w:val="标题 5 字符"/>
    <w:link w:val="7"/>
    <w:qFormat/>
    <w:uiPriority w:val="99"/>
    <w:rPr>
      <w:b/>
      <w:sz w:val="28"/>
    </w:rPr>
  </w:style>
  <w:style w:type="character" w:customStyle="1" w:styleId="473">
    <w:name w:val="标题 6 字符"/>
    <w:link w:val="8"/>
    <w:qFormat/>
    <w:uiPriority w:val="99"/>
    <w:rPr>
      <w:rFonts w:ascii="Arial" w:hAnsi="Arial" w:eastAsia="黑体"/>
      <w:b/>
      <w:sz w:val="24"/>
    </w:rPr>
  </w:style>
  <w:style w:type="character" w:customStyle="1" w:styleId="474">
    <w:name w:val="标题 7 字符"/>
    <w:link w:val="9"/>
    <w:qFormat/>
    <w:uiPriority w:val="99"/>
    <w:rPr>
      <w:b/>
      <w:sz w:val="24"/>
    </w:rPr>
  </w:style>
  <w:style w:type="character" w:customStyle="1" w:styleId="475">
    <w:name w:val="标题 8 字符"/>
    <w:link w:val="10"/>
    <w:qFormat/>
    <w:uiPriority w:val="99"/>
    <w:rPr>
      <w:rFonts w:ascii="Arial" w:hAnsi="Arial" w:eastAsia="黑体"/>
      <w:sz w:val="24"/>
    </w:rPr>
  </w:style>
  <w:style w:type="character" w:customStyle="1" w:styleId="476">
    <w:name w:val="标题 9 字符"/>
    <w:link w:val="11"/>
    <w:qFormat/>
    <w:uiPriority w:val="99"/>
    <w:rPr>
      <w:rFonts w:ascii="Arial" w:hAnsi="Arial" w:eastAsia="黑体"/>
      <w:sz w:val="21"/>
    </w:rPr>
  </w:style>
  <w:style w:type="character" w:customStyle="1" w:styleId="477">
    <w:name w:val="文档结构图 字符"/>
    <w:link w:val="16"/>
    <w:qFormat/>
    <w:uiPriority w:val="99"/>
    <w:rPr>
      <w:kern w:val="2"/>
      <w:sz w:val="21"/>
      <w:szCs w:val="24"/>
      <w:shd w:val="clear" w:color="auto" w:fill="000080"/>
    </w:rPr>
  </w:style>
  <w:style w:type="character" w:customStyle="1" w:styleId="478">
    <w:name w:val="正文文本 3 字符"/>
    <w:link w:val="19"/>
    <w:qFormat/>
    <w:uiPriority w:val="99"/>
    <w:rPr>
      <w:kern w:val="2"/>
      <w:sz w:val="16"/>
      <w:szCs w:val="16"/>
    </w:rPr>
  </w:style>
  <w:style w:type="character" w:customStyle="1" w:styleId="479">
    <w:name w:val="正文文本 字符"/>
    <w:link w:val="21"/>
    <w:qFormat/>
    <w:uiPriority w:val="0"/>
    <w:rPr>
      <w:rFonts w:ascii="宋体" w:hAnsi="宋体"/>
      <w:kern w:val="2"/>
      <w:sz w:val="24"/>
      <w:szCs w:val="24"/>
    </w:rPr>
  </w:style>
  <w:style w:type="character" w:customStyle="1" w:styleId="480">
    <w:name w:val="日期 字符"/>
    <w:link w:val="30"/>
    <w:qFormat/>
    <w:uiPriority w:val="99"/>
    <w:rPr>
      <w:rFonts w:ascii="仿宋_GB2312" w:hAnsi="宋体" w:eastAsia="仿宋_GB2312"/>
      <w:color w:val="000000"/>
      <w:kern w:val="2"/>
      <w:sz w:val="24"/>
      <w:szCs w:val="24"/>
    </w:rPr>
  </w:style>
  <w:style w:type="character" w:customStyle="1" w:styleId="481">
    <w:name w:val="正文文本缩进 2 字符"/>
    <w:link w:val="31"/>
    <w:qFormat/>
    <w:uiPriority w:val="99"/>
    <w:rPr>
      <w:rFonts w:ascii="仿宋_GB2312" w:eastAsia="仿宋_GB2312"/>
      <w:kern w:val="2"/>
      <w:sz w:val="24"/>
      <w:szCs w:val="24"/>
    </w:rPr>
  </w:style>
  <w:style w:type="character" w:customStyle="1" w:styleId="482">
    <w:name w:val="批注框文本 字符"/>
    <w:link w:val="33"/>
    <w:qFormat/>
    <w:uiPriority w:val="0"/>
    <w:rPr>
      <w:kern w:val="2"/>
      <w:sz w:val="18"/>
      <w:szCs w:val="18"/>
    </w:rPr>
  </w:style>
  <w:style w:type="character" w:customStyle="1" w:styleId="483">
    <w:name w:val="正文文本缩进 3 字符"/>
    <w:link w:val="43"/>
    <w:qFormat/>
    <w:uiPriority w:val="99"/>
    <w:rPr>
      <w:rFonts w:ascii="宋体"/>
      <w:sz w:val="24"/>
    </w:rPr>
  </w:style>
  <w:style w:type="character" w:customStyle="1" w:styleId="484">
    <w:name w:val="HTML 预设格式 字符"/>
    <w:link w:val="50"/>
    <w:qFormat/>
    <w:uiPriority w:val="0"/>
    <w:rPr>
      <w:rFonts w:ascii="宋体" w:hAnsi="宋体" w:cs="宋体"/>
      <w:sz w:val="24"/>
      <w:szCs w:val="24"/>
    </w:rPr>
  </w:style>
  <w:style w:type="character" w:customStyle="1" w:styleId="485">
    <w:name w:val="批注主题 字符"/>
    <w:link w:val="54"/>
    <w:qFormat/>
    <w:uiPriority w:val="99"/>
    <w:rPr>
      <w:rFonts w:ascii="Times New Roman" w:hAnsi="Times New Roman" w:eastAsia="宋体" w:cs="Times New Roman"/>
      <w:b/>
      <w:bCs/>
      <w:kern w:val="2"/>
      <w:sz w:val="21"/>
      <w:szCs w:val="24"/>
      <w:lang w:val="en-US" w:eastAsia="zh-CN" w:bidi="ar-SA"/>
    </w:rPr>
  </w:style>
  <w:style w:type="character" w:customStyle="1" w:styleId="486">
    <w:name w:val="正文文本首行缩进 2 字符"/>
    <w:link w:val="56"/>
    <w:qFormat/>
    <w:uiPriority w:val="0"/>
    <w:rPr>
      <w:rFonts w:eastAsia="宋体"/>
      <w:kern w:val="2"/>
      <w:sz w:val="24"/>
      <w:szCs w:val="24"/>
      <w:lang w:val="en-US" w:eastAsia="zh-CN" w:bidi="ar-SA"/>
    </w:rPr>
  </w:style>
  <w:style w:type="character" w:customStyle="1" w:styleId="487">
    <w:name w:val="内加粗 Char"/>
    <w:link w:val="202"/>
    <w:qFormat/>
    <w:locked/>
    <w:uiPriority w:val="0"/>
    <w:rPr>
      <w:rFonts w:ascii="宋体" w:hAnsi="宋体" w:cs="宋体"/>
      <w:b/>
      <w:sz w:val="24"/>
      <w:szCs w:val="28"/>
    </w:rPr>
  </w:style>
  <w:style w:type="character" w:customStyle="1" w:styleId="488">
    <w:name w:val="内文 Char"/>
    <w:link w:val="203"/>
    <w:qFormat/>
    <w:locked/>
    <w:uiPriority w:val="0"/>
    <w:rPr>
      <w:rFonts w:ascii="宋体" w:hAnsi="宋体" w:eastAsia="宋体" w:cs="宋体"/>
      <w:kern w:val="2"/>
      <w:sz w:val="24"/>
      <w:szCs w:val="28"/>
    </w:rPr>
  </w:style>
  <w:style w:type="character" w:customStyle="1" w:styleId="489">
    <w:name w:val="！正文 Char"/>
    <w:link w:val="204"/>
    <w:qFormat/>
    <w:uiPriority w:val="0"/>
    <w:rPr>
      <w:rFonts w:eastAsia="仿宋_GB2312"/>
      <w:sz w:val="28"/>
      <w:szCs w:val="28"/>
    </w:rPr>
  </w:style>
  <w:style w:type="character" w:customStyle="1" w:styleId="490">
    <w:name w:val="样式 粉红"/>
    <w:qFormat/>
    <w:uiPriority w:val="0"/>
    <w:rPr>
      <w:color w:val="auto"/>
      <w:u w:val="none"/>
    </w:rPr>
  </w:style>
  <w:style w:type="character" w:customStyle="1" w:styleId="491">
    <w:name w:val="正文文本 2 字符"/>
    <w:link w:val="47"/>
    <w:qFormat/>
    <w:uiPriority w:val="99"/>
    <w:rPr>
      <w:rFonts w:eastAsia="黑体"/>
      <w:bCs/>
      <w:sz w:val="24"/>
      <w:szCs w:val="24"/>
    </w:rPr>
  </w:style>
  <w:style w:type="character" w:customStyle="1" w:styleId="492">
    <w:name w:val="Char Char2"/>
    <w:qFormat/>
    <w:uiPriority w:val="0"/>
    <w:rPr>
      <w:rFonts w:ascii="Arial" w:hAnsi="Arial" w:eastAsia="黑体"/>
      <w:b/>
      <w:kern w:val="2"/>
      <w:sz w:val="32"/>
      <w:lang w:val="en-US" w:eastAsia="zh-CN"/>
    </w:rPr>
  </w:style>
  <w:style w:type="character" w:customStyle="1" w:styleId="493">
    <w:name w:val="font161"/>
    <w:qFormat/>
    <w:uiPriority w:val="0"/>
    <w:rPr>
      <w:b/>
      <w:sz w:val="32"/>
    </w:rPr>
  </w:style>
  <w:style w:type="character" w:customStyle="1" w:styleId="494">
    <w:name w:val="Char Char12"/>
    <w:qFormat/>
    <w:uiPriority w:val="99"/>
    <w:rPr>
      <w:rFonts w:eastAsia="宋体"/>
      <w:kern w:val="2"/>
      <w:sz w:val="24"/>
      <w:lang w:val="en-US" w:eastAsia="zh-CN"/>
    </w:rPr>
  </w:style>
  <w:style w:type="character" w:customStyle="1" w:styleId="495">
    <w:name w:val="正文文本缩进 2 Char"/>
    <w:qFormat/>
    <w:locked/>
    <w:uiPriority w:val="0"/>
    <w:rPr>
      <w:rFonts w:ascii="Times New Roman" w:hAnsi="Times New Roman" w:eastAsia="宋体" w:cs="Times New Roman"/>
      <w:kern w:val="0"/>
      <w:sz w:val="24"/>
      <w:szCs w:val="24"/>
    </w:rPr>
  </w:style>
  <w:style w:type="character" w:customStyle="1" w:styleId="496">
    <w:name w:val="未处理的提及1"/>
    <w:unhideWhenUsed/>
    <w:qFormat/>
    <w:uiPriority w:val="99"/>
    <w:rPr>
      <w:color w:val="605E5C"/>
      <w:shd w:val="clear" w:color="auto" w:fill="E1DFDD"/>
    </w:rPr>
  </w:style>
  <w:style w:type="character" w:customStyle="1" w:styleId="497">
    <w:name w:val="标题 1 Char1"/>
    <w:qFormat/>
    <w:uiPriority w:val="0"/>
    <w:rPr>
      <w:rFonts w:ascii="宋体"/>
      <w:b/>
      <w:kern w:val="44"/>
      <w:sz w:val="32"/>
    </w:rPr>
  </w:style>
  <w:style w:type="character" w:customStyle="1" w:styleId="498">
    <w:name w:val="标题 2 Char1"/>
    <w:qFormat/>
    <w:uiPriority w:val="0"/>
    <w:rPr>
      <w:rFonts w:ascii="Arial" w:hAnsi="Arial" w:eastAsia="黑体"/>
      <w:b/>
      <w:sz w:val="30"/>
      <w:lang w:val="en-US" w:eastAsia="zh-CN" w:bidi="ar-SA"/>
    </w:rPr>
  </w:style>
  <w:style w:type="character" w:customStyle="1" w:styleId="499">
    <w:name w:val="正文缩进 Char2"/>
    <w:qFormat/>
    <w:uiPriority w:val="0"/>
    <w:rPr>
      <w:rFonts w:ascii="宋体" w:eastAsia="宋体"/>
      <w:kern w:val="2"/>
      <w:sz w:val="24"/>
      <w:szCs w:val="24"/>
      <w:lang w:val="en-US" w:eastAsia="zh-CN" w:bidi="ar-SA"/>
    </w:rPr>
  </w:style>
  <w:style w:type="character" w:customStyle="1" w:styleId="500">
    <w:name w:val="标题 3 Char3"/>
    <w:qFormat/>
    <w:uiPriority w:val="0"/>
    <w:rPr>
      <w:rFonts w:ascii="宋体" w:eastAsia="宋体"/>
      <w:b/>
      <w:sz w:val="24"/>
      <w:u w:val="single"/>
      <w:lang w:val="en-US" w:eastAsia="zh-CN" w:bidi="ar-SA"/>
    </w:rPr>
  </w:style>
  <w:style w:type="character" w:customStyle="1" w:styleId="501">
    <w:name w:val="标题 4 Char2"/>
    <w:qFormat/>
    <w:uiPriority w:val="0"/>
    <w:rPr>
      <w:rFonts w:ascii="Arial" w:hAnsi="Arial" w:eastAsia="黑体"/>
      <w:b/>
      <w:sz w:val="28"/>
    </w:rPr>
  </w:style>
  <w:style w:type="character" w:customStyle="1" w:styleId="502">
    <w:name w:val="标题 5 Char1"/>
    <w:qFormat/>
    <w:uiPriority w:val="99"/>
    <w:rPr>
      <w:b/>
      <w:sz w:val="28"/>
    </w:rPr>
  </w:style>
  <w:style w:type="character" w:customStyle="1" w:styleId="503">
    <w:name w:val="标题 6 Char1"/>
    <w:qFormat/>
    <w:uiPriority w:val="99"/>
    <w:rPr>
      <w:rFonts w:ascii="Arial" w:hAnsi="Arial" w:eastAsia="黑体"/>
      <w:b/>
      <w:sz w:val="24"/>
    </w:rPr>
  </w:style>
  <w:style w:type="character" w:customStyle="1" w:styleId="504">
    <w:name w:val="标题 7 Char1"/>
    <w:qFormat/>
    <w:uiPriority w:val="99"/>
    <w:rPr>
      <w:b/>
      <w:sz w:val="24"/>
    </w:rPr>
  </w:style>
  <w:style w:type="character" w:customStyle="1" w:styleId="505">
    <w:name w:val="标题 8 Char1"/>
    <w:qFormat/>
    <w:uiPriority w:val="99"/>
    <w:rPr>
      <w:rFonts w:ascii="Arial" w:hAnsi="Arial" w:eastAsia="黑体"/>
      <w:sz w:val="24"/>
    </w:rPr>
  </w:style>
  <w:style w:type="character" w:customStyle="1" w:styleId="506">
    <w:name w:val="标题 9 Char1"/>
    <w:qFormat/>
    <w:uiPriority w:val="99"/>
    <w:rPr>
      <w:rFonts w:ascii="Arial" w:hAnsi="Arial" w:eastAsia="黑体"/>
      <w:sz w:val="21"/>
    </w:rPr>
  </w:style>
  <w:style w:type="character" w:customStyle="1" w:styleId="507">
    <w:name w:val="题注 字符"/>
    <w:link w:val="14"/>
    <w:qFormat/>
    <w:uiPriority w:val="0"/>
    <w:rPr>
      <w:rFonts w:ascii="华文中宋" w:hAnsi="华文中宋" w:eastAsia="华文中宋"/>
      <w:kern w:val="2"/>
      <w:sz w:val="36"/>
    </w:rPr>
  </w:style>
  <w:style w:type="character" w:customStyle="1" w:styleId="508">
    <w:name w:val="文档结构图 Char3"/>
    <w:qFormat/>
    <w:uiPriority w:val="99"/>
    <w:rPr>
      <w:kern w:val="2"/>
      <w:sz w:val="21"/>
      <w:szCs w:val="24"/>
      <w:shd w:val="clear" w:color="auto" w:fill="000080"/>
    </w:rPr>
  </w:style>
  <w:style w:type="character" w:customStyle="1" w:styleId="509">
    <w:name w:val="批注文字 Char2"/>
    <w:qFormat/>
    <w:uiPriority w:val="99"/>
    <w:rPr>
      <w:kern w:val="2"/>
      <w:sz w:val="21"/>
      <w:szCs w:val="24"/>
    </w:rPr>
  </w:style>
  <w:style w:type="character" w:customStyle="1" w:styleId="510">
    <w:name w:val="称呼 字符"/>
    <w:qFormat/>
    <w:uiPriority w:val="0"/>
    <w:rPr>
      <w:kern w:val="2"/>
      <w:sz w:val="21"/>
      <w:szCs w:val="24"/>
    </w:rPr>
  </w:style>
  <w:style w:type="character" w:customStyle="1" w:styleId="511">
    <w:name w:val="称呼 字符1"/>
    <w:link w:val="18"/>
    <w:qFormat/>
    <w:uiPriority w:val="0"/>
    <w:rPr>
      <w:sz w:val="30"/>
      <w:lang w:val="zh-CN" w:eastAsia="zh-CN"/>
    </w:rPr>
  </w:style>
  <w:style w:type="character" w:customStyle="1" w:styleId="512">
    <w:name w:val="正文文本 3 Char1"/>
    <w:qFormat/>
    <w:uiPriority w:val="99"/>
    <w:rPr>
      <w:kern w:val="2"/>
      <w:sz w:val="16"/>
      <w:szCs w:val="16"/>
    </w:rPr>
  </w:style>
  <w:style w:type="character" w:customStyle="1" w:styleId="513">
    <w:name w:val="正文文本 Char3"/>
    <w:qFormat/>
    <w:uiPriority w:val="0"/>
    <w:rPr>
      <w:rFonts w:ascii="宋体" w:hAnsi="宋体"/>
      <w:kern w:val="2"/>
      <w:sz w:val="24"/>
      <w:szCs w:val="24"/>
    </w:rPr>
  </w:style>
  <w:style w:type="character" w:customStyle="1" w:styleId="514">
    <w:name w:val="正文文本缩进 Char2"/>
    <w:qFormat/>
    <w:uiPriority w:val="99"/>
    <w:rPr>
      <w:rFonts w:eastAsia="宋体"/>
      <w:kern w:val="2"/>
      <w:sz w:val="24"/>
      <w:szCs w:val="24"/>
      <w:lang w:val="en-US" w:eastAsia="zh-CN" w:bidi="ar-SA"/>
    </w:rPr>
  </w:style>
  <w:style w:type="character" w:customStyle="1" w:styleId="515">
    <w:name w:val="纯文本 Char2"/>
    <w:qFormat/>
    <w:uiPriority w:val="0"/>
    <w:rPr>
      <w:rFonts w:hint="eastAsia" w:ascii="宋体" w:hAnsi="Courier New" w:eastAsia="宋体" w:cs="宋体"/>
      <w:kern w:val="2"/>
      <w:sz w:val="21"/>
    </w:rPr>
  </w:style>
  <w:style w:type="character" w:customStyle="1" w:styleId="516">
    <w:name w:val="日期 Char3"/>
    <w:qFormat/>
    <w:uiPriority w:val="0"/>
    <w:rPr>
      <w:rFonts w:ascii="仿宋_GB2312" w:hAnsi="宋体" w:eastAsia="仿宋_GB2312"/>
      <w:color w:val="000000"/>
      <w:kern w:val="2"/>
      <w:sz w:val="24"/>
      <w:szCs w:val="24"/>
    </w:rPr>
  </w:style>
  <w:style w:type="character" w:customStyle="1" w:styleId="517">
    <w:name w:val="正文文本缩进 2 Char1"/>
    <w:qFormat/>
    <w:uiPriority w:val="99"/>
    <w:rPr>
      <w:rFonts w:ascii="仿宋_GB2312" w:eastAsia="仿宋_GB2312"/>
      <w:kern w:val="2"/>
      <w:sz w:val="24"/>
      <w:szCs w:val="24"/>
    </w:rPr>
  </w:style>
  <w:style w:type="character" w:customStyle="1" w:styleId="518">
    <w:name w:val="批注框文本 Char3"/>
    <w:qFormat/>
    <w:uiPriority w:val="0"/>
    <w:rPr>
      <w:kern w:val="2"/>
      <w:sz w:val="18"/>
      <w:szCs w:val="18"/>
    </w:rPr>
  </w:style>
  <w:style w:type="character" w:customStyle="1" w:styleId="519">
    <w:name w:val="页脚 Char2"/>
    <w:qFormat/>
    <w:uiPriority w:val="99"/>
    <w:rPr>
      <w:rFonts w:ascii="宋体" w:eastAsia="宋体"/>
      <w:sz w:val="18"/>
      <w:lang w:val="en-US" w:eastAsia="zh-CN" w:bidi="ar-SA"/>
    </w:rPr>
  </w:style>
  <w:style w:type="character" w:customStyle="1" w:styleId="520">
    <w:name w:val="页眉 Char2"/>
    <w:qFormat/>
    <w:uiPriority w:val="99"/>
    <w:rPr>
      <w:rFonts w:eastAsia="宋体"/>
      <w:kern w:val="2"/>
      <w:sz w:val="18"/>
      <w:szCs w:val="18"/>
      <w:lang w:val="en-US" w:eastAsia="zh-CN" w:bidi="ar-SA"/>
    </w:rPr>
  </w:style>
  <w:style w:type="character" w:customStyle="1" w:styleId="521">
    <w:name w:val="副标题 字符"/>
    <w:qFormat/>
    <w:uiPriority w:val="0"/>
    <w:rPr>
      <w:rFonts w:ascii="Calibri" w:hAnsi="Calibri" w:eastAsia="宋体" w:cs="黑体"/>
      <w:b/>
      <w:bCs/>
      <w:kern w:val="28"/>
      <w:sz w:val="32"/>
      <w:szCs w:val="32"/>
    </w:rPr>
  </w:style>
  <w:style w:type="character" w:customStyle="1" w:styleId="522">
    <w:name w:val="副标题 字符1"/>
    <w:link w:val="38"/>
    <w:qFormat/>
    <w:uiPriority w:val="11"/>
    <w:rPr>
      <w:rFonts w:ascii="Cambria" w:hAnsi="Cambria"/>
      <w:b/>
      <w:bCs/>
      <w:kern w:val="28"/>
      <w:sz w:val="32"/>
      <w:szCs w:val="32"/>
      <w:lang w:val="zh-CN" w:eastAsia="zh-CN"/>
    </w:rPr>
  </w:style>
  <w:style w:type="character" w:customStyle="1" w:styleId="523">
    <w:name w:val="脚注文本 字符"/>
    <w:qFormat/>
    <w:uiPriority w:val="0"/>
    <w:rPr>
      <w:kern w:val="2"/>
      <w:sz w:val="18"/>
      <w:szCs w:val="18"/>
    </w:rPr>
  </w:style>
  <w:style w:type="character" w:customStyle="1" w:styleId="524">
    <w:name w:val="脚注文本 字符1"/>
    <w:link w:val="40"/>
    <w:qFormat/>
    <w:uiPriority w:val="0"/>
    <w:rPr>
      <w:sz w:val="18"/>
      <w:szCs w:val="18"/>
      <w:lang w:val="zh-CN" w:eastAsia="zh-CN"/>
    </w:rPr>
  </w:style>
  <w:style w:type="character" w:customStyle="1" w:styleId="525">
    <w:name w:val="正文文本缩进 3 Char1"/>
    <w:qFormat/>
    <w:uiPriority w:val="99"/>
    <w:rPr>
      <w:rFonts w:ascii="宋体"/>
      <w:sz w:val="24"/>
    </w:rPr>
  </w:style>
  <w:style w:type="character" w:customStyle="1" w:styleId="526">
    <w:name w:val="正文文本 2 Char1"/>
    <w:qFormat/>
    <w:uiPriority w:val="99"/>
    <w:rPr>
      <w:rFonts w:ascii="楷体_GB2312" w:hAnsi="Garamond" w:eastAsia="楷体_GB2312"/>
      <w:color w:val="FF0000"/>
      <w:sz w:val="24"/>
      <w:szCs w:val="24"/>
    </w:rPr>
  </w:style>
  <w:style w:type="character" w:customStyle="1" w:styleId="527">
    <w:name w:val="HTML 预设格式 Char1"/>
    <w:qFormat/>
    <w:uiPriority w:val="0"/>
    <w:rPr>
      <w:rFonts w:ascii="宋体" w:hAnsi="宋体" w:cs="宋体"/>
      <w:sz w:val="24"/>
      <w:szCs w:val="24"/>
    </w:rPr>
  </w:style>
  <w:style w:type="character" w:customStyle="1" w:styleId="528">
    <w:name w:val="标题 Char2"/>
    <w:qFormat/>
    <w:uiPriority w:val="99"/>
    <w:rPr>
      <w:b/>
      <w:kern w:val="2"/>
      <w:sz w:val="32"/>
    </w:rPr>
  </w:style>
  <w:style w:type="character" w:customStyle="1" w:styleId="529">
    <w:name w:val="批注主题 Char3"/>
    <w:qFormat/>
    <w:uiPriority w:val="99"/>
    <w:rPr>
      <w:rFonts w:ascii="Times New Roman" w:hAnsi="Times New Roman" w:eastAsia="宋体" w:cs="Times New Roman"/>
      <w:b/>
      <w:bCs/>
      <w:kern w:val="2"/>
      <w:sz w:val="21"/>
      <w:szCs w:val="24"/>
      <w:lang w:val="en-US" w:eastAsia="zh-CN" w:bidi="ar-SA"/>
    </w:rPr>
  </w:style>
  <w:style w:type="character" w:customStyle="1" w:styleId="530">
    <w:name w:val="正文首行缩进 Char"/>
    <w:qFormat/>
    <w:uiPriority w:val="0"/>
  </w:style>
  <w:style w:type="character" w:customStyle="1" w:styleId="531">
    <w:name w:val="正文首行缩进 2 Char"/>
    <w:qFormat/>
    <w:uiPriority w:val="0"/>
    <w:rPr>
      <w:rFonts w:eastAsia="宋体"/>
      <w:kern w:val="2"/>
      <w:sz w:val="24"/>
      <w:szCs w:val="24"/>
      <w:lang w:val="en-US" w:eastAsia="zh-CN" w:bidi="ar-SA"/>
    </w:rPr>
  </w:style>
  <w:style w:type="character" w:customStyle="1" w:styleId="532">
    <w:name w:val="列出段落 Char2"/>
    <w:link w:val="226"/>
    <w:qFormat/>
    <w:uiPriority w:val="99"/>
    <w:rPr>
      <w:rFonts w:ascii="Calibri" w:hAnsi="Calibri"/>
      <w:kern w:val="2"/>
      <w:sz w:val="21"/>
      <w:szCs w:val="22"/>
    </w:rPr>
  </w:style>
  <w:style w:type="character" w:customStyle="1" w:styleId="533">
    <w:name w:val="文档正文 Char"/>
    <w:link w:val="123"/>
    <w:qFormat/>
    <w:locked/>
    <w:uiPriority w:val="0"/>
    <w:rPr>
      <w:rFonts w:ascii="Arial" w:hAnsi="Arial"/>
      <w:kern w:val="2"/>
      <w:sz w:val="21"/>
    </w:rPr>
  </w:style>
  <w:style w:type="character" w:customStyle="1" w:styleId="534">
    <w:name w:val="列出段落 Char Char"/>
    <w:link w:val="154"/>
    <w:qFormat/>
    <w:uiPriority w:val="0"/>
    <w:rPr>
      <w:rFonts w:ascii="Calibri" w:hAnsi="Calibri"/>
      <w:kern w:val="2"/>
      <w:sz w:val="21"/>
      <w:szCs w:val="22"/>
    </w:rPr>
  </w:style>
  <w:style w:type="character" w:customStyle="1" w:styleId="535">
    <w:name w:val="List Paragraph Char"/>
    <w:link w:val="190"/>
    <w:qFormat/>
    <w:locked/>
    <w:uiPriority w:val="0"/>
    <w:rPr>
      <w:rFonts w:ascii="Calibri" w:hAnsi="Calibri"/>
      <w:kern w:val="2"/>
      <w:sz w:val="21"/>
      <w:szCs w:val="22"/>
    </w:rPr>
  </w:style>
  <w:style w:type="character" w:customStyle="1" w:styleId="536">
    <w:name w:val="列出段落 Char1"/>
    <w:link w:val="244"/>
    <w:qFormat/>
    <w:locked/>
    <w:uiPriority w:val="34"/>
    <w:rPr>
      <w:kern w:val="2"/>
      <w:sz w:val="21"/>
      <w:szCs w:val="24"/>
      <w:lang w:val="zh-CN" w:eastAsia="zh-CN"/>
    </w:rPr>
  </w:style>
  <w:style w:type="character" w:customStyle="1" w:styleId="537">
    <w:name w:val="Body text|7_"/>
    <w:link w:val="247"/>
    <w:qFormat/>
    <w:uiPriority w:val="0"/>
    <w:rPr>
      <w:rFonts w:ascii="PMingLiU" w:hAnsi="PMingLiU" w:eastAsia="PMingLiU" w:cs="PMingLiU"/>
      <w:b/>
      <w:bCs/>
      <w:spacing w:val="20"/>
      <w:shd w:val="clear" w:color="auto" w:fill="FFFFFF"/>
    </w:rPr>
  </w:style>
  <w:style w:type="character" w:customStyle="1" w:styleId="538">
    <w:name w:val="Body text|2_"/>
    <w:link w:val="248"/>
    <w:qFormat/>
    <w:uiPriority w:val="0"/>
    <w:rPr>
      <w:rFonts w:ascii="PMingLiU" w:hAnsi="PMingLiU" w:eastAsia="PMingLiU" w:cs="PMingLiU"/>
      <w:spacing w:val="30"/>
      <w:shd w:val="clear" w:color="auto" w:fill="FFFFFF"/>
    </w:rPr>
  </w:style>
  <w:style w:type="character" w:customStyle="1" w:styleId="539">
    <w:name w:val="Body text|2 + Bold"/>
    <w:unhideWhenUsed/>
    <w:qFormat/>
    <w:uiPriority w:val="0"/>
    <w:rPr>
      <w:rFonts w:ascii="PMingLiU" w:hAnsi="PMingLiU" w:eastAsia="PMingLiU" w:cs="PMingLiU"/>
      <w:b/>
      <w:bCs/>
      <w:color w:val="000000"/>
      <w:spacing w:val="20"/>
      <w:w w:val="100"/>
      <w:position w:val="0"/>
      <w:sz w:val="24"/>
      <w:szCs w:val="24"/>
      <w:shd w:val="clear" w:color="auto" w:fill="FFFFFF"/>
      <w:lang w:val="zh-CN" w:eastAsia="zh-CN" w:bidi="zh-CN"/>
    </w:rPr>
  </w:style>
  <w:style w:type="character" w:customStyle="1" w:styleId="540">
    <w:name w:val="15"/>
    <w:qFormat/>
    <w:uiPriority w:val="0"/>
    <w:rPr>
      <w:rFonts w:hint="eastAsia" w:ascii="宋体" w:hAnsi="宋体" w:eastAsia="宋体"/>
      <w:b/>
      <w:bCs/>
      <w:color w:val="000000"/>
      <w:sz w:val="21"/>
      <w:szCs w:val="21"/>
    </w:rPr>
  </w:style>
  <w:style w:type="character" w:customStyle="1" w:styleId="541">
    <w:name w:val="16"/>
    <w:qFormat/>
    <w:uiPriority w:val="0"/>
    <w:rPr>
      <w:rFonts w:hint="default" w:ascii="font-weight : 400" w:hAnsi="font-weight : 400"/>
      <w:color w:val="000000"/>
      <w:sz w:val="24"/>
      <w:szCs w:val="24"/>
    </w:rPr>
  </w:style>
  <w:style w:type="character" w:customStyle="1" w:styleId="542">
    <w:name w:val="标题 1 Char"/>
    <w:qFormat/>
    <w:uiPriority w:val="0"/>
    <w:rPr>
      <w:kern w:val="2"/>
      <w:sz w:val="28"/>
    </w:rPr>
  </w:style>
  <w:style w:type="character" w:customStyle="1" w:styleId="543">
    <w:name w:val="标题 4 Char"/>
    <w:qFormat/>
    <w:uiPriority w:val="0"/>
    <w:rPr>
      <w:rFonts w:ascii="Arial" w:hAnsi="Arial" w:eastAsia="黑体"/>
      <w:b/>
      <w:bCs/>
      <w:sz w:val="28"/>
      <w:szCs w:val="28"/>
    </w:rPr>
  </w:style>
  <w:style w:type="character" w:customStyle="1" w:styleId="544">
    <w:name w:val="标题 5 Char"/>
    <w:qFormat/>
    <w:uiPriority w:val="0"/>
    <w:rPr>
      <w:b/>
      <w:bCs/>
      <w:sz w:val="28"/>
      <w:szCs w:val="28"/>
    </w:rPr>
  </w:style>
  <w:style w:type="character" w:customStyle="1" w:styleId="545">
    <w:name w:val="标题 6 Char"/>
    <w:qFormat/>
    <w:uiPriority w:val="0"/>
    <w:rPr>
      <w:rFonts w:ascii="Arial" w:hAnsi="Arial" w:eastAsia="黑体"/>
      <w:b/>
      <w:bCs/>
      <w:sz w:val="24"/>
      <w:szCs w:val="24"/>
    </w:rPr>
  </w:style>
  <w:style w:type="character" w:customStyle="1" w:styleId="546">
    <w:name w:val="标题 7 Char"/>
    <w:qFormat/>
    <w:uiPriority w:val="0"/>
    <w:rPr>
      <w:b/>
      <w:bCs/>
      <w:sz w:val="24"/>
      <w:szCs w:val="24"/>
    </w:rPr>
  </w:style>
  <w:style w:type="character" w:customStyle="1" w:styleId="547">
    <w:name w:val="标题 8 Char"/>
    <w:qFormat/>
    <w:uiPriority w:val="0"/>
    <w:rPr>
      <w:rFonts w:ascii="Arial" w:hAnsi="Arial" w:eastAsia="黑体"/>
      <w:sz w:val="24"/>
      <w:szCs w:val="24"/>
    </w:rPr>
  </w:style>
  <w:style w:type="character" w:customStyle="1" w:styleId="548">
    <w:name w:val="标题 9 Char"/>
    <w:qFormat/>
    <w:uiPriority w:val="0"/>
    <w:rPr>
      <w:rFonts w:ascii="Arial" w:hAnsi="Arial" w:eastAsia="黑体"/>
      <w:sz w:val="21"/>
      <w:szCs w:val="21"/>
    </w:rPr>
  </w:style>
  <w:style w:type="character" w:customStyle="1" w:styleId="549">
    <w:name w:val="正文文本 Char"/>
    <w:qFormat/>
    <w:uiPriority w:val="0"/>
    <w:rPr>
      <w:kern w:val="2"/>
      <w:sz w:val="21"/>
    </w:rPr>
  </w:style>
  <w:style w:type="character" w:customStyle="1" w:styleId="550">
    <w:name w:val="正文缩进 Char1"/>
    <w:qFormat/>
    <w:uiPriority w:val="0"/>
    <w:rPr>
      <w:rFonts w:eastAsia="宋体"/>
      <w:kern w:val="2"/>
      <w:sz w:val="21"/>
      <w:lang w:val="en-US" w:eastAsia="zh-CN" w:bidi="ar-SA"/>
    </w:rPr>
  </w:style>
  <w:style w:type="character" w:customStyle="1" w:styleId="551">
    <w:name w:val="日期 Char"/>
    <w:qFormat/>
    <w:uiPriority w:val="0"/>
    <w:rPr>
      <w:kern w:val="2"/>
      <w:sz w:val="21"/>
    </w:rPr>
  </w:style>
  <w:style w:type="character" w:customStyle="1" w:styleId="552">
    <w:name w:val="段 Char"/>
    <w:qFormat/>
    <w:locked/>
    <w:uiPriority w:val="0"/>
    <w:rPr>
      <w:rFonts w:ascii="宋体"/>
      <w:sz w:val="28"/>
      <w:lang w:val="en-US" w:eastAsia="zh-CN" w:bidi="ar-SA"/>
    </w:rPr>
  </w:style>
  <w:style w:type="character" w:customStyle="1" w:styleId="553">
    <w:name w:val="正文图标题 Char"/>
    <w:qFormat/>
    <w:locked/>
    <w:uiPriority w:val="0"/>
    <w:rPr>
      <w:rFonts w:ascii="黑体" w:eastAsia="黑体"/>
      <w:sz w:val="28"/>
      <w:lang w:val="en-US" w:eastAsia="zh-CN" w:bidi="ar-SA"/>
    </w:rPr>
  </w:style>
  <w:style w:type="character" w:customStyle="1" w:styleId="554">
    <w:name w:val="CharAttribute37"/>
    <w:qFormat/>
    <w:uiPriority w:val="0"/>
    <w:rPr>
      <w:rFonts w:hint="eastAsia" w:ascii="宋体" w:hAnsi="宋体" w:eastAsia="宋体"/>
      <w:sz w:val="24"/>
    </w:rPr>
  </w:style>
  <w:style w:type="character" w:customStyle="1" w:styleId="555">
    <w:name w:val="hang1"/>
    <w:qFormat/>
    <w:uiPriority w:val="0"/>
  </w:style>
  <w:style w:type="character" w:customStyle="1" w:styleId="556">
    <w:name w:val="font21"/>
    <w:qFormat/>
    <w:uiPriority w:val="0"/>
    <w:rPr>
      <w:rFonts w:hint="default" w:ascii="Times New Roman" w:hAnsi="Times New Roman" w:cs="Times New Roman"/>
      <w:color w:val="000000"/>
      <w:sz w:val="24"/>
      <w:szCs w:val="24"/>
      <w:u w:val="none"/>
    </w:rPr>
  </w:style>
  <w:style w:type="character" w:customStyle="1" w:styleId="557">
    <w:name w:val="font91"/>
    <w:qFormat/>
    <w:uiPriority w:val="0"/>
    <w:rPr>
      <w:rFonts w:hint="default" w:ascii="Times New Roman" w:hAnsi="Times New Roman" w:cs="Times New Roman"/>
      <w:color w:val="000000"/>
      <w:sz w:val="24"/>
      <w:szCs w:val="24"/>
      <w:u w:val="none"/>
    </w:rPr>
  </w:style>
  <w:style w:type="character" w:customStyle="1" w:styleId="558">
    <w:name w:val="font31"/>
    <w:qFormat/>
    <w:uiPriority w:val="0"/>
    <w:rPr>
      <w:rFonts w:hint="eastAsia" w:ascii="宋体" w:hAnsi="宋体" w:eastAsia="宋体" w:cs="宋体"/>
      <w:color w:val="000000"/>
      <w:sz w:val="24"/>
      <w:szCs w:val="24"/>
      <w:u w:val="none"/>
    </w:rPr>
  </w:style>
  <w:style w:type="character" w:customStyle="1" w:styleId="559">
    <w:name w:val="font71"/>
    <w:qFormat/>
    <w:uiPriority w:val="0"/>
    <w:rPr>
      <w:rFonts w:hint="default" w:ascii="Times New Roman" w:hAnsi="Times New Roman" w:cs="Times New Roman"/>
      <w:color w:val="000000"/>
      <w:sz w:val="24"/>
      <w:szCs w:val="24"/>
      <w:u w:val="none"/>
    </w:rPr>
  </w:style>
  <w:style w:type="character" w:customStyle="1" w:styleId="560">
    <w:name w:val="font101"/>
    <w:qFormat/>
    <w:uiPriority w:val="0"/>
    <w:rPr>
      <w:rFonts w:hint="eastAsia" w:ascii="宋体" w:hAnsi="宋体" w:eastAsia="宋体" w:cs="宋体"/>
      <w:color w:val="000000"/>
      <w:sz w:val="24"/>
      <w:szCs w:val="24"/>
      <w:u w:val="none"/>
    </w:rPr>
  </w:style>
  <w:style w:type="character" w:customStyle="1" w:styleId="561">
    <w:name w:val="font01"/>
    <w:qFormat/>
    <w:uiPriority w:val="0"/>
    <w:rPr>
      <w:rFonts w:hint="eastAsia" w:ascii="宋体" w:hAnsi="宋体" w:eastAsia="宋体" w:cs="宋体"/>
      <w:color w:val="000000"/>
      <w:sz w:val="24"/>
      <w:szCs w:val="24"/>
      <w:u w:val="none"/>
    </w:rPr>
  </w:style>
  <w:style w:type="character" w:customStyle="1" w:styleId="562">
    <w:name w:val="font171"/>
    <w:qFormat/>
    <w:uiPriority w:val="0"/>
    <w:rPr>
      <w:rFonts w:hint="eastAsia" w:ascii="宋体" w:hAnsi="宋体" w:eastAsia="宋体" w:cs="宋体"/>
      <w:color w:val="000000"/>
      <w:sz w:val="24"/>
      <w:szCs w:val="24"/>
      <w:u w:val="none"/>
    </w:rPr>
  </w:style>
  <w:style w:type="character" w:customStyle="1" w:styleId="563">
    <w:name w:val="CharAttribute29"/>
    <w:qFormat/>
    <w:uiPriority w:val="0"/>
    <w:rPr>
      <w:rFonts w:ascii="宋体" w:hAnsi="宋体" w:eastAsia="宋体"/>
      <w:sz w:val="27"/>
    </w:rPr>
  </w:style>
  <w:style w:type="character" w:customStyle="1" w:styleId="564">
    <w:name w:val="CharAttribute0"/>
    <w:qFormat/>
    <w:uiPriority w:val="0"/>
    <w:rPr>
      <w:rFonts w:ascii="Arial" w:hAnsi="Arial" w:eastAsia="Arial"/>
      <w:sz w:val="19"/>
    </w:rPr>
  </w:style>
  <w:style w:type="character" w:customStyle="1" w:styleId="565">
    <w:name w:val="CharAttribute9"/>
    <w:qFormat/>
    <w:uiPriority w:val="0"/>
    <w:rPr>
      <w:rFonts w:ascii="宋体" w:hAnsi="宋体" w:eastAsia="宋体"/>
      <w:sz w:val="23"/>
    </w:rPr>
  </w:style>
  <w:style w:type="character" w:customStyle="1" w:styleId="566">
    <w:name w:val="CharAttribute28"/>
    <w:qFormat/>
    <w:uiPriority w:val="0"/>
    <w:rPr>
      <w:rFonts w:ascii="宋体" w:hAnsi="宋体" w:eastAsia="宋体"/>
      <w:sz w:val="23"/>
    </w:rPr>
  </w:style>
  <w:style w:type="character" w:customStyle="1" w:styleId="567">
    <w:name w:val="CharAttribute20"/>
    <w:qFormat/>
    <w:uiPriority w:val="0"/>
    <w:rPr>
      <w:rFonts w:ascii="宋体" w:hAnsi="宋体" w:eastAsia="宋体"/>
      <w:sz w:val="24"/>
    </w:rPr>
  </w:style>
  <w:style w:type="character" w:customStyle="1" w:styleId="568">
    <w:name w:val="标题 Char1"/>
    <w:qFormat/>
    <w:uiPriority w:val="0"/>
    <w:rPr>
      <w:rFonts w:ascii="Cambria" w:hAnsi="Cambria" w:cs="Times New Roman"/>
      <w:b/>
      <w:bCs/>
      <w:kern w:val="2"/>
      <w:sz w:val="32"/>
      <w:szCs w:val="32"/>
    </w:rPr>
  </w:style>
  <w:style w:type="character" w:customStyle="1" w:styleId="569">
    <w:name w:val="未处理的提及2"/>
    <w:unhideWhenUsed/>
    <w:qFormat/>
    <w:uiPriority w:val="99"/>
    <w:rPr>
      <w:color w:val="605E5C"/>
      <w:shd w:val="clear" w:color="auto" w:fill="E1DFDD"/>
    </w:rPr>
  </w:style>
  <w:style w:type="character" w:customStyle="1" w:styleId="570">
    <w:name w:val="未处理的提及3"/>
    <w:unhideWhenUsed/>
    <w:qFormat/>
    <w:uiPriority w:val="99"/>
    <w:rPr>
      <w:color w:val="605E5C"/>
      <w:shd w:val="clear" w:color="auto" w:fill="E1DFDD"/>
    </w:rPr>
  </w:style>
  <w:style w:type="character" w:customStyle="1" w:styleId="571">
    <w:name w:val="纯文本 Char"/>
    <w:qFormat/>
    <w:uiPriority w:val="0"/>
    <w:rPr>
      <w:rFonts w:hint="eastAsia" w:ascii="宋体" w:hAnsi="Courier New" w:eastAsia="宋体" w:cs="宋体"/>
      <w:kern w:val="2"/>
      <w:sz w:val="21"/>
    </w:rPr>
  </w:style>
  <w:style w:type="character" w:customStyle="1" w:styleId="572">
    <w:name w:val="文档结构图 Char"/>
    <w:qFormat/>
    <w:uiPriority w:val="0"/>
    <w:rPr>
      <w:rFonts w:ascii="Times New Roman" w:hAnsi="Times New Roman" w:eastAsia="宋体" w:cs="Times New Roman"/>
      <w:kern w:val="0"/>
      <w:sz w:val="24"/>
      <w:szCs w:val="24"/>
      <w:shd w:val="clear" w:color="auto" w:fill="000080"/>
    </w:rPr>
  </w:style>
  <w:style w:type="character" w:customStyle="1" w:styleId="573">
    <w:name w:val="正文文本 3 Char"/>
    <w:qFormat/>
    <w:uiPriority w:val="0"/>
    <w:rPr>
      <w:rFonts w:ascii="Times New Roman" w:hAnsi="Times New Roman" w:eastAsia="宋体" w:cs="Times New Roman"/>
      <w:sz w:val="16"/>
      <w:szCs w:val="16"/>
    </w:rPr>
  </w:style>
  <w:style w:type="character" w:customStyle="1" w:styleId="574">
    <w:name w:val="批注框文本 Char"/>
    <w:qFormat/>
    <w:uiPriority w:val="0"/>
    <w:rPr>
      <w:rFonts w:ascii="Times New Roman" w:hAnsi="Times New Roman" w:eastAsia="宋体" w:cs="Times New Roman"/>
      <w:kern w:val="0"/>
      <w:sz w:val="18"/>
      <w:szCs w:val="18"/>
    </w:rPr>
  </w:style>
  <w:style w:type="character" w:customStyle="1" w:styleId="575">
    <w:name w:val="副标题 Char"/>
    <w:qFormat/>
    <w:uiPriority w:val="0"/>
    <w:rPr>
      <w:rFonts w:ascii="Cambria" w:hAnsi="Cambria" w:eastAsia="宋体" w:cs="Times New Roman"/>
      <w:b/>
      <w:bCs/>
      <w:kern w:val="28"/>
      <w:sz w:val="32"/>
      <w:szCs w:val="32"/>
    </w:rPr>
  </w:style>
  <w:style w:type="character" w:customStyle="1" w:styleId="576">
    <w:name w:val="正文文本缩进 3 Char"/>
    <w:qFormat/>
    <w:uiPriority w:val="0"/>
    <w:rPr>
      <w:rFonts w:ascii="Times New Roman" w:hAnsi="Times New Roman" w:eastAsia="宋体" w:cs="Times New Roman"/>
      <w:sz w:val="28"/>
      <w:szCs w:val="20"/>
    </w:rPr>
  </w:style>
  <w:style w:type="character" w:customStyle="1" w:styleId="577">
    <w:name w:val="正文文本 2 Char"/>
    <w:qFormat/>
    <w:uiPriority w:val="99"/>
    <w:rPr>
      <w:rFonts w:ascii="Times New Roman" w:hAnsi="Times New Roman" w:eastAsia="黑体" w:cs="Times New Roman"/>
      <w:bCs/>
      <w:sz w:val="72"/>
      <w:szCs w:val="24"/>
    </w:rPr>
  </w:style>
  <w:style w:type="character" w:customStyle="1" w:styleId="578">
    <w:name w:val="HTML 预设格式 Char"/>
    <w:qFormat/>
    <w:uiPriority w:val="99"/>
    <w:rPr>
      <w:rFonts w:ascii="宋体" w:hAnsi="宋体" w:eastAsia="宋体" w:cs="宋体"/>
      <w:kern w:val="0"/>
      <w:sz w:val="24"/>
      <w:szCs w:val="24"/>
    </w:rPr>
  </w:style>
  <w:style w:type="character" w:customStyle="1" w:styleId="579">
    <w:name w:val="批注主题 Char"/>
    <w:qFormat/>
    <w:uiPriority w:val="0"/>
    <w:rPr>
      <w:rFonts w:ascii="Times New Roman" w:hAnsi="Times New Roman" w:eastAsia="宋体" w:cs="Times New Roman"/>
      <w:b/>
      <w:bCs/>
      <w:kern w:val="0"/>
      <w:sz w:val="24"/>
      <w:szCs w:val="24"/>
    </w:rPr>
  </w:style>
  <w:style w:type="character" w:customStyle="1" w:styleId="580">
    <w:name w:val="op-map-singlepoint-info-right"/>
    <w:qFormat/>
    <w:uiPriority w:val="0"/>
  </w:style>
  <w:style w:type="character" w:customStyle="1" w:styleId="581">
    <w:name w:val="正文文本 + 间距 -1 pt"/>
    <w:qFormat/>
    <w:uiPriority w:val="0"/>
    <w:rPr>
      <w:rFonts w:ascii="宋体" w:hAnsi="宋体" w:eastAsia="宋体" w:cs="宋体"/>
      <w:color w:val="000000"/>
      <w:spacing w:val="-20"/>
      <w:w w:val="100"/>
      <w:position w:val="0"/>
      <w:sz w:val="72"/>
      <w:szCs w:val="72"/>
      <w:u w:val="none"/>
      <w:lang w:val="en-US"/>
    </w:rPr>
  </w:style>
  <w:style w:type="character" w:customStyle="1" w:styleId="582">
    <w:name w:val="批注框文本 Char1"/>
    <w:qFormat/>
    <w:uiPriority w:val="0"/>
    <w:rPr>
      <w:rFonts w:ascii="Times New Roman" w:hAnsi="Times New Roman" w:eastAsia="宋体"/>
      <w:kern w:val="2"/>
      <w:sz w:val="18"/>
      <w:szCs w:val="18"/>
    </w:rPr>
  </w:style>
  <w:style w:type="character" w:customStyle="1" w:styleId="583">
    <w:name w:val="正文文本 (4) + 间距 1 pt"/>
    <w:qFormat/>
    <w:uiPriority w:val="0"/>
    <w:rPr>
      <w:rFonts w:ascii="宋体" w:hAnsi="宋体" w:eastAsia="宋体" w:cs="宋体"/>
      <w:color w:val="000000"/>
      <w:spacing w:val="20"/>
      <w:w w:val="100"/>
      <w:position w:val="0"/>
      <w:sz w:val="72"/>
      <w:szCs w:val="72"/>
      <w:u w:val="none"/>
      <w:lang w:val="zh-TW"/>
    </w:rPr>
  </w:style>
  <w:style w:type="character" w:customStyle="1" w:styleId="584">
    <w:name w:val="f14b1"/>
    <w:qFormat/>
    <w:uiPriority w:val="0"/>
    <w:rPr>
      <w:b/>
      <w:bCs/>
      <w:sz w:val="21"/>
      <w:szCs w:val="21"/>
    </w:rPr>
  </w:style>
  <w:style w:type="character" w:customStyle="1" w:styleId="585">
    <w:name w:val="副标题 Char1"/>
    <w:qFormat/>
    <w:uiPriority w:val="0"/>
    <w:rPr>
      <w:rFonts w:ascii="Cambria" w:hAnsi="Cambria" w:eastAsia="宋体" w:cs="Times New Roman"/>
      <w:b/>
      <w:bCs/>
      <w:kern w:val="28"/>
      <w:sz w:val="32"/>
      <w:szCs w:val="32"/>
    </w:rPr>
  </w:style>
  <w:style w:type="character" w:customStyle="1" w:styleId="586">
    <w:name w:val="页脚 Char1"/>
    <w:qFormat/>
    <w:uiPriority w:val="0"/>
    <w:rPr>
      <w:rFonts w:ascii="Times New Roman" w:hAnsi="Times New Roman" w:eastAsia="宋体"/>
      <w:kern w:val="2"/>
      <w:sz w:val="18"/>
      <w:szCs w:val="18"/>
    </w:rPr>
  </w:style>
  <w:style w:type="character" w:customStyle="1" w:styleId="587">
    <w:name w:val="明显强调1"/>
    <w:qFormat/>
    <w:uiPriority w:val="0"/>
    <w:rPr>
      <w:b/>
      <w:bCs/>
      <w:i/>
      <w:iCs/>
      <w:color w:val="4F81BD"/>
    </w:rPr>
  </w:style>
  <w:style w:type="character" w:customStyle="1" w:styleId="588">
    <w:name w:val="页眉 Char1"/>
    <w:qFormat/>
    <w:uiPriority w:val="0"/>
    <w:rPr>
      <w:rFonts w:ascii="Times New Roman" w:hAnsi="Times New Roman" w:eastAsia="宋体"/>
      <w:kern w:val="2"/>
      <w:sz w:val="18"/>
      <w:szCs w:val="18"/>
    </w:rPr>
  </w:style>
  <w:style w:type="character" w:customStyle="1" w:styleId="589">
    <w:name w:val="f121"/>
    <w:qFormat/>
    <w:uiPriority w:val="0"/>
    <w:rPr>
      <w:sz w:val="18"/>
      <w:szCs w:val="18"/>
      <w:u w:val="none"/>
    </w:rPr>
  </w:style>
  <w:style w:type="character" w:customStyle="1" w:styleId="590">
    <w:name w:val="文档结构图 Char1"/>
    <w:qFormat/>
    <w:uiPriority w:val="0"/>
    <w:rPr>
      <w:rFonts w:ascii="宋体" w:hAnsi="Times New Roman" w:eastAsia="宋体"/>
      <w:kern w:val="2"/>
      <w:sz w:val="18"/>
      <w:szCs w:val="18"/>
    </w:rPr>
  </w:style>
  <w:style w:type="character" w:customStyle="1" w:styleId="591">
    <w:name w:val="明显强调11"/>
    <w:qFormat/>
    <w:uiPriority w:val="0"/>
    <w:rPr>
      <w:b/>
      <w:bCs/>
      <w:i/>
      <w:iCs/>
      <w:color w:val="4F81BD"/>
    </w:rPr>
  </w:style>
  <w:style w:type="character" w:customStyle="1" w:styleId="592">
    <w:name w:val="样式 标题 2 + (符号) 宋体 小四 Char"/>
    <w:qFormat/>
    <w:uiPriority w:val="0"/>
    <w:rPr>
      <w:rFonts w:ascii="Arial" w:hAnsi="Arial" w:eastAsia="宋体"/>
      <w:b/>
      <w:bCs/>
      <w:kern w:val="2"/>
      <w:sz w:val="24"/>
      <w:szCs w:val="32"/>
      <w:lang w:val="en-US" w:eastAsia="zh-CN" w:bidi="ar-SA"/>
    </w:rPr>
  </w:style>
  <w:style w:type="character" w:customStyle="1" w:styleId="593">
    <w:name w:val="GP正文(首行缩进) Char"/>
    <w:link w:val="288"/>
    <w:qFormat/>
    <w:uiPriority w:val="0"/>
    <w:rPr>
      <w:rFonts w:ascii="宋体" w:hAnsi="宋体"/>
      <w:sz w:val="24"/>
      <w:szCs w:val="24"/>
    </w:rPr>
  </w:style>
  <w:style w:type="character" w:customStyle="1" w:styleId="594">
    <w:name w:val="Char Char6"/>
    <w:qFormat/>
    <w:uiPriority w:val="0"/>
    <w:rPr>
      <w:rFonts w:ascii="Calibri" w:hAnsi="Calibri" w:eastAsia="宋体" w:cs="Times New Roman"/>
      <w:kern w:val="2"/>
      <w:sz w:val="21"/>
      <w:szCs w:val="24"/>
      <w:lang w:val="en-US" w:eastAsia="zh-CN" w:bidi="ar-SA"/>
    </w:rPr>
  </w:style>
  <w:style w:type="character" w:customStyle="1" w:styleId="595">
    <w:name w:val="No Spacing Char"/>
    <w:link w:val="289"/>
    <w:qFormat/>
    <w:locked/>
    <w:uiPriority w:val="0"/>
    <w:rPr>
      <w:sz w:val="22"/>
    </w:rPr>
  </w:style>
  <w:style w:type="character" w:customStyle="1" w:styleId="596">
    <w:name w:val="样式 楷体_GB2312"/>
    <w:qFormat/>
    <w:uiPriority w:val="0"/>
    <w:rPr>
      <w:rFonts w:ascii="楷体_GB2312" w:hAnsi="楷体_GB2312" w:eastAsia="楷体_GB2312" w:cs="Times New Roman"/>
    </w:rPr>
  </w:style>
  <w:style w:type="character" w:customStyle="1" w:styleId="597">
    <w:name w:val="合同标题 Char Char"/>
    <w:qFormat/>
    <w:uiPriority w:val="0"/>
    <w:rPr>
      <w:rFonts w:ascii="黑体" w:hAnsi="Calibri" w:eastAsia="黑体" w:cs="Times New Roman"/>
      <w:b/>
      <w:sz w:val="21"/>
      <w:szCs w:val="24"/>
      <w:lang w:val="en-US" w:eastAsia="zh-CN" w:bidi="ar-SA"/>
    </w:rPr>
  </w:style>
  <w:style w:type="character" w:customStyle="1" w:styleId="598">
    <w:name w:val="段落内容二级列表 Char"/>
    <w:link w:val="290"/>
    <w:qFormat/>
    <w:uiPriority w:val="0"/>
    <w:rPr>
      <w:rFonts w:ascii="宋体" w:hAnsi="宋体"/>
      <w:sz w:val="24"/>
      <w:szCs w:val="24"/>
      <w:lang w:bidi="en-US"/>
    </w:rPr>
  </w:style>
  <w:style w:type="character" w:customStyle="1" w:styleId="599">
    <w:name w:val="正文段落内容 Char"/>
    <w:link w:val="291"/>
    <w:qFormat/>
    <w:uiPriority w:val="0"/>
    <w:rPr>
      <w:rFonts w:ascii="宋体" w:hAnsi="宋体"/>
      <w:sz w:val="24"/>
      <w:szCs w:val="24"/>
      <w:lang w:bidi="en-US"/>
    </w:rPr>
  </w:style>
  <w:style w:type="character" w:customStyle="1" w:styleId="600">
    <w:name w:val="日期 Char1"/>
    <w:qFormat/>
    <w:uiPriority w:val="0"/>
    <w:rPr>
      <w:rFonts w:ascii="Times New Roman" w:hAnsi="Times New Roman" w:eastAsia="宋体" w:cs="Times New Roman"/>
      <w:sz w:val="20"/>
      <w:szCs w:val="20"/>
    </w:rPr>
  </w:style>
  <w:style w:type="character" w:customStyle="1" w:styleId="601">
    <w:name w:val="middle1"/>
    <w:qFormat/>
    <w:uiPriority w:val="0"/>
    <w:rPr>
      <w:rFonts w:ascii="Calibri" w:hAnsi="Calibri" w:eastAsia="宋体" w:cs="Times New Roman"/>
      <w:sz w:val="21"/>
    </w:rPr>
  </w:style>
  <w:style w:type="character" w:customStyle="1" w:styleId="602">
    <w:name w:val="content1"/>
    <w:qFormat/>
    <w:uiPriority w:val="0"/>
    <w:rPr>
      <w:rFonts w:ascii="??" w:hAnsi="??" w:eastAsia="宋体" w:cs="Times New Roman"/>
      <w:color w:val="000000"/>
      <w:sz w:val="21"/>
    </w:rPr>
  </w:style>
  <w:style w:type="character" w:customStyle="1" w:styleId="603">
    <w:name w:val="标题 4 Char1"/>
    <w:qFormat/>
    <w:uiPriority w:val="0"/>
    <w:rPr>
      <w:rFonts w:ascii="Arial" w:hAnsi="Arial" w:eastAsia="黑体" w:cs="Times New Roman"/>
      <w:b/>
      <w:bCs/>
      <w:sz w:val="28"/>
      <w:szCs w:val="28"/>
    </w:rPr>
  </w:style>
  <w:style w:type="character" w:customStyle="1" w:styleId="604">
    <w:name w:val="msonormal"/>
    <w:qFormat/>
    <w:uiPriority w:val="0"/>
    <w:rPr>
      <w:rFonts w:ascii="Tahoma" w:hAnsi="Tahoma" w:eastAsia="仿宋_GB2312" w:cs="Times New Roman"/>
      <w:kern w:val="2"/>
      <w:sz w:val="24"/>
      <w:lang w:val="en-US" w:eastAsia="ar-SA" w:bidi="ar-SA"/>
    </w:rPr>
  </w:style>
  <w:style w:type="character" w:customStyle="1" w:styleId="605">
    <w:name w:val="样式 标书正文 + 黑色 Char"/>
    <w:qFormat/>
    <w:uiPriority w:val="0"/>
    <w:rPr>
      <w:rFonts w:ascii="Calibri" w:hAnsi="Calibri" w:eastAsia="Times New Roman" w:cs="Times New Roman"/>
      <w:color w:val="000000"/>
      <w:kern w:val="2"/>
      <w:sz w:val="28"/>
      <w:lang w:val="en-US" w:eastAsia="zh-CN"/>
    </w:rPr>
  </w:style>
  <w:style w:type="character" w:customStyle="1" w:styleId="606">
    <w:name w:val="MM Topic 3 Char"/>
    <w:link w:val="292"/>
    <w:qFormat/>
    <w:uiPriority w:val="0"/>
    <w:rPr>
      <w:b/>
      <w:bCs/>
      <w:sz w:val="32"/>
      <w:szCs w:val="32"/>
    </w:rPr>
  </w:style>
  <w:style w:type="character" w:customStyle="1" w:styleId="607">
    <w:name w:val="图表编号及题目 Char"/>
    <w:link w:val="293"/>
    <w:qFormat/>
    <w:uiPriority w:val="99"/>
    <w:rPr>
      <w:rFonts w:ascii="黑体" w:eastAsia="黑体"/>
      <w:b/>
      <w:bCs/>
      <w:szCs w:val="21"/>
    </w:rPr>
  </w:style>
  <w:style w:type="character" w:customStyle="1" w:styleId="608">
    <w:name w:val="WW-Zeilennummer"/>
    <w:qFormat/>
    <w:uiPriority w:val="0"/>
    <w:rPr>
      <w:rFonts w:ascii="Arial" w:hAnsi="Arial" w:eastAsia="宋体" w:cs="Times New Roman"/>
      <w:sz w:val="18"/>
    </w:rPr>
  </w:style>
  <w:style w:type="character" w:customStyle="1" w:styleId="609">
    <w:name w:val="Char Char3"/>
    <w:qFormat/>
    <w:uiPriority w:val="0"/>
    <w:rPr>
      <w:rFonts w:ascii="Calibri" w:hAnsi="Calibri" w:eastAsia="宋体" w:cs="Times New Roman"/>
      <w:sz w:val="24"/>
      <w:lang w:val="en-US" w:eastAsia="zh-CN" w:bidi="ar-SA"/>
    </w:rPr>
  </w:style>
  <w:style w:type="character" w:customStyle="1" w:styleId="610">
    <w:name w:val="标书突出内容（文字加粗） Char"/>
    <w:link w:val="294"/>
    <w:qFormat/>
    <w:uiPriority w:val="1"/>
    <w:rPr>
      <w:rFonts w:ascii="宋体" w:hAnsi="宋体"/>
      <w:b/>
      <w:sz w:val="24"/>
      <w:szCs w:val="24"/>
      <w:lang w:bidi="en-US"/>
    </w:rPr>
  </w:style>
  <w:style w:type="character" w:customStyle="1" w:styleId="611">
    <w:name w:val="pd011"/>
    <w:qFormat/>
    <w:uiPriority w:val="0"/>
    <w:rPr>
      <w:rFonts w:hint="default" w:ascii="Arial" w:hAnsi="Arial" w:eastAsia="宋体" w:cs="Arial"/>
      <w:sz w:val="18"/>
      <w:szCs w:val="18"/>
    </w:rPr>
  </w:style>
  <w:style w:type="character" w:customStyle="1" w:styleId="612">
    <w:name w:val="MM Topic 2 Char Char"/>
    <w:qFormat/>
    <w:uiPriority w:val="0"/>
    <w:rPr>
      <w:rFonts w:ascii="Cambria" w:hAnsi="Cambria" w:eastAsia="宋体" w:cs="黑体"/>
      <w:b/>
      <w:bCs/>
      <w:sz w:val="32"/>
      <w:szCs w:val="32"/>
    </w:rPr>
  </w:style>
  <w:style w:type="character" w:customStyle="1" w:styleId="613">
    <w:name w:val="样式 标书正文 + 下划线 Char"/>
    <w:qFormat/>
    <w:uiPriority w:val="0"/>
    <w:rPr>
      <w:rFonts w:ascii="Calibri" w:hAnsi="Calibri" w:eastAsia="Times New Roman" w:cs="Times New Roman"/>
      <w:kern w:val="2"/>
      <w:sz w:val="28"/>
      <w:u w:val="single"/>
      <w:lang w:val="en-US" w:eastAsia="zh-CN"/>
    </w:rPr>
  </w:style>
  <w:style w:type="character" w:customStyle="1" w:styleId="614">
    <w:name w:val="Char Char13"/>
    <w:qFormat/>
    <w:locked/>
    <w:uiPriority w:val="0"/>
    <w:rPr>
      <w:rFonts w:ascii="华文细黑" w:hAnsi="Arial" w:eastAsia="华文细黑"/>
      <w:b/>
      <w:sz w:val="32"/>
    </w:rPr>
  </w:style>
  <w:style w:type="character" w:customStyle="1" w:styleId="615">
    <w:name w:val="grame"/>
    <w:qFormat/>
    <w:uiPriority w:val="0"/>
    <w:rPr>
      <w:rFonts w:ascii="Calibri" w:hAnsi="Calibri" w:eastAsia="宋体" w:cs="Times New Roman"/>
    </w:rPr>
  </w:style>
  <w:style w:type="character" w:customStyle="1" w:styleId="616">
    <w:name w:val="样式 宋体 四号"/>
    <w:qFormat/>
    <w:uiPriority w:val="0"/>
    <w:rPr>
      <w:rFonts w:ascii="宋体" w:hAnsi="宋体" w:eastAsia="仿宋_GB2312" w:cs="Times New Roman"/>
      <w:sz w:val="28"/>
    </w:rPr>
  </w:style>
  <w:style w:type="character" w:customStyle="1" w:styleId="617">
    <w:name w:val="MM Topic 3 Char Char"/>
    <w:qFormat/>
    <w:uiPriority w:val="0"/>
    <w:rPr>
      <w:rFonts w:ascii="Calibri" w:hAnsi="Calibri" w:eastAsia="宋体" w:cs="Times New Roman"/>
      <w:b/>
      <w:bCs/>
      <w:sz w:val="30"/>
      <w:szCs w:val="32"/>
    </w:rPr>
  </w:style>
  <w:style w:type="character" w:customStyle="1" w:styleId="618">
    <w:name w:val="product_name1"/>
    <w:qFormat/>
    <w:uiPriority w:val="0"/>
    <w:rPr>
      <w:rFonts w:hint="default" w:ascii="Arial" w:hAnsi="Arial" w:eastAsia="宋体" w:cs="Arial"/>
      <w:b/>
      <w:bCs/>
      <w:sz w:val="24"/>
      <w:szCs w:val="24"/>
    </w:rPr>
  </w:style>
  <w:style w:type="character" w:customStyle="1" w:styleId="619">
    <w:name w:val="headline-content2"/>
    <w:qFormat/>
    <w:uiPriority w:val="0"/>
    <w:rPr>
      <w:rFonts w:ascii="Calibri" w:hAnsi="Calibri" w:eastAsia="宋体" w:cs="Times New Roman"/>
    </w:rPr>
  </w:style>
  <w:style w:type="character" w:customStyle="1" w:styleId="620">
    <w:name w:val="页脚-有边框 Char Char1"/>
    <w:qFormat/>
    <w:uiPriority w:val="0"/>
    <w:rPr>
      <w:rFonts w:ascii="Calibri" w:hAnsi="Calibri" w:eastAsia="宋体" w:cs="Times New Roman"/>
      <w:kern w:val="2"/>
      <w:sz w:val="18"/>
      <w:szCs w:val="18"/>
      <w:lang w:val="en-US" w:eastAsia="zh-CN" w:bidi="ar-SA"/>
    </w:rPr>
  </w:style>
  <w:style w:type="character" w:customStyle="1" w:styleId="621">
    <w:name w:val="段落内容一级列表 Char"/>
    <w:link w:val="295"/>
    <w:qFormat/>
    <w:uiPriority w:val="0"/>
    <w:rPr>
      <w:rFonts w:ascii="宋体" w:hAnsi="宋体"/>
      <w:sz w:val="24"/>
      <w:szCs w:val="24"/>
      <w:lang w:bidi="en-US"/>
    </w:rPr>
  </w:style>
  <w:style w:type="character" w:customStyle="1" w:styleId="622">
    <w:name w:val="MM Topic 1 Char Char"/>
    <w:link w:val="296"/>
    <w:qFormat/>
    <w:uiPriority w:val="0"/>
    <w:rPr>
      <w:b/>
      <w:bCs/>
      <w:kern w:val="44"/>
      <w:sz w:val="36"/>
      <w:szCs w:val="44"/>
    </w:rPr>
  </w:style>
  <w:style w:type="character" w:customStyle="1" w:styleId="623">
    <w:name w:val="段落内容三级列表 Char"/>
    <w:link w:val="297"/>
    <w:qFormat/>
    <w:uiPriority w:val="0"/>
    <w:rPr>
      <w:rFonts w:ascii="宋体" w:hAnsi="宋体"/>
      <w:sz w:val="24"/>
      <w:szCs w:val="24"/>
      <w:lang w:bidi="en-US"/>
    </w:rPr>
  </w:style>
  <w:style w:type="character" w:customStyle="1" w:styleId="624">
    <w:name w:val="表格 Char"/>
    <w:link w:val="213"/>
    <w:qFormat/>
    <w:uiPriority w:val="0"/>
    <w:rPr>
      <w:rFonts w:ascii="华文细黑" w:hAnsi="华文细黑"/>
      <w:sz w:val="21"/>
    </w:rPr>
  </w:style>
  <w:style w:type="character" w:customStyle="1" w:styleId="625">
    <w:name w:val="正文1"/>
    <w:qFormat/>
    <w:uiPriority w:val="0"/>
    <w:rPr>
      <w:rFonts w:cs="Times New Roman"/>
    </w:rPr>
  </w:style>
  <w:style w:type="character" w:customStyle="1" w:styleId="626">
    <w:name w:val="Texte Char Char"/>
    <w:qFormat/>
    <w:uiPriority w:val="0"/>
    <w:rPr>
      <w:rFonts w:ascii="宋体" w:hAnsi="Courier New" w:eastAsia="宋体" w:cs="Times New Roman"/>
      <w:kern w:val="2"/>
      <w:sz w:val="21"/>
      <w:lang w:val="en-US" w:eastAsia="zh-CN" w:bidi="ar-SA"/>
    </w:rPr>
  </w:style>
  <w:style w:type="character" w:customStyle="1" w:styleId="627">
    <w:name w:val="Para head"/>
    <w:qFormat/>
    <w:uiPriority w:val="0"/>
    <w:rPr>
      <w:rFonts w:ascii="Arial" w:hAnsi="Arial" w:eastAsia="宋体" w:cs="Times New Roman"/>
      <w:sz w:val="20"/>
    </w:rPr>
  </w:style>
  <w:style w:type="character" w:customStyle="1" w:styleId="628">
    <w:name w:val="Char Char Char Char Char2"/>
    <w:qFormat/>
    <w:uiPriority w:val="0"/>
    <w:rPr>
      <w:rFonts w:ascii="宋体" w:hAnsi="Calibri" w:eastAsia="宋体" w:cs="Times New Roman"/>
      <w:sz w:val="24"/>
      <w:lang w:val="en-US" w:eastAsia="zh-CN"/>
    </w:rPr>
  </w:style>
  <w:style w:type="character" w:customStyle="1" w:styleId="629">
    <w:name w:val="Char Char5"/>
    <w:qFormat/>
    <w:uiPriority w:val="0"/>
    <w:rPr>
      <w:rFonts w:ascii="宋体" w:hAnsi="Calibri" w:eastAsia="宋体" w:cs="Times New Roman"/>
      <w:sz w:val="24"/>
      <w:szCs w:val="24"/>
      <w:lang w:val="en-US" w:eastAsia="zh-CN" w:bidi="ar-SA"/>
    </w:rPr>
  </w:style>
  <w:style w:type="character" w:customStyle="1" w:styleId="630">
    <w:name w:val="xh"/>
    <w:qFormat/>
    <w:uiPriority w:val="0"/>
    <w:rPr>
      <w:rFonts w:ascii="Calibri" w:hAnsi="Calibri" w:eastAsia="宋体" w:cs="Times New Roman"/>
    </w:rPr>
  </w:style>
  <w:style w:type="character" w:customStyle="1" w:styleId="631">
    <w:name w:val="biaotizi1"/>
    <w:qFormat/>
    <w:uiPriority w:val="0"/>
    <w:rPr>
      <w:rFonts w:ascii="Calibri" w:hAnsi="Calibri" w:eastAsia="宋体" w:cs="Times New Roman"/>
      <w:color w:val="0A2656"/>
      <w:sz w:val="18"/>
      <w:szCs w:val="18"/>
      <w:u w:val="none"/>
    </w:rPr>
  </w:style>
  <w:style w:type="character" w:customStyle="1" w:styleId="632">
    <w:name w:val="text11pxbold1"/>
    <w:qFormat/>
    <w:uiPriority w:val="0"/>
    <w:rPr>
      <w:rFonts w:hint="default" w:ascii="Arial" w:hAnsi="Arial" w:eastAsia="宋体" w:cs="Arial"/>
      <w:b/>
      <w:bCs/>
      <w:color w:val="000000"/>
      <w:sz w:val="17"/>
      <w:szCs w:val="17"/>
    </w:rPr>
  </w:style>
  <w:style w:type="character" w:customStyle="1" w:styleId="633">
    <w:name w:val="h6 Char1"/>
    <w:qFormat/>
    <w:uiPriority w:val="0"/>
    <w:rPr>
      <w:rFonts w:ascii="Cambria" w:hAnsi="Cambria" w:eastAsia="宋体" w:cs="Times New Roman"/>
      <w:b/>
      <w:bCs/>
      <w:kern w:val="2"/>
      <w:sz w:val="24"/>
      <w:szCs w:val="24"/>
      <w:lang w:val="en-US" w:eastAsia="zh-CN" w:bidi="ar-SA"/>
    </w:rPr>
  </w:style>
  <w:style w:type="character" w:customStyle="1" w:styleId="634">
    <w:name w:val="Char Char Char Char Char1"/>
    <w:qFormat/>
    <w:uiPriority w:val="0"/>
    <w:rPr>
      <w:rFonts w:ascii="宋体" w:hAnsi="Calibri" w:eastAsia="宋体" w:cs="Times New Roman"/>
      <w:kern w:val="2"/>
      <w:sz w:val="24"/>
      <w:lang w:val="en-US" w:eastAsia="zh-CN"/>
    </w:rPr>
  </w:style>
  <w:style w:type="character" w:customStyle="1" w:styleId="635">
    <w:name w:val="Char Char21"/>
    <w:qFormat/>
    <w:uiPriority w:val="0"/>
    <w:rPr>
      <w:rFonts w:ascii="宋体" w:hAnsi="Calibri" w:eastAsia="宋体" w:cs="Times New Roman"/>
      <w:b/>
      <w:bCs/>
      <w:sz w:val="24"/>
      <w:szCs w:val="24"/>
      <w:lang w:val="en-US" w:eastAsia="zh-CN" w:bidi="ar-SA"/>
    </w:rPr>
  </w:style>
  <w:style w:type="character" w:customStyle="1" w:styleId="636">
    <w:name w:val="body1"/>
    <w:qFormat/>
    <w:uiPriority w:val="0"/>
    <w:rPr>
      <w:rFonts w:ascii="Arial" w:hAnsi="Arial" w:eastAsia="宋体" w:cs="Times New Roman"/>
      <w:color w:val="000000"/>
      <w:sz w:val="20"/>
      <w:u w:val="none"/>
    </w:rPr>
  </w:style>
  <w:style w:type="character" w:customStyle="1" w:styleId="637">
    <w:name w:val="Char Char7"/>
    <w:qFormat/>
    <w:uiPriority w:val="0"/>
    <w:rPr>
      <w:rFonts w:ascii="宋体" w:hAnsi="宋体" w:eastAsia="宋体" w:cs="Times New Roman"/>
      <w:b/>
      <w:sz w:val="24"/>
      <w:szCs w:val="24"/>
      <w:lang w:val="en-US" w:eastAsia="zh-CN" w:bidi="ar-SA"/>
    </w:rPr>
  </w:style>
  <w:style w:type="character" w:customStyle="1" w:styleId="638">
    <w:name w:val="Date Char"/>
    <w:qFormat/>
    <w:uiPriority w:val="0"/>
    <w:rPr>
      <w:rFonts w:ascii="Calibri" w:hAnsi="Calibri" w:eastAsia="宋体" w:cs="Times New Roman"/>
      <w:sz w:val="20"/>
      <w:szCs w:val="20"/>
    </w:rPr>
  </w:style>
  <w:style w:type="character" w:customStyle="1" w:styleId="639">
    <w:name w:val="text11px1"/>
    <w:qFormat/>
    <w:uiPriority w:val="0"/>
    <w:rPr>
      <w:rFonts w:hint="default" w:ascii="Arial" w:hAnsi="Arial" w:eastAsia="宋体" w:cs="Arial"/>
      <w:color w:val="000000"/>
      <w:sz w:val="17"/>
      <w:szCs w:val="17"/>
    </w:rPr>
  </w:style>
  <w:style w:type="character" w:customStyle="1" w:styleId="640">
    <w:name w:val="WW-默认段落字体"/>
    <w:qFormat/>
    <w:uiPriority w:val="0"/>
    <w:rPr>
      <w:rFonts w:ascii="Calibri" w:hAnsi="Calibri" w:eastAsia="宋体" w:cs="Times New Roman"/>
    </w:rPr>
  </w:style>
  <w:style w:type="character" w:customStyle="1" w:styleId="641">
    <w:name w:val="段落内容无序列表 Char"/>
    <w:link w:val="298"/>
    <w:qFormat/>
    <w:uiPriority w:val="0"/>
    <w:rPr>
      <w:rFonts w:ascii="宋体" w:hAnsi="宋体"/>
      <w:sz w:val="24"/>
      <w:szCs w:val="24"/>
      <w:lang w:bidi="en-US"/>
    </w:rPr>
  </w:style>
  <w:style w:type="character" w:customStyle="1" w:styleId="642">
    <w:name w:val="标题 3 Char2"/>
    <w:qFormat/>
    <w:uiPriority w:val="0"/>
    <w:rPr>
      <w:rFonts w:ascii="宋体" w:hAnsi="Times New Roman" w:eastAsia="宋体" w:cs="Times New Roman"/>
      <w:b/>
      <w:kern w:val="0"/>
      <w:sz w:val="24"/>
      <w:szCs w:val="20"/>
      <w:u w:val="single"/>
    </w:rPr>
  </w:style>
  <w:style w:type="character" w:customStyle="1" w:styleId="643">
    <w:name w:val="MM Topic 4 Char Char"/>
    <w:link w:val="299"/>
    <w:qFormat/>
    <w:uiPriority w:val="0"/>
    <w:rPr>
      <w:rFonts w:ascii="Arial" w:hAnsi="Arial" w:eastAsia="黑体"/>
      <w:b/>
      <w:bCs/>
      <w:sz w:val="28"/>
      <w:szCs w:val="28"/>
    </w:rPr>
  </w:style>
  <w:style w:type="character" w:customStyle="1" w:styleId="644">
    <w:name w:val="样式 (西文) 仿宋_GB2312 (中文) 仿宋_GB2312 三号"/>
    <w:qFormat/>
    <w:uiPriority w:val="0"/>
    <w:rPr>
      <w:rFonts w:ascii="仿宋_GB2312" w:hAnsi="仿宋_GB2312" w:eastAsia="仿宋_GB2312" w:cs="Times New Roman"/>
      <w:sz w:val="24"/>
    </w:rPr>
  </w:style>
  <w:style w:type="character" w:customStyle="1" w:styleId="645">
    <w:name w:val="投标书正文 Char"/>
    <w:link w:val="300"/>
    <w:qFormat/>
    <w:uiPriority w:val="0"/>
    <w:rPr>
      <w:sz w:val="24"/>
      <w:szCs w:val="24"/>
    </w:rPr>
  </w:style>
  <w:style w:type="character" w:customStyle="1" w:styleId="646">
    <w:name w:val="tpccontent"/>
    <w:qFormat/>
    <w:uiPriority w:val="0"/>
    <w:rPr>
      <w:rFonts w:ascii="Calibri" w:hAnsi="Calibri" w:eastAsia="宋体" w:cs="Times New Roman"/>
    </w:rPr>
  </w:style>
  <w:style w:type="character" w:customStyle="1" w:styleId="647">
    <w:name w:val="gray9pt1"/>
    <w:qFormat/>
    <w:uiPriority w:val="0"/>
    <w:rPr>
      <w:rFonts w:hint="default" w:ascii="Arial" w:hAnsi="Arial" w:eastAsia="宋体" w:cs="Arial"/>
      <w:color w:val="666666"/>
      <w:sz w:val="18"/>
      <w:szCs w:val="18"/>
    </w:rPr>
  </w:style>
  <w:style w:type="character" w:customStyle="1" w:styleId="648">
    <w:name w:val="正文 xxha Char"/>
    <w:link w:val="301"/>
    <w:qFormat/>
    <w:uiPriority w:val="0"/>
    <w:rPr>
      <w:sz w:val="24"/>
      <w:szCs w:val="24"/>
    </w:rPr>
  </w:style>
  <w:style w:type="character" w:customStyle="1" w:styleId="649">
    <w:name w:val="MM Topic 2 Char"/>
    <w:link w:val="302"/>
    <w:qFormat/>
    <w:uiPriority w:val="0"/>
    <w:rPr>
      <w:rFonts w:ascii="Cambria" w:hAnsi="Cambria"/>
      <w:b/>
      <w:bCs/>
      <w:sz w:val="32"/>
      <w:szCs w:val="32"/>
    </w:rPr>
  </w:style>
  <w:style w:type="character" w:customStyle="1" w:styleId="650">
    <w:name w:val="z21"/>
    <w:qFormat/>
    <w:uiPriority w:val="0"/>
    <w:rPr>
      <w:rFonts w:ascii="Calibri" w:hAnsi="Calibri" w:eastAsia="宋体" w:cs="Times New Roman"/>
      <w:color w:val="666666"/>
      <w:sz w:val="24"/>
      <w:szCs w:val="24"/>
    </w:rPr>
  </w:style>
  <w:style w:type="character" w:customStyle="1" w:styleId="651">
    <w:name w:val="标题 3 Char1"/>
    <w:qFormat/>
    <w:uiPriority w:val="0"/>
    <w:rPr>
      <w:rFonts w:ascii="黑体" w:hAnsi="Calibri" w:eastAsia="黑体" w:cs="Times New Roman"/>
      <w:sz w:val="28"/>
      <w:szCs w:val="24"/>
      <w:lang w:val="en-US" w:eastAsia="zh-CN" w:bidi="ar-SA"/>
    </w:rPr>
  </w:style>
  <w:style w:type="character" w:customStyle="1" w:styleId="652">
    <w:name w:val="书籍标题1"/>
    <w:qFormat/>
    <w:uiPriority w:val="33"/>
    <w:rPr>
      <w:rFonts w:ascii="Calibri" w:hAnsi="Calibri" w:eastAsia="宋体" w:cs="Times New Roman"/>
      <w:b/>
      <w:bCs/>
      <w:smallCaps/>
      <w:spacing w:val="5"/>
    </w:rPr>
  </w:style>
  <w:style w:type="character" w:customStyle="1" w:styleId="653">
    <w:name w:val="图片（居中） Char"/>
    <w:link w:val="303"/>
    <w:qFormat/>
    <w:uiPriority w:val="0"/>
    <w:rPr>
      <w:rFonts w:ascii="宋体" w:hAnsi="宋体"/>
      <w:sz w:val="24"/>
      <w:szCs w:val="24"/>
      <w:lang w:bidi="en-US"/>
    </w:rPr>
  </w:style>
  <w:style w:type="character" w:customStyle="1" w:styleId="654">
    <w:name w:val="正文文本 Char1"/>
    <w:qFormat/>
    <w:uiPriority w:val="0"/>
    <w:rPr>
      <w:rFonts w:eastAsia="楷体_GB2312"/>
      <w:kern w:val="2"/>
      <w:sz w:val="28"/>
    </w:rPr>
  </w:style>
  <w:style w:type="character" w:customStyle="1" w:styleId="655">
    <w:name w:val="正文首行缩进 Char1"/>
    <w:qFormat/>
    <w:uiPriority w:val="0"/>
    <w:rPr>
      <w:rFonts w:eastAsia="楷体_GB2312"/>
      <w:kern w:val="2"/>
      <w:sz w:val="24"/>
      <w:szCs w:val="24"/>
    </w:rPr>
  </w:style>
  <w:style w:type="character" w:customStyle="1" w:styleId="656">
    <w:name w:val="列出段落 字符"/>
    <w:qFormat/>
    <w:uiPriority w:val="34"/>
    <w:rPr>
      <w:kern w:val="2"/>
      <w:sz w:val="21"/>
      <w:szCs w:val="22"/>
    </w:rPr>
  </w:style>
  <w:style w:type="character" w:customStyle="1" w:styleId="657">
    <w:name w:val="未处理的提及31"/>
    <w:unhideWhenUsed/>
    <w:qFormat/>
    <w:uiPriority w:val="99"/>
    <w:rPr>
      <w:rFonts w:ascii="Calibri" w:hAnsi="Calibri" w:eastAsia="宋体" w:cs="Times New Roman"/>
      <w:color w:val="808080"/>
      <w:shd w:val="clear" w:color="auto" w:fill="E6E6E6"/>
    </w:rPr>
  </w:style>
  <w:style w:type="character" w:customStyle="1" w:styleId="658">
    <w:name w:val="标题 6 字符1"/>
    <w:qFormat/>
    <w:uiPriority w:val="0"/>
    <w:rPr>
      <w:rFonts w:ascii="Cambria" w:hAnsi="Cambria" w:eastAsia="宋体" w:cs="Times New Roman"/>
      <w:b/>
      <w:bCs/>
      <w:kern w:val="2"/>
      <w:sz w:val="24"/>
      <w:szCs w:val="24"/>
      <w:lang w:val="zh-CN" w:eastAsia="zh-CN"/>
    </w:rPr>
  </w:style>
  <w:style w:type="character" w:customStyle="1" w:styleId="659">
    <w:name w:val="文档结构图 字符1"/>
    <w:qFormat/>
    <w:locked/>
    <w:uiPriority w:val="99"/>
    <w:rPr>
      <w:rFonts w:ascii="宋体" w:eastAsia="宋体"/>
      <w:kern w:val="2"/>
      <w:sz w:val="18"/>
      <w:lang w:eastAsia="zh-CN"/>
    </w:rPr>
  </w:style>
  <w:style w:type="character" w:customStyle="1" w:styleId="660">
    <w:name w:val="标题 9 字符1"/>
    <w:qFormat/>
    <w:uiPriority w:val="0"/>
    <w:rPr>
      <w:rFonts w:ascii="Cambria" w:hAnsi="Cambria" w:eastAsia="宋体" w:cs="Times New Roman"/>
      <w:kern w:val="2"/>
      <w:sz w:val="21"/>
      <w:szCs w:val="21"/>
      <w:lang w:val="zh-CN" w:eastAsia="zh-CN"/>
    </w:rPr>
  </w:style>
  <w:style w:type="character" w:customStyle="1" w:styleId="661">
    <w:name w:val="日期 字符1"/>
    <w:qFormat/>
    <w:uiPriority w:val="99"/>
    <w:rPr>
      <w:kern w:val="2"/>
      <w:sz w:val="21"/>
      <w:szCs w:val="24"/>
    </w:rPr>
  </w:style>
  <w:style w:type="character" w:customStyle="1" w:styleId="662">
    <w:name w:val="标题 8 字符1"/>
    <w:qFormat/>
    <w:uiPriority w:val="0"/>
    <w:rPr>
      <w:rFonts w:ascii="Cambria" w:hAnsi="Cambria" w:eastAsia="宋体" w:cs="Times New Roman"/>
      <w:kern w:val="2"/>
      <w:sz w:val="24"/>
      <w:szCs w:val="24"/>
      <w:lang w:val="zh-CN" w:eastAsia="zh-CN"/>
    </w:rPr>
  </w:style>
  <w:style w:type="character" w:customStyle="1" w:styleId="663">
    <w:name w:val="标题 4 字符1"/>
    <w:qFormat/>
    <w:uiPriority w:val="0"/>
    <w:rPr>
      <w:rFonts w:ascii="Cambria" w:hAnsi="Cambria" w:eastAsia="宋体" w:cs="Times New Roman"/>
      <w:b/>
      <w:bCs/>
      <w:kern w:val="2"/>
      <w:sz w:val="28"/>
      <w:szCs w:val="28"/>
      <w:lang w:val="zh-CN" w:eastAsia="zh-CN"/>
    </w:rPr>
  </w:style>
  <w:style w:type="character" w:customStyle="1" w:styleId="664">
    <w:name w:val="标题 5 字符1"/>
    <w:qFormat/>
    <w:uiPriority w:val="0"/>
    <w:rPr>
      <w:rFonts w:ascii="Times New Roman" w:hAnsi="Times New Roman" w:eastAsia="宋体" w:cs="Times New Roman"/>
      <w:b/>
      <w:bCs/>
      <w:kern w:val="2"/>
      <w:sz w:val="28"/>
      <w:szCs w:val="28"/>
      <w:lang w:val="zh-CN" w:eastAsia="zh-CN"/>
    </w:rPr>
  </w:style>
  <w:style w:type="character" w:customStyle="1" w:styleId="665">
    <w:name w:val="标题 字符1"/>
    <w:qFormat/>
    <w:locked/>
    <w:uiPriority w:val="10"/>
    <w:rPr>
      <w:rFonts w:ascii="Cambria" w:hAnsi="Cambria" w:eastAsia="宋体"/>
      <w:b/>
      <w:kern w:val="2"/>
      <w:sz w:val="32"/>
      <w:lang w:eastAsia="zh-CN"/>
    </w:rPr>
  </w:style>
  <w:style w:type="character" w:customStyle="1" w:styleId="666">
    <w:name w:val="正文文本 3 字符1"/>
    <w:qFormat/>
    <w:uiPriority w:val="99"/>
    <w:rPr>
      <w:kern w:val="2"/>
      <w:sz w:val="16"/>
      <w:szCs w:val="16"/>
    </w:rPr>
  </w:style>
  <w:style w:type="character" w:customStyle="1" w:styleId="667">
    <w:name w:val="标题 7 字符1"/>
    <w:qFormat/>
    <w:uiPriority w:val="0"/>
    <w:rPr>
      <w:rFonts w:ascii="Times New Roman" w:hAnsi="Times New Roman" w:eastAsia="宋体" w:cs="Times New Roman"/>
      <w:b/>
      <w:bCs/>
      <w:kern w:val="2"/>
      <w:sz w:val="24"/>
      <w:szCs w:val="24"/>
      <w:lang w:val="zh-CN" w:eastAsia="zh-CN"/>
    </w:rPr>
  </w:style>
  <w:style w:type="character" w:customStyle="1" w:styleId="668">
    <w:name w:val="正文文本缩进 2 字符1"/>
    <w:qFormat/>
    <w:locked/>
    <w:uiPriority w:val="99"/>
    <w:rPr>
      <w:kern w:val="2"/>
      <w:sz w:val="24"/>
    </w:rPr>
  </w:style>
  <w:style w:type="character" w:customStyle="1" w:styleId="669">
    <w:name w:val="正文文本缩进 字符1"/>
    <w:qFormat/>
    <w:locked/>
    <w:uiPriority w:val="99"/>
    <w:rPr>
      <w:rFonts w:ascii="宋体" w:eastAsia="宋体"/>
      <w:kern w:val="2"/>
      <w:sz w:val="28"/>
    </w:rPr>
  </w:style>
  <w:style w:type="character" w:customStyle="1" w:styleId="670">
    <w:name w:val="正文文本 2 字符1"/>
    <w:qFormat/>
    <w:uiPriority w:val="99"/>
    <w:rPr>
      <w:kern w:val="2"/>
      <w:sz w:val="21"/>
      <w:szCs w:val="24"/>
    </w:rPr>
  </w:style>
  <w:style w:type="character" w:customStyle="1" w:styleId="671">
    <w:name w:val="批注框文本 字符1"/>
    <w:qFormat/>
    <w:locked/>
    <w:uiPriority w:val="99"/>
    <w:rPr>
      <w:kern w:val="2"/>
      <w:sz w:val="18"/>
    </w:rPr>
  </w:style>
  <w:style w:type="character" w:customStyle="1" w:styleId="672">
    <w:name w:val="批注主题 字符1"/>
    <w:qFormat/>
    <w:locked/>
    <w:uiPriority w:val="0"/>
    <w:rPr>
      <w:rFonts w:cs="Times New Roman"/>
      <w:sz w:val="24"/>
    </w:rPr>
  </w:style>
  <w:style w:type="character" w:customStyle="1" w:styleId="673">
    <w:name w:val="正文211"/>
    <w:qFormat/>
    <w:uiPriority w:val="0"/>
    <w:rPr>
      <w:rFonts w:cs="Times New Roman"/>
    </w:rPr>
  </w:style>
  <w:style w:type="character" w:customStyle="1" w:styleId="674">
    <w:name w:val="HTML 预设格式 字符1"/>
    <w:qFormat/>
    <w:uiPriority w:val="99"/>
    <w:rPr>
      <w:rFonts w:ascii="宋体" w:hAnsi="宋体" w:eastAsia="宋体" w:cs="Times New Roman"/>
      <w:sz w:val="24"/>
      <w:szCs w:val="24"/>
      <w:lang w:val="zh-CN" w:eastAsia="zh-CN"/>
    </w:rPr>
  </w:style>
  <w:style w:type="character" w:customStyle="1" w:styleId="675">
    <w:name w:val="正文文本缩进 3 字符1"/>
    <w:qFormat/>
    <w:uiPriority w:val="0"/>
    <w:rPr>
      <w:rFonts w:ascii="Times New Roman" w:hAnsi="Times New Roman" w:eastAsia="宋体" w:cs="Times New Roman"/>
      <w:kern w:val="2"/>
      <w:sz w:val="16"/>
      <w:szCs w:val="16"/>
      <w:lang w:val="zh-CN" w:eastAsia="zh-CN"/>
    </w:rPr>
  </w:style>
  <w:style w:type="character" w:customStyle="1" w:styleId="676">
    <w:name w:val="书籍标题11"/>
    <w:qFormat/>
    <w:uiPriority w:val="33"/>
    <w:rPr>
      <w:rFonts w:hint="default" w:ascii="Calibri" w:hAnsi="Calibri" w:eastAsia="宋体" w:cs="Times New Roman"/>
      <w:b/>
      <w:bCs/>
      <w:smallCaps/>
      <w:spacing w:val="5"/>
    </w:rPr>
  </w:style>
  <w:style w:type="character" w:customStyle="1" w:styleId="677">
    <w:name w:val="Char Char61"/>
    <w:qFormat/>
    <w:uiPriority w:val="0"/>
    <w:rPr>
      <w:rFonts w:hint="default" w:ascii="Calibri" w:hAnsi="Calibri" w:eastAsia="宋体" w:cs="Times New Roman"/>
      <w:kern w:val="2"/>
      <w:sz w:val="21"/>
      <w:szCs w:val="24"/>
      <w:lang w:val="en-US" w:eastAsia="zh-CN" w:bidi="ar-SA"/>
    </w:rPr>
  </w:style>
  <w:style w:type="character" w:customStyle="1" w:styleId="678">
    <w:name w:val="Char Char121"/>
    <w:qFormat/>
    <w:uiPriority w:val="0"/>
    <w:rPr>
      <w:rFonts w:hint="default" w:ascii="Calibri" w:hAnsi="Calibri" w:eastAsia="宋体" w:cs="Times New Roman"/>
      <w:kern w:val="2"/>
      <w:sz w:val="24"/>
      <w:lang w:val="en-US" w:eastAsia="zh-CN" w:bidi="ar-SA"/>
    </w:rPr>
  </w:style>
  <w:style w:type="character" w:customStyle="1" w:styleId="679">
    <w:name w:val="Char Char31"/>
    <w:qFormat/>
    <w:uiPriority w:val="0"/>
    <w:rPr>
      <w:rFonts w:hint="default" w:ascii="Calibri" w:hAnsi="Calibri" w:eastAsia="宋体" w:cs="Times New Roman"/>
      <w:sz w:val="24"/>
      <w:lang w:val="en-US" w:eastAsia="zh-CN" w:bidi="ar-SA"/>
    </w:rPr>
  </w:style>
  <w:style w:type="character" w:customStyle="1" w:styleId="680">
    <w:name w:val="正文3"/>
    <w:qFormat/>
    <w:uiPriority w:val="0"/>
    <w:rPr>
      <w:rFonts w:hint="default" w:ascii="Times New Roman" w:hAnsi="Times New Roman" w:cs="Times New Roman"/>
    </w:rPr>
  </w:style>
  <w:style w:type="character" w:customStyle="1" w:styleId="681">
    <w:name w:val="Char Char51"/>
    <w:qFormat/>
    <w:uiPriority w:val="0"/>
    <w:rPr>
      <w:rFonts w:hint="eastAsia" w:ascii="宋体" w:hAnsi="Calibri" w:eastAsia="宋体" w:cs="Times New Roman"/>
      <w:sz w:val="24"/>
      <w:szCs w:val="24"/>
      <w:lang w:val="en-US" w:eastAsia="zh-CN" w:bidi="ar-SA"/>
    </w:rPr>
  </w:style>
  <w:style w:type="character" w:customStyle="1" w:styleId="682">
    <w:name w:val="Char Char71"/>
    <w:qFormat/>
    <w:uiPriority w:val="0"/>
    <w:rPr>
      <w:rFonts w:hint="eastAsia" w:ascii="宋体" w:hAnsi="宋体" w:eastAsia="宋体" w:cs="Times New Roman"/>
      <w:b/>
      <w:sz w:val="24"/>
      <w:szCs w:val="24"/>
      <w:lang w:val="en-US" w:eastAsia="zh-CN" w:bidi="ar-SA"/>
    </w:rPr>
  </w:style>
  <w:style w:type="character" w:customStyle="1" w:styleId="683">
    <w:name w:val="Char Char1111"/>
    <w:qFormat/>
    <w:uiPriority w:val="0"/>
    <w:rPr>
      <w:rFonts w:hint="eastAsia" w:ascii="宋体" w:hAnsi="Calibri" w:eastAsia="宋体" w:cs="Times New Roman"/>
      <w:sz w:val="24"/>
      <w:szCs w:val="24"/>
      <w:lang w:val="en-US" w:eastAsia="zh-CN" w:bidi="ar-SA"/>
    </w:rPr>
  </w:style>
  <w:style w:type="character" w:customStyle="1" w:styleId="684">
    <w:name w:val="正文21"/>
    <w:qFormat/>
    <w:uiPriority w:val="0"/>
    <w:rPr>
      <w:rFonts w:hint="default" w:ascii="Times New Roman" w:hAnsi="Times New Roman" w:cs="Times New Roman"/>
    </w:rPr>
  </w:style>
  <w:style w:type="character" w:customStyle="1" w:styleId="685">
    <w:name w:val="明显引用 字符1"/>
    <w:link w:val="416"/>
    <w:qFormat/>
    <w:uiPriority w:val="0"/>
    <w:rPr>
      <w:b/>
      <w:bCs/>
      <w:i/>
      <w:iCs/>
      <w:color w:val="4F81BD"/>
      <w:kern w:val="2"/>
      <w:sz w:val="21"/>
      <w:szCs w:val="22"/>
    </w:rPr>
  </w:style>
  <w:style w:type="character" w:customStyle="1" w:styleId="686">
    <w:name w:val="明显引用 字符"/>
    <w:semiHidden/>
    <w:qFormat/>
    <w:uiPriority w:val="99"/>
    <w:rPr>
      <w:i/>
      <w:iCs/>
      <w:color w:val="4F81BD"/>
      <w:kern w:val="2"/>
      <w:sz w:val="21"/>
      <w:szCs w:val="24"/>
    </w:rPr>
  </w:style>
  <w:style w:type="character" w:customStyle="1" w:styleId="687">
    <w:name w:val="不明显强调1"/>
    <w:qFormat/>
    <w:uiPriority w:val="0"/>
    <w:rPr>
      <w:i/>
      <w:iCs/>
      <w:color w:val="808080"/>
    </w:rPr>
  </w:style>
  <w:style w:type="character" w:customStyle="1" w:styleId="688">
    <w:name w:val="标题4 Char Char"/>
    <w:link w:val="417"/>
    <w:qFormat/>
    <w:uiPriority w:val="0"/>
    <w:rPr>
      <w:rFonts w:ascii="Arial" w:hAnsi="Arial"/>
      <w:b/>
      <w:bCs/>
      <w:sz w:val="24"/>
      <w:szCs w:val="32"/>
    </w:rPr>
  </w:style>
  <w:style w:type="character" w:customStyle="1" w:styleId="689">
    <w:name w:val="标题5 Char Char"/>
    <w:link w:val="418"/>
    <w:qFormat/>
    <w:uiPriority w:val="0"/>
    <w:rPr>
      <w:rFonts w:ascii="Arial" w:hAnsi="Arial"/>
      <w:b/>
      <w:bCs/>
      <w:sz w:val="24"/>
      <w:szCs w:val="32"/>
    </w:rPr>
  </w:style>
  <w:style w:type="character" w:customStyle="1" w:styleId="690">
    <w:name w:val="明显参考1"/>
    <w:qFormat/>
    <w:uiPriority w:val="0"/>
    <w:rPr>
      <w:b/>
      <w:bCs/>
      <w:smallCaps/>
      <w:color w:val="C0504D"/>
      <w:spacing w:val="5"/>
      <w:u w:val="single"/>
    </w:rPr>
  </w:style>
  <w:style w:type="character" w:customStyle="1" w:styleId="691">
    <w:name w:val="书籍标题2"/>
    <w:qFormat/>
    <w:uiPriority w:val="0"/>
    <w:rPr>
      <w:b/>
      <w:bCs/>
      <w:smallCaps/>
      <w:spacing w:val="5"/>
    </w:rPr>
  </w:style>
  <w:style w:type="character" w:customStyle="1" w:styleId="692">
    <w:name w:val="引用 字符1"/>
    <w:link w:val="419"/>
    <w:qFormat/>
    <w:uiPriority w:val="0"/>
    <w:rPr>
      <w:i/>
      <w:iCs/>
      <w:color w:val="000000"/>
      <w:kern w:val="2"/>
      <w:sz w:val="21"/>
      <w:szCs w:val="22"/>
    </w:rPr>
  </w:style>
  <w:style w:type="character" w:customStyle="1" w:styleId="693">
    <w:name w:val="引用 字符"/>
    <w:semiHidden/>
    <w:qFormat/>
    <w:uiPriority w:val="99"/>
    <w:rPr>
      <w:i/>
      <w:iCs/>
      <w:color w:val="3F3F3F"/>
      <w:kern w:val="2"/>
      <w:sz w:val="21"/>
      <w:szCs w:val="24"/>
    </w:rPr>
  </w:style>
  <w:style w:type="character" w:customStyle="1" w:styleId="694">
    <w:name w:val="批注主题 Char1"/>
    <w:qFormat/>
    <w:uiPriority w:val="0"/>
    <w:rPr>
      <w:b/>
      <w:bCs/>
      <w:kern w:val="2"/>
      <w:sz w:val="21"/>
      <w:szCs w:val="22"/>
    </w:rPr>
  </w:style>
  <w:style w:type="character" w:customStyle="1" w:styleId="695">
    <w:name w:val="textcontents"/>
    <w:qFormat/>
    <w:uiPriority w:val="0"/>
    <w:rPr>
      <w:rFonts w:cs="Times New Roman"/>
    </w:rPr>
  </w:style>
  <w:style w:type="character" w:customStyle="1" w:styleId="696">
    <w:name w:val="不明显参考1"/>
    <w:qFormat/>
    <w:uiPriority w:val="0"/>
    <w:rPr>
      <w:smallCaps/>
      <w:color w:val="C0504D"/>
      <w:u w:val="single"/>
    </w:rPr>
  </w:style>
  <w:style w:type="character" w:customStyle="1" w:styleId="697">
    <w:name w:val="批注文字 Char Char"/>
    <w:qFormat/>
    <w:uiPriority w:val="0"/>
    <w:rPr>
      <w:rFonts w:ascii="宋体" w:hAnsi="Times New Roman" w:eastAsia="宋体" w:cs="Times New Roman"/>
      <w:sz w:val="28"/>
      <w:szCs w:val="20"/>
    </w:rPr>
  </w:style>
  <w:style w:type="character" w:customStyle="1" w:styleId="698">
    <w:name w:val="批注框文本 Char2"/>
    <w:semiHidden/>
    <w:qFormat/>
    <w:uiPriority w:val="0"/>
    <w:rPr>
      <w:kern w:val="2"/>
      <w:sz w:val="18"/>
      <w:szCs w:val="18"/>
    </w:rPr>
  </w:style>
  <w:style w:type="character" w:customStyle="1" w:styleId="699">
    <w:name w:val="批注文字 Char1"/>
    <w:semiHidden/>
    <w:qFormat/>
    <w:uiPriority w:val="0"/>
    <w:rPr>
      <w:kern w:val="2"/>
      <w:sz w:val="21"/>
      <w:szCs w:val="22"/>
    </w:rPr>
  </w:style>
  <w:style w:type="character" w:customStyle="1" w:styleId="700">
    <w:name w:val="批注主题 Char2"/>
    <w:semiHidden/>
    <w:qFormat/>
    <w:uiPriority w:val="0"/>
    <w:rPr>
      <w:b/>
      <w:bCs/>
      <w:kern w:val="2"/>
      <w:sz w:val="21"/>
      <w:szCs w:val="22"/>
    </w:rPr>
  </w:style>
  <w:style w:type="character" w:customStyle="1" w:styleId="701">
    <w:name w:val="文档结构图 Char2"/>
    <w:semiHidden/>
    <w:qFormat/>
    <w:uiPriority w:val="0"/>
    <w:rPr>
      <w:rFonts w:ascii="宋体"/>
      <w:kern w:val="2"/>
      <w:sz w:val="18"/>
      <w:szCs w:val="18"/>
    </w:rPr>
  </w:style>
  <w:style w:type="character" w:customStyle="1" w:styleId="702">
    <w:name w:val="日期 Char2"/>
    <w:semiHidden/>
    <w:qFormat/>
    <w:uiPriority w:val="0"/>
    <w:rPr>
      <w:kern w:val="2"/>
      <w:sz w:val="21"/>
      <w:szCs w:val="22"/>
    </w:rPr>
  </w:style>
  <w:style w:type="character" w:customStyle="1" w:styleId="703">
    <w:name w:val="正文文本 Char2"/>
    <w:semiHidden/>
    <w:qFormat/>
    <w:uiPriority w:val="0"/>
    <w:rPr>
      <w:kern w:val="2"/>
      <w:sz w:val="21"/>
      <w:szCs w:val="22"/>
    </w:rPr>
  </w:style>
  <w:style w:type="character" w:customStyle="1" w:styleId="704">
    <w:name w:val="明显引用 Char1"/>
    <w:qFormat/>
    <w:uiPriority w:val="0"/>
    <w:rPr>
      <w:b/>
      <w:bCs/>
      <w:i/>
      <w:iCs/>
      <w:color w:val="4F81BD"/>
      <w:kern w:val="2"/>
      <w:sz w:val="21"/>
      <w:szCs w:val="24"/>
    </w:rPr>
  </w:style>
  <w:style w:type="character" w:customStyle="1" w:styleId="705">
    <w:name w:val="引用 Char1"/>
    <w:qFormat/>
    <w:uiPriority w:val="0"/>
    <w:rPr>
      <w:i/>
      <w:iCs/>
      <w:color w:val="000000"/>
      <w:kern w:val="2"/>
      <w:sz w:val="21"/>
      <w:szCs w:val="24"/>
    </w:rPr>
  </w:style>
  <w:style w:type="character" w:customStyle="1" w:styleId="706">
    <w:name w:val="正文文本首行缩进 字符"/>
    <w:link w:val="55"/>
    <w:qFormat/>
    <w:uiPriority w:val="0"/>
    <w:rPr>
      <w:rFonts w:ascii="宋体" w:hAnsi="宋体"/>
      <w:kern w:val="2"/>
      <w:sz w:val="21"/>
      <w:szCs w:val="24"/>
    </w:rPr>
  </w:style>
  <w:style w:type="table" w:customStyle="1" w:styleId="707">
    <w:name w:val="Table Normal"/>
    <w:qFormat/>
    <w:uiPriority w:val="0"/>
    <w:pPr>
      <w:widowControl w:val="0"/>
      <w:autoSpaceDE w:val="0"/>
      <w:autoSpaceDN w:val="0"/>
    </w:pPr>
    <w:rPr>
      <w:rFonts w:ascii="Calibri" w:hAnsi="Calibri" w:cs="黑体"/>
      <w:sz w:val="22"/>
      <w:szCs w:val="22"/>
      <w:lang w:eastAsia="en-US"/>
    </w:rPr>
    <w:tblPr>
      <w:tblCellMar>
        <w:top w:w="0" w:type="dxa"/>
        <w:left w:w="0" w:type="dxa"/>
        <w:bottom w:w="0" w:type="dxa"/>
        <w:right w:w="0" w:type="dxa"/>
      </w:tblCellMar>
    </w:tblPr>
  </w:style>
  <w:style w:type="table" w:customStyle="1" w:styleId="708">
    <w:name w:val="网格型1"/>
    <w:basedOn w:val="57"/>
    <w:qFormat/>
    <w:uiPriority w:val="0"/>
    <w:rPr>
      <w:rFonts w:ascii="Calibri" w:hAnsi="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709">
    <w:name w:val="网格型2"/>
    <w:basedOn w:val="57"/>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10">
    <w:name w:val="List Paragraph"/>
    <w:basedOn w:val="1"/>
    <w:autoRedefine/>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image" Target="media/image5.wmf"/><Relationship Id="rId27" Type="http://schemas.openxmlformats.org/officeDocument/2006/relationships/oleObject" Target="embeddings/oleObject5.bin"/><Relationship Id="rId26" Type="http://schemas.openxmlformats.org/officeDocument/2006/relationships/image" Target="media/image4.wmf"/><Relationship Id="rId25" Type="http://schemas.openxmlformats.org/officeDocument/2006/relationships/oleObject" Target="embeddings/oleObject4.bin"/><Relationship Id="rId24" Type="http://schemas.openxmlformats.org/officeDocument/2006/relationships/image" Target="media/image3.wmf"/><Relationship Id="rId23" Type="http://schemas.openxmlformats.org/officeDocument/2006/relationships/oleObject" Target="embeddings/oleObject3.bin"/><Relationship Id="rId22" Type="http://schemas.openxmlformats.org/officeDocument/2006/relationships/image" Target="media/image2.wmf"/><Relationship Id="rId21" Type="http://schemas.openxmlformats.org/officeDocument/2006/relationships/oleObject" Target="embeddings/oleObject2.bin"/><Relationship Id="rId20" Type="http://schemas.openxmlformats.org/officeDocument/2006/relationships/image" Target="media/image1.wmf"/><Relationship Id="rId2" Type="http://schemas.openxmlformats.org/officeDocument/2006/relationships/settings" Target="settings.xml"/><Relationship Id="rId19" Type="http://schemas.openxmlformats.org/officeDocument/2006/relationships/oleObject" Target="embeddings/oleObject1.bin"/><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180</Pages>
  <Words>15963</Words>
  <Characters>16746</Characters>
  <Lines>731</Lines>
  <Paragraphs>205</Paragraphs>
  <TotalTime>1</TotalTime>
  <ScaleCrop>false</ScaleCrop>
  <LinksUpToDate>false</LinksUpToDate>
  <CharactersWithSpaces>17037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2025-11-12T02:28:00Z</dcterms:created>
  <dc:creator>Yin Hao</dc:creator>
  <cp:lastModifiedBy>吕鑫鹏</cp:lastModifiedBy>
  <cp:lastPrinted>2022-05-26T01:59:00Z</cp:lastPrinted>
  <dcterms:modified xsi:type="dcterms:W3CDTF">2025-11-24T01:43:19Z</dcterms:modified>
  <dc:title>02年杜范本稿</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0A7F4B62B17D4F1BA6554121F61A014D_13</vt:lpwstr>
  </property>
  <property fmtid="{D5CDD505-2E9C-101B-9397-08002B2CF9AE}" pid="4" name="KSOTemplateDocerSaveRecord">
    <vt:lpwstr>eyJoZGlkIjoiOWZkMDk1NTUzNWNiZjg2Yjc5NTVhMzgzZmY3ZWIyNjUiLCJ1c2VySWQiOiIyNzM2MjcyMDkifQ==</vt:lpwstr>
  </property>
</Properties>
</file>