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D1EC0">
      <w:pPr>
        <w:outlineLvl w:val="9"/>
        <w:rPr>
          <w:rFonts w:ascii="宋体" w:hAnsi="宋体"/>
          <w:b/>
          <w:bCs/>
          <w:color w:val="auto"/>
          <w:sz w:val="28"/>
          <w:szCs w:val="28"/>
          <w:highlight w:val="none"/>
        </w:rPr>
      </w:pPr>
      <w:bookmarkStart w:id="0" w:name="_Toc14805"/>
      <w:bookmarkStart w:id="1" w:name="_Toc26489"/>
      <w:bookmarkStart w:id="2" w:name="_Toc99301418"/>
    </w:p>
    <w:p w14:paraId="1386780A">
      <w:pPr>
        <w:outlineLvl w:val="9"/>
        <w:rPr>
          <w:rFonts w:ascii="宋体" w:hAnsi="宋体"/>
          <w:b/>
          <w:bCs/>
          <w:color w:val="auto"/>
          <w:sz w:val="28"/>
          <w:szCs w:val="28"/>
          <w:highlight w:val="none"/>
        </w:rPr>
      </w:pPr>
    </w:p>
    <w:bookmarkEnd w:id="0"/>
    <w:bookmarkEnd w:id="1"/>
    <w:p w14:paraId="2E550E80">
      <w:pPr>
        <w:pStyle w:val="17"/>
        <w:rPr>
          <w:color w:val="auto"/>
          <w:highlight w:val="none"/>
        </w:rPr>
      </w:pPr>
    </w:p>
    <w:p w14:paraId="2977A0B7">
      <w:pPr>
        <w:pStyle w:val="17"/>
        <w:rPr>
          <w:color w:val="auto"/>
          <w:highlight w:val="none"/>
        </w:rPr>
      </w:pPr>
    </w:p>
    <w:p w14:paraId="6C0A8B81">
      <w:pPr>
        <w:pStyle w:val="17"/>
        <w:spacing w:before="1"/>
        <w:rPr>
          <w:color w:val="auto"/>
          <w:highlight w:val="none"/>
        </w:rPr>
      </w:pPr>
    </w:p>
    <w:p w14:paraId="71773CF5">
      <w:pPr>
        <w:jc w:val="center"/>
        <w:outlineLvl w:val="9"/>
        <w:rPr>
          <w:rFonts w:ascii="宋体" w:hAnsi="宋体"/>
          <w:b/>
          <w:bCs/>
          <w:color w:val="auto"/>
          <w:sz w:val="48"/>
          <w:szCs w:val="48"/>
          <w:highlight w:val="none"/>
        </w:rPr>
      </w:pPr>
      <w:bookmarkStart w:id="3" w:name="_Toc11452"/>
      <w:bookmarkStart w:id="4" w:name="_Toc4875"/>
      <w:r>
        <w:rPr>
          <w:rFonts w:hint="eastAsia" w:ascii="宋体" w:hAnsi="宋体"/>
          <w:b/>
          <w:bCs/>
          <w:color w:val="auto"/>
          <w:sz w:val="48"/>
          <w:szCs w:val="48"/>
          <w:highlight w:val="none"/>
          <w:lang w:eastAsia="zh-CN"/>
        </w:rPr>
        <w:t>六合村办公区组团行政办公区绿地养护项目</w:t>
      </w:r>
      <w:r>
        <w:rPr>
          <w:rFonts w:hint="eastAsia" w:ascii="宋体" w:hAnsi="宋体"/>
          <w:b/>
          <w:bCs/>
          <w:color w:val="auto"/>
          <w:sz w:val="48"/>
          <w:szCs w:val="48"/>
          <w:highlight w:val="none"/>
          <w:lang w:val="en-US" w:eastAsia="zh-CN"/>
        </w:rPr>
        <w:t>招标文件</w:t>
      </w:r>
      <w:bookmarkEnd w:id="3"/>
      <w:bookmarkEnd w:id="4"/>
    </w:p>
    <w:p w14:paraId="42582EC0">
      <w:pPr>
        <w:jc w:val="center"/>
        <w:rPr>
          <w:rFonts w:ascii="宋体" w:hAnsi="宋体"/>
          <w:color w:val="auto"/>
          <w:sz w:val="24"/>
          <w:highlight w:val="none"/>
        </w:rPr>
      </w:pPr>
    </w:p>
    <w:p w14:paraId="64D3E2F9">
      <w:pPr>
        <w:jc w:val="center"/>
        <w:rPr>
          <w:rFonts w:ascii="宋体" w:hAnsi="宋体"/>
          <w:color w:val="auto"/>
          <w:sz w:val="24"/>
          <w:highlight w:val="none"/>
        </w:rPr>
      </w:pPr>
    </w:p>
    <w:p w14:paraId="3EBCAB38">
      <w:pPr>
        <w:jc w:val="center"/>
        <w:rPr>
          <w:rFonts w:ascii="宋体" w:hAnsi="宋体"/>
          <w:color w:val="auto"/>
          <w:sz w:val="24"/>
          <w:highlight w:val="none"/>
        </w:rPr>
      </w:pPr>
    </w:p>
    <w:p w14:paraId="13AF9E91">
      <w:pPr>
        <w:rPr>
          <w:rFonts w:ascii="宋体" w:hAnsi="宋体"/>
          <w:color w:val="auto"/>
          <w:sz w:val="24"/>
          <w:highlight w:val="none"/>
        </w:rPr>
      </w:pPr>
    </w:p>
    <w:p w14:paraId="5539348A">
      <w:pPr>
        <w:rPr>
          <w:rFonts w:ascii="宋体" w:hAnsi="宋体"/>
          <w:color w:val="auto"/>
          <w:sz w:val="32"/>
          <w:szCs w:val="32"/>
          <w:highlight w:val="none"/>
        </w:rPr>
      </w:pPr>
    </w:p>
    <w:p w14:paraId="37ABEBC6">
      <w:pPr>
        <w:rPr>
          <w:color w:val="auto"/>
          <w:highlight w:val="none"/>
        </w:rPr>
      </w:pPr>
    </w:p>
    <w:p w14:paraId="0C6B09D2">
      <w:pPr>
        <w:rPr>
          <w:color w:val="auto"/>
          <w:highlight w:val="none"/>
        </w:rPr>
      </w:pPr>
    </w:p>
    <w:p w14:paraId="785AF086">
      <w:pPr>
        <w:rPr>
          <w:color w:val="auto"/>
          <w:highlight w:val="none"/>
        </w:rPr>
      </w:pPr>
    </w:p>
    <w:p w14:paraId="09AF4995">
      <w:pPr>
        <w:rPr>
          <w:color w:val="auto"/>
          <w:highlight w:val="none"/>
        </w:rPr>
      </w:pPr>
    </w:p>
    <w:p w14:paraId="560C0BC3">
      <w:pPr>
        <w:rPr>
          <w:color w:val="auto"/>
          <w:highlight w:val="none"/>
        </w:rPr>
      </w:pPr>
    </w:p>
    <w:p w14:paraId="67C73CD0">
      <w:pPr>
        <w:rPr>
          <w:color w:val="auto"/>
          <w:highlight w:val="none"/>
        </w:rPr>
      </w:pPr>
    </w:p>
    <w:p w14:paraId="4CEC27E4">
      <w:pPr>
        <w:rPr>
          <w:rFonts w:hint="eastAsia"/>
          <w:color w:val="auto"/>
          <w:highlight w:val="none"/>
        </w:rPr>
      </w:pPr>
    </w:p>
    <w:p w14:paraId="48354258">
      <w:pPr>
        <w:rPr>
          <w:rFonts w:hint="eastAsia" w:ascii="宋体" w:hAnsi="宋体"/>
          <w:color w:val="auto"/>
          <w:sz w:val="32"/>
          <w:szCs w:val="32"/>
          <w:highlight w:val="none"/>
          <w:lang w:eastAsia="zh-CN"/>
        </w:rPr>
      </w:pPr>
      <w:r>
        <w:rPr>
          <w:rFonts w:ascii="宋体" w:hAnsi="宋体"/>
          <w:color w:val="auto"/>
          <w:sz w:val="32"/>
          <w:szCs w:val="32"/>
          <w:highlight w:val="none"/>
        </w:rPr>
        <w:t>项目名称：</w:t>
      </w:r>
      <w:r>
        <w:rPr>
          <w:rFonts w:hint="eastAsia" w:ascii="宋体" w:hAnsi="宋体"/>
          <w:color w:val="auto"/>
          <w:sz w:val="32"/>
          <w:szCs w:val="32"/>
          <w:highlight w:val="none"/>
          <w:lang w:eastAsia="zh-CN"/>
        </w:rPr>
        <w:t>六合村办公区组团行政办公区绿地养护项目</w:t>
      </w:r>
    </w:p>
    <w:p w14:paraId="52A8C3B7">
      <w:pPr>
        <w:rPr>
          <w:rFonts w:hint="eastAsia" w:ascii="宋体" w:hAnsi="宋体" w:eastAsia="宋体"/>
          <w:color w:val="auto"/>
          <w:sz w:val="32"/>
          <w:szCs w:val="32"/>
          <w:highlight w:val="none"/>
          <w:lang w:eastAsia="zh-CN"/>
        </w:rPr>
      </w:pPr>
      <w:r>
        <w:rPr>
          <w:rFonts w:ascii="宋体" w:hAnsi="宋体"/>
          <w:color w:val="auto"/>
          <w:sz w:val="32"/>
          <w:szCs w:val="32"/>
          <w:highlight w:val="none"/>
        </w:rPr>
        <w:t>项目编号</w:t>
      </w:r>
      <w:r>
        <w:rPr>
          <w:rFonts w:hint="eastAsia" w:ascii="宋体" w:hAnsi="宋体"/>
          <w:color w:val="auto"/>
          <w:sz w:val="32"/>
          <w:szCs w:val="32"/>
          <w:highlight w:val="none"/>
          <w:lang w:eastAsia="zh-CN"/>
        </w:rPr>
        <w:t>：11000025210200157970-XM001</w:t>
      </w:r>
    </w:p>
    <w:p w14:paraId="36B88883">
      <w:pPr>
        <w:rPr>
          <w:rFonts w:ascii="宋体" w:hAnsi="宋体"/>
          <w:color w:val="auto"/>
          <w:sz w:val="32"/>
          <w:szCs w:val="32"/>
          <w:highlight w:val="none"/>
        </w:rPr>
      </w:pPr>
      <w:r>
        <w:rPr>
          <w:rFonts w:ascii="宋体" w:hAnsi="宋体"/>
          <w:color w:val="auto"/>
          <w:sz w:val="32"/>
          <w:szCs w:val="32"/>
          <w:highlight w:val="none"/>
        </w:rPr>
        <w:t>采购人：</w:t>
      </w:r>
      <w:r>
        <w:rPr>
          <w:rFonts w:hint="eastAsia"/>
          <w:color w:val="auto"/>
          <w:sz w:val="32"/>
          <w:szCs w:val="32"/>
          <w:highlight w:val="none"/>
          <w:lang w:val="en-US" w:eastAsia="zh-CN"/>
        </w:rPr>
        <w:t>北京市绿地养护管理事务中心</w:t>
      </w:r>
    </w:p>
    <w:p w14:paraId="7093F24C">
      <w:pPr>
        <w:rPr>
          <w:rFonts w:ascii="宋体" w:hAnsi="宋体"/>
          <w:color w:val="auto"/>
          <w:sz w:val="32"/>
          <w:szCs w:val="32"/>
          <w:highlight w:val="none"/>
        </w:rPr>
      </w:pPr>
      <w:r>
        <w:rPr>
          <w:rFonts w:ascii="宋体" w:hAnsi="宋体"/>
          <w:color w:val="auto"/>
          <w:sz w:val="32"/>
          <w:szCs w:val="32"/>
          <w:highlight w:val="none"/>
        </w:rPr>
        <w:t>采购代理机构：</w:t>
      </w:r>
      <w:r>
        <w:rPr>
          <w:rFonts w:hint="eastAsia" w:ascii="宋体" w:hAnsi="宋体"/>
          <w:color w:val="auto"/>
          <w:sz w:val="32"/>
          <w:szCs w:val="32"/>
          <w:highlight w:val="none"/>
        </w:rPr>
        <w:t>北京</w:t>
      </w:r>
      <w:r>
        <w:rPr>
          <w:rFonts w:hint="eastAsia" w:ascii="宋体" w:hAnsi="宋体"/>
          <w:color w:val="auto"/>
          <w:sz w:val="32"/>
          <w:szCs w:val="32"/>
          <w:highlight w:val="none"/>
          <w:lang w:val="en-US" w:eastAsia="zh-CN"/>
        </w:rPr>
        <w:t>华建联造价工程师事务所有限公司</w:t>
      </w:r>
    </w:p>
    <w:p w14:paraId="076F8927">
      <w:pPr>
        <w:jc w:val="center"/>
        <w:rPr>
          <w:rFonts w:ascii="宋体" w:hAnsi="宋体"/>
          <w:color w:val="auto"/>
          <w:sz w:val="24"/>
          <w:highlight w:val="none"/>
        </w:rPr>
      </w:pPr>
    </w:p>
    <w:p w14:paraId="6F123D77">
      <w:pPr>
        <w:jc w:val="center"/>
        <w:rPr>
          <w:rFonts w:ascii="宋体" w:hAnsi="宋体"/>
          <w:color w:val="auto"/>
          <w:sz w:val="24"/>
          <w:highlight w:val="none"/>
        </w:rPr>
        <w:sectPr>
          <w:headerReference r:id="rId3" w:type="default"/>
          <w:footerReference r:id="rId4" w:type="default"/>
          <w:type w:val="nextColumn"/>
          <w:pgSz w:w="11906" w:h="16838"/>
          <w:pgMar w:top="1440" w:right="1800" w:bottom="1440" w:left="1800" w:header="851" w:footer="992" w:gutter="0"/>
          <w:pgNumType w:start="1"/>
          <w:cols w:space="720" w:num="1"/>
          <w:docGrid w:type="lines" w:linePitch="312" w:charSpace="0"/>
        </w:sectPr>
      </w:pPr>
    </w:p>
    <w:p w14:paraId="673D8ADA">
      <w:pPr>
        <w:pStyle w:val="44"/>
        <w:ind w:firstLine="480"/>
        <w:rPr>
          <w:rFonts w:ascii="宋体" w:hAnsi="宋体"/>
          <w:color w:val="auto"/>
          <w:szCs w:val="24"/>
          <w:highlight w:val="none"/>
        </w:rPr>
      </w:pPr>
    </w:p>
    <w:p w14:paraId="2C8A9221">
      <w:pPr>
        <w:spacing w:line="360" w:lineRule="auto"/>
        <w:jc w:val="center"/>
        <w:outlineLvl w:val="9"/>
        <w:rPr>
          <w:rFonts w:ascii="宋体" w:hAnsi="宋体"/>
          <w:color w:val="auto"/>
          <w:sz w:val="24"/>
          <w:highlight w:val="none"/>
        </w:rPr>
      </w:pPr>
    </w:p>
    <w:p w14:paraId="76B6CEFB">
      <w:pPr>
        <w:tabs>
          <w:tab w:val="center" w:pos="4212"/>
          <w:tab w:val="left" w:pos="7581"/>
        </w:tabs>
        <w:spacing w:line="360" w:lineRule="auto"/>
        <w:jc w:val="left"/>
        <w:outlineLvl w:val="9"/>
        <w:rPr>
          <w:rFonts w:ascii="宋体" w:hAnsi="宋体"/>
          <w:b/>
          <w:color w:val="auto"/>
          <w:sz w:val="24"/>
          <w:highlight w:val="none"/>
        </w:rPr>
      </w:pPr>
      <w:r>
        <w:rPr>
          <w:rFonts w:hint="eastAsia" w:ascii="宋体" w:hAnsi="宋体"/>
          <w:b/>
          <w:color w:val="auto"/>
          <w:sz w:val="24"/>
          <w:highlight w:val="none"/>
        </w:rPr>
        <w:tab/>
      </w:r>
      <w:bookmarkEnd w:id="2"/>
      <w:r>
        <w:rPr>
          <w:rFonts w:hint="eastAsia" w:ascii="宋体" w:hAnsi="宋体"/>
          <w:b/>
          <w:color w:val="auto"/>
          <w:sz w:val="24"/>
          <w:highlight w:val="none"/>
        </w:rPr>
        <w:tab/>
      </w:r>
    </w:p>
    <w:p w14:paraId="2CD8129A">
      <w:pPr>
        <w:rPr>
          <w:rFonts w:ascii="宋体" w:hAnsi="宋体"/>
          <w:color w:val="auto"/>
          <w:sz w:val="24"/>
          <w:highlight w:val="none"/>
        </w:rPr>
      </w:pPr>
    </w:p>
    <w:sdt>
      <w:sdtPr>
        <w:rPr>
          <w:rFonts w:ascii="宋体" w:hAnsi="宋体"/>
          <w:b/>
          <w:color w:val="auto"/>
          <w:sz w:val="24"/>
          <w:highlight w:val="none"/>
          <w:lang w:val="en-US" w:eastAsia="zh-CN"/>
        </w:rPr>
        <w:id w:val="147481246"/>
        <w15:color w:val="DBDBDB"/>
        <w:docPartObj>
          <w:docPartGallery w:val="Table of Contents"/>
          <w:docPartUnique/>
        </w:docPartObj>
      </w:sdtPr>
      <w:sdtEndPr>
        <w:rPr>
          <w:rFonts w:ascii="宋体" w:hAnsi="宋体" w:eastAsia="宋体" w:cs="Times New Roman"/>
          <w:b/>
          <w:color w:val="auto"/>
          <w:kern w:val="2"/>
          <w:sz w:val="21"/>
          <w:szCs w:val="24"/>
          <w:highlight w:val="none"/>
          <w:lang w:val="en-US" w:eastAsia="zh-CN" w:bidi="ar-SA"/>
        </w:rPr>
      </w:sdtEndPr>
      <w:sdtContent>
        <w:p w14:paraId="3D7339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b/>
              <w:bCs w:val="0"/>
              <w:color w:val="auto"/>
              <w:kern w:val="2"/>
              <w:sz w:val="30"/>
              <w:szCs w:val="30"/>
              <w:highlight w:val="none"/>
              <w:lang w:val="en-US" w:eastAsia="zh-CN" w:bidi="ar-SA"/>
            </w:rPr>
          </w:pPr>
          <w:r>
            <w:rPr>
              <w:rFonts w:ascii="宋体" w:hAnsi="宋体"/>
              <w:b w:val="0"/>
              <w:bCs/>
              <w:color w:val="auto"/>
              <w:sz w:val="30"/>
              <w:szCs w:val="30"/>
              <w:highlight w:val="none"/>
            </w:rPr>
            <w:t>目录</w:t>
          </w:r>
          <w:r>
            <w:rPr>
              <w:rFonts w:ascii="宋体" w:hAnsi="宋体"/>
              <w:b/>
              <w:bCs w:val="0"/>
              <w:color w:val="auto"/>
              <w:sz w:val="30"/>
              <w:szCs w:val="30"/>
              <w:highlight w:val="none"/>
            </w:rPr>
            <w:fldChar w:fldCharType="begin"/>
          </w:r>
          <w:r>
            <w:rPr>
              <w:rFonts w:ascii="宋体" w:hAnsi="宋体"/>
              <w:b/>
              <w:bCs w:val="0"/>
              <w:color w:val="auto"/>
              <w:sz w:val="30"/>
              <w:szCs w:val="30"/>
              <w:highlight w:val="none"/>
            </w:rPr>
            <w:instrText xml:space="preserve">TOC \o "1-1" \h \u </w:instrText>
          </w:r>
          <w:r>
            <w:rPr>
              <w:rFonts w:ascii="宋体" w:hAnsi="宋体"/>
              <w:b/>
              <w:bCs w:val="0"/>
              <w:color w:val="auto"/>
              <w:sz w:val="30"/>
              <w:szCs w:val="30"/>
              <w:highlight w:val="none"/>
            </w:rPr>
            <w:fldChar w:fldCharType="separate"/>
          </w:r>
        </w:p>
        <w:p w14:paraId="7F49DBA9">
          <w:pPr>
            <w:pStyle w:val="31"/>
            <w:keepNext w:val="0"/>
            <w:keepLines w:val="0"/>
            <w:pageBreakBefore w:val="0"/>
            <w:widowControl w:val="0"/>
            <w:tabs>
              <w:tab w:val="right" w:leader="dot" w:pos="8306"/>
              <w:tab w:val="clear" w:pos="1050"/>
              <w:tab w:val="clear" w:pos="8937"/>
            </w:tabs>
            <w:kinsoku/>
            <w:wordWrap/>
            <w:overflowPunct/>
            <w:topLinePunct w:val="0"/>
            <w:autoSpaceDE/>
            <w:autoSpaceDN/>
            <w:bidi w:val="0"/>
            <w:adjustRightInd/>
            <w:snapToGrid/>
            <w:spacing w:line="240" w:lineRule="auto"/>
            <w:textAlignment w:val="auto"/>
            <w:rPr>
              <w:b w:val="0"/>
              <w:bCs/>
              <w:color w:val="auto"/>
              <w:sz w:val="30"/>
              <w:szCs w:val="30"/>
              <w:highlight w:val="none"/>
            </w:rPr>
          </w:pPr>
          <w:r>
            <w:rPr>
              <w:rFonts w:ascii="宋体" w:hAnsi="宋体"/>
              <w:b w:val="0"/>
              <w:bCs/>
              <w:color w:val="auto"/>
              <w:sz w:val="30"/>
              <w:szCs w:val="30"/>
              <w:highlight w:val="none"/>
            </w:rPr>
            <w:fldChar w:fldCharType="begin"/>
          </w:r>
          <w:r>
            <w:rPr>
              <w:rFonts w:ascii="宋体" w:hAnsi="宋体"/>
              <w:b w:val="0"/>
              <w:bCs/>
              <w:color w:val="auto"/>
              <w:sz w:val="30"/>
              <w:szCs w:val="30"/>
              <w:highlight w:val="none"/>
            </w:rPr>
            <w:instrText xml:space="preserve"> HYPERLINK \l _Toc6451 </w:instrText>
          </w:r>
          <w:r>
            <w:rPr>
              <w:rFonts w:ascii="宋体" w:hAnsi="宋体"/>
              <w:b w:val="0"/>
              <w:bCs/>
              <w:color w:val="auto"/>
              <w:sz w:val="30"/>
              <w:szCs w:val="30"/>
              <w:highlight w:val="none"/>
            </w:rPr>
            <w:fldChar w:fldCharType="separate"/>
          </w:r>
          <w:r>
            <w:rPr>
              <w:rFonts w:hint="eastAsia" w:ascii="宋体" w:hAnsi="宋体"/>
              <w:b w:val="0"/>
              <w:bCs/>
              <w:color w:val="auto"/>
              <w:sz w:val="30"/>
              <w:szCs w:val="30"/>
              <w:highlight w:val="none"/>
            </w:rPr>
            <w:t xml:space="preserve">第一章 </w:t>
          </w:r>
          <w:r>
            <w:rPr>
              <w:rFonts w:hint="eastAsia"/>
              <w:b w:val="0"/>
              <w:bCs/>
              <w:color w:val="auto"/>
              <w:sz w:val="30"/>
              <w:szCs w:val="30"/>
              <w:highlight w:val="none"/>
              <w:lang w:val="en-US" w:eastAsia="zh-CN"/>
            </w:rPr>
            <w:t xml:space="preserve">  </w:t>
          </w:r>
          <w:r>
            <w:rPr>
              <w:rFonts w:ascii="宋体" w:hAnsi="宋体"/>
              <w:b w:val="0"/>
              <w:bCs/>
              <w:color w:val="auto"/>
              <w:sz w:val="30"/>
              <w:szCs w:val="30"/>
              <w:highlight w:val="none"/>
            </w:rPr>
            <w:t>投标邀请</w:t>
          </w:r>
          <w:r>
            <w:rPr>
              <w:b w:val="0"/>
              <w:bCs/>
              <w:color w:val="auto"/>
              <w:sz w:val="30"/>
              <w:szCs w:val="30"/>
              <w:highlight w:val="none"/>
            </w:rPr>
            <w:tab/>
          </w:r>
          <w:r>
            <w:rPr>
              <w:b w:val="0"/>
              <w:bCs/>
              <w:color w:val="auto"/>
              <w:sz w:val="30"/>
              <w:szCs w:val="30"/>
              <w:highlight w:val="none"/>
            </w:rPr>
            <w:fldChar w:fldCharType="begin"/>
          </w:r>
          <w:r>
            <w:rPr>
              <w:b w:val="0"/>
              <w:bCs/>
              <w:color w:val="auto"/>
              <w:sz w:val="30"/>
              <w:szCs w:val="30"/>
              <w:highlight w:val="none"/>
            </w:rPr>
            <w:instrText xml:space="preserve"> PAGEREF _Toc6451 \h </w:instrText>
          </w:r>
          <w:r>
            <w:rPr>
              <w:b w:val="0"/>
              <w:bCs/>
              <w:color w:val="auto"/>
              <w:sz w:val="30"/>
              <w:szCs w:val="30"/>
              <w:highlight w:val="none"/>
            </w:rPr>
            <w:fldChar w:fldCharType="separate"/>
          </w:r>
          <w:r>
            <w:rPr>
              <w:b w:val="0"/>
              <w:bCs/>
              <w:color w:val="auto"/>
              <w:sz w:val="30"/>
              <w:szCs w:val="30"/>
              <w:highlight w:val="none"/>
            </w:rPr>
            <w:t>1</w:t>
          </w:r>
          <w:r>
            <w:rPr>
              <w:b w:val="0"/>
              <w:bCs/>
              <w:color w:val="auto"/>
              <w:sz w:val="30"/>
              <w:szCs w:val="30"/>
              <w:highlight w:val="none"/>
            </w:rPr>
            <w:fldChar w:fldCharType="end"/>
          </w:r>
          <w:r>
            <w:rPr>
              <w:rFonts w:ascii="宋体" w:hAnsi="宋体"/>
              <w:b w:val="0"/>
              <w:bCs/>
              <w:color w:val="auto"/>
              <w:sz w:val="30"/>
              <w:szCs w:val="30"/>
              <w:highlight w:val="none"/>
            </w:rPr>
            <w:fldChar w:fldCharType="end"/>
          </w:r>
        </w:p>
        <w:p w14:paraId="436E0937">
          <w:pPr>
            <w:pStyle w:val="31"/>
            <w:keepNext w:val="0"/>
            <w:keepLines w:val="0"/>
            <w:pageBreakBefore w:val="0"/>
            <w:widowControl w:val="0"/>
            <w:tabs>
              <w:tab w:val="right" w:leader="dot" w:pos="8306"/>
              <w:tab w:val="clear" w:pos="1050"/>
              <w:tab w:val="clear" w:pos="8937"/>
            </w:tabs>
            <w:kinsoku/>
            <w:wordWrap/>
            <w:overflowPunct/>
            <w:topLinePunct w:val="0"/>
            <w:autoSpaceDE/>
            <w:autoSpaceDN/>
            <w:bidi w:val="0"/>
            <w:adjustRightInd/>
            <w:snapToGrid/>
            <w:spacing w:line="240" w:lineRule="auto"/>
            <w:textAlignment w:val="auto"/>
            <w:rPr>
              <w:b w:val="0"/>
              <w:bCs/>
              <w:color w:val="auto"/>
              <w:sz w:val="30"/>
              <w:szCs w:val="30"/>
              <w:highlight w:val="none"/>
            </w:rPr>
          </w:pPr>
          <w:r>
            <w:rPr>
              <w:rFonts w:ascii="宋体" w:hAnsi="宋体"/>
              <w:b w:val="0"/>
              <w:bCs/>
              <w:color w:val="auto"/>
              <w:sz w:val="30"/>
              <w:szCs w:val="30"/>
              <w:highlight w:val="none"/>
            </w:rPr>
            <w:fldChar w:fldCharType="begin"/>
          </w:r>
          <w:r>
            <w:rPr>
              <w:rFonts w:ascii="宋体" w:hAnsi="宋体"/>
              <w:b w:val="0"/>
              <w:bCs/>
              <w:color w:val="auto"/>
              <w:sz w:val="30"/>
              <w:szCs w:val="30"/>
              <w:highlight w:val="none"/>
            </w:rPr>
            <w:instrText xml:space="preserve"> HYPERLINK \l _Toc4435 </w:instrText>
          </w:r>
          <w:r>
            <w:rPr>
              <w:rFonts w:ascii="宋体" w:hAnsi="宋体"/>
              <w:b w:val="0"/>
              <w:bCs/>
              <w:color w:val="auto"/>
              <w:sz w:val="30"/>
              <w:szCs w:val="30"/>
              <w:highlight w:val="none"/>
            </w:rPr>
            <w:fldChar w:fldCharType="separate"/>
          </w:r>
          <w:r>
            <w:rPr>
              <w:rFonts w:ascii="宋体" w:hAnsi="宋体"/>
              <w:b w:val="0"/>
              <w:bCs/>
              <w:color w:val="auto"/>
              <w:sz w:val="30"/>
              <w:szCs w:val="30"/>
              <w:highlight w:val="none"/>
            </w:rPr>
            <w:t>第二章   投标人须知</w:t>
          </w:r>
          <w:r>
            <w:rPr>
              <w:b w:val="0"/>
              <w:bCs/>
              <w:color w:val="auto"/>
              <w:sz w:val="30"/>
              <w:szCs w:val="30"/>
              <w:highlight w:val="none"/>
            </w:rPr>
            <w:tab/>
          </w:r>
          <w:r>
            <w:rPr>
              <w:b w:val="0"/>
              <w:bCs/>
              <w:color w:val="auto"/>
              <w:sz w:val="30"/>
              <w:szCs w:val="30"/>
              <w:highlight w:val="none"/>
            </w:rPr>
            <w:fldChar w:fldCharType="begin"/>
          </w:r>
          <w:r>
            <w:rPr>
              <w:b w:val="0"/>
              <w:bCs/>
              <w:color w:val="auto"/>
              <w:sz w:val="30"/>
              <w:szCs w:val="30"/>
              <w:highlight w:val="none"/>
            </w:rPr>
            <w:instrText xml:space="preserve"> PAGEREF _Toc4435 \h </w:instrText>
          </w:r>
          <w:r>
            <w:rPr>
              <w:b w:val="0"/>
              <w:bCs/>
              <w:color w:val="auto"/>
              <w:sz w:val="30"/>
              <w:szCs w:val="30"/>
              <w:highlight w:val="none"/>
            </w:rPr>
            <w:fldChar w:fldCharType="separate"/>
          </w:r>
          <w:r>
            <w:rPr>
              <w:b w:val="0"/>
              <w:bCs/>
              <w:color w:val="auto"/>
              <w:sz w:val="30"/>
              <w:szCs w:val="30"/>
              <w:highlight w:val="none"/>
            </w:rPr>
            <w:t>6</w:t>
          </w:r>
          <w:r>
            <w:rPr>
              <w:b w:val="0"/>
              <w:bCs/>
              <w:color w:val="auto"/>
              <w:sz w:val="30"/>
              <w:szCs w:val="30"/>
              <w:highlight w:val="none"/>
            </w:rPr>
            <w:fldChar w:fldCharType="end"/>
          </w:r>
          <w:r>
            <w:rPr>
              <w:rFonts w:ascii="宋体" w:hAnsi="宋体"/>
              <w:b w:val="0"/>
              <w:bCs/>
              <w:color w:val="auto"/>
              <w:sz w:val="30"/>
              <w:szCs w:val="30"/>
              <w:highlight w:val="none"/>
            </w:rPr>
            <w:fldChar w:fldCharType="end"/>
          </w:r>
        </w:p>
        <w:p w14:paraId="751E7CE9">
          <w:pPr>
            <w:pStyle w:val="31"/>
            <w:keepNext w:val="0"/>
            <w:keepLines w:val="0"/>
            <w:pageBreakBefore w:val="0"/>
            <w:widowControl w:val="0"/>
            <w:tabs>
              <w:tab w:val="right" w:leader="dot" w:pos="8306"/>
              <w:tab w:val="clear" w:pos="1050"/>
              <w:tab w:val="clear" w:pos="8937"/>
            </w:tabs>
            <w:kinsoku/>
            <w:wordWrap/>
            <w:overflowPunct/>
            <w:topLinePunct w:val="0"/>
            <w:autoSpaceDE/>
            <w:autoSpaceDN/>
            <w:bidi w:val="0"/>
            <w:adjustRightInd/>
            <w:snapToGrid/>
            <w:spacing w:line="240" w:lineRule="auto"/>
            <w:textAlignment w:val="auto"/>
            <w:rPr>
              <w:b w:val="0"/>
              <w:bCs/>
              <w:color w:val="auto"/>
              <w:sz w:val="30"/>
              <w:szCs w:val="30"/>
              <w:highlight w:val="none"/>
            </w:rPr>
          </w:pPr>
          <w:r>
            <w:rPr>
              <w:rFonts w:ascii="宋体" w:hAnsi="宋体"/>
              <w:b w:val="0"/>
              <w:bCs/>
              <w:color w:val="auto"/>
              <w:sz w:val="30"/>
              <w:szCs w:val="30"/>
              <w:highlight w:val="none"/>
            </w:rPr>
            <w:fldChar w:fldCharType="begin"/>
          </w:r>
          <w:r>
            <w:rPr>
              <w:rFonts w:ascii="宋体" w:hAnsi="宋体"/>
              <w:b w:val="0"/>
              <w:bCs/>
              <w:color w:val="auto"/>
              <w:sz w:val="30"/>
              <w:szCs w:val="30"/>
              <w:highlight w:val="none"/>
            </w:rPr>
            <w:instrText xml:space="preserve"> HYPERLINK \l _Toc20421 </w:instrText>
          </w:r>
          <w:r>
            <w:rPr>
              <w:rFonts w:ascii="宋体" w:hAnsi="宋体"/>
              <w:b w:val="0"/>
              <w:bCs/>
              <w:color w:val="auto"/>
              <w:sz w:val="30"/>
              <w:szCs w:val="30"/>
              <w:highlight w:val="none"/>
            </w:rPr>
            <w:fldChar w:fldCharType="separate"/>
          </w:r>
          <w:r>
            <w:rPr>
              <w:rFonts w:ascii="宋体" w:hAnsi="宋体"/>
              <w:b w:val="0"/>
              <w:bCs/>
              <w:color w:val="auto"/>
              <w:sz w:val="30"/>
              <w:szCs w:val="30"/>
              <w:highlight w:val="none"/>
            </w:rPr>
            <w:t>第三章   资格审查</w:t>
          </w:r>
          <w:r>
            <w:rPr>
              <w:b w:val="0"/>
              <w:bCs/>
              <w:color w:val="auto"/>
              <w:sz w:val="30"/>
              <w:szCs w:val="30"/>
              <w:highlight w:val="none"/>
            </w:rPr>
            <w:tab/>
          </w:r>
          <w:r>
            <w:rPr>
              <w:b w:val="0"/>
              <w:bCs/>
              <w:color w:val="auto"/>
              <w:sz w:val="30"/>
              <w:szCs w:val="30"/>
              <w:highlight w:val="none"/>
            </w:rPr>
            <w:fldChar w:fldCharType="begin"/>
          </w:r>
          <w:r>
            <w:rPr>
              <w:b w:val="0"/>
              <w:bCs/>
              <w:color w:val="auto"/>
              <w:sz w:val="30"/>
              <w:szCs w:val="30"/>
              <w:highlight w:val="none"/>
            </w:rPr>
            <w:instrText xml:space="preserve"> PAGEREF _Toc20421 \h </w:instrText>
          </w:r>
          <w:r>
            <w:rPr>
              <w:b w:val="0"/>
              <w:bCs/>
              <w:color w:val="auto"/>
              <w:sz w:val="30"/>
              <w:szCs w:val="30"/>
              <w:highlight w:val="none"/>
            </w:rPr>
            <w:fldChar w:fldCharType="separate"/>
          </w:r>
          <w:r>
            <w:rPr>
              <w:b w:val="0"/>
              <w:bCs/>
              <w:color w:val="auto"/>
              <w:sz w:val="30"/>
              <w:szCs w:val="30"/>
              <w:highlight w:val="none"/>
            </w:rPr>
            <w:t>22</w:t>
          </w:r>
          <w:r>
            <w:rPr>
              <w:b w:val="0"/>
              <w:bCs/>
              <w:color w:val="auto"/>
              <w:sz w:val="30"/>
              <w:szCs w:val="30"/>
              <w:highlight w:val="none"/>
            </w:rPr>
            <w:fldChar w:fldCharType="end"/>
          </w:r>
          <w:r>
            <w:rPr>
              <w:rFonts w:ascii="宋体" w:hAnsi="宋体"/>
              <w:b w:val="0"/>
              <w:bCs/>
              <w:color w:val="auto"/>
              <w:sz w:val="30"/>
              <w:szCs w:val="30"/>
              <w:highlight w:val="none"/>
            </w:rPr>
            <w:fldChar w:fldCharType="end"/>
          </w:r>
        </w:p>
        <w:p w14:paraId="2593C4C2">
          <w:pPr>
            <w:pStyle w:val="31"/>
            <w:keepNext w:val="0"/>
            <w:keepLines w:val="0"/>
            <w:pageBreakBefore w:val="0"/>
            <w:widowControl w:val="0"/>
            <w:tabs>
              <w:tab w:val="right" w:leader="dot" w:pos="8306"/>
              <w:tab w:val="clear" w:pos="1050"/>
              <w:tab w:val="clear" w:pos="8937"/>
            </w:tabs>
            <w:kinsoku/>
            <w:wordWrap/>
            <w:overflowPunct/>
            <w:topLinePunct w:val="0"/>
            <w:autoSpaceDE/>
            <w:autoSpaceDN/>
            <w:bidi w:val="0"/>
            <w:adjustRightInd/>
            <w:snapToGrid/>
            <w:spacing w:line="240" w:lineRule="auto"/>
            <w:textAlignment w:val="auto"/>
            <w:rPr>
              <w:b w:val="0"/>
              <w:bCs/>
              <w:color w:val="auto"/>
              <w:sz w:val="30"/>
              <w:szCs w:val="30"/>
              <w:highlight w:val="none"/>
            </w:rPr>
          </w:pPr>
          <w:r>
            <w:rPr>
              <w:rFonts w:ascii="宋体" w:hAnsi="宋体"/>
              <w:b w:val="0"/>
              <w:bCs/>
              <w:color w:val="auto"/>
              <w:sz w:val="30"/>
              <w:szCs w:val="30"/>
              <w:highlight w:val="none"/>
            </w:rPr>
            <w:fldChar w:fldCharType="begin"/>
          </w:r>
          <w:r>
            <w:rPr>
              <w:rFonts w:ascii="宋体" w:hAnsi="宋体"/>
              <w:b w:val="0"/>
              <w:bCs/>
              <w:color w:val="auto"/>
              <w:sz w:val="30"/>
              <w:szCs w:val="30"/>
              <w:highlight w:val="none"/>
            </w:rPr>
            <w:instrText xml:space="preserve"> HYPERLINK \l _Toc7213 </w:instrText>
          </w:r>
          <w:r>
            <w:rPr>
              <w:rFonts w:ascii="宋体" w:hAnsi="宋体"/>
              <w:b w:val="0"/>
              <w:bCs/>
              <w:color w:val="auto"/>
              <w:sz w:val="30"/>
              <w:szCs w:val="30"/>
              <w:highlight w:val="none"/>
            </w:rPr>
            <w:fldChar w:fldCharType="separate"/>
          </w:r>
          <w:r>
            <w:rPr>
              <w:rFonts w:ascii="宋体" w:hAnsi="宋体"/>
              <w:b w:val="0"/>
              <w:bCs/>
              <w:color w:val="auto"/>
              <w:sz w:val="30"/>
              <w:szCs w:val="30"/>
              <w:highlight w:val="none"/>
            </w:rPr>
            <w:t>第四章   评标程序、评标方法和评标标准</w:t>
          </w:r>
          <w:r>
            <w:rPr>
              <w:b w:val="0"/>
              <w:bCs/>
              <w:color w:val="auto"/>
              <w:sz w:val="30"/>
              <w:szCs w:val="30"/>
              <w:highlight w:val="none"/>
            </w:rPr>
            <w:tab/>
          </w:r>
          <w:r>
            <w:rPr>
              <w:b w:val="0"/>
              <w:bCs/>
              <w:color w:val="auto"/>
              <w:sz w:val="30"/>
              <w:szCs w:val="30"/>
              <w:highlight w:val="none"/>
            </w:rPr>
            <w:fldChar w:fldCharType="begin"/>
          </w:r>
          <w:r>
            <w:rPr>
              <w:b w:val="0"/>
              <w:bCs/>
              <w:color w:val="auto"/>
              <w:sz w:val="30"/>
              <w:szCs w:val="30"/>
              <w:highlight w:val="none"/>
            </w:rPr>
            <w:instrText xml:space="preserve"> PAGEREF _Toc7213 \h </w:instrText>
          </w:r>
          <w:r>
            <w:rPr>
              <w:b w:val="0"/>
              <w:bCs/>
              <w:color w:val="auto"/>
              <w:sz w:val="30"/>
              <w:szCs w:val="30"/>
              <w:highlight w:val="none"/>
            </w:rPr>
            <w:fldChar w:fldCharType="separate"/>
          </w:r>
          <w:r>
            <w:rPr>
              <w:b w:val="0"/>
              <w:bCs/>
              <w:color w:val="auto"/>
              <w:sz w:val="30"/>
              <w:szCs w:val="30"/>
              <w:highlight w:val="none"/>
            </w:rPr>
            <w:t>26</w:t>
          </w:r>
          <w:r>
            <w:rPr>
              <w:b w:val="0"/>
              <w:bCs/>
              <w:color w:val="auto"/>
              <w:sz w:val="30"/>
              <w:szCs w:val="30"/>
              <w:highlight w:val="none"/>
            </w:rPr>
            <w:fldChar w:fldCharType="end"/>
          </w:r>
          <w:r>
            <w:rPr>
              <w:rFonts w:ascii="宋体" w:hAnsi="宋体"/>
              <w:b w:val="0"/>
              <w:bCs/>
              <w:color w:val="auto"/>
              <w:sz w:val="30"/>
              <w:szCs w:val="30"/>
              <w:highlight w:val="none"/>
            </w:rPr>
            <w:fldChar w:fldCharType="end"/>
          </w:r>
        </w:p>
        <w:p w14:paraId="63E54775">
          <w:pPr>
            <w:pStyle w:val="31"/>
            <w:keepNext w:val="0"/>
            <w:keepLines w:val="0"/>
            <w:pageBreakBefore w:val="0"/>
            <w:widowControl w:val="0"/>
            <w:tabs>
              <w:tab w:val="right" w:leader="dot" w:pos="8306"/>
              <w:tab w:val="clear" w:pos="1050"/>
              <w:tab w:val="clear" w:pos="8937"/>
            </w:tabs>
            <w:kinsoku/>
            <w:wordWrap/>
            <w:overflowPunct/>
            <w:topLinePunct w:val="0"/>
            <w:autoSpaceDE/>
            <w:autoSpaceDN/>
            <w:bidi w:val="0"/>
            <w:adjustRightInd/>
            <w:snapToGrid/>
            <w:spacing w:line="240" w:lineRule="auto"/>
            <w:textAlignment w:val="auto"/>
            <w:rPr>
              <w:b w:val="0"/>
              <w:bCs/>
              <w:color w:val="auto"/>
              <w:sz w:val="30"/>
              <w:szCs w:val="30"/>
              <w:highlight w:val="none"/>
            </w:rPr>
          </w:pPr>
          <w:r>
            <w:rPr>
              <w:rFonts w:ascii="宋体" w:hAnsi="宋体"/>
              <w:b w:val="0"/>
              <w:bCs/>
              <w:color w:val="auto"/>
              <w:sz w:val="30"/>
              <w:szCs w:val="30"/>
              <w:highlight w:val="none"/>
            </w:rPr>
            <w:fldChar w:fldCharType="begin"/>
          </w:r>
          <w:r>
            <w:rPr>
              <w:rFonts w:ascii="宋体" w:hAnsi="宋体"/>
              <w:b w:val="0"/>
              <w:bCs/>
              <w:color w:val="auto"/>
              <w:sz w:val="30"/>
              <w:szCs w:val="30"/>
              <w:highlight w:val="none"/>
            </w:rPr>
            <w:instrText xml:space="preserve"> HYPERLINK \l _Toc27439 </w:instrText>
          </w:r>
          <w:r>
            <w:rPr>
              <w:rFonts w:ascii="宋体" w:hAnsi="宋体"/>
              <w:b w:val="0"/>
              <w:bCs/>
              <w:color w:val="auto"/>
              <w:sz w:val="30"/>
              <w:szCs w:val="30"/>
              <w:highlight w:val="none"/>
            </w:rPr>
            <w:fldChar w:fldCharType="separate"/>
          </w:r>
          <w:r>
            <w:rPr>
              <w:rFonts w:ascii="宋体" w:hAnsi="宋体"/>
              <w:b w:val="0"/>
              <w:bCs/>
              <w:color w:val="auto"/>
              <w:sz w:val="30"/>
              <w:szCs w:val="30"/>
              <w:highlight w:val="none"/>
            </w:rPr>
            <w:t xml:space="preserve">第五章   </w:t>
          </w:r>
          <w:r>
            <w:rPr>
              <w:rFonts w:hint="eastAsia" w:ascii="宋体" w:hAnsi="宋体"/>
              <w:b w:val="0"/>
              <w:bCs/>
              <w:color w:val="auto"/>
              <w:sz w:val="30"/>
              <w:szCs w:val="30"/>
              <w:highlight w:val="none"/>
            </w:rPr>
            <w:t>采购</w:t>
          </w:r>
          <w:r>
            <w:rPr>
              <w:rFonts w:ascii="宋体" w:hAnsi="宋体"/>
              <w:b w:val="0"/>
              <w:bCs/>
              <w:color w:val="auto"/>
              <w:sz w:val="30"/>
              <w:szCs w:val="30"/>
              <w:highlight w:val="none"/>
            </w:rPr>
            <w:t>需求</w:t>
          </w:r>
          <w:r>
            <w:rPr>
              <w:b w:val="0"/>
              <w:bCs/>
              <w:color w:val="auto"/>
              <w:sz w:val="30"/>
              <w:szCs w:val="30"/>
              <w:highlight w:val="none"/>
            </w:rPr>
            <w:tab/>
          </w:r>
          <w:r>
            <w:rPr>
              <w:b w:val="0"/>
              <w:bCs/>
              <w:color w:val="auto"/>
              <w:sz w:val="30"/>
              <w:szCs w:val="30"/>
              <w:highlight w:val="none"/>
            </w:rPr>
            <w:fldChar w:fldCharType="begin"/>
          </w:r>
          <w:r>
            <w:rPr>
              <w:b w:val="0"/>
              <w:bCs/>
              <w:color w:val="auto"/>
              <w:sz w:val="30"/>
              <w:szCs w:val="30"/>
              <w:highlight w:val="none"/>
            </w:rPr>
            <w:instrText xml:space="preserve"> PAGEREF _Toc27439 \h </w:instrText>
          </w:r>
          <w:r>
            <w:rPr>
              <w:b w:val="0"/>
              <w:bCs/>
              <w:color w:val="auto"/>
              <w:sz w:val="30"/>
              <w:szCs w:val="30"/>
              <w:highlight w:val="none"/>
            </w:rPr>
            <w:fldChar w:fldCharType="separate"/>
          </w:r>
          <w:r>
            <w:rPr>
              <w:b w:val="0"/>
              <w:bCs/>
              <w:color w:val="auto"/>
              <w:sz w:val="30"/>
              <w:szCs w:val="30"/>
              <w:highlight w:val="none"/>
            </w:rPr>
            <w:t>37</w:t>
          </w:r>
          <w:r>
            <w:rPr>
              <w:b w:val="0"/>
              <w:bCs/>
              <w:color w:val="auto"/>
              <w:sz w:val="30"/>
              <w:szCs w:val="30"/>
              <w:highlight w:val="none"/>
            </w:rPr>
            <w:fldChar w:fldCharType="end"/>
          </w:r>
          <w:r>
            <w:rPr>
              <w:rFonts w:ascii="宋体" w:hAnsi="宋体"/>
              <w:b w:val="0"/>
              <w:bCs/>
              <w:color w:val="auto"/>
              <w:sz w:val="30"/>
              <w:szCs w:val="30"/>
              <w:highlight w:val="none"/>
            </w:rPr>
            <w:fldChar w:fldCharType="end"/>
          </w:r>
        </w:p>
        <w:p w14:paraId="2D796DD1">
          <w:pPr>
            <w:pStyle w:val="31"/>
            <w:keepNext w:val="0"/>
            <w:keepLines w:val="0"/>
            <w:pageBreakBefore w:val="0"/>
            <w:widowControl w:val="0"/>
            <w:tabs>
              <w:tab w:val="right" w:leader="dot" w:pos="8306"/>
              <w:tab w:val="clear" w:pos="1050"/>
              <w:tab w:val="clear" w:pos="8937"/>
            </w:tabs>
            <w:kinsoku/>
            <w:wordWrap/>
            <w:overflowPunct/>
            <w:topLinePunct w:val="0"/>
            <w:autoSpaceDE/>
            <w:autoSpaceDN/>
            <w:bidi w:val="0"/>
            <w:adjustRightInd/>
            <w:snapToGrid/>
            <w:spacing w:line="240" w:lineRule="auto"/>
            <w:textAlignment w:val="auto"/>
            <w:rPr>
              <w:b w:val="0"/>
              <w:bCs/>
              <w:color w:val="auto"/>
              <w:sz w:val="30"/>
              <w:szCs w:val="30"/>
              <w:highlight w:val="none"/>
            </w:rPr>
          </w:pPr>
          <w:r>
            <w:rPr>
              <w:rFonts w:ascii="宋体" w:hAnsi="宋体"/>
              <w:b w:val="0"/>
              <w:bCs/>
              <w:color w:val="auto"/>
              <w:sz w:val="30"/>
              <w:szCs w:val="30"/>
              <w:highlight w:val="none"/>
            </w:rPr>
            <w:fldChar w:fldCharType="begin"/>
          </w:r>
          <w:r>
            <w:rPr>
              <w:rFonts w:ascii="宋体" w:hAnsi="宋体"/>
              <w:b w:val="0"/>
              <w:bCs/>
              <w:color w:val="auto"/>
              <w:sz w:val="30"/>
              <w:szCs w:val="30"/>
              <w:highlight w:val="none"/>
            </w:rPr>
            <w:instrText xml:space="preserve"> HYPERLINK \l _Toc16167 </w:instrText>
          </w:r>
          <w:r>
            <w:rPr>
              <w:rFonts w:ascii="宋体" w:hAnsi="宋体"/>
              <w:b w:val="0"/>
              <w:bCs/>
              <w:color w:val="auto"/>
              <w:sz w:val="30"/>
              <w:szCs w:val="30"/>
              <w:highlight w:val="none"/>
            </w:rPr>
            <w:fldChar w:fldCharType="separate"/>
          </w:r>
          <w:r>
            <w:rPr>
              <w:rFonts w:ascii="宋体" w:hAnsi="宋体"/>
              <w:b w:val="0"/>
              <w:bCs/>
              <w:color w:val="auto"/>
              <w:sz w:val="30"/>
              <w:szCs w:val="30"/>
              <w:highlight w:val="none"/>
            </w:rPr>
            <w:t>第六章   拟签订的合同文本</w:t>
          </w:r>
          <w:r>
            <w:rPr>
              <w:b w:val="0"/>
              <w:bCs/>
              <w:color w:val="auto"/>
              <w:sz w:val="30"/>
              <w:szCs w:val="30"/>
              <w:highlight w:val="none"/>
            </w:rPr>
            <w:tab/>
          </w:r>
          <w:r>
            <w:rPr>
              <w:b w:val="0"/>
              <w:bCs/>
              <w:color w:val="auto"/>
              <w:sz w:val="30"/>
              <w:szCs w:val="30"/>
              <w:highlight w:val="none"/>
            </w:rPr>
            <w:fldChar w:fldCharType="begin"/>
          </w:r>
          <w:r>
            <w:rPr>
              <w:b w:val="0"/>
              <w:bCs/>
              <w:color w:val="auto"/>
              <w:sz w:val="30"/>
              <w:szCs w:val="30"/>
              <w:highlight w:val="none"/>
            </w:rPr>
            <w:instrText xml:space="preserve"> PAGEREF _Toc16167 \h </w:instrText>
          </w:r>
          <w:r>
            <w:rPr>
              <w:b w:val="0"/>
              <w:bCs/>
              <w:color w:val="auto"/>
              <w:sz w:val="30"/>
              <w:szCs w:val="30"/>
              <w:highlight w:val="none"/>
            </w:rPr>
            <w:fldChar w:fldCharType="separate"/>
          </w:r>
          <w:r>
            <w:rPr>
              <w:b w:val="0"/>
              <w:bCs/>
              <w:color w:val="auto"/>
              <w:sz w:val="30"/>
              <w:szCs w:val="30"/>
              <w:highlight w:val="none"/>
            </w:rPr>
            <w:t>39</w:t>
          </w:r>
          <w:r>
            <w:rPr>
              <w:b w:val="0"/>
              <w:bCs/>
              <w:color w:val="auto"/>
              <w:sz w:val="30"/>
              <w:szCs w:val="30"/>
              <w:highlight w:val="none"/>
            </w:rPr>
            <w:fldChar w:fldCharType="end"/>
          </w:r>
          <w:r>
            <w:rPr>
              <w:rFonts w:ascii="宋体" w:hAnsi="宋体"/>
              <w:b w:val="0"/>
              <w:bCs/>
              <w:color w:val="auto"/>
              <w:sz w:val="30"/>
              <w:szCs w:val="30"/>
              <w:highlight w:val="none"/>
            </w:rPr>
            <w:fldChar w:fldCharType="end"/>
          </w:r>
        </w:p>
        <w:p w14:paraId="49E4DFB6">
          <w:pPr>
            <w:pStyle w:val="31"/>
            <w:keepNext w:val="0"/>
            <w:keepLines w:val="0"/>
            <w:pageBreakBefore w:val="0"/>
            <w:widowControl w:val="0"/>
            <w:tabs>
              <w:tab w:val="right" w:leader="dot" w:pos="8306"/>
              <w:tab w:val="clear" w:pos="1050"/>
              <w:tab w:val="clear" w:pos="8937"/>
            </w:tabs>
            <w:kinsoku/>
            <w:wordWrap/>
            <w:overflowPunct/>
            <w:topLinePunct w:val="0"/>
            <w:autoSpaceDE/>
            <w:autoSpaceDN/>
            <w:bidi w:val="0"/>
            <w:adjustRightInd/>
            <w:snapToGrid/>
            <w:spacing w:line="240" w:lineRule="auto"/>
            <w:textAlignment w:val="auto"/>
            <w:rPr>
              <w:b/>
              <w:bCs w:val="0"/>
              <w:color w:val="auto"/>
              <w:sz w:val="30"/>
              <w:szCs w:val="30"/>
              <w:highlight w:val="none"/>
            </w:rPr>
          </w:pPr>
          <w:r>
            <w:rPr>
              <w:rFonts w:ascii="宋体" w:hAnsi="宋体"/>
              <w:b w:val="0"/>
              <w:bCs/>
              <w:color w:val="auto"/>
              <w:sz w:val="30"/>
              <w:szCs w:val="30"/>
              <w:highlight w:val="none"/>
            </w:rPr>
            <w:fldChar w:fldCharType="begin"/>
          </w:r>
          <w:r>
            <w:rPr>
              <w:rFonts w:ascii="宋体" w:hAnsi="宋体"/>
              <w:b w:val="0"/>
              <w:bCs/>
              <w:color w:val="auto"/>
              <w:sz w:val="30"/>
              <w:szCs w:val="30"/>
              <w:highlight w:val="none"/>
            </w:rPr>
            <w:instrText xml:space="preserve"> HYPERLINK \l _Toc10041 </w:instrText>
          </w:r>
          <w:r>
            <w:rPr>
              <w:rFonts w:ascii="宋体" w:hAnsi="宋体"/>
              <w:b w:val="0"/>
              <w:bCs/>
              <w:color w:val="auto"/>
              <w:sz w:val="30"/>
              <w:szCs w:val="30"/>
              <w:highlight w:val="none"/>
            </w:rPr>
            <w:fldChar w:fldCharType="separate"/>
          </w:r>
          <w:r>
            <w:rPr>
              <w:rFonts w:ascii="宋体" w:hAnsi="宋体"/>
              <w:b w:val="0"/>
              <w:bCs/>
              <w:color w:val="auto"/>
              <w:sz w:val="30"/>
              <w:szCs w:val="30"/>
              <w:highlight w:val="none"/>
            </w:rPr>
            <w:t>第七章   投标文件格式</w:t>
          </w:r>
          <w:r>
            <w:rPr>
              <w:b w:val="0"/>
              <w:bCs/>
              <w:color w:val="auto"/>
              <w:sz w:val="30"/>
              <w:szCs w:val="30"/>
              <w:highlight w:val="none"/>
            </w:rPr>
            <w:tab/>
          </w:r>
          <w:r>
            <w:rPr>
              <w:b w:val="0"/>
              <w:bCs/>
              <w:color w:val="auto"/>
              <w:sz w:val="30"/>
              <w:szCs w:val="30"/>
              <w:highlight w:val="none"/>
            </w:rPr>
            <w:fldChar w:fldCharType="begin"/>
          </w:r>
          <w:r>
            <w:rPr>
              <w:b w:val="0"/>
              <w:bCs/>
              <w:color w:val="auto"/>
              <w:sz w:val="30"/>
              <w:szCs w:val="30"/>
              <w:highlight w:val="none"/>
            </w:rPr>
            <w:instrText xml:space="preserve"> PAGEREF _Toc10041 \h </w:instrText>
          </w:r>
          <w:r>
            <w:rPr>
              <w:b w:val="0"/>
              <w:bCs/>
              <w:color w:val="auto"/>
              <w:sz w:val="30"/>
              <w:szCs w:val="30"/>
              <w:highlight w:val="none"/>
            </w:rPr>
            <w:fldChar w:fldCharType="separate"/>
          </w:r>
          <w:r>
            <w:rPr>
              <w:b w:val="0"/>
              <w:bCs/>
              <w:color w:val="auto"/>
              <w:sz w:val="30"/>
              <w:szCs w:val="30"/>
              <w:highlight w:val="none"/>
            </w:rPr>
            <w:t>113</w:t>
          </w:r>
          <w:r>
            <w:rPr>
              <w:b w:val="0"/>
              <w:bCs/>
              <w:color w:val="auto"/>
              <w:sz w:val="30"/>
              <w:szCs w:val="30"/>
              <w:highlight w:val="none"/>
            </w:rPr>
            <w:fldChar w:fldCharType="end"/>
          </w:r>
          <w:r>
            <w:rPr>
              <w:rFonts w:ascii="宋体" w:hAnsi="宋体"/>
              <w:b w:val="0"/>
              <w:bCs/>
              <w:color w:val="auto"/>
              <w:sz w:val="30"/>
              <w:szCs w:val="30"/>
              <w:highlight w:val="none"/>
            </w:rPr>
            <w:fldChar w:fldCharType="end"/>
          </w:r>
        </w:p>
        <w:p w14:paraId="055EEDF6">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b w:val="0"/>
              <w:color w:val="auto"/>
              <w:highlight w:val="none"/>
            </w:rPr>
          </w:pPr>
          <w:r>
            <w:rPr>
              <w:rFonts w:ascii="宋体" w:hAnsi="宋体"/>
              <w:b/>
              <w:bCs w:val="0"/>
              <w:color w:val="auto"/>
              <w:sz w:val="30"/>
              <w:szCs w:val="30"/>
              <w:highlight w:val="none"/>
            </w:rPr>
            <w:fldChar w:fldCharType="end"/>
          </w:r>
        </w:p>
      </w:sdtContent>
    </w:sdt>
    <w:p w14:paraId="678E150A">
      <w:pPr>
        <w:spacing w:line="360" w:lineRule="auto"/>
        <w:jc w:val="center"/>
        <w:outlineLvl w:val="9"/>
        <w:rPr>
          <w:rFonts w:ascii="宋体" w:hAnsi="宋体"/>
          <w:b/>
          <w:color w:val="auto"/>
          <w:sz w:val="24"/>
          <w:highlight w:val="none"/>
        </w:rPr>
      </w:pPr>
      <w:bookmarkStart w:id="5" w:name="_Toc99301419"/>
    </w:p>
    <w:p w14:paraId="2B791ECF">
      <w:pPr>
        <w:rPr>
          <w:rFonts w:ascii="Times New Roman" w:hAnsi="Times New Roman" w:eastAsia="宋体" w:cs="Times New Roman"/>
          <w:color w:val="auto"/>
          <w:kern w:val="2"/>
          <w:sz w:val="21"/>
          <w:szCs w:val="24"/>
          <w:highlight w:val="none"/>
          <w:lang w:val="en-US" w:eastAsia="zh-CN" w:bidi="ar-SA"/>
        </w:rPr>
      </w:pPr>
    </w:p>
    <w:p w14:paraId="7D7159DC">
      <w:pPr>
        <w:tabs>
          <w:tab w:val="left" w:pos="5897"/>
        </w:tabs>
        <w:rPr>
          <w:color w:val="auto"/>
          <w:highlight w:val="none"/>
          <w:lang w:val="en-US" w:eastAsia="zh-CN"/>
        </w:rPr>
      </w:pPr>
      <w:r>
        <w:rPr>
          <w:rFonts w:hint="eastAsia"/>
          <w:color w:val="auto"/>
          <w:highlight w:val="none"/>
          <w:lang w:val="en-US" w:eastAsia="zh-CN"/>
        </w:rPr>
        <w:tab/>
      </w:r>
    </w:p>
    <w:p w14:paraId="68F8C895">
      <w:pPr>
        <w:rPr>
          <w:color w:val="auto"/>
          <w:highlight w:val="none"/>
          <w:lang w:val="en-US" w:eastAsia="zh-CN"/>
        </w:rPr>
      </w:pPr>
    </w:p>
    <w:p w14:paraId="38D47721">
      <w:pPr>
        <w:rPr>
          <w:color w:val="auto"/>
          <w:highlight w:val="none"/>
          <w:lang w:val="en-US" w:eastAsia="zh-CN"/>
        </w:rPr>
      </w:pPr>
    </w:p>
    <w:p w14:paraId="603BC3C0">
      <w:pPr>
        <w:rPr>
          <w:color w:val="auto"/>
          <w:highlight w:val="none"/>
          <w:lang w:val="en-US" w:eastAsia="zh-CN"/>
        </w:rPr>
      </w:pPr>
    </w:p>
    <w:p w14:paraId="37D89F77">
      <w:pPr>
        <w:rPr>
          <w:color w:val="auto"/>
          <w:highlight w:val="none"/>
          <w:lang w:val="en-US" w:eastAsia="zh-CN"/>
        </w:rPr>
      </w:pPr>
    </w:p>
    <w:p w14:paraId="12ABAEB0">
      <w:pPr>
        <w:tabs>
          <w:tab w:val="left" w:pos="5572"/>
        </w:tabs>
        <w:jc w:val="left"/>
        <w:rPr>
          <w:color w:val="auto"/>
          <w:highlight w:val="none"/>
          <w:lang w:val="en-US" w:eastAsia="zh-CN"/>
        </w:rPr>
        <w:sectPr>
          <w:footerReference r:id="rId5" w:type="default"/>
          <w:pgSz w:w="11906" w:h="16838"/>
          <w:pgMar w:top="1440" w:right="1800" w:bottom="1440" w:left="1800" w:header="851" w:footer="992" w:gutter="0"/>
          <w:pgNumType w:fmt="decimal" w:start="1"/>
          <w:cols w:space="720" w:num="1"/>
          <w:docGrid w:type="lines" w:linePitch="312" w:charSpace="0"/>
        </w:sectPr>
      </w:pPr>
      <w:r>
        <w:rPr>
          <w:rFonts w:hint="eastAsia"/>
          <w:color w:val="auto"/>
          <w:highlight w:val="none"/>
          <w:lang w:val="en-US" w:eastAsia="zh-CN"/>
        </w:rPr>
        <w:tab/>
      </w:r>
    </w:p>
    <w:p w14:paraId="5AD42079">
      <w:pPr>
        <w:numPr>
          <w:ilvl w:val="0"/>
          <w:numId w:val="8"/>
        </w:numPr>
        <w:spacing w:line="360" w:lineRule="auto"/>
        <w:jc w:val="center"/>
        <w:outlineLvl w:val="0"/>
        <w:rPr>
          <w:rFonts w:ascii="宋体" w:hAnsi="宋体"/>
          <w:b/>
          <w:color w:val="auto"/>
          <w:sz w:val="24"/>
          <w:highlight w:val="none"/>
        </w:rPr>
      </w:pPr>
      <w:r>
        <w:rPr>
          <w:rFonts w:ascii="宋体" w:hAnsi="宋体"/>
          <w:b/>
          <w:color w:val="auto"/>
          <w:sz w:val="24"/>
          <w:highlight w:val="none"/>
        </w:rPr>
        <w:t xml:space="preserve">  </w:t>
      </w:r>
      <w:bookmarkStart w:id="6" w:name="_Toc28106"/>
      <w:bookmarkStart w:id="7" w:name="_Toc6451"/>
      <w:r>
        <w:rPr>
          <w:rFonts w:ascii="宋体" w:hAnsi="宋体"/>
          <w:b/>
          <w:color w:val="auto"/>
          <w:sz w:val="24"/>
          <w:highlight w:val="none"/>
        </w:rPr>
        <w:t>投标邀请</w:t>
      </w:r>
      <w:bookmarkEnd w:id="5"/>
      <w:bookmarkEnd w:id="6"/>
      <w:bookmarkEnd w:id="7"/>
    </w:p>
    <w:p w14:paraId="79DF27AB">
      <w:pPr>
        <w:pStyle w:val="2"/>
        <w:spacing w:line="360" w:lineRule="auto"/>
        <w:jc w:val="both"/>
        <w:rPr>
          <w:rFonts w:ascii="宋体" w:hAnsi="宋体" w:eastAsia="宋体" w:cs="宋体"/>
          <w:b w:val="0"/>
          <w:color w:val="auto"/>
          <w:sz w:val="24"/>
          <w:szCs w:val="24"/>
          <w:highlight w:val="none"/>
        </w:rPr>
      </w:pPr>
      <w:bookmarkStart w:id="8" w:name="_Toc28359079"/>
      <w:bookmarkStart w:id="9" w:name="_Toc28359002"/>
      <w:bookmarkStart w:id="10" w:name="_Toc35393790"/>
      <w:bookmarkStart w:id="11" w:name="_Toc35393621"/>
      <w:bookmarkStart w:id="12" w:name="_Hlk24379207"/>
      <w:r>
        <w:rPr>
          <w:rFonts w:hint="eastAsia" w:ascii="宋体" w:hAnsi="宋体" w:eastAsia="宋体" w:cs="仿宋"/>
          <w:color w:val="auto"/>
          <w:sz w:val="24"/>
          <w:szCs w:val="24"/>
          <w:highlight w:val="none"/>
        </w:rPr>
        <w:t>一、项目基本情况</w:t>
      </w:r>
      <w:bookmarkEnd w:id="8"/>
      <w:bookmarkEnd w:id="9"/>
      <w:bookmarkEnd w:id="10"/>
      <w:bookmarkEnd w:id="11"/>
    </w:p>
    <w:p w14:paraId="7A5C83F8">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项目编号：11000025210200157970-XM001</w:t>
      </w:r>
    </w:p>
    <w:p w14:paraId="5ED97FEA">
      <w:pPr>
        <w:spacing w:line="360" w:lineRule="auto"/>
        <w:ind w:firstLine="480" w:firstLineChars="200"/>
        <w:rPr>
          <w:rFonts w:hint="eastAsia" w:ascii="宋体" w:hAnsi="宋体" w:cs="宋体"/>
          <w:color w:val="auto"/>
          <w:sz w:val="24"/>
          <w:highlight w:val="none"/>
          <w:shd w:val="clear" w:color="auto" w:fill="FFFFFF"/>
          <w:lang w:val="en-US" w:eastAsia="zh-CN"/>
        </w:rPr>
      </w:pPr>
      <w:r>
        <w:rPr>
          <w:rFonts w:hint="eastAsia" w:ascii="宋体" w:hAnsi="宋体" w:cs="宋体"/>
          <w:color w:val="auto"/>
          <w:sz w:val="24"/>
          <w:highlight w:val="none"/>
          <w:shd w:val="clear" w:color="auto" w:fill="FFFFFF"/>
        </w:rPr>
        <w:t>项目名称：</w:t>
      </w:r>
      <w:bookmarkEnd w:id="12"/>
      <w:r>
        <w:rPr>
          <w:rFonts w:hint="eastAsia" w:ascii="宋体" w:hAnsi="宋体" w:cs="宋体"/>
          <w:color w:val="auto"/>
          <w:sz w:val="24"/>
          <w:highlight w:val="none"/>
          <w:shd w:val="clear" w:color="auto" w:fill="FFFFFF"/>
          <w:lang w:eastAsia="zh-CN"/>
        </w:rPr>
        <w:t>六合村办公区组团行政办公区绿地养护项目</w:t>
      </w:r>
    </w:p>
    <w:p w14:paraId="60867BBA">
      <w:pPr>
        <w:spacing w:line="360" w:lineRule="auto"/>
        <w:ind w:firstLine="480" w:firstLineChars="200"/>
        <w:rPr>
          <w:rFonts w:hint="default" w:ascii="宋体" w:hAnsi="宋体" w:eastAsia="宋体" w:cs="宋体"/>
          <w:color w:val="auto"/>
          <w:sz w:val="24"/>
          <w:highlight w:val="none"/>
          <w:shd w:val="clear" w:color="auto" w:fill="FFFFFF"/>
          <w:lang w:val="en-US" w:eastAsia="zh-CN"/>
        </w:rPr>
      </w:pPr>
      <w:r>
        <w:rPr>
          <w:rFonts w:hint="eastAsia" w:ascii="宋体" w:hAnsi="宋体" w:cs="宋体"/>
          <w:color w:val="auto"/>
          <w:sz w:val="24"/>
          <w:highlight w:val="none"/>
          <w:shd w:val="clear" w:color="auto" w:fill="FFFFFF"/>
        </w:rPr>
        <w:t>预算金额：</w:t>
      </w:r>
      <w:r>
        <w:rPr>
          <w:rFonts w:hint="eastAsia" w:ascii="宋体" w:hAnsi="宋体" w:cs="宋体"/>
          <w:color w:val="auto"/>
          <w:sz w:val="24"/>
          <w:highlight w:val="none"/>
          <w:u w:val="none"/>
          <w:shd w:val="clear" w:color="auto" w:fill="FFFFFF"/>
          <w:lang w:val="en-US" w:eastAsia="zh-CN"/>
        </w:rPr>
        <w:t xml:space="preserve">153.085312 </w:t>
      </w:r>
      <w:r>
        <w:rPr>
          <w:rFonts w:hint="eastAsia" w:ascii="宋体" w:hAnsi="宋体" w:cs="宋体"/>
          <w:color w:val="auto"/>
          <w:sz w:val="24"/>
          <w:highlight w:val="none"/>
          <w:shd w:val="clear" w:color="auto" w:fill="FFFFFF"/>
        </w:rPr>
        <w:t>万元</w:t>
      </w:r>
      <w:r>
        <w:rPr>
          <w:rFonts w:hint="eastAsia" w:ascii="宋体" w:hAnsi="宋体" w:cs="宋体"/>
          <w:color w:val="auto"/>
          <w:sz w:val="24"/>
          <w:highlight w:val="none"/>
          <w:shd w:val="clear" w:color="auto" w:fill="FFFFFF"/>
          <w:lang w:eastAsia="zh-CN"/>
        </w:rPr>
        <w:t>；</w:t>
      </w:r>
      <w:r>
        <w:rPr>
          <w:rFonts w:hint="eastAsia" w:ascii="宋体" w:hAnsi="宋体" w:cs="宋体"/>
          <w:color w:val="auto"/>
          <w:sz w:val="24"/>
          <w:highlight w:val="none"/>
          <w:shd w:val="clear" w:color="auto" w:fill="FFFFFF"/>
          <w:lang w:val="en-US" w:eastAsia="zh-CN"/>
        </w:rPr>
        <w:t>项目最高限价：</w:t>
      </w:r>
      <w:r>
        <w:rPr>
          <w:rFonts w:hint="eastAsia" w:ascii="宋体" w:hAnsi="宋体" w:cs="宋体"/>
          <w:color w:val="auto"/>
          <w:sz w:val="24"/>
          <w:highlight w:val="none"/>
          <w:u w:val="none"/>
          <w:shd w:val="clear" w:color="auto" w:fill="FFFFFF"/>
          <w:lang w:val="en-US" w:eastAsia="zh-CN"/>
        </w:rPr>
        <w:t>153.085312</w:t>
      </w:r>
      <w:r>
        <w:rPr>
          <w:rFonts w:hint="eastAsia" w:ascii="宋体" w:hAnsi="宋体" w:cs="宋体"/>
          <w:color w:val="auto"/>
          <w:sz w:val="24"/>
          <w:highlight w:val="none"/>
          <w:shd w:val="clear" w:color="auto" w:fill="FFFFFF"/>
          <w:lang w:val="en-US" w:eastAsia="zh-CN"/>
        </w:rPr>
        <w:t>万元。具体包号金额见采购需求表。其中：</w:t>
      </w:r>
      <w:r>
        <w:rPr>
          <w:rFonts w:hint="eastAsia" w:ascii="宋体" w:hAnsi="宋体"/>
          <w:b w:val="0"/>
          <w:bCs w:val="0"/>
          <w:color w:val="auto"/>
          <w:sz w:val="24"/>
          <w:highlight w:val="none"/>
          <w:lang w:val="en-US" w:eastAsia="zh-CN"/>
        </w:rPr>
        <w:t>（特级绿地养护管理费限价为26.70元/平方米·年。）</w:t>
      </w:r>
    </w:p>
    <w:p w14:paraId="614B7F8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采购需求：</w:t>
      </w:r>
    </w:p>
    <w:tbl>
      <w:tblPr>
        <w:tblStyle w:val="250"/>
        <w:tblW w:w="507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0"/>
        <w:gridCol w:w="1892"/>
        <w:gridCol w:w="1397"/>
        <w:gridCol w:w="878"/>
        <w:gridCol w:w="4349"/>
      </w:tblGrid>
      <w:tr w14:paraId="2CFB6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379" w:type="pct"/>
            <w:vAlign w:val="center"/>
          </w:tcPr>
          <w:p w14:paraId="3C97640B">
            <w:pPr>
              <w:pStyle w:val="251"/>
              <w:spacing w:before="137"/>
              <w:ind w:left="118" w:right="114"/>
              <w:jc w:val="center"/>
              <w:rPr>
                <w:color w:val="auto"/>
                <w:sz w:val="24"/>
                <w:szCs w:val="24"/>
                <w:highlight w:val="none"/>
              </w:rPr>
            </w:pPr>
            <w:r>
              <w:rPr>
                <w:color w:val="auto"/>
                <w:sz w:val="24"/>
                <w:szCs w:val="24"/>
                <w:highlight w:val="none"/>
              </w:rPr>
              <w:t>包号</w:t>
            </w:r>
          </w:p>
        </w:tc>
        <w:tc>
          <w:tcPr>
            <w:tcW w:w="1026" w:type="pct"/>
            <w:vAlign w:val="center"/>
          </w:tcPr>
          <w:p w14:paraId="19F975E6">
            <w:pPr>
              <w:pStyle w:val="251"/>
              <w:spacing w:before="137"/>
              <w:ind w:left="358"/>
              <w:jc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标的名称</w:t>
            </w:r>
          </w:p>
        </w:tc>
        <w:tc>
          <w:tcPr>
            <w:tcW w:w="758" w:type="pct"/>
            <w:vAlign w:val="center"/>
          </w:tcPr>
          <w:p w14:paraId="740B36B0">
            <w:pPr>
              <w:pStyle w:val="251"/>
              <w:spacing w:before="3"/>
              <w:ind w:left="95" w:right="87"/>
              <w:jc w:val="center"/>
              <w:rPr>
                <w:color w:val="auto"/>
                <w:sz w:val="24"/>
                <w:szCs w:val="24"/>
                <w:highlight w:val="none"/>
                <w:lang w:eastAsia="zh-CN"/>
              </w:rPr>
            </w:pPr>
            <w:r>
              <w:rPr>
                <w:color w:val="auto"/>
                <w:sz w:val="24"/>
                <w:szCs w:val="24"/>
                <w:highlight w:val="none"/>
                <w:lang w:eastAsia="zh-CN"/>
              </w:rPr>
              <w:t>采购包预算金额</w:t>
            </w:r>
            <w:r>
              <w:rPr>
                <w:rFonts w:hint="eastAsia"/>
                <w:color w:val="auto"/>
                <w:sz w:val="24"/>
                <w:szCs w:val="24"/>
                <w:highlight w:val="none"/>
                <w:lang w:eastAsia="zh-CN"/>
              </w:rPr>
              <w:t>约</w:t>
            </w:r>
            <w:r>
              <w:rPr>
                <w:color w:val="auto"/>
                <w:sz w:val="24"/>
                <w:szCs w:val="24"/>
                <w:highlight w:val="none"/>
                <w:lang w:eastAsia="zh-CN"/>
              </w:rPr>
              <w:t>（万元）</w:t>
            </w:r>
          </w:p>
        </w:tc>
        <w:tc>
          <w:tcPr>
            <w:tcW w:w="476" w:type="pct"/>
            <w:vAlign w:val="center"/>
          </w:tcPr>
          <w:p w14:paraId="01E8E959">
            <w:pPr>
              <w:pStyle w:val="251"/>
              <w:spacing w:before="137"/>
              <w:jc w:val="center"/>
              <w:rPr>
                <w:color w:val="auto"/>
                <w:sz w:val="24"/>
                <w:szCs w:val="24"/>
                <w:highlight w:val="none"/>
              </w:rPr>
            </w:pPr>
            <w:r>
              <w:rPr>
                <w:color w:val="auto"/>
                <w:sz w:val="24"/>
                <w:szCs w:val="24"/>
                <w:highlight w:val="none"/>
              </w:rPr>
              <w:t>数量</w:t>
            </w:r>
          </w:p>
        </w:tc>
        <w:tc>
          <w:tcPr>
            <w:tcW w:w="2359" w:type="pct"/>
            <w:vAlign w:val="center"/>
          </w:tcPr>
          <w:p w14:paraId="67C326F4">
            <w:pPr>
              <w:pStyle w:val="251"/>
              <w:spacing w:before="137"/>
              <w:ind w:left="981"/>
              <w:jc w:val="center"/>
              <w:rPr>
                <w:color w:val="auto"/>
                <w:sz w:val="24"/>
                <w:szCs w:val="24"/>
                <w:highlight w:val="none"/>
                <w:lang w:eastAsia="zh-CN"/>
              </w:rPr>
            </w:pPr>
            <w:r>
              <w:rPr>
                <w:color w:val="auto"/>
                <w:sz w:val="24"/>
                <w:szCs w:val="24"/>
                <w:highlight w:val="none"/>
                <w:lang w:eastAsia="zh-CN"/>
              </w:rPr>
              <w:t>简要技术需求或服务要求</w:t>
            </w:r>
          </w:p>
        </w:tc>
      </w:tr>
      <w:tr w14:paraId="7DFA5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79" w:type="pct"/>
            <w:vAlign w:val="center"/>
          </w:tcPr>
          <w:p w14:paraId="4CA802A8">
            <w:pPr>
              <w:pStyle w:val="251"/>
              <w:spacing w:before="102"/>
              <w:ind w:left="118" w:right="109"/>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1</w:t>
            </w:r>
          </w:p>
        </w:tc>
        <w:tc>
          <w:tcPr>
            <w:tcW w:w="1026" w:type="pct"/>
            <w:vAlign w:val="center"/>
          </w:tcPr>
          <w:p w14:paraId="5508F6F8">
            <w:pPr>
              <w:pStyle w:val="251"/>
              <w:jc w:val="center"/>
              <w:rPr>
                <w:rFonts w:hint="eastAsia" w:cs="宋体"/>
                <w:color w:val="auto"/>
                <w:sz w:val="24"/>
                <w:highlight w:val="none"/>
                <w:shd w:val="clear" w:color="auto" w:fill="FFFFFF"/>
                <w:lang w:eastAsia="zh-CN"/>
              </w:rPr>
            </w:pPr>
            <w:r>
              <w:rPr>
                <w:rFonts w:hint="eastAsia" w:cs="宋体"/>
                <w:color w:val="auto"/>
                <w:sz w:val="24"/>
                <w:highlight w:val="none"/>
                <w:shd w:val="clear" w:color="auto" w:fill="FFFFFF"/>
                <w:lang w:eastAsia="zh-CN"/>
              </w:rPr>
              <w:t>六合村办公区组团行政办公区绿地养护（</w:t>
            </w:r>
            <w:r>
              <w:rPr>
                <w:rFonts w:hint="eastAsia" w:cs="宋体"/>
                <w:color w:val="auto"/>
                <w:sz w:val="24"/>
                <w:highlight w:val="none"/>
                <w:shd w:val="clear" w:color="auto" w:fill="FFFFFF"/>
                <w:lang w:val="en-US" w:eastAsia="zh-CN"/>
              </w:rPr>
              <w:t>一标段</w:t>
            </w:r>
            <w:r>
              <w:rPr>
                <w:rFonts w:hint="eastAsia" w:cs="宋体"/>
                <w:color w:val="auto"/>
                <w:sz w:val="24"/>
                <w:highlight w:val="none"/>
                <w:shd w:val="clear" w:color="auto" w:fill="FFFFFF"/>
                <w:lang w:eastAsia="zh-CN"/>
              </w:rPr>
              <w:t>）</w:t>
            </w:r>
          </w:p>
        </w:tc>
        <w:tc>
          <w:tcPr>
            <w:tcW w:w="758" w:type="pct"/>
            <w:vAlign w:val="center"/>
          </w:tcPr>
          <w:p w14:paraId="43794C05">
            <w:pPr>
              <w:pStyle w:val="251"/>
              <w:jc w:val="center"/>
              <w:rPr>
                <w:rFonts w:hint="eastAsia"/>
                <w:color w:val="auto"/>
                <w:sz w:val="24"/>
                <w:szCs w:val="24"/>
                <w:highlight w:val="none"/>
                <w:lang w:eastAsia="zh-CN"/>
              </w:rPr>
            </w:pPr>
            <w:r>
              <w:rPr>
                <w:rFonts w:hint="eastAsia"/>
                <w:color w:val="auto"/>
                <w:sz w:val="24"/>
                <w:szCs w:val="24"/>
                <w:highlight w:val="none"/>
                <w:lang w:val="en-US" w:eastAsia="zh-CN"/>
              </w:rPr>
              <w:t>150.517067</w:t>
            </w:r>
          </w:p>
          <w:p w14:paraId="28FF2ECB">
            <w:pPr>
              <w:pStyle w:val="251"/>
              <w:jc w:val="center"/>
              <w:rPr>
                <w:rFonts w:hint="eastAsia"/>
                <w:color w:val="auto"/>
                <w:sz w:val="24"/>
                <w:szCs w:val="24"/>
                <w:highlight w:val="none"/>
                <w:lang w:eastAsia="zh-CN"/>
              </w:rPr>
            </w:pPr>
          </w:p>
        </w:tc>
        <w:tc>
          <w:tcPr>
            <w:tcW w:w="476" w:type="pct"/>
            <w:vAlign w:val="center"/>
          </w:tcPr>
          <w:p w14:paraId="6655B3B1">
            <w:pPr>
              <w:pStyle w:val="251"/>
              <w:jc w:val="center"/>
              <w:rPr>
                <w:rFonts w:hint="default"/>
                <w:color w:val="auto"/>
                <w:sz w:val="24"/>
                <w:szCs w:val="24"/>
                <w:highlight w:val="none"/>
                <w:lang w:val="en-US" w:eastAsia="zh-CN"/>
              </w:rPr>
            </w:pPr>
            <w:r>
              <w:rPr>
                <w:rFonts w:hint="eastAsia"/>
                <w:color w:val="auto"/>
                <w:sz w:val="24"/>
                <w:szCs w:val="24"/>
                <w:highlight w:val="none"/>
                <w:lang w:val="en-US" w:eastAsia="zh-CN"/>
              </w:rPr>
              <w:t>1</w:t>
            </w:r>
          </w:p>
        </w:tc>
        <w:tc>
          <w:tcPr>
            <w:tcW w:w="2359" w:type="pct"/>
            <w:vAlign w:val="center"/>
          </w:tcPr>
          <w:p w14:paraId="7D7B0322">
            <w:pPr>
              <w:widowControl/>
              <w:numPr>
                <w:ilvl w:val="-1"/>
                <w:numId w:val="0"/>
              </w:numPr>
              <w:autoSpaceDE/>
              <w:autoSpaceDN/>
              <w:spacing w:line="360" w:lineRule="auto"/>
              <w:jc w:val="left"/>
              <w:rPr>
                <w:rFonts w:hint="eastAsia" w:ascii="宋体" w:hAnsi="宋体" w:cs="宋体"/>
                <w:color w:val="auto"/>
                <w:sz w:val="24"/>
                <w:highlight w:val="none"/>
                <w:shd w:val="clear" w:color="auto" w:fill="FFFFFF"/>
                <w:lang w:eastAsia="en-US"/>
              </w:rPr>
            </w:pPr>
            <w:r>
              <w:rPr>
                <w:rFonts w:hint="eastAsia" w:ascii="宋体" w:hAnsi="宋体" w:cs="Times New Roman"/>
                <w:color w:val="auto"/>
                <w:kern w:val="2"/>
                <w:sz w:val="24"/>
                <w:szCs w:val="24"/>
                <w:highlight w:val="none"/>
                <w:lang w:val="en-US" w:eastAsia="zh-CN" w:bidi="ar"/>
              </w:rPr>
              <w:t>进行2026年绿地养护工作，养护总面积59534.6平方米，其中六合北街、六合南街、和祥街、含章西二路、堤子路、含章西一路以上路段绿地养护服务期为5-12月，六合北街、六合街、六合南街、含章东一路、含章西一路、常瑞路、宋庄南三街、丁各庄街、含章路、含章东二路、含章西二路、后屯路、玉成西路、玉成东路、汇才北街、知学西街、汇才南街、知学东街以上路段养护服务期为1-12月；</w:t>
            </w:r>
            <w:r>
              <w:rPr>
                <w:rFonts w:hint="eastAsia" w:ascii="宋体" w:hAnsi="宋体"/>
                <w:color w:val="auto"/>
                <w:sz w:val="24"/>
                <w:highlight w:val="none"/>
                <w:lang w:val="en-US" w:eastAsia="zh-CN"/>
              </w:rPr>
              <w:t>具体服务内容详见招标文件第五章采购需求</w:t>
            </w:r>
            <w:r>
              <w:rPr>
                <w:rFonts w:hint="eastAsia" w:ascii="宋体" w:hAnsi="宋体"/>
                <w:color w:val="auto"/>
                <w:sz w:val="24"/>
                <w:highlight w:val="none"/>
                <w:lang w:eastAsia="zh-CN"/>
              </w:rPr>
              <w:t>。</w:t>
            </w:r>
          </w:p>
        </w:tc>
      </w:tr>
      <w:tr w14:paraId="4B353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79" w:type="pct"/>
            <w:vAlign w:val="center"/>
          </w:tcPr>
          <w:p w14:paraId="38D654EF">
            <w:pPr>
              <w:pStyle w:val="251"/>
              <w:spacing w:before="102"/>
              <w:ind w:left="118" w:right="109"/>
              <w:jc w:val="center"/>
              <w:rPr>
                <w:rFonts w:hint="default"/>
                <w:color w:val="auto"/>
                <w:sz w:val="24"/>
                <w:szCs w:val="24"/>
                <w:highlight w:val="none"/>
                <w:lang w:val="en-US" w:eastAsia="zh-CN"/>
              </w:rPr>
            </w:pPr>
            <w:r>
              <w:rPr>
                <w:rFonts w:hint="eastAsia"/>
                <w:color w:val="auto"/>
                <w:sz w:val="24"/>
                <w:szCs w:val="24"/>
                <w:highlight w:val="none"/>
                <w:lang w:val="en-US" w:eastAsia="zh-CN"/>
              </w:rPr>
              <w:t>2</w:t>
            </w:r>
          </w:p>
        </w:tc>
        <w:tc>
          <w:tcPr>
            <w:tcW w:w="1026" w:type="pct"/>
            <w:vAlign w:val="center"/>
          </w:tcPr>
          <w:p w14:paraId="6DF697AA">
            <w:pPr>
              <w:pStyle w:val="251"/>
              <w:jc w:val="center"/>
              <w:rPr>
                <w:rFonts w:hint="eastAsia" w:cs="宋体"/>
                <w:color w:val="auto"/>
                <w:sz w:val="24"/>
                <w:highlight w:val="none"/>
                <w:shd w:val="clear" w:color="auto" w:fill="FFFFFF"/>
                <w:lang w:eastAsia="zh-CN"/>
              </w:rPr>
            </w:pPr>
            <w:r>
              <w:rPr>
                <w:rFonts w:hint="eastAsia" w:cs="宋体"/>
                <w:color w:val="auto"/>
                <w:sz w:val="24"/>
                <w:highlight w:val="none"/>
                <w:shd w:val="clear" w:color="auto" w:fill="FFFFFF"/>
                <w:lang w:eastAsia="zh-CN"/>
              </w:rPr>
              <w:t>六合村办公区组团行政办公区绿地养护监理服务（</w:t>
            </w:r>
            <w:r>
              <w:rPr>
                <w:rFonts w:hint="eastAsia" w:cs="宋体"/>
                <w:color w:val="auto"/>
                <w:sz w:val="24"/>
                <w:highlight w:val="none"/>
                <w:shd w:val="clear" w:color="auto" w:fill="FFFFFF"/>
                <w:lang w:val="en-US" w:eastAsia="zh-CN"/>
              </w:rPr>
              <w:t>二标段</w:t>
            </w:r>
            <w:r>
              <w:rPr>
                <w:rFonts w:hint="eastAsia" w:cs="宋体"/>
                <w:color w:val="auto"/>
                <w:sz w:val="24"/>
                <w:highlight w:val="none"/>
                <w:shd w:val="clear" w:color="auto" w:fill="FFFFFF"/>
                <w:lang w:eastAsia="zh-CN"/>
              </w:rPr>
              <w:t>）</w:t>
            </w:r>
          </w:p>
        </w:tc>
        <w:tc>
          <w:tcPr>
            <w:tcW w:w="758" w:type="pct"/>
            <w:vAlign w:val="center"/>
          </w:tcPr>
          <w:p w14:paraId="71BB0866">
            <w:pPr>
              <w:pStyle w:val="251"/>
              <w:jc w:val="center"/>
              <w:rPr>
                <w:rFonts w:hint="eastAsia"/>
                <w:color w:val="auto"/>
                <w:sz w:val="24"/>
                <w:szCs w:val="24"/>
                <w:highlight w:val="none"/>
                <w:lang w:eastAsia="zh-CN"/>
              </w:rPr>
            </w:pPr>
            <w:r>
              <w:rPr>
                <w:rFonts w:hint="eastAsia"/>
                <w:color w:val="auto"/>
                <w:sz w:val="24"/>
                <w:szCs w:val="24"/>
                <w:highlight w:val="none"/>
                <w:lang w:eastAsia="zh-CN"/>
              </w:rPr>
              <w:t>2</w:t>
            </w:r>
            <w:r>
              <w:rPr>
                <w:rFonts w:hint="eastAsia"/>
                <w:color w:val="auto"/>
                <w:sz w:val="24"/>
                <w:szCs w:val="24"/>
                <w:highlight w:val="none"/>
                <w:lang w:val="en-US" w:eastAsia="zh-CN"/>
              </w:rPr>
              <w:t>.</w:t>
            </w:r>
            <w:r>
              <w:rPr>
                <w:rFonts w:hint="eastAsia"/>
                <w:color w:val="auto"/>
                <w:sz w:val="24"/>
                <w:szCs w:val="24"/>
                <w:highlight w:val="none"/>
                <w:lang w:eastAsia="zh-CN"/>
              </w:rPr>
              <w:t>568245</w:t>
            </w:r>
          </w:p>
        </w:tc>
        <w:tc>
          <w:tcPr>
            <w:tcW w:w="476" w:type="pct"/>
            <w:vAlign w:val="center"/>
          </w:tcPr>
          <w:p w14:paraId="034D5D97">
            <w:pPr>
              <w:pStyle w:val="251"/>
              <w:jc w:val="center"/>
              <w:rPr>
                <w:rFonts w:hint="default"/>
                <w:color w:val="auto"/>
                <w:sz w:val="24"/>
                <w:szCs w:val="24"/>
                <w:highlight w:val="none"/>
                <w:lang w:val="en-US" w:eastAsia="zh-CN"/>
              </w:rPr>
            </w:pPr>
            <w:r>
              <w:rPr>
                <w:rFonts w:hint="eastAsia"/>
                <w:color w:val="auto"/>
                <w:sz w:val="24"/>
                <w:szCs w:val="24"/>
                <w:highlight w:val="none"/>
                <w:lang w:val="en-US" w:eastAsia="zh-CN"/>
              </w:rPr>
              <w:t>1</w:t>
            </w:r>
          </w:p>
        </w:tc>
        <w:tc>
          <w:tcPr>
            <w:tcW w:w="2359" w:type="pct"/>
            <w:vAlign w:val="center"/>
          </w:tcPr>
          <w:p w14:paraId="7AB0D27B">
            <w:pPr>
              <w:widowControl/>
              <w:numPr>
                <w:ilvl w:val="-1"/>
                <w:numId w:val="0"/>
              </w:numPr>
              <w:autoSpaceDE/>
              <w:autoSpaceDN/>
              <w:spacing w:line="360" w:lineRule="auto"/>
              <w:jc w:val="left"/>
              <w:rPr>
                <w:rFonts w:hint="eastAsia" w:ascii="宋体" w:hAnsi="宋体" w:cs="Times New Roman"/>
                <w:color w:val="auto"/>
                <w:kern w:val="2"/>
                <w:sz w:val="24"/>
                <w:szCs w:val="24"/>
                <w:highlight w:val="none"/>
                <w:lang w:val="en-US" w:eastAsia="zh-CN" w:bidi="ar"/>
              </w:rPr>
            </w:pPr>
            <w:r>
              <w:rPr>
                <w:rFonts w:hint="eastAsia" w:ascii="宋体" w:hAnsi="宋体" w:cs="Times New Roman"/>
                <w:color w:val="auto"/>
                <w:kern w:val="2"/>
                <w:sz w:val="24"/>
                <w:szCs w:val="24"/>
                <w:highlight w:val="none"/>
                <w:lang w:val="en-US" w:eastAsia="zh-CN" w:bidi="ar"/>
              </w:rPr>
              <w:t>对六合村办公区组团行政办公区绿地养护服务范围进行监理服务；具体服务内容详见招标文件第五章采购需求。</w:t>
            </w:r>
          </w:p>
        </w:tc>
      </w:tr>
    </w:tbl>
    <w:p w14:paraId="39483334">
      <w:pPr>
        <w:spacing w:line="360" w:lineRule="auto"/>
        <w:rPr>
          <w:rFonts w:hint="eastAsia" w:ascii="宋体" w:hAnsi="宋体" w:cs="宋体"/>
          <w:color w:val="auto"/>
          <w:sz w:val="24"/>
          <w:highlight w:val="none"/>
        </w:rPr>
      </w:pPr>
      <w:r>
        <w:rPr>
          <w:rFonts w:hint="eastAsia" w:ascii="宋体" w:hAnsi="宋体" w:cs="宋体"/>
          <w:color w:val="auto"/>
          <w:sz w:val="24"/>
          <w:highlight w:val="none"/>
        </w:rPr>
        <w:t>合同履行期限：</w:t>
      </w:r>
      <w:r>
        <w:rPr>
          <w:rFonts w:hint="eastAsia" w:ascii="宋体" w:hAnsi="宋体" w:cs="宋体"/>
          <w:color w:val="auto"/>
          <w:sz w:val="24"/>
          <w:highlight w:val="none"/>
          <w:lang w:val="en-US" w:eastAsia="zh-CN"/>
        </w:rPr>
        <w:t>1包，8个月和12个月；</w:t>
      </w:r>
      <w:r>
        <w:rPr>
          <w:rFonts w:hint="eastAsia" w:ascii="宋体" w:hAnsi="宋体" w:cs="宋体"/>
          <w:color w:val="auto"/>
          <w:sz w:val="24"/>
          <w:highlight w:val="none"/>
        </w:rPr>
        <w:t>具体起止日期以双方签订的合同约定为准。</w:t>
      </w:r>
    </w:p>
    <w:p w14:paraId="002B7D79">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2包，12个月，服务期限为2026年1月1日起至2026年12月31日止。</w:t>
      </w:r>
    </w:p>
    <w:p w14:paraId="12427FA2">
      <w:pPr>
        <w:spacing w:line="360" w:lineRule="auto"/>
        <w:rPr>
          <w:rFonts w:ascii="宋体" w:hAnsi="宋体" w:cs="宋体"/>
          <w:color w:val="auto"/>
          <w:sz w:val="24"/>
          <w:highlight w:val="none"/>
        </w:rPr>
      </w:pPr>
      <w:r>
        <w:rPr>
          <w:rFonts w:hint="eastAsia" w:ascii="宋体" w:hAnsi="宋体" w:cs="宋体"/>
          <w:color w:val="auto"/>
          <w:sz w:val="24"/>
          <w:highlight w:val="none"/>
        </w:rPr>
        <w:t>本项目是否接受联合体投标：□是</w:t>
      </w:r>
      <w:r>
        <w:rPr>
          <w:rFonts w:hint="eastAsia" w:ascii="宋体" w:hAnsi="宋体" w:cs="宋体"/>
          <w:color w:val="auto"/>
          <w:sz w:val="24"/>
          <w:highlight w:val="none"/>
        </w:rPr>
        <w:tab/>
      </w:r>
      <w:r>
        <w:rPr>
          <w:rFonts w:ascii="Segoe UI Symbol" w:hAnsi="Segoe UI Symbol" w:cs="Segoe UI Symbol"/>
          <w:color w:val="auto"/>
          <w:sz w:val="24"/>
          <w:highlight w:val="none"/>
        </w:rPr>
        <w:t>☑</w:t>
      </w:r>
      <w:r>
        <w:rPr>
          <w:rFonts w:hint="eastAsia" w:ascii="宋体" w:hAnsi="宋体" w:cs="宋体"/>
          <w:color w:val="auto"/>
          <w:sz w:val="24"/>
          <w:highlight w:val="none"/>
        </w:rPr>
        <w:t>否。</w:t>
      </w:r>
      <w:bookmarkStart w:id="13" w:name="_Toc35393791"/>
      <w:bookmarkStart w:id="14" w:name="_Toc28359080"/>
      <w:bookmarkStart w:id="15" w:name="_Toc35393622"/>
      <w:bookmarkStart w:id="16" w:name="_Toc28359003"/>
    </w:p>
    <w:p w14:paraId="6B421889">
      <w:pPr>
        <w:spacing w:line="360" w:lineRule="auto"/>
        <w:rPr>
          <w:rFonts w:ascii="宋体" w:hAnsi="宋体" w:cs="仿宋"/>
          <w:b/>
          <w:color w:val="auto"/>
          <w:sz w:val="24"/>
          <w:highlight w:val="none"/>
        </w:rPr>
      </w:pPr>
      <w:r>
        <w:rPr>
          <w:rFonts w:hint="eastAsia" w:ascii="宋体" w:hAnsi="宋体" w:cs="仿宋"/>
          <w:b/>
          <w:color w:val="auto"/>
          <w:sz w:val="24"/>
          <w:highlight w:val="none"/>
        </w:rPr>
        <w:t>二、申请人的资格要求</w:t>
      </w:r>
      <w:bookmarkEnd w:id="13"/>
      <w:bookmarkEnd w:id="14"/>
      <w:bookmarkEnd w:id="15"/>
      <w:bookmarkEnd w:id="16"/>
      <w:bookmarkStart w:id="17" w:name="_Toc264969275"/>
      <w:bookmarkStart w:id="18" w:name="_Toc305158854"/>
      <w:bookmarkStart w:id="19" w:name="_Toc127151777"/>
      <w:bookmarkStart w:id="20" w:name="_Toc195842950"/>
      <w:bookmarkStart w:id="21" w:name="_Toc226965856"/>
      <w:bookmarkStart w:id="22" w:name="_Toc99301420"/>
      <w:bookmarkStart w:id="23" w:name="_Toc150774783"/>
      <w:bookmarkStart w:id="24" w:name="_Toc353825548"/>
      <w:bookmarkStart w:id="25" w:name="_Toc265228423"/>
      <w:bookmarkStart w:id="26" w:name="_Toc305158928"/>
      <w:bookmarkStart w:id="27" w:name="_Toc512937850"/>
      <w:bookmarkStart w:id="28" w:name="_Toc127161488"/>
      <w:bookmarkStart w:id="29" w:name="_Toc353873938"/>
      <w:r>
        <w:rPr>
          <w:rFonts w:hint="eastAsia" w:ascii="宋体" w:hAnsi="宋体" w:cs="仿宋"/>
          <w:b/>
          <w:color w:val="auto"/>
          <w:sz w:val="24"/>
          <w:highlight w:val="none"/>
        </w:rPr>
        <w:t>：</w:t>
      </w:r>
      <w:bookmarkStart w:id="30" w:name="_Toc35393623"/>
      <w:bookmarkStart w:id="31" w:name="_Toc28359004"/>
      <w:bookmarkStart w:id="32" w:name="_Toc35393792"/>
      <w:bookmarkStart w:id="33" w:name="_Toc28359081"/>
    </w:p>
    <w:p w14:paraId="748413FC">
      <w:pPr>
        <w:spacing w:line="360" w:lineRule="auto"/>
        <w:rPr>
          <w:rFonts w:ascii="宋体" w:hAnsi="宋体" w:cs="宋体"/>
          <w:bCs/>
          <w:color w:val="auto"/>
          <w:sz w:val="24"/>
          <w:highlight w:val="none"/>
          <w:shd w:val="clear" w:color="auto" w:fill="FFFFFF"/>
        </w:rPr>
      </w:pPr>
      <w:r>
        <w:rPr>
          <w:rFonts w:hint="eastAsia" w:ascii="宋体" w:hAnsi="宋体" w:cs="宋体"/>
          <w:bCs/>
          <w:color w:val="auto"/>
          <w:sz w:val="24"/>
          <w:highlight w:val="none"/>
          <w:shd w:val="clear" w:color="auto" w:fill="FFFFFF"/>
        </w:rPr>
        <w:t>1.满足《中华人民共和国政府采购法》第二十二条规定；</w:t>
      </w:r>
    </w:p>
    <w:p w14:paraId="71EE20E5">
      <w:pPr>
        <w:spacing w:line="360" w:lineRule="auto"/>
        <w:rPr>
          <w:rFonts w:ascii="宋体" w:hAnsi="宋体" w:cs="宋体"/>
          <w:bCs/>
          <w:color w:val="auto"/>
          <w:sz w:val="24"/>
          <w:highlight w:val="none"/>
          <w:shd w:val="clear" w:color="auto" w:fill="FFFFFF"/>
        </w:rPr>
      </w:pPr>
      <w:r>
        <w:rPr>
          <w:rFonts w:hint="eastAsia" w:ascii="宋体" w:hAnsi="宋体" w:cs="宋体"/>
          <w:bCs/>
          <w:color w:val="auto"/>
          <w:sz w:val="24"/>
          <w:highlight w:val="none"/>
          <w:shd w:val="clear" w:color="auto" w:fill="FFFFFF"/>
        </w:rPr>
        <w:t>2.落实政府采购政策需满足的资格要求：</w:t>
      </w:r>
    </w:p>
    <w:p w14:paraId="339CB1F8">
      <w:pPr>
        <w:spacing w:line="360" w:lineRule="auto"/>
        <w:rPr>
          <w:rFonts w:hint="eastAsia" w:ascii="宋体" w:hAnsi="宋体" w:cs="宋体"/>
          <w:bCs/>
          <w:color w:val="auto"/>
          <w:sz w:val="24"/>
          <w:highlight w:val="none"/>
          <w:shd w:val="clear" w:color="auto" w:fill="FFFFFF"/>
        </w:rPr>
      </w:pPr>
      <w:r>
        <w:rPr>
          <w:rFonts w:hint="eastAsia" w:ascii="宋体" w:hAnsi="宋体" w:cs="宋体"/>
          <w:bCs/>
          <w:color w:val="auto"/>
          <w:sz w:val="24"/>
          <w:highlight w:val="none"/>
          <w:shd w:val="clear" w:color="auto" w:fill="FFFFFF"/>
        </w:rPr>
        <w:t>2.1中小企业政策</w:t>
      </w:r>
    </w:p>
    <w:p w14:paraId="320FE9E7">
      <w:pPr>
        <w:spacing w:line="360" w:lineRule="auto"/>
        <w:rPr>
          <w:rFonts w:ascii="宋体" w:hAnsi="宋体" w:cs="宋体"/>
          <w:bCs/>
          <w:color w:val="auto"/>
          <w:sz w:val="24"/>
          <w:highlight w:val="none"/>
          <w:shd w:val="clear" w:color="auto" w:fill="FFFFFF"/>
        </w:rPr>
      </w:pPr>
      <w:r>
        <w:rPr>
          <w:rFonts w:hint="eastAsia" w:ascii="宋体" w:hAnsi="宋体" w:cs="宋体"/>
          <w:bCs/>
          <w:color w:val="auto"/>
          <w:sz w:val="24"/>
          <w:highlight w:val="none"/>
          <w:shd w:val="clear" w:color="auto" w:fill="FFFFFF"/>
          <w:lang w:eastAsia="zh-CN"/>
        </w:rPr>
        <w:t>☑</w:t>
      </w:r>
      <w:r>
        <w:rPr>
          <w:rFonts w:hint="eastAsia" w:ascii="宋体" w:hAnsi="宋体" w:cs="宋体"/>
          <w:bCs/>
          <w:color w:val="auto"/>
          <w:sz w:val="24"/>
          <w:highlight w:val="none"/>
          <w:shd w:val="clear" w:color="auto" w:fill="FFFFFF"/>
        </w:rPr>
        <w:t>本项目不专门面向中小企业预留采购份额。</w:t>
      </w:r>
    </w:p>
    <w:p w14:paraId="32FE0083">
      <w:pPr>
        <w:spacing w:line="360" w:lineRule="auto"/>
        <w:rPr>
          <w:rFonts w:ascii="宋体" w:hAnsi="宋体" w:cs="宋体"/>
          <w:bCs/>
          <w:color w:val="auto"/>
          <w:sz w:val="24"/>
          <w:highlight w:val="none"/>
          <w:shd w:val="clear" w:color="auto" w:fill="FFFFFF"/>
        </w:rPr>
      </w:pPr>
      <w:r>
        <w:rPr>
          <w:rFonts w:hint="eastAsia" w:ascii="宋体" w:hAnsi="宋体" w:cs="宋体"/>
          <w:bCs/>
          <w:color w:val="auto"/>
          <w:sz w:val="24"/>
          <w:highlight w:val="none"/>
          <w:shd w:val="clear" w:color="auto" w:fill="FFFFFF"/>
          <w:lang w:eastAsia="zh-CN"/>
        </w:rPr>
        <w:t>□</w:t>
      </w:r>
      <w:r>
        <w:rPr>
          <w:rFonts w:hint="eastAsia" w:ascii="宋体" w:hAnsi="宋体" w:cs="宋体"/>
          <w:bCs/>
          <w:color w:val="auto"/>
          <w:sz w:val="24"/>
          <w:highlight w:val="none"/>
          <w:shd w:val="clear" w:color="auto" w:fill="FFFFFF"/>
        </w:rPr>
        <w:t>本项目专门面向</w:t>
      </w:r>
      <w:r>
        <w:rPr>
          <w:rFonts w:hint="eastAsia" w:ascii="宋体" w:hAnsi="宋体" w:cs="宋体"/>
          <w:bCs/>
          <w:color w:val="auto"/>
          <w:sz w:val="24"/>
          <w:highlight w:val="none"/>
          <w:shd w:val="clear" w:color="auto" w:fill="FFFFFF"/>
        </w:rPr>
        <w:tab/>
      </w:r>
      <w:r>
        <w:rPr>
          <w:rFonts w:hint="eastAsia" w:ascii="宋体" w:hAnsi="宋体" w:cs="宋体"/>
          <w:bCs/>
          <w:color w:val="auto"/>
          <w:sz w:val="24"/>
          <w:highlight w:val="none"/>
          <w:shd w:val="clear" w:color="auto" w:fill="FFFFFF"/>
          <w:lang w:eastAsia="zh-CN"/>
        </w:rPr>
        <w:t>□</w:t>
      </w:r>
      <w:r>
        <w:rPr>
          <w:rFonts w:hint="eastAsia" w:ascii="宋体" w:hAnsi="宋体" w:cs="宋体"/>
          <w:bCs/>
          <w:color w:val="auto"/>
          <w:sz w:val="24"/>
          <w:highlight w:val="none"/>
          <w:shd w:val="clear" w:color="auto" w:fill="FFFFFF"/>
        </w:rPr>
        <w:t xml:space="preserve">中小 </w:t>
      </w:r>
      <w:r>
        <w:rPr>
          <w:rFonts w:hint="eastAsia" w:ascii="Segoe UI Symbol" w:hAnsi="Segoe UI Symbol" w:cs="Segoe UI Symbol"/>
          <w:bCs/>
          <w:color w:val="auto"/>
          <w:sz w:val="24"/>
          <w:highlight w:val="none"/>
          <w:shd w:val="clear" w:color="auto" w:fill="FFFFFF"/>
          <w:lang w:eastAsia="zh-CN"/>
        </w:rPr>
        <w:t>□</w:t>
      </w:r>
      <w:r>
        <w:rPr>
          <w:rFonts w:hint="eastAsia" w:ascii="宋体" w:hAnsi="宋体" w:cs="宋体"/>
          <w:bCs/>
          <w:color w:val="auto"/>
          <w:sz w:val="24"/>
          <w:highlight w:val="none"/>
          <w:shd w:val="clear" w:color="auto" w:fill="FFFFFF"/>
        </w:rPr>
        <w:t>小微企业</w:t>
      </w:r>
      <w:r>
        <w:rPr>
          <w:rFonts w:hint="eastAsia" w:ascii="宋体" w:hAnsi="宋体" w:cs="宋体"/>
          <w:bCs/>
          <w:color w:val="auto"/>
          <w:sz w:val="24"/>
          <w:highlight w:val="none"/>
          <w:shd w:val="clear" w:color="auto" w:fill="FFFFFF"/>
        </w:rPr>
        <w:tab/>
      </w:r>
      <w:r>
        <w:rPr>
          <w:rFonts w:hint="eastAsia" w:ascii="宋体" w:hAnsi="宋体" w:cs="宋体"/>
          <w:bCs/>
          <w:color w:val="auto"/>
          <w:sz w:val="24"/>
          <w:highlight w:val="none"/>
          <w:shd w:val="clear" w:color="auto" w:fill="FFFFFF"/>
        </w:rPr>
        <w:t>采购。即：提供的货物全部由符合政策要求的中小/小微企业制造、服务全部由符合政策要求的中小/小微企业承接。</w:t>
      </w:r>
    </w:p>
    <w:p w14:paraId="43BDD648">
      <w:pPr>
        <w:spacing w:line="360" w:lineRule="auto"/>
        <w:rPr>
          <w:rFonts w:hint="eastAsia" w:ascii="宋体" w:hAnsi="宋体" w:cs="宋体"/>
          <w:bCs/>
          <w:color w:val="auto"/>
          <w:sz w:val="24"/>
          <w:highlight w:val="none"/>
          <w:u w:val="single"/>
          <w:shd w:val="clear" w:color="auto" w:fill="FFFFFF"/>
          <w:lang w:eastAsia="zh-CN"/>
        </w:rPr>
      </w:pPr>
      <w:r>
        <w:rPr>
          <w:rFonts w:hint="eastAsia" w:ascii="宋体" w:hAnsi="宋体" w:cs="宋体"/>
          <w:bCs/>
          <w:color w:val="auto"/>
          <w:sz w:val="24"/>
          <w:highlight w:val="none"/>
          <w:shd w:val="clear" w:color="auto" w:fill="FFFFFF"/>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bCs/>
          <w:color w:val="auto"/>
          <w:sz w:val="24"/>
          <w:highlight w:val="none"/>
          <w:u w:val="single"/>
          <w:shd w:val="clear" w:color="auto" w:fill="FFFFFF"/>
        </w:rPr>
        <w:t xml:space="preserve"> / </w:t>
      </w:r>
      <w:r>
        <w:rPr>
          <w:rFonts w:hint="eastAsia" w:ascii="宋体" w:hAnsi="宋体" w:cs="宋体"/>
          <w:bCs/>
          <w:color w:val="auto"/>
          <w:sz w:val="24"/>
          <w:highlight w:val="none"/>
          <w:u w:val="single"/>
          <w:shd w:val="clear" w:color="auto" w:fill="FFFFFF"/>
          <w:lang w:eastAsia="zh-CN"/>
        </w:rPr>
        <w:t>。</w:t>
      </w:r>
    </w:p>
    <w:p w14:paraId="5F774B17">
      <w:pPr>
        <w:spacing w:line="360" w:lineRule="auto"/>
        <w:rPr>
          <w:rFonts w:ascii="宋体" w:hAnsi="宋体" w:cs="宋体"/>
          <w:bCs/>
          <w:color w:val="auto"/>
          <w:sz w:val="24"/>
          <w:highlight w:val="none"/>
          <w:shd w:val="clear" w:color="auto" w:fill="FFFFFF"/>
        </w:rPr>
      </w:pPr>
      <w:r>
        <w:rPr>
          <w:rFonts w:hint="eastAsia" w:ascii="宋体" w:hAnsi="宋体" w:cs="宋体"/>
          <w:bCs/>
          <w:color w:val="auto"/>
          <w:sz w:val="24"/>
          <w:highlight w:val="none"/>
          <w:shd w:val="clear" w:color="auto" w:fill="FFFFFF"/>
        </w:rPr>
        <w:t>2.2其它落实政府采购政策的资格要求（如有）：</w:t>
      </w:r>
      <w:r>
        <w:rPr>
          <w:rFonts w:hint="eastAsia" w:ascii="宋体" w:hAnsi="宋体" w:cs="宋体"/>
          <w:bCs/>
          <w:color w:val="auto"/>
          <w:sz w:val="24"/>
          <w:highlight w:val="none"/>
          <w:u w:val="single"/>
          <w:shd w:val="clear" w:color="auto" w:fill="FFFFFF"/>
        </w:rPr>
        <w:t xml:space="preserve"> / </w:t>
      </w:r>
      <w:r>
        <w:rPr>
          <w:rFonts w:hint="eastAsia" w:ascii="宋体" w:hAnsi="宋体" w:cs="宋体"/>
          <w:bCs/>
          <w:color w:val="auto"/>
          <w:sz w:val="24"/>
          <w:highlight w:val="none"/>
          <w:shd w:val="clear" w:color="auto" w:fill="FFFFFF"/>
        </w:rPr>
        <w:t>。</w:t>
      </w:r>
    </w:p>
    <w:p w14:paraId="65FCDBBD">
      <w:pPr>
        <w:numPr>
          <w:ilvl w:val="0"/>
          <w:numId w:val="9"/>
        </w:numPr>
        <w:spacing w:line="360" w:lineRule="auto"/>
        <w:rPr>
          <w:rFonts w:ascii="宋体" w:hAnsi="宋体" w:cs="宋体"/>
          <w:bCs/>
          <w:color w:val="auto"/>
          <w:sz w:val="24"/>
          <w:highlight w:val="none"/>
          <w:shd w:val="clear" w:color="auto" w:fill="FFFFFF"/>
        </w:rPr>
      </w:pPr>
      <w:r>
        <w:rPr>
          <w:rFonts w:hint="eastAsia" w:ascii="宋体" w:hAnsi="宋体" w:cs="宋体"/>
          <w:bCs/>
          <w:color w:val="auto"/>
          <w:sz w:val="24"/>
          <w:highlight w:val="none"/>
          <w:shd w:val="clear" w:color="auto" w:fill="FFFFFF"/>
        </w:rPr>
        <w:t>本项目的特定资格要求：</w:t>
      </w:r>
    </w:p>
    <w:p w14:paraId="287ED0F5">
      <w:pPr>
        <w:spacing w:line="360" w:lineRule="auto"/>
        <w:rPr>
          <w:rFonts w:ascii="宋体" w:hAnsi="宋体" w:cs="宋体"/>
          <w:bCs/>
          <w:color w:val="auto"/>
          <w:sz w:val="24"/>
          <w:highlight w:val="none"/>
          <w:shd w:val="clear" w:color="auto" w:fill="FFFFFF"/>
        </w:rPr>
      </w:pPr>
      <w:r>
        <w:rPr>
          <w:rFonts w:hint="eastAsia" w:ascii="宋体" w:hAnsi="宋体" w:cs="宋体"/>
          <w:bCs/>
          <w:color w:val="auto"/>
          <w:sz w:val="24"/>
          <w:highlight w:val="none"/>
          <w:shd w:val="clear" w:color="auto" w:fill="FFFFFF"/>
        </w:rPr>
        <w:t>3.1本项目是否属于政府购买服务：</w:t>
      </w:r>
    </w:p>
    <w:p w14:paraId="18BF699C">
      <w:pPr>
        <w:spacing w:line="360" w:lineRule="auto"/>
        <w:rPr>
          <w:rFonts w:ascii="宋体" w:hAnsi="宋体" w:cs="宋体"/>
          <w:bCs/>
          <w:color w:val="auto"/>
          <w:sz w:val="24"/>
          <w:highlight w:val="none"/>
          <w:shd w:val="clear" w:color="auto" w:fill="FFFFFF"/>
        </w:rPr>
      </w:pPr>
      <w:r>
        <w:rPr>
          <w:rFonts w:hint="eastAsia" w:ascii="Segoe UI Symbol" w:hAnsi="Segoe UI Symbol" w:cs="Segoe UI Symbol"/>
          <w:bCs/>
          <w:color w:val="auto"/>
          <w:sz w:val="24"/>
          <w:highlight w:val="none"/>
          <w:shd w:val="clear" w:color="auto" w:fill="FFFFFF"/>
          <w:lang w:eastAsia="zh-CN"/>
        </w:rPr>
        <w:t>□</w:t>
      </w:r>
      <w:r>
        <w:rPr>
          <w:rFonts w:hint="eastAsia" w:ascii="宋体" w:hAnsi="宋体" w:cs="宋体"/>
          <w:bCs/>
          <w:color w:val="auto"/>
          <w:sz w:val="24"/>
          <w:highlight w:val="none"/>
          <w:shd w:val="clear" w:color="auto" w:fill="FFFFFF"/>
        </w:rPr>
        <w:t>否</w:t>
      </w:r>
    </w:p>
    <w:p w14:paraId="5FBFCFA6">
      <w:pPr>
        <w:spacing w:line="360" w:lineRule="auto"/>
        <w:rPr>
          <w:rFonts w:ascii="宋体" w:hAnsi="宋体" w:cs="宋体"/>
          <w:bCs/>
          <w:color w:val="auto"/>
          <w:sz w:val="24"/>
          <w:highlight w:val="none"/>
          <w:shd w:val="clear" w:color="auto" w:fill="FFFFFF"/>
        </w:rPr>
      </w:pPr>
      <w:r>
        <w:rPr>
          <w:rFonts w:hint="eastAsia" w:ascii="宋体" w:hAnsi="宋体" w:cs="宋体"/>
          <w:bCs/>
          <w:color w:val="auto"/>
          <w:sz w:val="24"/>
          <w:highlight w:val="none"/>
          <w:shd w:val="clear" w:color="auto" w:fill="FFFFFF"/>
          <w:lang w:eastAsia="zh-CN"/>
        </w:rPr>
        <w:t>☑</w:t>
      </w:r>
      <w:r>
        <w:rPr>
          <w:rFonts w:hint="eastAsia" w:ascii="宋体" w:hAnsi="宋体" w:cs="宋体"/>
          <w:bCs/>
          <w:color w:val="auto"/>
          <w:sz w:val="24"/>
          <w:highlight w:val="none"/>
          <w:shd w:val="clear" w:color="auto" w:fill="FFFFFF"/>
        </w:rPr>
        <w:t>是，公益一类事业单位、使用事业编制且由财政拨款保障的群团组织，不得作为承接主体；</w:t>
      </w:r>
    </w:p>
    <w:p w14:paraId="1D9C32B6">
      <w:pPr>
        <w:pStyle w:val="2"/>
        <w:spacing w:line="360" w:lineRule="auto"/>
        <w:jc w:val="both"/>
        <w:rPr>
          <w:rFonts w:hint="eastAsia" w:ascii="宋体" w:hAnsi="宋体" w:eastAsia="宋体" w:cs="宋体"/>
          <w:b w:val="0"/>
          <w:bCs/>
          <w:color w:val="auto"/>
          <w:sz w:val="24"/>
          <w:szCs w:val="24"/>
          <w:highlight w:val="none"/>
          <w:shd w:val="clear" w:color="auto" w:fill="FFFFFF"/>
        </w:rPr>
      </w:pPr>
      <w:r>
        <w:rPr>
          <w:rFonts w:hint="eastAsia" w:ascii="宋体" w:hAnsi="宋体" w:eastAsia="宋体" w:cs="宋体"/>
          <w:b w:val="0"/>
          <w:bCs/>
          <w:color w:val="auto"/>
          <w:sz w:val="24"/>
          <w:szCs w:val="24"/>
          <w:highlight w:val="none"/>
          <w:shd w:val="clear" w:color="auto" w:fill="FFFFFF"/>
        </w:rPr>
        <w:t>3.2其他特定资格要求：</w:t>
      </w:r>
    </w:p>
    <w:p w14:paraId="6263E639">
      <w:pPr>
        <w:pStyle w:val="2"/>
        <w:spacing w:line="360" w:lineRule="auto"/>
        <w:jc w:val="both"/>
        <w:rPr>
          <w:rFonts w:hint="default" w:ascii="宋体" w:hAnsi="宋体" w:eastAsia="宋体" w:cs="宋体"/>
          <w:b w:val="0"/>
          <w:bCs/>
          <w:color w:val="auto"/>
          <w:sz w:val="24"/>
          <w:szCs w:val="24"/>
          <w:highlight w:val="none"/>
          <w:shd w:val="clear" w:color="auto" w:fill="FFFFFF"/>
          <w:lang w:val="en-US" w:eastAsia="zh-CN"/>
        </w:rPr>
      </w:pPr>
      <w:r>
        <w:rPr>
          <w:rFonts w:hint="eastAsia" w:ascii="宋体" w:hAnsi="宋体" w:eastAsia="宋体" w:cs="宋体"/>
          <w:b w:val="0"/>
          <w:bCs/>
          <w:color w:val="auto"/>
          <w:sz w:val="24"/>
          <w:szCs w:val="24"/>
          <w:highlight w:val="none"/>
          <w:shd w:val="clear" w:color="auto" w:fill="FFFFFF"/>
          <w:lang w:val="en-US" w:eastAsia="zh-CN"/>
        </w:rPr>
        <w:t>1包特定资格要求：</w:t>
      </w:r>
    </w:p>
    <w:p w14:paraId="56607ADE">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w:t>
      </w:r>
      <w:r>
        <w:rPr>
          <w:rFonts w:hint="eastAsia" w:ascii="宋体" w:hAnsi="宋体" w:cs="宋体"/>
          <w:color w:val="auto"/>
          <w:sz w:val="24"/>
          <w:highlight w:val="none"/>
          <w:shd w:val="clear" w:color="auto" w:fill="FFFFFF"/>
          <w:lang w:val="en-US" w:eastAsia="zh-CN"/>
        </w:rPr>
        <w:t>1</w:t>
      </w:r>
      <w:r>
        <w:rPr>
          <w:rFonts w:hint="eastAsia" w:ascii="宋体" w:hAnsi="宋体" w:cs="宋体"/>
          <w:color w:val="auto"/>
          <w:sz w:val="24"/>
          <w:highlight w:val="none"/>
          <w:shd w:val="clear" w:color="auto" w:fill="FFFFFF"/>
        </w:rPr>
        <w:t>）投标人未被列入信用中国网站( www.creditchina.gov.cn)、中国政府采购网(www.ccgp.gov.cn)渠道信用记录失信被执行人、</w:t>
      </w:r>
      <w:r>
        <w:rPr>
          <w:rFonts w:hint="eastAsia" w:ascii="宋体" w:hAnsi="宋体" w:cs="宋体"/>
          <w:color w:val="auto"/>
          <w:sz w:val="24"/>
          <w:highlight w:val="none"/>
          <w:shd w:val="clear" w:color="auto" w:fill="FFFFFF"/>
          <w:lang w:eastAsia="zh-CN"/>
        </w:rPr>
        <w:t>重大税收违法失信主体名单</w:t>
      </w:r>
      <w:r>
        <w:rPr>
          <w:rFonts w:hint="eastAsia" w:ascii="宋体" w:hAnsi="宋体" w:cs="宋体"/>
          <w:color w:val="auto"/>
          <w:sz w:val="24"/>
          <w:highlight w:val="none"/>
          <w:shd w:val="clear" w:color="auto" w:fill="FFFFFF"/>
        </w:rPr>
        <w:t>、政府采购严重违法失信行为记录名单。</w:t>
      </w:r>
    </w:p>
    <w:p w14:paraId="0B9F8D62">
      <w:pPr>
        <w:spacing w:line="360" w:lineRule="auto"/>
        <w:ind w:firstLine="480" w:firstLineChars="200"/>
        <w:rPr>
          <w:rFonts w:ascii="宋体" w:hAnsi="宋体" w:cs="宋体"/>
          <w:color w:val="auto"/>
          <w:sz w:val="24"/>
          <w:highlight w:val="none"/>
          <w:shd w:val="clear" w:color="auto" w:fill="FFFFFF"/>
          <w:lang w:val="zh-TW"/>
        </w:rPr>
      </w:pPr>
      <w:r>
        <w:rPr>
          <w:rFonts w:hint="eastAsia" w:ascii="宋体" w:hAnsi="宋体" w:cs="宋体"/>
          <w:color w:val="auto"/>
          <w:sz w:val="24"/>
          <w:highlight w:val="none"/>
          <w:shd w:val="clear" w:color="auto" w:fill="FFFFFF"/>
        </w:rPr>
        <w:t>（</w:t>
      </w:r>
      <w:r>
        <w:rPr>
          <w:rFonts w:ascii="宋体" w:hAnsi="宋体" w:cs="宋体"/>
          <w:color w:val="auto"/>
          <w:sz w:val="24"/>
          <w:highlight w:val="none"/>
          <w:shd w:val="clear" w:color="auto" w:fill="FFFFFF"/>
        </w:rPr>
        <w:t>2</w:t>
      </w:r>
      <w:r>
        <w:rPr>
          <w:rFonts w:hint="eastAsia" w:ascii="宋体" w:hAnsi="宋体" w:cs="宋体"/>
          <w:color w:val="auto"/>
          <w:sz w:val="24"/>
          <w:highlight w:val="none"/>
          <w:shd w:val="clear" w:color="auto" w:fill="FFFFFF"/>
        </w:rPr>
        <w:t>）</w:t>
      </w:r>
      <w:r>
        <w:rPr>
          <w:rFonts w:hint="eastAsia" w:ascii="宋体" w:hAnsi="宋体" w:cs="宋体"/>
          <w:color w:val="auto"/>
          <w:sz w:val="24"/>
          <w:highlight w:val="none"/>
          <w:shd w:val="clear" w:color="auto" w:fill="FFFFFF"/>
          <w:lang w:val="zh-TW" w:eastAsia="zh-TW"/>
        </w:rPr>
        <w:t>单位负责人为同一人或者存在控股、管理关系的不同单位</w:t>
      </w:r>
      <w:r>
        <w:rPr>
          <w:rFonts w:hint="eastAsia" w:ascii="宋体" w:hAnsi="宋体" w:cs="宋体"/>
          <w:color w:val="auto"/>
          <w:sz w:val="24"/>
          <w:highlight w:val="none"/>
          <w:shd w:val="clear" w:color="auto" w:fill="FFFFFF"/>
          <w:lang w:val="zh-TW"/>
        </w:rPr>
        <w:t>，</w:t>
      </w:r>
      <w:r>
        <w:rPr>
          <w:rFonts w:hint="eastAsia" w:ascii="宋体" w:hAnsi="宋体" w:cs="宋体"/>
          <w:color w:val="auto"/>
          <w:sz w:val="24"/>
          <w:highlight w:val="none"/>
          <w:shd w:val="clear" w:color="auto" w:fill="FFFFFF"/>
          <w:lang w:val="zh-TW" w:eastAsia="zh-TW"/>
        </w:rPr>
        <w:t>不得同时参加投标</w:t>
      </w:r>
      <w:r>
        <w:rPr>
          <w:rFonts w:hint="eastAsia" w:ascii="宋体" w:hAnsi="宋体" w:cs="宋体"/>
          <w:color w:val="auto"/>
          <w:sz w:val="24"/>
          <w:highlight w:val="none"/>
          <w:shd w:val="clear" w:color="auto" w:fill="FFFFFF"/>
          <w:lang w:val="zh-TW"/>
        </w:rPr>
        <w:t>；</w:t>
      </w:r>
    </w:p>
    <w:p w14:paraId="51A696E2">
      <w:pPr>
        <w:spacing w:line="360" w:lineRule="auto"/>
        <w:ind w:firstLine="480" w:firstLineChars="200"/>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w:t>
      </w:r>
      <w:r>
        <w:rPr>
          <w:rFonts w:hint="eastAsia" w:ascii="宋体" w:hAnsi="宋体" w:cs="宋体"/>
          <w:color w:val="auto"/>
          <w:sz w:val="24"/>
          <w:highlight w:val="none"/>
          <w:shd w:val="clear" w:color="auto" w:fill="FFFFFF"/>
          <w:lang w:val="en-US" w:eastAsia="zh-CN"/>
        </w:rPr>
        <w:t>3</w:t>
      </w:r>
      <w:r>
        <w:rPr>
          <w:rFonts w:hint="eastAsia" w:ascii="宋体" w:hAnsi="宋体" w:cs="宋体"/>
          <w:color w:val="auto"/>
          <w:sz w:val="24"/>
          <w:highlight w:val="none"/>
          <w:shd w:val="clear" w:color="auto" w:fill="FFFFFF"/>
        </w:rPr>
        <w:t>）本项目不接受联合体投标。</w:t>
      </w:r>
    </w:p>
    <w:p w14:paraId="233B9232">
      <w:pPr>
        <w:pStyle w:val="2"/>
        <w:spacing w:line="360" w:lineRule="auto"/>
        <w:jc w:val="both"/>
        <w:rPr>
          <w:rFonts w:hint="default" w:ascii="宋体" w:hAnsi="宋体" w:eastAsia="宋体" w:cs="宋体"/>
          <w:b w:val="0"/>
          <w:bCs/>
          <w:color w:val="auto"/>
          <w:sz w:val="24"/>
          <w:szCs w:val="24"/>
          <w:highlight w:val="none"/>
          <w:shd w:val="clear" w:color="auto" w:fill="FFFFFF"/>
          <w:lang w:val="en-US" w:eastAsia="zh-CN"/>
        </w:rPr>
      </w:pPr>
      <w:r>
        <w:rPr>
          <w:rFonts w:hint="eastAsia" w:ascii="宋体" w:hAnsi="宋体" w:eastAsia="宋体" w:cs="宋体"/>
          <w:b w:val="0"/>
          <w:bCs/>
          <w:color w:val="auto"/>
          <w:sz w:val="24"/>
          <w:szCs w:val="24"/>
          <w:highlight w:val="none"/>
          <w:shd w:val="clear" w:color="auto" w:fill="FFFFFF"/>
          <w:lang w:val="en-US" w:eastAsia="zh-CN"/>
        </w:rPr>
        <w:t>2包特定资格要求：</w:t>
      </w:r>
    </w:p>
    <w:p w14:paraId="4244BDDC">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w:t>
      </w:r>
      <w:r>
        <w:rPr>
          <w:rFonts w:hint="eastAsia" w:ascii="宋体" w:hAnsi="宋体" w:cs="宋体"/>
          <w:color w:val="auto"/>
          <w:sz w:val="24"/>
          <w:highlight w:val="none"/>
          <w:shd w:val="clear" w:color="auto" w:fill="FFFFFF"/>
          <w:lang w:val="en-US" w:eastAsia="zh-CN"/>
        </w:rPr>
        <w:t>1</w:t>
      </w:r>
      <w:r>
        <w:rPr>
          <w:rFonts w:hint="eastAsia" w:ascii="宋体" w:hAnsi="宋体" w:cs="宋体"/>
          <w:color w:val="auto"/>
          <w:sz w:val="24"/>
          <w:highlight w:val="none"/>
          <w:shd w:val="clear" w:color="auto" w:fill="FFFFFF"/>
        </w:rPr>
        <w:t>）</w:t>
      </w:r>
      <w:r>
        <w:rPr>
          <w:rFonts w:hint="eastAsia" w:ascii="宋体" w:hAnsi="宋体" w:cs="宋体"/>
          <w:color w:val="auto"/>
          <w:sz w:val="24"/>
          <w:highlight w:val="none"/>
          <w:shd w:val="clear" w:color="auto" w:fill="FFFFFF"/>
          <w:lang w:val="en-US" w:eastAsia="zh-CN"/>
        </w:rPr>
        <w:t>投标人</w:t>
      </w:r>
      <w:r>
        <w:rPr>
          <w:rFonts w:hint="eastAsia" w:ascii="宋体" w:hAnsi="宋体" w:cs="宋体"/>
          <w:color w:val="auto"/>
          <w:sz w:val="24"/>
          <w:highlight w:val="none"/>
          <w:shd w:val="clear" w:color="auto" w:fill="FFFFFF"/>
        </w:rPr>
        <w:t>未被列入信用中国网站( www.creditchina.gov.cn)、中国政府采购网(www.ccgp.gov.cn)渠道信用记录失信被执行人、重大税收违法案件当事人名单、政府采购严重违法失信行为记录名单。</w:t>
      </w:r>
    </w:p>
    <w:p w14:paraId="11F4FBFE">
      <w:pPr>
        <w:spacing w:line="360" w:lineRule="auto"/>
        <w:ind w:firstLine="480" w:firstLineChars="200"/>
        <w:rPr>
          <w:rFonts w:ascii="宋体" w:hAnsi="宋体" w:cs="宋体"/>
          <w:color w:val="auto"/>
          <w:sz w:val="24"/>
          <w:highlight w:val="none"/>
          <w:shd w:val="clear" w:color="auto" w:fill="FFFFFF"/>
          <w:lang w:val="zh-TW"/>
        </w:rPr>
      </w:pPr>
      <w:r>
        <w:rPr>
          <w:rFonts w:hint="eastAsia" w:ascii="宋体" w:hAnsi="宋体" w:cs="宋体"/>
          <w:color w:val="auto"/>
          <w:sz w:val="24"/>
          <w:highlight w:val="none"/>
          <w:shd w:val="clear" w:color="auto" w:fill="FFFFFF"/>
        </w:rPr>
        <w:t>（</w:t>
      </w:r>
      <w:r>
        <w:rPr>
          <w:rFonts w:ascii="宋体" w:hAnsi="宋体" w:cs="宋体"/>
          <w:color w:val="auto"/>
          <w:sz w:val="24"/>
          <w:highlight w:val="none"/>
          <w:shd w:val="clear" w:color="auto" w:fill="FFFFFF"/>
        </w:rPr>
        <w:t>2</w:t>
      </w:r>
      <w:r>
        <w:rPr>
          <w:rFonts w:hint="eastAsia" w:ascii="宋体" w:hAnsi="宋体" w:cs="宋体"/>
          <w:color w:val="auto"/>
          <w:sz w:val="24"/>
          <w:highlight w:val="none"/>
          <w:shd w:val="clear" w:color="auto" w:fill="FFFFFF"/>
        </w:rPr>
        <w:t>）</w:t>
      </w:r>
      <w:r>
        <w:rPr>
          <w:rFonts w:hint="eastAsia" w:ascii="宋体" w:hAnsi="宋体" w:cs="宋体"/>
          <w:color w:val="auto"/>
          <w:sz w:val="24"/>
          <w:highlight w:val="none"/>
          <w:shd w:val="clear" w:color="auto" w:fill="FFFFFF"/>
          <w:lang w:val="zh-TW" w:eastAsia="zh-TW"/>
        </w:rPr>
        <w:t>单位负责人为同一人或者存在控股、管理关系的不同单位</w:t>
      </w:r>
      <w:r>
        <w:rPr>
          <w:rFonts w:hint="eastAsia" w:ascii="宋体" w:hAnsi="宋体" w:cs="宋体"/>
          <w:color w:val="auto"/>
          <w:sz w:val="24"/>
          <w:highlight w:val="none"/>
          <w:shd w:val="clear" w:color="auto" w:fill="FFFFFF"/>
          <w:lang w:val="zh-TW"/>
        </w:rPr>
        <w:t>，</w:t>
      </w:r>
      <w:r>
        <w:rPr>
          <w:rFonts w:hint="eastAsia" w:ascii="宋体" w:hAnsi="宋体" w:cs="宋体"/>
          <w:color w:val="auto"/>
          <w:sz w:val="24"/>
          <w:highlight w:val="none"/>
          <w:shd w:val="clear" w:color="auto" w:fill="FFFFFF"/>
          <w:lang w:val="zh-TW" w:eastAsia="zh-TW"/>
        </w:rPr>
        <w:t>不得同时参加投标</w:t>
      </w:r>
      <w:r>
        <w:rPr>
          <w:rFonts w:hint="eastAsia" w:ascii="宋体" w:hAnsi="宋体" w:cs="宋体"/>
          <w:color w:val="auto"/>
          <w:sz w:val="24"/>
          <w:highlight w:val="none"/>
          <w:shd w:val="clear" w:color="auto" w:fill="FFFFFF"/>
          <w:lang w:val="zh-TW"/>
        </w:rPr>
        <w:t>；</w:t>
      </w:r>
    </w:p>
    <w:p w14:paraId="0850E65C">
      <w:pPr>
        <w:spacing w:line="360" w:lineRule="auto"/>
        <w:ind w:firstLine="480" w:firstLineChars="200"/>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w:t>
      </w:r>
      <w:r>
        <w:rPr>
          <w:rFonts w:hint="eastAsia" w:ascii="宋体" w:hAnsi="宋体" w:cs="宋体"/>
          <w:color w:val="auto"/>
          <w:sz w:val="24"/>
          <w:highlight w:val="none"/>
          <w:shd w:val="clear" w:color="auto" w:fill="FFFFFF"/>
          <w:lang w:val="en-US" w:eastAsia="zh-CN"/>
        </w:rPr>
        <w:t>3</w:t>
      </w:r>
      <w:r>
        <w:rPr>
          <w:rFonts w:hint="eastAsia" w:ascii="宋体" w:hAnsi="宋体" w:cs="宋体"/>
          <w:color w:val="auto"/>
          <w:sz w:val="24"/>
          <w:highlight w:val="none"/>
          <w:shd w:val="clear" w:color="auto" w:fill="FFFFFF"/>
        </w:rPr>
        <w:t>）具有国家建设行政主管部门核发的市政公用工程监理</w:t>
      </w:r>
      <w:r>
        <w:rPr>
          <w:rFonts w:hint="eastAsia" w:ascii="宋体" w:hAnsi="宋体" w:cs="宋体"/>
          <w:color w:val="auto"/>
          <w:sz w:val="24"/>
          <w:highlight w:val="none"/>
          <w:shd w:val="clear" w:color="auto" w:fill="FFFFFF"/>
          <w:lang w:val="en-US" w:eastAsia="zh-CN"/>
        </w:rPr>
        <w:t>丙</w:t>
      </w:r>
      <w:r>
        <w:rPr>
          <w:rFonts w:hint="eastAsia" w:ascii="宋体" w:hAnsi="宋体" w:cs="宋体"/>
          <w:color w:val="auto"/>
          <w:sz w:val="24"/>
          <w:highlight w:val="none"/>
          <w:shd w:val="clear" w:color="auto" w:fill="FFFFFF"/>
        </w:rPr>
        <w:t>级(含以上)资质证书；</w:t>
      </w:r>
    </w:p>
    <w:p w14:paraId="1B7FCDF8">
      <w:pPr>
        <w:spacing w:line="360" w:lineRule="auto"/>
        <w:ind w:firstLine="480" w:firstLineChars="200"/>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w:t>
      </w:r>
      <w:r>
        <w:rPr>
          <w:rFonts w:hint="eastAsia" w:ascii="宋体" w:hAnsi="宋体" w:cs="宋体"/>
          <w:color w:val="auto"/>
          <w:sz w:val="24"/>
          <w:highlight w:val="none"/>
          <w:shd w:val="clear" w:color="auto" w:fill="FFFFFF"/>
          <w:lang w:val="en-US" w:eastAsia="zh-CN"/>
        </w:rPr>
        <w:t>4</w:t>
      </w:r>
      <w:r>
        <w:rPr>
          <w:rFonts w:hint="eastAsia" w:ascii="宋体" w:hAnsi="宋体" w:cs="宋体"/>
          <w:color w:val="auto"/>
          <w:sz w:val="24"/>
          <w:highlight w:val="none"/>
          <w:shd w:val="clear" w:color="auto" w:fill="FFFFFF"/>
        </w:rPr>
        <w:t>）总监理工程师需具有市政公用工程专业注册监理工程师资格，且注册单位与投标单位一致；</w:t>
      </w:r>
    </w:p>
    <w:p w14:paraId="2418739C">
      <w:pPr>
        <w:spacing w:line="360" w:lineRule="auto"/>
        <w:ind w:firstLine="480" w:firstLineChars="200"/>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lang w:eastAsia="zh-CN"/>
        </w:rPr>
        <w:t>（</w:t>
      </w:r>
      <w:r>
        <w:rPr>
          <w:rFonts w:hint="eastAsia" w:ascii="宋体" w:hAnsi="宋体" w:cs="宋体"/>
          <w:color w:val="auto"/>
          <w:sz w:val="24"/>
          <w:highlight w:val="none"/>
          <w:shd w:val="clear" w:color="auto" w:fill="FFFFFF"/>
          <w:lang w:val="en-US" w:eastAsia="zh-CN"/>
        </w:rPr>
        <w:t>5</w:t>
      </w:r>
      <w:r>
        <w:rPr>
          <w:rFonts w:hint="eastAsia" w:ascii="宋体" w:hAnsi="宋体" w:cs="宋体"/>
          <w:color w:val="auto"/>
          <w:sz w:val="24"/>
          <w:highlight w:val="none"/>
          <w:shd w:val="clear" w:color="auto" w:fill="FFFFFF"/>
          <w:lang w:eastAsia="zh-CN"/>
        </w:rPr>
        <w:t>）</w:t>
      </w:r>
      <w:r>
        <w:rPr>
          <w:rFonts w:hint="eastAsia" w:ascii="宋体" w:hAnsi="宋体" w:cs="宋体"/>
          <w:color w:val="auto"/>
          <w:sz w:val="24"/>
          <w:highlight w:val="none"/>
          <w:shd w:val="clear" w:color="auto" w:fill="FFFFFF"/>
        </w:rPr>
        <w:t>本项目不接受联合体</w:t>
      </w:r>
      <w:r>
        <w:rPr>
          <w:rFonts w:hint="eastAsia" w:ascii="宋体" w:hAnsi="宋体" w:cs="宋体"/>
          <w:color w:val="auto"/>
          <w:sz w:val="24"/>
          <w:highlight w:val="none"/>
          <w:shd w:val="clear" w:color="auto" w:fill="FFFFFF"/>
          <w:lang w:val="en-US" w:eastAsia="zh-CN"/>
        </w:rPr>
        <w:t>投标。</w:t>
      </w:r>
    </w:p>
    <w:p w14:paraId="0D8E243A">
      <w:pPr>
        <w:pStyle w:val="2"/>
        <w:spacing w:line="360" w:lineRule="auto"/>
        <w:jc w:val="both"/>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三、获取招标文件</w:t>
      </w:r>
      <w:bookmarkEnd w:id="30"/>
      <w:bookmarkEnd w:id="31"/>
      <w:bookmarkEnd w:id="32"/>
      <w:bookmarkEnd w:id="33"/>
    </w:p>
    <w:p w14:paraId="7A5614B0">
      <w:pPr>
        <w:spacing w:line="360" w:lineRule="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lang w:val="en-US" w:eastAsia="zh-CN"/>
        </w:rPr>
        <w:t>1.</w:t>
      </w:r>
      <w:r>
        <w:rPr>
          <w:rFonts w:hint="eastAsia" w:ascii="宋体" w:hAnsi="宋体" w:cs="宋体"/>
          <w:color w:val="auto"/>
          <w:sz w:val="24"/>
          <w:highlight w:val="none"/>
          <w:shd w:val="clear" w:color="auto" w:fill="FFFFFF"/>
        </w:rPr>
        <w:t>时间：202</w:t>
      </w:r>
      <w:r>
        <w:rPr>
          <w:rFonts w:hint="eastAsia" w:ascii="宋体" w:hAnsi="宋体" w:cs="宋体"/>
          <w:color w:val="auto"/>
          <w:sz w:val="24"/>
          <w:highlight w:val="none"/>
          <w:shd w:val="clear" w:color="auto" w:fill="FFFFFF"/>
          <w:lang w:val="en-US" w:eastAsia="zh-CN"/>
        </w:rPr>
        <w:t>5</w:t>
      </w:r>
      <w:r>
        <w:rPr>
          <w:rFonts w:hint="eastAsia" w:ascii="宋体" w:hAnsi="宋体" w:cs="宋体"/>
          <w:color w:val="auto"/>
          <w:sz w:val="24"/>
          <w:highlight w:val="none"/>
          <w:shd w:val="clear" w:color="auto" w:fill="FFFFFF"/>
        </w:rPr>
        <w:t>年</w:t>
      </w:r>
      <w:r>
        <w:rPr>
          <w:rFonts w:hint="eastAsia" w:ascii="宋体" w:hAnsi="宋体" w:cs="宋体"/>
          <w:color w:val="auto"/>
          <w:sz w:val="24"/>
          <w:highlight w:val="none"/>
          <w:shd w:val="clear" w:color="auto" w:fill="FFFFFF"/>
          <w:lang w:val="en-US" w:eastAsia="zh-CN"/>
        </w:rPr>
        <w:t>12</w:t>
      </w:r>
      <w:r>
        <w:rPr>
          <w:rFonts w:hint="eastAsia" w:ascii="宋体" w:hAnsi="宋体" w:cs="宋体"/>
          <w:color w:val="auto"/>
          <w:sz w:val="24"/>
          <w:highlight w:val="none"/>
          <w:shd w:val="clear" w:color="auto" w:fill="FFFFFF"/>
        </w:rPr>
        <w:t>月</w:t>
      </w:r>
      <w:r>
        <w:rPr>
          <w:rFonts w:hint="eastAsia" w:ascii="宋体" w:hAnsi="宋体" w:cs="宋体"/>
          <w:color w:val="auto"/>
          <w:sz w:val="24"/>
          <w:highlight w:val="none"/>
          <w:shd w:val="clear" w:color="auto" w:fill="FFFFFF"/>
          <w:lang w:val="en-US" w:eastAsia="zh-CN"/>
        </w:rPr>
        <w:t>10</w:t>
      </w:r>
      <w:r>
        <w:rPr>
          <w:rFonts w:hint="eastAsia" w:ascii="宋体" w:hAnsi="宋体" w:cs="宋体"/>
          <w:color w:val="auto"/>
          <w:sz w:val="24"/>
          <w:highlight w:val="none"/>
          <w:shd w:val="clear" w:color="auto" w:fill="FFFFFF"/>
        </w:rPr>
        <w:t>日</w:t>
      </w:r>
      <w:r>
        <w:rPr>
          <w:rFonts w:hint="eastAsia" w:ascii="宋体" w:hAnsi="宋体" w:cs="宋体"/>
          <w:color w:val="auto"/>
          <w:sz w:val="24"/>
          <w:highlight w:val="none"/>
          <w:shd w:val="clear" w:color="auto" w:fill="FFFFFF"/>
          <w:lang w:val="en-US" w:eastAsia="zh-CN"/>
        </w:rPr>
        <w:t>9</w:t>
      </w:r>
      <w:r>
        <w:rPr>
          <w:rFonts w:hint="eastAsia" w:ascii="宋体" w:hAnsi="宋体" w:cs="宋体"/>
          <w:color w:val="auto"/>
          <w:sz w:val="24"/>
          <w:highlight w:val="none"/>
          <w:shd w:val="clear" w:color="auto" w:fill="FFFFFF"/>
        </w:rPr>
        <w:t>:00至202</w:t>
      </w:r>
      <w:r>
        <w:rPr>
          <w:rFonts w:hint="eastAsia" w:ascii="宋体" w:hAnsi="宋体" w:cs="宋体"/>
          <w:color w:val="auto"/>
          <w:sz w:val="24"/>
          <w:highlight w:val="none"/>
          <w:shd w:val="clear" w:color="auto" w:fill="FFFFFF"/>
          <w:lang w:val="en-US" w:eastAsia="zh-CN"/>
        </w:rPr>
        <w:t>5</w:t>
      </w:r>
      <w:r>
        <w:rPr>
          <w:rFonts w:hint="eastAsia" w:ascii="宋体" w:hAnsi="宋体" w:cs="宋体"/>
          <w:color w:val="auto"/>
          <w:sz w:val="24"/>
          <w:highlight w:val="none"/>
          <w:shd w:val="clear" w:color="auto" w:fill="FFFFFF"/>
        </w:rPr>
        <w:t>年</w:t>
      </w:r>
      <w:r>
        <w:rPr>
          <w:rFonts w:hint="eastAsia" w:ascii="宋体" w:hAnsi="宋体" w:cs="宋体"/>
          <w:color w:val="auto"/>
          <w:sz w:val="24"/>
          <w:highlight w:val="none"/>
          <w:shd w:val="clear" w:color="auto" w:fill="FFFFFF"/>
          <w:lang w:val="en-US" w:eastAsia="zh-CN"/>
        </w:rPr>
        <w:t>12</w:t>
      </w:r>
      <w:r>
        <w:rPr>
          <w:rFonts w:hint="eastAsia" w:ascii="宋体" w:hAnsi="宋体" w:cs="宋体"/>
          <w:color w:val="auto"/>
          <w:sz w:val="24"/>
          <w:highlight w:val="none"/>
          <w:shd w:val="clear" w:color="auto" w:fill="FFFFFF"/>
        </w:rPr>
        <w:t>月</w:t>
      </w:r>
      <w:r>
        <w:rPr>
          <w:rFonts w:hint="eastAsia" w:ascii="宋体" w:hAnsi="宋体" w:cs="宋体"/>
          <w:color w:val="auto"/>
          <w:sz w:val="24"/>
          <w:highlight w:val="none"/>
          <w:shd w:val="clear" w:color="auto" w:fill="FFFFFF"/>
          <w:lang w:val="en-US" w:eastAsia="zh-CN"/>
        </w:rPr>
        <w:t xml:space="preserve"> 16</w:t>
      </w:r>
      <w:r>
        <w:rPr>
          <w:rFonts w:hint="eastAsia" w:ascii="宋体" w:hAnsi="宋体" w:cs="宋体"/>
          <w:color w:val="auto"/>
          <w:sz w:val="24"/>
          <w:highlight w:val="none"/>
          <w:shd w:val="clear" w:color="auto" w:fill="FFFFFF"/>
        </w:rPr>
        <w:t>日1</w:t>
      </w:r>
      <w:r>
        <w:rPr>
          <w:rFonts w:hint="eastAsia" w:ascii="宋体" w:hAnsi="宋体" w:cs="宋体"/>
          <w:color w:val="auto"/>
          <w:sz w:val="24"/>
          <w:highlight w:val="none"/>
          <w:shd w:val="clear" w:color="auto" w:fill="FFFFFF"/>
          <w:lang w:val="en-US" w:eastAsia="zh-CN"/>
        </w:rPr>
        <w:t>7</w:t>
      </w:r>
      <w:r>
        <w:rPr>
          <w:rFonts w:hint="eastAsia" w:ascii="宋体" w:hAnsi="宋体" w:cs="宋体"/>
          <w:color w:val="auto"/>
          <w:sz w:val="24"/>
          <w:highlight w:val="none"/>
          <w:shd w:val="clear" w:color="auto" w:fill="FFFFFF"/>
        </w:rPr>
        <w:t>:00（北京时间）。</w:t>
      </w:r>
    </w:p>
    <w:p w14:paraId="1BC7851D">
      <w:pPr>
        <w:spacing w:line="360" w:lineRule="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lang w:val="en-US" w:eastAsia="zh-CN"/>
        </w:rPr>
        <w:t>2.</w:t>
      </w:r>
      <w:r>
        <w:rPr>
          <w:rFonts w:hint="eastAsia" w:ascii="宋体" w:hAnsi="宋体" w:cs="宋体"/>
          <w:color w:val="auto"/>
          <w:sz w:val="24"/>
          <w:highlight w:val="none"/>
          <w:shd w:val="clear" w:color="auto" w:fill="FFFFFF"/>
        </w:rPr>
        <w:t>地点</w:t>
      </w:r>
      <w:r>
        <w:rPr>
          <w:rFonts w:hint="eastAsia" w:ascii="宋体" w:hAnsi="宋体" w:cs="宋体"/>
          <w:color w:val="auto"/>
          <w:sz w:val="24"/>
          <w:highlight w:val="none"/>
          <w:shd w:val="clear" w:color="auto" w:fill="FFFFFF"/>
          <w:lang w:eastAsia="zh-CN"/>
        </w:rPr>
        <w:t>：北京市政府采购电子交易平台</w:t>
      </w:r>
    </w:p>
    <w:p w14:paraId="21541454">
      <w:pPr>
        <w:spacing w:line="360" w:lineRule="auto"/>
        <w:ind w:right="111" w:rightChars="53" w:firstLine="0" w:firstLineChars="0"/>
        <w:jc w:val="left"/>
        <w:rPr>
          <w:rFonts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 xml:space="preserve">方式: </w:t>
      </w:r>
      <w:r>
        <w:rPr>
          <w:rFonts w:hint="eastAsia" w:ascii="宋体" w:hAnsi="宋体" w:eastAsia="宋体" w:cs="宋体"/>
          <w:color w:val="auto"/>
          <w:sz w:val="24"/>
          <w:szCs w:val="24"/>
          <w:highlight w:val="none"/>
          <w:lang w:bidi="ar"/>
        </w:rPr>
        <w:t>供应商使用CA数字证书或电子营业执照登录北京市政府采购电子交易平台（</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"http://zbcg-bjzc.zhongcy.com/bjczj-portal-site/index.html" \l "/home"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bidi="ar"/>
        </w:rPr>
        <w:t>http://zbcg-bjzc.zhongcy.com/bjczj-portal-site/index.html#/home</w:t>
      </w:r>
      <w:r>
        <w:rPr>
          <w:rFonts w:hint="eastAsia" w:ascii="宋体" w:hAnsi="宋体" w:eastAsia="宋体" w:cs="宋体"/>
          <w:color w:val="auto"/>
          <w:sz w:val="24"/>
          <w:szCs w:val="24"/>
          <w:highlight w:val="none"/>
          <w:lang w:bidi="ar"/>
        </w:rPr>
        <w:fldChar w:fldCharType="end"/>
      </w:r>
      <w:r>
        <w:rPr>
          <w:rFonts w:hint="eastAsia" w:ascii="宋体" w:hAnsi="宋体" w:eastAsia="宋体" w:cs="宋体"/>
          <w:color w:val="auto"/>
          <w:sz w:val="24"/>
          <w:szCs w:val="24"/>
          <w:highlight w:val="none"/>
          <w:lang w:bidi="ar"/>
        </w:rPr>
        <w:t>）获取电子版招标文件。</w:t>
      </w:r>
    </w:p>
    <w:p w14:paraId="4E806FD4">
      <w:pPr>
        <w:spacing w:line="360" w:lineRule="auto"/>
        <w:ind w:right="111" w:rightChars="53" w:firstLine="0" w:firstLineChars="0"/>
        <w:jc w:val="left"/>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售价：</w:t>
      </w:r>
      <w:r>
        <w:rPr>
          <w:rFonts w:hint="eastAsia" w:ascii="宋体" w:hAnsi="宋体"/>
          <w:color w:val="auto"/>
          <w:sz w:val="24"/>
          <w:highlight w:val="none"/>
          <w:lang w:val="en-US" w:eastAsia="zh-CN"/>
        </w:rPr>
        <w:t>0</w:t>
      </w:r>
      <w:r>
        <w:rPr>
          <w:rFonts w:hint="eastAsia" w:ascii="宋体" w:hAnsi="宋体"/>
          <w:color w:val="auto"/>
          <w:sz w:val="24"/>
          <w:highlight w:val="none"/>
        </w:rPr>
        <w:t>元。</w:t>
      </w:r>
    </w:p>
    <w:p w14:paraId="79388075">
      <w:pPr>
        <w:pStyle w:val="2"/>
        <w:numPr>
          <w:ilvl w:val="0"/>
          <w:numId w:val="10"/>
        </w:numPr>
        <w:spacing w:line="360" w:lineRule="auto"/>
        <w:jc w:val="both"/>
        <w:rPr>
          <w:rFonts w:ascii="宋体" w:hAnsi="宋体" w:eastAsia="宋体" w:cs="仿宋"/>
          <w:color w:val="auto"/>
          <w:sz w:val="24"/>
          <w:szCs w:val="24"/>
          <w:highlight w:val="none"/>
        </w:rPr>
      </w:pPr>
      <w:bookmarkStart w:id="34" w:name="_Toc28359082"/>
      <w:bookmarkStart w:id="35" w:name="_Toc28359005"/>
      <w:bookmarkStart w:id="36" w:name="_Toc35393793"/>
      <w:bookmarkStart w:id="37" w:name="_Toc35393624"/>
      <w:r>
        <w:rPr>
          <w:rFonts w:hint="eastAsia" w:ascii="宋体" w:hAnsi="宋体" w:eastAsia="宋体" w:cs="仿宋"/>
          <w:color w:val="auto"/>
          <w:sz w:val="24"/>
          <w:szCs w:val="24"/>
          <w:highlight w:val="none"/>
        </w:rPr>
        <w:t>提交投标文件</w:t>
      </w:r>
      <w:bookmarkEnd w:id="34"/>
      <w:bookmarkEnd w:id="35"/>
      <w:r>
        <w:rPr>
          <w:rFonts w:hint="eastAsia" w:ascii="宋体" w:hAnsi="宋体" w:eastAsia="宋体" w:cs="仿宋"/>
          <w:color w:val="auto"/>
          <w:sz w:val="24"/>
          <w:szCs w:val="24"/>
          <w:highlight w:val="none"/>
        </w:rPr>
        <w:t>截止时间、开标时间和地点</w:t>
      </w:r>
      <w:bookmarkEnd w:id="36"/>
      <w:bookmarkEnd w:id="37"/>
    </w:p>
    <w:p w14:paraId="731503DF">
      <w:pPr>
        <w:spacing w:line="360" w:lineRule="auto"/>
        <w:ind w:right="111" w:rightChars="53"/>
        <w:jc w:val="left"/>
        <w:rPr>
          <w:rFonts w:hint="eastAsia" w:ascii="宋体" w:hAnsi="宋体"/>
          <w:color w:val="auto"/>
          <w:sz w:val="24"/>
          <w:highlight w:val="none"/>
        </w:rPr>
      </w:pPr>
      <w:bookmarkStart w:id="38" w:name="_Toc28359084"/>
      <w:bookmarkStart w:id="39" w:name="_Toc28359007"/>
      <w:bookmarkStart w:id="40" w:name="_Toc35393794"/>
      <w:bookmarkStart w:id="41" w:name="_Toc35393625"/>
      <w:r>
        <w:rPr>
          <w:rFonts w:hint="eastAsia" w:ascii="宋体" w:hAnsi="宋体"/>
          <w:color w:val="auto"/>
          <w:sz w:val="24"/>
          <w:highlight w:val="none"/>
        </w:rPr>
        <w:t>提交投标截止时间、开标时间：2025年</w:t>
      </w:r>
      <w:r>
        <w:rPr>
          <w:rFonts w:hint="eastAsia" w:ascii="宋体" w:hAnsi="宋体"/>
          <w:color w:val="auto"/>
          <w:sz w:val="24"/>
          <w:highlight w:val="none"/>
          <w:lang w:val="en-US" w:eastAsia="zh-CN"/>
        </w:rPr>
        <w:t>12</w:t>
      </w:r>
      <w:r>
        <w:rPr>
          <w:rFonts w:hint="eastAsia" w:ascii="宋体" w:hAnsi="宋体"/>
          <w:color w:val="auto"/>
          <w:sz w:val="24"/>
          <w:highlight w:val="none"/>
        </w:rPr>
        <w:t>月</w:t>
      </w:r>
      <w:r>
        <w:rPr>
          <w:rFonts w:hint="eastAsia" w:ascii="宋体" w:hAnsi="宋体"/>
          <w:color w:val="auto"/>
          <w:sz w:val="24"/>
          <w:highlight w:val="none"/>
          <w:lang w:val="en-US" w:eastAsia="zh-CN"/>
        </w:rPr>
        <w:t>30</w:t>
      </w:r>
      <w:r>
        <w:rPr>
          <w:rFonts w:hint="eastAsia" w:ascii="宋体" w:hAnsi="宋体"/>
          <w:color w:val="auto"/>
          <w:sz w:val="24"/>
          <w:highlight w:val="none"/>
        </w:rPr>
        <w:t xml:space="preserve"> 日</w:t>
      </w:r>
      <w:r>
        <w:rPr>
          <w:rFonts w:hint="eastAsia" w:ascii="宋体" w:hAnsi="宋体"/>
          <w:color w:val="auto"/>
          <w:sz w:val="24"/>
          <w:highlight w:val="none"/>
          <w:lang w:val="en-US" w:eastAsia="zh-CN"/>
        </w:rPr>
        <w:t>9</w:t>
      </w:r>
      <w:r>
        <w:rPr>
          <w:rFonts w:hint="eastAsia" w:ascii="宋体" w:hAnsi="宋体"/>
          <w:color w:val="auto"/>
          <w:sz w:val="24"/>
          <w:highlight w:val="none"/>
        </w:rPr>
        <w:t>:</w:t>
      </w:r>
      <w:r>
        <w:rPr>
          <w:rFonts w:hint="eastAsia" w:ascii="宋体" w:hAnsi="宋体"/>
          <w:color w:val="auto"/>
          <w:sz w:val="24"/>
          <w:highlight w:val="none"/>
          <w:lang w:val="en-US" w:eastAsia="zh-CN"/>
        </w:rPr>
        <w:t>00</w:t>
      </w:r>
      <w:r>
        <w:rPr>
          <w:rFonts w:hint="eastAsia" w:ascii="宋体" w:hAnsi="宋体"/>
          <w:color w:val="auto"/>
          <w:sz w:val="24"/>
          <w:highlight w:val="none"/>
        </w:rPr>
        <w:t>时（北京时间）</w:t>
      </w:r>
    </w:p>
    <w:p w14:paraId="0EE8101D">
      <w:pPr>
        <w:spacing w:line="360" w:lineRule="auto"/>
        <w:ind w:right="111" w:rightChars="53"/>
        <w:jc w:val="left"/>
        <w:rPr>
          <w:rFonts w:hint="eastAsia" w:ascii="宋体" w:hAnsi="宋体"/>
          <w:color w:val="auto"/>
          <w:sz w:val="24"/>
          <w:highlight w:val="none"/>
        </w:rPr>
      </w:pPr>
      <w:r>
        <w:rPr>
          <w:rFonts w:hint="eastAsia" w:ascii="宋体" w:hAnsi="宋体"/>
          <w:color w:val="auto"/>
          <w:sz w:val="24"/>
          <w:highlight w:val="none"/>
        </w:rPr>
        <w:t>开标地点：北京市政府采购电子交易平台（http://zbcg-bjzc.zhongcy.com/bjczj-portal-site/index.html#/home ）递交电子投标文件）。</w:t>
      </w:r>
    </w:p>
    <w:p w14:paraId="37681EBF">
      <w:pPr>
        <w:spacing w:line="360" w:lineRule="auto"/>
        <w:ind w:right="111" w:rightChars="53"/>
        <w:jc w:val="left"/>
        <w:rPr>
          <w:rFonts w:ascii="宋体" w:hAnsi="宋体" w:cs="仿宋"/>
          <w:b/>
          <w:color w:val="auto"/>
          <w:sz w:val="24"/>
          <w:highlight w:val="none"/>
        </w:rPr>
      </w:pPr>
      <w:r>
        <w:rPr>
          <w:rFonts w:hint="eastAsia" w:ascii="宋体" w:hAnsi="宋体" w:cs="仿宋"/>
          <w:b/>
          <w:color w:val="auto"/>
          <w:sz w:val="24"/>
          <w:highlight w:val="none"/>
        </w:rPr>
        <w:t>五、公告期限</w:t>
      </w:r>
      <w:bookmarkEnd w:id="38"/>
      <w:bookmarkEnd w:id="39"/>
      <w:bookmarkEnd w:id="40"/>
      <w:bookmarkEnd w:id="41"/>
    </w:p>
    <w:p w14:paraId="75E2267E">
      <w:pPr>
        <w:spacing w:line="360" w:lineRule="auto"/>
        <w:ind w:right="111" w:rightChars="53"/>
        <w:jc w:val="left"/>
        <w:rPr>
          <w:rFonts w:ascii="宋体" w:hAnsi="宋体"/>
          <w:color w:val="auto"/>
          <w:sz w:val="24"/>
          <w:highlight w:val="none"/>
        </w:rPr>
      </w:pPr>
      <w:r>
        <w:rPr>
          <w:rFonts w:hint="eastAsia" w:ascii="宋体" w:hAnsi="宋体"/>
          <w:color w:val="auto"/>
          <w:sz w:val="24"/>
          <w:highlight w:val="none"/>
        </w:rPr>
        <w:t>自本公告发布之日起</w:t>
      </w:r>
      <w:r>
        <w:rPr>
          <w:rFonts w:hint="eastAsia" w:ascii="宋体" w:hAnsi="宋体"/>
          <w:color w:val="auto"/>
          <w:sz w:val="24"/>
          <w:highlight w:val="none"/>
          <w:lang w:val="en-US" w:eastAsia="zh-CN"/>
        </w:rPr>
        <w:t>5</w:t>
      </w:r>
      <w:r>
        <w:rPr>
          <w:rFonts w:hint="eastAsia" w:ascii="宋体" w:hAnsi="宋体"/>
          <w:color w:val="auto"/>
          <w:sz w:val="24"/>
          <w:highlight w:val="none"/>
        </w:rPr>
        <w:t>个工作日。</w:t>
      </w:r>
    </w:p>
    <w:p w14:paraId="5E5D2A69">
      <w:pPr>
        <w:pStyle w:val="2"/>
        <w:numPr>
          <w:ilvl w:val="0"/>
          <w:numId w:val="11"/>
        </w:numPr>
        <w:spacing w:line="360" w:lineRule="auto"/>
        <w:jc w:val="both"/>
        <w:rPr>
          <w:rFonts w:ascii="宋体" w:hAnsi="宋体" w:eastAsia="宋体" w:cs="仿宋"/>
          <w:color w:val="auto"/>
          <w:sz w:val="24"/>
          <w:szCs w:val="24"/>
          <w:highlight w:val="none"/>
        </w:rPr>
      </w:pPr>
      <w:bookmarkStart w:id="42" w:name="_Toc35393795"/>
      <w:bookmarkStart w:id="43" w:name="_Toc35393626"/>
      <w:r>
        <w:rPr>
          <w:rFonts w:hint="eastAsia" w:ascii="宋体" w:hAnsi="宋体" w:eastAsia="宋体" w:cs="仿宋"/>
          <w:color w:val="auto"/>
          <w:sz w:val="24"/>
          <w:szCs w:val="24"/>
          <w:highlight w:val="none"/>
        </w:rPr>
        <w:t>其他补充事宜</w:t>
      </w:r>
      <w:bookmarkEnd w:id="42"/>
      <w:bookmarkEnd w:id="43"/>
    </w:p>
    <w:p w14:paraId="5C2281F6">
      <w:pPr>
        <w:spacing w:line="360" w:lineRule="auto"/>
        <w:ind w:firstLine="480" w:firstLineChars="200"/>
        <w:rPr>
          <w:rFonts w:hint="eastAsia" w:ascii="宋体" w:hAnsi="宋体" w:eastAsia="宋体" w:cs="宋体"/>
          <w:color w:val="auto"/>
          <w:sz w:val="24"/>
          <w:szCs w:val="24"/>
          <w:highlight w:val="none"/>
        </w:rPr>
      </w:pPr>
      <w:bookmarkStart w:id="44" w:name="_Toc28359085"/>
      <w:bookmarkStart w:id="45" w:name="_Toc35393796"/>
      <w:bookmarkStart w:id="46" w:name="_Toc28359008"/>
      <w:bookmarkStart w:id="47" w:name="_Toc35393627"/>
      <w:r>
        <w:rPr>
          <w:rFonts w:hint="eastAsia" w:ascii="宋体" w:hAnsi="宋体" w:eastAsia="宋体" w:cs="宋体"/>
          <w:color w:val="auto"/>
          <w:sz w:val="24"/>
          <w:szCs w:val="24"/>
          <w:highlight w:val="none"/>
        </w:rPr>
        <w:t>1.本项目需要落实的政府采购政策：</w:t>
      </w:r>
    </w:p>
    <w:p w14:paraId="11A781D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1.1执行《关于印发环境标志产品政府采购品目清单的通知》（财库[2019]18号）；</w:t>
      </w:r>
    </w:p>
    <w:p w14:paraId="622DF91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1.2《财政部 发展改革委关于印发节能产品政府采购品目清单的通知》（财库[2019]19号）；</w:t>
      </w:r>
    </w:p>
    <w:p w14:paraId="18B9C03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1.3执行《政府采购促进中小企业发展管理办法》（财库[2020]46号）；</w:t>
      </w:r>
    </w:p>
    <w:p w14:paraId="29100E8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1.4《关于进一步加大政府采购支持中小企业力度的通知》（财库〔2022〕19号）；</w:t>
      </w:r>
    </w:p>
    <w:p w14:paraId="6809C68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1.5执行《财政部、司法部关于政府采购支持监狱企业发展有关问题的通知》（财库[2014]68号）；</w:t>
      </w:r>
    </w:p>
    <w:p w14:paraId="5A12FEF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1.6执行《关于促进残疾人就业政府采购政策的通知》（财库〔2017〕141号）；</w:t>
      </w:r>
    </w:p>
    <w:p w14:paraId="25CB36B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1.7执行《财政部关于在政府采购活动中查询及使用信用记录有关问题的通知》（财库[2016]125号）；</w:t>
      </w:r>
    </w:p>
    <w:p w14:paraId="503C650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1.8《北京市财政局关于持续深化政府采购营商环境改革的通知》（京财采购〔2022〕672号）；</w:t>
      </w:r>
    </w:p>
    <w:p w14:paraId="7FC7C97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1.9执行《关于印发中小企业划型标准规定的通知》（工信部联企业〔2011〕300号）；</w:t>
      </w:r>
    </w:p>
    <w:p w14:paraId="7FFF228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1.10执行政府采购信用担保政策。</w:t>
      </w:r>
    </w:p>
    <w:p w14:paraId="1A9DE5D7">
      <w:pPr>
        <w:spacing w:line="360" w:lineRule="auto"/>
        <w:ind w:firstLine="476" w:firstLineChars="200"/>
        <w:rPr>
          <w:rFonts w:hint="eastAsia" w:ascii="宋体" w:hAnsi="宋体" w:eastAsia="宋体" w:cs="宋体"/>
          <w:color w:val="auto"/>
          <w:spacing w:val="-1"/>
          <w:position w:val="17"/>
          <w:sz w:val="24"/>
          <w:szCs w:val="24"/>
          <w:highlight w:val="none"/>
        </w:rPr>
      </w:pPr>
      <w:r>
        <w:rPr>
          <w:rFonts w:hint="eastAsia" w:ascii="宋体" w:hAnsi="宋体" w:eastAsia="宋体" w:cs="宋体"/>
          <w:color w:val="auto"/>
          <w:spacing w:val="-1"/>
          <w:position w:val="17"/>
          <w:sz w:val="24"/>
          <w:szCs w:val="24"/>
          <w:highlight w:val="none"/>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36871983">
      <w:pPr>
        <w:pStyle w:val="17"/>
        <w:spacing w:before="65" w:line="360" w:lineRule="auto"/>
        <w:ind w:right="154" w:firstLine="302" w:firstLineChars="127"/>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CA数字证书服务热线010-58511086</w:t>
      </w:r>
    </w:p>
    <w:p w14:paraId="77EA771A">
      <w:pPr>
        <w:pStyle w:val="17"/>
        <w:spacing w:before="65" w:line="360" w:lineRule="auto"/>
        <w:ind w:right="154" w:firstLine="302" w:firstLineChars="127"/>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电子营业执照服务热线400-699-7000</w:t>
      </w:r>
    </w:p>
    <w:p w14:paraId="78E80957">
      <w:pPr>
        <w:pStyle w:val="17"/>
        <w:spacing w:before="65" w:line="360" w:lineRule="auto"/>
        <w:ind w:right="154" w:firstLine="302" w:firstLineChars="127"/>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技术支持服务热线010-86483801</w:t>
      </w:r>
    </w:p>
    <w:p w14:paraId="78BB5A32">
      <w:pPr>
        <w:pStyle w:val="17"/>
        <w:spacing w:before="65" w:line="360" w:lineRule="auto"/>
        <w:ind w:right="154" w:firstLine="302" w:firstLineChars="127"/>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2.1办理CA数字证书或电子营业执照</w:t>
      </w:r>
    </w:p>
    <w:p w14:paraId="4680194A">
      <w:pPr>
        <w:pStyle w:val="17"/>
        <w:spacing w:before="65" w:line="360" w:lineRule="auto"/>
        <w:ind w:right="154" w:firstLine="302" w:firstLineChars="127"/>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供应商登录北京市政府采购电子交易平台查阅“用户指南”—“操作指南”—“市场主体CA办理操作流程指引”/“电子营业执照使用指南”，按照程序要求办理。</w:t>
      </w:r>
    </w:p>
    <w:p w14:paraId="6B28D265">
      <w:pPr>
        <w:pStyle w:val="17"/>
        <w:spacing w:before="65" w:line="360" w:lineRule="auto"/>
        <w:ind w:right="154" w:firstLine="302" w:firstLineChars="127"/>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2.2注册</w:t>
      </w:r>
    </w:p>
    <w:p w14:paraId="3B56FFBA">
      <w:pPr>
        <w:pStyle w:val="17"/>
        <w:spacing w:before="65" w:line="360" w:lineRule="auto"/>
        <w:ind w:right="154" w:firstLine="302" w:firstLineChars="127"/>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供应商登录北京市政府采购电子交易平台“用户指南”—“操作指南”—“市场主体注册入库操作流程指引”进行自助注册绑定。</w:t>
      </w:r>
    </w:p>
    <w:p w14:paraId="139D663A">
      <w:pPr>
        <w:pStyle w:val="17"/>
        <w:spacing w:before="65" w:line="360" w:lineRule="auto"/>
        <w:ind w:right="154" w:firstLine="302" w:firstLineChars="127"/>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2.3驱动、客户端下载</w:t>
      </w:r>
    </w:p>
    <w:p w14:paraId="617D3A6E">
      <w:pPr>
        <w:pStyle w:val="17"/>
        <w:spacing w:before="65" w:line="360" w:lineRule="auto"/>
        <w:ind w:right="154" w:firstLine="302" w:firstLineChars="127"/>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供应商登录北京市政府采购电子交易平台“用户指南”—“工具下载”—“招标采购系统文件驱动安装包”下载相关驱动。</w:t>
      </w:r>
    </w:p>
    <w:p w14:paraId="186788E1">
      <w:pPr>
        <w:pStyle w:val="17"/>
        <w:spacing w:before="65" w:line="360" w:lineRule="auto"/>
        <w:ind w:right="154" w:firstLine="302" w:firstLineChars="127"/>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供应商登录北京市政府采购电子交易平台“用户指南”—“工具下载”—“投标文件编制工具”下载相关客户端。</w:t>
      </w:r>
    </w:p>
    <w:p w14:paraId="56FACFFE">
      <w:pPr>
        <w:pStyle w:val="17"/>
        <w:spacing w:before="65" w:line="360" w:lineRule="auto"/>
        <w:ind w:right="154" w:firstLine="302" w:firstLineChars="127"/>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2.4获取电子招标文件</w:t>
      </w:r>
    </w:p>
    <w:p w14:paraId="6F0A1C36">
      <w:pPr>
        <w:pStyle w:val="17"/>
        <w:spacing w:before="65" w:line="360" w:lineRule="auto"/>
        <w:ind w:right="154" w:firstLine="302" w:firstLineChars="127"/>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供应商使用CA数字证书或电子营业执照登录北京市政府采购电子交易平台获取电子招标文件。</w:t>
      </w:r>
    </w:p>
    <w:p w14:paraId="71E934C2">
      <w:pPr>
        <w:pStyle w:val="17"/>
        <w:spacing w:before="65" w:line="360" w:lineRule="auto"/>
        <w:ind w:right="154" w:firstLine="302" w:firstLineChars="127"/>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679B54A">
      <w:pPr>
        <w:pStyle w:val="17"/>
        <w:spacing w:before="65" w:line="360" w:lineRule="auto"/>
        <w:ind w:right="154" w:firstLine="302" w:firstLineChars="127"/>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2.5编制电子投标文件</w:t>
      </w:r>
    </w:p>
    <w:p w14:paraId="1A99DB1C">
      <w:pPr>
        <w:pStyle w:val="17"/>
        <w:spacing w:before="65" w:line="360" w:lineRule="auto"/>
        <w:ind w:right="154" w:firstLine="302" w:firstLineChars="127"/>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7AF3AFD6">
      <w:pPr>
        <w:pStyle w:val="17"/>
        <w:spacing w:before="65" w:line="360" w:lineRule="auto"/>
        <w:ind w:right="154" w:firstLine="302" w:firstLineChars="127"/>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2.6提交电子投标文件</w:t>
      </w:r>
    </w:p>
    <w:p w14:paraId="1B77728D">
      <w:pPr>
        <w:pStyle w:val="17"/>
        <w:spacing w:before="65" w:line="360" w:lineRule="auto"/>
        <w:ind w:right="154" w:firstLine="302" w:firstLineChars="127"/>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供应商应于投标截止时间前在北京市政府采购电子交易平台提交电子投标文件，上传电子投标文件过程中请保持与互联网的连接畅通。</w:t>
      </w:r>
    </w:p>
    <w:p w14:paraId="50725999">
      <w:pPr>
        <w:pStyle w:val="17"/>
        <w:spacing w:before="65" w:line="360" w:lineRule="auto"/>
        <w:ind w:right="154" w:firstLine="302" w:firstLineChars="127"/>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2.7电子开标</w:t>
      </w:r>
    </w:p>
    <w:p w14:paraId="27623E0C">
      <w:pPr>
        <w:pStyle w:val="17"/>
        <w:spacing w:before="65" w:line="360" w:lineRule="auto"/>
        <w:ind w:right="154" w:firstLine="302" w:firstLineChars="127"/>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供应商在开标地点使用CA数字证书或电子营业执照登录北京市政府采购电子交易平台进行电子开标。</w:t>
      </w:r>
    </w:p>
    <w:p w14:paraId="29CC1F6B">
      <w:pPr>
        <w:pStyle w:val="17"/>
        <w:spacing w:before="65" w:line="360" w:lineRule="auto"/>
        <w:ind w:right="154" w:firstLine="304" w:firstLineChars="127"/>
        <w:rPr>
          <w:rFonts w:hint="eastAsia" w:ascii="宋体" w:hAnsi="宋体" w:eastAsia="宋体" w:cs="宋体"/>
          <w:color w:val="auto"/>
          <w:spacing w:val="-1"/>
          <w:sz w:val="24"/>
          <w:szCs w:val="24"/>
          <w:highlight w:val="none"/>
        </w:rPr>
      </w:pPr>
      <w:r>
        <w:rPr>
          <w:rFonts w:hint="eastAsia" w:ascii="宋体" w:hAnsi="宋体" w:eastAsia="宋体" w:cs="宋体"/>
          <w:color w:val="auto"/>
          <w:sz w:val="24"/>
          <w:szCs w:val="24"/>
          <w:highlight w:val="none"/>
        </w:rPr>
        <w:t>3. 本项目在中国政府采购网http://www.ccgp.gov.cn/ （由北京市政府采购网推送）、北京市政府采购网http://www.ccgp-beijing.gov.cn/上同时发布。</w:t>
      </w:r>
    </w:p>
    <w:p w14:paraId="4833DAE0">
      <w:pPr>
        <w:pStyle w:val="2"/>
        <w:spacing w:line="360" w:lineRule="auto"/>
        <w:jc w:val="both"/>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七、对本次招标提出询问，请按以下方式联系。</w:t>
      </w:r>
    </w:p>
    <w:p w14:paraId="146AEA0F">
      <w:pPr>
        <w:pStyle w:val="2"/>
        <w:spacing w:line="360" w:lineRule="auto"/>
        <w:jc w:val="both"/>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1.采购人信息</w:t>
      </w:r>
    </w:p>
    <w:p w14:paraId="1B4C77D7">
      <w:pPr>
        <w:spacing w:line="360" w:lineRule="auto"/>
        <w:jc w:val="left"/>
        <w:rPr>
          <w:rFonts w:hint="eastAsia" w:ascii="宋体" w:hAnsi="宋体" w:cs="宋体"/>
          <w:color w:val="auto"/>
          <w:sz w:val="24"/>
          <w:highlight w:val="none"/>
        </w:rPr>
      </w:pPr>
      <w:bookmarkStart w:id="48" w:name="_Toc28359009"/>
      <w:bookmarkStart w:id="49" w:name="_Toc28359086"/>
      <w:r>
        <w:rPr>
          <w:rFonts w:hint="eastAsia" w:ascii="宋体" w:hAnsi="宋体" w:cs="宋体"/>
          <w:color w:val="auto"/>
          <w:sz w:val="24"/>
          <w:highlight w:val="none"/>
        </w:rPr>
        <w:t>名    称：北京市绿地养护管理事务中心</w:t>
      </w:r>
    </w:p>
    <w:p w14:paraId="54E26C2F">
      <w:pPr>
        <w:spacing w:line="360" w:lineRule="auto"/>
        <w:jc w:val="left"/>
        <w:rPr>
          <w:rFonts w:hint="eastAsia" w:ascii="宋体" w:hAnsi="宋体" w:cs="宋体"/>
          <w:bCs/>
          <w:color w:val="auto"/>
          <w:sz w:val="24"/>
          <w:highlight w:val="none"/>
        </w:rPr>
      </w:pPr>
      <w:r>
        <w:rPr>
          <w:rFonts w:hint="eastAsia" w:ascii="宋体" w:hAnsi="宋体" w:cs="宋体"/>
          <w:color w:val="auto"/>
          <w:sz w:val="24"/>
          <w:highlight w:val="none"/>
        </w:rPr>
        <w:t>地    址：</w:t>
      </w:r>
      <w:r>
        <w:rPr>
          <w:rFonts w:hint="eastAsia" w:ascii="宋体" w:hAnsi="宋体" w:cs="宋体"/>
          <w:bCs/>
          <w:color w:val="auto"/>
          <w:sz w:val="24"/>
          <w:highlight w:val="none"/>
        </w:rPr>
        <w:t>北京市通州区宋庄南大街211号院</w:t>
      </w:r>
    </w:p>
    <w:p w14:paraId="73D6F7AA">
      <w:pPr>
        <w:spacing w:line="360" w:lineRule="auto"/>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联系方式：</w:t>
      </w:r>
      <w:r>
        <w:rPr>
          <w:rFonts w:hint="eastAsia" w:ascii="宋体" w:hAnsi="宋体" w:cs="宋体"/>
          <w:color w:val="auto"/>
          <w:sz w:val="24"/>
          <w:highlight w:val="none"/>
          <w:lang w:val="en-US" w:eastAsia="zh-CN"/>
        </w:rPr>
        <w:t>李老师，010-55536115</w:t>
      </w:r>
    </w:p>
    <w:p w14:paraId="7B66D2A3">
      <w:pPr>
        <w:spacing w:line="360" w:lineRule="auto"/>
        <w:jc w:val="left"/>
        <w:rPr>
          <w:rFonts w:ascii="宋体" w:hAnsi="宋体" w:cs="仿宋"/>
          <w:b/>
          <w:color w:val="auto"/>
          <w:sz w:val="24"/>
          <w:highlight w:val="none"/>
        </w:rPr>
      </w:pPr>
      <w:r>
        <w:rPr>
          <w:rFonts w:hint="eastAsia" w:ascii="宋体" w:hAnsi="宋体" w:cs="仿宋"/>
          <w:b/>
          <w:color w:val="auto"/>
          <w:sz w:val="24"/>
          <w:highlight w:val="none"/>
        </w:rPr>
        <w:t>2.采购代理机构信息</w:t>
      </w:r>
      <w:bookmarkEnd w:id="48"/>
      <w:bookmarkEnd w:id="49"/>
    </w:p>
    <w:p w14:paraId="2B673CA2">
      <w:pPr>
        <w:spacing w:line="360" w:lineRule="auto"/>
        <w:jc w:val="left"/>
        <w:rPr>
          <w:rFonts w:hint="eastAsia" w:ascii="宋体" w:hAnsi="宋体" w:eastAsia="宋体" w:cs="宋体"/>
          <w:color w:val="auto"/>
          <w:sz w:val="24"/>
          <w:szCs w:val="24"/>
          <w:highlight w:val="none"/>
        </w:rPr>
      </w:pPr>
      <w:bookmarkStart w:id="50" w:name="_Toc28359010"/>
      <w:bookmarkStart w:id="51" w:name="_Toc28359087"/>
      <w:r>
        <w:rPr>
          <w:rFonts w:hint="eastAsia" w:ascii="宋体" w:hAnsi="宋体" w:eastAsia="宋体" w:cs="宋体"/>
          <w:color w:val="auto"/>
          <w:sz w:val="24"/>
          <w:szCs w:val="24"/>
          <w:highlight w:val="none"/>
        </w:rPr>
        <w:t>名    称：北京华建联造价工程师事务所有限公司</w:t>
      </w:r>
    </w:p>
    <w:p w14:paraId="328DD1DE">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址：北京市朝阳区高碑店乡半壁店村惠河南街1131号5层5020室</w:t>
      </w:r>
    </w:p>
    <w:p w14:paraId="05B90246">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联系方式：张春艳，13693051588</w:t>
      </w:r>
    </w:p>
    <w:p w14:paraId="2598FBFE">
      <w:pPr>
        <w:spacing w:line="360" w:lineRule="auto"/>
        <w:jc w:val="left"/>
        <w:rPr>
          <w:rFonts w:hint="eastAsia" w:ascii="宋体" w:hAnsi="宋体" w:eastAsia="宋体" w:cs="仿宋"/>
          <w:b/>
          <w:color w:val="auto"/>
          <w:kern w:val="2"/>
          <w:sz w:val="24"/>
          <w:szCs w:val="24"/>
          <w:highlight w:val="none"/>
          <w:lang w:val="en-US" w:eastAsia="zh-CN" w:bidi="ar-SA"/>
        </w:rPr>
      </w:pPr>
      <w:r>
        <w:rPr>
          <w:rFonts w:hint="eastAsia" w:ascii="宋体" w:hAnsi="宋体" w:eastAsia="宋体" w:cs="仿宋"/>
          <w:b/>
          <w:color w:val="auto"/>
          <w:kern w:val="2"/>
          <w:sz w:val="24"/>
          <w:szCs w:val="24"/>
          <w:highlight w:val="none"/>
          <w:lang w:val="en-US" w:eastAsia="zh-CN" w:bidi="ar-SA"/>
        </w:rPr>
        <w:t>3.项目联系方式</w:t>
      </w:r>
    </w:p>
    <w:p w14:paraId="7907FA77">
      <w:pPr>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项目联系人：张春艳</w:t>
      </w:r>
      <w:r>
        <w:rPr>
          <w:rFonts w:hint="eastAsia" w:ascii="宋体" w:hAnsi="宋体" w:cs="宋体"/>
          <w:color w:val="auto"/>
          <w:sz w:val="24"/>
          <w:szCs w:val="24"/>
          <w:highlight w:val="none"/>
          <w:lang w:val="en-US" w:eastAsia="zh-CN"/>
        </w:rPr>
        <w:t xml:space="preserve">  </w:t>
      </w:r>
    </w:p>
    <w:p w14:paraId="6D436BA1">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      话：13693051588 </w:t>
      </w:r>
      <w:r>
        <w:rPr>
          <w:rFonts w:hint="eastAsia" w:ascii="宋体" w:hAnsi="宋体" w:cs="宋体"/>
          <w:color w:val="auto"/>
          <w:sz w:val="24"/>
          <w:szCs w:val="24"/>
          <w:highlight w:val="none"/>
          <w:lang w:val="en-US" w:eastAsia="zh-CN"/>
        </w:rPr>
        <w:t xml:space="preserve"> 办公电话：010-53389933</w:t>
      </w:r>
    </w:p>
    <w:bookmarkEnd w:id="44"/>
    <w:bookmarkEnd w:id="45"/>
    <w:bookmarkEnd w:id="46"/>
    <w:bookmarkEnd w:id="47"/>
    <w:bookmarkEnd w:id="50"/>
    <w:bookmarkEnd w:id="51"/>
    <w:p w14:paraId="5DE21733">
      <w:pPr>
        <w:spacing w:line="360" w:lineRule="auto"/>
        <w:jc w:val="center"/>
        <w:outlineLvl w:val="0"/>
        <w:rPr>
          <w:rFonts w:ascii="宋体" w:hAnsi="宋体"/>
          <w:b/>
          <w:color w:val="auto"/>
          <w:sz w:val="24"/>
          <w:highlight w:val="none"/>
        </w:rPr>
        <w:sectPr>
          <w:headerReference r:id="rId6" w:type="first"/>
          <w:footerReference r:id="rId8" w:type="first"/>
          <w:footerReference r:id="rId7" w:type="default"/>
          <w:pgSz w:w="11907" w:h="16840"/>
          <w:pgMar w:top="1418" w:right="1134" w:bottom="1418" w:left="1701" w:header="851" w:footer="851" w:gutter="0"/>
          <w:pgNumType w:fmt="decimal" w:start="1"/>
          <w:cols w:space="720" w:num="1"/>
          <w:titlePg/>
          <w:docGrid w:linePitch="462" w:charSpace="0"/>
        </w:sectPr>
      </w:pPr>
      <w:bookmarkStart w:id="52" w:name="_Toc28308"/>
    </w:p>
    <w:p w14:paraId="249030BE">
      <w:pPr>
        <w:spacing w:line="360" w:lineRule="auto"/>
        <w:jc w:val="center"/>
        <w:outlineLvl w:val="0"/>
        <w:rPr>
          <w:rFonts w:ascii="宋体" w:hAnsi="宋体"/>
          <w:b/>
          <w:color w:val="auto"/>
          <w:sz w:val="24"/>
          <w:highlight w:val="none"/>
        </w:rPr>
      </w:pPr>
      <w:bookmarkStart w:id="53" w:name="_Toc4435"/>
      <w:r>
        <w:rPr>
          <w:rFonts w:ascii="宋体" w:hAnsi="宋体"/>
          <w:b/>
          <w:color w:val="auto"/>
          <w:sz w:val="24"/>
          <w:highlight w:val="none"/>
        </w:rPr>
        <w:t>第二章   投标人须知</w:t>
      </w:r>
      <w:bookmarkEnd w:id="17"/>
      <w:bookmarkEnd w:id="18"/>
      <w:bookmarkEnd w:id="19"/>
      <w:bookmarkEnd w:id="20"/>
      <w:bookmarkEnd w:id="21"/>
      <w:bookmarkEnd w:id="22"/>
      <w:bookmarkEnd w:id="23"/>
      <w:bookmarkEnd w:id="24"/>
      <w:bookmarkEnd w:id="25"/>
      <w:bookmarkEnd w:id="26"/>
      <w:bookmarkEnd w:id="27"/>
      <w:bookmarkEnd w:id="28"/>
      <w:bookmarkEnd w:id="29"/>
      <w:bookmarkEnd w:id="52"/>
      <w:bookmarkEnd w:id="53"/>
    </w:p>
    <w:p w14:paraId="7E4C90E2">
      <w:pPr>
        <w:pStyle w:val="2"/>
        <w:tabs>
          <w:tab w:val="center" w:pos="4592"/>
          <w:tab w:val="left" w:pos="7860"/>
        </w:tabs>
        <w:spacing w:before="0" w:line="360" w:lineRule="auto"/>
        <w:rPr>
          <w:rFonts w:ascii="宋体" w:hAnsi="宋体" w:eastAsia="宋体"/>
          <w:color w:val="auto"/>
          <w:sz w:val="24"/>
          <w:szCs w:val="24"/>
          <w:highlight w:val="none"/>
        </w:rPr>
      </w:pPr>
      <w:bookmarkStart w:id="54" w:name="_Toc151193761"/>
      <w:bookmarkStart w:id="55" w:name="_Toc127151720"/>
      <w:bookmarkStart w:id="56" w:name="_Toc164229214"/>
      <w:bookmarkStart w:id="57" w:name="_Toc150774724"/>
      <w:bookmarkStart w:id="58" w:name="_Toc226309763"/>
      <w:bookmarkStart w:id="59" w:name="_Toc150774619"/>
      <w:bookmarkStart w:id="60" w:name="_Toc164608633"/>
      <w:bookmarkStart w:id="61" w:name="_Toc151193833"/>
      <w:bookmarkStart w:id="62" w:name="_Toc151193617"/>
      <w:bookmarkStart w:id="63" w:name="_Toc164351613"/>
      <w:bookmarkStart w:id="64" w:name="_Toc151193689"/>
      <w:bookmarkStart w:id="65" w:name="_Toc226337215"/>
      <w:bookmarkStart w:id="66" w:name="_Toc195842884"/>
      <w:bookmarkStart w:id="67" w:name="_Toc226965792"/>
      <w:bookmarkStart w:id="68" w:name="_Toc151193907"/>
      <w:bookmarkStart w:id="69" w:name="_Toc150480757"/>
      <w:bookmarkStart w:id="70" w:name="_Toc164608788"/>
      <w:bookmarkStart w:id="71" w:name="_Toc520356144"/>
      <w:bookmarkStart w:id="72" w:name="_Toc149720812"/>
      <w:bookmarkStart w:id="73" w:name="_Toc164229360"/>
      <w:bookmarkStart w:id="74" w:name="_Toc127151519"/>
      <w:bookmarkStart w:id="75" w:name="_Toc226965709"/>
      <w:bookmarkStart w:id="76" w:name="_Toc150509270"/>
      <w:bookmarkStart w:id="77" w:name="_Toc151190146"/>
      <w:bookmarkStart w:id="78" w:name="_Toc127161433"/>
      <w:bookmarkStart w:id="79" w:name="_Toc142311021"/>
      <w:r>
        <w:rPr>
          <w:rFonts w:ascii="宋体" w:hAnsi="宋体" w:eastAsia="宋体"/>
          <w:color w:val="auto"/>
          <w:sz w:val="24"/>
          <w:szCs w:val="24"/>
          <w:highlight w:val="none"/>
        </w:rPr>
        <w:t>投标人须知资料表</w:t>
      </w:r>
    </w:p>
    <w:p w14:paraId="6831788A">
      <w:pPr>
        <w:jc w:val="center"/>
        <w:rPr>
          <w:rFonts w:ascii="宋体" w:hAnsi="宋体"/>
          <w:b/>
          <w:color w:val="auto"/>
          <w:sz w:val="24"/>
          <w:highlight w:val="none"/>
        </w:rPr>
      </w:pPr>
    </w:p>
    <w:p w14:paraId="34278181">
      <w:pPr>
        <w:spacing w:line="360" w:lineRule="auto"/>
        <w:ind w:firstLine="480"/>
        <w:rPr>
          <w:rFonts w:ascii="宋体" w:hAnsi="宋体"/>
          <w:color w:val="auto"/>
          <w:sz w:val="24"/>
          <w:highlight w:val="none"/>
        </w:rPr>
      </w:pPr>
      <w:r>
        <w:rPr>
          <w:rFonts w:ascii="宋体" w:hAnsi="宋体"/>
          <w:color w:val="auto"/>
          <w:sz w:val="24"/>
          <w:highlight w:val="none"/>
        </w:rPr>
        <w:t>本表是对投标人须知的具体补充和修改，如有矛盾，均以本资料表为准。标记“</w:t>
      </w:r>
      <w:r>
        <w:rPr>
          <w:rFonts w:ascii="Segoe UI Symbol" w:hAnsi="Segoe UI Symbol" w:cs="Segoe UI Symbol"/>
          <w:color w:val="auto"/>
          <w:sz w:val="24"/>
          <w:highlight w:val="none"/>
        </w:rPr>
        <w:t>☑</w:t>
      </w:r>
      <w:r>
        <w:rPr>
          <w:rFonts w:ascii="宋体" w:hAnsi="宋体"/>
          <w:color w:val="auto"/>
          <w:sz w:val="24"/>
          <w:highlight w:val="none"/>
        </w:rPr>
        <w:t>”的选项意为适用于本项目，标记“□”的选项意为不适用于本项目。</w:t>
      </w:r>
    </w:p>
    <w:tbl>
      <w:tblPr>
        <w:tblStyle w:val="46"/>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2346E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69660866">
            <w:pPr>
              <w:jc w:val="center"/>
              <w:rPr>
                <w:rFonts w:ascii="宋体" w:hAnsi="宋体"/>
                <w:b/>
                <w:bCs/>
                <w:color w:val="auto"/>
                <w:sz w:val="24"/>
                <w:highlight w:val="none"/>
              </w:rPr>
            </w:pPr>
            <w:r>
              <w:rPr>
                <w:rFonts w:ascii="宋体" w:hAnsi="宋体"/>
                <w:b/>
                <w:color w:val="auto"/>
                <w:sz w:val="24"/>
                <w:highlight w:val="none"/>
              </w:rPr>
              <w:t>条款号</w:t>
            </w:r>
          </w:p>
        </w:tc>
        <w:tc>
          <w:tcPr>
            <w:tcW w:w="1701" w:type="dxa"/>
            <w:vAlign w:val="center"/>
          </w:tcPr>
          <w:p w14:paraId="5D23B326">
            <w:pPr>
              <w:jc w:val="center"/>
              <w:rPr>
                <w:rFonts w:ascii="宋体" w:hAnsi="宋体"/>
                <w:b/>
                <w:bCs/>
                <w:color w:val="auto"/>
                <w:sz w:val="24"/>
                <w:highlight w:val="none"/>
              </w:rPr>
            </w:pPr>
            <w:r>
              <w:rPr>
                <w:rFonts w:ascii="宋体" w:hAnsi="宋体"/>
                <w:b/>
                <w:bCs/>
                <w:color w:val="auto"/>
                <w:sz w:val="24"/>
                <w:highlight w:val="none"/>
              </w:rPr>
              <w:t>条目</w:t>
            </w:r>
          </w:p>
        </w:tc>
        <w:tc>
          <w:tcPr>
            <w:tcW w:w="7540" w:type="dxa"/>
            <w:vAlign w:val="center"/>
          </w:tcPr>
          <w:p w14:paraId="5E32DBAD">
            <w:pPr>
              <w:jc w:val="center"/>
              <w:rPr>
                <w:rFonts w:ascii="宋体" w:hAnsi="宋体"/>
                <w:b/>
                <w:bCs/>
                <w:color w:val="auto"/>
                <w:sz w:val="24"/>
                <w:highlight w:val="none"/>
              </w:rPr>
            </w:pPr>
            <w:r>
              <w:rPr>
                <w:rFonts w:ascii="宋体" w:hAnsi="宋体"/>
                <w:b/>
                <w:bCs/>
                <w:color w:val="auto"/>
                <w:sz w:val="24"/>
                <w:highlight w:val="none"/>
              </w:rPr>
              <w:t>内容</w:t>
            </w:r>
          </w:p>
        </w:tc>
      </w:tr>
      <w:tr w14:paraId="3785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5DA9295">
            <w:pPr>
              <w:pStyle w:val="24"/>
              <w:adjustRightInd w:val="0"/>
              <w:snapToGrid w:val="0"/>
              <w:jc w:val="center"/>
              <w:rPr>
                <w:rFonts w:hint="default" w:hAnsi="宋体"/>
                <w:color w:val="auto"/>
                <w:sz w:val="24"/>
                <w:szCs w:val="24"/>
                <w:highlight w:val="none"/>
              </w:rPr>
            </w:pPr>
            <w:r>
              <w:rPr>
                <w:rFonts w:hint="default" w:hAnsi="宋体"/>
                <w:color w:val="auto"/>
                <w:sz w:val="24"/>
                <w:szCs w:val="24"/>
                <w:highlight w:val="none"/>
              </w:rPr>
              <w:t>2.2</w:t>
            </w:r>
          </w:p>
        </w:tc>
        <w:tc>
          <w:tcPr>
            <w:tcW w:w="1701" w:type="dxa"/>
            <w:vAlign w:val="center"/>
          </w:tcPr>
          <w:p w14:paraId="1D8BE1CB">
            <w:pPr>
              <w:jc w:val="center"/>
              <w:rPr>
                <w:rFonts w:ascii="宋体" w:hAnsi="宋体"/>
                <w:color w:val="auto"/>
                <w:sz w:val="24"/>
                <w:highlight w:val="none"/>
              </w:rPr>
            </w:pPr>
            <w:r>
              <w:rPr>
                <w:rFonts w:ascii="宋体" w:hAnsi="宋体"/>
                <w:color w:val="auto"/>
                <w:sz w:val="24"/>
                <w:highlight w:val="none"/>
              </w:rPr>
              <w:t>项目属性</w:t>
            </w:r>
          </w:p>
        </w:tc>
        <w:tc>
          <w:tcPr>
            <w:tcW w:w="7540" w:type="dxa"/>
            <w:vAlign w:val="center"/>
          </w:tcPr>
          <w:p w14:paraId="772A6C4E">
            <w:pPr>
              <w:jc w:val="left"/>
              <w:rPr>
                <w:rFonts w:ascii="宋体" w:hAnsi="宋体"/>
                <w:color w:val="auto"/>
                <w:sz w:val="24"/>
                <w:highlight w:val="none"/>
              </w:rPr>
            </w:pPr>
            <w:r>
              <w:rPr>
                <w:rFonts w:ascii="宋体" w:hAnsi="宋体"/>
                <w:color w:val="auto"/>
                <w:sz w:val="24"/>
                <w:highlight w:val="none"/>
              </w:rPr>
              <w:t>项目属性：</w:t>
            </w:r>
          </w:p>
          <w:p w14:paraId="2CE525E8">
            <w:pPr>
              <w:jc w:val="left"/>
              <w:rPr>
                <w:rFonts w:ascii="宋体" w:hAnsi="宋体"/>
                <w:color w:val="auto"/>
                <w:sz w:val="24"/>
                <w:highlight w:val="none"/>
              </w:rPr>
            </w:pPr>
            <w:r>
              <w:rPr>
                <w:rFonts w:ascii="Segoe UI Symbol" w:hAnsi="Segoe UI Symbol" w:cs="Segoe UI Symbol"/>
                <w:color w:val="auto"/>
                <w:sz w:val="24"/>
                <w:highlight w:val="none"/>
              </w:rPr>
              <w:t>☑</w:t>
            </w:r>
            <w:r>
              <w:rPr>
                <w:rFonts w:ascii="宋体" w:hAnsi="宋体"/>
                <w:color w:val="auto"/>
                <w:sz w:val="24"/>
                <w:highlight w:val="none"/>
              </w:rPr>
              <w:t>服务</w:t>
            </w:r>
          </w:p>
          <w:p w14:paraId="407A0C36">
            <w:pPr>
              <w:jc w:val="left"/>
              <w:rPr>
                <w:rFonts w:ascii="宋体" w:hAnsi="宋体"/>
                <w:color w:val="auto"/>
                <w:sz w:val="24"/>
                <w:highlight w:val="none"/>
                <w:u w:val="single"/>
              </w:rPr>
            </w:pPr>
            <w:r>
              <w:rPr>
                <w:rFonts w:ascii="宋体" w:hAnsi="宋体"/>
                <w:color w:val="auto"/>
                <w:sz w:val="24"/>
                <w:highlight w:val="none"/>
              </w:rPr>
              <w:t>□货物</w:t>
            </w:r>
          </w:p>
        </w:tc>
      </w:tr>
      <w:tr w14:paraId="4E4C6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C55E305">
            <w:pPr>
              <w:pStyle w:val="24"/>
              <w:adjustRightInd w:val="0"/>
              <w:snapToGrid w:val="0"/>
              <w:jc w:val="center"/>
              <w:rPr>
                <w:rFonts w:hint="default" w:hAnsi="宋体"/>
                <w:color w:val="auto"/>
                <w:sz w:val="24"/>
                <w:szCs w:val="24"/>
                <w:highlight w:val="none"/>
              </w:rPr>
            </w:pPr>
            <w:r>
              <w:rPr>
                <w:rFonts w:hint="default" w:hAnsi="宋体"/>
                <w:color w:val="auto"/>
                <w:sz w:val="24"/>
                <w:szCs w:val="24"/>
                <w:highlight w:val="none"/>
              </w:rPr>
              <w:t>2.3</w:t>
            </w:r>
          </w:p>
        </w:tc>
        <w:tc>
          <w:tcPr>
            <w:tcW w:w="1701" w:type="dxa"/>
            <w:vAlign w:val="center"/>
          </w:tcPr>
          <w:p w14:paraId="684EE707">
            <w:pPr>
              <w:jc w:val="center"/>
              <w:rPr>
                <w:rFonts w:ascii="宋体" w:hAnsi="宋体"/>
                <w:color w:val="auto"/>
                <w:sz w:val="24"/>
                <w:highlight w:val="none"/>
              </w:rPr>
            </w:pPr>
            <w:r>
              <w:rPr>
                <w:rFonts w:ascii="宋体" w:hAnsi="宋体"/>
                <w:color w:val="auto"/>
                <w:sz w:val="24"/>
                <w:highlight w:val="none"/>
              </w:rPr>
              <w:t>科研仪器设备</w:t>
            </w:r>
          </w:p>
        </w:tc>
        <w:tc>
          <w:tcPr>
            <w:tcW w:w="7540" w:type="dxa"/>
            <w:vAlign w:val="center"/>
          </w:tcPr>
          <w:p w14:paraId="69447FBA">
            <w:pPr>
              <w:jc w:val="left"/>
              <w:rPr>
                <w:rFonts w:ascii="宋体" w:hAnsi="宋体"/>
                <w:color w:val="auto"/>
                <w:sz w:val="24"/>
                <w:highlight w:val="none"/>
              </w:rPr>
            </w:pPr>
            <w:r>
              <w:rPr>
                <w:rFonts w:ascii="宋体" w:hAnsi="宋体"/>
                <w:color w:val="auto"/>
                <w:sz w:val="24"/>
                <w:highlight w:val="none"/>
              </w:rPr>
              <w:t>是否属于科研仪器设备采购项目：</w:t>
            </w:r>
          </w:p>
          <w:p w14:paraId="20D349B0">
            <w:pPr>
              <w:jc w:val="left"/>
              <w:rPr>
                <w:rFonts w:ascii="宋体" w:hAnsi="宋体"/>
                <w:color w:val="auto"/>
                <w:sz w:val="24"/>
                <w:highlight w:val="none"/>
              </w:rPr>
            </w:pPr>
            <w:r>
              <w:rPr>
                <w:rFonts w:ascii="宋体" w:hAnsi="宋体"/>
                <w:color w:val="auto"/>
                <w:sz w:val="24"/>
                <w:highlight w:val="none"/>
              </w:rPr>
              <w:t>□是</w:t>
            </w:r>
          </w:p>
          <w:p w14:paraId="14C0224A">
            <w:pPr>
              <w:jc w:val="left"/>
              <w:rPr>
                <w:rFonts w:ascii="宋体" w:hAnsi="宋体"/>
                <w:color w:val="auto"/>
                <w:sz w:val="24"/>
                <w:highlight w:val="none"/>
              </w:rPr>
            </w:pPr>
            <w:r>
              <w:rPr>
                <w:rFonts w:ascii="Segoe UI Symbol" w:hAnsi="Segoe UI Symbol" w:cs="Segoe UI Symbol"/>
                <w:color w:val="auto"/>
                <w:sz w:val="24"/>
                <w:highlight w:val="none"/>
              </w:rPr>
              <w:t>☑</w:t>
            </w:r>
            <w:r>
              <w:rPr>
                <w:rFonts w:ascii="宋体" w:hAnsi="宋体"/>
                <w:color w:val="auto"/>
                <w:sz w:val="24"/>
                <w:highlight w:val="none"/>
              </w:rPr>
              <w:t>否</w:t>
            </w:r>
          </w:p>
        </w:tc>
      </w:tr>
      <w:tr w14:paraId="1A426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04E2E70">
            <w:pPr>
              <w:pStyle w:val="24"/>
              <w:adjustRightInd w:val="0"/>
              <w:snapToGrid w:val="0"/>
              <w:jc w:val="center"/>
              <w:rPr>
                <w:rFonts w:hint="default" w:hAnsi="宋体"/>
                <w:color w:val="auto"/>
                <w:sz w:val="24"/>
                <w:szCs w:val="24"/>
                <w:highlight w:val="none"/>
              </w:rPr>
            </w:pPr>
            <w:r>
              <w:rPr>
                <w:rFonts w:hint="default" w:hAnsi="宋体"/>
                <w:color w:val="auto"/>
                <w:sz w:val="24"/>
                <w:szCs w:val="24"/>
                <w:highlight w:val="none"/>
              </w:rPr>
              <w:t>2.4</w:t>
            </w:r>
          </w:p>
        </w:tc>
        <w:tc>
          <w:tcPr>
            <w:tcW w:w="1701" w:type="dxa"/>
            <w:vAlign w:val="center"/>
          </w:tcPr>
          <w:p w14:paraId="14A480E5">
            <w:pPr>
              <w:jc w:val="center"/>
              <w:rPr>
                <w:rFonts w:ascii="宋体" w:hAnsi="宋体"/>
                <w:color w:val="auto"/>
                <w:sz w:val="24"/>
                <w:highlight w:val="none"/>
              </w:rPr>
            </w:pPr>
            <w:r>
              <w:rPr>
                <w:rFonts w:ascii="宋体" w:hAnsi="宋体"/>
                <w:color w:val="auto"/>
                <w:sz w:val="24"/>
                <w:highlight w:val="none"/>
              </w:rPr>
              <w:t>核心产品</w:t>
            </w:r>
          </w:p>
        </w:tc>
        <w:tc>
          <w:tcPr>
            <w:tcW w:w="7540" w:type="dxa"/>
            <w:vAlign w:val="center"/>
          </w:tcPr>
          <w:p w14:paraId="0BCADBB5">
            <w:pPr>
              <w:pStyle w:val="24"/>
              <w:adjustRightInd w:val="0"/>
              <w:snapToGrid w:val="0"/>
              <w:rPr>
                <w:rFonts w:hint="default" w:hAnsi="宋体"/>
                <w:color w:val="auto"/>
                <w:sz w:val="24"/>
                <w:szCs w:val="24"/>
                <w:highlight w:val="none"/>
              </w:rPr>
            </w:pPr>
            <w:r>
              <w:rPr>
                <w:rFonts w:hint="default" w:ascii="Segoe UI Symbol" w:hAnsi="Segoe UI Symbol" w:cs="Segoe UI Symbol"/>
                <w:color w:val="auto"/>
                <w:sz w:val="24"/>
                <w:szCs w:val="24"/>
                <w:highlight w:val="none"/>
              </w:rPr>
              <w:t>☑</w:t>
            </w:r>
            <w:r>
              <w:rPr>
                <w:rFonts w:hint="default" w:hAnsi="宋体"/>
                <w:color w:val="auto"/>
                <w:sz w:val="24"/>
                <w:szCs w:val="24"/>
                <w:highlight w:val="none"/>
              </w:rPr>
              <w:t>关于核心产品本项目不适用。</w:t>
            </w:r>
          </w:p>
          <w:p w14:paraId="2219100A">
            <w:pPr>
              <w:pStyle w:val="24"/>
              <w:adjustRightInd w:val="0"/>
              <w:snapToGrid w:val="0"/>
              <w:rPr>
                <w:rFonts w:hint="default" w:hAnsi="宋体"/>
                <w:color w:val="auto"/>
                <w:sz w:val="24"/>
                <w:szCs w:val="24"/>
                <w:highlight w:val="none"/>
              </w:rPr>
            </w:pPr>
            <w:r>
              <w:rPr>
                <w:rFonts w:hAnsi="宋体"/>
                <w:color w:val="auto"/>
                <w:sz w:val="24"/>
                <w:szCs w:val="24"/>
                <w:highlight w:val="none"/>
              </w:rPr>
              <w:t>□</w:t>
            </w:r>
            <w:r>
              <w:rPr>
                <w:rFonts w:hint="default" w:hAnsi="宋体"/>
                <w:color w:val="auto"/>
                <w:sz w:val="24"/>
                <w:szCs w:val="24"/>
                <w:highlight w:val="none"/>
              </w:rPr>
              <w:t>本项目__包为单一产品采购项目。</w:t>
            </w:r>
          </w:p>
          <w:p w14:paraId="691521FC">
            <w:pPr>
              <w:jc w:val="left"/>
              <w:rPr>
                <w:rFonts w:ascii="宋体" w:hAnsi="宋体"/>
                <w:color w:val="auto"/>
                <w:sz w:val="24"/>
                <w:highlight w:val="none"/>
              </w:rPr>
            </w:pPr>
            <w:r>
              <w:rPr>
                <w:rFonts w:ascii="宋体" w:hAnsi="宋体"/>
                <w:color w:val="auto"/>
                <w:sz w:val="24"/>
                <w:highlight w:val="none"/>
              </w:rPr>
              <w:t>□本项目__包为非单一产品采购项目，核心产品为：____。</w:t>
            </w:r>
          </w:p>
        </w:tc>
      </w:tr>
      <w:tr w14:paraId="329A5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77208C61">
            <w:pPr>
              <w:pStyle w:val="24"/>
              <w:adjustRightInd w:val="0"/>
              <w:snapToGrid w:val="0"/>
              <w:jc w:val="center"/>
              <w:rPr>
                <w:rFonts w:hint="default" w:hAnsi="宋体"/>
                <w:color w:val="auto"/>
                <w:sz w:val="24"/>
                <w:szCs w:val="24"/>
                <w:highlight w:val="none"/>
              </w:rPr>
            </w:pPr>
            <w:r>
              <w:rPr>
                <w:rFonts w:hint="default" w:hAnsi="宋体"/>
                <w:color w:val="auto"/>
                <w:sz w:val="24"/>
                <w:szCs w:val="24"/>
                <w:highlight w:val="none"/>
              </w:rPr>
              <w:t>3.1</w:t>
            </w:r>
          </w:p>
        </w:tc>
        <w:tc>
          <w:tcPr>
            <w:tcW w:w="1701" w:type="dxa"/>
            <w:vAlign w:val="center"/>
          </w:tcPr>
          <w:p w14:paraId="255883B9">
            <w:pPr>
              <w:jc w:val="center"/>
              <w:rPr>
                <w:rFonts w:ascii="宋体" w:hAnsi="宋体"/>
                <w:color w:val="auto"/>
                <w:sz w:val="24"/>
                <w:highlight w:val="none"/>
              </w:rPr>
            </w:pPr>
            <w:r>
              <w:rPr>
                <w:rFonts w:ascii="宋体" w:hAnsi="宋体"/>
                <w:color w:val="auto"/>
                <w:sz w:val="24"/>
                <w:highlight w:val="none"/>
              </w:rPr>
              <w:t>现场考察</w:t>
            </w:r>
          </w:p>
        </w:tc>
        <w:tc>
          <w:tcPr>
            <w:tcW w:w="7540" w:type="dxa"/>
            <w:vAlign w:val="center"/>
          </w:tcPr>
          <w:p w14:paraId="3DCD0370">
            <w:pPr>
              <w:jc w:val="left"/>
              <w:rPr>
                <w:rFonts w:ascii="宋体" w:hAnsi="宋体"/>
                <w:color w:val="auto"/>
                <w:sz w:val="24"/>
                <w:highlight w:val="none"/>
              </w:rPr>
            </w:pPr>
            <w:r>
              <w:rPr>
                <w:rFonts w:ascii="Segoe UI Symbol" w:hAnsi="Segoe UI Symbol" w:cs="Segoe UI Symbol"/>
                <w:color w:val="auto"/>
                <w:sz w:val="24"/>
                <w:highlight w:val="none"/>
              </w:rPr>
              <w:t>☑</w:t>
            </w:r>
            <w:r>
              <w:rPr>
                <w:rFonts w:ascii="宋体" w:hAnsi="宋体"/>
                <w:color w:val="auto"/>
                <w:sz w:val="24"/>
                <w:highlight w:val="none"/>
              </w:rPr>
              <w:t>不组织</w:t>
            </w:r>
          </w:p>
          <w:p w14:paraId="0267FDED">
            <w:pPr>
              <w:jc w:val="left"/>
              <w:rPr>
                <w:rFonts w:ascii="宋体" w:hAnsi="宋体"/>
                <w:bCs/>
                <w:color w:val="auto"/>
                <w:sz w:val="24"/>
                <w:highlight w:val="none"/>
              </w:rPr>
            </w:pPr>
            <w:r>
              <w:rPr>
                <w:rFonts w:ascii="宋体" w:hAnsi="宋体"/>
                <w:color w:val="auto"/>
                <w:sz w:val="24"/>
                <w:highlight w:val="none"/>
              </w:rPr>
              <w:t>□组织，考察时间：__年_月_日_</w:t>
            </w:r>
            <w:r>
              <w:rPr>
                <w:rFonts w:ascii="宋体" w:hAnsi="宋体"/>
                <w:bCs/>
                <w:color w:val="auto"/>
                <w:sz w:val="24"/>
                <w:highlight w:val="none"/>
              </w:rPr>
              <w:t>点</w:t>
            </w:r>
            <w:r>
              <w:rPr>
                <w:rFonts w:ascii="宋体" w:hAnsi="宋体"/>
                <w:color w:val="auto"/>
                <w:sz w:val="24"/>
                <w:highlight w:val="none"/>
              </w:rPr>
              <w:t>_</w:t>
            </w:r>
            <w:r>
              <w:rPr>
                <w:rFonts w:ascii="宋体" w:hAnsi="宋体"/>
                <w:bCs/>
                <w:color w:val="auto"/>
                <w:sz w:val="24"/>
                <w:highlight w:val="none"/>
              </w:rPr>
              <w:t>分</w:t>
            </w:r>
          </w:p>
          <w:p w14:paraId="1A44C28C">
            <w:pPr>
              <w:pStyle w:val="24"/>
              <w:adjustRightInd w:val="0"/>
              <w:snapToGrid w:val="0"/>
              <w:rPr>
                <w:rFonts w:hint="default" w:hAnsi="宋体"/>
                <w:color w:val="auto"/>
                <w:sz w:val="24"/>
                <w:szCs w:val="24"/>
                <w:highlight w:val="none"/>
              </w:rPr>
            </w:pPr>
            <w:r>
              <w:rPr>
                <w:rFonts w:hint="default" w:hAnsi="宋体"/>
                <w:color w:val="auto"/>
                <w:sz w:val="24"/>
                <w:szCs w:val="24"/>
                <w:highlight w:val="none"/>
              </w:rPr>
              <w:t>考察地点：____________</w:t>
            </w:r>
            <w:r>
              <w:rPr>
                <w:rFonts w:hAnsi="宋体"/>
                <w:color w:val="auto"/>
                <w:sz w:val="24"/>
                <w:szCs w:val="24"/>
                <w:highlight w:val="none"/>
              </w:rPr>
              <w:t>。</w:t>
            </w:r>
          </w:p>
        </w:tc>
      </w:tr>
      <w:tr w14:paraId="71D29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53E3B450">
            <w:pPr>
              <w:pStyle w:val="24"/>
              <w:adjustRightInd w:val="0"/>
              <w:snapToGrid w:val="0"/>
              <w:jc w:val="center"/>
              <w:rPr>
                <w:rFonts w:hint="default" w:hAnsi="宋体"/>
                <w:color w:val="auto"/>
                <w:sz w:val="24"/>
                <w:szCs w:val="24"/>
                <w:highlight w:val="none"/>
              </w:rPr>
            </w:pPr>
          </w:p>
        </w:tc>
        <w:tc>
          <w:tcPr>
            <w:tcW w:w="1701" w:type="dxa"/>
            <w:vAlign w:val="center"/>
          </w:tcPr>
          <w:p w14:paraId="65818DC8">
            <w:pPr>
              <w:jc w:val="center"/>
              <w:rPr>
                <w:rFonts w:ascii="宋体" w:hAnsi="宋体"/>
                <w:color w:val="auto"/>
                <w:sz w:val="24"/>
                <w:highlight w:val="none"/>
              </w:rPr>
            </w:pPr>
            <w:r>
              <w:rPr>
                <w:rFonts w:ascii="宋体" w:hAnsi="宋体"/>
                <w:color w:val="auto"/>
                <w:sz w:val="24"/>
                <w:highlight w:val="none"/>
              </w:rPr>
              <w:t>开标前答疑会</w:t>
            </w:r>
          </w:p>
        </w:tc>
        <w:tc>
          <w:tcPr>
            <w:tcW w:w="7540" w:type="dxa"/>
            <w:vAlign w:val="center"/>
          </w:tcPr>
          <w:p w14:paraId="572B4A44">
            <w:pPr>
              <w:jc w:val="left"/>
              <w:rPr>
                <w:rFonts w:ascii="宋体" w:hAnsi="宋体"/>
                <w:color w:val="auto"/>
                <w:sz w:val="24"/>
                <w:highlight w:val="none"/>
              </w:rPr>
            </w:pPr>
            <w:r>
              <w:rPr>
                <w:rFonts w:ascii="Segoe UI Symbol" w:hAnsi="Segoe UI Symbol" w:cs="Segoe UI Symbol"/>
                <w:color w:val="auto"/>
                <w:sz w:val="24"/>
                <w:highlight w:val="none"/>
              </w:rPr>
              <w:t>☑</w:t>
            </w:r>
            <w:r>
              <w:rPr>
                <w:rFonts w:ascii="宋体" w:hAnsi="宋体"/>
                <w:color w:val="auto"/>
                <w:sz w:val="24"/>
                <w:highlight w:val="none"/>
              </w:rPr>
              <w:t>不召开</w:t>
            </w:r>
          </w:p>
          <w:p w14:paraId="31DFFCAD">
            <w:pPr>
              <w:jc w:val="left"/>
              <w:rPr>
                <w:rFonts w:ascii="宋体" w:hAnsi="宋体"/>
                <w:color w:val="auto"/>
                <w:sz w:val="24"/>
                <w:highlight w:val="none"/>
              </w:rPr>
            </w:pPr>
            <w:r>
              <w:rPr>
                <w:rFonts w:ascii="宋体" w:hAnsi="宋体"/>
                <w:color w:val="auto"/>
                <w:sz w:val="24"/>
                <w:highlight w:val="none"/>
              </w:rPr>
              <w:t>□召开，召开时间：__年_月_日_</w:t>
            </w:r>
            <w:r>
              <w:rPr>
                <w:rFonts w:ascii="宋体" w:hAnsi="宋体"/>
                <w:bCs/>
                <w:color w:val="auto"/>
                <w:sz w:val="24"/>
                <w:highlight w:val="none"/>
              </w:rPr>
              <w:t>点</w:t>
            </w:r>
            <w:r>
              <w:rPr>
                <w:rFonts w:ascii="宋体" w:hAnsi="宋体"/>
                <w:color w:val="auto"/>
                <w:sz w:val="24"/>
                <w:highlight w:val="none"/>
              </w:rPr>
              <w:t>_</w:t>
            </w:r>
            <w:r>
              <w:rPr>
                <w:rFonts w:ascii="宋体" w:hAnsi="宋体"/>
                <w:bCs/>
                <w:color w:val="auto"/>
                <w:sz w:val="24"/>
                <w:highlight w:val="none"/>
              </w:rPr>
              <w:t>分</w:t>
            </w:r>
          </w:p>
          <w:p w14:paraId="505E9FC6">
            <w:pPr>
              <w:jc w:val="left"/>
              <w:rPr>
                <w:rFonts w:ascii="宋体" w:hAnsi="宋体"/>
                <w:color w:val="auto"/>
                <w:sz w:val="24"/>
                <w:highlight w:val="none"/>
              </w:rPr>
            </w:pPr>
            <w:r>
              <w:rPr>
                <w:rFonts w:ascii="宋体" w:hAnsi="宋体"/>
                <w:color w:val="auto"/>
                <w:sz w:val="24"/>
                <w:highlight w:val="none"/>
              </w:rPr>
              <w:t>召开地点：____________</w:t>
            </w:r>
            <w:r>
              <w:rPr>
                <w:rFonts w:hint="eastAsia" w:ascii="宋体" w:hAnsi="宋体"/>
                <w:color w:val="auto"/>
                <w:sz w:val="24"/>
                <w:highlight w:val="none"/>
              </w:rPr>
              <w:t>。</w:t>
            </w:r>
          </w:p>
        </w:tc>
      </w:tr>
      <w:tr w14:paraId="6001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643A124">
            <w:pPr>
              <w:pStyle w:val="24"/>
              <w:adjustRightInd w:val="0"/>
              <w:snapToGrid w:val="0"/>
              <w:jc w:val="center"/>
              <w:rPr>
                <w:rFonts w:hint="default" w:hAnsi="宋体"/>
                <w:color w:val="auto"/>
                <w:sz w:val="24"/>
                <w:szCs w:val="24"/>
                <w:highlight w:val="none"/>
              </w:rPr>
            </w:pPr>
            <w:r>
              <w:rPr>
                <w:rFonts w:hint="default" w:hAnsi="宋体"/>
                <w:color w:val="auto"/>
                <w:sz w:val="24"/>
                <w:szCs w:val="24"/>
                <w:highlight w:val="none"/>
              </w:rPr>
              <w:t>4.1</w:t>
            </w:r>
          </w:p>
        </w:tc>
        <w:tc>
          <w:tcPr>
            <w:tcW w:w="1701" w:type="dxa"/>
            <w:vAlign w:val="center"/>
          </w:tcPr>
          <w:p w14:paraId="5AF3B341">
            <w:pPr>
              <w:jc w:val="center"/>
              <w:rPr>
                <w:rFonts w:ascii="宋体" w:hAnsi="宋体"/>
                <w:color w:val="auto"/>
                <w:sz w:val="24"/>
                <w:highlight w:val="none"/>
              </w:rPr>
            </w:pPr>
            <w:r>
              <w:rPr>
                <w:rFonts w:ascii="宋体" w:hAnsi="宋体"/>
                <w:color w:val="auto"/>
                <w:sz w:val="24"/>
                <w:highlight w:val="none"/>
              </w:rPr>
              <w:t>样品</w:t>
            </w:r>
          </w:p>
        </w:tc>
        <w:tc>
          <w:tcPr>
            <w:tcW w:w="7540" w:type="dxa"/>
            <w:vAlign w:val="center"/>
          </w:tcPr>
          <w:p w14:paraId="634E52DC">
            <w:pPr>
              <w:jc w:val="left"/>
              <w:rPr>
                <w:rFonts w:ascii="宋体" w:hAnsi="宋体"/>
                <w:color w:val="auto"/>
                <w:sz w:val="24"/>
                <w:highlight w:val="none"/>
              </w:rPr>
            </w:pPr>
            <w:r>
              <w:rPr>
                <w:rFonts w:ascii="宋体" w:hAnsi="宋体"/>
                <w:color w:val="auto"/>
                <w:sz w:val="24"/>
                <w:highlight w:val="none"/>
              </w:rPr>
              <w:t>投标样品递交：</w:t>
            </w:r>
          </w:p>
          <w:p w14:paraId="48207245">
            <w:pPr>
              <w:jc w:val="left"/>
              <w:rPr>
                <w:rFonts w:ascii="宋体" w:hAnsi="宋体"/>
                <w:color w:val="auto"/>
                <w:sz w:val="24"/>
                <w:highlight w:val="none"/>
              </w:rPr>
            </w:pPr>
            <w:r>
              <w:rPr>
                <w:rFonts w:ascii="Segoe UI Symbol" w:hAnsi="Segoe UI Symbol" w:cs="Segoe UI Symbol"/>
                <w:color w:val="auto"/>
                <w:sz w:val="24"/>
                <w:highlight w:val="none"/>
              </w:rPr>
              <w:t>☑</w:t>
            </w:r>
            <w:r>
              <w:rPr>
                <w:rFonts w:ascii="宋体" w:hAnsi="宋体"/>
                <w:color w:val="auto"/>
                <w:sz w:val="24"/>
                <w:highlight w:val="none"/>
              </w:rPr>
              <w:t>不需要</w:t>
            </w:r>
          </w:p>
          <w:p w14:paraId="6DC793F3">
            <w:pPr>
              <w:jc w:val="left"/>
              <w:rPr>
                <w:rFonts w:ascii="宋体" w:hAnsi="宋体"/>
                <w:color w:val="auto"/>
                <w:sz w:val="24"/>
                <w:highlight w:val="none"/>
              </w:rPr>
            </w:pPr>
            <w:r>
              <w:rPr>
                <w:rFonts w:ascii="宋体" w:hAnsi="宋体"/>
                <w:color w:val="auto"/>
                <w:sz w:val="24"/>
                <w:highlight w:val="none"/>
              </w:rPr>
              <w:t>□需要，具体要求如下：</w:t>
            </w:r>
          </w:p>
          <w:p w14:paraId="621FCCA8">
            <w:pPr>
              <w:jc w:val="left"/>
              <w:rPr>
                <w:rFonts w:ascii="宋体" w:hAnsi="宋体"/>
                <w:color w:val="auto"/>
                <w:sz w:val="24"/>
                <w:highlight w:val="none"/>
                <w:u w:val="single"/>
              </w:rPr>
            </w:pPr>
            <w:r>
              <w:rPr>
                <w:rFonts w:ascii="宋体" w:hAnsi="宋体"/>
                <w:color w:val="auto"/>
                <w:sz w:val="24"/>
                <w:highlight w:val="none"/>
              </w:rPr>
              <w:t>（1）样品制作的标准和要求：_________；</w:t>
            </w:r>
          </w:p>
          <w:p w14:paraId="13F2ED44">
            <w:pPr>
              <w:jc w:val="left"/>
              <w:rPr>
                <w:rFonts w:ascii="宋体" w:hAnsi="宋体"/>
                <w:color w:val="auto"/>
                <w:sz w:val="24"/>
                <w:highlight w:val="none"/>
              </w:rPr>
            </w:pPr>
            <w:r>
              <w:rPr>
                <w:rFonts w:ascii="宋体" w:hAnsi="宋体"/>
                <w:color w:val="auto"/>
                <w:sz w:val="24"/>
                <w:highlight w:val="none"/>
              </w:rPr>
              <w:t>（2）是否需要随样品提交相关检测报告：</w:t>
            </w:r>
          </w:p>
          <w:p w14:paraId="2AD97176">
            <w:pPr>
              <w:ind w:firstLine="600" w:firstLineChars="250"/>
              <w:jc w:val="left"/>
              <w:rPr>
                <w:rFonts w:ascii="宋体" w:hAnsi="宋体"/>
                <w:color w:val="auto"/>
                <w:sz w:val="24"/>
                <w:highlight w:val="none"/>
              </w:rPr>
            </w:pPr>
            <w:r>
              <w:rPr>
                <w:rFonts w:ascii="宋体" w:hAnsi="宋体"/>
                <w:color w:val="auto"/>
                <w:sz w:val="24"/>
                <w:highlight w:val="none"/>
              </w:rPr>
              <w:t>□不需要</w:t>
            </w:r>
          </w:p>
          <w:p w14:paraId="0B3EE785">
            <w:pPr>
              <w:ind w:firstLine="600" w:firstLineChars="250"/>
              <w:jc w:val="left"/>
              <w:rPr>
                <w:rFonts w:ascii="宋体" w:hAnsi="宋体"/>
                <w:color w:val="auto"/>
                <w:sz w:val="24"/>
                <w:highlight w:val="none"/>
              </w:rPr>
            </w:pPr>
            <w:r>
              <w:rPr>
                <w:rFonts w:ascii="宋体" w:hAnsi="宋体"/>
                <w:color w:val="auto"/>
                <w:sz w:val="24"/>
                <w:highlight w:val="none"/>
              </w:rPr>
              <w:t>□需要</w:t>
            </w:r>
          </w:p>
          <w:p w14:paraId="6D7A7405">
            <w:pPr>
              <w:jc w:val="left"/>
              <w:rPr>
                <w:rFonts w:ascii="宋体" w:hAnsi="宋体"/>
                <w:color w:val="auto"/>
                <w:sz w:val="24"/>
                <w:highlight w:val="none"/>
              </w:rPr>
            </w:pPr>
            <w:r>
              <w:rPr>
                <w:rFonts w:ascii="宋体" w:hAnsi="宋体"/>
                <w:color w:val="auto"/>
                <w:sz w:val="24"/>
                <w:highlight w:val="none"/>
              </w:rPr>
              <w:t>（3）样品递交要求：_________；</w:t>
            </w:r>
          </w:p>
          <w:p w14:paraId="368D9ECF">
            <w:pPr>
              <w:jc w:val="left"/>
              <w:rPr>
                <w:rFonts w:ascii="宋体" w:hAnsi="宋体"/>
                <w:color w:val="auto"/>
                <w:sz w:val="24"/>
                <w:highlight w:val="none"/>
              </w:rPr>
            </w:pPr>
            <w:r>
              <w:rPr>
                <w:rFonts w:ascii="宋体" w:hAnsi="宋体"/>
                <w:color w:val="auto"/>
                <w:sz w:val="24"/>
                <w:highlight w:val="none"/>
              </w:rPr>
              <w:t>（4）未中标人样品退还：_________；</w:t>
            </w:r>
          </w:p>
          <w:p w14:paraId="77D8E7F2">
            <w:pPr>
              <w:jc w:val="left"/>
              <w:rPr>
                <w:rFonts w:ascii="宋体" w:hAnsi="宋体"/>
                <w:color w:val="auto"/>
                <w:sz w:val="24"/>
                <w:highlight w:val="none"/>
                <w:u w:val="single"/>
              </w:rPr>
            </w:pPr>
            <w:r>
              <w:rPr>
                <w:rFonts w:ascii="宋体" w:hAnsi="宋体"/>
                <w:color w:val="auto"/>
                <w:sz w:val="24"/>
                <w:highlight w:val="none"/>
              </w:rPr>
              <w:t>（5）中标人样品保管、封存及退还：_________；</w:t>
            </w:r>
          </w:p>
          <w:p w14:paraId="74F7C1A3">
            <w:pPr>
              <w:jc w:val="left"/>
              <w:rPr>
                <w:rFonts w:ascii="宋体" w:hAnsi="宋体"/>
                <w:color w:val="auto"/>
                <w:sz w:val="24"/>
                <w:highlight w:val="none"/>
              </w:rPr>
            </w:pPr>
            <w:r>
              <w:rPr>
                <w:rFonts w:ascii="宋体" w:hAnsi="宋体"/>
                <w:color w:val="auto"/>
                <w:sz w:val="24"/>
                <w:highlight w:val="none"/>
              </w:rPr>
              <w:t>（6）其他要求（如有）：_________。</w:t>
            </w:r>
          </w:p>
        </w:tc>
      </w:tr>
      <w:tr w14:paraId="5EA2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5754B79">
            <w:pPr>
              <w:pStyle w:val="24"/>
              <w:adjustRightInd w:val="0"/>
              <w:snapToGrid w:val="0"/>
              <w:jc w:val="center"/>
              <w:rPr>
                <w:rFonts w:hint="default" w:hAnsi="宋体"/>
                <w:color w:val="auto"/>
                <w:sz w:val="24"/>
                <w:szCs w:val="24"/>
                <w:highlight w:val="none"/>
              </w:rPr>
            </w:pPr>
            <w:r>
              <w:rPr>
                <w:rFonts w:hint="default" w:hAnsi="宋体"/>
                <w:color w:val="auto"/>
                <w:sz w:val="24"/>
                <w:szCs w:val="24"/>
                <w:highlight w:val="none"/>
              </w:rPr>
              <w:t>5.2.5</w:t>
            </w:r>
          </w:p>
        </w:tc>
        <w:tc>
          <w:tcPr>
            <w:tcW w:w="1701" w:type="dxa"/>
            <w:vAlign w:val="center"/>
          </w:tcPr>
          <w:p w14:paraId="4F53FAFD">
            <w:pPr>
              <w:jc w:val="center"/>
              <w:rPr>
                <w:rFonts w:ascii="宋体" w:hAnsi="宋体"/>
                <w:color w:val="auto"/>
                <w:sz w:val="24"/>
                <w:highlight w:val="none"/>
              </w:rPr>
            </w:pPr>
            <w:r>
              <w:rPr>
                <w:rFonts w:hint="eastAsia" w:ascii="宋体" w:hAnsi="宋体"/>
                <w:color w:val="auto"/>
                <w:sz w:val="24"/>
                <w:highlight w:val="none"/>
                <w:lang w:val="en-US" w:eastAsia="zh-CN"/>
              </w:rPr>
              <w:t>项目</w:t>
            </w:r>
            <w:r>
              <w:rPr>
                <w:rFonts w:ascii="宋体" w:hAnsi="宋体"/>
                <w:color w:val="auto"/>
                <w:sz w:val="24"/>
                <w:highlight w:val="none"/>
              </w:rPr>
              <w:t>所属行业</w:t>
            </w:r>
          </w:p>
        </w:tc>
        <w:tc>
          <w:tcPr>
            <w:tcW w:w="7540" w:type="dxa"/>
            <w:vAlign w:val="center"/>
          </w:tcPr>
          <w:p w14:paraId="25B644D3">
            <w:pPr>
              <w:jc w:val="left"/>
              <w:rPr>
                <w:rFonts w:ascii="宋体" w:hAnsi="宋体"/>
                <w:color w:val="auto"/>
                <w:sz w:val="24"/>
                <w:highlight w:val="none"/>
              </w:rPr>
            </w:pPr>
            <w:r>
              <w:rPr>
                <w:rFonts w:ascii="宋体" w:hAnsi="宋体"/>
                <w:color w:val="auto"/>
                <w:sz w:val="24"/>
                <w:highlight w:val="none"/>
              </w:rPr>
              <w:t>本项目采购标的对应的中小企业划分标准所属行业：</w:t>
            </w:r>
          </w:p>
          <w:tbl>
            <w:tblPr>
              <w:tblStyle w:val="46"/>
              <w:tblW w:w="504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8"/>
              <w:gridCol w:w="3565"/>
            </w:tblGrid>
            <w:tr w14:paraId="2651B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85" w:type="pct"/>
                  <w:tcBorders>
                    <w:top w:val="single" w:color="auto" w:sz="4" w:space="0"/>
                    <w:left w:val="single" w:color="auto" w:sz="4" w:space="0"/>
                    <w:bottom w:val="single" w:color="auto" w:sz="4" w:space="0"/>
                    <w:right w:val="single" w:color="auto" w:sz="4" w:space="0"/>
                  </w:tcBorders>
                  <w:vAlign w:val="center"/>
                </w:tcPr>
                <w:p w14:paraId="0C89383B">
                  <w:pPr>
                    <w:jc w:val="center"/>
                    <w:rPr>
                      <w:rFonts w:hint="default" w:ascii="宋体" w:hAnsi="宋体"/>
                      <w:bCs/>
                      <w:color w:val="auto"/>
                      <w:sz w:val="24"/>
                      <w:highlight w:val="none"/>
                      <w:lang w:val="en-US"/>
                    </w:rPr>
                  </w:pPr>
                  <w:r>
                    <w:rPr>
                      <w:rFonts w:hint="eastAsia" w:ascii="宋体" w:hAnsi="宋体"/>
                      <w:bCs/>
                      <w:color w:val="auto"/>
                      <w:sz w:val="24"/>
                      <w:highlight w:val="none"/>
                      <w:lang w:val="en-US" w:eastAsia="zh-CN"/>
                    </w:rPr>
                    <w:t>标的名称</w:t>
                  </w:r>
                </w:p>
              </w:tc>
              <w:tc>
                <w:tcPr>
                  <w:tcW w:w="2414" w:type="pct"/>
                  <w:tcBorders>
                    <w:top w:val="single" w:color="auto" w:sz="4" w:space="0"/>
                    <w:left w:val="single" w:color="auto" w:sz="4" w:space="0"/>
                    <w:bottom w:val="single" w:color="auto" w:sz="4" w:space="0"/>
                    <w:right w:val="single" w:color="auto" w:sz="4" w:space="0"/>
                  </w:tcBorders>
                  <w:vAlign w:val="center"/>
                </w:tcPr>
                <w:p w14:paraId="137CD883">
                  <w:pPr>
                    <w:jc w:val="center"/>
                    <w:rPr>
                      <w:rFonts w:ascii="宋体" w:hAnsi="宋体"/>
                      <w:color w:val="auto"/>
                      <w:sz w:val="24"/>
                      <w:highlight w:val="none"/>
                    </w:rPr>
                  </w:pPr>
                  <w:r>
                    <w:rPr>
                      <w:rFonts w:ascii="宋体" w:hAnsi="宋体"/>
                      <w:color w:val="auto"/>
                      <w:sz w:val="24"/>
                      <w:highlight w:val="none"/>
                    </w:rPr>
                    <w:t>中小企业划分标准所属行业</w:t>
                  </w:r>
                </w:p>
              </w:tc>
            </w:tr>
            <w:tr w14:paraId="5802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585" w:type="pct"/>
                  <w:tcBorders>
                    <w:top w:val="single" w:color="auto" w:sz="4" w:space="0"/>
                    <w:left w:val="single" w:color="auto" w:sz="4" w:space="0"/>
                    <w:bottom w:val="single" w:color="auto" w:sz="4" w:space="0"/>
                    <w:right w:val="single" w:color="auto" w:sz="4" w:space="0"/>
                  </w:tcBorders>
                  <w:vAlign w:val="center"/>
                </w:tcPr>
                <w:p w14:paraId="16F6E72F">
                  <w:pPr>
                    <w:jc w:val="center"/>
                    <w:rPr>
                      <w:rFonts w:hint="eastAsia" w:ascii="宋体" w:hAnsi="宋体" w:cs="宋体"/>
                      <w:color w:val="auto"/>
                      <w:sz w:val="24"/>
                      <w:highlight w:val="none"/>
                      <w:shd w:val="clear" w:color="auto" w:fill="FFFFFF"/>
                      <w:lang w:eastAsia="zh-CN"/>
                    </w:rPr>
                  </w:pPr>
                  <w:r>
                    <w:rPr>
                      <w:rFonts w:hint="eastAsia" w:cs="宋体"/>
                      <w:color w:val="auto"/>
                      <w:sz w:val="24"/>
                      <w:highlight w:val="none"/>
                      <w:shd w:val="clear" w:color="auto" w:fill="FFFFFF"/>
                      <w:lang w:eastAsia="zh-CN"/>
                    </w:rPr>
                    <w:t>六合村办公区组团行政办公区绿地养护（</w:t>
                  </w:r>
                  <w:r>
                    <w:rPr>
                      <w:rFonts w:hint="eastAsia" w:cs="宋体"/>
                      <w:color w:val="auto"/>
                      <w:sz w:val="24"/>
                      <w:highlight w:val="none"/>
                      <w:shd w:val="clear" w:color="auto" w:fill="FFFFFF"/>
                      <w:lang w:val="en-US" w:eastAsia="zh-CN"/>
                    </w:rPr>
                    <w:t>一标段</w:t>
                  </w:r>
                  <w:r>
                    <w:rPr>
                      <w:rFonts w:hint="eastAsia" w:cs="宋体"/>
                      <w:color w:val="auto"/>
                      <w:sz w:val="24"/>
                      <w:highlight w:val="none"/>
                      <w:shd w:val="clear" w:color="auto" w:fill="FFFFFF"/>
                      <w:lang w:eastAsia="zh-CN"/>
                    </w:rPr>
                    <w:t>）</w:t>
                  </w:r>
                </w:p>
              </w:tc>
              <w:tc>
                <w:tcPr>
                  <w:tcW w:w="2414" w:type="pct"/>
                  <w:tcBorders>
                    <w:top w:val="single" w:color="auto" w:sz="4" w:space="0"/>
                    <w:left w:val="single" w:color="auto" w:sz="4" w:space="0"/>
                    <w:bottom w:val="single" w:color="auto" w:sz="4" w:space="0"/>
                    <w:right w:val="single" w:color="auto" w:sz="4" w:space="0"/>
                  </w:tcBorders>
                  <w:vAlign w:val="center"/>
                </w:tcPr>
                <w:p w14:paraId="3A28743D">
                  <w:pPr>
                    <w:jc w:val="center"/>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其他未列明行业</w:t>
                  </w:r>
                </w:p>
              </w:tc>
            </w:tr>
            <w:tr w14:paraId="23D7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585" w:type="pct"/>
                  <w:tcBorders>
                    <w:top w:val="single" w:color="auto" w:sz="4" w:space="0"/>
                    <w:left w:val="single" w:color="auto" w:sz="4" w:space="0"/>
                    <w:bottom w:val="single" w:color="auto" w:sz="4" w:space="0"/>
                    <w:right w:val="single" w:color="auto" w:sz="4" w:space="0"/>
                  </w:tcBorders>
                  <w:vAlign w:val="center"/>
                </w:tcPr>
                <w:p w14:paraId="7C48C940">
                  <w:pPr>
                    <w:jc w:val="center"/>
                    <w:rPr>
                      <w:rFonts w:hint="eastAsia" w:cs="宋体"/>
                      <w:color w:val="auto"/>
                      <w:sz w:val="24"/>
                      <w:highlight w:val="none"/>
                      <w:shd w:val="clear" w:color="auto" w:fill="FFFFFF"/>
                      <w:lang w:eastAsia="zh-CN"/>
                    </w:rPr>
                  </w:pPr>
                  <w:r>
                    <w:rPr>
                      <w:rFonts w:hint="eastAsia" w:cs="宋体"/>
                      <w:color w:val="auto"/>
                      <w:sz w:val="24"/>
                      <w:highlight w:val="none"/>
                      <w:shd w:val="clear" w:color="auto" w:fill="FFFFFF"/>
                      <w:lang w:eastAsia="zh-CN"/>
                    </w:rPr>
                    <w:t>六合村办公区组团行政办公区绿地养护监理服务（二标段）</w:t>
                  </w:r>
                </w:p>
              </w:tc>
              <w:tc>
                <w:tcPr>
                  <w:tcW w:w="2414" w:type="pct"/>
                  <w:tcBorders>
                    <w:top w:val="single" w:color="auto" w:sz="4" w:space="0"/>
                    <w:left w:val="single" w:color="auto" w:sz="4" w:space="0"/>
                    <w:bottom w:val="single" w:color="auto" w:sz="4" w:space="0"/>
                    <w:right w:val="single" w:color="auto" w:sz="4" w:space="0"/>
                  </w:tcBorders>
                  <w:vAlign w:val="center"/>
                </w:tcPr>
                <w:p w14:paraId="7F38581B">
                  <w:pPr>
                    <w:jc w:val="center"/>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其他未列明行业</w:t>
                  </w:r>
                </w:p>
              </w:tc>
            </w:tr>
          </w:tbl>
          <w:p w14:paraId="2B61BC7A">
            <w:pPr>
              <w:jc w:val="left"/>
              <w:rPr>
                <w:rFonts w:ascii="宋体" w:hAnsi="宋体"/>
                <w:color w:val="auto"/>
                <w:sz w:val="24"/>
                <w:highlight w:val="none"/>
              </w:rPr>
            </w:pPr>
          </w:p>
        </w:tc>
      </w:tr>
    </w:tbl>
    <w:p w14:paraId="21C50373">
      <w:pPr>
        <w:rPr>
          <w:rFonts w:ascii="宋体" w:hAnsi="宋体"/>
          <w:color w:val="auto"/>
          <w:sz w:val="24"/>
          <w:highlight w:val="none"/>
        </w:rPr>
      </w:pPr>
      <w:r>
        <w:rPr>
          <w:rFonts w:ascii="宋体" w:hAnsi="宋体"/>
          <w:color w:val="auto"/>
          <w:sz w:val="24"/>
          <w:highlight w:val="none"/>
        </w:rPr>
        <w:br w:type="page"/>
      </w:r>
    </w:p>
    <w:tbl>
      <w:tblPr>
        <w:tblStyle w:val="46"/>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2766D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5D5EA4B9">
            <w:pPr>
              <w:pStyle w:val="24"/>
              <w:adjustRightInd w:val="0"/>
              <w:snapToGrid w:val="0"/>
              <w:jc w:val="center"/>
              <w:rPr>
                <w:rFonts w:hint="default" w:hAnsi="宋体"/>
                <w:color w:val="auto"/>
                <w:sz w:val="24"/>
                <w:szCs w:val="24"/>
                <w:highlight w:val="none"/>
              </w:rPr>
            </w:pPr>
            <w:r>
              <w:rPr>
                <w:rFonts w:hAnsi="宋体"/>
                <w:color w:val="auto"/>
                <w:sz w:val="24"/>
                <w:szCs w:val="24"/>
                <w:highlight w:val="none"/>
              </w:rPr>
              <w:t>1</w:t>
            </w:r>
            <w:r>
              <w:rPr>
                <w:rFonts w:hint="default" w:hAnsi="宋体"/>
                <w:color w:val="auto"/>
                <w:sz w:val="24"/>
                <w:szCs w:val="24"/>
                <w:highlight w:val="none"/>
              </w:rPr>
              <w:t>1.2</w:t>
            </w:r>
          </w:p>
        </w:tc>
        <w:tc>
          <w:tcPr>
            <w:tcW w:w="1701" w:type="dxa"/>
            <w:vAlign w:val="center"/>
          </w:tcPr>
          <w:p w14:paraId="67DA73F5">
            <w:pPr>
              <w:jc w:val="center"/>
              <w:rPr>
                <w:rFonts w:ascii="宋体" w:hAnsi="宋体"/>
                <w:color w:val="auto"/>
                <w:sz w:val="24"/>
                <w:highlight w:val="none"/>
              </w:rPr>
            </w:pPr>
            <w:r>
              <w:rPr>
                <w:rFonts w:hint="eastAsia" w:ascii="宋体" w:hAnsi="宋体"/>
                <w:color w:val="auto"/>
                <w:sz w:val="24"/>
                <w:highlight w:val="none"/>
              </w:rPr>
              <w:t>投标报价</w:t>
            </w:r>
          </w:p>
        </w:tc>
        <w:tc>
          <w:tcPr>
            <w:tcW w:w="7540" w:type="dxa"/>
            <w:vAlign w:val="center"/>
          </w:tcPr>
          <w:p w14:paraId="4837B944">
            <w:pPr>
              <w:jc w:val="left"/>
              <w:rPr>
                <w:rFonts w:ascii="宋体" w:hAnsi="宋体"/>
                <w:color w:val="auto"/>
                <w:sz w:val="24"/>
                <w:highlight w:val="none"/>
              </w:rPr>
            </w:pPr>
            <w:r>
              <w:rPr>
                <w:rFonts w:hint="eastAsia" w:ascii="宋体" w:hAnsi="宋体"/>
                <w:color w:val="auto"/>
                <w:sz w:val="24"/>
                <w:highlight w:val="none"/>
              </w:rPr>
              <w:t>投标报价的特殊规定：</w:t>
            </w:r>
          </w:p>
          <w:p w14:paraId="69D19FC7">
            <w:pPr>
              <w:jc w:val="left"/>
              <w:rPr>
                <w:rFonts w:ascii="宋体" w:hAnsi="宋体"/>
                <w:color w:val="auto"/>
                <w:sz w:val="24"/>
                <w:highlight w:val="none"/>
              </w:rPr>
            </w:pPr>
            <w:r>
              <w:rPr>
                <w:rFonts w:ascii="Segoe UI Symbol" w:hAnsi="Segoe UI Symbol" w:cs="Segoe UI Symbol"/>
                <w:color w:val="auto"/>
                <w:sz w:val="24"/>
                <w:highlight w:val="none"/>
              </w:rPr>
              <w:t>☑</w:t>
            </w:r>
            <w:r>
              <w:rPr>
                <w:rFonts w:ascii="宋体" w:hAnsi="宋体"/>
                <w:color w:val="auto"/>
                <w:sz w:val="24"/>
                <w:highlight w:val="none"/>
              </w:rPr>
              <w:t>无</w:t>
            </w:r>
          </w:p>
          <w:p w14:paraId="28F5DD68">
            <w:pPr>
              <w:jc w:val="left"/>
              <w:rPr>
                <w:rFonts w:ascii="宋体" w:hAnsi="宋体"/>
                <w:color w:val="auto"/>
                <w:sz w:val="24"/>
                <w:highlight w:val="none"/>
              </w:rPr>
            </w:pPr>
            <w:r>
              <w:rPr>
                <w:rFonts w:ascii="宋体" w:hAnsi="宋体"/>
                <w:color w:val="auto"/>
                <w:sz w:val="24"/>
                <w:highlight w:val="none"/>
              </w:rPr>
              <w:t>□有，具体情形：_____。</w:t>
            </w:r>
          </w:p>
        </w:tc>
      </w:tr>
      <w:tr w14:paraId="70FC0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2F53F3D">
            <w:pPr>
              <w:pStyle w:val="24"/>
              <w:adjustRightInd w:val="0"/>
              <w:snapToGrid w:val="0"/>
              <w:jc w:val="center"/>
              <w:rPr>
                <w:rFonts w:hint="default" w:hAnsi="宋体"/>
                <w:color w:val="auto"/>
                <w:sz w:val="24"/>
                <w:szCs w:val="24"/>
                <w:highlight w:val="none"/>
              </w:rPr>
            </w:pPr>
            <w:r>
              <w:rPr>
                <w:rFonts w:hint="default" w:hAnsi="宋体"/>
                <w:color w:val="auto"/>
                <w:sz w:val="24"/>
                <w:szCs w:val="24"/>
                <w:highlight w:val="none"/>
              </w:rPr>
              <w:t>12.1</w:t>
            </w:r>
          </w:p>
        </w:tc>
        <w:tc>
          <w:tcPr>
            <w:tcW w:w="1701" w:type="dxa"/>
            <w:vMerge w:val="restart"/>
            <w:vAlign w:val="center"/>
          </w:tcPr>
          <w:p w14:paraId="52E30C4F">
            <w:pPr>
              <w:jc w:val="center"/>
              <w:rPr>
                <w:rFonts w:ascii="宋体" w:hAnsi="宋体"/>
                <w:color w:val="auto"/>
                <w:sz w:val="24"/>
                <w:highlight w:val="none"/>
              </w:rPr>
            </w:pPr>
            <w:r>
              <w:rPr>
                <w:rFonts w:ascii="宋体" w:hAnsi="宋体"/>
                <w:color w:val="auto"/>
                <w:sz w:val="24"/>
                <w:highlight w:val="none"/>
              </w:rPr>
              <w:t>投标保证金</w:t>
            </w:r>
          </w:p>
        </w:tc>
        <w:tc>
          <w:tcPr>
            <w:tcW w:w="7540" w:type="dxa"/>
            <w:vAlign w:val="center"/>
          </w:tcPr>
          <w:p w14:paraId="73294FFF">
            <w:pPr>
              <w:pStyle w:val="24"/>
              <w:shd w:val="clear"/>
              <w:adjustRightInd w:val="0"/>
              <w:snapToGrid w:val="0"/>
              <w:rPr>
                <w:rFonts w:hint="default" w:hAnsi="宋体"/>
                <w:color w:val="auto"/>
                <w:sz w:val="24"/>
                <w:szCs w:val="24"/>
                <w:highlight w:val="none"/>
              </w:rPr>
            </w:pPr>
            <w:r>
              <w:rPr>
                <w:rFonts w:hint="default" w:hAnsi="宋体"/>
                <w:color w:val="auto"/>
                <w:sz w:val="24"/>
                <w:szCs w:val="24"/>
                <w:highlight w:val="none"/>
              </w:rPr>
              <w:t>投标保证金金额：</w:t>
            </w:r>
          </w:p>
          <w:p w14:paraId="6BA353E5">
            <w:pPr>
              <w:pStyle w:val="24"/>
              <w:shd w:val="clear"/>
              <w:adjustRightInd w:val="0"/>
              <w:snapToGrid w:val="0"/>
              <w:rPr>
                <w:rFonts w:hAnsi="宋体"/>
                <w:color w:val="auto"/>
                <w:sz w:val="24"/>
                <w:szCs w:val="24"/>
                <w:highlight w:val="none"/>
              </w:rPr>
            </w:pPr>
            <w:r>
              <w:rPr>
                <w:rFonts w:hint="eastAsia" w:hAnsi="宋体"/>
                <w:color w:val="auto"/>
                <w:sz w:val="24"/>
                <w:szCs w:val="24"/>
                <w:highlight w:val="none"/>
                <w:lang w:val="en-US" w:eastAsia="zh-CN"/>
              </w:rPr>
              <w:t>1包</w:t>
            </w:r>
            <w:r>
              <w:rPr>
                <w:rFonts w:hAnsi="宋体"/>
                <w:color w:val="auto"/>
                <w:sz w:val="24"/>
                <w:szCs w:val="24"/>
                <w:highlight w:val="none"/>
                <w:u w:val="single"/>
              </w:rPr>
              <w:t xml:space="preserve"> </w:t>
            </w:r>
            <w:r>
              <w:rPr>
                <w:rFonts w:hint="eastAsia" w:hAnsi="宋体"/>
                <w:color w:val="auto"/>
                <w:sz w:val="24"/>
                <w:szCs w:val="24"/>
                <w:highlight w:val="none"/>
                <w:u w:val="single"/>
                <w:lang w:val="en-US" w:eastAsia="zh-CN"/>
              </w:rPr>
              <w:t>20000</w:t>
            </w:r>
            <w:r>
              <w:rPr>
                <w:rFonts w:hAnsi="宋体"/>
                <w:color w:val="auto"/>
                <w:sz w:val="24"/>
                <w:szCs w:val="24"/>
                <w:highlight w:val="none"/>
                <w:u w:val="single"/>
              </w:rPr>
              <w:t xml:space="preserve"> </w:t>
            </w:r>
            <w:r>
              <w:rPr>
                <w:rFonts w:hAnsi="宋体"/>
                <w:color w:val="auto"/>
                <w:sz w:val="24"/>
                <w:szCs w:val="24"/>
                <w:highlight w:val="none"/>
              </w:rPr>
              <w:t xml:space="preserve"> 元。</w:t>
            </w:r>
          </w:p>
          <w:p w14:paraId="42D5C667">
            <w:pPr>
              <w:pStyle w:val="24"/>
              <w:shd w:val="clear"/>
              <w:adjustRightInd w:val="0"/>
              <w:snapToGrid w:val="0"/>
              <w:rPr>
                <w:rFonts w:hint="eastAsia" w:hAnsi="宋体" w:eastAsia="宋体"/>
                <w:color w:val="auto"/>
                <w:sz w:val="24"/>
                <w:szCs w:val="24"/>
                <w:highlight w:val="none"/>
                <w:lang w:val="en-US" w:eastAsia="zh-CN"/>
              </w:rPr>
            </w:pPr>
            <w:r>
              <w:rPr>
                <w:rFonts w:hint="eastAsia" w:hAnsi="宋体"/>
                <w:color w:val="auto"/>
                <w:sz w:val="24"/>
                <w:szCs w:val="24"/>
                <w:highlight w:val="none"/>
                <w:lang w:val="en-US" w:eastAsia="zh-CN"/>
              </w:rPr>
              <w:t>2包</w:t>
            </w:r>
            <w:r>
              <w:rPr>
                <w:rFonts w:hAnsi="宋体"/>
                <w:color w:val="auto"/>
                <w:sz w:val="24"/>
                <w:szCs w:val="24"/>
                <w:highlight w:val="none"/>
                <w:u w:val="single"/>
              </w:rPr>
              <w:t xml:space="preserve"> </w:t>
            </w:r>
            <w:r>
              <w:rPr>
                <w:rFonts w:hint="eastAsia" w:hAnsi="宋体"/>
                <w:color w:val="auto"/>
                <w:sz w:val="24"/>
                <w:szCs w:val="24"/>
                <w:highlight w:val="none"/>
                <w:u w:val="single"/>
                <w:lang w:val="en-US" w:eastAsia="zh-CN"/>
              </w:rPr>
              <w:t xml:space="preserve">  0</w:t>
            </w:r>
            <w:r>
              <w:rPr>
                <w:rFonts w:hAnsi="宋体"/>
                <w:color w:val="auto"/>
                <w:sz w:val="24"/>
                <w:szCs w:val="24"/>
                <w:highlight w:val="none"/>
                <w:u w:val="single"/>
              </w:rPr>
              <w:t xml:space="preserve"> </w:t>
            </w:r>
            <w:r>
              <w:rPr>
                <w:rFonts w:hint="eastAsia" w:hAnsi="宋体"/>
                <w:color w:val="auto"/>
                <w:sz w:val="24"/>
                <w:szCs w:val="24"/>
                <w:highlight w:val="none"/>
                <w:u w:val="single"/>
                <w:lang w:val="en-US" w:eastAsia="zh-CN"/>
              </w:rPr>
              <w:t xml:space="preserve">  </w:t>
            </w:r>
            <w:r>
              <w:rPr>
                <w:rFonts w:hAnsi="宋体"/>
                <w:color w:val="auto"/>
                <w:sz w:val="24"/>
                <w:szCs w:val="24"/>
                <w:highlight w:val="none"/>
              </w:rPr>
              <w:t xml:space="preserve"> 元。</w:t>
            </w:r>
          </w:p>
          <w:p w14:paraId="427518C0">
            <w:pPr>
              <w:pStyle w:val="24"/>
              <w:adjustRightInd w:val="0"/>
              <w:snapToGrid w:val="0"/>
              <w:rPr>
                <w:rFonts w:hint="eastAsia"/>
                <w:color w:val="auto"/>
                <w:sz w:val="24"/>
                <w:highlight w:val="none"/>
              </w:rPr>
            </w:pPr>
            <w:r>
              <w:rPr>
                <w:rFonts w:hint="eastAsia"/>
                <w:color w:val="auto"/>
                <w:sz w:val="24"/>
                <w:highlight w:val="none"/>
              </w:rPr>
              <w:t>投标保证金形式：</w:t>
            </w:r>
          </w:p>
          <w:p w14:paraId="2A7143DD">
            <w:pPr>
              <w:pStyle w:val="24"/>
              <w:numPr>
                <w:ilvl w:val="0"/>
                <w:numId w:val="12"/>
              </w:numPr>
              <w:adjustRightInd w:val="0"/>
              <w:snapToGrid w:val="0"/>
              <w:rPr>
                <w:rFonts w:hint="eastAsia"/>
                <w:color w:val="auto"/>
                <w:sz w:val="24"/>
                <w:highlight w:val="none"/>
              </w:rPr>
            </w:pPr>
            <w:r>
              <w:rPr>
                <w:rFonts w:hint="eastAsia"/>
                <w:color w:val="auto"/>
                <w:sz w:val="24"/>
                <w:highlight w:val="none"/>
              </w:rPr>
              <w:t>政府采购法律法规接受的支票、汇票、本票、网上银行支付或者金融机构、担保机构出具的保函等非现金形式。</w:t>
            </w:r>
            <w:r>
              <w:rPr>
                <w:rFonts w:hint="eastAsia"/>
                <w:b/>
                <w:bCs/>
                <w:color w:val="auto"/>
                <w:sz w:val="24"/>
                <w:highlight w:val="none"/>
              </w:rPr>
              <w:t>投标保证金应当从其基本账户转出。</w:t>
            </w:r>
          </w:p>
          <w:p w14:paraId="291E5633">
            <w:pPr>
              <w:pStyle w:val="24"/>
              <w:adjustRightInd w:val="0"/>
              <w:snapToGrid w:val="0"/>
              <w:rPr>
                <w:rFonts w:hint="eastAsia"/>
                <w:color w:val="auto"/>
                <w:sz w:val="24"/>
                <w:highlight w:val="none"/>
              </w:rPr>
            </w:pPr>
            <w:r>
              <w:rPr>
                <w:rFonts w:hint="eastAsia"/>
                <w:color w:val="auto"/>
                <w:sz w:val="24"/>
                <w:highlight w:val="none"/>
              </w:rPr>
              <w:t>（</w:t>
            </w:r>
            <w:r>
              <w:rPr>
                <w:rFonts w:hint="eastAsia"/>
                <w:color w:val="auto"/>
                <w:sz w:val="24"/>
                <w:highlight w:val="none"/>
                <w:lang w:val="en-US" w:eastAsia="zh-CN"/>
              </w:rPr>
              <w:t>2</w:t>
            </w:r>
            <w:r>
              <w:rPr>
                <w:rFonts w:hint="eastAsia"/>
                <w:color w:val="auto"/>
                <w:sz w:val="24"/>
                <w:highlight w:val="none"/>
              </w:rPr>
              <w:t>）由具有融资性担保机构经营许可证的试点专业担保机构出具的投标担保函，并附投标保证金说明函。</w:t>
            </w:r>
          </w:p>
          <w:p w14:paraId="6BB62AAC">
            <w:pPr>
              <w:pStyle w:val="24"/>
              <w:adjustRightInd w:val="0"/>
              <w:snapToGrid w:val="0"/>
              <w:rPr>
                <w:rFonts w:hint="eastAsia"/>
                <w:b/>
                <w:bCs/>
                <w:color w:val="auto"/>
                <w:sz w:val="24"/>
                <w:highlight w:val="none"/>
              </w:rPr>
            </w:pPr>
            <w:r>
              <w:rPr>
                <w:rFonts w:hint="eastAsia"/>
                <w:b/>
                <w:bCs/>
                <w:color w:val="auto"/>
                <w:sz w:val="24"/>
                <w:highlight w:val="none"/>
              </w:rPr>
              <w:t>投标保证金收受信息：</w:t>
            </w:r>
          </w:p>
          <w:p w14:paraId="1DCC37DE">
            <w:pPr>
              <w:pStyle w:val="24"/>
              <w:adjustRightInd w:val="0"/>
              <w:snapToGrid w:val="0"/>
              <w:rPr>
                <w:rFonts w:hint="eastAsia"/>
                <w:color w:val="auto"/>
                <w:sz w:val="24"/>
                <w:highlight w:val="none"/>
              </w:rPr>
            </w:pPr>
            <w:r>
              <w:rPr>
                <w:rFonts w:hint="eastAsia"/>
                <w:color w:val="auto"/>
                <w:sz w:val="24"/>
                <w:highlight w:val="none"/>
              </w:rPr>
              <w:t xml:space="preserve">账户名称：北京华建联造价工程师事务所有限公司           </w:t>
            </w:r>
          </w:p>
          <w:p w14:paraId="35CA6962">
            <w:pPr>
              <w:pStyle w:val="24"/>
              <w:adjustRightInd w:val="0"/>
              <w:snapToGrid w:val="0"/>
              <w:rPr>
                <w:rFonts w:hint="eastAsia"/>
                <w:color w:val="auto"/>
                <w:sz w:val="24"/>
                <w:highlight w:val="none"/>
              </w:rPr>
            </w:pPr>
            <w:r>
              <w:rPr>
                <w:rFonts w:hint="eastAsia"/>
                <w:color w:val="auto"/>
                <w:sz w:val="24"/>
                <w:highlight w:val="none"/>
              </w:rPr>
              <w:t xml:space="preserve">开户行：招商银行股份有限公司北京甘家口支行  </w:t>
            </w:r>
          </w:p>
          <w:p w14:paraId="5CB5ED2F">
            <w:pPr>
              <w:pStyle w:val="24"/>
              <w:adjustRightInd w:val="0"/>
              <w:snapToGrid w:val="0"/>
              <w:rPr>
                <w:rFonts w:hint="eastAsia"/>
                <w:color w:val="auto"/>
                <w:sz w:val="24"/>
                <w:highlight w:val="none"/>
              </w:rPr>
            </w:pPr>
            <w:r>
              <w:rPr>
                <w:rFonts w:hint="eastAsia"/>
                <w:color w:val="auto"/>
                <w:sz w:val="24"/>
                <w:highlight w:val="none"/>
              </w:rPr>
              <w:t xml:space="preserve">账号：860983397410001 </w:t>
            </w:r>
          </w:p>
          <w:p w14:paraId="24F93F89">
            <w:pPr>
              <w:pStyle w:val="24"/>
              <w:adjustRightInd w:val="0"/>
              <w:snapToGrid w:val="0"/>
              <w:rPr>
                <w:rFonts w:hint="eastAsia"/>
                <w:color w:val="auto"/>
                <w:sz w:val="24"/>
                <w:highlight w:val="none"/>
              </w:rPr>
            </w:pPr>
            <w:r>
              <w:rPr>
                <w:rFonts w:hint="eastAsia"/>
                <w:color w:val="auto"/>
                <w:sz w:val="24"/>
                <w:highlight w:val="none"/>
              </w:rPr>
              <w:t>地址：北京市朝阳区高碑店乡半壁店村惠河南街1131号5层5020室</w:t>
            </w:r>
          </w:p>
          <w:p w14:paraId="508878DB">
            <w:pPr>
              <w:pStyle w:val="24"/>
              <w:adjustRightInd w:val="0"/>
              <w:snapToGrid w:val="0"/>
              <w:rPr>
                <w:rFonts w:hint="eastAsia"/>
                <w:color w:val="auto"/>
                <w:sz w:val="24"/>
                <w:highlight w:val="none"/>
              </w:rPr>
            </w:pPr>
            <w:r>
              <w:rPr>
                <w:rFonts w:hint="eastAsia"/>
                <w:b/>
                <w:bCs/>
                <w:color w:val="auto"/>
                <w:sz w:val="24"/>
                <w:highlight w:val="none"/>
              </w:rPr>
              <w:t>如使用电汇方式递交投标保证金须在电汇凭据附言栏中写明项目名称/标的名称。</w:t>
            </w:r>
          </w:p>
          <w:p w14:paraId="766FA0FE">
            <w:pPr>
              <w:tabs>
                <w:tab w:val="left" w:pos="3499"/>
              </w:tabs>
              <w:jc w:val="left"/>
              <w:rPr>
                <w:rFonts w:ascii="宋体" w:hAnsi="宋体"/>
                <w:color w:val="auto"/>
                <w:sz w:val="24"/>
                <w:highlight w:val="none"/>
              </w:rPr>
            </w:pPr>
            <w:r>
              <w:rPr>
                <w:rFonts w:hint="eastAsia"/>
                <w:color w:val="auto"/>
                <w:sz w:val="24"/>
                <w:highlight w:val="none"/>
              </w:rPr>
              <w:t>（3）投标保证金于中标通知书发出之日起5个工作日内向未中标单位退还投标保证金。招标人与中标人签订合同之日起5个工作日内，向中标人退还投标保证金。</w:t>
            </w:r>
          </w:p>
        </w:tc>
      </w:tr>
      <w:tr w14:paraId="02BAA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225B857">
            <w:pPr>
              <w:pStyle w:val="24"/>
              <w:adjustRightInd w:val="0"/>
              <w:snapToGrid w:val="0"/>
              <w:jc w:val="center"/>
              <w:rPr>
                <w:rFonts w:hint="default" w:hAnsi="宋体"/>
                <w:color w:val="auto"/>
                <w:sz w:val="24"/>
                <w:szCs w:val="24"/>
                <w:highlight w:val="none"/>
              </w:rPr>
            </w:pPr>
            <w:r>
              <w:rPr>
                <w:rFonts w:hint="default" w:hAnsi="宋体"/>
                <w:color w:val="auto"/>
                <w:sz w:val="24"/>
                <w:szCs w:val="24"/>
                <w:highlight w:val="none"/>
              </w:rPr>
              <w:t>12.7</w:t>
            </w:r>
          </w:p>
        </w:tc>
        <w:tc>
          <w:tcPr>
            <w:tcW w:w="1701" w:type="dxa"/>
            <w:vMerge w:val="continue"/>
            <w:vAlign w:val="center"/>
          </w:tcPr>
          <w:p w14:paraId="13E50329">
            <w:pPr>
              <w:jc w:val="center"/>
              <w:rPr>
                <w:rFonts w:ascii="宋体" w:hAnsi="宋体"/>
                <w:color w:val="auto"/>
                <w:sz w:val="24"/>
                <w:highlight w:val="none"/>
              </w:rPr>
            </w:pPr>
          </w:p>
        </w:tc>
        <w:tc>
          <w:tcPr>
            <w:tcW w:w="7540" w:type="dxa"/>
            <w:vAlign w:val="center"/>
          </w:tcPr>
          <w:p w14:paraId="038EAE1C">
            <w:pPr>
              <w:jc w:val="left"/>
              <w:rPr>
                <w:rFonts w:ascii="宋体" w:hAnsi="宋体"/>
                <w:color w:val="auto"/>
                <w:sz w:val="24"/>
                <w:highlight w:val="none"/>
              </w:rPr>
            </w:pPr>
            <w:r>
              <w:rPr>
                <w:rFonts w:ascii="宋体" w:hAnsi="宋体"/>
                <w:color w:val="auto"/>
                <w:sz w:val="24"/>
                <w:highlight w:val="none"/>
              </w:rPr>
              <w:t>投标保证金可以不予退还的其他情形：</w:t>
            </w:r>
          </w:p>
          <w:p w14:paraId="3F5FC4F1">
            <w:pPr>
              <w:jc w:val="left"/>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无</w:t>
            </w:r>
          </w:p>
          <w:p w14:paraId="606E19A0">
            <w:pPr>
              <w:pStyle w:val="24"/>
              <w:adjustRightInd w:val="0"/>
              <w:snapToGrid w:val="0"/>
              <w:rPr>
                <w:rFonts w:hint="default" w:hAnsi="宋体"/>
                <w:color w:val="auto"/>
                <w:sz w:val="24"/>
                <w:szCs w:val="24"/>
                <w:highlight w:val="none"/>
              </w:rPr>
            </w:pPr>
            <w:r>
              <w:rPr>
                <w:rFonts w:hint="default" w:ascii="Segoe UI Symbol" w:hAnsi="Segoe UI Symbol" w:cs="Segoe UI Symbol"/>
                <w:color w:val="auto"/>
                <w:sz w:val="24"/>
                <w:szCs w:val="24"/>
                <w:highlight w:val="none"/>
              </w:rPr>
              <w:t>☑</w:t>
            </w:r>
            <w:r>
              <w:rPr>
                <w:rFonts w:hint="default" w:hAnsi="宋体"/>
                <w:color w:val="auto"/>
                <w:sz w:val="24"/>
                <w:szCs w:val="24"/>
                <w:highlight w:val="none"/>
              </w:rPr>
              <w:t>有，具体情形：</w:t>
            </w:r>
          </w:p>
          <w:p w14:paraId="5FB6487A">
            <w:pPr>
              <w:pStyle w:val="24"/>
              <w:adjustRightInd w:val="0"/>
              <w:snapToGrid w:val="0"/>
              <w:rPr>
                <w:rFonts w:hint="default" w:hAnsi="宋体"/>
                <w:color w:val="auto"/>
                <w:sz w:val="24"/>
                <w:szCs w:val="24"/>
                <w:highlight w:val="none"/>
              </w:rPr>
            </w:pPr>
            <w:r>
              <w:rPr>
                <w:rFonts w:hAnsi="宋体"/>
                <w:color w:val="auto"/>
                <w:sz w:val="24"/>
                <w:szCs w:val="24"/>
                <w:highlight w:val="none"/>
              </w:rPr>
              <w:t>1、投标人在提交投标文件截止时间后撤回投标文件的；</w:t>
            </w:r>
          </w:p>
          <w:p w14:paraId="287657E1">
            <w:pPr>
              <w:pStyle w:val="24"/>
              <w:adjustRightInd w:val="0"/>
              <w:snapToGrid w:val="0"/>
              <w:rPr>
                <w:rFonts w:hint="default" w:hAnsi="宋体"/>
                <w:color w:val="auto"/>
                <w:sz w:val="24"/>
                <w:szCs w:val="24"/>
                <w:highlight w:val="none"/>
              </w:rPr>
            </w:pPr>
            <w:r>
              <w:rPr>
                <w:rFonts w:hAnsi="宋体"/>
                <w:color w:val="auto"/>
                <w:sz w:val="24"/>
                <w:szCs w:val="24"/>
                <w:highlight w:val="none"/>
              </w:rPr>
              <w:t>2、投标人在投标文件中提供虚假材料的；</w:t>
            </w:r>
          </w:p>
          <w:p w14:paraId="7F8283EF">
            <w:pPr>
              <w:pStyle w:val="24"/>
              <w:adjustRightInd w:val="0"/>
              <w:snapToGrid w:val="0"/>
              <w:rPr>
                <w:rFonts w:hint="default" w:hAnsi="宋体"/>
                <w:color w:val="auto"/>
                <w:sz w:val="24"/>
                <w:szCs w:val="24"/>
                <w:highlight w:val="none"/>
              </w:rPr>
            </w:pPr>
            <w:r>
              <w:rPr>
                <w:rFonts w:hAnsi="宋体"/>
                <w:color w:val="auto"/>
                <w:sz w:val="24"/>
                <w:szCs w:val="24"/>
                <w:highlight w:val="none"/>
              </w:rPr>
              <w:t>3、除因不可抗力或招标文件认可的情形以外，中标人不与招标人签订合同的；</w:t>
            </w:r>
          </w:p>
          <w:p w14:paraId="15BDD22C">
            <w:pPr>
              <w:pStyle w:val="24"/>
              <w:adjustRightInd w:val="0"/>
              <w:snapToGrid w:val="0"/>
              <w:rPr>
                <w:rFonts w:hint="default" w:hAnsi="宋体"/>
                <w:color w:val="auto"/>
                <w:sz w:val="24"/>
                <w:szCs w:val="24"/>
                <w:highlight w:val="none"/>
              </w:rPr>
            </w:pPr>
            <w:r>
              <w:rPr>
                <w:rFonts w:hAnsi="宋体"/>
                <w:color w:val="auto"/>
                <w:sz w:val="24"/>
                <w:szCs w:val="24"/>
                <w:highlight w:val="none"/>
              </w:rPr>
              <w:t>4、投标人与招标人、其他投标人或者采购代理机构恶意串通的</w:t>
            </w:r>
          </w:p>
        </w:tc>
      </w:tr>
      <w:tr w14:paraId="76CD9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3BFBDAC">
            <w:pPr>
              <w:pStyle w:val="24"/>
              <w:adjustRightInd w:val="0"/>
              <w:snapToGrid w:val="0"/>
              <w:jc w:val="center"/>
              <w:rPr>
                <w:rFonts w:hint="default" w:hAnsi="宋体"/>
                <w:color w:val="auto"/>
                <w:sz w:val="24"/>
                <w:szCs w:val="24"/>
                <w:highlight w:val="none"/>
              </w:rPr>
            </w:pPr>
            <w:r>
              <w:rPr>
                <w:rFonts w:hint="default" w:hAnsi="宋体"/>
                <w:color w:val="auto"/>
                <w:sz w:val="24"/>
                <w:szCs w:val="24"/>
                <w:highlight w:val="none"/>
              </w:rPr>
              <w:t>13.1</w:t>
            </w:r>
          </w:p>
        </w:tc>
        <w:tc>
          <w:tcPr>
            <w:tcW w:w="1701" w:type="dxa"/>
            <w:vAlign w:val="center"/>
          </w:tcPr>
          <w:p w14:paraId="24DD9103">
            <w:pPr>
              <w:jc w:val="center"/>
              <w:rPr>
                <w:rFonts w:ascii="宋体" w:hAnsi="宋体"/>
                <w:color w:val="auto"/>
                <w:sz w:val="24"/>
                <w:highlight w:val="none"/>
              </w:rPr>
            </w:pPr>
            <w:r>
              <w:rPr>
                <w:rFonts w:ascii="宋体" w:hAnsi="宋体"/>
                <w:color w:val="auto"/>
                <w:sz w:val="24"/>
                <w:highlight w:val="none"/>
              </w:rPr>
              <w:t>投标有效期</w:t>
            </w:r>
          </w:p>
        </w:tc>
        <w:tc>
          <w:tcPr>
            <w:tcW w:w="7540" w:type="dxa"/>
            <w:vAlign w:val="center"/>
          </w:tcPr>
          <w:p w14:paraId="48312E4E">
            <w:pPr>
              <w:jc w:val="left"/>
              <w:rPr>
                <w:rFonts w:ascii="宋体" w:hAnsi="宋体"/>
                <w:color w:val="auto"/>
                <w:sz w:val="24"/>
                <w:highlight w:val="none"/>
              </w:rPr>
            </w:pPr>
            <w:r>
              <w:rPr>
                <w:rFonts w:ascii="宋体" w:hAnsi="宋体"/>
                <w:color w:val="auto"/>
                <w:sz w:val="24"/>
                <w:highlight w:val="none"/>
              </w:rPr>
              <w:t>自提交投标文件的截止之日起算</w:t>
            </w:r>
            <w:r>
              <w:rPr>
                <w:rFonts w:hint="eastAsia" w:ascii="宋体" w:hAnsi="宋体"/>
                <w:color w:val="auto"/>
                <w:sz w:val="24"/>
                <w:highlight w:val="none"/>
                <w:u w:val="single"/>
              </w:rPr>
              <w:t xml:space="preserve">  90  </w:t>
            </w:r>
            <w:r>
              <w:rPr>
                <w:rFonts w:ascii="宋体" w:hAnsi="宋体"/>
                <w:color w:val="auto"/>
                <w:sz w:val="24"/>
                <w:highlight w:val="none"/>
              </w:rPr>
              <w:t>日历天。</w:t>
            </w:r>
          </w:p>
        </w:tc>
      </w:tr>
      <w:tr w14:paraId="1E70D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31377ED">
            <w:pPr>
              <w:pStyle w:val="24"/>
              <w:adjustRightInd w:val="0"/>
              <w:snapToGrid w:val="0"/>
              <w:jc w:val="center"/>
              <w:rPr>
                <w:rFonts w:hint="default" w:hAnsi="宋体"/>
                <w:color w:val="auto"/>
                <w:sz w:val="24"/>
                <w:szCs w:val="24"/>
                <w:highlight w:val="none"/>
              </w:rPr>
            </w:pPr>
            <w:r>
              <w:rPr>
                <w:rFonts w:hint="default" w:hAnsi="宋体"/>
                <w:color w:val="auto"/>
                <w:sz w:val="24"/>
                <w:szCs w:val="24"/>
                <w:highlight w:val="none"/>
              </w:rPr>
              <w:t>22.1</w:t>
            </w:r>
          </w:p>
        </w:tc>
        <w:tc>
          <w:tcPr>
            <w:tcW w:w="1701" w:type="dxa"/>
            <w:vAlign w:val="center"/>
          </w:tcPr>
          <w:p w14:paraId="2F24A956">
            <w:pPr>
              <w:jc w:val="center"/>
              <w:rPr>
                <w:rFonts w:ascii="宋体" w:hAnsi="宋体"/>
                <w:color w:val="auto"/>
                <w:sz w:val="24"/>
                <w:highlight w:val="none"/>
              </w:rPr>
            </w:pPr>
            <w:r>
              <w:rPr>
                <w:rFonts w:ascii="宋体" w:hAnsi="宋体"/>
                <w:color w:val="auto"/>
                <w:sz w:val="24"/>
                <w:highlight w:val="none"/>
              </w:rPr>
              <w:t>确定中标人</w:t>
            </w:r>
          </w:p>
        </w:tc>
        <w:tc>
          <w:tcPr>
            <w:tcW w:w="7540" w:type="dxa"/>
            <w:vAlign w:val="center"/>
          </w:tcPr>
          <w:p w14:paraId="71587061">
            <w:pPr>
              <w:pStyle w:val="24"/>
              <w:adjustRightInd w:val="0"/>
              <w:snapToGrid w:val="0"/>
              <w:rPr>
                <w:rFonts w:hint="default" w:hAnsi="宋体"/>
                <w:color w:val="auto"/>
                <w:sz w:val="24"/>
                <w:szCs w:val="24"/>
                <w:highlight w:val="none"/>
              </w:rPr>
            </w:pPr>
            <w:r>
              <w:rPr>
                <w:rFonts w:hint="default" w:hAnsi="宋体"/>
                <w:color w:val="auto"/>
                <w:sz w:val="24"/>
                <w:szCs w:val="24"/>
                <w:highlight w:val="none"/>
              </w:rPr>
              <w:t>中标候选人并列的，采购人是否委托评标委员会确定中标人：</w:t>
            </w:r>
          </w:p>
          <w:p w14:paraId="6914A74A">
            <w:pPr>
              <w:pStyle w:val="24"/>
              <w:adjustRightInd w:val="0"/>
              <w:snapToGrid w:val="0"/>
              <w:rPr>
                <w:rFonts w:hint="default" w:hAnsi="宋体"/>
                <w:color w:val="auto"/>
                <w:sz w:val="24"/>
                <w:szCs w:val="24"/>
                <w:highlight w:val="none"/>
              </w:rPr>
            </w:pPr>
            <w:r>
              <w:rPr>
                <w:rFonts w:hint="eastAsia" w:ascii="Segoe UI Symbol" w:hAnsi="Segoe UI Symbol" w:cs="Segoe UI Symbol"/>
                <w:color w:val="auto"/>
                <w:sz w:val="24"/>
                <w:szCs w:val="24"/>
                <w:highlight w:val="none"/>
                <w:lang w:eastAsia="zh-CN"/>
              </w:rPr>
              <w:t>☑</w:t>
            </w:r>
            <w:r>
              <w:rPr>
                <w:rFonts w:hint="default" w:hAnsi="宋体"/>
                <w:color w:val="auto"/>
                <w:sz w:val="24"/>
                <w:szCs w:val="24"/>
                <w:highlight w:val="none"/>
              </w:rPr>
              <w:t>否</w:t>
            </w:r>
          </w:p>
          <w:p w14:paraId="0D90DB53">
            <w:pPr>
              <w:pStyle w:val="24"/>
              <w:adjustRightInd w:val="0"/>
              <w:snapToGrid w:val="0"/>
              <w:rPr>
                <w:rFonts w:hint="default" w:hAnsi="宋体"/>
                <w:color w:val="auto"/>
                <w:sz w:val="24"/>
                <w:szCs w:val="24"/>
                <w:highlight w:val="none"/>
              </w:rPr>
            </w:pPr>
            <w:r>
              <w:rPr>
                <w:rFonts w:hAnsi="宋体"/>
                <w:color w:val="auto"/>
                <w:sz w:val="24"/>
                <w:szCs w:val="24"/>
                <w:highlight w:val="none"/>
              </w:rPr>
              <w:t>□</w:t>
            </w:r>
            <w:r>
              <w:rPr>
                <w:rFonts w:hint="default" w:hAnsi="宋体"/>
                <w:color w:val="auto"/>
                <w:sz w:val="24"/>
                <w:szCs w:val="24"/>
                <w:highlight w:val="none"/>
              </w:rPr>
              <w:t>是</w:t>
            </w:r>
          </w:p>
          <w:p w14:paraId="06915965">
            <w:pPr>
              <w:tabs>
                <w:tab w:val="left" w:pos="1080"/>
                <w:tab w:val="left" w:pos="1589"/>
                <w:tab w:val="left" w:pos="2035"/>
              </w:tabs>
              <w:snapToGrid w:val="0"/>
              <w:spacing w:line="360" w:lineRule="auto"/>
              <w:rPr>
                <w:rFonts w:ascii="宋体" w:hAnsi="宋体"/>
                <w:color w:val="auto"/>
                <w:sz w:val="24"/>
                <w:highlight w:val="none"/>
              </w:rPr>
            </w:pPr>
            <w:r>
              <w:rPr>
                <w:rFonts w:ascii="宋体" w:hAnsi="宋体"/>
                <w:color w:val="auto"/>
                <w:sz w:val="24"/>
                <w:highlight w:val="none"/>
              </w:rPr>
              <w:t>本项目采用的评标方法为：</w:t>
            </w:r>
          </w:p>
          <w:p w14:paraId="663E8BF7">
            <w:pPr>
              <w:tabs>
                <w:tab w:val="left" w:pos="900"/>
                <w:tab w:val="left" w:pos="1589"/>
                <w:tab w:val="left" w:pos="1701"/>
              </w:tabs>
              <w:snapToGrid w:val="0"/>
              <w:spacing w:line="360" w:lineRule="auto"/>
              <w:rPr>
                <w:rFonts w:hint="eastAsia" w:ascii="宋体" w:hAnsi="宋体" w:eastAsia="宋体"/>
                <w:color w:val="auto"/>
                <w:sz w:val="24"/>
                <w:highlight w:val="none"/>
                <w:u w:val="single"/>
                <w:lang w:val="en-US" w:eastAsia="zh-CN"/>
              </w:rPr>
            </w:pPr>
            <w:r>
              <w:rPr>
                <w:rFonts w:hint="eastAsia" w:ascii="Segoe UI Symbol" w:hAnsi="Segoe UI Symbol" w:cs="Segoe UI Symbol"/>
                <w:color w:val="auto"/>
                <w:sz w:val="24"/>
                <w:highlight w:val="none"/>
                <w:lang w:eastAsia="zh-CN"/>
              </w:rPr>
              <w:t>☑</w:t>
            </w:r>
            <w:r>
              <w:rPr>
                <w:rFonts w:ascii="宋体" w:hAnsi="宋体"/>
                <w:color w:val="auto"/>
                <w:sz w:val="24"/>
                <w:highlight w:val="none"/>
              </w:rPr>
              <w:t>综合评分法，指投标文件满足招标文件全部实质性要求，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olor w:val="auto"/>
                <w:sz w:val="24"/>
                <w:highlight w:val="none"/>
                <w:lang w:eastAsia="zh-CN"/>
              </w:rPr>
              <w:t>。</w:t>
            </w:r>
          </w:p>
        </w:tc>
      </w:tr>
      <w:tr w14:paraId="5A13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Align w:val="center"/>
          </w:tcPr>
          <w:p w14:paraId="445F69FD">
            <w:pPr>
              <w:pStyle w:val="24"/>
              <w:adjustRightInd w:val="0"/>
              <w:snapToGrid w:val="0"/>
              <w:jc w:val="center"/>
              <w:rPr>
                <w:rFonts w:hint="default" w:hAnsi="宋体"/>
                <w:color w:val="auto"/>
                <w:sz w:val="24"/>
                <w:szCs w:val="24"/>
                <w:highlight w:val="none"/>
              </w:rPr>
            </w:pPr>
            <w:r>
              <w:rPr>
                <w:rFonts w:hint="default" w:hAnsi="宋体"/>
                <w:color w:val="auto"/>
                <w:sz w:val="24"/>
                <w:szCs w:val="24"/>
                <w:highlight w:val="none"/>
              </w:rPr>
              <w:t>25.5</w:t>
            </w:r>
          </w:p>
        </w:tc>
        <w:tc>
          <w:tcPr>
            <w:tcW w:w="1701" w:type="dxa"/>
            <w:vAlign w:val="center"/>
          </w:tcPr>
          <w:p w14:paraId="0DAAD0DA">
            <w:pPr>
              <w:jc w:val="center"/>
              <w:rPr>
                <w:rFonts w:ascii="宋体" w:hAnsi="宋体"/>
                <w:color w:val="auto"/>
                <w:sz w:val="24"/>
                <w:highlight w:val="none"/>
              </w:rPr>
            </w:pPr>
            <w:r>
              <w:rPr>
                <w:rFonts w:ascii="宋体" w:hAnsi="宋体"/>
                <w:color w:val="auto"/>
                <w:sz w:val="24"/>
                <w:highlight w:val="none"/>
              </w:rPr>
              <w:t>分包</w:t>
            </w:r>
          </w:p>
        </w:tc>
        <w:tc>
          <w:tcPr>
            <w:tcW w:w="7540" w:type="dxa"/>
            <w:vAlign w:val="center"/>
          </w:tcPr>
          <w:p w14:paraId="5FAF9984">
            <w:pPr>
              <w:jc w:val="left"/>
              <w:rPr>
                <w:rFonts w:ascii="宋体" w:hAnsi="宋体"/>
                <w:color w:val="auto"/>
                <w:sz w:val="24"/>
                <w:highlight w:val="none"/>
              </w:rPr>
            </w:pPr>
            <w:r>
              <w:rPr>
                <w:rFonts w:ascii="宋体" w:hAnsi="宋体"/>
                <w:color w:val="auto"/>
                <w:sz w:val="24"/>
                <w:highlight w:val="none"/>
              </w:rPr>
              <w:t xml:space="preserve">本项目的非主体、非关键性工作是否允许分包： </w:t>
            </w:r>
          </w:p>
          <w:p w14:paraId="715D310C">
            <w:pPr>
              <w:jc w:val="left"/>
              <w:rPr>
                <w:rFonts w:ascii="宋体" w:hAnsi="宋体"/>
                <w:color w:val="auto"/>
                <w:sz w:val="24"/>
                <w:highlight w:val="none"/>
              </w:rPr>
            </w:pPr>
            <w:r>
              <w:rPr>
                <w:rFonts w:ascii="Segoe UI Symbol" w:hAnsi="Segoe UI Symbol" w:cs="Segoe UI Symbol"/>
                <w:color w:val="auto"/>
                <w:sz w:val="24"/>
                <w:highlight w:val="none"/>
              </w:rPr>
              <w:t>☑</w:t>
            </w:r>
            <w:r>
              <w:rPr>
                <w:rFonts w:ascii="宋体" w:hAnsi="宋体"/>
                <w:color w:val="auto"/>
                <w:sz w:val="24"/>
                <w:highlight w:val="none"/>
              </w:rPr>
              <w:t>不允许</w:t>
            </w:r>
          </w:p>
          <w:p w14:paraId="4C985B9C">
            <w:pPr>
              <w:jc w:val="left"/>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允许，具体要求：</w:t>
            </w:r>
          </w:p>
          <w:p w14:paraId="4FE3F32D">
            <w:pPr>
              <w:jc w:val="left"/>
              <w:rPr>
                <w:rFonts w:ascii="宋体" w:hAnsi="宋体"/>
                <w:color w:val="auto"/>
                <w:sz w:val="24"/>
                <w:highlight w:val="none"/>
              </w:rPr>
            </w:pPr>
            <w:r>
              <w:rPr>
                <w:rFonts w:ascii="宋体" w:hAnsi="宋体"/>
                <w:color w:val="auto"/>
                <w:sz w:val="24"/>
                <w:highlight w:val="none"/>
              </w:rPr>
              <w:t>（1）可以分包履行的具体内容：_____；</w:t>
            </w:r>
          </w:p>
          <w:p w14:paraId="1C711413">
            <w:pPr>
              <w:jc w:val="left"/>
              <w:rPr>
                <w:rFonts w:ascii="宋体" w:hAnsi="宋体"/>
                <w:color w:val="auto"/>
                <w:sz w:val="24"/>
                <w:highlight w:val="none"/>
              </w:rPr>
            </w:pPr>
            <w:r>
              <w:rPr>
                <w:rFonts w:ascii="宋体" w:hAnsi="宋体"/>
                <w:color w:val="auto"/>
                <w:sz w:val="24"/>
                <w:highlight w:val="none"/>
              </w:rPr>
              <w:t>（2）允许分包的金额或者比例：_____；</w:t>
            </w:r>
          </w:p>
          <w:p w14:paraId="436D10CD">
            <w:pPr>
              <w:jc w:val="left"/>
              <w:rPr>
                <w:rFonts w:ascii="宋体" w:hAnsi="宋体"/>
                <w:color w:val="auto"/>
                <w:sz w:val="24"/>
                <w:highlight w:val="none"/>
                <w:u w:val="single"/>
              </w:rPr>
            </w:pPr>
            <w:r>
              <w:rPr>
                <w:rFonts w:ascii="宋体" w:hAnsi="宋体"/>
                <w:color w:val="auto"/>
                <w:sz w:val="24"/>
                <w:highlight w:val="none"/>
              </w:rPr>
              <w:t>（3）其他要求：_____。</w:t>
            </w:r>
          </w:p>
        </w:tc>
      </w:tr>
      <w:tr w14:paraId="690EC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Align w:val="center"/>
          </w:tcPr>
          <w:p w14:paraId="2CAC5E9A">
            <w:pPr>
              <w:jc w:val="center"/>
              <w:rPr>
                <w:rFonts w:hint="default" w:hAnsi="宋体"/>
                <w:color w:val="auto"/>
                <w:sz w:val="24"/>
                <w:szCs w:val="24"/>
                <w:highlight w:val="none"/>
              </w:rPr>
            </w:pPr>
            <w:r>
              <w:rPr>
                <w:color w:val="auto"/>
                <w:sz w:val="24"/>
                <w:highlight w:val="none"/>
              </w:rPr>
              <w:t>25.6</w:t>
            </w:r>
          </w:p>
        </w:tc>
        <w:tc>
          <w:tcPr>
            <w:tcW w:w="1701" w:type="dxa"/>
            <w:vAlign w:val="center"/>
          </w:tcPr>
          <w:p w14:paraId="1012505B">
            <w:pPr>
              <w:jc w:val="center"/>
              <w:rPr>
                <w:rFonts w:ascii="宋体" w:hAnsi="宋体"/>
                <w:color w:val="auto"/>
                <w:sz w:val="24"/>
                <w:highlight w:val="none"/>
              </w:rPr>
            </w:pPr>
            <w:r>
              <w:rPr>
                <w:color w:val="auto"/>
                <w:sz w:val="24"/>
                <w:highlight w:val="none"/>
              </w:rPr>
              <w:t>政采贷</w:t>
            </w:r>
          </w:p>
        </w:tc>
        <w:tc>
          <w:tcPr>
            <w:tcW w:w="7540" w:type="dxa"/>
            <w:vAlign w:val="center"/>
          </w:tcPr>
          <w:p w14:paraId="73C3C7B0">
            <w:pPr>
              <w:jc w:val="left"/>
              <w:rPr>
                <w:rFonts w:ascii="宋体" w:hAnsi="宋体"/>
                <w:color w:val="auto"/>
                <w:sz w:val="24"/>
                <w:highlight w:val="none"/>
              </w:rPr>
            </w:pPr>
            <w:r>
              <w:rPr>
                <w:color w:val="auto"/>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0ABC8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Align w:val="center"/>
          </w:tcPr>
          <w:p w14:paraId="0B15A57C">
            <w:pPr>
              <w:pStyle w:val="24"/>
              <w:adjustRightInd w:val="0"/>
              <w:snapToGrid w:val="0"/>
              <w:jc w:val="center"/>
              <w:rPr>
                <w:rFonts w:hint="default" w:hAnsi="宋体"/>
                <w:color w:val="auto"/>
                <w:sz w:val="24"/>
                <w:szCs w:val="24"/>
                <w:highlight w:val="none"/>
              </w:rPr>
            </w:pPr>
            <w:r>
              <w:rPr>
                <w:rFonts w:hint="default" w:hAnsi="宋体"/>
                <w:color w:val="auto"/>
                <w:sz w:val="24"/>
                <w:szCs w:val="24"/>
                <w:highlight w:val="none"/>
              </w:rPr>
              <w:t>26.1.1</w:t>
            </w:r>
          </w:p>
        </w:tc>
        <w:tc>
          <w:tcPr>
            <w:tcW w:w="1701" w:type="dxa"/>
            <w:vAlign w:val="center"/>
          </w:tcPr>
          <w:p w14:paraId="4E57A10A">
            <w:pPr>
              <w:jc w:val="center"/>
              <w:rPr>
                <w:rFonts w:ascii="宋体" w:hAnsi="宋体"/>
                <w:color w:val="auto"/>
                <w:sz w:val="24"/>
                <w:highlight w:val="none"/>
              </w:rPr>
            </w:pPr>
            <w:r>
              <w:rPr>
                <w:rFonts w:ascii="宋体" w:hAnsi="宋体"/>
                <w:color w:val="auto"/>
                <w:sz w:val="24"/>
                <w:highlight w:val="none"/>
              </w:rPr>
              <w:t>询问</w:t>
            </w:r>
          </w:p>
        </w:tc>
        <w:tc>
          <w:tcPr>
            <w:tcW w:w="7540" w:type="dxa"/>
            <w:vAlign w:val="center"/>
          </w:tcPr>
          <w:p w14:paraId="378FB34E">
            <w:pPr>
              <w:jc w:val="left"/>
              <w:rPr>
                <w:rFonts w:ascii="宋体" w:hAnsi="宋体"/>
                <w:color w:val="auto"/>
                <w:sz w:val="24"/>
                <w:highlight w:val="none"/>
              </w:rPr>
            </w:pPr>
            <w:r>
              <w:rPr>
                <w:rFonts w:ascii="宋体" w:hAnsi="宋体"/>
                <w:color w:val="auto"/>
                <w:sz w:val="24"/>
                <w:highlight w:val="none"/>
              </w:rPr>
              <w:t>询问送达形式：</w:t>
            </w:r>
            <w:r>
              <w:rPr>
                <w:rFonts w:hint="eastAsia" w:ascii="宋体" w:hAnsi="宋体"/>
                <w:color w:val="auto"/>
                <w:sz w:val="24"/>
                <w:highlight w:val="none"/>
              </w:rPr>
              <w:t>对招标文件提出质疑的，为收到招标文件之日至开标期限届满之日；加盖单位公章后以书面、传真或邮件</w:t>
            </w:r>
            <w:r>
              <w:rPr>
                <w:rFonts w:ascii="宋体" w:hAnsi="宋体"/>
                <w:color w:val="auto"/>
                <w:sz w:val="24"/>
                <w:highlight w:val="none"/>
              </w:rPr>
              <w:t>给招标代理机构</w:t>
            </w:r>
            <w:r>
              <w:rPr>
                <w:rFonts w:hint="eastAsia" w:ascii="宋体" w:hAnsi="宋体"/>
                <w:color w:val="auto"/>
                <w:sz w:val="24"/>
                <w:highlight w:val="none"/>
              </w:rPr>
              <w:t>。</w:t>
            </w:r>
          </w:p>
        </w:tc>
      </w:tr>
      <w:tr w14:paraId="7E68C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35263DD">
            <w:pPr>
              <w:pStyle w:val="24"/>
              <w:adjustRightInd w:val="0"/>
              <w:snapToGrid w:val="0"/>
              <w:jc w:val="center"/>
              <w:rPr>
                <w:rFonts w:hint="default" w:hAnsi="宋体"/>
                <w:color w:val="auto"/>
                <w:sz w:val="24"/>
                <w:szCs w:val="24"/>
                <w:highlight w:val="none"/>
              </w:rPr>
            </w:pPr>
            <w:r>
              <w:rPr>
                <w:rFonts w:hint="default" w:hAnsi="宋体"/>
                <w:color w:val="auto"/>
                <w:sz w:val="24"/>
                <w:szCs w:val="24"/>
                <w:highlight w:val="none"/>
              </w:rPr>
              <w:t>26.3</w:t>
            </w:r>
          </w:p>
        </w:tc>
        <w:tc>
          <w:tcPr>
            <w:tcW w:w="1701" w:type="dxa"/>
            <w:vAlign w:val="center"/>
          </w:tcPr>
          <w:p w14:paraId="15947C15">
            <w:pPr>
              <w:jc w:val="center"/>
              <w:rPr>
                <w:rFonts w:ascii="宋体" w:hAnsi="宋体"/>
                <w:color w:val="auto"/>
                <w:sz w:val="24"/>
                <w:highlight w:val="none"/>
              </w:rPr>
            </w:pPr>
            <w:r>
              <w:rPr>
                <w:rFonts w:ascii="宋体" w:hAnsi="宋体"/>
                <w:color w:val="auto"/>
                <w:sz w:val="24"/>
                <w:highlight w:val="none"/>
              </w:rPr>
              <w:t>联系方式</w:t>
            </w:r>
          </w:p>
        </w:tc>
        <w:tc>
          <w:tcPr>
            <w:tcW w:w="7540" w:type="dxa"/>
            <w:vAlign w:val="center"/>
          </w:tcPr>
          <w:p w14:paraId="727BFAEC">
            <w:pPr>
              <w:rPr>
                <w:rFonts w:ascii="宋体" w:hAnsi="宋体" w:cs="宋体"/>
                <w:color w:val="auto"/>
                <w:sz w:val="24"/>
                <w:highlight w:val="none"/>
              </w:rPr>
            </w:pPr>
            <w:r>
              <w:rPr>
                <w:rFonts w:hint="eastAsia" w:ascii="宋体" w:hAnsi="宋体" w:cs="宋体"/>
                <w:color w:val="auto"/>
                <w:sz w:val="24"/>
                <w:highlight w:val="none"/>
              </w:rPr>
              <w:t>接收询问和质疑的联系方式</w:t>
            </w:r>
          </w:p>
          <w:p w14:paraId="2BC5AF49">
            <w:pPr>
              <w:rPr>
                <w:rFonts w:ascii="宋体" w:hAnsi="宋体" w:cs="宋体"/>
                <w:color w:val="auto"/>
                <w:sz w:val="24"/>
                <w:highlight w:val="none"/>
              </w:rPr>
            </w:pPr>
            <w:r>
              <w:rPr>
                <w:rFonts w:hint="eastAsia" w:ascii="宋体" w:hAnsi="宋体" w:cs="宋体"/>
                <w:color w:val="auto"/>
                <w:sz w:val="24"/>
                <w:highlight w:val="none"/>
              </w:rPr>
              <w:t>联系部门：招标部；</w:t>
            </w:r>
          </w:p>
          <w:p w14:paraId="5C46B7C5">
            <w:pPr>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eastAsia="宋体" w:cs="宋体"/>
                <w:color w:val="auto"/>
                <w:sz w:val="24"/>
                <w:szCs w:val="24"/>
                <w:highlight w:val="none"/>
              </w:rPr>
              <w:t>13693051588</w:t>
            </w:r>
          </w:p>
          <w:p w14:paraId="1F9C50C6">
            <w:pPr>
              <w:rPr>
                <w:rFonts w:ascii="宋体" w:hAnsi="宋体"/>
                <w:color w:val="auto"/>
                <w:sz w:val="24"/>
                <w:highlight w:val="none"/>
              </w:rPr>
            </w:pPr>
            <w:r>
              <w:rPr>
                <w:rFonts w:ascii="宋体" w:hAnsi="宋体"/>
                <w:color w:val="auto"/>
                <w:sz w:val="24"/>
                <w:highlight w:val="none"/>
              </w:rPr>
              <w:t>通</w:t>
            </w:r>
            <w:r>
              <w:rPr>
                <w:rFonts w:hint="eastAsia" w:ascii="宋体" w:hAnsi="宋体" w:cs="宋体"/>
                <w:color w:val="auto"/>
                <w:sz w:val="24"/>
                <w:highlight w:val="none"/>
              </w:rPr>
              <w:t>讯地址：</w:t>
            </w:r>
            <w:r>
              <w:rPr>
                <w:rFonts w:hint="eastAsia" w:ascii="宋体" w:hAnsi="宋体" w:eastAsia="宋体" w:cs="宋体"/>
                <w:color w:val="auto"/>
                <w:sz w:val="24"/>
                <w:szCs w:val="24"/>
                <w:highlight w:val="none"/>
              </w:rPr>
              <w:t>北京市朝阳区高碑店乡半壁店村惠河南街1131号5层5020室</w:t>
            </w:r>
          </w:p>
        </w:tc>
      </w:tr>
      <w:tr w14:paraId="20F8D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597341FE">
            <w:pPr>
              <w:pStyle w:val="24"/>
              <w:adjustRightInd w:val="0"/>
              <w:snapToGrid w:val="0"/>
              <w:jc w:val="center"/>
              <w:rPr>
                <w:rFonts w:hint="default" w:hAnsi="宋体"/>
                <w:color w:val="auto"/>
                <w:sz w:val="24"/>
                <w:szCs w:val="24"/>
                <w:highlight w:val="none"/>
              </w:rPr>
            </w:pPr>
            <w:r>
              <w:rPr>
                <w:rFonts w:hint="default" w:hAnsi="宋体"/>
                <w:color w:val="auto"/>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2D2F31E1">
            <w:pPr>
              <w:jc w:val="center"/>
              <w:rPr>
                <w:rFonts w:ascii="宋体" w:hAnsi="宋体"/>
                <w:color w:val="auto"/>
                <w:sz w:val="24"/>
                <w:highlight w:val="none"/>
              </w:rPr>
            </w:pPr>
            <w:r>
              <w:rPr>
                <w:rFonts w:ascii="宋体" w:hAnsi="宋体"/>
                <w:color w:val="auto"/>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54EDFC9F">
            <w:pPr>
              <w:jc w:val="left"/>
              <w:rPr>
                <w:rFonts w:ascii="宋体" w:hAnsi="宋体"/>
                <w:color w:val="auto"/>
                <w:sz w:val="24"/>
                <w:highlight w:val="none"/>
              </w:rPr>
            </w:pPr>
            <w:r>
              <w:rPr>
                <w:rFonts w:ascii="宋体" w:hAnsi="宋体"/>
                <w:color w:val="auto"/>
                <w:sz w:val="24"/>
                <w:highlight w:val="none"/>
              </w:rPr>
              <w:t>收费对象：</w:t>
            </w:r>
          </w:p>
          <w:p w14:paraId="385C2BF8">
            <w:pPr>
              <w:jc w:val="left"/>
              <w:rPr>
                <w:rFonts w:ascii="宋体" w:hAnsi="宋体"/>
                <w:color w:val="auto"/>
                <w:sz w:val="24"/>
                <w:highlight w:val="none"/>
              </w:rPr>
            </w:pPr>
            <w:r>
              <w:rPr>
                <w:rFonts w:hint="eastAsia" w:ascii="宋体" w:hAnsi="宋体"/>
                <w:color w:val="auto"/>
                <w:sz w:val="24"/>
                <w:highlight w:val="none"/>
                <w:lang w:eastAsia="zh-CN"/>
              </w:rPr>
              <w:t>□</w:t>
            </w:r>
            <w:r>
              <w:rPr>
                <w:rFonts w:ascii="宋体" w:hAnsi="宋体"/>
                <w:color w:val="auto"/>
                <w:sz w:val="24"/>
                <w:highlight w:val="none"/>
              </w:rPr>
              <w:t>采购人</w:t>
            </w:r>
          </w:p>
          <w:p w14:paraId="4CC3793C">
            <w:pPr>
              <w:jc w:val="left"/>
              <w:rPr>
                <w:rFonts w:ascii="宋体" w:hAnsi="宋体"/>
                <w:color w:val="auto"/>
                <w:sz w:val="24"/>
                <w:highlight w:val="none"/>
              </w:rPr>
            </w:pPr>
            <w:r>
              <w:rPr>
                <w:rFonts w:hint="eastAsia" w:ascii="Segoe UI Symbol" w:hAnsi="Segoe UI Symbol" w:cs="Segoe UI Symbol"/>
                <w:color w:val="auto"/>
                <w:sz w:val="24"/>
                <w:highlight w:val="none"/>
                <w:lang w:eastAsia="zh-CN"/>
              </w:rPr>
              <w:t>☑</w:t>
            </w:r>
            <w:r>
              <w:rPr>
                <w:rFonts w:ascii="宋体" w:hAnsi="宋体"/>
                <w:color w:val="auto"/>
                <w:sz w:val="24"/>
                <w:highlight w:val="none"/>
              </w:rPr>
              <w:t>中标人</w:t>
            </w:r>
          </w:p>
          <w:p w14:paraId="23599F7A">
            <w:pPr>
              <w:jc w:val="left"/>
              <w:rPr>
                <w:rFonts w:ascii="宋体" w:hAnsi="宋体"/>
                <w:color w:val="auto"/>
                <w:sz w:val="24"/>
                <w:highlight w:val="none"/>
                <w:u w:val="single"/>
              </w:rPr>
            </w:pPr>
            <w:r>
              <w:rPr>
                <w:rFonts w:ascii="宋体" w:hAnsi="宋体"/>
                <w:color w:val="auto"/>
                <w:sz w:val="24"/>
                <w:highlight w:val="none"/>
              </w:rPr>
              <w:t>收费标准：</w:t>
            </w:r>
            <w:r>
              <w:rPr>
                <w:rFonts w:hint="eastAsia" w:ascii="宋体" w:hAnsi="宋体"/>
                <w:color w:val="auto"/>
                <w:sz w:val="24"/>
                <w:highlight w:val="none"/>
                <w:u w:val="single"/>
              </w:rPr>
              <w:t>中标人须承担本项目的招标代理服务费。</w:t>
            </w:r>
          </w:p>
          <w:p w14:paraId="04B4B423">
            <w:pPr>
              <w:jc w:val="left"/>
              <w:rPr>
                <w:rFonts w:ascii="宋体" w:hAnsi="宋体"/>
                <w:color w:val="auto"/>
                <w:sz w:val="24"/>
                <w:highlight w:val="none"/>
                <w:u w:val="single"/>
              </w:rPr>
            </w:pPr>
            <w:r>
              <w:rPr>
                <w:rFonts w:hint="eastAsia" w:ascii="宋体" w:hAnsi="宋体"/>
                <w:color w:val="auto"/>
                <w:sz w:val="24"/>
                <w:highlight w:val="none"/>
                <w:u w:val="single"/>
              </w:rPr>
              <w:t>参照国家发展和改革委员会的《招标代理服务收费 管理暂行办法》(计价格[2011]534 号和[2002]1980 号文件)和《国家发展和改革 委员会办公厅关于招标代理服务收费有关问题的通知》即发改办价格[2003]857号 文件的有关规定，以合同履行期限内的各</w:t>
            </w:r>
            <w:r>
              <w:rPr>
                <w:rFonts w:hint="eastAsia" w:ascii="宋体" w:hAnsi="宋体"/>
                <w:color w:val="auto"/>
                <w:sz w:val="24"/>
                <w:highlight w:val="none"/>
                <w:u w:val="single"/>
                <w:lang w:val="en-US" w:eastAsia="zh-CN"/>
              </w:rPr>
              <w:t>包号</w:t>
            </w:r>
            <w:r>
              <w:rPr>
                <w:rFonts w:hint="eastAsia" w:ascii="宋体" w:hAnsi="宋体"/>
                <w:color w:val="auto"/>
                <w:sz w:val="24"/>
                <w:highlight w:val="none"/>
                <w:u w:val="single"/>
              </w:rPr>
              <w:t>中标总金额为基数，按照差额定率分阶段计取。计取</w:t>
            </w:r>
            <w:r>
              <w:rPr>
                <w:rFonts w:hint="eastAsia" w:ascii="宋体" w:hAnsi="宋体"/>
                <w:color w:val="auto"/>
                <w:sz w:val="24"/>
                <w:highlight w:val="none"/>
                <w:u w:val="single"/>
                <w:lang w:val="en-US" w:eastAsia="zh-CN"/>
              </w:rPr>
              <w:t>各包号</w:t>
            </w:r>
            <w:r>
              <w:rPr>
                <w:rFonts w:hint="eastAsia" w:ascii="宋体" w:hAnsi="宋体"/>
                <w:color w:val="auto"/>
                <w:sz w:val="24"/>
                <w:highlight w:val="none"/>
                <w:u w:val="single"/>
              </w:rPr>
              <w:t>总金额下浮</w:t>
            </w:r>
            <w:r>
              <w:rPr>
                <w:rFonts w:hint="eastAsia" w:ascii="宋体" w:hAnsi="宋体"/>
                <w:color w:val="auto"/>
                <w:sz w:val="24"/>
                <w:highlight w:val="none"/>
                <w:u w:val="single"/>
                <w:lang w:val="en-US" w:eastAsia="zh-CN"/>
              </w:rPr>
              <w:t>7%</w:t>
            </w:r>
            <w:r>
              <w:rPr>
                <w:rFonts w:hint="eastAsia" w:ascii="宋体" w:hAnsi="宋体"/>
                <w:color w:val="auto"/>
                <w:sz w:val="24"/>
                <w:highlight w:val="none"/>
                <w:u w:val="single"/>
              </w:rPr>
              <w:t>收取中标服务费</w:t>
            </w:r>
            <w:r>
              <w:rPr>
                <w:rFonts w:hint="eastAsia" w:ascii="宋体" w:hAnsi="宋体"/>
                <w:color w:val="auto"/>
                <w:sz w:val="24"/>
                <w:highlight w:val="none"/>
                <w:u w:val="single"/>
                <w:lang w:eastAsia="zh-CN"/>
              </w:rPr>
              <w:t>。</w:t>
            </w:r>
          </w:p>
          <w:p w14:paraId="1B22A4B8">
            <w:pPr>
              <w:jc w:val="left"/>
              <w:rPr>
                <w:rFonts w:ascii="宋体" w:hAnsi="宋体"/>
                <w:color w:val="auto"/>
                <w:sz w:val="24"/>
                <w:highlight w:val="none"/>
              </w:rPr>
            </w:pPr>
            <w:r>
              <w:rPr>
                <w:rFonts w:ascii="宋体" w:hAnsi="宋体"/>
                <w:color w:val="auto"/>
                <w:sz w:val="24"/>
                <w:highlight w:val="none"/>
              </w:rPr>
              <w:t>缴纳时间：</w:t>
            </w:r>
            <w:r>
              <w:rPr>
                <w:rFonts w:hint="eastAsia" w:ascii="宋体" w:hAnsi="宋体"/>
                <w:color w:val="auto"/>
                <w:sz w:val="24"/>
                <w:highlight w:val="none"/>
                <w:u w:val="single"/>
              </w:rPr>
              <w:t>发布中标结果公告后5个工作日内由中标单位向乙方支付。</w:t>
            </w:r>
          </w:p>
        </w:tc>
      </w:tr>
    </w:tbl>
    <w:p w14:paraId="281C6DB7">
      <w:pPr>
        <w:tabs>
          <w:tab w:val="left" w:pos="5580"/>
        </w:tabs>
        <w:adjustRightInd w:val="0"/>
        <w:spacing w:line="360" w:lineRule="auto"/>
        <w:jc w:val="distribute"/>
        <w:rPr>
          <w:rFonts w:ascii="宋体" w:hAnsi="宋体"/>
          <w:color w:val="auto"/>
          <w:sz w:val="24"/>
          <w:highlight w:val="none"/>
        </w:rPr>
        <w:sectPr>
          <w:pgSz w:w="11907" w:h="16840"/>
          <w:pgMar w:top="1418" w:right="1134" w:bottom="1418" w:left="1701" w:header="851" w:footer="851" w:gutter="0"/>
          <w:pgNumType w:fmt="decimal"/>
          <w:cols w:space="720" w:num="1"/>
          <w:titlePg/>
          <w:docGrid w:linePitch="462" w:charSpace="0"/>
        </w:sectPr>
      </w:pPr>
    </w:p>
    <w:p w14:paraId="627DF9F1">
      <w:pPr>
        <w:spacing w:before="240" w:beforeLines="100" w:after="240" w:afterLines="100"/>
        <w:jc w:val="center"/>
        <w:rPr>
          <w:rFonts w:ascii="宋体" w:hAnsi="宋体"/>
          <w:b/>
          <w:color w:val="auto"/>
          <w:sz w:val="24"/>
          <w:highlight w:val="none"/>
        </w:rPr>
      </w:pPr>
      <w:bookmarkStart w:id="80" w:name="_Toc353825542"/>
      <w:bookmarkStart w:id="81" w:name="_Toc142311019"/>
      <w:bookmarkStart w:id="82" w:name="_Toc150774722"/>
      <w:bookmarkStart w:id="83" w:name="_Toc150480755"/>
      <w:bookmarkStart w:id="84" w:name="_Toc305158785"/>
      <w:bookmarkStart w:id="85" w:name="_Toc127151517"/>
      <w:bookmarkStart w:id="86" w:name="_Toc264969207"/>
      <w:bookmarkStart w:id="87" w:name="_Toc226337213"/>
      <w:bookmarkStart w:id="88" w:name="_Toc353873932"/>
      <w:bookmarkStart w:id="89" w:name="_Toc195842882"/>
      <w:bookmarkStart w:id="90" w:name="_Toc353873662"/>
      <w:bookmarkStart w:id="91" w:name="_Toc265228355"/>
      <w:bookmarkStart w:id="92" w:name="_Toc226965790"/>
      <w:bookmarkStart w:id="93" w:name="_Toc305158859"/>
      <w:r>
        <w:rPr>
          <w:rFonts w:ascii="宋体" w:hAnsi="宋体"/>
          <w:b/>
          <w:color w:val="auto"/>
          <w:sz w:val="24"/>
          <w:highlight w:val="none"/>
        </w:rPr>
        <w:t>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03B93C61">
      <w:pPr>
        <w:pStyle w:val="2"/>
        <w:tabs>
          <w:tab w:val="center" w:pos="4592"/>
          <w:tab w:val="left" w:pos="7860"/>
        </w:tabs>
        <w:spacing w:before="0" w:line="360" w:lineRule="auto"/>
        <w:jc w:val="left"/>
        <w:rPr>
          <w:rFonts w:ascii="宋体" w:hAnsi="宋体" w:eastAsia="宋体"/>
          <w:color w:val="auto"/>
          <w:sz w:val="24"/>
          <w:szCs w:val="24"/>
          <w:highlight w:val="none"/>
        </w:rPr>
      </w:pPr>
      <w:bookmarkStart w:id="94" w:name="_Toc127151518"/>
      <w:bookmarkStart w:id="95" w:name="_Toc520356143"/>
      <w:r>
        <w:rPr>
          <w:rFonts w:ascii="宋体" w:hAnsi="宋体" w:eastAsia="宋体"/>
          <w:color w:val="auto"/>
          <w:sz w:val="24"/>
          <w:szCs w:val="24"/>
          <w:highlight w:val="none"/>
        </w:rPr>
        <w:tab/>
      </w:r>
      <w:bookmarkStart w:id="96" w:name="_Toc151190145"/>
      <w:bookmarkStart w:id="97" w:name="_Toc150509269"/>
      <w:bookmarkStart w:id="98" w:name="_Toc151193760"/>
      <w:bookmarkStart w:id="99" w:name="_Toc305158786"/>
      <w:bookmarkStart w:id="100" w:name="_Toc142311020"/>
      <w:bookmarkStart w:id="101" w:name="_Toc151193832"/>
      <w:bookmarkStart w:id="102" w:name="_Toc150774723"/>
      <w:bookmarkStart w:id="103" w:name="_Toc195842883"/>
      <w:bookmarkStart w:id="104" w:name="_Toc226337214"/>
      <w:bookmarkStart w:id="105" w:name="_Toc264969208"/>
      <w:bookmarkStart w:id="106" w:name="_Toc305158860"/>
      <w:bookmarkStart w:id="107" w:name="_Toc226965791"/>
      <w:bookmarkStart w:id="108" w:name="_Toc226309762"/>
      <w:bookmarkStart w:id="109" w:name="_Toc150480756"/>
      <w:bookmarkStart w:id="110" w:name="_Toc151193616"/>
      <w:bookmarkStart w:id="111" w:name="_Toc226965708"/>
      <w:bookmarkStart w:id="112" w:name="_Toc151193906"/>
      <w:bookmarkStart w:id="113" w:name="_Toc150774618"/>
      <w:bookmarkStart w:id="114" w:name="_Toc151193688"/>
      <w:bookmarkStart w:id="115" w:name="_Toc265228356"/>
      <w:r>
        <w:rPr>
          <w:rFonts w:ascii="宋体" w:hAnsi="宋体" w:eastAsia="宋体"/>
          <w:color w:val="auto"/>
          <w:sz w:val="24"/>
          <w:szCs w:val="24"/>
          <w:highlight w:val="none"/>
        </w:rPr>
        <w:t>一   说  明</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ascii="宋体" w:hAnsi="宋体" w:eastAsia="宋体"/>
          <w:color w:val="auto"/>
          <w:sz w:val="24"/>
          <w:szCs w:val="24"/>
          <w:highlight w:val="none"/>
        </w:rPr>
        <w:tab/>
      </w:r>
    </w:p>
    <w:p w14:paraId="19598709">
      <w:pPr>
        <w:numPr>
          <w:ilvl w:val="0"/>
          <w:numId w:val="13"/>
        </w:numPr>
        <w:tabs>
          <w:tab w:val="left" w:pos="360"/>
          <w:tab w:val="clear" w:pos="900"/>
        </w:tabs>
        <w:snapToGrid w:val="0"/>
        <w:spacing w:line="360" w:lineRule="auto"/>
        <w:ind w:left="357" w:hanging="357"/>
        <w:outlineLvl w:val="1"/>
        <w:rPr>
          <w:rFonts w:ascii="宋体" w:hAnsi="宋体"/>
          <w:color w:val="auto"/>
          <w:sz w:val="24"/>
          <w:highlight w:val="none"/>
        </w:rPr>
      </w:pPr>
      <w:bookmarkStart w:id="116" w:name="_Toc305158787"/>
      <w:bookmarkStart w:id="117" w:name="_Toc265228357"/>
      <w:bookmarkStart w:id="118" w:name="_Toc264969209"/>
      <w:bookmarkStart w:id="119" w:name="_Toc305158861"/>
      <w:r>
        <w:rPr>
          <w:rFonts w:ascii="宋体" w:hAnsi="宋体"/>
          <w:color w:val="auto"/>
          <w:sz w:val="24"/>
          <w:highlight w:val="none"/>
        </w:rPr>
        <w:t>采购人、采购代理机构、投标人</w:t>
      </w:r>
      <w:bookmarkEnd w:id="116"/>
      <w:bookmarkEnd w:id="117"/>
      <w:bookmarkEnd w:id="118"/>
      <w:bookmarkEnd w:id="119"/>
      <w:r>
        <w:rPr>
          <w:rFonts w:hint="eastAsia" w:ascii="宋体" w:hAnsi="宋体"/>
          <w:color w:val="auto"/>
          <w:sz w:val="24"/>
          <w:highlight w:val="none"/>
        </w:rPr>
        <w:t>、联合体</w:t>
      </w:r>
    </w:p>
    <w:p w14:paraId="53CD7CAB">
      <w:pPr>
        <w:numPr>
          <w:ilvl w:val="1"/>
          <w:numId w:val="13"/>
        </w:numPr>
        <w:tabs>
          <w:tab w:val="left" w:pos="1080"/>
          <w:tab w:val="left" w:pos="2014"/>
          <w:tab w:val="left" w:pos="5521"/>
        </w:tabs>
        <w:snapToGrid w:val="0"/>
        <w:spacing w:line="360" w:lineRule="auto"/>
        <w:ind w:left="1080" w:hanging="720"/>
        <w:rPr>
          <w:rFonts w:ascii="宋体" w:hAnsi="宋体"/>
          <w:color w:val="auto"/>
          <w:sz w:val="24"/>
          <w:highlight w:val="none"/>
        </w:rPr>
      </w:pPr>
      <w:r>
        <w:rPr>
          <w:rFonts w:ascii="宋体" w:hAnsi="宋体"/>
          <w:color w:val="auto"/>
          <w:sz w:val="24"/>
          <w:highlight w:val="none"/>
        </w:rPr>
        <w:t>采购人、采购代理机构：指依法进行政府采购的国家机关、事业单位、团体组织，及其委托的采购代理机构。本项目采购人、采购代理机构见第一章《投标邀请》。</w:t>
      </w:r>
    </w:p>
    <w:p w14:paraId="33A16152">
      <w:pPr>
        <w:numPr>
          <w:ilvl w:val="1"/>
          <w:numId w:val="13"/>
        </w:numPr>
        <w:tabs>
          <w:tab w:val="left" w:pos="1080"/>
          <w:tab w:val="left" w:pos="2014"/>
          <w:tab w:val="left" w:pos="5521"/>
        </w:tabs>
        <w:snapToGrid w:val="0"/>
        <w:spacing w:line="360" w:lineRule="auto"/>
        <w:ind w:left="1080" w:hanging="720"/>
        <w:rPr>
          <w:rFonts w:ascii="宋体" w:hAnsi="宋体"/>
          <w:color w:val="auto"/>
          <w:sz w:val="24"/>
          <w:highlight w:val="none"/>
        </w:rPr>
      </w:pPr>
      <w:r>
        <w:rPr>
          <w:rFonts w:ascii="宋体" w:hAnsi="宋体"/>
          <w:color w:val="auto"/>
          <w:sz w:val="24"/>
          <w:highlight w:val="none"/>
        </w:rPr>
        <w:t>投标人（也称</w:t>
      </w:r>
      <w:r>
        <w:rPr>
          <w:rFonts w:hint="eastAsia" w:ascii="宋体" w:hAnsi="宋体"/>
          <w:color w:val="auto"/>
          <w:sz w:val="24"/>
          <w:highlight w:val="none"/>
        </w:rPr>
        <w:t>“供应商”、“</w:t>
      </w:r>
      <w:r>
        <w:rPr>
          <w:rFonts w:ascii="宋体" w:hAnsi="宋体"/>
          <w:color w:val="auto"/>
          <w:sz w:val="24"/>
          <w:highlight w:val="none"/>
        </w:rPr>
        <w:t>申请人</w:t>
      </w:r>
      <w:r>
        <w:rPr>
          <w:rFonts w:hint="eastAsia" w:ascii="宋体" w:hAnsi="宋体"/>
          <w:color w:val="auto"/>
          <w:sz w:val="24"/>
          <w:highlight w:val="none"/>
        </w:rPr>
        <w:t>”</w:t>
      </w:r>
      <w:r>
        <w:rPr>
          <w:rFonts w:ascii="宋体" w:hAnsi="宋体"/>
          <w:color w:val="auto"/>
          <w:sz w:val="24"/>
          <w:highlight w:val="none"/>
        </w:rPr>
        <w:t>）：指向采购人提供货物、工程或者服务的法人、其他组织或者自然人。</w:t>
      </w:r>
    </w:p>
    <w:p w14:paraId="01BD3B8E">
      <w:pPr>
        <w:numPr>
          <w:ilvl w:val="1"/>
          <w:numId w:val="13"/>
        </w:numPr>
        <w:tabs>
          <w:tab w:val="left" w:pos="1080"/>
          <w:tab w:val="left" w:pos="2014"/>
          <w:tab w:val="left" w:pos="5521"/>
        </w:tabs>
        <w:snapToGrid w:val="0"/>
        <w:spacing w:line="360" w:lineRule="auto"/>
        <w:ind w:left="1080" w:hanging="720"/>
        <w:rPr>
          <w:rFonts w:ascii="宋体" w:hAnsi="宋体"/>
          <w:color w:val="auto"/>
          <w:sz w:val="24"/>
          <w:highlight w:val="none"/>
        </w:rPr>
      </w:pPr>
      <w:r>
        <w:rPr>
          <w:rFonts w:hint="eastAsia" w:ascii="宋体" w:hAnsi="宋体"/>
          <w:color w:val="auto"/>
          <w:sz w:val="24"/>
          <w:highlight w:val="none"/>
        </w:rPr>
        <w:t>联合体：指两个以上的自然人、法人或者其他组织组成一个联合体，以一个供应商的身份共同参加政府采购。</w:t>
      </w:r>
    </w:p>
    <w:p w14:paraId="3564B908">
      <w:pPr>
        <w:numPr>
          <w:ilvl w:val="0"/>
          <w:numId w:val="13"/>
        </w:numPr>
        <w:tabs>
          <w:tab w:val="left" w:pos="360"/>
          <w:tab w:val="clear" w:pos="900"/>
        </w:tabs>
        <w:snapToGrid w:val="0"/>
        <w:spacing w:line="360" w:lineRule="auto"/>
        <w:ind w:left="357" w:hanging="357"/>
        <w:outlineLvl w:val="1"/>
        <w:rPr>
          <w:rFonts w:ascii="宋体" w:hAnsi="宋体"/>
          <w:color w:val="auto"/>
          <w:sz w:val="24"/>
          <w:highlight w:val="none"/>
        </w:rPr>
      </w:pPr>
      <w:bookmarkStart w:id="120" w:name="_Toc151193618"/>
      <w:bookmarkStart w:id="121" w:name="_Toc226337216"/>
      <w:bookmarkStart w:id="122" w:name="_Toc164229361"/>
      <w:bookmarkStart w:id="123" w:name="_Toc149720813"/>
      <w:bookmarkStart w:id="124" w:name="_Toc305158862"/>
      <w:bookmarkStart w:id="125" w:name="_Toc265228358"/>
      <w:bookmarkStart w:id="126" w:name="_Toc150480758"/>
      <w:bookmarkStart w:id="127" w:name="_Toc264969210"/>
      <w:bookmarkStart w:id="128" w:name="_Toc164229215"/>
      <w:bookmarkStart w:id="129" w:name="_Toc142311022"/>
      <w:bookmarkStart w:id="130" w:name="_Toc164608634"/>
      <w:bookmarkStart w:id="131" w:name="_Toc151193834"/>
      <w:bookmarkStart w:id="132" w:name="_Toc164351614"/>
      <w:bookmarkStart w:id="133" w:name="_Toc150774620"/>
      <w:bookmarkStart w:id="134" w:name="_Toc305158788"/>
      <w:bookmarkStart w:id="135" w:name="_Toc195842885"/>
      <w:bookmarkStart w:id="136" w:name="_Toc226965710"/>
      <w:bookmarkStart w:id="137" w:name="_Toc164608789"/>
      <w:bookmarkStart w:id="138" w:name="_Toc226965793"/>
      <w:bookmarkStart w:id="139" w:name="_Toc127161434"/>
      <w:bookmarkStart w:id="140" w:name="_Toc151193908"/>
      <w:bookmarkStart w:id="141" w:name="_Toc150509271"/>
      <w:bookmarkStart w:id="142" w:name="_Toc127151520"/>
      <w:bookmarkStart w:id="143" w:name="_Toc226309764"/>
      <w:bookmarkStart w:id="144" w:name="_Toc151190147"/>
      <w:bookmarkStart w:id="145" w:name="_Toc151193690"/>
      <w:bookmarkStart w:id="146" w:name="_Toc150774725"/>
      <w:bookmarkStart w:id="147" w:name="_Toc151193762"/>
      <w:bookmarkStart w:id="148" w:name="_Toc127151721"/>
      <w:r>
        <w:rPr>
          <w:rFonts w:ascii="宋体" w:hAnsi="宋体"/>
          <w:color w:val="auto"/>
          <w:sz w:val="24"/>
          <w:highlight w:val="none"/>
        </w:rPr>
        <w:t>资金来源</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Pr>
          <w:rFonts w:ascii="宋体" w:hAnsi="宋体"/>
          <w:color w:val="auto"/>
          <w:sz w:val="24"/>
          <w:highlight w:val="none"/>
        </w:rPr>
        <w:t>、项目属性、科研仪器设备采购、核心产品</w:t>
      </w:r>
    </w:p>
    <w:p w14:paraId="2052279D">
      <w:pPr>
        <w:numPr>
          <w:ilvl w:val="1"/>
          <w:numId w:val="13"/>
        </w:numPr>
        <w:tabs>
          <w:tab w:val="left" w:pos="1080"/>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资金来源为财政性资金和/或本项目采购中无法与财政性资金分割的非财政性资金。</w:t>
      </w:r>
    </w:p>
    <w:p w14:paraId="106B3415">
      <w:pPr>
        <w:numPr>
          <w:ilvl w:val="1"/>
          <w:numId w:val="13"/>
        </w:numPr>
        <w:tabs>
          <w:tab w:val="left" w:pos="1080"/>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项目属性见《投标人须知资料表》。</w:t>
      </w:r>
    </w:p>
    <w:p w14:paraId="2B74C3F8">
      <w:pPr>
        <w:numPr>
          <w:ilvl w:val="1"/>
          <w:numId w:val="13"/>
        </w:numPr>
        <w:tabs>
          <w:tab w:val="left" w:pos="1080"/>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是否属于科研仪器设备采购见《投标人须知资料表》。</w:t>
      </w:r>
    </w:p>
    <w:p w14:paraId="1ABB03FE">
      <w:pPr>
        <w:numPr>
          <w:ilvl w:val="1"/>
          <w:numId w:val="13"/>
        </w:numPr>
        <w:tabs>
          <w:tab w:val="left" w:pos="1080"/>
          <w:tab w:val="left" w:pos="2014"/>
          <w:tab w:val="left" w:pos="5521"/>
        </w:tabs>
        <w:snapToGrid w:val="0"/>
        <w:spacing w:line="360" w:lineRule="auto"/>
        <w:ind w:left="1080" w:hanging="720"/>
        <w:rPr>
          <w:rFonts w:ascii="宋体" w:hAnsi="宋体"/>
          <w:color w:val="auto"/>
          <w:sz w:val="24"/>
          <w:highlight w:val="none"/>
        </w:rPr>
      </w:pPr>
      <w:r>
        <w:rPr>
          <w:rFonts w:ascii="宋体" w:hAnsi="宋体"/>
          <w:color w:val="auto"/>
          <w:sz w:val="24"/>
          <w:highlight w:val="none"/>
        </w:rPr>
        <w:t>核心产品见《投标人须知资料表》。</w:t>
      </w:r>
    </w:p>
    <w:p w14:paraId="522663E4">
      <w:pPr>
        <w:numPr>
          <w:ilvl w:val="0"/>
          <w:numId w:val="13"/>
        </w:numPr>
        <w:tabs>
          <w:tab w:val="left" w:pos="360"/>
        </w:tabs>
        <w:snapToGrid w:val="0"/>
        <w:spacing w:line="360" w:lineRule="auto"/>
        <w:ind w:left="357" w:hanging="357"/>
        <w:outlineLvl w:val="1"/>
        <w:rPr>
          <w:rFonts w:ascii="宋体" w:hAnsi="宋体"/>
          <w:color w:val="auto"/>
          <w:sz w:val="24"/>
          <w:highlight w:val="none"/>
        </w:rPr>
      </w:pPr>
      <w:r>
        <w:rPr>
          <w:rFonts w:ascii="宋体" w:hAnsi="宋体"/>
          <w:color w:val="auto"/>
          <w:sz w:val="24"/>
          <w:highlight w:val="none"/>
        </w:rPr>
        <w:t>现场考察、开标前答疑会</w:t>
      </w:r>
    </w:p>
    <w:p w14:paraId="5C8F5027">
      <w:pPr>
        <w:numPr>
          <w:ilvl w:val="1"/>
          <w:numId w:val="13"/>
        </w:numPr>
        <w:tabs>
          <w:tab w:val="left" w:pos="1080"/>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若《投标人须知资料表》中规定了组织现场考察、召开开标前答疑会，则投标人应按要求在规定的时间和地点参加。</w:t>
      </w:r>
      <w:bookmarkStart w:id="149" w:name="_Toc150774727"/>
      <w:bookmarkStart w:id="150" w:name="_Toc151193620"/>
      <w:bookmarkStart w:id="151" w:name="_Toc142311024"/>
      <w:bookmarkStart w:id="152" w:name="_Toc151190149"/>
      <w:bookmarkStart w:id="153" w:name="_Toc151193836"/>
      <w:bookmarkStart w:id="154" w:name="_Toc520356146"/>
      <w:bookmarkStart w:id="155" w:name="_Toc195842887"/>
      <w:bookmarkStart w:id="156" w:name="_Toc226965712"/>
      <w:bookmarkStart w:id="157" w:name="_Toc226337218"/>
      <w:bookmarkStart w:id="158" w:name="_Toc150509273"/>
      <w:bookmarkStart w:id="159" w:name="_Toc151193692"/>
      <w:bookmarkStart w:id="160" w:name="_Toc150774622"/>
      <w:bookmarkStart w:id="161" w:name="_Toc265228360"/>
      <w:bookmarkStart w:id="162" w:name="_Toc305158790"/>
      <w:bookmarkStart w:id="163" w:name="_Toc305158864"/>
      <w:bookmarkStart w:id="164" w:name="_Toc226309766"/>
      <w:bookmarkStart w:id="165" w:name="_Toc151193764"/>
      <w:bookmarkStart w:id="166" w:name="_Toc150480760"/>
      <w:bookmarkStart w:id="167" w:name="_Toc127151522"/>
      <w:bookmarkStart w:id="168" w:name="_Toc264969212"/>
      <w:bookmarkStart w:id="169" w:name="_Toc151193910"/>
      <w:bookmarkStart w:id="170" w:name="_Toc226965795"/>
    </w:p>
    <w:p w14:paraId="741A73FA">
      <w:pPr>
        <w:numPr>
          <w:ilvl w:val="1"/>
          <w:numId w:val="13"/>
        </w:numPr>
        <w:tabs>
          <w:tab w:val="left" w:pos="1080"/>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由于未参加现场考察或开标前答疑会而导致对项目实际情况不了解，影响投标文件编制、投标报价准确性、综合因素响应不全面等问题的，由投标人自行承担不利评审后果。</w:t>
      </w:r>
    </w:p>
    <w:p w14:paraId="3C526675">
      <w:pPr>
        <w:numPr>
          <w:ilvl w:val="0"/>
          <w:numId w:val="13"/>
        </w:numPr>
        <w:tabs>
          <w:tab w:val="left" w:pos="360"/>
        </w:tabs>
        <w:snapToGrid w:val="0"/>
        <w:spacing w:line="360" w:lineRule="auto"/>
        <w:ind w:left="357" w:hanging="357"/>
        <w:outlineLvl w:val="1"/>
        <w:rPr>
          <w:rFonts w:ascii="宋体" w:hAnsi="宋体"/>
          <w:color w:val="auto"/>
          <w:sz w:val="24"/>
          <w:highlight w:val="none"/>
        </w:rPr>
      </w:pPr>
      <w:r>
        <w:rPr>
          <w:rFonts w:ascii="宋体" w:hAnsi="宋体"/>
          <w:color w:val="auto"/>
          <w:sz w:val="24"/>
          <w:highlight w:val="none"/>
        </w:rPr>
        <w:t>样品</w:t>
      </w:r>
    </w:p>
    <w:p w14:paraId="74E05B56">
      <w:pPr>
        <w:numPr>
          <w:ilvl w:val="1"/>
          <w:numId w:val="13"/>
        </w:numPr>
        <w:tabs>
          <w:tab w:val="left" w:pos="1080"/>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本项目是否要求投标人提供样品，以及样品制作的标准和要求、是否需要随样品提交相关检测报告、样品的递交与退还等要求见《投标人须知资料表》</w:t>
      </w:r>
      <w:r>
        <w:rPr>
          <w:rFonts w:hint="eastAsia" w:ascii="宋体" w:hAnsi="宋体"/>
          <w:color w:val="auto"/>
          <w:sz w:val="24"/>
          <w:highlight w:val="none"/>
        </w:rPr>
        <w:t>。</w:t>
      </w:r>
    </w:p>
    <w:p w14:paraId="54A1F649">
      <w:pPr>
        <w:numPr>
          <w:ilvl w:val="1"/>
          <w:numId w:val="13"/>
        </w:numPr>
        <w:tabs>
          <w:tab w:val="left" w:pos="1080"/>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样品的评审方法以及评审标准等内容见第四章《评标方法和评标标准》。</w:t>
      </w:r>
    </w:p>
    <w:p w14:paraId="56FAA421">
      <w:pPr>
        <w:numPr>
          <w:ilvl w:val="0"/>
          <w:numId w:val="13"/>
        </w:numPr>
        <w:tabs>
          <w:tab w:val="left" w:pos="360"/>
          <w:tab w:val="clear" w:pos="900"/>
        </w:tabs>
        <w:snapToGrid w:val="0"/>
        <w:spacing w:line="360" w:lineRule="auto"/>
        <w:ind w:left="357" w:hanging="357"/>
        <w:outlineLvl w:val="1"/>
        <w:rPr>
          <w:rFonts w:ascii="宋体" w:hAnsi="宋体"/>
          <w:color w:val="auto"/>
          <w:sz w:val="24"/>
          <w:highlight w:val="none"/>
        </w:rPr>
      </w:pPr>
      <w:r>
        <w:rPr>
          <w:rFonts w:ascii="宋体" w:hAnsi="宋体"/>
          <w:color w:val="auto"/>
          <w:sz w:val="24"/>
          <w:highlight w:val="none"/>
        </w:rPr>
        <w:t>政府采购政策（包括但不限于下列具体政策要求）</w:t>
      </w:r>
    </w:p>
    <w:p w14:paraId="3B8431FD">
      <w:pPr>
        <w:tabs>
          <w:tab w:val="left" w:pos="2014"/>
        </w:tabs>
        <w:snapToGrid w:val="0"/>
        <w:spacing w:line="360" w:lineRule="auto"/>
        <w:ind w:left="1080"/>
        <w:rPr>
          <w:rFonts w:ascii="宋体" w:hAnsi="宋体"/>
          <w:color w:val="auto"/>
          <w:sz w:val="24"/>
          <w:highlight w:val="none"/>
        </w:rPr>
      </w:pPr>
      <w:r>
        <w:rPr>
          <w:rFonts w:hint="eastAsia" w:ascii="宋体" w:hAnsi="宋体"/>
          <w:color w:val="auto"/>
          <w:sz w:val="24"/>
          <w:highlight w:val="none"/>
        </w:rPr>
        <w:t>5.1采购本国货物、工程和服务</w:t>
      </w:r>
    </w:p>
    <w:p w14:paraId="180C2383">
      <w:pPr>
        <w:tabs>
          <w:tab w:val="left" w:pos="2014"/>
        </w:tabs>
        <w:snapToGrid w:val="0"/>
        <w:spacing w:line="360" w:lineRule="auto"/>
        <w:ind w:left="1080"/>
        <w:rPr>
          <w:rFonts w:ascii="宋体" w:hAnsi="宋体"/>
          <w:color w:val="auto"/>
          <w:sz w:val="24"/>
          <w:highlight w:val="none"/>
        </w:rPr>
      </w:pPr>
      <w:r>
        <w:rPr>
          <w:rFonts w:hint="eastAsia" w:ascii="宋体" w:hAnsi="宋体"/>
          <w:color w:val="auto"/>
          <w:sz w:val="24"/>
          <w:highlight w:val="none"/>
        </w:rPr>
        <w:t>5.1.1政府采购应当采购本国货物、工程和服务。但有《中华人民共和国政府采购法》第十条规定情形的除外</w:t>
      </w:r>
    </w:p>
    <w:p w14:paraId="200B58A7">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5.1.2本项目如接受非本国货物、工程、服务参与投标，则具体要求见第四章《采购需求》。</w:t>
      </w:r>
    </w:p>
    <w:p w14:paraId="603C2EED">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5.1.3进口产品指通过中国海关报关验放进入中国境内且产自关境外的产品，包括已经进入中国境内的进口产品。关于进口产品的相关规定依据《政府采购进口产品管理办法》（财库〔2007〕119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 号文）。</w:t>
      </w:r>
    </w:p>
    <w:p w14:paraId="5E528492">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5.2中小企业、监狱企业及残疾人福利性单位</w:t>
      </w:r>
    </w:p>
    <w:p w14:paraId="1B86134B">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5.2.1中小企业定义：</w:t>
      </w:r>
    </w:p>
    <w:p w14:paraId="79B98DBE">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w:t>
      </w:r>
    </w:p>
    <w:p w14:paraId="5467DE53">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5.2.1.2供应商提供的货物、工程或者服务符合下列情形的，享受中小企业扶持政策：</w:t>
      </w:r>
    </w:p>
    <w:p w14:paraId="49B1D85F">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（1）在货物采购项目中，货物由中小企业制造，即货物由中小企业生产且使用该中小企业商号或者注册商标；</w:t>
      </w:r>
    </w:p>
    <w:p w14:paraId="29801170">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（2）在工程采购项目中，工程由中小企业承建，即工程施工单位为中小企业；</w:t>
      </w:r>
    </w:p>
    <w:p w14:paraId="1797193E">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（3）在服务采购项目中，服务由中小企业承接，即提供服务的人员为中小企业依照《中华人民共和国劳动合同法》订立劳动合同的从业人员。</w:t>
      </w:r>
    </w:p>
    <w:p w14:paraId="510192DA">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5.2.1.3在货物采购项目中，供应商提供的货物既有中小企业制造货物，也有大型企业制造货物的，不享受中小企业扶持政策。</w:t>
      </w:r>
    </w:p>
    <w:p w14:paraId="309D41E0">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5.2.1.4以联合体形式参加政府采购活动，联合体各方均为中小企业的，联合体视同中小企业。其中，联合体各方均为小微企业的，联合体视同小微企业。</w:t>
      </w:r>
    </w:p>
    <w:p w14:paraId="33D90DD1">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7027F8A">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95A9B07">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5.2.3.1安置的残疾人占本单位在职职工人数的比例不低于 25%（含 25%），并且安置的残疾人人数不少于 10  人（含 10人）；</w:t>
      </w:r>
    </w:p>
    <w:p w14:paraId="0641D636">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5.2.3.2依法与安置的每位残疾人签订了一年以上（含一年）的劳动合同或服务协议；</w:t>
      </w:r>
    </w:p>
    <w:p w14:paraId="07E9329A">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5.2.3.3为安置的每位残疾人按月足额缴纳了基本养老保险、基本医疗保险、失业保险、工伤保险和生育保险等社会保险费；</w:t>
      </w:r>
    </w:p>
    <w:p w14:paraId="29122740">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5.2.3.4通过银行等金融机构向安置的每位残疾人，按月支付了不低于单位所在区县适用的经省级人民政府批准的月最低工资标准的工资；</w:t>
      </w:r>
    </w:p>
    <w:p w14:paraId="1CC26D88">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5.2.3.5提供本单位制造的货物、承担的工程或者服务（以下简称产品），或者提供其他残疾人福利性单位制造的货物（不包括使用非残疾人福利性单位注册商标的货物）；</w:t>
      </w:r>
    </w:p>
    <w:p w14:paraId="3908B502">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5.2.3.6前款所称残疾人是指法定劳动年龄内，持有《中华人民共和国残疾人证》或者《中华人民共和国残疾军人证（1 至 8 级）》的自然人，包括具有劳动条件和劳动意愿的精神残疾人。在 职职工人数是指与残疾人福利性单位建立劳动关系并依法 签订劳动合同或服务协议的雇员人数。</w:t>
      </w:r>
    </w:p>
    <w:p w14:paraId="72BF1AF7">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5.2.4本项目是否专门面向中小企业预留采购份额见第一章《投标邀请》。</w:t>
      </w:r>
    </w:p>
    <w:p w14:paraId="1D0C5EC3">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5.2.5采购标的对应的中小企业划分标准所属行业见《投标人须知资料表》。</w:t>
      </w:r>
    </w:p>
    <w:p w14:paraId="37373793">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5.2.6小微企业价格评审优惠的政策调整：见第四章《评标程序、评标方法和评标标准》。</w:t>
      </w:r>
    </w:p>
    <w:p w14:paraId="13A91176">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5.3政府采购节能产品、环境标志产品</w:t>
      </w:r>
    </w:p>
    <w:p w14:paraId="271CF5BC">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B599001">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5.3.2采购人拟采购的产品属于品目清单范围的，采购人及其委托的采购代 理机构依据国家确定的认证机构出具的、处于有效期之内的节能产品、环境标志产品认证证书，对获得证书的产品实施政府优先采购或强制 采购。关于政府采购节能产品、环境标志产品的相关规定依据《关于 调整优化节能产品、环境标志产品政府采购执行机制的通知》（财库</w:t>
      </w:r>
    </w:p>
    <w:p w14:paraId="2A63FC47">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〔2019〕9 号）。</w:t>
      </w:r>
    </w:p>
    <w:p w14:paraId="6EF88FE0">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5.3.3如本项目采购产品属于实施政府强制采购品目清单范围的节能产品， 则投标人所报产品必须获得国家确定的认证机构出具的、处于有效期之内的节能产品认证证书，否则投标无效；</w:t>
      </w:r>
    </w:p>
    <w:p w14:paraId="266E897D">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5.3.4非政府强制采购的节能产品或环境标志产品，依据品目清单和认证证书实施政府优先采购。优先采购的具体规定见第四章《评标程序、评标方法和评标标准》（如涉及）。</w:t>
      </w:r>
    </w:p>
    <w:p w14:paraId="04D62B30">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5.4正版软件</w:t>
      </w:r>
    </w:p>
    <w:p w14:paraId="1B11F5C1">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5.4.1依据《财政部国家发展改革委信息产业部关于印发无线局域网产品政府采购实施意见的通知》（财库〔2005〕366号），采购无线局域网产品和含有无线局域网功能的计算机、通信设备、打印机、复印机、</w:t>
      </w:r>
    </w:p>
    <w:p w14:paraId="4364A547">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投影仪等产品的，优先采购符合国家无线局域网安全标准（GB15629.11/1102）并通过国家产品认证的产品。其中，国家有特殊信息安全要求的项目必须采购认证产品，否则投标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5947F3D7">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5.4.2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691F7D8">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5.5网络安全专用产品</w:t>
      </w:r>
    </w:p>
    <w:p w14:paraId="1FD9A5D1">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5.5.1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766AF77B">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5.6推广使用低挥发性有机化合物（VOCs）</w:t>
      </w:r>
    </w:p>
    <w:p w14:paraId="7B310E08">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5.6.1为全面推进本市挥发性有机物（VOCs）治理，贯彻落实挥发性有机 物污染治理专项行动有关要求，相关规定依据《北京市财政局北京市生态环境局关于政府采购推广使用低挥发性有机化合物（VOCs）有 关事项的通知》（京财采购〔2020〕2381 号）。本项目中涉及涂料、胶黏剂、油墨、清洗剂等挥发性有机物产品的，属于强制性标准的， 供应商应执行符合本市和国家的 VOCs 含量限制标准（具体标准见第五章《采购需求》），否则投标无效；属于推荐性标准的，优先采购， 具体见第四章《评标程序、评标方法和评标标准》。</w:t>
      </w:r>
    </w:p>
    <w:p w14:paraId="2C7FC21D">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5.7采购需求标准</w:t>
      </w:r>
    </w:p>
    <w:p w14:paraId="47F73DC3">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5.7.1商品包装、快递包装政府采购需求标准（试行）</w:t>
      </w:r>
    </w:p>
    <w:p w14:paraId="73BE111A">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4A35DD7F">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5.7.2绿色数据中心政府采购需求标准（试行）</w:t>
      </w:r>
    </w:p>
    <w:p w14:paraId="5BFA3F12">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为加快数据中心绿色转型，根据财政部 生态环境部 工业和信息化部关于印发《绿色数据中心政府采购需求标准（试行）》的通知（财库〔2023〕7号），本项目如涉及绿色数据中心，则具体要求见第五章《采购需求》。</w:t>
      </w:r>
    </w:p>
    <w:p w14:paraId="16376565">
      <w:pPr>
        <w:numPr>
          <w:ilvl w:val="0"/>
          <w:numId w:val="13"/>
        </w:numPr>
        <w:tabs>
          <w:tab w:val="left" w:pos="360"/>
        </w:tabs>
        <w:snapToGrid w:val="0"/>
        <w:spacing w:line="360" w:lineRule="auto"/>
        <w:ind w:left="357" w:hanging="357"/>
        <w:outlineLvl w:val="1"/>
        <w:rPr>
          <w:rFonts w:ascii="宋体" w:hAnsi="宋体"/>
          <w:color w:val="auto"/>
          <w:sz w:val="24"/>
          <w:highlight w:val="none"/>
        </w:rPr>
      </w:pPr>
      <w:r>
        <w:rPr>
          <w:rFonts w:ascii="宋体" w:hAnsi="宋体"/>
          <w:color w:val="auto"/>
          <w:sz w:val="24"/>
          <w:highlight w:val="none"/>
        </w:rPr>
        <w:t>投标费用</w:t>
      </w:r>
    </w:p>
    <w:p w14:paraId="2C4BA164">
      <w:pPr>
        <w:numPr>
          <w:ilvl w:val="1"/>
          <w:numId w:val="13"/>
        </w:numPr>
        <w:tabs>
          <w:tab w:val="left" w:pos="1080"/>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投标人应自行承担所有与准备和参加投标有关的费用，无论投标的结果如何，采购人或采购代理机构在任何情况下均无承担这些费用的义务和责任。</w:t>
      </w:r>
    </w:p>
    <w:p w14:paraId="25DEB695">
      <w:pPr>
        <w:pStyle w:val="44"/>
        <w:ind w:left="0" w:leftChars="0" w:firstLine="0" w:firstLineChars="0"/>
        <w:rPr>
          <w:rFonts w:ascii="宋体" w:hAnsi="宋体"/>
          <w:color w:val="auto"/>
          <w:szCs w:val="24"/>
          <w:highlight w:val="none"/>
        </w:rPr>
      </w:pPr>
      <w:bookmarkStart w:id="171" w:name="_1.8_计量单位"/>
      <w:bookmarkEnd w:id="171"/>
    </w:p>
    <w:p w14:paraId="779B4848">
      <w:pPr>
        <w:pStyle w:val="2"/>
        <w:spacing w:before="0" w:line="360" w:lineRule="auto"/>
        <w:rPr>
          <w:rFonts w:ascii="宋体" w:hAnsi="宋体" w:eastAsia="宋体"/>
          <w:color w:val="auto"/>
          <w:sz w:val="24"/>
          <w:szCs w:val="24"/>
          <w:highlight w:val="none"/>
        </w:rPr>
      </w:pPr>
      <w:r>
        <w:rPr>
          <w:rFonts w:ascii="宋体" w:hAnsi="宋体" w:eastAsia="宋体"/>
          <w:color w:val="auto"/>
          <w:sz w:val="24"/>
          <w:szCs w:val="24"/>
          <w:highlight w:val="none"/>
        </w:rPr>
        <w:t>二   招标文件</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3D6FEB32">
      <w:pPr>
        <w:numPr>
          <w:ilvl w:val="0"/>
          <w:numId w:val="13"/>
        </w:numPr>
        <w:tabs>
          <w:tab w:val="left" w:pos="360"/>
        </w:tabs>
        <w:snapToGrid w:val="0"/>
        <w:spacing w:line="360" w:lineRule="auto"/>
        <w:ind w:left="357" w:hanging="357"/>
        <w:outlineLvl w:val="1"/>
        <w:rPr>
          <w:rFonts w:ascii="宋体" w:hAnsi="宋体"/>
          <w:color w:val="auto"/>
          <w:sz w:val="24"/>
          <w:highlight w:val="none"/>
        </w:rPr>
      </w:pPr>
      <w:bookmarkStart w:id="172" w:name="_Toc127161437"/>
      <w:bookmarkStart w:id="173" w:name="_Toc151193693"/>
      <w:bookmarkStart w:id="174" w:name="_Toc226965796"/>
      <w:bookmarkStart w:id="175" w:name="_Toc164229364"/>
      <w:bookmarkStart w:id="176" w:name="_Toc520356147"/>
      <w:bookmarkStart w:id="177" w:name="_Toc151193765"/>
      <w:bookmarkStart w:id="178" w:name="_Toc151193911"/>
      <w:bookmarkStart w:id="179" w:name="_Toc226337219"/>
      <w:bookmarkStart w:id="180" w:name="_Toc265228361"/>
      <w:bookmarkStart w:id="181" w:name="_Toc264969213"/>
      <w:bookmarkStart w:id="182" w:name="_Toc305158865"/>
      <w:bookmarkStart w:id="183" w:name="_Toc150480761"/>
      <w:bookmarkStart w:id="184" w:name="_Toc305158791"/>
      <w:bookmarkStart w:id="185" w:name="_Toc164608792"/>
      <w:bookmarkStart w:id="186" w:name="_Toc150774728"/>
      <w:bookmarkStart w:id="187" w:name="_Toc151193837"/>
      <w:bookmarkStart w:id="188" w:name="_Toc164229218"/>
      <w:bookmarkStart w:id="189" w:name="_Toc150774623"/>
      <w:bookmarkStart w:id="190" w:name="_Toc226309767"/>
      <w:bookmarkStart w:id="191" w:name="_Toc164351617"/>
      <w:bookmarkStart w:id="192" w:name="_Toc151193621"/>
      <w:bookmarkStart w:id="193" w:name="_Toc226965713"/>
      <w:bookmarkStart w:id="194" w:name="_Toc142311025"/>
      <w:bookmarkStart w:id="195" w:name="_Toc150509274"/>
      <w:bookmarkStart w:id="196" w:name="_Toc127151523"/>
      <w:bookmarkStart w:id="197" w:name="_Toc127151724"/>
      <w:bookmarkStart w:id="198" w:name="_Toc151190150"/>
      <w:bookmarkStart w:id="199" w:name="_Toc195842888"/>
      <w:bookmarkStart w:id="200" w:name="_Toc164608637"/>
      <w:bookmarkStart w:id="201" w:name="_Toc149720816"/>
      <w:r>
        <w:rPr>
          <w:rFonts w:ascii="宋体" w:hAnsi="宋体"/>
          <w:color w:val="auto"/>
          <w:sz w:val="24"/>
          <w:highlight w:val="none"/>
        </w:rPr>
        <w:t>招标文件构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rFonts w:ascii="宋体" w:hAnsi="宋体"/>
          <w:color w:val="auto"/>
          <w:sz w:val="24"/>
          <w:highlight w:val="none"/>
        </w:rPr>
        <w:t>成</w:t>
      </w:r>
    </w:p>
    <w:p w14:paraId="0EA33E4A">
      <w:pPr>
        <w:numPr>
          <w:ilvl w:val="1"/>
          <w:numId w:val="13"/>
        </w:numPr>
        <w:tabs>
          <w:tab w:val="left" w:pos="1080"/>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招标文件包括以下部分：</w:t>
      </w:r>
    </w:p>
    <w:p w14:paraId="64979840">
      <w:pPr>
        <w:numPr>
          <w:ilvl w:val="0"/>
          <w:numId w:val="14"/>
        </w:numPr>
        <w:tabs>
          <w:tab w:val="left" w:pos="1980"/>
          <w:tab w:val="left" w:pos="2520"/>
        </w:tabs>
        <w:snapToGrid w:val="0"/>
        <w:spacing w:line="360" w:lineRule="auto"/>
        <w:ind w:left="1440" w:firstLine="5"/>
        <w:rPr>
          <w:rFonts w:ascii="宋体" w:hAnsi="宋体"/>
          <w:color w:val="auto"/>
          <w:sz w:val="24"/>
          <w:highlight w:val="none"/>
        </w:rPr>
      </w:pPr>
      <w:r>
        <w:rPr>
          <w:rFonts w:ascii="宋体" w:hAnsi="宋体"/>
          <w:color w:val="auto"/>
          <w:sz w:val="24"/>
          <w:highlight w:val="none"/>
        </w:rPr>
        <w:t>投标邀请</w:t>
      </w:r>
    </w:p>
    <w:p w14:paraId="074E5F82">
      <w:pPr>
        <w:numPr>
          <w:ilvl w:val="0"/>
          <w:numId w:val="14"/>
        </w:numPr>
        <w:tabs>
          <w:tab w:val="left" w:pos="1980"/>
          <w:tab w:val="left" w:pos="2520"/>
        </w:tabs>
        <w:snapToGrid w:val="0"/>
        <w:spacing w:line="360" w:lineRule="auto"/>
        <w:ind w:left="1440" w:firstLine="5"/>
        <w:rPr>
          <w:rFonts w:ascii="宋体" w:hAnsi="宋体"/>
          <w:color w:val="auto"/>
          <w:sz w:val="24"/>
          <w:highlight w:val="none"/>
        </w:rPr>
      </w:pPr>
      <w:r>
        <w:rPr>
          <w:rFonts w:ascii="宋体" w:hAnsi="宋体"/>
          <w:color w:val="auto"/>
          <w:sz w:val="24"/>
          <w:highlight w:val="none"/>
        </w:rPr>
        <w:t>投标人须知</w:t>
      </w:r>
    </w:p>
    <w:p w14:paraId="13C7DE8B">
      <w:pPr>
        <w:numPr>
          <w:ilvl w:val="0"/>
          <w:numId w:val="14"/>
        </w:numPr>
        <w:tabs>
          <w:tab w:val="left" w:pos="1980"/>
          <w:tab w:val="left" w:pos="2520"/>
        </w:tabs>
        <w:snapToGrid w:val="0"/>
        <w:spacing w:line="360" w:lineRule="auto"/>
        <w:ind w:left="1440" w:firstLine="5"/>
        <w:rPr>
          <w:rFonts w:ascii="宋体" w:hAnsi="宋体"/>
          <w:color w:val="auto"/>
          <w:sz w:val="24"/>
          <w:highlight w:val="none"/>
        </w:rPr>
      </w:pPr>
      <w:r>
        <w:rPr>
          <w:rFonts w:ascii="宋体" w:hAnsi="宋体"/>
          <w:color w:val="auto"/>
          <w:sz w:val="24"/>
          <w:highlight w:val="none"/>
        </w:rPr>
        <w:t>资格审查</w:t>
      </w:r>
    </w:p>
    <w:p w14:paraId="3A2C2D2B">
      <w:pPr>
        <w:numPr>
          <w:ilvl w:val="0"/>
          <w:numId w:val="14"/>
        </w:numPr>
        <w:tabs>
          <w:tab w:val="left" w:pos="1980"/>
          <w:tab w:val="left" w:pos="2520"/>
        </w:tabs>
        <w:snapToGrid w:val="0"/>
        <w:spacing w:line="360" w:lineRule="auto"/>
        <w:ind w:left="1440" w:firstLine="5"/>
        <w:rPr>
          <w:rFonts w:ascii="宋体" w:hAnsi="宋体"/>
          <w:color w:val="auto"/>
          <w:sz w:val="24"/>
          <w:highlight w:val="none"/>
        </w:rPr>
      </w:pPr>
      <w:r>
        <w:rPr>
          <w:rFonts w:ascii="宋体" w:hAnsi="宋体"/>
          <w:color w:val="auto"/>
          <w:sz w:val="24"/>
          <w:highlight w:val="none"/>
        </w:rPr>
        <w:t>评标程序、评标方法和评标标准</w:t>
      </w:r>
    </w:p>
    <w:p w14:paraId="2678568F">
      <w:pPr>
        <w:numPr>
          <w:ilvl w:val="0"/>
          <w:numId w:val="14"/>
        </w:numPr>
        <w:tabs>
          <w:tab w:val="left" w:pos="1980"/>
          <w:tab w:val="left" w:pos="2520"/>
        </w:tabs>
        <w:snapToGrid w:val="0"/>
        <w:spacing w:line="360" w:lineRule="auto"/>
        <w:ind w:left="1440" w:firstLine="5"/>
        <w:rPr>
          <w:rFonts w:ascii="宋体" w:hAnsi="宋体"/>
          <w:color w:val="auto"/>
          <w:sz w:val="24"/>
          <w:highlight w:val="none"/>
        </w:rPr>
      </w:pPr>
      <w:r>
        <w:rPr>
          <w:rFonts w:ascii="宋体" w:hAnsi="宋体"/>
          <w:color w:val="auto"/>
          <w:sz w:val="24"/>
          <w:highlight w:val="none"/>
        </w:rPr>
        <w:t>采购需求</w:t>
      </w:r>
    </w:p>
    <w:p w14:paraId="6129839E">
      <w:pPr>
        <w:numPr>
          <w:ilvl w:val="0"/>
          <w:numId w:val="14"/>
        </w:numPr>
        <w:tabs>
          <w:tab w:val="left" w:pos="1980"/>
          <w:tab w:val="left" w:pos="2520"/>
        </w:tabs>
        <w:snapToGrid w:val="0"/>
        <w:spacing w:line="360" w:lineRule="auto"/>
        <w:ind w:left="1440" w:firstLine="5"/>
        <w:rPr>
          <w:rFonts w:ascii="宋体" w:hAnsi="宋体"/>
          <w:color w:val="auto"/>
          <w:sz w:val="24"/>
          <w:highlight w:val="none"/>
        </w:rPr>
      </w:pPr>
      <w:r>
        <w:rPr>
          <w:rFonts w:ascii="宋体" w:hAnsi="宋体"/>
          <w:color w:val="auto"/>
          <w:sz w:val="24"/>
          <w:highlight w:val="none"/>
        </w:rPr>
        <w:t>拟签订的合同文本</w:t>
      </w:r>
    </w:p>
    <w:p w14:paraId="6C037C59">
      <w:pPr>
        <w:numPr>
          <w:ilvl w:val="0"/>
          <w:numId w:val="14"/>
        </w:numPr>
        <w:tabs>
          <w:tab w:val="left" w:pos="1980"/>
          <w:tab w:val="left" w:pos="2520"/>
        </w:tabs>
        <w:snapToGrid w:val="0"/>
        <w:spacing w:line="360" w:lineRule="auto"/>
        <w:ind w:left="1440" w:firstLine="5"/>
        <w:rPr>
          <w:rFonts w:ascii="宋体" w:hAnsi="宋体"/>
          <w:color w:val="auto"/>
          <w:sz w:val="24"/>
          <w:highlight w:val="none"/>
        </w:rPr>
      </w:pPr>
      <w:r>
        <w:rPr>
          <w:rFonts w:ascii="宋体" w:hAnsi="宋体"/>
          <w:color w:val="auto"/>
          <w:sz w:val="24"/>
          <w:highlight w:val="none"/>
        </w:rPr>
        <w:t>投标文件格式</w:t>
      </w:r>
    </w:p>
    <w:p w14:paraId="33F9C1A5">
      <w:pPr>
        <w:numPr>
          <w:ilvl w:val="1"/>
          <w:numId w:val="13"/>
        </w:numPr>
        <w:tabs>
          <w:tab w:val="left" w:pos="1080"/>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投标人应认真阅读招标文件的全部内容。投标人应按照招标文件要求提交投标文件并保证所提供的全部资料的真实性，并对招标文件做出实质性响应，否则</w:t>
      </w:r>
      <w:r>
        <w:rPr>
          <w:rFonts w:ascii="宋体" w:hAnsi="宋体"/>
          <w:b/>
          <w:color w:val="auto"/>
          <w:sz w:val="24"/>
          <w:highlight w:val="none"/>
        </w:rPr>
        <w:t>投标无效</w:t>
      </w:r>
      <w:r>
        <w:rPr>
          <w:rFonts w:ascii="宋体" w:hAnsi="宋体"/>
          <w:color w:val="auto"/>
          <w:sz w:val="24"/>
          <w:highlight w:val="none"/>
        </w:rPr>
        <w:t>。</w:t>
      </w:r>
    </w:p>
    <w:p w14:paraId="5B7161BA">
      <w:pPr>
        <w:numPr>
          <w:ilvl w:val="0"/>
          <w:numId w:val="13"/>
        </w:numPr>
        <w:tabs>
          <w:tab w:val="left" w:pos="1080"/>
          <w:tab w:val="left" w:pos="2014"/>
        </w:tabs>
        <w:snapToGrid w:val="0"/>
        <w:spacing w:line="360" w:lineRule="auto"/>
        <w:ind w:left="357" w:hanging="357"/>
        <w:outlineLvl w:val="1"/>
        <w:rPr>
          <w:rFonts w:ascii="宋体" w:hAnsi="宋体"/>
          <w:color w:val="auto"/>
          <w:sz w:val="24"/>
          <w:highlight w:val="none"/>
        </w:rPr>
      </w:pPr>
      <w:r>
        <w:rPr>
          <w:rFonts w:ascii="宋体" w:hAnsi="宋体"/>
          <w:color w:val="auto"/>
          <w:sz w:val="24"/>
          <w:highlight w:val="none"/>
        </w:rPr>
        <w:t>对招标文件的澄清或修改</w:t>
      </w:r>
    </w:p>
    <w:p w14:paraId="421D927F">
      <w:pPr>
        <w:numPr>
          <w:ilvl w:val="1"/>
          <w:numId w:val="13"/>
        </w:numPr>
        <w:tabs>
          <w:tab w:val="left" w:pos="1080"/>
          <w:tab w:val="left" w:pos="1561"/>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采购人或采购代理机构对已发出的招标文件进行必要澄清或者修改的，将在原公告发布媒体上发布更正公告，并以书面形式通知所有获取招标文件的潜在投标人。</w:t>
      </w:r>
    </w:p>
    <w:p w14:paraId="2E058B07">
      <w:pPr>
        <w:numPr>
          <w:ilvl w:val="1"/>
          <w:numId w:val="13"/>
        </w:numPr>
        <w:tabs>
          <w:tab w:val="left" w:pos="1080"/>
          <w:tab w:val="left" w:pos="1561"/>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上述书面通知，按照获取招标文件的潜在投标人提供的联系方式发出，因提供的信息有误导致通知延迟或无法通知的，采购人或采购代理机构不承担责任。</w:t>
      </w:r>
    </w:p>
    <w:p w14:paraId="783E1F8B">
      <w:pPr>
        <w:numPr>
          <w:ilvl w:val="1"/>
          <w:numId w:val="13"/>
        </w:numPr>
        <w:tabs>
          <w:tab w:val="left" w:pos="1080"/>
          <w:tab w:val="left" w:pos="1561"/>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bookmarkStart w:id="202" w:name="_Toc516367020"/>
      <w:bookmarkStart w:id="203" w:name="_Toc151193840"/>
      <w:bookmarkStart w:id="204" w:name="_Toc151193914"/>
      <w:bookmarkStart w:id="205" w:name="_Toc226965716"/>
      <w:bookmarkStart w:id="206" w:name="_Toc150774731"/>
      <w:bookmarkStart w:id="207" w:name="_Toc150509277"/>
      <w:bookmarkStart w:id="208" w:name="_Toc305158868"/>
      <w:bookmarkStart w:id="209" w:name="_Toc150480764"/>
      <w:bookmarkStart w:id="210" w:name="_Toc226309770"/>
      <w:bookmarkStart w:id="211" w:name="_Toc142311028"/>
      <w:bookmarkStart w:id="212" w:name="_Toc151193624"/>
      <w:bookmarkStart w:id="213" w:name="_Toc151190153"/>
      <w:bookmarkStart w:id="214" w:name="_Toc151193696"/>
      <w:bookmarkStart w:id="215" w:name="_Toc305158794"/>
      <w:bookmarkStart w:id="216" w:name="_Toc195842891"/>
      <w:bookmarkStart w:id="217" w:name="_Toc226965799"/>
      <w:bookmarkStart w:id="218" w:name="_Toc150774626"/>
      <w:bookmarkStart w:id="219" w:name="_Toc265228364"/>
      <w:bookmarkStart w:id="220" w:name="_Toc264969216"/>
      <w:bookmarkStart w:id="221" w:name="_Toc127151526"/>
      <w:bookmarkStart w:id="222" w:name="_Toc520356150"/>
      <w:bookmarkStart w:id="223" w:name="_Toc151193768"/>
      <w:bookmarkStart w:id="224" w:name="_Toc226337222"/>
    </w:p>
    <w:p w14:paraId="35B597CF">
      <w:pPr>
        <w:pStyle w:val="2"/>
        <w:spacing w:before="0" w:line="360" w:lineRule="auto"/>
        <w:rPr>
          <w:rFonts w:ascii="宋体" w:hAnsi="宋体" w:eastAsia="宋体"/>
          <w:color w:val="auto"/>
          <w:sz w:val="24"/>
          <w:szCs w:val="24"/>
          <w:highlight w:val="none"/>
        </w:rPr>
      </w:pPr>
      <w:r>
        <w:rPr>
          <w:rFonts w:ascii="宋体" w:hAnsi="宋体" w:eastAsia="宋体"/>
          <w:color w:val="auto"/>
          <w:sz w:val="24"/>
          <w:szCs w:val="24"/>
          <w:highlight w:val="none"/>
        </w:rPr>
        <w:t>三   投标文件</w:t>
      </w:r>
      <w:bookmarkEnd w:id="202"/>
      <w:r>
        <w:rPr>
          <w:rFonts w:ascii="宋体" w:hAnsi="宋体" w:eastAsia="宋体"/>
          <w:color w:val="auto"/>
          <w:sz w:val="24"/>
          <w:szCs w:val="24"/>
          <w:highlight w:val="none"/>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0017CE88">
      <w:pPr>
        <w:numPr>
          <w:ilvl w:val="0"/>
          <w:numId w:val="13"/>
        </w:numPr>
        <w:tabs>
          <w:tab w:val="left" w:pos="360"/>
        </w:tabs>
        <w:snapToGrid w:val="0"/>
        <w:spacing w:line="360" w:lineRule="auto"/>
        <w:ind w:left="357" w:hanging="357"/>
        <w:outlineLvl w:val="1"/>
        <w:rPr>
          <w:rFonts w:ascii="宋体" w:hAnsi="宋体"/>
          <w:color w:val="auto"/>
          <w:sz w:val="24"/>
          <w:highlight w:val="none"/>
        </w:rPr>
      </w:pPr>
      <w:bookmarkStart w:id="225" w:name="_Toc264969217"/>
      <w:bookmarkStart w:id="226" w:name="_Toc516367021"/>
      <w:bookmarkStart w:id="227" w:name="_Toc226309771"/>
      <w:bookmarkStart w:id="228" w:name="_Toc151193915"/>
      <w:bookmarkStart w:id="229" w:name="_Toc226965800"/>
      <w:bookmarkStart w:id="230" w:name="_Toc150480765"/>
      <w:bookmarkStart w:id="231" w:name="_Toc127151728"/>
      <w:bookmarkStart w:id="232" w:name="_Toc151190154"/>
      <w:bookmarkStart w:id="233" w:name="_Toc151193625"/>
      <w:bookmarkStart w:id="234" w:name="_Toc150774732"/>
      <w:bookmarkStart w:id="235" w:name="_Toc151193841"/>
      <w:bookmarkStart w:id="236" w:name="_Toc151193697"/>
      <w:bookmarkStart w:id="237" w:name="_Toc520356151"/>
      <w:bookmarkStart w:id="238" w:name="_Toc150509278"/>
      <w:bookmarkStart w:id="239" w:name="_Toc149720820"/>
      <w:bookmarkStart w:id="240" w:name="_Toc226337223"/>
      <w:bookmarkStart w:id="241" w:name="_Toc195842892"/>
      <w:bookmarkStart w:id="242" w:name="_Toc305158795"/>
      <w:bookmarkStart w:id="243" w:name="_Toc127161441"/>
      <w:bookmarkStart w:id="244" w:name="_Toc142311029"/>
      <w:bookmarkStart w:id="245" w:name="_Toc164229222"/>
      <w:bookmarkStart w:id="246" w:name="_Toc226965717"/>
      <w:bookmarkStart w:id="247" w:name="_Toc265228365"/>
      <w:bookmarkStart w:id="248" w:name="_Toc305158869"/>
      <w:bookmarkStart w:id="249" w:name="_Toc164351621"/>
      <w:bookmarkStart w:id="250" w:name="_Toc164608641"/>
      <w:bookmarkStart w:id="251" w:name="_Toc150774627"/>
      <w:bookmarkStart w:id="252" w:name="_Toc164608796"/>
      <w:bookmarkStart w:id="253" w:name="_Toc151193769"/>
      <w:bookmarkStart w:id="254" w:name="_Toc164229368"/>
      <w:bookmarkStart w:id="255" w:name="_Toc127151527"/>
      <w:r>
        <w:rPr>
          <w:rFonts w:ascii="宋体" w:hAnsi="宋体"/>
          <w:color w:val="auto"/>
          <w:sz w:val="24"/>
          <w:highlight w:val="none"/>
        </w:rPr>
        <w:t>投标范围、投标文件中计量单位的使用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rFonts w:ascii="宋体" w:hAnsi="宋体"/>
          <w:color w:val="auto"/>
          <w:sz w:val="24"/>
          <w:highlight w:val="none"/>
        </w:rPr>
        <w:t>及投标语言</w:t>
      </w:r>
    </w:p>
    <w:p w14:paraId="63F36B92">
      <w:pPr>
        <w:numPr>
          <w:ilvl w:val="1"/>
          <w:numId w:val="13"/>
        </w:numPr>
        <w:tabs>
          <w:tab w:val="left" w:pos="1080"/>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color w:val="auto"/>
          <w:sz w:val="24"/>
          <w:highlight w:val="none"/>
        </w:rPr>
        <w:t>无效投标</w:t>
      </w:r>
      <w:r>
        <w:rPr>
          <w:rFonts w:ascii="宋体" w:hAnsi="宋体"/>
          <w:color w:val="auto"/>
          <w:sz w:val="24"/>
          <w:highlight w:val="none"/>
        </w:rPr>
        <w:t>。</w:t>
      </w:r>
    </w:p>
    <w:p w14:paraId="6EDE3C49">
      <w:pPr>
        <w:numPr>
          <w:ilvl w:val="1"/>
          <w:numId w:val="13"/>
        </w:numPr>
        <w:tabs>
          <w:tab w:val="left" w:pos="1080"/>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除招标文件有特殊要求外，本项目投标所使用的计量单位，应采用中华人民共和国法定计量单位。</w:t>
      </w:r>
    </w:p>
    <w:p w14:paraId="25E65025">
      <w:pPr>
        <w:numPr>
          <w:ilvl w:val="1"/>
          <w:numId w:val="13"/>
        </w:numPr>
        <w:tabs>
          <w:tab w:val="left" w:pos="1080"/>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8AA743F">
      <w:pPr>
        <w:numPr>
          <w:ilvl w:val="0"/>
          <w:numId w:val="13"/>
        </w:numPr>
        <w:tabs>
          <w:tab w:val="left" w:pos="360"/>
        </w:tabs>
        <w:snapToGrid w:val="0"/>
        <w:spacing w:line="360" w:lineRule="auto"/>
        <w:ind w:left="357" w:hanging="357"/>
        <w:outlineLvl w:val="1"/>
        <w:rPr>
          <w:rFonts w:ascii="宋体" w:hAnsi="宋体"/>
          <w:color w:val="auto"/>
          <w:sz w:val="24"/>
          <w:highlight w:val="none"/>
        </w:rPr>
      </w:pPr>
      <w:bookmarkStart w:id="256" w:name="_Ref467306676"/>
      <w:bookmarkStart w:id="257" w:name="_Ref467306195"/>
      <w:bookmarkStart w:id="258" w:name="_Toc516367022"/>
      <w:bookmarkStart w:id="259" w:name="_Toc127151528"/>
      <w:bookmarkStart w:id="260" w:name="_Toc520356152"/>
      <w:bookmarkStart w:id="261" w:name="_Toc226337224"/>
      <w:bookmarkStart w:id="262" w:name="_Toc305158796"/>
      <w:bookmarkStart w:id="263" w:name="_Toc226309772"/>
      <w:bookmarkStart w:id="264" w:name="_Toc164229369"/>
      <w:bookmarkStart w:id="265" w:name="_Toc151193916"/>
      <w:bookmarkStart w:id="266" w:name="_Toc226965801"/>
      <w:bookmarkStart w:id="267" w:name="_Toc150774733"/>
      <w:bookmarkStart w:id="268" w:name="_Toc150774628"/>
      <w:bookmarkStart w:id="269" w:name="_Toc195842893"/>
      <w:bookmarkStart w:id="270" w:name="_Toc264969218"/>
      <w:bookmarkStart w:id="271" w:name="_Toc164351622"/>
      <w:bookmarkStart w:id="272" w:name="_Toc127151729"/>
      <w:bookmarkStart w:id="273" w:name="_Toc150480766"/>
      <w:bookmarkStart w:id="274" w:name="_Toc226965718"/>
      <w:bookmarkStart w:id="275" w:name="_Toc149720821"/>
      <w:bookmarkStart w:id="276" w:name="_Toc151190155"/>
      <w:bookmarkStart w:id="277" w:name="_Toc127161442"/>
      <w:bookmarkStart w:id="278" w:name="_Toc151193770"/>
      <w:bookmarkStart w:id="279" w:name="_Toc305158870"/>
      <w:bookmarkStart w:id="280" w:name="_Toc164608797"/>
      <w:bookmarkStart w:id="281" w:name="_Toc151193842"/>
      <w:bookmarkStart w:id="282" w:name="_Toc164608642"/>
      <w:bookmarkStart w:id="283" w:name="_Toc150509279"/>
      <w:bookmarkStart w:id="284" w:name="_Toc265228366"/>
      <w:bookmarkStart w:id="285" w:name="_Toc164229223"/>
      <w:bookmarkStart w:id="286" w:name="_Toc142311030"/>
      <w:bookmarkStart w:id="287" w:name="_Toc151193698"/>
      <w:bookmarkStart w:id="288" w:name="_Toc151193626"/>
      <w:r>
        <w:rPr>
          <w:rFonts w:ascii="宋体" w:hAnsi="宋体"/>
          <w:color w:val="auto"/>
          <w:sz w:val="24"/>
          <w:highlight w:val="none"/>
        </w:rPr>
        <w:t>投标文件</w:t>
      </w:r>
      <w:bookmarkEnd w:id="256"/>
      <w:bookmarkEnd w:id="257"/>
      <w:bookmarkEnd w:id="258"/>
      <w:r>
        <w:rPr>
          <w:rFonts w:ascii="宋体" w:hAnsi="宋体"/>
          <w:color w:val="auto"/>
          <w:sz w:val="24"/>
          <w:highlight w:val="none"/>
        </w:rPr>
        <w:t>构成</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27DED71B">
      <w:pPr>
        <w:numPr>
          <w:ilvl w:val="1"/>
          <w:numId w:val="13"/>
        </w:numPr>
        <w:tabs>
          <w:tab w:val="left" w:pos="1080"/>
          <w:tab w:val="left" w:pos="2014"/>
        </w:tabs>
        <w:snapToGrid w:val="0"/>
        <w:spacing w:line="360" w:lineRule="auto"/>
        <w:ind w:left="1077" w:hanging="720"/>
        <w:rPr>
          <w:rFonts w:ascii="宋体" w:hAnsi="宋体"/>
          <w:color w:val="auto"/>
          <w:sz w:val="24"/>
          <w:highlight w:val="none"/>
        </w:rPr>
      </w:pPr>
      <w:bookmarkStart w:id="289" w:name="_Ref467052588"/>
      <w:r>
        <w:rPr>
          <w:rFonts w:ascii="宋体" w:hAnsi="宋体"/>
          <w:color w:val="auto"/>
          <w:sz w:val="24"/>
          <w:highlight w:val="none"/>
        </w:rPr>
        <w:t>投标人应当按照招标文件的要求编制投标文件。投标文件应由《资格证明文件》、《商务技术文件》两部分构成。投标文件的部分格式要求，见第七章《投标文件格式》。</w:t>
      </w:r>
    </w:p>
    <w:p w14:paraId="5401F431">
      <w:pPr>
        <w:numPr>
          <w:ilvl w:val="1"/>
          <w:numId w:val="13"/>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kern w:val="0"/>
          <w:sz w:val="24"/>
          <w:highlight w:val="none"/>
        </w:rPr>
        <w:t>对于招标文件中标记了“实质性格式”文件的，</w:t>
      </w:r>
      <w:r>
        <w:rPr>
          <w:rFonts w:ascii="宋体" w:hAnsi="宋体"/>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olor w:val="auto"/>
          <w:kern w:val="0"/>
          <w:sz w:val="24"/>
          <w:highlight w:val="none"/>
        </w:rPr>
        <w:t>否则</w:t>
      </w:r>
      <w:r>
        <w:rPr>
          <w:rFonts w:ascii="宋体" w:hAnsi="宋体"/>
          <w:b/>
          <w:color w:val="auto"/>
          <w:kern w:val="0"/>
          <w:sz w:val="24"/>
          <w:highlight w:val="none"/>
        </w:rPr>
        <w:t>投标无效</w:t>
      </w:r>
      <w:r>
        <w:rPr>
          <w:rFonts w:ascii="宋体" w:hAnsi="宋体"/>
          <w:color w:val="auto"/>
          <w:kern w:val="0"/>
          <w:sz w:val="24"/>
          <w:highlight w:val="none"/>
        </w:rPr>
        <w:t>。未标记“实质性格式”的文件和招标文件未提供格式的内容，可由投标人自行编写。</w:t>
      </w:r>
    </w:p>
    <w:p w14:paraId="6DD713E1">
      <w:pPr>
        <w:numPr>
          <w:ilvl w:val="1"/>
          <w:numId w:val="13"/>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第四章《评标程序、评标方法和评标标准》中涉及的证明文件。</w:t>
      </w:r>
    </w:p>
    <w:p w14:paraId="29C40C33">
      <w:pPr>
        <w:numPr>
          <w:ilvl w:val="1"/>
          <w:numId w:val="13"/>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510E058">
      <w:pPr>
        <w:numPr>
          <w:ilvl w:val="1"/>
          <w:numId w:val="13"/>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投标人认为应附的其他材料。</w:t>
      </w:r>
      <w:bookmarkEnd w:id="289"/>
    </w:p>
    <w:p w14:paraId="37372B3A">
      <w:pPr>
        <w:numPr>
          <w:ilvl w:val="0"/>
          <w:numId w:val="13"/>
        </w:numPr>
        <w:tabs>
          <w:tab w:val="left" w:pos="360"/>
        </w:tabs>
        <w:snapToGrid w:val="0"/>
        <w:spacing w:line="360" w:lineRule="auto"/>
        <w:ind w:left="357" w:hanging="357"/>
        <w:outlineLvl w:val="1"/>
        <w:rPr>
          <w:rFonts w:ascii="宋体" w:hAnsi="宋体"/>
          <w:color w:val="auto"/>
          <w:sz w:val="24"/>
          <w:highlight w:val="none"/>
        </w:rPr>
      </w:pPr>
      <w:bookmarkStart w:id="290" w:name="_Toc164229225"/>
      <w:bookmarkStart w:id="291" w:name="_Toc142311032"/>
      <w:bookmarkStart w:id="292" w:name="_Toc150774630"/>
      <w:bookmarkStart w:id="293" w:name="_Toc164608799"/>
      <w:bookmarkStart w:id="294" w:name="_Toc151193918"/>
      <w:bookmarkStart w:id="295" w:name="_Toc127151530"/>
      <w:bookmarkStart w:id="296" w:name="_Toc151193772"/>
      <w:bookmarkStart w:id="297" w:name="_Toc520356155"/>
      <w:bookmarkStart w:id="298" w:name="_Toc150480768"/>
      <w:bookmarkStart w:id="299" w:name="_Toc150509281"/>
      <w:bookmarkStart w:id="300" w:name="_Toc164608644"/>
      <w:bookmarkStart w:id="301" w:name="_Toc164229371"/>
      <w:bookmarkStart w:id="302" w:name="_Toc195842895"/>
      <w:bookmarkStart w:id="303" w:name="_Toc149720823"/>
      <w:bookmarkStart w:id="304" w:name="_Toc151190157"/>
      <w:bookmarkStart w:id="305" w:name="_Toc151193700"/>
      <w:bookmarkStart w:id="306" w:name="_Toc164351624"/>
      <w:bookmarkStart w:id="307" w:name="_Toc150774735"/>
      <w:bookmarkStart w:id="308" w:name="_Toc127151731"/>
      <w:bookmarkStart w:id="309" w:name="_Toc151193844"/>
      <w:bookmarkStart w:id="310" w:name="_Toc127161444"/>
      <w:bookmarkStart w:id="311" w:name="_Toc151193628"/>
      <w:r>
        <w:rPr>
          <w:rFonts w:ascii="宋体" w:hAnsi="宋体"/>
          <w:color w:val="auto"/>
          <w:sz w:val="24"/>
          <w:highlight w:val="none"/>
        </w:rPr>
        <w:t>投标报价</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0648519B">
      <w:pPr>
        <w:numPr>
          <w:ilvl w:val="1"/>
          <w:numId w:val="13"/>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所有投标均以人民币报价。</w:t>
      </w:r>
    </w:p>
    <w:p w14:paraId="3FFB90F4">
      <w:pPr>
        <w:numPr>
          <w:ilvl w:val="1"/>
          <w:numId w:val="13"/>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投标人的报价应包括为完成本项目所发生的一切费用和税费，招标人将不再支付报价以外的任何费用。</w:t>
      </w:r>
      <w:r>
        <w:rPr>
          <w:rFonts w:hint="eastAsia" w:ascii="宋体" w:hAnsi="宋体"/>
          <w:color w:val="auto"/>
          <w:sz w:val="24"/>
          <w:highlight w:val="none"/>
        </w:rPr>
        <w:t>投标人的报价应包括但不限于下列内容，《投标人须知资料表》中有特殊规定的，从其规定。</w:t>
      </w:r>
    </w:p>
    <w:p w14:paraId="195FEB11">
      <w:pPr>
        <w:numPr>
          <w:ilvl w:val="2"/>
          <w:numId w:val="13"/>
        </w:numPr>
        <w:snapToGrid w:val="0"/>
        <w:spacing w:line="360" w:lineRule="auto"/>
        <w:rPr>
          <w:rFonts w:ascii="宋体" w:hAnsi="宋体"/>
          <w:color w:val="auto"/>
          <w:sz w:val="24"/>
          <w:highlight w:val="none"/>
        </w:rPr>
      </w:pPr>
      <w:r>
        <w:rPr>
          <w:rFonts w:ascii="宋体" w:hAnsi="宋体"/>
          <w:color w:val="auto"/>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6BA3733C">
      <w:pPr>
        <w:numPr>
          <w:ilvl w:val="2"/>
          <w:numId w:val="13"/>
        </w:numPr>
        <w:snapToGrid w:val="0"/>
        <w:spacing w:line="360" w:lineRule="auto"/>
        <w:rPr>
          <w:rFonts w:ascii="宋体" w:hAnsi="宋体"/>
          <w:color w:val="auto"/>
          <w:sz w:val="24"/>
          <w:highlight w:val="none"/>
        </w:rPr>
      </w:pPr>
      <w:r>
        <w:rPr>
          <w:rFonts w:ascii="宋体" w:hAnsi="宋体"/>
          <w:color w:val="auto"/>
          <w:sz w:val="24"/>
          <w:highlight w:val="none"/>
        </w:rPr>
        <w:t xml:space="preserve">按照招标文件要求完成本项目的全部相关服务费用。 </w:t>
      </w:r>
    </w:p>
    <w:p w14:paraId="7CA948FA">
      <w:pPr>
        <w:numPr>
          <w:ilvl w:val="1"/>
          <w:numId w:val="13"/>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采购人不得向供应商索要或者接受其给予的赠品、回扣或者与采购无关的其他商品、服务。</w:t>
      </w:r>
    </w:p>
    <w:p w14:paraId="3B23E519">
      <w:pPr>
        <w:numPr>
          <w:ilvl w:val="1"/>
          <w:numId w:val="13"/>
        </w:numPr>
        <w:tabs>
          <w:tab w:val="left" w:pos="1080"/>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投标人不能提供任何有选择性或可调整的报价，否则其</w:t>
      </w:r>
      <w:r>
        <w:rPr>
          <w:rFonts w:ascii="宋体" w:hAnsi="宋体"/>
          <w:b/>
          <w:color w:val="auto"/>
          <w:sz w:val="24"/>
          <w:highlight w:val="none"/>
        </w:rPr>
        <w:t>投标无效</w:t>
      </w:r>
      <w:r>
        <w:rPr>
          <w:rFonts w:ascii="宋体" w:hAnsi="宋体"/>
          <w:color w:val="auto"/>
          <w:sz w:val="24"/>
          <w:highlight w:val="none"/>
        </w:rPr>
        <w:t>。</w:t>
      </w:r>
    </w:p>
    <w:p w14:paraId="43B4454B">
      <w:pPr>
        <w:numPr>
          <w:ilvl w:val="0"/>
          <w:numId w:val="13"/>
        </w:numPr>
        <w:tabs>
          <w:tab w:val="left" w:pos="360"/>
        </w:tabs>
        <w:snapToGrid w:val="0"/>
        <w:spacing w:line="360" w:lineRule="auto"/>
        <w:ind w:left="357" w:hanging="357"/>
        <w:outlineLvl w:val="1"/>
        <w:rPr>
          <w:color w:val="auto"/>
          <w:sz w:val="24"/>
          <w:highlight w:val="none"/>
        </w:rPr>
      </w:pPr>
      <w:bookmarkStart w:id="312" w:name="_Toc520356156"/>
      <w:bookmarkStart w:id="313" w:name="_Toc226965804"/>
      <w:bookmarkStart w:id="314" w:name="_Toc226309775"/>
      <w:bookmarkStart w:id="315" w:name="_Toc142311033"/>
      <w:bookmarkStart w:id="316" w:name="_Toc151193919"/>
      <w:bookmarkStart w:id="317" w:name="_Toc151193701"/>
      <w:bookmarkStart w:id="318" w:name="_Toc264969221"/>
      <w:bookmarkStart w:id="319" w:name="_Toc164608645"/>
      <w:bookmarkStart w:id="320" w:name="_Ref467306513"/>
      <w:bookmarkStart w:id="321" w:name="_Toc150509282"/>
      <w:bookmarkStart w:id="322" w:name="_Toc127161445"/>
      <w:bookmarkStart w:id="323" w:name="_Toc150774631"/>
      <w:bookmarkStart w:id="324" w:name="_Toc226337227"/>
      <w:bookmarkStart w:id="325" w:name="_Toc150480769"/>
      <w:bookmarkStart w:id="326" w:name="_Toc195842896"/>
      <w:bookmarkStart w:id="327" w:name="_Toc305158873"/>
      <w:bookmarkStart w:id="328" w:name="_Toc151193773"/>
      <w:bookmarkStart w:id="329" w:name="_Toc164351625"/>
      <w:bookmarkStart w:id="330" w:name="_Toc151193629"/>
      <w:bookmarkStart w:id="331" w:name="_Toc151193845"/>
      <w:bookmarkStart w:id="332" w:name="_Toc149720824"/>
      <w:bookmarkStart w:id="333" w:name="_Toc151190158"/>
      <w:bookmarkStart w:id="334" w:name="_Toc226965721"/>
      <w:bookmarkStart w:id="335" w:name="_Toc127151531"/>
      <w:bookmarkStart w:id="336" w:name="_Toc150774736"/>
      <w:bookmarkStart w:id="337" w:name="_Toc164608800"/>
      <w:bookmarkStart w:id="338" w:name="_Toc127151732"/>
      <w:bookmarkStart w:id="339" w:name="_Toc164229226"/>
      <w:bookmarkStart w:id="340" w:name="_Toc305158799"/>
      <w:bookmarkStart w:id="341" w:name="_Toc164229372"/>
      <w:bookmarkStart w:id="342" w:name="_Toc265228369"/>
      <w:bookmarkStart w:id="343" w:name="_Toc127151733"/>
      <w:bookmarkStart w:id="344" w:name="_Toc164229373"/>
      <w:bookmarkStart w:id="345" w:name="_Toc164351626"/>
      <w:bookmarkStart w:id="346" w:name="_Toc226309776"/>
      <w:bookmarkStart w:id="347" w:name="_Toc150774737"/>
      <w:bookmarkStart w:id="348" w:name="_Toc142311034"/>
      <w:bookmarkStart w:id="349" w:name="_Toc164608801"/>
      <w:bookmarkStart w:id="350" w:name="_Toc520356157"/>
      <w:bookmarkStart w:id="351" w:name="_Toc151193702"/>
      <w:bookmarkStart w:id="352" w:name="_Toc127151532"/>
      <w:bookmarkStart w:id="353" w:name="_Toc151193774"/>
      <w:bookmarkStart w:id="354" w:name="_Toc195842897"/>
      <w:bookmarkStart w:id="355" w:name="_Toc226965805"/>
      <w:bookmarkStart w:id="356" w:name="_Toc305158800"/>
      <w:bookmarkStart w:id="357" w:name="_Toc164229227"/>
      <w:bookmarkStart w:id="358" w:name="_Toc151190159"/>
      <w:bookmarkStart w:id="359" w:name="_Toc226965722"/>
      <w:bookmarkStart w:id="360" w:name="_Toc226337228"/>
      <w:bookmarkStart w:id="361" w:name="_Toc164608646"/>
      <w:bookmarkStart w:id="362" w:name="_Toc151193630"/>
      <w:bookmarkStart w:id="363" w:name="_Toc127161446"/>
      <w:bookmarkStart w:id="364" w:name="_Toc150774632"/>
      <w:bookmarkStart w:id="365" w:name="_Toc149720825"/>
      <w:bookmarkStart w:id="366" w:name="_Toc151193846"/>
      <w:bookmarkStart w:id="367" w:name="_Toc151193920"/>
      <w:bookmarkStart w:id="368" w:name="_Toc264969222"/>
      <w:bookmarkStart w:id="369" w:name="_Toc265228370"/>
      <w:bookmarkStart w:id="370" w:name="_Toc150509283"/>
      <w:bookmarkStart w:id="371" w:name="_Toc305158874"/>
      <w:bookmarkStart w:id="372" w:name="_Toc150480770"/>
      <w:r>
        <w:rPr>
          <w:color w:val="auto"/>
          <w:sz w:val="24"/>
          <w:highlight w:val="none"/>
        </w:rPr>
        <w:t>投标保证金</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69476EFB">
      <w:pPr>
        <w:numPr>
          <w:ilvl w:val="1"/>
          <w:numId w:val="13"/>
        </w:numPr>
        <w:tabs>
          <w:tab w:val="left" w:pos="1080"/>
          <w:tab w:val="left" w:pos="2014"/>
        </w:tabs>
        <w:snapToGrid w:val="0"/>
        <w:spacing w:line="360" w:lineRule="auto"/>
        <w:ind w:left="1077" w:hanging="720"/>
        <w:rPr>
          <w:rFonts w:hint="eastAsia"/>
          <w:color w:val="auto"/>
          <w:sz w:val="24"/>
          <w:highlight w:val="none"/>
        </w:rPr>
      </w:pPr>
      <w:bookmarkStart w:id="373" w:name="_Ref467306302"/>
      <w:r>
        <w:rPr>
          <w:color w:val="auto"/>
          <w:sz w:val="24"/>
          <w:highlight w:val="none"/>
        </w:rPr>
        <w:t>投标人应按《投标人须知资料表》中规定的金额及要求交纳投标保证金</w:t>
      </w:r>
      <w:bookmarkEnd w:id="373"/>
      <w:r>
        <w:rPr>
          <w:rFonts w:hint="eastAsia"/>
          <w:color w:val="auto"/>
          <w:sz w:val="24"/>
          <w:highlight w:val="none"/>
          <w:lang w:eastAsia="zh-CN"/>
        </w:rPr>
        <w:t>。</w:t>
      </w:r>
      <w:r>
        <w:rPr>
          <w:rFonts w:hint="eastAsia"/>
          <w:color w:val="auto"/>
          <w:sz w:val="24"/>
          <w:highlight w:val="none"/>
        </w:rPr>
        <w:t>投</w:t>
      </w:r>
    </w:p>
    <w:p w14:paraId="75D31A4C">
      <w:pPr>
        <w:numPr>
          <w:ilvl w:val="0"/>
          <w:numId w:val="0"/>
        </w:numPr>
        <w:tabs>
          <w:tab w:val="left" w:pos="1080"/>
          <w:tab w:val="left" w:pos="2014"/>
        </w:tabs>
        <w:snapToGrid w:val="0"/>
        <w:spacing w:line="360" w:lineRule="auto"/>
        <w:ind w:left="357" w:leftChars="0" w:firstLine="720" w:firstLineChars="300"/>
        <w:rPr>
          <w:color w:val="auto"/>
          <w:sz w:val="24"/>
          <w:highlight w:val="none"/>
        </w:rPr>
      </w:pPr>
      <w:r>
        <w:rPr>
          <w:rFonts w:hint="eastAsia"/>
          <w:color w:val="auto"/>
          <w:sz w:val="24"/>
          <w:highlight w:val="none"/>
        </w:rPr>
        <w:t>标人自愿超额缴纳投标保证金的，投标文件不做无效处理</w:t>
      </w:r>
      <w:r>
        <w:rPr>
          <w:color w:val="auto"/>
          <w:sz w:val="24"/>
          <w:highlight w:val="none"/>
        </w:rPr>
        <w:t>。</w:t>
      </w:r>
    </w:p>
    <w:p w14:paraId="3EA4BD76">
      <w:pPr>
        <w:numPr>
          <w:ilvl w:val="1"/>
          <w:numId w:val="13"/>
        </w:numPr>
        <w:tabs>
          <w:tab w:val="left" w:pos="1080"/>
          <w:tab w:val="left" w:pos="2014"/>
        </w:tabs>
        <w:snapToGrid w:val="0"/>
        <w:spacing w:line="360" w:lineRule="auto"/>
        <w:ind w:left="1077" w:hanging="720"/>
        <w:rPr>
          <w:color w:val="auto"/>
          <w:sz w:val="24"/>
          <w:highlight w:val="none"/>
        </w:rPr>
      </w:pPr>
      <w:r>
        <w:rPr>
          <w:color w:val="auto"/>
          <w:sz w:val="24"/>
          <w:highlight w:val="none"/>
        </w:rPr>
        <w:t>交纳投标保证金可采用的形式：政府采购法律法规接受的支票、汇票、本票、网上银行支付或者金融机构、担保机构出具的保函等非现金形式。</w:t>
      </w:r>
    </w:p>
    <w:p w14:paraId="5105286A">
      <w:pPr>
        <w:numPr>
          <w:ilvl w:val="1"/>
          <w:numId w:val="13"/>
        </w:numPr>
        <w:tabs>
          <w:tab w:val="left" w:pos="1080"/>
          <w:tab w:val="left" w:pos="2014"/>
        </w:tabs>
        <w:snapToGrid w:val="0"/>
        <w:spacing w:line="360" w:lineRule="auto"/>
        <w:ind w:left="1077" w:hanging="720"/>
        <w:rPr>
          <w:color w:val="auto"/>
          <w:sz w:val="24"/>
          <w:highlight w:val="none"/>
        </w:rPr>
      </w:pPr>
      <w:r>
        <w:rPr>
          <w:color w:val="auto"/>
          <w:sz w:val="24"/>
          <w:highlight w:val="none"/>
        </w:rPr>
        <w:t>投标保证金到账（保函提交）截止时间同投标截止时间。以支票、汇票、本票、网上银行支付等形式提交投标保证金的，应在投标截止时间前</w:t>
      </w:r>
      <w:r>
        <w:rPr>
          <w:rFonts w:hint="eastAsia"/>
          <w:color w:val="auto"/>
          <w:sz w:val="24"/>
          <w:highlight w:val="none"/>
        </w:rPr>
        <w:t>到账</w:t>
      </w:r>
      <w:r>
        <w:rPr>
          <w:color w:val="auto"/>
          <w:sz w:val="24"/>
          <w:highlight w:val="none"/>
        </w:rPr>
        <w:t>；</w:t>
      </w:r>
      <w:r>
        <w:rPr>
          <w:rFonts w:hint="eastAsia"/>
          <w:color w:val="auto"/>
          <w:sz w:val="24"/>
          <w:highlight w:val="none"/>
        </w:rPr>
        <w:t>以</w:t>
      </w:r>
      <w:r>
        <w:rPr>
          <w:color w:val="auto"/>
          <w:sz w:val="24"/>
          <w:highlight w:val="none"/>
        </w:rPr>
        <w:t>金融机构、担保机构出具的</w:t>
      </w:r>
      <w:r>
        <w:rPr>
          <w:rFonts w:hint="eastAsia"/>
          <w:color w:val="auto"/>
          <w:sz w:val="24"/>
          <w:highlight w:val="none"/>
          <w:lang w:val="en-US" w:eastAsia="zh-CN"/>
        </w:rPr>
        <w:t>纸质</w:t>
      </w:r>
      <w:r>
        <w:rPr>
          <w:color w:val="auto"/>
          <w:sz w:val="24"/>
          <w:highlight w:val="none"/>
        </w:rPr>
        <w:t>保函等形式提交投标保证金的，应在投标截止时间前将原件提交至</w:t>
      </w:r>
      <w:r>
        <w:rPr>
          <w:rFonts w:hint="eastAsia"/>
          <w:color w:val="auto"/>
          <w:sz w:val="24"/>
          <w:highlight w:val="none"/>
        </w:rPr>
        <w:t>采购代理机构。以电子保函形式提交投标保证金的，应在投标截止时间前通过北京市政府采购电子交易平台完成电子保函在线办理。未按上述要求缴纳投标保证金的，其</w:t>
      </w:r>
      <w:r>
        <w:rPr>
          <w:rFonts w:hint="eastAsia"/>
          <w:b/>
          <w:bCs/>
          <w:color w:val="auto"/>
          <w:sz w:val="24"/>
          <w:highlight w:val="none"/>
        </w:rPr>
        <w:t>投标无效</w:t>
      </w:r>
      <w:r>
        <w:rPr>
          <w:rFonts w:hint="eastAsia"/>
          <w:color w:val="auto"/>
          <w:sz w:val="24"/>
          <w:highlight w:val="none"/>
        </w:rPr>
        <w:t>。</w:t>
      </w:r>
    </w:p>
    <w:p w14:paraId="14D5EA6C">
      <w:pPr>
        <w:numPr>
          <w:ilvl w:val="1"/>
          <w:numId w:val="13"/>
        </w:numPr>
        <w:tabs>
          <w:tab w:val="left" w:pos="1080"/>
          <w:tab w:val="left" w:pos="2014"/>
        </w:tabs>
        <w:snapToGrid w:val="0"/>
        <w:spacing w:line="360" w:lineRule="auto"/>
        <w:ind w:left="1077" w:hanging="720"/>
        <w:rPr>
          <w:color w:val="auto"/>
          <w:sz w:val="24"/>
          <w:highlight w:val="none"/>
        </w:rPr>
      </w:pPr>
      <w:r>
        <w:rPr>
          <w:rFonts w:hint="eastAsia"/>
          <w:color w:val="auto"/>
          <w:sz w:val="24"/>
          <w:highlight w:val="none"/>
        </w:rPr>
        <w:t>投标人除需在投标文件中提供“投标保证金凭证/交款单据电子件”，还需在投标截止时间前，通过电子交易平台上传“投标保证金凭证/交款单据电子件”。</w:t>
      </w:r>
    </w:p>
    <w:p w14:paraId="4DEC4E76">
      <w:pPr>
        <w:numPr>
          <w:ilvl w:val="1"/>
          <w:numId w:val="13"/>
        </w:numPr>
        <w:tabs>
          <w:tab w:val="left" w:pos="1080"/>
          <w:tab w:val="left" w:pos="2014"/>
        </w:tabs>
        <w:snapToGrid w:val="0"/>
        <w:spacing w:line="360" w:lineRule="auto"/>
        <w:ind w:left="1077" w:hanging="720"/>
        <w:rPr>
          <w:color w:val="auto"/>
          <w:sz w:val="24"/>
          <w:highlight w:val="none"/>
        </w:rPr>
      </w:pPr>
      <w:r>
        <w:rPr>
          <w:color w:val="auto"/>
          <w:sz w:val="24"/>
          <w:highlight w:val="none"/>
        </w:rPr>
        <w:t>投标保证金有效期同投标有效期。</w:t>
      </w:r>
    </w:p>
    <w:p w14:paraId="7D8AEA8B">
      <w:pPr>
        <w:numPr>
          <w:ilvl w:val="1"/>
          <w:numId w:val="13"/>
        </w:numPr>
        <w:tabs>
          <w:tab w:val="left" w:pos="1080"/>
          <w:tab w:val="left" w:pos="2014"/>
        </w:tabs>
        <w:snapToGrid w:val="0"/>
        <w:spacing w:line="360" w:lineRule="auto"/>
        <w:ind w:left="1077" w:hanging="720"/>
        <w:rPr>
          <w:color w:val="auto"/>
          <w:sz w:val="24"/>
          <w:highlight w:val="none"/>
        </w:rPr>
      </w:pPr>
      <w:r>
        <w:rPr>
          <w:color w:val="auto"/>
          <w:sz w:val="24"/>
          <w:highlight w:val="none"/>
        </w:rPr>
        <w:t>投标人为联合体投标的，可以由联合体中的一方或者共同提交投标保证金，</w:t>
      </w:r>
      <w:r>
        <w:rPr>
          <w:rFonts w:hint="eastAsia"/>
          <w:color w:val="auto"/>
          <w:sz w:val="24"/>
          <w:highlight w:val="none"/>
        </w:rPr>
        <w:t>其交纳的投标保证金对联合体各方均具有约束力</w:t>
      </w:r>
      <w:r>
        <w:rPr>
          <w:color w:val="auto"/>
          <w:sz w:val="24"/>
          <w:highlight w:val="none"/>
        </w:rPr>
        <w:t>。</w:t>
      </w:r>
    </w:p>
    <w:p w14:paraId="5554C2FE">
      <w:pPr>
        <w:numPr>
          <w:ilvl w:val="1"/>
          <w:numId w:val="13"/>
        </w:numPr>
        <w:tabs>
          <w:tab w:val="left" w:pos="1080"/>
          <w:tab w:val="left" w:pos="2014"/>
        </w:tabs>
        <w:snapToGrid w:val="0"/>
        <w:spacing w:line="360" w:lineRule="auto"/>
        <w:ind w:left="1077" w:hanging="720"/>
        <w:rPr>
          <w:color w:val="auto"/>
          <w:sz w:val="24"/>
          <w:highlight w:val="none"/>
        </w:rPr>
      </w:pPr>
      <w:r>
        <w:rPr>
          <w:color w:val="auto"/>
          <w:sz w:val="24"/>
          <w:highlight w:val="none"/>
        </w:rPr>
        <w:t>采购人、采购代理机构将及时退还投标人的投标保证金，采用银行保函、担保机构担保函等形式递交的</w:t>
      </w:r>
      <w:r>
        <w:rPr>
          <w:rFonts w:hint="eastAsia"/>
          <w:color w:val="auto"/>
          <w:sz w:val="24"/>
          <w:highlight w:val="none"/>
        </w:rPr>
        <w:t>投标</w:t>
      </w:r>
      <w:r>
        <w:rPr>
          <w:color w:val="auto"/>
          <w:sz w:val="24"/>
          <w:highlight w:val="none"/>
        </w:rPr>
        <w:t>保证金，经</w:t>
      </w:r>
      <w:r>
        <w:rPr>
          <w:rFonts w:hint="eastAsia"/>
          <w:color w:val="auto"/>
          <w:sz w:val="24"/>
          <w:highlight w:val="none"/>
          <w:lang w:val="en-US" w:eastAsia="zh-CN"/>
        </w:rPr>
        <w:t>投标人</w:t>
      </w:r>
      <w:r>
        <w:rPr>
          <w:color w:val="auto"/>
          <w:sz w:val="24"/>
          <w:highlight w:val="none"/>
        </w:rPr>
        <w:t>同意后采购人、采购代理机构可以不再退还，但因投标人自身原因导致无法及时退还的除外：</w:t>
      </w:r>
    </w:p>
    <w:p w14:paraId="2FC964B7">
      <w:pPr>
        <w:numPr>
          <w:ilvl w:val="2"/>
          <w:numId w:val="13"/>
        </w:numPr>
        <w:snapToGrid w:val="0"/>
        <w:spacing w:line="360" w:lineRule="auto"/>
        <w:rPr>
          <w:color w:val="auto"/>
          <w:sz w:val="24"/>
          <w:highlight w:val="none"/>
        </w:rPr>
      </w:pPr>
      <w:r>
        <w:rPr>
          <w:color w:val="auto"/>
          <w:sz w:val="24"/>
          <w:highlight w:val="none"/>
        </w:rPr>
        <w:t>投标人在投标截止时间前撤回已提交的投标文件的，自收到投标人书面撤回通知之日起5个工作日内退还已收取的投标保证金；</w:t>
      </w:r>
    </w:p>
    <w:p w14:paraId="5C297D2C">
      <w:pPr>
        <w:numPr>
          <w:ilvl w:val="2"/>
          <w:numId w:val="13"/>
        </w:numPr>
        <w:snapToGrid w:val="0"/>
        <w:spacing w:line="360" w:lineRule="auto"/>
        <w:rPr>
          <w:color w:val="auto"/>
          <w:sz w:val="24"/>
          <w:highlight w:val="none"/>
        </w:rPr>
      </w:pPr>
      <w:r>
        <w:rPr>
          <w:color w:val="auto"/>
          <w:sz w:val="24"/>
          <w:highlight w:val="none"/>
        </w:rPr>
        <w:t>中标人的投标保证金，自采购合同签订之日起5个工作日内退还中标人；</w:t>
      </w:r>
    </w:p>
    <w:p w14:paraId="3EB3DFC5">
      <w:pPr>
        <w:numPr>
          <w:ilvl w:val="2"/>
          <w:numId w:val="13"/>
        </w:numPr>
        <w:snapToGrid w:val="0"/>
        <w:spacing w:line="360" w:lineRule="auto"/>
        <w:rPr>
          <w:color w:val="auto"/>
          <w:sz w:val="24"/>
          <w:highlight w:val="none"/>
        </w:rPr>
      </w:pPr>
      <w:r>
        <w:rPr>
          <w:color w:val="auto"/>
          <w:sz w:val="24"/>
          <w:highlight w:val="none"/>
        </w:rPr>
        <w:t>未中标投标人的投标保证金，自中标通知书发出之日起5个工作日内退还未中标人；</w:t>
      </w:r>
    </w:p>
    <w:p w14:paraId="159C59CB">
      <w:pPr>
        <w:numPr>
          <w:ilvl w:val="2"/>
          <w:numId w:val="13"/>
        </w:numPr>
        <w:snapToGrid w:val="0"/>
        <w:spacing w:line="360" w:lineRule="auto"/>
        <w:rPr>
          <w:color w:val="auto"/>
          <w:sz w:val="24"/>
          <w:highlight w:val="none"/>
        </w:rPr>
      </w:pPr>
      <w:r>
        <w:rPr>
          <w:color w:val="auto"/>
          <w:sz w:val="24"/>
          <w:highlight w:val="none"/>
        </w:rPr>
        <w:t>终止招标项目已经收取投标保证金的，自终止采购活动后5个工作日内退还已收取的投标保证金及其在银行产生的孳息。</w:t>
      </w:r>
    </w:p>
    <w:p w14:paraId="2A2D7054">
      <w:pPr>
        <w:numPr>
          <w:ilvl w:val="1"/>
          <w:numId w:val="13"/>
        </w:numPr>
        <w:tabs>
          <w:tab w:val="left" w:pos="1080"/>
          <w:tab w:val="left" w:pos="2014"/>
        </w:tabs>
        <w:snapToGrid w:val="0"/>
        <w:spacing w:line="360" w:lineRule="auto"/>
        <w:ind w:left="1077" w:hanging="720"/>
        <w:rPr>
          <w:color w:val="auto"/>
          <w:sz w:val="24"/>
          <w:highlight w:val="none"/>
        </w:rPr>
      </w:pPr>
      <w:r>
        <w:rPr>
          <w:color w:val="auto"/>
          <w:sz w:val="24"/>
          <w:highlight w:val="none"/>
        </w:rPr>
        <w:t>有下列情形之一的，采购人或采购代理机构可以不予退还投标保证金：</w:t>
      </w:r>
    </w:p>
    <w:p w14:paraId="2C3B071B">
      <w:pPr>
        <w:numPr>
          <w:ilvl w:val="2"/>
          <w:numId w:val="13"/>
        </w:numPr>
        <w:snapToGrid w:val="0"/>
        <w:spacing w:line="360" w:lineRule="auto"/>
        <w:rPr>
          <w:color w:val="auto"/>
          <w:sz w:val="24"/>
          <w:highlight w:val="none"/>
        </w:rPr>
      </w:pPr>
      <w:r>
        <w:rPr>
          <w:color w:val="auto"/>
          <w:sz w:val="24"/>
          <w:highlight w:val="none"/>
        </w:rPr>
        <w:t>投标有效期内投标人撤销投标文件的；</w:t>
      </w:r>
    </w:p>
    <w:p w14:paraId="6F8C6050">
      <w:pPr>
        <w:numPr>
          <w:ilvl w:val="2"/>
          <w:numId w:val="13"/>
        </w:numPr>
        <w:tabs>
          <w:tab w:val="left" w:pos="900"/>
          <w:tab w:val="left" w:pos="1080"/>
          <w:tab w:val="left" w:pos="2014"/>
        </w:tabs>
        <w:snapToGrid w:val="0"/>
        <w:spacing w:line="360" w:lineRule="auto"/>
        <w:rPr>
          <w:color w:val="auto"/>
          <w:sz w:val="24"/>
          <w:highlight w:val="none"/>
        </w:rPr>
      </w:pPr>
      <w:r>
        <w:rPr>
          <w:color w:val="auto"/>
          <w:sz w:val="24"/>
          <w:highlight w:val="none"/>
        </w:rPr>
        <w:t>《投标人须知资料表》中规定的其他情形。</w:t>
      </w:r>
    </w:p>
    <w:p w14:paraId="046E117C">
      <w:pPr>
        <w:numPr>
          <w:ilvl w:val="0"/>
          <w:numId w:val="13"/>
        </w:numPr>
        <w:tabs>
          <w:tab w:val="left" w:pos="360"/>
        </w:tabs>
        <w:snapToGrid w:val="0"/>
        <w:spacing w:line="360" w:lineRule="auto"/>
        <w:ind w:left="357" w:hanging="357"/>
        <w:outlineLvl w:val="1"/>
        <w:rPr>
          <w:rFonts w:ascii="宋体" w:hAnsi="宋体"/>
          <w:color w:val="auto"/>
          <w:sz w:val="24"/>
          <w:highlight w:val="none"/>
        </w:rPr>
      </w:pPr>
      <w:r>
        <w:rPr>
          <w:rFonts w:ascii="宋体" w:hAnsi="宋体"/>
          <w:color w:val="auto"/>
          <w:sz w:val="24"/>
          <w:highlight w:val="none"/>
        </w:rPr>
        <w:t>投标有效期</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7CF73628">
      <w:pPr>
        <w:numPr>
          <w:ilvl w:val="1"/>
          <w:numId w:val="13"/>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投标</w:t>
      </w:r>
      <w:r>
        <w:rPr>
          <w:rFonts w:hint="eastAsia" w:ascii="宋体" w:hAnsi="宋体"/>
          <w:color w:val="auto"/>
          <w:sz w:val="24"/>
          <w:highlight w:val="none"/>
        </w:rPr>
        <w:t>文件</w:t>
      </w:r>
      <w:r>
        <w:rPr>
          <w:rFonts w:ascii="宋体" w:hAnsi="宋体"/>
          <w:color w:val="auto"/>
          <w:sz w:val="24"/>
          <w:highlight w:val="none"/>
        </w:rPr>
        <w:t>应在本招标文件《投标人须知资料表》中规定的投标有效期内保持有效，投标有效期少于招标文件规定期限的，其</w:t>
      </w:r>
      <w:r>
        <w:rPr>
          <w:rFonts w:ascii="宋体" w:hAnsi="宋体"/>
          <w:b/>
          <w:color w:val="auto"/>
          <w:sz w:val="24"/>
          <w:highlight w:val="none"/>
        </w:rPr>
        <w:t>投标无效</w:t>
      </w:r>
      <w:r>
        <w:rPr>
          <w:rFonts w:ascii="宋体" w:hAnsi="宋体"/>
          <w:color w:val="auto"/>
          <w:sz w:val="24"/>
          <w:highlight w:val="none"/>
        </w:rPr>
        <w:t>。</w:t>
      </w:r>
    </w:p>
    <w:p w14:paraId="6DB2D323">
      <w:pPr>
        <w:numPr>
          <w:ilvl w:val="0"/>
          <w:numId w:val="13"/>
        </w:numPr>
        <w:tabs>
          <w:tab w:val="left" w:pos="360"/>
        </w:tabs>
        <w:snapToGrid w:val="0"/>
        <w:spacing w:line="360" w:lineRule="auto"/>
        <w:ind w:left="357" w:hanging="357"/>
        <w:outlineLvl w:val="1"/>
        <w:rPr>
          <w:rFonts w:ascii="宋体" w:hAnsi="宋体"/>
          <w:color w:val="auto"/>
          <w:sz w:val="24"/>
          <w:highlight w:val="none"/>
        </w:rPr>
      </w:pPr>
      <w:bookmarkStart w:id="374" w:name="_Toc151190160"/>
      <w:bookmarkStart w:id="375" w:name="_Toc195842898"/>
      <w:bookmarkStart w:id="376" w:name="_Toc150509284"/>
      <w:bookmarkStart w:id="377" w:name="_Toc151193847"/>
      <w:bookmarkStart w:id="378" w:name="_Toc164608802"/>
      <w:bookmarkStart w:id="379" w:name="_Toc265228371"/>
      <w:bookmarkStart w:id="380" w:name="_Toc149720826"/>
      <w:bookmarkStart w:id="381" w:name="_Toc127161447"/>
      <w:bookmarkStart w:id="382" w:name="_Toc226965806"/>
      <w:bookmarkStart w:id="383" w:name="_Toc150774738"/>
      <w:bookmarkStart w:id="384" w:name="_Toc164229228"/>
      <w:bookmarkStart w:id="385" w:name="_Toc226309777"/>
      <w:bookmarkStart w:id="386" w:name="_Toc305158875"/>
      <w:bookmarkStart w:id="387" w:name="_Toc305158801"/>
      <w:bookmarkStart w:id="388" w:name="_Toc520356158"/>
      <w:bookmarkStart w:id="389" w:name="_Toc164351627"/>
      <w:bookmarkStart w:id="390" w:name="_Toc164608647"/>
      <w:bookmarkStart w:id="391" w:name="_Toc127151734"/>
      <w:bookmarkStart w:id="392" w:name="_Toc264969223"/>
      <w:bookmarkStart w:id="393" w:name="_Toc150774633"/>
      <w:bookmarkStart w:id="394" w:name="_Toc164229374"/>
      <w:bookmarkStart w:id="395" w:name="_Toc127151533"/>
      <w:bookmarkStart w:id="396" w:name="_Toc151193703"/>
      <w:bookmarkStart w:id="397" w:name="_Toc151193921"/>
      <w:bookmarkStart w:id="398" w:name="_Toc226965723"/>
      <w:bookmarkStart w:id="399" w:name="_Toc151193775"/>
      <w:bookmarkStart w:id="400" w:name="_Toc151193631"/>
      <w:bookmarkStart w:id="401" w:name="_Toc150480771"/>
      <w:bookmarkStart w:id="402" w:name="_Toc226337229"/>
      <w:bookmarkStart w:id="403" w:name="_Toc142311035"/>
      <w:r>
        <w:rPr>
          <w:rFonts w:ascii="宋体" w:hAnsi="宋体"/>
          <w:color w:val="auto"/>
          <w:sz w:val="24"/>
          <w:highlight w:val="none"/>
        </w:rPr>
        <w:t>投标文件的签署</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rFonts w:ascii="宋体" w:hAnsi="宋体"/>
          <w:color w:val="auto"/>
          <w:sz w:val="24"/>
          <w:highlight w:val="none"/>
        </w:rPr>
        <w:t>、盖章</w:t>
      </w:r>
    </w:p>
    <w:p w14:paraId="639F2CAF">
      <w:pPr>
        <w:numPr>
          <w:ilvl w:val="1"/>
          <w:numId w:val="13"/>
        </w:numPr>
        <w:tabs>
          <w:tab w:val="left" w:pos="1080"/>
          <w:tab w:val="left" w:pos="2014"/>
        </w:tabs>
        <w:snapToGrid w:val="0"/>
        <w:spacing w:line="360" w:lineRule="auto"/>
        <w:ind w:left="1077" w:hanging="720"/>
        <w:rPr>
          <w:color w:val="auto"/>
          <w:sz w:val="24"/>
          <w:highlight w:val="none"/>
        </w:rPr>
      </w:pPr>
      <w:bookmarkStart w:id="404" w:name="_Toc150774634"/>
      <w:bookmarkStart w:id="405" w:name="_Toc226965807"/>
      <w:bookmarkStart w:id="406" w:name="_Toc142311036"/>
      <w:bookmarkStart w:id="407" w:name="_Toc151193632"/>
      <w:bookmarkStart w:id="408" w:name="_Toc226337230"/>
      <w:bookmarkStart w:id="409" w:name="_Toc150480772"/>
      <w:bookmarkStart w:id="410" w:name="_Toc305158802"/>
      <w:bookmarkStart w:id="411" w:name="_Toc151193848"/>
      <w:bookmarkStart w:id="412" w:name="_Toc264969224"/>
      <w:bookmarkStart w:id="413" w:name="_Toc195842899"/>
      <w:bookmarkStart w:id="414" w:name="_Toc226965724"/>
      <w:bookmarkStart w:id="415" w:name="_Toc226309778"/>
      <w:bookmarkStart w:id="416" w:name="_Toc151190161"/>
      <w:bookmarkStart w:id="417" w:name="_Toc151193704"/>
      <w:bookmarkStart w:id="418" w:name="_Toc151193922"/>
      <w:bookmarkStart w:id="419" w:name="_Toc520356159"/>
      <w:bookmarkStart w:id="420" w:name="_Toc265228372"/>
      <w:bookmarkStart w:id="421" w:name="_Toc127151534"/>
      <w:bookmarkStart w:id="422" w:name="_Toc150509285"/>
      <w:bookmarkStart w:id="423" w:name="_Toc151193776"/>
      <w:bookmarkStart w:id="424" w:name="_Toc150774739"/>
      <w:bookmarkStart w:id="425" w:name="_Toc305158876"/>
      <w:r>
        <w:rPr>
          <w:color w:val="auto"/>
          <w:sz w:val="24"/>
          <w:highlight w:val="none"/>
        </w:rPr>
        <w:t>招标文件要求签字的内容（如授权委托书等），可以使用电子签章或使用原件的电子件（电子件指</w:t>
      </w:r>
      <w:r>
        <w:rPr>
          <w:rFonts w:hint="eastAsia"/>
          <w:color w:val="auto"/>
          <w:sz w:val="24"/>
          <w:highlight w:val="none"/>
        </w:rPr>
        <w:t>扫描件、照片等形式电子文件）；要求第三方出具的盖章件原件（如联合协议、分包意向协议、制造商授权书等），投标文件中应使用原件的电子件。</w:t>
      </w:r>
    </w:p>
    <w:p w14:paraId="1F540B6A">
      <w:pPr>
        <w:tabs>
          <w:tab w:val="left" w:pos="900"/>
          <w:tab w:val="left" w:pos="1080"/>
        </w:tabs>
        <w:snapToGrid w:val="0"/>
        <w:spacing w:line="360" w:lineRule="auto"/>
        <w:ind w:left="0"/>
        <w:rPr>
          <w:rFonts w:ascii="宋体" w:hAnsi="宋体"/>
          <w:color w:val="auto"/>
          <w:sz w:val="24"/>
          <w:highlight w:val="none"/>
        </w:rPr>
      </w:pPr>
      <w:r>
        <w:rPr>
          <w:rFonts w:hint="eastAsia"/>
          <w:color w:val="auto"/>
          <w:sz w:val="24"/>
          <w:highlight w:val="none"/>
          <w:lang w:val="en-US" w:eastAsia="zh-CN"/>
        </w:rPr>
        <w:t xml:space="preserve">   14.2</w:t>
      </w:r>
      <w:r>
        <w:rPr>
          <w:color w:val="auto"/>
          <w:sz w:val="24"/>
          <w:highlight w:val="none"/>
        </w:rPr>
        <w:t>招标文件要求盖章的内容，一般通过投标文件编制工具加盖电子签章</w:t>
      </w:r>
    </w:p>
    <w:p w14:paraId="2F6C821B">
      <w:pPr>
        <w:pStyle w:val="2"/>
        <w:spacing w:before="0" w:line="360" w:lineRule="auto"/>
        <w:rPr>
          <w:rFonts w:ascii="宋体" w:hAnsi="宋体" w:eastAsia="宋体"/>
          <w:color w:val="auto"/>
          <w:sz w:val="24"/>
          <w:szCs w:val="24"/>
          <w:highlight w:val="none"/>
        </w:rPr>
      </w:pPr>
      <w:r>
        <w:rPr>
          <w:rFonts w:ascii="宋体" w:hAnsi="宋体" w:eastAsia="宋体"/>
          <w:color w:val="auto"/>
          <w:sz w:val="24"/>
          <w:szCs w:val="24"/>
          <w:highlight w:val="none"/>
        </w:rPr>
        <w:t>四   投标文件的提交</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70415E65">
      <w:pPr>
        <w:numPr>
          <w:ilvl w:val="0"/>
          <w:numId w:val="13"/>
        </w:numPr>
        <w:tabs>
          <w:tab w:val="left" w:pos="360"/>
        </w:tabs>
        <w:snapToGrid w:val="0"/>
        <w:spacing w:line="360" w:lineRule="auto"/>
        <w:ind w:left="357" w:hanging="357"/>
        <w:outlineLvl w:val="1"/>
        <w:rPr>
          <w:color w:val="auto"/>
          <w:sz w:val="24"/>
          <w:highlight w:val="none"/>
        </w:rPr>
      </w:pPr>
      <w:r>
        <w:rPr>
          <w:color w:val="auto"/>
          <w:sz w:val="24"/>
          <w:highlight w:val="none"/>
        </w:rPr>
        <w:t>投标文件的提交</w:t>
      </w:r>
    </w:p>
    <w:p w14:paraId="10445B95">
      <w:pPr>
        <w:numPr>
          <w:ilvl w:val="1"/>
          <w:numId w:val="13"/>
        </w:numPr>
        <w:tabs>
          <w:tab w:val="left" w:pos="1080"/>
          <w:tab w:val="left" w:pos="2014"/>
        </w:tabs>
        <w:snapToGrid w:val="0"/>
        <w:spacing w:line="360" w:lineRule="auto"/>
        <w:ind w:left="1077" w:hanging="720"/>
        <w:rPr>
          <w:color w:val="auto"/>
          <w:sz w:val="24"/>
          <w:highlight w:val="none"/>
        </w:rPr>
      </w:pPr>
      <w:r>
        <w:rPr>
          <w:color w:val="auto"/>
          <w:sz w:val="24"/>
          <w:highlight w:val="none"/>
        </w:rPr>
        <w:t>本项目使用</w:t>
      </w:r>
      <w:r>
        <w:rPr>
          <w:rFonts w:hint="eastAsia"/>
          <w:color w:val="auto"/>
          <w:sz w:val="24"/>
          <w:highlight w:val="none"/>
        </w:rPr>
        <w:t>北京市政府采购电子交易平台</w:t>
      </w:r>
      <w:r>
        <w:rPr>
          <w:color w:val="auto"/>
          <w:sz w:val="24"/>
          <w:highlight w:val="none"/>
        </w:rPr>
        <w:t>。投标人根据招标文件及电子交易平台供应商操作手册要求编制、生成并提交电子投标文件。</w:t>
      </w:r>
    </w:p>
    <w:p w14:paraId="61D30CFA">
      <w:pPr>
        <w:numPr>
          <w:ilvl w:val="1"/>
          <w:numId w:val="13"/>
        </w:numPr>
        <w:tabs>
          <w:tab w:val="left" w:pos="1080"/>
          <w:tab w:val="left" w:pos="2014"/>
        </w:tabs>
        <w:snapToGrid w:val="0"/>
        <w:spacing w:line="360" w:lineRule="auto"/>
        <w:ind w:left="1077" w:hanging="720"/>
        <w:rPr>
          <w:color w:val="auto"/>
          <w:sz w:val="24"/>
          <w:highlight w:val="none"/>
        </w:rPr>
      </w:pPr>
      <w:r>
        <w:rPr>
          <w:color w:val="auto"/>
          <w:sz w:val="24"/>
          <w:highlight w:val="none"/>
        </w:rPr>
        <w:t>采购人及采购代理机构拒绝接受通过电子交易平台以外任何形式提交的投标文件，投标保证金除外。</w:t>
      </w:r>
    </w:p>
    <w:p w14:paraId="3485F6FD">
      <w:pPr>
        <w:numPr>
          <w:ilvl w:val="0"/>
          <w:numId w:val="13"/>
        </w:numPr>
        <w:tabs>
          <w:tab w:val="left" w:pos="360"/>
        </w:tabs>
        <w:snapToGrid w:val="0"/>
        <w:spacing w:line="360" w:lineRule="auto"/>
        <w:ind w:left="357" w:hanging="357"/>
        <w:outlineLvl w:val="1"/>
        <w:rPr>
          <w:color w:val="auto"/>
          <w:sz w:val="24"/>
          <w:highlight w:val="none"/>
        </w:rPr>
      </w:pPr>
      <w:r>
        <w:rPr>
          <w:color w:val="auto"/>
          <w:sz w:val="24"/>
          <w:highlight w:val="none"/>
        </w:rPr>
        <w:t>投标截止时间</w:t>
      </w:r>
    </w:p>
    <w:p w14:paraId="3CBD71A3">
      <w:pPr>
        <w:numPr>
          <w:ilvl w:val="1"/>
          <w:numId w:val="13"/>
        </w:numPr>
        <w:tabs>
          <w:tab w:val="left" w:pos="1080"/>
          <w:tab w:val="left" w:pos="2014"/>
        </w:tabs>
        <w:snapToGrid w:val="0"/>
        <w:spacing w:line="360" w:lineRule="auto"/>
        <w:ind w:left="1077" w:hanging="720"/>
        <w:rPr>
          <w:color w:val="auto"/>
          <w:sz w:val="24"/>
          <w:highlight w:val="none"/>
        </w:rPr>
      </w:pPr>
      <w:r>
        <w:rPr>
          <w:rFonts w:hint="eastAsia"/>
          <w:color w:val="auto"/>
          <w:sz w:val="24"/>
          <w:highlight w:val="none"/>
        </w:rPr>
        <w:t>投标人应在招标文件要求提</w:t>
      </w:r>
      <w:r>
        <w:rPr>
          <w:color w:val="auto"/>
          <w:sz w:val="24"/>
          <w:highlight w:val="none"/>
        </w:rPr>
        <w:t>交投标文件截止时间前，将电子投标文件交至电子交易平台。</w:t>
      </w:r>
    </w:p>
    <w:p w14:paraId="19FD1ED4">
      <w:pPr>
        <w:numPr>
          <w:ilvl w:val="0"/>
          <w:numId w:val="13"/>
        </w:numPr>
        <w:tabs>
          <w:tab w:val="left" w:pos="360"/>
        </w:tabs>
        <w:snapToGrid w:val="0"/>
        <w:spacing w:line="360" w:lineRule="auto"/>
        <w:ind w:left="357" w:hanging="357"/>
        <w:outlineLvl w:val="1"/>
        <w:rPr>
          <w:color w:val="auto"/>
          <w:sz w:val="24"/>
          <w:highlight w:val="none"/>
        </w:rPr>
      </w:pPr>
      <w:r>
        <w:rPr>
          <w:color w:val="auto"/>
          <w:sz w:val="24"/>
          <w:highlight w:val="none"/>
        </w:rPr>
        <w:t>投标文件的修改与撤回</w:t>
      </w:r>
    </w:p>
    <w:p w14:paraId="70A6FB4D">
      <w:pPr>
        <w:numPr>
          <w:ilvl w:val="1"/>
          <w:numId w:val="13"/>
        </w:numPr>
        <w:tabs>
          <w:tab w:val="left" w:pos="1080"/>
          <w:tab w:val="left" w:pos="2014"/>
        </w:tabs>
        <w:snapToGrid w:val="0"/>
        <w:spacing w:line="360" w:lineRule="auto"/>
        <w:ind w:left="1077" w:hanging="720"/>
        <w:rPr>
          <w:color w:val="auto"/>
          <w:sz w:val="24"/>
          <w:highlight w:val="none"/>
        </w:rPr>
      </w:pPr>
      <w:r>
        <w:rPr>
          <w:rFonts w:hint="eastAsia"/>
          <w:color w:val="auto"/>
          <w:sz w:val="24"/>
          <w:highlight w:val="none"/>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4EB81165">
      <w:pPr>
        <w:numPr>
          <w:ilvl w:val="1"/>
          <w:numId w:val="13"/>
        </w:numPr>
        <w:tabs>
          <w:tab w:val="left" w:pos="1080"/>
          <w:tab w:val="left" w:pos="2014"/>
        </w:tabs>
        <w:snapToGrid w:val="0"/>
        <w:spacing w:line="360" w:lineRule="auto"/>
        <w:ind w:left="1077" w:hanging="720"/>
        <w:rPr>
          <w:color w:val="auto"/>
          <w:sz w:val="24"/>
          <w:highlight w:val="none"/>
        </w:rPr>
      </w:pPr>
      <w:r>
        <w:rPr>
          <w:rFonts w:hint="eastAsia"/>
          <w:color w:val="auto"/>
          <w:sz w:val="24"/>
          <w:highlight w:val="none"/>
        </w:rPr>
        <w:t>投标人对投标文件的补充、修改的内容应当按照招标文件要求签署、盖章，作为投标文件的组成部分。</w:t>
      </w:r>
    </w:p>
    <w:p w14:paraId="2044C0B5">
      <w:pPr>
        <w:rPr>
          <w:color w:val="auto"/>
          <w:highlight w:val="none"/>
        </w:rPr>
      </w:pPr>
    </w:p>
    <w:p w14:paraId="553407F8">
      <w:pPr>
        <w:pStyle w:val="2"/>
        <w:spacing w:before="0" w:line="360" w:lineRule="auto"/>
        <w:rPr>
          <w:rFonts w:ascii="宋体" w:hAnsi="宋体" w:eastAsia="宋体"/>
          <w:color w:val="auto"/>
          <w:sz w:val="24"/>
          <w:szCs w:val="24"/>
          <w:highlight w:val="none"/>
        </w:rPr>
      </w:pPr>
      <w:bookmarkStart w:id="426" w:name="_Toc226337234"/>
      <w:bookmarkStart w:id="427" w:name="_Toc151193708"/>
      <w:bookmarkStart w:id="428" w:name="_Toc150509289"/>
      <w:bookmarkStart w:id="429" w:name="_Toc151193926"/>
      <w:bookmarkStart w:id="430" w:name="_Toc264969228"/>
      <w:bookmarkStart w:id="431" w:name="_Toc195842903"/>
      <w:bookmarkStart w:id="432" w:name="_Toc150774638"/>
      <w:bookmarkStart w:id="433" w:name="_Toc520356163"/>
      <w:bookmarkStart w:id="434" w:name="_Toc151193780"/>
      <w:bookmarkStart w:id="435" w:name="_Toc151190165"/>
      <w:bookmarkStart w:id="436" w:name="_Toc151193636"/>
      <w:bookmarkStart w:id="437" w:name="_Toc151193852"/>
      <w:bookmarkStart w:id="438" w:name="_Toc150774743"/>
      <w:bookmarkStart w:id="439" w:name="_Toc226309782"/>
      <w:bookmarkStart w:id="440" w:name="_Toc226965728"/>
      <w:bookmarkStart w:id="441" w:name="_Toc265228376"/>
      <w:bookmarkStart w:id="442" w:name="_Toc305158806"/>
      <w:bookmarkStart w:id="443" w:name="_Toc142311040"/>
      <w:bookmarkStart w:id="444" w:name="_Toc150480776"/>
      <w:bookmarkStart w:id="445" w:name="_Toc127151538"/>
      <w:bookmarkStart w:id="446" w:name="_Toc226965811"/>
      <w:bookmarkStart w:id="447" w:name="_Toc305158880"/>
      <w:r>
        <w:rPr>
          <w:rFonts w:ascii="宋体" w:hAnsi="宋体" w:eastAsia="宋体"/>
          <w:color w:val="auto"/>
          <w:sz w:val="24"/>
          <w:szCs w:val="24"/>
          <w:highlight w:val="none"/>
        </w:rPr>
        <w:t>五   开标、资格审查及评标</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2D815350">
      <w:pPr>
        <w:numPr>
          <w:ilvl w:val="0"/>
          <w:numId w:val="13"/>
        </w:numPr>
        <w:tabs>
          <w:tab w:val="left" w:pos="360"/>
        </w:tabs>
        <w:snapToGrid w:val="0"/>
        <w:spacing w:line="360" w:lineRule="auto"/>
        <w:ind w:left="357" w:hanging="357"/>
        <w:outlineLvl w:val="1"/>
        <w:rPr>
          <w:color w:val="auto"/>
          <w:sz w:val="24"/>
          <w:highlight w:val="none"/>
        </w:rPr>
      </w:pPr>
      <w:bookmarkStart w:id="448" w:name="_Toc164229234"/>
      <w:bookmarkStart w:id="449" w:name="_Toc164608808"/>
      <w:bookmarkStart w:id="450" w:name="_Toc226337235"/>
      <w:bookmarkStart w:id="451" w:name="_Toc305158807"/>
      <w:bookmarkStart w:id="452" w:name="_Toc226965729"/>
      <w:bookmarkStart w:id="453" w:name="_Toc127151539"/>
      <w:bookmarkStart w:id="454" w:name="_Toc150774744"/>
      <w:bookmarkStart w:id="455" w:name="_Toc164229380"/>
      <w:bookmarkStart w:id="456" w:name="_Toc164351633"/>
      <w:bookmarkStart w:id="457" w:name="_Toc164608653"/>
      <w:bookmarkStart w:id="458" w:name="_Toc305158881"/>
      <w:bookmarkStart w:id="459" w:name="_Toc226309783"/>
      <w:bookmarkStart w:id="460" w:name="_Toc149720832"/>
      <w:bookmarkStart w:id="461" w:name="_Toc151193637"/>
      <w:bookmarkStart w:id="462" w:name="_Toc195842904"/>
      <w:bookmarkStart w:id="463" w:name="_Toc127151740"/>
      <w:bookmarkStart w:id="464" w:name="_Toc151193927"/>
      <w:bookmarkStart w:id="465" w:name="_Toc151190166"/>
      <w:bookmarkStart w:id="466" w:name="_Toc150509290"/>
      <w:bookmarkStart w:id="467" w:name="_Toc150480777"/>
      <w:bookmarkStart w:id="468" w:name="_Toc151193781"/>
      <w:bookmarkStart w:id="469" w:name="_Toc150774639"/>
      <w:bookmarkStart w:id="470" w:name="_Toc264969229"/>
      <w:bookmarkStart w:id="471" w:name="_Toc151193709"/>
      <w:bookmarkStart w:id="472" w:name="_Toc127161453"/>
      <w:bookmarkStart w:id="473" w:name="_Toc142311041"/>
      <w:bookmarkStart w:id="474" w:name="_Toc226965812"/>
      <w:bookmarkStart w:id="475" w:name="_Toc151193853"/>
      <w:bookmarkStart w:id="476" w:name="_Toc265228377"/>
      <w:bookmarkStart w:id="477" w:name="_Toc520356164"/>
      <w:r>
        <w:rPr>
          <w:color w:val="auto"/>
          <w:sz w:val="24"/>
          <w:highlight w:val="none"/>
        </w:rPr>
        <w:t>开标</w:t>
      </w:r>
    </w:p>
    <w:p w14:paraId="33654D80">
      <w:pPr>
        <w:numPr>
          <w:ilvl w:val="1"/>
          <w:numId w:val="13"/>
        </w:numPr>
        <w:tabs>
          <w:tab w:val="left" w:pos="1080"/>
          <w:tab w:val="left" w:pos="2014"/>
        </w:tabs>
        <w:snapToGrid w:val="0"/>
        <w:spacing w:line="360" w:lineRule="auto"/>
        <w:ind w:left="1077" w:hanging="720"/>
        <w:rPr>
          <w:color w:val="auto"/>
          <w:sz w:val="24"/>
          <w:highlight w:val="none"/>
        </w:rPr>
      </w:pPr>
      <w:r>
        <w:rPr>
          <w:color w:val="auto"/>
          <w:sz w:val="24"/>
          <w:highlight w:val="none"/>
        </w:rPr>
        <w:t>采购人或采购代理机构将按招标文件的规定，在投标截止时间的同一时间和招标文件预先确定的地点组织开标。</w:t>
      </w:r>
    </w:p>
    <w:p w14:paraId="505AFF64">
      <w:pPr>
        <w:numPr>
          <w:ilvl w:val="1"/>
          <w:numId w:val="13"/>
        </w:numPr>
        <w:tabs>
          <w:tab w:val="left" w:pos="1080"/>
          <w:tab w:val="left" w:pos="2014"/>
        </w:tabs>
        <w:snapToGrid w:val="0"/>
        <w:spacing w:line="360" w:lineRule="auto"/>
        <w:ind w:left="1077" w:hanging="720"/>
        <w:rPr>
          <w:color w:val="auto"/>
          <w:sz w:val="24"/>
          <w:highlight w:val="none"/>
        </w:rPr>
      </w:pPr>
      <w:r>
        <w:rPr>
          <w:color w:val="auto"/>
          <w:sz w:val="24"/>
          <w:highlight w:val="none"/>
        </w:rPr>
        <w:t>本项目开标使用北京市政府采购电子交易平台。投标人应在规定的时间内对投标文件进行解密，因非系统原因导致的解密失败，视为</w:t>
      </w:r>
      <w:r>
        <w:rPr>
          <w:b/>
          <w:bCs/>
          <w:color w:val="auto"/>
          <w:sz w:val="24"/>
          <w:highlight w:val="none"/>
        </w:rPr>
        <w:t>投标无效</w:t>
      </w:r>
      <w:r>
        <w:rPr>
          <w:color w:val="auto"/>
          <w:sz w:val="24"/>
          <w:highlight w:val="none"/>
        </w:rPr>
        <w:t>。</w:t>
      </w:r>
    </w:p>
    <w:p w14:paraId="4E048724">
      <w:pPr>
        <w:numPr>
          <w:ilvl w:val="1"/>
          <w:numId w:val="13"/>
        </w:numPr>
        <w:tabs>
          <w:tab w:val="left" w:pos="1080"/>
          <w:tab w:val="left" w:pos="2014"/>
        </w:tabs>
        <w:snapToGrid w:val="0"/>
        <w:spacing w:line="360" w:lineRule="auto"/>
        <w:ind w:left="1077" w:hanging="720"/>
        <w:rPr>
          <w:color w:val="auto"/>
          <w:sz w:val="24"/>
          <w:highlight w:val="none"/>
        </w:rPr>
      </w:pPr>
      <w:r>
        <w:rPr>
          <w:color w:val="auto"/>
          <w:sz w:val="24"/>
          <w:highlight w:val="none"/>
        </w:rPr>
        <w:t>开标过程将使用电子交易平台宣布投标人名称、投标价格和招标文件规定的需要宣布的其他内容并进行记录，并由参加开标的各投标人确认。投标人未在规定时间内</w:t>
      </w:r>
      <w:r>
        <w:rPr>
          <w:rFonts w:hint="eastAsia"/>
          <w:color w:val="auto"/>
          <w:sz w:val="24"/>
          <w:highlight w:val="none"/>
        </w:rPr>
        <w:t>提</w:t>
      </w:r>
      <w:r>
        <w:rPr>
          <w:color w:val="auto"/>
          <w:sz w:val="24"/>
          <w:highlight w:val="none"/>
        </w:rPr>
        <w:t>出疑义或确认一览表的，视同认可开标结果。</w:t>
      </w:r>
    </w:p>
    <w:p w14:paraId="1EC15023">
      <w:pPr>
        <w:numPr>
          <w:ilvl w:val="1"/>
          <w:numId w:val="13"/>
        </w:numPr>
        <w:tabs>
          <w:tab w:val="left" w:pos="1080"/>
          <w:tab w:val="left" w:pos="2014"/>
        </w:tabs>
        <w:snapToGrid w:val="0"/>
        <w:spacing w:line="360" w:lineRule="auto"/>
        <w:ind w:left="1077" w:hanging="720"/>
        <w:rPr>
          <w:color w:val="auto"/>
          <w:sz w:val="24"/>
          <w:highlight w:val="none"/>
        </w:rPr>
      </w:pPr>
      <w:r>
        <w:rPr>
          <w:color w:val="auto"/>
          <w:sz w:val="24"/>
          <w:highlight w:val="none"/>
        </w:rPr>
        <w:t>投标人对开标过程和开标记录有疑义，以及认为采购人、采购代理机构</w:t>
      </w:r>
      <w:r>
        <w:rPr>
          <w:rFonts w:hint="eastAsia"/>
          <w:color w:val="auto"/>
          <w:sz w:val="24"/>
          <w:highlight w:val="none"/>
        </w:rPr>
        <w:t>相关工作人员有需要回避的情形的，应当场提</w:t>
      </w:r>
      <w:r>
        <w:rPr>
          <w:color w:val="auto"/>
          <w:sz w:val="24"/>
          <w:highlight w:val="none"/>
        </w:rPr>
        <w:t>出询问或者回避申请。采购人、采购代理机构对投标人</w:t>
      </w:r>
      <w:r>
        <w:rPr>
          <w:rFonts w:hint="eastAsia"/>
          <w:color w:val="auto"/>
          <w:sz w:val="24"/>
          <w:highlight w:val="none"/>
        </w:rPr>
        <w:t>提</w:t>
      </w:r>
      <w:r>
        <w:rPr>
          <w:color w:val="auto"/>
          <w:sz w:val="24"/>
          <w:highlight w:val="none"/>
        </w:rPr>
        <w:t>出的询问或者回避申请将及时处理。</w:t>
      </w:r>
    </w:p>
    <w:p w14:paraId="792C234E">
      <w:pPr>
        <w:numPr>
          <w:ilvl w:val="1"/>
          <w:numId w:val="13"/>
        </w:numPr>
        <w:tabs>
          <w:tab w:val="left" w:pos="1080"/>
          <w:tab w:val="left" w:pos="2014"/>
        </w:tabs>
        <w:snapToGrid w:val="0"/>
        <w:spacing w:line="360" w:lineRule="auto"/>
        <w:ind w:left="1077" w:hanging="720"/>
        <w:rPr>
          <w:color w:val="auto"/>
          <w:sz w:val="24"/>
          <w:highlight w:val="none"/>
        </w:rPr>
      </w:pPr>
      <w:r>
        <w:rPr>
          <w:color w:val="auto"/>
          <w:sz w:val="24"/>
          <w:highlight w:val="none"/>
        </w:rPr>
        <w:t>投标人不足3家的，不予开标。</w:t>
      </w:r>
    </w:p>
    <w:p w14:paraId="17578AA8">
      <w:pPr>
        <w:numPr>
          <w:ilvl w:val="0"/>
          <w:numId w:val="13"/>
        </w:numPr>
        <w:tabs>
          <w:tab w:val="left" w:pos="360"/>
        </w:tabs>
        <w:snapToGrid w:val="0"/>
        <w:spacing w:line="360" w:lineRule="auto"/>
        <w:ind w:left="357" w:hanging="357"/>
        <w:outlineLvl w:val="1"/>
        <w:rPr>
          <w:color w:val="auto"/>
          <w:sz w:val="24"/>
          <w:highlight w:val="none"/>
        </w:rPr>
      </w:pPr>
      <w:r>
        <w:rPr>
          <w:color w:val="auto"/>
          <w:sz w:val="24"/>
          <w:highlight w:val="none"/>
        </w:rPr>
        <w:t>资格审查</w:t>
      </w:r>
    </w:p>
    <w:p w14:paraId="146F0642">
      <w:pPr>
        <w:numPr>
          <w:ilvl w:val="1"/>
          <w:numId w:val="13"/>
        </w:numPr>
        <w:tabs>
          <w:tab w:val="left" w:pos="1080"/>
          <w:tab w:val="left" w:pos="2014"/>
        </w:tabs>
        <w:snapToGrid w:val="0"/>
        <w:spacing w:line="360" w:lineRule="auto"/>
        <w:ind w:left="1077" w:hanging="720"/>
        <w:rPr>
          <w:color w:val="auto"/>
          <w:sz w:val="24"/>
          <w:highlight w:val="none"/>
        </w:rPr>
      </w:pPr>
      <w:r>
        <w:rPr>
          <w:color w:val="auto"/>
          <w:sz w:val="24"/>
          <w:highlight w:val="none"/>
        </w:rPr>
        <w:t>见第三章《资格审查》。</w:t>
      </w:r>
    </w:p>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14:paraId="72F02D05">
      <w:pPr>
        <w:numPr>
          <w:ilvl w:val="0"/>
          <w:numId w:val="13"/>
        </w:numPr>
        <w:tabs>
          <w:tab w:val="left" w:pos="360"/>
        </w:tabs>
        <w:snapToGrid w:val="0"/>
        <w:spacing w:line="360" w:lineRule="auto"/>
        <w:ind w:left="357" w:hanging="357"/>
        <w:outlineLvl w:val="1"/>
        <w:rPr>
          <w:rFonts w:ascii="宋体" w:hAnsi="宋体"/>
          <w:color w:val="auto"/>
          <w:sz w:val="24"/>
          <w:highlight w:val="none"/>
        </w:rPr>
      </w:pPr>
      <w:bookmarkStart w:id="478" w:name="_Toc151193928"/>
      <w:bookmarkStart w:id="479" w:name="_Toc264969230"/>
      <w:bookmarkStart w:id="480" w:name="_Toc149720833"/>
      <w:bookmarkStart w:id="481" w:name="_Toc151193782"/>
      <w:bookmarkStart w:id="482" w:name="_Toc226309784"/>
      <w:bookmarkStart w:id="483" w:name="_Toc305158808"/>
      <w:bookmarkStart w:id="484" w:name="_Toc226337236"/>
      <w:bookmarkStart w:id="485" w:name="_Toc226965813"/>
      <w:bookmarkStart w:id="486" w:name="_Toc127151741"/>
      <w:bookmarkStart w:id="487" w:name="_Toc226965730"/>
      <w:bookmarkStart w:id="488" w:name="_Toc150774745"/>
      <w:bookmarkStart w:id="489" w:name="_Toc265228378"/>
      <w:bookmarkStart w:id="490" w:name="_Toc164229235"/>
      <w:bookmarkStart w:id="491" w:name="_Toc127151540"/>
      <w:bookmarkStart w:id="492" w:name="_Toc164351634"/>
      <w:bookmarkStart w:id="493" w:name="_Toc164229381"/>
      <w:bookmarkStart w:id="494" w:name="_Toc164608654"/>
      <w:bookmarkStart w:id="495" w:name="_Toc151190167"/>
      <w:bookmarkStart w:id="496" w:name="_Toc142311042"/>
      <w:bookmarkStart w:id="497" w:name="_Toc305158882"/>
      <w:bookmarkStart w:id="498" w:name="_Toc150509291"/>
      <w:bookmarkStart w:id="499" w:name="_Toc150480778"/>
      <w:bookmarkStart w:id="500" w:name="_Toc195842905"/>
      <w:bookmarkStart w:id="501" w:name="_Toc150774640"/>
      <w:bookmarkStart w:id="502" w:name="_Toc151193854"/>
      <w:bookmarkStart w:id="503" w:name="_Toc164608809"/>
      <w:bookmarkStart w:id="504" w:name="_Toc151193710"/>
      <w:bookmarkStart w:id="505" w:name="_Toc127161454"/>
      <w:bookmarkStart w:id="506" w:name="_Toc151193638"/>
      <w:r>
        <w:rPr>
          <w:rFonts w:ascii="宋体" w:hAnsi="宋体"/>
          <w:color w:val="auto"/>
          <w:sz w:val="24"/>
          <w:highlight w:val="none"/>
        </w:rPr>
        <w:t>评标委员会</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48962D7A">
      <w:pPr>
        <w:numPr>
          <w:ilvl w:val="1"/>
          <w:numId w:val="13"/>
        </w:numPr>
        <w:tabs>
          <w:tab w:val="left" w:pos="1080"/>
          <w:tab w:val="left" w:pos="2014"/>
        </w:tabs>
        <w:snapToGrid w:val="0"/>
        <w:spacing w:line="360" w:lineRule="auto"/>
        <w:ind w:left="1077" w:hanging="720"/>
        <w:rPr>
          <w:rFonts w:ascii="宋体" w:hAnsi="宋体" w:eastAsia="宋体"/>
          <w:color w:val="auto"/>
          <w:sz w:val="24"/>
          <w:highlight w:val="none"/>
        </w:rPr>
      </w:pPr>
      <w:r>
        <w:rPr>
          <w:rFonts w:ascii="宋体" w:hAnsi="宋体" w:eastAsia="宋体"/>
          <w:color w:val="auto"/>
          <w:sz w:val="24"/>
          <w:highlight w:val="none"/>
        </w:rPr>
        <w:t>评标委员会根据政府采购有关规定和本次招标采购项目的特点进行组建，并负责具体评标事务，独立履行职责。</w:t>
      </w:r>
      <w:bookmarkStart w:id="507" w:name="_Toc520356166"/>
      <w:r>
        <w:rPr>
          <w:rFonts w:ascii="宋体" w:hAnsi="宋体" w:eastAsia="宋体"/>
          <w:color w:val="auto"/>
          <w:sz w:val="24"/>
          <w:highlight w:val="none"/>
        </w:rPr>
        <w:t>评标委员会根据政府采购有关规定和本次招标采购项目的特点进行组建，并负责具体评标事务，独立履行职责。</w:t>
      </w:r>
      <w:r>
        <w:rPr>
          <w:rFonts w:hint="eastAsia" w:ascii="宋体" w:hAnsi="宋体"/>
          <w:color w:val="auto"/>
          <w:sz w:val="24"/>
          <w:highlight w:val="none"/>
          <w:lang w:val="en-US" w:eastAsia="zh-CN"/>
        </w:rPr>
        <w:t>评标委员会由</w:t>
      </w:r>
      <w:r>
        <w:rPr>
          <w:rFonts w:hint="eastAsia" w:ascii="宋体" w:hAnsi="宋体" w:eastAsia="宋体"/>
          <w:color w:val="auto"/>
          <w:sz w:val="24"/>
          <w:highlight w:val="none"/>
        </w:rPr>
        <w:t>采购人代表、技术、经济专家</w:t>
      </w:r>
      <w:r>
        <w:rPr>
          <w:rFonts w:hint="eastAsia" w:ascii="宋体" w:hAnsi="宋体"/>
          <w:color w:val="auto"/>
          <w:sz w:val="24"/>
          <w:highlight w:val="none"/>
          <w:lang w:val="en-US" w:eastAsia="zh-CN"/>
        </w:rPr>
        <w:t>等组成，其中</w:t>
      </w:r>
      <w:r>
        <w:rPr>
          <w:rFonts w:hint="eastAsia" w:ascii="宋体" w:hAnsi="宋体" w:eastAsia="宋体"/>
          <w:color w:val="auto"/>
          <w:sz w:val="24"/>
          <w:highlight w:val="none"/>
        </w:rPr>
        <w:t>技术、经济专家</w:t>
      </w:r>
      <w:r>
        <w:rPr>
          <w:rFonts w:hint="eastAsia" w:ascii="宋体" w:hAnsi="宋体"/>
          <w:color w:val="auto"/>
          <w:sz w:val="24"/>
          <w:highlight w:val="none"/>
          <w:lang w:val="en-US" w:eastAsia="zh-CN"/>
        </w:rPr>
        <w:t>不低于总人数的2/3</w:t>
      </w:r>
      <w:r>
        <w:rPr>
          <w:rFonts w:hint="eastAsia" w:ascii="宋体" w:hAnsi="宋体" w:eastAsia="宋体"/>
          <w:color w:val="auto"/>
          <w:sz w:val="24"/>
          <w:highlight w:val="none"/>
        </w:rPr>
        <w:t>，专家从北京市评标专家库中随机抽取</w:t>
      </w:r>
      <w:r>
        <w:rPr>
          <w:rFonts w:hint="eastAsia" w:ascii="宋体" w:hAnsi="宋体"/>
          <w:color w:val="auto"/>
          <w:sz w:val="24"/>
          <w:highlight w:val="none"/>
          <w:lang w:eastAsia="zh-CN"/>
        </w:rPr>
        <w:t>。</w:t>
      </w:r>
    </w:p>
    <w:p w14:paraId="70D1FEFE">
      <w:pPr>
        <w:numPr>
          <w:ilvl w:val="1"/>
          <w:numId w:val="13"/>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07"/>
      <w:bookmarkStart w:id="508" w:name="_Toc520356169"/>
    </w:p>
    <w:p w14:paraId="478DABED">
      <w:pPr>
        <w:numPr>
          <w:ilvl w:val="0"/>
          <w:numId w:val="13"/>
        </w:numPr>
        <w:tabs>
          <w:tab w:val="left" w:pos="360"/>
        </w:tabs>
        <w:snapToGrid w:val="0"/>
        <w:spacing w:line="360" w:lineRule="auto"/>
        <w:ind w:left="357" w:hanging="357"/>
        <w:outlineLvl w:val="1"/>
        <w:rPr>
          <w:rFonts w:ascii="宋体" w:hAnsi="宋体"/>
          <w:color w:val="auto"/>
          <w:sz w:val="24"/>
          <w:highlight w:val="none"/>
        </w:rPr>
      </w:pPr>
      <w:r>
        <w:rPr>
          <w:rFonts w:ascii="宋体" w:hAnsi="宋体"/>
          <w:color w:val="auto"/>
          <w:sz w:val="24"/>
          <w:highlight w:val="none"/>
        </w:rPr>
        <w:t>评标程序、评标方法和评标标准</w:t>
      </w:r>
    </w:p>
    <w:p w14:paraId="6A436348">
      <w:pPr>
        <w:numPr>
          <w:ilvl w:val="1"/>
          <w:numId w:val="13"/>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见第四章《评标程序、评标方法和评标标准》。</w:t>
      </w:r>
    </w:p>
    <w:p w14:paraId="21EEE6F1">
      <w:pPr>
        <w:tabs>
          <w:tab w:val="left" w:pos="360"/>
          <w:tab w:val="left" w:pos="1080"/>
        </w:tabs>
        <w:snapToGrid w:val="0"/>
        <w:spacing w:line="360" w:lineRule="auto"/>
        <w:ind w:left="1080"/>
        <w:rPr>
          <w:rFonts w:ascii="宋体" w:hAnsi="宋体"/>
          <w:color w:val="auto"/>
          <w:sz w:val="24"/>
          <w:highlight w:val="none"/>
        </w:rPr>
      </w:pPr>
    </w:p>
    <w:p w14:paraId="3DF488B5">
      <w:pPr>
        <w:pStyle w:val="2"/>
        <w:spacing w:before="0" w:line="360" w:lineRule="auto"/>
        <w:rPr>
          <w:rFonts w:ascii="宋体" w:hAnsi="宋体" w:eastAsia="宋体"/>
          <w:color w:val="auto"/>
          <w:sz w:val="24"/>
          <w:szCs w:val="24"/>
          <w:highlight w:val="none"/>
        </w:rPr>
      </w:pPr>
      <w:bookmarkStart w:id="509" w:name="_Toc150774645"/>
      <w:bookmarkStart w:id="510" w:name="_Toc226965735"/>
      <w:bookmarkStart w:id="511" w:name="_Toc151190172"/>
      <w:bookmarkStart w:id="512" w:name="_Toc150509296"/>
      <w:bookmarkStart w:id="513" w:name="_Toc151193787"/>
      <w:bookmarkStart w:id="514" w:name="_Toc195842910"/>
      <w:bookmarkStart w:id="515" w:name="_Toc151193715"/>
      <w:bookmarkStart w:id="516" w:name="_Toc151193859"/>
      <w:bookmarkStart w:id="517" w:name="_Toc150480783"/>
      <w:bookmarkStart w:id="518" w:name="_Toc305158813"/>
      <w:bookmarkStart w:id="519" w:name="_Toc305158887"/>
      <w:bookmarkStart w:id="520" w:name="_Toc127151545"/>
      <w:bookmarkStart w:id="521" w:name="_Toc151193643"/>
      <w:bookmarkStart w:id="522" w:name="_Toc226965818"/>
      <w:bookmarkStart w:id="523" w:name="_Toc151193933"/>
      <w:bookmarkStart w:id="524" w:name="_Toc265228383"/>
      <w:bookmarkStart w:id="525" w:name="_Toc226309789"/>
      <w:bookmarkStart w:id="526" w:name="_Toc150774750"/>
      <w:bookmarkStart w:id="527" w:name="_Toc264969235"/>
      <w:bookmarkStart w:id="528" w:name="_Toc226337241"/>
      <w:bookmarkStart w:id="529" w:name="_Toc142311047"/>
      <w:r>
        <w:rPr>
          <w:rFonts w:ascii="宋体" w:hAnsi="宋体" w:eastAsia="宋体"/>
          <w:color w:val="auto"/>
          <w:sz w:val="24"/>
          <w:szCs w:val="24"/>
          <w:highlight w:val="none"/>
        </w:rPr>
        <w:t xml:space="preserve">六   </w:t>
      </w:r>
      <w:bookmarkEnd w:id="508"/>
      <w:r>
        <w:rPr>
          <w:rFonts w:ascii="宋体" w:hAnsi="宋体" w:eastAsia="宋体"/>
          <w:color w:val="auto"/>
          <w:sz w:val="24"/>
          <w:szCs w:val="24"/>
          <w:highlight w:val="none"/>
        </w:rPr>
        <w:t>确定中标</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Start w:id="530" w:name="_Toc195842912"/>
      <w:bookmarkStart w:id="531" w:name="_Toc226309791"/>
      <w:bookmarkStart w:id="532" w:name="_Toc142311049"/>
      <w:bookmarkStart w:id="533" w:name="_Toc127161461"/>
      <w:bookmarkStart w:id="534" w:name="_Toc164608816"/>
      <w:bookmarkStart w:id="535" w:name="_Toc305158815"/>
      <w:bookmarkStart w:id="536" w:name="_Toc151193645"/>
      <w:bookmarkStart w:id="537" w:name="_Toc226965820"/>
      <w:bookmarkStart w:id="538" w:name="_Toc305158889"/>
      <w:bookmarkStart w:id="539" w:name="_Toc127151748"/>
      <w:bookmarkStart w:id="540" w:name="_Toc149720840"/>
      <w:bookmarkStart w:id="541" w:name="_Toc150774752"/>
      <w:bookmarkStart w:id="542" w:name="_Toc264969237"/>
      <w:bookmarkStart w:id="543" w:name="_Toc164608661"/>
      <w:bookmarkStart w:id="544" w:name="_Toc226965737"/>
      <w:bookmarkStart w:id="545" w:name="_Toc151193789"/>
      <w:bookmarkStart w:id="546" w:name="_Toc151193861"/>
      <w:bookmarkStart w:id="547" w:name="_Toc151193717"/>
      <w:bookmarkStart w:id="548" w:name="_Toc150774647"/>
      <w:bookmarkStart w:id="549" w:name="_Toc164229242"/>
      <w:bookmarkStart w:id="550" w:name="_Toc226337243"/>
      <w:bookmarkStart w:id="551" w:name="_Toc127151547"/>
      <w:bookmarkStart w:id="552" w:name="_Toc150480785"/>
      <w:bookmarkStart w:id="553" w:name="_Toc151193935"/>
      <w:bookmarkStart w:id="554" w:name="_Toc164351641"/>
      <w:bookmarkStart w:id="555" w:name="_Toc265228385"/>
      <w:bookmarkStart w:id="556" w:name="_Toc150509298"/>
      <w:bookmarkStart w:id="557" w:name="_Toc164229388"/>
      <w:bookmarkStart w:id="558" w:name="_Toc151190174"/>
    </w:p>
    <w:p w14:paraId="55652239">
      <w:pPr>
        <w:numPr>
          <w:ilvl w:val="0"/>
          <w:numId w:val="13"/>
        </w:numPr>
        <w:tabs>
          <w:tab w:val="left" w:pos="360"/>
        </w:tabs>
        <w:snapToGrid w:val="0"/>
        <w:spacing w:line="360" w:lineRule="auto"/>
        <w:ind w:left="357" w:hanging="357"/>
        <w:outlineLvl w:val="1"/>
        <w:rPr>
          <w:rFonts w:ascii="宋体" w:hAnsi="宋体"/>
          <w:color w:val="auto"/>
          <w:sz w:val="24"/>
          <w:highlight w:val="none"/>
        </w:rPr>
      </w:pPr>
      <w:r>
        <w:rPr>
          <w:rFonts w:ascii="宋体" w:hAnsi="宋体"/>
          <w:color w:val="auto"/>
          <w:sz w:val="24"/>
          <w:highlight w:val="none"/>
        </w:rPr>
        <w:t>确定中标人</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14:paraId="7C48E6BA">
      <w:pPr>
        <w:numPr>
          <w:ilvl w:val="1"/>
          <w:numId w:val="13"/>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ascii="宋体" w:hAnsi="宋体"/>
          <w:color w:val="auto"/>
          <w:sz w:val="24"/>
          <w:highlight w:val="none"/>
        </w:rPr>
        <w:t>。</w:t>
      </w:r>
      <w:r>
        <w:rPr>
          <w:rFonts w:ascii="宋体" w:hAnsi="宋体"/>
          <w:color w:val="auto"/>
          <w:sz w:val="24"/>
          <w:highlight w:val="none"/>
        </w:rPr>
        <w:t>采购人是否委托评标委员会直接确定</w:t>
      </w:r>
      <w:r>
        <w:rPr>
          <w:rFonts w:hint="eastAsia" w:ascii="宋体" w:hAnsi="宋体"/>
          <w:color w:val="auto"/>
          <w:sz w:val="24"/>
          <w:highlight w:val="none"/>
        </w:rPr>
        <w:t>中标人</w:t>
      </w:r>
      <w:r>
        <w:rPr>
          <w:rFonts w:ascii="宋体" w:hAnsi="宋体"/>
          <w:color w:val="auto"/>
          <w:sz w:val="24"/>
          <w:highlight w:val="none"/>
        </w:rPr>
        <w:t>，见《</w:t>
      </w:r>
      <w:r>
        <w:rPr>
          <w:rFonts w:hint="eastAsia" w:ascii="宋体" w:hAnsi="宋体"/>
          <w:color w:val="auto"/>
          <w:sz w:val="24"/>
          <w:highlight w:val="none"/>
        </w:rPr>
        <w:t>投标人</w:t>
      </w:r>
      <w:r>
        <w:rPr>
          <w:rFonts w:ascii="宋体" w:hAnsi="宋体"/>
          <w:color w:val="auto"/>
          <w:sz w:val="24"/>
          <w:highlight w:val="none"/>
        </w:rPr>
        <w:t>须知资料表》。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olor w:val="auto"/>
          <w:sz w:val="24"/>
          <w:highlight w:val="none"/>
        </w:rPr>
        <w:t>.</w:t>
      </w:r>
    </w:p>
    <w:p w14:paraId="3BCD12E6">
      <w:pPr>
        <w:numPr>
          <w:ilvl w:val="0"/>
          <w:numId w:val="13"/>
        </w:numPr>
        <w:tabs>
          <w:tab w:val="left" w:pos="360"/>
        </w:tabs>
        <w:snapToGrid w:val="0"/>
        <w:spacing w:line="360" w:lineRule="auto"/>
        <w:ind w:left="357" w:hanging="357"/>
        <w:outlineLvl w:val="1"/>
        <w:rPr>
          <w:rFonts w:ascii="宋体" w:hAnsi="宋体"/>
          <w:color w:val="auto"/>
          <w:sz w:val="24"/>
          <w:highlight w:val="none"/>
        </w:rPr>
      </w:pPr>
      <w:bookmarkStart w:id="559" w:name="_Toc305158891"/>
      <w:bookmarkStart w:id="560" w:name="_Toc305158817"/>
      <w:bookmarkStart w:id="561" w:name="_Toc265228387"/>
      <w:bookmarkStart w:id="562" w:name="_Toc142311051"/>
      <w:bookmarkStart w:id="563" w:name="_Toc264969239"/>
      <w:bookmarkStart w:id="564" w:name="_Toc164229390"/>
      <w:bookmarkStart w:id="565" w:name="_Toc150774649"/>
      <w:bookmarkStart w:id="566" w:name="_Toc151193719"/>
      <w:bookmarkStart w:id="567" w:name="_Toc164229244"/>
      <w:bookmarkStart w:id="568" w:name="_Toc164351643"/>
      <w:bookmarkStart w:id="569" w:name="_Toc151193937"/>
      <w:bookmarkStart w:id="570" w:name="_Toc164608818"/>
      <w:bookmarkStart w:id="571" w:name="_Toc151193863"/>
      <w:bookmarkStart w:id="572" w:name="_Toc226965739"/>
      <w:bookmarkStart w:id="573" w:name="_Toc151190176"/>
      <w:bookmarkStart w:id="574" w:name="_Toc150509300"/>
      <w:bookmarkStart w:id="575" w:name="_Toc150480787"/>
      <w:bookmarkStart w:id="576" w:name="_Toc226309793"/>
      <w:bookmarkStart w:id="577" w:name="_Toc149720842"/>
      <w:bookmarkStart w:id="578" w:name="_Toc151193791"/>
      <w:bookmarkStart w:id="579" w:name="_Toc226337245"/>
      <w:bookmarkStart w:id="580" w:name="_Toc127151750"/>
      <w:bookmarkStart w:id="581" w:name="_Toc226965822"/>
      <w:bookmarkStart w:id="582" w:name="_Toc127161463"/>
      <w:bookmarkStart w:id="583" w:name="_Toc195842914"/>
      <w:bookmarkStart w:id="584" w:name="_Toc151193647"/>
      <w:bookmarkStart w:id="585" w:name="_Toc164608663"/>
      <w:bookmarkStart w:id="586" w:name="_Toc150774754"/>
      <w:bookmarkStart w:id="587" w:name="_Toc127151549"/>
      <w:bookmarkStart w:id="588" w:name="_Toc520356176"/>
      <w:bookmarkStart w:id="589" w:name="_Ref467306425"/>
      <w:bookmarkStart w:id="590" w:name="_Ref467307090"/>
      <w:r>
        <w:rPr>
          <w:rFonts w:ascii="宋体" w:hAnsi="宋体"/>
          <w:color w:val="auto"/>
          <w:sz w:val="24"/>
          <w:highlight w:val="none"/>
        </w:rPr>
        <w:t>中标公告与中标通知书</w:t>
      </w:r>
      <w:bookmarkEnd w:id="559"/>
      <w:bookmarkEnd w:id="560"/>
    </w:p>
    <w:p w14:paraId="59FE1BE1">
      <w:pPr>
        <w:numPr>
          <w:ilvl w:val="1"/>
          <w:numId w:val="13"/>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采购人或采购代理机构自中标人确定之日起2个工作日内，</w:t>
      </w:r>
      <w:r>
        <w:rPr>
          <w:rFonts w:ascii="宋体" w:hAnsi="宋体"/>
          <w:color w:val="auto"/>
          <w:kern w:val="0"/>
          <w:sz w:val="24"/>
          <w:highlight w:val="none"/>
        </w:rPr>
        <w:t>在</w:t>
      </w:r>
      <w:r>
        <w:rPr>
          <w:rFonts w:hint="eastAsia" w:ascii="宋体" w:hAnsi="宋体"/>
          <w:color w:val="auto"/>
          <w:kern w:val="0"/>
          <w:sz w:val="24"/>
          <w:highlight w:val="none"/>
        </w:rPr>
        <w:t>北京市政府采购网</w:t>
      </w:r>
      <w:r>
        <w:rPr>
          <w:rFonts w:ascii="宋体" w:hAnsi="宋体"/>
          <w:color w:val="auto"/>
          <w:kern w:val="0"/>
          <w:sz w:val="24"/>
          <w:highlight w:val="none"/>
        </w:rPr>
        <w:t>公告中标结果</w:t>
      </w:r>
      <w:r>
        <w:rPr>
          <w:rFonts w:ascii="宋体" w:hAnsi="宋体"/>
          <w:color w:val="auto"/>
          <w:sz w:val="24"/>
          <w:highlight w:val="none"/>
        </w:rPr>
        <w:t>，</w:t>
      </w:r>
      <w:r>
        <w:rPr>
          <w:rFonts w:hint="eastAsia" w:ascii="宋体" w:hAnsi="宋体"/>
          <w:color w:val="auto"/>
          <w:sz w:val="24"/>
          <w:highlight w:val="none"/>
        </w:rPr>
        <w:t>同时向中标人发出中标通知书，</w:t>
      </w:r>
      <w:r>
        <w:rPr>
          <w:rFonts w:ascii="宋体" w:hAnsi="宋体"/>
          <w:color w:val="auto"/>
          <w:sz w:val="24"/>
          <w:highlight w:val="none"/>
        </w:rPr>
        <w:t>中标公告期限为1个工作日。</w:t>
      </w:r>
    </w:p>
    <w:p w14:paraId="718E8C63">
      <w:pPr>
        <w:numPr>
          <w:ilvl w:val="1"/>
          <w:numId w:val="13"/>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中标通知书对采购人和中标供应商均具有法律效力。中标通知书发出后，采购人改变中标结果的，或者中标供应商放弃中标项目的，应当依法承担法律责任。</w:t>
      </w:r>
    </w:p>
    <w:p w14:paraId="12523E6E">
      <w:pPr>
        <w:numPr>
          <w:ilvl w:val="0"/>
          <w:numId w:val="13"/>
        </w:numPr>
        <w:tabs>
          <w:tab w:val="left" w:pos="360"/>
        </w:tabs>
        <w:snapToGrid w:val="0"/>
        <w:spacing w:line="360" w:lineRule="auto"/>
        <w:ind w:left="357" w:hanging="357"/>
        <w:outlineLvl w:val="1"/>
        <w:rPr>
          <w:rFonts w:ascii="宋体" w:hAnsi="宋体"/>
          <w:color w:val="auto"/>
          <w:sz w:val="24"/>
          <w:highlight w:val="none"/>
        </w:rPr>
      </w:pPr>
      <w:r>
        <w:rPr>
          <w:rFonts w:ascii="宋体" w:hAnsi="宋体"/>
          <w:color w:val="auto"/>
          <w:sz w:val="24"/>
          <w:highlight w:val="none"/>
        </w:rPr>
        <w:t>废标</w:t>
      </w:r>
    </w:p>
    <w:p w14:paraId="0E0366E0">
      <w:pPr>
        <w:numPr>
          <w:ilvl w:val="1"/>
          <w:numId w:val="13"/>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在招标采购中，出现下列情形之一的，应予废标：</w:t>
      </w:r>
    </w:p>
    <w:p w14:paraId="34E75221">
      <w:pPr>
        <w:numPr>
          <w:ilvl w:val="2"/>
          <w:numId w:val="13"/>
        </w:numPr>
        <w:snapToGrid w:val="0"/>
        <w:spacing w:line="360" w:lineRule="auto"/>
        <w:rPr>
          <w:rFonts w:ascii="宋体" w:hAnsi="宋体"/>
          <w:color w:val="auto"/>
          <w:sz w:val="24"/>
          <w:highlight w:val="none"/>
        </w:rPr>
      </w:pPr>
      <w:r>
        <w:rPr>
          <w:rFonts w:ascii="宋体" w:hAnsi="宋体"/>
          <w:color w:val="auto"/>
          <w:sz w:val="24"/>
          <w:highlight w:val="none"/>
        </w:rPr>
        <w:t>符合专业条件的供应商或者对招标文件作实质响应的供应商不足三家的；</w:t>
      </w:r>
    </w:p>
    <w:p w14:paraId="4ED0A091">
      <w:pPr>
        <w:numPr>
          <w:ilvl w:val="2"/>
          <w:numId w:val="13"/>
        </w:numPr>
        <w:snapToGrid w:val="0"/>
        <w:spacing w:line="360" w:lineRule="auto"/>
        <w:rPr>
          <w:rFonts w:ascii="宋体" w:hAnsi="宋体"/>
          <w:color w:val="auto"/>
          <w:sz w:val="24"/>
          <w:highlight w:val="none"/>
        </w:rPr>
      </w:pPr>
      <w:r>
        <w:rPr>
          <w:rFonts w:ascii="宋体" w:hAnsi="宋体"/>
          <w:color w:val="auto"/>
          <w:sz w:val="24"/>
          <w:highlight w:val="none"/>
        </w:rPr>
        <w:t>出现影响采购公正的违法、违规行为的；</w:t>
      </w:r>
    </w:p>
    <w:p w14:paraId="6F2F2504">
      <w:pPr>
        <w:numPr>
          <w:ilvl w:val="2"/>
          <w:numId w:val="13"/>
        </w:numPr>
        <w:snapToGrid w:val="0"/>
        <w:spacing w:line="360" w:lineRule="auto"/>
        <w:rPr>
          <w:rFonts w:ascii="宋体" w:hAnsi="宋体"/>
          <w:color w:val="auto"/>
          <w:sz w:val="24"/>
          <w:highlight w:val="none"/>
        </w:rPr>
      </w:pPr>
      <w:r>
        <w:rPr>
          <w:rFonts w:ascii="宋体" w:hAnsi="宋体"/>
          <w:color w:val="auto"/>
          <w:sz w:val="24"/>
          <w:highlight w:val="none"/>
        </w:rPr>
        <w:t>投标人的报价均超过了采购预算，采购人不能支付的；</w:t>
      </w:r>
    </w:p>
    <w:p w14:paraId="20C415EE">
      <w:pPr>
        <w:numPr>
          <w:ilvl w:val="2"/>
          <w:numId w:val="13"/>
        </w:numPr>
        <w:snapToGrid w:val="0"/>
        <w:spacing w:line="360" w:lineRule="auto"/>
        <w:rPr>
          <w:rFonts w:ascii="宋体" w:hAnsi="宋体"/>
          <w:color w:val="auto"/>
          <w:sz w:val="24"/>
          <w:highlight w:val="none"/>
        </w:rPr>
      </w:pPr>
      <w:r>
        <w:rPr>
          <w:rFonts w:ascii="宋体" w:hAnsi="宋体"/>
          <w:color w:val="auto"/>
          <w:sz w:val="24"/>
          <w:highlight w:val="none"/>
        </w:rPr>
        <w:t>因重大变故，采购任务取消的。</w:t>
      </w:r>
    </w:p>
    <w:p w14:paraId="0BB2127C">
      <w:pPr>
        <w:numPr>
          <w:ilvl w:val="1"/>
          <w:numId w:val="13"/>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废标后，采购人将废标理由通知所有投标人。</w:t>
      </w:r>
    </w:p>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14:paraId="7A3916DE">
      <w:pPr>
        <w:numPr>
          <w:ilvl w:val="0"/>
          <w:numId w:val="13"/>
        </w:numPr>
        <w:tabs>
          <w:tab w:val="left" w:pos="360"/>
        </w:tabs>
        <w:snapToGrid w:val="0"/>
        <w:spacing w:line="360" w:lineRule="auto"/>
        <w:ind w:left="357" w:hanging="357"/>
        <w:outlineLvl w:val="1"/>
        <w:rPr>
          <w:rFonts w:ascii="宋体" w:hAnsi="宋体"/>
          <w:color w:val="auto"/>
          <w:sz w:val="24"/>
          <w:highlight w:val="none"/>
        </w:rPr>
      </w:pPr>
      <w:bookmarkStart w:id="591" w:name="_Toc151193864"/>
      <w:bookmarkStart w:id="592" w:name="_Toc151193720"/>
      <w:bookmarkStart w:id="593" w:name="_Toc265228388"/>
      <w:bookmarkStart w:id="594" w:name="_Toc142311052"/>
      <w:bookmarkStart w:id="595" w:name="_Toc226309794"/>
      <w:bookmarkStart w:id="596" w:name="_Toc150509301"/>
      <w:bookmarkStart w:id="597" w:name="_Toc149720843"/>
      <w:bookmarkStart w:id="598" w:name="_Toc520356175"/>
      <w:bookmarkStart w:id="599" w:name="_Ref467307062"/>
      <w:bookmarkStart w:id="600" w:name="_Ref467307204"/>
      <w:bookmarkStart w:id="601" w:name="_Toc150480788"/>
      <w:bookmarkStart w:id="602" w:name="_Toc151190177"/>
      <w:bookmarkStart w:id="603" w:name="_Toc151193938"/>
      <w:bookmarkStart w:id="604" w:name="_Toc226965740"/>
      <w:bookmarkStart w:id="605" w:name="_Ref467306377"/>
      <w:bookmarkStart w:id="606" w:name="_Toc127161464"/>
      <w:bookmarkStart w:id="607" w:name="_Toc150774755"/>
      <w:bookmarkStart w:id="608" w:name="_Toc226337246"/>
      <w:bookmarkStart w:id="609" w:name="_Toc164351644"/>
      <w:bookmarkStart w:id="610" w:name="_Toc151193648"/>
      <w:bookmarkStart w:id="611" w:name="_Toc150774650"/>
      <w:bookmarkStart w:id="612" w:name="_Toc164229245"/>
      <w:bookmarkStart w:id="613" w:name="_Toc305158818"/>
      <w:bookmarkStart w:id="614" w:name="_Toc164229391"/>
      <w:bookmarkStart w:id="615" w:name="_Toc151193792"/>
      <w:bookmarkStart w:id="616" w:name="_Toc127151550"/>
      <w:bookmarkStart w:id="617" w:name="_Toc164608664"/>
      <w:bookmarkStart w:id="618" w:name="_Toc164608819"/>
      <w:bookmarkStart w:id="619" w:name="_Ref467306978"/>
      <w:bookmarkStart w:id="620" w:name="_Toc264969240"/>
      <w:bookmarkStart w:id="621" w:name="_Toc195842915"/>
      <w:bookmarkStart w:id="622" w:name="_Toc305158892"/>
      <w:bookmarkStart w:id="623" w:name="_Toc226965823"/>
      <w:bookmarkStart w:id="624" w:name="_Toc127151751"/>
      <w:r>
        <w:rPr>
          <w:rFonts w:ascii="宋体" w:hAnsi="宋体"/>
          <w:color w:val="auto"/>
          <w:sz w:val="24"/>
          <w:highlight w:val="none"/>
        </w:rPr>
        <w:t>签订合同</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14:paraId="0A817C95">
      <w:pPr>
        <w:numPr>
          <w:ilvl w:val="1"/>
          <w:numId w:val="13"/>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3F517FA5">
      <w:pPr>
        <w:numPr>
          <w:ilvl w:val="1"/>
          <w:numId w:val="13"/>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中标人</w:t>
      </w:r>
      <w:r>
        <w:rPr>
          <w:rFonts w:hint="eastAsia" w:ascii="宋体" w:hAnsi="宋体"/>
          <w:color w:val="auto"/>
          <w:sz w:val="24"/>
          <w:highlight w:val="none"/>
        </w:rPr>
        <w:t>拒绝</w:t>
      </w:r>
      <w:r>
        <w:rPr>
          <w:rFonts w:ascii="宋体" w:hAnsi="宋体"/>
          <w:color w:val="auto"/>
          <w:sz w:val="24"/>
          <w:highlight w:val="none"/>
        </w:rPr>
        <w:t>与采购人签订合同的，采购人</w:t>
      </w:r>
      <w:r>
        <w:rPr>
          <w:rFonts w:hint="eastAsia" w:ascii="宋体" w:hAnsi="宋体"/>
          <w:color w:val="auto"/>
          <w:sz w:val="24"/>
          <w:highlight w:val="none"/>
        </w:rPr>
        <w:t>可以</w:t>
      </w:r>
      <w:r>
        <w:rPr>
          <w:rFonts w:ascii="宋体" w:hAnsi="宋体"/>
          <w:color w:val="auto"/>
          <w:sz w:val="24"/>
          <w:highlight w:val="none"/>
        </w:rPr>
        <w:t>按照评</w:t>
      </w:r>
      <w:r>
        <w:rPr>
          <w:rFonts w:hint="eastAsia" w:ascii="宋体" w:hAnsi="宋体"/>
          <w:color w:val="auto"/>
          <w:sz w:val="24"/>
          <w:highlight w:val="none"/>
        </w:rPr>
        <w:t>标</w:t>
      </w:r>
      <w:r>
        <w:rPr>
          <w:rFonts w:ascii="宋体" w:hAnsi="宋体"/>
          <w:color w:val="auto"/>
          <w:sz w:val="24"/>
          <w:highlight w:val="none"/>
        </w:rPr>
        <w:t>报告推荐的中标候选人名单排序，确定下一候选人为中标人，</w:t>
      </w:r>
      <w:r>
        <w:rPr>
          <w:rFonts w:hint="eastAsia" w:ascii="宋体" w:hAnsi="宋体"/>
          <w:color w:val="auto"/>
          <w:sz w:val="24"/>
          <w:highlight w:val="none"/>
        </w:rPr>
        <w:t>也可以</w:t>
      </w:r>
      <w:r>
        <w:rPr>
          <w:rFonts w:ascii="宋体" w:hAnsi="宋体"/>
          <w:color w:val="auto"/>
          <w:sz w:val="24"/>
          <w:highlight w:val="none"/>
        </w:rPr>
        <w:t>重新开展政府采购活动。</w:t>
      </w:r>
    </w:p>
    <w:p w14:paraId="700A0ADE">
      <w:pPr>
        <w:numPr>
          <w:ilvl w:val="1"/>
          <w:numId w:val="13"/>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联合体中标的，联合体各方应当共同与采购人签订合同，就中标项目向采购人承担连带责任。</w:t>
      </w:r>
    </w:p>
    <w:p w14:paraId="12CC4DAF">
      <w:pPr>
        <w:numPr>
          <w:ilvl w:val="1"/>
          <w:numId w:val="13"/>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政府采购合同不能转包。</w:t>
      </w:r>
    </w:p>
    <w:p w14:paraId="5BCF385C">
      <w:pPr>
        <w:numPr>
          <w:ilvl w:val="1"/>
          <w:numId w:val="13"/>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color w:val="auto"/>
          <w:sz w:val="24"/>
          <w:highlight w:val="none"/>
        </w:rPr>
        <w:t>，</w:t>
      </w:r>
      <w:r>
        <w:rPr>
          <w:rFonts w:ascii="宋体" w:hAnsi="宋体"/>
          <w:color w:val="auto"/>
          <w:sz w:val="24"/>
          <w:highlight w:val="none"/>
        </w:rPr>
        <w:t>否则</w:t>
      </w:r>
      <w:r>
        <w:rPr>
          <w:rFonts w:ascii="宋体" w:hAnsi="宋体"/>
          <w:b/>
          <w:color w:val="auto"/>
          <w:sz w:val="24"/>
          <w:highlight w:val="none"/>
        </w:rPr>
        <w:t>投标无效</w:t>
      </w:r>
      <w:r>
        <w:rPr>
          <w:rFonts w:ascii="宋体" w:hAnsi="宋体"/>
          <w:color w:val="auto"/>
          <w:sz w:val="24"/>
          <w:highlight w:val="none"/>
        </w:rPr>
        <w:t>。中标人就采购项目和分包项目向采购人负责，分包供应商就分包项目承担责任。</w:t>
      </w:r>
    </w:p>
    <w:p w14:paraId="47F6C7E3">
      <w:pPr>
        <w:numPr>
          <w:ilvl w:val="1"/>
          <w:numId w:val="13"/>
        </w:numPr>
        <w:tabs>
          <w:tab w:val="left" w:pos="1080"/>
          <w:tab w:val="left" w:pos="2014"/>
        </w:tabs>
        <w:snapToGrid w:val="0"/>
        <w:spacing w:line="360" w:lineRule="auto"/>
        <w:ind w:left="1077" w:hanging="720"/>
        <w:rPr>
          <w:rFonts w:ascii="宋体" w:hAnsi="宋体"/>
          <w:color w:val="auto"/>
          <w:sz w:val="24"/>
          <w:highlight w:val="none"/>
        </w:rPr>
      </w:pPr>
      <w:r>
        <w:rPr>
          <w:rFonts w:hint="eastAsia"/>
          <w:color w:val="auto"/>
          <w:sz w:val="24"/>
          <w:highlight w:val="none"/>
        </w:rPr>
        <w:t>“政采贷”融资指引：详见《投标人须知资料表》。</w:t>
      </w:r>
    </w:p>
    <w:bookmarkEnd w:id="588"/>
    <w:bookmarkEnd w:id="589"/>
    <w:bookmarkEnd w:id="590"/>
    <w:p w14:paraId="3554C0EA">
      <w:pPr>
        <w:numPr>
          <w:ilvl w:val="0"/>
          <w:numId w:val="13"/>
        </w:numPr>
        <w:tabs>
          <w:tab w:val="left" w:pos="360"/>
        </w:tabs>
        <w:snapToGrid w:val="0"/>
        <w:spacing w:line="360" w:lineRule="auto"/>
        <w:ind w:left="357" w:hanging="357"/>
        <w:outlineLvl w:val="1"/>
        <w:rPr>
          <w:rFonts w:ascii="宋体" w:hAnsi="宋体"/>
          <w:color w:val="auto"/>
          <w:sz w:val="24"/>
          <w:highlight w:val="none"/>
        </w:rPr>
      </w:pPr>
      <w:r>
        <w:rPr>
          <w:rFonts w:ascii="宋体" w:hAnsi="宋体"/>
          <w:color w:val="auto"/>
          <w:sz w:val="24"/>
          <w:highlight w:val="none"/>
        </w:rPr>
        <w:t>询问与质疑</w:t>
      </w:r>
    </w:p>
    <w:p w14:paraId="4D6B2A41">
      <w:pPr>
        <w:numPr>
          <w:ilvl w:val="1"/>
          <w:numId w:val="13"/>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询问</w:t>
      </w:r>
    </w:p>
    <w:p w14:paraId="7BC907B5">
      <w:pPr>
        <w:numPr>
          <w:ilvl w:val="2"/>
          <w:numId w:val="13"/>
        </w:numPr>
        <w:snapToGrid w:val="0"/>
        <w:spacing w:line="360" w:lineRule="auto"/>
        <w:rPr>
          <w:rFonts w:ascii="宋体" w:hAnsi="宋体"/>
          <w:color w:val="auto"/>
          <w:sz w:val="24"/>
          <w:highlight w:val="none"/>
        </w:rPr>
      </w:pPr>
      <w:r>
        <w:rPr>
          <w:rFonts w:ascii="宋体" w:hAnsi="宋体"/>
          <w:color w:val="auto"/>
          <w:sz w:val="24"/>
          <w:highlight w:val="none"/>
        </w:rPr>
        <w:t>投标人对政府采购活动事项有疑问的，可依法提出询问，并按《投标人须知资料表》载明的形式送达采购人或采购代理机构。</w:t>
      </w:r>
    </w:p>
    <w:p w14:paraId="299AD54A">
      <w:pPr>
        <w:numPr>
          <w:ilvl w:val="2"/>
          <w:numId w:val="13"/>
        </w:numPr>
        <w:snapToGrid w:val="0"/>
        <w:spacing w:line="360" w:lineRule="auto"/>
        <w:rPr>
          <w:rFonts w:ascii="宋体" w:hAnsi="宋体"/>
          <w:color w:val="auto"/>
          <w:sz w:val="24"/>
          <w:highlight w:val="none"/>
        </w:rPr>
      </w:pPr>
      <w:r>
        <w:rPr>
          <w:rFonts w:ascii="宋体" w:hAnsi="宋体"/>
          <w:color w:val="auto"/>
          <w:sz w:val="24"/>
          <w:highlight w:val="none"/>
        </w:rPr>
        <w:t>采购人或采购代理机构对供应商依法提出的询问，在3个工作日内作出答复，但答复的内容不得涉及商业秘密。</w:t>
      </w:r>
    </w:p>
    <w:p w14:paraId="6ADA038B">
      <w:pPr>
        <w:numPr>
          <w:ilvl w:val="1"/>
          <w:numId w:val="13"/>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质疑</w:t>
      </w:r>
    </w:p>
    <w:p w14:paraId="4DC7A21D">
      <w:pPr>
        <w:numPr>
          <w:ilvl w:val="2"/>
          <w:numId w:val="13"/>
        </w:numPr>
        <w:snapToGrid w:val="0"/>
        <w:spacing w:line="360" w:lineRule="auto"/>
        <w:rPr>
          <w:rFonts w:ascii="宋体" w:hAnsi="宋体"/>
          <w:color w:val="auto"/>
          <w:sz w:val="24"/>
          <w:highlight w:val="none"/>
        </w:rPr>
      </w:pPr>
      <w:r>
        <w:rPr>
          <w:rFonts w:ascii="宋体" w:hAnsi="宋体"/>
          <w:color w:val="auto"/>
          <w:sz w:val="24"/>
          <w:highlight w:val="none"/>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0747453D">
      <w:pPr>
        <w:numPr>
          <w:ilvl w:val="2"/>
          <w:numId w:val="13"/>
        </w:numPr>
        <w:snapToGrid w:val="0"/>
        <w:spacing w:line="360" w:lineRule="auto"/>
        <w:rPr>
          <w:rFonts w:ascii="宋体" w:hAnsi="宋体"/>
          <w:color w:val="auto"/>
          <w:sz w:val="24"/>
          <w:highlight w:val="none"/>
        </w:rPr>
      </w:pPr>
      <w:r>
        <w:rPr>
          <w:rFonts w:ascii="宋体" w:hAnsi="宋体"/>
          <w:color w:val="auto"/>
          <w:sz w:val="24"/>
          <w:highlight w:val="none"/>
        </w:rPr>
        <w:t>质疑函须使用财政部制定的范本文件。</w:t>
      </w:r>
    </w:p>
    <w:p w14:paraId="0EF624B3">
      <w:pPr>
        <w:numPr>
          <w:ilvl w:val="2"/>
          <w:numId w:val="13"/>
        </w:numPr>
        <w:snapToGrid w:val="0"/>
        <w:spacing w:line="360" w:lineRule="auto"/>
        <w:rPr>
          <w:rFonts w:ascii="宋体" w:hAnsi="宋体"/>
          <w:color w:val="auto"/>
          <w:sz w:val="24"/>
          <w:highlight w:val="none"/>
        </w:rPr>
      </w:pPr>
      <w:r>
        <w:rPr>
          <w:rFonts w:ascii="宋体" w:hAnsi="宋体"/>
          <w:color w:val="auto"/>
          <w:sz w:val="24"/>
          <w:highlight w:val="none"/>
        </w:rPr>
        <w:t>投标人为自然人的，应当由本人签字；投标人为法人或者其他组织的，应当由法定代表人、主要负责人，或者其授权代表签字或者盖章，并加盖公章。</w:t>
      </w:r>
    </w:p>
    <w:p w14:paraId="58DE1908">
      <w:pPr>
        <w:numPr>
          <w:ilvl w:val="2"/>
          <w:numId w:val="13"/>
        </w:numPr>
        <w:snapToGrid w:val="0"/>
        <w:spacing w:line="360" w:lineRule="auto"/>
        <w:rPr>
          <w:rFonts w:ascii="宋体" w:hAnsi="宋体"/>
          <w:color w:val="auto"/>
          <w:sz w:val="24"/>
          <w:highlight w:val="none"/>
        </w:rPr>
      </w:pPr>
      <w:r>
        <w:rPr>
          <w:rFonts w:ascii="宋体" w:hAnsi="宋体"/>
          <w:color w:val="auto"/>
          <w:sz w:val="24"/>
          <w:highlight w:val="none"/>
        </w:rPr>
        <w:t>投标人应在法定质疑期内一次性提出针对同一采购程序环节的质疑，法定质疑期内针对同一采购程序环节再次提出的质疑，采购人、采购代理机构有权不予答复。</w:t>
      </w:r>
    </w:p>
    <w:p w14:paraId="471BF66C">
      <w:pPr>
        <w:numPr>
          <w:ilvl w:val="1"/>
          <w:numId w:val="13"/>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接收询问和质疑的联系部门、联系电话和通讯地址见《投标人须知资料表》</w:t>
      </w:r>
      <w:r>
        <w:rPr>
          <w:rFonts w:hint="eastAsia" w:ascii="宋体" w:hAnsi="宋体"/>
          <w:color w:val="auto"/>
          <w:sz w:val="24"/>
          <w:highlight w:val="none"/>
        </w:rPr>
        <w:t>。</w:t>
      </w:r>
    </w:p>
    <w:p w14:paraId="7D7631B8">
      <w:pPr>
        <w:numPr>
          <w:ilvl w:val="0"/>
          <w:numId w:val="13"/>
        </w:numPr>
        <w:tabs>
          <w:tab w:val="left" w:pos="360"/>
        </w:tabs>
        <w:snapToGrid w:val="0"/>
        <w:spacing w:line="360" w:lineRule="auto"/>
        <w:ind w:left="357" w:hanging="357"/>
        <w:outlineLvl w:val="1"/>
        <w:rPr>
          <w:rFonts w:ascii="宋体" w:hAnsi="宋体"/>
          <w:color w:val="auto"/>
          <w:sz w:val="24"/>
          <w:highlight w:val="none"/>
        </w:rPr>
      </w:pPr>
      <w:r>
        <w:rPr>
          <w:rFonts w:ascii="宋体" w:hAnsi="宋体"/>
          <w:color w:val="auto"/>
          <w:sz w:val="24"/>
          <w:highlight w:val="none"/>
        </w:rPr>
        <w:t>代理费</w:t>
      </w:r>
    </w:p>
    <w:p w14:paraId="585521C7">
      <w:pPr>
        <w:numPr>
          <w:ilvl w:val="1"/>
          <w:numId w:val="13"/>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收费对象、收费标准及缴纳时间见《投标人须知资料表》。由中标人支付的，中标人须一次性向采购代理机构缴纳代理费，投标报价应包含代理费用。</w:t>
      </w:r>
    </w:p>
    <w:p w14:paraId="4CE93F7A">
      <w:pPr>
        <w:tabs>
          <w:tab w:val="left" w:pos="900"/>
          <w:tab w:val="left" w:pos="1080"/>
          <w:tab w:val="left" w:pos="1589"/>
        </w:tabs>
        <w:snapToGrid w:val="0"/>
        <w:spacing w:line="360" w:lineRule="auto"/>
        <w:rPr>
          <w:rFonts w:ascii="宋体" w:hAnsi="宋体"/>
          <w:color w:val="auto"/>
          <w:sz w:val="24"/>
          <w:highlight w:val="none"/>
        </w:rPr>
      </w:pPr>
    </w:p>
    <w:p w14:paraId="1415D909">
      <w:pPr>
        <w:spacing w:line="360" w:lineRule="auto"/>
        <w:jc w:val="center"/>
        <w:outlineLvl w:val="0"/>
        <w:rPr>
          <w:rFonts w:ascii="宋体" w:hAnsi="宋体"/>
          <w:b/>
          <w:color w:val="auto"/>
          <w:sz w:val="24"/>
          <w:highlight w:val="none"/>
        </w:rPr>
      </w:pPr>
      <w:bookmarkStart w:id="625" w:name="_Toc305158896"/>
      <w:bookmarkStart w:id="626" w:name="_Toc265228392"/>
      <w:bookmarkStart w:id="627" w:name="_Toc226337250"/>
      <w:bookmarkStart w:id="628" w:name="_Toc150774759"/>
      <w:bookmarkStart w:id="629" w:name="_Toc353825544"/>
      <w:bookmarkStart w:id="630" w:name="_Toc353873664"/>
      <w:bookmarkStart w:id="631" w:name="_Toc150480792"/>
      <w:bookmarkStart w:id="632" w:name="_Toc226965827"/>
      <w:bookmarkStart w:id="633" w:name="_Toc127151554"/>
      <w:bookmarkStart w:id="634" w:name="_Toc353873934"/>
      <w:bookmarkStart w:id="635" w:name="_Toc142311056"/>
      <w:bookmarkStart w:id="636" w:name="_Toc305158822"/>
      <w:bookmarkStart w:id="637" w:name="_Toc264969244"/>
      <w:r>
        <w:rPr>
          <w:rFonts w:ascii="宋体" w:hAnsi="宋体"/>
          <w:color w:val="auto"/>
          <w:sz w:val="24"/>
          <w:highlight w:val="none"/>
        </w:rPr>
        <w:br w:type="page"/>
      </w:r>
      <w:bookmarkStart w:id="638" w:name="_Toc99301421"/>
      <w:bookmarkStart w:id="639" w:name="_Toc20421"/>
      <w:bookmarkStart w:id="640" w:name="_Toc11413"/>
      <w:r>
        <w:rPr>
          <w:rFonts w:ascii="宋体" w:hAnsi="宋体"/>
          <w:b/>
          <w:color w:val="auto"/>
          <w:sz w:val="24"/>
          <w:highlight w:val="none"/>
        </w:rPr>
        <w:t xml:space="preserve">第三章   </w:t>
      </w:r>
      <w:bookmarkEnd w:id="625"/>
      <w:bookmarkEnd w:id="626"/>
      <w:bookmarkEnd w:id="627"/>
      <w:bookmarkEnd w:id="628"/>
      <w:bookmarkEnd w:id="629"/>
      <w:bookmarkEnd w:id="630"/>
      <w:bookmarkEnd w:id="631"/>
      <w:bookmarkEnd w:id="632"/>
      <w:bookmarkEnd w:id="633"/>
      <w:bookmarkEnd w:id="634"/>
      <w:bookmarkEnd w:id="635"/>
      <w:bookmarkEnd w:id="636"/>
      <w:bookmarkEnd w:id="637"/>
      <w:r>
        <w:rPr>
          <w:rFonts w:ascii="宋体" w:hAnsi="宋体"/>
          <w:b/>
          <w:color w:val="auto"/>
          <w:sz w:val="24"/>
          <w:highlight w:val="none"/>
        </w:rPr>
        <w:t>资格审查</w:t>
      </w:r>
      <w:bookmarkEnd w:id="638"/>
      <w:bookmarkEnd w:id="639"/>
      <w:bookmarkEnd w:id="640"/>
      <w:bookmarkStart w:id="641" w:name="_Toc487900382"/>
    </w:p>
    <w:p w14:paraId="43724CAB">
      <w:pPr>
        <w:tabs>
          <w:tab w:val="left" w:pos="360"/>
          <w:tab w:val="left" w:pos="900"/>
        </w:tabs>
        <w:snapToGrid w:val="0"/>
        <w:spacing w:line="360" w:lineRule="auto"/>
        <w:jc w:val="center"/>
        <w:outlineLvl w:val="1"/>
        <w:rPr>
          <w:rFonts w:ascii="宋体" w:hAnsi="宋体"/>
          <w:b/>
          <w:color w:val="auto"/>
          <w:sz w:val="24"/>
          <w:highlight w:val="none"/>
        </w:rPr>
      </w:pPr>
      <w:bookmarkStart w:id="642" w:name="_Toc99301422"/>
      <w:r>
        <w:rPr>
          <w:rFonts w:ascii="宋体" w:hAnsi="宋体"/>
          <w:b/>
          <w:color w:val="auto"/>
          <w:sz w:val="24"/>
          <w:highlight w:val="none"/>
        </w:rPr>
        <w:t>一、资格审查程序</w:t>
      </w:r>
      <w:bookmarkEnd w:id="642"/>
    </w:p>
    <w:p w14:paraId="63F2DD03">
      <w:pPr>
        <w:numPr>
          <w:ilvl w:val="0"/>
          <w:numId w:val="15"/>
        </w:numPr>
        <w:tabs>
          <w:tab w:val="left" w:pos="426"/>
          <w:tab w:val="left" w:pos="851"/>
          <w:tab w:val="clear" w:pos="900"/>
        </w:tabs>
        <w:snapToGrid w:val="0"/>
        <w:spacing w:line="360" w:lineRule="auto"/>
        <w:ind w:left="426" w:hanging="426"/>
        <w:outlineLvl w:val="1"/>
        <w:rPr>
          <w:rFonts w:ascii="宋体" w:hAnsi="宋体"/>
          <w:color w:val="auto"/>
          <w:sz w:val="24"/>
          <w:highlight w:val="none"/>
        </w:rPr>
      </w:pPr>
      <w:r>
        <w:rPr>
          <w:rFonts w:ascii="宋体" w:hAnsi="宋体"/>
          <w:color w:val="auto"/>
          <w:sz w:val="24"/>
          <w:highlight w:val="none"/>
        </w:rPr>
        <w:t>开标结束后，采购人或采购代理机构将根据《资格审查要求》中的规定，对投标人进行资格审查，并形成资格审查结果。</w:t>
      </w:r>
    </w:p>
    <w:p w14:paraId="1507A5D7">
      <w:pPr>
        <w:numPr>
          <w:ilvl w:val="0"/>
          <w:numId w:val="15"/>
        </w:numPr>
        <w:tabs>
          <w:tab w:val="left" w:pos="426"/>
          <w:tab w:val="left" w:pos="851"/>
          <w:tab w:val="clear" w:pos="900"/>
        </w:tabs>
        <w:snapToGrid w:val="0"/>
        <w:spacing w:line="360" w:lineRule="auto"/>
        <w:ind w:left="426" w:hanging="426"/>
        <w:outlineLvl w:val="1"/>
        <w:rPr>
          <w:rFonts w:ascii="宋体" w:hAnsi="宋体"/>
          <w:color w:val="auto"/>
          <w:sz w:val="24"/>
          <w:highlight w:val="none"/>
        </w:rPr>
      </w:pPr>
      <w:r>
        <w:rPr>
          <w:rFonts w:ascii="宋体" w:hAnsi="宋体"/>
          <w:color w:val="auto"/>
          <w:sz w:val="24"/>
          <w:highlight w:val="none"/>
        </w:rPr>
        <w:t>《资格审查要求》中对格式有要求的，除招标文件另有规定外，均为“实质性格式”文件。</w:t>
      </w:r>
    </w:p>
    <w:p w14:paraId="5768A6ED">
      <w:pPr>
        <w:numPr>
          <w:ilvl w:val="0"/>
          <w:numId w:val="15"/>
        </w:numPr>
        <w:tabs>
          <w:tab w:val="left" w:pos="426"/>
          <w:tab w:val="left" w:pos="851"/>
          <w:tab w:val="clear" w:pos="900"/>
        </w:tabs>
        <w:snapToGrid w:val="0"/>
        <w:spacing w:line="360" w:lineRule="auto"/>
        <w:ind w:left="426" w:hanging="426"/>
        <w:outlineLvl w:val="1"/>
        <w:rPr>
          <w:rFonts w:ascii="宋体" w:hAnsi="宋体"/>
          <w:color w:val="auto"/>
          <w:sz w:val="24"/>
          <w:highlight w:val="none"/>
        </w:rPr>
      </w:pPr>
      <w:r>
        <w:rPr>
          <w:rFonts w:ascii="宋体" w:hAnsi="宋体"/>
          <w:color w:val="auto"/>
          <w:sz w:val="24"/>
          <w:highlight w:val="none"/>
        </w:rPr>
        <w:t>投标人《资格证明文件》有任何一项不符合《资格审查要求》的，资格审查不合格，其</w:t>
      </w:r>
      <w:r>
        <w:rPr>
          <w:rFonts w:ascii="宋体" w:hAnsi="宋体"/>
          <w:b/>
          <w:color w:val="auto"/>
          <w:sz w:val="24"/>
          <w:highlight w:val="none"/>
        </w:rPr>
        <w:t>投标无效</w:t>
      </w:r>
      <w:r>
        <w:rPr>
          <w:rFonts w:ascii="宋体" w:hAnsi="宋体"/>
          <w:color w:val="auto"/>
          <w:sz w:val="24"/>
          <w:highlight w:val="none"/>
        </w:rPr>
        <w:t>。</w:t>
      </w:r>
    </w:p>
    <w:p w14:paraId="490B7CF0">
      <w:pPr>
        <w:numPr>
          <w:ilvl w:val="0"/>
          <w:numId w:val="15"/>
        </w:numPr>
        <w:tabs>
          <w:tab w:val="left" w:pos="426"/>
          <w:tab w:val="left" w:pos="851"/>
          <w:tab w:val="clear" w:pos="900"/>
        </w:tabs>
        <w:snapToGrid w:val="0"/>
        <w:spacing w:line="360" w:lineRule="auto"/>
        <w:ind w:left="426" w:hanging="426"/>
        <w:outlineLvl w:val="1"/>
        <w:rPr>
          <w:rFonts w:ascii="宋体" w:hAnsi="宋体"/>
          <w:color w:val="auto"/>
          <w:sz w:val="24"/>
          <w:highlight w:val="none"/>
        </w:rPr>
      </w:pPr>
      <w:r>
        <w:rPr>
          <w:rFonts w:ascii="宋体" w:hAnsi="宋体"/>
          <w:color w:val="auto"/>
          <w:sz w:val="24"/>
          <w:highlight w:val="none"/>
        </w:rPr>
        <w:t>资格审查合格的投标人不足3家的，不进行评标。</w:t>
      </w:r>
    </w:p>
    <w:p w14:paraId="38B71482">
      <w:pPr>
        <w:widowControl/>
        <w:jc w:val="left"/>
        <w:rPr>
          <w:rFonts w:ascii="宋体" w:hAnsi="宋体"/>
          <w:color w:val="auto"/>
          <w:sz w:val="24"/>
          <w:highlight w:val="none"/>
        </w:rPr>
      </w:pPr>
    </w:p>
    <w:p w14:paraId="52F2307B">
      <w:pPr>
        <w:tabs>
          <w:tab w:val="left" w:pos="360"/>
          <w:tab w:val="left" w:pos="900"/>
        </w:tabs>
        <w:snapToGrid w:val="0"/>
        <w:spacing w:line="360" w:lineRule="auto"/>
        <w:jc w:val="center"/>
        <w:outlineLvl w:val="1"/>
        <w:rPr>
          <w:rFonts w:ascii="宋体" w:hAnsi="宋体"/>
          <w:b/>
          <w:color w:val="auto"/>
          <w:sz w:val="24"/>
          <w:highlight w:val="none"/>
        </w:rPr>
      </w:pPr>
      <w:r>
        <w:rPr>
          <w:rFonts w:ascii="宋体" w:hAnsi="宋体"/>
          <w:b/>
          <w:color w:val="auto"/>
          <w:sz w:val="24"/>
          <w:highlight w:val="none"/>
        </w:rPr>
        <w:t>二、资格审查要求</w:t>
      </w:r>
    </w:p>
    <w:tbl>
      <w:tblPr>
        <w:tblStyle w:val="4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1"/>
        <w:gridCol w:w="2126"/>
        <w:gridCol w:w="4822"/>
        <w:gridCol w:w="1639"/>
      </w:tblGrid>
      <w:tr w14:paraId="7D7A7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7" w:type="pct"/>
            <w:vAlign w:val="center"/>
          </w:tcPr>
          <w:p w14:paraId="6209A4EC">
            <w:pPr>
              <w:tabs>
                <w:tab w:val="left" w:pos="1080"/>
              </w:tabs>
              <w:snapToGrid w:val="0"/>
              <w:jc w:val="center"/>
              <w:rPr>
                <w:rFonts w:ascii="宋体" w:hAnsi="宋体"/>
                <w:b/>
                <w:color w:val="auto"/>
                <w:sz w:val="24"/>
                <w:highlight w:val="none"/>
              </w:rPr>
            </w:pPr>
            <w:bookmarkStart w:id="643" w:name="_Hlt487972895"/>
            <w:bookmarkEnd w:id="643"/>
            <w:r>
              <w:rPr>
                <w:rFonts w:ascii="宋体" w:hAnsi="宋体"/>
                <w:b/>
                <w:color w:val="auto"/>
                <w:sz w:val="24"/>
                <w:highlight w:val="none"/>
              </w:rPr>
              <w:t>序号</w:t>
            </w:r>
          </w:p>
        </w:tc>
        <w:tc>
          <w:tcPr>
            <w:tcW w:w="1144" w:type="pct"/>
            <w:vAlign w:val="center"/>
          </w:tcPr>
          <w:p w14:paraId="441FF79A">
            <w:pPr>
              <w:tabs>
                <w:tab w:val="left" w:pos="1080"/>
              </w:tabs>
              <w:snapToGrid w:val="0"/>
              <w:jc w:val="center"/>
              <w:rPr>
                <w:rFonts w:ascii="宋体" w:hAnsi="宋体"/>
                <w:b/>
                <w:color w:val="auto"/>
                <w:sz w:val="24"/>
                <w:highlight w:val="none"/>
              </w:rPr>
            </w:pPr>
            <w:r>
              <w:rPr>
                <w:rFonts w:ascii="宋体" w:hAnsi="宋体"/>
                <w:b/>
                <w:color w:val="auto"/>
                <w:sz w:val="24"/>
                <w:highlight w:val="none"/>
              </w:rPr>
              <w:t>审查因素</w:t>
            </w:r>
          </w:p>
        </w:tc>
        <w:tc>
          <w:tcPr>
            <w:tcW w:w="2595" w:type="pct"/>
            <w:vAlign w:val="center"/>
          </w:tcPr>
          <w:p w14:paraId="74FC4D97">
            <w:pPr>
              <w:tabs>
                <w:tab w:val="left" w:pos="1080"/>
              </w:tabs>
              <w:snapToGrid w:val="0"/>
              <w:jc w:val="center"/>
              <w:rPr>
                <w:rFonts w:ascii="宋体" w:hAnsi="宋体"/>
                <w:b/>
                <w:color w:val="auto"/>
                <w:sz w:val="24"/>
                <w:highlight w:val="none"/>
              </w:rPr>
            </w:pPr>
            <w:r>
              <w:rPr>
                <w:rFonts w:ascii="宋体" w:hAnsi="宋体"/>
                <w:b/>
                <w:color w:val="auto"/>
                <w:sz w:val="24"/>
                <w:highlight w:val="none"/>
              </w:rPr>
              <w:t>审查内容</w:t>
            </w:r>
          </w:p>
        </w:tc>
        <w:tc>
          <w:tcPr>
            <w:tcW w:w="882" w:type="pct"/>
            <w:vAlign w:val="center"/>
          </w:tcPr>
          <w:p w14:paraId="75B12CD1">
            <w:pPr>
              <w:tabs>
                <w:tab w:val="left" w:pos="1080"/>
              </w:tabs>
              <w:snapToGrid w:val="0"/>
              <w:jc w:val="center"/>
              <w:rPr>
                <w:rFonts w:ascii="宋体" w:hAnsi="宋体"/>
                <w:b/>
                <w:color w:val="auto"/>
                <w:sz w:val="24"/>
                <w:highlight w:val="none"/>
              </w:rPr>
            </w:pPr>
            <w:r>
              <w:rPr>
                <w:rFonts w:ascii="宋体" w:hAnsi="宋体"/>
                <w:b/>
                <w:color w:val="auto"/>
                <w:sz w:val="24"/>
                <w:highlight w:val="none"/>
              </w:rPr>
              <w:t>格式要求</w:t>
            </w:r>
          </w:p>
        </w:tc>
      </w:tr>
      <w:tr w14:paraId="525F6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7" w:type="pct"/>
            <w:vAlign w:val="center"/>
          </w:tcPr>
          <w:p w14:paraId="0D70AB51">
            <w:pPr>
              <w:tabs>
                <w:tab w:val="left" w:pos="1080"/>
              </w:tabs>
              <w:snapToGrid w:val="0"/>
              <w:jc w:val="center"/>
              <w:rPr>
                <w:rFonts w:ascii="宋体" w:hAnsi="宋体"/>
                <w:color w:val="auto"/>
                <w:sz w:val="24"/>
                <w:highlight w:val="none"/>
              </w:rPr>
            </w:pPr>
            <w:r>
              <w:rPr>
                <w:rFonts w:ascii="宋体" w:hAnsi="宋体"/>
                <w:color w:val="auto"/>
                <w:sz w:val="24"/>
                <w:highlight w:val="none"/>
              </w:rPr>
              <w:t>1</w:t>
            </w:r>
          </w:p>
        </w:tc>
        <w:tc>
          <w:tcPr>
            <w:tcW w:w="1144" w:type="pct"/>
            <w:vAlign w:val="center"/>
          </w:tcPr>
          <w:p w14:paraId="7E5404DB">
            <w:pPr>
              <w:tabs>
                <w:tab w:val="left" w:pos="1080"/>
              </w:tabs>
              <w:snapToGrid w:val="0"/>
              <w:rPr>
                <w:rFonts w:ascii="宋体" w:hAnsi="宋体"/>
                <w:color w:val="auto"/>
                <w:sz w:val="24"/>
                <w:highlight w:val="none"/>
              </w:rPr>
            </w:pPr>
            <w:r>
              <w:rPr>
                <w:rFonts w:ascii="宋体" w:hAnsi="宋体"/>
                <w:color w:val="auto"/>
                <w:sz w:val="24"/>
                <w:highlight w:val="none"/>
              </w:rPr>
              <w:t>满足《中华人民共和国政府采购法》第二十二条规定及法律法规的其他规定</w:t>
            </w:r>
          </w:p>
        </w:tc>
        <w:tc>
          <w:tcPr>
            <w:tcW w:w="2595" w:type="pct"/>
            <w:vAlign w:val="center"/>
          </w:tcPr>
          <w:p w14:paraId="2DCAB0EA">
            <w:pPr>
              <w:tabs>
                <w:tab w:val="left" w:pos="1080"/>
              </w:tabs>
              <w:snapToGrid w:val="0"/>
              <w:rPr>
                <w:rFonts w:ascii="宋体" w:hAnsi="宋体"/>
                <w:color w:val="auto"/>
                <w:sz w:val="24"/>
                <w:highlight w:val="none"/>
              </w:rPr>
            </w:pPr>
            <w:r>
              <w:rPr>
                <w:rFonts w:ascii="宋体" w:hAnsi="宋体"/>
                <w:color w:val="auto"/>
                <w:sz w:val="24"/>
                <w:highlight w:val="none"/>
              </w:rPr>
              <w:t>具体规定见第一章《投标邀请》</w:t>
            </w:r>
          </w:p>
        </w:tc>
        <w:tc>
          <w:tcPr>
            <w:tcW w:w="882" w:type="pct"/>
            <w:vAlign w:val="center"/>
          </w:tcPr>
          <w:p w14:paraId="373A2AC2">
            <w:pPr>
              <w:tabs>
                <w:tab w:val="left" w:pos="1080"/>
              </w:tabs>
              <w:snapToGrid w:val="0"/>
              <w:rPr>
                <w:rFonts w:ascii="宋体" w:hAnsi="宋体"/>
                <w:color w:val="auto"/>
                <w:sz w:val="24"/>
                <w:highlight w:val="none"/>
              </w:rPr>
            </w:pPr>
          </w:p>
        </w:tc>
      </w:tr>
      <w:tr w14:paraId="1C2F7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7" w:type="pct"/>
            <w:vAlign w:val="center"/>
          </w:tcPr>
          <w:p w14:paraId="0547283A">
            <w:pPr>
              <w:tabs>
                <w:tab w:val="left" w:pos="1080"/>
              </w:tabs>
              <w:snapToGrid w:val="0"/>
              <w:jc w:val="center"/>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lang w:val="en-US" w:eastAsia="zh-CN"/>
              </w:rPr>
              <w:t>.</w:t>
            </w:r>
            <w:r>
              <w:rPr>
                <w:rFonts w:ascii="宋体" w:hAnsi="宋体"/>
                <w:color w:val="auto"/>
                <w:sz w:val="24"/>
                <w:highlight w:val="none"/>
              </w:rPr>
              <w:t>1</w:t>
            </w:r>
          </w:p>
        </w:tc>
        <w:tc>
          <w:tcPr>
            <w:tcW w:w="1144" w:type="pct"/>
            <w:vAlign w:val="center"/>
          </w:tcPr>
          <w:p w14:paraId="454D61CE">
            <w:pPr>
              <w:tabs>
                <w:tab w:val="left" w:pos="1080"/>
              </w:tabs>
              <w:snapToGrid w:val="0"/>
              <w:rPr>
                <w:rFonts w:ascii="宋体" w:hAnsi="宋体"/>
                <w:color w:val="auto"/>
                <w:sz w:val="24"/>
                <w:highlight w:val="none"/>
              </w:rPr>
            </w:pPr>
            <w:r>
              <w:rPr>
                <w:rFonts w:ascii="宋体" w:hAnsi="宋体"/>
                <w:color w:val="auto"/>
                <w:sz w:val="24"/>
                <w:highlight w:val="none"/>
              </w:rPr>
              <w:t>营业执照等证明文件</w:t>
            </w:r>
          </w:p>
        </w:tc>
        <w:tc>
          <w:tcPr>
            <w:tcW w:w="2595" w:type="pct"/>
            <w:vAlign w:val="center"/>
          </w:tcPr>
          <w:p w14:paraId="1D92A307">
            <w:pPr>
              <w:tabs>
                <w:tab w:val="left" w:pos="1080"/>
              </w:tabs>
              <w:snapToGrid w:val="0"/>
              <w:rPr>
                <w:rFonts w:ascii="宋体" w:hAnsi="宋体"/>
                <w:color w:val="auto"/>
                <w:sz w:val="24"/>
                <w:highlight w:val="none"/>
              </w:rPr>
            </w:pPr>
            <w:r>
              <w:rPr>
                <w:rFonts w:ascii="宋体" w:hAnsi="宋体"/>
                <w:color w:val="auto"/>
                <w:sz w:val="24"/>
                <w:highlight w:val="none"/>
              </w:rPr>
              <w:t>投标人为企业（包括合伙企业）的，应提供有效的“营业执照”；</w:t>
            </w:r>
          </w:p>
          <w:p w14:paraId="33DD4C1B">
            <w:pPr>
              <w:tabs>
                <w:tab w:val="left" w:pos="1080"/>
              </w:tabs>
              <w:snapToGrid w:val="0"/>
              <w:rPr>
                <w:rFonts w:ascii="宋体" w:hAnsi="宋体"/>
                <w:color w:val="auto"/>
                <w:sz w:val="24"/>
                <w:highlight w:val="none"/>
              </w:rPr>
            </w:pPr>
            <w:r>
              <w:rPr>
                <w:rFonts w:ascii="宋体" w:hAnsi="宋体"/>
                <w:color w:val="auto"/>
                <w:sz w:val="24"/>
                <w:highlight w:val="none"/>
              </w:rPr>
              <w:t>投标人为事业单位的，应提供有效的“事业单位法人证书”；</w:t>
            </w:r>
          </w:p>
          <w:p w14:paraId="78B42F3F">
            <w:pPr>
              <w:tabs>
                <w:tab w:val="left" w:pos="1080"/>
              </w:tabs>
              <w:snapToGrid w:val="0"/>
              <w:rPr>
                <w:rFonts w:ascii="宋体" w:hAnsi="宋体"/>
                <w:color w:val="auto"/>
                <w:sz w:val="24"/>
                <w:highlight w:val="none"/>
              </w:rPr>
            </w:pPr>
            <w:r>
              <w:rPr>
                <w:rFonts w:hint="eastAsia" w:ascii="宋体" w:hAnsi="宋体"/>
                <w:color w:val="auto"/>
                <w:sz w:val="24"/>
                <w:highlight w:val="none"/>
              </w:rPr>
              <w:t>投标人是非企业机构的，应提供有效的“执业许可证”、“登记证书”等证明文件；</w:t>
            </w:r>
          </w:p>
          <w:p w14:paraId="7F724F5B">
            <w:pPr>
              <w:tabs>
                <w:tab w:val="left" w:pos="1080"/>
              </w:tabs>
              <w:snapToGrid w:val="0"/>
              <w:rPr>
                <w:rFonts w:ascii="宋体" w:hAnsi="宋体"/>
                <w:color w:val="auto"/>
                <w:sz w:val="24"/>
                <w:highlight w:val="none"/>
              </w:rPr>
            </w:pPr>
            <w:r>
              <w:rPr>
                <w:rFonts w:ascii="宋体" w:hAnsi="宋体"/>
                <w:color w:val="auto"/>
                <w:sz w:val="24"/>
                <w:highlight w:val="none"/>
              </w:rPr>
              <w:t>投标人是个体工商户的，应提供有效的“个体工商户营业执照”；</w:t>
            </w:r>
          </w:p>
          <w:p w14:paraId="111FAEE1">
            <w:pPr>
              <w:tabs>
                <w:tab w:val="left" w:pos="1080"/>
              </w:tabs>
              <w:snapToGrid w:val="0"/>
              <w:rPr>
                <w:rFonts w:ascii="宋体" w:hAnsi="宋体"/>
                <w:color w:val="auto"/>
                <w:sz w:val="24"/>
                <w:highlight w:val="none"/>
              </w:rPr>
            </w:pPr>
            <w:r>
              <w:rPr>
                <w:rFonts w:ascii="宋体" w:hAnsi="宋体"/>
                <w:color w:val="auto"/>
                <w:sz w:val="24"/>
                <w:highlight w:val="none"/>
              </w:rPr>
              <w:t>投标人是自然人的，应提供有效的自然人身份证明。</w:t>
            </w:r>
          </w:p>
          <w:p w14:paraId="5D4EE9E0">
            <w:pPr>
              <w:keepNext w:val="0"/>
              <w:keepLines w:val="0"/>
              <w:widowControl/>
              <w:suppressLineNumbers w:val="0"/>
              <w:jc w:val="left"/>
              <w:rPr>
                <w:color w:val="auto"/>
                <w:highlight w:val="none"/>
              </w:rPr>
            </w:pPr>
            <w:r>
              <w:rPr>
                <w:rFonts w:hint="eastAsia" w:ascii="宋体" w:hAnsi="宋体"/>
                <w:color w:val="auto"/>
                <w:sz w:val="24"/>
                <w:highlight w:val="none"/>
              </w:rPr>
              <w:t>若本项目允许分支机构参加投标，则分支机构参加投标的，此处可提供该分支机构或其所属法人或其他组织的相应证明文件。</w:t>
            </w:r>
            <w:r>
              <w:rPr>
                <w:rFonts w:ascii="FZShuSong-Z01" w:hAnsi="FZShuSong-Z01" w:eastAsia="FZShuSong-Z01" w:cs="FZShuSong-Z01"/>
                <w:color w:val="auto"/>
                <w:kern w:val="0"/>
                <w:sz w:val="24"/>
                <w:szCs w:val="24"/>
                <w:highlight w:val="none"/>
                <w:lang w:val="en-US" w:eastAsia="zh-CN" w:bidi="ar"/>
              </w:rPr>
              <w:t xml:space="preserve">同时 </w:t>
            </w:r>
          </w:p>
          <w:p w14:paraId="228BEB00">
            <w:pPr>
              <w:keepNext w:val="0"/>
              <w:keepLines w:val="0"/>
              <w:widowControl/>
              <w:suppressLineNumbers w:val="0"/>
              <w:jc w:val="left"/>
              <w:rPr>
                <w:color w:val="auto"/>
                <w:highlight w:val="none"/>
              </w:rPr>
            </w:pPr>
            <w:r>
              <w:rPr>
                <w:rFonts w:hint="default" w:ascii="FZShuSong-Z01" w:hAnsi="FZShuSong-Z01" w:eastAsia="FZShuSong-Z01" w:cs="FZShuSong-Z01"/>
                <w:color w:val="auto"/>
                <w:kern w:val="0"/>
                <w:sz w:val="24"/>
                <w:szCs w:val="24"/>
                <w:highlight w:val="none"/>
                <w:lang w:val="en-US" w:eastAsia="zh-CN" w:bidi="ar"/>
              </w:rPr>
              <w:t>还应提供其所属法人</w:t>
            </w:r>
            <w:r>
              <w:rPr>
                <w:rFonts w:ascii="DejaVu Sans" w:hAnsi="DejaVu Sans" w:eastAsia="DejaVu Sans" w:cs="DejaVu Sans"/>
                <w:color w:val="auto"/>
                <w:kern w:val="0"/>
                <w:sz w:val="24"/>
                <w:szCs w:val="24"/>
                <w:highlight w:val="none"/>
                <w:lang w:val="en-US" w:eastAsia="zh-CN" w:bidi="ar"/>
              </w:rPr>
              <w:t>/</w:t>
            </w:r>
            <w:r>
              <w:rPr>
                <w:rFonts w:hint="default" w:ascii="FZShuSong-Z01" w:hAnsi="FZShuSong-Z01" w:eastAsia="FZShuSong-Z01" w:cs="FZShuSong-Z01"/>
                <w:color w:val="auto"/>
                <w:kern w:val="0"/>
                <w:sz w:val="24"/>
                <w:szCs w:val="24"/>
                <w:highlight w:val="none"/>
                <w:lang w:val="en-US" w:eastAsia="zh-CN" w:bidi="ar"/>
              </w:rPr>
              <w:t xml:space="preserve">其他组织出具的授权 </w:t>
            </w:r>
          </w:p>
          <w:p w14:paraId="3E8472E1">
            <w:pPr>
              <w:keepNext w:val="0"/>
              <w:keepLines w:val="0"/>
              <w:widowControl/>
              <w:suppressLineNumbers w:val="0"/>
              <w:jc w:val="left"/>
              <w:rPr>
                <w:color w:val="auto"/>
                <w:highlight w:val="none"/>
              </w:rPr>
            </w:pPr>
            <w:r>
              <w:rPr>
                <w:rFonts w:hint="default" w:ascii="FZShuSong-Z01" w:hAnsi="FZShuSong-Z01" w:eastAsia="FZShuSong-Z01" w:cs="FZShuSong-Z01"/>
                <w:color w:val="auto"/>
                <w:kern w:val="0"/>
                <w:sz w:val="24"/>
                <w:szCs w:val="24"/>
                <w:highlight w:val="none"/>
                <w:lang w:val="en-US" w:eastAsia="zh-CN" w:bidi="ar"/>
              </w:rPr>
              <w:t xml:space="preserve">其参与本项目的授权书（格式自拟，须加盖 </w:t>
            </w:r>
          </w:p>
          <w:p w14:paraId="34E30818">
            <w:pPr>
              <w:keepNext w:val="0"/>
              <w:keepLines w:val="0"/>
              <w:widowControl/>
              <w:suppressLineNumbers w:val="0"/>
              <w:jc w:val="left"/>
              <w:rPr>
                <w:color w:val="auto"/>
                <w:highlight w:val="none"/>
              </w:rPr>
            </w:pPr>
            <w:r>
              <w:rPr>
                <w:rFonts w:hint="default" w:ascii="FZShuSong-Z01" w:hAnsi="FZShuSong-Z01" w:eastAsia="FZShuSong-Z01" w:cs="FZShuSong-Z01"/>
                <w:color w:val="auto"/>
                <w:kern w:val="0"/>
                <w:sz w:val="24"/>
                <w:szCs w:val="24"/>
                <w:highlight w:val="none"/>
                <w:lang w:val="en-US" w:eastAsia="zh-CN" w:bidi="ar"/>
              </w:rPr>
              <w:t>其所属法人</w:t>
            </w:r>
            <w:r>
              <w:rPr>
                <w:rFonts w:hint="default" w:ascii="DejaVu Sans" w:hAnsi="DejaVu Sans" w:eastAsia="DejaVu Sans" w:cs="DejaVu Sans"/>
                <w:color w:val="auto"/>
                <w:kern w:val="0"/>
                <w:sz w:val="24"/>
                <w:szCs w:val="24"/>
                <w:highlight w:val="none"/>
                <w:lang w:val="en-US" w:eastAsia="zh-CN" w:bidi="ar"/>
              </w:rPr>
              <w:t>/</w:t>
            </w:r>
            <w:r>
              <w:rPr>
                <w:rFonts w:hint="default" w:ascii="FZShuSong-Z01" w:hAnsi="FZShuSong-Z01" w:eastAsia="FZShuSong-Z01" w:cs="FZShuSong-Z01"/>
                <w:color w:val="auto"/>
                <w:kern w:val="0"/>
                <w:sz w:val="24"/>
                <w:szCs w:val="24"/>
                <w:highlight w:val="none"/>
                <w:lang w:val="en-US" w:eastAsia="zh-CN" w:bidi="ar"/>
              </w:rPr>
              <w:t xml:space="preserve">其他组织的公章）；对于银行、 </w:t>
            </w:r>
          </w:p>
          <w:p w14:paraId="36551475">
            <w:pPr>
              <w:keepNext w:val="0"/>
              <w:keepLines w:val="0"/>
              <w:widowControl/>
              <w:suppressLineNumbers w:val="0"/>
              <w:jc w:val="left"/>
              <w:rPr>
                <w:color w:val="auto"/>
                <w:highlight w:val="none"/>
              </w:rPr>
            </w:pPr>
            <w:r>
              <w:rPr>
                <w:rFonts w:hint="default" w:ascii="FZShuSong-Z01" w:hAnsi="FZShuSong-Z01" w:eastAsia="FZShuSong-Z01" w:cs="FZShuSong-Z01"/>
                <w:color w:val="auto"/>
                <w:kern w:val="0"/>
                <w:sz w:val="24"/>
                <w:szCs w:val="24"/>
                <w:highlight w:val="none"/>
                <w:lang w:val="en-US" w:eastAsia="zh-CN" w:bidi="ar"/>
              </w:rPr>
              <w:t xml:space="preserve">保险、石油石化、电力、电信等行业的分支 </w:t>
            </w:r>
          </w:p>
          <w:p w14:paraId="05B55208">
            <w:pPr>
              <w:keepNext w:val="0"/>
              <w:keepLines w:val="0"/>
              <w:widowControl/>
              <w:suppressLineNumbers w:val="0"/>
              <w:jc w:val="left"/>
              <w:rPr>
                <w:color w:val="auto"/>
                <w:highlight w:val="none"/>
              </w:rPr>
            </w:pPr>
            <w:r>
              <w:rPr>
                <w:rFonts w:hint="default" w:ascii="FZShuSong-Z01" w:hAnsi="FZShuSong-Z01" w:eastAsia="FZShuSong-Z01" w:cs="FZShuSong-Z01"/>
                <w:color w:val="auto"/>
                <w:kern w:val="0"/>
                <w:sz w:val="24"/>
                <w:szCs w:val="24"/>
                <w:highlight w:val="none"/>
                <w:lang w:val="en-US" w:eastAsia="zh-CN" w:bidi="ar"/>
              </w:rPr>
              <w:t xml:space="preserve">机构，可以提供上述授权，也可以提供其所 </w:t>
            </w:r>
          </w:p>
          <w:p w14:paraId="3CA49E54">
            <w:pPr>
              <w:keepNext w:val="0"/>
              <w:keepLines w:val="0"/>
              <w:widowControl/>
              <w:suppressLineNumbers w:val="0"/>
              <w:jc w:val="left"/>
              <w:rPr>
                <w:color w:val="auto"/>
                <w:highlight w:val="none"/>
              </w:rPr>
            </w:pPr>
            <w:r>
              <w:rPr>
                <w:rFonts w:hint="default" w:ascii="FZShuSong-Z01" w:hAnsi="FZShuSong-Z01" w:eastAsia="FZShuSong-Z01" w:cs="FZShuSong-Z01"/>
                <w:color w:val="auto"/>
                <w:kern w:val="0"/>
                <w:sz w:val="24"/>
                <w:szCs w:val="24"/>
                <w:highlight w:val="none"/>
                <w:lang w:val="en-US" w:eastAsia="zh-CN" w:bidi="ar"/>
              </w:rPr>
              <w:t>属法人</w:t>
            </w:r>
            <w:r>
              <w:rPr>
                <w:rFonts w:hint="default" w:ascii="DejaVu Sans" w:hAnsi="DejaVu Sans" w:eastAsia="DejaVu Sans" w:cs="DejaVu Sans"/>
                <w:color w:val="auto"/>
                <w:kern w:val="0"/>
                <w:sz w:val="24"/>
                <w:szCs w:val="24"/>
                <w:highlight w:val="none"/>
                <w:lang w:val="en-US" w:eastAsia="zh-CN" w:bidi="ar"/>
              </w:rPr>
              <w:t>/</w:t>
            </w:r>
            <w:r>
              <w:rPr>
                <w:rFonts w:hint="default" w:ascii="FZShuSong-Z01" w:hAnsi="FZShuSong-Z01" w:eastAsia="FZShuSong-Z01" w:cs="FZShuSong-Z01"/>
                <w:color w:val="auto"/>
                <w:kern w:val="0"/>
                <w:sz w:val="24"/>
                <w:szCs w:val="24"/>
                <w:highlight w:val="none"/>
                <w:lang w:val="en-US" w:eastAsia="zh-CN" w:bidi="ar"/>
              </w:rPr>
              <w:t>其他组织的有关文件或制度等能够</w:t>
            </w:r>
            <w:r>
              <w:rPr>
                <w:rFonts w:ascii="FZShuSong-Z01" w:hAnsi="FZShuSong-Z01" w:eastAsia="FZShuSong-Z01" w:cs="FZShuSong-Z01"/>
                <w:color w:val="auto"/>
                <w:kern w:val="0"/>
                <w:sz w:val="24"/>
                <w:szCs w:val="24"/>
                <w:highlight w:val="none"/>
                <w:lang w:val="en-US" w:eastAsia="zh-CN" w:bidi="ar"/>
              </w:rPr>
              <w:t>证明授权其独立开展业务的证明材料。</w:t>
            </w:r>
          </w:p>
          <w:p w14:paraId="12394FFA">
            <w:pPr>
              <w:keepNext w:val="0"/>
              <w:keepLines w:val="0"/>
              <w:widowControl/>
              <w:suppressLineNumbers w:val="0"/>
              <w:jc w:val="left"/>
              <w:rPr>
                <w:color w:val="auto"/>
                <w:highlight w:val="none"/>
              </w:rPr>
            </w:pPr>
          </w:p>
          <w:p w14:paraId="7D8B52D3">
            <w:pPr>
              <w:tabs>
                <w:tab w:val="left" w:pos="1080"/>
              </w:tabs>
              <w:snapToGrid w:val="0"/>
              <w:rPr>
                <w:rFonts w:ascii="宋体" w:hAnsi="宋体"/>
                <w:color w:val="auto"/>
                <w:sz w:val="24"/>
                <w:highlight w:val="none"/>
              </w:rPr>
            </w:pPr>
          </w:p>
        </w:tc>
        <w:tc>
          <w:tcPr>
            <w:tcW w:w="882" w:type="pct"/>
            <w:vAlign w:val="center"/>
          </w:tcPr>
          <w:p w14:paraId="7AE26C59">
            <w:pPr>
              <w:tabs>
                <w:tab w:val="left" w:pos="1080"/>
              </w:tabs>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提供证明文 件的电子件 或电子证照</w:t>
            </w:r>
          </w:p>
          <w:p w14:paraId="697BD3CF">
            <w:pPr>
              <w:tabs>
                <w:tab w:val="left" w:pos="1080"/>
              </w:tabs>
              <w:snapToGrid w:val="0"/>
              <w:rPr>
                <w:rFonts w:ascii="宋体" w:hAnsi="宋体"/>
                <w:color w:val="auto"/>
                <w:sz w:val="24"/>
                <w:highlight w:val="none"/>
              </w:rPr>
            </w:pPr>
          </w:p>
        </w:tc>
      </w:tr>
      <w:tr w14:paraId="01DBC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7" w:type="pct"/>
            <w:vAlign w:val="center"/>
          </w:tcPr>
          <w:p w14:paraId="47CD4EDD">
            <w:pPr>
              <w:tabs>
                <w:tab w:val="left" w:pos="1080"/>
              </w:tabs>
              <w:snapToGrid w:val="0"/>
              <w:jc w:val="center"/>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lang w:val="en-US" w:eastAsia="zh-CN"/>
              </w:rPr>
              <w:t>.</w:t>
            </w:r>
            <w:r>
              <w:rPr>
                <w:rFonts w:ascii="宋体" w:hAnsi="宋体"/>
                <w:color w:val="auto"/>
                <w:sz w:val="24"/>
                <w:highlight w:val="none"/>
              </w:rPr>
              <w:t>2</w:t>
            </w:r>
          </w:p>
        </w:tc>
        <w:tc>
          <w:tcPr>
            <w:tcW w:w="1144" w:type="pct"/>
            <w:vAlign w:val="center"/>
          </w:tcPr>
          <w:p w14:paraId="0305AB60">
            <w:pPr>
              <w:tabs>
                <w:tab w:val="left" w:pos="1080"/>
              </w:tabs>
              <w:snapToGrid w:val="0"/>
              <w:rPr>
                <w:rFonts w:ascii="宋体" w:hAnsi="宋体"/>
                <w:color w:val="auto"/>
                <w:sz w:val="24"/>
                <w:highlight w:val="none"/>
              </w:rPr>
            </w:pPr>
            <w:r>
              <w:rPr>
                <w:rFonts w:ascii="宋体" w:hAnsi="宋体"/>
                <w:color w:val="auto"/>
                <w:sz w:val="24"/>
                <w:highlight w:val="none"/>
              </w:rPr>
              <w:t>投标人资格声明书</w:t>
            </w:r>
          </w:p>
        </w:tc>
        <w:tc>
          <w:tcPr>
            <w:tcW w:w="2595" w:type="pct"/>
            <w:vAlign w:val="center"/>
          </w:tcPr>
          <w:p w14:paraId="316148C4">
            <w:pPr>
              <w:tabs>
                <w:tab w:val="left" w:pos="1080"/>
              </w:tabs>
              <w:snapToGrid w:val="0"/>
              <w:rPr>
                <w:rFonts w:ascii="宋体" w:hAnsi="宋体"/>
                <w:color w:val="auto"/>
                <w:sz w:val="24"/>
                <w:highlight w:val="none"/>
              </w:rPr>
            </w:pPr>
            <w:r>
              <w:rPr>
                <w:rFonts w:ascii="宋体" w:hAnsi="宋体"/>
                <w:color w:val="auto"/>
                <w:sz w:val="24"/>
                <w:highlight w:val="none"/>
              </w:rPr>
              <w:t>提供了符合招标文件要求的《投标人资格声明书》。</w:t>
            </w:r>
          </w:p>
        </w:tc>
        <w:tc>
          <w:tcPr>
            <w:tcW w:w="882" w:type="pct"/>
            <w:vAlign w:val="center"/>
          </w:tcPr>
          <w:p w14:paraId="724D9B94">
            <w:pPr>
              <w:tabs>
                <w:tab w:val="left" w:pos="1080"/>
              </w:tabs>
              <w:snapToGrid w:val="0"/>
              <w:rPr>
                <w:rFonts w:ascii="宋体" w:hAnsi="宋体"/>
                <w:color w:val="auto"/>
                <w:sz w:val="24"/>
                <w:highlight w:val="none"/>
              </w:rPr>
            </w:pPr>
            <w:r>
              <w:rPr>
                <w:rFonts w:ascii="宋体" w:hAnsi="宋体"/>
                <w:color w:val="auto"/>
                <w:sz w:val="24"/>
                <w:highlight w:val="none"/>
              </w:rPr>
              <w:t>格式见《投标文件格式》</w:t>
            </w:r>
          </w:p>
        </w:tc>
      </w:tr>
      <w:tr w14:paraId="6BF4A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7" w:type="pct"/>
            <w:vAlign w:val="center"/>
          </w:tcPr>
          <w:p w14:paraId="3C62A59E">
            <w:pPr>
              <w:tabs>
                <w:tab w:val="left" w:pos="1080"/>
              </w:tabs>
              <w:snapToGrid w:val="0"/>
              <w:jc w:val="center"/>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ascii="宋体" w:hAnsi="宋体"/>
                <w:color w:val="auto"/>
                <w:sz w:val="24"/>
                <w:highlight w:val="none"/>
              </w:rPr>
              <w:t>3</w:t>
            </w:r>
          </w:p>
        </w:tc>
        <w:tc>
          <w:tcPr>
            <w:tcW w:w="1144" w:type="pct"/>
            <w:vAlign w:val="center"/>
          </w:tcPr>
          <w:p w14:paraId="783249E0">
            <w:pPr>
              <w:tabs>
                <w:tab w:val="left" w:pos="1080"/>
              </w:tabs>
              <w:snapToGrid w:val="0"/>
              <w:rPr>
                <w:rFonts w:ascii="宋体" w:hAnsi="宋体"/>
                <w:color w:val="auto"/>
                <w:sz w:val="24"/>
                <w:highlight w:val="none"/>
              </w:rPr>
            </w:pPr>
            <w:r>
              <w:rPr>
                <w:rFonts w:ascii="宋体" w:hAnsi="宋体"/>
                <w:color w:val="auto"/>
                <w:sz w:val="24"/>
                <w:highlight w:val="none"/>
              </w:rPr>
              <w:t>投标人信用记录</w:t>
            </w:r>
          </w:p>
        </w:tc>
        <w:tc>
          <w:tcPr>
            <w:tcW w:w="2595" w:type="pct"/>
            <w:vAlign w:val="center"/>
          </w:tcPr>
          <w:p w14:paraId="0EC7DD30">
            <w:pPr>
              <w:keepNext w:val="0"/>
              <w:keepLines w:val="0"/>
              <w:pageBreakBefore w:val="0"/>
              <w:widowControl w:val="0"/>
              <w:tabs>
                <w:tab w:val="left" w:pos="1080"/>
              </w:tabs>
              <w:kinsoku/>
              <w:wordWrap w:val="0"/>
              <w:overflowPunct/>
              <w:topLinePunct w:val="0"/>
              <w:autoSpaceDE/>
              <w:autoSpaceDN/>
              <w:bidi w:val="0"/>
              <w:adjustRightInd/>
              <w:snapToGrid w:val="0"/>
              <w:textAlignment w:val="auto"/>
              <w:rPr>
                <w:rFonts w:ascii="宋体" w:hAnsi="宋体"/>
                <w:color w:val="auto"/>
                <w:sz w:val="24"/>
                <w:highlight w:val="none"/>
              </w:rPr>
            </w:pPr>
            <w:r>
              <w:rPr>
                <w:rFonts w:ascii="宋体" w:hAnsi="宋体"/>
                <w:color w:val="auto"/>
                <w:sz w:val="24"/>
                <w:highlight w:val="none"/>
              </w:rPr>
              <w:t>查询渠道：信用中国网站和中国政府采购网（www.creditchina.gov.cn、www.ccgp.gov.cn）；</w:t>
            </w:r>
          </w:p>
          <w:p w14:paraId="06C65E1B">
            <w:pPr>
              <w:tabs>
                <w:tab w:val="left" w:pos="900"/>
                <w:tab w:val="left" w:pos="1980"/>
              </w:tabs>
              <w:snapToGrid w:val="0"/>
              <w:rPr>
                <w:rFonts w:ascii="宋体" w:hAnsi="宋体"/>
                <w:color w:val="auto"/>
                <w:sz w:val="24"/>
                <w:highlight w:val="none"/>
              </w:rPr>
            </w:pPr>
            <w:r>
              <w:rPr>
                <w:rFonts w:ascii="宋体" w:hAnsi="宋体"/>
                <w:color w:val="auto"/>
                <w:sz w:val="24"/>
                <w:highlight w:val="none"/>
              </w:rPr>
              <w:t>截止时点：投标截止时间以后、</w:t>
            </w:r>
            <w:r>
              <w:rPr>
                <w:rFonts w:hint="eastAsia" w:ascii="宋体" w:hAnsi="宋体"/>
                <w:color w:val="auto"/>
                <w:sz w:val="24"/>
                <w:highlight w:val="none"/>
              </w:rPr>
              <w:t>资格审查阶段采购人或</w:t>
            </w:r>
            <w:r>
              <w:rPr>
                <w:rFonts w:ascii="宋体" w:hAnsi="宋体"/>
                <w:color w:val="auto"/>
                <w:sz w:val="24"/>
                <w:highlight w:val="none"/>
              </w:rPr>
              <w:t>采购代理机构的实际查询时间；</w:t>
            </w:r>
          </w:p>
          <w:p w14:paraId="284E8CD6">
            <w:pPr>
              <w:tabs>
                <w:tab w:val="left" w:pos="900"/>
                <w:tab w:val="left" w:pos="1980"/>
              </w:tabs>
              <w:snapToGrid w:val="0"/>
              <w:rPr>
                <w:rFonts w:ascii="宋体" w:hAnsi="宋体"/>
                <w:color w:val="auto"/>
                <w:sz w:val="24"/>
                <w:highlight w:val="none"/>
              </w:rPr>
            </w:pPr>
            <w:r>
              <w:rPr>
                <w:rFonts w:ascii="宋体" w:hAnsi="宋体"/>
                <w:color w:val="auto"/>
                <w:sz w:val="24"/>
                <w:highlight w:val="none"/>
              </w:rPr>
              <w:t>信用信息查询记录和证据留存具体方式：查询结果网页打印页作为查询记录和证据，与其他采购文件一并保存；</w:t>
            </w:r>
          </w:p>
          <w:p w14:paraId="77A11F2E">
            <w:pPr>
              <w:tabs>
                <w:tab w:val="left" w:pos="1080"/>
              </w:tabs>
              <w:snapToGrid w:val="0"/>
              <w:rPr>
                <w:rFonts w:ascii="宋体" w:hAnsi="宋体"/>
                <w:color w:val="auto"/>
                <w:sz w:val="24"/>
                <w:highlight w:val="none"/>
              </w:rPr>
            </w:pPr>
            <w:r>
              <w:rPr>
                <w:rFonts w:ascii="宋体" w:hAnsi="宋体"/>
                <w:color w:val="auto"/>
                <w:sz w:val="24"/>
                <w:highlight w:val="none"/>
              </w:rPr>
              <w:t>信用信息的使用原则：经认定的被列入失信被执行人、</w:t>
            </w:r>
            <w:r>
              <w:rPr>
                <w:rFonts w:hint="eastAsia" w:ascii="宋体" w:hAnsi="宋体"/>
                <w:color w:val="auto"/>
                <w:sz w:val="24"/>
                <w:highlight w:val="none"/>
                <w:lang w:eastAsia="zh-CN"/>
              </w:rPr>
              <w:t>重大税收违法失信主体名单</w:t>
            </w:r>
            <w:r>
              <w:rPr>
                <w:rFonts w:ascii="宋体" w:hAnsi="宋体"/>
                <w:color w:val="auto"/>
                <w:sz w:val="24"/>
                <w:highlight w:val="none"/>
              </w:rPr>
              <w:t>、政府采购严重违法失信行为记录名单的投标人，其</w:t>
            </w:r>
            <w:r>
              <w:rPr>
                <w:rFonts w:ascii="宋体" w:hAnsi="宋体"/>
                <w:b/>
                <w:color w:val="auto"/>
                <w:sz w:val="24"/>
                <w:highlight w:val="none"/>
              </w:rPr>
              <w:t>投标无效</w:t>
            </w:r>
            <w:r>
              <w:rPr>
                <w:rFonts w:ascii="宋体" w:hAnsi="宋体"/>
                <w:color w:val="auto"/>
                <w:sz w:val="24"/>
                <w:highlight w:val="none"/>
              </w:rPr>
              <w:t>。联合体形式投标的，联合体成员存在不良信用记录，视同联合体存在不良信用记录。</w:t>
            </w:r>
          </w:p>
        </w:tc>
        <w:tc>
          <w:tcPr>
            <w:tcW w:w="882" w:type="pct"/>
            <w:vAlign w:val="center"/>
          </w:tcPr>
          <w:p w14:paraId="13D85673">
            <w:pPr>
              <w:tabs>
                <w:tab w:val="left" w:pos="1080"/>
              </w:tabs>
              <w:snapToGrid w:val="0"/>
              <w:rPr>
                <w:rFonts w:ascii="宋体" w:hAnsi="宋体"/>
                <w:color w:val="auto"/>
                <w:sz w:val="24"/>
                <w:highlight w:val="none"/>
              </w:rPr>
            </w:pPr>
            <w:r>
              <w:rPr>
                <w:rFonts w:ascii="宋体" w:hAnsi="宋体"/>
                <w:color w:val="auto"/>
                <w:sz w:val="24"/>
                <w:highlight w:val="none"/>
              </w:rPr>
              <w:t>投标人提供，由采购人或采购代理机构查询</w:t>
            </w:r>
            <w:r>
              <w:rPr>
                <w:rFonts w:hint="eastAsia" w:ascii="宋体" w:hAnsi="宋体"/>
                <w:color w:val="auto"/>
                <w:sz w:val="24"/>
                <w:highlight w:val="none"/>
              </w:rPr>
              <w:t>核实</w:t>
            </w:r>
            <w:r>
              <w:rPr>
                <w:rFonts w:ascii="宋体" w:hAnsi="宋体"/>
                <w:color w:val="auto"/>
                <w:sz w:val="24"/>
                <w:highlight w:val="none"/>
              </w:rPr>
              <w:t>。</w:t>
            </w:r>
          </w:p>
        </w:tc>
      </w:tr>
      <w:tr w14:paraId="0A127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7" w:type="pct"/>
            <w:vAlign w:val="center"/>
          </w:tcPr>
          <w:p w14:paraId="0BB61641">
            <w:pPr>
              <w:tabs>
                <w:tab w:val="left" w:pos="1080"/>
              </w:tabs>
              <w:snapToGrid w:val="0"/>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1.4</w:t>
            </w:r>
          </w:p>
        </w:tc>
        <w:tc>
          <w:tcPr>
            <w:tcW w:w="1144" w:type="pct"/>
            <w:vAlign w:val="center"/>
          </w:tcPr>
          <w:p w14:paraId="5EF6CFFD">
            <w:pPr>
              <w:keepNext w:val="0"/>
              <w:keepLines w:val="0"/>
              <w:widowControl/>
              <w:suppressLineNumbers w:val="0"/>
              <w:jc w:val="left"/>
              <w:rPr>
                <w:color w:val="auto"/>
                <w:highlight w:val="none"/>
              </w:rPr>
            </w:pPr>
            <w:r>
              <w:rPr>
                <w:rFonts w:ascii="FZShuSong-Z01" w:hAnsi="FZShuSong-Z01" w:eastAsia="FZShuSong-Z01" w:cs="FZShuSong-Z01"/>
                <w:color w:val="auto"/>
                <w:kern w:val="0"/>
                <w:sz w:val="24"/>
                <w:szCs w:val="24"/>
                <w:highlight w:val="none"/>
                <w:lang w:val="en-US" w:eastAsia="zh-CN" w:bidi="ar"/>
              </w:rPr>
              <w:t xml:space="preserve">法律、行政法规 </w:t>
            </w:r>
          </w:p>
          <w:p w14:paraId="1E8EF62D">
            <w:pPr>
              <w:keepNext w:val="0"/>
              <w:keepLines w:val="0"/>
              <w:widowControl/>
              <w:suppressLineNumbers w:val="0"/>
              <w:jc w:val="left"/>
              <w:rPr>
                <w:rFonts w:ascii="宋体" w:hAnsi="宋体"/>
                <w:color w:val="auto"/>
                <w:sz w:val="24"/>
                <w:highlight w:val="none"/>
              </w:rPr>
            </w:pPr>
            <w:r>
              <w:rPr>
                <w:rFonts w:hint="default" w:ascii="FZShuSong-Z01" w:hAnsi="FZShuSong-Z01" w:eastAsia="FZShuSong-Z01" w:cs="FZShuSong-Z01"/>
                <w:color w:val="auto"/>
                <w:kern w:val="0"/>
                <w:sz w:val="24"/>
                <w:szCs w:val="24"/>
                <w:highlight w:val="none"/>
                <w:lang w:val="en-US" w:eastAsia="zh-CN" w:bidi="ar"/>
              </w:rPr>
              <w:t>规定的其他条件</w:t>
            </w:r>
          </w:p>
        </w:tc>
        <w:tc>
          <w:tcPr>
            <w:tcW w:w="2595" w:type="pct"/>
            <w:vAlign w:val="center"/>
          </w:tcPr>
          <w:p w14:paraId="18E9350F">
            <w:pPr>
              <w:keepNext w:val="0"/>
              <w:keepLines w:val="0"/>
              <w:widowControl/>
              <w:suppressLineNumbers w:val="0"/>
              <w:jc w:val="left"/>
              <w:rPr>
                <w:rFonts w:ascii="FZShuSong-Z01" w:hAnsi="FZShuSong-Z01" w:eastAsia="FZShuSong-Z01" w:cs="FZShuSong-Z01"/>
                <w:color w:val="auto"/>
                <w:kern w:val="0"/>
                <w:sz w:val="24"/>
                <w:szCs w:val="24"/>
                <w:highlight w:val="none"/>
                <w:lang w:val="en-US" w:eastAsia="zh-CN" w:bidi="ar"/>
              </w:rPr>
            </w:pPr>
          </w:p>
          <w:p w14:paraId="37597EB3">
            <w:pPr>
              <w:keepNext w:val="0"/>
              <w:keepLines w:val="0"/>
              <w:widowControl/>
              <w:suppressLineNumbers w:val="0"/>
              <w:jc w:val="left"/>
              <w:rPr>
                <w:color w:val="auto"/>
                <w:highlight w:val="none"/>
              </w:rPr>
            </w:pPr>
            <w:r>
              <w:rPr>
                <w:rFonts w:ascii="FZShuSong-Z01" w:hAnsi="FZShuSong-Z01" w:eastAsia="FZShuSong-Z01" w:cs="FZShuSong-Z01"/>
                <w:color w:val="auto"/>
                <w:kern w:val="0"/>
                <w:sz w:val="24"/>
                <w:szCs w:val="24"/>
                <w:highlight w:val="none"/>
                <w:lang w:val="en-US" w:eastAsia="zh-CN" w:bidi="ar"/>
              </w:rPr>
              <w:t>法律、行政法规</w:t>
            </w:r>
            <w:r>
              <w:rPr>
                <w:rFonts w:hint="default" w:ascii="FZShuSong-Z01" w:hAnsi="FZShuSong-Z01" w:eastAsia="FZShuSong-Z01" w:cs="FZShuSong-Z01"/>
                <w:color w:val="auto"/>
                <w:kern w:val="0"/>
                <w:sz w:val="24"/>
                <w:szCs w:val="24"/>
                <w:highlight w:val="none"/>
                <w:lang w:val="en-US" w:eastAsia="zh-CN" w:bidi="ar"/>
              </w:rPr>
              <w:t>规定的其他条件</w:t>
            </w:r>
          </w:p>
          <w:p w14:paraId="5D4F7B7A">
            <w:pPr>
              <w:tabs>
                <w:tab w:val="left" w:pos="1080"/>
              </w:tabs>
              <w:snapToGrid w:val="0"/>
              <w:rPr>
                <w:rFonts w:ascii="宋体" w:hAnsi="宋体"/>
                <w:color w:val="auto"/>
                <w:sz w:val="24"/>
                <w:highlight w:val="none"/>
              </w:rPr>
            </w:pPr>
          </w:p>
        </w:tc>
        <w:tc>
          <w:tcPr>
            <w:tcW w:w="882" w:type="pct"/>
            <w:vAlign w:val="center"/>
          </w:tcPr>
          <w:p w14:paraId="607129EE">
            <w:pPr>
              <w:tabs>
                <w:tab w:val="left" w:pos="1080"/>
              </w:tabs>
              <w:snapToGrid w:val="0"/>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w:t>
            </w:r>
          </w:p>
        </w:tc>
      </w:tr>
      <w:tr w14:paraId="10C9F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7" w:type="pct"/>
            <w:vAlign w:val="center"/>
          </w:tcPr>
          <w:p w14:paraId="0479224B">
            <w:pPr>
              <w:tabs>
                <w:tab w:val="left" w:pos="1080"/>
              </w:tabs>
              <w:snapToGrid w:val="0"/>
              <w:jc w:val="center"/>
              <w:rPr>
                <w:rFonts w:ascii="宋体" w:hAnsi="宋体"/>
                <w:color w:val="auto"/>
                <w:sz w:val="24"/>
                <w:highlight w:val="none"/>
              </w:rPr>
            </w:pPr>
            <w:r>
              <w:rPr>
                <w:rFonts w:ascii="宋体" w:hAnsi="宋体"/>
                <w:color w:val="auto"/>
                <w:sz w:val="24"/>
                <w:highlight w:val="none"/>
              </w:rPr>
              <w:t>2</w:t>
            </w:r>
          </w:p>
        </w:tc>
        <w:tc>
          <w:tcPr>
            <w:tcW w:w="1144" w:type="pct"/>
            <w:vAlign w:val="center"/>
          </w:tcPr>
          <w:p w14:paraId="18282733">
            <w:pPr>
              <w:tabs>
                <w:tab w:val="left" w:pos="1080"/>
              </w:tabs>
              <w:snapToGrid w:val="0"/>
              <w:rPr>
                <w:rFonts w:ascii="宋体" w:hAnsi="宋体"/>
                <w:color w:val="auto"/>
                <w:sz w:val="24"/>
                <w:highlight w:val="none"/>
              </w:rPr>
            </w:pPr>
            <w:r>
              <w:rPr>
                <w:rFonts w:ascii="宋体" w:hAnsi="宋体"/>
                <w:color w:val="auto"/>
                <w:sz w:val="24"/>
                <w:highlight w:val="none"/>
              </w:rPr>
              <w:t>落实政府采购政策需满足的资格要求</w:t>
            </w:r>
          </w:p>
        </w:tc>
        <w:tc>
          <w:tcPr>
            <w:tcW w:w="2595" w:type="pct"/>
            <w:vAlign w:val="center"/>
          </w:tcPr>
          <w:p w14:paraId="253E259D">
            <w:pPr>
              <w:tabs>
                <w:tab w:val="left" w:pos="1080"/>
              </w:tabs>
              <w:snapToGrid w:val="0"/>
              <w:rPr>
                <w:rFonts w:ascii="宋体" w:hAnsi="宋体"/>
                <w:color w:val="auto"/>
                <w:sz w:val="24"/>
                <w:highlight w:val="none"/>
              </w:rPr>
            </w:pPr>
            <w:r>
              <w:rPr>
                <w:rFonts w:ascii="宋体" w:hAnsi="宋体"/>
                <w:color w:val="auto"/>
                <w:sz w:val="24"/>
                <w:highlight w:val="none"/>
              </w:rPr>
              <w:t>具体要求见第一章《投标邀请》</w:t>
            </w:r>
          </w:p>
        </w:tc>
        <w:tc>
          <w:tcPr>
            <w:tcW w:w="882" w:type="pct"/>
            <w:vAlign w:val="center"/>
          </w:tcPr>
          <w:p w14:paraId="472E480C">
            <w:pPr>
              <w:tabs>
                <w:tab w:val="left" w:pos="1080"/>
              </w:tabs>
              <w:snapToGrid w:val="0"/>
              <w:rPr>
                <w:rFonts w:ascii="宋体" w:hAnsi="宋体"/>
                <w:color w:val="auto"/>
                <w:sz w:val="24"/>
                <w:highlight w:val="none"/>
              </w:rPr>
            </w:pPr>
          </w:p>
        </w:tc>
      </w:tr>
      <w:tr w14:paraId="62FFC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7" w:type="pct"/>
            <w:vAlign w:val="center"/>
          </w:tcPr>
          <w:p w14:paraId="526D94EE">
            <w:pPr>
              <w:tabs>
                <w:tab w:val="left" w:pos="1080"/>
              </w:tabs>
              <w:snapToGrid w:val="0"/>
              <w:jc w:val="center"/>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w:t>
            </w:r>
            <w:r>
              <w:rPr>
                <w:rFonts w:ascii="宋体" w:hAnsi="宋体"/>
                <w:color w:val="auto"/>
                <w:sz w:val="24"/>
                <w:highlight w:val="none"/>
              </w:rPr>
              <w:t>1</w:t>
            </w:r>
          </w:p>
        </w:tc>
        <w:tc>
          <w:tcPr>
            <w:tcW w:w="1144" w:type="pct"/>
            <w:vAlign w:val="center"/>
          </w:tcPr>
          <w:p w14:paraId="2B982BFD">
            <w:pPr>
              <w:tabs>
                <w:tab w:val="left" w:pos="1080"/>
              </w:tabs>
              <w:snapToGrid w:val="0"/>
              <w:rPr>
                <w:rFonts w:hint="default" w:ascii="宋体" w:hAnsi="宋体" w:eastAsia="宋体"/>
                <w:color w:val="auto"/>
                <w:sz w:val="24"/>
                <w:highlight w:val="none"/>
                <w:lang w:val="en-US" w:eastAsia="zh-CN"/>
              </w:rPr>
            </w:pPr>
            <w:r>
              <w:rPr>
                <w:rFonts w:ascii="宋体" w:hAnsi="宋体"/>
                <w:color w:val="auto"/>
                <w:sz w:val="24"/>
                <w:highlight w:val="none"/>
              </w:rPr>
              <w:t>中小企业</w:t>
            </w:r>
            <w:r>
              <w:rPr>
                <w:rFonts w:hint="eastAsia" w:ascii="宋体" w:hAnsi="宋体"/>
                <w:color w:val="auto"/>
                <w:sz w:val="24"/>
                <w:highlight w:val="none"/>
                <w:lang w:val="en-US" w:eastAsia="zh-CN"/>
              </w:rPr>
              <w:t>声明函</w:t>
            </w:r>
          </w:p>
        </w:tc>
        <w:tc>
          <w:tcPr>
            <w:tcW w:w="2595" w:type="pct"/>
            <w:vAlign w:val="center"/>
          </w:tcPr>
          <w:p w14:paraId="6362DD5E">
            <w:pPr>
              <w:tabs>
                <w:tab w:val="left" w:pos="1080"/>
              </w:tabs>
              <w:snapToGrid w:val="0"/>
              <w:rPr>
                <w:rFonts w:ascii="宋体" w:hAnsi="宋体"/>
                <w:color w:val="auto"/>
                <w:sz w:val="24"/>
                <w:highlight w:val="none"/>
              </w:rPr>
            </w:pPr>
            <w:r>
              <w:rPr>
                <w:rFonts w:ascii="宋体" w:hAnsi="宋体"/>
                <w:color w:val="auto"/>
                <w:sz w:val="24"/>
                <w:highlight w:val="none"/>
                <w:lang w:val="en-US" w:eastAsia="zh-CN"/>
              </w:rPr>
              <w:t xml:space="preserve">当本项目（包）涉及预留份额专门面向中小 </w:t>
            </w:r>
          </w:p>
          <w:p w14:paraId="02E8C074">
            <w:pPr>
              <w:tabs>
                <w:tab w:val="left" w:pos="1080"/>
              </w:tabs>
              <w:snapToGrid w:val="0"/>
              <w:rPr>
                <w:rFonts w:ascii="宋体" w:hAnsi="宋体"/>
                <w:color w:val="auto"/>
                <w:sz w:val="24"/>
                <w:highlight w:val="none"/>
              </w:rPr>
            </w:pPr>
            <w:r>
              <w:rPr>
                <w:rFonts w:hint="default" w:ascii="宋体" w:hAnsi="宋体"/>
                <w:color w:val="auto"/>
                <w:sz w:val="24"/>
                <w:highlight w:val="none"/>
                <w:lang w:val="en-US" w:eastAsia="zh-CN"/>
              </w:rPr>
              <w:t xml:space="preserve">企业采购，此时建议在《资格证明文件》中 </w:t>
            </w:r>
          </w:p>
          <w:p w14:paraId="1988A664">
            <w:pPr>
              <w:tabs>
                <w:tab w:val="left" w:pos="1080"/>
              </w:tabs>
              <w:snapToGrid w:val="0"/>
              <w:rPr>
                <w:rFonts w:ascii="宋体" w:hAnsi="宋体"/>
                <w:color w:val="auto"/>
                <w:sz w:val="24"/>
                <w:highlight w:val="none"/>
              </w:rPr>
            </w:pPr>
            <w:r>
              <w:rPr>
                <w:rFonts w:hint="default" w:ascii="宋体" w:hAnsi="宋体"/>
                <w:color w:val="auto"/>
                <w:sz w:val="24"/>
                <w:highlight w:val="none"/>
                <w:lang w:val="en-US" w:eastAsia="zh-CN"/>
              </w:rPr>
              <w:t xml:space="preserve">提供。 </w:t>
            </w:r>
          </w:p>
          <w:p w14:paraId="1E227034">
            <w:pPr>
              <w:tabs>
                <w:tab w:val="left" w:pos="1080"/>
              </w:tabs>
              <w:snapToGrid w:val="0"/>
              <w:rPr>
                <w:rFonts w:ascii="宋体" w:hAnsi="宋体"/>
                <w:color w:val="auto"/>
                <w:sz w:val="24"/>
                <w:highlight w:val="none"/>
              </w:rPr>
            </w:pPr>
            <w:r>
              <w:rPr>
                <w:rFonts w:ascii="宋体" w:hAnsi="宋体"/>
                <w:color w:val="auto"/>
                <w:sz w:val="24"/>
                <w:highlight w:val="none"/>
                <w:lang w:val="en-US" w:eastAsia="zh-CN"/>
              </w:rPr>
              <w:t>1</w:t>
            </w:r>
            <w:r>
              <w:rPr>
                <w:rFonts w:hint="default" w:ascii="宋体" w:hAnsi="宋体"/>
                <w:color w:val="auto"/>
                <w:sz w:val="24"/>
                <w:highlight w:val="none"/>
                <w:lang w:val="en-US" w:eastAsia="zh-CN"/>
              </w:rPr>
              <w:t xml:space="preserve">、投标人单独投标的，应提供《中小企业声 </w:t>
            </w:r>
          </w:p>
          <w:p w14:paraId="4DB41333">
            <w:pPr>
              <w:tabs>
                <w:tab w:val="left" w:pos="1080"/>
              </w:tabs>
              <w:snapToGrid w:val="0"/>
              <w:rPr>
                <w:rFonts w:ascii="宋体" w:hAnsi="宋体"/>
                <w:color w:val="auto"/>
                <w:sz w:val="24"/>
                <w:highlight w:val="none"/>
              </w:rPr>
            </w:pPr>
            <w:r>
              <w:rPr>
                <w:rFonts w:hint="default" w:ascii="宋体" w:hAnsi="宋体"/>
                <w:color w:val="auto"/>
                <w:sz w:val="24"/>
                <w:highlight w:val="none"/>
                <w:lang w:val="en-US" w:eastAsia="zh-CN"/>
              </w:rPr>
              <w:t xml:space="preserve">明函》或《残疾人福利性单位声明函》或由 </w:t>
            </w:r>
          </w:p>
          <w:p w14:paraId="596FE4B8">
            <w:pPr>
              <w:tabs>
                <w:tab w:val="left" w:pos="1080"/>
              </w:tabs>
              <w:snapToGrid w:val="0"/>
              <w:rPr>
                <w:rFonts w:ascii="宋体" w:hAnsi="宋体"/>
                <w:color w:val="auto"/>
                <w:sz w:val="24"/>
                <w:highlight w:val="none"/>
              </w:rPr>
            </w:pPr>
            <w:r>
              <w:rPr>
                <w:rFonts w:hint="default" w:ascii="宋体" w:hAnsi="宋体"/>
                <w:color w:val="auto"/>
                <w:sz w:val="24"/>
                <w:highlight w:val="none"/>
                <w:lang w:val="en-US" w:eastAsia="zh-CN"/>
              </w:rPr>
              <w:t xml:space="preserve">省级以上监狱管理局、戒毒管理局（含新疆 </w:t>
            </w:r>
          </w:p>
          <w:p w14:paraId="278EC3FF">
            <w:pPr>
              <w:tabs>
                <w:tab w:val="left" w:pos="1080"/>
              </w:tabs>
              <w:snapToGrid w:val="0"/>
              <w:rPr>
                <w:rFonts w:ascii="宋体" w:hAnsi="宋体"/>
                <w:color w:val="auto"/>
                <w:sz w:val="24"/>
                <w:highlight w:val="none"/>
              </w:rPr>
            </w:pPr>
            <w:r>
              <w:rPr>
                <w:rFonts w:hint="default" w:ascii="宋体" w:hAnsi="宋体"/>
                <w:color w:val="auto"/>
                <w:sz w:val="24"/>
                <w:highlight w:val="none"/>
                <w:lang w:val="en-US" w:eastAsia="zh-CN"/>
              </w:rPr>
              <w:t xml:space="preserve">生产建设兵团）出具的属于监狱企业的证明 </w:t>
            </w:r>
          </w:p>
          <w:p w14:paraId="2DDE85F2">
            <w:pPr>
              <w:tabs>
                <w:tab w:val="left" w:pos="1080"/>
              </w:tabs>
              <w:snapToGrid w:val="0"/>
              <w:rPr>
                <w:rFonts w:ascii="宋体" w:hAnsi="宋体"/>
                <w:color w:val="auto"/>
                <w:sz w:val="24"/>
                <w:highlight w:val="none"/>
              </w:rPr>
            </w:pPr>
            <w:r>
              <w:rPr>
                <w:rFonts w:hint="default" w:ascii="宋体" w:hAnsi="宋体"/>
                <w:color w:val="auto"/>
                <w:sz w:val="24"/>
                <w:highlight w:val="none"/>
                <w:lang w:val="en-US" w:eastAsia="zh-CN"/>
              </w:rPr>
              <w:t xml:space="preserve">文件。 </w:t>
            </w:r>
          </w:p>
          <w:p w14:paraId="790853CA">
            <w:pPr>
              <w:tabs>
                <w:tab w:val="left" w:pos="1080"/>
              </w:tabs>
              <w:snapToGrid w:val="0"/>
              <w:rPr>
                <w:rFonts w:ascii="宋体" w:hAnsi="宋体"/>
                <w:color w:val="auto"/>
                <w:sz w:val="24"/>
                <w:highlight w:val="none"/>
              </w:rPr>
            </w:pPr>
            <w:r>
              <w:rPr>
                <w:rFonts w:hint="default" w:ascii="宋体" w:hAnsi="宋体"/>
                <w:color w:val="auto"/>
                <w:sz w:val="24"/>
                <w:highlight w:val="none"/>
                <w:lang w:val="en-US" w:eastAsia="zh-CN"/>
              </w:rPr>
              <w:t xml:space="preserve">2、如招标文件要求以联合体形式参加或者要 </w:t>
            </w:r>
          </w:p>
          <w:p w14:paraId="698D5328">
            <w:pPr>
              <w:tabs>
                <w:tab w:val="left" w:pos="1080"/>
              </w:tabs>
              <w:snapToGrid w:val="0"/>
              <w:rPr>
                <w:rFonts w:ascii="宋体" w:hAnsi="宋体"/>
                <w:color w:val="auto"/>
                <w:sz w:val="24"/>
                <w:highlight w:val="none"/>
              </w:rPr>
            </w:pPr>
            <w:r>
              <w:rPr>
                <w:rFonts w:hint="default" w:ascii="宋体" w:hAnsi="宋体"/>
                <w:color w:val="auto"/>
                <w:sz w:val="24"/>
                <w:highlight w:val="none"/>
                <w:lang w:val="en-US" w:eastAsia="zh-CN"/>
              </w:rPr>
              <w:t xml:space="preserve">求合同分包的，且投标人为联合体或拟进行 </w:t>
            </w:r>
          </w:p>
          <w:p w14:paraId="11FD5126">
            <w:pPr>
              <w:tabs>
                <w:tab w:val="left" w:pos="1080"/>
              </w:tabs>
              <w:snapToGrid w:val="0"/>
              <w:rPr>
                <w:rFonts w:ascii="宋体" w:hAnsi="宋体"/>
                <w:color w:val="auto"/>
                <w:sz w:val="24"/>
                <w:highlight w:val="none"/>
              </w:rPr>
            </w:pPr>
            <w:r>
              <w:rPr>
                <w:rFonts w:hint="default" w:ascii="宋体" w:hAnsi="宋体"/>
                <w:color w:val="auto"/>
                <w:sz w:val="24"/>
                <w:highlight w:val="none"/>
                <w:lang w:val="en-US" w:eastAsia="zh-CN"/>
              </w:rPr>
              <w:t xml:space="preserve">合同分包的，则联合体中的中小企业、签订 </w:t>
            </w:r>
          </w:p>
          <w:p w14:paraId="59492780">
            <w:pPr>
              <w:tabs>
                <w:tab w:val="left" w:pos="1080"/>
              </w:tabs>
              <w:snapToGrid w:val="0"/>
              <w:rPr>
                <w:rFonts w:ascii="宋体" w:hAnsi="宋体"/>
                <w:color w:val="auto"/>
                <w:sz w:val="24"/>
                <w:highlight w:val="none"/>
              </w:rPr>
            </w:pPr>
            <w:r>
              <w:rPr>
                <w:rFonts w:hint="default" w:ascii="宋体" w:hAnsi="宋体"/>
                <w:color w:val="auto"/>
                <w:sz w:val="24"/>
                <w:highlight w:val="none"/>
                <w:lang w:val="en-US" w:eastAsia="zh-CN"/>
              </w:rPr>
              <w:t xml:space="preserve">分包意向协议的中小企业具体情况须在《中 </w:t>
            </w:r>
          </w:p>
          <w:p w14:paraId="44C35312">
            <w:pPr>
              <w:tabs>
                <w:tab w:val="left" w:pos="1080"/>
              </w:tabs>
              <w:snapToGrid w:val="0"/>
              <w:rPr>
                <w:rFonts w:ascii="宋体" w:hAnsi="宋体"/>
                <w:color w:val="auto"/>
                <w:sz w:val="24"/>
                <w:highlight w:val="none"/>
              </w:rPr>
            </w:pPr>
            <w:r>
              <w:rPr>
                <w:rFonts w:hint="default" w:ascii="宋体" w:hAnsi="宋体"/>
                <w:color w:val="auto"/>
                <w:sz w:val="24"/>
                <w:highlight w:val="none"/>
                <w:lang w:val="en-US" w:eastAsia="zh-CN"/>
              </w:rPr>
              <w:t xml:space="preserve">小企业声明函》或《残疾人福利性单位声明 </w:t>
            </w:r>
          </w:p>
          <w:p w14:paraId="322AEB89">
            <w:pPr>
              <w:keepNext w:val="0"/>
              <w:keepLines w:val="0"/>
              <w:widowControl/>
              <w:suppressLineNumbers w:val="0"/>
              <w:jc w:val="left"/>
              <w:rPr>
                <w:color w:val="auto"/>
                <w:highlight w:val="none"/>
              </w:rPr>
            </w:pPr>
            <w:r>
              <w:rPr>
                <w:rFonts w:hint="default" w:ascii="宋体" w:hAnsi="宋体"/>
                <w:color w:val="auto"/>
                <w:sz w:val="24"/>
                <w:highlight w:val="none"/>
                <w:lang w:val="en-US" w:eastAsia="zh-CN"/>
              </w:rPr>
              <w:t>函》或由省级以上监狱管理局、戒毒管理局</w:t>
            </w:r>
            <w:r>
              <w:rPr>
                <w:rFonts w:ascii="FZShuSong-Z01" w:hAnsi="FZShuSong-Z01" w:eastAsia="FZShuSong-Z01" w:cs="FZShuSong-Z01"/>
                <w:color w:val="auto"/>
                <w:kern w:val="0"/>
                <w:sz w:val="24"/>
                <w:szCs w:val="24"/>
                <w:highlight w:val="none"/>
                <w:lang w:val="en-US" w:eastAsia="zh-CN" w:bidi="ar"/>
              </w:rPr>
              <w:t xml:space="preserve">（含新疆生产建设兵团）出具的属于监狱企 </w:t>
            </w:r>
          </w:p>
          <w:p w14:paraId="6D258E92">
            <w:pPr>
              <w:keepNext w:val="0"/>
              <w:keepLines w:val="0"/>
              <w:widowControl/>
              <w:suppressLineNumbers w:val="0"/>
              <w:jc w:val="left"/>
              <w:rPr>
                <w:color w:val="auto"/>
                <w:highlight w:val="none"/>
              </w:rPr>
            </w:pPr>
            <w:r>
              <w:rPr>
                <w:rFonts w:hint="default" w:ascii="FZShuSong-Z01" w:hAnsi="FZShuSong-Z01" w:eastAsia="FZShuSong-Z01" w:cs="FZShuSong-Z01"/>
                <w:color w:val="auto"/>
                <w:kern w:val="0"/>
                <w:sz w:val="24"/>
                <w:szCs w:val="24"/>
                <w:highlight w:val="none"/>
                <w:lang w:val="en-US" w:eastAsia="zh-CN" w:bidi="ar"/>
              </w:rPr>
              <w:t xml:space="preserve">业的证明文件中如实填报，且满足招标文件 </w:t>
            </w:r>
          </w:p>
          <w:p w14:paraId="1513CAA4">
            <w:pPr>
              <w:keepNext w:val="0"/>
              <w:keepLines w:val="0"/>
              <w:widowControl/>
              <w:suppressLineNumbers w:val="0"/>
              <w:jc w:val="left"/>
              <w:rPr>
                <w:rFonts w:ascii="宋体" w:hAnsi="宋体"/>
                <w:color w:val="auto"/>
                <w:sz w:val="24"/>
                <w:highlight w:val="none"/>
              </w:rPr>
            </w:pPr>
            <w:r>
              <w:rPr>
                <w:rFonts w:hint="default" w:ascii="FZShuSong-Z01" w:hAnsi="FZShuSong-Z01" w:eastAsia="FZShuSong-Z01" w:cs="FZShuSong-Z01"/>
                <w:color w:val="auto"/>
                <w:kern w:val="0"/>
                <w:sz w:val="24"/>
                <w:szCs w:val="24"/>
                <w:highlight w:val="none"/>
                <w:lang w:val="en-US" w:eastAsia="zh-CN" w:bidi="ar"/>
              </w:rPr>
              <w:t>关于预留份额的要求。</w:t>
            </w:r>
          </w:p>
          <w:p w14:paraId="3EFF07B1">
            <w:pPr>
              <w:tabs>
                <w:tab w:val="left" w:pos="1080"/>
              </w:tabs>
              <w:snapToGrid w:val="0"/>
              <w:rPr>
                <w:rFonts w:ascii="宋体" w:hAnsi="宋体"/>
                <w:color w:val="auto"/>
                <w:sz w:val="24"/>
                <w:highlight w:val="none"/>
              </w:rPr>
            </w:pPr>
          </w:p>
        </w:tc>
        <w:tc>
          <w:tcPr>
            <w:tcW w:w="882" w:type="pct"/>
            <w:vAlign w:val="center"/>
          </w:tcPr>
          <w:p w14:paraId="11985684">
            <w:pPr>
              <w:tabs>
                <w:tab w:val="left" w:pos="1080"/>
              </w:tabs>
              <w:snapToGrid w:val="0"/>
              <w:rPr>
                <w:rFonts w:ascii="宋体" w:hAnsi="宋体"/>
                <w:color w:val="auto"/>
                <w:sz w:val="24"/>
                <w:highlight w:val="none"/>
              </w:rPr>
            </w:pPr>
            <w:r>
              <w:rPr>
                <w:rFonts w:ascii="宋体" w:hAnsi="宋体"/>
                <w:color w:val="auto"/>
                <w:sz w:val="24"/>
                <w:highlight w:val="none"/>
              </w:rPr>
              <w:t>格式见《投标文件格式》</w:t>
            </w:r>
          </w:p>
        </w:tc>
      </w:tr>
      <w:tr w14:paraId="10B06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7" w:type="pct"/>
            <w:vAlign w:val="center"/>
          </w:tcPr>
          <w:p w14:paraId="523720AC">
            <w:pPr>
              <w:tabs>
                <w:tab w:val="left" w:pos="1080"/>
              </w:tabs>
              <w:snapToGrid w:val="0"/>
              <w:jc w:val="center"/>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w:t>
            </w:r>
            <w:r>
              <w:rPr>
                <w:rFonts w:ascii="宋体" w:hAnsi="宋体"/>
                <w:color w:val="auto"/>
                <w:sz w:val="24"/>
                <w:highlight w:val="none"/>
              </w:rPr>
              <w:t>2</w:t>
            </w:r>
          </w:p>
        </w:tc>
        <w:tc>
          <w:tcPr>
            <w:tcW w:w="1144" w:type="pct"/>
            <w:vAlign w:val="center"/>
          </w:tcPr>
          <w:p w14:paraId="75EBBA0E">
            <w:pPr>
              <w:tabs>
                <w:tab w:val="left" w:pos="1080"/>
              </w:tabs>
              <w:snapToGrid w:val="0"/>
              <w:rPr>
                <w:rFonts w:ascii="宋体" w:hAnsi="宋体"/>
                <w:color w:val="auto"/>
                <w:sz w:val="24"/>
                <w:highlight w:val="none"/>
              </w:rPr>
            </w:pPr>
            <w:r>
              <w:rPr>
                <w:rFonts w:ascii="宋体" w:hAnsi="宋体"/>
                <w:color w:val="auto"/>
                <w:sz w:val="24"/>
                <w:highlight w:val="none"/>
              </w:rPr>
              <w:t>拟分包情况说明及分包意向协议（类型一）</w:t>
            </w:r>
          </w:p>
        </w:tc>
        <w:tc>
          <w:tcPr>
            <w:tcW w:w="2595" w:type="pct"/>
            <w:vAlign w:val="center"/>
          </w:tcPr>
          <w:p w14:paraId="17CBD5CD">
            <w:pPr>
              <w:tabs>
                <w:tab w:val="left" w:pos="1080"/>
              </w:tabs>
              <w:snapToGrid w:val="0"/>
              <w:rPr>
                <w:rFonts w:ascii="宋体" w:hAnsi="宋体"/>
                <w:color w:val="auto"/>
                <w:sz w:val="24"/>
                <w:highlight w:val="none"/>
              </w:rPr>
            </w:pPr>
            <w:r>
              <w:rPr>
                <w:rFonts w:ascii="宋体" w:hAnsi="宋体"/>
                <w:color w:val="auto"/>
                <w:sz w:val="24"/>
                <w:highlight w:val="none"/>
              </w:rPr>
              <w:t>如本项目（包）要求通过分包措施预留部分采购份额面向中小企业采购、且投标人因落实政府采购政策拟进行分包的，必须提供；否则无须提供。</w:t>
            </w:r>
          </w:p>
          <w:p w14:paraId="346C7E65">
            <w:pPr>
              <w:tabs>
                <w:tab w:val="left" w:pos="1080"/>
              </w:tabs>
              <w:snapToGrid w:val="0"/>
              <w:rPr>
                <w:rFonts w:ascii="宋体" w:hAnsi="宋体"/>
                <w:b/>
                <w:color w:val="auto"/>
                <w:sz w:val="24"/>
                <w:highlight w:val="none"/>
              </w:rPr>
            </w:pPr>
            <w:r>
              <w:rPr>
                <w:rFonts w:ascii="宋体" w:hAnsi="宋体"/>
                <w:color w:val="auto"/>
                <w:sz w:val="24"/>
                <w:highlight w:val="none"/>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27CF3ACA">
            <w:pPr>
              <w:tabs>
                <w:tab w:val="left" w:pos="1080"/>
              </w:tabs>
              <w:snapToGrid w:val="0"/>
              <w:rPr>
                <w:rFonts w:ascii="宋体" w:hAnsi="宋体"/>
                <w:color w:val="auto"/>
                <w:sz w:val="24"/>
                <w:highlight w:val="none"/>
              </w:rPr>
            </w:pPr>
            <w:r>
              <w:rPr>
                <w:rFonts w:ascii="宋体" w:hAnsi="宋体"/>
                <w:color w:val="auto"/>
                <w:sz w:val="24"/>
                <w:highlight w:val="none"/>
              </w:rPr>
              <w:t>格式见《投标文件格式》</w:t>
            </w:r>
          </w:p>
        </w:tc>
      </w:tr>
      <w:tr w14:paraId="73B9F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7" w:type="pct"/>
            <w:vAlign w:val="center"/>
          </w:tcPr>
          <w:p w14:paraId="75E46EF6">
            <w:pPr>
              <w:tabs>
                <w:tab w:val="left" w:pos="1080"/>
              </w:tabs>
              <w:snapToGrid w:val="0"/>
              <w:jc w:val="center"/>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w:t>
            </w:r>
            <w:r>
              <w:rPr>
                <w:rFonts w:ascii="宋体" w:hAnsi="宋体"/>
                <w:color w:val="auto"/>
                <w:sz w:val="24"/>
                <w:highlight w:val="none"/>
              </w:rPr>
              <w:t>3</w:t>
            </w:r>
          </w:p>
        </w:tc>
        <w:tc>
          <w:tcPr>
            <w:tcW w:w="1144" w:type="pct"/>
            <w:vAlign w:val="center"/>
          </w:tcPr>
          <w:p w14:paraId="7FE7F08C">
            <w:pPr>
              <w:tabs>
                <w:tab w:val="left" w:pos="1080"/>
              </w:tabs>
              <w:snapToGrid w:val="0"/>
              <w:rPr>
                <w:rFonts w:ascii="宋体" w:hAnsi="宋体"/>
                <w:color w:val="auto"/>
                <w:sz w:val="24"/>
                <w:highlight w:val="none"/>
              </w:rPr>
            </w:pPr>
            <w:r>
              <w:rPr>
                <w:rFonts w:ascii="宋体" w:hAnsi="宋体"/>
                <w:color w:val="auto"/>
                <w:sz w:val="24"/>
                <w:highlight w:val="none"/>
              </w:rPr>
              <w:t>其它落实政府采购政策的资格要求</w:t>
            </w:r>
          </w:p>
        </w:tc>
        <w:tc>
          <w:tcPr>
            <w:tcW w:w="2595" w:type="pct"/>
            <w:vAlign w:val="center"/>
          </w:tcPr>
          <w:p w14:paraId="081F132C">
            <w:pPr>
              <w:tabs>
                <w:tab w:val="left" w:pos="1080"/>
              </w:tabs>
              <w:snapToGrid w:val="0"/>
              <w:rPr>
                <w:rFonts w:ascii="宋体" w:hAnsi="宋体"/>
                <w:color w:val="auto"/>
                <w:sz w:val="24"/>
                <w:highlight w:val="none"/>
              </w:rPr>
            </w:pPr>
            <w:r>
              <w:rPr>
                <w:rFonts w:ascii="宋体" w:hAnsi="宋体"/>
                <w:color w:val="auto"/>
                <w:sz w:val="24"/>
                <w:highlight w:val="none"/>
              </w:rPr>
              <w:t>如有，见第一章《投标邀请》</w:t>
            </w:r>
          </w:p>
        </w:tc>
        <w:tc>
          <w:tcPr>
            <w:tcW w:w="882" w:type="pct"/>
            <w:vAlign w:val="center"/>
          </w:tcPr>
          <w:p w14:paraId="214DB049">
            <w:pPr>
              <w:tabs>
                <w:tab w:val="left" w:pos="1080"/>
              </w:tabs>
              <w:snapToGrid w:val="0"/>
              <w:rPr>
                <w:rFonts w:ascii="宋体" w:hAnsi="宋体"/>
                <w:color w:val="auto"/>
                <w:sz w:val="24"/>
                <w:highlight w:val="none"/>
              </w:rPr>
            </w:pPr>
            <w:r>
              <w:rPr>
                <w:rFonts w:hint="eastAsia" w:ascii="宋体" w:hAnsi="宋体" w:eastAsia="宋体" w:cs="宋体"/>
                <w:color w:val="auto"/>
                <w:sz w:val="24"/>
                <w:szCs w:val="24"/>
                <w:highlight w:val="none"/>
                <w:lang w:val="en-US" w:eastAsia="zh-CN"/>
              </w:rPr>
              <w:t>提供证明文 件的电子件 或电子证照</w:t>
            </w:r>
          </w:p>
        </w:tc>
      </w:tr>
      <w:tr w14:paraId="5E42D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7" w:type="pct"/>
            <w:vAlign w:val="center"/>
          </w:tcPr>
          <w:p w14:paraId="7FA3F95B">
            <w:pPr>
              <w:tabs>
                <w:tab w:val="left" w:pos="1080"/>
              </w:tabs>
              <w:snapToGrid w:val="0"/>
              <w:jc w:val="center"/>
              <w:rPr>
                <w:rFonts w:ascii="宋体" w:hAnsi="宋体"/>
                <w:color w:val="auto"/>
                <w:sz w:val="24"/>
                <w:highlight w:val="none"/>
              </w:rPr>
            </w:pPr>
            <w:r>
              <w:rPr>
                <w:rFonts w:ascii="宋体" w:hAnsi="宋体"/>
                <w:color w:val="auto"/>
                <w:sz w:val="24"/>
                <w:highlight w:val="none"/>
              </w:rPr>
              <w:t>3</w:t>
            </w:r>
          </w:p>
        </w:tc>
        <w:tc>
          <w:tcPr>
            <w:tcW w:w="1144" w:type="pct"/>
            <w:vAlign w:val="center"/>
          </w:tcPr>
          <w:p w14:paraId="6376F7B7">
            <w:pPr>
              <w:tabs>
                <w:tab w:val="left" w:pos="1080"/>
              </w:tabs>
              <w:snapToGrid w:val="0"/>
              <w:rPr>
                <w:rFonts w:ascii="宋体" w:hAnsi="宋体"/>
                <w:color w:val="auto"/>
                <w:sz w:val="24"/>
                <w:highlight w:val="none"/>
              </w:rPr>
            </w:pPr>
            <w:r>
              <w:rPr>
                <w:rFonts w:ascii="宋体" w:hAnsi="宋体"/>
                <w:color w:val="auto"/>
                <w:sz w:val="24"/>
                <w:highlight w:val="none"/>
              </w:rPr>
              <w:t>本项目的特定资格要求</w:t>
            </w:r>
          </w:p>
        </w:tc>
        <w:tc>
          <w:tcPr>
            <w:tcW w:w="2595" w:type="pct"/>
            <w:vAlign w:val="center"/>
          </w:tcPr>
          <w:p w14:paraId="57D672CF">
            <w:pPr>
              <w:tabs>
                <w:tab w:val="left" w:pos="1080"/>
              </w:tabs>
              <w:snapToGrid w:val="0"/>
              <w:rPr>
                <w:rFonts w:ascii="宋体" w:hAnsi="宋体"/>
                <w:color w:val="auto"/>
                <w:sz w:val="24"/>
                <w:highlight w:val="none"/>
              </w:rPr>
            </w:pPr>
            <w:r>
              <w:rPr>
                <w:rFonts w:ascii="宋体" w:hAnsi="宋体"/>
                <w:color w:val="auto"/>
                <w:sz w:val="24"/>
                <w:highlight w:val="none"/>
              </w:rPr>
              <w:t>如有，见第一章《投标邀请》</w:t>
            </w:r>
          </w:p>
        </w:tc>
        <w:tc>
          <w:tcPr>
            <w:tcW w:w="882" w:type="pct"/>
            <w:vAlign w:val="center"/>
          </w:tcPr>
          <w:p w14:paraId="2E99DCFE">
            <w:pPr>
              <w:tabs>
                <w:tab w:val="left" w:pos="1080"/>
              </w:tabs>
              <w:snapToGrid w:val="0"/>
              <w:rPr>
                <w:rFonts w:ascii="宋体" w:hAnsi="宋体"/>
                <w:color w:val="auto"/>
                <w:sz w:val="24"/>
                <w:highlight w:val="none"/>
              </w:rPr>
            </w:pPr>
          </w:p>
        </w:tc>
      </w:tr>
      <w:tr w14:paraId="6068C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8" w:hRule="atLeast"/>
        </w:trPr>
        <w:tc>
          <w:tcPr>
            <w:tcW w:w="377" w:type="pct"/>
            <w:vAlign w:val="center"/>
          </w:tcPr>
          <w:p w14:paraId="056DF742">
            <w:pPr>
              <w:tabs>
                <w:tab w:val="left" w:pos="1080"/>
              </w:tabs>
              <w:snapToGrid w:val="0"/>
              <w:jc w:val="center"/>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lang w:val="en-US" w:eastAsia="zh-CN"/>
              </w:rPr>
              <w:t>.</w:t>
            </w:r>
            <w:r>
              <w:rPr>
                <w:rFonts w:ascii="宋体" w:hAnsi="宋体"/>
                <w:color w:val="auto"/>
                <w:sz w:val="24"/>
                <w:highlight w:val="none"/>
              </w:rPr>
              <w:t>1</w:t>
            </w:r>
          </w:p>
        </w:tc>
        <w:tc>
          <w:tcPr>
            <w:tcW w:w="1144" w:type="pct"/>
            <w:vAlign w:val="center"/>
          </w:tcPr>
          <w:p w14:paraId="23109581">
            <w:pPr>
              <w:tabs>
                <w:tab w:val="left" w:pos="1080"/>
              </w:tabs>
              <w:snapToGrid w:val="0"/>
              <w:rPr>
                <w:rFonts w:ascii="宋体" w:hAnsi="宋体"/>
                <w:color w:val="auto"/>
                <w:sz w:val="24"/>
                <w:highlight w:val="none"/>
              </w:rPr>
            </w:pPr>
            <w:r>
              <w:rPr>
                <w:rFonts w:ascii="宋体" w:hAnsi="宋体"/>
                <w:color w:val="auto"/>
                <w:sz w:val="24"/>
                <w:highlight w:val="none"/>
              </w:rPr>
              <w:t>是否接受联合体投标</w:t>
            </w:r>
          </w:p>
        </w:tc>
        <w:tc>
          <w:tcPr>
            <w:tcW w:w="2595" w:type="pct"/>
            <w:vAlign w:val="center"/>
          </w:tcPr>
          <w:p w14:paraId="7B52AB51">
            <w:pPr>
              <w:tabs>
                <w:tab w:val="left" w:pos="1080"/>
              </w:tabs>
              <w:snapToGrid w:val="0"/>
              <w:rPr>
                <w:rFonts w:ascii="宋体" w:hAnsi="宋体"/>
                <w:color w:val="auto"/>
                <w:sz w:val="24"/>
                <w:highlight w:val="none"/>
              </w:rPr>
            </w:pPr>
            <w:r>
              <w:rPr>
                <w:rFonts w:ascii="宋体" w:hAnsi="宋体"/>
                <w:color w:val="auto"/>
                <w:sz w:val="24"/>
                <w:highlight w:val="none"/>
              </w:rPr>
              <w:t>1、如本项目接受联合体投标，且投标人为联合体时必须提供《联合协议》，明确各方拟承担的工作和责任，并指定联合体牵头人，授权其代表所有联合体成员负责本项目投标和合同实施阶段的</w:t>
            </w:r>
            <w:r>
              <w:rPr>
                <w:rFonts w:hint="eastAsia" w:ascii="宋体" w:hAnsi="宋体"/>
                <w:color w:val="auto"/>
                <w:sz w:val="24"/>
                <w:highlight w:val="none"/>
              </w:rPr>
              <w:t>牵头</w:t>
            </w:r>
            <w:r>
              <w:rPr>
                <w:rFonts w:ascii="宋体" w:hAnsi="宋体"/>
                <w:color w:val="auto"/>
                <w:sz w:val="24"/>
                <w:highlight w:val="none"/>
              </w:rPr>
              <w:t>、协调工作。该联合协议应当作为投标文件的组成部分，与投标文件其他内容同时递交。</w:t>
            </w:r>
          </w:p>
          <w:p w14:paraId="3AC42C8A">
            <w:pPr>
              <w:tabs>
                <w:tab w:val="left" w:pos="1080"/>
              </w:tabs>
              <w:snapToGrid w:val="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联合体各成员单位均须提供本表中序号1-1、1-2的证明文件。</w:t>
            </w:r>
          </w:p>
          <w:p w14:paraId="105BF85A">
            <w:pPr>
              <w:tabs>
                <w:tab w:val="left" w:pos="1080"/>
              </w:tabs>
              <w:snapToGrid w:val="0"/>
              <w:rPr>
                <w:rFonts w:ascii="宋体" w:hAnsi="宋体"/>
                <w:color w:val="auto"/>
                <w:sz w:val="24"/>
                <w:highlight w:val="none"/>
              </w:rPr>
            </w:pPr>
            <w:r>
              <w:rPr>
                <w:rFonts w:hint="eastAsia" w:ascii="宋体" w:hAnsi="宋体"/>
                <w:color w:val="auto"/>
                <w:sz w:val="24"/>
                <w:highlight w:val="none"/>
              </w:rPr>
              <w:t>3、本表序号3-2项规定的其他特定资格要求中的每一小项要求，联合体各方中至少应当有一方符合本表中其他资格要求并提供证明文件。</w:t>
            </w:r>
          </w:p>
          <w:p w14:paraId="615D2F98">
            <w:pPr>
              <w:tabs>
                <w:tab w:val="left" w:pos="1080"/>
              </w:tabs>
              <w:snapToGrid w:val="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、联合体中有同类资质的供应商按照联合体分工承担相同工作的，应当按照资质等级较低的供应商确定资质等级。</w:t>
            </w:r>
          </w:p>
          <w:p w14:paraId="152E6EA7">
            <w:pPr>
              <w:tabs>
                <w:tab w:val="left" w:pos="1080"/>
              </w:tabs>
              <w:snapToGrid w:val="0"/>
              <w:rPr>
                <w:rFonts w:ascii="宋体" w:hAnsi="宋体"/>
                <w:color w:val="auto"/>
                <w:sz w:val="24"/>
                <w:highlight w:val="none"/>
              </w:rPr>
            </w:pPr>
            <w:r>
              <w:rPr>
                <w:rFonts w:ascii="宋体" w:hAnsi="宋体"/>
                <w:color w:val="auto"/>
                <w:sz w:val="24"/>
                <w:highlight w:val="none"/>
              </w:rPr>
              <w:t>5、以联合体形式参加政府采购活动的，联合体各方不得再单独参加或者与其他供应商另外组成联合体参加同一合同项下的政府采购活动。</w:t>
            </w:r>
          </w:p>
          <w:p w14:paraId="06A4C4C0">
            <w:pPr>
              <w:tabs>
                <w:tab w:val="left" w:pos="1080"/>
              </w:tabs>
              <w:snapToGrid w:val="0"/>
              <w:rPr>
                <w:rFonts w:ascii="宋体" w:hAnsi="宋体"/>
                <w:color w:val="auto"/>
                <w:sz w:val="24"/>
                <w:highlight w:val="none"/>
              </w:rPr>
            </w:pPr>
            <w:r>
              <w:rPr>
                <w:rFonts w:ascii="宋体" w:hAnsi="宋体"/>
                <w:color w:val="auto"/>
                <w:sz w:val="24"/>
                <w:highlight w:val="none"/>
              </w:rPr>
              <w:t>6、若联合体中任一成员单位中途退出，则该联合体的</w:t>
            </w:r>
            <w:r>
              <w:rPr>
                <w:rFonts w:ascii="宋体" w:hAnsi="宋体"/>
                <w:b/>
                <w:color w:val="auto"/>
                <w:sz w:val="24"/>
                <w:highlight w:val="none"/>
              </w:rPr>
              <w:t>投标无效</w:t>
            </w:r>
            <w:r>
              <w:rPr>
                <w:rFonts w:ascii="宋体" w:hAnsi="宋体"/>
                <w:color w:val="auto"/>
                <w:sz w:val="24"/>
                <w:highlight w:val="none"/>
              </w:rPr>
              <w:t>。</w:t>
            </w:r>
          </w:p>
          <w:p w14:paraId="29FF8492">
            <w:pPr>
              <w:tabs>
                <w:tab w:val="left" w:pos="1080"/>
              </w:tabs>
              <w:snapToGrid w:val="0"/>
              <w:rPr>
                <w:rFonts w:ascii="宋体" w:hAnsi="宋体"/>
                <w:color w:val="auto"/>
                <w:sz w:val="24"/>
                <w:highlight w:val="none"/>
              </w:rPr>
            </w:pPr>
            <w:r>
              <w:rPr>
                <w:rFonts w:ascii="宋体" w:hAnsi="宋体"/>
                <w:color w:val="auto"/>
                <w:sz w:val="24"/>
                <w:highlight w:val="none"/>
              </w:rPr>
              <w:t>7、本项目不接受联合体投标</w:t>
            </w:r>
            <w:r>
              <w:rPr>
                <w:rFonts w:hint="eastAsia" w:ascii="宋体" w:hAnsi="宋体"/>
                <w:color w:val="auto"/>
                <w:sz w:val="24"/>
                <w:highlight w:val="none"/>
              </w:rPr>
              <w:t>时</w:t>
            </w:r>
            <w:r>
              <w:rPr>
                <w:rFonts w:ascii="宋体" w:hAnsi="宋体"/>
                <w:color w:val="auto"/>
                <w:sz w:val="24"/>
                <w:highlight w:val="none"/>
              </w:rPr>
              <w:t>，</w:t>
            </w:r>
            <w:r>
              <w:rPr>
                <w:rFonts w:hint="eastAsia" w:ascii="宋体" w:hAnsi="宋体"/>
                <w:color w:val="auto"/>
                <w:sz w:val="24"/>
                <w:highlight w:val="none"/>
              </w:rPr>
              <w:t>投标人不得为联合体</w:t>
            </w:r>
            <w:r>
              <w:rPr>
                <w:rFonts w:ascii="宋体" w:hAnsi="宋体"/>
                <w:color w:val="auto"/>
                <w:sz w:val="24"/>
                <w:highlight w:val="none"/>
              </w:rPr>
              <w:t>。</w:t>
            </w:r>
          </w:p>
        </w:tc>
        <w:tc>
          <w:tcPr>
            <w:tcW w:w="882" w:type="pct"/>
            <w:vAlign w:val="center"/>
          </w:tcPr>
          <w:p w14:paraId="4847287F">
            <w:pPr>
              <w:tabs>
                <w:tab w:val="left" w:pos="1080"/>
              </w:tabs>
              <w:snapToGrid w:val="0"/>
              <w:rPr>
                <w:rFonts w:ascii="宋体" w:hAnsi="宋体"/>
                <w:color w:val="auto"/>
                <w:sz w:val="24"/>
                <w:highlight w:val="none"/>
              </w:rPr>
            </w:pPr>
            <w:r>
              <w:rPr>
                <w:rFonts w:ascii="宋体" w:hAnsi="宋体"/>
                <w:color w:val="auto"/>
                <w:sz w:val="24"/>
                <w:highlight w:val="none"/>
              </w:rPr>
              <w:t>提供《联合协议》</w:t>
            </w:r>
            <w:r>
              <w:rPr>
                <w:rFonts w:hint="eastAsia" w:ascii="宋体" w:hAnsi="宋体"/>
                <w:color w:val="auto"/>
                <w:sz w:val="24"/>
                <w:highlight w:val="none"/>
              </w:rPr>
              <w:t>原</w:t>
            </w:r>
            <w:r>
              <w:rPr>
                <w:rFonts w:ascii="宋体" w:hAnsi="宋体"/>
                <w:color w:val="auto"/>
                <w:sz w:val="24"/>
                <w:highlight w:val="none"/>
              </w:rPr>
              <w:t>件</w:t>
            </w:r>
            <w:r>
              <w:rPr>
                <w:rFonts w:hint="eastAsia" w:ascii="宋体" w:hAnsi="宋体"/>
                <w:color w:val="auto"/>
                <w:sz w:val="24"/>
                <w:highlight w:val="none"/>
              </w:rPr>
              <w:t>；</w:t>
            </w:r>
          </w:p>
          <w:p w14:paraId="194966E2">
            <w:pPr>
              <w:tabs>
                <w:tab w:val="left" w:pos="1080"/>
              </w:tabs>
              <w:snapToGrid w:val="0"/>
              <w:rPr>
                <w:rFonts w:ascii="宋体" w:hAnsi="宋体"/>
                <w:color w:val="auto"/>
                <w:sz w:val="24"/>
                <w:highlight w:val="none"/>
              </w:rPr>
            </w:pPr>
            <w:r>
              <w:rPr>
                <w:rFonts w:ascii="宋体" w:hAnsi="宋体"/>
                <w:color w:val="auto"/>
                <w:sz w:val="24"/>
                <w:highlight w:val="none"/>
              </w:rPr>
              <w:t>格式见《投标文件格式》</w:t>
            </w:r>
          </w:p>
        </w:tc>
      </w:tr>
      <w:tr w14:paraId="1C5C6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701" w:type="dxa"/>
            <w:vAlign w:val="center"/>
          </w:tcPr>
          <w:p w14:paraId="0F3F7B7C">
            <w:pPr>
              <w:tabs>
                <w:tab w:val="left" w:pos="1080"/>
              </w:tabs>
              <w:snapToGrid w:val="0"/>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3.2</w:t>
            </w:r>
          </w:p>
        </w:tc>
        <w:tc>
          <w:tcPr>
            <w:tcW w:w="2126" w:type="dxa"/>
            <w:vAlign w:val="center"/>
          </w:tcPr>
          <w:p w14:paraId="2AA23591">
            <w:pPr>
              <w:tabs>
                <w:tab w:val="left" w:pos="1080"/>
              </w:tabs>
              <w:snapToGrid w:val="0"/>
              <w:rPr>
                <w:rFonts w:hint="eastAsia" w:ascii="宋体" w:hAnsi="宋体"/>
                <w:color w:val="auto"/>
                <w:sz w:val="24"/>
                <w:highlight w:val="none"/>
              </w:rPr>
            </w:pPr>
            <w:r>
              <w:rPr>
                <w:rFonts w:hint="eastAsia" w:ascii="宋体" w:hAnsi="宋体"/>
                <w:color w:val="auto"/>
                <w:sz w:val="24"/>
                <w:highlight w:val="none"/>
              </w:rPr>
              <w:t>政府购买服务承</w:t>
            </w:r>
          </w:p>
          <w:p w14:paraId="1790017D">
            <w:pPr>
              <w:tabs>
                <w:tab w:val="left" w:pos="1080"/>
              </w:tabs>
              <w:snapToGrid w:val="0"/>
              <w:rPr>
                <w:rFonts w:ascii="宋体" w:hAnsi="宋体"/>
                <w:color w:val="auto"/>
                <w:sz w:val="24"/>
                <w:highlight w:val="none"/>
              </w:rPr>
            </w:pPr>
            <w:r>
              <w:rPr>
                <w:rFonts w:hint="eastAsia" w:ascii="宋体" w:hAnsi="宋体"/>
                <w:color w:val="auto"/>
                <w:sz w:val="24"/>
                <w:highlight w:val="none"/>
              </w:rPr>
              <w:t>接主体的要求</w:t>
            </w:r>
          </w:p>
        </w:tc>
        <w:tc>
          <w:tcPr>
            <w:tcW w:w="4822" w:type="dxa"/>
            <w:vAlign w:val="center"/>
          </w:tcPr>
          <w:p w14:paraId="45925E1A">
            <w:pPr>
              <w:tabs>
                <w:tab w:val="left" w:pos="1080"/>
              </w:tabs>
              <w:snapToGrid w:val="0"/>
              <w:rPr>
                <w:rFonts w:hint="eastAsia" w:ascii="宋体" w:hAnsi="宋体"/>
                <w:color w:val="auto"/>
                <w:sz w:val="24"/>
                <w:highlight w:val="none"/>
              </w:rPr>
            </w:pPr>
            <w:r>
              <w:rPr>
                <w:rFonts w:hint="eastAsia" w:ascii="宋体" w:hAnsi="宋体"/>
                <w:color w:val="auto"/>
                <w:sz w:val="24"/>
                <w:highlight w:val="none"/>
              </w:rPr>
              <w:t>如本项目属于政府购买服务，投标人不属于</w:t>
            </w:r>
          </w:p>
          <w:p w14:paraId="7EB476A8">
            <w:pPr>
              <w:tabs>
                <w:tab w:val="left" w:pos="1080"/>
              </w:tabs>
              <w:snapToGrid w:val="0"/>
              <w:rPr>
                <w:rFonts w:hint="eastAsia" w:ascii="宋体" w:hAnsi="宋体"/>
                <w:color w:val="auto"/>
                <w:sz w:val="24"/>
                <w:highlight w:val="none"/>
              </w:rPr>
            </w:pPr>
            <w:r>
              <w:rPr>
                <w:rFonts w:hint="eastAsia" w:ascii="宋体" w:hAnsi="宋体"/>
                <w:color w:val="auto"/>
                <w:sz w:val="24"/>
                <w:highlight w:val="none"/>
              </w:rPr>
              <w:t>公益一类事业单位、使用事业编制且由财政</w:t>
            </w:r>
          </w:p>
          <w:p w14:paraId="75BCDAAE">
            <w:pPr>
              <w:tabs>
                <w:tab w:val="left" w:pos="1080"/>
              </w:tabs>
              <w:snapToGrid w:val="0"/>
              <w:rPr>
                <w:rFonts w:ascii="宋体" w:hAnsi="宋体"/>
                <w:color w:val="auto"/>
                <w:sz w:val="24"/>
                <w:highlight w:val="none"/>
              </w:rPr>
            </w:pPr>
            <w:r>
              <w:rPr>
                <w:rFonts w:hint="eastAsia" w:ascii="宋体" w:hAnsi="宋体"/>
                <w:color w:val="auto"/>
                <w:sz w:val="24"/>
                <w:highlight w:val="none"/>
              </w:rPr>
              <w:t>拨款保障的群团组织。</w:t>
            </w:r>
          </w:p>
        </w:tc>
        <w:tc>
          <w:tcPr>
            <w:tcW w:w="1639" w:type="dxa"/>
            <w:vAlign w:val="center"/>
          </w:tcPr>
          <w:p w14:paraId="3C561CCB">
            <w:pPr>
              <w:tabs>
                <w:tab w:val="left" w:pos="1080"/>
              </w:tabs>
              <w:snapToGrid w:val="0"/>
              <w:rPr>
                <w:rFonts w:hint="eastAsia" w:ascii="宋体" w:hAnsi="宋体"/>
                <w:color w:val="auto"/>
                <w:sz w:val="24"/>
                <w:highlight w:val="none"/>
              </w:rPr>
            </w:pPr>
            <w:r>
              <w:rPr>
                <w:rFonts w:hint="eastAsia" w:ascii="宋体" w:hAnsi="宋体"/>
                <w:color w:val="auto"/>
                <w:sz w:val="24"/>
                <w:highlight w:val="none"/>
              </w:rPr>
              <w:t>格式见《投标</w:t>
            </w:r>
          </w:p>
          <w:p w14:paraId="61DADB7F">
            <w:pPr>
              <w:tabs>
                <w:tab w:val="left" w:pos="1080"/>
              </w:tabs>
              <w:snapToGrid w:val="0"/>
              <w:rPr>
                <w:rFonts w:ascii="宋体" w:hAnsi="宋体"/>
                <w:color w:val="auto"/>
                <w:sz w:val="24"/>
                <w:highlight w:val="none"/>
              </w:rPr>
            </w:pPr>
            <w:r>
              <w:rPr>
                <w:rFonts w:hint="eastAsia" w:ascii="宋体" w:hAnsi="宋体"/>
                <w:color w:val="auto"/>
                <w:sz w:val="24"/>
                <w:highlight w:val="none"/>
              </w:rPr>
              <w:t>文件格式》投标人资格声明书</w:t>
            </w:r>
          </w:p>
        </w:tc>
      </w:tr>
      <w:tr w14:paraId="75120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377" w:type="pct"/>
            <w:vAlign w:val="center"/>
          </w:tcPr>
          <w:p w14:paraId="28C6AC2C">
            <w:pPr>
              <w:tabs>
                <w:tab w:val="left" w:pos="1080"/>
              </w:tabs>
              <w:snapToGrid w:val="0"/>
              <w:jc w:val="center"/>
              <w:rPr>
                <w:rFonts w:hint="eastAsia" w:ascii="宋体" w:hAnsi="宋体" w:eastAsia="宋体"/>
                <w:color w:val="auto"/>
                <w:sz w:val="24"/>
                <w:highlight w:val="none"/>
                <w:lang w:eastAsia="zh-CN"/>
              </w:rPr>
            </w:pPr>
            <w:r>
              <w:rPr>
                <w:rFonts w:ascii="宋体" w:hAnsi="宋体"/>
                <w:color w:val="auto"/>
                <w:sz w:val="24"/>
                <w:highlight w:val="none"/>
              </w:rPr>
              <w:t>3</w:t>
            </w:r>
            <w:r>
              <w:rPr>
                <w:rFonts w:hint="eastAsia" w:ascii="宋体" w:hAnsi="宋体"/>
                <w:color w:val="auto"/>
                <w:sz w:val="24"/>
                <w:highlight w:val="none"/>
                <w:lang w:val="en-US" w:eastAsia="zh-CN"/>
              </w:rPr>
              <w:t>.3</w:t>
            </w:r>
          </w:p>
        </w:tc>
        <w:tc>
          <w:tcPr>
            <w:tcW w:w="1144" w:type="pct"/>
            <w:vAlign w:val="center"/>
          </w:tcPr>
          <w:p w14:paraId="68A6E19D">
            <w:pPr>
              <w:tabs>
                <w:tab w:val="left" w:pos="1080"/>
              </w:tabs>
              <w:snapToGrid w:val="0"/>
              <w:rPr>
                <w:rFonts w:ascii="宋体" w:hAnsi="宋体"/>
                <w:color w:val="auto"/>
                <w:sz w:val="24"/>
                <w:highlight w:val="none"/>
              </w:rPr>
            </w:pPr>
            <w:r>
              <w:rPr>
                <w:rFonts w:ascii="宋体" w:hAnsi="宋体"/>
                <w:color w:val="auto"/>
                <w:sz w:val="24"/>
                <w:highlight w:val="none"/>
              </w:rPr>
              <w:t>其他特定资格要求</w:t>
            </w:r>
          </w:p>
        </w:tc>
        <w:tc>
          <w:tcPr>
            <w:tcW w:w="2595" w:type="pct"/>
            <w:vAlign w:val="center"/>
          </w:tcPr>
          <w:p w14:paraId="4190B5E7">
            <w:pPr>
              <w:tabs>
                <w:tab w:val="left" w:pos="1080"/>
              </w:tabs>
              <w:snapToGrid w:val="0"/>
              <w:rPr>
                <w:rFonts w:ascii="宋体" w:hAnsi="宋体"/>
                <w:color w:val="auto"/>
                <w:sz w:val="24"/>
                <w:highlight w:val="none"/>
              </w:rPr>
            </w:pPr>
            <w:r>
              <w:rPr>
                <w:rFonts w:ascii="宋体" w:hAnsi="宋体"/>
                <w:color w:val="auto"/>
                <w:sz w:val="24"/>
                <w:highlight w:val="none"/>
              </w:rPr>
              <w:t>见第一章《投标邀请》</w:t>
            </w:r>
          </w:p>
        </w:tc>
        <w:tc>
          <w:tcPr>
            <w:tcW w:w="882" w:type="pct"/>
            <w:vAlign w:val="center"/>
          </w:tcPr>
          <w:p w14:paraId="15EFD186">
            <w:pPr>
              <w:tabs>
                <w:tab w:val="left" w:pos="1080"/>
              </w:tabs>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提供证明文 件的电子件 或电子证照</w:t>
            </w:r>
          </w:p>
          <w:p w14:paraId="0E57C4EF">
            <w:pPr>
              <w:tabs>
                <w:tab w:val="left" w:pos="1080"/>
              </w:tabs>
              <w:snapToGrid w:val="0"/>
              <w:rPr>
                <w:rFonts w:ascii="宋体" w:hAnsi="宋体"/>
                <w:color w:val="auto"/>
                <w:sz w:val="24"/>
                <w:highlight w:val="none"/>
              </w:rPr>
            </w:pPr>
          </w:p>
        </w:tc>
      </w:tr>
      <w:tr w14:paraId="1643D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7" w:type="pct"/>
            <w:vAlign w:val="center"/>
          </w:tcPr>
          <w:p w14:paraId="70CE0338">
            <w:pPr>
              <w:tabs>
                <w:tab w:val="left" w:pos="1080"/>
              </w:tabs>
              <w:snapToGrid w:val="0"/>
              <w:jc w:val="center"/>
              <w:rPr>
                <w:rFonts w:ascii="宋体" w:hAnsi="宋体"/>
                <w:color w:val="auto"/>
                <w:sz w:val="24"/>
                <w:highlight w:val="none"/>
              </w:rPr>
            </w:pPr>
            <w:r>
              <w:rPr>
                <w:rFonts w:ascii="宋体" w:hAnsi="宋体"/>
                <w:color w:val="auto"/>
                <w:sz w:val="24"/>
                <w:highlight w:val="none"/>
              </w:rPr>
              <w:t>4</w:t>
            </w:r>
          </w:p>
        </w:tc>
        <w:tc>
          <w:tcPr>
            <w:tcW w:w="1144" w:type="pct"/>
            <w:vAlign w:val="center"/>
          </w:tcPr>
          <w:p w14:paraId="017EF55C">
            <w:pPr>
              <w:tabs>
                <w:tab w:val="left" w:pos="1080"/>
              </w:tabs>
              <w:snapToGrid w:val="0"/>
              <w:rPr>
                <w:rFonts w:hint="eastAsia" w:ascii="宋体" w:hAnsi="宋体" w:eastAsia="宋体"/>
                <w:color w:val="auto"/>
                <w:sz w:val="24"/>
                <w:highlight w:val="none"/>
                <w:lang w:eastAsia="zh-CN"/>
              </w:rPr>
            </w:pPr>
            <w:r>
              <w:rPr>
                <w:rFonts w:hint="eastAsia" w:ascii="宋体" w:hAnsi="宋体"/>
                <w:color w:val="auto"/>
                <w:sz w:val="24"/>
                <w:highlight w:val="none"/>
              </w:rPr>
              <w:t>投标保证金</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如有</w:t>
            </w:r>
            <w:r>
              <w:rPr>
                <w:rFonts w:hint="eastAsia" w:ascii="宋体" w:hAnsi="宋体"/>
                <w:color w:val="auto"/>
                <w:sz w:val="24"/>
                <w:highlight w:val="none"/>
                <w:lang w:eastAsia="zh-CN"/>
              </w:rPr>
              <w:t>）</w:t>
            </w:r>
          </w:p>
        </w:tc>
        <w:tc>
          <w:tcPr>
            <w:tcW w:w="2595" w:type="pct"/>
            <w:vAlign w:val="center"/>
          </w:tcPr>
          <w:p w14:paraId="1B0ED27C">
            <w:pPr>
              <w:tabs>
                <w:tab w:val="left" w:pos="1080"/>
              </w:tabs>
              <w:snapToGrid w:val="0"/>
              <w:rPr>
                <w:rFonts w:ascii="宋体" w:hAnsi="宋体"/>
                <w:color w:val="auto"/>
                <w:sz w:val="24"/>
                <w:highlight w:val="none"/>
              </w:rPr>
            </w:pPr>
            <w:r>
              <w:rPr>
                <w:rFonts w:ascii="宋体" w:hAnsi="宋体"/>
                <w:color w:val="auto"/>
                <w:kern w:val="0"/>
                <w:sz w:val="24"/>
                <w:highlight w:val="none"/>
              </w:rPr>
              <w:t>按照招标文件的规定提交投标保证金</w:t>
            </w:r>
            <w:r>
              <w:rPr>
                <w:rFonts w:hint="eastAsia" w:ascii="宋体" w:hAnsi="宋体"/>
                <w:color w:val="auto"/>
                <w:kern w:val="0"/>
                <w:sz w:val="24"/>
                <w:highlight w:val="none"/>
              </w:rPr>
              <w:t>。</w:t>
            </w:r>
          </w:p>
        </w:tc>
        <w:tc>
          <w:tcPr>
            <w:tcW w:w="882" w:type="pct"/>
            <w:vAlign w:val="center"/>
          </w:tcPr>
          <w:p w14:paraId="0A8FCF26">
            <w:pPr>
              <w:tabs>
                <w:tab w:val="left" w:pos="1080"/>
              </w:tabs>
              <w:snapToGrid w:val="0"/>
              <w:rPr>
                <w:rFonts w:ascii="宋体" w:hAnsi="宋体"/>
                <w:color w:val="auto"/>
                <w:sz w:val="24"/>
                <w:highlight w:val="none"/>
              </w:rPr>
            </w:pPr>
          </w:p>
        </w:tc>
        <w:bookmarkStart w:id="644" w:name="_Hlt522424701"/>
        <w:bookmarkStart w:id="645" w:name="_Hlt487900425"/>
      </w:tr>
      <w:tr w14:paraId="63FB9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7" w:type="pct"/>
            <w:vAlign w:val="center"/>
          </w:tcPr>
          <w:p w14:paraId="6A799AEE">
            <w:pPr>
              <w:tabs>
                <w:tab w:val="left" w:pos="1080"/>
              </w:tabs>
              <w:snapToGrid w:val="0"/>
              <w:jc w:val="center"/>
              <w:rPr>
                <w:rFonts w:hint="eastAsia" w:ascii="宋体" w:hAnsi="宋体" w:eastAsia="宋体"/>
                <w:color w:val="auto"/>
                <w:sz w:val="24"/>
                <w:highlight w:val="none"/>
                <w:lang w:val="en-US" w:eastAsia="zh-CN"/>
              </w:rPr>
            </w:pPr>
            <w:bookmarkStart w:id="646" w:name="_Toc127151779"/>
            <w:bookmarkStart w:id="647" w:name="_Toc353873940"/>
            <w:bookmarkStart w:id="648" w:name="_Toc353825550"/>
            <w:bookmarkStart w:id="649" w:name="_Toc226965858"/>
            <w:bookmarkStart w:id="650" w:name="_Toc127161490"/>
            <w:r>
              <w:rPr>
                <w:rFonts w:hint="eastAsia" w:ascii="宋体" w:hAnsi="宋体"/>
                <w:color w:val="auto"/>
                <w:sz w:val="24"/>
                <w:highlight w:val="none"/>
                <w:lang w:val="en-US" w:eastAsia="zh-CN"/>
              </w:rPr>
              <w:t>5</w:t>
            </w:r>
          </w:p>
        </w:tc>
        <w:tc>
          <w:tcPr>
            <w:tcW w:w="1144" w:type="pct"/>
            <w:vAlign w:val="center"/>
          </w:tcPr>
          <w:p w14:paraId="343677FE">
            <w:pPr>
              <w:tabs>
                <w:tab w:val="left" w:pos="1080"/>
              </w:tabs>
              <w:snapToGrid w:val="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获取招标文件</w:t>
            </w:r>
          </w:p>
        </w:tc>
        <w:tc>
          <w:tcPr>
            <w:tcW w:w="2595" w:type="pct"/>
            <w:vAlign w:val="center"/>
          </w:tcPr>
          <w:p w14:paraId="6B375E9B">
            <w:pPr>
              <w:keepNext w:val="0"/>
              <w:keepLines w:val="0"/>
              <w:widowControl/>
              <w:suppressLineNumbers w:val="0"/>
              <w:jc w:val="left"/>
              <w:rPr>
                <w:color w:val="auto"/>
                <w:highlight w:val="none"/>
              </w:rPr>
            </w:pPr>
            <w:r>
              <w:rPr>
                <w:rFonts w:ascii="FZShuSong-Z01" w:hAnsi="FZShuSong-Z01" w:eastAsia="FZShuSong-Z01" w:cs="FZShuSong-Z01"/>
                <w:color w:val="auto"/>
                <w:kern w:val="0"/>
                <w:sz w:val="24"/>
                <w:szCs w:val="24"/>
                <w:highlight w:val="none"/>
                <w:lang w:val="en-US" w:eastAsia="zh-CN" w:bidi="ar"/>
              </w:rPr>
              <w:t xml:space="preserve">在规定期限内通过北京市政府采购电子交易 </w:t>
            </w:r>
          </w:p>
          <w:p w14:paraId="2CC024CF">
            <w:pPr>
              <w:keepNext w:val="0"/>
              <w:keepLines w:val="0"/>
              <w:widowControl/>
              <w:suppressLineNumbers w:val="0"/>
              <w:jc w:val="left"/>
              <w:rPr>
                <w:color w:val="auto"/>
                <w:highlight w:val="none"/>
              </w:rPr>
            </w:pPr>
            <w:r>
              <w:rPr>
                <w:rFonts w:hint="default" w:ascii="FZShuSong-Z01" w:hAnsi="FZShuSong-Z01" w:eastAsia="FZShuSong-Z01" w:cs="FZShuSong-Z01"/>
                <w:color w:val="auto"/>
                <w:kern w:val="0"/>
                <w:sz w:val="24"/>
                <w:szCs w:val="24"/>
                <w:highlight w:val="none"/>
                <w:lang w:val="en-US" w:eastAsia="zh-CN" w:bidi="ar"/>
              </w:rPr>
              <w:t xml:space="preserve">平台获取所参与包的招标文件。 </w:t>
            </w:r>
          </w:p>
          <w:p w14:paraId="504630E5">
            <w:pPr>
              <w:keepNext w:val="0"/>
              <w:keepLines w:val="0"/>
              <w:widowControl/>
              <w:suppressLineNumbers w:val="0"/>
              <w:jc w:val="left"/>
              <w:rPr>
                <w:color w:val="auto"/>
                <w:highlight w:val="none"/>
              </w:rPr>
            </w:pPr>
            <w:r>
              <w:rPr>
                <w:rFonts w:hint="default" w:ascii="FZShuSong-Z01" w:hAnsi="FZShuSong-Z01" w:eastAsia="FZShuSong-Z01" w:cs="FZShuSong-Z01"/>
                <w:color w:val="auto"/>
                <w:kern w:val="0"/>
                <w:sz w:val="24"/>
                <w:szCs w:val="24"/>
                <w:highlight w:val="none"/>
                <w:lang w:val="en-US" w:eastAsia="zh-CN" w:bidi="ar"/>
              </w:rPr>
              <w:t xml:space="preserve">注：如本项目接受联合体，且供应商为联合 </w:t>
            </w:r>
          </w:p>
          <w:p w14:paraId="47A3732C">
            <w:pPr>
              <w:keepNext w:val="0"/>
              <w:keepLines w:val="0"/>
              <w:widowControl/>
              <w:suppressLineNumbers w:val="0"/>
              <w:jc w:val="left"/>
              <w:rPr>
                <w:color w:val="auto"/>
                <w:highlight w:val="none"/>
              </w:rPr>
            </w:pPr>
            <w:r>
              <w:rPr>
                <w:rFonts w:hint="default" w:ascii="FZShuSong-Z01" w:hAnsi="FZShuSong-Z01" w:eastAsia="FZShuSong-Z01" w:cs="FZShuSong-Z01"/>
                <w:color w:val="auto"/>
                <w:kern w:val="0"/>
                <w:sz w:val="24"/>
                <w:szCs w:val="24"/>
                <w:highlight w:val="none"/>
                <w:lang w:val="en-US" w:eastAsia="zh-CN" w:bidi="ar"/>
              </w:rPr>
              <w:t xml:space="preserve">体时，联合体中任一成员获取文件即视为满 </w:t>
            </w:r>
          </w:p>
          <w:p w14:paraId="5CE0876B">
            <w:pPr>
              <w:keepNext w:val="0"/>
              <w:keepLines w:val="0"/>
              <w:widowControl/>
              <w:suppressLineNumbers w:val="0"/>
              <w:jc w:val="left"/>
              <w:rPr>
                <w:rFonts w:ascii="宋体" w:hAnsi="宋体"/>
                <w:color w:val="auto"/>
                <w:kern w:val="0"/>
                <w:sz w:val="24"/>
                <w:highlight w:val="none"/>
              </w:rPr>
            </w:pPr>
            <w:r>
              <w:rPr>
                <w:rFonts w:hint="default" w:ascii="FZShuSong-Z01" w:hAnsi="FZShuSong-Z01" w:eastAsia="FZShuSong-Z01" w:cs="FZShuSong-Z01"/>
                <w:color w:val="auto"/>
                <w:kern w:val="0"/>
                <w:sz w:val="24"/>
                <w:szCs w:val="24"/>
                <w:highlight w:val="none"/>
                <w:lang w:val="en-US" w:eastAsia="zh-CN" w:bidi="ar"/>
              </w:rPr>
              <w:t>足要求。</w:t>
            </w:r>
          </w:p>
        </w:tc>
        <w:tc>
          <w:tcPr>
            <w:tcW w:w="882" w:type="pct"/>
            <w:vAlign w:val="center"/>
          </w:tcPr>
          <w:p w14:paraId="7CA9B700">
            <w:pPr>
              <w:tabs>
                <w:tab w:val="left" w:pos="1080"/>
              </w:tabs>
              <w:snapToGrid w:val="0"/>
              <w:rPr>
                <w:rFonts w:ascii="宋体" w:hAnsi="宋体"/>
                <w:color w:val="auto"/>
                <w:sz w:val="24"/>
                <w:highlight w:val="none"/>
              </w:rPr>
            </w:pPr>
          </w:p>
        </w:tc>
      </w:t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641"/>
      <w:bookmarkEnd w:id="644"/>
      <w:bookmarkEnd w:id="645"/>
    </w:tbl>
    <w:p w14:paraId="37C36005">
      <w:pPr>
        <w:widowControl/>
        <w:jc w:val="left"/>
        <w:rPr>
          <w:rFonts w:ascii="宋体" w:hAnsi="宋体"/>
          <w:color w:val="auto"/>
          <w:sz w:val="24"/>
          <w:highlight w:val="none"/>
        </w:rPr>
      </w:pPr>
      <w:r>
        <w:rPr>
          <w:rFonts w:ascii="宋体" w:hAnsi="宋体"/>
          <w:color w:val="auto"/>
          <w:sz w:val="24"/>
          <w:highlight w:val="none"/>
        </w:rPr>
        <w:br w:type="page"/>
      </w:r>
    </w:p>
    <w:p w14:paraId="05FF3BD1">
      <w:pPr>
        <w:spacing w:line="360" w:lineRule="auto"/>
        <w:ind w:firstLine="723" w:firstLineChars="300"/>
        <w:jc w:val="center"/>
        <w:outlineLvl w:val="0"/>
        <w:rPr>
          <w:rFonts w:ascii="宋体" w:hAnsi="宋体"/>
          <w:b/>
          <w:color w:val="auto"/>
          <w:sz w:val="24"/>
          <w:highlight w:val="none"/>
        </w:rPr>
      </w:pPr>
      <w:bookmarkStart w:id="651" w:name="_Toc7213"/>
      <w:bookmarkStart w:id="652" w:name="_Toc99301423"/>
      <w:bookmarkStart w:id="653" w:name="_Toc5927"/>
      <w:r>
        <w:rPr>
          <w:rFonts w:ascii="宋体" w:hAnsi="宋体"/>
          <w:b/>
          <w:color w:val="auto"/>
          <w:sz w:val="24"/>
          <w:highlight w:val="none"/>
        </w:rPr>
        <w:t xml:space="preserve">第四章   </w:t>
      </w:r>
      <w:bookmarkEnd w:id="646"/>
      <w:bookmarkEnd w:id="647"/>
      <w:bookmarkEnd w:id="648"/>
      <w:bookmarkEnd w:id="649"/>
      <w:bookmarkEnd w:id="650"/>
      <w:bookmarkStart w:id="654" w:name="_Hlt164229061"/>
      <w:bookmarkEnd w:id="654"/>
      <w:r>
        <w:rPr>
          <w:rFonts w:ascii="宋体" w:hAnsi="宋体"/>
          <w:b/>
          <w:color w:val="auto"/>
          <w:sz w:val="24"/>
          <w:highlight w:val="none"/>
        </w:rPr>
        <w:t>评标程序、评标方法和评标标准</w:t>
      </w:r>
      <w:bookmarkEnd w:id="651"/>
      <w:bookmarkEnd w:id="652"/>
      <w:bookmarkEnd w:id="653"/>
    </w:p>
    <w:p w14:paraId="75D3981F">
      <w:pPr>
        <w:tabs>
          <w:tab w:val="left" w:pos="360"/>
          <w:tab w:val="left" w:pos="900"/>
        </w:tabs>
        <w:snapToGrid w:val="0"/>
        <w:spacing w:line="360" w:lineRule="auto"/>
        <w:jc w:val="left"/>
        <w:outlineLvl w:val="1"/>
        <w:rPr>
          <w:rFonts w:ascii="宋体" w:hAnsi="宋体"/>
          <w:b/>
          <w:color w:val="auto"/>
          <w:sz w:val="24"/>
          <w:highlight w:val="none"/>
        </w:rPr>
      </w:pPr>
      <w:r>
        <w:rPr>
          <w:rFonts w:ascii="宋体" w:hAnsi="宋体"/>
          <w:b/>
          <w:color w:val="auto"/>
          <w:sz w:val="24"/>
          <w:highlight w:val="none"/>
        </w:rPr>
        <w:t>一、评标方法</w:t>
      </w:r>
    </w:p>
    <w:p w14:paraId="072F9A26">
      <w:pPr>
        <w:numPr>
          <w:ilvl w:val="0"/>
          <w:numId w:val="16"/>
        </w:numPr>
        <w:tabs>
          <w:tab w:val="left" w:pos="360"/>
        </w:tabs>
        <w:snapToGrid w:val="0"/>
        <w:spacing w:line="360" w:lineRule="auto"/>
        <w:outlineLvl w:val="1"/>
        <w:rPr>
          <w:rFonts w:ascii="宋体" w:hAnsi="宋体"/>
          <w:color w:val="auto"/>
          <w:sz w:val="24"/>
          <w:highlight w:val="none"/>
        </w:rPr>
      </w:pPr>
      <w:bookmarkStart w:id="655" w:name="_Toc151193711"/>
      <w:bookmarkStart w:id="656" w:name="_Toc150480779"/>
      <w:bookmarkStart w:id="657" w:name="_Toc127151541"/>
      <w:bookmarkStart w:id="658" w:name="_Toc150509292"/>
      <w:bookmarkStart w:id="659" w:name="_Toc226309785"/>
      <w:bookmarkStart w:id="660" w:name="_Toc151193855"/>
      <w:bookmarkStart w:id="661" w:name="_Toc151193783"/>
      <w:bookmarkStart w:id="662" w:name="_Toc226965814"/>
      <w:bookmarkStart w:id="663" w:name="_Toc150774641"/>
      <w:bookmarkStart w:id="664" w:name="_Toc151193929"/>
      <w:bookmarkStart w:id="665" w:name="_Toc226337237"/>
      <w:bookmarkStart w:id="666" w:name="_Toc151190168"/>
      <w:bookmarkStart w:id="667" w:name="_Toc226965731"/>
      <w:bookmarkStart w:id="668" w:name="_Toc164229236"/>
      <w:bookmarkStart w:id="669" w:name="_Toc305158883"/>
      <w:bookmarkStart w:id="670" w:name="_Toc142311043"/>
      <w:bookmarkStart w:id="671" w:name="_Toc265228379"/>
      <w:bookmarkStart w:id="672" w:name="_Toc195842906"/>
      <w:bookmarkStart w:id="673" w:name="_Toc150774746"/>
      <w:bookmarkStart w:id="674" w:name="_Toc127151742"/>
      <w:bookmarkStart w:id="675" w:name="_Toc127161455"/>
      <w:bookmarkStart w:id="676" w:name="_Toc164229382"/>
      <w:bookmarkStart w:id="677" w:name="_Toc164608655"/>
      <w:bookmarkStart w:id="678" w:name="_Toc151193639"/>
      <w:bookmarkStart w:id="679" w:name="_Toc164351635"/>
      <w:bookmarkStart w:id="680" w:name="_Toc264969231"/>
      <w:bookmarkStart w:id="681" w:name="_Toc305158809"/>
      <w:bookmarkStart w:id="682" w:name="_Toc164608810"/>
      <w:bookmarkStart w:id="683" w:name="_Toc149720834"/>
      <w:bookmarkStart w:id="684" w:name="_Toc353873941"/>
      <w:bookmarkStart w:id="685" w:name="_Toc353825551"/>
      <w:bookmarkStart w:id="686" w:name="_Toc265228393"/>
      <w:bookmarkStart w:id="687" w:name="_Toc150480793"/>
      <w:bookmarkStart w:id="688" w:name="_Toc264969245"/>
      <w:bookmarkStart w:id="689" w:name="_Toc127151555"/>
      <w:bookmarkStart w:id="690" w:name="_Toc226965828"/>
      <w:bookmarkStart w:id="691" w:name="_Toc353873665"/>
      <w:bookmarkStart w:id="692" w:name="_Toc353873935"/>
      <w:bookmarkStart w:id="693" w:name="_Toc305158823"/>
      <w:bookmarkStart w:id="694" w:name="_Toc142311057"/>
      <w:bookmarkStart w:id="695" w:name="_Toc353825545"/>
      <w:bookmarkStart w:id="696" w:name="_Toc150774760"/>
      <w:bookmarkStart w:id="697" w:name="_Toc226337251"/>
      <w:bookmarkStart w:id="698" w:name="_Toc305158897"/>
      <w:bookmarkStart w:id="699" w:name="_Toc195842920"/>
      <w:r>
        <w:rPr>
          <w:rFonts w:ascii="宋体" w:hAnsi="宋体"/>
          <w:color w:val="auto"/>
          <w:sz w:val="24"/>
          <w:highlight w:val="none"/>
        </w:rPr>
        <w:t>投标文件的符合性审查</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6CB2648C">
      <w:pPr>
        <w:numPr>
          <w:ilvl w:val="1"/>
          <w:numId w:val="16"/>
        </w:numPr>
        <w:tabs>
          <w:tab w:val="left" w:pos="1080"/>
        </w:tabs>
        <w:snapToGrid w:val="0"/>
        <w:spacing w:line="360" w:lineRule="auto"/>
        <w:ind w:left="1077" w:hanging="720"/>
        <w:rPr>
          <w:rFonts w:ascii="宋体" w:hAnsi="宋体"/>
          <w:color w:val="auto"/>
          <w:sz w:val="24"/>
          <w:highlight w:val="none"/>
        </w:rPr>
      </w:pPr>
      <w:r>
        <w:rPr>
          <w:rFonts w:ascii="宋体" w:hAnsi="宋体"/>
          <w:color w:val="auto"/>
          <w:sz w:val="24"/>
          <w:highlight w:val="none"/>
        </w:rPr>
        <w:t>评标委员会对资格审查合格的投标人的投标文件进行符合性审查，以确定其是否满足招标文件的实质性要求。</w:t>
      </w:r>
      <w:bookmarkStart w:id="700" w:name="_Toc520356167"/>
    </w:p>
    <w:p w14:paraId="63B5FEB3">
      <w:pPr>
        <w:numPr>
          <w:ilvl w:val="1"/>
          <w:numId w:val="16"/>
        </w:numPr>
        <w:tabs>
          <w:tab w:val="left" w:pos="1080"/>
        </w:tabs>
        <w:snapToGrid w:val="0"/>
        <w:spacing w:line="360" w:lineRule="auto"/>
        <w:ind w:left="1077" w:hanging="720"/>
        <w:rPr>
          <w:rFonts w:ascii="宋体" w:hAnsi="宋体"/>
          <w:color w:val="auto"/>
          <w:sz w:val="24"/>
          <w:highlight w:val="none"/>
        </w:rPr>
      </w:pPr>
      <w:r>
        <w:rPr>
          <w:rFonts w:ascii="宋体" w:hAnsi="宋体"/>
          <w:color w:val="auto"/>
          <w:sz w:val="24"/>
          <w:highlight w:val="none"/>
        </w:rPr>
        <w:t>评标委员会根据《符合性审查</w:t>
      </w:r>
      <w:r>
        <w:rPr>
          <w:rFonts w:hint="eastAsia" w:ascii="宋体" w:hAnsi="宋体"/>
          <w:color w:val="auto"/>
          <w:sz w:val="24"/>
          <w:highlight w:val="none"/>
        </w:rPr>
        <w:t>要求</w:t>
      </w:r>
      <w:r>
        <w:rPr>
          <w:rFonts w:ascii="宋体" w:hAnsi="宋体"/>
          <w:color w:val="auto"/>
          <w:sz w:val="24"/>
          <w:highlight w:val="none"/>
        </w:rPr>
        <w:t>》中规定的审查因素和审查内容，对投标人的投标文件是否实质上响应招标文件进行符合性审查，并形成符合性审查评审结果。</w:t>
      </w:r>
      <w:r>
        <w:rPr>
          <w:rFonts w:hint="eastAsia" w:ascii="宋体" w:hAnsi="宋体"/>
          <w:color w:val="auto"/>
          <w:sz w:val="24"/>
          <w:highlight w:val="none"/>
        </w:rPr>
        <w:t>投标人《商务技术文件》有任何一项不符合</w:t>
      </w:r>
      <w:r>
        <w:rPr>
          <w:rFonts w:ascii="宋体" w:hAnsi="宋体"/>
          <w:color w:val="auto"/>
          <w:sz w:val="24"/>
          <w:highlight w:val="none"/>
        </w:rPr>
        <w:t>《符合性审查</w:t>
      </w:r>
      <w:r>
        <w:rPr>
          <w:rFonts w:hint="eastAsia" w:ascii="宋体" w:hAnsi="宋体"/>
          <w:color w:val="auto"/>
          <w:sz w:val="24"/>
          <w:highlight w:val="none"/>
        </w:rPr>
        <w:t>要求</w:t>
      </w:r>
      <w:r>
        <w:rPr>
          <w:rFonts w:ascii="宋体" w:hAnsi="宋体"/>
          <w:color w:val="auto"/>
          <w:sz w:val="24"/>
          <w:highlight w:val="none"/>
        </w:rPr>
        <w:t>》</w:t>
      </w:r>
      <w:bookmarkEnd w:id="700"/>
      <w:r>
        <w:rPr>
          <w:rFonts w:hint="eastAsia" w:ascii="宋体" w:hAnsi="宋体"/>
          <w:color w:val="auto"/>
          <w:sz w:val="24"/>
          <w:highlight w:val="none"/>
        </w:rPr>
        <w:t>要求的，</w:t>
      </w:r>
      <w:r>
        <w:rPr>
          <w:rFonts w:hint="eastAsia" w:ascii="宋体" w:hAnsi="宋体"/>
          <w:b/>
          <w:color w:val="auto"/>
          <w:sz w:val="24"/>
          <w:highlight w:val="none"/>
        </w:rPr>
        <w:t>投标无效</w:t>
      </w:r>
      <w:r>
        <w:rPr>
          <w:rFonts w:hint="eastAsia" w:ascii="宋体" w:hAnsi="宋体"/>
          <w:color w:val="auto"/>
          <w:sz w:val="24"/>
          <w:highlight w:val="none"/>
        </w:rPr>
        <w:t>。</w:t>
      </w:r>
    </w:p>
    <w:p w14:paraId="5ABAD25A">
      <w:pPr>
        <w:tabs>
          <w:tab w:val="left" w:pos="900"/>
          <w:tab w:val="left" w:pos="1080"/>
          <w:tab w:val="left" w:pos="1589"/>
        </w:tabs>
        <w:snapToGrid w:val="0"/>
        <w:spacing w:line="360" w:lineRule="auto"/>
        <w:ind w:leftChars="-170" w:hanging="357" w:hangingChars="148"/>
        <w:jc w:val="center"/>
        <w:rPr>
          <w:rFonts w:ascii="宋体" w:hAnsi="宋体"/>
          <w:b/>
          <w:color w:val="auto"/>
          <w:sz w:val="24"/>
          <w:highlight w:val="none"/>
        </w:rPr>
      </w:pPr>
      <w:r>
        <w:rPr>
          <w:rFonts w:ascii="宋体" w:hAnsi="宋体"/>
          <w:b/>
          <w:color w:val="auto"/>
          <w:sz w:val="24"/>
          <w:highlight w:val="none"/>
        </w:rPr>
        <w:t>符合性审查</w:t>
      </w:r>
      <w:r>
        <w:rPr>
          <w:rFonts w:hint="eastAsia" w:ascii="宋体" w:hAnsi="宋体"/>
          <w:b/>
          <w:color w:val="auto"/>
          <w:sz w:val="24"/>
          <w:highlight w:val="none"/>
        </w:rPr>
        <w:t>要求</w:t>
      </w:r>
    </w:p>
    <w:tbl>
      <w:tblPr>
        <w:tblStyle w:val="4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0CB3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vAlign w:val="center"/>
          </w:tcPr>
          <w:p w14:paraId="2C22CA23">
            <w:pPr>
              <w:widowControl/>
              <w:jc w:val="center"/>
              <w:rPr>
                <w:rFonts w:ascii="宋体" w:hAnsi="宋体"/>
                <w:b/>
                <w:color w:val="auto"/>
                <w:kern w:val="0"/>
                <w:sz w:val="24"/>
                <w:highlight w:val="none"/>
              </w:rPr>
            </w:pPr>
            <w:r>
              <w:rPr>
                <w:rFonts w:ascii="宋体" w:hAnsi="宋体"/>
                <w:b/>
                <w:color w:val="auto"/>
                <w:kern w:val="0"/>
                <w:sz w:val="24"/>
                <w:highlight w:val="none"/>
              </w:rPr>
              <w:t>序号</w:t>
            </w:r>
          </w:p>
        </w:tc>
        <w:tc>
          <w:tcPr>
            <w:tcW w:w="975" w:type="pct"/>
            <w:vAlign w:val="center"/>
          </w:tcPr>
          <w:p w14:paraId="4D99ED45">
            <w:pPr>
              <w:widowControl/>
              <w:jc w:val="center"/>
              <w:rPr>
                <w:rFonts w:ascii="宋体" w:hAnsi="宋体"/>
                <w:b/>
                <w:color w:val="auto"/>
                <w:kern w:val="0"/>
                <w:sz w:val="24"/>
                <w:highlight w:val="none"/>
              </w:rPr>
            </w:pPr>
            <w:r>
              <w:rPr>
                <w:rFonts w:ascii="宋体" w:hAnsi="宋体"/>
                <w:b/>
                <w:color w:val="auto"/>
                <w:kern w:val="0"/>
                <w:sz w:val="24"/>
                <w:highlight w:val="none"/>
              </w:rPr>
              <w:t>审查因素</w:t>
            </w:r>
          </w:p>
        </w:tc>
        <w:tc>
          <w:tcPr>
            <w:tcW w:w="3620" w:type="pct"/>
            <w:vAlign w:val="center"/>
          </w:tcPr>
          <w:p w14:paraId="112B5085">
            <w:pPr>
              <w:widowControl/>
              <w:jc w:val="center"/>
              <w:rPr>
                <w:rFonts w:ascii="宋体" w:hAnsi="宋体"/>
                <w:b/>
                <w:color w:val="auto"/>
                <w:kern w:val="0"/>
                <w:sz w:val="24"/>
                <w:highlight w:val="none"/>
              </w:rPr>
            </w:pPr>
            <w:r>
              <w:rPr>
                <w:rFonts w:ascii="宋体" w:hAnsi="宋体"/>
                <w:b/>
                <w:color w:val="auto"/>
                <w:kern w:val="0"/>
                <w:sz w:val="24"/>
                <w:highlight w:val="none"/>
              </w:rPr>
              <w:t>审查内容</w:t>
            </w:r>
          </w:p>
        </w:tc>
      </w:tr>
      <w:tr w14:paraId="34D48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A854D3F">
            <w:pPr>
              <w:widowControl/>
              <w:jc w:val="center"/>
              <w:rPr>
                <w:rFonts w:ascii="宋体" w:hAnsi="宋体"/>
                <w:color w:val="auto"/>
                <w:kern w:val="0"/>
                <w:sz w:val="24"/>
                <w:highlight w:val="none"/>
              </w:rPr>
            </w:pPr>
            <w:r>
              <w:rPr>
                <w:rFonts w:ascii="宋体" w:hAnsi="宋体"/>
                <w:color w:val="auto"/>
                <w:kern w:val="0"/>
                <w:sz w:val="24"/>
                <w:highlight w:val="none"/>
              </w:rPr>
              <w:t>1</w:t>
            </w:r>
          </w:p>
        </w:tc>
        <w:tc>
          <w:tcPr>
            <w:tcW w:w="975" w:type="pct"/>
            <w:vAlign w:val="center"/>
          </w:tcPr>
          <w:p w14:paraId="3CDE276E">
            <w:pPr>
              <w:widowControl/>
              <w:jc w:val="left"/>
              <w:rPr>
                <w:rFonts w:ascii="宋体" w:hAnsi="宋体"/>
                <w:color w:val="auto"/>
                <w:kern w:val="0"/>
                <w:sz w:val="24"/>
                <w:highlight w:val="none"/>
              </w:rPr>
            </w:pPr>
            <w:r>
              <w:rPr>
                <w:rFonts w:ascii="宋体" w:hAnsi="宋体"/>
                <w:color w:val="auto"/>
                <w:kern w:val="0"/>
                <w:sz w:val="24"/>
                <w:highlight w:val="none"/>
              </w:rPr>
              <w:t>授权委托书</w:t>
            </w:r>
          </w:p>
        </w:tc>
        <w:tc>
          <w:tcPr>
            <w:tcW w:w="3620" w:type="pct"/>
            <w:vAlign w:val="center"/>
          </w:tcPr>
          <w:p w14:paraId="00EA1A3C">
            <w:pPr>
              <w:widowControl/>
              <w:jc w:val="left"/>
              <w:rPr>
                <w:rFonts w:ascii="宋体" w:hAnsi="宋体"/>
                <w:color w:val="auto"/>
                <w:kern w:val="0"/>
                <w:sz w:val="24"/>
                <w:highlight w:val="none"/>
              </w:rPr>
            </w:pPr>
            <w:r>
              <w:rPr>
                <w:rFonts w:ascii="宋体" w:hAnsi="宋体"/>
                <w:color w:val="auto"/>
                <w:kern w:val="0"/>
                <w:sz w:val="24"/>
                <w:highlight w:val="none"/>
              </w:rPr>
              <w:t>按招标文件要求提供授权委托书；</w:t>
            </w:r>
          </w:p>
        </w:tc>
      </w:tr>
      <w:tr w14:paraId="2E2C9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D6DD33D">
            <w:pPr>
              <w:widowControl/>
              <w:jc w:val="center"/>
              <w:rPr>
                <w:rFonts w:ascii="宋体" w:hAnsi="宋体"/>
                <w:color w:val="auto"/>
                <w:kern w:val="0"/>
                <w:sz w:val="24"/>
                <w:highlight w:val="none"/>
              </w:rPr>
            </w:pPr>
            <w:r>
              <w:rPr>
                <w:rFonts w:ascii="宋体" w:hAnsi="宋体"/>
                <w:color w:val="auto"/>
                <w:kern w:val="0"/>
                <w:sz w:val="24"/>
                <w:highlight w:val="none"/>
              </w:rPr>
              <w:t>2</w:t>
            </w:r>
          </w:p>
        </w:tc>
        <w:tc>
          <w:tcPr>
            <w:tcW w:w="975" w:type="pct"/>
            <w:vAlign w:val="center"/>
          </w:tcPr>
          <w:p w14:paraId="7017A2D9">
            <w:pPr>
              <w:widowControl/>
              <w:jc w:val="left"/>
              <w:rPr>
                <w:rFonts w:ascii="宋体" w:hAnsi="宋体"/>
                <w:color w:val="auto"/>
                <w:kern w:val="0"/>
                <w:sz w:val="24"/>
                <w:highlight w:val="none"/>
              </w:rPr>
            </w:pPr>
            <w:r>
              <w:rPr>
                <w:rFonts w:ascii="宋体" w:hAnsi="宋体"/>
                <w:color w:val="auto"/>
                <w:kern w:val="0"/>
                <w:sz w:val="24"/>
                <w:highlight w:val="none"/>
              </w:rPr>
              <w:t>投标完整性</w:t>
            </w:r>
          </w:p>
        </w:tc>
        <w:tc>
          <w:tcPr>
            <w:tcW w:w="3620" w:type="pct"/>
            <w:vAlign w:val="center"/>
          </w:tcPr>
          <w:p w14:paraId="24502FDC">
            <w:pPr>
              <w:widowControl/>
              <w:jc w:val="left"/>
              <w:rPr>
                <w:rFonts w:ascii="宋体" w:hAnsi="宋体"/>
                <w:color w:val="auto"/>
                <w:kern w:val="0"/>
                <w:sz w:val="24"/>
                <w:highlight w:val="none"/>
              </w:rPr>
            </w:pPr>
            <w:r>
              <w:rPr>
                <w:rFonts w:hint="eastAsia" w:ascii="宋体" w:hAnsi="宋体"/>
                <w:color w:val="auto"/>
                <w:sz w:val="24"/>
                <w:highlight w:val="none"/>
              </w:rPr>
              <w:t>未</w:t>
            </w:r>
            <w:r>
              <w:rPr>
                <w:rFonts w:ascii="宋体" w:hAnsi="宋体"/>
                <w:color w:val="auto"/>
                <w:sz w:val="24"/>
                <w:highlight w:val="none"/>
              </w:rPr>
              <w:t>将一个采购包中的内容拆开投标；</w:t>
            </w:r>
          </w:p>
        </w:tc>
      </w:tr>
      <w:tr w14:paraId="562A6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5E771B7">
            <w:pPr>
              <w:widowControl/>
              <w:jc w:val="center"/>
              <w:rPr>
                <w:rFonts w:ascii="宋体" w:hAnsi="宋体"/>
                <w:color w:val="auto"/>
                <w:kern w:val="0"/>
                <w:sz w:val="24"/>
                <w:highlight w:val="none"/>
              </w:rPr>
            </w:pPr>
            <w:r>
              <w:rPr>
                <w:rFonts w:ascii="宋体" w:hAnsi="宋体"/>
                <w:color w:val="auto"/>
                <w:kern w:val="0"/>
                <w:sz w:val="24"/>
                <w:highlight w:val="none"/>
              </w:rPr>
              <w:t>3</w:t>
            </w:r>
          </w:p>
        </w:tc>
        <w:tc>
          <w:tcPr>
            <w:tcW w:w="975" w:type="pct"/>
            <w:vAlign w:val="center"/>
          </w:tcPr>
          <w:p w14:paraId="7C8FFF81">
            <w:pPr>
              <w:widowControl/>
              <w:jc w:val="left"/>
              <w:rPr>
                <w:rFonts w:ascii="宋体" w:hAnsi="宋体"/>
                <w:color w:val="auto"/>
                <w:kern w:val="0"/>
                <w:sz w:val="24"/>
                <w:highlight w:val="none"/>
              </w:rPr>
            </w:pPr>
            <w:r>
              <w:rPr>
                <w:rFonts w:ascii="宋体" w:hAnsi="宋体"/>
                <w:color w:val="auto"/>
                <w:kern w:val="0"/>
                <w:sz w:val="24"/>
                <w:highlight w:val="none"/>
              </w:rPr>
              <w:t>投标报价</w:t>
            </w:r>
          </w:p>
        </w:tc>
        <w:tc>
          <w:tcPr>
            <w:tcW w:w="3620" w:type="pct"/>
            <w:vAlign w:val="center"/>
          </w:tcPr>
          <w:p w14:paraId="2D328C25">
            <w:pPr>
              <w:widowControl/>
              <w:jc w:val="left"/>
              <w:rPr>
                <w:rFonts w:ascii="宋体" w:hAnsi="宋体"/>
                <w:color w:val="auto"/>
                <w:kern w:val="0"/>
                <w:sz w:val="24"/>
                <w:highlight w:val="none"/>
              </w:rPr>
            </w:pPr>
            <w:r>
              <w:rPr>
                <w:rFonts w:ascii="宋体" w:hAnsi="宋体"/>
                <w:color w:val="auto"/>
                <w:kern w:val="0"/>
                <w:sz w:val="24"/>
                <w:highlight w:val="none"/>
              </w:rPr>
              <w:t>投标报价</w:t>
            </w:r>
            <w:r>
              <w:rPr>
                <w:rFonts w:hint="eastAsia" w:ascii="宋体" w:hAnsi="宋体"/>
                <w:color w:val="auto"/>
                <w:kern w:val="0"/>
                <w:sz w:val="24"/>
                <w:highlight w:val="none"/>
              </w:rPr>
              <w:t>未</w:t>
            </w:r>
            <w:r>
              <w:rPr>
                <w:rFonts w:ascii="宋体" w:hAnsi="宋体"/>
                <w:color w:val="auto"/>
                <w:sz w:val="24"/>
                <w:highlight w:val="none"/>
              </w:rPr>
              <w:t>超过招标文件中规定的项目/采购包预算金额或者项目/采购包最高限价</w:t>
            </w:r>
            <w:r>
              <w:rPr>
                <w:rFonts w:ascii="宋体" w:hAnsi="宋体"/>
                <w:color w:val="auto"/>
                <w:kern w:val="0"/>
                <w:sz w:val="24"/>
                <w:highlight w:val="none"/>
              </w:rPr>
              <w:t>；</w:t>
            </w:r>
          </w:p>
        </w:tc>
      </w:tr>
      <w:tr w14:paraId="5E33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F5B0D79">
            <w:pPr>
              <w:widowControl/>
              <w:jc w:val="center"/>
              <w:rPr>
                <w:rFonts w:ascii="宋体" w:hAnsi="宋体"/>
                <w:color w:val="auto"/>
                <w:kern w:val="0"/>
                <w:sz w:val="24"/>
                <w:highlight w:val="none"/>
              </w:rPr>
            </w:pPr>
            <w:r>
              <w:rPr>
                <w:rFonts w:ascii="宋体" w:hAnsi="宋体"/>
                <w:color w:val="auto"/>
                <w:kern w:val="0"/>
                <w:sz w:val="24"/>
                <w:highlight w:val="none"/>
              </w:rPr>
              <w:t>4</w:t>
            </w:r>
          </w:p>
        </w:tc>
        <w:tc>
          <w:tcPr>
            <w:tcW w:w="975" w:type="pct"/>
            <w:vAlign w:val="center"/>
          </w:tcPr>
          <w:p w14:paraId="43AB8733">
            <w:pPr>
              <w:widowControl/>
              <w:jc w:val="left"/>
              <w:rPr>
                <w:rFonts w:ascii="宋体" w:hAnsi="宋体"/>
                <w:color w:val="auto"/>
                <w:kern w:val="0"/>
                <w:sz w:val="24"/>
                <w:highlight w:val="none"/>
              </w:rPr>
            </w:pPr>
            <w:r>
              <w:rPr>
                <w:rFonts w:ascii="宋体" w:hAnsi="宋体"/>
                <w:color w:val="auto"/>
                <w:kern w:val="0"/>
                <w:sz w:val="24"/>
                <w:highlight w:val="none"/>
              </w:rPr>
              <w:t>报价唯一性</w:t>
            </w:r>
          </w:p>
        </w:tc>
        <w:tc>
          <w:tcPr>
            <w:tcW w:w="3620" w:type="pct"/>
            <w:vAlign w:val="center"/>
          </w:tcPr>
          <w:p w14:paraId="58BA21FF">
            <w:pPr>
              <w:widowControl/>
              <w:jc w:val="left"/>
              <w:rPr>
                <w:rFonts w:ascii="宋体" w:hAnsi="宋体"/>
                <w:color w:val="auto"/>
                <w:kern w:val="0"/>
                <w:sz w:val="24"/>
                <w:highlight w:val="none"/>
              </w:rPr>
            </w:pPr>
            <w:r>
              <w:rPr>
                <w:rFonts w:ascii="宋体" w:hAnsi="宋体"/>
                <w:color w:val="auto"/>
                <w:kern w:val="0"/>
                <w:sz w:val="24"/>
                <w:highlight w:val="none"/>
              </w:rPr>
              <w:t>投标文件</w:t>
            </w:r>
            <w:r>
              <w:rPr>
                <w:rFonts w:hint="eastAsia" w:ascii="宋体" w:hAnsi="宋体"/>
                <w:color w:val="auto"/>
                <w:kern w:val="0"/>
                <w:sz w:val="24"/>
                <w:highlight w:val="none"/>
              </w:rPr>
              <w:t>未</w:t>
            </w:r>
            <w:r>
              <w:rPr>
                <w:rFonts w:hint="eastAsia" w:ascii="宋体" w:hAnsi="宋体"/>
                <w:color w:val="auto"/>
                <w:sz w:val="24"/>
                <w:highlight w:val="none"/>
              </w:rPr>
              <w:t>出现可选择性或可调整的报价（招标文件另有规定的除外）</w:t>
            </w:r>
            <w:r>
              <w:rPr>
                <w:rFonts w:ascii="宋体" w:hAnsi="宋体"/>
                <w:color w:val="auto"/>
                <w:kern w:val="0"/>
                <w:sz w:val="24"/>
                <w:highlight w:val="none"/>
              </w:rPr>
              <w:t>；</w:t>
            </w:r>
          </w:p>
        </w:tc>
      </w:tr>
      <w:tr w14:paraId="6B58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533CCB4">
            <w:pPr>
              <w:widowControl/>
              <w:jc w:val="center"/>
              <w:rPr>
                <w:rFonts w:ascii="宋体" w:hAnsi="宋体"/>
                <w:color w:val="auto"/>
                <w:kern w:val="0"/>
                <w:sz w:val="24"/>
                <w:highlight w:val="none"/>
              </w:rPr>
            </w:pPr>
            <w:r>
              <w:rPr>
                <w:rFonts w:ascii="宋体" w:hAnsi="宋体"/>
                <w:color w:val="auto"/>
                <w:kern w:val="0"/>
                <w:sz w:val="24"/>
                <w:highlight w:val="none"/>
              </w:rPr>
              <w:t>5</w:t>
            </w:r>
          </w:p>
        </w:tc>
        <w:tc>
          <w:tcPr>
            <w:tcW w:w="975" w:type="pct"/>
            <w:vAlign w:val="center"/>
          </w:tcPr>
          <w:p w14:paraId="383B8794">
            <w:pPr>
              <w:widowControl/>
              <w:jc w:val="left"/>
              <w:rPr>
                <w:rFonts w:ascii="宋体" w:hAnsi="宋体"/>
                <w:color w:val="auto"/>
                <w:kern w:val="0"/>
                <w:sz w:val="24"/>
                <w:highlight w:val="none"/>
              </w:rPr>
            </w:pPr>
            <w:r>
              <w:rPr>
                <w:rFonts w:ascii="宋体" w:hAnsi="宋体"/>
                <w:color w:val="auto"/>
                <w:kern w:val="0"/>
                <w:sz w:val="24"/>
                <w:highlight w:val="none"/>
              </w:rPr>
              <w:t>投标有效期</w:t>
            </w:r>
          </w:p>
        </w:tc>
        <w:tc>
          <w:tcPr>
            <w:tcW w:w="3620" w:type="pct"/>
            <w:vAlign w:val="center"/>
          </w:tcPr>
          <w:p w14:paraId="73502963">
            <w:pPr>
              <w:widowControl/>
              <w:jc w:val="left"/>
              <w:rPr>
                <w:rFonts w:ascii="宋体" w:hAnsi="宋体"/>
                <w:color w:val="auto"/>
                <w:kern w:val="0"/>
                <w:sz w:val="24"/>
                <w:highlight w:val="none"/>
              </w:rPr>
            </w:pPr>
            <w:r>
              <w:rPr>
                <w:rFonts w:ascii="宋体" w:hAnsi="宋体"/>
                <w:color w:val="auto"/>
                <w:kern w:val="0"/>
                <w:sz w:val="24"/>
                <w:highlight w:val="none"/>
              </w:rPr>
              <w:t>投标文件中承诺的投标有效期</w:t>
            </w:r>
            <w:r>
              <w:rPr>
                <w:rFonts w:hint="eastAsia" w:ascii="宋体" w:hAnsi="宋体"/>
                <w:color w:val="auto"/>
                <w:kern w:val="0"/>
                <w:sz w:val="24"/>
                <w:highlight w:val="none"/>
              </w:rPr>
              <w:t>满足</w:t>
            </w:r>
            <w:r>
              <w:rPr>
                <w:rFonts w:ascii="宋体" w:hAnsi="宋体"/>
                <w:color w:val="auto"/>
                <w:kern w:val="0"/>
                <w:sz w:val="24"/>
                <w:highlight w:val="none"/>
              </w:rPr>
              <w:t>招标文件中载明的投标有效期的；</w:t>
            </w:r>
          </w:p>
        </w:tc>
      </w:tr>
      <w:tr w14:paraId="1386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4D41CA4D">
            <w:pPr>
              <w:widowControl/>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val="en-US" w:eastAsia="zh-CN"/>
              </w:rPr>
              <w:t>6</w:t>
            </w:r>
          </w:p>
        </w:tc>
        <w:tc>
          <w:tcPr>
            <w:tcW w:w="975" w:type="pct"/>
            <w:vAlign w:val="center"/>
          </w:tcPr>
          <w:p w14:paraId="2719B8D1">
            <w:pPr>
              <w:widowControl/>
              <w:jc w:val="left"/>
              <w:rPr>
                <w:rFonts w:ascii="宋体" w:hAnsi="宋体"/>
                <w:color w:val="auto"/>
                <w:kern w:val="0"/>
                <w:sz w:val="24"/>
                <w:highlight w:val="none"/>
              </w:rPr>
            </w:pPr>
            <w:r>
              <w:rPr>
                <w:rFonts w:hint="eastAsia" w:ascii="宋体" w:hAnsi="宋体"/>
                <w:color w:val="auto"/>
                <w:kern w:val="0"/>
                <w:sz w:val="24"/>
                <w:highlight w:val="none"/>
              </w:rPr>
              <w:t>实质性格式</w:t>
            </w:r>
          </w:p>
        </w:tc>
        <w:tc>
          <w:tcPr>
            <w:tcW w:w="3620" w:type="pct"/>
            <w:vAlign w:val="center"/>
          </w:tcPr>
          <w:p w14:paraId="0A0626FA">
            <w:pPr>
              <w:widowControl/>
              <w:jc w:val="left"/>
              <w:rPr>
                <w:rFonts w:ascii="宋体" w:hAnsi="宋体"/>
                <w:color w:val="auto"/>
                <w:kern w:val="0"/>
                <w:sz w:val="24"/>
                <w:highlight w:val="none"/>
              </w:rPr>
            </w:pPr>
            <w:r>
              <w:rPr>
                <w:rFonts w:hint="eastAsia" w:ascii="宋体" w:hAnsi="宋体"/>
                <w:color w:val="auto"/>
                <w:kern w:val="0"/>
                <w:sz w:val="24"/>
                <w:highlight w:val="none"/>
              </w:rPr>
              <w:t>标记为</w:t>
            </w:r>
            <w:r>
              <w:rPr>
                <w:rFonts w:ascii="宋体" w:hAnsi="宋体"/>
                <w:color w:val="auto"/>
                <w:kern w:val="0"/>
                <w:sz w:val="24"/>
                <w:highlight w:val="none"/>
              </w:rPr>
              <w:t>“实质性格式”的</w:t>
            </w:r>
            <w:r>
              <w:rPr>
                <w:rFonts w:hint="eastAsia" w:ascii="宋体" w:hAnsi="宋体"/>
                <w:color w:val="auto"/>
                <w:kern w:val="0"/>
                <w:sz w:val="24"/>
                <w:highlight w:val="none"/>
              </w:rPr>
              <w:t>文件均按</w:t>
            </w:r>
            <w:r>
              <w:rPr>
                <w:rFonts w:ascii="宋体" w:hAnsi="宋体"/>
                <w:color w:val="auto"/>
                <w:kern w:val="0"/>
                <w:sz w:val="24"/>
                <w:highlight w:val="none"/>
              </w:rPr>
              <w:t>招标文件</w:t>
            </w:r>
            <w:r>
              <w:rPr>
                <w:rFonts w:hint="eastAsia" w:ascii="宋体" w:hAnsi="宋体"/>
                <w:color w:val="auto"/>
                <w:kern w:val="0"/>
                <w:sz w:val="24"/>
                <w:highlight w:val="none"/>
              </w:rPr>
              <w:t>要求提供；</w:t>
            </w:r>
          </w:p>
        </w:tc>
      </w:tr>
      <w:tr w14:paraId="4B06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D3592AC">
            <w:pPr>
              <w:widowControl/>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val="en-US" w:eastAsia="zh-CN"/>
              </w:rPr>
              <w:t>7</w:t>
            </w:r>
          </w:p>
        </w:tc>
        <w:tc>
          <w:tcPr>
            <w:tcW w:w="975" w:type="pct"/>
            <w:vAlign w:val="center"/>
          </w:tcPr>
          <w:p w14:paraId="421C2CAA">
            <w:pPr>
              <w:widowControl/>
              <w:jc w:val="left"/>
              <w:rPr>
                <w:rFonts w:ascii="宋体" w:hAnsi="宋体"/>
                <w:color w:val="auto"/>
                <w:kern w:val="0"/>
                <w:sz w:val="24"/>
                <w:highlight w:val="none"/>
              </w:rPr>
            </w:pPr>
            <w:r>
              <w:rPr>
                <w:rFonts w:ascii="宋体" w:hAnsi="宋体"/>
                <w:color w:val="auto"/>
                <w:kern w:val="0"/>
                <w:sz w:val="24"/>
                <w:highlight w:val="none"/>
              </w:rPr>
              <w:t>条款响应</w:t>
            </w:r>
          </w:p>
        </w:tc>
        <w:tc>
          <w:tcPr>
            <w:tcW w:w="3620" w:type="pct"/>
            <w:vAlign w:val="center"/>
          </w:tcPr>
          <w:p w14:paraId="44BA1963">
            <w:pPr>
              <w:widowControl/>
              <w:jc w:val="left"/>
              <w:rPr>
                <w:rFonts w:ascii="宋体" w:hAnsi="宋体"/>
                <w:color w:val="auto"/>
                <w:kern w:val="0"/>
                <w:sz w:val="24"/>
                <w:highlight w:val="none"/>
              </w:rPr>
            </w:pPr>
            <w:r>
              <w:rPr>
                <w:rFonts w:ascii="宋体" w:hAnsi="宋体"/>
                <w:color w:val="auto"/>
                <w:kern w:val="0"/>
                <w:sz w:val="24"/>
                <w:highlight w:val="none"/>
              </w:rPr>
              <w:t>投标文件满足招标文件</w:t>
            </w:r>
            <w:r>
              <w:rPr>
                <w:rFonts w:ascii="宋体" w:hAnsi="宋体"/>
                <w:color w:val="auto"/>
                <w:sz w:val="24"/>
                <w:highlight w:val="none"/>
              </w:rPr>
              <w:t>第五章《采购需求》</w:t>
            </w:r>
            <w:r>
              <w:rPr>
                <w:rFonts w:ascii="宋体" w:hAnsi="宋体"/>
                <w:color w:val="auto"/>
                <w:kern w:val="0"/>
                <w:sz w:val="24"/>
                <w:highlight w:val="none"/>
              </w:rPr>
              <w:t>中条款要求；</w:t>
            </w:r>
          </w:p>
        </w:tc>
      </w:tr>
      <w:tr w14:paraId="0DB72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48AC4EFE">
            <w:pPr>
              <w:widowControl/>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val="en-US" w:eastAsia="zh-CN"/>
              </w:rPr>
              <w:t>8</w:t>
            </w:r>
          </w:p>
        </w:tc>
        <w:tc>
          <w:tcPr>
            <w:tcW w:w="975" w:type="pct"/>
            <w:vAlign w:val="center"/>
          </w:tcPr>
          <w:p w14:paraId="7DF6EBC5">
            <w:pPr>
              <w:widowControl/>
              <w:jc w:val="left"/>
              <w:rPr>
                <w:rFonts w:ascii="宋体" w:hAnsi="宋体"/>
                <w:color w:val="auto"/>
                <w:kern w:val="0"/>
                <w:sz w:val="24"/>
                <w:highlight w:val="none"/>
              </w:rPr>
            </w:pPr>
            <w:r>
              <w:rPr>
                <w:rFonts w:ascii="宋体" w:hAnsi="宋体"/>
                <w:color w:val="auto"/>
                <w:kern w:val="0"/>
                <w:sz w:val="24"/>
                <w:highlight w:val="none"/>
              </w:rPr>
              <w:t>分包承担主体资质（如有）</w:t>
            </w:r>
          </w:p>
        </w:tc>
        <w:tc>
          <w:tcPr>
            <w:tcW w:w="3620" w:type="pct"/>
            <w:vAlign w:val="center"/>
          </w:tcPr>
          <w:p w14:paraId="4CE7ABFC">
            <w:pPr>
              <w:widowControl/>
              <w:jc w:val="left"/>
              <w:rPr>
                <w:rFonts w:ascii="宋体" w:hAnsi="宋体"/>
                <w:color w:val="auto"/>
                <w:kern w:val="0"/>
                <w:sz w:val="24"/>
                <w:highlight w:val="none"/>
              </w:rPr>
            </w:pPr>
            <w:r>
              <w:rPr>
                <w:rFonts w:ascii="宋体" w:hAnsi="宋体"/>
                <w:color w:val="auto"/>
                <w:sz w:val="24"/>
                <w:highlight w:val="none"/>
              </w:rPr>
              <w:t>分包承担主体具备《投标人须知资料表》载明的资质条件</w:t>
            </w:r>
            <w:r>
              <w:rPr>
                <w:rFonts w:hint="eastAsia" w:ascii="宋体" w:hAnsi="宋体"/>
                <w:color w:val="auto"/>
                <w:sz w:val="24"/>
                <w:highlight w:val="none"/>
              </w:rPr>
              <w:t>且</w:t>
            </w:r>
            <w:r>
              <w:rPr>
                <w:rFonts w:ascii="宋体" w:hAnsi="宋体"/>
                <w:color w:val="auto"/>
                <w:sz w:val="24"/>
                <w:highlight w:val="none"/>
              </w:rPr>
              <w:t>提供</w:t>
            </w:r>
            <w:r>
              <w:rPr>
                <w:rFonts w:hint="eastAsia" w:ascii="宋体" w:hAnsi="宋体"/>
                <w:color w:val="auto"/>
                <w:sz w:val="24"/>
                <w:highlight w:val="none"/>
              </w:rPr>
              <w:t>了</w:t>
            </w:r>
            <w:r>
              <w:rPr>
                <w:rFonts w:ascii="宋体" w:hAnsi="宋体"/>
                <w:color w:val="auto"/>
                <w:sz w:val="24"/>
                <w:highlight w:val="none"/>
              </w:rPr>
              <w:t>资质证书电子件</w:t>
            </w:r>
            <w:r>
              <w:rPr>
                <w:rFonts w:hint="eastAsia" w:ascii="宋体" w:hAnsi="宋体"/>
                <w:color w:val="auto"/>
                <w:sz w:val="24"/>
                <w:highlight w:val="none"/>
              </w:rPr>
              <w:t>（如有）</w:t>
            </w:r>
            <w:r>
              <w:rPr>
                <w:rFonts w:ascii="宋体" w:hAnsi="宋体"/>
                <w:color w:val="auto"/>
                <w:sz w:val="24"/>
                <w:highlight w:val="none"/>
              </w:rPr>
              <w:t>；</w:t>
            </w:r>
          </w:p>
        </w:tc>
      </w:tr>
      <w:tr w14:paraId="0374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8625BB8">
            <w:pPr>
              <w:widowControl/>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val="en-US" w:eastAsia="zh-CN"/>
              </w:rPr>
              <w:t>9</w:t>
            </w:r>
          </w:p>
        </w:tc>
        <w:tc>
          <w:tcPr>
            <w:tcW w:w="975" w:type="pct"/>
            <w:vAlign w:val="center"/>
          </w:tcPr>
          <w:p w14:paraId="421AE5C7">
            <w:pPr>
              <w:widowControl/>
              <w:jc w:val="left"/>
              <w:rPr>
                <w:rFonts w:ascii="宋体" w:hAnsi="宋体"/>
                <w:color w:val="auto"/>
                <w:kern w:val="0"/>
                <w:sz w:val="24"/>
                <w:highlight w:val="none"/>
              </w:rPr>
            </w:pPr>
            <w:r>
              <w:rPr>
                <w:rFonts w:ascii="宋体" w:hAnsi="宋体"/>
                <w:color w:val="auto"/>
                <w:kern w:val="0"/>
                <w:sz w:val="24"/>
                <w:highlight w:val="none"/>
              </w:rPr>
              <w:t>分包意向协议</w:t>
            </w:r>
          </w:p>
          <w:p w14:paraId="03861491">
            <w:pPr>
              <w:widowControl/>
              <w:jc w:val="left"/>
              <w:rPr>
                <w:rFonts w:ascii="宋体" w:hAnsi="宋体"/>
                <w:color w:val="auto"/>
                <w:kern w:val="0"/>
                <w:sz w:val="24"/>
                <w:highlight w:val="none"/>
              </w:rPr>
            </w:pPr>
            <w:r>
              <w:rPr>
                <w:rFonts w:ascii="宋体" w:hAnsi="宋体"/>
                <w:color w:val="auto"/>
                <w:kern w:val="0"/>
                <w:sz w:val="24"/>
                <w:highlight w:val="none"/>
              </w:rPr>
              <w:t>（如有）</w:t>
            </w:r>
          </w:p>
        </w:tc>
        <w:tc>
          <w:tcPr>
            <w:tcW w:w="3620" w:type="pct"/>
            <w:vAlign w:val="center"/>
          </w:tcPr>
          <w:p w14:paraId="0A01F32D">
            <w:pPr>
              <w:widowControl/>
              <w:jc w:val="left"/>
              <w:rPr>
                <w:rFonts w:ascii="宋体" w:hAnsi="宋体"/>
                <w:color w:val="auto"/>
                <w:kern w:val="0"/>
                <w:sz w:val="24"/>
                <w:highlight w:val="none"/>
              </w:rPr>
            </w:pPr>
            <w:r>
              <w:rPr>
                <w:rFonts w:ascii="宋体" w:hAnsi="宋体"/>
                <w:color w:val="auto"/>
                <w:kern w:val="0"/>
                <w:sz w:val="24"/>
                <w:highlight w:val="none"/>
              </w:rPr>
              <w:t>按招标文件规定签订并提供分包意向协议原件的电子件的；</w:t>
            </w:r>
            <w:r>
              <w:rPr>
                <w:rFonts w:hint="eastAsia" w:ascii="宋体" w:hAnsi="宋体"/>
                <w:color w:val="auto"/>
                <w:sz w:val="24"/>
                <w:highlight w:val="none"/>
              </w:rPr>
              <w:t>（如有）</w:t>
            </w:r>
          </w:p>
        </w:tc>
      </w:tr>
      <w:tr w14:paraId="2EAC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FD48634">
            <w:pPr>
              <w:widowControl/>
              <w:jc w:val="center"/>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10</w:t>
            </w:r>
          </w:p>
        </w:tc>
        <w:tc>
          <w:tcPr>
            <w:tcW w:w="975" w:type="pct"/>
            <w:vAlign w:val="center"/>
          </w:tcPr>
          <w:p w14:paraId="344C1098">
            <w:pPr>
              <w:widowControl/>
              <w:jc w:val="left"/>
              <w:rPr>
                <w:rFonts w:ascii="宋体" w:hAnsi="宋体"/>
                <w:color w:val="auto"/>
                <w:kern w:val="0"/>
                <w:sz w:val="24"/>
                <w:highlight w:val="none"/>
              </w:rPr>
            </w:pPr>
            <w:r>
              <w:rPr>
                <w:rFonts w:ascii="宋体" w:hAnsi="宋体"/>
                <w:color w:val="auto"/>
                <w:kern w:val="0"/>
                <w:sz w:val="24"/>
                <w:highlight w:val="none"/>
              </w:rPr>
              <w:t>报价的修正（如有）</w:t>
            </w:r>
          </w:p>
        </w:tc>
        <w:tc>
          <w:tcPr>
            <w:tcW w:w="3620" w:type="pct"/>
            <w:vAlign w:val="center"/>
          </w:tcPr>
          <w:p w14:paraId="19E4D3D2">
            <w:pPr>
              <w:widowControl/>
              <w:jc w:val="left"/>
              <w:rPr>
                <w:rFonts w:ascii="宋体" w:hAnsi="宋体"/>
                <w:color w:val="auto"/>
                <w:kern w:val="0"/>
                <w:sz w:val="24"/>
                <w:highlight w:val="none"/>
              </w:rPr>
            </w:pPr>
            <w:r>
              <w:rPr>
                <w:rFonts w:hint="eastAsia" w:ascii="宋体" w:hAnsi="宋体"/>
                <w:color w:val="auto"/>
                <w:kern w:val="0"/>
                <w:sz w:val="24"/>
                <w:highlight w:val="none"/>
              </w:rPr>
              <w:t>不涉及报价修正</w:t>
            </w:r>
            <w:r>
              <w:rPr>
                <w:rFonts w:ascii="宋体" w:hAnsi="宋体"/>
                <w:color w:val="auto"/>
                <w:kern w:val="0"/>
                <w:sz w:val="24"/>
                <w:highlight w:val="none"/>
              </w:rPr>
              <w:t>，或投标文件报价出现前后不一致</w:t>
            </w:r>
            <w:r>
              <w:rPr>
                <w:rFonts w:hint="eastAsia" w:ascii="宋体" w:hAnsi="宋体"/>
                <w:color w:val="auto"/>
                <w:kern w:val="0"/>
                <w:sz w:val="24"/>
                <w:highlight w:val="none"/>
              </w:rPr>
              <w:t>时</w:t>
            </w:r>
            <w:r>
              <w:rPr>
                <w:rFonts w:ascii="宋体" w:hAnsi="宋体"/>
                <w:color w:val="auto"/>
                <w:kern w:val="0"/>
                <w:sz w:val="24"/>
                <w:highlight w:val="none"/>
              </w:rPr>
              <w:t>，投标人对修正后的报价予</w:t>
            </w:r>
            <w:r>
              <w:rPr>
                <w:rFonts w:hint="eastAsia" w:ascii="宋体" w:hAnsi="宋体"/>
                <w:color w:val="auto"/>
                <w:kern w:val="0"/>
                <w:sz w:val="24"/>
                <w:highlight w:val="none"/>
              </w:rPr>
              <w:t>以</w:t>
            </w:r>
            <w:r>
              <w:rPr>
                <w:rFonts w:ascii="宋体" w:hAnsi="宋体"/>
                <w:color w:val="auto"/>
                <w:kern w:val="0"/>
                <w:sz w:val="24"/>
                <w:highlight w:val="none"/>
              </w:rPr>
              <w:t>确认；（如有）</w:t>
            </w:r>
          </w:p>
        </w:tc>
      </w:tr>
      <w:tr w14:paraId="71767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8B61ADC">
            <w:pPr>
              <w:widowControl/>
              <w:jc w:val="center"/>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11</w:t>
            </w:r>
          </w:p>
        </w:tc>
        <w:tc>
          <w:tcPr>
            <w:tcW w:w="975" w:type="pct"/>
            <w:vAlign w:val="center"/>
          </w:tcPr>
          <w:p w14:paraId="5539F9FD">
            <w:pPr>
              <w:widowControl/>
              <w:jc w:val="left"/>
              <w:rPr>
                <w:rFonts w:ascii="宋体" w:hAnsi="宋体"/>
                <w:color w:val="auto"/>
                <w:kern w:val="0"/>
                <w:sz w:val="24"/>
                <w:highlight w:val="none"/>
              </w:rPr>
            </w:pPr>
            <w:r>
              <w:rPr>
                <w:rFonts w:ascii="宋体" w:hAnsi="宋体"/>
                <w:color w:val="auto"/>
                <w:kern w:val="0"/>
                <w:sz w:val="24"/>
                <w:highlight w:val="none"/>
              </w:rPr>
              <w:t>报价合理性</w:t>
            </w:r>
          </w:p>
        </w:tc>
        <w:tc>
          <w:tcPr>
            <w:tcW w:w="3620" w:type="pct"/>
            <w:vAlign w:val="center"/>
          </w:tcPr>
          <w:p w14:paraId="4FD9D757">
            <w:pPr>
              <w:widowControl/>
              <w:jc w:val="left"/>
              <w:rPr>
                <w:rFonts w:ascii="宋体" w:hAnsi="宋体"/>
                <w:color w:val="auto"/>
                <w:kern w:val="0"/>
                <w:sz w:val="24"/>
                <w:highlight w:val="none"/>
              </w:rPr>
            </w:pPr>
            <w:r>
              <w:rPr>
                <w:rFonts w:ascii="宋体" w:hAnsi="宋体"/>
                <w:color w:val="auto"/>
                <w:kern w:val="0"/>
                <w:sz w:val="24"/>
                <w:highlight w:val="none"/>
              </w:rPr>
              <w:t>报价合理，或</w:t>
            </w:r>
            <w:r>
              <w:rPr>
                <w:rFonts w:hint="eastAsia" w:ascii="宋体" w:hAnsi="宋体"/>
                <w:color w:val="auto"/>
                <w:sz w:val="24"/>
                <w:highlight w:val="none"/>
              </w:rPr>
              <w:t>投标人的报价明显低于其他通过符合性审查投标人的报价，</w:t>
            </w:r>
            <w:r>
              <w:rPr>
                <w:rFonts w:ascii="宋体" w:hAnsi="宋体"/>
                <w:color w:val="auto"/>
                <w:sz w:val="24"/>
                <w:highlight w:val="none"/>
              </w:rPr>
              <w:t>有可能影响产品质量或者不能诚信履约的</w:t>
            </w:r>
            <w:r>
              <w:rPr>
                <w:rFonts w:hint="eastAsia" w:ascii="宋体" w:hAnsi="宋体"/>
                <w:color w:val="auto"/>
                <w:sz w:val="24"/>
                <w:highlight w:val="none"/>
              </w:rPr>
              <w:t>，能够应评标委员会要求在规定时间内证明其报价合理性的</w:t>
            </w:r>
            <w:r>
              <w:rPr>
                <w:rFonts w:ascii="宋体" w:hAnsi="宋体"/>
                <w:color w:val="auto"/>
                <w:kern w:val="0"/>
                <w:sz w:val="24"/>
                <w:highlight w:val="none"/>
              </w:rPr>
              <w:t>；</w:t>
            </w:r>
          </w:p>
        </w:tc>
      </w:tr>
      <w:tr w14:paraId="243BA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00772A6">
            <w:pPr>
              <w:widowControl/>
              <w:jc w:val="center"/>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12</w:t>
            </w:r>
          </w:p>
        </w:tc>
        <w:tc>
          <w:tcPr>
            <w:tcW w:w="975" w:type="pct"/>
            <w:vAlign w:val="center"/>
          </w:tcPr>
          <w:p w14:paraId="64B09698">
            <w:pPr>
              <w:widowControl/>
              <w:jc w:val="left"/>
              <w:rPr>
                <w:rFonts w:ascii="宋体" w:hAnsi="宋体"/>
                <w:color w:val="auto"/>
                <w:kern w:val="0"/>
                <w:sz w:val="24"/>
                <w:highlight w:val="none"/>
              </w:rPr>
            </w:pPr>
            <w:r>
              <w:rPr>
                <w:rFonts w:ascii="宋体" w:hAnsi="宋体"/>
                <w:color w:val="auto"/>
                <w:kern w:val="0"/>
                <w:sz w:val="24"/>
                <w:highlight w:val="none"/>
              </w:rPr>
              <w:t>进口产品</w:t>
            </w:r>
          </w:p>
          <w:p w14:paraId="1F533EB2">
            <w:pPr>
              <w:widowControl/>
              <w:jc w:val="left"/>
              <w:rPr>
                <w:rFonts w:ascii="宋体" w:hAnsi="宋体"/>
                <w:color w:val="auto"/>
                <w:kern w:val="0"/>
                <w:sz w:val="24"/>
                <w:highlight w:val="none"/>
              </w:rPr>
            </w:pPr>
            <w:r>
              <w:rPr>
                <w:rFonts w:ascii="宋体" w:hAnsi="宋体"/>
                <w:color w:val="auto"/>
                <w:kern w:val="0"/>
                <w:sz w:val="24"/>
                <w:highlight w:val="none"/>
              </w:rPr>
              <w:t>（如有）</w:t>
            </w:r>
          </w:p>
        </w:tc>
        <w:tc>
          <w:tcPr>
            <w:tcW w:w="3620" w:type="pct"/>
            <w:vAlign w:val="center"/>
          </w:tcPr>
          <w:p w14:paraId="6F7236DE">
            <w:pPr>
              <w:widowControl/>
              <w:jc w:val="left"/>
              <w:rPr>
                <w:rFonts w:ascii="宋体" w:hAnsi="宋体"/>
                <w:color w:val="auto"/>
                <w:kern w:val="0"/>
                <w:sz w:val="24"/>
                <w:highlight w:val="none"/>
              </w:rPr>
            </w:pPr>
            <w:r>
              <w:rPr>
                <w:rFonts w:hint="eastAsia" w:ascii="宋体" w:hAnsi="宋体"/>
                <w:color w:val="auto"/>
                <w:sz w:val="24"/>
                <w:highlight w:val="none"/>
              </w:rPr>
              <w:t>招标文件</w:t>
            </w:r>
            <w:r>
              <w:rPr>
                <w:rFonts w:ascii="宋体" w:hAnsi="宋体"/>
                <w:color w:val="auto"/>
                <w:sz w:val="24"/>
                <w:highlight w:val="none"/>
              </w:rPr>
              <w:t>不接受进口产品投标</w:t>
            </w:r>
            <w:r>
              <w:rPr>
                <w:rFonts w:hint="eastAsia" w:ascii="宋体" w:hAnsi="宋体"/>
                <w:color w:val="auto"/>
                <w:sz w:val="24"/>
                <w:highlight w:val="none"/>
              </w:rPr>
              <w:t>的内容时</w:t>
            </w:r>
            <w:r>
              <w:rPr>
                <w:rFonts w:ascii="宋体" w:hAnsi="宋体"/>
                <w:color w:val="auto"/>
                <w:sz w:val="24"/>
                <w:highlight w:val="none"/>
              </w:rPr>
              <w:t>，</w:t>
            </w:r>
            <w:r>
              <w:rPr>
                <w:rFonts w:hint="eastAsia" w:ascii="宋体" w:hAnsi="宋体"/>
                <w:color w:val="auto"/>
                <w:sz w:val="24"/>
                <w:highlight w:val="none"/>
              </w:rPr>
              <w:t>投标人所投产品非进口产品的；</w:t>
            </w:r>
          </w:p>
        </w:tc>
      </w:tr>
      <w:tr w14:paraId="53480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46CF0D6">
            <w:pPr>
              <w:widowControl/>
              <w:jc w:val="center"/>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13</w:t>
            </w:r>
          </w:p>
        </w:tc>
        <w:tc>
          <w:tcPr>
            <w:tcW w:w="975" w:type="pct"/>
            <w:vAlign w:val="center"/>
          </w:tcPr>
          <w:p w14:paraId="48E871EA">
            <w:pPr>
              <w:widowControl/>
              <w:jc w:val="left"/>
              <w:rPr>
                <w:rFonts w:ascii="宋体" w:hAnsi="宋体"/>
                <w:color w:val="auto"/>
                <w:kern w:val="0"/>
                <w:sz w:val="24"/>
                <w:highlight w:val="none"/>
              </w:rPr>
            </w:pPr>
            <w:r>
              <w:rPr>
                <w:rFonts w:ascii="宋体" w:hAnsi="宋体"/>
                <w:color w:val="auto"/>
                <w:kern w:val="0"/>
                <w:sz w:val="24"/>
                <w:highlight w:val="none"/>
              </w:rPr>
              <w:t>国家有关部门对投标人的投标产品有强制性规定或要求的</w:t>
            </w:r>
          </w:p>
        </w:tc>
        <w:tc>
          <w:tcPr>
            <w:tcW w:w="3620" w:type="pct"/>
            <w:vAlign w:val="center"/>
          </w:tcPr>
          <w:p w14:paraId="32B32A6F">
            <w:pPr>
              <w:widowControl/>
              <w:jc w:val="left"/>
              <w:rPr>
                <w:rFonts w:ascii="宋体" w:hAnsi="宋体"/>
                <w:color w:val="auto"/>
                <w:kern w:val="0"/>
                <w:sz w:val="24"/>
                <w:highlight w:val="none"/>
              </w:rPr>
            </w:pPr>
            <w:r>
              <w:rPr>
                <w:rFonts w:ascii="宋体" w:hAnsi="宋体"/>
                <w:color w:val="auto"/>
                <w:kern w:val="0"/>
                <w:sz w:val="24"/>
                <w:highlight w:val="none"/>
              </w:rPr>
              <w:t>国家有关部门对投标人的投标产品有强制性规定或要求的（如相应技术、安全、节能和环保等），投标人的投标产品</w:t>
            </w:r>
            <w:r>
              <w:rPr>
                <w:rFonts w:hint="eastAsia" w:ascii="宋体" w:hAnsi="宋体"/>
                <w:color w:val="auto"/>
                <w:kern w:val="0"/>
                <w:sz w:val="24"/>
                <w:highlight w:val="none"/>
              </w:rPr>
              <w:t>应</w:t>
            </w:r>
            <w:r>
              <w:rPr>
                <w:rFonts w:ascii="宋体" w:hAnsi="宋体"/>
                <w:color w:val="auto"/>
                <w:kern w:val="0"/>
                <w:sz w:val="24"/>
                <w:highlight w:val="none"/>
              </w:rPr>
              <w:t>符合相应规定或要求</w:t>
            </w:r>
            <w:r>
              <w:rPr>
                <w:rFonts w:hint="eastAsia" w:ascii="宋体" w:hAnsi="宋体"/>
                <w:color w:val="auto"/>
                <w:kern w:val="0"/>
                <w:sz w:val="24"/>
                <w:highlight w:val="none"/>
              </w:rPr>
              <w:t>，并提供证明文件电子件：</w:t>
            </w:r>
          </w:p>
          <w:p w14:paraId="33EC8D6C">
            <w:pPr>
              <w:widowControl/>
              <w:jc w:val="left"/>
              <w:rPr>
                <w:rFonts w:ascii="宋体" w:hAnsi="宋体"/>
                <w:color w:val="auto"/>
                <w:kern w:val="0"/>
                <w:sz w:val="24"/>
                <w:highlight w:val="none"/>
              </w:rPr>
            </w:pPr>
            <w:r>
              <w:rPr>
                <w:rFonts w:hint="eastAsia" w:ascii="宋体" w:hAnsi="宋体"/>
                <w:color w:val="auto"/>
                <w:kern w:val="0"/>
                <w:sz w:val="24"/>
                <w:highlight w:val="none"/>
              </w:rPr>
              <w:t>1）</w:t>
            </w:r>
            <w:r>
              <w:rPr>
                <w:rFonts w:ascii="宋体" w:hAnsi="宋体"/>
                <w:color w:val="auto"/>
                <w:kern w:val="0"/>
                <w:sz w:val="24"/>
                <w:highlight w:val="none"/>
              </w:rPr>
              <w:t>采购的产品若属于《节能产品政府采购品目清单》范围中政府强制采购产品，则投标人所报产品必须获得国家确定的认证机构出具的、处于有效期之内的节能产品认证证书；</w:t>
            </w:r>
          </w:p>
          <w:p w14:paraId="62905CC3">
            <w:pPr>
              <w:widowControl/>
              <w:jc w:val="left"/>
              <w:rPr>
                <w:rFonts w:ascii="宋体" w:hAnsi="宋体"/>
                <w:color w:val="auto"/>
                <w:kern w:val="0"/>
                <w:sz w:val="24"/>
                <w:highlight w:val="none"/>
              </w:rPr>
            </w:pPr>
            <w:r>
              <w:rPr>
                <w:rFonts w:hint="eastAsia" w:ascii="宋体" w:hAnsi="宋体"/>
                <w:color w:val="auto"/>
                <w:kern w:val="0"/>
                <w:sz w:val="24"/>
                <w:highlight w:val="none"/>
              </w:rPr>
              <w:t>2）</w:t>
            </w:r>
            <w:r>
              <w:rPr>
                <w:rFonts w:ascii="宋体" w:hAnsi="宋体"/>
                <w:color w:val="auto"/>
                <w:kern w:val="0"/>
                <w:sz w:val="24"/>
                <w:highlight w:val="none"/>
              </w:rPr>
              <w:t>投标产品如涉及计算机信息系统安全专用产品的，须</w:t>
            </w:r>
            <w:r>
              <w:rPr>
                <w:rFonts w:hint="eastAsia" w:ascii="宋体" w:hAnsi="宋体"/>
                <w:color w:val="auto"/>
                <w:kern w:val="0"/>
                <w:sz w:val="24"/>
                <w:highlight w:val="none"/>
              </w:rPr>
              <w:t>提供</w:t>
            </w:r>
            <w:r>
              <w:rPr>
                <w:rFonts w:ascii="宋体" w:hAnsi="宋体"/>
                <w:color w:val="auto"/>
                <w:kern w:val="0"/>
                <w:sz w:val="24"/>
                <w:highlight w:val="none"/>
              </w:rPr>
              <w:t>公安部颁发的计算机信息系统安全专用产品销售许可证；</w:t>
            </w:r>
          </w:p>
          <w:p w14:paraId="30A80E35">
            <w:pPr>
              <w:widowControl/>
              <w:jc w:val="left"/>
              <w:rPr>
                <w:rFonts w:ascii="宋体" w:hAnsi="宋体"/>
                <w:color w:val="auto"/>
                <w:kern w:val="0"/>
                <w:sz w:val="24"/>
                <w:highlight w:val="none"/>
              </w:rPr>
            </w:pPr>
            <w:r>
              <w:rPr>
                <w:rFonts w:ascii="宋体" w:hAnsi="宋体"/>
                <w:color w:val="auto"/>
                <w:kern w:val="0"/>
                <w:sz w:val="24"/>
                <w:highlight w:val="none"/>
              </w:rPr>
              <w:t>3</w:t>
            </w:r>
            <w:r>
              <w:rPr>
                <w:rFonts w:hint="eastAsia" w:ascii="宋体" w:hAnsi="宋体"/>
                <w:color w:val="auto"/>
                <w:kern w:val="0"/>
                <w:sz w:val="24"/>
                <w:highlight w:val="none"/>
              </w:rPr>
              <w:t>）</w:t>
            </w:r>
            <w:r>
              <w:rPr>
                <w:rFonts w:ascii="宋体" w:hAnsi="宋体"/>
                <w:color w:val="auto"/>
                <w:kern w:val="0"/>
                <w:sz w:val="24"/>
                <w:highlight w:val="none"/>
              </w:rPr>
              <w:t>投标产品如有属于开展国家信息安全产品认证产品范围的，须</w:t>
            </w:r>
            <w:r>
              <w:rPr>
                <w:rFonts w:hint="eastAsia" w:ascii="宋体" w:hAnsi="宋体"/>
                <w:color w:val="auto"/>
                <w:kern w:val="0"/>
                <w:sz w:val="24"/>
                <w:highlight w:val="none"/>
              </w:rPr>
              <w:t>提供</w:t>
            </w:r>
            <w:r>
              <w:rPr>
                <w:rFonts w:ascii="宋体" w:hAnsi="宋体"/>
                <w:color w:val="auto"/>
                <w:kern w:val="0"/>
                <w:sz w:val="24"/>
                <w:highlight w:val="none"/>
              </w:rPr>
              <w:t>由中国网络安全审查技术与认证中心（原中国信息安全认证中心）按国家标准认证颁发的有效认证证书等）；</w:t>
            </w:r>
          </w:p>
          <w:p w14:paraId="0B094BB7">
            <w:pPr>
              <w:widowControl/>
              <w:jc w:val="left"/>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56E2606C">
            <w:pPr>
              <w:widowControl/>
              <w:jc w:val="left"/>
              <w:rPr>
                <w:rFonts w:ascii="宋体" w:hAnsi="宋体"/>
                <w:color w:val="auto"/>
                <w:kern w:val="0"/>
                <w:sz w:val="24"/>
                <w:highlight w:val="none"/>
              </w:rPr>
            </w:pPr>
            <w:r>
              <w:rPr>
                <w:rFonts w:ascii="宋体" w:hAnsi="宋体"/>
                <w:color w:val="auto"/>
                <w:sz w:val="24"/>
                <w:highlight w:val="none"/>
              </w:rPr>
              <w:t>5</w:t>
            </w:r>
            <w:r>
              <w:rPr>
                <w:rFonts w:hint="eastAsia" w:ascii="宋体" w:hAnsi="宋体"/>
                <w:color w:val="auto"/>
                <w:sz w:val="24"/>
                <w:highlight w:val="none"/>
              </w:rPr>
              <w:t>）</w:t>
            </w:r>
            <w:r>
              <w:rPr>
                <w:rFonts w:ascii="宋体" w:hAnsi="宋体"/>
                <w:color w:val="auto"/>
                <w:sz w:val="24"/>
                <w:highlight w:val="none"/>
              </w:rPr>
              <w:t>项目中涉及涂料、胶黏剂、油墨、清洗剂等挥发性有机物产品，且属于强制性标准的，供应商应执行符合本市和国家的VOCs 含量限制标准</w:t>
            </w:r>
            <w:r>
              <w:rPr>
                <w:rFonts w:hint="eastAsia" w:ascii="宋体" w:hAnsi="宋体"/>
                <w:color w:val="auto"/>
                <w:sz w:val="24"/>
                <w:highlight w:val="none"/>
              </w:rPr>
              <w:t>。</w:t>
            </w:r>
          </w:p>
        </w:tc>
      </w:tr>
      <w:tr w14:paraId="5F2CB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3EF2C7F">
            <w:pPr>
              <w:widowControl/>
              <w:jc w:val="center"/>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14</w:t>
            </w:r>
          </w:p>
        </w:tc>
        <w:tc>
          <w:tcPr>
            <w:tcW w:w="975" w:type="pct"/>
            <w:vAlign w:val="center"/>
          </w:tcPr>
          <w:p w14:paraId="11205C47">
            <w:pPr>
              <w:widowControl/>
              <w:jc w:val="left"/>
              <w:rPr>
                <w:rFonts w:ascii="宋体" w:hAnsi="宋体"/>
                <w:color w:val="auto"/>
                <w:kern w:val="0"/>
                <w:sz w:val="24"/>
                <w:highlight w:val="none"/>
              </w:rPr>
            </w:pPr>
            <w:r>
              <w:rPr>
                <w:rFonts w:ascii="宋体" w:hAnsi="宋体"/>
                <w:color w:val="auto"/>
                <w:kern w:val="0"/>
                <w:sz w:val="24"/>
                <w:highlight w:val="none"/>
              </w:rPr>
              <w:t>公平竞争</w:t>
            </w:r>
          </w:p>
        </w:tc>
        <w:tc>
          <w:tcPr>
            <w:tcW w:w="3620" w:type="pct"/>
            <w:vAlign w:val="center"/>
          </w:tcPr>
          <w:p w14:paraId="7F2A6639">
            <w:pPr>
              <w:widowControl/>
              <w:jc w:val="left"/>
              <w:rPr>
                <w:rFonts w:ascii="宋体" w:hAnsi="宋体"/>
                <w:color w:val="auto"/>
                <w:kern w:val="0"/>
                <w:sz w:val="24"/>
                <w:highlight w:val="none"/>
              </w:rPr>
            </w:pPr>
            <w:r>
              <w:rPr>
                <w:rFonts w:ascii="宋体" w:hAnsi="宋体"/>
                <w:color w:val="auto"/>
                <w:sz w:val="24"/>
                <w:highlight w:val="none"/>
              </w:rPr>
              <w:t>投标人遵循公平竞争的原则，不存在恶意串通，妨碍其他投标人的竞争行为，不存在损害采购人或者其他投标人的合法权益情形的；</w:t>
            </w:r>
          </w:p>
        </w:tc>
      </w:tr>
      <w:tr w14:paraId="52BFD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46BACA73">
            <w:pPr>
              <w:widowControl/>
              <w:jc w:val="center"/>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15</w:t>
            </w:r>
          </w:p>
        </w:tc>
        <w:tc>
          <w:tcPr>
            <w:tcW w:w="975" w:type="pct"/>
            <w:vAlign w:val="center"/>
          </w:tcPr>
          <w:p w14:paraId="550E6B50">
            <w:pPr>
              <w:widowControl/>
              <w:jc w:val="left"/>
              <w:rPr>
                <w:rFonts w:ascii="宋体" w:hAnsi="宋体"/>
                <w:color w:val="auto"/>
                <w:kern w:val="0"/>
                <w:sz w:val="24"/>
                <w:highlight w:val="none"/>
              </w:rPr>
            </w:pPr>
            <w:r>
              <w:rPr>
                <w:rFonts w:ascii="宋体" w:hAnsi="宋体"/>
                <w:color w:val="auto"/>
                <w:kern w:val="0"/>
                <w:sz w:val="24"/>
                <w:highlight w:val="none"/>
              </w:rPr>
              <w:t>串通投标</w:t>
            </w:r>
          </w:p>
        </w:tc>
        <w:tc>
          <w:tcPr>
            <w:tcW w:w="3620" w:type="pct"/>
            <w:vAlign w:val="center"/>
          </w:tcPr>
          <w:p w14:paraId="63A0E9E3">
            <w:pPr>
              <w:widowControl/>
              <w:jc w:val="left"/>
              <w:rPr>
                <w:rFonts w:ascii="宋体" w:hAnsi="宋体"/>
                <w:color w:val="auto"/>
                <w:kern w:val="0"/>
                <w:sz w:val="24"/>
                <w:highlight w:val="none"/>
              </w:rPr>
            </w:pPr>
            <w:r>
              <w:rPr>
                <w:rFonts w:hint="eastAsia" w:ascii="宋体" w:hAnsi="宋体"/>
                <w:color w:val="auto"/>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Pr>
                <w:rFonts w:ascii="宋体" w:hAnsi="宋体"/>
                <w:color w:val="auto"/>
                <w:sz w:val="24"/>
                <w:highlight w:val="none"/>
              </w:rPr>
              <w:t>；</w:t>
            </w:r>
          </w:p>
        </w:tc>
      </w:tr>
      <w:tr w14:paraId="132CD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45423C63">
            <w:pPr>
              <w:widowControl/>
              <w:jc w:val="center"/>
              <w:rPr>
                <w:rFonts w:hint="eastAsia" w:ascii="宋体" w:hAnsi="宋体" w:eastAsia="宋体"/>
                <w:color w:val="auto"/>
                <w:kern w:val="0"/>
                <w:sz w:val="24"/>
                <w:highlight w:val="none"/>
                <w:lang w:eastAsia="zh-CN"/>
              </w:rPr>
            </w:pPr>
            <w:r>
              <w:rPr>
                <w:rFonts w:ascii="宋体" w:hAnsi="宋体"/>
                <w:color w:val="auto"/>
                <w:kern w:val="0"/>
                <w:sz w:val="24"/>
                <w:highlight w:val="none"/>
              </w:rPr>
              <w:t>1</w:t>
            </w:r>
            <w:r>
              <w:rPr>
                <w:rFonts w:hint="eastAsia" w:ascii="宋体" w:hAnsi="宋体"/>
                <w:color w:val="auto"/>
                <w:kern w:val="0"/>
                <w:sz w:val="24"/>
                <w:highlight w:val="none"/>
                <w:lang w:val="en-US" w:eastAsia="zh-CN"/>
              </w:rPr>
              <w:t>6</w:t>
            </w:r>
          </w:p>
        </w:tc>
        <w:tc>
          <w:tcPr>
            <w:tcW w:w="975" w:type="pct"/>
            <w:vAlign w:val="center"/>
          </w:tcPr>
          <w:p w14:paraId="3880D9F5">
            <w:pPr>
              <w:widowControl/>
              <w:jc w:val="left"/>
              <w:rPr>
                <w:rFonts w:ascii="宋体" w:hAnsi="宋体"/>
                <w:color w:val="auto"/>
                <w:kern w:val="0"/>
                <w:sz w:val="24"/>
                <w:highlight w:val="none"/>
              </w:rPr>
            </w:pPr>
            <w:r>
              <w:rPr>
                <w:rFonts w:ascii="宋体" w:hAnsi="宋体"/>
                <w:color w:val="auto"/>
                <w:kern w:val="0"/>
                <w:sz w:val="24"/>
                <w:highlight w:val="none"/>
              </w:rPr>
              <w:t>附加条件</w:t>
            </w:r>
          </w:p>
        </w:tc>
        <w:tc>
          <w:tcPr>
            <w:tcW w:w="3620" w:type="pct"/>
            <w:vAlign w:val="center"/>
          </w:tcPr>
          <w:p w14:paraId="3B5295F5">
            <w:pPr>
              <w:widowControl/>
              <w:jc w:val="left"/>
              <w:rPr>
                <w:rFonts w:ascii="宋体" w:hAnsi="宋体"/>
                <w:color w:val="auto"/>
                <w:kern w:val="0"/>
                <w:sz w:val="24"/>
                <w:highlight w:val="none"/>
              </w:rPr>
            </w:pPr>
            <w:r>
              <w:rPr>
                <w:rFonts w:ascii="宋体" w:hAnsi="宋体"/>
                <w:color w:val="auto"/>
                <w:kern w:val="0"/>
                <w:sz w:val="24"/>
                <w:highlight w:val="none"/>
              </w:rPr>
              <w:t>投标文件</w:t>
            </w:r>
            <w:r>
              <w:rPr>
                <w:rFonts w:hint="eastAsia" w:ascii="宋体" w:hAnsi="宋体"/>
                <w:color w:val="auto"/>
                <w:kern w:val="0"/>
                <w:sz w:val="24"/>
                <w:highlight w:val="none"/>
              </w:rPr>
              <w:t>未</w:t>
            </w:r>
            <w:r>
              <w:rPr>
                <w:rFonts w:ascii="宋体" w:hAnsi="宋体"/>
                <w:color w:val="auto"/>
                <w:kern w:val="0"/>
                <w:sz w:val="24"/>
                <w:highlight w:val="none"/>
              </w:rPr>
              <w:t>含有采购人不能接受的附加条件的；</w:t>
            </w:r>
          </w:p>
        </w:tc>
      </w:tr>
      <w:tr w14:paraId="245AB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42A117C">
            <w:pPr>
              <w:widowControl/>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rPr>
              <w:t>1</w:t>
            </w:r>
            <w:r>
              <w:rPr>
                <w:rFonts w:hint="eastAsia" w:ascii="宋体" w:hAnsi="宋体"/>
                <w:color w:val="auto"/>
                <w:kern w:val="0"/>
                <w:sz w:val="24"/>
                <w:highlight w:val="none"/>
                <w:lang w:val="en-US" w:eastAsia="zh-CN"/>
              </w:rPr>
              <w:t>7</w:t>
            </w:r>
          </w:p>
        </w:tc>
        <w:tc>
          <w:tcPr>
            <w:tcW w:w="975" w:type="pct"/>
            <w:vAlign w:val="center"/>
          </w:tcPr>
          <w:p w14:paraId="1A5BA69E">
            <w:pPr>
              <w:widowControl/>
              <w:jc w:val="left"/>
              <w:rPr>
                <w:rFonts w:ascii="宋体" w:hAnsi="宋体"/>
                <w:color w:val="auto"/>
                <w:kern w:val="0"/>
                <w:sz w:val="24"/>
                <w:highlight w:val="none"/>
              </w:rPr>
            </w:pPr>
            <w:r>
              <w:rPr>
                <w:rFonts w:ascii="宋体" w:hAnsi="宋体"/>
                <w:color w:val="auto"/>
                <w:kern w:val="0"/>
                <w:sz w:val="24"/>
                <w:highlight w:val="none"/>
              </w:rPr>
              <w:t>其他无效情形</w:t>
            </w:r>
          </w:p>
        </w:tc>
        <w:tc>
          <w:tcPr>
            <w:tcW w:w="3620" w:type="pct"/>
            <w:vAlign w:val="center"/>
          </w:tcPr>
          <w:p w14:paraId="73984FBE">
            <w:pPr>
              <w:widowControl/>
              <w:jc w:val="left"/>
              <w:rPr>
                <w:rFonts w:ascii="宋体" w:hAnsi="宋体"/>
                <w:color w:val="auto"/>
                <w:kern w:val="0"/>
                <w:sz w:val="24"/>
                <w:highlight w:val="none"/>
              </w:rPr>
            </w:pPr>
            <w:r>
              <w:rPr>
                <w:rFonts w:ascii="宋体" w:hAnsi="宋体"/>
                <w:color w:val="auto"/>
                <w:sz w:val="24"/>
                <w:highlight w:val="none"/>
              </w:rPr>
              <w:t>投标人、投标文件</w:t>
            </w:r>
            <w:r>
              <w:rPr>
                <w:rFonts w:hint="eastAsia" w:ascii="宋体" w:hAnsi="宋体"/>
                <w:color w:val="auto"/>
                <w:sz w:val="24"/>
                <w:highlight w:val="none"/>
              </w:rPr>
              <w:t>不存在</w:t>
            </w:r>
            <w:r>
              <w:rPr>
                <w:rFonts w:ascii="宋体" w:hAnsi="宋体"/>
                <w:color w:val="auto"/>
                <w:sz w:val="24"/>
                <w:highlight w:val="none"/>
              </w:rPr>
              <w:t>不符合法律、法规和招标文件规定的其他无效情形。</w:t>
            </w:r>
          </w:p>
        </w:tc>
      </w:tr>
    </w:tbl>
    <w:p w14:paraId="6061F41A">
      <w:pPr>
        <w:numPr>
          <w:ilvl w:val="0"/>
          <w:numId w:val="17"/>
        </w:numPr>
        <w:tabs>
          <w:tab w:val="left" w:pos="1080"/>
          <w:tab w:val="left" w:pos="1589"/>
        </w:tabs>
        <w:snapToGrid w:val="0"/>
        <w:spacing w:line="360" w:lineRule="auto"/>
        <w:rPr>
          <w:rFonts w:ascii="宋体" w:hAnsi="宋体"/>
          <w:color w:val="auto"/>
          <w:sz w:val="24"/>
          <w:highlight w:val="none"/>
        </w:rPr>
        <w:sectPr>
          <w:headerReference r:id="rId10" w:type="first"/>
          <w:footerReference r:id="rId12" w:type="first"/>
          <w:headerReference r:id="rId9" w:type="even"/>
          <w:footerReference r:id="rId11" w:type="even"/>
          <w:pgSz w:w="11907" w:h="16840"/>
          <w:pgMar w:top="1418" w:right="1134" w:bottom="1418" w:left="1701" w:header="851" w:footer="851" w:gutter="0"/>
          <w:pgNumType w:fmt="decimal"/>
          <w:cols w:space="720" w:num="1"/>
          <w:docGrid w:linePitch="462" w:charSpace="0"/>
        </w:sectPr>
      </w:pPr>
    </w:p>
    <w:p w14:paraId="3AA68F59">
      <w:pPr>
        <w:numPr>
          <w:ilvl w:val="0"/>
          <w:numId w:val="16"/>
        </w:numPr>
        <w:tabs>
          <w:tab w:val="left" w:pos="360"/>
        </w:tabs>
        <w:snapToGrid w:val="0"/>
        <w:spacing w:line="360" w:lineRule="auto"/>
        <w:outlineLvl w:val="1"/>
        <w:rPr>
          <w:rFonts w:ascii="宋体" w:hAnsi="宋体"/>
          <w:color w:val="auto"/>
          <w:sz w:val="24"/>
          <w:highlight w:val="none"/>
        </w:rPr>
      </w:pPr>
      <w:r>
        <w:rPr>
          <w:rFonts w:ascii="宋体" w:hAnsi="宋体"/>
          <w:color w:val="auto"/>
          <w:sz w:val="24"/>
          <w:highlight w:val="none"/>
        </w:rPr>
        <w:t>投标文件有关事项的澄清或者说明</w:t>
      </w:r>
    </w:p>
    <w:p w14:paraId="0F7D6D81">
      <w:pPr>
        <w:numPr>
          <w:ilvl w:val="1"/>
          <w:numId w:val="16"/>
        </w:numPr>
        <w:tabs>
          <w:tab w:val="left" w:pos="1080"/>
        </w:tabs>
        <w:snapToGrid w:val="0"/>
        <w:spacing w:line="360" w:lineRule="auto"/>
        <w:ind w:left="1077" w:hanging="720"/>
        <w:rPr>
          <w:rFonts w:ascii="宋体" w:hAnsi="宋体"/>
          <w:color w:val="auto"/>
          <w:sz w:val="24"/>
          <w:highlight w:val="none"/>
        </w:rPr>
      </w:pPr>
      <w:r>
        <w:rPr>
          <w:rFonts w:ascii="宋体" w:hAnsi="宋体"/>
          <w:color w:val="auto"/>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14ED5785">
      <w:pPr>
        <w:numPr>
          <w:ilvl w:val="1"/>
          <w:numId w:val="16"/>
        </w:numPr>
        <w:tabs>
          <w:tab w:val="left" w:pos="1080"/>
        </w:tabs>
        <w:snapToGrid w:val="0"/>
        <w:spacing w:line="360" w:lineRule="auto"/>
        <w:ind w:left="1077" w:hanging="720"/>
        <w:rPr>
          <w:rFonts w:ascii="宋体" w:hAnsi="宋体"/>
          <w:color w:val="auto"/>
          <w:sz w:val="24"/>
          <w:highlight w:val="none"/>
        </w:rPr>
      </w:pPr>
      <w:r>
        <w:rPr>
          <w:rFonts w:ascii="宋体" w:hAnsi="宋体"/>
          <w:color w:val="auto"/>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b/>
          <w:color w:val="auto"/>
          <w:sz w:val="24"/>
          <w:highlight w:val="none"/>
        </w:rPr>
        <w:t>无效投标处理</w:t>
      </w:r>
      <w:r>
        <w:rPr>
          <w:rFonts w:ascii="宋体" w:hAnsi="宋体"/>
          <w:color w:val="auto"/>
          <w:sz w:val="24"/>
          <w:highlight w:val="none"/>
        </w:rPr>
        <w:t>。</w:t>
      </w:r>
    </w:p>
    <w:p w14:paraId="2992A946">
      <w:pPr>
        <w:numPr>
          <w:ilvl w:val="1"/>
          <w:numId w:val="16"/>
        </w:numPr>
        <w:tabs>
          <w:tab w:val="left" w:pos="1080"/>
        </w:tabs>
        <w:snapToGrid w:val="0"/>
        <w:spacing w:line="360" w:lineRule="auto"/>
        <w:ind w:left="1077" w:hanging="720"/>
        <w:rPr>
          <w:rFonts w:ascii="宋体" w:hAnsi="宋体"/>
          <w:color w:val="auto"/>
          <w:sz w:val="24"/>
          <w:highlight w:val="none"/>
        </w:rPr>
      </w:pPr>
      <w:r>
        <w:rPr>
          <w:rFonts w:ascii="宋体" w:hAnsi="宋体"/>
          <w:color w:val="auto"/>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b/>
          <w:color w:val="auto"/>
          <w:sz w:val="24"/>
          <w:highlight w:val="none"/>
        </w:rPr>
        <w:t>投标无效</w:t>
      </w:r>
      <w:r>
        <w:rPr>
          <w:rFonts w:ascii="宋体" w:hAnsi="宋体"/>
          <w:color w:val="auto"/>
          <w:sz w:val="24"/>
          <w:highlight w:val="none"/>
        </w:rPr>
        <w:t>。</w:t>
      </w:r>
    </w:p>
    <w:p w14:paraId="49DE676C">
      <w:pPr>
        <w:numPr>
          <w:ilvl w:val="1"/>
          <w:numId w:val="16"/>
        </w:numPr>
        <w:tabs>
          <w:tab w:val="left" w:pos="1080"/>
        </w:tabs>
        <w:snapToGrid w:val="0"/>
        <w:spacing w:line="360" w:lineRule="auto"/>
        <w:ind w:left="1077" w:hanging="720"/>
        <w:rPr>
          <w:rFonts w:ascii="宋体" w:hAnsi="宋体"/>
          <w:color w:val="auto"/>
          <w:sz w:val="24"/>
          <w:highlight w:val="none"/>
        </w:rPr>
      </w:pPr>
      <w:r>
        <w:rPr>
          <w:rFonts w:ascii="宋体" w:hAnsi="宋体"/>
          <w:color w:val="auto"/>
          <w:sz w:val="24"/>
          <w:highlight w:val="none"/>
        </w:rPr>
        <w:t>投标文件报价出现前后不一致的，按照下列规定修正：</w:t>
      </w:r>
    </w:p>
    <w:p w14:paraId="74EECBDF">
      <w:pPr>
        <w:numPr>
          <w:ilvl w:val="2"/>
          <w:numId w:val="16"/>
        </w:numPr>
        <w:tabs>
          <w:tab w:val="left" w:pos="1080"/>
          <w:tab w:val="left" w:pos="1589"/>
          <w:tab w:val="left" w:pos="2035"/>
          <w:tab w:val="left" w:pos="2114"/>
        </w:tabs>
        <w:snapToGrid w:val="0"/>
        <w:spacing w:line="360" w:lineRule="auto"/>
        <w:ind w:left="2035"/>
        <w:rPr>
          <w:rFonts w:ascii="宋体" w:hAnsi="宋体"/>
          <w:color w:val="auto"/>
          <w:sz w:val="24"/>
          <w:highlight w:val="none"/>
        </w:rPr>
      </w:pPr>
      <w:r>
        <w:rPr>
          <w:rFonts w:ascii="宋体" w:hAnsi="宋体"/>
          <w:color w:val="auto"/>
          <w:sz w:val="24"/>
          <w:highlight w:val="none"/>
        </w:rPr>
        <w:t>招标文件对于报价修正是否另有规定：</w:t>
      </w:r>
    </w:p>
    <w:p w14:paraId="627F640C">
      <w:pPr>
        <w:tabs>
          <w:tab w:val="left" w:pos="1080"/>
          <w:tab w:val="left" w:pos="1589"/>
          <w:tab w:val="left" w:pos="2035"/>
          <w:tab w:val="left" w:pos="2114"/>
        </w:tabs>
        <w:snapToGrid w:val="0"/>
        <w:spacing w:line="360" w:lineRule="auto"/>
        <w:ind w:left="2035"/>
        <w:rPr>
          <w:rFonts w:ascii="宋体" w:hAnsi="宋体"/>
          <w:color w:val="auto"/>
          <w:sz w:val="24"/>
          <w:highlight w:val="none"/>
          <w:u w:val="single"/>
        </w:rPr>
      </w:pPr>
      <w:r>
        <w:rPr>
          <w:rFonts w:ascii="宋体" w:hAnsi="宋体"/>
          <w:color w:val="auto"/>
          <w:sz w:val="24"/>
          <w:highlight w:val="none"/>
        </w:rPr>
        <w:t>□有，具体规定为：______________</w:t>
      </w:r>
    </w:p>
    <w:p w14:paraId="09BB53B4">
      <w:pPr>
        <w:tabs>
          <w:tab w:val="left" w:pos="1080"/>
          <w:tab w:val="left" w:pos="1589"/>
          <w:tab w:val="left" w:pos="2035"/>
          <w:tab w:val="left" w:pos="2114"/>
        </w:tabs>
        <w:snapToGrid w:val="0"/>
        <w:spacing w:line="360" w:lineRule="auto"/>
        <w:ind w:left="2035"/>
        <w:rPr>
          <w:rFonts w:ascii="宋体" w:hAnsi="宋体"/>
          <w:color w:val="auto"/>
          <w:sz w:val="24"/>
          <w:highlight w:val="none"/>
        </w:rPr>
      </w:pPr>
      <w:r>
        <w:rPr>
          <w:rFonts w:ascii="Segoe UI Symbol" w:hAnsi="Segoe UI Symbol" w:cs="Segoe UI Symbol"/>
          <w:color w:val="auto"/>
          <w:sz w:val="24"/>
          <w:highlight w:val="none"/>
        </w:rPr>
        <w:t>☑</w:t>
      </w:r>
      <w:r>
        <w:rPr>
          <w:rFonts w:ascii="宋体" w:hAnsi="宋体"/>
          <w:color w:val="auto"/>
          <w:sz w:val="24"/>
          <w:highlight w:val="none"/>
        </w:rPr>
        <w:t>无，按下述2.4.2-2.4.7项规定修正。</w:t>
      </w:r>
    </w:p>
    <w:p w14:paraId="6D211E78">
      <w:pPr>
        <w:numPr>
          <w:ilvl w:val="2"/>
          <w:numId w:val="16"/>
        </w:numPr>
        <w:tabs>
          <w:tab w:val="left" w:pos="2035"/>
          <w:tab w:val="left" w:pos="2114"/>
          <w:tab w:val="left" w:pos="2977"/>
        </w:tabs>
        <w:snapToGrid w:val="0"/>
        <w:spacing w:line="360" w:lineRule="auto"/>
        <w:ind w:left="2035"/>
        <w:rPr>
          <w:rFonts w:ascii="宋体" w:hAnsi="宋体"/>
          <w:color w:val="auto"/>
          <w:sz w:val="24"/>
          <w:highlight w:val="none"/>
        </w:rPr>
      </w:pPr>
      <w:r>
        <w:rPr>
          <w:rFonts w:ascii="宋体" w:hAnsi="宋体"/>
          <w:color w:val="auto"/>
          <w:sz w:val="24"/>
          <w:highlight w:val="none"/>
        </w:rPr>
        <w:t>单独递交的开标一览表（报价表）与投标文件中开标一览表（报价表）内容不一致的，以单独递交的开标一览表（报价表）为准；</w:t>
      </w:r>
    </w:p>
    <w:p w14:paraId="3B10645F">
      <w:pPr>
        <w:numPr>
          <w:ilvl w:val="2"/>
          <w:numId w:val="16"/>
        </w:numPr>
        <w:tabs>
          <w:tab w:val="left" w:pos="2035"/>
          <w:tab w:val="left" w:pos="2114"/>
          <w:tab w:val="left" w:pos="2977"/>
        </w:tabs>
        <w:snapToGrid w:val="0"/>
        <w:spacing w:line="360" w:lineRule="auto"/>
        <w:ind w:left="2035"/>
        <w:rPr>
          <w:rFonts w:ascii="宋体" w:hAnsi="宋体"/>
          <w:color w:val="auto"/>
          <w:sz w:val="24"/>
          <w:highlight w:val="none"/>
        </w:rPr>
      </w:pPr>
      <w:r>
        <w:rPr>
          <w:rFonts w:ascii="宋体" w:hAnsi="宋体"/>
          <w:color w:val="auto"/>
          <w:sz w:val="24"/>
          <w:highlight w:val="none"/>
        </w:rPr>
        <w:t>投标文件中开标一览表（报价表）内容与投标文件中相应内容不一致的，以开标一览表（报价表）为准；</w:t>
      </w:r>
    </w:p>
    <w:p w14:paraId="26EB6B23">
      <w:pPr>
        <w:numPr>
          <w:ilvl w:val="2"/>
          <w:numId w:val="16"/>
        </w:numPr>
        <w:tabs>
          <w:tab w:val="left" w:pos="2035"/>
          <w:tab w:val="left" w:pos="2114"/>
          <w:tab w:val="left" w:pos="2977"/>
        </w:tabs>
        <w:snapToGrid w:val="0"/>
        <w:spacing w:line="360" w:lineRule="auto"/>
        <w:ind w:left="2035"/>
        <w:rPr>
          <w:rFonts w:ascii="宋体" w:hAnsi="宋体"/>
          <w:color w:val="auto"/>
          <w:sz w:val="24"/>
          <w:highlight w:val="none"/>
        </w:rPr>
      </w:pPr>
      <w:r>
        <w:rPr>
          <w:rFonts w:ascii="宋体" w:hAnsi="宋体"/>
          <w:color w:val="auto"/>
          <w:sz w:val="24"/>
          <w:highlight w:val="none"/>
        </w:rPr>
        <w:t>大写金额和小写金额不一致的，以大写金额为准；</w:t>
      </w:r>
    </w:p>
    <w:p w14:paraId="4457C55D">
      <w:pPr>
        <w:numPr>
          <w:ilvl w:val="2"/>
          <w:numId w:val="16"/>
        </w:numPr>
        <w:tabs>
          <w:tab w:val="left" w:pos="2035"/>
          <w:tab w:val="left" w:pos="2114"/>
          <w:tab w:val="left" w:pos="2977"/>
        </w:tabs>
        <w:snapToGrid w:val="0"/>
        <w:spacing w:line="360" w:lineRule="auto"/>
        <w:ind w:left="2035"/>
        <w:rPr>
          <w:rFonts w:ascii="宋体" w:hAnsi="宋体"/>
          <w:color w:val="auto"/>
          <w:sz w:val="24"/>
          <w:highlight w:val="none"/>
        </w:rPr>
      </w:pPr>
      <w:r>
        <w:rPr>
          <w:rFonts w:ascii="宋体" w:hAnsi="宋体"/>
          <w:color w:val="auto"/>
          <w:sz w:val="24"/>
          <w:highlight w:val="none"/>
        </w:rPr>
        <w:t>单价金额小数点或者百分比有明显错位的，以开标一览表的总价为准，并修改单价；</w:t>
      </w:r>
    </w:p>
    <w:p w14:paraId="2C1D08B7">
      <w:pPr>
        <w:numPr>
          <w:ilvl w:val="2"/>
          <w:numId w:val="16"/>
        </w:numPr>
        <w:tabs>
          <w:tab w:val="left" w:pos="2035"/>
          <w:tab w:val="left" w:pos="2114"/>
          <w:tab w:val="left" w:pos="2977"/>
        </w:tabs>
        <w:snapToGrid w:val="0"/>
        <w:spacing w:line="360" w:lineRule="auto"/>
        <w:ind w:left="2035"/>
        <w:rPr>
          <w:rFonts w:ascii="宋体" w:hAnsi="宋体"/>
          <w:color w:val="auto"/>
          <w:sz w:val="24"/>
          <w:highlight w:val="none"/>
        </w:rPr>
      </w:pPr>
      <w:r>
        <w:rPr>
          <w:rFonts w:ascii="宋体" w:hAnsi="宋体"/>
          <w:color w:val="auto"/>
          <w:sz w:val="24"/>
          <w:highlight w:val="none"/>
        </w:rPr>
        <w:t>总价金额与按单价汇总金额不一致的，以单价金额计算结果为准。</w:t>
      </w:r>
    </w:p>
    <w:p w14:paraId="542109DE">
      <w:pPr>
        <w:numPr>
          <w:ilvl w:val="2"/>
          <w:numId w:val="16"/>
        </w:numPr>
        <w:tabs>
          <w:tab w:val="left" w:pos="1080"/>
          <w:tab w:val="left" w:pos="1589"/>
          <w:tab w:val="left" w:pos="2035"/>
          <w:tab w:val="left" w:pos="2114"/>
        </w:tabs>
        <w:snapToGrid w:val="0"/>
        <w:spacing w:line="360" w:lineRule="auto"/>
        <w:ind w:left="2035"/>
        <w:rPr>
          <w:rFonts w:ascii="宋体" w:hAnsi="宋体"/>
          <w:color w:val="auto"/>
          <w:sz w:val="24"/>
          <w:highlight w:val="none"/>
        </w:rPr>
      </w:pPr>
      <w:r>
        <w:rPr>
          <w:rFonts w:ascii="宋体" w:hAnsi="宋体"/>
          <w:color w:val="auto"/>
          <w:sz w:val="24"/>
          <w:highlight w:val="none"/>
        </w:rPr>
        <w:t>同时出现两种以上不一致的，按照前款规定的顺序修正。</w:t>
      </w:r>
    </w:p>
    <w:p w14:paraId="52825B9E">
      <w:pPr>
        <w:numPr>
          <w:ilvl w:val="2"/>
          <w:numId w:val="16"/>
        </w:numPr>
        <w:tabs>
          <w:tab w:val="left" w:pos="1080"/>
          <w:tab w:val="left" w:pos="1589"/>
          <w:tab w:val="left" w:pos="2035"/>
          <w:tab w:val="left" w:pos="2114"/>
        </w:tabs>
        <w:snapToGrid w:val="0"/>
        <w:spacing w:line="360" w:lineRule="auto"/>
        <w:ind w:left="2035"/>
        <w:rPr>
          <w:rFonts w:ascii="宋体" w:hAnsi="宋体"/>
          <w:color w:val="auto"/>
          <w:sz w:val="24"/>
          <w:highlight w:val="none"/>
        </w:rPr>
      </w:pPr>
      <w:r>
        <w:rPr>
          <w:rFonts w:ascii="宋体" w:hAnsi="宋体"/>
          <w:color w:val="auto"/>
          <w:sz w:val="24"/>
          <w:highlight w:val="none"/>
        </w:rPr>
        <w:t>修正后的报价经投标人书面确认后产生约束力，投标人不确认的，其</w:t>
      </w:r>
      <w:r>
        <w:rPr>
          <w:rFonts w:ascii="宋体" w:hAnsi="宋体"/>
          <w:b/>
          <w:color w:val="auto"/>
          <w:sz w:val="24"/>
          <w:highlight w:val="none"/>
        </w:rPr>
        <w:t>投标无效</w:t>
      </w:r>
      <w:r>
        <w:rPr>
          <w:rFonts w:ascii="宋体" w:hAnsi="宋体"/>
          <w:color w:val="auto"/>
          <w:sz w:val="24"/>
          <w:highlight w:val="none"/>
        </w:rPr>
        <w:t>。</w:t>
      </w:r>
    </w:p>
    <w:p w14:paraId="65B9D4FF">
      <w:pPr>
        <w:numPr>
          <w:ilvl w:val="1"/>
          <w:numId w:val="16"/>
        </w:numPr>
        <w:tabs>
          <w:tab w:val="left" w:pos="1080"/>
        </w:tabs>
        <w:snapToGrid w:val="0"/>
        <w:spacing w:line="360" w:lineRule="auto"/>
        <w:ind w:left="1077" w:hanging="720"/>
        <w:rPr>
          <w:rFonts w:ascii="宋体" w:hAnsi="宋体"/>
          <w:color w:val="auto"/>
          <w:sz w:val="24"/>
          <w:highlight w:val="none"/>
        </w:rPr>
      </w:pPr>
      <w:r>
        <w:rPr>
          <w:rFonts w:ascii="宋体" w:hAnsi="宋体"/>
          <w:color w:val="auto"/>
          <w:sz w:val="24"/>
          <w:highlight w:val="none"/>
        </w:rPr>
        <w:t>落实政府采购政策的价格调整：只有符合第二章《投标人须知》5.2条规定情形的，可以享受中小企业扶持政策，用扣除后的价格参加评审；否则，评标时价格不予扣除。</w:t>
      </w:r>
    </w:p>
    <w:p w14:paraId="765D0294">
      <w:pPr>
        <w:numPr>
          <w:ilvl w:val="2"/>
          <w:numId w:val="16"/>
        </w:numPr>
        <w:tabs>
          <w:tab w:val="left" w:pos="1080"/>
          <w:tab w:val="left" w:pos="1589"/>
          <w:tab w:val="left" w:pos="2035"/>
        </w:tabs>
        <w:snapToGrid w:val="0"/>
        <w:spacing w:line="360" w:lineRule="auto"/>
        <w:ind w:left="2035"/>
        <w:rPr>
          <w:rFonts w:ascii="宋体" w:hAnsi="宋体"/>
          <w:color w:val="auto"/>
          <w:sz w:val="24"/>
          <w:highlight w:val="none"/>
        </w:rPr>
      </w:pPr>
      <w:r>
        <w:rPr>
          <w:rFonts w:ascii="宋体" w:hAnsi="宋体"/>
          <w:color w:val="auto"/>
          <w:sz w:val="24"/>
          <w:highlight w:val="none"/>
        </w:rPr>
        <w:t>对于未预留份额专门面向中小企业采购的采购项目，以及预留份额项目中的非预留部分采购包，对小微企业报价给予</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10</w:t>
      </w:r>
      <w:r>
        <w:rPr>
          <w:rFonts w:hint="eastAsia" w:ascii="宋体" w:hAnsi="宋体"/>
          <w:color w:val="auto"/>
          <w:sz w:val="24"/>
          <w:highlight w:val="none"/>
          <w:u w:val="single"/>
        </w:rPr>
        <w:t xml:space="preserve">  </w:t>
      </w:r>
      <w:r>
        <w:rPr>
          <w:rFonts w:ascii="宋体" w:hAnsi="宋体"/>
          <w:color w:val="auto"/>
          <w:sz w:val="24"/>
          <w:highlight w:val="none"/>
        </w:rPr>
        <w:t>%的扣除，用扣除后的价格参加评审。</w:t>
      </w:r>
    </w:p>
    <w:p w14:paraId="2F04D857">
      <w:pPr>
        <w:numPr>
          <w:ilvl w:val="2"/>
          <w:numId w:val="16"/>
        </w:numPr>
        <w:tabs>
          <w:tab w:val="left" w:pos="1080"/>
          <w:tab w:val="left" w:pos="1589"/>
          <w:tab w:val="left" w:pos="2035"/>
        </w:tabs>
        <w:snapToGrid w:val="0"/>
        <w:spacing w:line="360" w:lineRule="auto"/>
        <w:ind w:left="2035"/>
        <w:rPr>
          <w:rFonts w:ascii="宋体" w:hAnsi="宋体"/>
          <w:color w:val="auto"/>
          <w:sz w:val="24"/>
          <w:highlight w:val="none"/>
        </w:rPr>
      </w:pPr>
      <w:r>
        <w:rPr>
          <w:rFonts w:ascii="宋体" w:hAnsi="宋体"/>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olor w:val="auto"/>
          <w:sz w:val="24"/>
          <w:highlight w:val="none"/>
          <w:u w:val="single"/>
        </w:rPr>
        <w:t xml:space="preserve">  /  </w:t>
      </w:r>
      <w:r>
        <w:rPr>
          <w:rFonts w:ascii="宋体" w:hAnsi="宋体"/>
          <w:color w:val="auto"/>
          <w:sz w:val="24"/>
          <w:highlight w:val="none"/>
        </w:rPr>
        <w:t>%的扣除，用扣除后的价格参加评审。</w:t>
      </w:r>
    </w:p>
    <w:p w14:paraId="52899E5F">
      <w:pPr>
        <w:numPr>
          <w:ilvl w:val="2"/>
          <w:numId w:val="16"/>
        </w:numPr>
        <w:tabs>
          <w:tab w:val="left" w:pos="1080"/>
          <w:tab w:val="left" w:pos="1589"/>
          <w:tab w:val="left" w:pos="2035"/>
        </w:tabs>
        <w:snapToGrid w:val="0"/>
        <w:spacing w:line="360" w:lineRule="auto"/>
        <w:ind w:left="2035"/>
        <w:rPr>
          <w:rFonts w:ascii="宋体" w:hAnsi="宋体"/>
          <w:color w:val="auto"/>
          <w:sz w:val="24"/>
          <w:highlight w:val="none"/>
        </w:rPr>
      </w:pPr>
      <w:r>
        <w:rPr>
          <w:rFonts w:ascii="宋体" w:hAnsi="宋体"/>
          <w:color w:val="auto"/>
          <w:sz w:val="24"/>
          <w:highlight w:val="none"/>
        </w:rPr>
        <w:t>组成联合体或者接受分包的小微企业与联合体内其他企业、分包企业之间存在直接控股、管理关系的，不享受价格扣除优惠政策。</w:t>
      </w:r>
    </w:p>
    <w:p w14:paraId="08CBB6DB">
      <w:pPr>
        <w:numPr>
          <w:ilvl w:val="2"/>
          <w:numId w:val="16"/>
        </w:numPr>
        <w:tabs>
          <w:tab w:val="left" w:pos="1080"/>
          <w:tab w:val="left" w:pos="1589"/>
          <w:tab w:val="left" w:pos="2035"/>
        </w:tabs>
        <w:snapToGrid w:val="0"/>
        <w:spacing w:line="360" w:lineRule="auto"/>
        <w:ind w:left="2035"/>
        <w:rPr>
          <w:rFonts w:ascii="宋体" w:hAnsi="宋体"/>
          <w:color w:val="auto"/>
          <w:sz w:val="24"/>
          <w:highlight w:val="none"/>
        </w:rPr>
      </w:pPr>
      <w:r>
        <w:rPr>
          <w:rFonts w:ascii="宋体" w:hAnsi="宋体"/>
          <w:color w:val="auto"/>
          <w:sz w:val="24"/>
          <w:highlight w:val="none"/>
        </w:rPr>
        <w:t>价格扣除比例对小型企业和微型企业同等对待，不作区分。</w:t>
      </w:r>
    </w:p>
    <w:p w14:paraId="211F349F">
      <w:pPr>
        <w:numPr>
          <w:ilvl w:val="2"/>
          <w:numId w:val="16"/>
        </w:numPr>
        <w:tabs>
          <w:tab w:val="left" w:pos="1080"/>
          <w:tab w:val="left" w:pos="1589"/>
          <w:tab w:val="left" w:pos="2035"/>
        </w:tabs>
        <w:snapToGrid w:val="0"/>
        <w:spacing w:line="360" w:lineRule="auto"/>
        <w:ind w:left="2035"/>
        <w:rPr>
          <w:rFonts w:ascii="宋体" w:hAnsi="宋体"/>
          <w:color w:val="auto"/>
          <w:sz w:val="24"/>
          <w:highlight w:val="none"/>
        </w:rPr>
      </w:pPr>
      <w:r>
        <w:rPr>
          <w:rFonts w:ascii="宋体" w:hAnsi="宋体"/>
          <w:color w:val="auto"/>
          <w:sz w:val="24"/>
          <w:highlight w:val="none"/>
        </w:rPr>
        <w:t>中小企业参加政府采购活动，应当按照招标文件给定的格式出具《中小企业声明函》，否则不得享受相关中小企业扶持政策。</w:t>
      </w:r>
    </w:p>
    <w:p w14:paraId="479D809E">
      <w:pPr>
        <w:numPr>
          <w:ilvl w:val="2"/>
          <w:numId w:val="16"/>
        </w:numPr>
        <w:tabs>
          <w:tab w:val="left" w:pos="1080"/>
          <w:tab w:val="left" w:pos="1589"/>
          <w:tab w:val="left" w:pos="2035"/>
        </w:tabs>
        <w:snapToGrid w:val="0"/>
        <w:spacing w:line="360" w:lineRule="auto"/>
        <w:ind w:left="2035"/>
        <w:rPr>
          <w:rFonts w:ascii="宋体" w:hAnsi="宋体"/>
          <w:color w:val="auto"/>
          <w:sz w:val="24"/>
          <w:highlight w:val="none"/>
        </w:rPr>
      </w:pPr>
      <w:r>
        <w:rPr>
          <w:rFonts w:ascii="宋体" w:hAnsi="宋体"/>
          <w:color w:val="auto"/>
          <w:sz w:val="24"/>
          <w:highlight w:val="none"/>
        </w:rPr>
        <w:t>监狱企业提供了由省级以上监狱管理局（北京市含教育矫治局）、戒毒管理局（含新疆生产建设兵团）出具的属于监狱企业的证明文件的，视同小微企业。</w:t>
      </w:r>
    </w:p>
    <w:p w14:paraId="0AA07053">
      <w:pPr>
        <w:numPr>
          <w:ilvl w:val="2"/>
          <w:numId w:val="16"/>
        </w:numPr>
        <w:tabs>
          <w:tab w:val="left" w:pos="1080"/>
          <w:tab w:val="left" w:pos="1589"/>
          <w:tab w:val="left" w:pos="2035"/>
        </w:tabs>
        <w:snapToGrid w:val="0"/>
        <w:spacing w:line="360" w:lineRule="auto"/>
        <w:ind w:left="2035"/>
        <w:rPr>
          <w:rFonts w:ascii="宋体" w:hAnsi="宋体"/>
          <w:color w:val="auto"/>
          <w:sz w:val="24"/>
          <w:highlight w:val="none"/>
        </w:rPr>
      </w:pPr>
      <w:r>
        <w:rPr>
          <w:rFonts w:ascii="宋体" w:hAnsi="宋体"/>
          <w:color w:val="auto"/>
          <w:sz w:val="24"/>
          <w:highlight w:val="none"/>
        </w:rPr>
        <w:t>残疾人福利性单位按招标文件要求提供了《残疾人福利性单位声明函》（见附件）的，视同小微企业。</w:t>
      </w:r>
    </w:p>
    <w:p w14:paraId="0DEDEE50">
      <w:pPr>
        <w:numPr>
          <w:ilvl w:val="2"/>
          <w:numId w:val="16"/>
        </w:numPr>
        <w:tabs>
          <w:tab w:val="left" w:pos="1080"/>
          <w:tab w:val="left" w:pos="1589"/>
          <w:tab w:val="left" w:pos="2014"/>
          <w:tab w:val="clear" w:pos="1980"/>
        </w:tabs>
        <w:snapToGrid w:val="0"/>
        <w:spacing w:line="360" w:lineRule="auto"/>
        <w:ind w:left="2035"/>
        <w:rPr>
          <w:rFonts w:ascii="宋体" w:hAnsi="宋体"/>
          <w:color w:val="auto"/>
          <w:sz w:val="24"/>
          <w:highlight w:val="none"/>
        </w:rPr>
      </w:pPr>
      <w:r>
        <w:rPr>
          <w:rFonts w:ascii="宋体" w:hAnsi="宋体"/>
          <w:color w:val="auto"/>
          <w:sz w:val="24"/>
          <w:highlight w:val="none"/>
        </w:rPr>
        <w:t>若投标人同时属于小型或微型企业、监狱企业、残疾人福利性单位中的两种及以上，将不重复享受小微企业价格扣减的优惠政策。</w:t>
      </w:r>
    </w:p>
    <w:p w14:paraId="31D02B42">
      <w:pPr>
        <w:numPr>
          <w:ilvl w:val="0"/>
          <w:numId w:val="16"/>
        </w:numPr>
        <w:tabs>
          <w:tab w:val="left" w:pos="360"/>
        </w:tabs>
        <w:snapToGrid w:val="0"/>
        <w:spacing w:line="360" w:lineRule="auto"/>
        <w:outlineLvl w:val="1"/>
        <w:rPr>
          <w:rFonts w:ascii="宋体" w:hAnsi="宋体"/>
          <w:color w:val="auto"/>
          <w:sz w:val="24"/>
          <w:highlight w:val="none"/>
        </w:rPr>
      </w:pPr>
      <w:r>
        <w:rPr>
          <w:rFonts w:ascii="宋体" w:hAnsi="宋体"/>
          <w:color w:val="auto"/>
          <w:sz w:val="24"/>
          <w:highlight w:val="none"/>
        </w:rPr>
        <w:t>投标文件的比较和评价</w:t>
      </w:r>
      <w:bookmarkEnd w:id="684"/>
      <w:bookmarkEnd w:id="685"/>
    </w:p>
    <w:p w14:paraId="665BF89A">
      <w:pPr>
        <w:numPr>
          <w:ilvl w:val="1"/>
          <w:numId w:val="16"/>
        </w:numPr>
        <w:tabs>
          <w:tab w:val="left" w:pos="1080"/>
        </w:tabs>
        <w:snapToGrid w:val="0"/>
        <w:spacing w:line="360" w:lineRule="auto"/>
        <w:ind w:left="1077" w:hanging="720"/>
        <w:rPr>
          <w:rFonts w:ascii="宋体" w:hAnsi="宋体"/>
          <w:color w:val="auto"/>
          <w:sz w:val="24"/>
          <w:highlight w:val="none"/>
        </w:rPr>
      </w:pPr>
      <w:r>
        <w:rPr>
          <w:rFonts w:ascii="宋体" w:hAnsi="宋体"/>
          <w:color w:val="auto"/>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1E53DE9F">
      <w:pPr>
        <w:numPr>
          <w:ilvl w:val="1"/>
          <w:numId w:val="16"/>
        </w:numPr>
        <w:tabs>
          <w:tab w:val="left" w:pos="1080"/>
        </w:tabs>
        <w:snapToGrid w:val="0"/>
        <w:spacing w:line="360" w:lineRule="auto"/>
        <w:ind w:left="1077" w:hanging="720"/>
        <w:rPr>
          <w:rFonts w:ascii="宋体" w:hAnsi="宋体"/>
          <w:color w:val="auto"/>
          <w:sz w:val="24"/>
          <w:highlight w:val="none"/>
        </w:rPr>
      </w:pPr>
      <w:r>
        <w:rPr>
          <w:rFonts w:ascii="宋体" w:hAnsi="宋体"/>
          <w:color w:val="auto"/>
          <w:sz w:val="24"/>
          <w:highlight w:val="none"/>
        </w:rPr>
        <w:t>评标方法和评标标准</w:t>
      </w:r>
    </w:p>
    <w:p w14:paraId="0C2708C4">
      <w:pPr>
        <w:numPr>
          <w:ilvl w:val="2"/>
          <w:numId w:val="16"/>
        </w:numPr>
        <w:tabs>
          <w:tab w:val="left" w:pos="1080"/>
          <w:tab w:val="left" w:pos="1589"/>
          <w:tab w:val="left" w:pos="2035"/>
        </w:tabs>
        <w:snapToGrid w:val="0"/>
        <w:spacing w:line="360" w:lineRule="auto"/>
        <w:ind w:left="2035"/>
        <w:rPr>
          <w:rFonts w:ascii="宋体" w:hAnsi="宋体"/>
          <w:color w:val="auto"/>
          <w:sz w:val="24"/>
          <w:highlight w:val="none"/>
        </w:rPr>
      </w:pPr>
      <w:r>
        <w:rPr>
          <w:rFonts w:ascii="宋体" w:hAnsi="宋体"/>
          <w:color w:val="auto"/>
          <w:sz w:val="24"/>
          <w:highlight w:val="none"/>
        </w:rPr>
        <w:t>本项目采用的评标方法为：</w:t>
      </w:r>
    </w:p>
    <w:p w14:paraId="1D99B067">
      <w:pPr>
        <w:tabs>
          <w:tab w:val="left" w:pos="900"/>
          <w:tab w:val="left" w:pos="1589"/>
          <w:tab w:val="left" w:pos="1701"/>
        </w:tabs>
        <w:snapToGrid w:val="0"/>
        <w:spacing w:line="360" w:lineRule="auto"/>
        <w:ind w:left="1985"/>
        <w:rPr>
          <w:rFonts w:ascii="宋体" w:hAnsi="宋体"/>
          <w:color w:val="auto"/>
          <w:sz w:val="24"/>
          <w:highlight w:val="none"/>
        </w:rPr>
      </w:pPr>
      <w:r>
        <w:rPr>
          <w:rFonts w:ascii="Segoe UI Symbol" w:hAnsi="Segoe UI Symbol" w:cs="Segoe UI Symbol"/>
          <w:color w:val="auto"/>
          <w:sz w:val="24"/>
          <w:highlight w:val="none"/>
        </w:rPr>
        <w:t>☑</w:t>
      </w:r>
      <w:r>
        <w:rPr>
          <w:rFonts w:ascii="宋体" w:hAnsi="宋体"/>
          <w:color w:val="auto"/>
          <w:sz w:val="24"/>
          <w:highlight w:val="none"/>
        </w:rPr>
        <w:t>综合评分法，指投标文件满足招标文件全部实质性要求，且按照评审因素的量化指标评审得分最高的投标人为中标候选人的评标方法，见《评标标准》</w:t>
      </w:r>
      <w:r>
        <w:rPr>
          <w:rFonts w:hint="eastAsia" w:ascii="宋体" w:hAnsi="宋体"/>
          <w:color w:val="auto"/>
          <w:sz w:val="24"/>
          <w:highlight w:val="none"/>
        </w:rPr>
        <w:t>，招标文件中没有规定的评标标准不得作为评审的依据。</w:t>
      </w:r>
    </w:p>
    <w:p w14:paraId="2A76BE0F">
      <w:pPr>
        <w:tabs>
          <w:tab w:val="left" w:pos="900"/>
          <w:tab w:val="left" w:pos="1589"/>
          <w:tab w:val="left" w:pos="1701"/>
        </w:tabs>
        <w:snapToGrid w:val="0"/>
        <w:spacing w:line="360" w:lineRule="auto"/>
        <w:ind w:left="1985"/>
        <w:rPr>
          <w:rFonts w:ascii="宋体" w:hAnsi="宋体"/>
          <w:color w:val="auto"/>
          <w:sz w:val="24"/>
          <w:highlight w:val="none"/>
        </w:rPr>
      </w:pPr>
      <w:r>
        <w:rPr>
          <w:rFonts w:ascii="宋体" w:hAnsi="宋体"/>
          <w:color w:val="auto"/>
          <w:sz w:val="24"/>
          <w:highlight w:val="none"/>
        </w:rPr>
        <w:t>□最低评标价法，指投标文件满足招标文件全部实质性要求，且投标报价最低的投标人为中标候选人的评标方法。</w:t>
      </w:r>
    </w:p>
    <w:p w14:paraId="26EBB8E5">
      <w:pPr>
        <w:numPr>
          <w:ilvl w:val="2"/>
          <w:numId w:val="16"/>
        </w:numPr>
        <w:tabs>
          <w:tab w:val="left" w:pos="1080"/>
          <w:tab w:val="left" w:pos="1589"/>
          <w:tab w:val="left" w:pos="2035"/>
        </w:tabs>
        <w:snapToGrid w:val="0"/>
        <w:spacing w:line="360" w:lineRule="auto"/>
        <w:ind w:left="2035"/>
        <w:rPr>
          <w:rFonts w:ascii="宋体" w:hAnsi="宋体"/>
          <w:color w:val="auto"/>
          <w:sz w:val="24"/>
          <w:highlight w:val="none"/>
        </w:rPr>
      </w:pPr>
      <w:r>
        <w:rPr>
          <w:rFonts w:ascii="宋体" w:hAnsi="宋体"/>
          <w:color w:val="auto"/>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color w:val="auto"/>
          <w:sz w:val="24"/>
          <w:highlight w:val="none"/>
        </w:rPr>
        <w:t>投标无效</w:t>
      </w:r>
      <w:r>
        <w:rPr>
          <w:rFonts w:ascii="宋体" w:hAnsi="宋体"/>
          <w:color w:val="auto"/>
          <w:sz w:val="24"/>
          <w:highlight w:val="none"/>
        </w:rPr>
        <w:t>。</w:t>
      </w:r>
    </w:p>
    <w:p w14:paraId="0D5E3B9D">
      <w:pPr>
        <w:tabs>
          <w:tab w:val="left" w:pos="1080"/>
          <w:tab w:val="left" w:pos="1589"/>
          <w:tab w:val="left" w:pos="2035"/>
        </w:tabs>
        <w:snapToGrid w:val="0"/>
        <w:spacing w:line="360" w:lineRule="auto"/>
        <w:ind w:left="2035"/>
        <w:rPr>
          <w:rFonts w:ascii="宋体" w:hAnsi="宋体"/>
          <w:color w:val="auto"/>
          <w:sz w:val="24"/>
          <w:highlight w:val="none"/>
        </w:rPr>
      </w:pPr>
      <w:r>
        <w:rPr>
          <w:rFonts w:ascii="宋体" w:hAnsi="宋体"/>
          <w:color w:val="auto"/>
          <w:sz w:val="24"/>
          <w:highlight w:val="none"/>
        </w:rPr>
        <w:t>□随机抽取</w:t>
      </w:r>
    </w:p>
    <w:p w14:paraId="2ED7C8AD">
      <w:pPr>
        <w:tabs>
          <w:tab w:val="left" w:pos="1080"/>
          <w:tab w:val="left" w:pos="1589"/>
          <w:tab w:val="left" w:pos="2035"/>
        </w:tabs>
        <w:snapToGrid w:val="0"/>
        <w:spacing w:line="360" w:lineRule="auto"/>
        <w:ind w:left="2035"/>
        <w:rPr>
          <w:rFonts w:ascii="宋体" w:hAnsi="宋体"/>
          <w:color w:val="auto"/>
          <w:sz w:val="24"/>
          <w:highlight w:val="none"/>
          <w:u w:val="single"/>
        </w:rPr>
      </w:pPr>
      <w:r>
        <w:rPr>
          <w:rFonts w:ascii="宋体" w:hAnsi="宋体"/>
          <w:color w:val="auto"/>
          <w:sz w:val="24"/>
          <w:highlight w:val="none"/>
        </w:rPr>
        <w:t>□其他方式，具体要求：</w:t>
      </w:r>
      <w:r>
        <w:rPr>
          <w:rFonts w:hint="eastAsia" w:ascii="宋体" w:hAnsi="宋体"/>
          <w:color w:val="auto"/>
          <w:sz w:val="24"/>
          <w:highlight w:val="none"/>
          <w:u w:val="single"/>
        </w:rPr>
        <w:t xml:space="preserve">    /   </w:t>
      </w:r>
    </w:p>
    <w:p w14:paraId="541271C8">
      <w:pPr>
        <w:numPr>
          <w:ilvl w:val="2"/>
          <w:numId w:val="16"/>
        </w:numPr>
        <w:tabs>
          <w:tab w:val="left" w:pos="1080"/>
          <w:tab w:val="left" w:pos="1589"/>
          <w:tab w:val="left" w:pos="2035"/>
        </w:tabs>
        <w:snapToGrid w:val="0"/>
        <w:spacing w:line="360" w:lineRule="auto"/>
        <w:ind w:left="2035"/>
        <w:rPr>
          <w:rFonts w:ascii="宋体" w:hAnsi="宋体"/>
          <w:color w:val="auto"/>
          <w:sz w:val="24"/>
          <w:highlight w:val="none"/>
        </w:rPr>
      </w:pPr>
      <w:r>
        <w:rPr>
          <w:rFonts w:ascii="宋体" w:hAnsi="宋体"/>
          <w:color w:val="auto"/>
          <w:sz w:val="24"/>
          <w:highlight w:val="none"/>
        </w:rPr>
        <w:t>非政府强制采购的节能产品或环境标志产品，依据品目清单和认证证书实施政府优先采购。优先采购的具体规定（如涉及）</w:t>
      </w:r>
      <w:r>
        <w:rPr>
          <w:rFonts w:hint="eastAsia" w:ascii="宋体" w:hAnsi="宋体"/>
          <w:color w:val="auto"/>
          <w:sz w:val="24"/>
          <w:highlight w:val="none"/>
          <w:u w:val="single"/>
        </w:rPr>
        <w:t xml:space="preserve">  /  </w:t>
      </w:r>
      <w:r>
        <w:rPr>
          <w:rFonts w:ascii="宋体" w:hAnsi="宋体"/>
          <w:color w:val="auto"/>
          <w:sz w:val="24"/>
          <w:highlight w:val="none"/>
        </w:rPr>
        <w:t>。</w:t>
      </w:r>
    </w:p>
    <w:p w14:paraId="656C6AA7">
      <w:pPr>
        <w:numPr>
          <w:ilvl w:val="0"/>
          <w:numId w:val="16"/>
        </w:numPr>
        <w:tabs>
          <w:tab w:val="left" w:pos="360"/>
        </w:tabs>
        <w:snapToGrid w:val="0"/>
        <w:spacing w:line="360" w:lineRule="auto"/>
        <w:outlineLvl w:val="1"/>
        <w:rPr>
          <w:rFonts w:ascii="宋体" w:hAnsi="宋体"/>
          <w:color w:val="auto"/>
          <w:sz w:val="24"/>
          <w:highlight w:val="none"/>
        </w:rPr>
      </w:pPr>
      <w:r>
        <w:rPr>
          <w:rFonts w:ascii="宋体" w:hAnsi="宋体"/>
          <w:color w:val="auto"/>
          <w:sz w:val="24"/>
          <w:highlight w:val="none"/>
        </w:rPr>
        <w:t>确定</w:t>
      </w:r>
      <w:bookmarkStart w:id="701" w:name="_Toc164608815"/>
      <w:bookmarkStart w:id="702" w:name="_Toc305158814"/>
      <w:bookmarkStart w:id="703" w:name="_Toc150480784"/>
      <w:bookmarkStart w:id="704" w:name="_Toc305158888"/>
      <w:bookmarkStart w:id="705" w:name="_Toc164351640"/>
      <w:bookmarkStart w:id="706" w:name="_Toc151193716"/>
      <w:bookmarkStart w:id="707" w:name="_Toc164229387"/>
      <w:bookmarkStart w:id="708" w:name="_Toc164608660"/>
      <w:bookmarkStart w:id="709" w:name="_Toc149720839"/>
      <w:bookmarkStart w:id="710" w:name="_Toc127161460"/>
      <w:bookmarkStart w:id="711" w:name="_Toc265228384"/>
      <w:bookmarkStart w:id="712" w:name="_Toc151193644"/>
      <w:bookmarkStart w:id="713" w:name="_Ref467307010"/>
      <w:bookmarkStart w:id="714" w:name="_Toc142311048"/>
      <w:bookmarkStart w:id="715" w:name="_Toc226337242"/>
      <w:bookmarkStart w:id="716" w:name="_Toc195842911"/>
      <w:bookmarkStart w:id="717" w:name="_Toc151193934"/>
      <w:bookmarkStart w:id="718" w:name="_Toc226965736"/>
      <w:bookmarkStart w:id="719" w:name="_Toc127151747"/>
      <w:bookmarkStart w:id="720" w:name="_Toc520356170"/>
      <w:bookmarkStart w:id="721" w:name="_Toc127151546"/>
      <w:bookmarkStart w:id="722" w:name="_Toc150774646"/>
      <w:bookmarkStart w:id="723" w:name="_Toc151193788"/>
      <w:bookmarkStart w:id="724" w:name="_Toc151193860"/>
      <w:bookmarkStart w:id="725" w:name="_Toc226965819"/>
      <w:bookmarkStart w:id="726" w:name="_Toc151190173"/>
      <w:bookmarkStart w:id="727" w:name="_Toc264969236"/>
      <w:bookmarkStart w:id="728" w:name="_Toc164229241"/>
      <w:bookmarkStart w:id="729" w:name="_Toc150509297"/>
      <w:bookmarkStart w:id="730" w:name="_Toc150774751"/>
      <w:bookmarkStart w:id="731" w:name="_Toc226309790"/>
      <w:r>
        <w:rPr>
          <w:rFonts w:ascii="宋体" w:hAnsi="宋体"/>
          <w:color w:val="auto"/>
          <w:sz w:val="24"/>
          <w:highlight w:val="none"/>
        </w:rPr>
        <w:t>中标候选人名单</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p>
    <w:p w14:paraId="1DA4CA70">
      <w:pPr>
        <w:numPr>
          <w:ilvl w:val="1"/>
          <w:numId w:val="16"/>
        </w:numPr>
        <w:tabs>
          <w:tab w:val="left" w:pos="1080"/>
        </w:tabs>
        <w:snapToGrid w:val="0"/>
        <w:spacing w:line="360" w:lineRule="auto"/>
        <w:ind w:left="1077" w:hanging="720"/>
        <w:rPr>
          <w:rFonts w:ascii="宋体" w:hAnsi="宋体"/>
          <w:color w:val="auto"/>
          <w:sz w:val="24"/>
          <w:highlight w:val="none"/>
        </w:rPr>
      </w:pPr>
      <w:r>
        <w:rPr>
          <w:rFonts w:ascii="宋体" w:hAnsi="宋体"/>
          <w:color w:val="auto"/>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85DD79A">
      <w:pPr>
        <w:pStyle w:val="24"/>
        <w:tabs>
          <w:tab w:val="left" w:pos="900"/>
          <w:tab w:val="left" w:pos="2127"/>
        </w:tabs>
        <w:adjustRightInd w:val="0"/>
        <w:snapToGrid w:val="0"/>
        <w:spacing w:line="360" w:lineRule="auto"/>
        <w:ind w:left="993" w:firstLine="136" w:firstLineChars="57"/>
        <w:rPr>
          <w:rFonts w:hint="default" w:hAnsi="宋体"/>
          <w:color w:val="auto"/>
          <w:sz w:val="24"/>
          <w:szCs w:val="24"/>
          <w:highlight w:val="none"/>
        </w:rPr>
      </w:pPr>
      <w:r>
        <w:rPr>
          <w:rFonts w:hint="default" w:hAnsi="宋体"/>
          <w:color w:val="auto"/>
          <w:sz w:val="24"/>
          <w:szCs w:val="24"/>
          <w:highlight w:val="none"/>
        </w:rPr>
        <w:t>□随机抽取</w:t>
      </w:r>
    </w:p>
    <w:p w14:paraId="7C6D1429">
      <w:pPr>
        <w:pStyle w:val="24"/>
        <w:tabs>
          <w:tab w:val="left" w:pos="900"/>
          <w:tab w:val="left" w:pos="2127"/>
        </w:tabs>
        <w:adjustRightInd w:val="0"/>
        <w:snapToGrid w:val="0"/>
        <w:spacing w:line="360" w:lineRule="auto"/>
        <w:ind w:left="993" w:firstLine="136" w:firstLineChars="57"/>
        <w:rPr>
          <w:rFonts w:hint="default" w:hAnsi="宋体"/>
          <w:color w:val="auto"/>
          <w:sz w:val="24"/>
          <w:szCs w:val="24"/>
          <w:highlight w:val="none"/>
        </w:rPr>
      </w:pPr>
      <w:r>
        <w:rPr>
          <w:rFonts w:hint="default" w:hAnsi="宋体"/>
          <w:color w:val="auto"/>
          <w:sz w:val="24"/>
          <w:szCs w:val="24"/>
          <w:highlight w:val="none"/>
        </w:rPr>
        <w:t>□其他方式，具体要求：</w:t>
      </w:r>
      <w:r>
        <w:rPr>
          <w:rFonts w:hAnsi="宋体"/>
          <w:color w:val="auto"/>
          <w:sz w:val="24"/>
          <w:szCs w:val="24"/>
          <w:highlight w:val="none"/>
          <w:u w:val="single"/>
        </w:rPr>
        <w:t xml:space="preserve">  /  </w:t>
      </w:r>
    </w:p>
    <w:p w14:paraId="65494F50">
      <w:pPr>
        <w:numPr>
          <w:ilvl w:val="1"/>
          <w:numId w:val="16"/>
        </w:numPr>
        <w:tabs>
          <w:tab w:val="left" w:pos="1080"/>
        </w:tabs>
        <w:snapToGrid w:val="0"/>
        <w:spacing w:line="360" w:lineRule="auto"/>
        <w:ind w:left="1077" w:hanging="720"/>
        <w:rPr>
          <w:rFonts w:ascii="宋体" w:hAnsi="宋体"/>
          <w:color w:val="auto"/>
          <w:sz w:val="24"/>
          <w:highlight w:val="none"/>
        </w:rPr>
      </w:pPr>
      <w:r>
        <w:rPr>
          <w:rFonts w:ascii="宋体" w:hAnsi="宋体"/>
          <w:color w:val="auto"/>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03B1890">
      <w:pPr>
        <w:numPr>
          <w:ilvl w:val="1"/>
          <w:numId w:val="16"/>
        </w:numPr>
        <w:tabs>
          <w:tab w:val="left" w:pos="1080"/>
        </w:tabs>
        <w:snapToGrid w:val="0"/>
        <w:spacing w:line="360" w:lineRule="auto"/>
        <w:ind w:left="1077" w:hanging="720"/>
        <w:rPr>
          <w:rFonts w:ascii="宋体" w:hAnsi="宋体"/>
          <w:color w:val="auto"/>
          <w:sz w:val="24"/>
          <w:highlight w:val="none"/>
        </w:rPr>
      </w:pPr>
      <w:r>
        <w:rPr>
          <w:rFonts w:ascii="宋体" w:hAnsi="宋体"/>
          <w:color w:val="auto"/>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406233AB">
      <w:pPr>
        <w:numPr>
          <w:ilvl w:val="1"/>
          <w:numId w:val="16"/>
        </w:numPr>
        <w:tabs>
          <w:tab w:val="left" w:pos="1080"/>
        </w:tabs>
        <w:snapToGrid w:val="0"/>
        <w:spacing w:line="360" w:lineRule="auto"/>
        <w:ind w:left="1077" w:hanging="720"/>
        <w:rPr>
          <w:rFonts w:ascii="宋体" w:hAnsi="宋体"/>
          <w:color w:val="auto"/>
          <w:sz w:val="24"/>
          <w:highlight w:val="none"/>
        </w:rPr>
      </w:pPr>
      <w:r>
        <w:rPr>
          <w:rFonts w:ascii="宋体" w:hAnsi="宋体"/>
          <w:color w:val="auto"/>
          <w:sz w:val="24"/>
          <w:highlight w:val="none"/>
        </w:rPr>
        <w:t>评标委员会要对评分汇总情况进行复核，特别是对排名第一的、报价最低的、投标或</w:t>
      </w:r>
      <w:r>
        <w:rPr>
          <w:rFonts w:hint="eastAsia" w:ascii="宋体" w:hAnsi="宋体"/>
          <w:color w:val="auto"/>
          <w:sz w:val="24"/>
          <w:highlight w:val="none"/>
        </w:rPr>
        <w:t>响应</w:t>
      </w:r>
      <w:r>
        <w:rPr>
          <w:rFonts w:ascii="宋体" w:hAnsi="宋体"/>
          <w:color w:val="auto"/>
          <w:sz w:val="24"/>
          <w:highlight w:val="none"/>
        </w:rPr>
        <w:t>文件被认定为无效的情形进行重点复核。</w:t>
      </w:r>
    </w:p>
    <w:p w14:paraId="3CB65C3F">
      <w:pPr>
        <w:numPr>
          <w:ilvl w:val="1"/>
          <w:numId w:val="16"/>
        </w:numPr>
        <w:tabs>
          <w:tab w:val="left" w:pos="1080"/>
        </w:tabs>
        <w:snapToGrid w:val="0"/>
        <w:spacing w:line="360" w:lineRule="auto"/>
        <w:ind w:left="1077" w:hanging="720"/>
        <w:rPr>
          <w:rFonts w:ascii="宋体" w:hAnsi="宋体"/>
          <w:color w:val="auto"/>
          <w:sz w:val="24"/>
          <w:highlight w:val="none"/>
        </w:rPr>
      </w:pPr>
      <w:r>
        <w:rPr>
          <w:rFonts w:ascii="宋体" w:hAnsi="宋体"/>
          <w:color w:val="auto"/>
          <w:sz w:val="24"/>
          <w:highlight w:val="none"/>
        </w:rPr>
        <w:t>评标委员会将根据各投标人的评标排序，依次推荐本项目（</w:t>
      </w:r>
      <w:r>
        <w:rPr>
          <w:rFonts w:hint="eastAsia" w:ascii="宋体" w:hAnsi="宋体"/>
          <w:color w:val="auto"/>
          <w:sz w:val="24"/>
          <w:highlight w:val="none"/>
        </w:rPr>
        <w:t>各</w:t>
      </w:r>
      <w:r>
        <w:rPr>
          <w:rFonts w:ascii="宋体" w:hAnsi="宋体"/>
          <w:color w:val="auto"/>
          <w:sz w:val="24"/>
          <w:highlight w:val="none"/>
        </w:rPr>
        <w:t>采购包）的中标候选人，起草并签署评标报告。本项目（</w:t>
      </w:r>
      <w:r>
        <w:rPr>
          <w:rFonts w:hint="eastAsia" w:ascii="宋体" w:hAnsi="宋体"/>
          <w:color w:val="auto"/>
          <w:sz w:val="24"/>
          <w:highlight w:val="none"/>
        </w:rPr>
        <w:t>各</w:t>
      </w:r>
      <w:r>
        <w:rPr>
          <w:rFonts w:ascii="宋体" w:hAnsi="宋体"/>
          <w:color w:val="auto"/>
          <w:sz w:val="24"/>
          <w:highlight w:val="none"/>
        </w:rPr>
        <w:t>采购包）评标委员会各推荐</w:t>
      </w:r>
      <w:r>
        <w:rPr>
          <w:rFonts w:hint="eastAsia" w:ascii="宋体" w:hAnsi="宋体"/>
          <w:color w:val="auto"/>
          <w:sz w:val="24"/>
          <w:highlight w:val="none"/>
          <w:u w:val="single"/>
        </w:rPr>
        <w:t xml:space="preserve">  3  </w:t>
      </w:r>
      <w:r>
        <w:rPr>
          <w:rFonts w:ascii="宋体" w:hAnsi="宋体"/>
          <w:color w:val="auto"/>
          <w:sz w:val="24"/>
          <w:highlight w:val="none"/>
        </w:rPr>
        <w:t>名中标候选人。</w:t>
      </w:r>
    </w:p>
    <w:p w14:paraId="6D62C97F">
      <w:pPr>
        <w:numPr>
          <w:ilvl w:val="0"/>
          <w:numId w:val="16"/>
        </w:numPr>
        <w:tabs>
          <w:tab w:val="left" w:pos="360"/>
        </w:tabs>
        <w:snapToGrid w:val="0"/>
        <w:spacing w:line="360" w:lineRule="auto"/>
        <w:outlineLvl w:val="1"/>
        <w:rPr>
          <w:rFonts w:ascii="宋体" w:hAnsi="宋体"/>
          <w:color w:val="auto"/>
          <w:sz w:val="24"/>
          <w:highlight w:val="none"/>
        </w:rPr>
      </w:pPr>
      <w:r>
        <w:rPr>
          <w:rFonts w:ascii="宋体" w:hAnsi="宋体"/>
          <w:color w:val="auto"/>
          <w:sz w:val="24"/>
          <w:highlight w:val="none"/>
        </w:rPr>
        <w:t>报告违法行为</w:t>
      </w:r>
    </w:p>
    <w:p w14:paraId="612F34C1">
      <w:pPr>
        <w:numPr>
          <w:ilvl w:val="1"/>
          <w:numId w:val="16"/>
        </w:numPr>
        <w:tabs>
          <w:tab w:val="left" w:pos="1080"/>
        </w:tabs>
        <w:snapToGrid w:val="0"/>
        <w:spacing w:line="360" w:lineRule="auto"/>
        <w:ind w:left="1077" w:hanging="720"/>
        <w:rPr>
          <w:rFonts w:ascii="宋体" w:hAnsi="宋体"/>
          <w:color w:val="auto"/>
          <w:sz w:val="24"/>
          <w:highlight w:val="none"/>
        </w:rPr>
      </w:pPr>
      <w:r>
        <w:rPr>
          <w:rFonts w:ascii="宋体" w:hAnsi="宋体"/>
          <w:color w:val="auto"/>
          <w:sz w:val="24"/>
          <w:highlight w:val="none"/>
        </w:rPr>
        <w:t>评标委员会在评标过程中发现投标人有行贿、提供虚假材料或者串通等违法行为时，有向采购人、采购代理机构或者有关部门报告的职责。</w:t>
      </w:r>
    </w:p>
    <w:p w14:paraId="33C470E5">
      <w:pPr>
        <w:widowControl/>
        <w:jc w:val="left"/>
        <w:rPr>
          <w:rFonts w:ascii="宋体" w:hAnsi="宋体"/>
          <w:b/>
          <w:color w:val="auto"/>
          <w:sz w:val="24"/>
          <w:highlight w:val="none"/>
        </w:rPr>
      </w:pPr>
      <w:r>
        <w:rPr>
          <w:rFonts w:ascii="宋体" w:hAnsi="宋体"/>
          <w:b/>
          <w:color w:val="auto"/>
          <w:sz w:val="24"/>
          <w:highlight w:val="none"/>
        </w:rPr>
        <w:br w:type="page"/>
      </w:r>
    </w:p>
    <w:p w14:paraId="523FC154">
      <w:pPr>
        <w:widowControl/>
        <w:numPr>
          <w:ilvl w:val="0"/>
          <w:numId w:val="18"/>
        </w:numPr>
        <w:tabs>
          <w:tab w:val="left" w:pos="360"/>
          <w:tab w:val="left" w:pos="900"/>
        </w:tabs>
        <w:snapToGrid w:val="0"/>
        <w:spacing w:line="360" w:lineRule="auto"/>
        <w:jc w:val="both"/>
        <w:outlineLvl w:val="1"/>
        <w:rPr>
          <w:rFonts w:hint="eastAsia" w:ascii="宋体" w:hAnsi="宋体"/>
          <w:b/>
          <w:color w:val="auto"/>
          <w:sz w:val="24"/>
          <w:highlight w:val="none"/>
          <w:lang w:eastAsia="zh-CN"/>
        </w:rPr>
      </w:pPr>
      <w:r>
        <w:rPr>
          <w:rFonts w:ascii="宋体" w:hAnsi="宋体"/>
          <w:b/>
          <w:color w:val="auto"/>
          <w:sz w:val="24"/>
          <w:highlight w:val="none"/>
        </w:rPr>
        <w:t>评标标准</w:t>
      </w:r>
    </w:p>
    <w:p w14:paraId="3A665E47">
      <w:pPr>
        <w:numPr>
          <w:ilvl w:val="0"/>
          <w:numId w:val="0"/>
        </w:numPr>
        <w:jc w:val="center"/>
        <w:outlineLvl w:val="1"/>
        <w:rPr>
          <w:rFonts w:hint="eastAsia"/>
          <w:color w:val="auto"/>
          <w:highlight w:val="none"/>
          <w:lang w:val="en-US" w:eastAsia="zh-CN"/>
        </w:rPr>
      </w:pPr>
      <w:r>
        <w:rPr>
          <w:rFonts w:hint="eastAsia" w:ascii="宋体" w:hAnsi="宋体"/>
          <w:b/>
          <w:color w:val="auto"/>
          <w:sz w:val="24"/>
          <w:highlight w:val="none"/>
          <w:lang w:val="en-US" w:eastAsia="zh-CN"/>
        </w:rPr>
        <w:t>1包</w:t>
      </w:r>
      <w:r>
        <w:rPr>
          <w:rFonts w:ascii="宋体" w:hAnsi="宋体"/>
          <w:b/>
          <w:color w:val="auto"/>
          <w:sz w:val="24"/>
          <w:highlight w:val="none"/>
        </w:rPr>
        <w:t>评标标准</w:t>
      </w:r>
      <w:r>
        <w:rPr>
          <w:rFonts w:hint="eastAsia" w:ascii="宋体" w:hAnsi="宋体"/>
          <w:b/>
          <w:color w:val="auto"/>
          <w:sz w:val="24"/>
          <w:highlight w:val="none"/>
        </w:rPr>
        <w:t>（</w:t>
      </w:r>
      <w:r>
        <w:rPr>
          <w:rFonts w:hint="eastAsia" w:ascii="宋体" w:hAnsi="宋体"/>
          <w:b/>
          <w:color w:val="auto"/>
          <w:sz w:val="24"/>
          <w:highlight w:val="none"/>
          <w:lang w:val="en-US" w:eastAsia="zh-CN"/>
        </w:rPr>
        <w:t>10</w:t>
      </w:r>
      <w:r>
        <w:rPr>
          <w:rFonts w:hint="eastAsia" w:ascii="宋体" w:hAnsi="宋体"/>
          <w:b/>
          <w:color w:val="auto"/>
          <w:sz w:val="24"/>
          <w:highlight w:val="none"/>
        </w:rPr>
        <w:t>0分</w:t>
      </w:r>
      <w:r>
        <w:rPr>
          <w:rFonts w:hint="eastAsia" w:ascii="宋体" w:hAnsi="宋体"/>
          <w:b/>
          <w:color w:val="auto"/>
          <w:sz w:val="24"/>
          <w:highlight w:val="none"/>
          <w:lang w:eastAsia="zh-CN"/>
        </w:rPr>
        <w:t>）</w:t>
      </w:r>
    </w:p>
    <w:tbl>
      <w:tblPr>
        <w:tblStyle w:val="46"/>
        <w:tblpPr w:leftFromText="180" w:rightFromText="180" w:vertAnchor="text" w:horzAnchor="page" w:tblpX="1430" w:tblpY="62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130"/>
        <w:gridCol w:w="1259"/>
        <w:gridCol w:w="6509"/>
        <w:gridCol w:w="730"/>
      </w:tblGrid>
      <w:tr w14:paraId="5CFB8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tblHeader/>
        </w:trPr>
        <w:tc>
          <w:tcPr>
            <w:tcW w:w="587" w:type="pct"/>
            <w:shd w:val="clear" w:color="auto" w:fill="F3F3F3"/>
            <w:tcMar>
              <w:top w:w="57" w:type="dxa"/>
              <w:left w:w="108" w:type="dxa"/>
              <w:bottom w:w="57" w:type="dxa"/>
              <w:right w:w="108" w:type="dxa"/>
            </w:tcMar>
            <w:vAlign w:val="center"/>
          </w:tcPr>
          <w:p w14:paraId="3AD00279">
            <w:pPr>
              <w:keepNext w:val="0"/>
              <w:keepLines w:val="0"/>
              <w:pageBreakBefore w:val="0"/>
              <w:widowControl/>
              <w:kinsoku/>
              <w:wordWrap/>
              <w:overflowPunct/>
              <w:topLinePunct/>
              <w:autoSpaceDE/>
              <w:autoSpaceDN/>
              <w:bidi w:val="0"/>
              <w:ind w:left="-84" w:leftChars="-40" w:right="-36" w:rightChars="-17" w:firstLine="240" w:firstLineChars="100"/>
              <w:jc w:val="center"/>
              <w:rPr>
                <w:rFonts w:ascii="宋体" w:hAnsi="宋体" w:cs="宋体"/>
                <w:color w:val="auto"/>
                <w:kern w:val="0"/>
                <w:sz w:val="24"/>
                <w:highlight w:val="none"/>
              </w:rPr>
            </w:pPr>
            <w:r>
              <w:rPr>
                <w:rFonts w:hint="eastAsia" w:ascii="宋体" w:hAnsi="宋体" w:cs="宋体"/>
                <w:color w:val="auto"/>
                <w:kern w:val="0"/>
                <w:sz w:val="24"/>
                <w:highlight w:val="none"/>
                <w:shd w:val="clear" w:color="auto" w:fill="FFFFFF"/>
              </w:rPr>
              <w:br w:type="page"/>
            </w:r>
            <w:r>
              <w:rPr>
                <w:rFonts w:hint="eastAsia" w:ascii="宋体" w:hAnsi="宋体" w:cs="宋体"/>
                <w:b/>
                <w:bCs/>
                <w:color w:val="auto"/>
                <w:kern w:val="0"/>
                <w:sz w:val="24"/>
                <w:highlight w:val="none"/>
              </w:rPr>
              <w:t>序号</w:t>
            </w:r>
          </w:p>
        </w:tc>
        <w:tc>
          <w:tcPr>
            <w:tcW w:w="654" w:type="pct"/>
            <w:shd w:val="clear" w:color="auto" w:fill="F3F3F3"/>
            <w:tcMar>
              <w:top w:w="57" w:type="dxa"/>
              <w:left w:w="108" w:type="dxa"/>
              <w:bottom w:w="57" w:type="dxa"/>
              <w:right w:w="108" w:type="dxa"/>
            </w:tcMar>
            <w:vAlign w:val="center"/>
          </w:tcPr>
          <w:p w14:paraId="1595731A">
            <w:pPr>
              <w:keepNext w:val="0"/>
              <w:keepLines w:val="0"/>
              <w:pageBreakBefore w:val="0"/>
              <w:widowControl/>
              <w:kinsoku/>
              <w:wordWrap/>
              <w:overflowPunct/>
              <w:topLinePunct/>
              <w:autoSpaceDE/>
              <w:autoSpaceDN/>
              <w:bidi w:val="0"/>
              <w:jc w:val="center"/>
              <w:rPr>
                <w:rFonts w:ascii="宋体" w:hAnsi="宋体" w:cs="宋体"/>
                <w:color w:val="auto"/>
                <w:kern w:val="0"/>
                <w:sz w:val="24"/>
                <w:highlight w:val="none"/>
              </w:rPr>
            </w:pPr>
            <w:r>
              <w:rPr>
                <w:rFonts w:hint="eastAsia" w:ascii="宋体" w:hAnsi="宋体" w:cs="宋体"/>
                <w:b/>
                <w:bCs/>
                <w:color w:val="auto"/>
                <w:kern w:val="0"/>
                <w:sz w:val="24"/>
                <w:highlight w:val="none"/>
              </w:rPr>
              <w:t>项目</w:t>
            </w:r>
          </w:p>
        </w:tc>
        <w:tc>
          <w:tcPr>
            <w:tcW w:w="3380" w:type="pct"/>
            <w:shd w:val="clear" w:color="auto" w:fill="F3F3F3"/>
            <w:tcMar>
              <w:top w:w="57" w:type="dxa"/>
              <w:left w:w="108" w:type="dxa"/>
              <w:bottom w:w="57" w:type="dxa"/>
              <w:right w:w="108" w:type="dxa"/>
            </w:tcMar>
            <w:vAlign w:val="center"/>
          </w:tcPr>
          <w:p w14:paraId="02E10DFD">
            <w:pPr>
              <w:keepNext w:val="0"/>
              <w:keepLines w:val="0"/>
              <w:pageBreakBefore w:val="0"/>
              <w:widowControl/>
              <w:kinsoku/>
              <w:wordWrap/>
              <w:overflowPunct/>
              <w:topLinePunct/>
              <w:autoSpaceDE/>
              <w:autoSpaceDN/>
              <w:bidi w:val="0"/>
              <w:jc w:val="center"/>
              <w:rPr>
                <w:rFonts w:ascii="宋体" w:hAnsi="宋体" w:cs="宋体"/>
                <w:color w:val="auto"/>
                <w:kern w:val="0"/>
                <w:sz w:val="24"/>
                <w:highlight w:val="none"/>
              </w:rPr>
            </w:pPr>
            <w:r>
              <w:rPr>
                <w:rFonts w:hint="eastAsia" w:ascii="宋体" w:hAnsi="宋体" w:cs="宋体"/>
                <w:b/>
                <w:bCs/>
                <w:color w:val="auto"/>
                <w:kern w:val="0"/>
                <w:sz w:val="24"/>
                <w:highlight w:val="none"/>
              </w:rPr>
              <w:t>评分标准</w:t>
            </w:r>
          </w:p>
        </w:tc>
        <w:tc>
          <w:tcPr>
            <w:tcW w:w="377" w:type="pct"/>
            <w:shd w:val="clear" w:color="auto" w:fill="F3F3F3"/>
            <w:tcMar>
              <w:top w:w="57" w:type="dxa"/>
              <w:left w:w="108" w:type="dxa"/>
              <w:bottom w:w="57" w:type="dxa"/>
              <w:right w:w="108" w:type="dxa"/>
            </w:tcMar>
            <w:vAlign w:val="center"/>
          </w:tcPr>
          <w:p w14:paraId="2A077665">
            <w:pPr>
              <w:keepNext w:val="0"/>
              <w:keepLines w:val="0"/>
              <w:pageBreakBefore w:val="0"/>
              <w:widowControl/>
              <w:kinsoku/>
              <w:wordWrap/>
              <w:overflowPunct/>
              <w:topLinePunct/>
              <w:autoSpaceDE/>
              <w:autoSpaceDN/>
              <w:bidi w:val="0"/>
              <w:ind w:left="-103" w:leftChars="-49" w:right="-109" w:rightChars="-52"/>
              <w:jc w:val="center"/>
              <w:rPr>
                <w:rFonts w:ascii="宋体" w:hAnsi="宋体" w:cs="宋体"/>
                <w:color w:val="auto"/>
                <w:kern w:val="0"/>
                <w:sz w:val="24"/>
                <w:highlight w:val="none"/>
              </w:rPr>
            </w:pPr>
            <w:r>
              <w:rPr>
                <w:rFonts w:hint="eastAsia" w:ascii="宋体" w:hAnsi="宋体" w:cs="宋体"/>
                <w:b/>
                <w:bCs/>
                <w:color w:val="auto"/>
                <w:kern w:val="0"/>
                <w:sz w:val="24"/>
                <w:highlight w:val="none"/>
              </w:rPr>
              <w:t>满分</w:t>
            </w:r>
          </w:p>
        </w:tc>
      </w:tr>
      <w:tr w14:paraId="79711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5000" w:type="pct"/>
            <w:gridSpan w:val="4"/>
            <w:shd w:val="clear" w:color="auto" w:fill="FFFFFF"/>
            <w:tcMar>
              <w:top w:w="57" w:type="dxa"/>
              <w:left w:w="108" w:type="dxa"/>
              <w:bottom w:w="57" w:type="dxa"/>
              <w:right w:w="108" w:type="dxa"/>
            </w:tcMar>
            <w:vAlign w:val="center"/>
          </w:tcPr>
          <w:p w14:paraId="0EC4EEF5">
            <w:pPr>
              <w:keepNext w:val="0"/>
              <w:keepLines w:val="0"/>
              <w:pageBreakBefore w:val="0"/>
              <w:widowControl/>
              <w:kinsoku/>
              <w:wordWrap/>
              <w:overflowPunct/>
              <w:topLinePunct/>
              <w:autoSpaceDE/>
              <w:autoSpaceDN/>
              <w:bidi w:val="0"/>
              <w:jc w:val="left"/>
              <w:rPr>
                <w:rFonts w:ascii="宋体" w:hAnsi="宋体" w:cs="宋体"/>
                <w:color w:val="auto"/>
                <w:sz w:val="24"/>
                <w:highlight w:val="none"/>
              </w:rPr>
            </w:pPr>
            <w:r>
              <w:rPr>
                <w:rFonts w:hint="eastAsia" w:ascii="宋体" w:hAnsi="宋体" w:cs="宋体"/>
                <w:color w:val="auto"/>
                <w:sz w:val="24"/>
                <w:highlight w:val="none"/>
              </w:rPr>
              <w:t>一、商务部分（2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w:t>
            </w:r>
          </w:p>
        </w:tc>
      </w:tr>
      <w:tr w14:paraId="1EDC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0" w:hRule="exact"/>
        </w:trPr>
        <w:tc>
          <w:tcPr>
            <w:tcW w:w="587" w:type="pct"/>
            <w:shd w:val="clear" w:color="auto" w:fill="FFFFFF"/>
            <w:tcMar>
              <w:top w:w="57" w:type="dxa"/>
              <w:left w:w="108" w:type="dxa"/>
              <w:bottom w:w="57" w:type="dxa"/>
              <w:right w:w="108" w:type="dxa"/>
            </w:tcMar>
            <w:vAlign w:val="center"/>
          </w:tcPr>
          <w:p w14:paraId="288FFA11">
            <w:pPr>
              <w:keepNext w:val="0"/>
              <w:keepLines w:val="0"/>
              <w:pageBreakBefore w:val="0"/>
              <w:widowControl/>
              <w:kinsoku/>
              <w:wordWrap/>
              <w:overflowPunct/>
              <w:topLinePunct/>
              <w:autoSpaceDE/>
              <w:autoSpaceDN/>
              <w:bidi w:val="0"/>
              <w:jc w:val="center"/>
              <w:rPr>
                <w:rFonts w:ascii="宋体" w:hAnsi="宋体" w:cs="宋体"/>
                <w:color w:val="auto"/>
                <w:sz w:val="24"/>
                <w:highlight w:val="none"/>
              </w:rPr>
            </w:pPr>
            <w:r>
              <w:rPr>
                <w:rFonts w:hint="eastAsia" w:ascii="宋体" w:hAnsi="宋体" w:cs="宋体"/>
                <w:color w:val="auto"/>
                <w:sz w:val="24"/>
                <w:highlight w:val="none"/>
              </w:rPr>
              <w:t>1</w:t>
            </w:r>
          </w:p>
        </w:tc>
        <w:tc>
          <w:tcPr>
            <w:tcW w:w="654" w:type="pct"/>
            <w:shd w:val="clear" w:color="auto" w:fill="FFFFFF"/>
            <w:tcMar>
              <w:top w:w="57" w:type="dxa"/>
              <w:left w:w="108" w:type="dxa"/>
              <w:bottom w:w="57" w:type="dxa"/>
              <w:right w:w="108" w:type="dxa"/>
            </w:tcMar>
            <w:vAlign w:val="center"/>
          </w:tcPr>
          <w:p w14:paraId="589ABED8">
            <w:pPr>
              <w:keepNext w:val="0"/>
              <w:keepLines w:val="0"/>
              <w:pageBreakBefore w:val="0"/>
              <w:kinsoku/>
              <w:wordWrap/>
              <w:overflowPunct/>
              <w:topLinePunct/>
              <w:autoSpaceDE/>
              <w:autoSpaceDN/>
              <w:bidi w:val="0"/>
              <w:snapToGrid w:val="0"/>
              <w:spacing w:line="360" w:lineRule="auto"/>
              <w:ind w:firstLine="240" w:firstLineChars="100"/>
              <w:jc w:val="both"/>
              <w:rPr>
                <w:rFonts w:ascii="宋体" w:hAnsi="宋体" w:cs="宋体"/>
                <w:color w:val="auto"/>
                <w:sz w:val="24"/>
                <w:highlight w:val="none"/>
              </w:rPr>
            </w:pPr>
            <w:r>
              <w:rPr>
                <w:rFonts w:hint="eastAsia" w:ascii="宋体" w:hAnsi="宋体" w:eastAsia="宋体" w:cs="宋体"/>
                <w:bCs/>
                <w:color w:val="auto"/>
                <w:kern w:val="0"/>
                <w:sz w:val="24"/>
                <w:szCs w:val="24"/>
                <w:highlight w:val="none"/>
              </w:rPr>
              <w:t>业绩</w:t>
            </w:r>
          </w:p>
        </w:tc>
        <w:tc>
          <w:tcPr>
            <w:tcW w:w="3380" w:type="pct"/>
            <w:shd w:val="clear" w:color="auto" w:fill="FFFFFF"/>
            <w:tcMar>
              <w:top w:w="57" w:type="dxa"/>
              <w:left w:w="108" w:type="dxa"/>
              <w:bottom w:w="57" w:type="dxa"/>
              <w:right w:w="108" w:type="dxa"/>
            </w:tcMar>
            <w:vAlign w:val="center"/>
          </w:tcPr>
          <w:p w14:paraId="68C13E4D">
            <w:pPr>
              <w:keepNext w:val="0"/>
              <w:keepLines w:val="0"/>
              <w:pageBreakBefore w:val="0"/>
              <w:kinsoku/>
              <w:wordWrap/>
              <w:overflowPunct/>
              <w:topLinePunct/>
              <w:autoSpaceDE/>
              <w:autoSpaceDN/>
              <w:bidi w:val="0"/>
              <w:snapToGrid w:val="0"/>
              <w:spacing w:line="360" w:lineRule="auto"/>
              <w:ind w:firstLine="480" w:firstLineChars="200"/>
              <w:jc w:val="left"/>
              <w:rPr>
                <w:rFonts w:ascii="宋体" w:hAnsi="宋体" w:cs="宋体"/>
                <w:color w:val="auto"/>
                <w:szCs w:val="24"/>
                <w:highlight w:val="none"/>
              </w:rPr>
            </w:pPr>
            <w:r>
              <w:rPr>
                <w:rFonts w:hint="eastAsia" w:ascii="宋体" w:hAnsi="宋体" w:cs="宋体"/>
                <w:color w:val="auto"/>
                <w:sz w:val="24"/>
                <w:szCs w:val="24"/>
                <w:highlight w:val="none"/>
              </w:rPr>
              <w:t>近三年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指的从2023年1月1日至今</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已完成或正在履约的</w:t>
            </w:r>
            <w:r>
              <w:rPr>
                <w:rFonts w:hint="eastAsia" w:ascii="宋体" w:hAnsi="宋体" w:cs="宋体"/>
                <w:color w:val="auto"/>
                <w:sz w:val="24"/>
                <w:szCs w:val="24"/>
                <w:highlight w:val="none"/>
                <w:lang w:val="en-US" w:eastAsia="zh-CN"/>
              </w:rPr>
              <w:t>同类项目</w:t>
            </w:r>
            <w:r>
              <w:rPr>
                <w:rFonts w:hint="eastAsia" w:ascii="宋体" w:hAnsi="宋体" w:cs="宋体"/>
                <w:color w:val="auto"/>
                <w:sz w:val="24"/>
                <w:szCs w:val="24"/>
                <w:highlight w:val="none"/>
              </w:rPr>
              <w:t>；一个委托单位不同的年度，只算一个业绩；每提供1项得</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分，最多得</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分（须提供合同关键页和盖章页复印件</w:t>
            </w:r>
            <w:r>
              <w:rPr>
                <w:rFonts w:hint="eastAsia" w:ascii="宋体" w:hAnsi="宋体" w:cs="宋体"/>
                <w:color w:val="auto"/>
                <w:sz w:val="24"/>
                <w:szCs w:val="24"/>
                <w:highlight w:val="none"/>
                <w:lang w:val="en-US" w:eastAsia="zh-CN"/>
              </w:rPr>
              <w:t>或者中标通知书</w:t>
            </w:r>
            <w:r>
              <w:rPr>
                <w:rFonts w:hint="eastAsia" w:ascii="宋体" w:hAnsi="宋体" w:cs="宋体"/>
                <w:color w:val="auto"/>
                <w:sz w:val="24"/>
                <w:szCs w:val="24"/>
                <w:highlight w:val="none"/>
              </w:rPr>
              <w:t>）。</w:t>
            </w:r>
          </w:p>
        </w:tc>
        <w:tc>
          <w:tcPr>
            <w:tcW w:w="377" w:type="pct"/>
            <w:shd w:val="clear" w:color="auto" w:fill="FFFFFF"/>
            <w:tcMar>
              <w:top w:w="57" w:type="dxa"/>
              <w:left w:w="108" w:type="dxa"/>
              <w:bottom w:w="57" w:type="dxa"/>
              <w:right w:w="108" w:type="dxa"/>
            </w:tcMar>
            <w:vAlign w:val="center"/>
          </w:tcPr>
          <w:p w14:paraId="2153FD23">
            <w:pPr>
              <w:keepNext w:val="0"/>
              <w:keepLines w:val="0"/>
              <w:pageBreakBefore w:val="0"/>
              <w:widowControl/>
              <w:kinsoku/>
              <w:wordWrap/>
              <w:overflowPunct/>
              <w:topLinePunct/>
              <w:autoSpaceDE/>
              <w:autoSpaceDN/>
              <w:bidi w:val="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5</w:t>
            </w:r>
          </w:p>
        </w:tc>
      </w:tr>
      <w:tr w14:paraId="4F77D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4" w:hRule="exact"/>
        </w:trPr>
        <w:tc>
          <w:tcPr>
            <w:tcW w:w="587" w:type="pct"/>
            <w:shd w:val="clear" w:color="auto" w:fill="FFFFFF"/>
            <w:tcMar>
              <w:top w:w="57" w:type="dxa"/>
              <w:left w:w="108" w:type="dxa"/>
              <w:bottom w:w="57" w:type="dxa"/>
              <w:right w:w="108" w:type="dxa"/>
            </w:tcMar>
            <w:vAlign w:val="center"/>
          </w:tcPr>
          <w:p w14:paraId="70D6A674">
            <w:pPr>
              <w:keepNext w:val="0"/>
              <w:keepLines w:val="0"/>
              <w:pageBreakBefore w:val="0"/>
              <w:widowControl/>
              <w:kinsoku/>
              <w:wordWrap/>
              <w:overflowPunct/>
              <w:topLinePunct/>
              <w:autoSpaceDE/>
              <w:autoSpaceDN/>
              <w:bidi w:val="0"/>
              <w:jc w:val="center"/>
              <w:rPr>
                <w:rFonts w:ascii="宋体" w:hAnsi="宋体" w:cs="宋体"/>
                <w:color w:val="auto"/>
                <w:sz w:val="24"/>
                <w:highlight w:val="none"/>
              </w:rPr>
            </w:pPr>
            <w:r>
              <w:rPr>
                <w:rFonts w:hint="eastAsia" w:ascii="宋体" w:hAnsi="宋体" w:cs="宋体"/>
                <w:color w:val="auto"/>
                <w:sz w:val="24"/>
                <w:highlight w:val="none"/>
              </w:rPr>
              <w:t>2</w:t>
            </w:r>
          </w:p>
        </w:tc>
        <w:tc>
          <w:tcPr>
            <w:tcW w:w="654" w:type="pct"/>
            <w:shd w:val="clear" w:color="auto" w:fill="FFFFFF"/>
            <w:tcMar>
              <w:top w:w="57" w:type="dxa"/>
              <w:left w:w="108" w:type="dxa"/>
              <w:bottom w:w="57" w:type="dxa"/>
              <w:right w:w="108" w:type="dxa"/>
            </w:tcMar>
            <w:vAlign w:val="center"/>
          </w:tcPr>
          <w:p w14:paraId="0012F0C5">
            <w:pPr>
              <w:keepNext w:val="0"/>
              <w:keepLines w:val="0"/>
              <w:pageBreakBefore w:val="0"/>
              <w:kinsoku/>
              <w:wordWrap/>
              <w:overflowPunct/>
              <w:topLinePunct/>
              <w:autoSpaceDE/>
              <w:autoSpaceDN/>
              <w:bidi w:val="0"/>
              <w:snapToGrid w:val="0"/>
              <w:spacing w:line="360" w:lineRule="auto"/>
              <w:jc w:val="both"/>
              <w:rPr>
                <w:rFonts w:ascii="宋体" w:hAnsi="宋体" w:cs="宋体"/>
                <w:color w:val="auto"/>
                <w:sz w:val="24"/>
                <w:highlight w:val="none"/>
              </w:rPr>
            </w:pPr>
            <w:r>
              <w:rPr>
                <w:rFonts w:hint="eastAsia" w:ascii="宋体" w:hAnsi="宋体" w:eastAsia="宋体" w:cs="宋体"/>
                <w:bCs/>
                <w:color w:val="auto"/>
                <w:kern w:val="0"/>
                <w:sz w:val="24"/>
                <w:szCs w:val="24"/>
                <w:highlight w:val="none"/>
              </w:rPr>
              <w:t>综合实力</w:t>
            </w:r>
          </w:p>
        </w:tc>
        <w:tc>
          <w:tcPr>
            <w:tcW w:w="3380" w:type="pct"/>
            <w:shd w:val="clear" w:color="auto" w:fill="FFFFFF"/>
            <w:tcMar>
              <w:top w:w="57" w:type="dxa"/>
              <w:left w:w="108" w:type="dxa"/>
              <w:bottom w:w="57" w:type="dxa"/>
              <w:right w:w="108" w:type="dxa"/>
            </w:tcMar>
            <w:vAlign w:val="center"/>
          </w:tcPr>
          <w:p w14:paraId="7D62E8D4">
            <w:pPr>
              <w:keepNext w:val="0"/>
              <w:keepLines w:val="0"/>
              <w:pageBreakBefore w:val="0"/>
              <w:widowControl/>
              <w:kinsoku/>
              <w:wordWrap/>
              <w:overflowPunct/>
              <w:topLinePunct/>
              <w:autoSpaceDE/>
              <w:autoSpaceDN/>
              <w:bidi w:val="0"/>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企业基本情况：综合考虑供应商技术状况、 履约能力、财务报表等，最优的可得</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分，</w:t>
            </w:r>
          </w:p>
          <w:p w14:paraId="0EDA7F7C">
            <w:pPr>
              <w:keepNext w:val="0"/>
              <w:keepLines w:val="0"/>
              <w:pageBreakBefore w:val="0"/>
              <w:widowControl/>
              <w:kinsoku/>
              <w:wordWrap/>
              <w:overflowPunct/>
              <w:topLinePunct/>
              <w:autoSpaceDE/>
              <w:autoSpaceDN/>
              <w:bidi w:val="0"/>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综合考虑供应商技术状况、 履约能力、财务报表等，好的可得2分；</w:t>
            </w:r>
          </w:p>
          <w:p w14:paraId="1FCEB472">
            <w:pPr>
              <w:keepNext w:val="0"/>
              <w:keepLines w:val="0"/>
              <w:pageBreakBefore w:val="0"/>
              <w:widowControl/>
              <w:kinsoku/>
              <w:wordWrap/>
              <w:overflowPunct/>
              <w:topLinePunct/>
              <w:autoSpaceDE/>
              <w:autoSpaceDN/>
              <w:bidi w:val="0"/>
              <w:ind w:firstLine="480" w:firstLineChars="200"/>
              <w:jc w:val="left"/>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综合考虑供应商技术状况、履约能力、财务报表一般的，可得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w:t>
            </w:r>
          </w:p>
          <w:p w14:paraId="4C4417A8">
            <w:pPr>
              <w:keepNext w:val="0"/>
              <w:keepLines w:val="0"/>
              <w:pageBreakBefore w:val="0"/>
              <w:widowControl/>
              <w:kinsoku/>
              <w:wordWrap/>
              <w:overflowPunct/>
              <w:topLinePunct/>
              <w:autoSpaceDE/>
              <w:autoSpaceDN/>
              <w:bidi w:val="0"/>
              <w:ind w:firstLine="480" w:firstLineChars="200"/>
              <w:jc w:val="left"/>
              <w:textAlignment w:val="center"/>
              <w:rPr>
                <w:rFonts w:ascii="宋体" w:hAnsi="宋体" w:cs="宋体"/>
                <w:color w:val="auto"/>
                <w:sz w:val="24"/>
                <w:highlight w:val="none"/>
              </w:rPr>
            </w:pPr>
            <w:r>
              <w:rPr>
                <w:rFonts w:hint="eastAsia" w:ascii="宋体" w:hAnsi="宋体" w:cs="宋体"/>
                <w:color w:val="auto"/>
                <w:sz w:val="24"/>
                <w:szCs w:val="24"/>
                <w:highlight w:val="none"/>
              </w:rPr>
              <w:t>企业基本情况未提供者得0分。</w:t>
            </w:r>
          </w:p>
        </w:tc>
        <w:tc>
          <w:tcPr>
            <w:tcW w:w="377" w:type="pct"/>
            <w:shd w:val="clear" w:color="auto" w:fill="FFFFFF"/>
            <w:tcMar>
              <w:top w:w="57" w:type="dxa"/>
              <w:left w:w="108" w:type="dxa"/>
              <w:bottom w:w="57" w:type="dxa"/>
              <w:right w:w="108" w:type="dxa"/>
            </w:tcMar>
            <w:vAlign w:val="center"/>
          </w:tcPr>
          <w:p w14:paraId="289C9E81">
            <w:pPr>
              <w:keepNext w:val="0"/>
              <w:keepLines w:val="0"/>
              <w:pageBreakBefore w:val="0"/>
              <w:widowControl/>
              <w:kinsoku/>
              <w:wordWrap/>
              <w:overflowPunct/>
              <w:topLinePunct/>
              <w:autoSpaceDE/>
              <w:autoSpaceDN/>
              <w:bidi w:val="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4</w:t>
            </w:r>
          </w:p>
        </w:tc>
      </w:tr>
      <w:tr w14:paraId="6E42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701" w:hRule="exact"/>
        </w:trPr>
        <w:tc>
          <w:tcPr>
            <w:tcW w:w="587" w:type="pct"/>
            <w:shd w:val="clear" w:color="auto" w:fill="FFFFFF"/>
            <w:tcMar>
              <w:top w:w="57" w:type="dxa"/>
              <w:left w:w="108" w:type="dxa"/>
              <w:bottom w:w="57" w:type="dxa"/>
              <w:right w:w="108" w:type="dxa"/>
            </w:tcMar>
            <w:vAlign w:val="center"/>
          </w:tcPr>
          <w:p w14:paraId="36640E83">
            <w:pPr>
              <w:keepNext w:val="0"/>
              <w:keepLines w:val="0"/>
              <w:pageBreakBefore w:val="0"/>
              <w:widowControl/>
              <w:kinsoku/>
              <w:wordWrap/>
              <w:overflowPunct/>
              <w:topLinePunct/>
              <w:autoSpaceDE/>
              <w:autoSpaceDN/>
              <w:bidi w:val="0"/>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654" w:type="pct"/>
            <w:shd w:val="clear" w:color="auto" w:fill="FFFFFF"/>
            <w:tcMar>
              <w:top w:w="57" w:type="dxa"/>
              <w:left w:w="108" w:type="dxa"/>
              <w:bottom w:w="57" w:type="dxa"/>
              <w:right w:w="108" w:type="dxa"/>
            </w:tcMar>
            <w:vAlign w:val="center"/>
          </w:tcPr>
          <w:p w14:paraId="5EFD3E10">
            <w:pPr>
              <w:keepNext w:val="0"/>
              <w:keepLines w:val="0"/>
              <w:pageBreakBefore w:val="0"/>
              <w:kinsoku/>
              <w:wordWrap/>
              <w:overflowPunct/>
              <w:topLinePunct/>
              <w:autoSpaceDE/>
              <w:autoSpaceDN/>
              <w:bidi w:val="0"/>
              <w:snapToGrid w:val="0"/>
              <w:spacing w:line="360" w:lineRule="auto"/>
              <w:jc w:val="both"/>
              <w:rPr>
                <w:rFonts w:hint="default" w:ascii="宋体" w:hAnsi="宋体" w:eastAsia="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val="en-US" w:eastAsia="zh-CN"/>
              </w:rPr>
              <w:t>项目负责人</w:t>
            </w:r>
          </w:p>
        </w:tc>
        <w:tc>
          <w:tcPr>
            <w:tcW w:w="3380" w:type="pct"/>
            <w:shd w:val="clear" w:color="auto" w:fill="FFFFFF"/>
            <w:tcMar>
              <w:top w:w="57" w:type="dxa"/>
              <w:left w:w="108" w:type="dxa"/>
              <w:bottom w:w="57" w:type="dxa"/>
              <w:right w:w="108" w:type="dxa"/>
            </w:tcMar>
            <w:vAlign w:val="center"/>
          </w:tcPr>
          <w:p w14:paraId="67CDB0A6">
            <w:pPr>
              <w:keepNext w:val="0"/>
              <w:keepLines w:val="0"/>
              <w:pageBreakBefore w:val="0"/>
              <w:widowControl/>
              <w:numPr>
                <w:ilvl w:val="-1"/>
                <w:numId w:val="0"/>
              </w:numPr>
              <w:kinsoku/>
              <w:wordWrap/>
              <w:overflowPunct/>
              <w:topLinePunct/>
              <w:autoSpaceDE/>
              <w:autoSpaceDN/>
              <w:bidi w:val="0"/>
              <w:ind w:firstLine="512" w:firstLineChars="20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具有园林绿化专业</w:t>
            </w:r>
            <w:r>
              <w:rPr>
                <w:rFonts w:hint="eastAsia" w:ascii="宋体" w:hAnsi="宋体" w:cs="宋体"/>
                <w:color w:val="auto"/>
                <w:spacing w:val="8"/>
                <w:sz w:val="24"/>
                <w:szCs w:val="24"/>
                <w:highlight w:val="none"/>
                <w:lang w:val="en-US" w:eastAsia="zh-CN"/>
              </w:rPr>
              <w:t>高级专业技术职称，得3分；</w:t>
            </w:r>
            <w:r>
              <w:rPr>
                <w:rFonts w:hint="eastAsia" w:ascii="宋体" w:hAnsi="宋体" w:eastAsia="宋体" w:cs="宋体"/>
                <w:color w:val="auto"/>
                <w:spacing w:val="8"/>
                <w:sz w:val="24"/>
                <w:szCs w:val="24"/>
                <w:highlight w:val="none"/>
              </w:rPr>
              <w:t>中级及以上专业技术职称，得</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pacing w:val="8"/>
                <w:sz w:val="24"/>
                <w:szCs w:val="24"/>
                <w:highlight w:val="none"/>
              </w:rPr>
              <w:t>2</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8"/>
                <w:sz w:val="24"/>
                <w:szCs w:val="24"/>
                <w:highlight w:val="none"/>
              </w:rPr>
              <w:t>分。</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其他不得分。</w:t>
            </w:r>
          </w:p>
          <w:p w14:paraId="3670B3A8">
            <w:pPr>
              <w:keepNext w:val="0"/>
              <w:keepLines w:val="0"/>
              <w:pageBreakBefore w:val="0"/>
              <w:widowControl/>
              <w:numPr>
                <w:ilvl w:val="0"/>
                <w:numId w:val="0"/>
              </w:numPr>
              <w:kinsoku/>
              <w:wordWrap/>
              <w:overflowPunct/>
              <w:topLinePunct/>
              <w:autoSpaceDE/>
              <w:autoSpaceDN/>
              <w:bidi w:val="0"/>
              <w:ind w:left="0" w:leftChars="0" w:firstLine="0" w:firstLineChars="0"/>
              <w:jc w:val="left"/>
              <w:textAlignment w:val="center"/>
              <w:rPr>
                <w:rFonts w:hint="eastAsia" w:ascii="宋体" w:hAnsi="宋体" w:cs="宋体"/>
                <w:color w:val="auto"/>
                <w:sz w:val="24"/>
                <w:szCs w:val="24"/>
                <w:highlight w:val="none"/>
              </w:rPr>
            </w:pPr>
            <w:r>
              <w:rPr>
                <w:rFonts w:hint="eastAsia" w:ascii="宋体" w:hAnsi="宋体" w:eastAsia="宋体" w:cs="宋体"/>
                <w:color w:val="auto"/>
                <w:spacing w:val="-56"/>
                <w:sz w:val="24"/>
                <w:szCs w:val="24"/>
                <w:highlight w:val="none"/>
              </w:rPr>
              <w:t xml:space="preserve"> </w:t>
            </w:r>
            <w:r>
              <w:rPr>
                <w:rFonts w:hint="eastAsia" w:ascii="宋体" w:hAnsi="宋体" w:cs="宋体"/>
                <w:color w:val="auto"/>
                <w:spacing w:val="-56"/>
                <w:sz w:val="24"/>
                <w:szCs w:val="24"/>
                <w:highlight w:val="none"/>
                <w:lang w:val="en-US" w:eastAsia="zh-CN"/>
              </w:rPr>
              <w:t xml:space="preserve">  </w:t>
            </w:r>
            <w:r>
              <w:rPr>
                <w:rFonts w:hint="eastAsia" w:ascii="宋体" w:hAnsi="宋体" w:eastAsia="宋体" w:cs="宋体"/>
                <w:color w:val="auto"/>
                <w:spacing w:val="8"/>
                <w:sz w:val="24"/>
                <w:szCs w:val="24"/>
                <w:highlight w:val="none"/>
              </w:rPr>
              <w:t>项目负责人身份承担过类似项目业绩（</w:t>
            </w:r>
            <w:r>
              <w:rPr>
                <w:rFonts w:hint="eastAsia" w:ascii="宋体" w:hAnsi="宋体" w:cs="宋体"/>
                <w:color w:val="auto"/>
                <w:sz w:val="24"/>
                <w:szCs w:val="24"/>
                <w:highlight w:val="none"/>
              </w:rPr>
              <w:t>须提供合同关键页和盖章页复印件</w:t>
            </w:r>
            <w:r>
              <w:rPr>
                <w:rFonts w:hint="eastAsia" w:ascii="宋体" w:hAnsi="宋体" w:cs="宋体"/>
                <w:color w:val="auto"/>
                <w:sz w:val="24"/>
                <w:szCs w:val="24"/>
                <w:highlight w:val="none"/>
                <w:lang w:val="en-US" w:eastAsia="zh-CN"/>
              </w:rPr>
              <w:t>或者中标通知书</w:t>
            </w:r>
            <w:r>
              <w:rPr>
                <w:rFonts w:hint="eastAsia" w:ascii="宋体" w:hAnsi="宋体" w:eastAsia="宋体" w:cs="宋体"/>
                <w:color w:val="auto"/>
                <w:spacing w:val="21"/>
                <w:sz w:val="24"/>
                <w:szCs w:val="24"/>
                <w:highlight w:val="none"/>
              </w:rPr>
              <w:t>），</w:t>
            </w:r>
            <w:r>
              <w:rPr>
                <w:rFonts w:hint="eastAsia" w:ascii="宋体" w:hAnsi="宋体" w:eastAsia="宋体" w:cs="宋体"/>
                <w:color w:val="auto"/>
                <w:spacing w:val="5"/>
                <w:sz w:val="24"/>
                <w:szCs w:val="24"/>
                <w:highlight w:val="none"/>
              </w:rPr>
              <w:t>每有一项得</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5"/>
                <w:sz w:val="24"/>
                <w:szCs w:val="24"/>
                <w:highlight w:val="none"/>
              </w:rPr>
              <w:t>1</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5"/>
                <w:sz w:val="24"/>
                <w:szCs w:val="24"/>
                <w:highlight w:val="none"/>
              </w:rPr>
              <w:t>分，最高得</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5"/>
                <w:sz w:val="24"/>
                <w:szCs w:val="24"/>
                <w:highlight w:val="none"/>
              </w:rPr>
              <w:t>3</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5"/>
                <w:sz w:val="24"/>
                <w:szCs w:val="24"/>
                <w:highlight w:val="none"/>
              </w:rPr>
              <w:t>分。</w:t>
            </w:r>
          </w:p>
        </w:tc>
        <w:tc>
          <w:tcPr>
            <w:tcW w:w="377" w:type="pct"/>
            <w:shd w:val="clear" w:color="auto" w:fill="FFFFFF"/>
            <w:tcMar>
              <w:top w:w="57" w:type="dxa"/>
              <w:left w:w="108" w:type="dxa"/>
              <w:bottom w:w="57" w:type="dxa"/>
              <w:right w:w="108" w:type="dxa"/>
            </w:tcMar>
            <w:vAlign w:val="center"/>
          </w:tcPr>
          <w:p w14:paraId="009B6CD6">
            <w:pPr>
              <w:keepNext w:val="0"/>
              <w:keepLines w:val="0"/>
              <w:pageBreakBefore w:val="0"/>
              <w:widowControl/>
              <w:kinsoku/>
              <w:wordWrap/>
              <w:overflowPunct/>
              <w:topLinePunct/>
              <w:autoSpaceDE/>
              <w:autoSpaceDN/>
              <w:bidi w:val="0"/>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6</w:t>
            </w:r>
          </w:p>
        </w:tc>
      </w:tr>
      <w:tr w14:paraId="1A308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5000" w:type="pct"/>
            <w:gridSpan w:val="4"/>
            <w:shd w:val="clear" w:color="auto" w:fill="FFFFFF"/>
            <w:tcMar>
              <w:top w:w="57" w:type="dxa"/>
              <w:left w:w="108" w:type="dxa"/>
              <w:bottom w:w="57" w:type="dxa"/>
              <w:right w:w="108" w:type="dxa"/>
            </w:tcMar>
            <w:vAlign w:val="center"/>
          </w:tcPr>
          <w:p w14:paraId="2814B085">
            <w:pPr>
              <w:keepNext w:val="0"/>
              <w:keepLines w:val="0"/>
              <w:pageBreakBefore w:val="0"/>
              <w:widowControl/>
              <w:tabs>
                <w:tab w:val="left" w:pos="6229"/>
              </w:tabs>
              <w:kinsoku/>
              <w:wordWrap/>
              <w:overflowPunct/>
              <w:topLinePunct/>
              <w:autoSpaceDE/>
              <w:autoSpaceDN/>
              <w:bidi w:val="0"/>
              <w:rPr>
                <w:rFonts w:ascii="宋体" w:hAnsi="宋体" w:cs="宋体"/>
                <w:color w:val="auto"/>
                <w:sz w:val="24"/>
                <w:highlight w:val="none"/>
              </w:rPr>
            </w:pPr>
            <w:r>
              <w:rPr>
                <w:rFonts w:hint="eastAsia" w:ascii="宋体" w:hAnsi="宋体" w:cs="宋体"/>
                <w:color w:val="auto"/>
                <w:sz w:val="24"/>
                <w:highlight w:val="none"/>
              </w:rPr>
              <w:t>二、技术方案部分（6</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w:t>
            </w:r>
            <w:r>
              <w:rPr>
                <w:rFonts w:hint="eastAsia" w:ascii="宋体" w:hAnsi="宋体" w:cs="宋体"/>
                <w:color w:val="auto"/>
                <w:sz w:val="24"/>
                <w:highlight w:val="none"/>
              </w:rPr>
              <w:tab/>
            </w:r>
          </w:p>
        </w:tc>
      </w:tr>
      <w:tr w14:paraId="39921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1" w:hRule="exact"/>
        </w:trPr>
        <w:tc>
          <w:tcPr>
            <w:tcW w:w="587" w:type="pct"/>
            <w:shd w:val="clear" w:color="auto" w:fill="FFFFFF"/>
            <w:tcMar>
              <w:top w:w="57" w:type="dxa"/>
              <w:left w:w="108" w:type="dxa"/>
              <w:bottom w:w="57" w:type="dxa"/>
              <w:right w:w="108" w:type="dxa"/>
            </w:tcMar>
            <w:vAlign w:val="center"/>
          </w:tcPr>
          <w:p w14:paraId="6817C391">
            <w:pPr>
              <w:keepNext w:val="0"/>
              <w:keepLines w:val="0"/>
              <w:pageBreakBefore w:val="0"/>
              <w:widowControl/>
              <w:kinsoku/>
              <w:wordWrap/>
              <w:overflowPunct/>
              <w:topLinePunct/>
              <w:autoSpaceDE/>
              <w:autoSpaceDN/>
              <w:bidi w:val="0"/>
              <w:jc w:val="center"/>
              <w:rPr>
                <w:rFonts w:ascii="宋体" w:hAnsi="宋体" w:cs="宋体"/>
                <w:color w:val="auto"/>
                <w:sz w:val="24"/>
                <w:highlight w:val="none"/>
              </w:rPr>
            </w:pPr>
            <w:r>
              <w:rPr>
                <w:rFonts w:hint="eastAsia" w:ascii="宋体" w:hAnsi="宋体" w:cs="宋体"/>
                <w:color w:val="auto"/>
                <w:sz w:val="24"/>
                <w:highlight w:val="none"/>
              </w:rPr>
              <w:t>1</w:t>
            </w:r>
          </w:p>
        </w:tc>
        <w:tc>
          <w:tcPr>
            <w:tcW w:w="654" w:type="pct"/>
            <w:shd w:val="clear" w:color="auto" w:fill="FFFFFF"/>
            <w:tcMar>
              <w:top w:w="57" w:type="dxa"/>
              <w:left w:w="108" w:type="dxa"/>
              <w:bottom w:w="57" w:type="dxa"/>
              <w:right w:w="108" w:type="dxa"/>
            </w:tcMar>
            <w:vAlign w:val="center"/>
          </w:tcPr>
          <w:p w14:paraId="465771EC">
            <w:pPr>
              <w:keepNext w:val="0"/>
              <w:keepLines w:val="0"/>
              <w:pageBreakBefore w:val="0"/>
              <w:widowControl/>
              <w:kinsoku/>
              <w:wordWrap/>
              <w:overflowPunct/>
              <w:topLinePunct/>
              <w:autoSpaceDE/>
              <w:autoSpaceDN/>
              <w:bidi w:val="0"/>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整体服务实施方案（</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分）</w:t>
            </w:r>
          </w:p>
        </w:tc>
        <w:tc>
          <w:tcPr>
            <w:tcW w:w="3380" w:type="pct"/>
            <w:shd w:val="clear" w:color="auto" w:fill="FFFFFF"/>
            <w:tcMar>
              <w:top w:w="57" w:type="dxa"/>
              <w:left w:w="108" w:type="dxa"/>
              <w:bottom w:w="57" w:type="dxa"/>
              <w:right w:w="108" w:type="dxa"/>
            </w:tcMar>
            <w:vAlign w:val="center"/>
          </w:tcPr>
          <w:p w14:paraId="12A84266">
            <w:pPr>
              <w:keepNext w:val="0"/>
              <w:keepLines w:val="0"/>
              <w:pageBreakBefore w:val="0"/>
              <w:widowControl/>
              <w:kinsoku/>
              <w:wordWrap/>
              <w:overflowPunct/>
              <w:topLinePunct/>
              <w:autoSpaceDE/>
              <w:autoSpaceDN/>
              <w:bidi w:val="0"/>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根据供应商提供的整体服务方案情况进行综合评审。</w:t>
            </w:r>
          </w:p>
          <w:p w14:paraId="4A068724">
            <w:pPr>
              <w:keepNext w:val="0"/>
              <w:keepLines w:val="0"/>
              <w:pageBreakBefore w:val="0"/>
              <w:widowControl/>
              <w:kinsoku/>
              <w:wordWrap/>
              <w:overflowPunct/>
              <w:topLinePunct/>
              <w:autoSpaceDE/>
              <w:autoSpaceDN/>
              <w:bidi w:val="0"/>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方案能够概括提出满足绿化养护标准，明确达标的总体养护措施方案，并与本项目联系紧密，全部响应招标文件的采购需求、方案科学合理可行得 16 分；</w:t>
            </w:r>
          </w:p>
          <w:p w14:paraId="27A97603">
            <w:pPr>
              <w:keepNext w:val="0"/>
              <w:keepLines w:val="0"/>
              <w:pageBreakBefore w:val="0"/>
              <w:widowControl/>
              <w:kinsoku/>
              <w:wordWrap/>
              <w:overflowPunct/>
              <w:topLinePunct/>
              <w:autoSpaceDE/>
              <w:autoSpaceDN/>
              <w:bidi w:val="0"/>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方案相对较好、能较准确的概括出绿化养护标准；且服务方案较完善；与本项目联系相对紧密得12分；</w:t>
            </w:r>
          </w:p>
          <w:p w14:paraId="2D082199">
            <w:pPr>
              <w:keepNext w:val="0"/>
              <w:keepLines w:val="0"/>
              <w:pageBreakBefore w:val="0"/>
              <w:widowControl/>
              <w:kinsoku/>
              <w:wordWrap/>
              <w:overflowPunct/>
              <w:topLinePunct/>
              <w:autoSpaceDE/>
              <w:autoSpaceDN/>
              <w:bidi w:val="0"/>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方案概括的绿化养护标准及其达标的总体措施相对可行、科学性 合理性及与本项目的联系程度一般得8分；</w:t>
            </w:r>
          </w:p>
          <w:p w14:paraId="609C9416">
            <w:pPr>
              <w:keepNext w:val="0"/>
              <w:keepLines w:val="0"/>
              <w:pageBreakBefore w:val="0"/>
              <w:widowControl/>
              <w:kinsoku/>
              <w:wordWrap/>
              <w:overflowPunct/>
              <w:topLinePunct/>
              <w:autoSpaceDE/>
              <w:autoSpaceDN/>
              <w:bidi w:val="0"/>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方案较差或未充分进行描述得4分。</w:t>
            </w:r>
          </w:p>
          <w:p w14:paraId="0A0C1073">
            <w:pPr>
              <w:keepNext w:val="0"/>
              <w:keepLines w:val="0"/>
              <w:pageBreakBefore w:val="0"/>
              <w:widowControl/>
              <w:kinsoku/>
              <w:wordWrap/>
              <w:overflowPunct/>
              <w:topLinePunct/>
              <w:autoSpaceDE/>
              <w:autoSpaceDN/>
              <w:bidi w:val="0"/>
              <w:ind w:firstLine="480" w:firstLineChars="200"/>
              <w:jc w:val="left"/>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未提供方案得0分。</w:t>
            </w:r>
          </w:p>
        </w:tc>
        <w:tc>
          <w:tcPr>
            <w:tcW w:w="377" w:type="pct"/>
            <w:shd w:val="clear" w:color="auto" w:fill="FFFFFF"/>
            <w:tcMar>
              <w:top w:w="57" w:type="dxa"/>
              <w:left w:w="108" w:type="dxa"/>
              <w:bottom w:w="57" w:type="dxa"/>
              <w:right w:w="108" w:type="dxa"/>
            </w:tcMar>
            <w:vAlign w:val="center"/>
          </w:tcPr>
          <w:p w14:paraId="544D61BA">
            <w:pPr>
              <w:keepNext w:val="0"/>
              <w:keepLines w:val="0"/>
              <w:pageBreakBefore w:val="0"/>
              <w:widowControl/>
              <w:kinsoku/>
              <w:wordWrap/>
              <w:overflowPunct/>
              <w:topLinePunct/>
              <w:autoSpaceDE/>
              <w:autoSpaceDN/>
              <w:bidi w:val="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6</w:t>
            </w:r>
          </w:p>
        </w:tc>
      </w:tr>
      <w:tr w14:paraId="7CAB4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923" w:hRule="exact"/>
        </w:trPr>
        <w:tc>
          <w:tcPr>
            <w:tcW w:w="587" w:type="pct"/>
            <w:shd w:val="clear" w:color="auto" w:fill="FFFFFF"/>
            <w:tcMar>
              <w:top w:w="57" w:type="dxa"/>
              <w:left w:w="108" w:type="dxa"/>
              <w:bottom w:w="57" w:type="dxa"/>
              <w:right w:w="108" w:type="dxa"/>
            </w:tcMar>
            <w:vAlign w:val="center"/>
          </w:tcPr>
          <w:p w14:paraId="1369B92D">
            <w:pPr>
              <w:keepNext w:val="0"/>
              <w:keepLines w:val="0"/>
              <w:pageBreakBefore w:val="0"/>
              <w:widowControl/>
              <w:kinsoku/>
              <w:wordWrap/>
              <w:overflowPunct/>
              <w:topLinePunct/>
              <w:autoSpaceDE/>
              <w:autoSpaceDN/>
              <w:bidi w:val="0"/>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p>
        </w:tc>
        <w:tc>
          <w:tcPr>
            <w:tcW w:w="654" w:type="pct"/>
            <w:shd w:val="clear" w:color="auto" w:fill="FFFFFF"/>
            <w:tcMar>
              <w:top w:w="57" w:type="dxa"/>
              <w:left w:w="108" w:type="dxa"/>
              <w:bottom w:w="57" w:type="dxa"/>
              <w:right w:w="108" w:type="dxa"/>
            </w:tcMar>
            <w:vAlign w:val="top"/>
          </w:tcPr>
          <w:p w14:paraId="0D106B43">
            <w:pPr>
              <w:keepNext w:val="0"/>
              <w:keepLines w:val="0"/>
              <w:pageBreakBefore w:val="0"/>
              <w:widowControl/>
              <w:kinsoku/>
              <w:wordWrap/>
              <w:overflowPunct/>
              <w:topLinePunct/>
              <w:autoSpaceDE/>
              <w:autoSpaceDN/>
              <w:bidi w:val="0"/>
              <w:jc w:val="left"/>
              <w:textAlignment w:val="center"/>
              <w:rPr>
                <w:rFonts w:hint="eastAsia" w:ascii="宋体" w:hAnsi="宋体" w:cs="宋体"/>
                <w:color w:val="auto"/>
                <w:sz w:val="24"/>
                <w:szCs w:val="24"/>
                <w:highlight w:val="none"/>
              </w:rPr>
            </w:pPr>
          </w:p>
          <w:p w14:paraId="2518E9B4">
            <w:pPr>
              <w:keepNext w:val="0"/>
              <w:keepLines w:val="0"/>
              <w:pageBreakBefore w:val="0"/>
              <w:widowControl/>
              <w:kinsoku/>
              <w:wordWrap/>
              <w:overflowPunct/>
              <w:topLinePunct/>
              <w:autoSpaceDE/>
              <w:autoSpaceDN/>
              <w:bidi w:val="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项目解读（</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 xml:space="preserve"> 分）</w:t>
            </w:r>
          </w:p>
        </w:tc>
        <w:tc>
          <w:tcPr>
            <w:tcW w:w="3380" w:type="pct"/>
            <w:shd w:val="clear" w:color="auto" w:fill="FFFFFF"/>
            <w:tcMar>
              <w:top w:w="57" w:type="dxa"/>
              <w:left w:w="108" w:type="dxa"/>
              <w:bottom w:w="57" w:type="dxa"/>
              <w:right w:w="108" w:type="dxa"/>
            </w:tcMar>
            <w:vAlign w:val="top"/>
          </w:tcPr>
          <w:p w14:paraId="0897B0BE">
            <w:pPr>
              <w:keepNext w:val="0"/>
              <w:keepLines w:val="0"/>
              <w:pageBreakBefore w:val="0"/>
              <w:widowControl/>
              <w:kinsoku/>
              <w:wordWrap/>
              <w:overflowPunct/>
              <w:topLinePunct/>
              <w:autoSpaceDE/>
              <w:autoSpaceDN/>
              <w:bidi w:val="0"/>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根据</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对本项目的理解程度、重点难点分析等方面进行综合评审：</w:t>
            </w:r>
          </w:p>
          <w:p w14:paraId="0C8F4D64">
            <w:pPr>
              <w:keepNext w:val="0"/>
              <w:keepLines w:val="0"/>
              <w:pageBreakBefore w:val="0"/>
              <w:widowControl/>
              <w:kinsoku/>
              <w:wordWrap/>
              <w:overflowPunct/>
              <w:topLinePunct/>
              <w:autoSpaceDE/>
              <w:autoSpaceDN/>
              <w:bidi w:val="0"/>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对本项目工作理解全面得 </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分；</w:t>
            </w:r>
          </w:p>
          <w:p w14:paraId="7FA047DD">
            <w:pPr>
              <w:keepNext w:val="0"/>
              <w:keepLines w:val="0"/>
              <w:pageBreakBefore w:val="0"/>
              <w:widowControl/>
              <w:kinsoku/>
              <w:wordWrap/>
              <w:overflowPunct/>
              <w:topLinePunct/>
              <w:autoSpaceDE/>
              <w:autoSpaceDN/>
              <w:bidi w:val="0"/>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对本项目工作理解较全面得 </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 xml:space="preserve"> 分；</w:t>
            </w:r>
          </w:p>
          <w:p w14:paraId="718C3C83">
            <w:pPr>
              <w:keepNext w:val="0"/>
              <w:keepLines w:val="0"/>
              <w:pageBreakBefore w:val="0"/>
              <w:widowControl/>
              <w:kinsoku/>
              <w:wordWrap/>
              <w:overflowPunct/>
              <w:topLinePunct/>
              <w:autoSpaceDE/>
              <w:autoSpaceDN/>
              <w:bidi w:val="0"/>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对本项目工作理解全面性较差得 </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w:t>
            </w:r>
          </w:p>
          <w:p w14:paraId="632C6776">
            <w:pPr>
              <w:keepNext w:val="0"/>
              <w:keepLines w:val="0"/>
              <w:pageBreakBefore w:val="0"/>
              <w:widowControl/>
              <w:kinsoku/>
              <w:wordWrap/>
              <w:overflowPunct/>
              <w:topLinePunct/>
              <w:autoSpaceDE/>
              <w:autoSpaceDN/>
              <w:bidi w:val="0"/>
              <w:ind w:firstLine="480" w:firstLineChars="20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lang w:val="en-US" w:eastAsia="zh-CN"/>
              </w:rPr>
              <w:t>未提供方案得0分。</w:t>
            </w:r>
          </w:p>
        </w:tc>
        <w:tc>
          <w:tcPr>
            <w:tcW w:w="377" w:type="pct"/>
            <w:shd w:val="clear" w:color="auto" w:fill="FFFFFF"/>
            <w:tcMar>
              <w:top w:w="57" w:type="dxa"/>
              <w:left w:w="108" w:type="dxa"/>
              <w:bottom w:w="57" w:type="dxa"/>
              <w:right w:w="108" w:type="dxa"/>
            </w:tcMar>
            <w:vAlign w:val="top"/>
          </w:tcPr>
          <w:p w14:paraId="7D9866AB">
            <w:pPr>
              <w:keepNext w:val="0"/>
              <w:keepLines w:val="0"/>
              <w:pageBreakBefore w:val="0"/>
              <w:widowControl/>
              <w:kinsoku/>
              <w:wordWrap/>
              <w:overflowPunct/>
              <w:topLinePunct/>
              <w:autoSpaceDE/>
              <w:autoSpaceDN/>
              <w:bidi w:val="0"/>
              <w:ind w:firstLine="480" w:firstLineChars="200"/>
              <w:jc w:val="center"/>
              <w:textAlignment w:val="center"/>
              <w:rPr>
                <w:rFonts w:hint="eastAsia" w:ascii="宋体" w:hAnsi="宋体" w:cs="宋体"/>
                <w:color w:val="auto"/>
                <w:sz w:val="24"/>
                <w:szCs w:val="24"/>
                <w:highlight w:val="none"/>
              </w:rPr>
            </w:pPr>
          </w:p>
          <w:p w14:paraId="1178263D">
            <w:pPr>
              <w:keepNext w:val="0"/>
              <w:keepLines w:val="0"/>
              <w:pageBreakBefore w:val="0"/>
              <w:widowControl/>
              <w:kinsoku/>
              <w:wordWrap/>
              <w:overflowPunct/>
              <w:topLinePunct/>
              <w:autoSpaceDE/>
              <w:autoSpaceDN/>
              <w:bidi w:val="0"/>
              <w:ind w:firstLine="480" w:firstLineChars="200"/>
              <w:jc w:val="center"/>
              <w:textAlignment w:val="center"/>
              <w:rPr>
                <w:rFonts w:hint="eastAsia" w:ascii="宋体" w:hAnsi="宋体" w:cs="宋体"/>
                <w:color w:val="auto"/>
                <w:sz w:val="24"/>
                <w:szCs w:val="24"/>
                <w:highlight w:val="none"/>
              </w:rPr>
            </w:pPr>
          </w:p>
          <w:p w14:paraId="7634C860">
            <w:pPr>
              <w:keepNext w:val="0"/>
              <w:keepLines w:val="0"/>
              <w:pageBreakBefore w:val="0"/>
              <w:widowControl/>
              <w:kinsoku/>
              <w:wordWrap/>
              <w:overflowPunct/>
              <w:topLinePunct/>
              <w:autoSpaceDE/>
              <w:autoSpaceDN/>
              <w:bidi w:val="0"/>
              <w:ind w:firstLine="240" w:firstLineChars="100"/>
              <w:jc w:val="center"/>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lang w:val="en-US" w:eastAsia="zh-CN"/>
              </w:rPr>
              <w:t>9</w:t>
            </w:r>
          </w:p>
        </w:tc>
      </w:tr>
      <w:tr w14:paraId="180E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33" w:hRule="exact"/>
        </w:trPr>
        <w:tc>
          <w:tcPr>
            <w:tcW w:w="587" w:type="pct"/>
            <w:shd w:val="clear" w:color="auto" w:fill="FFFFFF"/>
            <w:tcMar>
              <w:top w:w="57" w:type="dxa"/>
              <w:left w:w="108" w:type="dxa"/>
              <w:bottom w:w="57" w:type="dxa"/>
              <w:right w:w="108" w:type="dxa"/>
            </w:tcMar>
            <w:vAlign w:val="center"/>
          </w:tcPr>
          <w:p w14:paraId="7C25BEC7">
            <w:pPr>
              <w:keepNext w:val="0"/>
              <w:keepLines w:val="0"/>
              <w:pageBreakBefore w:val="0"/>
              <w:widowControl/>
              <w:kinsoku/>
              <w:wordWrap/>
              <w:overflowPunct/>
              <w:topLinePunct/>
              <w:autoSpaceDE/>
              <w:autoSpaceDN/>
              <w:bidi w:val="0"/>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654" w:type="pct"/>
            <w:shd w:val="clear" w:color="auto" w:fill="FFFFFF"/>
            <w:tcMar>
              <w:top w:w="57" w:type="dxa"/>
              <w:left w:w="108" w:type="dxa"/>
              <w:bottom w:w="57" w:type="dxa"/>
              <w:right w:w="108" w:type="dxa"/>
            </w:tcMar>
            <w:vAlign w:val="top"/>
          </w:tcPr>
          <w:p w14:paraId="6F94B72C">
            <w:pPr>
              <w:keepNext w:val="0"/>
              <w:keepLines w:val="0"/>
              <w:pageBreakBefore w:val="0"/>
              <w:widowControl/>
              <w:kinsoku/>
              <w:wordWrap/>
              <w:overflowPunct/>
              <w:topLinePunct/>
              <w:autoSpaceDE/>
              <w:autoSpaceDN/>
              <w:bidi w:val="0"/>
              <w:jc w:val="left"/>
              <w:textAlignment w:val="center"/>
              <w:rPr>
                <w:rFonts w:hint="eastAsia" w:ascii="宋体" w:hAnsi="宋体" w:cs="宋体"/>
                <w:color w:val="auto"/>
                <w:sz w:val="24"/>
                <w:szCs w:val="24"/>
                <w:highlight w:val="none"/>
              </w:rPr>
            </w:pPr>
          </w:p>
          <w:p w14:paraId="55A7C5A5">
            <w:pPr>
              <w:keepNext w:val="0"/>
              <w:keepLines w:val="0"/>
              <w:pageBreakBefore w:val="0"/>
              <w:widowControl/>
              <w:kinsoku/>
              <w:wordWrap/>
              <w:overflowPunct/>
              <w:topLinePunct/>
              <w:autoSpaceDE/>
              <w:autoSpaceDN/>
              <w:bidi w:val="0"/>
              <w:jc w:val="left"/>
              <w:textAlignment w:val="center"/>
              <w:rPr>
                <w:rFonts w:hint="eastAsia" w:ascii="宋体" w:hAnsi="宋体" w:cs="宋体"/>
                <w:color w:val="auto"/>
                <w:sz w:val="24"/>
                <w:szCs w:val="24"/>
                <w:highlight w:val="none"/>
              </w:rPr>
            </w:pPr>
          </w:p>
          <w:p w14:paraId="4351C921">
            <w:pPr>
              <w:keepNext w:val="0"/>
              <w:keepLines w:val="0"/>
              <w:pageBreakBefore w:val="0"/>
              <w:widowControl/>
              <w:kinsoku/>
              <w:wordWrap/>
              <w:overflowPunct/>
              <w:topLinePunct/>
              <w:autoSpaceDE/>
              <w:autoSpaceDN/>
              <w:bidi w:val="0"/>
              <w:jc w:val="left"/>
              <w:textAlignment w:val="center"/>
              <w:rPr>
                <w:rFonts w:hint="eastAsia" w:ascii="宋体" w:hAnsi="宋体" w:cs="宋体"/>
                <w:color w:val="auto"/>
                <w:sz w:val="24"/>
                <w:szCs w:val="24"/>
                <w:highlight w:val="none"/>
              </w:rPr>
            </w:pPr>
          </w:p>
          <w:p w14:paraId="3ED0035B">
            <w:pPr>
              <w:keepNext w:val="0"/>
              <w:keepLines w:val="0"/>
              <w:pageBreakBefore w:val="0"/>
              <w:widowControl/>
              <w:kinsoku/>
              <w:wordWrap/>
              <w:overflowPunct/>
              <w:topLinePunct/>
              <w:autoSpaceDE/>
              <w:autoSpaceDN/>
              <w:bidi w:val="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项目计划进度（6 分）</w:t>
            </w:r>
          </w:p>
        </w:tc>
        <w:tc>
          <w:tcPr>
            <w:tcW w:w="3380" w:type="pct"/>
            <w:shd w:val="clear" w:color="auto" w:fill="FFFFFF"/>
            <w:tcMar>
              <w:top w:w="57" w:type="dxa"/>
              <w:left w:w="108" w:type="dxa"/>
              <w:bottom w:w="57" w:type="dxa"/>
              <w:right w:w="108" w:type="dxa"/>
            </w:tcMar>
            <w:vAlign w:val="top"/>
          </w:tcPr>
          <w:p w14:paraId="33E23BEC">
            <w:pPr>
              <w:keepNext w:val="0"/>
              <w:keepLines w:val="0"/>
              <w:pageBreakBefore w:val="0"/>
              <w:widowControl/>
              <w:kinsoku/>
              <w:wordWrap/>
              <w:overflowPunct/>
              <w:topLinePunct/>
              <w:autoSpaceDE/>
              <w:autoSpaceDN/>
              <w:bidi w:val="0"/>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根据</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针对项目作出的计划进度安排进行综合评审：</w:t>
            </w:r>
          </w:p>
          <w:p w14:paraId="4CDD44E2">
            <w:pPr>
              <w:keepNext w:val="0"/>
              <w:keepLines w:val="0"/>
              <w:pageBreakBefore w:val="0"/>
              <w:widowControl/>
              <w:kinsoku/>
              <w:wordWrap/>
              <w:overflowPunct/>
              <w:topLinePunct/>
              <w:autoSpaceDE/>
              <w:autoSpaceDN/>
              <w:bidi w:val="0"/>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工作计划进度满足服务需求，且具有较好的保障措施，得 6 分；</w:t>
            </w:r>
          </w:p>
          <w:p w14:paraId="325BA668">
            <w:pPr>
              <w:keepNext w:val="0"/>
              <w:keepLines w:val="0"/>
              <w:pageBreakBefore w:val="0"/>
              <w:widowControl/>
              <w:kinsoku/>
              <w:wordWrap/>
              <w:overflowPunct/>
              <w:topLinePunct/>
              <w:autoSpaceDE/>
              <w:autoSpaceDN/>
              <w:bidi w:val="0"/>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工作计划进度满足服务需求，且具有一定的保障措施，得 4 分；</w:t>
            </w:r>
          </w:p>
          <w:p w14:paraId="37A685D5">
            <w:pPr>
              <w:keepNext w:val="0"/>
              <w:keepLines w:val="0"/>
              <w:pageBreakBefore w:val="0"/>
              <w:widowControl/>
              <w:kinsoku/>
              <w:wordWrap/>
              <w:overflowPunct/>
              <w:topLinePunct/>
              <w:autoSpaceDE/>
              <w:autoSpaceDN/>
              <w:bidi w:val="0"/>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工作计划进度满足服务需求，未提供保障措施，得 </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 xml:space="preserve"> 分； </w:t>
            </w:r>
          </w:p>
          <w:p w14:paraId="62E61A43">
            <w:pPr>
              <w:keepNext w:val="0"/>
              <w:keepLines w:val="0"/>
              <w:pageBreakBefore w:val="0"/>
              <w:widowControl/>
              <w:kinsoku/>
              <w:wordWrap/>
              <w:overflowPunct/>
              <w:topLinePunct/>
              <w:autoSpaceDE/>
              <w:autoSpaceDN/>
              <w:bidi w:val="0"/>
              <w:ind w:firstLine="480" w:firstLineChars="20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highlight w:val="none"/>
              </w:rPr>
              <w:t>工作计划进度</w:t>
            </w:r>
            <w:r>
              <w:rPr>
                <w:rFonts w:hint="eastAsia" w:ascii="宋体" w:hAnsi="宋体" w:cs="宋体"/>
                <w:color w:val="auto"/>
                <w:sz w:val="24"/>
                <w:highlight w:val="none"/>
                <w:lang w:val="en-US" w:eastAsia="zh-CN"/>
              </w:rPr>
              <w:t>未提供</w:t>
            </w:r>
            <w:r>
              <w:rPr>
                <w:rFonts w:hint="eastAsia" w:ascii="宋体" w:hAnsi="宋体" w:cs="宋体"/>
                <w:color w:val="auto"/>
                <w:sz w:val="24"/>
                <w:highlight w:val="none"/>
              </w:rPr>
              <w:t>服务需求，未提供保障措施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得 0</w:t>
            </w:r>
            <w:r>
              <w:rPr>
                <w:rFonts w:hint="eastAsia" w:ascii="宋体" w:hAnsi="宋体" w:cs="宋体"/>
                <w:color w:val="auto"/>
                <w:sz w:val="24"/>
                <w:highlight w:val="none"/>
              </w:rPr>
              <w:t>分。</w:t>
            </w:r>
          </w:p>
        </w:tc>
        <w:tc>
          <w:tcPr>
            <w:tcW w:w="377" w:type="pct"/>
            <w:shd w:val="clear" w:color="auto" w:fill="FFFFFF"/>
            <w:tcMar>
              <w:top w:w="57" w:type="dxa"/>
              <w:left w:w="108" w:type="dxa"/>
              <w:bottom w:w="57" w:type="dxa"/>
              <w:right w:w="108" w:type="dxa"/>
            </w:tcMar>
            <w:vAlign w:val="top"/>
          </w:tcPr>
          <w:p w14:paraId="2407735B">
            <w:pPr>
              <w:keepNext w:val="0"/>
              <w:keepLines w:val="0"/>
              <w:pageBreakBefore w:val="0"/>
              <w:widowControl/>
              <w:kinsoku/>
              <w:wordWrap/>
              <w:overflowPunct/>
              <w:topLinePunct/>
              <w:autoSpaceDE/>
              <w:autoSpaceDN/>
              <w:bidi w:val="0"/>
              <w:ind w:firstLine="480" w:firstLineChars="200"/>
              <w:jc w:val="left"/>
              <w:textAlignment w:val="center"/>
              <w:rPr>
                <w:rFonts w:hint="eastAsia" w:ascii="宋体" w:hAnsi="宋体" w:cs="宋体"/>
                <w:color w:val="auto"/>
                <w:sz w:val="24"/>
                <w:szCs w:val="24"/>
                <w:highlight w:val="none"/>
              </w:rPr>
            </w:pPr>
          </w:p>
          <w:p w14:paraId="7E2E0E3E">
            <w:pPr>
              <w:keepNext w:val="0"/>
              <w:keepLines w:val="0"/>
              <w:pageBreakBefore w:val="0"/>
              <w:widowControl/>
              <w:kinsoku/>
              <w:wordWrap/>
              <w:overflowPunct/>
              <w:topLinePunct/>
              <w:autoSpaceDE/>
              <w:autoSpaceDN/>
              <w:bidi w:val="0"/>
              <w:ind w:firstLine="480" w:firstLineChars="200"/>
              <w:jc w:val="left"/>
              <w:textAlignment w:val="center"/>
              <w:rPr>
                <w:rFonts w:hint="eastAsia" w:ascii="宋体" w:hAnsi="宋体" w:cs="宋体"/>
                <w:color w:val="auto"/>
                <w:sz w:val="24"/>
                <w:szCs w:val="24"/>
                <w:highlight w:val="none"/>
              </w:rPr>
            </w:pPr>
          </w:p>
          <w:p w14:paraId="44A2D9FA">
            <w:pPr>
              <w:keepNext w:val="0"/>
              <w:keepLines w:val="0"/>
              <w:pageBreakBefore w:val="0"/>
              <w:widowControl/>
              <w:kinsoku/>
              <w:wordWrap/>
              <w:overflowPunct/>
              <w:topLinePunct/>
              <w:autoSpaceDE/>
              <w:autoSpaceDN/>
              <w:bidi w:val="0"/>
              <w:ind w:firstLine="240" w:firstLineChars="10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6</w:t>
            </w:r>
          </w:p>
        </w:tc>
      </w:tr>
      <w:tr w14:paraId="53BF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exact"/>
        </w:trPr>
        <w:tc>
          <w:tcPr>
            <w:tcW w:w="587" w:type="pct"/>
            <w:shd w:val="clear" w:color="auto" w:fill="FFFFFF"/>
            <w:tcMar>
              <w:top w:w="57" w:type="dxa"/>
              <w:left w:w="108" w:type="dxa"/>
              <w:bottom w:w="57" w:type="dxa"/>
              <w:right w:w="108" w:type="dxa"/>
            </w:tcMar>
            <w:vAlign w:val="center"/>
          </w:tcPr>
          <w:p w14:paraId="20389809">
            <w:pPr>
              <w:keepNext w:val="0"/>
              <w:keepLines w:val="0"/>
              <w:pageBreakBefore w:val="0"/>
              <w:widowControl/>
              <w:kinsoku/>
              <w:wordWrap/>
              <w:overflowPunct/>
              <w:topLinePunct/>
              <w:autoSpaceDE/>
              <w:autoSpaceDN/>
              <w:bidi w:val="0"/>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654" w:type="pct"/>
            <w:shd w:val="clear" w:color="auto" w:fill="FFFFFF"/>
            <w:tcMar>
              <w:top w:w="57" w:type="dxa"/>
              <w:left w:w="108" w:type="dxa"/>
              <w:bottom w:w="57" w:type="dxa"/>
              <w:right w:w="108" w:type="dxa"/>
            </w:tcMar>
            <w:vAlign w:val="top"/>
          </w:tcPr>
          <w:p w14:paraId="5ACD1E7C">
            <w:pPr>
              <w:keepNext w:val="0"/>
              <w:keepLines w:val="0"/>
              <w:pageBreakBefore w:val="0"/>
              <w:widowControl/>
              <w:kinsoku/>
              <w:wordWrap/>
              <w:overflowPunct/>
              <w:topLinePunct/>
              <w:autoSpaceDE/>
              <w:autoSpaceDN/>
              <w:bidi w:val="0"/>
              <w:jc w:val="left"/>
              <w:textAlignment w:val="center"/>
              <w:rPr>
                <w:rFonts w:hint="eastAsia" w:ascii="宋体" w:hAnsi="宋体" w:cs="宋体"/>
                <w:color w:val="auto"/>
                <w:sz w:val="24"/>
                <w:szCs w:val="24"/>
                <w:highlight w:val="none"/>
              </w:rPr>
            </w:pPr>
          </w:p>
          <w:p w14:paraId="2230786B">
            <w:pPr>
              <w:keepNext w:val="0"/>
              <w:keepLines w:val="0"/>
              <w:pageBreakBefore w:val="0"/>
              <w:widowControl/>
              <w:kinsoku/>
              <w:wordWrap/>
              <w:overflowPunct/>
              <w:topLinePunct/>
              <w:autoSpaceDE/>
              <w:autoSpaceDN/>
              <w:bidi w:val="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质量保障措施（</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分）</w:t>
            </w:r>
          </w:p>
        </w:tc>
        <w:tc>
          <w:tcPr>
            <w:tcW w:w="3380" w:type="pct"/>
            <w:shd w:val="clear" w:color="auto" w:fill="FFFFFF"/>
            <w:tcMar>
              <w:top w:w="57" w:type="dxa"/>
              <w:left w:w="108" w:type="dxa"/>
              <w:bottom w:w="57" w:type="dxa"/>
              <w:right w:w="108" w:type="dxa"/>
            </w:tcMar>
            <w:vAlign w:val="top"/>
          </w:tcPr>
          <w:p w14:paraId="1C32920B">
            <w:pPr>
              <w:keepNext w:val="0"/>
              <w:keepLines w:val="0"/>
              <w:pageBreakBefore w:val="0"/>
              <w:widowControl/>
              <w:kinsoku/>
              <w:wordWrap/>
              <w:overflowPunct/>
              <w:topLinePunct/>
              <w:autoSpaceDE/>
              <w:autoSpaceDN/>
              <w:bidi w:val="0"/>
              <w:ind w:firstLine="480" w:firstLineChars="20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质量保障措施全面、可行得 6 分；</w:t>
            </w:r>
          </w:p>
          <w:p w14:paraId="15526D11">
            <w:pPr>
              <w:keepNext w:val="0"/>
              <w:keepLines w:val="0"/>
              <w:pageBreakBefore w:val="0"/>
              <w:widowControl/>
              <w:kinsoku/>
              <w:wordWrap/>
              <w:overflowPunct/>
              <w:topLinePunct/>
              <w:autoSpaceDE/>
              <w:autoSpaceDN/>
              <w:bidi w:val="0"/>
              <w:ind w:firstLine="480" w:firstLineChars="20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质量保障措施较全面、较可行得 4 分；</w:t>
            </w:r>
          </w:p>
          <w:p w14:paraId="312132AF">
            <w:pPr>
              <w:keepNext w:val="0"/>
              <w:keepLines w:val="0"/>
              <w:pageBreakBefore w:val="0"/>
              <w:widowControl/>
              <w:kinsoku/>
              <w:wordWrap/>
              <w:overflowPunct/>
              <w:topLinePunct/>
              <w:autoSpaceDE/>
              <w:autoSpaceDN/>
              <w:bidi w:val="0"/>
              <w:ind w:firstLine="480" w:firstLineChars="20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质量保障措施全面性、可行性一般得 2 分；</w:t>
            </w:r>
          </w:p>
          <w:p w14:paraId="3E9AA0F9">
            <w:pPr>
              <w:keepNext w:val="0"/>
              <w:keepLines w:val="0"/>
              <w:pageBreakBefore w:val="0"/>
              <w:widowControl/>
              <w:kinsoku/>
              <w:wordWrap/>
              <w:overflowPunct/>
              <w:topLinePunct/>
              <w:autoSpaceDE/>
              <w:autoSpaceDN/>
              <w:bidi w:val="0"/>
              <w:ind w:firstLine="480" w:firstLineChars="200"/>
              <w:jc w:val="left"/>
              <w:textAlignment w:val="center"/>
              <w:rPr>
                <w:rFonts w:hint="eastAsia" w:ascii="宋体" w:hAnsi="宋体" w:cs="宋体"/>
                <w:color w:val="auto"/>
                <w:sz w:val="24"/>
                <w:szCs w:val="24"/>
                <w:highlight w:val="none"/>
                <w:lang w:val="en-US" w:eastAsia="en-US"/>
              </w:rPr>
            </w:pPr>
            <w:r>
              <w:rPr>
                <w:rFonts w:hint="eastAsia" w:ascii="宋体" w:hAnsi="宋体" w:eastAsia="宋体" w:cs="宋体"/>
                <w:color w:val="auto"/>
                <w:sz w:val="24"/>
                <w:szCs w:val="24"/>
                <w:highlight w:val="none"/>
              </w:rPr>
              <w:t>未提供质量保障措施得 0 分；</w:t>
            </w:r>
          </w:p>
        </w:tc>
        <w:tc>
          <w:tcPr>
            <w:tcW w:w="377" w:type="pct"/>
            <w:shd w:val="clear" w:color="auto" w:fill="FFFFFF"/>
            <w:tcMar>
              <w:top w:w="57" w:type="dxa"/>
              <w:left w:w="108" w:type="dxa"/>
              <w:bottom w:w="57" w:type="dxa"/>
              <w:right w:w="108" w:type="dxa"/>
            </w:tcMar>
            <w:vAlign w:val="top"/>
          </w:tcPr>
          <w:p w14:paraId="6C5B8366">
            <w:pPr>
              <w:keepNext w:val="0"/>
              <w:keepLines w:val="0"/>
              <w:pageBreakBefore w:val="0"/>
              <w:widowControl/>
              <w:kinsoku/>
              <w:wordWrap/>
              <w:overflowPunct/>
              <w:topLinePunct/>
              <w:autoSpaceDE/>
              <w:autoSpaceDN/>
              <w:bidi w:val="0"/>
              <w:ind w:firstLine="480" w:firstLineChars="200"/>
              <w:jc w:val="left"/>
              <w:textAlignment w:val="center"/>
              <w:rPr>
                <w:rFonts w:hint="eastAsia" w:ascii="宋体" w:hAnsi="宋体" w:cs="宋体"/>
                <w:color w:val="auto"/>
                <w:sz w:val="24"/>
                <w:szCs w:val="24"/>
                <w:highlight w:val="none"/>
              </w:rPr>
            </w:pPr>
          </w:p>
          <w:p w14:paraId="59D8D37E">
            <w:pPr>
              <w:keepNext w:val="0"/>
              <w:keepLines w:val="0"/>
              <w:pageBreakBefore w:val="0"/>
              <w:widowControl/>
              <w:kinsoku/>
              <w:wordWrap/>
              <w:overflowPunct/>
              <w:topLinePunct/>
              <w:autoSpaceDE/>
              <w:autoSpaceDN/>
              <w:bidi w:val="0"/>
              <w:ind w:firstLine="480" w:firstLineChars="200"/>
              <w:jc w:val="left"/>
              <w:textAlignment w:val="center"/>
              <w:rPr>
                <w:rFonts w:hint="eastAsia" w:ascii="宋体" w:hAnsi="宋体" w:cs="宋体"/>
                <w:color w:val="auto"/>
                <w:sz w:val="24"/>
                <w:szCs w:val="24"/>
                <w:highlight w:val="none"/>
              </w:rPr>
            </w:pPr>
          </w:p>
          <w:p w14:paraId="24B92C56">
            <w:pPr>
              <w:keepNext w:val="0"/>
              <w:keepLines w:val="0"/>
              <w:pageBreakBefore w:val="0"/>
              <w:widowControl/>
              <w:kinsoku/>
              <w:wordWrap/>
              <w:overflowPunct/>
              <w:topLinePunct/>
              <w:autoSpaceDE/>
              <w:autoSpaceDN/>
              <w:bidi w:val="0"/>
              <w:ind w:firstLine="240" w:firstLineChars="10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6</w:t>
            </w:r>
          </w:p>
        </w:tc>
      </w:tr>
      <w:tr w14:paraId="602BE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6" w:hRule="exact"/>
        </w:trPr>
        <w:tc>
          <w:tcPr>
            <w:tcW w:w="587" w:type="pct"/>
            <w:shd w:val="clear" w:color="auto" w:fill="FFFFFF"/>
            <w:tcMar>
              <w:top w:w="57" w:type="dxa"/>
              <w:left w:w="108" w:type="dxa"/>
              <w:bottom w:w="57" w:type="dxa"/>
              <w:right w:w="108" w:type="dxa"/>
            </w:tcMar>
            <w:vAlign w:val="center"/>
          </w:tcPr>
          <w:p w14:paraId="5852E3B3">
            <w:pPr>
              <w:keepNext w:val="0"/>
              <w:keepLines w:val="0"/>
              <w:pageBreakBefore w:val="0"/>
              <w:widowControl/>
              <w:kinsoku/>
              <w:wordWrap/>
              <w:overflowPunct/>
              <w:topLinePunct/>
              <w:autoSpaceDE/>
              <w:autoSpaceDN/>
              <w:bidi w:val="0"/>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654" w:type="pct"/>
            <w:shd w:val="clear" w:color="auto" w:fill="FFFFFF"/>
            <w:tcMar>
              <w:top w:w="57" w:type="dxa"/>
              <w:left w:w="108" w:type="dxa"/>
              <w:bottom w:w="57" w:type="dxa"/>
              <w:right w:w="108" w:type="dxa"/>
            </w:tcMar>
            <w:vAlign w:val="top"/>
          </w:tcPr>
          <w:p w14:paraId="0CCECC34">
            <w:pPr>
              <w:keepNext w:val="0"/>
              <w:keepLines w:val="0"/>
              <w:pageBreakBefore w:val="0"/>
              <w:widowControl/>
              <w:kinsoku/>
              <w:wordWrap/>
              <w:overflowPunct/>
              <w:topLinePunct/>
              <w:autoSpaceDE/>
              <w:autoSpaceDN/>
              <w:bidi w:val="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与采购人进行本项目的工作协调措 施（</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w:t>
            </w:r>
          </w:p>
        </w:tc>
        <w:tc>
          <w:tcPr>
            <w:tcW w:w="3380" w:type="pct"/>
            <w:shd w:val="clear" w:color="auto" w:fill="FFFFFF"/>
            <w:tcMar>
              <w:top w:w="57" w:type="dxa"/>
              <w:left w:w="108" w:type="dxa"/>
              <w:bottom w:w="57" w:type="dxa"/>
              <w:right w:w="108" w:type="dxa"/>
            </w:tcMar>
            <w:vAlign w:val="top"/>
          </w:tcPr>
          <w:p w14:paraId="618DD8E1">
            <w:pPr>
              <w:keepNext w:val="0"/>
              <w:keepLines w:val="0"/>
              <w:pageBreakBefore w:val="0"/>
              <w:widowControl/>
              <w:kinsoku/>
              <w:wordWrap/>
              <w:overflowPunct/>
              <w:topLinePunct/>
              <w:autoSpaceDE/>
              <w:autoSpaceDN/>
              <w:bidi w:val="0"/>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措施完整可行的得 </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w:t>
            </w:r>
          </w:p>
          <w:p w14:paraId="6D13136F">
            <w:pPr>
              <w:keepNext w:val="0"/>
              <w:keepLines w:val="0"/>
              <w:pageBreakBefore w:val="0"/>
              <w:widowControl/>
              <w:kinsoku/>
              <w:wordWrap/>
              <w:overflowPunct/>
              <w:topLinePunct/>
              <w:autoSpaceDE/>
              <w:autoSpaceDN/>
              <w:bidi w:val="0"/>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措施较可行的得 </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 xml:space="preserve"> 分；</w:t>
            </w:r>
          </w:p>
          <w:p w14:paraId="7D62BB42">
            <w:pPr>
              <w:keepNext w:val="0"/>
              <w:keepLines w:val="0"/>
              <w:pageBreakBefore w:val="0"/>
              <w:widowControl/>
              <w:kinsoku/>
              <w:wordWrap/>
              <w:overflowPunct/>
              <w:topLinePunct/>
              <w:autoSpaceDE/>
              <w:autoSpaceDN/>
              <w:bidi w:val="0"/>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措施可行性差的得 </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 xml:space="preserve"> 分；</w:t>
            </w:r>
          </w:p>
          <w:p w14:paraId="19310A76">
            <w:pPr>
              <w:keepNext w:val="0"/>
              <w:keepLines w:val="0"/>
              <w:pageBreakBefore w:val="0"/>
              <w:widowControl/>
              <w:kinsoku/>
              <w:wordWrap/>
              <w:overflowPunct/>
              <w:topLinePunct/>
              <w:autoSpaceDE/>
              <w:autoSpaceDN/>
              <w:bidi w:val="0"/>
              <w:ind w:firstLine="480" w:firstLineChars="20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未提供措施服务方案的得 0 分；</w:t>
            </w:r>
          </w:p>
        </w:tc>
        <w:tc>
          <w:tcPr>
            <w:tcW w:w="377" w:type="pct"/>
            <w:shd w:val="clear" w:color="auto" w:fill="FFFFFF"/>
            <w:tcMar>
              <w:top w:w="57" w:type="dxa"/>
              <w:left w:w="108" w:type="dxa"/>
              <w:bottom w:w="57" w:type="dxa"/>
              <w:right w:w="108" w:type="dxa"/>
            </w:tcMar>
            <w:vAlign w:val="top"/>
          </w:tcPr>
          <w:p w14:paraId="37475EFE">
            <w:pPr>
              <w:keepNext w:val="0"/>
              <w:keepLines w:val="0"/>
              <w:pageBreakBefore w:val="0"/>
              <w:widowControl/>
              <w:kinsoku/>
              <w:wordWrap/>
              <w:overflowPunct/>
              <w:topLinePunct/>
              <w:autoSpaceDE/>
              <w:autoSpaceDN/>
              <w:bidi w:val="0"/>
              <w:ind w:firstLine="480" w:firstLineChars="200"/>
              <w:jc w:val="center"/>
              <w:textAlignment w:val="center"/>
              <w:rPr>
                <w:rFonts w:hint="eastAsia" w:ascii="宋体" w:hAnsi="宋体" w:cs="宋体"/>
                <w:color w:val="auto"/>
                <w:sz w:val="24"/>
                <w:szCs w:val="24"/>
                <w:highlight w:val="none"/>
              </w:rPr>
            </w:pPr>
          </w:p>
          <w:p w14:paraId="4D0A933D">
            <w:pPr>
              <w:keepNext w:val="0"/>
              <w:keepLines w:val="0"/>
              <w:pageBreakBefore w:val="0"/>
              <w:widowControl/>
              <w:kinsoku/>
              <w:wordWrap/>
              <w:overflowPunct/>
              <w:topLinePunct/>
              <w:autoSpaceDE/>
              <w:autoSpaceDN/>
              <w:bidi w:val="0"/>
              <w:ind w:firstLine="480" w:firstLineChars="200"/>
              <w:jc w:val="center"/>
              <w:textAlignment w:val="center"/>
              <w:rPr>
                <w:rFonts w:hint="eastAsia" w:ascii="宋体" w:hAnsi="宋体" w:cs="宋体"/>
                <w:color w:val="auto"/>
                <w:sz w:val="24"/>
                <w:szCs w:val="24"/>
                <w:highlight w:val="none"/>
              </w:rPr>
            </w:pPr>
          </w:p>
          <w:p w14:paraId="32E54EDC">
            <w:pPr>
              <w:keepNext w:val="0"/>
              <w:keepLines w:val="0"/>
              <w:pageBreakBefore w:val="0"/>
              <w:widowControl/>
              <w:kinsoku/>
              <w:wordWrap/>
              <w:overflowPunct/>
              <w:topLinePunct/>
              <w:autoSpaceDE/>
              <w:autoSpaceDN/>
              <w:bidi w:val="0"/>
              <w:ind w:firstLine="240" w:firstLineChars="100"/>
              <w:jc w:val="center"/>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lang w:val="en-US" w:eastAsia="zh-CN"/>
              </w:rPr>
              <w:t>3</w:t>
            </w:r>
          </w:p>
        </w:tc>
      </w:tr>
      <w:tr w14:paraId="6CC6D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4" w:hRule="exact"/>
        </w:trPr>
        <w:tc>
          <w:tcPr>
            <w:tcW w:w="587" w:type="pct"/>
            <w:shd w:val="clear" w:color="auto" w:fill="FFFFFF"/>
            <w:tcMar>
              <w:top w:w="57" w:type="dxa"/>
              <w:left w:w="108" w:type="dxa"/>
              <w:bottom w:w="57" w:type="dxa"/>
              <w:right w:w="108" w:type="dxa"/>
            </w:tcMar>
            <w:vAlign w:val="center"/>
          </w:tcPr>
          <w:p w14:paraId="6840E39A">
            <w:pPr>
              <w:keepNext w:val="0"/>
              <w:keepLines w:val="0"/>
              <w:pageBreakBefore w:val="0"/>
              <w:widowControl/>
              <w:kinsoku/>
              <w:wordWrap/>
              <w:overflowPunct/>
              <w:topLinePunct/>
              <w:autoSpaceDE/>
              <w:autoSpaceDN/>
              <w:bidi w:val="0"/>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654" w:type="pct"/>
            <w:shd w:val="clear" w:color="auto" w:fill="FFFFFF"/>
            <w:tcMar>
              <w:top w:w="57" w:type="dxa"/>
              <w:left w:w="108" w:type="dxa"/>
              <w:bottom w:w="57" w:type="dxa"/>
              <w:right w:w="108" w:type="dxa"/>
            </w:tcMar>
            <w:vAlign w:val="top"/>
          </w:tcPr>
          <w:p w14:paraId="01202C10">
            <w:pPr>
              <w:keepNext w:val="0"/>
              <w:keepLines w:val="0"/>
              <w:pageBreakBefore w:val="0"/>
              <w:widowControl/>
              <w:kinsoku/>
              <w:wordWrap/>
              <w:overflowPunct/>
              <w:topLinePunct/>
              <w:autoSpaceDE/>
              <w:autoSpaceDN/>
              <w:bidi w:val="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员工的专业技术培训制度（10 分）</w:t>
            </w:r>
          </w:p>
        </w:tc>
        <w:tc>
          <w:tcPr>
            <w:tcW w:w="3380" w:type="pct"/>
            <w:shd w:val="clear" w:color="auto" w:fill="FFFFFF"/>
            <w:tcMar>
              <w:top w:w="57" w:type="dxa"/>
              <w:left w:w="108" w:type="dxa"/>
              <w:bottom w:w="57" w:type="dxa"/>
              <w:right w:w="108" w:type="dxa"/>
            </w:tcMar>
            <w:vAlign w:val="top"/>
          </w:tcPr>
          <w:p w14:paraId="08FCFEDC">
            <w:pPr>
              <w:keepNext w:val="0"/>
              <w:keepLines w:val="0"/>
              <w:pageBreakBefore w:val="0"/>
              <w:widowControl/>
              <w:kinsoku/>
              <w:wordWrap/>
              <w:overflowPunct/>
              <w:topLinePunct/>
              <w:autoSpaceDE/>
              <w:autoSpaceDN/>
              <w:bidi w:val="0"/>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制度完善、详细、有针对性得 10 分；</w:t>
            </w:r>
          </w:p>
          <w:p w14:paraId="6F2B6C9F">
            <w:pPr>
              <w:keepNext w:val="0"/>
              <w:keepLines w:val="0"/>
              <w:pageBreakBefore w:val="0"/>
              <w:widowControl/>
              <w:kinsoku/>
              <w:wordWrap/>
              <w:overflowPunct/>
              <w:topLinePunct/>
              <w:autoSpaceDE/>
              <w:autoSpaceDN/>
              <w:bidi w:val="0"/>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制度基本完善、表达模糊，针对性一般得 6 分；</w:t>
            </w:r>
          </w:p>
          <w:p w14:paraId="04A0BAE9">
            <w:pPr>
              <w:keepNext w:val="0"/>
              <w:keepLines w:val="0"/>
              <w:pageBreakBefore w:val="0"/>
              <w:widowControl/>
              <w:kinsoku/>
              <w:wordWrap/>
              <w:overflowPunct/>
              <w:topLinePunct/>
              <w:autoSpaceDE/>
              <w:autoSpaceDN/>
              <w:bidi w:val="0"/>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制度体现差，描述差，无针对性得 2 分。</w:t>
            </w:r>
          </w:p>
          <w:p w14:paraId="75FEC37E">
            <w:pPr>
              <w:keepNext w:val="0"/>
              <w:keepLines w:val="0"/>
              <w:pageBreakBefore w:val="0"/>
              <w:widowControl/>
              <w:kinsoku/>
              <w:wordWrap/>
              <w:overflowPunct/>
              <w:topLinePunct/>
              <w:autoSpaceDE/>
              <w:autoSpaceDN/>
              <w:bidi w:val="0"/>
              <w:ind w:firstLine="480" w:firstLineChars="20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lang w:val="en-US" w:eastAsia="zh-CN"/>
              </w:rPr>
              <w:t>未提供方案得0分。</w:t>
            </w:r>
          </w:p>
        </w:tc>
        <w:tc>
          <w:tcPr>
            <w:tcW w:w="377" w:type="pct"/>
            <w:shd w:val="clear" w:color="auto" w:fill="FFFFFF"/>
            <w:tcMar>
              <w:top w:w="57" w:type="dxa"/>
              <w:left w:w="108" w:type="dxa"/>
              <w:bottom w:w="57" w:type="dxa"/>
              <w:right w:w="108" w:type="dxa"/>
            </w:tcMar>
            <w:vAlign w:val="top"/>
          </w:tcPr>
          <w:p w14:paraId="38B51029">
            <w:pPr>
              <w:keepNext w:val="0"/>
              <w:keepLines w:val="0"/>
              <w:pageBreakBefore w:val="0"/>
              <w:widowControl/>
              <w:kinsoku/>
              <w:wordWrap/>
              <w:overflowPunct/>
              <w:topLinePunct/>
              <w:autoSpaceDE/>
              <w:autoSpaceDN/>
              <w:bidi w:val="0"/>
              <w:ind w:firstLine="480" w:firstLineChars="200"/>
              <w:jc w:val="center"/>
              <w:textAlignment w:val="center"/>
              <w:rPr>
                <w:rFonts w:hint="eastAsia" w:ascii="宋体" w:hAnsi="宋体" w:cs="宋体"/>
                <w:color w:val="auto"/>
                <w:sz w:val="24"/>
                <w:szCs w:val="24"/>
                <w:highlight w:val="none"/>
              </w:rPr>
            </w:pPr>
          </w:p>
          <w:p w14:paraId="2779229C">
            <w:pPr>
              <w:keepNext w:val="0"/>
              <w:keepLines w:val="0"/>
              <w:pageBreakBefore w:val="0"/>
              <w:widowControl/>
              <w:kinsoku/>
              <w:wordWrap/>
              <w:overflowPunct/>
              <w:topLinePunct/>
              <w:autoSpaceDE/>
              <w:autoSpaceDN/>
              <w:bidi w:val="0"/>
              <w:jc w:val="center"/>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10</w:t>
            </w:r>
          </w:p>
        </w:tc>
      </w:tr>
      <w:tr w14:paraId="18F7E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4" w:hRule="exact"/>
        </w:trPr>
        <w:tc>
          <w:tcPr>
            <w:tcW w:w="587" w:type="pct"/>
            <w:shd w:val="clear" w:color="auto" w:fill="FFFFFF"/>
            <w:tcMar>
              <w:top w:w="57" w:type="dxa"/>
              <w:left w:w="108" w:type="dxa"/>
              <w:bottom w:w="57" w:type="dxa"/>
              <w:right w:w="108" w:type="dxa"/>
            </w:tcMar>
            <w:vAlign w:val="center"/>
          </w:tcPr>
          <w:p w14:paraId="08CB1C6A">
            <w:pPr>
              <w:keepNext w:val="0"/>
              <w:keepLines w:val="0"/>
              <w:pageBreakBefore w:val="0"/>
              <w:widowControl/>
              <w:kinsoku/>
              <w:wordWrap/>
              <w:overflowPunct/>
              <w:topLinePunct/>
              <w:autoSpaceDE/>
              <w:autoSpaceDN/>
              <w:bidi w:val="0"/>
              <w:ind w:firstLine="240" w:firstLineChars="100"/>
              <w:jc w:val="both"/>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654" w:type="pct"/>
            <w:shd w:val="clear" w:color="auto" w:fill="FFFFFF"/>
            <w:tcMar>
              <w:top w:w="57" w:type="dxa"/>
              <w:left w:w="108" w:type="dxa"/>
              <w:bottom w:w="57" w:type="dxa"/>
              <w:right w:w="108" w:type="dxa"/>
            </w:tcMar>
            <w:vAlign w:val="top"/>
          </w:tcPr>
          <w:p w14:paraId="0EFA0E9E">
            <w:pPr>
              <w:keepNext w:val="0"/>
              <w:keepLines w:val="0"/>
              <w:pageBreakBefore w:val="0"/>
              <w:widowControl/>
              <w:kinsoku/>
              <w:wordWrap/>
              <w:overflowPunct/>
              <w:topLinePunct/>
              <w:autoSpaceDE/>
              <w:autoSpaceDN/>
              <w:bidi w:val="0"/>
              <w:ind w:firstLine="480" w:firstLineChars="200"/>
              <w:jc w:val="left"/>
              <w:textAlignment w:val="center"/>
              <w:rPr>
                <w:rFonts w:hint="eastAsia" w:ascii="宋体" w:hAnsi="宋体" w:cs="宋体"/>
                <w:color w:val="auto"/>
                <w:sz w:val="24"/>
                <w:szCs w:val="24"/>
                <w:highlight w:val="none"/>
              </w:rPr>
            </w:pPr>
          </w:p>
          <w:p w14:paraId="3D984689">
            <w:pPr>
              <w:keepNext w:val="0"/>
              <w:keepLines w:val="0"/>
              <w:pageBreakBefore w:val="0"/>
              <w:widowControl/>
              <w:kinsoku/>
              <w:wordWrap/>
              <w:overflowPunct/>
              <w:topLinePunct/>
              <w:autoSpaceDE/>
              <w:autoSpaceDN/>
              <w:bidi w:val="0"/>
              <w:ind w:firstLine="480" w:firstLineChars="200"/>
              <w:jc w:val="left"/>
              <w:textAlignment w:val="center"/>
              <w:rPr>
                <w:rFonts w:hint="eastAsia" w:ascii="宋体" w:hAnsi="宋体" w:cs="宋体"/>
                <w:color w:val="auto"/>
                <w:sz w:val="24"/>
                <w:szCs w:val="24"/>
                <w:highlight w:val="none"/>
              </w:rPr>
            </w:pPr>
          </w:p>
          <w:p w14:paraId="79B34CBA">
            <w:pPr>
              <w:keepNext w:val="0"/>
              <w:keepLines w:val="0"/>
              <w:pageBreakBefore w:val="0"/>
              <w:widowControl/>
              <w:kinsoku/>
              <w:wordWrap/>
              <w:overflowPunct/>
              <w:topLinePunct/>
              <w:autoSpaceDE/>
              <w:autoSpaceDN/>
              <w:bidi w:val="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拟投入人员情况（10 分）</w:t>
            </w:r>
          </w:p>
        </w:tc>
        <w:tc>
          <w:tcPr>
            <w:tcW w:w="3380" w:type="pct"/>
            <w:shd w:val="clear" w:color="auto" w:fill="FFFFFF"/>
            <w:tcMar>
              <w:top w:w="57" w:type="dxa"/>
              <w:left w:w="108" w:type="dxa"/>
              <w:bottom w:w="57" w:type="dxa"/>
              <w:right w:w="108" w:type="dxa"/>
            </w:tcMar>
            <w:vAlign w:val="top"/>
          </w:tcPr>
          <w:p w14:paraId="5465413A">
            <w:pPr>
              <w:keepNext w:val="0"/>
              <w:keepLines w:val="0"/>
              <w:pageBreakBefore w:val="0"/>
              <w:widowControl/>
              <w:kinsoku/>
              <w:wordWrap/>
              <w:overflowPunct/>
              <w:topLinePunct/>
              <w:autoSpaceDE/>
              <w:autoSpaceDN/>
              <w:bidi w:val="0"/>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针对本项目的组织架构安排、人员配备、职责分工等明确合 理，实力强，得10分；</w:t>
            </w:r>
          </w:p>
          <w:p w14:paraId="7F4A8D44">
            <w:pPr>
              <w:keepNext w:val="0"/>
              <w:keepLines w:val="0"/>
              <w:pageBreakBefore w:val="0"/>
              <w:widowControl/>
              <w:kinsoku/>
              <w:wordWrap/>
              <w:overflowPunct/>
              <w:topLinePunct/>
              <w:autoSpaceDE/>
              <w:autoSpaceDN/>
              <w:bidi w:val="0"/>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针对本项目的组织架构安排、人员配备、职责分工等较明确 合理，实力较强，得 6 分；</w:t>
            </w:r>
          </w:p>
          <w:p w14:paraId="593C9028">
            <w:pPr>
              <w:keepNext w:val="0"/>
              <w:keepLines w:val="0"/>
              <w:pageBreakBefore w:val="0"/>
              <w:widowControl/>
              <w:kinsoku/>
              <w:wordWrap/>
              <w:overflowPunct/>
              <w:topLinePunct/>
              <w:autoSpaceDE/>
              <w:autoSpaceDN/>
              <w:bidi w:val="0"/>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针对本项目的组织架构安排、人员配备、职责分工等实力一般 ，得 2 分。</w:t>
            </w:r>
          </w:p>
          <w:p w14:paraId="6707DEF3">
            <w:pPr>
              <w:keepNext w:val="0"/>
              <w:keepLines w:val="0"/>
              <w:pageBreakBefore w:val="0"/>
              <w:widowControl/>
              <w:kinsoku/>
              <w:wordWrap/>
              <w:overflowPunct/>
              <w:topLinePunct/>
              <w:autoSpaceDE/>
              <w:autoSpaceDN/>
              <w:bidi w:val="0"/>
              <w:ind w:firstLine="480" w:firstLineChars="20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lang w:val="en-US" w:eastAsia="zh-CN"/>
              </w:rPr>
              <w:t>未提供方案得0分。</w:t>
            </w:r>
          </w:p>
        </w:tc>
        <w:tc>
          <w:tcPr>
            <w:tcW w:w="377" w:type="pct"/>
            <w:shd w:val="clear" w:color="auto" w:fill="FFFFFF"/>
            <w:tcMar>
              <w:top w:w="57" w:type="dxa"/>
              <w:left w:w="108" w:type="dxa"/>
              <w:bottom w:w="57" w:type="dxa"/>
              <w:right w:w="108" w:type="dxa"/>
            </w:tcMar>
            <w:vAlign w:val="top"/>
          </w:tcPr>
          <w:p w14:paraId="75FA06AC">
            <w:pPr>
              <w:keepNext w:val="0"/>
              <w:keepLines w:val="0"/>
              <w:pageBreakBefore w:val="0"/>
              <w:widowControl/>
              <w:kinsoku/>
              <w:wordWrap/>
              <w:overflowPunct/>
              <w:topLinePunct/>
              <w:autoSpaceDE/>
              <w:autoSpaceDN/>
              <w:bidi w:val="0"/>
              <w:ind w:firstLine="480" w:firstLineChars="200"/>
              <w:jc w:val="center"/>
              <w:textAlignment w:val="center"/>
              <w:rPr>
                <w:rFonts w:hint="eastAsia" w:ascii="宋体" w:hAnsi="宋体" w:cs="宋体"/>
                <w:color w:val="auto"/>
                <w:sz w:val="24"/>
                <w:szCs w:val="24"/>
                <w:highlight w:val="none"/>
              </w:rPr>
            </w:pPr>
          </w:p>
          <w:p w14:paraId="62B1AB4E">
            <w:pPr>
              <w:keepNext w:val="0"/>
              <w:keepLines w:val="0"/>
              <w:pageBreakBefore w:val="0"/>
              <w:widowControl/>
              <w:kinsoku/>
              <w:wordWrap/>
              <w:overflowPunct/>
              <w:topLinePunct/>
              <w:autoSpaceDE/>
              <w:autoSpaceDN/>
              <w:bidi w:val="0"/>
              <w:ind w:firstLine="480" w:firstLineChars="200"/>
              <w:jc w:val="center"/>
              <w:textAlignment w:val="center"/>
              <w:rPr>
                <w:rFonts w:hint="eastAsia" w:ascii="宋体" w:hAnsi="宋体" w:cs="宋体"/>
                <w:color w:val="auto"/>
                <w:sz w:val="24"/>
                <w:szCs w:val="24"/>
                <w:highlight w:val="none"/>
              </w:rPr>
            </w:pPr>
          </w:p>
          <w:p w14:paraId="09A6FCAF">
            <w:pPr>
              <w:keepNext w:val="0"/>
              <w:keepLines w:val="0"/>
              <w:pageBreakBefore w:val="0"/>
              <w:widowControl/>
              <w:kinsoku/>
              <w:wordWrap/>
              <w:overflowPunct/>
              <w:topLinePunct/>
              <w:autoSpaceDE/>
              <w:autoSpaceDN/>
              <w:bidi w:val="0"/>
              <w:ind w:firstLine="480" w:firstLineChars="200"/>
              <w:jc w:val="center"/>
              <w:textAlignment w:val="center"/>
              <w:rPr>
                <w:rFonts w:hint="eastAsia" w:ascii="宋体" w:hAnsi="宋体" w:cs="宋体"/>
                <w:color w:val="auto"/>
                <w:sz w:val="24"/>
                <w:szCs w:val="24"/>
                <w:highlight w:val="none"/>
              </w:rPr>
            </w:pPr>
          </w:p>
          <w:p w14:paraId="2E9AA8B2">
            <w:pPr>
              <w:keepNext w:val="0"/>
              <w:keepLines w:val="0"/>
              <w:pageBreakBefore w:val="0"/>
              <w:widowControl/>
              <w:kinsoku/>
              <w:wordWrap/>
              <w:overflowPunct/>
              <w:topLinePunct/>
              <w:autoSpaceDE/>
              <w:autoSpaceDN/>
              <w:bidi w:val="0"/>
              <w:jc w:val="center"/>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10</w:t>
            </w:r>
          </w:p>
        </w:tc>
      </w:tr>
      <w:tr w14:paraId="710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567" w:hRule="exact"/>
        </w:trPr>
        <w:tc>
          <w:tcPr>
            <w:tcW w:w="587" w:type="pct"/>
            <w:shd w:val="clear" w:color="auto" w:fill="FFFFFF"/>
            <w:tcMar>
              <w:top w:w="57" w:type="dxa"/>
              <w:left w:w="108" w:type="dxa"/>
              <w:bottom w:w="57" w:type="dxa"/>
              <w:right w:w="108" w:type="dxa"/>
            </w:tcMar>
            <w:vAlign w:val="center"/>
          </w:tcPr>
          <w:p w14:paraId="34B2337E">
            <w:pPr>
              <w:keepNext w:val="0"/>
              <w:keepLines w:val="0"/>
              <w:pageBreakBefore w:val="0"/>
              <w:widowControl/>
              <w:kinsoku/>
              <w:wordWrap/>
              <w:overflowPunct/>
              <w:topLinePunct/>
              <w:autoSpaceDE/>
              <w:autoSpaceDN/>
              <w:bidi w:val="0"/>
              <w:ind w:firstLine="240" w:firstLineChars="100"/>
              <w:jc w:val="left"/>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654" w:type="pct"/>
            <w:shd w:val="clear" w:color="auto" w:fill="FFFFFF"/>
            <w:tcMar>
              <w:top w:w="57" w:type="dxa"/>
              <w:left w:w="108" w:type="dxa"/>
              <w:bottom w:w="57" w:type="dxa"/>
              <w:right w:w="108" w:type="dxa"/>
            </w:tcMar>
            <w:vAlign w:val="top"/>
          </w:tcPr>
          <w:p w14:paraId="0A5C7467">
            <w:pPr>
              <w:keepNext w:val="0"/>
              <w:keepLines w:val="0"/>
              <w:pageBreakBefore w:val="0"/>
              <w:widowControl/>
              <w:kinsoku/>
              <w:wordWrap/>
              <w:overflowPunct/>
              <w:topLinePunct/>
              <w:autoSpaceDE/>
              <w:autoSpaceDN/>
              <w:bidi w:val="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拟投入设备情况（5 分）</w:t>
            </w:r>
          </w:p>
        </w:tc>
        <w:tc>
          <w:tcPr>
            <w:tcW w:w="3380" w:type="pct"/>
            <w:shd w:val="clear" w:color="auto" w:fill="FFFFFF"/>
            <w:tcMar>
              <w:top w:w="57" w:type="dxa"/>
              <w:left w:w="108" w:type="dxa"/>
              <w:bottom w:w="57" w:type="dxa"/>
              <w:right w:w="108" w:type="dxa"/>
            </w:tcMar>
            <w:vAlign w:val="top"/>
          </w:tcPr>
          <w:p w14:paraId="0CD13D63">
            <w:pPr>
              <w:keepNext w:val="0"/>
              <w:keepLines w:val="0"/>
              <w:pageBreakBefore w:val="0"/>
              <w:widowControl/>
              <w:kinsoku/>
              <w:wordWrap/>
              <w:overflowPunct/>
              <w:topLinePunct/>
              <w:autoSpaceDE/>
              <w:autoSpaceDN/>
              <w:bidi w:val="0"/>
              <w:ind w:firstLine="480" w:firstLineChars="200"/>
              <w:jc w:val="left"/>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 xml:space="preserve">针对本项目的设备齐全、数量、功能满足项目需求得5分 </w:t>
            </w:r>
            <w:r>
              <w:rPr>
                <w:rFonts w:hint="eastAsia" w:ascii="宋体" w:hAnsi="宋体" w:cs="宋体"/>
                <w:color w:val="auto"/>
                <w:sz w:val="24"/>
                <w:szCs w:val="24"/>
                <w:highlight w:val="none"/>
                <w:lang w:eastAsia="zh-CN"/>
              </w:rPr>
              <w:t>。</w:t>
            </w:r>
          </w:p>
          <w:p w14:paraId="3DD9FF6D">
            <w:pPr>
              <w:keepNext w:val="0"/>
              <w:keepLines w:val="0"/>
              <w:pageBreakBefore w:val="0"/>
              <w:widowControl/>
              <w:kinsoku/>
              <w:wordWrap/>
              <w:overflowPunct/>
              <w:topLinePunct/>
              <w:autoSpaceDE/>
              <w:autoSpaceDN/>
              <w:bidi w:val="0"/>
              <w:ind w:firstLine="480" w:firstLineChars="200"/>
              <w:jc w:val="left"/>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针对本项目的设备基本齐全、数量、功能一般得3分</w:t>
            </w:r>
            <w:r>
              <w:rPr>
                <w:rFonts w:hint="eastAsia" w:ascii="宋体" w:hAnsi="宋体" w:cs="宋体"/>
                <w:color w:val="auto"/>
                <w:sz w:val="24"/>
                <w:szCs w:val="24"/>
                <w:highlight w:val="none"/>
                <w:lang w:eastAsia="zh-CN"/>
              </w:rPr>
              <w:t>。</w:t>
            </w:r>
          </w:p>
          <w:p w14:paraId="410AA95F">
            <w:pPr>
              <w:keepNext w:val="0"/>
              <w:keepLines w:val="0"/>
              <w:pageBreakBefore w:val="0"/>
              <w:widowControl/>
              <w:kinsoku/>
              <w:wordWrap/>
              <w:overflowPunct/>
              <w:topLinePunct/>
              <w:autoSpaceDE/>
              <w:autoSpaceDN/>
              <w:bidi w:val="0"/>
              <w:ind w:firstLine="480" w:firstLineChars="200"/>
              <w:jc w:val="left"/>
              <w:textAlignment w:val="cente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针对本项目的设备不齐全、数量、功能差得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w:t>
            </w:r>
          </w:p>
          <w:p w14:paraId="387B0D42">
            <w:pPr>
              <w:keepNext w:val="0"/>
              <w:keepLines w:val="0"/>
              <w:pageBreakBefore w:val="0"/>
              <w:widowControl/>
              <w:kinsoku/>
              <w:wordWrap/>
              <w:overflowPunct/>
              <w:topLinePunct/>
              <w:autoSpaceDE/>
              <w:autoSpaceDN/>
              <w:bidi w:val="0"/>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未提供方案得0分。</w:t>
            </w:r>
          </w:p>
        </w:tc>
        <w:tc>
          <w:tcPr>
            <w:tcW w:w="377" w:type="pct"/>
            <w:shd w:val="clear" w:color="auto" w:fill="FFFFFF"/>
            <w:tcMar>
              <w:top w:w="57" w:type="dxa"/>
              <w:left w:w="108" w:type="dxa"/>
              <w:bottom w:w="57" w:type="dxa"/>
              <w:right w:w="108" w:type="dxa"/>
            </w:tcMar>
            <w:vAlign w:val="top"/>
          </w:tcPr>
          <w:p w14:paraId="736448FB">
            <w:pPr>
              <w:keepNext w:val="0"/>
              <w:keepLines w:val="0"/>
              <w:pageBreakBefore w:val="0"/>
              <w:widowControl/>
              <w:kinsoku/>
              <w:wordWrap/>
              <w:overflowPunct/>
              <w:topLinePunct/>
              <w:autoSpaceDE/>
              <w:autoSpaceDN/>
              <w:bidi w:val="0"/>
              <w:ind w:firstLine="480" w:firstLineChars="200"/>
              <w:jc w:val="center"/>
              <w:textAlignment w:val="center"/>
              <w:rPr>
                <w:rFonts w:hint="eastAsia" w:ascii="宋体" w:hAnsi="宋体" w:cs="宋体"/>
                <w:color w:val="auto"/>
                <w:sz w:val="24"/>
                <w:szCs w:val="24"/>
                <w:highlight w:val="none"/>
              </w:rPr>
            </w:pPr>
          </w:p>
          <w:p w14:paraId="1B618FCB">
            <w:pPr>
              <w:keepNext w:val="0"/>
              <w:keepLines w:val="0"/>
              <w:pageBreakBefore w:val="0"/>
              <w:widowControl/>
              <w:kinsoku/>
              <w:wordWrap/>
              <w:overflowPunct/>
              <w:topLinePunct/>
              <w:autoSpaceDE/>
              <w:autoSpaceDN/>
              <w:bidi w:val="0"/>
              <w:jc w:val="center"/>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5</w:t>
            </w:r>
          </w:p>
        </w:tc>
      </w:tr>
      <w:tr w14:paraId="2C39A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exact"/>
        </w:trPr>
        <w:tc>
          <w:tcPr>
            <w:tcW w:w="5000" w:type="pct"/>
            <w:gridSpan w:val="4"/>
            <w:shd w:val="clear" w:color="auto" w:fill="FFFFFF"/>
            <w:tcMar>
              <w:top w:w="57" w:type="dxa"/>
              <w:left w:w="108" w:type="dxa"/>
              <w:bottom w:w="57" w:type="dxa"/>
              <w:right w:w="108" w:type="dxa"/>
            </w:tcMar>
            <w:vAlign w:val="center"/>
          </w:tcPr>
          <w:p w14:paraId="61F59702">
            <w:pPr>
              <w:keepNext w:val="0"/>
              <w:keepLines w:val="0"/>
              <w:pageBreakBefore w:val="0"/>
              <w:widowControl/>
              <w:kinsoku/>
              <w:wordWrap/>
              <w:overflowPunct/>
              <w:topLinePunct/>
              <w:autoSpaceDE/>
              <w:autoSpaceDN/>
              <w:bidi w:val="0"/>
              <w:jc w:val="both"/>
              <w:textAlignment w:val="center"/>
              <w:rPr>
                <w:rFonts w:hint="eastAsia" w:ascii="宋体" w:hAnsi="宋体" w:cs="宋体"/>
                <w:color w:val="auto"/>
                <w:sz w:val="24"/>
                <w:szCs w:val="24"/>
                <w:highlight w:val="none"/>
              </w:rPr>
            </w:pP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、价格部分（10分）</w:t>
            </w:r>
          </w:p>
        </w:tc>
      </w:tr>
      <w:tr w14:paraId="531E4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384" w:hRule="exact"/>
        </w:trPr>
        <w:tc>
          <w:tcPr>
            <w:tcW w:w="587" w:type="pct"/>
            <w:shd w:val="clear" w:color="auto" w:fill="FFFFFF"/>
            <w:tcMar>
              <w:top w:w="57" w:type="dxa"/>
              <w:left w:w="108" w:type="dxa"/>
              <w:bottom w:w="57" w:type="dxa"/>
              <w:right w:w="108" w:type="dxa"/>
            </w:tcMar>
            <w:vAlign w:val="center"/>
          </w:tcPr>
          <w:p w14:paraId="66597ED9">
            <w:pPr>
              <w:keepNext w:val="0"/>
              <w:keepLines w:val="0"/>
              <w:pageBreakBefore w:val="0"/>
              <w:widowControl/>
              <w:kinsoku/>
              <w:wordWrap/>
              <w:overflowPunct/>
              <w:topLinePunct/>
              <w:autoSpaceDE/>
              <w:autoSpaceDN/>
              <w:bidi w:val="0"/>
              <w:ind w:firstLine="240" w:firstLineChars="100"/>
              <w:jc w:val="left"/>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654" w:type="pct"/>
            <w:shd w:val="clear" w:color="auto" w:fill="FFFFFF"/>
            <w:tcMar>
              <w:top w:w="57" w:type="dxa"/>
              <w:left w:w="108" w:type="dxa"/>
              <w:bottom w:w="57" w:type="dxa"/>
              <w:right w:w="108" w:type="dxa"/>
            </w:tcMar>
            <w:vAlign w:val="center"/>
          </w:tcPr>
          <w:p w14:paraId="3DF288D3">
            <w:pPr>
              <w:keepNext w:val="0"/>
              <w:keepLines w:val="0"/>
              <w:pageBreakBefore w:val="0"/>
              <w:widowControl/>
              <w:kinsoku/>
              <w:wordWrap/>
              <w:overflowPunct/>
              <w:topLinePunct/>
              <w:autoSpaceDE/>
              <w:autoSpaceDN/>
              <w:bidi w:val="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价格分</w:t>
            </w:r>
          </w:p>
        </w:tc>
        <w:tc>
          <w:tcPr>
            <w:tcW w:w="3380" w:type="pct"/>
            <w:shd w:val="clear" w:color="auto" w:fill="FFFFFF"/>
            <w:tcMar>
              <w:top w:w="57" w:type="dxa"/>
              <w:left w:w="108" w:type="dxa"/>
              <w:bottom w:w="57" w:type="dxa"/>
              <w:right w:w="108" w:type="dxa"/>
            </w:tcMar>
            <w:vAlign w:val="center"/>
          </w:tcPr>
          <w:p w14:paraId="6A26FCB8">
            <w:pPr>
              <w:keepNext w:val="0"/>
              <w:keepLines w:val="0"/>
              <w:pageBreakBefore w:val="0"/>
              <w:kinsoku/>
              <w:wordWrap/>
              <w:overflowPunct/>
              <w:topLinePunct/>
              <w:autoSpaceDE/>
              <w:autoSpaceDN/>
              <w:bidi w:val="0"/>
              <w:rPr>
                <w:rFonts w:ascii="宋体" w:hAnsi="宋体"/>
                <w:color w:val="auto"/>
                <w:sz w:val="24"/>
                <w:highlight w:val="none"/>
              </w:rPr>
            </w:pPr>
            <w:r>
              <w:rPr>
                <w:rFonts w:ascii="宋体" w:hAnsi="宋体"/>
                <w:color w:val="auto"/>
                <w:sz w:val="24"/>
                <w:highlight w:val="none"/>
              </w:rPr>
              <w:t>满足招标文件要求且投标价格最低的投标报价为评标基准价，其价格分为满分。其他投标人的价格分统一按照下列公式计算：</w:t>
            </w:r>
          </w:p>
          <w:p w14:paraId="5794FB82">
            <w:pPr>
              <w:keepNext w:val="0"/>
              <w:keepLines w:val="0"/>
              <w:pageBreakBefore w:val="0"/>
              <w:widowControl/>
              <w:kinsoku/>
              <w:wordWrap/>
              <w:overflowPunct/>
              <w:topLinePunct/>
              <w:autoSpaceDE/>
              <w:autoSpaceDN/>
              <w:bidi w:val="0"/>
              <w:adjustRightInd w:val="0"/>
              <w:snapToGrid w:val="0"/>
              <w:rPr>
                <w:rFonts w:hint="eastAsia" w:ascii="宋体" w:hAnsi="宋体" w:eastAsia="宋体" w:cs="宋体"/>
                <w:color w:val="auto"/>
                <w:kern w:val="2"/>
                <w:sz w:val="24"/>
                <w:szCs w:val="24"/>
                <w:highlight w:val="none"/>
                <w:lang w:val="en-US" w:eastAsia="zh-CN" w:bidi="ar-SA"/>
              </w:rPr>
            </w:pPr>
            <w:r>
              <w:rPr>
                <w:rFonts w:ascii="宋体" w:hAnsi="宋体"/>
                <w:color w:val="auto"/>
                <w:sz w:val="24"/>
                <w:highlight w:val="none"/>
              </w:rPr>
              <w:t>投标报价得分＝（评标基准价/投标报价）×分值。</w:t>
            </w:r>
          </w:p>
        </w:tc>
        <w:tc>
          <w:tcPr>
            <w:tcW w:w="377" w:type="pct"/>
            <w:shd w:val="clear" w:color="auto" w:fill="FFFFFF"/>
            <w:tcMar>
              <w:top w:w="57" w:type="dxa"/>
              <w:left w:w="108" w:type="dxa"/>
              <w:bottom w:w="57" w:type="dxa"/>
              <w:right w:w="108" w:type="dxa"/>
            </w:tcMar>
            <w:vAlign w:val="center"/>
          </w:tcPr>
          <w:p w14:paraId="46E235C6">
            <w:pPr>
              <w:keepNext w:val="0"/>
              <w:keepLines w:val="0"/>
              <w:pageBreakBefore w:val="0"/>
              <w:widowControl/>
              <w:kinsoku/>
              <w:wordWrap/>
              <w:overflowPunct/>
              <w:topLinePunct/>
              <w:autoSpaceDE/>
              <w:autoSpaceDN/>
              <w:bidi w:val="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10</w:t>
            </w:r>
          </w:p>
        </w:tc>
      </w:tr>
    </w:tbl>
    <w:p w14:paraId="5B204932">
      <w:pPr>
        <w:widowControl/>
        <w:tabs>
          <w:tab w:val="left" w:pos="360"/>
          <w:tab w:val="left" w:pos="900"/>
        </w:tabs>
        <w:snapToGrid w:val="0"/>
        <w:spacing w:line="360" w:lineRule="auto"/>
        <w:jc w:val="both"/>
        <w:outlineLvl w:val="9"/>
        <w:rPr>
          <w:rFonts w:hint="eastAsia" w:ascii="宋体" w:hAnsi="宋体" w:eastAsia="宋体"/>
          <w:b w:val="0"/>
          <w:bCs/>
          <w:color w:val="auto"/>
          <w:sz w:val="24"/>
          <w:highlight w:val="none"/>
        </w:rPr>
      </w:pPr>
      <w:r>
        <w:rPr>
          <w:rFonts w:hint="eastAsia" w:ascii="宋体" w:hAnsi="宋体" w:eastAsia="宋体"/>
          <w:b w:val="0"/>
          <w:bCs/>
          <w:color w:val="auto"/>
          <w:sz w:val="24"/>
          <w:highlight w:val="none"/>
          <w:lang w:val="en-US" w:eastAsia="zh-CN"/>
        </w:rPr>
        <w:t>注：</w:t>
      </w:r>
      <w:r>
        <w:rPr>
          <w:rFonts w:hint="eastAsia" w:ascii="宋体" w:hAnsi="宋体" w:eastAsia="宋体"/>
          <w:b w:val="0"/>
          <w:bCs/>
          <w:color w:val="auto"/>
          <w:sz w:val="24"/>
          <w:highlight w:val="none"/>
        </w:rPr>
        <w:t>1. 评标基准价即满足招标文件要求且投标价格最低的有效</w:t>
      </w:r>
      <w:r>
        <w:rPr>
          <w:rFonts w:hint="eastAsia" w:ascii="宋体" w:hAnsi="宋体"/>
          <w:b w:val="0"/>
          <w:bCs/>
          <w:color w:val="auto"/>
          <w:sz w:val="24"/>
          <w:highlight w:val="none"/>
          <w:lang w:val="en-US" w:eastAsia="zh-CN"/>
        </w:rPr>
        <w:t>投</w:t>
      </w:r>
      <w:r>
        <w:rPr>
          <w:rFonts w:hint="eastAsia" w:ascii="宋体" w:hAnsi="宋体" w:eastAsia="宋体"/>
          <w:b w:val="0"/>
          <w:bCs/>
          <w:color w:val="auto"/>
          <w:sz w:val="24"/>
          <w:highlight w:val="none"/>
        </w:rPr>
        <w:t>标报价。</w:t>
      </w:r>
    </w:p>
    <w:p w14:paraId="0B73C1D0">
      <w:pPr>
        <w:widowControl/>
        <w:numPr>
          <w:ilvl w:val="0"/>
          <w:numId w:val="19"/>
        </w:numPr>
        <w:tabs>
          <w:tab w:val="left" w:pos="360"/>
          <w:tab w:val="left" w:pos="900"/>
        </w:tabs>
        <w:snapToGrid w:val="0"/>
        <w:spacing w:line="360" w:lineRule="auto"/>
        <w:ind w:firstLine="480" w:firstLineChars="200"/>
        <w:jc w:val="both"/>
        <w:outlineLvl w:val="9"/>
        <w:rPr>
          <w:rFonts w:hint="eastAsia" w:ascii="宋体" w:hAnsi="宋体" w:eastAsia="宋体"/>
          <w:b w:val="0"/>
          <w:bCs/>
          <w:color w:val="auto"/>
          <w:sz w:val="24"/>
          <w:highlight w:val="none"/>
          <w:lang w:val="en-US" w:eastAsia="zh-CN"/>
        </w:rPr>
        <w:sectPr>
          <w:pgSz w:w="11906" w:h="16838"/>
          <w:pgMar w:top="1247" w:right="1247" w:bottom="1247" w:left="1247" w:header="851" w:footer="992" w:gutter="0"/>
          <w:pgNumType w:fmt="decimal"/>
          <w:cols w:space="425" w:num="1"/>
          <w:docGrid w:type="lines" w:linePitch="312" w:charSpace="0"/>
        </w:sectPr>
      </w:pPr>
      <w:r>
        <w:rPr>
          <w:rFonts w:hint="eastAsia" w:ascii="宋体" w:hAnsi="宋体" w:eastAsia="宋体"/>
          <w:b w:val="0"/>
          <w:bCs/>
          <w:color w:val="auto"/>
          <w:sz w:val="24"/>
          <w:highlight w:val="none"/>
          <w:lang w:val="en-US" w:eastAsia="zh-CN"/>
        </w:rPr>
        <w:t>类似业绩的</w:t>
      </w:r>
      <w:r>
        <w:rPr>
          <w:rFonts w:hint="eastAsia" w:ascii="宋体" w:hAnsi="宋体" w:eastAsia="宋体" w:cs="Times New Roman"/>
          <w:color w:val="auto"/>
          <w:kern w:val="2"/>
          <w:sz w:val="24"/>
          <w:szCs w:val="24"/>
          <w:highlight w:val="none"/>
          <w:lang w:val="en-US" w:eastAsia="zh-CN" w:bidi="ar"/>
        </w:rPr>
        <w:t>项目建设主要内容</w:t>
      </w:r>
      <w:r>
        <w:rPr>
          <w:rFonts w:hint="eastAsia" w:ascii="宋体" w:hAnsi="宋体" w:cs="Times New Roman"/>
          <w:color w:val="auto"/>
          <w:kern w:val="2"/>
          <w:sz w:val="24"/>
          <w:szCs w:val="24"/>
          <w:highlight w:val="none"/>
          <w:lang w:val="en-US" w:eastAsia="zh-CN" w:bidi="ar"/>
        </w:rPr>
        <w:t>、服务范围</w:t>
      </w:r>
      <w:r>
        <w:rPr>
          <w:rFonts w:hint="eastAsia" w:ascii="宋体" w:hAnsi="宋体" w:eastAsia="宋体"/>
          <w:b w:val="0"/>
          <w:bCs/>
          <w:color w:val="auto"/>
          <w:sz w:val="24"/>
          <w:highlight w:val="none"/>
          <w:lang w:val="en-US" w:eastAsia="zh-CN"/>
        </w:rPr>
        <w:t>和规模应与目标采购项目相当；企业类似项目业绩与项目负责人类似项目业绩可重复使用。</w:t>
      </w:r>
    </w:p>
    <w:p w14:paraId="7E129DC9">
      <w:pPr>
        <w:shd w:val="clear"/>
        <w:adjustRightInd w:val="0"/>
        <w:snapToGrid w:val="0"/>
        <w:spacing w:line="360" w:lineRule="auto"/>
        <w:jc w:val="center"/>
        <w:outlineLvl w:val="1"/>
        <w:rPr>
          <w:rFonts w:hint="eastAsia" w:ascii="宋体" w:hAnsi="宋体"/>
          <w:b/>
          <w:color w:val="auto"/>
          <w:kern w:val="0"/>
          <w:sz w:val="24"/>
          <w:szCs w:val="24"/>
          <w:highlight w:val="none"/>
          <w:lang w:val="en-US" w:eastAsia="zh-CN"/>
        </w:rPr>
      </w:pPr>
      <w:r>
        <w:rPr>
          <w:rFonts w:hint="eastAsia"/>
          <w:b/>
          <w:color w:val="auto"/>
          <w:sz w:val="24"/>
          <w:highlight w:val="none"/>
          <w:lang w:val="en-US" w:eastAsia="zh-CN"/>
        </w:rPr>
        <w:t>2</w:t>
      </w:r>
      <w:r>
        <w:rPr>
          <w:rFonts w:hint="eastAsia"/>
          <w:b/>
          <w:color w:val="auto"/>
          <w:sz w:val="24"/>
          <w:highlight w:val="none"/>
        </w:rPr>
        <w:t>包评标标准（100分）</w:t>
      </w:r>
    </w:p>
    <w:tbl>
      <w:tblPr>
        <w:tblStyle w:val="46"/>
        <w:tblpPr w:leftFromText="180" w:rightFromText="180" w:vertAnchor="text" w:horzAnchor="page" w:tblpX="1381" w:tblpY="1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456"/>
        <w:gridCol w:w="1327"/>
        <w:gridCol w:w="4778"/>
        <w:gridCol w:w="787"/>
      </w:tblGrid>
      <w:tr w14:paraId="379A1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blHeader/>
        </w:trPr>
        <w:tc>
          <w:tcPr>
            <w:tcW w:w="645" w:type="dxa"/>
            <w:vMerge w:val="restart"/>
            <w:noWrap w:val="0"/>
            <w:vAlign w:val="center"/>
          </w:tcPr>
          <w:p w14:paraId="72DD0388">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456" w:type="dxa"/>
            <w:vMerge w:val="restart"/>
            <w:noWrap w:val="0"/>
            <w:vAlign w:val="center"/>
          </w:tcPr>
          <w:p w14:paraId="40421EB2">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6105" w:type="dxa"/>
            <w:gridSpan w:val="2"/>
            <w:vMerge w:val="restart"/>
            <w:noWrap w:val="0"/>
            <w:vAlign w:val="center"/>
          </w:tcPr>
          <w:p w14:paraId="3FF73676">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评价因素及标准</w:t>
            </w:r>
          </w:p>
        </w:tc>
        <w:tc>
          <w:tcPr>
            <w:tcW w:w="787" w:type="dxa"/>
            <w:vMerge w:val="restart"/>
            <w:noWrap w:val="0"/>
            <w:vAlign w:val="center"/>
          </w:tcPr>
          <w:p w14:paraId="5598EF28">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满分</w:t>
            </w:r>
          </w:p>
        </w:tc>
      </w:tr>
      <w:tr w14:paraId="38C23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tblHeader/>
        </w:trPr>
        <w:tc>
          <w:tcPr>
            <w:tcW w:w="645" w:type="dxa"/>
            <w:vMerge w:val="continue"/>
            <w:noWrap w:val="0"/>
            <w:vAlign w:val="center"/>
          </w:tcPr>
          <w:p w14:paraId="1DAC09B0">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rPr>
            </w:pPr>
          </w:p>
        </w:tc>
        <w:tc>
          <w:tcPr>
            <w:tcW w:w="1456" w:type="dxa"/>
            <w:vMerge w:val="continue"/>
            <w:noWrap w:val="0"/>
            <w:vAlign w:val="center"/>
          </w:tcPr>
          <w:p w14:paraId="703EDBCB">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rPr>
            </w:pPr>
          </w:p>
        </w:tc>
        <w:tc>
          <w:tcPr>
            <w:tcW w:w="6105" w:type="dxa"/>
            <w:gridSpan w:val="2"/>
            <w:vMerge w:val="continue"/>
            <w:noWrap w:val="0"/>
            <w:vAlign w:val="center"/>
          </w:tcPr>
          <w:p w14:paraId="2463A79B">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rPr>
            </w:pPr>
          </w:p>
        </w:tc>
        <w:tc>
          <w:tcPr>
            <w:tcW w:w="787" w:type="dxa"/>
            <w:vMerge w:val="continue"/>
            <w:noWrap w:val="0"/>
            <w:vAlign w:val="center"/>
          </w:tcPr>
          <w:p w14:paraId="0D9819AA">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rPr>
            </w:pPr>
          </w:p>
        </w:tc>
      </w:tr>
      <w:tr w14:paraId="1EC2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645" w:type="dxa"/>
            <w:noWrap w:val="0"/>
            <w:vAlign w:val="center"/>
          </w:tcPr>
          <w:p w14:paraId="1D43B053">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w:t>
            </w:r>
          </w:p>
        </w:tc>
        <w:tc>
          <w:tcPr>
            <w:tcW w:w="8348" w:type="dxa"/>
            <w:gridSpan w:val="4"/>
            <w:noWrap w:val="0"/>
            <w:vAlign w:val="center"/>
          </w:tcPr>
          <w:p w14:paraId="3A5F5814">
            <w:pPr>
              <w:keepNext w:val="0"/>
              <w:keepLines w:val="0"/>
              <w:suppressLineNumbers w:val="0"/>
              <w:shd w:val="clear"/>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商务部分（20分）</w:t>
            </w:r>
          </w:p>
        </w:tc>
      </w:tr>
      <w:tr w14:paraId="1E5F3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 w:hRule="atLeast"/>
        </w:trPr>
        <w:tc>
          <w:tcPr>
            <w:tcW w:w="645" w:type="dxa"/>
            <w:vMerge w:val="restart"/>
            <w:noWrap w:val="0"/>
            <w:vAlign w:val="center"/>
          </w:tcPr>
          <w:p w14:paraId="32797810">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456" w:type="dxa"/>
            <w:vMerge w:val="restart"/>
            <w:noWrap w:val="0"/>
            <w:vAlign w:val="center"/>
          </w:tcPr>
          <w:p w14:paraId="48D970C8">
            <w:pPr>
              <w:keepNext w:val="0"/>
              <w:keepLines w:val="0"/>
              <w:suppressLineNumbers w:val="0"/>
              <w:shd w:val="clear"/>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总监理工程师（</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1327" w:type="dxa"/>
            <w:vMerge w:val="restart"/>
            <w:shd w:val="clear" w:color="auto" w:fill="auto"/>
            <w:noWrap w:val="0"/>
            <w:vAlign w:val="center"/>
          </w:tcPr>
          <w:p w14:paraId="6C1CA4F2">
            <w:pPr>
              <w:keepNext w:val="0"/>
              <w:keepLines w:val="0"/>
              <w:suppressLineNumbers w:val="0"/>
              <w:shd w:val="clear"/>
              <w:spacing w:before="0" w:beforeAutospacing="0" w:after="0" w:afterAutospacing="0"/>
              <w:ind w:left="0" w:right="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职称</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tc>
        <w:tc>
          <w:tcPr>
            <w:tcW w:w="4778" w:type="dxa"/>
            <w:shd w:val="clear" w:color="auto" w:fill="auto"/>
            <w:noWrap w:val="0"/>
            <w:vAlign w:val="center"/>
          </w:tcPr>
          <w:p w14:paraId="3310CE27">
            <w:pPr>
              <w:keepNext w:val="0"/>
              <w:keepLines w:val="0"/>
              <w:suppressLineNumbers w:val="0"/>
              <w:shd w:val="clear"/>
              <w:spacing w:before="0" w:beforeAutospacing="0" w:after="0" w:afterAutospacing="0"/>
              <w:ind w:left="0" w:right="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rPr>
              <w:t>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及以上</w:t>
            </w:r>
            <w:r>
              <w:rPr>
                <w:rFonts w:hint="eastAsia" w:ascii="宋体" w:hAnsi="宋体" w:eastAsia="宋体" w:cs="宋体"/>
                <w:color w:val="auto"/>
                <w:sz w:val="24"/>
                <w:szCs w:val="24"/>
                <w:highlight w:val="none"/>
              </w:rPr>
              <w:t>工程师，市政公用工程或园林绿化</w:t>
            </w:r>
            <w:r>
              <w:rPr>
                <w:rFonts w:hint="eastAsia" w:ascii="宋体" w:hAnsi="宋体" w:cs="宋体"/>
                <w:color w:val="auto"/>
                <w:sz w:val="24"/>
                <w:szCs w:val="24"/>
                <w:highlight w:val="none"/>
                <w:lang w:val="en-US" w:eastAsia="zh-CN"/>
              </w:rPr>
              <w:t>等</w:t>
            </w:r>
            <w:r>
              <w:rPr>
                <w:rFonts w:hint="eastAsia" w:ascii="宋体" w:hAnsi="宋体" w:eastAsia="宋体" w:cs="宋体"/>
                <w:color w:val="auto"/>
                <w:sz w:val="24"/>
                <w:szCs w:val="24"/>
                <w:highlight w:val="none"/>
              </w:rPr>
              <w:t>相关专业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得4分</w:t>
            </w:r>
          </w:p>
        </w:tc>
        <w:tc>
          <w:tcPr>
            <w:tcW w:w="787" w:type="dxa"/>
            <w:vMerge w:val="restart"/>
            <w:shd w:val="clear" w:color="auto" w:fill="auto"/>
            <w:noWrap w:val="0"/>
            <w:vAlign w:val="center"/>
          </w:tcPr>
          <w:p w14:paraId="44822349">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w:t>
            </w:r>
          </w:p>
        </w:tc>
      </w:tr>
      <w:tr w14:paraId="29E9E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 w:hRule="atLeast"/>
        </w:trPr>
        <w:tc>
          <w:tcPr>
            <w:tcW w:w="645" w:type="dxa"/>
            <w:vMerge w:val="continue"/>
            <w:noWrap w:val="0"/>
            <w:vAlign w:val="center"/>
          </w:tcPr>
          <w:p w14:paraId="3EF80943">
            <w:pPr>
              <w:keepNext w:val="0"/>
              <w:keepLines w:val="0"/>
              <w:suppressLineNumbers w:val="0"/>
              <w:shd w:val="clear"/>
              <w:spacing w:before="0" w:beforeAutospacing="0" w:after="0" w:afterAutospacing="0"/>
              <w:ind w:left="0" w:right="0"/>
              <w:rPr>
                <w:rFonts w:hint="eastAsia" w:ascii="宋体" w:hAnsi="宋体" w:eastAsia="宋体" w:cs="宋体"/>
                <w:color w:val="auto"/>
                <w:sz w:val="24"/>
                <w:szCs w:val="24"/>
                <w:highlight w:val="none"/>
              </w:rPr>
            </w:pPr>
          </w:p>
        </w:tc>
        <w:tc>
          <w:tcPr>
            <w:tcW w:w="1456" w:type="dxa"/>
            <w:vMerge w:val="continue"/>
            <w:noWrap w:val="0"/>
            <w:vAlign w:val="center"/>
          </w:tcPr>
          <w:p w14:paraId="6BC95E54">
            <w:pPr>
              <w:keepNext w:val="0"/>
              <w:keepLines w:val="0"/>
              <w:suppressLineNumbers w:val="0"/>
              <w:shd w:val="clear"/>
              <w:spacing w:before="0" w:beforeAutospacing="0" w:after="0" w:afterAutospacing="0"/>
              <w:ind w:left="0" w:right="0"/>
              <w:rPr>
                <w:rFonts w:hint="eastAsia" w:ascii="宋体" w:hAnsi="宋体" w:eastAsia="宋体" w:cs="宋体"/>
                <w:color w:val="auto"/>
                <w:sz w:val="24"/>
                <w:szCs w:val="24"/>
                <w:highlight w:val="none"/>
              </w:rPr>
            </w:pPr>
          </w:p>
        </w:tc>
        <w:tc>
          <w:tcPr>
            <w:tcW w:w="1327" w:type="dxa"/>
            <w:vMerge w:val="continue"/>
            <w:shd w:val="clear" w:color="auto" w:fill="auto"/>
            <w:noWrap w:val="0"/>
            <w:vAlign w:val="center"/>
          </w:tcPr>
          <w:p w14:paraId="7E9EE1C3">
            <w:pPr>
              <w:keepNext w:val="0"/>
              <w:keepLines w:val="0"/>
              <w:suppressLineNumbers w:val="0"/>
              <w:shd w:val="clear"/>
              <w:spacing w:before="0" w:beforeAutospacing="0" w:after="0" w:afterAutospacing="0"/>
              <w:ind w:left="0" w:right="0"/>
              <w:rPr>
                <w:rFonts w:hint="eastAsia" w:ascii="宋体" w:hAnsi="宋体" w:eastAsia="宋体" w:cs="宋体"/>
                <w:color w:val="auto"/>
                <w:sz w:val="24"/>
                <w:szCs w:val="24"/>
                <w:highlight w:val="none"/>
              </w:rPr>
            </w:pPr>
          </w:p>
        </w:tc>
        <w:tc>
          <w:tcPr>
            <w:tcW w:w="4778" w:type="dxa"/>
            <w:shd w:val="clear" w:color="auto" w:fill="auto"/>
            <w:noWrap w:val="0"/>
            <w:vAlign w:val="center"/>
          </w:tcPr>
          <w:p w14:paraId="2D17EE62">
            <w:pPr>
              <w:keepNext w:val="0"/>
              <w:keepLines w:val="0"/>
              <w:suppressLineNumbers w:val="0"/>
              <w:shd w:val="clear"/>
              <w:spacing w:before="0" w:beforeAutospacing="0" w:after="0" w:afterAutospacing="0"/>
              <w:ind w:left="0" w:right="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不含</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以下</w:t>
            </w:r>
            <w:r>
              <w:rPr>
                <w:rFonts w:hint="eastAsia" w:ascii="宋体" w:hAnsi="宋体" w:eastAsia="宋体" w:cs="宋体"/>
                <w:color w:val="auto"/>
                <w:sz w:val="24"/>
                <w:szCs w:val="24"/>
                <w:highlight w:val="none"/>
                <w:lang w:val="en-US" w:eastAsia="zh-CN"/>
              </w:rPr>
              <w:t>工程师</w:t>
            </w:r>
            <w:r>
              <w:rPr>
                <w:rFonts w:hint="eastAsia" w:ascii="宋体" w:hAnsi="宋体" w:eastAsia="宋体" w:cs="宋体"/>
                <w:color w:val="auto"/>
                <w:sz w:val="24"/>
                <w:szCs w:val="24"/>
                <w:highlight w:val="none"/>
              </w:rPr>
              <w:t>，市政公用工程或园林绿化</w:t>
            </w:r>
            <w:r>
              <w:rPr>
                <w:rFonts w:hint="eastAsia" w:ascii="宋体" w:hAnsi="宋体" w:cs="宋体"/>
                <w:color w:val="auto"/>
                <w:sz w:val="24"/>
                <w:szCs w:val="24"/>
                <w:highlight w:val="none"/>
                <w:lang w:val="en-US" w:eastAsia="zh-CN"/>
              </w:rPr>
              <w:t>等</w:t>
            </w:r>
            <w:r>
              <w:rPr>
                <w:rFonts w:hint="eastAsia" w:ascii="宋体" w:hAnsi="宋体" w:eastAsia="宋体" w:cs="宋体"/>
                <w:color w:val="auto"/>
                <w:sz w:val="24"/>
                <w:szCs w:val="24"/>
                <w:highlight w:val="none"/>
              </w:rPr>
              <w:t>相关专业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得2分</w:t>
            </w:r>
          </w:p>
        </w:tc>
        <w:tc>
          <w:tcPr>
            <w:tcW w:w="787" w:type="dxa"/>
            <w:vMerge w:val="continue"/>
            <w:shd w:val="clear" w:color="auto" w:fill="auto"/>
            <w:noWrap w:val="0"/>
            <w:vAlign w:val="center"/>
          </w:tcPr>
          <w:p w14:paraId="1CE4ADE2">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2"/>
                <w:sz w:val="24"/>
                <w:szCs w:val="24"/>
                <w:highlight w:val="none"/>
                <w:lang w:val="en-US" w:eastAsia="zh-CN" w:bidi="ar-SA"/>
              </w:rPr>
            </w:pPr>
          </w:p>
        </w:tc>
      </w:tr>
      <w:tr w14:paraId="00E74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645" w:type="dxa"/>
            <w:vMerge w:val="continue"/>
            <w:noWrap w:val="0"/>
            <w:vAlign w:val="center"/>
          </w:tcPr>
          <w:p w14:paraId="4CCFB6EE">
            <w:pPr>
              <w:keepNext w:val="0"/>
              <w:keepLines w:val="0"/>
              <w:suppressLineNumbers w:val="0"/>
              <w:shd w:val="clear"/>
              <w:spacing w:before="0" w:beforeAutospacing="0" w:after="0" w:afterAutospacing="0"/>
              <w:ind w:left="0" w:right="0"/>
              <w:rPr>
                <w:rFonts w:hint="eastAsia" w:ascii="宋体" w:hAnsi="宋体" w:eastAsia="宋体" w:cs="宋体"/>
                <w:color w:val="auto"/>
                <w:kern w:val="2"/>
                <w:sz w:val="24"/>
                <w:szCs w:val="24"/>
                <w:highlight w:val="none"/>
                <w:lang w:val="en-US" w:eastAsia="zh-CN" w:bidi="ar-SA"/>
              </w:rPr>
            </w:pPr>
          </w:p>
        </w:tc>
        <w:tc>
          <w:tcPr>
            <w:tcW w:w="1456" w:type="dxa"/>
            <w:vMerge w:val="continue"/>
            <w:noWrap w:val="0"/>
            <w:vAlign w:val="center"/>
          </w:tcPr>
          <w:p w14:paraId="31A7D677">
            <w:pPr>
              <w:keepNext w:val="0"/>
              <w:keepLines w:val="0"/>
              <w:suppressLineNumbers w:val="0"/>
              <w:shd w:val="clear"/>
              <w:spacing w:before="0" w:beforeAutospacing="0" w:after="0" w:afterAutospacing="0"/>
              <w:ind w:left="0" w:right="0"/>
              <w:rPr>
                <w:rFonts w:hint="eastAsia" w:ascii="宋体" w:hAnsi="宋体" w:eastAsia="宋体" w:cs="宋体"/>
                <w:color w:val="auto"/>
                <w:kern w:val="2"/>
                <w:sz w:val="24"/>
                <w:szCs w:val="24"/>
                <w:highlight w:val="none"/>
                <w:lang w:val="en-US" w:eastAsia="zh-CN" w:bidi="ar-SA"/>
              </w:rPr>
            </w:pPr>
          </w:p>
        </w:tc>
        <w:tc>
          <w:tcPr>
            <w:tcW w:w="1327" w:type="dxa"/>
            <w:vMerge w:val="continue"/>
            <w:shd w:val="clear" w:color="auto" w:fill="auto"/>
            <w:noWrap w:val="0"/>
            <w:vAlign w:val="center"/>
          </w:tcPr>
          <w:p w14:paraId="21419A0B">
            <w:pPr>
              <w:keepNext w:val="0"/>
              <w:keepLines w:val="0"/>
              <w:suppressLineNumbers w:val="0"/>
              <w:shd w:val="clear"/>
              <w:spacing w:before="0" w:beforeAutospacing="0" w:after="0" w:afterAutospacing="0"/>
              <w:ind w:left="0" w:right="0"/>
              <w:rPr>
                <w:rFonts w:hint="eastAsia" w:ascii="宋体" w:hAnsi="宋体" w:eastAsia="宋体" w:cs="宋体"/>
                <w:color w:val="auto"/>
                <w:kern w:val="2"/>
                <w:sz w:val="24"/>
                <w:szCs w:val="24"/>
                <w:highlight w:val="none"/>
                <w:lang w:val="en-US" w:eastAsia="zh-CN" w:bidi="ar-SA"/>
              </w:rPr>
            </w:pPr>
          </w:p>
        </w:tc>
        <w:tc>
          <w:tcPr>
            <w:tcW w:w="4778" w:type="dxa"/>
            <w:shd w:val="clear" w:color="auto" w:fill="auto"/>
            <w:noWrap w:val="0"/>
            <w:vAlign w:val="center"/>
          </w:tcPr>
          <w:p w14:paraId="1F7295A5">
            <w:pPr>
              <w:keepNext w:val="0"/>
              <w:keepLines w:val="0"/>
              <w:suppressLineNumbers w:val="0"/>
              <w:shd w:val="clear"/>
              <w:spacing w:before="0" w:beforeAutospacing="0" w:after="0" w:afterAutospacing="0"/>
              <w:ind w:left="0" w:right="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没有</w:t>
            </w:r>
            <w:r>
              <w:rPr>
                <w:rFonts w:hint="eastAsia" w:ascii="宋体" w:hAnsi="宋体" w:eastAsia="宋体" w:cs="宋体"/>
                <w:color w:val="auto"/>
                <w:sz w:val="24"/>
                <w:szCs w:val="24"/>
                <w:highlight w:val="none"/>
              </w:rPr>
              <w:t>市政公用工程或园林绿化</w:t>
            </w:r>
            <w:r>
              <w:rPr>
                <w:rFonts w:hint="eastAsia" w:ascii="宋体" w:hAnsi="宋体" w:cs="宋体"/>
                <w:color w:val="auto"/>
                <w:sz w:val="24"/>
                <w:szCs w:val="24"/>
                <w:highlight w:val="none"/>
                <w:lang w:val="en-US" w:eastAsia="zh-CN"/>
              </w:rPr>
              <w:t>等</w:t>
            </w:r>
            <w:r>
              <w:rPr>
                <w:rFonts w:hint="eastAsia" w:ascii="宋体" w:hAnsi="宋体" w:eastAsia="宋体" w:cs="宋体"/>
                <w:color w:val="auto"/>
                <w:sz w:val="24"/>
                <w:szCs w:val="24"/>
                <w:highlight w:val="none"/>
              </w:rPr>
              <w:t>相关专业</w:t>
            </w:r>
            <w:r>
              <w:rPr>
                <w:rFonts w:hint="eastAsia" w:ascii="宋体" w:hAnsi="宋体" w:eastAsia="宋体" w:cs="宋体"/>
                <w:color w:val="auto"/>
                <w:sz w:val="24"/>
                <w:szCs w:val="24"/>
                <w:highlight w:val="none"/>
                <w:lang w:val="en-US" w:eastAsia="zh-CN"/>
              </w:rPr>
              <w:t>的工程师，得0分</w:t>
            </w:r>
          </w:p>
        </w:tc>
        <w:tc>
          <w:tcPr>
            <w:tcW w:w="787" w:type="dxa"/>
            <w:vMerge w:val="continue"/>
            <w:shd w:val="clear" w:color="auto" w:fill="auto"/>
            <w:noWrap w:val="0"/>
            <w:vAlign w:val="center"/>
          </w:tcPr>
          <w:p w14:paraId="18ED83BD">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2"/>
                <w:sz w:val="24"/>
                <w:szCs w:val="24"/>
                <w:highlight w:val="none"/>
                <w:lang w:val="en-US" w:eastAsia="zh-CN" w:bidi="ar-SA"/>
              </w:rPr>
            </w:pPr>
          </w:p>
        </w:tc>
      </w:tr>
      <w:tr w14:paraId="2DBE7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645" w:type="dxa"/>
            <w:vMerge w:val="continue"/>
            <w:noWrap w:val="0"/>
            <w:vAlign w:val="center"/>
          </w:tcPr>
          <w:p w14:paraId="0A5367D9">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p>
        </w:tc>
        <w:tc>
          <w:tcPr>
            <w:tcW w:w="1456" w:type="dxa"/>
            <w:vMerge w:val="continue"/>
            <w:noWrap w:val="0"/>
            <w:vAlign w:val="center"/>
          </w:tcPr>
          <w:p w14:paraId="3CC1C71C">
            <w:pPr>
              <w:keepNext w:val="0"/>
              <w:keepLines w:val="0"/>
              <w:suppressLineNumbers w:val="0"/>
              <w:shd w:val="clear"/>
              <w:spacing w:before="0" w:beforeAutospacing="0" w:after="0" w:afterAutospacing="0"/>
              <w:ind w:left="0" w:right="0"/>
              <w:rPr>
                <w:rFonts w:hint="eastAsia" w:ascii="宋体" w:hAnsi="宋体" w:eastAsia="宋体" w:cs="宋体"/>
                <w:color w:val="auto"/>
                <w:sz w:val="24"/>
                <w:szCs w:val="24"/>
                <w:highlight w:val="none"/>
                <w:lang w:val="en-US" w:eastAsia="zh-CN"/>
              </w:rPr>
            </w:pPr>
          </w:p>
        </w:tc>
        <w:tc>
          <w:tcPr>
            <w:tcW w:w="1327" w:type="dxa"/>
            <w:vMerge w:val="restart"/>
            <w:shd w:val="clear" w:color="auto" w:fill="auto"/>
            <w:noWrap w:val="0"/>
            <w:vAlign w:val="center"/>
          </w:tcPr>
          <w:p w14:paraId="72DE23AF">
            <w:pPr>
              <w:keepNext w:val="0"/>
              <w:keepLines w:val="0"/>
              <w:suppressLineNumbers w:val="0"/>
              <w:shd w:val="clear"/>
              <w:spacing w:before="0" w:beforeAutospacing="0" w:after="0" w:afterAutospacing="0"/>
              <w:ind w:left="0" w:right="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学历</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c>
          <w:tcPr>
            <w:tcW w:w="4778" w:type="dxa"/>
            <w:shd w:val="clear" w:color="auto" w:fill="auto"/>
            <w:noWrap w:val="0"/>
            <w:vAlign w:val="center"/>
          </w:tcPr>
          <w:p w14:paraId="2418AA02">
            <w:pPr>
              <w:keepNext w:val="0"/>
              <w:keepLines w:val="0"/>
              <w:suppressLineNumbers w:val="0"/>
              <w:shd w:val="clear"/>
              <w:spacing w:before="0" w:beforeAutospacing="0" w:after="0" w:afterAutospacing="0"/>
              <w:ind w:left="0" w:right="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本科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以上</w:t>
            </w:r>
            <w:r>
              <w:rPr>
                <w:rFonts w:hint="eastAsia" w:ascii="宋体" w:hAnsi="宋体" w:eastAsia="宋体" w:cs="宋体"/>
                <w:color w:val="auto"/>
                <w:sz w:val="24"/>
                <w:szCs w:val="24"/>
                <w:highlight w:val="none"/>
                <w:lang w:val="en-US" w:eastAsia="zh-CN"/>
              </w:rPr>
              <w:t>得2分</w:t>
            </w:r>
          </w:p>
        </w:tc>
        <w:tc>
          <w:tcPr>
            <w:tcW w:w="787" w:type="dxa"/>
            <w:vMerge w:val="continue"/>
            <w:shd w:val="clear" w:color="auto" w:fill="auto"/>
            <w:noWrap w:val="0"/>
            <w:vAlign w:val="center"/>
          </w:tcPr>
          <w:p w14:paraId="6C2D3974">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2"/>
                <w:sz w:val="24"/>
                <w:szCs w:val="24"/>
                <w:highlight w:val="none"/>
                <w:lang w:val="en-US" w:eastAsia="zh-CN" w:bidi="ar-SA"/>
              </w:rPr>
            </w:pPr>
          </w:p>
        </w:tc>
      </w:tr>
      <w:tr w14:paraId="5135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645" w:type="dxa"/>
            <w:vMerge w:val="continue"/>
            <w:noWrap w:val="0"/>
            <w:vAlign w:val="center"/>
          </w:tcPr>
          <w:p w14:paraId="2AA076AD">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p>
        </w:tc>
        <w:tc>
          <w:tcPr>
            <w:tcW w:w="1456" w:type="dxa"/>
            <w:vMerge w:val="continue"/>
            <w:noWrap w:val="0"/>
            <w:vAlign w:val="center"/>
          </w:tcPr>
          <w:p w14:paraId="29680AEF">
            <w:pPr>
              <w:keepNext w:val="0"/>
              <w:keepLines w:val="0"/>
              <w:suppressLineNumbers w:val="0"/>
              <w:shd w:val="clear"/>
              <w:spacing w:before="0" w:beforeAutospacing="0" w:after="0" w:afterAutospacing="0"/>
              <w:ind w:left="0" w:right="0"/>
              <w:rPr>
                <w:rFonts w:hint="eastAsia" w:ascii="宋体" w:hAnsi="宋体" w:eastAsia="宋体" w:cs="宋体"/>
                <w:color w:val="auto"/>
                <w:sz w:val="24"/>
                <w:szCs w:val="24"/>
                <w:highlight w:val="none"/>
                <w:lang w:val="en-US" w:eastAsia="zh-CN"/>
              </w:rPr>
            </w:pPr>
          </w:p>
        </w:tc>
        <w:tc>
          <w:tcPr>
            <w:tcW w:w="1327" w:type="dxa"/>
            <w:vMerge w:val="continue"/>
            <w:shd w:val="clear" w:color="auto" w:fill="auto"/>
            <w:noWrap w:val="0"/>
            <w:vAlign w:val="center"/>
          </w:tcPr>
          <w:p w14:paraId="72BB2554">
            <w:pPr>
              <w:keepNext w:val="0"/>
              <w:keepLines w:val="0"/>
              <w:suppressLineNumbers w:val="0"/>
              <w:shd w:val="clear"/>
              <w:spacing w:before="0" w:beforeAutospacing="0" w:after="0" w:afterAutospacing="0"/>
              <w:ind w:left="0" w:right="0"/>
              <w:rPr>
                <w:rFonts w:hint="eastAsia" w:ascii="宋体" w:hAnsi="宋体" w:eastAsia="宋体" w:cs="宋体"/>
                <w:color w:val="auto"/>
                <w:sz w:val="24"/>
                <w:szCs w:val="24"/>
                <w:highlight w:val="none"/>
              </w:rPr>
            </w:pPr>
          </w:p>
        </w:tc>
        <w:tc>
          <w:tcPr>
            <w:tcW w:w="4778" w:type="dxa"/>
            <w:shd w:val="clear" w:color="auto" w:fill="auto"/>
            <w:noWrap w:val="0"/>
            <w:vAlign w:val="center"/>
          </w:tcPr>
          <w:p w14:paraId="3653B867">
            <w:pPr>
              <w:keepNext w:val="0"/>
              <w:keepLines w:val="0"/>
              <w:suppressLineNumbers w:val="0"/>
              <w:shd w:val="clear"/>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专科，得1分</w:t>
            </w:r>
          </w:p>
        </w:tc>
        <w:tc>
          <w:tcPr>
            <w:tcW w:w="787" w:type="dxa"/>
            <w:vMerge w:val="continue"/>
            <w:shd w:val="clear" w:color="auto" w:fill="auto"/>
            <w:noWrap w:val="0"/>
            <w:vAlign w:val="center"/>
          </w:tcPr>
          <w:p w14:paraId="2C920F7C">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2"/>
                <w:sz w:val="24"/>
                <w:szCs w:val="24"/>
                <w:highlight w:val="none"/>
                <w:lang w:val="en-US" w:eastAsia="zh-CN" w:bidi="ar-SA"/>
              </w:rPr>
            </w:pPr>
          </w:p>
        </w:tc>
      </w:tr>
      <w:tr w14:paraId="1D3AC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645" w:type="dxa"/>
            <w:vMerge w:val="continue"/>
            <w:noWrap w:val="0"/>
            <w:vAlign w:val="center"/>
          </w:tcPr>
          <w:p w14:paraId="0D4098D9">
            <w:pPr>
              <w:keepNext w:val="0"/>
              <w:keepLines w:val="0"/>
              <w:suppressLineNumbers w:val="0"/>
              <w:shd w:val="clear"/>
              <w:spacing w:before="0" w:beforeAutospacing="0" w:after="0" w:afterAutospacing="0"/>
              <w:ind w:left="0" w:right="0"/>
              <w:rPr>
                <w:rFonts w:hint="eastAsia" w:ascii="宋体" w:hAnsi="宋体" w:eastAsia="宋体" w:cs="宋体"/>
                <w:color w:val="auto"/>
                <w:sz w:val="24"/>
                <w:szCs w:val="24"/>
                <w:highlight w:val="none"/>
              </w:rPr>
            </w:pPr>
          </w:p>
        </w:tc>
        <w:tc>
          <w:tcPr>
            <w:tcW w:w="1456" w:type="dxa"/>
            <w:vMerge w:val="continue"/>
            <w:noWrap w:val="0"/>
            <w:vAlign w:val="center"/>
          </w:tcPr>
          <w:p w14:paraId="3F679B48">
            <w:pPr>
              <w:keepNext w:val="0"/>
              <w:keepLines w:val="0"/>
              <w:suppressLineNumbers w:val="0"/>
              <w:shd w:val="clear"/>
              <w:spacing w:before="0" w:beforeAutospacing="0" w:after="0" w:afterAutospacing="0"/>
              <w:ind w:left="0" w:right="0"/>
              <w:rPr>
                <w:rFonts w:hint="eastAsia" w:ascii="宋体" w:hAnsi="宋体" w:eastAsia="宋体" w:cs="宋体"/>
                <w:color w:val="auto"/>
                <w:sz w:val="24"/>
                <w:szCs w:val="24"/>
                <w:highlight w:val="none"/>
              </w:rPr>
            </w:pPr>
          </w:p>
        </w:tc>
        <w:tc>
          <w:tcPr>
            <w:tcW w:w="1327" w:type="dxa"/>
            <w:vMerge w:val="continue"/>
            <w:shd w:val="clear" w:color="auto" w:fill="auto"/>
            <w:noWrap w:val="0"/>
            <w:vAlign w:val="center"/>
          </w:tcPr>
          <w:p w14:paraId="2F115455">
            <w:pPr>
              <w:keepNext w:val="0"/>
              <w:keepLines w:val="0"/>
              <w:suppressLineNumbers w:val="0"/>
              <w:shd w:val="clear"/>
              <w:spacing w:before="0" w:beforeAutospacing="0" w:after="0" w:afterAutospacing="0"/>
              <w:ind w:left="0" w:right="0"/>
              <w:rPr>
                <w:rFonts w:hint="eastAsia" w:ascii="宋体" w:hAnsi="宋体" w:eastAsia="宋体" w:cs="宋体"/>
                <w:color w:val="auto"/>
                <w:sz w:val="24"/>
                <w:szCs w:val="24"/>
                <w:highlight w:val="none"/>
              </w:rPr>
            </w:pPr>
          </w:p>
        </w:tc>
        <w:tc>
          <w:tcPr>
            <w:tcW w:w="4778" w:type="dxa"/>
            <w:shd w:val="clear" w:color="auto" w:fill="auto"/>
            <w:noWrap w:val="0"/>
            <w:vAlign w:val="center"/>
          </w:tcPr>
          <w:p w14:paraId="0D9AF39A">
            <w:pPr>
              <w:keepNext w:val="0"/>
              <w:keepLines w:val="0"/>
              <w:suppressLineNumbers w:val="0"/>
              <w:shd w:val="clear"/>
              <w:spacing w:before="0" w:beforeAutospacing="0" w:after="0" w:afterAutospacing="0"/>
              <w:ind w:left="0" w:right="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专</w:t>
            </w:r>
            <w:r>
              <w:rPr>
                <w:rFonts w:hint="eastAsia" w:ascii="宋体" w:hAnsi="宋体" w:eastAsia="宋体" w:cs="宋体"/>
                <w:color w:val="auto"/>
                <w:sz w:val="24"/>
                <w:szCs w:val="24"/>
                <w:highlight w:val="none"/>
              </w:rPr>
              <w:t>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不含</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得0分</w:t>
            </w:r>
          </w:p>
        </w:tc>
        <w:tc>
          <w:tcPr>
            <w:tcW w:w="787" w:type="dxa"/>
            <w:vMerge w:val="continue"/>
            <w:shd w:val="clear" w:color="auto" w:fill="auto"/>
            <w:noWrap w:val="0"/>
            <w:vAlign w:val="center"/>
          </w:tcPr>
          <w:p w14:paraId="70182D62">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2"/>
                <w:sz w:val="24"/>
                <w:szCs w:val="24"/>
                <w:highlight w:val="none"/>
                <w:lang w:val="en-US" w:eastAsia="zh-CN" w:bidi="ar-SA"/>
              </w:rPr>
            </w:pPr>
          </w:p>
        </w:tc>
      </w:tr>
      <w:tr w14:paraId="32EFB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645" w:type="dxa"/>
            <w:noWrap w:val="0"/>
            <w:vAlign w:val="center"/>
          </w:tcPr>
          <w:p w14:paraId="30EB61D8">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456" w:type="dxa"/>
            <w:noWrap w:val="0"/>
            <w:vAlign w:val="center"/>
          </w:tcPr>
          <w:p w14:paraId="103E62B1">
            <w:pPr>
              <w:keepNext w:val="0"/>
              <w:keepLines w:val="0"/>
              <w:suppressLineNumbers w:val="0"/>
              <w:shd w:val="clear"/>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人员专业配套（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c>
          <w:tcPr>
            <w:tcW w:w="6105" w:type="dxa"/>
            <w:gridSpan w:val="2"/>
            <w:noWrap w:val="0"/>
            <w:vAlign w:val="center"/>
          </w:tcPr>
          <w:p w14:paraId="22BA1BF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专业工种配套齐全、完整，得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725AE78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专业工种配套基本齐全，得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7F3A931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专业工种配套较差，得1分；</w:t>
            </w:r>
          </w:p>
          <w:p w14:paraId="478AC26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不齐全，得0分；</w:t>
            </w:r>
          </w:p>
        </w:tc>
        <w:tc>
          <w:tcPr>
            <w:tcW w:w="787" w:type="dxa"/>
            <w:noWrap w:val="0"/>
            <w:vAlign w:val="center"/>
          </w:tcPr>
          <w:p w14:paraId="38164C7B">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r>
      <w:tr w14:paraId="489E9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645" w:type="dxa"/>
            <w:noWrap w:val="0"/>
            <w:vAlign w:val="center"/>
          </w:tcPr>
          <w:p w14:paraId="52B93521">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456" w:type="dxa"/>
            <w:shd w:val="clear" w:color="auto" w:fill="auto"/>
            <w:noWrap w:val="0"/>
            <w:vAlign w:val="center"/>
          </w:tcPr>
          <w:p w14:paraId="0161CA1C">
            <w:pPr>
              <w:keepNext w:val="0"/>
              <w:keepLines w:val="0"/>
              <w:suppressLineNumbers w:val="0"/>
              <w:shd w:val="clear"/>
              <w:spacing w:before="0" w:beforeAutospacing="0" w:after="0" w:afterAutospacing="0"/>
              <w:ind w:left="0" w:right="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投标人近年类似项目监理业绩（</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6105" w:type="dxa"/>
            <w:gridSpan w:val="2"/>
            <w:shd w:val="clear" w:color="auto" w:fill="auto"/>
            <w:noWrap w:val="0"/>
            <w:vAlign w:val="center"/>
          </w:tcPr>
          <w:p w14:paraId="1E47683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近3年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2023年1月1日-至今</w:t>
            </w:r>
            <w:r>
              <w:rPr>
                <w:rFonts w:hint="eastAsia" w:ascii="宋体" w:hAnsi="宋体" w:eastAsia="宋体" w:cs="宋体"/>
                <w:color w:val="auto"/>
                <w:sz w:val="24"/>
                <w:szCs w:val="24"/>
                <w:highlight w:val="none"/>
                <w:lang w:eastAsia="zh-CN"/>
              </w:rPr>
              <w:t>）已完成或正在履约的同类项目</w:t>
            </w:r>
            <w:r>
              <w:rPr>
                <w:rFonts w:hint="eastAsia" w:ascii="宋体" w:hAnsi="宋体" w:eastAsia="宋体" w:cs="宋体"/>
                <w:color w:val="auto"/>
                <w:sz w:val="24"/>
                <w:szCs w:val="24"/>
                <w:highlight w:val="none"/>
              </w:rPr>
              <w:t>监理业绩，每个得</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分，总分</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787" w:type="dxa"/>
            <w:shd w:val="clear" w:color="auto" w:fill="auto"/>
            <w:noWrap w:val="0"/>
            <w:vAlign w:val="center"/>
          </w:tcPr>
          <w:p w14:paraId="298ED0F7">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r>
      <w:tr w14:paraId="603B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645" w:type="dxa"/>
            <w:noWrap w:val="0"/>
            <w:vAlign w:val="center"/>
          </w:tcPr>
          <w:p w14:paraId="592A20D9">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456" w:type="dxa"/>
            <w:shd w:val="clear" w:color="auto" w:fill="auto"/>
            <w:noWrap w:val="0"/>
            <w:vAlign w:val="center"/>
          </w:tcPr>
          <w:p w14:paraId="54335707">
            <w:pPr>
              <w:keepNext w:val="0"/>
              <w:keepLines w:val="0"/>
              <w:suppressLineNumbers w:val="0"/>
              <w:shd w:val="clear"/>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管理体系认证（6分）</w:t>
            </w:r>
          </w:p>
        </w:tc>
        <w:tc>
          <w:tcPr>
            <w:tcW w:w="6105" w:type="dxa"/>
            <w:gridSpan w:val="2"/>
            <w:shd w:val="clear" w:color="auto" w:fill="auto"/>
            <w:noWrap w:val="0"/>
            <w:vAlign w:val="center"/>
          </w:tcPr>
          <w:p w14:paraId="5681A4E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具有有效期内的质量管理体系，得 2 分； </w:t>
            </w:r>
          </w:p>
          <w:p w14:paraId="148754E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具有有效期内的职业安全管理体系，得 2 分； </w:t>
            </w:r>
          </w:p>
          <w:p w14:paraId="2C7D889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具有有效期内的环境管理体系，得 2 分。</w:t>
            </w:r>
          </w:p>
        </w:tc>
        <w:tc>
          <w:tcPr>
            <w:tcW w:w="787" w:type="dxa"/>
            <w:shd w:val="clear" w:color="auto" w:fill="auto"/>
            <w:noWrap w:val="0"/>
            <w:vAlign w:val="center"/>
          </w:tcPr>
          <w:p w14:paraId="0F46BCAC">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r>
      <w:tr w14:paraId="778C0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645" w:type="dxa"/>
            <w:noWrap w:val="0"/>
            <w:vAlign w:val="center"/>
          </w:tcPr>
          <w:p w14:paraId="53A9CB26">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w:t>
            </w:r>
          </w:p>
        </w:tc>
        <w:tc>
          <w:tcPr>
            <w:tcW w:w="8348" w:type="dxa"/>
            <w:gridSpan w:val="4"/>
            <w:noWrap w:val="0"/>
            <w:vAlign w:val="center"/>
          </w:tcPr>
          <w:p w14:paraId="6C23B16E">
            <w:pPr>
              <w:keepNext w:val="0"/>
              <w:keepLines w:val="0"/>
              <w:suppressLineNumbers w:val="0"/>
              <w:shd w:val="clear"/>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技术部分（70分）</w:t>
            </w:r>
          </w:p>
        </w:tc>
      </w:tr>
      <w:tr w14:paraId="13043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4" w:hRule="atLeast"/>
        </w:trPr>
        <w:tc>
          <w:tcPr>
            <w:tcW w:w="645" w:type="dxa"/>
            <w:noWrap w:val="0"/>
            <w:vAlign w:val="center"/>
          </w:tcPr>
          <w:p w14:paraId="3463680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56" w:type="dxa"/>
            <w:noWrap w:val="0"/>
            <w:vAlign w:val="center"/>
          </w:tcPr>
          <w:p w14:paraId="7F1746DB">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重点难点分析（1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6105" w:type="dxa"/>
            <w:gridSpan w:val="2"/>
            <w:noWrap w:val="0"/>
            <w:vAlign w:val="center"/>
          </w:tcPr>
          <w:p w14:paraId="11A3F4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本项目重点难点分析准确，采取的措施合理，切实可行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得10分；</w:t>
            </w:r>
          </w:p>
          <w:p w14:paraId="56D426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本项目重点难点分析基本准确，采取的对应措施基本合理、可行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得7分；</w:t>
            </w:r>
          </w:p>
          <w:p w14:paraId="35E247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针对本项目的重点和难点采取的措施一般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得3分；</w:t>
            </w:r>
          </w:p>
          <w:p w14:paraId="26E581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针对本项目的重点和难点采取的措施</w:t>
            </w:r>
            <w:r>
              <w:rPr>
                <w:rFonts w:hint="eastAsia" w:ascii="宋体" w:hAnsi="宋体" w:eastAsia="宋体" w:cs="宋体"/>
                <w:color w:val="auto"/>
                <w:sz w:val="24"/>
                <w:szCs w:val="24"/>
                <w:highlight w:val="none"/>
                <w:lang w:val="en-US" w:eastAsia="zh-CN"/>
              </w:rPr>
              <w:t>较差或没有，得0分。</w:t>
            </w:r>
          </w:p>
        </w:tc>
        <w:tc>
          <w:tcPr>
            <w:tcW w:w="787" w:type="dxa"/>
            <w:noWrap w:val="0"/>
            <w:vAlign w:val="center"/>
          </w:tcPr>
          <w:p w14:paraId="63A07BF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r>
      <w:tr w14:paraId="0C34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1" w:hRule="atLeast"/>
        </w:trPr>
        <w:tc>
          <w:tcPr>
            <w:tcW w:w="645" w:type="dxa"/>
            <w:noWrap w:val="0"/>
            <w:vAlign w:val="center"/>
          </w:tcPr>
          <w:p w14:paraId="5A2C8AA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56" w:type="dxa"/>
            <w:noWrap w:val="0"/>
            <w:vAlign w:val="center"/>
          </w:tcPr>
          <w:p w14:paraId="4B42F1A9">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安全管理</w:t>
            </w:r>
          </w:p>
          <w:p w14:paraId="2F50EFA7">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6105" w:type="dxa"/>
            <w:gridSpan w:val="2"/>
            <w:noWrap w:val="0"/>
            <w:vAlign w:val="center"/>
          </w:tcPr>
          <w:p w14:paraId="1E1B9A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针对性强，方法科学、制度合理，措施有力，可操作性强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得10分；</w:t>
            </w:r>
          </w:p>
          <w:p w14:paraId="240F31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方法基本科学、制度较合理，措施较有效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可操作性较强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得7分；</w:t>
            </w:r>
          </w:p>
          <w:p w14:paraId="796181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方法一般、制度较合理，措施一般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可操作性一般得3分；</w:t>
            </w:r>
          </w:p>
          <w:p w14:paraId="3368E3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方法</w:t>
            </w:r>
            <w:r>
              <w:rPr>
                <w:rFonts w:hint="eastAsia" w:ascii="宋体" w:hAnsi="宋体" w:eastAsia="宋体" w:cs="宋体"/>
                <w:color w:val="auto"/>
                <w:sz w:val="24"/>
                <w:szCs w:val="24"/>
                <w:highlight w:val="none"/>
                <w:lang w:val="en-US" w:eastAsia="zh-CN"/>
              </w:rPr>
              <w:t>较差</w:t>
            </w:r>
            <w:r>
              <w:rPr>
                <w:rFonts w:hint="eastAsia" w:ascii="宋体" w:hAnsi="宋体" w:eastAsia="宋体" w:cs="宋体"/>
                <w:color w:val="auto"/>
                <w:sz w:val="24"/>
                <w:szCs w:val="24"/>
                <w:highlight w:val="none"/>
              </w:rPr>
              <w:t>、制度</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合理，措施</w:t>
            </w:r>
            <w:r>
              <w:rPr>
                <w:rFonts w:hint="eastAsia" w:ascii="宋体" w:hAnsi="宋体" w:eastAsia="宋体" w:cs="宋体"/>
                <w:color w:val="auto"/>
                <w:sz w:val="24"/>
                <w:szCs w:val="24"/>
                <w:highlight w:val="none"/>
                <w:lang w:val="en-US" w:eastAsia="zh-CN"/>
              </w:rPr>
              <w:t>较差可操作性差或者没有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得0分。</w:t>
            </w:r>
          </w:p>
        </w:tc>
        <w:tc>
          <w:tcPr>
            <w:tcW w:w="787" w:type="dxa"/>
            <w:noWrap w:val="0"/>
            <w:vAlign w:val="center"/>
          </w:tcPr>
          <w:p w14:paraId="0620324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p>
        </w:tc>
      </w:tr>
      <w:tr w14:paraId="5A59A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8" w:hRule="atLeast"/>
        </w:trPr>
        <w:tc>
          <w:tcPr>
            <w:tcW w:w="645" w:type="dxa"/>
            <w:noWrap w:val="0"/>
            <w:vAlign w:val="center"/>
          </w:tcPr>
          <w:p w14:paraId="4AD575C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456" w:type="dxa"/>
            <w:noWrap w:val="0"/>
            <w:vAlign w:val="center"/>
          </w:tcPr>
          <w:p w14:paraId="140E61C2">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质量措施</w:t>
            </w:r>
          </w:p>
          <w:p w14:paraId="13F5ABAA">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6105" w:type="dxa"/>
            <w:gridSpan w:val="2"/>
            <w:noWrap w:val="0"/>
            <w:vAlign w:val="center"/>
          </w:tcPr>
          <w:p w14:paraId="055EDD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针对性强，方法科学、制度合理，措施有力，可操作性强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得10分；</w:t>
            </w:r>
          </w:p>
          <w:p w14:paraId="6526C0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方法基本科学、制度较合理，措施较有效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可操作性较强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得7分；</w:t>
            </w:r>
          </w:p>
          <w:p w14:paraId="33A60E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方法一般、制度较合理，措施一般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可操作性一般得3分；</w:t>
            </w:r>
          </w:p>
          <w:p w14:paraId="31513D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方法</w:t>
            </w:r>
            <w:r>
              <w:rPr>
                <w:rFonts w:hint="eastAsia" w:ascii="宋体" w:hAnsi="宋体" w:eastAsia="宋体" w:cs="宋体"/>
                <w:color w:val="auto"/>
                <w:sz w:val="24"/>
                <w:szCs w:val="24"/>
                <w:highlight w:val="none"/>
                <w:lang w:val="en-US" w:eastAsia="zh-CN"/>
              </w:rPr>
              <w:t>较差</w:t>
            </w:r>
            <w:r>
              <w:rPr>
                <w:rFonts w:hint="eastAsia" w:ascii="宋体" w:hAnsi="宋体" w:eastAsia="宋体" w:cs="宋体"/>
                <w:color w:val="auto"/>
                <w:sz w:val="24"/>
                <w:szCs w:val="24"/>
                <w:highlight w:val="none"/>
              </w:rPr>
              <w:t>、制度</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合理，措施</w:t>
            </w:r>
            <w:r>
              <w:rPr>
                <w:rFonts w:hint="eastAsia" w:ascii="宋体" w:hAnsi="宋体" w:eastAsia="宋体" w:cs="宋体"/>
                <w:color w:val="auto"/>
                <w:sz w:val="24"/>
                <w:szCs w:val="24"/>
                <w:highlight w:val="none"/>
                <w:lang w:val="en-US" w:eastAsia="zh-CN"/>
              </w:rPr>
              <w:t>较差可操作性差或者没有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得0分。</w:t>
            </w:r>
          </w:p>
        </w:tc>
        <w:tc>
          <w:tcPr>
            <w:tcW w:w="787" w:type="dxa"/>
            <w:noWrap w:val="0"/>
            <w:vAlign w:val="center"/>
          </w:tcPr>
          <w:p w14:paraId="1E052B4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r>
      <w:tr w14:paraId="1A177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1" w:hRule="atLeast"/>
        </w:trPr>
        <w:tc>
          <w:tcPr>
            <w:tcW w:w="645" w:type="dxa"/>
            <w:noWrap w:val="0"/>
            <w:vAlign w:val="center"/>
          </w:tcPr>
          <w:p w14:paraId="6F18953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456" w:type="dxa"/>
            <w:noWrap w:val="0"/>
            <w:vAlign w:val="center"/>
          </w:tcPr>
          <w:p w14:paraId="66F8DA77">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进度控制</w:t>
            </w:r>
          </w:p>
          <w:p w14:paraId="404DA943">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6105" w:type="dxa"/>
            <w:gridSpan w:val="2"/>
            <w:noWrap w:val="0"/>
            <w:vAlign w:val="center"/>
          </w:tcPr>
          <w:p w14:paraId="21B644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针对性强，方法科学、制度合理，措施有力，可操作性强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得10分；</w:t>
            </w:r>
          </w:p>
          <w:p w14:paraId="305E24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方法基本科学、制度较合理，措施较有效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可操作性较强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得7分；</w:t>
            </w:r>
          </w:p>
          <w:p w14:paraId="023B09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方法一般、制度较合理，措施一般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可操作性一般得3分；</w:t>
            </w:r>
          </w:p>
          <w:p w14:paraId="3441CC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方法</w:t>
            </w:r>
            <w:r>
              <w:rPr>
                <w:rFonts w:hint="eastAsia" w:ascii="宋体" w:hAnsi="宋体" w:eastAsia="宋体" w:cs="宋体"/>
                <w:color w:val="auto"/>
                <w:sz w:val="24"/>
                <w:szCs w:val="24"/>
                <w:highlight w:val="none"/>
                <w:lang w:val="en-US" w:eastAsia="zh-CN"/>
              </w:rPr>
              <w:t>较差</w:t>
            </w:r>
            <w:r>
              <w:rPr>
                <w:rFonts w:hint="eastAsia" w:ascii="宋体" w:hAnsi="宋体" w:eastAsia="宋体" w:cs="宋体"/>
                <w:color w:val="auto"/>
                <w:sz w:val="24"/>
                <w:szCs w:val="24"/>
                <w:highlight w:val="none"/>
              </w:rPr>
              <w:t>、制度</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合理，措施</w:t>
            </w:r>
            <w:r>
              <w:rPr>
                <w:rFonts w:hint="eastAsia" w:ascii="宋体" w:hAnsi="宋体" w:eastAsia="宋体" w:cs="宋体"/>
                <w:color w:val="auto"/>
                <w:sz w:val="24"/>
                <w:szCs w:val="24"/>
                <w:highlight w:val="none"/>
                <w:lang w:val="en-US" w:eastAsia="zh-CN"/>
              </w:rPr>
              <w:t>较差可操作性差或者没有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得0分。</w:t>
            </w:r>
          </w:p>
        </w:tc>
        <w:tc>
          <w:tcPr>
            <w:tcW w:w="787" w:type="dxa"/>
            <w:noWrap w:val="0"/>
            <w:vAlign w:val="center"/>
          </w:tcPr>
          <w:p w14:paraId="37C44F0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r>
      <w:tr w14:paraId="1EBD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1" w:hRule="atLeast"/>
        </w:trPr>
        <w:tc>
          <w:tcPr>
            <w:tcW w:w="645" w:type="dxa"/>
            <w:noWrap w:val="0"/>
            <w:vAlign w:val="center"/>
          </w:tcPr>
          <w:p w14:paraId="213DF30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1456" w:type="dxa"/>
            <w:noWrap w:val="0"/>
            <w:vAlign w:val="center"/>
          </w:tcPr>
          <w:p w14:paraId="3B1D0666">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检测设备</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6105" w:type="dxa"/>
            <w:gridSpan w:val="2"/>
            <w:noWrap w:val="0"/>
            <w:vAlign w:val="center"/>
          </w:tcPr>
          <w:p w14:paraId="341C77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完全满足项目要求，得10分；</w:t>
            </w:r>
          </w:p>
          <w:p w14:paraId="52AF97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基本满足项目要求，得</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p w14:paraId="1410A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勉强满足，得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06F6C0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不满足，得0分；</w:t>
            </w:r>
          </w:p>
        </w:tc>
        <w:tc>
          <w:tcPr>
            <w:tcW w:w="787" w:type="dxa"/>
            <w:noWrap w:val="0"/>
            <w:vAlign w:val="center"/>
          </w:tcPr>
          <w:p w14:paraId="2C2CC44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r>
      <w:tr w14:paraId="5FC1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1" w:hRule="atLeast"/>
        </w:trPr>
        <w:tc>
          <w:tcPr>
            <w:tcW w:w="645" w:type="dxa"/>
            <w:noWrap w:val="0"/>
            <w:vAlign w:val="center"/>
          </w:tcPr>
          <w:p w14:paraId="7B05191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1456" w:type="dxa"/>
            <w:noWrap w:val="0"/>
            <w:vAlign w:val="center"/>
          </w:tcPr>
          <w:p w14:paraId="46594BFA">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合同和信息管理（1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6105" w:type="dxa"/>
            <w:gridSpan w:val="2"/>
            <w:noWrap w:val="0"/>
            <w:vAlign w:val="center"/>
          </w:tcPr>
          <w:p w14:paraId="79723C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针对性强，方法科学、制度合理，措施有力，可操作性强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得10分；</w:t>
            </w:r>
          </w:p>
          <w:p w14:paraId="0E9CAC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方法基本科学、制度较合理，措施较有效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可操作性较强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得7分；</w:t>
            </w:r>
          </w:p>
          <w:p w14:paraId="698B4B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方法一般、制度较合理，措施一般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可操作性一般得3分；</w:t>
            </w:r>
          </w:p>
          <w:p w14:paraId="56B578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方法</w:t>
            </w:r>
            <w:r>
              <w:rPr>
                <w:rFonts w:hint="eastAsia" w:ascii="宋体" w:hAnsi="宋体" w:eastAsia="宋体" w:cs="宋体"/>
                <w:color w:val="auto"/>
                <w:sz w:val="24"/>
                <w:szCs w:val="24"/>
                <w:highlight w:val="none"/>
                <w:lang w:val="en-US" w:eastAsia="zh-CN"/>
              </w:rPr>
              <w:t>较差</w:t>
            </w:r>
            <w:r>
              <w:rPr>
                <w:rFonts w:hint="eastAsia" w:ascii="宋体" w:hAnsi="宋体" w:eastAsia="宋体" w:cs="宋体"/>
                <w:color w:val="auto"/>
                <w:sz w:val="24"/>
                <w:szCs w:val="24"/>
                <w:highlight w:val="none"/>
              </w:rPr>
              <w:t>、制度</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合理，措施</w:t>
            </w:r>
            <w:r>
              <w:rPr>
                <w:rFonts w:hint="eastAsia" w:ascii="宋体" w:hAnsi="宋体" w:eastAsia="宋体" w:cs="宋体"/>
                <w:color w:val="auto"/>
                <w:sz w:val="24"/>
                <w:szCs w:val="24"/>
                <w:highlight w:val="none"/>
                <w:lang w:val="en-US" w:eastAsia="zh-CN"/>
              </w:rPr>
              <w:t>较差可操作性差或者没有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得0分。</w:t>
            </w:r>
          </w:p>
        </w:tc>
        <w:tc>
          <w:tcPr>
            <w:tcW w:w="787" w:type="dxa"/>
            <w:noWrap w:val="0"/>
            <w:vAlign w:val="center"/>
          </w:tcPr>
          <w:p w14:paraId="70286FC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r>
      <w:tr w14:paraId="635F9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8" w:hRule="atLeast"/>
        </w:trPr>
        <w:tc>
          <w:tcPr>
            <w:tcW w:w="645" w:type="dxa"/>
            <w:noWrap w:val="0"/>
            <w:vAlign w:val="center"/>
          </w:tcPr>
          <w:p w14:paraId="73B0147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1456" w:type="dxa"/>
            <w:noWrap w:val="0"/>
            <w:vAlign w:val="center"/>
          </w:tcPr>
          <w:p w14:paraId="400A1137">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协调工作</w:t>
            </w:r>
          </w:p>
          <w:p w14:paraId="469DBA65">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（10分）</w:t>
            </w:r>
          </w:p>
        </w:tc>
        <w:tc>
          <w:tcPr>
            <w:tcW w:w="6105" w:type="dxa"/>
            <w:gridSpan w:val="2"/>
            <w:noWrap w:val="0"/>
            <w:vAlign w:val="center"/>
          </w:tcPr>
          <w:p w14:paraId="0A747B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与招标人及</w:t>
            </w:r>
            <w:r>
              <w:rPr>
                <w:rFonts w:hint="eastAsia" w:ascii="宋体" w:hAnsi="宋体" w:eastAsia="宋体" w:cs="宋体"/>
                <w:color w:val="auto"/>
                <w:sz w:val="24"/>
                <w:szCs w:val="24"/>
                <w:highlight w:val="none"/>
                <w:lang w:val="en-US" w:eastAsia="zh-CN"/>
              </w:rPr>
              <w:t>相关单位</w:t>
            </w:r>
            <w:r>
              <w:rPr>
                <w:rFonts w:hint="eastAsia" w:ascii="宋体" w:hAnsi="宋体" w:eastAsia="宋体" w:cs="宋体"/>
                <w:color w:val="auto"/>
                <w:sz w:val="24"/>
                <w:szCs w:val="24"/>
                <w:highlight w:val="none"/>
              </w:rPr>
              <w:t>的配合、协调、服务方案考虑全面，措施完善、合理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得10分；</w:t>
            </w:r>
          </w:p>
          <w:p w14:paraId="7BBBB0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与招标人及</w:t>
            </w:r>
            <w:r>
              <w:rPr>
                <w:rFonts w:hint="eastAsia" w:ascii="宋体" w:hAnsi="宋体" w:eastAsia="宋体" w:cs="宋体"/>
                <w:color w:val="auto"/>
                <w:sz w:val="24"/>
                <w:szCs w:val="24"/>
                <w:highlight w:val="none"/>
                <w:lang w:val="en-US" w:eastAsia="zh-CN"/>
              </w:rPr>
              <w:t>相关单位</w:t>
            </w:r>
            <w:r>
              <w:rPr>
                <w:rFonts w:hint="eastAsia" w:ascii="宋体" w:hAnsi="宋体" w:eastAsia="宋体" w:cs="宋体"/>
                <w:color w:val="auto"/>
                <w:sz w:val="24"/>
                <w:szCs w:val="24"/>
                <w:highlight w:val="none"/>
              </w:rPr>
              <w:t>的配合、协调、管理、服务方案较全面，措施合理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得7分；</w:t>
            </w:r>
          </w:p>
          <w:p w14:paraId="2FAA19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与招标人及</w:t>
            </w:r>
            <w:r>
              <w:rPr>
                <w:rFonts w:hint="eastAsia" w:ascii="宋体" w:hAnsi="宋体" w:eastAsia="宋体" w:cs="宋体"/>
                <w:color w:val="auto"/>
                <w:sz w:val="24"/>
                <w:szCs w:val="24"/>
                <w:highlight w:val="none"/>
                <w:lang w:val="en-US" w:eastAsia="zh-CN"/>
              </w:rPr>
              <w:t>相关单位</w:t>
            </w:r>
            <w:r>
              <w:rPr>
                <w:rFonts w:hint="eastAsia" w:ascii="宋体" w:hAnsi="宋体" w:eastAsia="宋体" w:cs="宋体"/>
                <w:color w:val="auto"/>
                <w:sz w:val="24"/>
                <w:szCs w:val="24"/>
                <w:highlight w:val="none"/>
              </w:rPr>
              <w:t>的配合、协调、管理、服务方案一般，措施一般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得3分；</w:t>
            </w:r>
          </w:p>
          <w:p w14:paraId="2E59AA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与招标人及</w:t>
            </w:r>
            <w:r>
              <w:rPr>
                <w:rFonts w:hint="eastAsia" w:ascii="宋体" w:hAnsi="宋体" w:eastAsia="宋体" w:cs="宋体"/>
                <w:color w:val="auto"/>
                <w:sz w:val="24"/>
                <w:szCs w:val="24"/>
                <w:highlight w:val="none"/>
                <w:lang w:val="en-US" w:eastAsia="zh-CN"/>
              </w:rPr>
              <w:t>相关单位</w:t>
            </w:r>
            <w:r>
              <w:rPr>
                <w:rFonts w:hint="eastAsia" w:ascii="宋体" w:hAnsi="宋体" w:eastAsia="宋体" w:cs="宋体"/>
                <w:color w:val="auto"/>
                <w:sz w:val="24"/>
                <w:szCs w:val="24"/>
                <w:highlight w:val="none"/>
              </w:rPr>
              <w:t>的配合、协调、管理、服务方案</w:t>
            </w:r>
            <w:r>
              <w:rPr>
                <w:rFonts w:hint="eastAsia" w:ascii="宋体" w:hAnsi="宋体" w:eastAsia="宋体" w:cs="宋体"/>
                <w:color w:val="auto"/>
                <w:sz w:val="24"/>
                <w:szCs w:val="24"/>
                <w:highlight w:val="none"/>
                <w:lang w:val="en-US" w:eastAsia="zh-CN"/>
              </w:rPr>
              <w:t>差</w:t>
            </w:r>
            <w:r>
              <w:rPr>
                <w:rFonts w:hint="eastAsia" w:ascii="宋体" w:hAnsi="宋体" w:eastAsia="宋体" w:cs="宋体"/>
                <w:color w:val="auto"/>
                <w:sz w:val="24"/>
                <w:szCs w:val="24"/>
                <w:highlight w:val="none"/>
              </w:rPr>
              <w:t>，措施</w:t>
            </w:r>
            <w:r>
              <w:rPr>
                <w:rFonts w:hint="eastAsia" w:ascii="宋体" w:hAnsi="宋体" w:eastAsia="宋体" w:cs="宋体"/>
                <w:color w:val="auto"/>
                <w:sz w:val="24"/>
                <w:szCs w:val="24"/>
                <w:highlight w:val="none"/>
                <w:lang w:val="en-US" w:eastAsia="zh-CN"/>
              </w:rPr>
              <w:t>差或者没有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得0分</w:t>
            </w:r>
            <w:r>
              <w:rPr>
                <w:rFonts w:hint="eastAsia" w:ascii="宋体" w:hAnsi="宋体" w:eastAsia="宋体" w:cs="宋体"/>
                <w:color w:val="auto"/>
                <w:sz w:val="24"/>
                <w:szCs w:val="24"/>
                <w:highlight w:val="none"/>
              </w:rPr>
              <w:t>。</w:t>
            </w:r>
          </w:p>
        </w:tc>
        <w:tc>
          <w:tcPr>
            <w:tcW w:w="787" w:type="dxa"/>
            <w:noWrap w:val="0"/>
            <w:vAlign w:val="center"/>
          </w:tcPr>
          <w:p w14:paraId="74330FD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r>
      <w:tr w14:paraId="1CB09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645" w:type="dxa"/>
            <w:noWrap w:val="0"/>
            <w:vAlign w:val="center"/>
          </w:tcPr>
          <w:p w14:paraId="4688B85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w:t>
            </w:r>
          </w:p>
        </w:tc>
        <w:tc>
          <w:tcPr>
            <w:tcW w:w="8348" w:type="dxa"/>
            <w:gridSpan w:val="4"/>
            <w:noWrap w:val="0"/>
            <w:vAlign w:val="center"/>
          </w:tcPr>
          <w:p w14:paraId="57FB7D55">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价格部分（10分）</w:t>
            </w:r>
          </w:p>
        </w:tc>
      </w:tr>
      <w:tr w14:paraId="7AA28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645" w:type="dxa"/>
            <w:noWrap w:val="0"/>
            <w:vAlign w:val="center"/>
          </w:tcPr>
          <w:p w14:paraId="5FFED0C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456" w:type="dxa"/>
            <w:shd w:val="clear" w:color="auto" w:fill="auto"/>
            <w:noWrap w:val="0"/>
            <w:vAlign w:val="center"/>
          </w:tcPr>
          <w:p w14:paraId="2EBB2174">
            <w:pPr>
              <w:keepNext w:val="0"/>
              <w:keepLines w:val="0"/>
              <w:suppressLineNumbers w:val="0"/>
              <w:spacing w:before="0" w:beforeAutospacing="0" w:after="84"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p w14:paraId="4488865F">
            <w:pPr>
              <w:keepNext w:val="0"/>
              <w:keepLines w:val="0"/>
              <w:suppressLineNumbers w:val="0"/>
              <w:spacing w:before="0" w:beforeAutospacing="0" w:after="84" w:afterAutospacing="0"/>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（10分）</w:t>
            </w:r>
          </w:p>
        </w:tc>
        <w:tc>
          <w:tcPr>
            <w:tcW w:w="6105" w:type="dxa"/>
            <w:gridSpan w:val="2"/>
            <w:shd w:val="clear" w:color="auto" w:fill="auto"/>
            <w:noWrap w:val="0"/>
            <w:vAlign w:val="center"/>
          </w:tcPr>
          <w:p w14:paraId="3574E7CC">
            <w:pPr>
              <w:rPr>
                <w:rFonts w:ascii="宋体" w:hAnsi="宋体"/>
                <w:color w:val="auto"/>
                <w:sz w:val="24"/>
                <w:highlight w:val="none"/>
              </w:rPr>
            </w:pPr>
            <w:r>
              <w:rPr>
                <w:rFonts w:ascii="宋体" w:hAnsi="宋体"/>
                <w:color w:val="auto"/>
                <w:sz w:val="24"/>
                <w:highlight w:val="none"/>
              </w:rPr>
              <w:t>满足招标文件要求且投标价格最低的投标报价为评标基准价，其价格分为满分。其他投标人的价格分统一按照下列公式计算：</w:t>
            </w:r>
          </w:p>
          <w:p w14:paraId="164FB091">
            <w:pPr>
              <w:keepNext w:val="0"/>
              <w:keepLines w:val="0"/>
              <w:suppressLineNumbers w:val="0"/>
              <w:spacing w:before="0" w:beforeAutospacing="0" w:after="84" w:afterAutospacing="0"/>
              <w:ind w:left="0" w:right="0"/>
              <w:rPr>
                <w:rFonts w:hint="eastAsia" w:ascii="宋体" w:hAnsi="宋体" w:eastAsia="宋体" w:cs="宋体"/>
                <w:color w:val="auto"/>
                <w:kern w:val="2"/>
                <w:sz w:val="24"/>
                <w:szCs w:val="24"/>
                <w:highlight w:val="none"/>
                <w:lang w:val="en-US" w:eastAsia="zh-CN" w:bidi="ar-SA"/>
              </w:rPr>
            </w:pPr>
            <w:r>
              <w:rPr>
                <w:rFonts w:ascii="宋体" w:hAnsi="宋体"/>
                <w:color w:val="auto"/>
                <w:sz w:val="24"/>
                <w:highlight w:val="none"/>
              </w:rPr>
              <w:t>投标报价得分＝（评标基准价/投标报价）×分值。</w:t>
            </w:r>
          </w:p>
        </w:tc>
        <w:tc>
          <w:tcPr>
            <w:tcW w:w="787" w:type="dxa"/>
            <w:shd w:val="clear" w:color="auto" w:fill="auto"/>
            <w:noWrap w:val="0"/>
            <w:vAlign w:val="center"/>
          </w:tcPr>
          <w:p w14:paraId="525A383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r>
    </w:tbl>
    <w:p w14:paraId="17A5BD8C">
      <w:pPr>
        <w:pStyle w:val="24"/>
        <w:adjustRightInd w:val="0"/>
        <w:snapToGrid w:val="0"/>
        <w:spacing w:line="360" w:lineRule="auto"/>
        <w:jc w:val="left"/>
        <w:outlineLvl w:val="9"/>
        <w:rPr>
          <w:rFonts w:hint="eastAsia"/>
          <w:b w:val="0"/>
          <w:bCs/>
          <w:color w:val="auto"/>
          <w:sz w:val="24"/>
          <w:szCs w:val="24"/>
          <w:highlight w:val="none"/>
        </w:rPr>
      </w:pPr>
      <w:r>
        <w:rPr>
          <w:rFonts w:hint="eastAsia"/>
          <w:b w:val="0"/>
          <w:bCs/>
          <w:color w:val="auto"/>
          <w:sz w:val="24"/>
          <w:szCs w:val="24"/>
          <w:highlight w:val="none"/>
        </w:rPr>
        <w:t>注：1. 评标基准价即满足招标文件要求且投标价格最低的有效投标报价。</w:t>
      </w:r>
    </w:p>
    <w:p w14:paraId="7FFA35CE">
      <w:pPr>
        <w:pStyle w:val="2"/>
        <w:jc w:val="left"/>
        <w:rPr>
          <w:rFonts w:hint="eastAsia" w:ascii="宋体" w:hAnsi="Courier New" w:eastAsia="宋体" w:cs="Times New Roman"/>
          <w:b w:val="0"/>
          <w:bCs/>
          <w:color w:val="auto"/>
          <w:kern w:val="2"/>
          <w:sz w:val="24"/>
          <w:szCs w:val="24"/>
          <w:highlight w:val="none"/>
          <w:lang w:val="en-US" w:eastAsia="zh-CN" w:bidi="ar-SA"/>
        </w:rPr>
        <w:sectPr>
          <w:pgSz w:w="11906" w:h="16838"/>
          <w:pgMar w:top="1247" w:right="1247" w:bottom="1247" w:left="1247" w:header="851" w:footer="992" w:gutter="0"/>
          <w:pgNumType w:fmt="decimal"/>
          <w:cols w:space="425" w:num="1"/>
          <w:docGrid w:type="lines" w:linePitch="312" w:charSpace="0"/>
        </w:sectPr>
      </w:pPr>
      <w:r>
        <w:rPr>
          <w:rFonts w:hint="eastAsia" w:ascii="宋体" w:hAnsi="Courier New" w:eastAsia="宋体" w:cs="Times New Roman"/>
          <w:b w:val="0"/>
          <w:bCs/>
          <w:color w:val="auto"/>
          <w:kern w:val="2"/>
          <w:sz w:val="24"/>
          <w:szCs w:val="24"/>
          <w:highlight w:val="none"/>
          <w:lang w:val="en-US" w:eastAsia="zh-CN" w:bidi="ar-SA"/>
        </w:rPr>
        <w:t>2.类似业绩的项目建设主要内容、服务范围和规模应与目标采购项目相当。</w:t>
      </w:r>
    </w:p>
    <w:p w14:paraId="2DFFF78B">
      <w:pPr>
        <w:spacing w:line="360" w:lineRule="auto"/>
        <w:jc w:val="center"/>
        <w:outlineLvl w:val="0"/>
        <w:rPr>
          <w:rFonts w:ascii="宋体" w:hAnsi="宋体"/>
          <w:color w:val="auto"/>
          <w:sz w:val="24"/>
          <w:highlight w:val="none"/>
        </w:rPr>
      </w:pPr>
      <w:bookmarkStart w:id="732" w:name="_Toc30878"/>
      <w:bookmarkStart w:id="733" w:name="_Toc99301424"/>
      <w:bookmarkStart w:id="734" w:name="_Toc27439"/>
      <w:r>
        <w:rPr>
          <w:rFonts w:ascii="宋体" w:hAnsi="宋体"/>
          <w:b/>
          <w:color w:val="auto"/>
          <w:sz w:val="24"/>
          <w:highlight w:val="none"/>
        </w:rPr>
        <w:t xml:space="preserve">第五章   </w:t>
      </w:r>
      <w:r>
        <w:rPr>
          <w:rFonts w:hint="eastAsia" w:ascii="宋体" w:hAnsi="宋体"/>
          <w:b/>
          <w:color w:val="auto"/>
          <w:sz w:val="24"/>
          <w:highlight w:val="none"/>
        </w:rPr>
        <w:t>采购</w:t>
      </w:r>
      <w:r>
        <w:rPr>
          <w:rFonts w:ascii="宋体" w:hAnsi="宋体"/>
          <w:b/>
          <w:color w:val="auto"/>
          <w:sz w:val="24"/>
          <w:highlight w:val="none"/>
        </w:rPr>
        <w:t>需求</w:t>
      </w:r>
      <w:bookmarkEnd w:id="732"/>
      <w:bookmarkEnd w:id="733"/>
      <w:bookmarkEnd w:id="734"/>
    </w:p>
    <w:p w14:paraId="2A2B9970">
      <w:pPr>
        <w:spacing w:line="360" w:lineRule="auto"/>
        <w:ind w:firstLine="0" w:firstLineChars="0"/>
        <w:outlineLvl w:val="1"/>
        <w:rPr>
          <w:rFonts w:hint="eastAsia" w:ascii="宋体" w:hAnsi="宋体"/>
          <w:b/>
          <w:bCs/>
          <w:color w:val="auto"/>
          <w:sz w:val="36"/>
          <w:szCs w:val="36"/>
          <w:highlight w:val="none"/>
          <w:lang w:val="en-US" w:eastAsia="zh-CN"/>
        </w:rPr>
      </w:pPr>
      <w:bookmarkStart w:id="735" w:name="_Toc1000"/>
      <w:bookmarkStart w:id="736" w:name="_Toc99301425"/>
      <w:r>
        <w:rPr>
          <w:rFonts w:hint="eastAsia" w:ascii="宋体" w:hAnsi="宋体"/>
          <w:b/>
          <w:bCs w:val="0"/>
          <w:color w:val="auto"/>
          <w:sz w:val="24"/>
          <w:szCs w:val="24"/>
          <w:highlight w:val="none"/>
          <w:lang w:val="en-US" w:eastAsia="zh-CN"/>
        </w:rPr>
        <w:t>1包</w:t>
      </w:r>
      <w:r>
        <w:rPr>
          <w:rFonts w:hint="default" w:ascii="宋体" w:hAnsi="宋体"/>
          <w:b/>
          <w:bCs w:val="0"/>
          <w:color w:val="auto"/>
          <w:sz w:val="24"/>
          <w:szCs w:val="24"/>
          <w:highlight w:val="none"/>
          <w:lang w:val="en-US" w:eastAsia="zh-CN"/>
        </w:rPr>
        <w:t>采购需求：</w:t>
      </w:r>
    </w:p>
    <w:p w14:paraId="30A8F1A0">
      <w:pPr>
        <w:keepNext w:val="0"/>
        <w:keepLines w:val="0"/>
        <w:widowControl/>
        <w:suppressLineNumbers w:val="0"/>
        <w:spacing w:line="360" w:lineRule="auto"/>
        <w:ind w:firstLine="0" w:firstLineChars="0"/>
        <w:jc w:val="left"/>
        <w:rPr>
          <w:rFonts w:hint="eastAsia" w:ascii="宋体" w:hAnsi="宋体"/>
          <w:color w:val="auto"/>
          <w:sz w:val="24"/>
          <w:highlight w:val="none"/>
        </w:rPr>
      </w:pPr>
      <w:r>
        <w:rPr>
          <w:rFonts w:hint="eastAsia" w:ascii="宋体" w:hAnsi="宋体" w:eastAsia="宋体" w:cs="Times New Roman"/>
          <w:b w:val="0"/>
          <w:bCs w:val="0"/>
          <w:color w:val="auto"/>
          <w:kern w:val="2"/>
          <w:sz w:val="24"/>
          <w:szCs w:val="24"/>
          <w:highlight w:val="none"/>
          <w:lang w:val="en-US" w:eastAsia="zh-CN" w:bidi="ar"/>
        </w:rPr>
        <w:t xml:space="preserve">一、项目概况 </w:t>
      </w:r>
    </w:p>
    <w:p w14:paraId="306B5992">
      <w:pPr>
        <w:keepNext w:val="0"/>
        <w:keepLines w:val="0"/>
        <w:widowControl/>
        <w:suppressLineNumbers w:val="0"/>
        <w:spacing w:line="360" w:lineRule="auto"/>
        <w:ind w:firstLine="480" w:firstLineChars="200"/>
        <w:jc w:val="left"/>
        <w:rPr>
          <w:rFonts w:hint="eastAsia" w:ascii="宋体" w:hAnsi="宋体"/>
          <w:color w:val="auto"/>
          <w:sz w:val="24"/>
          <w:highlight w:val="none"/>
        </w:rPr>
      </w:pPr>
      <w:r>
        <w:rPr>
          <w:rFonts w:hint="eastAsia" w:ascii="宋体" w:hAnsi="宋体" w:eastAsia="宋体" w:cs="Times New Roman"/>
          <w:color w:val="auto"/>
          <w:kern w:val="2"/>
          <w:sz w:val="24"/>
          <w:szCs w:val="24"/>
          <w:highlight w:val="none"/>
          <w:lang w:val="en-US" w:eastAsia="zh-CN" w:bidi="ar"/>
        </w:rPr>
        <w:t>1、标的名称：</w:t>
      </w:r>
      <w:r>
        <w:rPr>
          <w:rFonts w:hint="eastAsia" w:ascii="宋体" w:hAnsi="宋体" w:cs="Times New Roman"/>
          <w:color w:val="auto"/>
          <w:kern w:val="2"/>
          <w:sz w:val="24"/>
          <w:szCs w:val="24"/>
          <w:highlight w:val="none"/>
          <w:lang w:val="en-US" w:eastAsia="zh-CN" w:bidi="ar"/>
        </w:rPr>
        <w:t>六合村办公区组团行政办公区绿地养护项目（一标段）</w:t>
      </w:r>
      <w:r>
        <w:rPr>
          <w:rFonts w:hint="eastAsia" w:ascii="宋体" w:hAnsi="宋体" w:eastAsia="宋体" w:cs="Times New Roman"/>
          <w:color w:val="auto"/>
          <w:kern w:val="2"/>
          <w:sz w:val="24"/>
          <w:szCs w:val="24"/>
          <w:highlight w:val="none"/>
          <w:lang w:val="en-US" w:eastAsia="zh-CN" w:bidi="ar"/>
        </w:rPr>
        <w:t xml:space="preserve"> </w:t>
      </w:r>
    </w:p>
    <w:p w14:paraId="5E585A93">
      <w:pPr>
        <w:keepNext w:val="0"/>
        <w:keepLines w:val="0"/>
        <w:widowControl/>
        <w:suppressLineNumbers w:val="0"/>
        <w:spacing w:line="360" w:lineRule="auto"/>
        <w:ind w:firstLine="480" w:firstLineChars="200"/>
        <w:jc w:val="left"/>
        <w:rPr>
          <w:rFonts w:hint="eastAsia" w:ascii="宋体" w:hAnsi="宋体"/>
          <w:color w:val="auto"/>
          <w:sz w:val="24"/>
          <w:highlight w:val="none"/>
        </w:rPr>
      </w:pPr>
      <w:r>
        <w:rPr>
          <w:rFonts w:hint="eastAsia" w:ascii="宋体" w:hAnsi="宋体" w:eastAsia="宋体" w:cs="Times New Roman"/>
          <w:color w:val="auto"/>
          <w:kern w:val="2"/>
          <w:sz w:val="24"/>
          <w:szCs w:val="24"/>
          <w:highlight w:val="none"/>
          <w:lang w:val="en-US" w:eastAsia="zh-CN" w:bidi="ar"/>
        </w:rPr>
        <w:t xml:space="preserve">2、项目性质：常态 </w:t>
      </w:r>
    </w:p>
    <w:p w14:paraId="36D73FE1">
      <w:pPr>
        <w:keepNext w:val="0"/>
        <w:keepLines w:val="0"/>
        <w:widowControl/>
        <w:suppressLineNumbers w:val="0"/>
        <w:spacing w:line="360" w:lineRule="auto"/>
        <w:ind w:firstLine="480" w:firstLineChars="200"/>
        <w:jc w:val="left"/>
        <w:rPr>
          <w:rFonts w:hint="eastAsia" w:ascii="宋体" w:hAnsi="宋体"/>
          <w:color w:val="auto"/>
          <w:sz w:val="24"/>
          <w:highlight w:val="none"/>
        </w:rPr>
      </w:pPr>
      <w:r>
        <w:rPr>
          <w:rFonts w:hint="eastAsia" w:ascii="宋体" w:hAnsi="宋体" w:eastAsia="宋体" w:cs="Times New Roman"/>
          <w:color w:val="auto"/>
          <w:kern w:val="2"/>
          <w:sz w:val="24"/>
          <w:szCs w:val="24"/>
          <w:highlight w:val="none"/>
          <w:lang w:val="en-US" w:eastAsia="zh-CN" w:bidi="ar"/>
        </w:rPr>
        <w:t>3、项目建设期限： 202</w:t>
      </w:r>
      <w:r>
        <w:rPr>
          <w:rFonts w:hint="eastAsia" w:ascii="宋体" w:hAnsi="宋体" w:cs="Times New Roman"/>
          <w:color w:val="auto"/>
          <w:kern w:val="2"/>
          <w:sz w:val="24"/>
          <w:szCs w:val="24"/>
          <w:highlight w:val="none"/>
          <w:lang w:val="en-US" w:eastAsia="zh-CN" w:bidi="ar"/>
        </w:rPr>
        <w:t>6</w:t>
      </w:r>
      <w:r>
        <w:rPr>
          <w:rFonts w:hint="eastAsia" w:ascii="宋体" w:hAnsi="宋体" w:eastAsia="宋体" w:cs="Times New Roman"/>
          <w:color w:val="auto"/>
          <w:kern w:val="2"/>
          <w:sz w:val="24"/>
          <w:szCs w:val="24"/>
          <w:highlight w:val="none"/>
          <w:lang w:val="en-US" w:eastAsia="zh-CN" w:bidi="ar"/>
        </w:rPr>
        <w:t xml:space="preserve">年 </w:t>
      </w:r>
    </w:p>
    <w:p w14:paraId="606476E3">
      <w:pPr>
        <w:keepNext w:val="0"/>
        <w:keepLines w:val="0"/>
        <w:widowControl/>
        <w:suppressLineNumbers w:val="0"/>
        <w:spacing w:line="360" w:lineRule="auto"/>
        <w:ind w:firstLine="480" w:firstLineChars="200"/>
        <w:jc w:val="left"/>
        <w:rPr>
          <w:rFonts w:hint="eastAsia" w:ascii="宋体" w:hAnsi="宋体" w:cs="Times New Roman"/>
          <w:color w:val="auto"/>
          <w:kern w:val="2"/>
          <w:sz w:val="24"/>
          <w:szCs w:val="24"/>
          <w:highlight w:val="none"/>
          <w:lang w:val="en-US" w:eastAsia="zh-CN" w:bidi="ar"/>
        </w:rPr>
      </w:pPr>
      <w:r>
        <w:rPr>
          <w:rFonts w:hint="eastAsia" w:ascii="宋体" w:hAnsi="宋体" w:eastAsia="宋体" w:cs="Times New Roman"/>
          <w:color w:val="auto"/>
          <w:kern w:val="2"/>
          <w:sz w:val="24"/>
          <w:szCs w:val="24"/>
          <w:highlight w:val="none"/>
          <w:lang w:val="en-US" w:eastAsia="zh-CN" w:bidi="ar"/>
        </w:rPr>
        <w:t>4、项目建设主要内容</w:t>
      </w:r>
      <w:r>
        <w:rPr>
          <w:rFonts w:hint="eastAsia" w:ascii="宋体" w:hAnsi="宋体" w:cs="Times New Roman"/>
          <w:color w:val="auto"/>
          <w:kern w:val="2"/>
          <w:sz w:val="24"/>
          <w:szCs w:val="24"/>
          <w:highlight w:val="none"/>
          <w:lang w:val="en-US" w:eastAsia="zh-CN" w:bidi="ar"/>
        </w:rPr>
        <w:t>：六合村办公区组团行政办公区绿地养护项目</w:t>
      </w:r>
      <w:r>
        <w:rPr>
          <w:rFonts w:hint="eastAsia" w:ascii="宋体" w:hAnsi="宋体" w:eastAsia="宋体" w:cs="Times New Roman"/>
          <w:color w:val="auto"/>
          <w:kern w:val="2"/>
          <w:sz w:val="24"/>
          <w:szCs w:val="24"/>
          <w:highlight w:val="none"/>
          <w:lang w:val="en-US" w:eastAsia="zh-CN" w:bidi="ar"/>
        </w:rPr>
        <w:t>全年</w:t>
      </w:r>
      <w:r>
        <w:rPr>
          <w:rFonts w:hint="eastAsia" w:ascii="宋体" w:hAnsi="宋体" w:cs="Times New Roman"/>
          <w:color w:val="auto"/>
          <w:kern w:val="2"/>
          <w:sz w:val="24"/>
          <w:szCs w:val="24"/>
          <w:highlight w:val="none"/>
          <w:lang w:val="en-US" w:eastAsia="zh-CN" w:bidi="ar"/>
        </w:rPr>
        <w:t>特级</w:t>
      </w:r>
      <w:r>
        <w:rPr>
          <w:rFonts w:hint="eastAsia" w:ascii="宋体" w:hAnsi="宋体" w:eastAsia="宋体" w:cs="Times New Roman"/>
          <w:color w:val="auto"/>
          <w:kern w:val="2"/>
          <w:sz w:val="24"/>
          <w:szCs w:val="24"/>
          <w:highlight w:val="none"/>
          <w:lang w:val="en-US" w:eastAsia="zh-CN" w:bidi="ar"/>
        </w:rPr>
        <w:t>养护绿化面积</w:t>
      </w:r>
      <w:r>
        <w:rPr>
          <w:rFonts w:hint="eastAsia" w:ascii="宋体" w:hAnsi="宋体" w:cs="Times New Roman"/>
          <w:color w:val="auto"/>
          <w:kern w:val="2"/>
          <w:sz w:val="24"/>
          <w:szCs w:val="24"/>
          <w:highlight w:val="none"/>
          <w:lang w:val="en-US" w:eastAsia="zh-CN" w:bidi="ar"/>
        </w:rPr>
        <w:t>59534.6平方米。</w:t>
      </w:r>
    </w:p>
    <w:p w14:paraId="191C1B0D">
      <w:pPr>
        <w:spacing w:line="360" w:lineRule="auto"/>
        <w:ind w:firstLine="480" w:firstLineChars="200"/>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5、养护范围：</w:t>
      </w:r>
      <w:r>
        <w:rPr>
          <w:rFonts w:hint="eastAsia" w:ascii="宋体" w:hAnsi="宋体" w:cs="Times New Roman"/>
          <w:color w:val="auto"/>
          <w:kern w:val="2"/>
          <w:sz w:val="24"/>
          <w:szCs w:val="24"/>
          <w:highlight w:val="none"/>
          <w:lang w:val="en-US" w:eastAsia="zh-CN" w:bidi="ar"/>
        </w:rPr>
        <w:t>进行2026年绿地养护工作，养护总面积59534.6平方米，其中六合北街、六合南街、和祥街、含章西二路、堤子路、含章西一路以上路段绿地养护服务期为5-12月，六合北街、六合街、六合南街、含章东一路、含章西一路、常瑞路、宋庄南三街、丁各庄街、含章路、含章东二路、含章西二路、后屯路、玉成西路、玉成东路、汇才北街、知学西街、汇才南街、知学东街以上路段养护服务期为1-12月。对六合村办公区组团行政办公区绿地养护项目全年特级养护绿化面积59534.6平方米进行浇水、施肥、病虫害防治、除草、修剪、花卉栽植、植物补植、防寒等日常养护管理，确保行政办公区绿地良好环境景观效果。</w:t>
      </w:r>
    </w:p>
    <w:p w14:paraId="08FF2DDD">
      <w:pPr>
        <w:spacing w:line="360" w:lineRule="auto"/>
        <w:ind w:firstLine="480" w:firstLineChars="200"/>
        <w:rPr>
          <w:rFonts w:hint="eastAsia" w:ascii="宋体" w:hAnsi="宋体"/>
          <w:b/>
          <w:bCs/>
          <w:color w:val="auto"/>
          <w:sz w:val="36"/>
          <w:szCs w:val="36"/>
          <w:highlight w:val="none"/>
          <w:lang w:val="en-US" w:eastAsia="zh-CN"/>
        </w:rPr>
      </w:pPr>
      <w:r>
        <w:rPr>
          <w:rFonts w:hint="eastAsia" w:ascii="宋体" w:hAnsi="宋体"/>
          <w:b w:val="0"/>
          <w:bCs w:val="0"/>
          <w:color w:val="auto"/>
          <w:sz w:val="24"/>
          <w:highlight w:val="none"/>
          <w:lang w:val="en-US" w:eastAsia="zh-CN"/>
        </w:rPr>
        <w:t>6、采购限价：150.517067万元（特级绿地养护管理费限价为26.70元/平方米·年）。</w:t>
      </w:r>
    </w:p>
    <w:tbl>
      <w:tblPr>
        <w:tblStyle w:val="4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9"/>
        <w:gridCol w:w="2040"/>
        <w:gridCol w:w="829"/>
        <w:gridCol w:w="1056"/>
        <w:gridCol w:w="924"/>
        <w:gridCol w:w="1522"/>
        <w:gridCol w:w="1222"/>
        <w:gridCol w:w="731"/>
      </w:tblGrid>
      <w:tr w14:paraId="5F1C8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DCD1">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cs="宋体"/>
                <w:b/>
                <w:bCs/>
                <w:i w:val="0"/>
                <w:iCs w:val="0"/>
                <w:color w:val="auto"/>
                <w:kern w:val="0"/>
                <w:sz w:val="24"/>
                <w:szCs w:val="24"/>
                <w:highlight w:val="none"/>
                <w:u w:val="none"/>
                <w:lang w:val="en-US" w:eastAsia="zh-CN" w:bidi="ar"/>
              </w:rPr>
              <w:t>包号</w:t>
            </w:r>
          </w:p>
        </w:tc>
        <w:tc>
          <w:tcPr>
            <w:tcW w:w="2040" w:type="dxa"/>
            <w:tcBorders>
              <w:top w:val="single" w:color="000000" w:sz="4" w:space="0"/>
              <w:left w:val="single" w:color="000000" w:sz="4" w:space="0"/>
              <w:bottom w:val="single" w:color="auto" w:sz="4" w:space="0"/>
              <w:right w:val="single" w:color="000000" w:sz="4" w:space="0"/>
            </w:tcBorders>
            <w:shd w:val="clear" w:color="auto" w:fill="auto"/>
            <w:vAlign w:val="center"/>
          </w:tcPr>
          <w:p w14:paraId="5FEBE1B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cs="宋体"/>
                <w:b/>
                <w:bCs/>
                <w:i w:val="0"/>
                <w:iCs w:val="0"/>
                <w:color w:val="auto"/>
                <w:kern w:val="0"/>
                <w:sz w:val="24"/>
                <w:szCs w:val="24"/>
                <w:highlight w:val="none"/>
                <w:u w:val="none"/>
                <w:lang w:val="en-US" w:eastAsia="zh-CN" w:bidi="ar"/>
              </w:rPr>
              <w:t>标的名称</w:t>
            </w:r>
          </w:p>
        </w:tc>
        <w:tc>
          <w:tcPr>
            <w:tcW w:w="829" w:type="dxa"/>
            <w:tcBorders>
              <w:top w:val="single" w:color="000000" w:sz="4" w:space="0"/>
              <w:left w:val="single" w:color="000000" w:sz="4" w:space="0"/>
              <w:bottom w:val="single" w:color="auto" w:sz="4" w:space="0"/>
              <w:right w:val="single" w:color="000000" w:sz="4" w:space="0"/>
            </w:tcBorders>
            <w:shd w:val="clear" w:color="auto" w:fill="auto"/>
            <w:vAlign w:val="center"/>
          </w:tcPr>
          <w:p w14:paraId="0352349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cs="宋体"/>
                <w:b/>
                <w:bCs/>
                <w:i w:val="0"/>
                <w:iCs w:val="0"/>
                <w:color w:val="auto"/>
                <w:kern w:val="0"/>
                <w:sz w:val="24"/>
                <w:szCs w:val="24"/>
                <w:highlight w:val="none"/>
                <w:u w:val="none"/>
                <w:lang w:val="en-US" w:eastAsia="zh-CN" w:bidi="ar"/>
              </w:rPr>
              <w:t>类别</w:t>
            </w:r>
          </w:p>
        </w:tc>
        <w:tc>
          <w:tcPr>
            <w:tcW w:w="1056" w:type="dxa"/>
            <w:tcBorders>
              <w:top w:val="single" w:color="000000" w:sz="4" w:space="0"/>
              <w:left w:val="single" w:color="000000" w:sz="4" w:space="0"/>
              <w:bottom w:val="single" w:color="auto" w:sz="4" w:space="0"/>
              <w:right w:val="single" w:color="000000" w:sz="4" w:space="0"/>
            </w:tcBorders>
            <w:shd w:val="clear" w:color="auto" w:fill="auto"/>
            <w:vAlign w:val="center"/>
          </w:tcPr>
          <w:p w14:paraId="563AA602">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 xml:space="preserve"> 面积</w:t>
            </w:r>
          </w:p>
        </w:tc>
        <w:tc>
          <w:tcPr>
            <w:tcW w:w="924" w:type="dxa"/>
            <w:tcBorders>
              <w:top w:val="single" w:color="000000" w:sz="4" w:space="0"/>
              <w:left w:val="single" w:color="000000" w:sz="4" w:space="0"/>
              <w:bottom w:val="single" w:color="auto" w:sz="4" w:space="0"/>
              <w:right w:val="single" w:color="000000" w:sz="4" w:space="0"/>
            </w:tcBorders>
            <w:shd w:val="clear" w:color="auto" w:fill="auto"/>
            <w:vAlign w:val="center"/>
          </w:tcPr>
          <w:p w14:paraId="77CE935C">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1522" w:type="dxa"/>
            <w:tcBorders>
              <w:top w:val="single" w:color="000000" w:sz="4" w:space="0"/>
              <w:left w:val="single" w:color="000000" w:sz="4" w:space="0"/>
              <w:bottom w:val="single" w:color="auto" w:sz="4" w:space="0"/>
              <w:right w:val="single" w:color="000000" w:sz="4" w:space="0"/>
            </w:tcBorders>
            <w:shd w:val="clear" w:color="auto" w:fill="auto"/>
            <w:vAlign w:val="center"/>
          </w:tcPr>
          <w:p w14:paraId="6857FB81">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合价</w:t>
            </w:r>
            <w:r>
              <w:rPr>
                <w:rFonts w:hint="eastAsia" w:ascii="宋体" w:hAnsi="宋体" w:cs="宋体"/>
                <w:b/>
                <w:bCs/>
                <w:i w:val="0"/>
                <w:iCs w:val="0"/>
                <w:color w:val="auto"/>
                <w:kern w:val="0"/>
                <w:sz w:val="24"/>
                <w:szCs w:val="24"/>
                <w:highlight w:val="none"/>
                <w:u w:val="none"/>
                <w:lang w:val="en-US" w:eastAsia="zh-CN" w:bidi="ar"/>
              </w:rPr>
              <w:t>（万元）</w:t>
            </w:r>
          </w:p>
        </w:tc>
        <w:tc>
          <w:tcPr>
            <w:tcW w:w="1222" w:type="dxa"/>
            <w:tcBorders>
              <w:top w:val="single" w:color="000000" w:sz="4" w:space="0"/>
              <w:left w:val="single" w:color="000000" w:sz="4" w:space="0"/>
              <w:bottom w:val="single" w:color="auto" w:sz="4" w:space="0"/>
              <w:right w:val="single" w:color="000000" w:sz="4" w:space="0"/>
            </w:tcBorders>
            <w:shd w:val="clear" w:color="auto" w:fill="auto"/>
            <w:vAlign w:val="center"/>
          </w:tcPr>
          <w:p w14:paraId="60C9FF56">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绿地等级</w:t>
            </w:r>
          </w:p>
        </w:tc>
        <w:tc>
          <w:tcPr>
            <w:tcW w:w="731" w:type="dxa"/>
            <w:tcBorders>
              <w:top w:val="single" w:color="000000" w:sz="4" w:space="0"/>
              <w:left w:val="single" w:color="000000" w:sz="4" w:space="0"/>
              <w:bottom w:val="single" w:color="auto" w:sz="4" w:space="0"/>
              <w:right w:val="single" w:color="000000" w:sz="4" w:space="0"/>
            </w:tcBorders>
            <w:shd w:val="clear" w:color="auto" w:fill="auto"/>
            <w:vAlign w:val="center"/>
          </w:tcPr>
          <w:p w14:paraId="32F982FD">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备注</w:t>
            </w:r>
          </w:p>
        </w:tc>
      </w:tr>
      <w:tr w14:paraId="37393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799"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322D49D1">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1</w:t>
            </w:r>
          </w:p>
        </w:tc>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14:paraId="74C12B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六合村办公区组团行政办公区绿地养护项目</w:t>
            </w:r>
          </w:p>
        </w:tc>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14:paraId="2CBDAB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绿地</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3ECD0A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59534.6</w:t>
            </w:r>
          </w:p>
        </w:tc>
        <w:tc>
          <w:tcPr>
            <w:tcW w:w="924" w:type="dxa"/>
            <w:tcBorders>
              <w:top w:val="single" w:color="auto" w:sz="4" w:space="0"/>
              <w:left w:val="single" w:color="auto" w:sz="4" w:space="0"/>
              <w:bottom w:val="single" w:color="auto" w:sz="4" w:space="0"/>
              <w:right w:val="single" w:color="auto" w:sz="4" w:space="0"/>
            </w:tcBorders>
            <w:shd w:val="clear" w:color="auto" w:fill="FFFFFF"/>
            <w:vAlign w:val="center"/>
          </w:tcPr>
          <w:p w14:paraId="1A8378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522" w:type="dxa"/>
            <w:tcBorders>
              <w:top w:val="single" w:color="auto" w:sz="4" w:space="0"/>
              <w:left w:val="single" w:color="auto" w:sz="4" w:space="0"/>
              <w:bottom w:val="single" w:color="auto" w:sz="4" w:space="0"/>
              <w:right w:val="single" w:color="auto" w:sz="4" w:space="0"/>
            </w:tcBorders>
            <w:shd w:val="clear" w:color="auto" w:fill="auto"/>
            <w:vAlign w:val="center"/>
          </w:tcPr>
          <w:p w14:paraId="3A366BA5">
            <w:pPr>
              <w:keepNext w:val="0"/>
              <w:keepLines w:val="0"/>
              <w:widowControl/>
              <w:suppressLineNumbers w:val="0"/>
              <w:jc w:val="center"/>
              <w:textAlignment w:val="center"/>
              <w:rPr>
                <w:rFonts w:hint="default" w:ascii="宋体" w:hAnsi="宋体" w:eastAsia="宋体" w:cs="宋体"/>
                <w:b w:val="0"/>
                <w:bCs w:val="0"/>
                <w:i w:val="0"/>
                <w:iCs w:val="0"/>
                <w:color w:val="auto"/>
                <w:sz w:val="24"/>
                <w:szCs w:val="24"/>
                <w:highlight w:val="none"/>
                <w:u w:val="none"/>
                <w:lang w:val="en-US" w:eastAsia="zh-CN"/>
              </w:rPr>
            </w:pPr>
            <w:r>
              <w:rPr>
                <w:rFonts w:hint="eastAsia" w:ascii="宋体" w:hAnsi="宋体"/>
                <w:b w:val="0"/>
                <w:bCs w:val="0"/>
                <w:color w:val="auto"/>
                <w:sz w:val="24"/>
                <w:highlight w:val="none"/>
                <w:lang w:val="en-US" w:eastAsia="zh-CN"/>
              </w:rPr>
              <w:t>150.517067</w:t>
            </w:r>
          </w:p>
        </w:tc>
        <w:tc>
          <w:tcPr>
            <w:tcW w:w="12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A68E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特级</w:t>
            </w:r>
          </w:p>
        </w:tc>
        <w:tc>
          <w:tcPr>
            <w:tcW w:w="7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B4017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0C2DC707">
      <w:pPr>
        <w:spacing w:line="360" w:lineRule="auto"/>
        <w:rPr>
          <w:rFonts w:hint="eastAsia" w:ascii="宋体" w:hAnsi="宋体"/>
          <w:b w:val="0"/>
          <w:bCs w:val="0"/>
          <w:color w:val="auto"/>
          <w:sz w:val="24"/>
          <w:highlight w:val="none"/>
          <w:lang w:val="en-US" w:eastAsia="zh-CN"/>
        </w:rPr>
        <w:sectPr>
          <w:headerReference r:id="rId13" w:type="default"/>
          <w:footerReference r:id="rId14" w:type="default"/>
          <w:pgSz w:w="11907" w:h="16840"/>
          <w:pgMar w:top="1418" w:right="1134" w:bottom="1418" w:left="1701" w:header="851" w:footer="851" w:gutter="0"/>
          <w:pgNumType w:fmt="decimal"/>
          <w:cols w:space="720" w:num="1"/>
          <w:docGrid w:linePitch="462" w:charSpace="0"/>
        </w:sectPr>
      </w:pPr>
      <w:r>
        <w:rPr>
          <w:rFonts w:hint="eastAsia" w:ascii="宋体" w:hAnsi="宋体"/>
          <w:b w:val="0"/>
          <w:bCs w:val="0"/>
          <w:color w:val="auto"/>
          <w:sz w:val="24"/>
          <w:highlight w:val="none"/>
          <w:lang w:val="en-US" w:eastAsia="zh-CN"/>
        </w:rPr>
        <w:t xml:space="preserve">  7、服务期限：8个月、12个月；其中六合北街、六合南街、和祥街、含章西二路、堤子路、含章西一路以上路段绿地养护服务期为5-12月，六合北街、六合街、六合南街、含章东一路、含章西一路、常瑞路、宋庄南三街、丁各庄街、含章路、含章东二路、含章西二路、后屯路、玉成西路、玉成东路、汇才北街、知学西街、汇才南街、知学东街以上路段养护服务期为1-12月；具体起止日期以双方签订的合同约定为准。</w:t>
      </w:r>
    </w:p>
    <w:p w14:paraId="2B99D192">
      <w:pPr>
        <w:spacing w:line="360" w:lineRule="auto"/>
        <w:ind w:firstLine="0" w:firstLineChars="0"/>
        <w:outlineLvl w:val="1"/>
        <w:rPr>
          <w:rFonts w:hint="eastAsia" w:ascii="宋体" w:hAnsi="宋体"/>
          <w:b/>
          <w:bCs/>
          <w:color w:val="auto"/>
          <w:sz w:val="36"/>
          <w:szCs w:val="36"/>
          <w:highlight w:val="none"/>
          <w:lang w:val="en-US" w:eastAsia="zh-CN"/>
        </w:rPr>
      </w:pPr>
      <w:r>
        <w:rPr>
          <w:rFonts w:hint="eastAsia" w:ascii="宋体" w:hAnsi="宋体"/>
          <w:b/>
          <w:bCs w:val="0"/>
          <w:color w:val="auto"/>
          <w:sz w:val="24"/>
          <w:szCs w:val="24"/>
          <w:highlight w:val="none"/>
          <w:lang w:val="en-US" w:eastAsia="zh-CN"/>
        </w:rPr>
        <w:t>2包</w:t>
      </w:r>
      <w:r>
        <w:rPr>
          <w:rFonts w:hint="default" w:ascii="宋体" w:hAnsi="宋体"/>
          <w:b/>
          <w:bCs w:val="0"/>
          <w:color w:val="auto"/>
          <w:sz w:val="24"/>
          <w:szCs w:val="24"/>
          <w:highlight w:val="none"/>
          <w:lang w:val="en-US" w:eastAsia="zh-CN"/>
        </w:rPr>
        <w:t>采购需求：</w:t>
      </w:r>
    </w:p>
    <w:p w14:paraId="09CD4AC2">
      <w:pPr>
        <w:keepNext w:val="0"/>
        <w:keepLines w:val="0"/>
        <w:widowControl/>
        <w:suppressLineNumbers w:val="0"/>
        <w:spacing w:line="360" w:lineRule="auto"/>
        <w:ind w:firstLine="0" w:firstLineChars="0"/>
        <w:jc w:val="left"/>
        <w:rPr>
          <w:rFonts w:hint="eastAsia" w:ascii="宋体" w:hAnsi="宋体"/>
          <w:color w:val="auto"/>
          <w:sz w:val="24"/>
          <w:highlight w:val="none"/>
        </w:rPr>
      </w:pPr>
      <w:r>
        <w:rPr>
          <w:rFonts w:hint="eastAsia" w:ascii="宋体" w:hAnsi="宋体" w:eastAsia="宋体" w:cs="Times New Roman"/>
          <w:b w:val="0"/>
          <w:bCs w:val="0"/>
          <w:color w:val="auto"/>
          <w:kern w:val="2"/>
          <w:sz w:val="24"/>
          <w:szCs w:val="24"/>
          <w:highlight w:val="none"/>
          <w:lang w:val="en-US" w:eastAsia="zh-CN" w:bidi="ar"/>
        </w:rPr>
        <w:t xml:space="preserve">一、项目概况 </w:t>
      </w:r>
    </w:p>
    <w:p w14:paraId="3DD039DE">
      <w:pPr>
        <w:keepNext w:val="0"/>
        <w:keepLines w:val="0"/>
        <w:widowControl/>
        <w:suppressLineNumbers w:val="0"/>
        <w:spacing w:line="360" w:lineRule="auto"/>
        <w:ind w:firstLine="480" w:firstLineChars="200"/>
        <w:jc w:val="left"/>
        <w:rPr>
          <w:rFonts w:hint="eastAsia" w:ascii="宋体" w:hAnsi="宋体"/>
          <w:color w:val="auto"/>
          <w:sz w:val="24"/>
          <w:highlight w:val="none"/>
        </w:rPr>
      </w:pPr>
      <w:r>
        <w:rPr>
          <w:rFonts w:hint="eastAsia" w:ascii="宋体" w:hAnsi="宋体" w:eastAsia="宋体" w:cs="Times New Roman"/>
          <w:color w:val="auto"/>
          <w:kern w:val="2"/>
          <w:sz w:val="24"/>
          <w:szCs w:val="24"/>
          <w:highlight w:val="none"/>
          <w:lang w:val="en-US" w:eastAsia="zh-CN" w:bidi="ar"/>
        </w:rPr>
        <w:t>1、标的名称：</w:t>
      </w:r>
      <w:r>
        <w:rPr>
          <w:rFonts w:hint="eastAsia" w:ascii="宋体" w:hAnsi="宋体" w:cs="Times New Roman"/>
          <w:color w:val="auto"/>
          <w:kern w:val="2"/>
          <w:sz w:val="24"/>
          <w:szCs w:val="24"/>
          <w:highlight w:val="none"/>
          <w:lang w:val="en-US" w:eastAsia="zh-CN" w:bidi="ar"/>
        </w:rPr>
        <w:t>六合村办公区组团行政办公区绿地养护监理服务（二标段）</w:t>
      </w:r>
      <w:r>
        <w:rPr>
          <w:rFonts w:hint="eastAsia" w:ascii="宋体" w:hAnsi="宋体" w:eastAsia="宋体" w:cs="Times New Roman"/>
          <w:color w:val="auto"/>
          <w:kern w:val="2"/>
          <w:sz w:val="24"/>
          <w:szCs w:val="24"/>
          <w:highlight w:val="none"/>
          <w:lang w:val="en-US" w:eastAsia="zh-CN" w:bidi="ar"/>
        </w:rPr>
        <w:t xml:space="preserve"> </w:t>
      </w:r>
    </w:p>
    <w:p w14:paraId="623C6AE8">
      <w:pPr>
        <w:keepNext w:val="0"/>
        <w:keepLines w:val="0"/>
        <w:widowControl/>
        <w:suppressLineNumbers w:val="0"/>
        <w:spacing w:line="360" w:lineRule="auto"/>
        <w:ind w:firstLine="480" w:firstLineChars="200"/>
        <w:jc w:val="left"/>
        <w:rPr>
          <w:rFonts w:hint="eastAsia" w:ascii="宋体" w:hAnsi="宋体"/>
          <w:color w:val="auto"/>
          <w:sz w:val="24"/>
          <w:highlight w:val="none"/>
        </w:rPr>
      </w:pPr>
      <w:r>
        <w:rPr>
          <w:rFonts w:hint="eastAsia" w:ascii="宋体" w:hAnsi="宋体" w:eastAsia="宋体" w:cs="Times New Roman"/>
          <w:color w:val="auto"/>
          <w:kern w:val="2"/>
          <w:sz w:val="24"/>
          <w:szCs w:val="24"/>
          <w:highlight w:val="none"/>
          <w:lang w:val="en-US" w:eastAsia="zh-CN" w:bidi="ar"/>
        </w:rPr>
        <w:t xml:space="preserve">2、项目性质：常态 </w:t>
      </w:r>
    </w:p>
    <w:p w14:paraId="4F6A49CC">
      <w:pPr>
        <w:keepNext w:val="0"/>
        <w:keepLines w:val="0"/>
        <w:widowControl/>
        <w:suppressLineNumbers w:val="0"/>
        <w:spacing w:line="360" w:lineRule="auto"/>
        <w:ind w:firstLine="480" w:firstLineChars="200"/>
        <w:jc w:val="left"/>
        <w:rPr>
          <w:rFonts w:hint="eastAsia" w:ascii="宋体" w:hAnsi="宋体"/>
          <w:color w:val="auto"/>
          <w:sz w:val="24"/>
          <w:highlight w:val="none"/>
        </w:rPr>
      </w:pPr>
      <w:r>
        <w:rPr>
          <w:rFonts w:hint="eastAsia" w:ascii="宋体" w:hAnsi="宋体" w:eastAsia="宋体" w:cs="Times New Roman"/>
          <w:color w:val="auto"/>
          <w:kern w:val="2"/>
          <w:sz w:val="24"/>
          <w:szCs w:val="24"/>
          <w:highlight w:val="none"/>
          <w:lang w:val="en-US" w:eastAsia="zh-CN" w:bidi="ar"/>
        </w:rPr>
        <w:t>3、项目建设期限： 202</w:t>
      </w:r>
      <w:r>
        <w:rPr>
          <w:rFonts w:hint="eastAsia" w:ascii="宋体" w:hAnsi="宋体" w:cs="Times New Roman"/>
          <w:color w:val="auto"/>
          <w:kern w:val="2"/>
          <w:sz w:val="24"/>
          <w:szCs w:val="24"/>
          <w:highlight w:val="none"/>
          <w:lang w:val="en-US" w:eastAsia="zh-CN" w:bidi="ar"/>
        </w:rPr>
        <w:t>6</w:t>
      </w:r>
      <w:r>
        <w:rPr>
          <w:rFonts w:hint="eastAsia" w:ascii="宋体" w:hAnsi="宋体" w:eastAsia="宋体" w:cs="Times New Roman"/>
          <w:color w:val="auto"/>
          <w:kern w:val="2"/>
          <w:sz w:val="24"/>
          <w:szCs w:val="24"/>
          <w:highlight w:val="none"/>
          <w:lang w:val="en-US" w:eastAsia="zh-CN" w:bidi="ar"/>
        </w:rPr>
        <w:t xml:space="preserve">年 </w:t>
      </w:r>
    </w:p>
    <w:p w14:paraId="52A6F0B2">
      <w:pPr>
        <w:keepNext w:val="0"/>
        <w:keepLines w:val="0"/>
        <w:widowControl/>
        <w:suppressLineNumbers w:val="0"/>
        <w:spacing w:line="360" w:lineRule="auto"/>
        <w:ind w:firstLine="480" w:firstLineChars="200"/>
        <w:jc w:val="left"/>
        <w:rPr>
          <w:rFonts w:hint="eastAsia" w:ascii="宋体" w:hAnsi="宋体" w:cs="Times New Roman"/>
          <w:color w:val="auto"/>
          <w:kern w:val="2"/>
          <w:sz w:val="24"/>
          <w:szCs w:val="24"/>
          <w:highlight w:val="none"/>
          <w:lang w:val="en-US" w:eastAsia="zh-CN" w:bidi="ar"/>
        </w:rPr>
      </w:pPr>
      <w:r>
        <w:rPr>
          <w:rFonts w:hint="eastAsia" w:ascii="宋体" w:hAnsi="宋体" w:eastAsia="宋体" w:cs="Times New Roman"/>
          <w:color w:val="auto"/>
          <w:kern w:val="2"/>
          <w:sz w:val="24"/>
          <w:szCs w:val="24"/>
          <w:highlight w:val="none"/>
          <w:lang w:val="en-US" w:eastAsia="zh-CN" w:bidi="ar"/>
        </w:rPr>
        <w:t>4、项目建设主要内容</w:t>
      </w:r>
      <w:r>
        <w:rPr>
          <w:rFonts w:hint="eastAsia" w:ascii="宋体" w:hAnsi="宋体" w:cs="Times New Roman"/>
          <w:color w:val="auto"/>
          <w:kern w:val="2"/>
          <w:sz w:val="24"/>
          <w:szCs w:val="24"/>
          <w:highlight w:val="none"/>
          <w:lang w:val="en-US" w:eastAsia="zh-CN" w:bidi="ar"/>
        </w:rPr>
        <w:t>：六合村办公区组团行政办公区绿地养护监理。</w:t>
      </w:r>
    </w:p>
    <w:p w14:paraId="499E040F">
      <w:pPr>
        <w:spacing w:line="360" w:lineRule="auto"/>
        <w:ind w:firstLine="480" w:firstLineChars="200"/>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5、监理养护服务范围：</w:t>
      </w:r>
      <w:r>
        <w:rPr>
          <w:rFonts w:hint="eastAsia" w:ascii="宋体" w:hAnsi="宋体" w:cs="Times New Roman"/>
          <w:color w:val="auto"/>
          <w:kern w:val="2"/>
          <w:sz w:val="24"/>
          <w:szCs w:val="24"/>
          <w:highlight w:val="none"/>
          <w:lang w:val="en-US" w:eastAsia="zh-CN" w:bidi="ar"/>
        </w:rPr>
        <w:t>六合村办公区组团行政办公区绿地养护项目（一标段）养护总面积59534.6平方米，包含六合北街、六合南街、和祥街、含章西二路、堤子路、含章西一路、六合北街、六合街、六合南街、含章东一路、含章西一路、常瑞路、宋庄南三街、丁各庄街、含章路、含章东二路、含章西二路、后屯路、玉成西路、玉成东路、汇才北街、知学西街、汇才南街、知学东街。对六合村办公区组团行政办公区绿地养护（一标段）全年特级养护绿化面积59534.6平方米进行浇水、施肥、病虫害防治、除草、修剪、花卉栽植、植物补植、防寒等日常养护管理，确保行政办公区绿地良好环境景观效果。</w:t>
      </w:r>
    </w:p>
    <w:p w14:paraId="1A4BF6E4">
      <w:pPr>
        <w:spacing w:line="360" w:lineRule="auto"/>
        <w:ind w:firstLine="480" w:firstLineChars="200"/>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6、采购限价：2.568245万元。依据国家发展改革委、建设部关于印发《建设工程监理与相关服务收费管理规定》的通知（【2007】670号）计取。</w:t>
      </w:r>
    </w:p>
    <w:tbl>
      <w:tblPr>
        <w:tblStyle w:val="250"/>
        <w:tblW w:w="500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34"/>
        <w:gridCol w:w="1678"/>
        <w:gridCol w:w="3529"/>
        <w:gridCol w:w="1578"/>
        <w:gridCol w:w="1578"/>
      </w:tblGrid>
      <w:tr w14:paraId="69365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404" w:type="pct"/>
            <w:vAlign w:val="center"/>
          </w:tcPr>
          <w:p w14:paraId="50C3ED32">
            <w:pPr>
              <w:pStyle w:val="251"/>
              <w:spacing w:before="137"/>
              <w:ind w:left="118" w:right="114"/>
              <w:jc w:val="center"/>
              <w:rPr>
                <w:rFonts w:asciiTheme="minorEastAsia" w:hAnsiTheme="minorEastAsia" w:eastAsiaTheme="minorEastAsia"/>
                <w:b/>
                <w:bCs/>
                <w:color w:val="auto"/>
                <w:sz w:val="24"/>
                <w:szCs w:val="24"/>
                <w:highlight w:val="none"/>
              </w:rPr>
            </w:pPr>
            <w:r>
              <w:rPr>
                <w:rFonts w:asciiTheme="minorEastAsia" w:hAnsiTheme="minorEastAsia" w:eastAsiaTheme="minorEastAsia"/>
                <w:b/>
                <w:bCs/>
                <w:color w:val="auto"/>
                <w:sz w:val="24"/>
                <w:szCs w:val="24"/>
                <w:highlight w:val="none"/>
              </w:rPr>
              <w:t>包号</w:t>
            </w:r>
          </w:p>
        </w:tc>
        <w:tc>
          <w:tcPr>
            <w:tcW w:w="922" w:type="pct"/>
            <w:vAlign w:val="center"/>
          </w:tcPr>
          <w:p w14:paraId="72AA9DDA">
            <w:pPr>
              <w:pStyle w:val="251"/>
              <w:spacing w:before="137"/>
              <w:ind w:left="358"/>
              <w:jc w:val="both"/>
              <w:rPr>
                <w:rFonts w:hint="default"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lang w:val="en-US" w:eastAsia="zh-CN"/>
              </w:rPr>
              <w:t>标的名称</w:t>
            </w:r>
          </w:p>
        </w:tc>
        <w:tc>
          <w:tcPr>
            <w:tcW w:w="1939" w:type="pct"/>
            <w:vAlign w:val="center"/>
          </w:tcPr>
          <w:p w14:paraId="1E96C5B2">
            <w:pPr>
              <w:pStyle w:val="251"/>
              <w:spacing w:before="3"/>
              <w:ind w:left="95" w:right="87"/>
              <w:jc w:val="center"/>
              <w:rPr>
                <w:rFonts w:asciiTheme="minorEastAsia" w:hAnsiTheme="minorEastAsia" w:eastAsiaTheme="minorEastAsia"/>
                <w:b/>
                <w:bCs/>
                <w:color w:val="auto"/>
                <w:sz w:val="24"/>
                <w:szCs w:val="24"/>
                <w:highlight w:val="none"/>
              </w:rPr>
            </w:pPr>
            <w:r>
              <w:rPr>
                <w:rFonts w:asciiTheme="minorEastAsia" w:hAnsiTheme="minorEastAsia" w:eastAsiaTheme="minorEastAsia"/>
                <w:b/>
                <w:bCs/>
                <w:color w:val="auto"/>
                <w:sz w:val="24"/>
                <w:szCs w:val="24"/>
                <w:highlight w:val="none"/>
              </w:rPr>
              <w:t>采购包预算金额</w:t>
            </w:r>
            <w:r>
              <w:rPr>
                <w:rFonts w:hint="eastAsia" w:asciiTheme="minorEastAsia" w:hAnsiTheme="minorEastAsia" w:eastAsiaTheme="minorEastAsia"/>
                <w:b/>
                <w:bCs/>
                <w:color w:val="auto"/>
                <w:sz w:val="24"/>
                <w:szCs w:val="24"/>
                <w:highlight w:val="none"/>
                <w:lang w:val="en-US" w:eastAsia="zh-CN"/>
              </w:rPr>
              <w:t>约</w:t>
            </w:r>
            <w:r>
              <w:rPr>
                <w:rFonts w:asciiTheme="minorEastAsia" w:hAnsiTheme="minorEastAsia" w:eastAsiaTheme="minorEastAsia"/>
                <w:b/>
                <w:bCs/>
                <w:color w:val="auto"/>
                <w:sz w:val="24"/>
                <w:szCs w:val="24"/>
                <w:highlight w:val="none"/>
              </w:rPr>
              <w:t>（万元）</w:t>
            </w:r>
          </w:p>
        </w:tc>
        <w:tc>
          <w:tcPr>
            <w:tcW w:w="867" w:type="pct"/>
            <w:vAlign w:val="center"/>
          </w:tcPr>
          <w:p w14:paraId="5B78A8B6">
            <w:pPr>
              <w:pStyle w:val="251"/>
              <w:spacing w:before="137"/>
              <w:ind w:firstLine="482" w:firstLineChars="200"/>
              <w:jc w:val="both"/>
              <w:rPr>
                <w:rFonts w:asciiTheme="minorEastAsia" w:hAnsiTheme="minorEastAsia" w:eastAsiaTheme="minorEastAsia"/>
                <w:b/>
                <w:bCs/>
                <w:color w:val="auto"/>
                <w:sz w:val="24"/>
                <w:szCs w:val="24"/>
                <w:highlight w:val="none"/>
              </w:rPr>
            </w:pPr>
            <w:r>
              <w:rPr>
                <w:rFonts w:asciiTheme="minorEastAsia" w:hAnsiTheme="minorEastAsia" w:eastAsiaTheme="minorEastAsia"/>
                <w:b/>
                <w:bCs/>
                <w:color w:val="auto"/>
                <w:sz w:val="24"/>
                <w:szCs w:val="24"/>
                <w:highlight w:val="none"/>
              </w:rPr>
              <w:t>数量</w:t>
            </w:r>
          </w:p>
        </w:tc>
        <w:tc>
          <w:tcPr>
            <w:tcW w:w="867" w:type="pct"/>
            <w:vAlign w:val="center"/>
          </w:tcPr>
          <w:p w14:paraId="690A6091">
            <w:pPr>
              <w:pStyle w:val="251"/>
              <w:spacing w:before="137"/>
              <w:ind w:left="287" w:firstLine="241" w:firstLineChars="100"/>
              <w:jc w:val="both"/>
              <w:rPr>
                <w:rFonts w:hint="eastAsia"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lang w:val="en-US" w:eastAsia="zh-CN"/>
              </w:rPr>
              <w:t>单位</w:t>
            </w:r>
          </w:p>
        </w:tc>
      </w:tr>
      <w:tr w14:paraId="294B5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3" w:hRule="atLeast"/>
        </w:trPr>
        <w:tc>
          <w:tcPr>
            <w:tcW w:w="404" w:type="pct"/>
            <w:vAlign w:val="center"/>
          </w:tcPr>
          <w:p w14:paraId="39A38B1A">
            <w:pPr>
              <w:pStyle w:val="251"/>
              <w:spacing w:before="102"/>
              <w:ind w:left="118" w:right="109"/>
              <w:jc w:val="center"/>
              <w:rPr>
                <w:rFonts w:hint="eastAsia" w:asciiTheme="minorEastAsia" w:hAnsiTheme="minorEastAsia" w:eastAsiaTheme="minorEastAsia"/>
                <w:color w:val="auto"/>
                <w:sz w:val="21"/>
                <w:highlight w:val="none"/>
                <w:lang w:eastAsia="zh-CN"/>
              </w:rPr>
            </w:pPr>
            <w:r>
              <w:rPr>
                <w:rFonts w:hint="eastAsia" w:asciiTheme="minorEastAsia" w:hAnsiTheme="minorEastAsia" w:eastAsiaTheme="minorEastAsia"/>
                <w:color w:val="auto"/>
                <w:sz w:val="21"/>
                <w:highlight w:val="none"/>
                <w:lang w:val="en-US" w:eastAsia="zh-CN"/>
              </w:rPr>
              <w:t>2</w:t>
            </w:r>
          </w:p>
        </w:tc>
        <w:tc>
          <w:tcPr>
            <w:tcW w:w="922" w:type="pct"/>
            <w:vAlign w:val="center"/>
          </w:tcPr>
          <w:p w14:paraId="79A5D793">
            <w:pPr>
              <w:pStyle w:val="251"/>
              <w:jc w:val="center"/>
              <w:rPr>
                <w:rFonts w:hint="eastAsia" w:asciiTheme="minorEastAsia" w:hAnsiTheme="minorEastAsia" w:eastAsiaTheme="minorEastAsia"/>
                <w:color w:val="auto"/>
                <w:highlight w:val="none"/>
                <w:lang w:eastAsia="zh-CN"/>
              </w:rPr>
            </w:pPr>
            <w:r>
              <w:rPr>
                <w:rFonts w:hint="eastAsia" w:ascii="宋体" w:hAnsi="宋体" w:cs="Times New Roman"/>
                <w:color w:val="auto"/>
                <w:kern w:val="2"/>
                <w:sz w:val="24"/>
                <w:szCs w:val="24"/>
                <w:highlight w:val="none"/>
                <w:lang w:val="en-US" w:eastAsia="zh-CN" w:bidi="ar"/>
              </w:rPr>
              <w:t>六合村办公区组团行政办公区绿地养护监理服务（二标段）</w:t>
            </w:r>
          </w:p>
        </w:tc>
        <w:tc>
          <w:tcPr>
            <w:tcW w:w="1939" w:type="pct"/>
            <w:vAlign w:val="center"/>
          </w:tcPr>
          <w:p w14:paraId="7927F213">
            <w:pPr>
              <w:pStyle w:val="251"/>
              <w:jc w:val="center"/>
              <w:rPr>
                <w:rFonts w:hint="default" w:asciiTheme="minorEastAsia" w:hAnsiTheme="minorEastAsia" w:eastAsiaTheme="minorEastAsia"/>
                <w:color w:val="auto"/>
                <w:highlight w:val="none"/>
                <w:lang w:val="en-US" w:eastAsia="zh-CN"/>
              </w:rPr>
            </w:pPr>
            <w:r>
              <w:rPr>
                <w:rFonts w:hint="eastAsia" w:ascii="宋体" w:hAnsi="宋体"/>
                <w:b w:val="0"/>
                <w:bCs w:val="0"/>
                <w:color w:val="auto"/>
                <w:sz w:val="24"/>
                <w:highlight w:val="none"/>
                <w:lang w:val="en-US" w:eastAsia="zh-CN"/>
              </w:rPr>
              <w:t>2.568245</w:t>
            </w:r>
          </w:p>
        </w:tc>
        <w:tc>
          <w:tcPr>
            <w:tcW w:w="867" w:type="pct"/>
            <w:vAlign w:val="center"/>
          </w:tcPr>
          <w:p w14:paraId="372770A0">
            <w:pPr>
              <w:pStyle w:val="251"/>
              <w:jc w:val="center"/>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1</w:t>
            </w:r>
          </w:p>
        </w:tc>
        <w:tc>
          <w:tcPr>
            <w:tcW w:w="867" w:type="pct"/>
            <w:vAlign w:val="center"/>
          </w:tcPr>
          <w:p w14:paraId="6A7E9603">
            <w:pPr>
              <w:pStyle w:val="251"/>
              <w:jc w:val="center"/>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项</w:t>
            </w:r>
          </w:p>
        </w:tc>
      </w:tr>
    </w:tbl>
    <w:p w14:paraId="58FE7C0C">
      <w:pPr>
        <w:outlineLvl w:val="9"/>
        <w:rPr>
          <w:rFonts w:hint="eastAsia"/>
          <w:color w:val="auto"/>
          <w:highlight w:val="none"/>
          <w:lang w:val="en-US" w:eastAsia="zh-CN"/>
        </w:rPr>
      </w:pPr>
    </w:p>
    <w:p w14:paraId="5A819963">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宋体" w:hAnsi="宋体" w:eastAsia="宋体" w:cs="Times New Roman"/>
          <w:b w:val="0"/>
          <w:color w:val="auto"/>
          <w:kern w:val="2"/>
          <w:sz w:val="24"/>
          <w:szCs w:val="24"/>
          <w:highlight w:val="none"/>
          <w:lang w:val="en-US" w:eastAsia="zh-CN" w:bidi="ar"/>
        </w:rPr>
        <w:t xml:space="preserve"> 7、服务期限：12个月，服务期限为2026年1月1日起至2026年12月31日止。</w:t>
      </w:r>
    </w:p>
    <w:p w14:paraId="44B5D1BB">
      <w:pPr>
        <w:pStyle w:val="17"/>
        <w:rPr>
          <w:rFonts w:hint="eastAsia"/>
          <w:color w:val="auto"/>
          <w:highlight w:val="none"/>
          <w:lang w:val="en-US" w:eastAsia="zh-CN"/>
        </w:rPr>
        <w:sectPr>
          <w:pgSz w:w="11907" w:h="16840"/>
          <w:pgMar w:top="1418" w:right="1134" w:bottom="1418" w:left="1701" w:header="851" w:footer="851" w:gutter="0"/>
          <w:pgNumType w:fmt="decimal"/>
          <w:cols w:space="720" w:num="1"/>
          <w:docGrid w:linePitch="462" w:charSpace="0"/>
        </w:sectPr>
      </w:pPr>
    </w:p>
    <w:p w14:paraId="73061088">
      <w:pPr>
        <w:spacing w:line="360" w:lineRule="auto"/>
        <w:jc w:val="center"/>
        <w:outlineLvl w:val="0"/>
        <w:rPr>
          <w:rFonts w:ascii="宋体" w:hAnsi="宋体"/>
          <w:b/>
          <w:color w:val="auto"/>
          <w:sz w:val="24"/>
          <w:highlight w:val="none"/>
        </w:rPr>
      </w:pPr>
      <w:bookmarkStart w:id="737" w:name="_Toc16167"/>
      <w:r>
        <w:rPr>
          <w:rFonts w:ascii="宋体" w:hAnsi="宋体"/>
          <w:b/>
          <w:color w:val="auto"/>
          <w:sz w:val="24"/>
          <w:highlight w:val="none"/>
        </w:rPr>
        <w:t>第六章   拟签订的合同文本</w:t>
      </w:r>
      <w:bookmarkEnd w:id="735"/>
      <w:bookmarkEnd w:id="736"/>
      <w:bookmarkEnd w:id="737"/>
    </w:p>
    <w:p w14:paraId="135573A5">
      <w:pPr>
        <w:tabs>
          <w:tab w:val="left" w:pos="900"/>
          <w:tab w:val="left" w:pos="1080"/>
        </w:tabs>
        <w:snapToGrid w:val="0"/>
        <w:spacing w:line="360" w:lineRule="auto"/>
        <w:rPr>
          <w:rFonts w:ascii="宋体" w:hAnsi="宋体"/>
          <w:color w:val="auto"/>
          <w:kern w:val="0"/>
          <w:sz w:val="24"/>
          <w:highlight w:val="none"/>
        </w:rPr>
      </w:pPr>
    </w:p>
    <w:p w14:paraId="607FE86A">
      <w:pPr>
        <w:spacing w:line="360" w:lineRule="auto"/>
        <w:jc w:val="both"/>
        <w:outlineLvl w:val="1"/>
        <w:rPr>
          <w:rFonts w:hint="eastAsia" w:ascii="宋体" w:hAnsi="宋体" w:eastAsia="宋体"/>
          <w:b/>
          <w:color w:val="auto"/>
          <w:sz w:val="24"/>
          <w:highlight w:val="none"/>
          <w:lang w:eastAsia="zh-CN"/>
        </w:rPr>
      </w:pPr>
      <w:r>
        <w:rPr>
          <w:rFonts w:hint="eastAsia" w:ascii="宋体" w:hAnsi="宋体"/>
          <w:b/>
          <w:color w:val="auto"/>
          <w:sz w:val="24"/>
          <w:highlight w:val="none"/>
          <w:lang w:val="en-US" w:eastAsia="zh-CN"/>
        </w:rPr>
        <w:t>1包绿地养护管理合同范本</w:t>
      </w:r>
    </w:p>
    <w:p w14:paraId="11DC622A">
      <w:pPr>
        <w:tabs>
          <w:tab w:val="left" w:pos="900"/>
          <w:tab w:val="left" w:pos="1080"/>
        </w:tabs>
        <w:snapToGrid w:val="0"/>
        <w:spacing w:line="360" w:lineRule="auto"/>
        <w:rPr>
          <w:rFonts w:ascii="宋体" w:hAnsi="宋体"/>
          <w:color w:val="auto"/>
          <w:kern w:val="0"/>
          <w:sz w:val="24"/>
          <w:highlight w:val="none"/>
        </w:rPr>
      </w:pPr>
    </w:p>
    <w:p w14:paraId="20EAD9AA">
      <w:pPr>
        <w:pStyle w:val="17"/>
        <w:spacing w:before="12"/>
        <w:rPr>
          <w:b/>
          <w:color w:val="auto"/>
          <w:sz w:val="14"/>
          <w:highlight w:val="none"/>
          <w:lang w:eastAsia="zh-CN"/>
        </w:rPr>
      </w:pPr>
      <w:bookmarkStart w:id="738" w:name="_Toc22894"/>
      <w:bookmarkStart w:id="739" w:name="_Toc99301426"/>
    </w:p>
    <w:p w14:paraId="7CCC0292">
      <w:pPr>
        <w:tabs>
          <w:tab w:val="left" w:pos="7504"/>
        </w:tabs>
        <w:rPr>
          <w:rFonts w:ascii="Times New Roman" w:eastAsia="Times New Roman"/>
          <w:b/>
          <w:color w:val="auto"/>
          <w:sz w:val="28"/>
          <w:highlight w:val="none"/>
          <w:u w:val="single"/>
          <w:lang w:val="en" w:eastAsia="zh-CN"/>
        </w:rPr>
      </w:pPr>
    </w:p>
    <w:p w14:paraId="7E622502">
      <w:pPr>
        <w:pStyle w:val="17"/>
        <w:rPr>
          <w:rFonts w:ascii="Times New Roman"/>
          <w:b/>
          <w:color w:val="auto"/>
          <w:sz w:val="20"/>
          <w:highlight w:val="none"/>
          <w:lang w:eastAsia="zh-CN"/>
        </w:rPr>
      </w:pPr>
    </w:p>
    <w:p w14:paraId="5DD1A5E6">
      <w:pPr>
        <w:pStyle w:val="17"/>
        <w:rPr>
          <w:rFonts w:ascii="Times New Roman"/>
          <w:b/>
          <w:color w:val="auto"/>
          <w:sz w:val="20"/>
          <w:highlight w:val="none"/>
          <w:lang w:eastAsia="zh-CN"/>
        </w:rPr>
      </w:pPr>
    </w:p>
    <w:p w14:paraId="61E659B3">
      <w:pPr>
        <w:pStyle w:val="17"/>
        <w:rPr>
          <w:rFonts w:ascii="Times New Roman"/>
          <w:b/>
          <w:color w:val="auto"/>
          <w:sz w:val="20"/>
          <w:highlight w:val="none"/>
          <w:lang w:eastAsia="zh-CN"/>
        </w:rPr>
      </w:pPr>
    </w:p>
    <w:p w14:paraId="161E2087">
      <w:pPr>
        <w:pStyle w:val="17"/>
        <w:rPr>
          <w:rFonts w:ascii="Times New Roman"/>
          <w:b/>
          <w:color w:val="auto"/>
          <w:sz w:val="20"/>
          <w:highlight w:val="none"/>
          <w:lang w:eastAsia="zh-CN"/>
        </w:rPr>
      </w:pPr>
    </w:p>
    <w:p w14:paraId="51251E51">
      <w:pPr>
        <w:pStyle w:val="17"/>
        <w:spacing w:before="6"/>
        <w:rPr>
          <w:rFonts w:ascii="Times New Roman"/>
          <w:b/>
          <w:color w:val="auto"/>
          <w:sz w:val="18"/>
          <w:highlight w:val="none"/>
          <w:lang w:eastAsia="zh-CN"/>
        </w:rPr>
      </w:pPr>
    </w:p>
    <w:p w14:paraId="34A3BBD7">
      <w:pPr>
        <w:spacing w:before="32"/>
        <w:jc w:val="center"/>
        <w:rPr>
          <w:b/>
          <w:color w:val="auto"/>
          <w:sz w:val="48"/>
          <w:highlight w:val="none"/>
          <w:lang w:eastAsia="zh-CN"/>
        </w:rPr>
      </w:pPr>
      <w:r>
        <w:rPr>
          <w:rFonts w:hint="eastAsia"/>
          <w:b/>
          <w:color w:val="auto"/>
          <w:sz w:val="48"/>
          <w:highlight w:val="none"/>
          <w:lang w:eastAsia="zh-CN"/>
        </w:rPr>
        <w:t>绿地</w:t>
      </w:r>
      <w:r>
        <w:rPr>
          <w:b/>
          <w:color w:val="auto"/>
          <w:sz w:val="48"/>
          <w:highlight w:val="none"/>
          <w:lang w:eastAsia="zh-CN"/>
        </w:rPr>
        <w:t>养护</w:t>
      </w:r>
      <w:r>
        <w:rPr>
          <w:rFonts w:hint="eastAsia"/>
          <w:b/>
          <w:color w:val="auto"/>
          <w:sz w:val="48"/>
          <w:highlight w:val="none"/>
          <w:lang w:eastAsia="zh-CN"/>
        </w:rPr>
        <w:t>、</w:t>
      </w:r>
      <w:r>
        <w:rPr>
          <w:b/>
          <w:color w:val="auto"/>
          <w:sz w:val="48"/>
          <w:highlight w:val="none"/>
          <w:lang w:eastAsia="zh-CN"/>
        </w:rPr>
        <w:t>管理合同</w:t>
      </w:r>
    </w:p>
    <w:p w14:paraId="426E61E6">
      <w:pPr>
        <w:pStyle w:val="17"/>
        <w:rPr>
          <w:b/>
          <w:color w:val="auto"/>
          <w:sz w:val="48"/>
          <w:highlight w:val="none"/>
          <w:lang w:eastAsia="zh-CN"/>
        </w:rPr>
      </w:pPr>
    </w:p>
    <w:p w14:paraId="199FDE81">
      <w:pPr>
        <w:pStyle w:val="17"/>
        <w:rPr>
          <w:b/>
          <w:color w:val="auto"/>
          <w:sz w:val="48"/>
          <w:highlight w:val="none"/>
          <w:lang w:eastAsia="zh-CN"/>
        </w:rPr>
      </w:pPr>
    </w:p>
    <w:p w14:paraId="74271CCB">
      <w:pPr>
        <w:pStyle w:val="17"/>
        <w:rPr>
          <w:b/>
          <w:color w:val="auto"/>
          <w:sz w:val="48"/>
          <w:highlight w:val="none"/>
          <w:lang w:eastAsia="zh-CN"/>
        </w:rPr>
      </w:pPr>
    </w:p>
    <w:p w14:paraId="13F7CB67">
      <w:pPr>
        <w:pStyle w:val="17"/>
        <w:rPr>
          <w:b/>
          <w:color w:val="auto"/>
          <w:sz w:val="48"/>
          <w:highlight w:val="none"/>
          <w:lang w:eastAsia="zh-CN"/>
        </w:rPr>
      </w:pPr>
    </w:p>
    <w:p w14:paraId="4878E7CC">
      <w:pPr>
        <w:pStyle w:val="17"/>
        <w:rPr>
          <w:b/>
          <w:color w:val="auto"/>
          <w:sz w:val="48"/>
          <w:highlight w:val="none"/>
          <w:lang w:eastAsia="zh-CN"/>
        </w:rPr>
      </w:pPr>
    </w:p>
    <w:p w14:paraId="042945A2">
      <w:pPr>
        <w:pStyle w:val="17"/>
        <w:rPr>
          <w:b/>
          <w:color w:val="auto"/>
          <w:sz w:val="48"/>
          <w:highlight w:val="none"/>
          <w:lang w:eastAsia="zh-CN"/>
        </w:rPr>
      </w:pPr>
    </w:p>
    <w:p w14:paraId="4E5AA769">
      <w:pPr>
        <w:pStyle w:val="17"/>
        <w:rPr>
          <w:b/>
          <w:color w:val="auto"/>
          <w:sz w:val="48"/>
          <w:highlight w:val="none"/>
          <w:lang w:eastAsia="zh-CN"/>
        </w:rPr>
      </w:pPr>
    </w:p>
    <w:p w14:paraId="4FF9DB0D">
      <w:pPr>
        <w:tabs>
          <w:tab w:val="left" w:pos="6557"/>
        </w:tabs>
        <w:spacing w:before="350" w:line="364" w:lineRule="auto"/>
        <w:ind w:left="1073" w:right="2446"/>
        <w:jc w:val="both"/>
        <w:rPr>
          <w:b/>
          <w:color w:val="auto"/>
          <w:sz w:val="28"/>
          <w:highlight w:val="none"/>
          <w:u w:val="single"/>
          <w:lang w:eastAsia="zh-CN"/>
        </w:rPr>
      </w:pPr>
      <w:r>
        <w:rPr>
          <w:b/>
          <w:color w:val="auto"/>
          <w:sz w:val="28"/>
          <w:highlight w:val="none"/>
          <w:lang w:eastAsia="zh-CN"/>
        </w:rPr>
        <w:t>项目名称：</w:t>
      </w:r>
      <w:r>
        <w:rPr>
          <w:b/>
          <w:color w:val="auto"/>
          <w:sz w:val="28"/>
          <w:highlight w:val="none"/>
          <w:u w:val="single"/>
          <w:lang w:eastAsia="zh-CN"/>
        </w:rPr>
        <w:t xml:space="preserve">  </w:t>
      </w:r>
      <w:r>
        <w:rPr>
          <w:rFonts w:hint="eastAsia"/>
          <w:b/>
          <w:color w:val="auto"/>
          <w:sz w:val="28"/>
          <w:highlight w:val="none"/>
          <w:u w:val="single"/>
          <w:lang w:eastAsia="zh-CN"/>
        </w:rPr>
        <w:t xml:space="preserve"> </w:t>
      </w:r>
      <w:r>
        <w:rPr>
          <w:b/>
          <w:color w:val="auto"/>
          <w:sz w:val="28"/>
          <w:highlight w:val="none"/>
          <w:u w:val="single"/>
          <w:lang w:val="en" w:eastAsia="zh-CN"/>
        </w:rPr>
        <w:t xml:space="preserve">              </w:t>
      </w:r>
      <w:r>
        <w:rPr>
          <w:rFonts w:hint="eastAsia"/>
          <w:b/>
          <w:color w:val="auto"/>
          <w:sz w:val="28"/>
          <w:highlight w:val="none"/>
          <w:u w:val="single"/>
          <w:lang w:eastAsia="zh-CN"/>
        </w:rPr>
        <w:t xml:space="preserve">     </w:t>
      </w:r>
      <w:r>
        <w:rPr>
          <w:b/>
          <w:color w:val="auto"/>
          <w:sz w:val="28"/>
          <w:highlight w:val="none"/>
          <w:u w:val="single"/>
          <w:lang w:eastAsia="zh-CN"/>
        </w:rPr>
        <w:t xml:space="preserve">           </w:t>
      </w:r>
    </w:p>
    <w:p w14:paraId="2F65282A">
      <w:pPr>
        <w:tabs>
          <w:tab w:val="left" w:pos="6557"/>
        </w:tabs>
        <w:spacing w:before="350" w:line="364" w:lineRule="auto"/>
        <w:ind w:left="1073" w:right="2446"/>
        <w:jc w:val="both"/>
        <w:rPr>
          <w:rFonts w:hint="default"/>
          <w:b/>
          <w:color w:val="auto"/>
          <w:sz w:val="28"/>
          <w:highlight w:val="none"/>
          <w:u w:val="single"/>
          <w:lang w:val="en-US" w:eastAsia="zh-CN"/>
        </w:rPr>
      </w:pPr>
      <w:r>
        <w:rPr>
          <w:b/>
          <w:color w:val="auto"/>
          <w:sz w:val="28"/>
          <w:highlight w:val="none"/>
          <w:lang w:eastAsia="zh-CN"/>
        </w:rPr>
        <w:t>甲方：</w:t>
      </w:r>
      <w:r>
        <w:rPr>
          <w:b/>
          <w:color w:val="auto"/>
          <w:sz w:val="28"/>
          <w:highlight w:val="none"/>
          <w:u w:val="single"/>
          <w:lang w:eastAsia="zh-CN"/>
        </w:rPr>
        <w:t>北京市绿地养护管理事务中心</w:t>
      </w:r>
      <w:r>
        <w:rPr>
          <w:rFonts w:hint="eastAsia"/>
          <w:b/>
          <w:color w:val="auto"/>
          <w:sz w:val="28"/>
          <w:highlight w:val="none"/>
          <w:u w:val="single"/>
          <w:lang w:eastAsia="zh-CN"/>
        </w:rPr>
        <w:t xml:space="preserve"> </w:t>
      </w:r>
      <w:r>
        <w:rPr>
          <w:b/>
          <w:color w:val="auto"/>
          <w:sz w:val="28"/>
          <w:highlight w:val="none"/>
          <w:u w:val="single"/>
          <w:lang w:eastAsia="zh-CN"/>
        </w:rPr>
        <w:t xml:space="preserve"> </w:t>
      </w:r>
      <w:r>
        <w:rPr>
          <w:rFonts w:hint="eastAsia"/>
          <w:b/>
          <w:color w:val="auto"/>
          <w:sz w:val="28"/>
          <w:highlight w:val="none"/>
          <w:u w:val="single"/>
          <w:lang w:eastAsia="zh-CN"/>
        </w:rPr>
        <w:t xml:space="preserve">  </w:t>
      </w:r>
      <w:r>
        <w:rPr>
          <w:rFonts w:hint="eastAsia"/>
          <w:b/>
          <w:color w:val="auto"/>
          <w:sz w:val="28"/>
          <w:highlight w:val="none"/>
          <w:u w:val="single"/>
          <w:lang w:val="en-US" w:eastAsia="zh-CN"/>
        </w:rPr>
        <w:t xml:space="preserve">   </w:t>
      </w:r>
    </w:p>
    <w:p w14:paraId="423B1CD2">
      <w:pPr>
        <w:tabs>
          <w:tab w:val="left" w:pos="6557"/>
        </w:tabs>
        <w:spacing w:before="350" w:line="364" w:lineRule="auto"/>
        <w:ind w:left="1073" w:right="2446"/>
        <w:jc w:val="both"/>
        <w:rPr>
          <w:b/>
          <w:color w:val="auto"/>
          <w:sz w:val="28"/>
          <w:highlight w:val="none"/>
          <w:u w:val="single"/>
          <w:lang w:eastAsia="zh-CN"/>
        </w:rPr>
      </w:pPr>
      <w:r>
        <w:rPr>
          <w:b/>
          <w:color w:val="auto"/>
          <w:sz w:val="28"/>
          <w:highlight w:val="none"/>
          <w:lang w:eastAsia="zh-CN"/>
        </w:rPr>
        <w:t>乙方：</w:t>
      </w:r>
      <w:r>
        <w:rPr>
          <w:rFonts w:hint="eastAsia"/>
          <w:b/>
          <w:color w:val="auto"/>
          <w:sz w:val="28"/>
          <w:highlight w:val="none"/>
          <w:u w:val="single"/>
          <w:lang w:eastAsia="zh-CN"/>
        </w:rPr>
        <w:t xml:space="preserve">       </w:t>
      </w:r>
      <w:r>
        <w:rPr>
          <w:b/>
          <w:color w:val="auto"/>
          <w:sz w:val="28"/>
          <w:highlight w:val="none"/>
          <w:u w:val="single"/>
          <w:lang w:eastAsia="zh-CN"/>
        </w:rPr>
        <w:t xml:space="preserve">  </w:t>
      </w:r>
      <w:r>
        <w:rPr>
          <w:rFonts w:hint="eastAsia"/>
          <w:b/>
          <w:color w:val="auto"/>
          <w:sz w:val="28"/>
          <w:highlight w:val="none"/>
          <w:u w:val="single"/>
          <w:lang w:eastAsia="zh-CN"/>
        </w:rPr>
        <w:t xml:space="preserve">           </w:t>
      </w:r>
      <w:r>
        <w:rPr>
          <w:b/>
          <w:color w:val="auto"/>
          <w:sz w:val="28"/>
          <w:highlight w:val="none"/>
          <w:u w:val="single"/>
          <w:lang w:val="en" w:eastAsia="zh-CN"/>
        </w:rPr>
        <w:t xml:space="preserve">                        </w:t>
      </w:r>
      <w:r>
        <w:rPr>
          <w:b/>
          <w:color w:val="auto"/>
          <w:sz w:val="28"/>
          <w:highlight w:val="none"/>
          <w:u w:val="single"/>
          <w:lang w:eastAsia="zh-CN"/>
        </w:rPr>
        <w:t xml:space="preserve">          </w:t>
      </w:r>
    </w:p>
    <w:p w14:paraId="50D41413">
      <w:pPr>
        <w:tabs>
          <w:tab w:val="left" w:pos="6557"/>
        </w:tabs>
        <w:spacing w:before="350" w:line="364" w:lineRule="auto"/>
        <w:ind w:left="1073" w:right="2446"/>
        <w:jc w:val="both"/>
        <w:rPr>
          <w:rFonts w:ascii="Times New Roman" w:eastAsia="Times New Roman"/>
          <w:color w:val="auto"/>
          <w:sz w:val="28"/>
          <w:highlight w:val="none"/>
          <w:lang w:eastAsia="zh-CN"/>
        </w:rPr>
        <w:sectPr>
          <w:headerReference r:id="rId15" w:type="default"/>
          <w:footerReference r:id="rId16" w:type="default"/>
          <w:pgSz w:w="11910" w:h="16840"/>
          <w:pgMar w:top="1580" w:right="1480" w:bottom="1000" w:left="1418" w:header="0" w:footer="808" w:gutter="0"/>
          <w:pgNumType w:fmt="decimal"/>
          <w:cols w:space="720" w:num="1"/>
        </w:sectPr>
      </w:pPr>
      <w:r>
        <w:rPr>
          <w:b/>
          <w:color w:val="auto"/>
          <w:sz w:val="28"/>
          <w:highlight w:val="none"/>
          <w:lang w:eastAsia="zh-CN"/>
        </w:rPr>
        <w:t>合同编号：</w:t>
      </w:r>
      <w:r>
        <w:rPr>
          <w:b/>
          <w:color w:val="auto"/>
          <w:sz w:val="28"/>
          <w:highlight w:val="none"/>
          <w:u w:val="single"/>
          <w:lang w:eastAsia="zh-CN"/>
        </w:rPr>
        <w:t xml:space="preserve">            </w:t>
      </w:r>
      <w:r>
        <w:rPr>
          <w:b/>
          <w:color w:val="auto"/>
          <w:sz w:val="28"/>
          <w:highlight w:val="none"/>
          <w:u w:val="single"/>
          <w:lang w:val="en" w:eastAsia="zh-CN"/>
        </w:rPr>
        <w:t xml:space="preserve">                         </w:t>
      </w:r>
      <w:r>
        <w:rPr>
          <w:b/>
          <w:color w:val="auto"/>
          <w:sz w:val="28"/>
          <w:highlight w:val="none"/>
          <w:u w:val="single"/>
          <w:lang w:eastAsia="zh-CN"/>
        </w:rPr>
        <w:t xml:space="preserve">            </w:t>
      </w:r>
    </w:p>
    <w:p w14:paraId="6239EF93">
      <w:pPr>
        <w:spacing w:before="61"/>
        <w:ind w:left="2251" w:right="2247"/>
        <w:jc w:val="center"/>
        <w:rPr>
          <w:b/>
          <w:color w:val="auto"/>
          <w:sz w:val="28"/>
          <w:highlight w:val="none"/>
          <w:lang w:eastAsia="zh-CN"/>
        </w:rPr>
      </w:pPr>
      <w:r>
        <w:rPr>
          <w:rFonts w:hint="eastAsia"/>
          <w:b/>
          <w:color w:val="auto"/>
          <w:sz w:val="28"/>
          <w:highlight w:val="none"/>
          <w:lang w:eastAsia="zh-CN"/>
        </w:rPr>
        <w:t>绿地</w:t>
      </w:r>
      <w:r>
        <w:rPr>
          <w:b/>
          <w:color w:val="auto"/>
          <w:sz w:val="28"/>
          <w:highlight w:val="none"/>
          <w:lang w:eastAsia="zh-CN"/>
        </w:rPr>
        <w:t>养护、管理合同</w:t>
      </w:r>
    </w:p>
    <w:p w14:paraId="4384DFA9">
      <w:pPr>
        <w:pStyle w:val="17"/>
        <w:spacing w:before="5"/>
        <w:rPr>
          <w:b/>
          <w:color w:val="auto"/>
          <w:highlight w:val="none"/>
          <w:lang w:eastAsia="zh-CN"/>
        </w:rPr>
      </w:pPr>
    </w:p>
    <w:p w14:paraId="0E87BE67">
      <w:pPr>
        <w:pStyle w:val="17"/>
        <w:pageBreakBefore w:val="0"/>
        <w:tabs>
          <w:tab w:val="left" w:pos="5058"/>
          <w:tab w:val="clear" w:pos="567"/>
        </w:tabs>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pacing w:val="-108"/>
          <w:sz w:val="24"/>
          <w:szCs w:val="24"/>
          <w:highlight w:val="none"/>
          <w:lang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3"/>
          <w:sz w:val="24"/>
          <w:szCs w:val="24"/>
          <w:highlight w:val="none"/>
          <w:lang w:eastAsia="zh-CN"/>
        </w:rPr>
        <w:t>发</w:t>
      </w:r>
      <w:r>
        <w:rPr>
          <w:rFonts w:hint="eastAsia" w:ascii="宋体" w:hAnsi="宋体" w:eastAsia="宋体" w:cs="宋体"/>
          <w:color w:val="auto"/>
          <w:sz w:val="24"/>
          <w:szCs w:val="24"/>
          <w:highlight w:val="none"/>
          <w:lang w:eastAsia="zh-CN"/>
        </w:rPr>
        <w:t>包</w:t>
      </w:r>
      <w:r>
        <w:rPr>
          <w:rFonts w:hint="eastAsia" w:ascii="宋体" w:hAnsi="宋体" w:eastAsia="宋体" w:cs="宋体"/>
          <w:color w:val="auto"/>
          <w:spacing w:val="-3"/>
          <w:sz w:val="24"/>
          <w:szCs w:val="24"/>
          <w:highlight w:val="none"/>
          <w:lang w:eastAsia="zh-CN"/>
        </w:rPr>
        <w:t>人</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3"/>
          <w:sz w:val="24"/>
          <w:szCs w:val="24"/>
          <w:highlight w:val="none"/>
          <w:u w:val="single"/>
          <w:lang w:eastAsia="zh-CN"/>
        </w:rPr>
        <w:t>北京市绿地养护管理事务中心</w:t>
      </w:r>
      <w:r>
        <w:rPr>
          <w:rFonts w:hint="eastAsia" w:ascii="宋体" w:hAnsi="宋体" w:eastAsia="宋体" w:cs="宋体"/>
          <w:color w:val="auto"/>
          <w:sz w:val="24"/>
          <w:szCs w:val="24"/>
          <w:highlight w:val="none"/>
          <w:u w:val="single"/>
          <w:lang w:eastAsia="zh-CN"/>
        </w:rPr>
        <w:tab/>
      </w:r>
    </w:p>
    <w:p w14:paraId="32713F0D">
      <w:pPr>
        <w:pStyle w:val="17"/>
        <w:pageBreakBefore w:val="0"/>
        <w:tabs>
          <w:tab w:val="left" w:pos="5052"/>
          <w:tab w:val="clear" w:pos="567"/>
        </w:tabs>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z w:val="24"/>
          <w:szCs w:val="24"/>
          <w:highlight w:val="none"/>
          <w:lang w:eastAsia="zh-CN"/>
        </w:rPr>
        <w:t>承</w:t>
      </w:r>
      <w:r>
        <w:rPr>
          <w:rFonts w:hint="eastAsia" w:ascii="宋体" w:hAnsi="宋体" w:eastAsia="宋体" w:cs="宋体"/>
          <w:color w:val="auto"/>
          <w:spacing w:val="-3"/>
          <w:sz w:val="24"/>
          <w:szCs w:val="24"/>
          <w:highlight w:val="none"/>
          <w:lang w:eastAsia="zh-CN"/>
        </w:rPr>
        <w:t>包</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u w:val="single"/>
          <w:lang w:eastAsia="zh-CN"/>
        </w:rPr>
        <w:t xml:space="preserve">        </w:t>
      </w:r>
      <w:r>
        <w:rPr>
          <w:rFonts w:hint="eastAsia" w:ascii="宋体" w:hAnsi="宋体" w:eastAsia="宋体" w:cs="宋体"/>
          <w:color w:val="auto"/>
          <w:spacing w:val="-3"/>
          <w:sz w:val="24"/>
          <w:szCs w:val="24"/>
          <w:highlight w:val="none"/>
          <w:u w:val="single"/>
          <w:lang w:val="en" w:eastAsia="zh-CN"/>
        </w:rPr>
        <w:t xml:space="preserve">                     </w:t>
      </w:r>
    </w:p>
    <w:p w14:paraId="0495AD45">
      <w:pPr>
        <w:pStyle w:val="17"/>
        <w:pageBreakBefore w:val="0"/>
        <w:kinsoku/>
        <w:wordWrap/>
        <w:overflowPunct/>
        <w:topLinePunct w:val="0"/>
        <w:bidi w:val="0"/>
        <w:snapToGrid w:val="0"/>
        <w:spacing w:line="360" w:lineRule="auto"/>
        <w:textAlignment w:val="auto"/>
        <w:rPr>
          <w:rFonts w:hint="eastAsia" w:ascii="宋体" w:hAnsi="宋体" w:eastAsia="宋体" w:cs="宋体"/>
          <w:color w:val="auto"/>
          <w:sz w:val="24"/>
          <w:szCs w:val="24"/>
          <w:highlight w:val="none"/>
          <w:lang w:eastAsia="zh-CN"/>
        </w:rPr>
      </w:pPr>
    </w:p>
    <w:p w14:paraId="19D3C16E">
      <w:pPr>
        <w:pStyle w:val="17"/>
        <w:pageBreakBefore w:val="0"/>
        <w:kinsoku/>
        <w:wordWrap/>
        <w:overflowPunct/>
        <w:topLinePunct w:val="0"/>
        <w:bidi w:val="0"/>
        <w:snapToGrid w:val="0"/>
        <w:spacing w:line="360" w:lineRule="auto"/>
        <w:ind w:right="210"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为明确甲乙双方的权利义务，根据《中华人民共和国民法典》、《中华人民共和国城市绿化条例》、《北京市绿化条例》及其他有关法律、法规的规定，遵循平等、自愿、公平和诚实信用的原则，甲、乙双方就</w:t>
      </w:r>
      <w:r>
        <w:rPr>
          <w:rFonts w:hint="eastAsia" w:cs="宋体"/>
          <w:bCs/>
          <w:color w:val="auto"/>
          <w:sz w:val="24"/>
          <w:szCs w:val="24"/>
          <w:highlight w:val="none"/>
          <w:lang w:eastAsia="zh-CN"/>
        </w:rPr>
        <w:t>六合村办公区组团行政办公区绿地养护项目</w:t>
      </w:r>
      <w:r>
        <w:rPr>
          <w:rFonts w:hint="eastAsia" w:ascii="宋体" w:hAnsi="宋体" w:eastAsia="宋体" w:cs="宋体"/>
          <w:bCs/>
          <w:color w:val="auto"/>
          <w:sz w:val="24"/>
          <w:szCs w:val="24"/>
          <w:highlight w:val="none"/>
          <w:lang w:eastAsia="zh-CN"/>
        </w:rPr>
        <w:t>的园林绿化养护、管理（以下简称“养护”）事宜协商一致，订立本合同。</w:t>
      </w:r>
      <w:bookmarkStart w:id="740" w:name="第一条_项目概况"/>
      <w:bookmarkEnd w:id="740"/>
    </w:p>
    <w:p w14:paraId="01A70343">
      <w:pPr>
        <w:pStyle w:val="17"/>
        <w:pageBreakBefore w:val="0"/>
        <w:kinsoku/>
        <w:wordWrap/>
        <w:overflowPunct/>
        <w:topLinePunct w:val="0"/>
        <w:bidi w:val="0"/>
        <w:snapToGrid w:val="0"/>
        <w:spacing w:line="360" w:lineRule="auto"/>
        <w:ind w:right="210" w:firstLine="482"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第一条 项目概况</w:t>
      </w:r>
    </w:p>
    <w:p w14:paraId="5B63D344">
      <w:pPr>
        <w:pStyle w:val="17"/>
        <w:pageBreakBefore w:val="0"/>
        <w:kinsoku/>
        <w:wordWrap/>
        <w:overflowPunct/>
        <w:topLinePunct w:val="0"/>
        <w:bidi w:val="0"/>
        <w:snapToGrid w:val="0"/>
        <w:spacing w:line="360" w:lineRule="auto"/>
        <w:ind w:right="210" w:firstLine="482"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（一）项目名称</w:t>
      </w:r>
      <w:r>
        <w:rPr>
          <w:rFonts w:hint="eastAsia" w:ascii="宋体" w:hAnsi="宋体" w:eastAsia="宋体" w:cs="宋体"/>
          <w:bCs/>
          <w:color w:val="auto"/>
          <w:sz w:val="24"/>
          <w:szCs w:val="24"/>
          <w:highlight w:val="none"/>
          <w:lang w:eastAsia="zh-CN"/>
        </w:rPr>
        <w:t>：</w:t>
      </w:r>
    </w:p>
    <w:p w14:paraId="5EBD0634">
      <w:pPr>
        <w:pStyle w:val="17"/>
        <w:pageBreakBefore w:val="0"/>
        <w:kinsoku/>
        <w:wordWrap/>
        <w:overflowPunct/>
        <w:topLinePunct w:val="0"/>
        <w:bidi w:val="0"/>
        <w:snapToGrid w:val="0"/>
        <w:spacing w:line="360" w:lineRule="auto"/>
        <w:ind w:right="210" w:firstLine="482"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（二）项目地点</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ab/>
      </w:r>
    </w:p>
    <w:p w14:paraId="3DC25F96">
      <w:pPr>
        <w:pStyle w:val="17"/>
        <w:pageBreakBefore w:val="0"/>
        <w:kinsoku/>
        <w:wordWrap/>
        <w:overflowPunct/>
        <w:topLinePunct w:val="0"/>
        <w:bidi w:val="0"/>
        <w:snapToGrid w:val="0"/>
        <w:spacing w:line="360" w:lineRule="auto"/>
        <w:ind w:right="21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
          <w:color w:val="auto"/>
          <w:sz w:val="24"/>
          <w:szCs w:val="24"/>
          <w:highlight w:val="none"/>
          <w:lang w:eastAsia="zh-CN"/>
        </w:rPr>
        <w:t>三）资金来源</w:t>
      </w:r>
      <w:r>
        <w:rPr>
          <w:rFonts w:hint="eastAsia" w:ascii="宋体" w:hAnsi="宋体" w:eastAsia="宋体" w:cs="宋体"/>
          <w:bCs/>
          <w:color w:val="auto"/>
          <w:sz w:val="24"/>
          <w:szCs w:val="24"/>
          <w:highlight w:val="none"/>
          <w:lang w:eastAsia="zh-CN"/>
        </w:rPr>
        <w:t>：财政性资金</w:t>
      </w:r>
      <w:r>
        <w:rPr>
          <w:rFonts w:hint="eastAsia" w:ascii="宋体" w:hAnsi="宋体" w:eastAsia="宋体" w:cs="宋体"/>
          <w:bCs/>
          <w:color w:val="auto"/>
          <w:sz w:val="24"/>
          <w:szCs w:val="24"/>
          <w:highlight w:val="none"/>
          <w:lang w:eastAsia="zh-CN"/>
        </w:rPr>
        <w:tab/>
      </w:r>
    </w:p>
    <w:p w14:paraId="3F8B09EC">
      <w:pPr>
        <w:pStyle w:val="17"/>
        <w:pageBreakBefore w:val="0"/>
        <w:kinsoku/>
        <w:wordWrap/>
        <w:overflowPunct/>
        <w:topLinePunct w:val="0"/>
        <w:bidi w:val="0"/>
        <w:snapToGrid w:val="0"/>
        <w:spacing w:line="360" w:lineRule="auto"/>
        <w:ind w:right="210" w:firstLine="482" w:firstLineChars="200"/>
        <w:textAlignment w:val="auto"/>
        <w:rPr>
          <w:rFonts w:hint="eastAsia" w:ascii="宋体" w:hAnsi="宋体" w:eastAsia="宋体" w:cs="宋体"/>
          <w:b/>
          <w:color w:val="auto"/>
          <w:sz w:val="24"/>
          <w:szCs w:val="24"/>
          <w:highlight w:val="none"/>
          <w:lang w:eastAsia="zh-CN"/>
        </w:rPr>
      </w:pPr>
      <w:bookmarkStart w:id="741" w:name="第二条_养护管理的范围、面积等级和工作量"/>
      <w:bookmarkEnd w:id="741"/>
      <w:bookmarkStart w:id="742" w:name="_Toc28273036"/>
      <w:bookmarkStart w:id="743" w:name="_Toc61947346"/>
      <w:bookmarkStart w:id="744" w:name="_Toc28612867"/>
      <w:r>
        <w:rPr>
          <w:rFonts w:hint="eastAsia" w:ascii="宋体" w:hAnsi="宋体" w:eastAsia="宋体" w:cs="宋体"/>
          <w:b/>
          <w:color w:val="auto"/>
          <w:sz w:val="24"/>
          <w:szCs w:val="24"/>
          <w:highlight w:val="none"/>
          <w:lang w:eastAsia="zh-CN"/>
        </w:rPr>
        <w:t>第二条 养护管理的范围、面积、绿地等级</w:t>
      </w:r>
      <w:bookmarkEnd w:id="742"/>
      <w:bookmarkEnd w:id="743"/>
      <w:bookmarkEnd w:id="744"/>
    </w:p>
    <w:p w14:paraId="051EBD0A">
      <w:pPr>
        <w:pStyle w:val="17"/>
        <w:pageBreakBefore w:val="0"/>
        <w:kinsoku/>
        <w:wordWrap/>
        <w:overflowPunct/>
        <w:topLinePunct w:val="0"/>
        <w:bidi w:val="0"/>
        <w:snapToGrid w:val="0"/>
        <w:spacing w:line="360" w:lineRule="auto"/>
        <w:ind w:right="210" w:firstLine="482"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（一）养护范围、面积和绿地养护等级</w:t>
      </w:r>
    </w:p>
    <w:p w14:paraId="455CC7CF">
      <w:pPr>
        <w:pStyle w:val="17"/>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1、养护范围：</w:t>
      </w:r>
    </w:p>
    <w:p w14:paraId="262E0BA3">
      <w:pPr>
        <w:pStyle w:val="17"/>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2、养护面积：</w:t>
      </w:r>
    </w:p>
    <w:p w14:paraId="4F6D63BD">
      <w:pPr>
        <w:pStyle w:val="17"/>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3、绿地等级：</w:t>
      </w:r>
    </w:p>
    <w:p w14:paraId="029CBDE0">
      <w:pPr>
        <w:pStyle w:val="17"/>
        <w:pageBreakBefore w:val="0"/>
        <w:kinsoku/>
        <w:wordWrap/>
        <w:overflowPunct/>
        <w:topLinePunct w:val="0"/>
        <w:bidi w:val="0"/>
        <w:snapToGrid w:val="0"/>
        <w:spacing w:line="360" w:lineRule="auto"/>
        <w:ind w:right="210" w:firstLine="482"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（二）养护工作量的确认</w:t>
      </w:r>
    </w:p>
    <w:p w14:paraId="28783CB7">
      <w:pPr>
        <w:pStyle w:val="17"/>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养护工作量主要是指养护管理范围（以下简称“养护范围”）内需进行养护的各类绿地植物和相关设施的数量。承包人在招标期间已对本合同的养护范围进行了现场实地考察，在投标报价中已给予了充分的考虑，发包人与承包人双方就上述差异对合同价款做任何的调整变更。</w:t>
      </w:r>
    </w:p>
    <w:p w14:paraId="35457173">
      <w:pPr>
        <w:pStyle w:val="17"/>
        <w:pageBreakBefore w:val="0"/>
        <w:kinsoku/>
        <w:wordWrap/>
        <w:overflowPunct/>
        <w:topLinePunct w:val="0"/>
        <w:bidi w:val="0"/>
        <w:snapToGrid w:val="0"/>
        <w:spacing w:line="360" w:lineRule="auto"/>
        <w:ind w:right="210" w:firstLine="482" w:firstLineChars="200"/>
        <w:textAlignment w:val="auto"/>
        <w:rPr>
          <w:rFonts w:hint="eastAsia" w:ascii="宋体" w:hAnsi="宋体" w:eastAsia="宋体" w:cs="宋体"/>
          <w:b/>
          <w:color w:val="auto"/>
          <w:sz w:val="24"/>
          <w:szCs w:val="24"/>
          <w:highlight w:val="none"/>
          <w:lang w:eastAsia="zh-CN"/>
        </w:rPr>
      </w:pPr>
      <w:bookmarkStart w:id="745" w:name="_Toc28612868"/>
      <w:bookmarkStart w:id="746" w:name="_Toc61947347"/>
      <w:bookmarkStart w:id="747" w:name="_Toc28273037"/>
      <w:r>
        <w:rPr>
          <w:rFonts w:hint="eastAsia" w:ascii="宋体" w:hAnsi="宋体" w:eastAsia="宋体" w:cs="宋体"/>
          <w:b/>
          <w:color w:val="auto"/>
          <w:sz w:val="24"/>
          <w:szCs w:val="24"/>
          <w:highlight w:val="none"/>
          <w:lang w:eastAsia="zh-CN"/>
        </w:rPr>
        <w:t>（三）养护面积</w:t>
      </w:r>
      <w:bookmarkEnd w:id="745"/>
      <w:bookmarkEnd w:id="746"/>
      <w:bookmarkEnd w:id="747"/>
    </w:p>
    <w:p w14:paraId="0D5267A8">
      <w:pPr>
        <w:pStyle w:val="17"/>
        <w:pageBreakBefore w:val="0"/>
        <w:kinsoku/>
        <w:wordWrap/>
        <w:overflowPunct/>
        <w:topLinePunct w:val="0"/>
        <w:bidi w:val="0"/>
        <w:snapToGrid w:val="0"/>
        <w:spacing w:line="360" w:lineRule="auto"/>
        <w:ind w:firstLine="482"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u w:val="single"/>
          <w:lang w:eastAsia="zh-CN"/>
        </w:rPr>
        <w:t>养护面积的确认</w:t>
      </w:r>
      <w:r>
        <w:rPr>
          <w:rFonts w:hint="eastAsia" w:ascii="宋体" w:hAnsi="宋体" w:eastAsia="宋体" w:cs="宋体"/>
          <w:color w:val="auto"/>
          <w:sz w:val="24"/>
          <w:szCs w:val="24"/>
          <w:highlight w:val="none"/>
          <w:lang w:eastAsia="zh-CN"/>
        </w:rPr>
        <w:t>：养护面积以采购需求面积为准。</w:t>
      </w:r>
    </w:p>
    <w:p w14:paraId="66C13F8B">
      <w:pPr>
        <w:pStyle w:val="17"/>
        <w:pageBreakBefore w:val="0"/>
        <w:kinsoku/>
        <w:wordWrap/>
        <w:overflowPunct/>
        <w:topLinePunct w:val="0"/>
        <w:bidi w:val="0"/>
        <w:snapToGrid w:val="0"/>
        <w:spacing w:line="360" w:lineRule="auto"/>
        <w:ind w:firstLine="482"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u w:val="single"/>
          <w:lang w:eastAsia="zh-CN"/>
        </w:rPr>
        <w:t>养护面积的调整</w:t>
      </w:r>
      <w:r>
        <w:rPr>
          <w:rFonts w:hint="eastAsia" w:ascii="宋体" w:hAnsi="宋体" w:eastAsia="宋体" w:cs="宋体"/>
          <w:color w:val="auto"/>
          <w:sz w:val="24"/>
          <w:szCs w:val="24"/>
          <w:highlight w:val="none"/>
          <w:lang w:eastAsia="zh-CN"/>
        </w:rPr>
        <w:t>：在养护实施过程中，因工程建设施工或其他原因甲方可增加或减少养护</w:t>
      </w:r>
      <w:r>
        <w:rPr>
          <w:rFonts w:hint="eastAsia" w:ascii="宋体" w:hAnsi="宋体" w:eastAsia="宋体" w:cs="宋体"/>
          <w:color w:val="auto"/>
          <w:spacing w:val="-8"/>
          <w:sz w:val="24"/>
          <w:szCs w:val="24"/>
          <w:highlight w:val="none"/>
          <w:lang w:eastAsia="zh-CN"/>
        </w:rPr>
        <w:t>面积，承包人应按调整后的面积实施养护，并根据调整的结果对合同价款进行相</w:t>
      </w:r>
      <w:r>
        <w:rPr>
          <w:rFonts w:hint="eastAsia" w:ascii="宋体" w:hAnsi="宋体" w:eastAsia="宋体" w:cs="宋体"/>
          <w:color w:val="auto"/>
          <w:spacing w:val="-3"/>
          <w:sz w:val="24"/>
          <w:szCs w:val="24"/>
          <w:highlight w:val="none"/>
          <w:lang w:eastAsia="zh-CN"/>
        </w:rPr>
        <w:t>应的调整。</w:t>
      </w:r>
    </w:p>
    <w:p w14:paraId="2C3A7097">
      <w:pPr>
        <w:pStyle w:val="100"/>
        <w:pageBreakBefore w:val="0"/>
        <w:tabs>
          <w:tab w:val="left" w:pos="974"/>
        </w:tabs>
        <w:kinsoku/>
        <w:wordWrap/>
        <w:overflowPunct/>
        <w:topLinePunct w:val="0"/>
        <w:bidi w:val="0"/>
        <w:snapToGrid w:val="0"/>
        <w:spacing w:line="360" w:lineRule="auto"/>
        <w:ind w:left="0" w:firstLine="470" w:firstLineChars="200"/>
        <w:textAlignment w:val="auto"/>
        <w:rPr>
          <w:rFonts w:hint="eastAsia" w:ascii="宋体" w:hAnsi="宋体" w:eastAsia="宋体" w:cs="宋体"/>
          <w:b/>
          <w:bCs/>
          <w:color w:val="auto"/>
          <w:spacing w:val="-3"/>
          <w:sz w:val="24"/>
          <w:szCs w:val="24"/>
          <w:highlight w:val="none"/>
          <w:lang w:eastAsia="zh-CN"/>
        </w:rPr>
      </w:pPr>
      <w:bookmarkStart w:id="748" w:name="第三条_养护内容"/>
      <w:bookmarkEnd w:id="748"/>
      <w:bookmarkStart w:id="749" w:name="_Toc28273038"/>
      <w:bookmarkStart w:id="750" w:name="_Toc28612869"/>
      <w:bookmarkStart w:id="751" w:name="_Toc61947348"/>
      <w:r>
        <w:rPr>
          <w:rFonts w:hint="eastAsia" w:ascii="宋体" w:hAnsi="宋体" w:eastAsia="宋体" w:cs="宋体"/>
          <w:b/>
          <w:bCs/>
          <w:color w:val="auto"/>
          <w:spacing w:val="-3"/>
          <w:sz w:val="24"/>
          <w:szCs w:val="24"/>
          <w:highlight w:val="none"/>
          <w:lang w:eastAsia="zh-CN"/>
        </w:rPr>
        <w:t>第三条 养护内容</w:t>
      </w:r>
      <w:bookmarkEnd w:id="749"/>
      <w:bookmarkEnd w:id="750"/>
      <w:r>
        <w:rPr>
          <w:rFonts w:hint="eastAsia" w:ascii="宋体" w:hAnsi="宋体" w:eastAsia="宋体" w:cs="宋体"/>
          <w:b/>
          <w:bCs/>
          <w:color w:val="auto"/>
          <w:spacing w:val="-3"/>
          <w:sz w:val="24"/>
          <w:szCs w:val="24"/>
          <w:highlight w:val="none"/>
          <w:lang w:eastAsia="zh-CN"/>
        </w:rPr>
        <w:t>（包括但不限于）</w:t>
      </w:r>
      <w:bookmarkEnd w:id="751"/>
    </w:p>
    <w:p w14:paraId="7312EBF9">
      <w:pPr>
        <w:pStyle w:val="100"/>
        <w:pageBreakBefore w:val="0"/>
        <w:tabs>
          <w:tab w:val="left" w:pos="894"/>
          <w:tab w:val="left" w:pos="3519"/>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 修剪</w:t>
      </w:r>
      <w:r>
        <w:rPr>
          <w:rFonts w:hint="eastAsia" w:ascii="宋体" w:hAnsi="宋体" w:eastAsia="宋体" w:cs="宋体"/>
          <w:color w:val="auto"/>
          <w:spacing w:val="-3"/>
          <w:sz w:val="24"/>
          <w:szCs w:val="24"/>
          <w:highlight w:val="none"/>
          <w:lang w:eastAsia="zh-CN"/>
        </w:rPr>
        <w:tab/>
      </w:r>
      <w:r>
        <w:rPr>
          <w:rFonts w:hint="eastAsia" w:ascii="宋体" w:hAnsi="宋体" w:eastAsia="宋体" w:cs="宋体"/>
          <w:color w:val="auto"/>
          <w:spacing w:val="-3"/>
          <w:sz w:val="24"/>
          <w:szCs w:val="24"/>
          <w:highlight w:val="none"/>
          <w:lang w:eastAsia="zh-CN"/>
        </w:rPr>
        <w:t xml:space="preserve">□ 灌溉             </w:t>
      </w:r>
      <w:r>
        <w:rPr>
          <w:rFonts w:hint="eastAsia" w:ascii="宋体" w:hAnsi="宋体" w:eastAsia="宋体" w:cs="宋体"/>
          <w:color w:val="auto"/>
          <w:spacing w:val="-3"/>
          <w:sz w:val="24"/>
          <w:szCs w:val="24"/>
          <w:highlight w:val="none"/>
          <w:lang w:val="en" w:eastAsia="zh-CN"/>
        </w:rPr>
        <w:t xml:space="preserve">           </w:t>
      </w:r>
      <w:r>
        <w:rPr>
          <w:rFonts w:hint="eastAsia" w:ascii="宋体" w:hAnsi="宋体" w:eastAsia="宋体" w:cs="宋体"/>
          <w:color w:val="auto"/>
          <w:spacing w:val="-3"/>
          <w:sz w:val="24"/>
          <w:szCs w:val="24"/>
          <w:highlight w:val="none"/>
          <w:lang w:eastAsia="zh-CN"/>
        </w:rPr>
        <w:t xml:space="preserve"> □ 施肥</w:t>
      </w:r>
    </w:p>
    <w:p w14:paraId="6B6C1E3C">
      <w:pPr>
        <w:pStyle w:val="100"/>
        <w:pageBreakBefore w:val="0"/>
        <w:tabs>
          <w:tab w:val="left" w:pos="894"/>
          <w:tab w:val="left" w:pos="3519"/>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 补</w:t>
      </w:r>
      <w:bookmarkStart w:id="752" w:name="_Hlk193233325"/>
      <w:r>
        <w:rPr>
          <w:rFonts w:hint="eastAsia" w:ascii="宋体" w:hAnsi="宋体" w:eastAsia="宋体" w:cs="宋体"/>
          <w:color w:val="auto"/>
          <w:spacing w:val="-3"/>
          <w:sz w:val="24"/>
          <w:szCs w:val="24"/>
          <w:highlight w:val="none"/>
          <w:lang w:eastAsia="zh-CN"/>
        </w:rPr>
        <w:t>植</w:t>
      </w:r>
      <w:bookmarkEnd w:id="752"/>
      <w:r>
        <w:rPr>
          <w:rFonts w:hint="eastAsia" w:ascii="宋体" w:hAnsi="宋体" w:eastAsia="宋体" w:cs="宋体"/>
          <w:color w:val="auto"/>
          <w:spacing w:val="-3"/>
          <w:sz w:val="24"/>
          <w:szCs w:val="24"/>
          <w:highlight w:val="none"/>
          <w:lang w:eastAsia="zh-CN"/>
        </w:rPr>
        <w:tab/>
      </w:r>
      <w:bookmarkStart w:id="753" w:name="_Hlk193233275"/>
      <w:r>
        <w:rPr>
          <w:rFonts w:hint="eastAsia" w:ascii="宋体" w:hAnsi="宋体" w:eastAsia="宋体" w:cs="宋体"/>
          <w:color w:val="auto"/>
          <w:spacing w:val="-3"/>
          <w:sz w:val="24"/>
          <w:szCs w:val="24"/>
          <w:highlight w:val="none"/>
          <w:lang w:eastAsia="zh-CN"/>
        </w:rPr>
        <w:t>□</w:t>
      </w:r>
      <w:bookmarkEnd w:id="753"/>
      <w:r>
        <w:rPr>
          <w:rFonts w:hint="eastAsia" w:ascii="宋体" w:hAnsi="宋体" w:eastAsia="宋体" w:cs="宋体"/>
          <w:color w:val="auto"/>
          <w:spacing w:val="-3"/>
          <w:sz w:val="24"/>
          <w:szCs w:val="24"/>
          <w:highlight w:val="none"/>
          <w:lang w:eastAsia="zh-CN"/>
        </w:rPr>
        <w:t xml:space="preserve"> 中耕              </w:t>
      </w:r>
      <w:r>
        <w:rPr>
          <w:rFonts w:hint="eastAsia" w:ascii="宋体" w:hAnsi="宋体" w:eastAsia="宋体" w:cs="宋体"/>
          <w:color w:val="auto"/>
          <w:spacing w:val="-3"/>
          <w:sz w:val="24"/>
          <w:szCs w:val="24"/>
          <w:highlight w:val="none"/>
          <w:lang w:val="en" w:eastAsia="zh-CN"/>
        </w:rPr>
        <w:t xml:space="preserve">           </w:t>
      </w:r>
      <w:r>
        <w:rPr>
          <w:rFonts w:hint="eastAsia" w:ascii="宋体" w:hAnsi="宋体" w:eastAsia="宋体" w:cs="宋体"/>
          <w:color w:val="auto"/>
          <w:spacing w:val="-3"/>
          <w:sz w:val="24"/>
          <w:szCs w:val="24"/>
          <w:highlight w:val="none"/>
          <w:lang w:eastAsia="zh-CN"/>
        </w:rPr>
        <w:t>□ 除草</w:t>
      </w:r>
    </w:p>
    <w:p w14:paraId="6BE0867A">
      <w:pPr>
        <w:pStyle w:val="100"/>
        <w:pageBreakBefore w:val="0"/>
        <w:tabs>
          <w:tab w:val="left" w:pos="894"/>
          <w:tab w:val="left" w:pos="3519"/>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 保洁</w:t>
      </w:r>
      <w:r>
        <w:rPr>
          <w:rFonts w:hint="eastAsia" w:ascii="宋体" w:hAnsi="宋体" w:eastAsia="宋体" w:cs="宋体"/>
          <w:color w:val="auto"/>
          <w:spacing w:val="-3"/>
          <w:sz w:val="24"/>
          <w:szCs w:val="24"/>
          <w:highlight w:val="none"/>
          <w:lang w:eastAsia="zh-CN"/>
        </w:rPr>
        <w:tab/>
      </w:r>
      <w:r>
        <w:rPr>
          <w:rFonts w:hint="eastAsia" w:ascii="宋体" w:hAnsi="宋体" w:eastAsia="宋体" w:cs="宋体"/>
          <w:color w:val="auto"/>
          <w:spacing w:val="-3"/>
          <w:sz w:val="24"/>
          <w:szCs w:val="24"/>
          <w:highlight w:val="none"/>
          <w:lang w:eastAsia="zh-CN"/>
        </w:rPr>
        <w:t xml:space="preserve">□ 施肥              </w:t>
      </w:r>
      <w:r>
        <w:rPr>
          <w:rFonts w:hint="eastAsia" w:ascii="宋体" w:hAnsi="宋体" w:eastAsia="宋体" w:cs="宋体"/>
          <w:color w:val="auto"/>
          <w:spacing w:val="-3"/>
          <w:sz w:val="24"/>
          <w:szCs w:val="24"/>
          <w:highlight w:val="none"/>
          <w:lang w:val="en" w:eastAsia="zh-CN"/>
        </w:rPr>
        <w:t xml:space="preserve">           </w:t>
      </w:r>
      <w:r>
        <w:rPr>
          <w:rFonts w:hint="eastAsia" w:ascii="宋体" w:hAnsi="宋体" w:eastAsia="宋体" w:cs="宋体"/>
          <w:color w:val="auto"/>
          <w:spacing w:val="-3"/>
          <w:sz w:val="24"/>
          <w:szCs w:val="24"/>
          <w:highlight w:val="none"/>
          <w:lang w:eastAsia="zh-CN"/>
        </w:rPr>
        <w:t>□ 病虫防治</w:t>
      </w:r>
    </w:p>
    <w:p w14:paraId="3CE32FCE">
      <w:pPr>
        <w:pStyle w:val="100"/>
        <w:pageBreakBefore w:val="0"/>
        <w:tabs>
          <w:tab w:val="left" w:pos="894"/>
          <w:tab w:val="left" w:pos="3519"/>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 防寒</w:t>
      </w:r>
      <w:r>
        <w:rPr>
          <w:rFonts w:hint="eastAsia" w:ascii="宋体" w:hAnsi="宋体" w:eastAsia="宋体" w:cs="宋体"/>
          <w:color w:val="auto"/>
          <w:spacing w:val="-3"/>
          <w:sz w:val="24"/>
          <w:szCs w:val="24"/>
          <w:highlight w:val="none"/>
          <w:lang w:eastAsia="zh-CN"/>
        </w:rPr>
        <w:tab/>
      </w:r>
      <w:r>
        <w:rPr>
          <w:rFonts w:hint="eastAsia" w:ascii="宋体" w:hAnsi="宋体" w:eastAsia="宋体" w:cs="宋体"/>
          <w:color w:val="auto"/>
          <w:spacing w:val="-3"/>
          <w:sz w:val="24"/>
          <w:szCs w:val="24"/>
          <w:highlight w:val="none"/>
          <w:lang w:eastAsia="zh-CN"/>
        </w:rPr>
        <w:t xml:space="preserve">□ 支撑                </w:t>
      </w:r>
      <w:r>
        <w:rPr>
          <w:rFonts w:hint="eastAsia" w:ascii="宋体" w:hAnsi="宋体" w:eastAsia="宋体" w:cs="宋体"/>
          <w:color w:val="auto"/>
          <w:spacing w:val="-3"/>
          <w:sz w:val="24"/>
          <w:szCs w:val="24"/>
          <w:highlight w:val="none"/>
          <w:lang w:val="en" w:eastAsia="zh-CN"/>
        </w:rPr>
        <w:t xml:space="preserve">         </w:t>
      </w:r>
      <w:r>
        <w:rPr>
          <w:rFonts w:hint="eastAsia" w:ascii="宋体" w:hAnsi="宋体" w:eastAsia="宋体" w:cs="宋体"/>
          <w:color w:val="auto"/>
          <w:spacing w:val="-3"/>
          <w:sz w:val="24"/>
          <w:szCs w:val="24"/>
          <w:highlight w:val="none"/>
          <w:lang w:eastAsia="zh-CN"/>
        </w:rPr>
        <w:t>□ 防风</w:t>
      </w:r>
    </w:p>
    <w:p w14:paraId="50D84B68">
      <w:pPr>
        <w:pStyle w:val="100"/>
        <w:pageBreakBefore w:val="0"/>
        <w:tabs>
          <w:tab w:val="left" w:pos="894"/>
          <w:tab w:val="left" w:pos="3519"/>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 防涝</w:t>
      </w:r>
      <w:r>
        <w:rPr>
          <w:rFonts w:hint="eastAsia" w:ascii="宋体" w:hAnsi="宋体" w:eastAsia="宋体" w:cs="宋体"/>
          <w:color w:val="auto"/>
          <w:spacing w:val="-3"/>
          <w:sz w:val="24"/>
          <w:szCs w:val="24"/>
          <w:highlight w:val="none"/>
          <w:lang w:eastAsia="zh-CN"/>
        </w:rPr>
        <w:tab/>
      </w:r>
      <w:r>
        <w:rPr>
          <w:rFonts w:hint="eastAsia" w:ascii="宋体" w:hAnsi="宋体" w:eastAsia="宋体" w:cs="宋体"/>
          <w:color w:val="auto"/>
          <w:spacing w:val="-3"/>
          <w:sz w:val="24"/>
          <w:szCs w:val="24"/>
          <w:highlight w:val="none"/>
          <w:lang w:eastAsia="zh-CN"/>
        </w:rPr>
        <w:t xml:space="preserve">□ 防盐                </w:t>
      </w:r>
      <w:r>
        <w:rPr>
          <w:rFonts w:hint="eastAsia" w:ascii="宋体" w:hAnsi="宋体" w:eastAsia="宋体" w:cs="宋体"/>
          <w:color w:val="auto"/>
          <w:spacing w:val="-3"/>
          <w:sz w:val="24"/>
          <w:szCs w:val="24"/>
          <w:highlight w:val="none"/>
          <w:lang w:val="en" w:eastAsia="zh-CN"/>
        </w:rPr>
        <w:t xml:space="preserve">        </w:t>
      </w:r>
      <w:r>
        <w:rPr>
          <w:rFonts w:hint="eastAsia" w:ascii="宋体" w:hAnsi="宋体" w:eastAsia="宋体" w:cs="宋体"/>
          <w:color w:val="auto"/>
          <w:spacing w:val="-3"/>
          <w:sz w:val="24"/>
          <w:szCs w:val="24"/>
          <w:highlight w:val="none"/>
          <w:lang w:eastAsia="zh-CN"/>
        </w:rPr>
        <w:t xml:space="preserve"> □ 巡视</w:t>
      </w:r>
    </w:p>
    <w:p w14:paraId="0C3C721C">
      <w:pPr>
        <w:pStyle w:val="100"/>
        <w:pageBreakBefore w:val="0"/>
        <w:tabs>
          <w:tab w:val="left" w:pos="895"/>
          <w:tab w:val="left" w:pos="3519"/>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 绿地防火</w:t>
      </w:r>
      <w:r>
        <w:rPr>
          <w:rFonts w:hint="eastAsia" w:ascii="宋体" w:hAnsi="宋体" w:eastAsia="宋体" w:cs="宋体"/>
          <w:color w:val="auto"/>
          <w:spacing w:val="-3"/>
          <w:sz w:val="24"/>
          <w:szCs w:val="24"/>
          <w:highlight w:val="none"/>
          <w:lang w:eastAsia="zh-CN"/>
        </w:rPr>
        <w:tab/>
      </w:r>
      <w:r>
        <w:rPr>
          <w:rFonts w:hint="eastAsia" w:ascii="宋体" w:hAnsi="宋体" w:eastAsia="宋体" w:cs="宋体"/>
          <w:color w:val="auto"/>
          <w:spacing w:val="-3"/>
          <w:sz w:val="24"/>
          <w:szCs w:val="24"/>
          <w:highlight w:val="none"/>
          <w:lang w:eastAsia="zh-CN"/>
        </w:rPr>
        <w:t xml:space="preserve">□ 设施维护        </w:t>
      </w:r>
      <w:r>
        <w:rPr>
          <w:rFonts w:hint="eastAsia" w:ascii="宋体" w:hAnsi="宋体" w:eastAsia="宋体" w:cs="宋体"/>
          <w:color w:val="auto"/>
          <w:spacing w:val="-3"/>
          <w:sz w:val="24"/>
          <w:szCs w:val="24"/>
          <w:highlight w:val="none"/>
          <w:lang w:val="en" w:eastAsia="zh-CN"/>
        </w:rPr>
        <w:t xml:space="preserve">       </w:t>
      </w:r>
      <w:r>
        <w:rPr>
          <w:rFonts w:hint="eastAsia" w:ascii="宋体" w:hAnsi="宋体" w:eastAsia="宋体" w:cs="宋体"/>
          <w:color w:val="auto"/>
          <w:spacing w:val="-3"/>
          <w:sz w:val="24"/>
          <w:szCs w:val="24"/>
          <w:highlight w:val="none"/>
          <w:lang w:eastAsia="zh-CN"/>
        </w:rPr>
        <w:t xml:space="preserve">      □ 种植调整</w:t>
      </w:r>
    </w:p>
    <w:p w14:paraId="0660E738">
      <w:pPr>
        <w:pStyle w:val="100"/>
        <w:pageBreakBefore w:val="0"/>
        <w:tabs>
          <w:tab w:val="left" w:pos="895"/>
          <w:tab w:val="left" w:pos="3309"/>
        </w:tabs>
        <w:kinsoku/>
        <w:wordWrap/>
        <w:overflowPunct/>
        <w:topLinePunct w:val="0"/>
        <w:bidi w:val="0"/>
        <w:spacing w:line="360" w:lineRule="auto"/>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 培训</w:t>
      </w:r>
      <w:r>
        <w:rPr>
          <w:rFonts w:hint="eastAsia" w:ascii="宋体" w:hAnsi="宋体" w:eastAsia="宋体" w:cs="宋体"/>
          <w:color w:val="auto"/>
          <w:spacing w:val="-3"/>
          <w:sz w:val="24"/>
          <w:szCs w:val="24"/>
          <w:highlight w:val="none"/>
          <w:lang w:eastAsia="zh-CN"/>
        </w:rPr>
        <w:tab/>
      </w:r>
      <w:r>
        <w:rPr>
          <w:rFonts w:hint="eastAsia" w:ascii="宋体" w:hAnsi="宋体" w:cs="宋体"/>
          <w:color w:val="auto"/>
          <w:spacing w:val="-3"/>
          <w:sz w:val="24"/>
          <w:szCs w:val="24"/>
          <w:highlight w:val="none"/>
          <w:lang w:val="en-US" w:eastAsia="zh-CN"/>
        </w:rPr>
        <w:t xml:space="preserve">  </w:t>
      </w:r>
      <w:r>
        <w:rPr>
          <w:rFonts w:hint="eastAsia" w:ascii="宋体" w:hAnsi="宋体" w:eastAsia="宋体" w:cs="宋体"/>
          <w:color w:val="auto"/>
          <w:spacing w:val="-3"/>
          <w:sz w:val="24"/>
          <w:szCs w:val="24"/>
          <w:highlight w:val="none"/>
          <w:lang w:eastAsia="zh-CN"/>
        </w:rPr>
        <w:t xml:space="preserve">□ 建档            </w:t>
      </w:r>
      <w:r>
        <w:rPr>
          <w:rFonts w:hint="eastAsia" w:ascii="宋体" w:hAnsi="宋体" w:eastAsia="宋体" w:cs="宋体"/>
          <w:color w:val="auto"/>
          <w:spacing w:val="-3"/>
          <w:sz w:val="24"/>
          <w:szCs w:val="24"/>
          <w:highlight w:val="none"/>
          <w:lang w:val="en" w:eastAsia="zh-CN"/>
        </w:rPr>
        <w:t xml:space="preserve">        </w:t>
      </w:r>
      <w:r>
        <w:rPr>
          <w:rFonts w:hint="eastAsia" w:ascii="宋体" w:hAnsi="宋体" w:eastAsia="宋体" w:cs="宋体"/>
          <w:color w:val="auto"/>
          <w:spacing w:val="-3"/>
          <w:sz w:val="24"/>
          <w:szCs w:val="24"/>
          <w:highlight w:val="none"/>
          <w:lang w:eastAsia="zh-CN"/>
        </w:rPr>
        <w:t xml:space="preserve">     □ 特养特护工作</w:t>
      </w:r>
    </w:p>
    <w:p w14:paraId="289686BB">
      <w:pPr>
        <w:pStyle w:val="100"/>
        <w:pageBreakBefore w:val="0"/>
        <w:tabs>
          <w:tab w:val="left" w:pos="895"/>
          <w:tab w:val="left" w:pos="3519"/>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 其它内容</w:t>
      </w:r>
    </w:p>
    <w:p w14:paraId="4DCA8FC0">
      <w:pPr>
        <w:pStyle w:val="100"/>
        <w:pageBreakBefore w:val="0"/>
        <w:tabs>
          <w:tab w:val="left" w:pos="974"/>
        </w:tabs>
        <w:kinsoku/>
        <w:wordWrap/>
        <w:overflowPunct/>
        <w:topLinePunct w:val="0"/>
        <w:bidi w:val="0"/>
        <w:snapToGrid w:val="0"/>
        <w:spacing w:line="360" w:lineRule="auto"/>
        <w:ind w:left="0" w:firstLine="470" w:firstLineChars="200"/>
        <w:textAlignment w:val="auto"/>
        <w:rPr>
          <w:rFonts w:hint="eastAsia" w:ascii="宋体" w:hAnsi="宋体" w:eastAsia="宋体" w:cs="宋体"/>
          <w:b/>
          <w:bCs/>
          <w:color w:val="auto"/>
          <w:spacing w:val="-3"/>
          <w:sz w:val="24"/>
          <w:szCs w:val="24"/>
          <w:highlight w:val="none"/>
          <w:lang w:eastAsia="zh-CN"/>
        </w:rPr>
      </w:pPr>
      <w:bookmarkStart w:id="754" w:name="第四条_养护标准"/>
      <w:bookmarkEnd w:id="754"/>
      <w:bookmarkStart w:id="755" w:name="_Toc28273039"/>
      <w:bookmarkStart w:id="756" w:name="_Toc28612870"/>
      <w:bookmarkStart w:id="757" w:name="_Toc61947349"/>
      <w:r>
        <w:rPr>
          <w:rFonts w:hint="eastAsia" w:ascii="宋体" w:hAnsi="宋体" w:eastAsia="宋体" w:cs="宋体"/>
          <w:b/>
          <w:bCs/>
          <w:color w:val="auto"/>
          <w:spacing w:val="-3"/>
          <w:sz w:val="24"/>
          <w:szCs w:val="24"/>
          <w:highlight w:val="none"/>
          <w:lang w:eastAsia="zh-CN"/>
        </w:rPr>
        <w:t>第四条 养护标准</w:t>
      </w:r>
      <w:bookmarkEnd w:id="755"/>
      <w:bookmarkEnd w:id="756"/>
      <w:bookmarkEnd w:id="757"/>
      <w:bookmarkStart w:id="758" w:name="_Toc28612871"/>
      <w:bookmarkStart w:id="759" w:name="_Toc61947350"/>
      <w:bookmarkStart w:id="760" w:name="_Toc28273040"/>
    </w:p>
    <w:p w14:paraId="0B6D2B2F">
      <w:pPr>
        <w:pStyle w:val="100"/>
        <w:pageBreakBefore w:val="0"/>
        <w:tabs>
          <w:tab w:val="left" w:pos="974"/>
        </w:tabs>
        <w:kinsoku/>
        <w:wordWrap/>
        <w:overflowPunct/>
        <w:topLinePunct w:val="0"/>
        <w:bidi w:val="0"/>
        <w:snapToGrid w:val="0"/>
        <w:spacing w:line="360" w:lineRule="auto"/>
        <w:ind w:left="0" w:firstLine="470" w:firstLineChars="200"/>
        <w:textAlignment w:val="auto"/>
        <w:rPr>
          <w:rFonts w:hint="eastAsia" w:ascii="宋体" w:hAnsi="宋体" w:eastAsia="宋体" w:cs="宋体"/>
          <w:b/>
          <w:bCs/>
          <w:color w:val="auto"/>
          <w:spacing w:val="-3"/>
          <w:sz w:val="24"/>
          <w:szCs w:val="24"/>
          <w:highlight w:val="none"/>
          <w:lang w:eastAsia="zh-CN"/>
        </w:rPr>
      </w:pPr>
      <w:r>
        <w:rPr>
          <w:rFonts w:hint="eastAsia" w:ascii="宋体" w:hAnsi="宋体" w:eastAsia="宋体" w:cs="宋体"/>
          <w:b/>
          <w:bCs/>
          <w:color w:val="auto"/>
          <w:spacing w:val="-3"/>
          <w:sz w:val="24"/>
          <w:szCs w:val="24"/>
          <w:highlight w:val="none"/>
          <w:lang w:eastAsia="zh-CN"/>
        </w:rPr>
        <w:t>（一）适用法律、标准及规范</w:t>
      </w:r>
      <w:bookmarkEnd w:id="758"/>
      <w:bookmarkEnd w:id="759"/>
      <w:bookmarkEnd w:id="760"/>
    </w:p>
    <w:p w14:paraId="35C5884A">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1、适用法律法规：国家及北京市有关法律、法规、规章及规范性文件均对本合同具有约束力。</w:t>
      </w:r>
    </w:p>
    <w:p w14:paraId="41DACE03">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2、适用的标准、规范：国家、北京市、行业及政府相关管理部门现行的养护标准、规范和相关规定以及在养护实施期间国家、北京市、行业及政府相关管理部门新发布养护管理标准、规范或相关规定。对于同一类标准、规范应以其最新版本或最新颁发的为准。</w:t>
      </w:r>
    </w:p>
    <w:p w14:paraId="4C258FC5">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3、所有国家、北京市、行业或相关管理部门发布的标准、规范应由承包人自行准备。</w:t>
      </w:r>
    </w:p>
    <w:p w14:paraId="609E1B70">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4、如果本合同约定的标准、规范之间出现歧义或矛盾时，按照以下原则选择：</w:t>
      </w:r>
    </w:p>
    <w:p w14:paraId="5F2A033D">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（1）本合同约定的园林绿化养护、管理标准、质量要求或技术规范低于国家或北京市或行业或相关管理部门发布的标准的，则按国家或北京市标准或行业或相关管理部门的标准执行。</w:t>
      </w:r>
    </w:p>
    <w:p w14:paraId="7B78A117">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（2）本合同约定的标准、质量要求或技术标准高于国家或北京市标准或行业或相关管理部门标准的，按本合同约定的标准、质量要求或技术标准执行。</w:t>
      </w:r>
    </w:p>
    <w:p w14:paraId="2ADBFF2C">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5、双方约定的其他标准</w:t>
      </w:r>
      <w:r>
        <w:rPr>
          <w:rFonts w:hint="eastAsia" w:ascii="宋体" w:hAnsi="宋体" w:cs="宋体"/>
          <w:color w:val="auto"/>
          <w:spacing w:val="-3"/>
          <w:sz w:val="24"/>
          <w:szCs w:val="24"/>
          <w:highlight w:val="none"/>
          <w:lang w:eastAsia="zh-CN"/>
        </w:rPr>
        <w:t>（</w:t>
      </w:r>
      <w:r>
        <w:rPr>
          <w:rFonts w:hint="eastAsia" w:ascii="宋体" w:hAnsi="宋体" w:cs="宋体"/>
          <w:color w:val="auto"/>
          <w:spacing w:val="-3"/>
          <w:sz w:val="24"/>
          <w:szCs w:val="24"/>
          <w:highlight w:val="none"/>
          <w:lang w:val="en-US" w:eastAsia="zh-CN"/>
        </w:rPr>
        <w:t>如有最新按照最新标准</w:t>
      </w:r>
      <w:r>
        <w:rPr>
          <w:rFonts w:hint="eastAsia" w:ascii="宋体" w:hAnsi="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eastAsia="zh-CN"/>
        </w:rPr>
        <w:t>：</w:t>
      </w:r>
    </w:p>
    <w:p w14:paraId="2CDF4608">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《中华人民共和国城市绿化条例》</w:t>
      </w:r>
    </w:p>
    <w:p w14:paraId="729FD98C">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《北京市绿化条例》</w:t>
      </w:r>
    </w:p>
    <w:p w14:paraId="5277FC49">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《北京市城镇绿地分级分类办法》（京绿城发〔2018〕201号）</w:t>
      </w:r>
    </w:p>
    <w:p w14:paraId="3280A972">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《北京市城市绿地建设和管理等级质量标准》</w:t>
      </w:r>
    </w:p>
    <w:p w14:paraId="0740CACB">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《北京市城镇绿地养护管理质量标准》</w:t>
      </w:r>
    </w:p>
    <w:p w14:paraId="46243A86">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《北京城市园林绿地使用再生水灌溉指导书》（北京市园林局、北京市水务局 2005 年）</w:t>
      </w:r>
    </w:p>
    <w:p w14:paraId="3D235D4F">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《城镇绿地养护技术规范 》DB11/T 203—2022</w:t>
      </w:r>
    </w:p>
    <w:p w14:paraId="63E7FC31">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6、双方同意合同约定的技术、质量、管理标准与上述法律、法规、规章及规范性文件有矛盾的应以法律、法规、规章及规范性文件为准。</w:t>
      </w:r>
    </w:p>
    <w:p w14:paraId="4C5F56DF">
      <w:pPr>
        <w:pStyle w:val="100"/>
        <w:pageBreakBefore w:val="0"/>
        <w:tabs>
          <w:tab w:val="left" w:pos="974"/>
        </w:tabs>
        <w:kinsoku/>
        <w:wordWrap/>
        <w:overflowPunct/>
        <w:topLinePunct w:val="0"/>
        <w:bidi w:val="0"/>
        <w:snapToGrid w:val="0"/>
        <w:spacing w:line="360" w:lineRule="auto"/>
        <w:ind w:left="0" w:firstLine="470" w:firstLineChars="200"/>
        <w:textAlignment w:val="auto"/>
        <w:rPr>
          <w:rFonts w:hint="eastAsia" w:ascii="宋体" w:hAnsi="宋体" w:eastAsia="宋体" w:cs="宋体"/>
          <w:b/>
          <w:bCs/>
          <w:color w:val="auto"/>
          <w:spacing w:val="-3"/>
          <w:sz w:val="24"/>
          <w:szCs w:val="24"/>
          <w:highlight w:val="none"/>
          <w:lang w:eastAsia="zh-CN"/>
        </w:rPr>
      </w:pPr>
      <w:bookmarkStart w:id="761" w:name="_Toc28273041"/>
      <w:bookmarkStart w:id="762" w:name="_Toc61947351"/>
      <w:bookmarkStart w:id="763" w:name="_Toc28612872"/>
      <w:r>
        <w:rPr>
          <w:rFonts w:hint="eastAsia" w:ascii="宋体" w:hAnsi="宋体" w:eastAsia="宋体" w:cs="宋体"/>
          <w:b/>
          <w:bCs/>
          <w:color w:val="auto"/>
          <w:spacing w:val="-3"/>
          <w:sz w:val="24"/>
          <w:szCs w:val="24"/>
          <w:highlight w:val="none"/>
          <w:lang w:eastAsia="zh-CN"/>
        </w:rPr>
        <w:t>（二）总体养护质量要求</w:t>
      </w:r>
      <w:bookmarkEnd w:id="761"/>
      <w:bookmarkEnd w:id="762"/>
      <w:bookmarkEnd w:id="763"/>
    </w:p>
    <w:p w14:paraId="7C7D9CFA">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bookmarkStart w:id="764" w:name="_Toc28273042"/>
      <w:bookmarkStart w:id="765" w:name="_Toc28612873"/>
      <w:bookmarkStart w:id="766" w:name="_Toc61947352"/>
      <w:r>
        <w:rPr>
          <w:rFonts w:hint="eastAsia" w:ascii="宋体" w:hAnsi="宋体" w:eastAsia="宋体" w:cs="宋体"/>
          <w:color w:val="auto"/>
          <w:spacing w:val="-3"/>
          <w:sz w:val="24"/>
          <w:szCs w:val="24"/>
          <w:highlight w:val="none"/>
          <w:lang w:eastAsia="zh-CN"/>
        </w:rPr>
        <w:t>详见附件四《北京城市副中心城镇绿地养护管理工作意见》</w:t>
      </w:r>
      <w:bookmarkEnd w:id="764"/>
      <w:bookmarkEnd w:id="765"/>
      <w:bookmarkEnd w:id="766"/>
    </w:p>
    <w:p w14:paraId="3924E811">
      <w:pPr>
        <w:pStyle w:val="100"/>
        <w:pageBreakBefore w:val="0"/>
        <w:tabs>
          <w:tab w:val="left" w:pos="974"/>
        </w:tabs>
        <w:kinsoku/>
        <w:wordWrap/>
        <w:overflowPunct/>
        <w:topLinePunct w:val="0"/>
        <w:bidi w:val="0"/>
        <w:snapToGrid w:val="0"/>
        <w:spacing w:line="360" w:lineRule="auto"/>
        <w:ind w:left="0" w:firstLine="470" w:firstLineChars="200"/>
        <w:textAlignment w:val="auto"/>
        <w:rPr>
          <w:rFonts w:hint="eastAsia" w:ascii="宋体" w:hAnsi="宋体" w:eastAsia="宋体" w:cs="宋体"/>
          <w:b/>
          <w:bCs/>
          <w:color w:val="auto"/>
          <w:spacing w:val="-3"/>
          <w:sz w:val="24"/>
          <w:szCs w:val="24"/>
          <w:highlight w:val="none"/>
          <w:lang w:eastAsia="zh-CN"/>
        </w:rPr>
      </w:pPr>
      <w:bookmarkStart w:id="767" w:name="_Toc28612874"/>
      <w:bookmarkStart w:id="768" w:name="_Toc61947353"/>
      <w:bookmarkStart w:id="769" w:name="_Toc28273043"/>
      <w:r>
        <w:rPr>
          <w:rFonts w:hint="eastAsia" w:ascii="宋体" w:hAnsi="宋体" w:eastAsia="宋体" w:cs="宋体"/>
          <w:b/>
          <w:bCs/>
          <w:color w:val="auto"/>
          <w:spacing w:val="-3"/>
          <w:sz w:val="24"/>
          <w:szCs w:val="24"/>
          <w:highlight w:val="none"/>
          <w:lang w:eastAsia="zh-CN"/>
        </w:rPr>
        <w:t>（三）技术质量标准</w:t>
      </w:r>
      <w:bookmarkEnd w:id="767"/>
      <w:bookmarkEnd w:id="768"/>
      <w:bookmarkEnd w:id="769"/>
    </w:p>
    <w:p w14:paraId="628E7F89">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详见《城镇绿地养护技术规范》DB11/T 203—2022 和《北京城市副中心城镇绿地养护管理工作意见》。</w:t>
      </w:r>
    </w:p>
    <w:p w14:paraId="63DAE599">
      <w:pPr>
        <w:pStyle w:val="100"/>
        <w:pageBreakBefore w:val="0"/>
        <w:tabs>
          <w:tab w:val="left" w:pos="974"/>
        </w:tabs>
        <w:kinsoku/>
        <w:wordWrap/>
        <w:overflowPunct/>
        <w:topLinePunct w:val="0"/>
        <w:bidi w:val="0"/>
        <w:snapToGrid w:val="0"/>
        <w:spacing w:line="360" w:lineRule="auto"/>
        <w:ind w:left="0" w:firstLine="470" w:firstLineChars="200"/>
        <w:textAlignment w:val="auto"/>
        <w:rPr>
          <w:rFonts w:hint="eastAsia" w:ascii="宋体" w:hAnsi="宋体" w:eastAsia="宋体" w:cs="宋体"/>
          <w:b/>
          <w:bCs/>
          <w:color w:val="auto"/>
          <w:spacing w:val="-3"/>
          <w:sz w:val="24"/>
          <w:szCs w:val="24"/>
          <w:highlight w:val="none"/>
          <w:lang w:eastAsia="zh-CN"/>
        </w:rPr>
      </w:pPr>
      <w:bookmarkStart w:id="770" w:name="_Toc28612875"/>
      <w:bookmarkStart w:id="771" w:name="_Toc61947354"/>
      <w:bookmarkStart w:id="772" w:name="_Toc28273044"/>
      <w:r>
        <w:rPr>
          <w:rFonts w:hint="eastAsia" w:ascii="宋体" w:hAnsi="宋体" w:eastAsia="宋体" w:cs="宋体"/>
          <w:b/>
          <w:bCs/>
          <w:color w:val="auto"/>
          <w:spacing w:val="-3"/>
          <w:sz w:val="24"/>
          <w:szCs w:val="24"/>
          <w:highlight w:val="none"/>
          <w:lang w:eastAsia="zh-CN"/>
        </w:rPr>
        <w:t>（四）质量争议</w:t>
      </w:r>
      <w:bookmarkEnd w:id="770"/>
      <w:bookmarkEnd w:id="771"/>
      <w:bookmarkEnd w:id="772"/>
    </w:p>
    <w:p w14:paraId="6C64B85D">
      <w:pPr>
        <w:pStyle w:val="17"/>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双方对协议中绿地的养护质量发生争议时，由园林绿化行政主管部门进行调节协商解决。</w:t>
      </w:r>
    </w:p>
    <w:p w14:paraId="6CC691B9">
      <w:pPr>
        <w:pStyle w:val="100"/>
        <w:pageBreakBefore w:val="0"/>
        <w:tabs>
          <w:tab w:val="left" w:pos="974"/>
        </w:tabs>
        <w:kinsoku/>
        <w:wordWrap/>
        <w:overflowPunct/>
        <w:topLinePunct w:val="0"/>
        <w:bidi w:val="0"/>
        <w:snapToGrid w:val="0"/>
        <w:spacing w:line="360" w:lineRule="auto"/>
        <w:ind w:left="0" w:firstLine="470" w:firstLineChars="200"/>
        <w:textAlignment w:val="auto"/>
        <w:rPr>
          <w:rFonts w:hint="eastAsia" w:ascii="宋体" w:hAnsi="宋体" w:eastAsia="宋体" w:cs="宋体"/>
          <w:b/>
          <w:bCs/>
          <w:color w:val="auto"/>
          <w:spacing w:val="-3"/>
          <w:sz w:val="24"/>
          <w:szCs w:val="24"/>
          <w:highlight w:val="none"/>
          <w:lang w:eastAsia="zh-CN"/>
        </w:rPr>
      </w:pPr>
      <w:bookmarkStart w:id="773" w:name="第五条_养护期限"/>
      <w:bookmarkEnd w:id="773"/>
      <w:bookmarkStart w:id="774" w:name="_Toc28612876"/>
      <w:bookmarkStart w:id="775" w:name="_Toc28273045"/>
      <w:bookmarkStart w:id="776" w:name="_Toc61947355"/>
      <w:r>
        <w:rPr>
          <w:rFonts w:hint="eastAsia" w:ascii="宋体" w:hAnsi="宋体" w:eastAsia="宋体" w:cs="宋体"/>
          <w:b/>
          <w:bCs/>
          <w:color w:val="auto"/>
          <w:spacing w:val="-3"/>
          <w:sz w:val="24"/>
          <w:szCs w:val="24"/>
          <w:highlight w:val="none"/>
          <w:lang w:eastAsia="zh-CN"/>
        </w:rPr>
        <w:t>第五条 养护期限</w:t>
      </w:r>
      <w:bookmarkEnd w:id="774"/>
      <w:bookmarkEnd w:id="775"/>
      <w:bookmarkEnd w:id="776"/>
    </w:p>
    <w:p w14:paraId="08B30086">
      <w:pPr>
        <w:pStyle w:val="17"/>
        <w:pageBreakBefore w:val="0"/>
        <w:tabs>
          <w:tab w:val="left" w:pos="3930"/>
          <w:tab w:val="clear" w:pos="567"/>
        </w:tabs>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本合</w:t>
      </w:r>
      <w:r>
        <w:rPr>
          <w:rFonts w:hint="eastAsia" w:ascii="宋体" w:hAnsi="宋体" w:eastAsia="宋体" w:cs="宋体"/>
          <w:color w:val="auto"/>
          <w:spacing w:val="-3"/>
          <w:sz w:val="24"/>
          <w:szCs w:val="24"/>
          <w:highlight w:val="none"/>
          <w:lang w:eastAsia="zh-CN"/>
        </w:rPr>
        <w:t>同</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pacing w:val="-3"/>
          <w:sz w:val="24"/>
          <w:szCs w:val="24"/>
          <w:highlight w:val="none"/>
          <w:lang w:eastAsia="zh-CN"/>
        </w:rPr>
        <w:t>养</w:t>
      </w:r>
      <w:r>
        <w:rPr>
          <w:rFonts w:hint="eastAsia" w:ascii="宋体" w:hAnsi="宋体" w:eastAsia="宋体" w:cs="宋体"/>
          <w:color w:val="auto"/>
          <w:sz w:val="24"/>
          <w:szCs w:val="24"/>
          <w:highlight w:val="none"/>
          <w:lang w:eastAsia="zh-CN"/>
        </w:rPr>
        <w:t>护</w:t>
      </w:r>
      <w:r>
        <w:rPr>
          <w:rFonts w:hint="eastAsia" w:ascii="宋体" w:hAnsi="宋体" w:eastAsia="宋体" w:cs="宋体"/>
          <w:color w:val="auto"/>
          <w:spacing w:val="-3"/>
          <w:sz w:val="24"/>
          <w:szCs w:val="24"/>
          <w:highlight w:val="none"/>
          <w:lang w:eastAsia="zh-CN"/>
        </w:rPr>
        <w:t>期</w:t>
      </w:r>
      <w:r>
        <w:rPr>
          <w:rFonts w:hint="eastAsia" w:ascii="宋体" w:hAnsi="宋体" w:eastAsia="宋体" w:cs="宋体"/>
          <w:color w:val="auto"/>
          <w:sz w:val="24"/>
          <w:szCs w:val="24"/>
          <w:highlight w:val="none"/>
          <w:lang w:eastAsia="zh-CN"/>
        </w:rPr>
        <w:t>限</w:t>
      </w:r>
      <w:r>
        <w:rPr>
          <w:rFonts w:hint="eastAsia" w:ascii="宋体" w:hAnsi="宋体" w:eastAsia="宋体" w:cs="宋体"/>
          <w:color w:val="auto"/>
          <w:spacing w:val="-3"/>
          <w:sz w:val="24"/>
          <w:szCs w:val="24"/>
          <w:highlight w:val="none"/>
          <w:lang w:eastAsia="zh-CN"/>
        </w:rPr>
        <w:t>为</w:t>
      </w:r>
      <w:r>
        <w:rPr>
          <w:rFonts w:hint="eastAsia" w:ascii="宋体" w:hAnsi="宋体" w:eastAsia="宋体" w:cs="宋体"/>
          <w:color w:val="auto"/>
          <w:sz w:val="24"/>
          <w:szCs w:val="24"/>
          <w:highlight w:val="none"/>
          <w:u w:val="single"/>
          <w:lang w:eastAsia="zh-CN"/>
        </w:rPr>
        <w:t>2025</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pacing w:val="-3"/>
          <w:sz w:val="24"/>
          <w:szCs w:val="24"/>
          <w:highlight w:val="none"/>
          <w:lang w:eastAsia="zh-CN"/>
        </w:rPr>
        <w:t>日</w:t>
      </w:r>
      <w:r>
        <w:rPr>
          <w:rFonts w:hint="eastAsia" w:ascii="宋体" w:hAnsi="宋体" w:eastAsia="宋体" w:cs="宋体"/>
          <w:color w:val="auto"/>
          <w:sz w:val="24"/>
          <w:szCs w:val="24"/>
          <w:highlight w:val="none"/>
          <w:lang w:eastAsia="zh-CN"/>
        </w:rPr>
        <w:t>至</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pacing w:val="-3"/>
          <w:sz w:val="24"/>
          <w:szCs w:val="24"/>
          <w:highlight w:val="none"/>
          <w:lang w:eastAsia="zh-CN"/>
        </w:rPr>
        <w:t>月</w:t>
      </w:r>
      <w:r>
        <w:rPr>
          <w:rFonts w:hint="eastAsia" w:ascii="宋体" w:hAnsi="宋体" w:eastAsia="宋体" w:cs="宋体"/>
          <w:color w:val="auto"/>
          <w:spacing w:val="-3"/>
          <w:sz w:val="24"/>
          <w:szCs w:val="24"/>
          <w:highlight w:val="none"/>
          <w:u w:val="single"/>
          <w:lang w:eastAsia="zh-CN"/>
        </w:rPr>
        <w:t xml:space="preserve">    </w:t>
      </w:r>
      <w:r>
        <w:rPr>
          <w:rFonts w:hint="eastAsia" w:ascii="宋体" w:hAnsi="宋体" w:eastAsia="宋体" w:cs="宋体"/>
          <w:color w:val="auto"/>
          <w:spacing w:val="-3"/>
          <w:sz w:val="24"/>
          <w:szCs w:val="24"/>
          <w:highlight w:val="none"/>
          <w:lang w:eastAsia="zh-CN"/>
        </w:rPr>
        <w:t>日</w:t>
      </w:r>
      <w:r>
        <w:rPr>
          <w:rFonts w:hint="eastAsia" w:ascii="宋体" w:hAnsi="宋体" w:eastAsia="宋体" w:cs="宋体"/>
          <w:color w:val="auto"/>
          <w:spacing w:val="-3"/>
          <w:sz w:val="24"/>
          <w:szCs w:val="24"/>
          <w:highlight w:val="none"/>
          <w:u w:val="single"/>
          <w:lang w:eastAsia="zh-CN"/>
        </w:rPr>
        <w:t>（</w:t>
      </w:r>
      <w:r>
        <w:rPr>
          <w:rFonts w:hint="eastAsia" w:ascii="宋体" w:hAnsi="宋体" w:eastAsia="宋体" w:cs="宋体"/>
          <w:color w:val="auto"/>
          <w:sz w:val="24"/>
          <w:szCs w:val="24"/>
          <w:highlight w:val="none"/>
          <w:u w:val="single"/>
          <w:lang w:eastAsia="zh-CN"/>
        </w:rPr>
        <w:t>每3个</w:t>
      </w:r>
      <w:r>
        <w:rPr>
          <w:rFonts w:hint="eastAsia" w:ascii="宋体" w:hAnsi="宋体" w:eastAsia="宋体" w:cs="宋体"/>
          <w:color w:val="auto"/>
          <w:spacing w:val="-3"/>
          <w:sz w:val="24"/>
          <w:szCs w:val="24"/>
          <w:highlight w:val="none"/>
          <w:u w:val="single"/>
          <w:lang w:eastAsia="zh-CN"/>
        </w:rPr>
        <w:t>月</w:t>
      </w:r>
      <w:r>
        <w:rPr>
          <w:rFonts w:hint="eastAsia" w:ascii="宋体" w:hAnsi="宋体" w:eastAsia="宋体" w:cs="宋体"/>
          <w:color w:val="auto"/>
          <w:sz w:val="24"/>
          <w:szCs w:val="24"/>
          <w:highlight w:val="none"/>
          <w:u w:val="single"/>
          <w:lang w:eastAsia="zh-CN"/>
        </w:rPr>
        <w:t>为1</w:t>
      </w:r>
      <w:r>
        <w:rPr>
          <w:rFonts w:hint="eastAsia" w:ascii="宋体" w:hAnsi="宋体" w:eastAsia="宋体" w:cs="宋体"/>
          <w:color w:val="auto"/>
          <w:spacing w:val="-3"/>
          <w:sz w:val="24"/>
          <w:szCs w:val="24"/>
          <w:highlight w:val="none"/>
          <w:u w:val="single"/>
          <w:lang w:eastAsia="zh-CN"/>
        </w:rPr>
        <w:t>个</w:t>
      </w:r>
      <w:r>
        <w:rPr>
          <w:rFonts w:hint="eastAsia" w:ascii="宋体" w:hAnsi="宋体" w:eastAsia="宋体" w:cs="宋体"/>
          <w:color w:val="auto"/>
          <w:sz w:val="24"/>
          <w:szCs w:val="24"/>
          <w:highlight w:val="none"/>
          <w:u w:val="single"/>
          <w:lang w:eastAsia="zh-CN"/>
        </w:rPr>
        <w:t>养</w:t>
      </w:r>
      <w:r>
        <w:rPr>
          <w:rFonts w:hint="eastAsia" w:ascii="宋体" w:hAnsi="宋体" w:eastAsia="宋体" w:cs="宋体"/>
          <w:color w:val="auto"/>
          <w:spacing w:val="-3"/>
          <w:sz w:val="24"/>
          <w:szCs w:val="24"/>
          <w:highlight w:val="none"/>
          <w:u w:val="single"/>
          <w:lang w:eastAsia="zh-CN"/>
        </w:rPr>
        <w:t>护季</w:t>
      </w:r>
      <w:r>
        <w:rPr>
          <w:rFonts w:hint="eastAsia" w:ascii="宋体" w:hAnsi="宋体" w:eastAsia="宋体" w:cs="宋体"/>
          <w:color w:val="auto"/>
          <w:sz w:val="24"/>
          <w:szCs w:val="24"/>
          <w:highlight w:val="none"/>
          <w:u w:val="single"/>
          <w:lang w:eastAsia="zh-CN"/>
        </w:rPr>
        <w:t>度）</w:t>
      </w:r>
      <w:r>
        <w:rPr>
          <w:rFonts w:hint="eastAsia" w:ascii="宋体" w:hAnsi="宋体" w:eastAsia="宋体" w:cs="宋体"/>
          <w:color w:val="auto"/>
          <w:sz w:val="24"/>
          <w:szCs w:val="24"/>
          <w:highlight w:val="none"/>
          <w:lang w:eastAsia="zh-CN"/>
        </w:rPr>
        <w:t>。养护期内甲方按养护季度对乙方进行总体考核，如果乙方在养护季度的总体考核中两次不达标或不合格，甲方有权终止合同。</w:t>
      </w:r>
    </w:p>
    <w:p w14:paraId="082CCCA1">
      <w:pPr>
        <w:pStyle w:val="100"/>
        <w:pageBreakBefore w:val="0"/>
        <w:tabs>
          <w:tab w:val="left" w:pos="974"/>
        </w:tabs>
        <w:kinsoku/>
        <w:wordWrap/>
        <w:overflowPunct/>
        <w:topLinePunct w:val="0"/>
        <w:bidi w:val="0"/>
        <w:snapToGrid w:val="0"/>
        <w:spacing w:line="360" w:lineRule="auto"/>
        <w:ind w:left="0" w:firstLine="470" w:firstLineChars="200"/>
        <w:textAlignment w:val="auto"/>
        <w:rPr>
          <w:rFonts w:hint="eastAsia" w:ascii="宋体" w:hAnsi="宋体" w:eastAsia="宋体" w:cs="宋体"/>
          <w:b/>
          <w:bCs/>
          <w:color w:val="auto"/>
          <w:spacing w:val="-3"/>
          <w:sz w:val="24"/>
          <w:szCs w:val="24"/>
          <w:highlight w:val="none"/>
          <w:lang w:eastAsia="zh-CN"/>
        </w:rPr>
      </w:pPr>
      <w:bookmarkStart w:id="777" w:name="第六条_双方权利和义务"/>
      <w:bookmarkEnd w:id="777"/>
      <w:r>
        <w:rPr>
          <w:rFonts w:hint="eastAsia" w:ascii="宋体" w:hAnsi="宋体" w:eastAsia="宋体" w:cs="宋体"/>
          <w:b/>
          <w:bCs/>
          <w:color w:val="auto"/>
          <w:spacing w:val="-3"/>
          <w:sz w:val="24"/>
          <w:szCs w:val="24"/>
          <w:highlight w:val="none"/>
          <w:lang w:eastAsia="zh-CN"/>
        </w:rPr>
        <w:t>第六条 双方权利和义务</w:t>
      </w:r>
    </w:p>
    <w:p w14:paraId="6651956D">
      <w:pPr>
        <w:pStyle w:val="100"/>
        <w:pageBreakBefore w:val="0"/>
        <w:tabs>
          <w:tab w:val="left" w:pos="974"/>
        </w:tabs>
        <w:kinsoku/>
        <w:wordWrap/>
        <w:overflowPunct/>
        <w:topLinePunct w:val="0"/>
        <w:bidi w:val="0"/>
        <w:snapToGrid w:val="0"/>
        <w:spacing w:line="360" w:lineRule="auto"/>
        <w:ind w:left="0" w:firstLine="470" w:firstLineChars="200"/>
        <w:textAlignment w:val="auto"/>
        <w:rPr>
          <w:rFonts w:hint="eastAsia" w:ascii="宋体" w:hAnsi="宋体" w:eastAsia="宋体" w:cs="宋体"/>
          <w:b/>
          <w:bCs/>
          <w:color w:val="auto"/>
          <w:spacing w:val="-3"/>
          <w:sz w:val="24"/>
          <w:szCs w:val="24"/>
          <w:highlight w:val="none"/>
          <w:lang w:eastAsia="zh-CN"/>
        </w:rPr>
      </w:pPr>
      <w:bookmarkStart w:id="778" w:name="1._双方派驻养护现场的代表"/>
      <w:bookmarkEnd w:id="778"/>
      <w:bookmarkStart w:id="779" w:name="_Toc28273046"/>
      <w:bookmarkStart w:id="780" w:name="_Toc61947356"/>
      <w:bookmarkStart w:id="781" w:name="_Toc28612877"/>
      <w:r>
        <w:rPr>
          <w:rFonts w:hint="eastAsia" w:ascii="宋体" w:hAnsi="宋体" w:eastAsia="宋体" w:cs="宋体"/>
          <w:b/>
          <w:bCs/>
          <w:color w:val="auto"/>
          <w:spacing w:val="-3"/>
          <w:sz w:val="24"/>
          <w:szCs w:val="24"/>
          <w:highlight w:val="none"/>
          <w:lang w:eastAsia="zh-CN"/>
        </w:rPr>
        <w:t>（一）双方派驻养护现场的代表</w:t>
      </w:r>
      <w:bookmarkEnd w:id="779"/>
      <w:bookmarkEnd w:id="780"/>
      <w:bookmarkEnd w:id="781"/>
    </w:p>
    <w:p w14:paraId="5B509A09">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1、甲方派驻养护现场代表姓名：</w:t>
      </w:r>
      <w:r>
        <w:rPr>
          <w:rFonts w:hint="eastAsia" w:ascii="宋体" w:hAnsi="宋体" w:eastAsia="宋体" w:cs="宋体"/>
          <w:color w:val="auto"/>
          <w:spacing w:val="-3"/>
          <w:sz w:val="24"/>
          <w:szCs w:val="24"/>
          <w:highlight w:val="none"/>
          <w:u w:val="single"/>
          <w:lang w:eastAsia="zh-CN"/>
        </w:rPr>
        <w:t xml:space="preserve">                  </w:t>
      </w:r>
    </w:p>
    <w:p w14:paraId="37963A97">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职权：负责协调绿地养护过程中的相关工作。</w:t>
      </w:r>
      <w:r>
        <w:rPr>
          <w:rFonts w:hint="eastAsia" w:ascii="宋体" w:hAnsi="宋体" w:eastAsia="宋体" w:cs="宋体"/>
          <w:color w:val="auto"/>
          <w:spacing w:val="-3"/>
          <w:sz w:val="24"/>
          <w:szCs w:val="24"/>
          <w:highlight w:val="none"/>
          <w:lang w:eastAsia="zh-CN"/>
        </w:rPr>
        <w:tab/>
      </w:r>
    </w:p>
    <w:p w14:paraId="301F0E91">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2、乙方派驻养护现场项目负责人姓名：</w:t>
      </w:r>
      <w:r>
        <w:rPr>
          <w:rFonts w:hint="eastAsia" w:ascii="宋体" w:hAnsi="宋体" w:eastAsia="宋体" w:cs="宋体"/>
          <w:color w:val="auto"/>
          <w:spacing w:val="-3"/>
          <w:sz w:val="24"/>
          <w:szCs w:val="24"/>
          <w:highlight w:val="none"/>
          <w:u w:val="single"/>
          <w:lang w:eastAsia="zh-CN"/>
        </w:rPr>
        <w:tab/>
      </w:r>
      <w:r>
        <w:rPr>
          <w:rFonts w:hint="eastAsia" w:ascii="宋体" w:hAnsi="宋体" w:eastAsia="宋体" w:cs="宋体"/>
          <w:color w:val="auto"/>
          <w:spacing w:val="-3"/>
          <w:sz w:val="24"/>
          <w:szCs w:val="24"/>
          <w:highlight w:val="none"/>
          <w:u w:val="single"/>
          <w:lang w:eastAsia="zh-CN"/>
        </w:rPr>
        <w:t xml:space="preserve">         </w:t>
      </w:r>
    </w:p>
    <w:p w14:paraId="69921B65">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职责：按照养护计划、质量标准和发包人的要求组织养护管理、处理养护工程过程中一切管理事宜。</w:t>
      </w:r>
    </w:p>
    <w:p w14:paraId="3DBC2721">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技术负责人姓名：</w:t>
      </w:r>
      <w:r>
        <w:rPr>
          <w:rFonts w:hint="eastAsia" w:ascii="宋体" w:hAnsi="宋体" w:eastAsia="宋体" w:cs="宋体"/>
          <w:color w:val="auto"/>
          <w:spacing w:val="-3"/>
          <w:sz w:val="24"/>
          <w:szCs w:val="24"/>
          <w:highlight w:val="none"/>
          <w:u w:val="single"/>
          <w:lang w:eastAsia="zh-CN"/>
        </w:rPr>
        <w:t xml:space="preserve">  </w:t>
      </w:r>
      <w:r>
        <w:rPr>
          <w:rFonts w:hint="eastAsia" w:ascii="宋体" w:hAnsi="宋体" w:eastAsia="宋体" w:cs="宋体"/>
          <w:color w:val="auto"/>
          <w:spacing w:val="-3"/>
          <w:sz w:val="24"/>
          <w:szCs w:val="24"/>
          <w:highlight w:val="none"/>
          <w:u w:val="single"/>
          <w:lang w:eastAsia="zh-CN"/>
        </w:rPr>
        <w:tab/>
      </w:r>
      <w:r>
        <w:rPr>
          <w:rFonts w:hint="eastAsia" w:ascii="宋体" w:hAnsi="宋体" w:eastAsia="宋体" w:cs="宋体"/>
          <w:color w:val="auto"/>
          <w:spacing w:val="-3"/>
          <w:sz w:val="24"/>
          <w:szCs w:val="24"/>
          <w:highlight w:val="none"/>
          <w:u w:val="single"/>
          <w:lang w:eastAsia="zh-CN"/>
        </w:rPr>
        <w:t xml:space="preserve">  </w:t>
      </w:r>
    </w:p>
    <w:p w14:paraId="7BBBB9F0">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职责：协调项目负责人负责养护质量、进度等工作。</w:t>
      </w:r>
      <w:r>
        <w:rPr>
          <w:rFonts w:hint="eastAsia" w:ascii="宋体" w:hAnsi="宋体" w:eastAsia="宋体" w:cs="宋体"/>
          <w:color w:val="auto"/>
          <w:spacing w:val="-3"/>
          <w:sz w:val="24"/>
          <w:szCs w:val="24"/>
          <w:highlight w:val="none"/>
          <w:lang w:eastAsia="zh-CN"/>
        </w:rPr>
        <w:tab/>
      </w:r>
      <w:r>
        <w:rPr>
          <w:rFonts w:hint="eastAsia" w:ascii="宋体" w:hAnsi="宋体" w:eastAsia="宋体" w:cs="宋体"/>
          <w:color w:val="auto"/>
          <w:spacing w:val="-3"/>
          <w:sz w:val="24"/>
          <w:szCs w:val="24"/>
          <w:highlight w:val="none"/>
          <w:lang w:eastAsia="zh-CN"/>
        </w:rPr>
        <w:t xml:space="preserve"> </w:t>
      </w:r>
    </w:p>
    <w:p w14:paraId="767549CD">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3、任何一方派驻养护现场代表发生变更时，应提前7日书面通知对方，并明确交接时间、权限。乙方项目负责人在养护期间不应随意更换，未经甲方同意乙方擅自更换项目负责人，需承担相应的违约责任。</w:t>
      </w:r>
    </w:p>
    <w:p w14:paraId="201AA5B6">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4、乙方项目负责人应专职于本养护项目，不得兼职于其他工程项目。</w:t>
      </w:r>
    </w:p>
    <w:p w14:paraId="0CEDE54B">
      <w:pPr>
        <w:pStyle w:val="100"/>
        <w:pageBreakBefore w:val="0"/>
        <w:tabs>
          <w:tab w:val="left" w:pos="974"/>
        </w:tabs>
        <w:kinsoku/>
        <w:wordWrap/>
        <w:overflowPunct/>
        <w:topLinePunct w:val="0"/>
        <w:bidi w:val="0"/>
        <w:snapToGrid w:val="0"/>
        <w:spacing w:line="360" w:lineRule="auto"/>
        <w:ind w:left="0" w:firstLine="470" w:firstLineChars="200"/>
        <w:textAlignment w:val="auto"/>
        <w:rPr>
          <w:rFonts w:hint="eastAsia" w:ascii="宋体" w:hAnsi="宋体" w:eastAsia="宋体" w:cs="宋体"/>
          <w:b/>
          <w:bCs/>
          <w:color w:val="auto"/>
          <w:spacing w:val="-3"/>
          <w:sz w:val="24"/>
          <w:szCs w:val="24"/>
          <w:highlight w:val="none"/>
          <w:lang w:eastAsia="zh-CN"/>
        </w:rPr>
      </w:pPr>
      <w:bookmarkStart w:id="782" w:name="2._甲方的权利和义务"/>
      <w:bookmarkEnd w:id="782"/>
      <w:bookmarkStart w:id="783" w:name="_Toc28612878"/>
      <w:bookmarkStart w:id="784" w:name="_Toc61947357"/>
      <w:bookmarkStart w:id="785" w:name="_Toc28273047"/>
      <w:r>
        <w:rPr>
          <w:rFonts w:hint="eastAsia" w:ascii="宋体" w:hAnsi="宋体" w:eastAsia="宋体" w:cs="宋体"/>
          <w:b/>
          <w:bCs/>
          <w:color w:val="auto"/>
          <w:spacing w:val="-3"/>
          <w:sz w:val="24"/>
          <w:szCs w:val="24"/>
          <w:highlight w:val="none"/>
          <w:lang w:eastAsia="zh-CN"/>
        </w:rPr>
        <w:t>（二）甲方的权利和义务</w:t>
      </w:r>
      <w:bookmarkEnd w:id="783"/>
      <w:bookmarkEnd w:id="784"/>
      <w:bookmarkEnd w:id="785"/>
    </w:p>
    <w:p w14:paraId="58148EE4">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1、按合同约定向乙方支付养护费用。</w:t>
      </w:r>
    </w:p>
    <w:p w14:paraId="5B217757">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2、对乙方提交的园林绿化养护管理作业方案进行审批。在养护实施期内，如果因政府相关管理部门发布了新的养护管理规定或标准，且该规定或标准高于合同签订时的规定和标准时，甲方有权要求乙方对其提交且已经甲方批准的园林绿化养护管理作业方案进行修改和调整，乙方不得因此要求甲方增加养护费用。</w:t>
      </w:r>
    </w:p>
    <w:p w14:paraId="650A22EA">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3、全面监督、指导、检查、验收乙方工作，发现问题及时通知乙方，要求乙方及时予以处理，对乙方提出的合理建议和要求予以采纳或提供帮助。甲方依据作业内容、标准，检查监督乙方的养护质量和服务水平，实行百分检查验收制度。</w:t>
      </w:r>
    </w:p>
    <w:p w14:paraId="7DD591BF">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4、根据行政主管部门制定的相关管理办法和技术标准，协调养护区域林业有害生物防治工作的组织和监管，并监督检查乙方的落实情况。</w:t>
      </w:r>
    </w:p>
    <w:p w14:paraId="205C1834">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5、在绿化养护工作中，在迎接参观、调研、检查等特殊情况时，甲方有权要求乙方给予积极配合，事前应提前通知乙方。</w:t>
      </w:r>
    </w:p>
    <w:p w14:paraId="4AEB8C35">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6、对乙方技术和管理人员的培训工作进行监督和检查。</w:t>
      </w:r>
    </w:p>
    <w:p w14:paraId="06BCC598">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7、对乙方收到的园林绿化养护资金的使用情况进行监督；乙方工作量经甲方确认后签字，作为养护费结算依据。</w:t>
      </w:r>
    </w:p>
    <w:p w14:paraId="3FC87205">
      <w:pPr>
        <w:pStyle w:val="100"/>
        <w:pageBreakBefore w:val="0"/>
        <w:tabs>
          <w:tab w:val="left" w:pos="1017"/>
        </w:tabs>
        <w:kinsoku/>
        <w:wordWrap/>
        <w:overflowPunct/>
        <w:topLinePunct w:val="0"/>
        <w:bidi w:val="0"/>
        <w:snapToGrid w:val="0"/>
        <w:spacing w:line="360" w:lineRule="auto"/>
        <w:ind w:left="0" w:right="215" w:firstLine="468"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8、为乙方提供养护范围内的竣工图（或现状图）、地内地下管线及其他相关资料。</w:t>
      </w:r>
    </w:p>
    <w:p w14:paraId="1E030BD3">
      <w:pPr>
        <w:pStyle w:val="100"/>
        <w:pageBreakBefore w:val="0"/>
        <w:tabs>
          <w:tab w:val="left" w:pos="1017"/>
        </w:tabs>
        <w:kinsoku/>
        <w:wordWrap/>
        <w:overflowPunct/>
        <w:topLinePunct w:val="0"/>
        <w:bidi w:val="0"/>
        <w:snapToGrid w:val="0"/>
        <w:spacing w:line="360" w:lineRule="auto"/>
        <w:ind w:left="0" w:right="215" w:firstLine="468"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9、提供养护范围内的树木、草坪、花卉、绿篱、水生植物、水体以及附属设施的名称、数量，并列明清单。</w:t>
      </w:r>
    </w:p>
    <w:p w14:paraId="26FE41F3">
      <w:pPr>
        <w:pStyle w:val="100"/>
        <w:pageBreakBefore w:val="0"/>
        <w:tabs>
          <w:tab w:val="left" w:pos="1017"/>
        </w:tabs>
        <w:kinsoku/>
        <w:wordWrap/>
        <w:overflowPunct/>
        <w:topLinePunct w:val="0"/>
        <w:bidi w:val="0"/>
        <w:snapToGrid w:val="0"/>
        <w:spacing w:line="360" w:lineRule="auto"/>
        <w:ind w:left="0" w:right="215" w:firstLine="468" w:firstLineChars="200"/>
        <w:jc w:val="both"/>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10、提供现场既有的水、电接驳点，但购买及安装计量表具的费用和养护期间所发生的水费、电费由乙方承担。</w:t>
      </w:r>
    </w:p>
    <w:p w14:paraId="2208104A">
      <w:pPr>
        <w:pStyle w:val="100"/>
        <w:pageBreakBefore w:val="0"/>
        <w:tabs>
          <w:tab w:val="left" w:pos="1017"/>
        </w:tabs>
        <w:kinsoku/>
        <w:wordWrap/>
        <w:overflowPunct/>
        <w:topLinePunct w:val="0"/>
        <w:bidi w:val="0"/>
        <w:snapToGrid w:val="0"/>
        <w:spacing w:line="360" w:lineRule="auto"/>
        <w:ind w:left="0" w:right="215" w:firstLine="468" w:firstLineChars="200"/>
        <w:jc w:val="both"/>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11、协助乙方维持养护现场的秩序，为乙方进入养护区域作业提供便利。</w:t>
      </w:r>
    </w:p>
    <w:p w14:paraId="1DA2B1A6">
      <w:pPr>
        <w:pStyle w:val="100"/>
        <w:pageBreakBefore w:val="0"/>
        <w:tabs>
          <w:tab w:val="left" w:pos="1017"/>
        </w:tabs>
        <w:kinsoku/>
        <w:wordWrap/>
        <w:overflowPunct/>
        <w:topLinePunct w:val="0"/>
        <w:bidi w:val="0"/>
        <w:snapToGrid w:val="0"/>
        <w:spacing w:line="360" w:lineRule="auto"/>
        <w:ind w:left="0" w:right="215" w:firstLine="468" w:firstLineChars="200"/>
        <w:jc w:val="both"/>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12、对乙方提交的补苗计划应及时审批。</w:t>
      </w:r>
    </w:p>
    <w:p w14:paraId="3BB25453">
      <w:pPr>
        <w:pStyle w:val="100"/>
        <w:pageBreakBefore w:val="0"/>
        <w:tabs>
          <w:tab w:val="left" w:pos="1017"/>
        </w:tabs>
        <w:kinsoku/>
        <w:wordWrap/>
        <w:overflowPunct/>
        <w:topLinePunct w:val="0"/>
        <w:bidi w:val="0"/>
        <w:snapToGrid w:val="0"/>
        <w:spacing w:line="360" w:lineRule="auto"/>
        <w:ind w:left="0" w:right="215" w:firstLine="468" w:firstLineChars="200"/>
        <w:jc w:val="both"/>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13、乙方人员工作不能满足工作需求时，甲方有权通知乙方对其人员进行调整，乙方应服从甲方要求，否则视为乙方违约。</w:t>
      </w:r>
    </w:p>
    <w:p w14:paraId="75E2B0D4">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14、遇应急抢险、重大活动及重要工作等时，可统一调配乙方工作人员。</w:t>
      </w:r>
    </w:p>
    <w:p w14:paraId="7C2EEBFC">
      <w:pPr>
        <w:pStyle w:val="100"/>
        <w:pageBreakBefore w:val="0"/>
        <w:tabs>
          <w:tab w:val="left" w:pos="1031"/>
        </w:tabs>
        <w:kinsoku/>
        <w:wordWrap/>
        <w:overflowPunct/>
        <w:topLinePunct w:val="0"/>
        <w:bidi w:val="0"/>
        <w:spacing w:line="360" w:lineRule="auto"/>
        <w:ind w:left="0" w:firstLine="470" w:firstLineChars="200"/>
        <w:textAlignment w:val="auto"/>
        <w:rPr>
          <w:rFonts w:hint="eastAsia" w:ascii="宋体" w:hAnsi="宋体" w:eastAsia="宋体" w:cs="宋体"/>
          <w:b/>
          <w:bCs/>
          <w:color w:val="auto"/>
          <w:spacing w:val="-3"/>
          <w:sz w:val="24"/>
          <w:szCs w:val="24"/>
          <w:highlight w:val="none"/>
          <w:lang w:eastAsia="zh-CN"/>
        </w:rPr>
      </w:pPr>
      <w:bookmarkStart w:id="786" w:name="3._乙方权利和义务"/>
      <w:bookmarkEnd w:id="786"/>
      <w:bookmarkStart w:id="787" w:name="_Toc28273048"/>
      <w:bookmarkStart w:id="788" w:name="_Toc28612879"/>
      <w:bookmarkStart w:id="789" w:name="_Toc61947358"/>
      <w:r>
        <w:rPr>
          <w:rFonts w:hint="eastAsia" w:ascii="宋体" w:hAnsi="宋体" w:eastAsia="宋体" w:cs="宋体"/>
          <w:b/>
          <w:bCs/>
          <w:color w:val="auto"/>
          <w:spacing w:val="-3"/>
          <w:sz w:val="24"/>
          <w:szCs w:val="24"/>
          <w:highlight w:val="none"/>
          <w:lang w:eastAsia="zh-CN"/>
        </w:rPr>
        <w:t>（三）乙方权利和义务</w:t>
      </w:r>
      <w:bookmarkEnd w:id="787"/>
      <w:bookmarkEnd w:id="788"/>
      <w:bookmarkEnd w:id="789"/>
    </w:p>
    <w:p w14:paraId="478F870D">
      <w:pPr>
        <w:pStyle w:val="100"/>
        <w:pageBreakBefore w:val="0"/>
        <w:tabs>
          <w:tab w:val="left" w:pos="1017"/>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1、在合同签订后7天内，将园林绿化养护管理作业方案报请甲方审核批准， 并以此作为养护实施的依据。在养护实施期内，因政府相关管理部门发布了新的养护管理规定或标准，且该规定或标准高于合同签订时的规定和标准时，乙方应对其提交且已经甲方批准的园林绿化养护管理作业方案进行修改和调整，但乙方不得因此要求甲方增加养护费用。在养护期内因重大活动组织或其他原因，需要暂停养护作业或调整养护管理作业方案时，乙方应遵从甲方要求调整养护时间或更改养护措施，但不得因此要求甲方增加养护费用。</w:t>
      </w:r>
    </w:p>
    <w:p w14:paraId="3DE53C80">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2、按照合同约定组建项目组织管理机构，配齐配足相应的管理人员、技术人员、作业人员等，制定相应的管理制度，明确岗位职责、岗位规范、操作规程等，建立养护班组。同时将相应资料报甲方备案。</w:t>
      </w:r>
    </w:p>
    <w:p w14:paraId="0E0FFC2E">
      <w:pPr>
        <w:pStyle w:val="100"/>
        <w:pageBreakBefore w:val="0"/>
        <w:tabs>
          <w:tab w:val="left" w:pos="1032"/>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3、按时报送年度、季度、月度养护工作方案和养护工作总结。</w:t>
      </w:r>
    </w:p>
    <w:p w14:paraId="1087C90F">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4、对从事养护管理人员、技术人员、作业人员等（如绿化工、质检员、安全员、资料员）进行严格的岗前培训，上述人员须经相关部门统一考核合格后方可上岗。养护作业人员在养护作业时应统一着装、佩带工卡。</w:t>
      </w:r>
    </w:p>
    <w:p w14:paraId="14744F1B">
      <w:pPr>
        <w:pStyle w:val="100"/>
        <w:pageBreakBefore w:val="0"/>
        <w:tabs>
          <w:tab w:val="left" w:pos="1038"/>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5、对养护范围内的地下管线、建筑物、构筑物等应做好的保护工作。因违规作业，造成损失的由乙方自行负责。</w:t>
      </w:r>
    </w:p>
    <w:p w14:paraId="4836C8F4">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6、严格遵守政府和有关主管部门对噪音污染、环境保护等方面的管理规定，在对外开放的养护区域，处理好养护作业与车辆、行人（或游客）的关系；对养护现场安全管理负全责，必须遵守政府有关部门对安全生产的规定，建立完整的安全生产制度和保障体系，防止安全事故发生；为养护人员的劳动保护和人身安全提供有效保障。</w:t>
      </w:r>
    </w:p>
    <w:p w14:paraId="506989E7">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7、负责养护范围的日常巡视检查，保证每天上下午各巡视一遍，发现问题及时处理，确保不造成负面影响，对无法处理的问题应及时上报甲方管理人员。发现植被、设施等被损、丢失情况时应及时告知甲方，并及时做好补缺、修复等工作。未及时发现或发现后未及时处置或及时发现但无法处置却不上报情况的一次扣除乙方养护费用 1000 元人民币，造成舆情和恶劣影响的一次扣除乙方养护费用1万元人民币。</w:t>
      </w:r>
    </w:p>
    <w:p w14:paraId="1F8C3EF4">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8、按时参加由甲方组织召开的月度养护例会，总结上月养护工作，制定下月每周养护计划，对存在问题提出有针对性的解决措施。主要负责人无故缺席例会将扣除乙方养护费用1千元人民币。</w:t>
      </w:r>
    </w:p>
    <w:p w14:paraId="42673512">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9、在有害生物防治作业中，应按照林业有害生物防治工作的管理办法和技术标准执行，否则按违约处理。</w:t>
      </w:r>
    </w:p>
    <w:p w14:paraId="12892ED2">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10、项目负责人每周对养护情况开展一次自查，每月指派一名公司高层管理人员及项目负责人与甲方联合检查一次。同时，及时参加甲方组织的园林绿化养护管理工作检查、验收、考核等活动，对甲方发出的整改通知，应及时进行整改，无正当理由拒绝整改的，甲方可以另行委托他人进行整改，所发生的费用由乙方承担。</w:t>
      </w:r>
    </w:p>
    <w:p w14:paraId="324BA42A">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11、对项目资金专款专用、专账管理，并接受甲方的检查和监督。建立养护人员工资台账，将项目资金的使用情况定期向甲方报告。项目资金应首先保障养护工作人员的工资按时足额发放，防止因拖欠养护人员工资而引起的群体事件（如上访讨薪、示威等）。若发生此类事件，视为乙方违约。</w:t>
      </w:r>
    </w:p>
    <w:p w14:paraId="71801A26">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12、根据档案管理规定，包括但不限于竣工图及养护合同、养护实施方案、养护作业记录、有害生物监测及防治记录、森林火灾记录、养护巡查记录、检查验收报告、资金使用台账等资料进行规范管理。</w:t>
      </w:r>
    </w:p>
    <w:p w14:paraId="4CEF7D6A">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13、未经过甲方同意不得在养护范围内建设任何设施，违反合同约定，最高处于合同金额 2%的处罚，对逾期不拆除及恢复的，甲方有权解除合同。</w:t>
      </w:r>
    </w:p>
    <w:p w14:paraId="12470513">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14、根据相关操作规程、技术规范和标准进行绿地养护作业并接受甲方监督。</w:t>
      </w:r>
    </w:p>
    <w:p w14:paraId="0EF1E0C2">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15、必须重视安全生产，严格落实安全生产相关规定，执行安全操作规程，加强安全防护，确保不发生安全责任事故。因乙方原因发生安全责任事故，由乙方承担一切责任及损失。</w:t>
      </w:r>
    </w:p>
    <w:p w14:paraId="7C6EADD4">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16、文明作业，及时清理养护现场，做到随产随清。</w:t>
      </w:r>
    </w:p>
    <w:p w14:paraId="3D297805">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17、遇法定节假日或重要活动，按照甲方的具体要求布置花坛、花卉，确保绿地景观效果。</w:t>
      </w:r>
    </w:p>
    <w:p w14:paraId="52067CFD">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18、养护作业中所产生的各种绿化垃圾(泥土、枯枝、杂草等)、白色垃圾应及时清理。</w:t>
      </w:r>
    </w:p>
    <w:p w14:paraId="5A88B177">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19、机械设备</w:t>
      </w:r>
    </w:p>
    <w:p w14:paraId="074D6DBD">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（1）配齐绿地养护作业所需的各种机械设备（如水车、打药车、小草坪打孔机、割灌机、剪草机、绿篱剪、抽水泵等）。</w:t>
      </w:r>
    </w:p>
    <w:p w14:paraId="61407231">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（2）合同期满后，在新一轮政府采购活动中，乙方未在新养护期中标，需主动将电动三轮车指标归还，并及时完成电动三轮车指标过户等相关手续。</w:t>
      </w:r>
    </w:p>
    <w:p w14:paraId="4315AEEF">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20、人员配置要求</w:t>
      </w:r>
    </w:p>
    <w:p w14:paraId="1017F044">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（1）确保作业人员身体健康，年龄18-60岁之间（管理人员、技术人员可放宽至65岁），带班管理人员（工长）占比不小于6.7%（即1/15），修剪、打药等技术人员占比不小于25-30%。</w:t>
      </w:r>
    </w:p>
    <w:p w14:paraId="47FE0CCA">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（2）对作业人员进行必要的岗前培训，主要包括：遵章守纪、劳动法规、职业道德、安全防护、职业技能、消防安全等方面的培训。</w:t>
      </w:r>
    </w:p>
    <w:p w14:paraId="6D163D90">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（3）同用工人员或用工单位签订《用工协议书》及《安全协议书》，与甲方签订《作业人员工资发放承诺书》。</w:t>
      </w:r>
    </w:p>
    <w:p w14:paraId="2CF44FA5">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（4）向甲方提供项目人员材料，包括：身份证复印件、联系方式、劳务用工合同、人身意外保险合同、体检证明等。</w:t>
      </w:r>
    </w:p>
    <w:p w14:paraId="5C15CDCF">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（5）工作人员在养护作业中受到伤害时，应立即采取有效措施进行抢救和治疗，并负责妥善处理后续事宜，承担相应的全部费用。</w:t>
      </w:r>
    </w:p>
    <w:p w14:paraId="7E5BB853">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（6）工作人员应进行身体检查，检查的项目包括：血液常规检测、心脑血管检查、胸部X光片检查、心电图检查。乙方另可根据实际情况安排其他检查项目。</w:t>
      </w:r>
    </w:p>
    <w:p w14:paraId="7014B253">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（7）因违反法律法规、规章制度、操作规程造成损失的（包括造成第三方人身及财产损害），由乙方负责赔偿及善后事宜，承担相应的全部费用。</w:t>
      </w:r>
    </w:p>
    <w:p w14:paraId="29D2AE53">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21、按照相关法律规定和合同约定，为其雇佣人员办理人身安全类保险，每年保险承保额度不低于60万元，并向甲方提供保单复印件。</w:t>
      </w:r>
    </w:p>
    <w:p w14:paraId="1DE699DE">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22、保证养护人员的相对稳定性，如乙方需要更换养护人员数量超过养护人员总数的10%，需向甲方提出申请，经同意后方可更换养护人员。如不向甲方申请或甲方未批准，乙方单方面更换养护人员的，每更换1人，扣除养护费5000元人民币。</w:t>
      </w:r>
    </w:p>
    <w:p w14:paraId="4C41EC71">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23、因拖欠应付的劳务费用或违反劳动政策法规而损害劳务用工人员合法权益行为的，甲方可依法向乙方进行交涉，要求乙方履行其义务，如乙方上述行为给甲方造成经济损失的，甲方有权按实际损失的情况向乙方进行索赔或扣除养护费用。</w:t>
      </w:r>
    </w:p>
    <w:p w14:paraId="7DD70EC8">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bookmarkStart w:id="790" w:name="第七条_检查与考核"/>
      <w:bookmarkEnd w:id="790"/>
      <w:bookmarkStart w:id="791" w:name="_Toc28612880"/>
      <w:bookmarkStart w:id="792" w:name="_Toc61947359"/>
      <w:bookmarkStart w:id="793" w:name="_Toc28273049"/>
      <w:r>
        <w:rPr>
          <w:rFonts w:hint="eastAsia" w:ascii="宋体" w:hAnsi="宋体" w:eastAsia="宋体" w:cs="宋体"/>
          <w:color w:val="auto"/>
          <w:spacing w:val="-3"/>
          <w:sz w:val="24"/>
          <w:szCs w:val="24"/>
          <w:highlight w:val="none"/>
          <w:lang w:eastAsia="zh-CN"/>
        </w:rPr>
        <w:t>24、养护要求</w:t>
      </w:r>
    </w:p>
    <w:p w14:paraId="70848857">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（1）由于养护不到位导致苗木死亡造成不良影响的，除重新进行补植外，从养护费中扣除已死亡苗木的植株费用（植株费用以当月造价信息为准）。</w:t>
      </w:r>
    </w:p>
    <w:p w14:paraId="46BC2F72">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（2）被上级部门检查扣分的，扣除相应养护费1万元。在市园林绿化局组织开展的绿地养护检查中，未达到相应绿地养护质量等级的，扣除对应绿地的全年养护费用。</w:t>
      </w:r>
    </w:p>
    <w:p w14:paraId="41F5ABC9">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（3）由于养护不到位，导致发生严重病虫害的（由甲方请专家判定），根据专家判定的灾害面积、植株数量等经济损失情况，确定扣除相应养护费的具体金额。</w:t>
      </w:r>
    </w:p>
    <w:p w14:paraId="3B0E7450">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（4）因违反交通法规，未按照上路作业要求设立安全设施的，扣除养护费 5 万元。</w:t>
      </w:r>
    </w:p>
    <w:p w14:paraId="48591A52">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（5）由于养护不到位产生社会舆情或12345 市民热线市级平台来件等，每个案件扣除养护费  2千元，造成严重影响的，每次扣除养护费用2万元。</w:t>
      </w:r>
    </w:p>
    <w:p w14:paraId="2866F194">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（6）按市、区等相关文件要求，做好疫情防控工作。疫情防控不到位的扣除养护费5万元。</w:t>
      </w:r>
    </w:p>
    <w:p w14:paraId="0B39ABE1">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7）严格遵守交通法规，在电动三轮车使用过程中，发生未佩戴头盔、违章停放、违规行驶、无证驾驶等行为的，在接受相关执法部门处理的同时，将扣除养护费1000—10000元/次。因违反交通法规造成人员伤亡的，由乙方负责赔偿及善后事宜，甲方保留追究其法律责任的权利。</w:t>
      </w:r>
    </w:p>
    <w:p w14:paraId="7692BB3E">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（8）未按照甲方安全管理要求，存在私接电源、违规使用电器、电动车违规充电、危化品（油料、农药等）未按规定存放及未做好出入库记录等安全隐患的，扣除养护费5000—10000 元。造成安全事故的，甲方有权解除合同。</w:t>
      </w:r>
    </w:p>
    <w:p w14:paraId="55D84BBA">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（9）因管护不到位，发生跑冒滴漏现象或在浇水打药作业中造成严重影响的扣除养护费5000—10000元。</w:t>
      </w:r>
    </w:p>
    <w:p w14:paraId="7532B5B6">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（10）在执行甲方部署的工作时，以各种形式拖延不落实或未按要求执行，甲方有权安排第三方完成相关工作，产生的一切费用由乙方全部承担。</w:t>
      </w:r>
    </w:p>
    <w:p w14:paraId="70A6E238">
      <w:pPr>
        <w:pStyle w:val="100"/>
        <w:pageBreakBefore w:val="0"/>
        <w:tabs>
          <w:tab w:val="left" w:pos="974"/>
        </w:tabs>
        <w:kinsoku/>
        <w:wordWrap/>
        <w:overflowPunct/>
        <w:topLinePunct w:val="0"/>
        <w:bidi w:val="0"/>
        <w:snapToGrid w:val="0"/>
        <w:spacing w:line="360" w:lineRule="auto"/>
        <w:ind w:left="0" w:firstLine="470" w:firstLineChars="200"/>
        <w:textAlignment w:val="auto"/>
        <w:rPr>
          <w:rFonts w:hint="eastAsia" w:ascii="宋体" w:hAnsi="宋体" w:eastAsia="宋体" w:cs="宋体"/>
          <w:b/>
          <w:bCs/>
          <w:color w:val="auto"/>
          <w:spacing w:val="-3"/>
          <w:sz w:val="24"/>
          <w:szCs w:val="24"/>
          <w:highlight w:val="none"/>
          <w:lang w:eastAsia="zh-CN"/>
        </w:rPr>
      </w:pPr>
      <w:r>
        <w:rPr>
          <w:rFonts w:hint="eastAsia" w:ascii="宋体" w:hAnsi="宋体" w:eastAsia="宋体" w:cs="宋体"/>
          <w:b/>
          <w:bCs/>
          <w:color w:val="auto"/>
          <w:spacing w:val="-3"/>
          <w:sz w:val="24"/>
          <w:szCs w:val="24"/>
          <w:highlight w:val="none"/>
          <w:lang w:eastAsia="zh-CN"/>
        </w:rPr>
        <w:t>第七条 检查与考核</w:t>
      </w:r>
      <w:bookmarkEnd w:id="791"/>
      <w:bookmarkEnd w:id="792"/>
      <w:bookmarkEnd w:id="793"/>
    </w:p>
    <w:p w14:paraId="2809C639">
      <w:pPr>
        <w:pStyle w:val="100"/>
        <w:pageBreakBefore w:val="0"/>
        <w:tabs>
          <w:tab w:val="left" w:pos="974"/>
        </w:tabs>
        <w:kinsoku/>
        <w:wordWrap/>
        <w:overflowPunct/>
        <w:topLinePunct w:val="0"/>
        <w:bidi w:val="0"/>
        <w:snapToGrid w:val="0"/>
        <w:spacing w:line="360" w:lineRule="auto"/>
        <w:ind w:left="0" w:firstLine="470" w:firstLineChars="200"/>
        <w:textAlignment w:val="auto"/>
        <w:rPr>
          <w:rFonts w:hint="eastAsia" w:ascii="宋体" w:hAnsi="宋体" w:eastAsia="宋体" w:cs="宋体"/>
          <w:b/>
          <w:bCs/>
          <w:color w:val="auto"/>
          <w:spacing w:val="-3"/>
          <w:sz w:val="24"/>
          <w:szCs w:val="24"/>
          <w:highlight w:val="none"/>
          <w:lang w:eastAsia="zh-CN"/>
        </w:rPr>
      </w:pPr>
      <w:r>
        <w:rPr>
          <w:rFonts w:hint="eastAsia" w:ascii="宋体" w:hAnsi="宋体" w:eastAsia="宋体" w:cs="宋体"/>
          <w:b/>
          <w:bCs/>
          <w:color w:val="auto"/>
          <w:spacing w:val="-3"/>
          <w:sz w:val="24"/>
          <w:szCs w:val="24"/>
          <w:highlight w:val="none"/>
          <w:lang w:eastAsia="zh-CN"/>
        </w:rPr>
        <w:t>（一）检查与考核的依据</w:t>
      </w:r>
      <w:r>
        <w:rPr>
          <w:rFonts w:hint="eastAsia" w:ascii="宋体" w:hAnsi="宋体" w:cs="宋体"/>
          <w:b/>
          <w:bCs/>
          <w:color w:val="auto"/>
          <w:spacing w:val="-3"/>
          <w:sz w:val="24"/>
          <w:szCs w:val="24"/>
          <w:highlight w:val="none"/>
          <w:lang w:eastAsia="zh-CN"/>
        </w:rPr>
        <w:t>（</w:t>
      </w:r>
      <w:r>
        <w:rPr>
          <w:rFonts w:hint="eastAsia" w:ascii="宋体" w:hAnsi="宋体" w:cs="宋体"/>
          <w:b/>
          <w:bCs/>
          <w:color w:val="auto"/>
          <w:spacing w:val="-3"/>
          <w:sz w:val="24"/>
          <w:szCs w:val="24"/>
          <w:highlight w:val="none"/>
          <w:lang w:val="en-US" w:eastAsia="zh-CN"/>
        </w:rPr>
        <w:t>如有最新按照最新标准执行</w:t>
      </w:r>
      <w:r>
        <w:rPr>
          <w:rFonts w:hint="eastAsia" w:ascii="宋体" w:hAnsi="宋体" w:cs="宋体"/>
          <w:b/>
          <w:bCs/>
          <w:color w:val="auto"/>
          <w:spacing w:val="-3"/>
          <w:sz w:val="24"/>
          <w:szCs w:val="24"/>
          <w:highlight w:val="none"/>
          <w:lang w:eastAsia="zh-CN"/>
        </w:rPr>
        <w:t>）</w:t>
      </w:r>
    </w:p>
    <w:p w14:paraId="18E698A8">
      <w:pPr>
        <w:pageBreakBefore w:val="0"/>
        <w:tabs>
          <w:tab w:val="left" w:pos="1083"/>
        </w:tabs>
        <w:kinsoku/>
        <w:wordWrap/>
        <w:overflowPunct/>
        <w:topLinePunct w:val="0"/>
        <w:bidi w:val="0"/>
        <w:snapToGrid w:val="0"/>
        <w:spacing w:line="360" w:lineRule="auto"/>
        <w:ind w:right="147" w:firstLine="468" w:firstLineChars="200"/>
        <w:jc w:val="both"/>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1、北京市《城镇绿地养护技术规范》（DB11/T 213—2022）。</w:t>
      </w:r>
    </w:p>
    <w:p w14:paraId="735AC9D4">
      <w:pPr>
        <w:pageBreakBefore w:val="0"/>
        <w:tabs>
          <w:tab w:val="left" w:pos="1083"/>
        </w:tabs>
        <w:kinsoku/>
        <w:wordWrap/>
        <w:overflowPunct/>
        <w:topLinePunct w:val="0"/>
        <w:bidi w:val="0"/>
        <w:snapToGrid w:val="0"/>
        <w:spacing w:line="360" w:lineRule="auto"/>
        <w:ind w:right="147" w:firstLine="468" w:firstLineChars="200"/>
        <w:jc w:val="both"/>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2、《北京城市副中心城镇绿地养护管理工作意见》（京绿城发[2017]14 号）。</w:t>
      </w:r>
    </w:p>
    <w:p w14:paraId="26083BA6">
      <w:pPr>
        <w:pageBreakBefore w:val="0"/>
        <w:tabs>
          <w:tab w:val="left" w:pos="1083"/>
        </w:tabs>
        <w:kinsoku/>
        <w:wordWrap/>
        <w:overflowPunct/>
        <w:topLinePunct w:val="0"/>
        <w:bidi w:val="0"/>
        <w:snapToGrid w:val="0"/>
        <w:spacing w:line="360" w:lineRule="auto"/>
        <w:ind w:right="147" w:firstLine="468" w:firstLineChars="200"/>
        <w:jc w:val="both"/>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3、《北京市城镇绿地养护管理质量标准》。</w:t>
      </w:r>
    </w:p>
    <w:p w14:paraId="62C5EB89">
      <w:pPr>
        <w:pageBreakBefore w:val="0"/>
        <w:tabs>
          <w:tab w:val="left" w:pos="1083"/>
        </w:tabs>
        <w:kinsoku/>
        <w:wordWrap/>
        <w:overflowPunct/>
        <w:topLinePunct w:val="0"/>
        <w:bidi w:val="0"/>
        <w:snapToGrid w:val="0"/>
        <w:spacing w:line="360" w:lineRule="auto"/>
        <w:ind w:right="147" w:firstLine="468" w:firstLineChars="200"/>
        <w:jc w:val="both"/>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4、《北京市城镇绿地分级分类办法》（京绿城发〔2018〕201号）。</w:t>
      </w:r>
    </w:p>
    <w:p w14:paraId="22CF2516">
      <w:pPr>
        <w:pageBreakBefore w:val="0"/>
        <w:tabs>
          <w:tab w:val="left" w:pos="1083"/>
        </w:tabs>
        <w:kinsoku/>
        <w:wordWrap/>
        <w:overflowPunct/>
        <w:topLinePunct w:val="0"/>
        <w:bidi w:val="0"/>
        <w:snapToGrid w:val="0"/>
        <w:spacing w:line="360" w:lineRule="auto"/>
        <w:ind w:right="147" w:firstLine="468" w:firstLineChars="200"/>
        <w:jc w:val="both"/>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5、北京市《城镇园林绿化养护管理年度考评工作细则》</w:t>
      </w:r>
      <w:r>
        <w:rPr>
          <w:rFonts w:hint="eastAsia" w:ascii="宋体" w:hAnsi="宋体" w:eastAsia="宋体" w:cs="宋体"/>
          <w:color w:val="auto"/>
          <w:sz w:val="24"/>
          <w:szCs w:val="24"/>
          <w:highlight w:val="none"/>
          <w:lang w:eastAsia="zh-CN"/>
        </w:rPr>
        <w:t>（京绿城发〔2017〕5号）</w:t>
      </w:r>
      <w:r>
        <w:rPr>
          <w:rFonts w:hint="eastAsia" w:ascii="宋体" w:hAnsi="宋体" w:eastAsia="宋体" w:cs="宋体"/>
          <w:color w:val="auto"/>
          <w:spacing w:val="-3"/>
          <w:sz w:val="24"/>
          <w:szCs w:val="24"/>
          <w:highlight w:val="none"/>
          <w:lang w:eastAsia="zh-CN"/>
        </w:rPr>
        <w:t>。</w:t>
      </w:r>
    </w:p>
    <w:p w14:paraId="74B4413F">
      <w:pPr>
        <w:pageBreakBefore w:val="0"/>
        <w:tabs>
          <w:tab w:val="left" w:pos="1083"/>
        </w:tabs>
        <w:kinsoku/>
        <w:wordWrap/>
        <w:overflowPunct/>
        <w:topLinePunct w:val="0"/>
        <w:bidi w:val="0"/>
        <w:snapToGrid w:val="0"/>
        <w:spacing w:line="360" w:lineRule="auto"/>
        <w:ind w:right="147" w:firstLine="468" w:firstLineChars="200"/>
        <w:jc w:val="both"/>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6、《北京市城镇绿地养护管理质量评分标准》等。</w:t>
      </w:r>
    </w:p>
    <w:p w14:paraId="244DC25C">
      <w:pPr>
        <w:pageBreakBefore w:val="0"/>
        <w:tabs>
          <w:tab w:val="left" w:pos="1083"/>
        </w:tabs>
        <w:kinsoku/>
        <w:wordWrap/>
        <w:overflowPunct/>
        <w:topLinePunct w:val="0"/>
        <w:bidi w:val="0"/>
        <w:snapToGrid w:val="0"/>
        <w:spacing w:line="360" w:lineRule="auto"/>
        <w:ind w:right="147" w:firstLine="468" w:firstLineChars="200"/>
        <w:jc w:val="both"/>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7、本合同的相关规定。</w:t>
      </w:r>
    </w:p>
    <w:p w14:paraId="3A541FB9">
      <w:pPr>
        <w:pageBreakBefore w:val="0"/>
        <w:tabs>
          <w:tab w:val="left" w:pos="1083"/>
        </w:tabs>
        <w:kinsoku/>
        <w:wordWrap/>
        <w:overflowPunct/>
        <w:topLinePunct w:val="0"/>
        <w:bidi w:val="0"/>
        <w:snapToGrid w:val="0"/>
        <w:spacing w:line="360" w:lineRule="auto"/>
        <w:ind w:right="147" w:firstLine="470" w:firstLineChars="200"/>
        <w:jc w:val="both"/>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b/>
          <w:bCs/>
          <w:color w:val="auto"/>
          <w:spacing w:val="-3"/>
          <w:sz w:val="24"/>
          <w:szCs w:val="24"/>
          <w:highlight w:val="none"/>
          <w:lang w:eastAsia="zh-CN"/>
        </w:rPr>
        <w:t>（二）检查与考核</w:t>
      </w:r>
    </w:p>
    <w:p w14:paraId="4378A880">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甲方按照本合同约定的检查和考核依据</w:t>
      </w:r>
      <w:r>
        <w:rPr>
          <w:rFonts w:hint="eastAsia" w:ascii="宋体" w:hAnsi="宋体" w:eastAsia="宋体" w:cs="宋体"/>
          <w:color w:val="auto"/>
          <w:sz w:val="24"/>
          <w:szCs w:val="24"/>
          <w:highlight w:val="none"/>
          <w:lang w:eastAsia="zh-CN"/>
        </w:rPr>
        <w:t>，采取随机抽查的方式对乙方的绿化养护实施情况进行检查，检查</w:t>
      </w:r>
      <w:r>
        <w:rPr>
          <w:rFonts w:hint="eastAsia" w:ascii="宋体" w:hAnsi="宋体" w:eastAsia="宋体" w:cs="宋体"/>
          <w:color w:val="auto"/>
          <w:spacing w:val="-6"/>
          <w:sz w:val="24"/>
          <w:szCs w:val="24"/>
          <w:highlight w:val="none"/>
          <w:lang w:eastAsia="zh-CN"/>
        </w:rPr>
        <w:t>其绿地养护范围的养护效果，对养护实施情况和养护质量进行评分。对检查中发现的问</w:t>
      </w:r>
      <w:r>
        <w:rPr>
          <w:rFonts w:hint="eastAsia" w:ascii="宋体" w:hAnsi="宋体" w:eastAsia="宋体" w:cs="宋体"/>
          <w:color w:val="auto"/>
          <w:spacing w:val="-7"/>
          <w:sz w:val="24"/>
          <w:szCs w:val="24"/>
          <w:highlight w:val="none"/>
          <w:lang w:eastAsia="zh-CN"/>
        </w:rPr>
        <w:t>题，有权责令乙方进行整改，并向乙方发出整改通知，乙方应按甲方的要求及时进行整改。乙</w:t>
      </w:r>
      <w:r>
        <w:rPr>
          <w:rFonts w:hint="eastAsia" w:ascii="宋体" w:hAnsi="宋体" w:eastAsia="宋体" w:cs="宋体"/>
          <w:color w:val="auto"/>
          <w:spacing w:val="-5"/>
          <w:sz w:val="24"/>
          <w:szCs w:val="24"/>
          <w:highlight w:val="none"/>
          <w:lang w:eastAsia="zh-CN"/>
        </w:rPr>
        <w:t>方无正当理由拒绝整改时，甲方可以另行委托他人进行整改，所发生的费用由乙方承担。</w:t>
      </w:r>
    </w:p>
    <w:p w14:paraId="3CAC3341">
      <w:pPr>
        <w:pStyle w:val="100"/>
        <w:pageBreakBefore w:val="0"/>
        <w:tabs>
          <w:tab w:val="left" w:pos="974"/>
        </w:tabs>
        <w:kinsoku/>
        <w:wordWrap/>
        <w:overflowPunct/>
        <w:topLinePunct w:val="0"/>
        <w:bidi w:val="0"/>
        <w:snapToGrid w:val="0"/>
        <w:spacing w:line="360" w:lineRule="auto"/>
        <w:ind w:left="0" w:firstLine="470" w:firstLineChars="200"/>
        <w:textAlignment w:val="auto"/>
        <w:rPr>
          <w:rFonts w:hint="eastAsia" w:ascii="宋体" w:hAnsi="宋体" w:eastAsia="宋体" w:cs="宋体"/>
          <w:b/>
          <w:bCs/>
          <w:color w:val="auto"/>
          <w:spacing w:val="-3"/>
          <w:sz w:val="24"/>
          <w:szCs w:val="24"/>
          <w:highlight w:val="none"/>
          <w:lang w:eastAsia="zh-CN"/>
        </w:rPr>
      </w:pPr>
      <w:bookmarkStart w:id="794" w:name="第八条_安全生产及环境保护"/>
      <w:bookmarkEnd w:id="794"/>
      <w:bookmarkStart w:id="795" w:name="_Toc28612881"/>
      <w:bookmarkStart w:id="796" w:name="_Toc61947360"/>
      <w:bookmarkStart w:id="797" w:name="_Toc28273050"/>
      <w:r>
        <w:rPr>
          <w:rFonts w:hint="eastAsia" w:ascii="宋体" w:hAnsi="宋体" w:eastAsia="宋体" w:cs="宋体"/>
          <w:b/>
          <w:bCs/>
          <w:color w:val="auto"/>
          <w:spacing w:val="-3"/>
          <w:sz w:val="24"/>
          <w:szCs w:val="24"/>
          <w:highlight w:val="none"/>
          <w:lang w:eastAsia="zh-CN"/>
        </w:rPr>
        <w:t>第八条 安全生产及环境保护</w:t>
      </w:r>
      <w:bookmarkEnd w:id="795"/>
      <w:bookmarkEnd w:id="796"/>
      <w:bookmarkEnd w:id="797"/>
    </w:p>
    <w:p w14:paraId="17798AA5">
      <w:pPr>
        <w:pStyle w:val="17"/>
        <w:pageBreakBefore w:val="0"/>
        <w:kinsoku/>
        <w:wordWrap/>
        <w:overflowPunct/>
        <w:topLinePunct w:val="0"/>
        <w:bidi w:val="0"/>
        <w:snapToGrid w:val="0"/>
        <w:spacing w:line="360" w:lineRule="auto"/>
        <w:ind w:firstLine="450" w:firstLineChars="200"/>
        <w:textAlignment w:val="auto"/>
        <w:rPr>
          <w:rFonts w:hint="eastAsia" w:ascii="宋体" w:hAnsi="宋体" w:eastAsia="宋体" w:cs="宋体"/>
          <w:b/>
          <w:bCs/>
          <w:color w:val="auto"/>
          <w:spacing w:val="-8"/>
          <w:sz w:val="24"/>
          <w:szCs w:val="24"/>
          <w:highlight w:val="none"/>
          <w:lang w:eastAsia="zh-CN"/>
        </w:rPr>
      </w:pPr>
      <w:r>
        <w:rPr>
          <w:rFonts w:hint="eastAsia" w:ascii="宋体" w:hAnsi="宋体" w:eastAsia="宋体" w:cs="宋体"/>
          <w:b/>
          <w:bCs/>
          <w:color w:val="auto"/>
          <w:spacing w:val="-8"/>
          <w:sz w:val="24"/>
          <w:szCs w:val="24"/>
          <w:highlight w:val="none"/>
          <w:lang w:eastAsia="zh-CN"/>
        </w:rPr>
        <w:t>（一）安全责任</w:t>
      </w:r>
    </w:p>
    <w:p w14:paraId="262ECAA8">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1、乙方应当严格遵守安全生产作业的有关管理规定，制定合理可行的安全操作规程，建立全面系统的安全监督检查制度，采取行之有效的安全保障措施，消除安全隐患、杜绝安全事故的发生。</w:t>
      </w:r>
    </w:p>
    <w:p w14:paraId="7A036C87">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2、乙方应对其在养护场地的所有工作人员进行安全教育，并随时接受甲方和行业安全检查人员实施的安全监督检查。如因非甲方原因发生安全事故，乙方应承担全部的责任。</w:t>
      </w:r>
    </w:p>
    <w:p w14:paraId="20C08ABF">
      <w:pPr>
        <w:pStyle w:val="17"/>
        <w:pageBreakBefore w:val="0"/>
        <w:kinsoku/>
        <w:wordWrap/>
        <w:overflowPunct/>
        <w:topLinePunct w:val="0"/>
        <w:bidi w:val="0"/>
        <w:snapToGrid w:val="0"/>
        <w:spacing w:line="360" w:lineRule="auto"/>
        <w:ind w:firstLine="450" w:firstLineChars="200"/>
        <w:textAlignment w:val="auto"/>
        <w:rPr>
          <w:rFonts w:hint="eastAsia" w:ascii="宋体" w:hAnsi="宋体" w:eastAsia="宋体" w:cs="宋体"/>
          <w:b/>
          <w:bCs/>
          <w:color w:val="auto"/>
          <w:spacing w:val="-8"/>
          <w:sz w:val="24"/>
          <w:szCs w:val="24"/>
          <w:highlight w:val="none"/>
          <w:lang w:eastAsia="zh-CN"/>
        </w:rPr>
      </w:pPr>
      <w:r>
        <w:rPr>
          <w:rFonts w:hint="eastAsia" w:ascii="宋体" w:hAnsi="宋体" w:eastAsia="宋体" w:cs="宋体"/>
          <w:b/>
          <w:bCs/>
          <w:color w:val="auto"/>
          <w:spacing w:val="-8"/>
          <w:sz w:val="24"/>
          <w:szCs w:val="24"/>
          <w:highlight w:val="none"/>
          <w:lang w:eastAsia="zh-CN"/>
        </w:rPr>
        <w:t>（二）安全防范</w:t>
      </w:r>
    </w:p>
    <w:p w14:paraId="242E828E">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1、乙方在从事有害生物防治、植物修剪、设施维护、道路或水体清理、防汛等工作时应自行采取有效的安全防护措施。</w:t>
      </w:r>
    </w:p>
    <w:p w14:paraId="340072EB">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2、乙方在养护范围内的植物、水体或其他可能造成人员伤亡的场所，应设置禁止吸烟、禁止火种、禁止游泳等安全警告铭牌。</w:t>
      </w:r>
    </w:p>
    <w:p w14:paraId="69D1BB14">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3、乙方对土壤进行消毒或防治病虫害时，应使用符合环保要求的药剂，不得使用国家禁止使用的剧毒、高残留或可能造成其他危害的药剂。果类植物在挂果期间不得喷洒药剂，以防发生意外。剩余药剂和器具，乙方应按规定妥善收集和处理。乙方不按规定使用药剂，造成人员伤亡、环境污染，乙方应自行承担全部的责任。</w:t>
      </w:r>
    </w:p>
    <w:p w14:paraId="20316C40">
      <w:pPr>
        <w:pStyle w:val="17"/>
        <w:pageBreakBefore w:val="0"/>
        <w:kinsoku/>
        <w:wordWrap/>
        <w:overflowPunct/>
        <w:topLinePunct w:val="0"/>
        <w:bidi w:val="0"/>
        <w:snapToGrid w:val="0"/>
        <w:spacing w:line="360" w:lineRule="auto"/>
        <w:ind w:firstLine="450" w:firstLineChars="200"/>
        <w:textAlignment w:val="auto"/>
        <w:rPr>
          <w:rFonts w:hint="eastAsia" w:ascii="宋体" w:hAnsi="宋体" w:eastAsia="宋体" w:cs="宋体"/>
          <w:b/>
          <w:bCs/>
          <w:color w:val="auto"/>
          <w:spacing w:val="-8"/>
          <w:sz w:val="24"/>
          <w:szCs w:val="24"/>
          <w:highlight w:val="none"/>
          <w:lang w:eastAsia="zh-CN"/>
        </w:rPr>
      </w:pPr>
      <w:r>
        <w:rPr>
          <w:rFonts w:hint="eastAsia" w:ascii="宋体" w:hAnsi="宋体" w:eastAsia="宋体" w:cs="宋体"/>
          <w:b/>
          <w:bCs/>
          <w:color w:val="auto"/>
          <w:spacing w:val="-8"/>
          <w:sz w:val="24"/>
          <w:szCs w:val="24"/>
          <w:highlight w:val="none"/>
          <w:lang w:eastAsia="zh-CN"/>
        </w:rPr>
        <w:t>（三）环境保护</w:t>
      </w:r>
    </w:p>
    <w:p w14:paraId="5973281D">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1、乙方应遵守国家有关环境保护的政策、法规。</w:t>
      </w:r>
    </w:p>
    <w:p w14:paraId="0590B60F">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2、养护范围内的垃圾应按规定及时清理、外运。</w:t>
      </w:r>
    </w:p>
    <w:p w14:paraId="3B6176E6">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3、乙方应按合同约定进行施肥、沤肥。施肥、沤肥不得影响绿化景观和污染周边环境。</w:t>
      </w:r>
    </w:p>
    <w:p w14:paraId="7C17A777">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4、在枯水季节，乙方应按合同规定清理水体淤泥，挖出的淤泥应堆放于甲方指定位置。</w:t>
      </w:r>
    </w:p>
    <w:p w14:paraId="71E3BB77">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5、乙方应按合同约定修整水体堤岸，防止坍塌。乙方不得擅自挖掘堤岸以扩大水面，亦不能擅自改变堤岸形状或走向。</w:t>
      </w:r>
    </w:p>
    <w:p w14:paraId="11BE4A45">
      <w:pPr>
        <w:pStyle w:val="17"/>
        <w:pageBreakBefore w:val="0"/>
        <w:kinsoku/>
        <w:wordWrap/>
        <w:overflowPunct/>
        <w:topLinePunct w:val="0"/>
        <w:bidi w:val="0"/>
        <w:snapToGrid w:val="0"/>
        <w:spacing w:line="360" w:lineRule="auto"/>
        <w:ind w:firstLine="450" w:firstLineChars="200"/>
        <w:textAlignment w:val="auto"/>
        <w:rPr>
          <w:rFonts w:hint="eastAsia" w:ascii="宋体" w:hAnsi="宋体" w:eastAsia="宋体" w:cs="宋体"/>
          <w:b/>
          <w:bCs/>
          <w:color w:val="auto"/>
          <w:spacing w:val="-8"/>
          <w:sz w:val="24"/>
          <w:szCs w:val="24"/>
          <w:highlight w:val="none"/>
          <w:lang w:eastAsia="zh-CN"/>
        </w:rPr>
      </w:pPr>
      <w:r>
        <w:rPr>
          <w:rFonts w:hint="eastAsia" w:ascii="宋体" w:hAnsi="宋体" w:eastAsia="宋体" w:cs="宋体"/>
          <w:b/>
          <w:bCs/>
          <w:color w:val="auto"/>
          <w:spacing w:val="-8"/>
          <w:sz w:val="24"/>
          <w:szCs w:val="24"/>
          <w:highlight w:val="none"/>
          <w:lang w:eastAsia="zh-CN"/>
        </w:rPr>
        <w:t>（四）事故处理</w:t>
      </w:r>
    </w:p>
    <w:p w14:paraId="33FC7F46">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1、若发生重大伤亡及其他安全事故，乙方应按有关规定及时上报相关部门，同时应及时告知甲方代表。乙方按政府有关部门的要求处理，由事故责任方承担全部的费用。</w:t>
      </w:r>
    </w:p>
    <w:p w14:paraId="47BB4521">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2、甲方、乙方对事故责任有争议时，按相关部门的认定结果处理。</w:t>
      </w:r>
    </w:p>
    <w:p w14:paraId="0F13041F">
      <w:pPr>
        <w:pStyle w:val="100"/>
        <w:pageBreakBefore w:val="0"/>
        <w:tabs>
          <w:tab w:val="left" w:pos="974"/>
        </w:tabs>
        <w:kinsoku/>
        <w:wordWrap/>
        <w:overflowPunct/>
        <w:topLinePunct w:val="0"/>
        <w:bidi w:val="0"/>
        <w:snapToGrid w:val="0"/>
        <w:spacing w:line="360" w:lineRule="auto"/>
        <w:ind w:left="0" w:firstLine="470" w:firstLineChars="200"/>
        <w:textAlignment w:val="auto"/>
        <w:rPr>
          <w:rFonts w:hint="eastAsia" w:ascii="宋体" w:hAnsi="宋体" w:eastAsia="宋体" w:cs="宋体"/>
          <w:b/>
          <w:bCs/>
          <w:color w:val="auto"/>
          <w:spacing w:val="-3"/>
          <w:sz w:val="24"/>
          <w:szCs w:val="24"/>
          <w:highlight w:val="none"/>
          <w:lang w:eastAsia="zh-CN"/>
        </w:rPr>
      </w:pPr>
      <w:bookmarkStart w:id="798" w:name="第九条_园林绿化养护所需机械、材料、器具设备"/>
      <w:bookmarkEnd w:id="798"/>
      <w:bookmarkStart w:id="799" w:name="_Toc28273051"/>
      <w:bookmarkStart w:id="800" w:name="_Toc28612882"/>
      <w:bookmarkStart w:id="801" w:name="_Toc61947361"/>
      <w:r>
        <w:rPr>
          <w:rFonts w:hint="eastAsia" w:ascii="宋体" w:hAnsi="宋体" w:eastAsia="宋体" w:cs="宋体"/>
          <w:b/>
          <w:bCs/>
          <w:color w:val="auto"/>
          <w:spacing w:val="-3"/>
          <w:sz w:val="24"/>
          <w:szCs w:val="24"/>
          <w:highlight w:val="none"/>
          <w:lang w:eastAsia="zh-CN"/>
        </w:rPr>
        <w:t>第九条 园林绿化养护所需机械、材料、器具设备</w:t>
      </w:r>
      <w:bookmarkEnd w:id="799"/>
      <w:bookmarkEnd w:id="800"/>
      <w:bookmarkEnd w:id="801"/>
    </w:p>
    <w:p w14:paraId="46A86A80">
      <w:pPr>
        <w:pStyle w:val="17"/>
        <w:pageBreakBefore w:val="0"/>
        <w:kinsoku/>
        <w:wordWrap/>
        <w:overflowPunct/>
        <w:topLinePunct w:val="0"/>
        <w:bidi w:val="0"/>
        <w:snapToGrid w:val="0"/>
        <w:spacing w:line="360" w:lineRule="auto"/>
        <w:ind w:firstLine="450" w:firstLineChars="200"/>
        <w:textAlignment w:val="auto"/>
        <w:rPr>
          <w:rFonts w:hint="eastAsia" w:ascii="宋体" w:hAnsi="宋体" w:eastAsia="宋体" w:cs="宋体"/>
          <w:b/>
          <w:bCs/>
          <w:color w:val="auto"/>
          <w:spacing w:val="-8"/>
          <w:sz w:val="24"/>
          <w:szCs w:val="24"/>
          <w:highlight w:val="none"/>
          <w:lang w:eastAsia="zh-CN"/>
        </w:rPr>
      </w:pPr>
      <w:r>
        <w:rPr>
          <w:rFonts w:hint="eastAsia" w:ascii="宋体" w:hAnsi="宋体" w:eastAsia="宋体" w:cs="宋体"/>
          <w:b/>
          <w:bCs/>
          <w:color w:val="auto"/>
          <w:spacing w:val="-8"/>
          <w:sz w:val="24"/>
          <w:szCs w:val="24"/>
          <w:highlight w:val="none"/>
          <w:lang w:eastAsia="zh-CN"/>
        </w:rPr>
        <w:t>（一）乙方应自行配置养护所需的机械、材料、器具设备和交通工具。乙方为本项目配置的机械、材料、器具设备清单如下：</w:t>
      </w:r>
    </w:p>
    <w:tbl>
      <w:tblPr>
        <w:tblStyle w:val="46"/>
        <w:tblW w:w="8926" w:type="dxa"/>
        <w:tblInd w:w="113" w:type="dxa"/>
        <w:tblLayout w:type="autofit"/>
        <w:tblCellMar>
          <w:top w:w="0" w:type="dxa"/>
          <w:left w:w="108" w:type="dxa"/>
          <w:bottom w:w="0" w:type="dxa"/>
          <w:right w:w="108" w:type="dxa"/>
        </w:tblCellMar>
      </w:tblPr>
      <w:tblGrid>
        <w:gridCol w:w="960"/>
        <w:gridCol w:w="2863"/>
        <w:gridCol w:w="992"/>
        <w:gridCol w:w="2977"/>
        <w:gridCol w:w="1134"/>
      </w:tblGrid>
      <w:tr w14:paraId="01367F75">
        <w:tblPrEx>
          <w:tblCellMar>
            <w:top w:w="0" w:type="dxa"/>
            <w:left w:w="108" w:type="dxa"/>
            <w:bottom w:w="0" w:type="dxa"/>
            <w:right w:w="108" w:type="dxa"/>
          </w:tblCellMar>
        </w:tblPrEx>
        <w:trPr>
          <w:trHeight w:val="454" w:hRule="atLeast"/>
        </w:trPr>
        <w:tc>
          <w:tcPr>
            <w:tcW w:w="960" w:type="dxa"/>
            <w:tcBorders>
              <w:top w:val="single" w:color="auto" w:sz="4" w:space="0"/>
              <w:left w:val="single" w:color="auto" w:sz="4" w:space="0"/>
              <w:bottom w:val="single" w:color="auto" w:sz="4" w:space="0"/>
              <w:right w:val="single" w:color="auto" w:sz="4" w:space="0"/>
            </w:tcBorders>
            <w:noWrap/>
            <w:vAlign w:val="bottom"/>
          </w:tcPr>
          <w:p w14:paraId="532DB3D7">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序号</w:t>
            </w:r>
          </w:p>
        </w:tc>
        <w:tc>
          <w:tcPr>
            <w:tcW w:w="2863" w:type="dxa"/>
            <w:tcBorders>
              <w:top w:val="single" w:color="auto" w:sz="4" w:space="0"/>
              <w:left w:val="nil"/>
              <w:bottom w:val="single" w:color="auto" w:sz="4" w:space="0"/>
              <w:right w:val="single" w:color="auto" w:sz="4" w:space="0"/>
            </w:tcBorders>
            <w:noWrap/>
            <w:vAlign w:val="bottom"/>
          </w:tcPr>
          <w:p w14:paraId="1321F548">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名称</w:t>
            </w:r>
          </w:p>
        </w:tc>
        <w:tc>
          <w:tcPr>
            <w:tcW w:w="992" w:type="dxa"/>
            <w:tcBorders>
              <w:top w:val="single" w:color="auto" w:sz="4" w:space="0"/>
              <w:left w:val="nil"/>
              <w:bottom w:val="single" w:color="auto" w:sz="4" w:space="0"/>
              <w:right w:val="single" w:color="auto" w:sz="4" w:space="0"/>
            </w:tcBorders>
            <w:noWrap/>
            <w:vAlign w:val="bottom"/>
          </w:tcPr>
          <w:p w14:paraId="72DEC9EA">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数量</w:t>
            </w:r>
          </w:p>
        </w:tc>
        <w:tc>
          <w:tcPr>
            <w:tcW w:w="2977" w:type="dxa"/>
            <w:tcBorders>
              <w:top w:val="single" w:color="auto" w:sz="4" w:space="0"/>
              <w:left w:val="nil"/>
              <w:bottom w:val="single" w:color="auto" w:sz="4" w:space="0"/>
              <w:right w:val="single" w:color="auto" w:sz="4" w:space="0"/>
            </w:tcBorders>
            <w:noWrap/>
            <w:vAlign w:val="bottom"/>
          </w:tcPr>
          <w:p w14:paraId="7756CFDD">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来源（自有、租赁、采购）</w:t>
            </w:r>
          </w:p>
        </w:tc>
        <w:tc>
          <w:tcPr>
            <w:tcW w:w="1134" w:type="dxa"/>
            <w:tcBorders>
              <w:top w:val="single" w:color="auto" w:sz="4" w:space="0"/>
              <w:left w:val="nil"/>
              <w:bottom w:val="single" w:color="auto" w:sz="4" w:space="0"/>
              <w:right w:val="single" w:color="auto" w:sz="4" w:space="0"/>
            </w:tcBorders>
            <w:noWrap/>
            <w:vAlign w:val="bottom"/>
          </w:tcPr>
          <w:p w14:paraId="141FB5FA">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备注</w:t>
            </w:r>
          </w:p>
        </w:tc>
      </w:tr>
      <w:tr w14:paraId="29868AFC">
        <w:tblPrEx>
          <w:tblCellMar>
            <w:top w:w="0" w:type="dxa"/>
            <w:left w:w="108" w:type="dxa"/>
            <w:bottom w:w="0" w:type="dxa"/>
            <w:right w:w="108" w:type="dxa"/>
          </w:tblCellMar>
        </w:tblPrEx>
        <w:trPr>
          <w:trHeight w:val="454" w:hRule="atLeast"/>
        </w:trPr>
        <w:tc>
          <w:tcPr>
            <w:tcW w:w="960" w:type="dxa"/>
            <w:tcBorders>
              <w:top w:val="nil"/>
              <w:left w:val="single" w:color="auto" w:sz="4" w:space="0"/>
              <w:bottom w:val="single" w:color="auto" w:sz="4" w:space="0"/>
              <w:right w:val="single" w:color="auto" w:sz="4" w:space="0"/>
            </w:tcBorders>
            <w:noWrap/>
            <w:vAlign w:val="bottom"/>
          </w:tcPr>
          <w:p w14:paraId="2B9CE17C">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p>
        </w:tc>
        <w:tc>
          <w:tcPr>
            <w:tcW w:w="2863" w:type="dxa"/>
            <w:tcBorders>
              <w:top w:val="nil"/>
              <w:left w:val="nil"/>
              <w:bottom w:val="single" w:color="auto" w:sz="4" w:space="0"/>
              <w:right w:val="single" w:color="auto" w:sz="4" w:space="0"/>
            </w:tcBorders>
            <w:noWrap/>
            <w:vAlign w:val="bottom"/>
          </w:tcPr>
          <w:p w14:paraId="345A5AB3">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p>
        </w:tc>
        <w:tc>
          <w:tcPr>
            <w:tcW w:w="992" w:type="dxa"/>
            <w:tcBorders>
              <w:top w:val="nil"/>
              <w:left w:val="nil"/>
              <w:bottom w:val="single" w:color="auto" w:sz="4" w:space="0"/>
              <w:right w:val="single" w:color="auto" w:sz="4" w:space="0"/>
            </w:tcBorders>
            <w:noWrap/>
            <w:vAlign w:val="bottom"/>
          </w:tcPr>
          <w:p w14:paraId="26B8AD24">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p>
        </w:tc>
        <w:tc>
          <w:tcPr>
            <w:tcW w:w="2977" w:type="dxa"/>
            <w:tcBorders>
              <w:top w:val="nil"/>
              <w:left w:val="nil"/>
              <w:bottom w:val="single" w:color="auto" w:sz="4" w:space="0"/>
              <w:right w:val="single" w:color="auto" w:sz="4" w:space="0"/>
            </w:tcBorders>
            <w:noWrap/>
            <w:vAlign w:val="bottom"/>
          </w:tcPr>
          <w:p w14:paraId="2728FFF9">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p>
        </w:tc>
        <w:tc>
          <w:tcPr>
            <w:tcW w:w="1134" w:type="dxa"/>
            <w:tcBorders>
              <w:top w:val="nil"/>
              <w:left w:val="nil"/>
              <w:bottom w:val="single" w:color="auto" w:sz="4" w:space="0"/>
              <w:right w:val="single" w:color="auto" w:sz="4" w:space="0"/>
            </w:tcBorders>
            <w:noWrap/>
            <w:vAlign w:val="bottom"/>
          </w:tcPr>
          <w:p w14:paraId="32CDCF69">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p>
        </w:tc>
      </w:tr>
      <w:tr w14:paraId="66C57A79">
        <w:tblPrEx>
          <w:tblCellMar>
            <w:top w:w="0" w:type="dxa"/>
            <w:left w:w="108" w:type="dxa"/>
            <w:bottom w:w="0" w:type="dxa"/>
            <w:right w:w="108" w:type="dxa"/>
          </w:tblCellMar>
        </w:tblPrEx>
        <w:trPr>
          <w:trHeight w:val="454" w:hRule="atLeast"/>
        </w:trPr>
        <w:tc>
          <w:tcPr>
            <w:tcW w:w="960" w:type="dxa"/>
            <w:tcBorders>
              <w:top w:val="nil"/>
              <w:left w:val="single" w:color="auto" w:sz="4" w:space="0"/>
              <w:bottom w:val="single" w:color="auto" w:sz="4" w:space="0"/>
              <w:right w:val="single" w:color="auto" w:sz="4" w:space="0"/>
            </w:tcBorders>
            <w:noWrap/>
            <w:vAlign w:val="bottom"/>
          </w:tcPr>
          <w:p w14:paraId="00478AB9">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p>
        </w:tc>
        <w:tc>
          <w:tcPr>
            <w:tcW w:w="2863" w:type="dxa"/>
            <w:tcBorders>
              <w:top w:val="nil"/>
              <w:left w:val="nil"/>
              <w:bottom w:val="single" w:color="auto" w:sz="4" w:space="0"/>
              <w:right w:val="single" w:color="auto" w:sz="4" w:space="0"/>
            </w:tcBorders>
            <w:noWrap/>
            <w:vAlign w:val="bottom"/>
          </w:tcPr>
          <w:p w14:paraId="5099170F">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p>
        </w:tc>
        <w:tc>
          <w:tcPr>
            <w:tcW w:w="992" w:type="dxa"/>
            <w:tcBorders>
              <w:top w:val="nil"/>
              <w:left w:val="nil"/>
              <w:bottom w:val="single" w:color="auto" w:sz="4" w:space="0"/>
              <w:right w:val="single" w:color="auto" w:sz="4" w:space="0"/>
            </w:tcBorders>
            <w:noWrap/>
            <w:vAlign w:val="bottom"/>
          </w:tcPr>
          <w:p w14:paraId="37983935">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p>
        </w:tc>
        <w:tc>
          <w:tcPr>
            <w:tcW w:w="2977" w:type="dxa"/>
            <w:tcBorders>
              <w:top w:val="nil"/>
              <w:left w:val="nil"/>
              <w:bottom w:val="single" w:color="auto" w:sz="4" w:space="0"/>
              <w:right w:val="single" w:color="auto" w:sz="4" w:space="0"/>
            </w:tcBorders>
            <w:noWrap/>
            <w:vAlign w:val="bottom"/>
          </w:tcPr>
          <w:p w14:paraId="0CCDDC08">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p>
        </w:tc>
        <w:tc>
          <w:tcPr>
            <w:tcW w:w="1134" w:type="dxa"/>
            <w:tcBorders>
              <w:top w:val="nil"/>
              <w:left w:val="nil"/>
              <w:bottom w:val="single" w:color="auto" w:sz="4" w:space="0"/>
              <w:right w:val="single" w:color="auto" w:sz="4" w:space="0"/>
            </w:tcBorders>
            <w:noWrap/>
            <w:vAlign w:val="bottom"/>
          </w:tcPr>
          <w:p w14:paraId="636522B9">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p>
        </w:tc>
      </w:tr>
      <w:tr w14:paraId="14D302F8">
        <w:tblPrEx>
          <w:tblCellMar>
            <w:top w:w="0" w:type="dxa"/>
            <w:left w:w="108" w:type="dxa"/>
            <w:bottom w:w="0" w:type="dxa"/>
            <w:right w:w="108" w:type="dxa"/>
          </w:tblCellMar>
        </w:tblPrEx>
        <w:trPr>
          <w:trHeight w:val="454" w:hRule="atLeast"/>
        </w:trPr>
        <w:tc>
          <w:tcPr>
            <w:tcW w:w="960" w:type="dxa"/>
            <w:tcBorders>
              <w:top w:val="nil"/>
              <w:left w:val="single" w:color="auto" w:sz="4" w:space="0"/>
              <w:bottom w:val="single" w:color="auto" w:sz="4" w:space="0"/>
              <w:right w:val="single" w:color="auto" w:sz="4" w:space="0"/>
            </w:tcBorders>
            <w:noWrap/>
            <w:vAlign w:val="bottom"/>
          </w:tcPr>
          <w:p w14:paraId="3DDEC137">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p>
        </w:tc>
        <w:tc>
          <w:tcPr>
            <w:tcW w:w="2863" w:type="dxa"/>
            <w:tcBorders>
              <w:top w:val="nil"/>
              <w:left w:val="nil"/>
              <w:bottom w:val="single" w:color="auto" w:sz="4" w:space="0"/>
              <w:right w:val="single" w:color="auto" w:sz="4" w:space="0"/>
            </w:tcBorders>
            <w:noWrap/>
            <w:vAlign w:val="bottom"/>
          </w:tcPr>
          <w:p w14:paraId="4D116A5A">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p>
        </w:tc>
        <w:tc>
          <w:tcPr>
            <w:tcW w:w="992" w:type="dxa"/>
            <w:tcBorders>
              <w:top w:val="nil"/>
              <w:left w:val="nil"/>
              <w:bottom w:val="single" w:color="auto" w:sz="4" w:space="0"/>
              <w:right w:val="single" w:color="auto" w:sz="4" w:space="0"/>
            </w:tcBorders>
            <w:noWrap/>
            <w:vAlign w:val="bottom"/>
          </w:tcPr>
          <w:p w14:paraId="2686D6F8">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p>
        </w:tc>
        <w:tc>
          <w:tcPr>
            <w:tcW w:w="2977" w:type="dxa"/>
            <w:tcBorders>
              <w:top w:val="nil"/>
              <w:left w:val="nil"/>
              <w:bottom w:val="single" w:color="auto" w:sz="4" w:space="0"/>
              <w:right w:val="single" w:color="auto" w:sz="4" w:space="0"/>
            </w:tcBorders>
            <w:noWrap/>
            <w:vAlign w:val="bottom"/>
          </w:tcPr>
          <w:p w14:paraId="2D36BA6A">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p>
        </w:tc>
        <w:tc>
          <w:tcPr>
            <w:tcW w:w="1134" w:type="dxa"/>
            <w:tcBorders>
              <w:top w:val="nil"/>
              <w:left w:val="nil"/>
              <w:bottom w:val="single" w:color="auto" w:sz="4" w:space="0"/>
              <w:right w:val="single" w:color="auto" w:sz="4" w:space="0"/>
            </w:tcBorders>
            <w:noWrap/>
            <w:vAlign w:val="bottom"/>
          </w:tcPr>
          <w:p w14:paraId="44B740E3">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p>
        </w:tc>
      </w:tr>
      <w:tr w14:paraId="3049AADE">
        <w:tblPrEx>
          <w:tblCellMar>
            <w:top w:w="0" w:type="dxa"/>
            <w:left w:w="108" w:type="dxa"/>
            <w:bottom w:w="0" w:type="dxa"/>
            <w:right w:w="108" w:type="dxa"/>
          </w:tblCellMar>
        </w:tblPrEx>
        <w:trPr>
          <w:trHeight w:val="454" w:hRule="atLeast"/>
        </w:trPr>
        <w:tc>
          <w:tcPr>
            <w:tcW w:w="960" w:type="dxa"/>
            <w:tcBorders>
              <w:top w:val="nil"/>
              <w:left w:val="single" w:color="auto" w:sz="4" w:space="0"/>
              <w:bottom w:val="single" w:color="auto" w:sz="4" w:space="0"/>
              <w:right w:val="single" w:color="auto" w:sz="4" w:space="0"/>
            </w:tcBorders>
            <w:noWrap/>
            <w:vAlign w:val="bottom"/>
          </w:tcPr>
          <w:p w14:paraId="3F290811">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w:t>
            </w:r>
          </w:p>
        </w:tc>
        <w:tc>
          <w:tcPr>
            <w:tcW w:w="2863" w:type="dxa"/>
            <w:tcBorders>
              <w:top w:val="nil"/>
              <w:left w:val="nil"/>
              <w:bottom w:val="single" w:color="auto" w:sz="4" w:space="0"/>
              <w:right w:val="single" w:color="auto" w:sz="4" w:space="0"/>
            </w:tcBorders>
            <w:noWrap/>
            <w:vAlign w:val="bottom"/>
          </w:tcPr>
          <w:p w14:paraId="6B82EAC2">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p>
        </w:tc>
        <w:tc>
          <w:tcPr>
            <w:tcW w:w="992" w:type="dxa"/>
            <w:tcBorders>
              <w:top w:val="nil"/>
              <w:left w:val="nil"/>
              <w:bottom w:val="single" w:color="auto" w:sz="4" w:space="0"/>
              <w:right w:val="single" w:color="auto" w:sz="4" w:space="0"/>
            </w:tcBorders>
            <w:noWrap/>
            <w:vAlign w:val="bottom"/>
          </w:tcPr>
          <w:p w14:paraId="4ECEC6F2">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p>
        </w:tc>
        <w:tc>
          <w:tcPr>
            <w:tcW w:w="2977" w:type="dxa"/>
            <w:tcBorders>
              <w:top w:val="nil"/>
              <w:left w:val="nil"/>
              <w:bottom w:val="single" w:color="auto" w:sz="4" w:space="0"/>
              <w:right w:val="single" w:color="auto" w:sz="4" w:space="0"/>
            </w:tcBorders>
            <w:noWrap/>
            <w:vAlign w:val="bottom"/>
          </w:tcPr>
          <w:p w14:paraId="541CCCF9">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p>
        </w:tc>
        <w:tc>
          <w:tcPr>
            <w:tcW w:w="1134" w:type="dxa"/>
            <w:tcBorders>
              <w:top w:val="nil"/>
              <w:left w:val="nil"/>
              <w:bottom w:val="single" w:color="auto" w:sz="4" w:space="0"/>
              <w:right w:val="single" w:color="auto" w:sz="4" w:space="0"/>
            </w:tcBorders>
            <w:noWrap/>
            <w:vAlign w:val="bottom"/>
          </w:tcPr>
          <w:p w14:paraId="5E96F6A1">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p>
        </w:tc>
      </w:tr>
      <w:tr w14:paraId="72F7B786">
        <w:tblPrEx>
          <w:tblCellMar>
            <w:top w:w="0" w:type="dxa"/>
            <w:left w:w="108" w:type="dxa"/>
            <w:bottom w:w="0" w:type="dxa"/>
            <w:right w:w="108" w:type="dxa"/>
          </w:tblCellMar>
        </w:tblPrEx>
        <w:trPr>
          <w:trHeight w:val="454" w:hRule="atLeast"/>
        </w:trPr>
        <w:tc>
          <w:tcPr>
            <w:tcW w:w="960" w:type="dxa"/>
            <w:tcBorders>
              <w:top w:val="nil"/>
              <w:left w:val="single" w:color="auto" w:sz="4" w:space="0"/>
              <w:bottom w:val="single" w:color="auto" w:sz="4" w:space="0"/>
              <w:right w:val="single" w:color="auto" w:sz="4" w:space="0"/>
            </w:tcBorders>
            <w:noWrap/>
            <w:vAlign w:val="bottom"/>
          </w:tcPr>
          <w:p w14:paraId="484E7DF4">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w:t>
            </w:r>
          </w:p>
        </w:tc>
        <w:tc>
          <w:tcPr>
            <w:tcW w:w="2863" w:type="dxa"/>
            <w:tcBorders>
              <w:top w:val="nil"/>
              <w:left w:val="nil"/>
              <w:bottom w:val="single" w:color="auto" w:sz="4" w:space="0"/>
              <w:right w:val="single" w:color="auto" w:sz="4" w:space="0"/>
            </w:tcBorders>
            <w:noWrap/>
            <w:vAlign w:val="bottom"/>
          </w:tcPr>
          <w:p w14:paraId="7E5DBB6A">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p>
        </w:tc>
        <w:tc>
          <w:tcPr>
            <w:tcW w:w="992" w:type="dxa"/>
            <w:tcBorders>
              <w:top w:val="nil"/>
              <w:left w:val="nil"/>
              <w:bottom w:val="single" w:color="auto" w:sz="4" w:space="0"/>
              <w:right w:val="single" w:color="auto" w:sz="4" w:space="0"/>
            </w:tcBorders>
            <w:noWrap/>
            <w:vAlign w:val="bottom"/>
          </w:tcPr>
          <w:p w14:paraId="4F0E5197">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p>
        </w:tc>
        <w:tc>
          <w:tcPr>
            <w:tcW w:w="2977" w:type="dxa"/>
            <w:tcBorders>
              <w:top w:val="nil"/>
              <w:left w:val="nil"/>
              <w:bottom w:val="single" w:color="auto" w:sz="4" w:space="0"/>
              <w:right w:val="single" w:color="auto" w:sz="4" w:space="0"/>
            </w:tcBorders>
            <w:noWrap/>
            <w:vAlign w:val="bottom"/>
          </w:tcPr>
          <w:p w14:paraId="66341E9B">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p>
        </w:tc>
        <w:tc>
          <w:tcPr>
            <w:tcW w:w="1134" w:type="dxa"/>
            <w:tcBorders>
              <w:top w:val="nil"/>
              <w:left w:val="nil"/>
              <w:bottom w:val="single" w:color="auto" w:sz="4" w:space="0"/>
              <w:right w:val="single" w:color="auto" w:sz="4" w:space="0"/>
            </w:tcBorders>
            <w:noWrap/>
            <w:vAlign w:val="bottom"/>
          </w:tcPr>
          <w:p w14:paraId="56FD955D">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p>
        </w:tc>
      </w:tr>
      <w:tr w14:paraId="369C4CF7">
        <w:tblPrEx>
          <w:tblCellMar>
            <w:top w:w="0" w:type="dxa"/>
            <w:left w:w="108" w:type="dxa"/>
            <w:bottom w:w="0" w:type="dxa"/>
            <w:right w:w="108" w:type="dxa"/>
          </w:tblCellMar>
        </w:tblPrEx>
        <w:trPr>
          <w:trHeight w:val="454" w:hRule="atLeast"/>
        </w:trPr>
        <w:tc>
          <w:tcPr>
            <w:tcW w:w="960" w:type="dxa"/>
            <w:tcBorders>
              <w:top w:val="nil"/>
              <w:left w:val="single" w:color="auto" w:sz="4" w:space="0"/>
              <w:bottom w:val="single" w:color="auto" w:sz="4" w:space="0"/>
              <w:right w:val="single" w:color="auto" w:sz="4" w:space="0"/>
            </w:tcBorders>
            <w:noWrap/>
            <w:vAlign w:val="bottom"/>
          </w:tcPr>
          <w:p w14:paraId="654C8E53">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p>
        </w:tc>
        <w:tc>
          <w:tcPr>
            <w:tcW w:w="2863" w:type="dxa"/>
            <w:tcBorders>
              <w:top w:val="nil"/>
              <w:left w:val="nil"/>
              <w:bottom w:val="single" w:color="auto" w:sz="4" w:space="0"/>
              <w:right w:val="single" w:color="auto" w:sz="4" w:space="0"/>
            </w:tcBorders>
            <w:noWrap/>
            <w:vAlign w:val="bottom"/>
          </w:tcPr>
          <w:p w14:paraId="58DC4BC8">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p>
        </w:tc>
        <w:tc>
          <w:tcPr>
            <w:tcW w:w="992" w:type="dxa"/>
            <w:tcBorders>
              <w:top w:val="nil"/>
              <w:left w:val="nil"/>
              <w:bottom w:val="single" w:color="auto" w:sz="4" w:space="0"/>
              <w:right w:val="single" w:color="auto" w:sz="4" w:space="0"/>
            </w:tcBorders>
            <w:noWrap/>
            <w:vAlign w:val="bottom"/>
          </w:tcPr>
          <w:p w14:paraId="3292ECA8">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p>
        </w:tc>
        <w:tc>
          <w:tcPr>
            <w:tcW w:w="2977" w:type="dxa"/>
            <w:tcBorders>
              <w:top w:val="nil"/>
              <w:left w:val="nil"/>
              <w:bottom w:val="single" w:color="auto" w:sz="4" w:space="0"/>
              <w:right w:val="single" w:color="auto" w:sz="4" w:space="0"/>
            </w:tcBorders>
            <w:noWrap/>
            <w:vAlign w:val="bottom"/>
          </w:tcPr>
          <w:p w14:paraId="02692804">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p>
        </w:tc>
        <w:tc>
          <w:tcPr>
            <w:tcW w:w="1134" w:type="dxa"/>
            <w:tcBorders>
              <w:top w:val="nil"/>
              <w:left w:val="nil"/>
              <w:bottom w:val="single" w:color="auto" w:sz="4" w:space="0"/>
              <w:right w:val="single" w:color="auto" w:sz="4" w:space="0"/>
            </w:tcBorders>
            <w:noWrap/>
            <w:vAlign w:val="bottom"/>
          </w:tcPr>
          <w:p w14:paraId="6DDA5B31">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p>
        </w:tc>
      </w:tr>
    </w:tbl>
    <w:p w14:paraId="0C53FA00">
      <w:pPr>
        <w:pStyle w:val="17"/>
        <w:pageBreakBefore w:val="0"/>
        <w:kinsoku/>
        <w:wordWrap/>
        <w:overflowPunct/>
        <w:topLinePunct w:val="0"/>
        <w:bidi w:val="0"/>
        <w:snapToGrid w:val="0"/>
        <w:spacing w:before="120" w:beforeLines="50" w:line="360" w:lineRule="auto"/>
        <w:ind w:firstLine="450" w:firstLineChars="200"/>
        <w:textAlignment w:val="auto"/>
        <w:rPr>
          <w:rFonts w:hint="eastAsia" w:ascii="宋体" w:hAnsi="宋体" w:eastAsia="宋体" w:cs="宋体"/>
          <w:b/>
          <w:bCs/>
          <w:color w:val="auto"/>
          <w:spacing w:val="-8"/>
          <w:sz w:val="24"/>
          <w:szCs w:val="24"/>
          <w:highlight w:val="none"/>
          <w:lang w:eastAsia="zh-CN"/>
        </w:rPr>
      </w:pPr>
      <w:r>
        <w:rPr>
          <w:rFonts w:hint="eastAsia" w:ascii="宋体" w:hAnsi="宋体" w:eastAsia="宋体" w:cs="宋体"/>
          <w:b/>
          <w:bCs/>
          <w:color w:val="auto"/>
          <w:spacing w:val="-8"/>
          <w:sz w:val="24"/>
          <w:szCs w:val="24"/>
          <w:highlight w:val="none"/>
          <w:lang w:eastAsia="zh-CN"/>
        </w:rPr>
        <w:t>（二）乙方应当对投入本项目的机械、材料、器具设备的质量和安全性负责。</w:t>
      </w:r>
    </w:p>
    <w:p w14:paraId="3F0414EB">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1、乙方应在签订合同后5日内，将以上机械设备运至养护现场并交甲方验证，若乙方签订合同后10日内未能提供以上设备，则按违约处理。</w:t>
      </w:r>
    </w:p>
    <w:p w14:paraId="63517D32">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2、乙方投入使用的机械、材料、器具设备的数量、规格和品质达不到合同约定标准时，须承担违约责任。</w:t>
      </w:r>
    </w:p>
    <w:p w14:paraId="67E20CAF">
      <w:pPr>
        <w:pStyle w:val="17"/>
        <w:pageBreakBefore w:val="0"/>
        <w:kinsoku/>
        <w:wordWrap/>
        <w:overflowPunct/>
        <w:topLinePunct w:val="0"/>
        <w:bidi w:val="0"/>
        <w:snapToGrid w:val="0"/>
        <w:spacing w:line="360" w:lineRule="auto"/>
        <w:ind w:firstLine="450" w:firstLineChars="200"/>
        <w:textAlignment w:val="auto"/>
        <w:rPr>
          <w:rFonts w:hint="eastAsia" w:ascii="宋体" w:hAnsi="宋体" w:eastAsia="宋体" w:cs="宋体"/>
          <w:b/>
          <w:bCs/>
          <w:color w:val="auto"/>
          <w:spacing w:val="-8"/>
          <w:sz w:val="24"/>
          <w:szCs w:val="24"/>
          <w:highlight w:val="none"/>
          <w:lang w:eastAsia="zh-CN"/>
        </w:rPr>
      </w:pPr>
      <w:r>
        <w:rPr>
          <w:rFonts w:hint="eastAsia" w:ascii="宋体" w:hAnsi="宋体" w:eastAsia="宋体" w:cs="宋体"/>
          <w:b/>
          <w:bCs/>
          <w:color w:val="auto"/>
          <w:spacing w:val="-8"/>
          <w:sz w:val="24"/>
          <w:szCs w:val="24"/>
          <w:highlight w:val="none"/>
          <w:lang w:eastAsia="zh-CN"/>
        </w:rPr>
        <w:t>（三）乙方提供的机械、材料、器具设备等应符合相关安全标准。</w:t>
      </w:r>
    </w:p>
    <w:p w14:paraId="5C3D58EB">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乙方按规范要求进行检查或检验，不合格的不得使用。检查或检验费用，由乙方承担。</w:t>
      </w:r>
    </w:p>
    <w:p w14:paraId="561E56D8">
      <w:pPr>
        <w:pStyle w:val="17"/>
        <w:pageBreakBefore w:val="0"/>
        <w:kinsoku/>
        <w:wordWrap/>
        <w:overflowPunct/>
        <w:topLinePunct w:val="0"/>
        <w:bidi w:val="0"/>
        <w:snapToGrid w:val="0"/>
        <w:spacing w:line="360" w:lineRule="auto"/>
        <w:ind w:firstLine="450" w:firstLineChars="200"/>
        <w:textAlignment w:val="auto"/>
        <w:rPr>
          <w:rFonts w:hint="eastAsia" w:ascii="宋体" w:hAnsi="宋体" w:eastAsia="宋体" w:cs="宋体"/>
          <w:b/>
          <w:bCs/>
          <w:color w:val="auto"/>
          <w:spacing w:val="-8"/>
          <w:sz w:val="24"/>
          <w:szCs w:val="24"/>
          <w:highlight w:val="none"/>
          <w:lang w:eastAsia="zh-CN"/>
        </w:rPr>
      </w:pPr>
      <w:r>
        <w:rPr>
          <w:rFonts w:hint="eastAsia" w:ascii="宋体" w:hAnsi="宋体" w:eastAsia="宋体" w:cs="宋体"/>
          <w:b/>
          <w:bCs/>
          <w:color w:val="auto"/>
          <w:spacing w:val="-8"/>
          <w:sz w:val="24"/>
          <w:szCs w:val="24"/>
          <w:highlight w:val="none"/>
          <w:lang w:eastAsia="zh-CN"/>
        </w:rPr>
        <w:t>（四）各种机械设备的操作人员应具备相应的职业技能和有效证件。</w:t>
      </w:r>
    </w:p>
    <w:p w14:paraId="27710CE1">
      <w:pPr>
        <w:pStyle w:val="17"/>
        <w:pageBreakBefore w:val="0"/>
        <w:kinsoku/>
        <w:wordWrap/>
        <w:overflowPunct/>
        <w:topLinePunct w:val="0"/>
        <w:bidi w:val="0"/>
        <w:snapToGrid w:val="0"/>
        <w:spacing w:line="360" w:lineRule="auto"/>
        <w:ind w:firstLine="450" w:firstLineChars="200"/>
        <w:textAlignment w:val="auto"/>
        <w:rPr>
          <w:rFonts w:hint="eastAsia" w:ascii="宋体" w:hAnsi="宋体" w:eastAsia="宋体" w:cs="宋体"/>
          <w:b/>
          <w:bCs/>
          <w:color w:val="auto"/>
          <w:spacing w:val="-8"/>
          <w:sz w:val="24"/>
          <w:szCs w:val="24"/>
          <w:highlight w:val="none"/>
          <w:lang w:eastAsia="zh-CN"/>
        </w:rPr>
      </w:pPr>
      <w:bookmarkStart w:id="802" w:name="第十条_合同价款与支付"/>
      <w:bookmarkEnd w:id="802"/>
      <w:bookmarkStart w:id="803" w:name="_Toc28612883"/>
      <w:bookmarkStart w:id="804" w:name="_Toc61947362"/>
      <w:bookmarkStart w:id="805" w:name="_Toc28273052"/>
      <w:r>
        <w:rPr>
          <w:rFonts w:hint="eastAsia" w:ascii="宋体" w:hAnsi="宋体" w:eastAsia="宋体" w:cs="宋体"/>
          <w:b/>
          <w:bCs/>
          <w:color w:val="auto"/>
          <w:spacing w:val="-8"/>
          <w:sz w:val="24"/>
          <w:szCs w:val="24"/>
          <w:highlight w:val="none"/>
          <w:lang w:eastAsia="zh-CN"/>
        </w:rPr>
        <w:t>第十条 合同价款与支付</w:t>
      </w:r>
      <w:bookmarkEnd w:id="803"/>
      <w:bookmarkEnd w:id="804"/>
      <w:bookmarkEnd w:id="805"/>
    </w:p>
    <w:p w14:paraId="03929ADB">
      <w:pPr>
        <w:pStyle w:val="17"/>
        <w:pageBreakBefore w:val="0"/>
        <w:kinsoku/>
        <w:wordWrap/>
        <w:overflowPunct/>
        <w:topLinePunct w:val="0"/>
        <w:bidi w:val="0"/>
        <w:snapToGrid w:val="0"/>
        <w:spacing w:line="360" w:lineRule="auto"/>
        <w:ind w:firstLine="450" w:firstLineChars="200"/>
        <w:textAlignment w:val="auto"/>
        <w:rPr>
          <w:rFonts w:hint="eastAsia" w:ascii="宋体" w:hAnsi="宋体" w:eastAsia="宋体" w:cs="宋体"/>
          <w:b/>
          <w:bCs/>
          <w:color w:val="auto"/>
          <w:spacing w:val="-8"/>
          <w:sz w:val="24"/>
          <w:szCs w:val="24"/>
          <w:highlight w:val="none"/>
          <w:lang w:eastAsia="zh-CN"/>
        </w:rPr>
      </w:pPr>
      <w:bookmarkStart w:id="806" w:name="_Toc28273053"/>
      <w:bookmarkStart w:id="807" w:name="_Toc28612884"/>
      <w:bookmarkStart w:id="808" w:name="_Toc61947363"/>
      <w:r>
        <w:rPr>
          <w:rFonts w:hint="eastAsia" w:ascii="宋体" w:hAnsi="宋体" w:eastAsia="宋体" w:cs="宋体"/>
          <w:b/>
          <w:bCs/>
          <w:color w:val="auto"/>
          <w:spacing w:val="-8"/>
          <w:sz w:val="24"/>
          <w:szCs w:val="24"/>
          <w:highlight w:val="none"/>
          <w:lang w:eastAsia="zh-CN"/>
        </w:rPr>
        <w:t>（一）合同价款</w:t>
      </w:r>
      <w:bookmarkEnd w:id="806"/>
      <w:bookmarkEnd w:id="807"/>
      <w:bookmarkEnd w:id="808"/>
    </w:p>
    <w:p w14:paraId="25643C36">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1、本养护项目，双方约定的合同价款为￥</w:t>
      </w:r>
      <w:r>
        <w:rPr>
          <w:rFonts w:hint="eastAsia" w:ascii="宋体" w:hAnsi="宋体" w:eastAsia="宋体" w:cs="宋体"/>
          <w:color w:val="auto"/>
          <w:spacing w:val="-8"/>
          <w:sz w:val="24"/>
          <w:szCs w:val="24"/>
          <w:highlight w:val="none"/>
          <w:u w:val="single"/>
          <w:lang w:eastAsia="zh-CN"/>
        </w:rPr>
        <w:t xml:space="preserve">   </w:t>
      </w:r>
      <w:r>
        <w:rPr>
          <w:rFonts w:hint="eastAsia" w:ascii="宋体" w:hAnsi="宋体" w:eastAsia="宋体" w:cs="宋体"/>
          <w:color w:val="auto"/>
          <w:spacing w:val="-8"/>
          <w:sz w:val="24"/>
          <w:szCs w:val="24"/>
          <w:highlight w:val="none"/>
          <w:u w:val="single"/>
          <w:lang w:val="en" w:eastAsia="zh-CN"/>
        </w:rPr>
        <w:t xml:space="preserve">    </w:t>
      </w:r>
      <w:r>
        <w:rPr>
          <w:rFonts w:hint="eastAsia" w:ascii="宋体" w:hAnsi="宋体" w:eastAsia="宋体" w:cs="宋体"/>
          <w:color w:val="auto"/>
          <w:spacing w:val="-8"/>
          <w:sz w:val="24"/>
          <w:szCs w:val="24"/>
          <w:highlight w:val="none"/>
          <w:u w:val="single"/>
          <w:lang w:eastAsia="zh-CN"/>
        </w:rPr>
        <w:t xml:space="preserve">  </w:t>
      </w:r>
      <w:r>
        <w:rPr>
          <w:rFonts w:hint="eastAsia" w:ascii="宋体" w:hAnsi="宋体" w:eastAsia="宋体" w:cs="宋体"/>
          <w:color w:val="auto"/>
          <w:spacing w:val="-8"/>
          <w:sz w:val="24"/>
          <w:szCs w:val="24"/>
          <w:highlight w:val="none"/>
          <w:lang w:eastAsia="zh-CN"/>
        </w:rPr>
        <w:t>万元，大写：人民币</w:t>
      </w:r>
      <w:r>
        <w:rPr>
          <w:rFonts w:hint="eastAsia" w:ascii="宋体" w:hAnsi="宋体" w:eastAsia="宋体" w:cs="宋体"/>
          <w:color w:val="auto"/>
          <w:spacing w:val="-8"/>
          <w:sz w:val="24"/>
          <w:szCs w:val="24"/>
          <w:highlight w:val="none"/>
          <w:lang w:val="en" w:eastAsia="zh-CN"/>
        </w:rPr>
        <w:t xml:space="preserve">   </w:t>
      </w:r>
      <w:r>
        <w:rPr>
          <w:rFonts w:hint="eastAsia" w:ascii="宋体" w:hAnsi="宋体" w:eastAsia="宋体" w:cs="宋体"/>
          <w:color w:val="auto"/>
          <w:spacing w:val="-8"/>
          <w:sz w:val="24"/>
          <w:szCs w:val="24"/>
          <w:highlight w:val="none"/>
          <w:u w:val="single"/>
          <w:lang w:eastAsia="zh-CN"/>
        </w:rPr>
        <w:t xml:space="preserve">      </w:t>
      </w:r>
      <w:r>
        <w:rPr>
          <w:rFonts w:hint="eastAsia" w:ascii="宋体" w:hAnsi="宋体" w:eastAsia="宋体" w:cs="宋体"/>
          <w:color w:val="auto"/>
          <w:spacing w:val="-8"/>
          <w:sz w:val="24"/>
          <w:szCs w:val="24"/>
          <w:highlight w:val="none"/>
          <w:lang w:eastAsia="zh-CN"/>
        </w:rPr>
        <w:t>（单价：特级养护费用</w:t>
      </w:r>
      <w:r>
        <w:rPr>
          <w:rFonts w:hint="eastAsia" w:ascii="宋体" w:hAnsi="宋体" w:eastAsia="宋体" w:cs="宋体"/>
          <w:color w:val="auto"/>
          <w:spacing w:val="-8"/>
          <w:sz w:val="24"/>
          <w:szCs w:val="24"/>
          <w:highlight w:val="none"/>
          <w:u w:val="single"/>
          <w:lang w:eastAsia="zh-CN"/>
        </w:rPr>
        <w:t xml:space="preserve">     </w:t>
      </w:r>
      <w:r>
        <w:rPr>
          <w:rFonts w:hint="eastAsia" w:ascii="宋体" w:hAnsi="宋体" w:eastAsia="宋体" w:cs="宋体"/>
          <w:color w:val="auto"/>
          <w:spacing w:val="-8"/>
          <w:sz w:val="24"/>
          <w:szCs w:val="24"/>
          <w:highlight w:val="none"/>
          <w:lang w:eastAsia="zh-CN"/>
        </w:rPr>
        <w:t xml:space="preserve"> 元/平方米养护面积/年，一级养护费用</w:t>
      </w:r>
      <w:r>
        <w:rPr>
          <w:rFonts w:hint="eastAsia" w:ascii="宋体" w:hAnsi="宋体" w:eastAsia="宋体" w:cs="宋体"/>
          <w:color w:val="auto"/>
          <w:spacing w:val="-8"/>
          <w:sz w:val="24"/>
          <w:szCs w:val="24"/>
          <w:highlight w:val="none"/>
          <w:u w:val="single"/>
          <w:lang w:eastAsia="zh-CN"/>
        </w:rPr>
        <w:t xml:space="preserve">     </w:t>
      </w:r>
      <w:r>
        <w:rPr>
          <w:rFonts w:hint="eastAsia" w:ascii="宋体" w:hAnsi="宋体" w:eastAsia="宋体" w:cs="宋体"/>
          <w:color w:val="auto"/>
          <w:spacing w:val="-8"/>
          <w:sz w:val="24"/>
          <w:szCs w:val="24"/>
          <w:highlight w:val="none"/>
          <w:lang w:eastAsia="zh-CN"/>
        </w:rPr>
        <w:t xml:space="preserve"> 元/平方米养护面积/年，二级养护费用</w:t>
      </w:r>
      <w:r>
        <w:rPr>
          <w:rFonts w:hint="eastAsia" w:ascii="宋体" w:hAnsi="宋体" w:eastAsia="宋体" w:cs="宋体"/>
          <w:color w:val="auto"/>
          <w:spacing w:val="-8"/>
          <w:sz w:val="24"/>
          <w:szCs w:val="24"/>
          <w:highlight w:val="none"/>
          <w:u w:val="single"/>
          <w:lang w:eastAsia="zh-CN"/>
        </w:rPr>
        <w:t xml:space="preserve">      </w:t>
      </w:r>
      <w:r>
        <w:rPr>
          <w:rFonts w:hint="eastAsia" w:ascii="宋体" w:hAnsi="宋体" w:eastAsia="宋体" w:cs="宋体"/>
          <w:color w:val="auto"/>
          <w:spacing w:val="-8"/>
          <w:sz w:val="24"/>
          <w:szCs w:val="24"/>
          <w:highlight w:val="none"/>
          <w:lang w:eastAsia="zh-CN"/>
        </w:rPr>
        <w:t>元/平方米养护面积/年）。</w:t>
      </w:r>
    </w:p>
    <w:p w14:paraId="0F1172E2">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7"/>
          <w:sz w:val="24"/>
          <w:szCs w:val="24"/>
          <w:highlight w:val="none"/>
          <w:u w:val="single"/>
          <w:lang w:eastAsia="zh-CN"/>
        </w:rPr>
      </w:pPr>
      <w:r>
        <w:rPr>
          <w:rFonts w:hint="eastAsia" w:ascii="宋体" w:hAnsi="宋体" w:eastAsia="宋体" w:cs="宋体"/>
          <w:color w:val="auto"/>
          <w:spacing w:val="-8"/>
          <w:sz w:val="24"/>
          <w:szCs w:val="24"/>
          <w:highlight w:val="none"/>
          <w:lang w:eastAsia="zh-CN"/>
        </w:rPr>
        <w:t>2、本合同价款</w:t>
      </w:r>
      <w:r>
        <w:rPr>
          <w:rFonts w:hint="eastAsia" w:ascii="宋体" w:hAnsi="宋体" w:eastAsia="宋体" w:cs="宋体"/>
          <w:color w:val="auto"/>
          <w:spacing w:val="7"/>
          <w:sz w:val="24"/>
          <w:szCs w:val="24"/>
          <w:highlight w:val="none"/>
          <w:lang w:eastAsia="zh-CN"/>
        </w:rPr>
        <w:t>采用</w:t>
      </w:r>
      <w:r>
        <w:rPr>
          <w:rFonts w:hint="eastAsia" w:ascii="宋体" w:hAnsi="宋体" w:eastAsia="宋体" w:cs="宋体"/>
          <w:color w:val="auto"/>
          <w:sz w:val="24"/>
          <w:szCs w:val="24"/>
          <w:highlight w:val="none"/>
          <w:lang w:eastAsia="zh-CN"/>
        </w:rPr>
        <w:t>可调</w:t>
      </w:r>
      <w:r>
        <w:rPr>
          <w:rFonts w:hint="eastAsia" w:ascii="宋体" w:hAnsi="宋体" w:eastAsia="宋体" w:cs="宋体"/>
          <w:color w:val="auto"/>
          <w:spacing w:val="7"/>
          <w:sz w:val="24"/>
          <w:szCs w:val="24"/>
          <w:highlight w:val="none"/>
          <w:u w:val="single"/>
          <w:lang w:eastAsia="zh-CN"/>
        </w:rPr>
        <w:t>总价合</w:t>
      </w:r>
      <w:r>
        <w:rPr>
          <w:rFonts w:hint="eastAsia" w:ascii="宋体" w:hAnsi="宋体" w:eastAsia="宋体" w:cs="宋体"/>
          <w:color w:val="auto"/>
          <w:spacing w:val="7"/>
          <w:sz w:val="24"/>
          <w:szCs w:val="24"/>
          <w:highlight w:val="none"/>
          <w:lang w:eastAsia="zh-CN"/>
        </w:rPr>
        <w:t>同方式确定，养护费用单价仅用作养护面积或养护周期调整时使用</w:t>
      </w:r>
      <w:r>
        <w:rPr>
          <w:rFonts w:hint="eastAsia" w:cs="宋体"/>
          <w:color w:val="auto"/>
          <w:spacing w:val="7"/>
          <w:sz w:val="24"/>
          <w:szCs w:val="24"/>
          <w:highlight w:val="none"/>
          <w:lang w:eastAsia="zh-CN"/>
        </w:rPr>
        <w:t>；</w:t>
      </w:r>
      <w:r>
        <w:rPr>
          <w:rFonts w:hint="eastAsia" w:ascii="宋体" w:hAnsi="宋体" w:eastAsia="宋体" w:cs="宋体"/>
          <w:color w:val="auto"/>
          <w:spacing w:val="7"/>
          <w:sz w:val="24"/>
          <w:szCs w:val="24"/>
          <w:highlight w:val="none"/>
          <w:u w:val="none"/>
          <w:lang w:eastAsia="zh-CN"/>
        </w:rPr>
        <w:t>合同约定最终养护费用按照最终养护面积及养护单价进行调整后拨付。</w:t>
      </w:r>
    </w:p>
    <w:p w14:paraId="1C69515D">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3、合同价款中包含了完成本合同养护范围内的所有工作内容和工作量所需的一切费用， 如人工费、材料费（包括但不限于农药费、肥料费、辅助材料费等）、水费、电费、设备购置或租用费、运输费、防寒设施费、设备设施维护费、综合管理费、保险费、利润和各种税费等。</w:t>
      </w:r>
    </w:p>
    <w:p w14:paraId="7B148C4E">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4、乙方在报价时已考虑各种影响养护费用的自然因素及社会因素，合同总价中风险费用包含的范围包括但不限于下列情况：</w:t>
      </w:r>
    </w:p>
    <w:p w14:paraId="7F5390FA">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（1）养护现场范围内苗木或设施种类及数量与招标文件或合同文件的养护工作量清单的偏差。</w:t>
      </w:r>
    </w:p>
    <w:p w14:paraId="1642FCE9">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（2）养护期内人员、物资材料、水费、电费等价格的上涨或下落。</w:t>
      </w:r>
    </w:p>
    <w:p w14:paraId="63253493">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（3）风、雨、雪、洪、震等不可抗力范围以外的非正常气候对养护工作的影响。</w:t>
      </w:r>
    </w:p>
    <w:p w14:paraId="508BAFB0">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5、合同价款的调整范围：</w:t>
      </w:r>
    </w:p>
    <w:p w14:paraId="2E26D999">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（1）甲方对养护范围或养护面积的调整。</w:t>
      </w:r>
    </w:p>
    <w:p w14:paraId="7B2299F4">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（2）甲方对养护期限的调整。</w:t>
      </w:r>
    </w:p>
    <w:p w14:paraId="42ADA8C8">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（3）合同价款的调整方法：根据调整内容，甲乙双方协商解决，并签订补充协议。</w:t>
      </w:r>
    </w:p>
    <w:p w14:paraId="71F41376">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6、因乙方自身原因导致养护工作变更或者养护补救措施，乙方无权要求追加合同价款。</w:t>
      </w:r>
    </w:p>
    <w:p w14:paraId="6CEF310B">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cs="宋体"/>
          <w:color w:val="auto"/>
          <w:spacing w:val="-8"/>
          <w:sz w:val="24"/>
          <w:szCs w:val="24"/>
          <w:highlight w:val="none"/>
          <w:lang w:val="en-US" w:eastAsia="zh-CN"/>
        </w:rPr>
        <w:t>7、</w:t>
      </w:r>
      <w:r>
        <w:rPr>
          <w:rFonts w:hint="eastAsia" w:ascii="宋体" w:hAnsi="宋体" w:eastAsia="宋体" w:cs="宋体"/>
          <w:color w:val="auto"/>
          <w:spacing w:val="-8"/>
          <w:sz w:val="24"/>
          <w:szCs w:val="24"/>
          <w:highlight w:val="none"/>
          <w:lang w:eastAsia="zh-CN"/>
        </w:rPr>
        <w:t>因财政评审原因对绿地养护等级单价审核调整的；乙方签约合同价款绿地养护等级单价及总价应同比例下浮。</w:t>
      </w:r>
    </w:p>
    <w:p w14:paraId="4D6DCA5C">
      <w:pPr>
        <w:pStyle w:val="17"/>
        <w:pageBreakBefore w:val="0"/>
        <w:kinsoku/>
        <w:wordWrap/>
        <w:overflowPunct/>
        <w:topLinePunct w:val="0"/>
        <w:bidi w:val="0"/>
        <w:snapToGrid w:val="0"/>
        <w:spacing w:line="360" w:lineRule="auto"/>
        <w:ind w:firstLine="450" w:firstLineChars="200"/>
        <w:textAlignment w:val="auto"/>
        <w:rPr>
          <w:rFonts w:hint="eastAsia" w:ascii="宋体" w:hAnsi="宋体" w:eastAsia="宋体" w:cs="宋体"/>
          <w:b/>
          <w:bCs/>
          <w:color w:val="auto"/>
          <w:spacing w:val="-8"/>
          <w:sz w:val="24"/>
          <w:szCs w:val="24"/>
          <w:highlight w:val="none"/>
          <w:lang w:eastAsia="zh-CN"/>
        </w:rPr>
      </w:pPr>
      <w:bookmarkStart w:id="809" w:name="_Toc28273054"/>
      <w:bookmarkStart w:id="810" w:name="_Toc61947364"/>
      <w:bookmarkStart w:id="811" w:name="_Toc28612885"/>
      <w:r>
        <w:rPr>
          <w:rFonts w:hint="eastAsia" w:ascii="宋体" w:hAnsi="宋体" w:eastAsia="宋体" w:cs="宋体"/>
          <w:b/>
          <w:bCs/>
          <w:color w:val="auto"/>
          <w:spacing w:val="-8"/>
          <w:sz w:val="24"/>
          <w:szCs w:val="24"/>
          <w:highlight w:val="none"/>
          <w:lang w:eastAsia="zh-CN"/>
        </w:rPr>
        <w:t>（二）合同价款的支付方式</w:t>
      </w:r>
      <w:bookmarkEnd w:id="809"/>
      <w:bookmarkEnd w:id="810"/>
      <w:bookmarkEnd w:id="811"/>
    </w:p>
    <w:p w14:paraId="16D5DEF6">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1、养护进度款的支付</w:t>
      </w:r>
    </w:p>
    <w:p w14:paraId="2925CDAC">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eastAsia="zh-CN"/>
        </w:rPr>
        <w:t>（1）双方约定，本合同价款按照</w:t>
      </w:r>
      <w:r>
        <w:rPr>
          <w:rFonts w:hint="eastAsia" w:ascii="宋体" w:hAnsi="宋体" w:cs="宋体"/>
          <w:color w:val="auto"/>
          <w:spacing w:val="-8"/>
          <w:sz w:val="24"/>
          <w:szCs w:val="24"/>
          <w:highlight w:val="none"/>
          <w:lang w:val="en-US" w:eastAsia="zh-CN"/>
        </w:rPr>
        <w:t>年度每年分4次进行支付</w:t>
      </w:r>
      <w:r>
        <w:rPr>
          <w:rFonts w:hint="eastAsia" w:ascii="宋体" w:hAnsi="宋体" w:eastAsia="宋体" w:cs="宋体"/>
          <w:color w:val="auto"/>
          <w:spacing w:val="-8"/>
          <w:sz w:val="24"/>
          <w:szCs w:val="24"/>
          <w:highlight w:val="none"/>
          <w:lang w:eastAsia="zh-CN"/>
        </w:rPr>
        <w:t>。</w:t>
      </w:r>
      <w:r>
        <w:rPr>
          <w:rFonts w:hint="eastAsia" w:ascii="宋体" w:hAnsi="宋体" w:cs="宋体"/>
          <w:color w:val="auto"/>
          <w:spacing w:val="-8"/>
          <w:sz w:val="24"/>
          <w:szCs w:val="24"/>
          <w:highlight w:val="none"/>
          <w:lang w:val="en-US" w:eastAsia="zh-CN"/>
        </w:rPr>
        <w:t>每年的第一次付款三月底前，支付年度养护费用的30%，每年的第二次付款六月底前，支付年度养护费用的30%，每年的第三次付款九月底前，支付年度养护费用的30%，每年的第四次付款十二月底前，支付年度的养护费用的10%。</w:t>
      </w:r>
    </w:p>
    <w:p w14:paraId="3DD163EB">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cs="宋体"/>
          <w:color w:val="auto"/>
          <w:spacing w:val="-8"/>
          <w:sz w:val="24"/>
          <w:szCs w:val="24"/>
          <w:highlight w:val="none"/>
          <w:lang w:val="en-US" w:eastAsia="zh-CN"/>
        </w:rPr>
        <w:t>每次支付需</w:t>
      </w:r>
      <w:r>
        <w:rPr>
          <w:rFonts w:hint="eastAsia" w:ascii="宋体" w:hAnsi="宋体" w:eastAsia="宋体" w:cs="宋体"/>
          <w:color w:val="auto"/>
          <w:spacing w:val="-8"/>
          <w:sz w:val="24"/>
          <w:szCs w:val="24"/>
          <w:highlight w:val="none"/>
          <w:lang w:eastAsia="zh-CN"/>
        </w:rPr>
        <w:t>待季度检查核定达到相应绿化养护标准后，乙方向甲方提出书面资金拨付申请，经甲方同意后拨付资金。</w:t>
      </w:r>
    </w:p>
    <w:p w14:paraId="3273CA58">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（2）甲方向乙方拨付资金前，乙方应向甲方提供合法有效的发票和相关验收资料。</w:t>
      </w:r>
    </w:p>
    <w:p w14:paraId="0FF41DB3">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2、养护费用的结算</w:t>
      </w:r>
    </w:p>
    <w:p w14:paraId="1011438C">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（1）养护期结束，乙方完成本合同约定的所有养护工作，甲乙双方对养护范围内的各类林木及相关配套设施进行检查、清点和确认，办理养护移交手续。</w:t>
      </w:r>
    </w:p>
    <w:p w14:paraId="5979ABD8">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（2）在乙方不存在任何违约行为的前提下，移交完成后，甲方拨付剩余应付价款。</w:t>
      </w:r>
    </w:p>
    <w:p w14:paraId="0BA5AD8B">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（3）养护费结算款拨付的方式和时间均按照政府相关规定执行。</w:t>
      </w:r>
    </w:p>
    <w:p w14:paraId="48B429AF">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3、关于乙方养护人员工资的约定</w:t>
      </w:r>
    </w:p>
    <w:p w14:paraId="29FA7155">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1）乙方应向其该项目的养护人员发按时足额放工资，办理相应的社会保险和工伤保险。及时向养护劳务派遣单位拨付劳务费，并督促和检查劳务派遣单位为派驻本项目养护人员办理相应的社会保险和工伤保险。</w:t>
      </w:r>
    </w:p>
    <w:p w14:paraId="7EFB0C12">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（2）乙方都应留有足额资金用于支付本单位的养护人员或劳务派遣单位的劳务费，协调解决养护人员的工资纠纷。</w:t>
      </w:r>
    </w:p>
    <w:p w14:paraId="7A9B2DE8">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（3）乙方不得以任何理由拖欠本项目养护人员（包括本单位的养护人员和劳务派遣单位的养护人员）的工资，如果因拖欠或未按时支付本项目养护人员工资而引起劳务纠纷，由乙方承担相应的经济和法律责任。</w:t>
      </w:r>
    </w:p>
    <w:p w14:paraId="01A6A560">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4）当乙方发生拖欠该项目养护人员工资或其劳务派遣单位劳务费时，甲方有权从该合同价款中扣留并直接向其养护人员或劳务派遣单位支付相应金额。同时，甲方可以此解除合同，因上述纠纷给甲方造成经济或名誉损失的，甲方有权向乙方追究赔偿责任。</w:t>
      </w:r>
    </w:p>
    <w:p w14:paraId="7E01B5D7">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4、涉及政府财政性资金支付的约定</w:t>
      </w:r>
    </w:p>
    <w:p w14:paraId="7E368ADA">
      <w:pPr>
        <w:pStyle w:val="17"/>
        <w:pageBreakBefore w:val="0"/>
        <w:kinsoku/>
        <w:wordWrap/>
        <w:overflowPunct/>
        <w:topLinePunct w:val="0"/>
        <w:bidi w:val="0"/>
        <w:snapToGrid w:val="0"/>
        <w:spacing w:line="360" w:lineRule="auto"/>
        <w:ind w:left="220" w:right="211" w:firstLine="429"/>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本项目资金来源于政府财政性资金，甲、乙双方对本合同的付款条件达成共识并做出如</w:t>
      </w:r>
      <w:r>
        <w:rPr>
          <w:rFonts w:hint="eastAsia" w:ascii="宋体" w:hAnsi="宋体" w:eastAsia="宋体" w:cs="宋体"/>
          <w:color w:val="auto"/>
          <w:spacing w:val="-8"/>
          <w:sz w:val="24"/>
          <w:szCs w:val="24"/>
          <w:highlight w:val="none"/>
          <w:lang w:eastAsia="zh-CN"/>
        </w:rPr>
        <w:t>下约定：甲方在收到政府专项拨款后应及时按照合同的约定向乙方支付合同价款，但因政府财</w:t>
      </w:r>
      <w:r>
        <w:rPr>
          <w:rFonts w:hint="eastAsia" w:ascii="宋体" w:hAnsi="宋体" w:eastAsia="宋体" w:cs="宋体"/>
          <w:color w:val="auto"/>
          <w:spacing w:val="-7"/>
          <w:sz w:val="24"/>
          <w:szCs w:val="24"/>
          <w:highlight w:val="none"/>
          <w:lang w:eastAsia="zh-CN"/>
        </w:rPr>
        <w:t>政性资金拨付延迟而导致甲方不能按照合同的约定及时向乙方支付合同价款时，不构成甲方的</w:t>
      </w:r>
      <w:r>
        <w:rPr>
          <w:rFonts w:hint="eastAsia" w:ascii="宋体" w:hAnsi="宋体" w:eastAsia="宋体" w:cs="宋体"/>
          <w:color w:val="auto"/>
          <w:spacing w:val="-5"/>
          <w:sz w:val="24"/>
          <w:szCs w:val="24"/>
          <w:highlight w:val="none"/>
          <w:lang w:eastAsia="zh-CN"/>
        </w:rPr>
        <w:t>违约行为，乙方不得因此追究甲方违约责任。</w:t>
      </w:r>
    </w:p>
    <w:p w14:paraId="061EAED4">
      <w:pPr>
        <w:pageBreakBefore w:val="0"/>
        <w:tabs>
          <w:tab w:val="left" w:pos="914"/>
        </w:tabs>
        <w:kinsoku/>
        <w:wordWrap/>
        <w:overflowPunct/>
        <w:topLinePunct w:val="0"/>
        <w:bidi w:val="0"/>
        <w:snapToGrid w:val="0"/>
        <w:spacing w:line="360" w:lineRule="auto"/>
        <w:ind w:firstLine="450" w:firstLineChars="200"/>
        <w:textAlignment w:val="auto"/>
        <w:rPr>
          <w:rFonts w:hint="eastAsia" w:ascii="宋体" w:hAnsi="宋体" w:eastAsia="宋体" w:cs="宋体"/>
          <w:b/>
          <w:bCs/>
          <w:color w:val="auto"/>
          <w:spacing w:val="-8"/>
          <w:sz w:val="24"/>
          <w:szCs w:val="24"/>
          <w:highlight w:val="none"/>
          <w:lang w:eastAsia="zh-CN"/>
        </w:rPr>
      </w:pPr>
      <w:bookmarkStart w:id="812" w:name="第十一条_违约责任"/>
      <w:bookmarkEnd w:id="812"/>
      <w:bookmarkStart w:id="813" w:name="_Toc28273057"/>
      <w:bookmarkStart w:id="814" w:name="_Toc61947365"/>
      <w:bookmarkStart w:id="815" w:name="_Toc28612888"/>
      <w:r>
        <w:rPr>
          <w:rFonts w:hint="eastAsia" w:ascii="宋体" w:hAnsi="宋体" w:eastAsia="宋体" w:cs="宋体"/>
          <w:b/>
          <w:bCs/>
          <w:color w:val="auto"/>
          <w:spacing w:val="-8"/>
          <w:sz w:val="24"/>
          <w:szCs w:val="24"/>
          <w:highlight w:val="none"/>
          <w:lang w:eastAsia="zh-CN"/>
        </w:rPr>
        <w:t>第十一条 违约责任</w:t>
      </w:r>
      <w:bookmarkEnd w:id="813"/>
      <w:bookmarkEnd w:id="814"/>
      <w:bookmarkEnd w:id="815"/>
    </w:p>
    <w:p w14:paraId="75833F56">
      <w:pPr>
        <w:pageBreakBefore w:val="0"/>
        <w:tabs>
          <w:tab w:val="left" w:pos="914"/>
        </w:tabs>
        <w:kinsoku/>
        <w:wordWrap/>
        <w:overflowPunct/>
        <w:topLinePunct w:val="0"/>
        <w:bidi w:val="0"/>
        <w:snapToGrid w:val="0"/>
        <w:spacing w:line="360" w:lineRule="auto"/>
        <w:ind w:firstLine="450" w:firstLineChars="200"/>
        <w:textAlignment w:val="auto"/>
        <w:rPr>
          <w:rFonts w:hint="eastAsia" w:ascii="宋体" w:hAnsi="宋体" w:eastAsia="宋体" w:cs="宋体"/>
          <w:b/>
          <w:bCs/>
          <w:color w:val="auto"/>
          <w:spacing w:val="-8"/>
          <w:sz w:val="24"/>
          <w:szCs w:val="24"/>
          <w:highlight w:val="none"/>
          <w:lang w:eastAsia="zh-CN"/>
        </w:rPr>
      </w:pPr>
      <w:r>
        <w:rPr>
          <w:rFonts w:hint="eastAsia" w:ascii="宋体" w:hAnsi="宋体" w:eastAsia="宋体" w:cs="宋体"/>
          <w:b/>
          <w:bCs/>
          <w:color w:val="auto"/>
          <w:spacing w:val="-8"/>
          <w:sz w:val="24"/>
          <w:szCs w:val="24"/>
          <w:highlight w:val="none"/>
          <w:lang w:eastAsia="zh-CN"/>
        </w:rPr>
        <w:t>（一）任何一方违反本合同之约定，均应承担由此给对方造成的损失。</w:t>
      </w:r>
    </w:p>
    <w:p w14:paraId="3A662CCA">
      <w:pPr>
        <w:pageBreakBefore w:val="0"/>
        <w:tabs>
          <w:tab w:val="left" w:pos="914"/>
        </w:tabs>
        <w:kinsoku/>
        <w:wordWrap/>
        <w:overflowPunct/>
        <w:topLinePunct w:val="0"/>
        <w:bidi w:val="0"/>
        <w:snapToGrid w:val="0"/>
        <w:spacing w:line="360" w:lineRule="auto"/>
        <w:ind w:firstLine="450" w:firstLineChars="200"/>
        <w:textAlignment w:val="auto"/>
        <w:rPr>
          <w:rFonts w:hint="eastAsia" w:ascii="宋体" w:hAnsi="宋体" w:eastAsia="宋体" w:cs="宋体"/>
          <w:b/>
          <w:bCs/>
          <w:color w:val="auto"/>
          <w:spacing w:val="-8"/>
          <w:sz w:val="24"/>
          <w:szCs w:val="24"/>
          <w:highlight w:val="none"/>
          <w:lang w:eastAsia="zh-CN"/>
        </w:rPr>
      </w:pPr>
      <w:r>
        <w:rPr>
          <w:rFonts w:hint="eastAsia" w:ascii="宋体" w:hAnsi="宋体" w:eastAsia="宋体" w:cs="宋体"/>
          <w:b/>
          <w:bCs/>
          <w:color w:val="auto"/>
          <w:spacing w:val="-8"/>
          <w:sz w:val="24"/>
          <w:szCs w:val="24"/>
          <w:highlight w:val="none"/>
          <w:lang w:eastAsia="zh-CN"/>
        </w:rPr>
        <w:t>（二）合同期满后，甲乙双方应及时办理移交手续。</w:t>
      </w:r>
    </w:p>
    <w:p w14:paraId="274135C1">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1、乙方应保证养护范围内各类植物生长良好、各类设施的完好无损。</w:t>
      </w:r>
    </w:p>
    <w:p w14:paraId="445155B7">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2、因乙方责任造成的损失，由乙方负责赔偿。</w:t>
      </w:r>
    </w:p>
    <w:p w14:paraId="31A14B5A">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3、非乙方原因造成损失的，如需恢复，其费用由甲乙双方协商解决。</w:t>
      </w:r>
    </w:p>
    <w:p w14:paraId="7C10C68D">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b/>
          <w:bCs/>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w:t>
      </w:r>
      <w:r>
        <w:rPr>
          <w:rFonts w:hint="eastAsia" w:ascii="宋体" w:hAnsi="宋体" w:eastAsia="宋体" w:cs="宋体"/>
          <w:b/>
          <w:bCs/>
          <w:color w:val="auto"/>
          <w:spacing w:val="-8"/>
          <w:sz w:val="24"/>
          <w:szCs w:val="24"/>
          <w:highlight w:val="none"/>
          <w:lang w:eastAsia="zh-CN"/>
        </w:rPr>
        <w:t>三）乙方违反安全生产规定，造成安全事故，乙方应承担全部的责任并赔偿相应的损失。同时，甲方可单方决定与乙方解除养护合同。</w:t>
      </w:r>
    </w:p>
    <w:p w14:paraId="1A61EF8A">
      <w:pPr>
        <w:pageBreakBefore w:val="0"/>
        <w:tabs>
          <w:tab w:val="left" w:pos="914"/>
        </w:tabs>
        <w:kinsoku/>
        <w:wordWrap/>
        <w:overflowPunct/>
        <w:topLinePunct w:val="0"/>
        <w:bidi w:val="0"/>
        <w:snapToGrid w:val="0"/>
        <w:spacing w:line="360" w:lineRule="auto"/>
        <w:ind w:firstLine="450" w:firstLineChars="200"/>
        <w:textAlignment w:val="auto"/>
        <w:rPr>
          <w:rFonts w:hint="eastAsia" w:ascii="宋体" w:hAnsi="宋体" w:eastAsia="宋体" w:cs="宋体"/>
          <w:b/>
          <w:bCs/>
          <w:color w:val="auto"/>
          <w:spacing w:val="-8"/>
          <w:sz w:val="24"/>
          <w:szCs w:val="24"/>
          <w:highlight w:val="none"/>
          <w:lang w:eastAsia="zh-CN"/>
        </w:rPr>
      </w:pPr>
      <w:r>
        <w:rPr>
          <w:rFonts w:hint="eastAsia" w:ascii="宋体" w:hAnsi="宋体" w:eastAsia="宋体" w:cs="宋体"/>
          <w:b/>
          <w:bCs/>
          <w:color w:val="auto"/>
          <w:spacing w:val="-8"/>
          <w:sz w:val="24"/>
          <w:szCs w:val="24"/>
          <w:highlight w:val="none"/>
          <w:lang w:eastAsia="zh-CN"/>
        </w:rPr>
        <w:t>（四）乙方不按规定使用药剂，造成人员伤亡或环境污染的，乙方应承担全部赔偿责任。甲方根据造成后果的大小，可单方决定是否与乙方终止合同。</w:t>
      </w:r>
    </w:p>
    <w:p w14:paraId="29909C19">
      <w:pPr>
        <w:pageBreakBefore w:val="0"/>
        <w:tabs>
          <w:tab w:val="left" w:pos="914"/>
        </w:tabs>
        <w:kinsoku/>
        <w:wordWrap/>
        <w:overflowPunct/>
        <w:topLinePunct w:val="0"/>
        <w:bidi w:val="0"/>
        <w:snapToGrid w:val="0"/>
        <w:spacing w:line="360" w:lineRule="auto"/>
        <w:ind w:firstLine="450" w:firstLineChars="200"/>
        <w:textAlignment w:val="auto"/>
        <w:rPr>
          <w:rFonts w:hint="eastAsia" w:ascii="宋体" w:hAnsi="宋体" w:eastAsia="宋体" w:cs="宋体"/>
          <w:b/>
          <w:bCs/>
          <w:color w:val="auto"/>
          <w:spacing w:val="-8"/>
          <w:sz w:val="24"/>
          <w:szCs w:val="24"/>
          <w:highlight w:val="none"/>
          <w:lang w:eastAsia="zh-CN"/>
        </w:rPr>
      </w:pPr>
      <w:r>
        <w:rPr>
          <w:rFonts w:hint="eastAsia" w:ascii="宋体" w:hAnsi="宋体" w:eastAsia="宋体" w:cs="宋体"/>
          <w:b/>
          <w:bCs/>
          <w:color w:val="auto"/>
          <w:spacing w:val="-8"/>
          <w:sz w:val="24"/>
          <w:szCs w:val="24"/>
          <w:highlight w:val="none"/>
          <w:lang w:eastAsia="zh-CN"/>
        </w:rPr>
        <w:t>（五）乙方擅自将本养护项目进行违法分包或转包，应承担一切责任。甲方有权因此终止合同。</w:t>
      </w:r>
    </w:p>
    <w:p w14:paraId="78BFD1A3">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w:t>
      </w:r>
      <w:r>
        <w:rPr>
          <w:rFonts w:hint="eastAsia" w:ascii="宋体" w:hAnsi="宋体" w:eastAsia="宋体" w:cs="宋体"/>
          <w:b/>
          <w:bCs/>
          <w:color w:val="auto"/>
          <w:spacing w:val="-8"/>
          <w:sz w:val="24"/>
          <w:szCs w:val="24"/>
          <w:highlight w:val="none"/>
          <w:lang w:eastAsia="zh-CN"/>
        </w:rPr>
        <w:t>六）乙方不履行合同义务或不按合同约定履行义务，给甲方造成损失的，乙方应按照实际损失额进行赔偿。同时，甲方有权解单方除本合同。</w:t>
      </w:r>
    </w:p>
    <w:p w14:paraId="51B5DB2B">
      <w:pPr>
        <w:pageBreakBefore w:val="0"/>
        <w:tabs>
          <w:tab w:val="left" w:pos="914"/>
        </w:tabs>
        <w:kinsoku/>
        <w:wordWrap/>
        <w:overflowPunct/>
        <w:topLinePunct w:val="0"/>
        <w:bidi w:val="0"/>
        <w:snapToGrid w:val="0"/>
        <w:spacing w:line="360" w:lineRule="auto"/>
        <w:ind w:firstLine="450" w:firstLineChars="200"/>
        <w:textAlignment w:val="auto"/>
        <w:rPr>
          <w:rFonts w:hint="eastAsia" w:ascii="宋体" w:hAnsi="宋体" w:eastAsia="宋体" w:cs="宋体"/>
          <w:b/>
          <w:bCs/>
          <w:color w:val="auto"/>
          <w:spacing w:val="-8"/>
          <w:sz w:val="24"/>
          <w:szCs w:val="24"/>
          <w:highlight w:val="none"/>
          <w:lang w:eastAsia="zh-CN"/>
        </w:rPr>
      </w:pPr>
      <w:r>
        <w:rPr>
          <w:rFonts w:hint="eastAsia" w:ascii="宋体" w:hAnsi="宋体" w:eastAsia="宋体" w:cs="宋体"/>
          <w:b/>
          <w:bCs/>
          <w:color w:val="auto"/>
          <w:spacing w:val="-8"/>
          <w:sz w:val="24"/>
          <w:szCs w:val="24"/>
          <w:highlight w:val="none"/>
          <w:lang w:eastAsia="zh-CN"/>
        </w:rPr>
        <w:t>（七）合同期内，乙方一年内出现 2 次重大责任事故或 3 次一般责任事故的，甲方有权终止合同。</w:t>
      </w:r>
    </w:p>
    <w:p w14:paraId="245F2C5F">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1、重大责任事故包括：</w:t>
      </w:r>
    </w:p>
    <w:p w14:paraId="4DA67981">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（1）被新闻单位曝光，经查属实，影响重大。</w:t>
      </w:r>
    </w:p>
    <w:p w14:paraId="77B71209">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（2）在重大政治活动或上级部门检查中，出现问题，造成严重后果。</w:t>
      </w:r>
    </w:p>
    <w:p w14:paraId="5F419722">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（3）未经甲方批准擅自停止绿地管护作业，造成严重影响。</w:t>
      </w:r>
    </w:p>
    <w:p w14:paraId="60ED6D6D">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（4）在重大政治活动或紧急任务的情况下，未按要求及时完成指令性工作任务。</w:t>
      </w:r>
    </w:p>
    <w:p w14:paraId="576F1CCE">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2、一般责任事故包括：</w:t>
      </w:r>
    </w:p>
    <w:p w14:paraId="3234756C">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（1）人大代表、政协委员、上级领导及群众反映业务管理及服务质量有问题，经查属实，造成一定影响。</w:t>
      </w:r>
    </w:p>
    <w:p w14:paraId="5CE795E6">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（2）在各种重大政治活动或上级部门检查中出现问题，造成不良影响。</w:t>
      </w:r>
    </w:p>
    <w:p w14:paraId="6607851B">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（3）未能及时有效完成甲方布置的各项临时任务。</w:t>
      </w:r>
    </w:p>
    <w:p w14:paraId="1CDC62CA">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（4）对检查和群众反映的问题，在规定的期限内未能及时解决，造成一定影响。</w:t>
      </w:r>
    </w:p>
    <w:p w14:paraId="64E25BF4">
      <w:pPr>
        <w:pageBreakBefore w:val="0"/>
        <w:tabs>
          <w:tab w:val="left" w:pos="914"/>
        </w:tabs>
        <w:kinsoku/>
        <w:wordWrap/>
        <w:overflowPunct/>
        <w:topLinePunct w:val="0"/>
        <w:bidi w:val="0"/>
        <w:snapToGrid w:val="0"/>
        <w:spacing w:line="360" w:lineRule="auto"/>
        <w:ind w:firstLine="450" w:firstLineChars="200"/>
        <w:textAlignment w:val="auto"/>
        <w:rPr>
          <w:rFonts w:hint="eastAsia" w:ascii="宋体" w:hAnsi="宋体" w:eastAsia="宋体" w:cs="宋体"/>
          <w:b/>
          <w:bCs/>
          <w:color w:val="auto"/>
          <w:spacing w:val="-8"/>
          <w:sz w:val="24"/>
          <w:szCs w:val="24"/>
          <w:highlight w:val="none"/>
          <w:lang w:eastAsia="zh-CN"/>
        </w:rPr>
      </w:pPr>
      <w:r>
        <w:rPr>
          <w:rFonts w:hint="eastAsia" w:ascii="宋体" w:hAnsi="宋体" w:eastAsia="宋体" w:cs="宋体"/>
          <w:b/>
          <w:bCs/>
          <w:color w:val="auto"/>
          <w:spacing w:val="-8"/>
          <w:sz w:val="24"/>
          <w:szCs w:val="24"/>
          <w:highlight w:val="none"/>
          <w:lang w:eastAsia="zh-CN"/>
        </w:rPr>
        <w:t>（八）乙方营业执照年检不合格，甲方有权解除合同。</w:t>
      </w:r>
    </w:p>
    <w:p w14:paraId="7674F667">
      <w:pPr>
        <w:pageBreakBefore w:val="0"/>
        <w:tabs>
          <w:tab w:val="left" w:pos="914"/>
        </w:tabs>
        <w:kinsoku/>
        <w:wordWrap/>
        <w:overflowPunct/>
        <w:topLinePunct w:val="0"/>
        <w:bidi w:val="0"/>
        <w:snapToGrid w:val="0"/>
        <w:spacing w:line="360" w:lineRule="auto"/>
        <w:ind w:firstLine="450" w:firstLineChars="200"/>
        <w:textAlignment w:val="auto"/>
        <w:rPr>
          <w:rFonts w:hint="eastAsia" w:ascii="宋体" w:hAnsi="宋体" w:eastAsia="宋体" w:cs="宋体"/>
          <w:b/>
          <w:bCs/>
          <w:color w:val="auto"/>
          <w:spacing w:val="-8"/>
          <w:sz w:val="24"/>
          <w:szCs w:val="24"/>
          <w:highlight w:val="none"/>
          <w:lang w:eastAsia="zh-CN"/>
        </w:rPr>
      </w:pPr>
      <w:bookmarkStart w:id="816" w:name="第十二条_不可抗力"/>
      <w:bookmarkEnd w:id="816"/>
      <w:bookmarkStart w:id="817" w:name="_Toc61947366"/>
      <w:bookmarkStart w:id="818" w:name="_Toc28612889"/>
      <w:bookmarkStart w:id="819" w:name="_Toc28273058"/>
      <w:r>
        <w:rPr>
          <w:rFonts w:hint="eastAsia" w:ascii="宋体" w:hAnsi="宋体" w:eastAsia="宋体" w:cs="宋体"/>
          <w:b/>
          <w:bCs/>
          <w:color w:val="auto"/>
          <w:spacing w:val="-8"/>
          <w:sz w:val="24"/>
          <w:szCs w:val="24"/>
          <w:highlight w:val="none"/>
          <w:lang w:eastAsia="zh-CN"/>
        </w:rPr>
        <w:t>第十二条 不可抗力</w:t>
      </w:r>
      <w:bookmarkEnd w:id="817"/>
      <w:bookmarkEnd w:id="818"/>
      <w:bookmarkEnd w:id="819"/>
    </w:p>
    <w:p w14:paraId="505F0B31">
      <w:pPr>
        <w:pageBreakBefore w:val="0"/>
        <w:tabs>
          <w:tab w:val="left" w:pos="914"/>
        </w:tabs>
        <w:kinsoku/>
        <w:wordWrap/>
        <w:overflowPunct/>
        <w:topLinePunct w:val="0"/>
        <w:bidi w:val="0"/>
        <w:snapToGrid w:val="0"/>
        <w:spacing w:line="360" w:lineRule="auto"/>
        <w:ind w:firstLine="450" w:firstLineChars="200"/>
        <w:textAlignment w:val="auto"/>
        <w:rPr>
          <w:rFonts w:hint="eastAsia" w:ascii="宋体" w:hAnsi="宋体" w:eastAsia="宋体" w:cs="宋体"/>
          <w:b/>
          <w:bCs/>
          <w:color w:val="auto"/>
          <w:spacing w:val="-8"/>
          <w:sz w:val="24"/>
          <w:szCs w:val="24"/>
          <w:highlight w:val="none"/>
          <w:lang w:eastAsia="zh-CN"/>
        </w:rPr>
      </w:pPr>
      <w:r>
        <w:rPr>
          <w:rFonts w:hint="eastAsia" w:ascii="宋体" w:hAnsi="宋体" w:eastAsia="宋体" w:cs="宋体"/>
          <w:b/>
          <w:bCs/>
          <w:color w:val="auto"/>
          <w:spacing w:val="-8"/>
          <w:sz w:val="24"/>
          <w:szCs w:val="24"/>
          <w:highlight w:val="none"/>
          <w:lang w:eastAsia="zh-CN"/>
        </w:rPr>
        <w:t>（一）双方关于不可抗力的约定，不可抗力一般包括以下情况：</w:t>
      </w:r>
    </w:p>
    <w:p w14:paraId="719DC83E">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1、国家权威部门发布且被界定性为灾害的瘟疫、地震、洪水、风灾、雪灾等。</w:t>
      </w:r>
    </w:p>
    <w:p w14:paraId="04432028">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2、战争、动乱、暴乱、骚乱。</w:t>
      </w:r>
    </w:p>
    <w:p w14:paraId="4A402EF0">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3、离子辐射或放射性污染。</w:t>
      </w:r>
    </w:p>
    <w:p w14:paraId="6A80C7CF">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4、以音速或超音速飞行的飞机或其他飞行装置产生的压力波，飞行器坠落。</w:t>
      </w:r>
    </w:p>
    <w:p w14:paraId="0A1A3AF0">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5、因适用法律法规的变更导致本合同无法正常履。</w:t>
      </w:r>
    </w:p>
    <w:p w14:paraId="027F93A9">
      <w:pPr>
        <w:pageBreakBefore w:val="0"/>
        <w:tabs>
          <w:tab w:val="left" w:pos="914"/>
        </w:tabs>
        <w:kinsoku/>
        <w:wordWrap/>
        <w:overflowPunct/>
        <w:topLinePunct w:val="0"/>
        <w:bidi w:val="0"/>
        <w:snapToGrid w:val="0"/>
        <w:spacing w:line="360" w:lineRule="auto"/>
        <w:ind w:firstLine="450" w:firstLineChars="200"/>
        <w:textAlignment w:val="auto"/>
        <w:rPr>
          <w:rFonts w:hint="eastAsia" w:ascii="宋体" w:hAnsi="宋体" w:eastAsia="宋体" w:cs="宋体"/>
          <w:b/>
          <w:bCs/>
          <w:color w:val="auto"/>
          <w:spacing w:val="-8"/>
          <w:sz w:val="24"/>
          <w:szCs w:val="24"/>
          <w:highlight w:val="none"/>
          <w:lang w:eastAsia="zh-CN"/>
        </w:rPr>
      </w:pPr>
      <w:r>
        <w:rPr>
          <w:rFonts w:hint="eastAsia" w:ascii="宋体" w:hAnsi="宋体" w:eastAsia="宋体" w:cs="宋体"/>
          <w:b/>
          <w:bCs/>
          <w:color w:val="auto"/>
          <w:spacing w:val="-8"/>
          <w:sz w:val="24"/>
          <w:szCs w:val="24"/>
          <w:highlight w:val="none"/>
          <w:lang w:eastAsia="zh-CN"/>
        </w:rPr>
        <w:t>（二）因不可抗力导致的费用双方按以下方式承担：</w:t>
      </w:r>
    </w:p>
    <w:p w14:paraId="5C7F2601">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1、林木和设施本身的损害，由甲方承担。</w:t>
      </w:r>
    </w:p>
    <w:p w14:paraId="5AC7E284">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2、甲方、乙方人员的伤亡由其各自负责。</w:t>
      </w:r>
    </w:p>
    <w:p w14:paraId="03B656AE">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3、乙方机械设备损坏及窝工损失，由乙方承担。</w:t>
      </w:r>
    </w:p>
    <w:p w14:paraId="763F901C">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4、现场的清理、修复费用，由甲方承担。</w:t>
      </w:r>
    </w:p>
    <w:p w14:paraId="63566C5D">
      <w:pPr>
        <w:pageBreakBefore w:val="0"/>
        <w:tabs>
          <w:tab w:val="left" w:pos="914"/>
        </w:tabs>
        <w:kinsoku/>
        <w:wordWrap/>
        <w:overflowPunct/>
        <w:topLinePunct w:val="0"/>
        <w:bidi w:val="0"/>
        <w:snapToGrid w:val="0"/>
        <w:spacing w:line="360" w:lineRule="auto"/>
        <w:ind w:firstLine="450" w:firstLineChars="200"/>
        <w:textAlignment w:val="auto"/>
        <w:rPr>
          <w:rFonts w:hint="eastAsia" w:ascii="宋体" w:hAnsi="宋体" w:eastAsia="宋体" w:cs="宋体"/>
          <w:b/>
          <w:bCs/>
          <w:color w:val="auto"/>
          <w:spacing w:val="-8"/>
          <w:sz w:val="24"/>
          <w:szCs w:val="24"/>
          <w:highlight w:val="none"/>
          <w:lang w:eastAsia="zh-CN"/>
        </w:rPr>
      </w:pPr>
      <w:r>
        <w:rPr>
          <w:rFonts w:hint="eastAsia" w:ascii="宋体" w:hAnsi="宋体" w:eastAsia="宋体" w:cs="宋体"/>
          <w:b/>
          <w:bCs/>
          <w:color w:val="auto"/>
          <w:spacing w:val="-8"/>
          <w:sz w:val="24"/>
          <w:szCs w:val="24"/>
          <w:highlight w:val="none"/>
          <w:lang w:eastAsia="zh-CN"/>
        </w:rPr>
        <w:t>（三）合同一方迟延履行合同后发生不可抗力的，不能免除迟延履行方的相应责任。</w:t>
      </w:r>
      <w:bookmarkStart w:id="820" w:name="第十三条_附则"/>
      <w:bookmarkEnd w:id="820"/>
    </w:p>
    <w:p w14:paraId="7DBBA506">
      <w:pPr>
        <w:pageBreakBefore w:val="0"/>
        <w:tabs>
          <w:tab w:val="left" w:pos="914"/>
        </w:tabs>
        <w:kinsoku/>
        <w:wordWrap/>
        <w:overflowPunct/>
        <w:topLinePunct w:val="0"/>
        <w:bidi w:val="0"/>
        <w:snapToGrid w:val="0"/>
        <w:spacing w:line="360" w:lineRule="auto"/>
        <w:ind w:firstLine="450" w:firstLineChars="200"/>
        <w:textAlignment w:val="auto"/>
        <w:rPr>
          <w:rFonts w:hint="eastAsia" w:ascii="宋体" w:hAnsi="宋体" w:eastAsia="宋体" w:cs="宋体"/>
          <w:b/>
          <w:bCs/>
          <w:color w:val="auto"/>
          <w:spacing w:val="-8"/>
          <w:sz w:val="24"/>
          <w:szCs w:val="24"/>
          <w:highlight w:val="none"/>
          <w:lang w:eastAsia="zh-CN"/>
        </w:rPr>
      </w:pPr>
      <w:r>
        <w:rPr>
          <w:rFonts w:hint="eastAsia" w:ascii="宋体" w:hAnsi="宋体" w:eastAsia="宋体" w:cs="宋体"/>
          <w:b/>
          <w:bCs/>
          <w:color w:val="auto"/>
          <w:spacing w:val="-8"/>
          <w:sz w:val="24"/>
          <w:szCs w:val="24"/>
          <w:highlight w:val="none"/>
          <w:lang w:eastAsia="zh-CN"/>
        </w:rPr>
        <w:t>第十三条 争议解决</w:t>
      </w:r>
    </w:p>
    <w:p w14:paraId="61A364FF">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本合同未尽事宜，双方可协商解决，如协商不成，双方均可向甲方住所地的人民法院提起诉讼。</w:t>
      </w:r>
    </w:p>
    <w:p w14:paraId="08B85E57">
      <w:pPr>
        <w:pageBreakBefore w:val="0"/>
        <w:tabs>
          <w:tab w:val="left" w:pos="914"/>
        </w:tabs>
        <w:kinsoku/>
        <w:wordWrap/>
        <w:overflowPunct/>
        <w:topLinePunct w:val="0"/>
        <w:bidi w:val="0"/>
        <w:snapToGrid w:val="0"/>
        <w:spacing w:line="360" w:lineRule="auto"/>
        <w:ind w:firstLine="450" w:firstLineChars="200"/>
        <w:textAlignment w:val="auto"/>
        <w:rPr>
          <w:rFonts w:hint="eastAsia" w:ascii="宋体" w:hAnsi="宋体" w:eastAsia="宋体" w:cs="宋体"/>
          <w:b/>
          <w:bCs/>
          <w:color w:val="auto"/>
          <w:spacing w:val="-8"/>
          <w:sz w:val="24"/>
          <w:szCs w:val="24"/>
          <w:highlight w:val="none"/>
          <w:lang w:eastAsia="zh-CN"/>
        </w:rPr>
      </w:pPr>
      <w:r>
        <w:rPr>
          <w:rFonts w:hint="eastAsia" w:ascii="宋体" w:hAnsi="宋体" w:eastAsia="宋体" w:cs="宋体"/>
          <w:b/>
          <w:bCs/>
          <w:color w:val="auto"/>
          <w:spacing w:val="-8"/>
          <w:sz w:val="24"/>
          <w:szCs w:val="24"/>
          <w:highlight w:val="none"/>
          <w:lang w:eastAsia="zh-CN"/>
        </w:rPr>
        <w:t>第十四条 附则</w:t>
      </w:r>
    </w:p>
    <w:p w14:paraId="041CF202">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本合同正本一式贰份，双方各持壹份。副本一式陆份，双方各持三份。自双方法定代表人或委托代理人签字（或签章）并加盖公章之日起生效。</w:t>
      </w:r>
    </w:p>
    <w:p w14:paraId="31BE53E9">
      <w:pPr>
        <w:pageBreakBefore w:val="0"/>
        <w:numPr>
          <w:ilvl w:val="0"/>
          <w:numId w:val="20"/>
        </w:numPr>
        <w:kinsoku/>
        <w:wordWrap/>
        <w:overflowPunct/>
        <w:topLinePunct w:val="0"/>
        <w:bidi w:val="0"/>
        <w:snapToGrid w:val="0"/>
        <w:spacing w:line="360" w:lineRule="auto"/>
        <w:ind w:firstLine="450" w:firstLineChars="200"/>
        <w:textAlignment w:val="auto"/>
        <w:rPr>
          <w:rFonts w:hint="eastAsia" w:ascii="宋体" w:hAnsi="宋体" w:eastAsia="宋体" w:cs="宋体"/>
          <w:b/>
          <w:bCs/>
          <w:color w:val="auto"/>
          <w:spacing w:val="-8"/>
          <w:sz w:val="24"/>
          <w:szCs w:val="24"/>
          <w:highlight w:val="none"/>
          <w:lang w:eastAsia="zh-CN"/>
        </w:rPr>
      </w:pPr>
      <w:bookmarkStart w:id="821" w:name="第十四条_合同附件"/>
      <w:bookmarkEnd w:id="821"/>
      <w:r>
        <w:rPr>
          <w:rFonts w:hint="eastAsia" w:ascii="宋体" w:hAnsi="宋体" w:eastAsia="宋体" w:cs="宋体"/>
          <w:b/>
          <w:bCs/>
          <w:color w:val="auto"/>
          <w:spacing w:val="-8"/>
          <w:sz w:val="24"/>
          <w:szCs w:val="24"/>
          <w:highlight w:val="none"/>
          <w:lang w:eastAsia="zh-CN"/>
        </w:rPr>
        <w:t>合同附件</w:t>
      </w:r>
    </w:p>
    <w:p w14:paraId="1578E56B">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eastAsia="zh-CN"/>
        </w:rPr>
        <w:t>附件一：廉政责任书</w:t>
      </w:r>
    </w:p>
    <w:p w14:paraId="7662E1C3">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附件二：安全生产责任书</w:t>
      </w:r>
    </w:p>
    <w:p w14:paraId="1D4DC8EF">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附件三：环境保护和文明养护协议</w:t>
      </w:r>
    </w:p>
    <w:p w14:paraId="75AEE993">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附件</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：接诉即办协议</w:t>
      </w:r>
    </w:p>
    <w:p w14:paraId="17F7BC2D">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附件</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lang w:eastAsia="zh-CN"/>
        </w:rPr>
        <w:t>：《北京城市副中心城镇绿地养护管理工作意见》</w:t>
      </w:r>
      <w:bookmarkStart w:id="822" w:name="_Toc28612890"/>
      <w:bookmarkStart w:id="823" w:name="_Toc61947367"/>
      <w:bookmarkStart w:id="824" w:name="_Toc28273059"/>
    </w:p>
    <w:p w14:paraId="458D30F1">
      <w:pPr>
        <w:pageBreakBefore w:val="0"/>
        <w:kinsoku/>
        <w:wordWrap/>
        <w:overflowPunct/>
        <w:topLinePunct w:val="0"/>
        <w:bidi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附件六：构建“亲”“清”政商关系告知书</w:t>
      </w:r>
    </w:p>
    <w:p w14:paraId="4E94FD94">
      <w:pPr>
        <w:pageBreakBefore w:val="0"/>
        <w:kinsoku/>
        <w:wordWrap/>
        <w:overflowPunct/>
        <w:topLinePunct w:val="0"/>
        <w:bidi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附件七：标段养护面积和范围附图</w:t>
      </w:r>
    </w:p>
    <w:p w14:paraId="4576BCFD">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p>
    <w:p w14:paraId="40416FE2">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bookmarkStart w:id="825" w:name="_Hlk193656021"/>
    </w:p>
    <w:p w14:paraId="02B42A08">
      <w:pPr>
        <w:pStyle w:val="17"/>
        <w:pageBreakBefore w:val="0"/>
        <w:tabs>
          <w:tab w:val="left" w:pos="3406"/>
          <w:tab w:val="clear" w:pos="567"/>
        </w:tabs>
        <w:kinsoku/>
        <w:wordWrap/>
        <w:overflowPunct/>
        <w:topLinePunct w:val="0"/>
        <w:bidi w:val="0"/>
        <w:spacing w:line="360" w:lineRule="auto"/>
        <w:ind w:firstLine="468"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甲方（</w:t>
      </w:r>
      <w:r>
        <w:rPr>
          <w:rFonts w:hint="eastAsia" w:ascii="宋体" w:hAnsi="宋体" w:eastAsia="宋体" w:cs="宋体"/>
          <w:color w:val="auto"/>
          <w:spacing w:val="-1"/>
          <w:sz w:val="24"/>
          <w:szCs w:val="24"/>
          <w:highlight w:val="none"/>
          <w:lang w:eastAsia="zh-CN"/>
        </w:rPr>
        <w:t>公</w:t>
      </w:r>
      <w:r>
        <w:rPr>
          <w:rFonts w:hint="eastAsia" w:ascii="宋体" w:hAnsi="宋体" w:eastAsia="宋体" w:cs="宋体"/>
          <w:color w:val="auto"/>
          <w:spacing w:val="-3"/>
          <w:sz w:val="24"/>
          <w:szCs w:val="24"/>
          <w:highlight w:val="none"/>
          <w:lang w:eastAsia="zh-CN"/>
        </w:rPr>
        <w:t>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乙方</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1"/>
          <w:sz w:val="24"/>
          <w:szCs w:val="24"/>
          <w:highlight w:val="none"/>
          <w:lang w:eastAsia="zh-CN"/>
        </w:rPr>
        <w:t>公</w:t>
      </w:r>
      <w:r>
        <w:rPr>
          <w:rFonts w:hint="eastAsia" w:ascii="宋体" w:hAnsi="宋体" w:eastAsia="宋体" w:cs="宋体"/>
          <w:color w:val="auto"/>
          <w:spacing w:val="-3"/>
          <w:sz w:val="24"/>
          <w:szCs w:val="24"/>
          <w:highlight w:val="none"/>
          <w:lang w:eastAsia="zh-CN"/>
        </w:rPr>
        <w:t>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 xml:space="preserve">                              </w:t>
      </w:r>
    </w:p>
    <w:p w14:paraId="02C551DB">
      <w:pPr>
        <w:pStyle w:val="17"/>
        <w:pageBreakBefore w:val="0"/>
        <w:tabs>
          <w:tab w:val="left" w:pos="3406"/>
          <w:tab w:val="clear" w:pos="567"/>
        </w:tabs>
        <w:kinsoku/>
        <w:wordWrap/>
        <w:overflowPunct/>
        <w:topLinePunct w:val="0"/>
        <w:bidi w:val="0"/>
        <w:spacing w:line="360" w:lineRule="auto"/>
        <w:ind w:firstLine="476" w:firstLineChars="200"/>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法定</w:t>
      </w:r>
      <w:r>
        <w:rPr>
          <w:rFonts w:hint="eastAsia" w:ascii="宋体" w:hAnsi="宋体" w:eastAsia="宋体" w:cs="宋体"/>
          <w:color w:val="auto"/>
          <w:spacing w:val="-3"/>
          <w:sz w:val="24"/>
          <w:szCs w:val="24"/>
          <w:highlight w:val="none"/>
          <w:lang w:eastAsia="zh-CN"/>
        </w:rPr>
        <w:t>代</w:t>
      </w:r>
      <w:r>
        <w:rPr>
          <w:rFonts w:hint="eastAsia" w:ascii="宋体" w:hAnsi="宋体" w:eastAsia="宋体" w:cs="宋体"/>
          <w:color w:val="auto"/>
          <w:spacing w:val="-1"/>
          <w:sz w:val="24"/>
          <w:szCs w:val="24"/>
          <w:highlight w:val="none"/>
          <w:lang w:eastAsia="zh-CN"/>
        </w:rPr>
        <w:t>表</w:t>
      </w:r>
      <w:r>
        <w:rPr>
          <w:rFonts w:hint="eastAsia" w:ascii="宋体" w:hAnsi="宋体" w:eastAsia="宋体" w:cs="宋体"/>
          <w:color w:val="auto"/>
          <w:spacing w:val="-3"/>
          <w:sz w:val="24"/>
          <w:szCs w:val="24"/>
          <w:highlight w:val="none"/>
          <w:lang w:eastAsia="zh-CN"/>
        </w:rPr>
        <w:t>人</w:t>
      </w:r>
      <w:r>
        <w:rPr>
          <w:rFonts w:hint="eastAsia" w:ascii="宋体" w:hAnsi="宋体" w:eastAsia="宋体" w:cs="宋体"/>
          <w:color w:val="auto"/>
          <w:spacing w:val="-1"/>
          <w:sz w:val="24"/>
          <w:szCs w:val="24"/>
          <w:highlight w:val="none"/>
          <w:lang w:eastAsia="zh-CN"/>
        </w:rPr>
        <w:t xml:space="preserve">                                法定</w:t>
      </w:r>
      <w:r>
        <w:rPr>
          <w:rFonts w:hint="eastAsia" w:ascii="宋体" w:hAnsi="宋体" w:eastAsia="宋体" w:cs="宋体"/>
          <w:color w:val="auto"/>
          <w:spacing w:val="-3"/>
          <w:sz w:val="24"/>
          <w:szCs w:val="24"/>
          <w:highlight w:val="none"/>
          <w:lang w:eastAsia="zh-CN"/>
        </w:rPr>
        <w:t>代</w:t>
      </w:r>
      <w:r>
        <w:rPr>
          <w:rFonts w:hint="eastAsia" w:ascii="宋体" w:hAnsi="宋体" w:eastAsia="宋体" w:cs="宋体"/>
          <w:color w:val="auto"/>
          <w:spacing w:val="-1"/>
          <w:sz w:val="24"/>
          <w:szCs w:val="24"/>
          <w:highlight w:val="none"/>
          <w:lang w:eastAsia="zh-CN"/>
        </w:rPr>
        <w:t>表</w:t>
      </w:r>
      <w:r>
        <w:rPr>
          <w:rFonts w:hint="eastAsia" w:ascii="宋体" w:hAnsi="宋体" w:eastAsia="宋体" w:cs="宋体"/>
          <w:color w:val="auto"/>
          <w:spacing w:val="-3"/>
          <w:sz w:val="24"/>
          <w:szCs w:val="24"/>
          <w:highlight w:val="none"/>
          <w:lang w:eastAsia="zh-CN"/>
        </w:rPr>
        <w:t>人</w:t>
      </w:r>
    </w:p>
    <w:p w14:paraId="1C916519">
      <w:pPr>
        <w:pStyle w:val="17"/>
        <w:pageBreakBefore w:val="0"/>
        <w:tabs>
          <w:tab w:val="left" w:pos="3406"/>
          <w:tab w:val="clear" w:pos="567"/>
        </w:tabs>
        <w:kinsoku/>
        <w:wordWrap/>
        <w:overflowPunct/>
        <w:topLinePunct w:val="0"/>
        <w:bidi w:val="0"/>
        <w:spacing w:line="360" w:lineRule="auto"/>
        <w:ind w:firstLine="468"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或</w:t>
      </w:r>
      <w:r>
        <w:rPr>
          <w:rFonts w:hint="eastAsia" w:ascii="宋体" w:hAnsi="宋体" w:eastAsia="宋体" w:cs="宋体"/>
          <w:color w:val="auto"/>
          <w:spacing w:val="-1"/>
          <w:sz w:val="24"/>
          <w:szCs w:val="24"/>
          <w:highlight w:val="none"/>
          <w:lang w:eastAsia="zh-CN"/>
        </w:rPr>
        <w:t>委托代理人</w:t>
      </w:r>
      <w:r>
        <w:rPr>
          <w:rFonts w:hint="eastAsia" w:ascii="宋体" w:hAnsi="宋体" w:eastAsia="宋体" w:cs="宋体"/>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lang w:eastAsia="zh-CN"/>
        </w:rPr>
        <w:t>（签字或盖章）</w:t>
      </w:r>
      <w:r>
        <w:rPr>
          <w:rFonts w:hint="eastAsia" w:ascii="宋体" w:hAnsi="宋体" w:eastAsia="宋体" w:cs="宋体"/>
          <w:color w:val="auto"/>
          <w:sz w:val="24"/>
          <w:szCs w:val="24"/>
          <w:highlight w:val="none"/>
          <w:u w:val="single"/>
          <w:lang w:eastAsia="zh-CN"/>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pacing w:val="-1"/>
          <w:sz w:val="24"/>
          <w:szCs w:val="24"/>
          <w:highlight w:val="none"/>
          <w:lang w:eastAsia="zh-CN"/>
        </w:rPr>
        <w:t>或委托代理人</w:t>
      </w:r>
      <w:r>
        <w:rPr>
          <w:rFonts w:hint="eastAsia" w:ascii="宋体" w:hAnsi="宋体" w:eastAsia="宋体" w:cs="宋体"/>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lang w:eastAsia="zh-CN"/>
        </w:rPr>
        <w:t>（签字或盖章）</w:t>
      </w:r>
      <w:r>
        <w:rPr>
          <w:rFonts w:hint="eastAsia" w:ascii="宋体" w:hAnsi="宋体" w:eastAsia="宋体" w:cs="宋体"/>
          <w:color w:val="auto"/>
          <w:sz w:val="24"/>
          <w:szCs w:val="24"/>
          <w:highlight w:val="none"/>
          <w:u w:val="single"/>
          <w:lang w:eastAsia="zh-CN"/>
        </w:rPr>
        <w:t xml:space="preserve">             </w:t>
      </w:r>
    </w:p>
    <w:p w14:paraId="041083F9">
      <w:pPr>
        <w:pStyle w:val="17"/>
        <w:pageBreakBefore w:val="0"/>
        <w:tabs>
          <w:tab w:val="left" w:pos="3387"/>
          <w:tab w:val="clear" w:pos="567"/>
        </w:tabs>
        <w:kinsoku/>
        <w:wordWrap/>
        <w:overflowPunct/>
        <w:topLinePunct w:val="0"/>
        <w:bidi w:val="0"/>
        <w:spacing w:line="360" w:lineRule="auto"/>
        <w:ind w:firstLine="476" w:firstLineChars="200"/>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签订时间：</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年</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月</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日              签订时间：</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年</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月</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日</w:t>
      </w:r>
    </w:p>
    <w:bookmarkEnd w:id="825"/>
    <w:p w14:paraId="7AD1A5AE">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eastAsia="zh-CN"/>
        </w:rPr>
      </w:pPr>
    </w:p>
    <w:p w14:paraId="653CCA58">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eastAsia="zh-CN"/>
        </w:rPr>
        <w:sectPr>
          <w:pgSz w:w="11910" w:h="16840"/>
          <w:pgMar w:top="1480" w:right="1480" w:bottom="1000" w:left="1418" w:header="0" w:footer="808" w:gutter="0"/>
          <w:pgNumType w:fmt="decimal"/>
          <w:cols w:space="720" w:num="1"/>
        </w:sectPr>
      </w:pPr>
    </w:p>
    <w:p w14:paraId="53C2FA3F">
      <w:pPr>
        <w:pStyle w:val="4"/>
        <w:pageBreakBefore w:val="0"/>
        <w:kinsoku/>
        <w:wordWrap/>
        <w:overflowPunct/>
        <w:topLinePunct w:val="0"/>
        <w:bidi w:val="0"/>
        <w:spacing w:line="360" w:lineRule="auto"/>
        <w:ind w:left="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附件一</w:t>
      </w:r>
      <w:bookmarkEnd w:id="822"/>
      <w:bookmarkEnd w:id="823"/>
      <w:bookmarkEnd w:id="824"/>
      <w:r>
        <w:rPr>
          <w:rFonts w:hint="eastAsia" w:ascii="宋体" w:hAnsi="宋体" w:eastAsia="宋体" w:cs="宋体"/>
          <w:color w:val="auto"/>
          <w:sz w:val="24"/>
          <w:szCs w:val="24"/>
          <w:highlight w:val="none"/>
          <w:u w:val="none"/>
          <w:lang w:eastAsia="zh-CN"/>
        </w:rPr>
        <w:t>：</w:t>
      </w:r>
    </w:p>
    <w:p w14:paraId="7EE0C3F6">
      <w:pPr>
        <w:pageBreakBefore w:val="0"/>
        <w:kinsoku/>
        <w:wordWrap/>
        <w:overflowPunct/>
        <w:topLinePunct w:val="0"/>
        <w:bidi w:val="0"/>
        <w:spacing w:before="1" w:line="360" w:lineRule="auto"/>
        <w:ind w:left="221"/>
        <w:jc w:val="center"/>
        <w:textAlignment w:val="auto"/>
        <w:outlineLvl w:val="9"/>
        <w:rPr>
          <w:rFonts w:hint="eastAsia" w:ascii="宋体" w:hAnsi="宋体" w:eastAsia="宋体" w:cs="宋体"/>
          <w:b/>
          <w:color w:val="auto"/>
          <w:sz w:val="24"/>
          <w:szCs w:val="24"/>
          <w:highlight w:val="none"/>
          <w:lang w:eastAsia="zh-CN"/>
        </w:rPr>
      </w:pPr>
      <w:bookmarkStart w:id="826" w:name="廉政责任书"/>
      <w:bookmarkEnd w:id="826"/>
      <w:r>
        <w:rPr>
          <w:rFonts w:hint="eastAsia" w:ascii="宋体" w:hAnsi="宋体" w:eastAsia="宋体" w:cs="宋体"/>
          <w:b/>
          <w:color w:val="auto"/>
          <w:sz w:val="24"/>
          <w:szCs w:val="24"/>
          <w:highlight w:val="none"/>
          <w:lang w:eastAsia="zh-CN"/>
        </w:rPr>
        <w:t>廉政责任书</w:t>
      </w:r>
    </w:p>
    <w:p w14:paraId="549093DF">
      <w:pPr>
        <w:pStyle w:val="17"/>
        <w:pageBreakBefore w:val="0"/>
        <w:tabs>
          <w:tab w:val="left" w:pos="4491"/>
          <w:tab w:val="clear" w:pos="567"/>
        </w:tabs>
        <w:kinsoku/>
        <w:wordWrap/>
        <w:overflowPunct/>
        <w:topLinePunct w:val="0"/>
        <w:bidi w:val="0"/>
        <w:spacing w:before="141" w:line="360" w:lineRule="auto"/>
        <w:ind w:left="709"/>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发包</w:t>
      </w:r>
      <w:r>
        <w:rPr>
          <w:rFonts w:hint="eastAsia" w:ascii="宋体" w:hAnsi="宋体" w:eastAsia="宋体" w:cs="宋体"/>
          <w:color w:val="auto"/>
          <w:spacing w:val="-3"/>
          <w:sz w:val="24"/>
          <w:szCs w:val="24"/>
          <w:highlight w:val="none"/>
          <w:lang w:eastAsia="zh-CN"/>
        </w:rPr>
        <w:t>单</w:t>
      </w:r>
      <w:r>
        <w:rPr>
          <w:rFonts w:hint="eastAsia" w:ascii="宋体" w:hAnsi="宋体" w:eastAsia="宋体" w:cs="宋体"/>
          <w:color w:val="auto"/>
          <w:sz w:val="24"/>
          <w:szCs w:val="24"/>
          <w:highlight w:val="none"/>
          <w:lang w:eastAsia="zh-CN"/>
        </w:rPr>
        <w:t>位</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z w:val="24"/>
          <w:szCs w:val="24"/>
          <w:highlight w:val="none"/>
          <w:lang w:eastAsia="zh-CN"/>
        </w:rPr>
        <w:t>甲</w:t>
      </w:r>
      <w:r>
        <w:rPr>
          <w:rFonts w:hint="eastAsia" w:ascii="宋体" w:hAnsi="宋体" w:eastAsia="宋体" w:cs="宋体"/>
          <w:color w:val="auto"/>
          <w:spacing w:val="-3"/>
          <w:sz w:val="24"/>
          <w:szCs w:val="24"/>
          <w:highlight w:val="none"/>
          <w:lang w:eastAsia="zh-CN"/>
        </w:rPr>
        <w:t>方</w:t>
      </w:r>
      <w:r>
        <w:rPr>
          <w:rFonts w:hint="eastAsia" w:ascii="宋体" w:hAnsi="宋体" w:eastAsia="宋体" w:cs="宋体"/>
          <w:color w:val="auto"/>
          <w:spacing w:val="-106"/>
          <w:sz w:val="24"/>
          <w:szCs w:val="24"/>
          <w:highlight w:val="none"/>
          <w:lang w:eastAsia="zh-CN"/>
        </w:rPr>
        <w:t>）</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3"/>
          <w:sz w:val="24"/>
          <w:szCs w:val="24"/>
          <w:highlight w:val="none"/>
          <w:u w:val="single"/>
          <w:lang w:eastAsia="zh-CN"/>
        </w:rPr>
        <w:t>北京市绿地养护管理事务中心</w:t>
      </w:r>
    </w:p>
    <w:p w14:paraId="65B7384E">
      <w:pPr>
        <w:pStyle w:val="17"/>
        <w:pageBreakBefore w:val="0"/>
        <w:tabs>
          <w:tab w:val="left" w:pos="4491"/>
          <w:tab w:val="clear" w:pos="567"/>
        </w:tabs>
        <w:kinsoku/>
        <w:wordWrap/>
        <w:overflowPunct/>
        <w:topLinePunct w:val="0"/>
        <w:bidi w:val="0"/>
        <w:spacing w:before="141" w:line="360" w:lineRule="auto"/>
        <w:ind w:left="709"/>
        <w:textAlignment w:val="auto"/>
        <w:outlineLvl w:val="9"/>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承包</w:t>
      </w:r>
      <w:r>
        <w:rPr>
          <w:rFonts w:hint="eastAsia" w:ascii="宋体" w:hAnsi="宋体" w:eastAsia="宋体" w:cs="宋体"/>
          <w:color w:val="auto"/>
          <w:spacing w:val="-3"/>
          <w:sz w:val="24"/>
          <w:szCs w:val="24"/>
          <w:highlight w:val="none"/>
          <w:lang w:eastAsia="zh-CN"/>
        </w:rPr>
        <w:t>单</w:t>
      </w:r>
      <w:r>
        <w:rPr>
          <w:rFonts w:hint="eastAsia" w:ascii="宋体" w:hAnsi="宋体" w:eastAsia="宋体" w:cs="宋体"/>
          <w:color w:val="auto"/>
          <w:sz w:val="24"/>
          <w:szCs w:val="24"/>
          <w:highlight w:val="none"/>
          <w:lang w:eastAsia="zh-CN"/>
        </w:rPr>
        <w:t>位</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pacing w:val="-3"/>
          <w:sz w:val="24"/>
          <w:szCs w:val="24"/>
          <w:highlight w:val="none"/>
          <w:lang w:eastAsia="zh-CN"/>
        </w:rPr>
        <w:t>方</w:t>
      </w:r>
      <w:r>
        <w:rPr>
          <w:rFonts w:hint="eastAsia" w:ascii="宋体" w:hAnsi="宋体" w:eastAsia="宋体" w:cs="宋体"/>
          <w:color w:val="auto"/>
          <w:spacing w:val="-106"/>
          <w:sz w:val="24"/>
          <w:szCs w:val="24"/>
          <w:highlight w:val="none"/>
          <w:lang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eastAsia="zh-CN"/>
        </w:rPr>
        <w:t xml:space="preserve">                               </w:t>
      </w:r>
    </w:p>
    <w:p w14:paraId="66013EA0">
      <w:pPr>
        <w:pStyle w:val="17"/>
        <w:pageBreakBefore w:val="0"/>
        <w:kinsoku/>
        <w:wordWrap/>
        <w:overflowPunct/>
        <w:topLinePunct w:val="0"/>
        <w:bidi w:val="0"/>
        <w:spacing w:line="360" w:lineRule="auto"/>
        <w:ind w:left="223" w:right="214" w:firstLine="487"/>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为加强廉政建设，规范项目承发包双方的各项活动，防止发生各种谋取不正当利益的违</w:t>
      </w:r>
      <w:r>
        <w:rPr>
          <w:rFonts w:hint="eastAsia" w:ascii="宋体" w:hAnsi="宋体" w:eastAsia="宋体" w:cs="宋体"/>
          <w:color w:val="auto"/>
          <w:spacing w:val="-8"/>
          <w:sz w:val="24"/>
          <w:szCs w:val="24"/>
          <w:highlight w:val="none"/>
          <w:lang w:eastAsia="zh-CN"/>
        </w:rPr>
        <w:t>法违纪行为，保护国家、集体和当事人的合法权益，根据国家有关法律法规和廉政建设责任制</w:t>
      </w:r>
      <w:r>
        <w:rPr>
          <w:rFonts w:hint="eastAsia" w:ascii="宋体" w:hAnsi="宋体" w:eastAsia="宋体" w:cs="宋体"/>
          <w:color w:val="auto"/>
          <w:spacing w:val="-5"/>
          <w:sz w:val="24"/>
          <w:szCs w:val="24"/>
          <w:highlight w:val="none"/>
          <w:lang w:eastAsia="zh-CN"/>
        </w:rPr>
        <w:t>规定，特订立本廉政责任书。</w:t>
      </w:r>
    </w:p>
    <w:p w14:paraId="49DA7600">
      <w:pPr>
        <w:pageBreakBefore w:val="0"/>
        <w:kinsoku/>
        <w:wordWrap/>
        <w:overflowPunct/>
        <w:topLinePunct w:val="0"/>
        <w:bidi w:val="0"/>
        <w:spacing w:before="1" w:line="360" w:lineRule="auto"/>
        <w:ind w:left="711"/>
        <w:textAlignment w:val="auto"/>
        <w:outlineLvl w:val="9"/>
        <w:rPr>
          <w:rFonts w:hint="eastAsia" w:ascii="宋体" w:hAnsi="宋体" w:eastAsia="宋体" w:cs="宋体"/>
          <w:color w:val="auto"/>
          <w:sz w:val="24"/>
          <w:szCs w:val="24"/>
          <w:highlight w:val="none"/>
          <w:lang w:eastAsia="zh-CN"/>
        </w:rPr>
      </w:pPr>
      <w:bookmarkStart w:id="827" w:name="_Toc28273060"/>
      <w:bookmarkStart w:id="828" w:name="_Toc61947368"/>
      <w:bookmarkStart w:id="829" w:name="_Toc28612891"/>
      <w:r>
        <w:rPr>
          <w:rFonts w:hint="eastAsia" w:ascii="宋体" w:hAnsi="宋体" w:eastAsia="宋体" w:cs="宋体"/>
          <w:color w:val="auto"/>
          <w:sz w:val="24"/>
          <w:szCs w:val="24"/>
          <w:highlight w:val="none"/>
          <w:lang w:eastAsia="zh-CN"/>
        </w:rPr>
        <w:t>第一条甲乙双方的责任</w:t>
      </w:r>
      <w:bookmarkEnd w:id="827"/>
      <w:bookmarkEnd w:id="828"/>
      <w:bookmarkEnd w:id="829"/>
    </w:p>
    <w:p w14:paraId="38EE57A3">
      <w:pPr>
        <w:pStyle w:val="17"/>
        <w:pageBreakBefore w:val="0"/>
        <w:kinsoku/>
        <w:wordWrap/>
        <w:overflowPunct/>
        <w:topLinePunct w:val="0"/>
        <w:bidi w:val="0"/>
        <w:spacing w:before="151" w:line="360" w:lineRule="auto"/>
        <w:ind w:left="224" w:right="99" w:firstLine="487"/>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（一）应严格遵守国家关于市场准入、项目招标投标、项目承包和市场活动等有关法律、法规，相关政策，以及廉政建设的各项规定。</w:t>
      </w:r>
    </w:p>
    <w:p w14:paraId="2A20FD8F">
      <w:pPr>
        <w:pStyle w:val="17"/>
        <w:pageBreakBefore w:val="0"/>
        <w:kinsoku/>
        <w:wordWrap/>
        <w:overflowPunct/>
        <w:topLinePunct w:val="0"/>
        <w:bidi w:val="0"/>
        <w:spacing w:before="1" w:line="360" w:lineRule="auto"/>
        <w:ind w:left="711"/>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（二）严格执行项目承发包合同文件，自觉按合同办事。</w:t>
      </w:r>
    </w:p>
    <w:p w14:paraId="6C002601">
      <w:pPr>
        <w:pStyle w:val="17"/>
        <w:pageBreakBefore w:val="0"/>
        <w:kinsoku/>
        <w:wordWrap/>
        <w:overflowPunct/>
        <w:topLinePunct w:val="0"/>
        <w:bidi w:val="0"/>
        <w:spacing w:before="151" w:line="360" w:lineRule="auto"/>
        <w:ind w:left="224" w:right="216" w:firstLine="487"/>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（三）业务活动必须坚持公开、公平、公正、诚信、透明的原则（除法律法规另有规定者外</w:t>
      </w:r>
      <w:r>
        <w:rPr>
          <w:rFonts w:hint="eastAsia" w:ascii="宋体" w:hAnsi="宋体" w:eastAsia="宋体" w:cs="宋体"/>
          <w:color w:val="auto"/>
          <w:spacing w:val="-106"/>
          <w:sz w:val="24"/>
          <w:szCs w:val="24"/>
          <w:highlight w:val="none"/>
          <w:lang w:eastAsia="zh-CN"/>
        </w:rPr>
        <w:t>）</w:t>
      </w:r>
      <w:r>
        <w:rPr>
          <w:rFonts w:hint="eastAsia" w:ascii="宋体" w:hAnsi="宋体" w:eastAsia="宋体" w:cs="宋体"/>
          <w:color w:val="auto"/>
          <w:sz w:val="24"/>
          <w:szCs w:val="24"/>
          <w:highlight w:val="none"/>
          <w:lang w:eastAsia="zh-CN"/>
        </w:rPr>
        <w:t>，不得为获取不正当的利益，损害国家、集体和对方利益，不得违反养护管理的规章制度。</w:t>
      </w:r>
    </w:p>
    <w:p w14:paraId="22DA2D0F">
      <w:pPr>
        <w:pStyle w:val="17"/>
        <w:pageBreakBefore w:val="0"/>
        <w:kinsoku/>
        <w:wordWrap/>
        <w:overflowPunct/>
        <w:topLinePunct w:val="0"/>
        <w:bidi w:val="0"/>
        <w:spacing w:before="1" w:line="360" w:lineRule="auto"/>
        <w:ind w:left="224" w:right="216" w:firstLine="487"/>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（四）发现对方在业务活动中有违规、违纪、违法行为的，应及时提醒对方，情节严重的，应向其上级主管部门或纪检监察、司法等有关机关举报。</w:t>
      </w:r>
    </w:p>
    <w:p w14:paraId="499C8AB3">
      <w:pPr>
        <w:pageBreakBefore w:val="0"/>
        <w:kinsoku/>
        <w:wordWrap/>
        <w:overflowPunct/>
        <w:topLinePunct w:val="0"/>
        <w:bidi w:val="0"/>
        <w:spacing w:line="360" w:lineRule="auto"/>
        <w:ind w:left="711"/>
        <w:textAlignment w:val="auto"/>
        <w:outlineLvl w:val="9"/>
        <w:rPr>
          <w:rFonts w:hint="eastAsia" w:ascii="宋体" w:hAnsi="宋体" w:eastAsia="宋体" w:cs="宋体"/>
          <w:color w:val="auto"/>
          <w:sz w:val="24"/>
          <w:szCs w:val="24"/>
          <w:highlight w:val="none"/>
          <w:lang w:eastAsia="zh-CN"/>
        </w:rPr>
      </w:pPr>
      <w:bookmarkStart w:id="830" w:name="_Toc28273061"/>
      <w:bookmarkStart w:id="831" w:name="_Toc28612892"/>
      <w:bookmarkStart w:id="832" w:name="_Toc61947369"/>
      <w:r>
        <w:rPr>
          <w:rFonts w:hint="eastAsia" w:ascii="宋体" w:hAnsi="宋体" w:eastAsia="宋体" w:cs="宋体"/>
          <w:color w:val="auto"/>
          <w:sz w:val="24"/>
          <w:szCs w:val="24"/>
          <w:highlight w:val="none"/>
          <w:lang w:eastAsia="zh-CN"/>
        </w:rPr>
        <w:t>第二条甲方的责任</w:t>
      </w:r>
      <w:bookmarkEnd w:id="830"/>
      <w:bookmarkEnd w:id="831"/>
      <w:bookmarkEnd w:id="832"/>
    </w:p>
    <w:p w14:paraId="4C1D2910">
      <w:pPr>
        <w:pStyle w:val="17"/>
        <w:pageBreakBefore w:val="0"/>
        <w:kinsoku/>
        <w:wordWrap/>
        <w:overflowPunct/>
        <w:topLinePunct w:val="0"/>
        <w:bidi w:val="0"/>
        <w:spacing w:before="151" w:line="360" w:lineRule="auto"/>
        <w:ind w:left="224" w:right="108" w:firstLine="487"/>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甲方的领导和从事该园林绿化养护、管理项目的工作人员，在本项目实施的事前、事中、事后应遵守以下规定：</w:t>
      </w:r>
    </w:p>
    <w:p w14:paraId="39552EDC">
      <w:pPr>
        <w:pStyle w:val="17"/>
        <w:pageBreakBefore w:val="0"/>
        <w:kinsoku/>
        <w:wordWrap/>
        <w:overflowPunct/>
        <w:topLinePunct w:val="0"/>
        <w:bidi w:val="0"/>
        <w:spacing w:line="360" w:lineRule="auto"/>
        <w:ind w:left="224" w:right="216" w:firstLine="487"/>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（一）不准向乙方和相关单位索要或接受回扣、礼金、有价证券、贵重物品和好处费、感谢费等。</w:t>
      </w:r>
    </w:p>
    <w:p w14:paraId="06E98377">
      <w:pPr>
        <w:pStyle w:val="17"/>
        <w:pageBreakBefore w:val="0"/>
        <w:kinsoku/>
        <w:wordWrap/>
        <w:overflowPunct/>
        <w:topLinePunct w:val="0"/>
        <w:bidi w:val="0"/>
        <w:spacing w:before="1" w:line="360" w:lineRule="auto"/>
        <w:ind w:left="711"/>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（二）不准在乙方和相关单位报销任何应由甲方或个人支付的费用。</w:t>
      </w:r>
    </w:p>
    <w:p w14:paraId="451297BE">
      <w:pPr>
        <w:pStyle w:val="17"/>
        <w:pageBreakBefore w:val="0"/>
        <w:kinsoku/>
        <w:wordWrap/>
        <w:overflowPunct/>
        <w:topLinePunct w:val="0"/>
        <w:bidi w:val="0"/>
        <w:spacing w:before="151" w:line="360" w:lineRule="auto"/>
        <w:ind w:left="224" w:right="216" w:firstLine="487"/>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（三）不准要求、暗示或接受乙方和相关单位为个人装修住房、婚丧嫁娶、配偶子女的</w:t>
      </w:r>
      <w:r>
        <w:rPr>
          <w:rFonts w:hint="eastAsia" w:ascii="宋体" w:hAnsi="宋体" w:eastAsia="宋体" w:cs="宋体"/>
          <w:color w:val="auto"/>
          <w:spacing w:val="-3"/>
          <w:sz w:val="24"/>
          <w:szCs w:val="24"/>
          <w:highlight w:val="none"/>
          <w:lang w:eastAsia="zh-CN"/>
        </w:rPr>
        <w:t>工作安排以及出国（</w:t>
      </w:r>
      <w:r>
        <w:rPr>
          <w:rFonts w:hint="eastAsia" w:ascii="宋体" w:hAnsi="宋体" w:eastAsia="宋体" w:cs="宋体"/>
          <w:color w:val="auto"/>
          <w:sz w:val="24"/>
          <w:szCs w:val="24"/>
          <w:highlight w:val="none"/>
          <w:lang w:eastAsia="zh-CN"/>
        </w:rPr>
        <w:t>境</w:t>
      </w:r>
      <w:r>
        <w:rPr>
          <w:rFonts w:hint="eastAsia" w:ascii="宋体" w:hAnsi="宋体" w:eastAsia="宋体" w:cs="宋体"/>
          <w:color w:val="auto"/>
          <w:spacing w:val="-108"/>
          <w:sz w:val="24"/>
          <w:szCs w:val="24"/>
          <w:highlight w:val="none"/>
          <w:lang w:eastAsia="zh-CN"/>
        </w:rPr>
        <w:t>）</w:t>
      </w:r>
      <w:r>
        <w:rPr>
          <w:rFonts w:hint="eastAsia" w:ascii="宋体" w:hAnsi="宋体" w:eastAsia="宋体" w:cs="宋体"/>
          <w:color w:val="auto"/>
          <w:spacing w:val="-3"/>
          <w:sz w:val="24"/>
          <w:szCs w:val="24"/>
          <w:highlight w:val="none"/>
          <w:lang w:eastAsia="zh-CN"/>
        </w:rPr>
        <w:t>、旅游等提供方便。</w:t>
      </w:r>
    </w:p>
    <w:p w14:paraId="6B730CF9">
      <w:pPr>
        <w:pStyle w:val="17"/>
        <w:pageBreakBefore w:val="0"/>
        <w:kinsoku/>
        <w:wordWrap/>
        <w:overflowPunct/>
        <w:topLinePunct w:val="0"/>
        <w:bidi w:val="0"/>
        <w:spacing w:before="1" w:line="360" w:lineRule="auto"/>
        <w:ind w:left="711"/>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（四）不准参加有可能影响公正执行公务的乙方和相关单位的宴请和健身、娱乐等活动。</w:t>
      </w:r>
    </w:p>
    <w:p w14:paraId="7D4BB667">
      <w:pPr>
        <w:pStyle w:val="17"/>
        <w:pageBreakBefore w:val="0"/>
        <w:kinsoku/>
        <w:wordWrap/>
        <w:overflowPunct/>
        <w:topLinePunct w:val="0"/>
        <w:bidi w:val="0"/>
        <w:spacing w:before="151" w:line="360" w:lineRule="auto"/>
        <w:ind w:left="223" w:right="109" w:firstLine="487"/>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（五）不准向乙方介绍或为配偶、子女、亲属参与同本园林绿化养护、管理合同有关的 </w:t>
      </w:r>
      <w:r>
        <w:rPr>
          <w:rFonts w:hint="eastAsia" w:ascii="宋体" w:hAnsi="宋体" w:eastAsia="宋体" w:cs="宋体"/>
          <w:color w:val="auto"/>
          <w:spacing w:val="-15"/>
          <w:sz w:val="24"/>
          <w:szCs w:val="24"/>
          <w:highlight w:val="none"/>
          <w:lang w:eastAsia="zh-CN"/>
        </w:rPr>
        <w:t>设备、材料、养护分包、劳务等经济活动。不得以任何理由向乙方和相关单位推荐分包单位等。</w:t>
      </w:r>
    </w:p>
    <w:p w14:paraId="530DADF0">
      <w:pPr>
        <w:pageBreakBefore w:val="0"/>
        <w:kinsoku/>
        <w:wordWrap/>
        <w:overflowPunct/>
        <w:topLinePunct w:val="0"/>
        <w:bidi w:val="0"/>
        <w:spacing w:line="360" w:lineRule="auto"/>
        <w:ind w:left="711"/>
        <w:textAlignment w:val="auto"/>
        <w:outlineLvl w:val="9"/>
        <w:rPr>
          <w:rFonts w:hint="eastAsia" w:ascii="宋体" w:hAnsi="宋体" w:eastAsia="宋体" w:cs="宋体"/>
          <w:color w:val="auto"/>
          <w:sz w:val="24"/>
          <w:szCs w:val="24"/>
          <w:highlight w:val="none"/>
          <w:lang w:eastAsia="zh-CN"/>
        </w:rPr>
      </w:pPr>
      <w:bookmarkStart w:id="833" w:name="_Toc28273062"/>
      <w:bookmarkStart w:id="834" w:name="_Toc28612893"/>
      <w:bookmarkStart w:id="835" w:name="_Toc61947370"/>
      <w:r>
        <w:rPr>
          <w:rFonts w:hint="eastAsia" w:ascii="宋体" w:hAnsi="宋体" w:eastAsia="宋体" w:cs="宋体"/>
          <w:color w:val="auto"/>
          <w:sz w:val="24"/>
          <w:szCs w:val="24"/>
          <w:highlight w:val="none"/>
          <w:lang w:eastAsia="zh-CN"/>
        </w:rPr>
        <w:t>第三条乙方的责任</w:t>
      </w:r>
      <w:bookmarkEnd w:id="833"/>
      <w:bookmarkEnd w:id="834"/>
      <w:bookmarkEnd w:id="835"/>
    </w:p>
    <w:p w14:paraId="1957D3EB">
      <w:pPr>
        <w:pStyle w:val="17"/>
        <w:pageBreakBefore w:val="0"/>
        <w:kinsoku/>
        <w:wordWrap/>
        <w:overflowPunct/>
        <w:topLinePunct w:val="0"/>
        <w:bidi w:val="0"/>
        <w:spacing w:before="150" w:line="360" w:lineRule="auto"/>
        <w:ind w:left="223" w:right="215" w:firstLine="487"/>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应与甲方保持正常的业务交往，按照有关法律法规和程序开展业务工作，严格执行园林绿化养护的有关方针、政策，并遵守以下规定：</w:t>
      </w:r>
    </w:p>
    <w:p w14:paraId="40582BDE">
      <w:pPr>
        <w:pStyle w:val="17"/>
        <w:pageBreakBefore w:val="0"/>
        <w:kinsoku/>
        <w:wordWrap/>
        <w:overflowPunct/>
        <w:topLinePunct w:val="0"/>
        <w:bidi w:val="0"/>
        <w:spacing w:before="1" w:line="360" w:lineRule="auto"/>
        <w:ind w:left="223" w:right="216" w:firstLine="487"/>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（一）不准以任何理由向甲方、相关单位及其工作人员索要、接受或赠送礼金、有价证券、贵重物品和回扣、好处费、感谢费等。</w:t>
      </w:r>
    </w:p>
    <w:p w14:paraId="3CF6879F">
      <w:pPr>
        <w:pStyle w:val="17"/>
        <w:pageBreakBefore w:val="0"/>
        <w:kinsoku/>
        <w:wordWrap/>
        <w:overflowPunct/>
        <w:topLinePunct w:val="0"/>
        <w:bidi w:val="0"/>
        <w:spacing w:line="360" w:lineRule="auto"/>
        <w:ind w:left="223" w:right="216" w:firstLine="487"/>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（二）不准以任何理由为甲方和相关单位报销应由对方或个人支付的费用。</w:t>
      </w:r>
    </w:p>
    <w:p w14:paraId="68B522A1">
      <w:pPr>
        <w:pStyle w:val="17"/>
        <w:pageBreakBefore w:val="0"/>
        <w:kinsoku/>
        <w:wordWrap/>
        <w:overflowPunct/>
        <w:topLinePunct w:val="0"/>
        <w:bidi w:val="0"/>
        <w:spacing w:line="360" w:lineRule="auto"/>
        <w:ind w:left="223" w:right="216" w:firstLine="487"/>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（三）不准接受或暗示为甲方、相关单位或个人装修住房、婚丧嫁娶、配偶子女的工作安排以及出国（境）、旅游等提供方便。</w:t>
      </w:r>
    </w:p>
    <w:p w14:paraId="01F3A505">
      <w:pPr>
        <w:pStyle w:val="17"/>
        <w:pageBreakBefore w:val="0"/>
        <w:kinsoku/>
        <w:wordWrap/>
        <w:overflowPunct/>
        <w:topLinePunct w:val="0"/>
        <w:bidi w:val="0"/>
        <w:spacing w:line="360" w:lineRule="auto"/>
        <w:ind w:left="223" w:right="216" w:firstLine="487"/>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（四）不准以任何理由为甲方、相关单位或个人组织有可能影响公正执行公务的宴请、健身、娱乐等活动。</w:t>
      </w:r>
    </w:p>
    <w:p w14:paraId="79F2FB41">
      <w:pPr>
        <w:pageBreakBefore w:val="0"/>
        <w:kinsoku/>
        <w:wordWrap/>
        <w:overflowPunct/>
        <w:topLinePunct w:val="0"/>
        <w:bidi w:val="0"/>
        <w:spacing w:before="1" w:line="360" w:lineRule="auto"/>
        <w:ind w:left="711"/>
        <w:textAlignment w:val="auto"/>
        <w:outlineLvl w:val="9"/>
        <w:rPr>
          <w:rFonts w:hint="eastAsia" w:ascii="宋体" w:hAnsi="宋体" w:eastAsia="宋体" w:cs="宋体"/>
          <w:color w:val="auto"/>
          <w:sz w:val="24"/>
          <w:szCs w:val="24"/>
          <w:highlight w:val="none"/>
          <w:lang w:eastAsia="zh-CN"/>
        </w:rPr>
      </w:pPr>
      <w:bookmarkStart w:id="836" w:name="_Toc28273063"/>
      <w:bookmarkStart w:id="837" w:name="_Toc61947371"/>
      <w:bookmarkStart w:id="838" w:name="_Toc28612894"/>
      <w:r>
        <w:rPr>
          <w:rFonts w:hint="eastAsia" w:ascii="宋体" w:hAnsi="宋体" w:eastAsia="宋体" w:cs="宋体"/>
          <w:color w:val="auto"/>
          <w:sz w:val="24"/>
          <w:szCs w:val="24"/>
          <w:highlight w:val="none"/>
          <w:lang w:eastAsia="zh-CN"/>
        </w:rPr>
        <w:t>第四条违约责任</w:t>
      </w:r>
      <w:bookmarkEnd w:id="836"/>
      <w:bookmarkEnd w:id="837"/>
      <w:bookmarkEnd w:id="838"/>
    </w:p>
    <w:p w14:paraId="52839705">
      <w:pPr>
        <w:pStyle w:val="17"/>
        <w:pageBreakBefore w:val="0"/>
        <w:kinsoku/>
        <w:wordWrap/>
        <w:overflowPunct/>
        <w:topLinePunct w:val="0"/>
        <w:bidi w:val="0"/>
        <w:spacing w:before="151" w:line="360" w:lineRule="auto"/>
        <w:ind w:left="223" w:right="212" w:firstLine="487"/>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（一）甲方工作人员有违反本责任书第一、二条责任行为的，按照管理权限，依据有关</w:t>
      </w:r>
      <w:r>
        <w:rPr>
          <w:rFonts w:hint="eastAsia" w:ascii="宋体" w:hAnsi="宋体" w:eastAsia="宋体" w:cs="宋体"/>
          <w:color w:val="auto"/>
          <w:spacing w:val="-7"/>
          <w:sz w:val="24"/>
          <w:szCs w:val="24"/>
          <w:highlight w:val="none"/>
          <w:lang w:eastAsia="zh-CN"/>
        </w:rPr>
        <w:t>法律法规和规定给予党纪、政纪处分或组织处理；涉嫌犯罪，移交司法机关追究刑事责任；给</w:t>
      </w:r>
      <w:r>
        <w:rPr>
          <w:rFonts w:hint="eastAsia" w:ascii="宋体" w:hAnsi="宋体" w:eastAsia="宋体" w:cs="宋体"/>
          <w:color w:val="auto"/>
          <w:spacing w:val="-5"/>
          <w:sz w:val="24"/>
          <w:szCs w:val="24"/>
          <w:highlight w:val="none"/>
          <w:lang w:eastAsia="zh-CN"/>
        </w:rPr>
        <w:t>乙方单位造成经济损失的，应予以赔偿。</w:t>
      </w:r>
    </w:p>
    <w:p w14:paraId="5767D514">
      <w:pPr>
        <w:pStyle w:val="17"/>
        <w:pageBreakBefore w:val="0"/>
        <w:kinsoku/>
        <w:wordWrap/>
        <w:overflowPunct/>
        <w:topLinePunct w:val="0"/>
        <w:bidi w:val="0"/>
        <w:spacing w:before="1" w:line="360" w:lineRule="auto"/>
        <w:ind w:left="223" w:right="164" w:firstLine="487"/>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（二）乙方工作人员有违反本责任书第一、三条责任行为的，按照管理权限，依据有关法律法规和规定给予党纪、政纪处分或组织处理；涉嫌犯罪的，移交司法机关追究刑事责任； 给甲方单位造成经济损失的，应予以赔偿。</w:t>
      </w:r>
    </w:p>
    <w:p w14:paraId="2077731B">
      <w:pPr>
        <w:pageBreakBefore w:val="0"/>
        <w:kinsoku/>
        <w:wordWrap/>
        <w:overflowPunct/>
        <w:topLinePunct w:val="0"/>
        <w:bidi w:val="0"/>
        <w:spacing w:line="360" w:lineRule="auto"/>
        <w:ind w:left="711"/>
        <w:textAlignment w:val="auto"/>
        <w:outlineLvl w:val="9"/>
        <w:rPr>
          <w:rFonts w:hint="eastAsia" w:ascii="宋体" w:hAnsi="宋体" w:eastAsia="宋体" w:cs="宋体"/>
          <w:color w:val="auto"/>
          <w:sz w:val="24"/>
          <w:szCs w:val="24"/>
          <w:highlight w:val="none"/>
          <w:lang w:eastAsia="zh-CN"/>
        </w:rPr>
      </w:pPr>
      <w:bookmarkStart w:id="839" w:name="_Toc28612895"/>
      <w:bookmarkStart w:id="840" w:name="_Toc61947372"/>
      <w:bookmarkStart w:id="841" w:name="_Toc28273064"/>
      <w:r>
        <w:rPr>
          <w:rFonts w:hint="eastAsia" w:ascii="宋体" w:hAnsi="宋体" w:eastAsia="宋体" w:cs="宋体"/>
          <w:color w:val="auto"/>
          <w:sz w:val="24"/>
          <w:szCs w:val="24"/>
          <w:highlight w:val="none"/>
          <w:lang w:eastAsia="zh-CN"/>
        </w:rPr>
        <w:t>第五条</w:t>
      </w:r>
      <w:bookmarkEnd w:id="839"/>
      <w:bookmarkEnd w:id="840"/>
      <w:bookmarkEnd w:id="841"/>
    </w:p>
    <w:p w14:paraId="646C8877">
      <w:pPr>
        <w:pStyle w:val="17"/>
        <w:pageBreakBefore w:val="0"/>
        <w:kinsoku/>
        <w:wordWrap/>
        <w:overflowPunct/>
        <w:topLinePunct w:val="0"/>
        <w:bidi w:val="0"/>
        <w:spacing w:before="151" w:line="360" w:lineRule="auto"/>
        <w:ind w:left="224" w:right="215" w:firstLine="487"/>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本责任书作为园林绿化养护、管理合同的附件，与园林绿化养护、管理合同具有同等法律效力。经双方签署后立即生效。</w:t>
      </w:r>
    </w:p>
    <w:p w14:paraId="6E313F6C">
      <w:pPr>
        <w:pageBreakBefore w:val="0"/>
        <w:kinsoku/>
        <w:wordWrap/>
        <w:overflowPunct/>
        <w:topLinePunct w:val="0"/>
        <w:bidi w:val="0"/>
        <w:spacing w:before="1" w:line="360" w:lineRule="auto"/>
        <w:ind w:left="711"/>
        <w:textAlignment w:val="auto"/>
        <w:outlineLvl w:val="9"/>
        <w:rPr>
          <w:rFonts w:hint="eastAsia" w:ascii="宋体" w:hAnsi="宋体" w:eastAsia="宋体" w:cs="宋体"/>
          <w:color w:val="auto"/>
          <w:sz w:val="24"/>
          <w:szCs w:val="24"/>
          <w:highlight w:val="none"/>
          <w:lang w:eastAsia="zh-CN"/>
        </w:rPr>
      </w:pPr>
      <w:bookmarkStart w:id="842" w:name="_Toc28273065"/>
      <w:bookmarkStart w:id="843" w:name="_Toc28612896"/>
      <w:bookmarkStart w:id="844" w:name="_Toc61947373"/>
      <w:r>
        <w:rPr>
          <w:rFonts w:hint="eastAsia" w:ascii="宋体" w:hAnsi="宋体" w:eastAsia="宋体" w:cs="宋体"/>
          <w:color w:val="auto"/>
          <w:sz w:val="24"/>
          <w:szCs w:val="24"/>
          <w:highlight w:val="none"/>
          <w:lang w:eastAsia="zh-CN"/>
        </w:rPr>
        <w:t>第六条</w:t>
      </w:r>
      <w:bookmarkEnd w:id="842"/>
      <w:bookmarkEnd w:id="843"/>
      <w:bookmarkEnd w:id="844"/>
    </w:p>
    <w:p w14:paraId="58FB7789">
      <w:pPr>
        <w:pStyle w:val="17"/>
        <w:pageBreakBefore w:val="0"/>
        <w:kinsoku/>
        <w:wordWrap/>
        <w:overflowPunct/>
        <w:topLinePunct w:val="0"/>
        <w:bidi w:val="0"/>
        <w:spacing w:before="151" w:line="360" w:lineRule="auto"/>
        <w:ind w:left="711" w:right="1148"/>
        <w:textAlignment w:val="auto"/>
        <w:outlineLvl w:val="9"/>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eastAsia="zh-CN"/>
        </w:rPr>
        <w:t>本责任书的有效期为双方签署之日起至该项目养护期结束，并验收合格时止。</w:t>
      </w:r>
      <w:r>
        <w:rPr>
          <w:rFonts w:hint="eastAsia" w:ascii="宋体" w:hAnsi="宋体" w:eastAsia="宋体" w:cs="宋体"/>
          <w:b/>
          <w:color w:val="auto"/>
          <w:sz w:val="24"/>
          <w:szCs w:val="24"/>
          <w:highlight w:val="none"/>
          <w:lang w:eastAsia="zh-CN"/>
        </w:rPr>
        <w:t>第七条</w:t>
      </w:r>
    </w:p>
    <w:p w14:paraId="5E479DBA">
      <w:pPr>
        <w:pStyle w:val="17"/>
        <w:pageBreakBefore w:val="0"/>
        <w:kinsoku/>
        <w:wordWrap/>
        <w:overflowPunct/>
        <w:topLinePunct w:val="0"/>
        <w:bidi w:val="0"/>
        <w:spacing w:line="360" w:lineRule="auto"/>
        <w:ind w:left="711"/>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本责任书一式陆份，由甲乙双方各执叁份。</w:t>
      </w:r>
    </w:p>
    <w:p w14:paraId="7DC07048">
      <w:pPr>
        <w:pStyle w:val="17"/>
        <w:pageBreakBefore w:val="0"/>
        <w:kinsoku/>
        <w:wordWrap/>
        <w:overflowPunct/>
        <w:topLinePunct w:val="0"/>
        <w:bidi w:val="0"/>
        <w:spacing w:line="360" w:lineRule="auto"/>
        <w:textAlignment w:val="auto"/>
        <w:outlineLvl w:val="9"/>
        <w:rPr>
          <w:rFonts w:hint="eastAsia" w:ascii="宋体" w:hAnsi="宋体" w:eastAsia="宋体" w:cs="宋体"/>
          <w:color w:val="auto"/>
          <w:sz w:val="24"/>
          <w:szCs w:val="24"/>
          <w:highlight w:val="none"/>
          <w:lang w:eastAsia="zh-CN"/>
        </w:rPr>
      </w:pPr>
    </w:p>
    <w:p w14:paraId="73CBDE94">
      <w:pPr>
        <w:pageBreakBefore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p>
    <w:p w14:paraId="252D77F4">
      <w:pPr>
        <w:pStyle w:val="17"/>
        <w:pageBreakBefore w:val="0"/>
        <w:tabs>
          <w:tab w:val="left" w:pos="3406"/>
          <w:tab w:val="clear" w:pos="567"/>
        </w:tabs>
        <w:kinsoku/>
        <w:wordWrap/>
        <w:overflowPunct/>
        <w:topLinePunct w:val="0"/>
        <w:bidi w:val="0"/>
        <w:spacing w:line="360" w:lineRule="auto"/>
        <w:ind w:firstLine="468" w:firstLineChars="200"/>
        <w:textAlignment w:val="auto"/>
        <w:outlineLvl w:val="9"/>
        <w:rPr>
          <w:rFonts w:hint="eastAsia" w:ascii="宋体" w:hAnsi="宋体" w:eastAsia="宋体" w:cs="宋体"/>
          <w:color w:val="auto"/>
          <w:sz w:val="24"/>
          <w:szCs w:val="24"/>
          <w:highlight w:val="none"/>
          <w:lang w:eastAsia="zh-CN"/>
        </w:rPr>
      </w:pPr>
      <w:bookmarkStart w:id="845" w:name="_Hlk193656051"/>
      <w:r>
        <w:rPr>
          <w:rFonts w:hint="eastAsia" w:ascii="宋体" w:hAnsi="宋体" w:eastAsia="宋体" w:cs="宋体"/>
          <w:color w:val="auto"/>
          <w:spacing w:val="-3"/>
          <w:sz w:val="24"/>
          <w:szCs w:val="24"/>
          <w:highlight w:val="none"/>
          <w:lang w:eastAsia="zh-CN"/>
        </w:rPr>
        <w:t>甲方（</w:t>
      </w:r>
      <w:r>
        <w:rPr>
          <w:rFonts w:hint="eastAsia" w:ascii="宋体" w:hAnsi="宋体" w:eastAsia="宋体" w:cs="宋体"/>
          <w:color w:val="auto"/>
          <w:spacing w:val="-1"/>
          <w:sz w:val="24"/>
          <w:szCs w:val="24"/>
          <w:highlight w:val="none"/>
          <w:lang w:eastAsia="zh-CN"/>
        </w:rPr>
        <w:t>公</w:t>
      </w:r>
      <w:r>
        <w:rPr>
          <w:rFonts w:hint="eastAsia" w:ascii="宋体" w:hAnsi="宋体" w:eastAsia="宋体" w:cs="宋体"/>
          <w:color w:val="auto"/>
          <w:spacing w:val="-3"/>
          <w:sz w:val="24"/>
          <w:szCs w:val="24"/>
          <w:highlight w:val="none"/>
          <w:lang w:eastAsia="zh-CN"/>
        </w:rPr>
        <w:t>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乙方</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1"/>
          <w:sz w:val="24"/>
          <w:szCs w:val="24"/>
          <w:highlight w:val="none"/>
          <w:lang w:eastAsia="zh-CN"/>
        </w:rPr>
        <w:t>公</w:t>
      </w:r>
      <w:r>
        <w:rPr>
          <w:rFonts w:hint="eastAsia" w:ascii="宋体" w:hAnsi="宋体" w:eastAsia="宋体" w:cs="宋体"/>
          <w:color w:val="auto"/>
          <w:spacing w:val="-3"/>
          <w:sz w:val="24"/>
          <w:szCs w:val="24"/>
          <w:highlight w:val="none"/>
          <w:lang w:eastAsia="zh-CN"/>
        </w:rPr>
        <w:t>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 xml:space="preserve">                              </w:t>
      </w:r>
    </w:p>
    <w:p w14:paraId="3D5CD0AE">
      <w:pPr>
        <w:pStyle w:val="17"/>
        <w:pageBreakBefore w:val="0"/>
        <w:tabs>
          <w:tab w:val="left" w:pos="3406"/>
          <w:tab w:val="clear" w:pos="567"/>
        </w:tabs>
        <w:kinsoku/>
        <w:wordWrap/>
        <w:overflowPunct/>
        <w:topLinePunct w:val="0"/>
        <w:bidi w:val="0"/>
        <w:spacing w:line="360" w:lineRule="auto"/>
        <w:ind w:firstLine="476" w:firstLineChars="200"/>
        <w:textAlignment w:val="auto"/>
        <w:outlineLvl w:val="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法定</w:t>
      </w:r>
      <w:r>
        <w:rPr>
          <w:rFonts w:hint="eastAsia" w:ascii="宋体" w:hAnsi="宋体" w:eastAsia="宋体" w:cs="宋体"/>
          <w:color w:val="auto"/>
          <w:spacing w:val="-3"/>
          <w:sz w:val="24"/>
          <w:szCs w:val="24"/>
          <w:highlight w:val="none"/>
          <w:lang w:eastAsia="zh-CN"/>
        </w:rPr>
        <w:t>代</w:t>
      </w:r>
      <w:r>
        <w:rPr>
          <w:rFonts w:hint="eastAsia" w:ascii="宋体" w:hAnsi="宋体" w:eastAsia="宋体" w:cs="宋体"/>
          <w:color w:val="auto"/>
          <w:spacing w:val="-1"/>
          <w:sz w:val="24"/>
          <w:szCs w:val="24"/>
          <w:highlight w:val="none"/>
          <w:lang w:eastAsia="zh-CN"/>
        </w:rPr>
        <w:t>表</w:t>
      </w:r>
      <w:r>
        <w:rPr>
          <w:rFonts w:hint="eastAsia" w:ascii="宋体" w:hAnsi="宋体" w:eastAsia="宋体" w:cs="宋体"/>
          <w:color w:val="auto"/>
          <w:spacing w:val="-3"/>
          <w:sz w:val="24"/>
          <w:szCs w:val="24"/>
          <w:highlight w:val="none"/>
          <w:lang w:eastAsia="zh-CN"/>
        </w:rPr>
        <w:t>人</w:t>
      </w:r>
      <w:r>
        <w:rPr>
          <w:rFonts w:hint="eastAsia" w:ascii="宋体" w:hAnsi="宋体" w:eastAsia="宋体" w:cs="宋体"/>
          <w:color w:val="auto"/>
          <w:spacing w:val="-1"/>
          <w:sz w:val="24"/>
          <w:szCs w:val="24"/>
          <w:highlight w:val="none"/>
          <w:lang w:eastAsia="zh-CN"/>
        </w:rPr>
        <w:t xml:space="preserve">                                法定</w:t>
      </w:r>
      <w:r>
        <w:rPr>
          <w:rFonts w:hint="eastAsia" w:ascii="宋体" w:hAnsi="宋体" w:eastAsia="宋体" w:cs="宋体"/>
          <w:color w:val="auto"/>
          <w:spacing w:val="-3"/>
          <w:sz w:val="24"/>
          <w:szCs w:val="24"/>
          <w:highlight w:val="none"/>
          <w:lang w:eastAsia="zh-CN"/>
        </w:rPr>
        <w:t>代</w:t>
      </w:r>
      <w:r>
        <w:rPr>
          <w:rFonts w:hint="eastAsia" w:ascii="宋体" w:hAnsi="宋体" w:eastAsia="宋体" w:cs="宋体"/>
          <w:color w:val="auto"/>
          <w:spacing w:val="-1"/>
          <w:sz w:val="24"/>
          <w:szCs w:val="24"/>
          <w:highlight w:val="none"/>
          <w:lang w:eastAsia="zh-CN"/>
        </w:rPr>
        <w:t>表</w:t>
      </w:r>
      <w:r>
        <w:rPr>
          <w:rFonts w:hint="eastAsia" w:ascii="宋体" w:hAnsi="宋体" w:eastAsia="宋体" w:cs="宋体"/>
          <w:color w:val="auto"/>
          <w:spacing w:val="-3"/>
          <w:sz w:val="24"/>
          <w:szCs w:val="24"/>
          <w:highlight w:val="none"/>
          <w:lang w:eastAsia="zh-CN"/>
        </w:rPr>
        <w:t>人</w:t>
      </w:r>
    </w:p>
    <w:p w14:paraId="40A1C1DB">
      <w:pPr>
        <w:pStyle w:val="17"/>
        <w:pageBreakBefore w:val="0"/>
        <w:tabs>
          <w:tab w:val="left" w:pos="3406"/>
          <w:tab w:val="clear" w:pos="567"/>
        </w:tabs>
        <w:kinsoku/>
        <w:wordWrap/>
        <w:overflowPunct/>
        <w:topLinePunct w:val="0"/>
        <w:bidi w:val="0"/>
        <w:spacing w:line="360" w:lineRule="auto"/>
        <w:ind w:firstLine="468"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或</w:t>
      </w:r>
      <w:r>
        <w:rPr>
          <w:rFonts w:hint="eastAsia" w:ascii="宋体" w:hAnsi="宋体" w:eastAsia="宋体" w:cs="宋体"/>
          <w:color w:val="auto"/>
          <w:spacing w:val="-1"/>
          <w:sz w:val="24"/>
          <w:szCs w:val="24"/>
          <w:highlight w:val="none"/>
          <w:lang w:eastAsia="zh-CN"/>
        </w:rPr>
        <w:t>委托代理人</w:t>
      </w:r>
      <w:r>
        <w:rPr>
          <w:rFonts w:hint="eastAsia" w:ascii="宋体" w:hAnsi="宋体" w:eastAsia="宋体" w:cs="宋体"/>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lang w:eastAsia="zh-CN"/>
        </w:rPr>
        <w:t>（签字或盖章）</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或委托代理人</w:t>
      </w:r>
      <w:r>
        <w:rPr>
          <w:rFonts w:hint="eastAsia" w:ascii="宋体" w:hAnsi="宋体" w:eastAsia="宋体" w:cs="宋体"/>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lang w:eastAsia="zh-CN"/>
        </w:rPr>
        <w:t>（签字或盖章）</w:t>
      </w:r>
      <w:r>
        <w:rPr>
          <w:rFonts w:hint="eastAsia" w:ascii="宋体" w:hAnsi="宋体" w:eastAsia="宋体" w:cs="宋体"/>
          <w:color w:val="auto"/>
          <w:sz w:val="24"/>
          <w:szCs w:val="24"/>
          <w:highlight w:val="none"/>
          <w:u w:val="single"/>
          <w:lang w:eastAsia="zh-CN"/>
        </w:rPr>
        <w:t xml:space="preserve">          </w:t>
      </w:r>
    </w:p>
    <w:p w14:paraId="3BC90C97">
      <w:pPr>
        <w:pStyle w:val="17"/>
        <w:pageBreakBefore w:val="0"/>
        <w:tabs>
          <w:tab w:val="left" w:pos="3387"/>
          <w:tab w:val="clear" w:pos="567"/>
        </w:tabs>
        <w:kinsoku/>
        <w:wordWrap/>
        <w:overflowPunct/>
        <w:topLinePunct w:val="0"/>
        <w:bidi w:val="0"/>
        <w:spacing w:line="360" w:lineRule="auto"/>
        <w:ind w:firstLine="476" w:firstLineChars="200"/>
        <w:textAlignment w:val="auto"/>
        <w:outlineLvl w:val="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签订时间：</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年</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月</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日              签订时间：</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年</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月</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日</w:t>
      </w:r>
    </w:p>
    <w:bookmarkEnd w:id="845"/>
    <w:p w14:paraId="34A57A37">
      <w:pPr>
        <w:pageBreakBefore w:val="0"/>
        <w:kinsoku/>
        <w:wordWrap/>
        <w:overflowPunct/>
        <w:topLinePunct w:val="0"/>
        <w:bidi w:val="0"/>
        <w:spacing w:before="57" w:line="360" w:lineRule="auto"/>
        <w:ind w:left="0"/>
        <w:textAlignment w:val="auto"/>
        <w:outlineLvl w:val="9"/>
        <w:rPr>
          <w:rFonts w:hint="eastAsia" w:ascii="宋体" w:hAnsi="宋体" w:eastAsia="宋体" w:cs="宋体"/>
          <w:color w:val="auto"/>
          <w:sz w:val="24"/>
          <w:szCs w:val="24"/>
          <w:highlight w:val="none"/>
          <w:lang w:eastAsia="zh-CN"/>
        </w:rPr>
      </w:pPr>
    </w:p>
    <w:p w14:paraId="63FCD429">
      <w:pPr>
        <w:pStyle w:val="17"/>
        <w:pageBreakBefore w:val="0"/>
        <w:kinsoku/>
        <w:wordWrap/>
        <w:overflowPunct/>
        <w:topLinePunct w:val="0"/>
        <w:bidi w:val="0"/>
        <w:spacing w:line="360" w:lineRule="auto"/>
        <w:textAlignment w:val="auto"/>
        <w:outlineLvl w:val="9"/>
        <w:rPr>
          <w:rFonts w:hint="eastAsia" w:ascii="宋体" w:hAnsi="宋体" w:eastAsia="宋体" w:cs="宋体"/>
          <w:color w:val="auto"/>
          <w:sz w:val="24"/>
          <w:szCs w:val="24"/>
          <w:highlight w:val="none"/>
          <w:lang w:eastAsia="zh-CN"/>
        </w:rPr>
      </w:pPr>
    </w:p>
    <w:p w14:paraId="0880539A">
      <w:pPr>
        <w:pStyle w:val="17"/>
        <w:pageBreakBefore w:val="0"/>
        <w:kinsoku/>
        <w:wordWrap/>
        <w:overflowPunct/>
        <w:topLinePunct w:val="0"/>
        <w:bidi w:val="0"/>
        <w:spacing w:line="360" w:lineRule="auto"/>
        <w:textAlignment w:val="auto"/>
        <w:outlineLvl w:val="9"/>
        <w:rPr>
          <w:rFonts w:hint="eastAsia" w:ascii="宋体" w:hAnsi="宋体" w:eastAsia="宋体" w:cs="宋体"/>
          <w:color w:val="auto"/>
          <w:sz w:val="24"/>
          <w:szCs w:val="24"/>
          <w:highlight w:val="none"/>
          <w:lang w:eastAsia="zh-CN"/>
        </w:rPr>
      </w:pPr>
    </w:p>
    <w:p w14:paraId="51775DA1">
      <w:pPr>
        <w:pageBreakBefore w:val="0"/>
        <w:kinsoku/>
        <w:wordWrap/>
        <w:overflowPunct/>
        <w:topLinePunct w:val="0"/>
        <w:bidi w:val="0"/>
        <w:spacing w:line="360" w:lineRule="auto"/>
        <w:textAlignment w:val="auto"/>
        <w:outlineLvl w:val="9"/>
        <w:rPr>
          <w:rFonts w:hint="eastAsia" w:ascii="宋体" w:hAnsi="宋体" w:eastAsia="宋体" w:cs="宋体"/>
          <w:color w:val="auto"/>
          <w:sz w:val="24"/>
          <w:szCs w:val="24"/>
          <w:highlight w:val="none"/>
          <w:lang w:eastAsia="zh-CN"/>
        </w:rPr>
        <w:sectPr>
          <w:pgSz w:w="11910" w:h="16840"/>
          <w:pgMar w:top="1480" w:right="1480" w:bottom="1000" w:left="1418" w:header="0" w:footer="808" w:gutter="0"/>
          <w:pgNumType w:fmt="decimal"/>
          <w:cols w:space="720" w:num="1"/>
        </w:sectPr>
      </w:pPr>
    </w:p>
    <w:p w14:paraId="33DB5A81">
      <w:pPr>
        <w:pStyle w:val="4"/>
        <w:pageBreakBefore w:val="0"/>
        <w:kinsoku/>
        <w:wordWrap/>
        <w:overflowPunct/>
        <w:topLinePunct w:val="0"/>
        <w:bidi w:val="0"/>
        <w:spacing w:line="360" w:lineRule="auto"/>
        <w:ind w:left="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eastAsia="zh-CN"/>
        </w:rPr>
        <w:t>附件二：</w:t>
      </w:r>
    </w:p>
    <w:p w14:paraId="71D5D386">
      <w:pPr>
        <w:pageBreakBefore w:val="0"/>
        <w:kinsoku/>
        <w:wordWrap/>
        <w:overflowPunct/>
        <w:topLinePunct w:val="0"/>
        <w:bidi w:val="0"/>
        <w:spacing w:line="360" w:lineRule="auto"/>
        <w:ind w:left="221"/>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安全生产责任书</w:t>
      </w:r>
    </w:p>
    <w:p w14:paraId="2A9FE262">
      <w:pPr>
        <w:pageBreakBefore w:val="0"/>
        <w:kinsoku/>
        <w:wordWrap/>
        <w:overflowPunct/>
        <w:topLinePunct w:val="0"/>
        <w:bidi w:val="0"/>
        <w:adjustRightInd w:val="0"/>
        <w:snapToGrid w:val="0"/>
        <w:spacing w:line="360" w:lineRule="auto"/>
        <w:ind w:right="79"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为确保贯彻落实“安全第一、预防为主、综合治理”的安全生产方针，确保工程全工期无任何安全事故，我单位北京市绿地养护管理事务中心与</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签订如下安全责任：</w:t>
      </w:r>
    </w:p>
    <w:p w14:paraId="090A9992">
      <w:pPr>
        <w:pageBreakBefore w:val="0"/>
        <w:kinsoku/>
        <w:wordWrap/>
        <w:overflowPunct/>
        <w:topLinePunct w:val="0"/>
        <w:bidi w:val="0"/>
        <w:snapToGrid w:val="0"/>
        <w:spacing w:line="360" w:lineRule="auto"/>
        <w:ind w:firstLine="482"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一、安全生产主体责任</w:t>
      </w:r>
    </w:p>
    <w:p w14:paraId="6EB37EAF">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第一条 制定乙方单位安全生产责任制和消防安全责任制，明确各岗位的责任人员、责任范围和考核标准等内容,建立综合应急预案，配备应急人员。项目经理、技术负责人、班组长、安全员等相关人员职责责任到人。坚决杜绝生产安全事故、机械事故、火灾事故、触电事故、管线事故、食物中毒事故发生。</w:t>
      </w:r>
    </w:p>
    <w:p w14:paraId="67817651">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第二条 与管理单位或相关管理部门（科室）签订施工安全责任书，规定各自的安全生产管理职责。</w:t>
      </w:r>
    </w:p>
    <w:p w14:paraId="3FFFAD71">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第三条 严格履行安全生产主体责任及消防安全主体责任，遵守相关法律法规，确保施工安全。</w:t>
      </w:r>
    </w:p>
    <w:p w14:paraId="6EEA6AC0">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第四条 建立健全现场安全、运输环节安全、土石方工程安全、用电安全、消防安全、各类机械安全等安全作业制度。</w:t>
      </w:r>
    </w:p>
    <w:p w14:paraId="507C0455">
      <w:pPr>
        <w:pageBreakBefore w:val="0"/>
        <w:kinsoku/>
        <w:wordWrap/>
        <w:overflowPunct/>
        <w:topLinePunct w:val="0"/>
        <w:bidi w:val="0"/>
        <w:snapToGrid w:val="0"/>
        <w:spacing w:line="360" w:lineRule="auto"/>
        <w:ind w:firstLine="482"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二、劳动防护</w:t>
      </w:r>
    </w:p>
    <w:p w14:paraId="7AD7CCAC">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第五条 全面配发安全劳动防护用品，为作业人员配备统一的作业服装、足量配发合格的劳动防护用品。教育、督促施工作业人员正确佩戴劳动防护用品；建立劳动防护用品发放记录。</w:t>
      </w:r>
    </w:p>
    <w:p w14:paraId="749DA582">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第六条 做好食品安全、防暑降温等各项劳动保护措施，严防高温作业事故及食品安全事故的发生，确保施工人员人身安全。</w:t>
      </w:r>
    </w:p>
    <w:p w14:paraId="2B59821D">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第七条 为施工作业人员办理意外伤害保险。</w:t>
      </w:r>
    </w:p>
    <w:p w14:paraId="21B02FFC">
      <w:pPr>
        <w:pageBreakBefore w:val="0"/>
        <w:kinsoku/>
        <w:wordWrap/>
        <w:overflowPunct/>
        <w:topLinePunct w:val="0"/>
        <w:bidi w:val="0"/>
        <w:snapToGrid w:val="0"/>
        <w:spacing w:line="360" w:lineRule="auto"/>
        <w:ind w:firstLine="482"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三、安全教育</w:t>
      </w:r>
    </w:p>
    <w:p w14:paraId="21EF7DFD">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第八条 作业人员入场作业前进行班前安全教育，严格按照操作规程开展施工作业，教育要有具体内容并形成教育记录。严禁违章指挥、违章作业、冒险作业。严格履行特种作业人员持证上岗制度，严禁无证上岗作业。</w:t>
      </w:r>
    </w:p>
    <w:p w14:paraId="25B484B6">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第九条 新入职工人进行三级（公司、作业项目、班组）安全教育，培训时间不得少于24学时，有记录可查。</w:t>
      </w:r>
    </w:p>
    <w:p w14:paraId="0D1495A7">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第十条 对施工作业管理人员、专职安全员进行安全生产法规和业务知识培训，并考核合格。施工作业现场在新工艺、新技术、新材料、新设备设施投入使用前，对有关操作人员进行专门的安全教育和培训。施工作业岗位人员转岗、离岗6个月以上重新上岗者，进行项目、班组安全教育培训，不得少于4学时。 </w:t>
      </w:r>
    </w:p>
    <w:p w14:paraId="3307B345">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第十一条 每周召开安全生产例会。明确会议的主要目的和基本要求；明确会议的参加人员；明确会议的主要议程和内容；明确会议研究、部署安全生产工作，解决安全生产问题的方法和措施；确定会议记录保存期限。</w:t>
      </w:r>
    </w:p>
    <w:p w14:paraId="7508B140">
      <w:pPr>
        <w:pageBreakBefore w:val="0"/>
        <w:kinsoku/>
        <w:wordWrap/>
        <w:overflowPunct/>
        <w:topLinePunct w:val="0"/>
        <w:bidi w:val="0"/>
        <w:snapToGrid w:val="0"/>
        <w:spacing w:line="360" w:lineRule="auto"/>
        <w:ind w:firstLine="482"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四、安全检查</w:t>
      </w:r>
    </w:p>
    <w:p w14:paraId="366D8608">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第十二条 根据作业特点明确安全隐患排查的时间、程序、方法、范围和建档要求；明确排查责任人；明确隐患治理整改过程中的技术防范措施；建立隐患排查台帐；明确隐患整改完成后的报告要求。</w:t>
      </w:r>
    </w:p>
    <w:p w14:paraId="14BCA4E7">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第十三条 根据施工作业特点制定安全检查制度并认真实施。施工作业现场设立现场安全管理人员和现场安全监护人员。</w:t>
      </w:r>
    </w:p>
    <w:p w14:paraId="03972ADE">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第十四条 安全员应尽职尽责，及时发现并制止违章指挥、违章作业、强令冒险作业、盲目施救等行为。每日开展安全巡查检查，加强施工作业人员日常安全管理，及时消除各类安全隐患，对各施工人员、施工车辆和机械驾驶员做到经常提醒安全施工，预防各类安全生产事故的发生，有记录可查。</w:t>
      </w:r>
    </w:p>
    <w:p w14:paraId="46BF3598">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第十五条 针对施工作业内容制定切实可行的施工事故应急方案或现场应急处置方案，包括但不限于：消防、交通、触电、中暑、高空坠落等，并进行演练。</w:t>
      </w:r>
    </w:p>
    <w:p w14:paraId="19B3CCF0">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第十六条 建立值班制度。明确值班的岗位；明确值班岗位（人员）的职责；明确值班岗位（人员）值班工作规程和基本要求。 </w:t>
      </w:r>
    </w:p>
    <w:p w14:paraId="60776997">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第十七条 如果发生安全生产事故，确保第一时间组织相关力量科学合理开展救援，同时向管理单位上报安全生产事故情况。</w:t>
      </w:r>
    </w:p>
    <w:p w14:paraId="0B4B20E9">
      <w:pPr>
        <w:pageBreakBefore w:val="0"/>
        <w:kinsoku/>
        <w:wordWrap/>
        <w:overflowPunct/>
        <w:topLinePunct w:val="0"/>
        <w:bidi w:val="0"/>
        <w:snapToGrid w:val="0"/>
        <w:spacing w:line="360" w:lineRule="auto"/>
        <w:ind w:firstLine="482"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五、施工安全</w:t>
      </w:r>
    </w:p>
    <w:p w14:paraId="6A8ED5E6">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第十八条 确保所有工序按建筑法和设计图纸以及监理单位要求施工。对涉及变更等工程施工，必须先行报告管理单位，按审核批准的施工图纸施工并编制好施工组织设计和安全施工方案。施工作业组织设计中须包含安全措施，并经过公司级审批。施工作业前按项目进行书面安全技术交底并履行双方签字手续。 </w:t>
      </w:r>
    </w:p>
    <w:p w14:paraId="68B3CB40">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第十九条 对施工作业现场危险源进行辨识并登记造册并做好各项安全防护措施及应急预案，如：高处坠落；物体打击；坍塌；机械伤害；起重伤害；中毒和窒息；触电；有限空间；火灾；粉尘；噪声；地上高压线、地下管线；突发性灾害天气；水源地污染；特种设备等。</w:t>
      </w:r>
    </w:p>
    <w:p w14:paraId="606E5A91">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第二十条 确保施工作业现场安全防护措施到位，安全警示标识张贴齐全，严格履行电工作业、动火作业等施工作业的审批手续，做好施工作业现场各项安全监护措施，相关作业人员必须取得相应的操作证件，严禁无证操作。施工作业现场至少配备2名以上的安全管理人员，负责施工作业现场安全监护、安全管理及应急处置。</w:t>
      </w:r>
    </w:p>
    <w:p w14:paraId="69BCE41C">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第二十一条 合理安排好施工作业棚，材料堆放的位置。工地材料，设备的堆放，整齐稳固，拆除的模板，边角废料等及时消除。严禁出现“三合一”、“多合一”场所。施工作业现场内危险地段的坑、井、沟、陡坡、线路等设置“危险”或“禁止通行”的标志，夜间设红灯信号。</w:t>
      </w:r>
    </w:p>
    <w:p w14:paraId="087B1C5B">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第二十二条 施工作业现场道路保持畅通，对施工作业现场可能影响往来行人安全地段设立明显的安全警示标记。夜间施工有足够照明，用电线路架设符合电气规程要求。</w:t>
      </w:r>
    </w:p>
    <w:p w14:paraId="257B5A16">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第二十三条 施工作业现场饮食卫生符合有关法律法规的规定。</w:t>
      </w:r>
    </w:p>
    <w:p w14:paraId="187505EB">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第二十四条 施工作业现场电气设备的设置、安装、防护、使用、维修符合规范要求。长期固定的配电设备设施管理按相关规定执行。</w:t>
      </w:r>
    </w:p>
    <w:p w14:paraId="73E3A5E6">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第二十五条 施工作业现场按规定配置相关消防设施，并进行定期检查和维护保养；消防设施和器材设在明显、便于取用的地点；手提式灭火器放置在灭火器箱内或挂在托架上，其顶部离地面高度不应大于1.5米；定期组织消防演练并留存资料。 </w:t>
      </w:r>
    </w:p>
    <w:p w14:paraId="34A9A102">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第二十六条 进行有限空间作业制定安全管理制度和操作规程，履行作业审批手续，做好施工作业现场安全监护。作业场所有限空间包括但不限于：深度超过1.2米的各种井体；挖掘深度超过1.5米的沟槽；大树土球入坑未回填前狭小空间；温室、地下泵房、沼气池、蓄水池等。</w:t>
      </w:r>
    </w:p>
    <w:p w14:paraId="2CFE7344">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第二十七条 施工现场建立“五牌二图”文明施工。包括：工程概况牌、安全生产牌、消防保卫牌、事故统计牌、文明施工作业牌、组织机构图、施工作业总平面图。</w:t>
      </w:r>
    </w:p>
    <w:p w14:paraId="636894AD">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第二十八条 施工作业现场办公区、生活区等场所的设置、使用的材料、人均使用面积、逃生通道等符合相关法律法规标准，包括但不限于：</w:t>
      </w:r>
      <w:r>
        <w:rPr>
          <w:rFonts w:hint="eastAsia" w:ascii="宋体" w:hAnsi="宋体" w:eastAsia="宋体" w:cs="宋体"/>
          <w:color w:val="auto"/>
          <w:sz w:val="24"/>
          <w:szCs w:val="24"/>
          <w:highlight w:val="none"/>
          <w:shd w:val="clear" w:color="auto" w:fill="FFFFFF"/>
          <w:lang w:eastAsia="zh-CN"/>
        </w:rPr>
        <w:t>《中华人民共和国建筑法》、</w:t>
      </w:r>
      <w:r>
        <w:rPr>
          <w:rFonts w:hint="eastAsia" w:ascii="宋体" w:hAnsi="宋体" w:eastAsia="宋体" w:cs="宋体"/>
          <w:bCs/>
          <w:color w:val="auto"/>
          <w:sz w:val="24"/>
          <w:szCs w:val="24"/>
          <w:highlight w:val="none"/>
          <w:lang w:eastAsia="zh-CN"/>
        </w:rPr>
        <w:t>《中华人民共和国消防法》、</w:t>
      </w:r>
      <w:r>
        <w:rPr>
          <w:rFonts w:hint="eastAsia" w:ascii="宋体" w:hAnsi="宋体" w:eastAsia="宋体" w:cs="宋体"/>
          <w:color w:val="auto"/>
          <w:sz w:val="24"/>
          <w:szCs w:val="24"/>
          <w:highlight w:val="none"/>
          <w:shd w:val="clear" w:color="auto" w:fill="FFFFFF"/>
          <w:lang w:eastAsia="zh-CN"/>
        </w:rPr>
        <w:t>《中华人民共和国</w:t>
      </w:r>
      <w:r>
        <w:rPr>
          <w:rFonts w:hint="eastAsia" w:ascii="宋体" w:hAnsi="宋体" w:eastAsia="宋体" w:cs="宋体"/>
          <w:color w:val="auto"/>
          <w:sz w:val="24"/>
          <w:szCs w:val="24"/>
          <w:highlight w:val="none"/>
          <w:lang w:eastAsia="zh-CN"/>
        </w:rPr>
        <w:t>安全生产</w:t>
      </w:r>
      <w:r>
        <w:rPr>
          <w:rFonts w:hint="eastAsia" w:ascii="宋体" w:hAnsi="宋体" w:eastAsia="宋体" w:cs="宋体"/>
          <w:color w:val="auto"/>
          <w:sz w:val="24"/>
          <w:szCs w:val="24"/>
          <w:highlight w:val="none"/>
          <w:shd w:val="clear" w:color="auto" w:fill="FFFFFF"/>
          <w:lang w:eastAsia="zh-CN"/>
        </w:rPr>
        <w:t>法》、《建设工程施工作业现场消防安全技术规范》、《建筑施工安全检查标准》、《建筑施工作业现场环境与卫生标准》、《施工作业现场临时建筑物技术规范》、《</w:t>
      </w:r>
      <w:r>
        <w:rPr>
          <w:rFonts w:hint="eastAsia" w:ascii="宋体" w:hAnsi="宋体" w:eastAsia="宋体" w:cs="宋体"/>
          <w:color w:val="auto"/>
          <w:sz w:val="24"/>
          <w:szCs w:val="24"/>
          <w:highlight w:val="none"/>
          <w:lang w:eastAsia="zh-CN"/>
        </w:rPr>
        <w:t>建设工程安全生产管理条例</w:t>
      </w:r>
      <w:r>
        <w:rPr>
          <w:rFonts w:hint="eastAsia" w:ascii="宋体" w:hAnsi="宋体" w:eastAsia="宋体" w:cs="宋体"/>
          <w:color w:val="auto"/>
          <w:sz w:val="24"/>
          <w:szCs w:val="24"/>
          <w:highlight w:val="none"/>
          <w:shd w:val="clear" w:color="auto" w:fill="FFFFFF"/>
          <w:lang w:eastAsia="zh-CN"/>
        </w:rPr>
        <w:t>》等</w:t>
      </w:r>
      <w:r>
        <w:rPr>
          <w:rFonts w:hint="eastAsia" w:ascii="宋体" w:hAnsi="宋体" w:eastAsia="宋体" w:cs="宋体"/>
          <w:color w:val="auto"/>
          <w:sz w:val="24"/>
          <w:szCs w:val="24"/>
          <w:highlight w:val="none"/>
          <w:lang w:eastAsia="zh-CN"/>
        </w:rPr>
        <w:t>，管理责任必须落实到人。</w:t>
      </w:r>
    </w:p>
    <w:p w14:paraId="11CD74D4">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第二十九条 施工作业现场严格遵守下列管理规定：</w:t>
      </w:r>
    </w:p>
    <w:p w14:paraId="389E459B">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（一）市区主要路段的工地设置高度不小于 2.5m 的封闭围挡；一般路段的工地设置高度不小于 1.8m 的封闭围挡；</w:t>
      </w:r>
    </w:p>
    <w:p w14:paraId="7E921CD3">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（二）围挡应坚固、稳定、整洁、美观。施工作业现场进出口设置大门，并设置门卫值班室；建立门卫职守管理制度，并配备门卫职守人员；施工人员进入施工作业现场佩戴工作卡；</w:t>
      </w:r>
    </w:p>
    <w:p w14:paraId="48187CB7">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（三）施工作业现场出入口标有企业名称或标识，并设置车辆冲洗设施。施工作业现场的主要道路及材料加工区地面进行硬化处理；</w:t>
      </w:r>
    </w:p>
    <w:p w14:paraId="39616410">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（四）施工作业现场道路畅通，路面应平整坚实；</w:t>
      </w:r>
    </w:p>
    <w:p w14:paraId="2A6025D0">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（五）施工作业现场有防止扬尘措施；</w:t>
      </w:r>
    </w:p>
    <w:p w14:paraId="341902AA">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（六）施工作业现场设置排水设施，且排水通畅无积水；</w:t>
      </w:r>
    </w:p>
    <w:p w14:paraId="192DAB16">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（七）施工作业现场有防止泥浆、污水、废水污染环境的措施；</w:t>
      </w:r>
    </w:p>
    <w:p w14:paraId="66C87ECA">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（八）施工作业现场设置专门的吸烟处，严禁随意吸烟。建筑材料、构件、料具按总平面布局进行码放；</w:t>
      </w:r>
    </w:p>
    <w:p w14:paraId="751BDA71">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（九）材料应码放整齐，并应标明名称、规格等；施工作业现场材料码放采取防火、防锈蚀、防雨等措施；</w:t>
      </w:r>
    </w:p>
    <w:p w14:paraId="1C115003">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（十）建筑物内施工垃圾的清运，采用器具或管道运输，严禁随意抛掷；</w:t>
      </w:r>
    </w:p>
    <w:p w14:paraId="3C5ED1A5">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（十一）易燃易爆物品分类储藏在专用库房内，并制定防火措施。施工作业、材料存放区与办公、生活区应划分清晰，并采取相应的隔离措施；</w:t>
      </w:r>
    </w:p>
    <w:p w14:paraId="4E6D7AB9">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（十二）在施工程、伙房、库房不得兼做宿舍；</w:t>
      </w:r>
    </w:p>
    <w:p w14:paraId="64123320">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（十三）宿舍、办公用房的防火等级符合规范要求；</w:t>
      </w:r>
    </w:p>
    <w:p w14:paraId="09BD1018">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（十四）宿舍设置可开启式窗户，床铺不超过 2 层，通道宽度不小于 0.9m；宿舍内住宿人员人均面积不小于 2.5 ㎡，且不超过 16 人；冬季宿舍内有采暖和防一氧化碳中毒措施,严禁是用煤采暖、电热毯，严禁使用“小太阳”等不合格电暖设备。夏季宿舍内有防暑降温和防蚊蝇措施；生活用品摆放整齐，环境卫生良好。</w:t>
      </w:r>
    </w:p>
    <w:p w14:paraId="33AA933C">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（十五）施工作业现场建立消防安全管理制度、制定消防措施；施工作业现场临时用房和作业场所的防火设计符合规范要求；</w:t>
      </w:r>
    </w:p>
    <w:p w14:paraId="20FF7FAD">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（十六）施工作业现场设置消防通道、消防水源，并应符合规范要求；</w:t>
      </w:r>
    </w:p>
    <w:p w14:paraId="08E897D5">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（十七）施工作业现场灭火器材保证可靠有效，布局配置符合规范要求；</w:t>
      </w:r>
    </w:p>
    <w:p w14:paraId="74452B05">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（十八）明火作业履行动火审批手续，配备动火监护人员。食堂与厕所、垃圾站、有毒有害场所等污染源的距离符合规范要求；</w:t>
      </w:r>
    </w:p>
    <w:p w14:paraId="416966BF">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（十九）食堂有卫生许可证，炊事人员持身体健康证上岗；食堂使用的燃气罐单独设置存放间，存放间通风良好，并严禁存放其它物品；</w:t>
      </w:r>
    </w:p>
    <w:p w14:paraId="2F65AB08">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（二十）食堂的卫生环境良好，且配备必要的排风、冷藏、消毒、防鼠、防蚊蝇等设施；厕所内的设施数量和布局符合规范要求；</w:t>
      </w:r>
    </w:p>
    <w:p w14:paraId="606E9CF5">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（二十一）厕所符合卫生要求；保证现场人员卫生饮水；生活垃圾装入密闭式容器内，及时清理。</w:t>
      </w:r>
    </w:p>
    <w:p w14:paraId="4BB4545E">
      <w:pPr>
        <w:pageBreakBefore w:val="0"/>
        <w:kinsoku/>
        <w:wordWrap/>
        <w:overflowPunct/>
        <w:topLinePunct w:val="0"/>
        <w:bidi w:val="0"/>
        <w:snapToGrid w:val="0"/>
        <w:spacing w:line="360" w:lineRule="auto"/>
        <w:ind w:firstLine="482"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六、机械作业</w:t>
      </w:r>
    </w:p>
    <w:p w14:paraId="7AFE14CB">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第三十条 机械作业时，有人现场统一指挥作业，设置现场安全员监护人员。</w:t>
      </w:r>
    </w:p>
    <w:p w14:paraId="4D216771">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第三十一条 各种机械的操作使用，按机械本身的操作规程执行。不得破坏施工沿线所有桥涵、道路、原有的下水管道以及所有电线电缆等设施。</w:t>
      </w:r>
    </w:p>
    <w:p w14:paraId="712559FA">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第三十二条 驾驶人员作业前对机械、安全制动装置详细检查，确保安全可靠，所有机械驾驶人员持证上岗。</w:t>
      </w:r>
    </w:p>
    <w:p w14:paraId="364023AB">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第三十三条 自有土方施工作业机械有相关管理制度；租赁土方施工作业机械从正规公司租赁，签订安全管理协议；操作人员持证上岗；按操作规程作业。</w:t>
      </w:r>
    </w:p>
    <w:p w14:paraId="4D4F4F04">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第三十四条 电动工具明确设施和设备管理部门人员的职责；制定设备、设施的运行、维护、保养措施；制定设备定期检验制度；明确设备的淘汰年限。</w:t>
      </w:r>
    </w:p>
    <w:p w14:paraId="47C56987">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第三十五条 电气焊、电工、吊车、铲车、挖掘机等特种作业人员持证上岗，履行作业审批手续,设置现场安全员、做好施工作业现场安全防火措施和安全监护，严禁违章指挥、违章作业、强令冒险作业。</w:t>
      </w:r>
    </w:p>
    <w:p w14:paraId="11E9FC94">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第三十六条 电工作业持《北京市特种作业操作证》（外埠来京从事电工作业的人员，必须持原所在地地（市）级以上劳动保护安全监察机关核发的特种作业证明，并申请换领《北京市特种作业临时操作证》方准上岗独立操作。</w:t>
      </w:r>
    </w:p>
    <w:p w14:paraId="52CF33E2">
      <w:pPr>
        <w:pageBreakBefore w:val="0"/>
        <w:kinsoku/>
        <w:wordWrap/>
        <w:overflowPunct/>
        <w:topLinePunct w:val="0"/>
        <w:bidi w:val="0"/>
        <w:snapToGrid w:val="0"/>
        <w:spacing w:line="360" w:lineRule="auto"/>
        <w:ind w:firstLine="482"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七、附则</w:t>
      </w:r>
    </w:p>
    <w:p w14:paraId="04CBB5F4">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第三十七条 乙方单位确保认真组织好施工期间的安全预防工作，确保施工期内无任何安全事故，因乙方单位未落实安全生产主体责任及消防安全主体责任或因违反相关法律法规而造成事故的，由乙方单位负全责。</w:t>
      </w:r>
    </w:p>
    <w:p w14:paraId="53E495EB">
      <w:pPr>
        <w:pageBreakBefore w:val="0"/>
        <w:kinsoku/>
        <w:wordWrap/>
        <w:overflowPunct/>
        <w:topLinePunct w:val="0"/>
        <w:bidi w:val="0"/>
        <w:snapToGrid w:val="0"/>
        <w:spacing w:line="360" w:lineRule="auto"/>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color w:val="auto"/>
          <w:sz w:val="24"/>
          <w:szCs w:val="24"/>
          <w:highlight w:val="none"/>
          <w:lang w:eastAsia="zh-CN"/>
        </w:rPr>
        <w:t>第三十八条 上述所有条款本单</w:t>
      </w:r>
      <w:r>
        <w:rPr>
          <w:rFonts w:hint="eastAsia" w:ascii="宋体" w:hAnsi="宋体" w:eastAsia="宋体" w:cs="宋体"/>
          <w:b/>
          <w:bCs/>
          <w:color w:val="auto"/>
          <w:sz w:val="24"/>
          <w:szCs w:val="24"/>
          <w:highlight w:val="none"/>
          <w:lang w:eastAsia="zh-CN"/>
        </w:rPr>
        <w:t>已详细阅读并同意条款内容，确保严格执行条款内容。</w:t>
      </w:r>
    </w:p>
    <w:p w14:paraId="143862A6">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第三十九条 本责任书由北京市绿地养护管理事务中心负责全权解释。</w:t>
      </w:r>
    </w:p>
    <w:p w14:paraId="098603E3">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第四十条 责任书自签订之日起生效。</w:t>
      </w:r>
    </w:p>
    <w:p w14:paraId="36682A60">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第四十一条 本责任书一式陆份，甲乙双方各执叁份。</w:t>
      </w:r>
    </w:p>
    <w:p w14:paraId="7BA7B3C4">
      <w:pPr>
        <w:pStyle w:val="17"/>
        <w:pageBreakBefore w:val="0"/>
        <w:tabs>
          <w:tab w:val="left" w:pos="3406"/>
          <w:tab w:val="clear" w:pos="567"/>
        </w:tabs>
        <w:kinsoku/>
        <w:wordWrap/>
        <w:overflowPunct/>
        <w:topLinePunct w:val="0"/>
        <w:bidi w:val="0"/>
        <w:spacing w:line="360" w:lineRule="auto"/>
        <w:ind w:firstLine="468"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甲方（</w:t>
      </w:r>
      <w:r>
        <w:rPr>
          <w:rFonts w:hint="eastAsia" w:ascii="宋体" w:hAnsi="宋体" w:eastAsia="宋体" w:cs="宋体"/>
          <w:color w:val="auto"/>
          <w:spacing w:val="-1"/>
          <w:sz w:val="24"/>
          <w:szCs w:val="24"/>
          <w:highlight w:val="none"/>
          <w:lang w:eastAsia="zh-CN"/>
        </w:rPr>
        <w:t>公</w:t>
      </w:r>
      <w:r>
        <w:rPr>
          <w:rFonts w:hint="eastAsia" w:ascii="宋体" w:hAnsi="宋体" w:eastAsia="宋体" w:cs="宋体"/>
          <w:color w:val="auto"/>
          <w:spacing w:val="-3"/>
          <w:sz w:val="24"/>
          <w:szCs w:val="24"/>
          <w:highlight w:val="none"/>
          <w:lang w:eastAsia="zh-CN"/>
        </w:rPr>
        <w:t>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乙方</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1"/>
          <w:sz w:val="24"/>
          <w:szCs w:val="24"/>
          <w:highlight w:val="none"/>
          <w:lang w:eastAsia="zh-CN"/>
        </w:rPr>
        <w:t>公</w:t>
      </w:r>
      <w:r>
        <w:rPr>
          <w:rFonts w:hint="eastAsia" w:ascii="宋体" w:hAnsi="宋体" w:eastAsia="宋体" w:cs="宋体"/>
          <w:color w:val="auto"/>
          <w:spacing w:val="-3"/>
          <w:sz w:val="24"/>
          <w:szCs w:val="24"/>
          <w:highlight w:val="none"/>
          <w:lang w:eastAsia="zh-CN"/>
        </w:rPr>
        <w:t>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 xml:space="preserve">                              </w:t>
      </w:r>
    </w:p>
    <w:p w14:paraId="7029F14B">
      <w:pPr>
        <w:pStyle w:val="17"/>
        <w:pageBreakBefore w:val="0"/>
        <w:tabs>
          <w:tab w:val="left" w:pos="3406"/>
          <w:tab w:val="clear" w:pos="567"/>
        </w:tabs>
        <w:kinsoku/>
        <w:wordWrap/>
        <w:overflowPunct/>
        <w:topLinePunct w:val="0"/>
        <w:bidi w:val="0"/>
        <w:spacing w:line="360" w:lineRule="auto"/>
        <w:ind w:firstLine="476" w:firstLineChars="200"/>
        <w:textAlignment w:val="auto"/>
        <w:rPr>
          <w:rFonts w:hint="eastAsia" w:ascii="宋体" w:hAnsi="宋体" w:eastAsia="宋体" w:cs="宋体"/>
          <w:color w:val="auto"/>
          <w:spacing w:val="-1"/>
          <w:sz w:val="24"/>
          <w:szCs w:val="24"/>
          <w:highlight w:val="none"/>
          <w:lang w:eastAsia="zh-CN"/>
        </w:rPr>
      </w:pPr>
    </w:p>
    <w:p w14:paraId="22E809A0">
      <w:pPr>
        <w:pStyle w:val="17"/>
        <w:pageBreakBefore w:val="0"/>
        <w:tabs>
          <w:tab w:val="left" w:pos="3406"/>
          <w:tab w:val="clear" w:pos="567"/>
        </w:tabs>
        <w:kinsoku/>
        <w:wordWrap/>
        <w:overflowPunct/>
        <w:topLinePunct w:val="0"/>
        <w:bidi w:val="0"/>
        <w:spacing w:line="360" w:lineRule="auto"/>
        <w:ind w:firstLine="476" w:firstLineChars="200"/>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法定</w:t>
      </w:r>
      <w:r>
        <w:rPr>
          <w:rFonts w:hint="eastAsia" w:ascii="宋体" w:hAnsi="宋体" w:eastAsia="宋体" w:cs="宋体"/>
          <w:color w:val="auto"/>
          <w:spacing w:val="-3"/>
          <w:sz w:val="24"/>
          <w:szCs w:val="24"/>
          <w:highlight w:val="none"/>
          <w:lang w:eastAsia="zh-CN"/>
        </w:rPr>
        <w:t>代</w:t>
      </w:r>
      <w:r>
        <w:rPr>
          <w:rFonts w:hint="eastAsia" w:ascii="宋体" w:hAnsi="宋体" w:eastAsia="宋体" w:cs="宋体"/>
          <w:color w:val="auto"/>
          <w:spacing w:val="-1"/>
          <w:sz w:val="24"/>
          <w:szCs w:val="24"/>
          <w:highlight w:val="none"/>
          <w:lang w:eastAsia="zh-CN"/>
        </w:rPr>
        <w:t>表</w:t>
      </w:r>
      <w:r>
        <w:rPr>
          <w:rFonts w:hint="eastAsia" w:ascii="宋体" w:hAnsi="宋体" w:eastAsia="宋体" w:cs="宋体"/>
          <w:color w:val="auto"/>
          <w:spacing w:val="-3"/>
          <w:sz w:val="24"/>
          <w:szCs w:val="24"/>
          <w:highlight w:val="none"/>
          <w:lang w:eastAsia="zh-CN"/>
        </w:rPr>
        <w:t>人</w:t>
      </w:r>
      <w:r>
        <w:rPr>
          <w:rFonts w:hint="eastAsia" w:ascii="宋体" w:hAnsi="宋体" w:eastAsia="宋体" w:cs="宋体"/>
          <w:color w:val="auto"/>
          <w:spacing w:val="-1"/>
          <w:sz w:val="24"/>
          <w:szCs w:val="24"/>
          <w:highlight w:val="none"/>
          <w:lang w:eastAsia="zh-CN"/>
        </w:rPr>
        <w:t xml:space="preserve">                               法定</w:t>
      </w:r>
      <w:r>
        <w:rPr>
          <w:rFonts w:hint="eastAsia" w:ascii="宋体" w:hAnsi="宋体" w:eastAsia="宋体" w:cs="宋体"/>
          <w:color w:val="auto"/>
          <w:spacing w:val="-3"/>
          <w:sz w:val="24"/>
          <w:szCs w:val="24"/>
          <w:highlight w:val="none"/>
          <w:lang w:eastAsia="zh-CN"/>
        </w:rPr>
        <w:t>代</w:t>
      </w:r>
      <w:r>
        <w:rPr>
          <w:rFonts w:hint="eastAsia" w:ascii="宋体" w:hAnsi="宋体" w:eastAsia="宋体" w:cs="宋体"/>
          <w:color w:val="auto"/>
          <w:spacing w:val="-1"/>
          <w:sz w:val="24"/>
          <w:szCs w:val="24"/>
          <w:highlight w:val="none"/>
          <w:lang w:eastAsia="zh-CN"/>
        </w:rPr>
        <w:t>表</w:t>
      </w:r>
      <w:r>
        <w:rPr>
          <w:rFonts w:hint="eastAsia" w:ascii="宋体" w:hAnsi="宋体" w:eastAsia="宋体" w:cs="宋体"/>
          <w:color w:val="auto"/>
          <w:spacing w:val="-3"/>
          <w:sz w:val="24"/>
          <w:szCs w:val="24"/>
          <w:highlight w:val="none"/>
          <w:lang w:eastAsia="zh-CN"/>
        </w:rPr>
        <w:t>人</w:t>
      </w:r>
    </w:p>
    <w:p w14:paraId="4935F6D1">
      <w:pPr>
        <w:pStyle w:val="17"/>
        <w:pageBreakBefore w:val="0"/>
        <w:tabs>
          <w:tab w:val="left" w:pos="3406"/>
          <w:tab w:val="clear" w:pos="567"/>
        </w:tabs>
        <w:kinsoku/>
        <w:wordWrap/>
        <w:overflowPunct/>
        <w:topLinePunct w:val="0"/>
        <w:bidi w:val="0"/>
        <w:spacing w:line="360" w:lineRule="auto"/>
        <w:ind w:firstLine="468"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或</w:t>
      </w:r>
      <w:r>
        <w:rPr>
          <w:rFonts w:hint="eastAsia" w:ascii="宋体" w:hAnsi="宋体" w:eastAsia="宋体" w:cs="宋体"/>
          <w:color w:val="auto"/>
          <w:spacing w:val="-1"/>
          <w:sz w:val="24"/>
          <w:szCs w:val="24"/>
          <w:highlight w:val="none"/>
          <w:lang w:eastAsia="zh-CN"/>
        </w:rPr>
        <w:t>委托代理人</w:t>
      </w:r>
      <w:r>
        <w:rPr>
          <w:rFonts w:hint="eastAsia" w:ascii="宋体" w:hAnsi="宋体" w:eastAsia="宋体" w:cs="宋体"/>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lang w:eastAsia="zh-CN"/>
        </w:rPr>
        <w:t>（签字或盖章）</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w:t>
      </w:r>
      <w:r>
        <w:rPr>
          <w:rFonts w:hint="eastAsia" w:cs="宋体"/>
          <w:color w:val="auto"/>
          <w:sz w:val="24"/>
          <w:szCs w:val="24"/>
          <w:highlight w:val="none"/>
          <w:lang w:val="en-US" w:eastAsia="zh-CN"/>
        </w:rPr>
        <w:t xml:space="preserve"> </w:t>
      </w:r>
      <w:r>
        <w:rPr>
          <w:rFonts w:hint="eastAsia" w:ascii="宋体" w:hAnsi="宋体" w:eastAsia="宋体" w:cs="宋体"/>
          <w:color w:val="auto"/>
          <w:spacing w:val="-1"/>
          <w:sz w:val="24"/>
          <w:szCs w:val="24"/>
          <w:highlight w:val="none"/>
          <w:lang w:eastAsia="zh-CN"/>
        </w:rPr>
        <w:t>或委托代理人</w:t>
      </w:r>
      <w:r>
        <w:rPr>
          <w:rFonts w:hint="eastAsia" w:ascii="宋体" w:hAnsi="宋体" w:eastAsia="宋体" w:cs="宋体"/>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lang w:eastAsia="zh-CN"/>
        </w:rPr>
        <w:t>（签字或盖章）</w:t>
      </w:r>
      <w:r>
        <w:rPr>
          <w:rFonts w:hint="eastAsia" w:ascii="宋体" w:hAnsi="宋体" w:eastAsia="宋体" w:cs="宋体"/>
          <w:color w:val="auto"/>
          <w:sz w:val="24"/>
          <w:szCs w:val="24"/>
          <w:highlight w:val="none"/>
          <w:u w:val="single"/>
          <w:lang w:eastAsia="zh-CN"/>
        </w:rPr>
        <w:t xml:space="preserve">              </w:t>
      </w:r>
    </w:p>
    <w:p w14:paraId="63437EF4">
      <w:pPr>
        <w:pStyle w:val="17"/>
        <w:pageBreakBefore w:val="0"/>
        <w:tabs>
          <w:tab w:val="left" w:pos="3387"/>
          <w:tab w:val="clear" w:pos="567"/>
        </w:tabs>
        <w:kinsoku/>
        <w:wordWrap/>
        <w:overflowPunct/>
        <w:topLinePunct w:val="0"/>
        <w:bidi w:val="0"/>
        <w:spacing w:line="360" w:lineRule="auto"/>
        <w:ind w:firstLine="476" w:firstLineChars="200"/>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签订时间：</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年</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月</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日             签订时间：</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年</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月</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日</w:t>
      </w:r>
    </w:p>
    <w:p w14:paraId="619AEB13">
      <w:pPr>
        <w:pStyle w:val="4"/>
        <w:pageBreakBefore w:val="0"/>
        <w:kinsoku/>
        <w:wordWrap/>
        <w:overflowPunct/>
        <w:topLinePunct w:val="0"/>
        <w:bidi w:val="0"/>
        <w:spacing w:line="360" w:lineRule="auto"/>
        <w:ind w:left="0"/>
        <w:textAlignment w:val="auto"/>
        <w:rPr>
          <w:rFonts w:hint="eastAsia" w:ascii="宋体" w:hAnsi="宋体" w:eastAsia="宋体" w:cs="宋体"/>
          <w:color w:val="auto"/>
          <w:sz w:val="24"/>
          <w:szCs w:val="24"/>
          <w:highlight w:val="none"/>
          <w:lang w:eastAsia="zh-CN"/>
        </w:rPr>
        <w:sectPr>
          <w:pgSz w:w="11910" w:h="16840"/>
          <w:pgMar w:top="1400" w:right="1480" w:bottom="1000" w:left="1420" w:header="0" w:footer="808" w:gutter="0"/>
          <w:pgNumType w:fmt="decimal"/>
          <w:cols w:space="720" w:num="1"/>
        </w:sectPr>
      </w:pPr>
    </w:p>
    <w:p w14:paraId="2A02028A">
      <w:pPr>
        <w:pStyle w:val="4"/>
        <w:pageBreakBefore w:val="0"/>
        <w:kinsoku/>
        <w:wordWrap/>
        <w:overflowPunct/>
        <w:topLinePunct w:val="0"/>
        <w:bidi w:val="0"/>
        <w:spacing w:line="360" w:lineRule="auto"/>
        <w:ind w:left="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附件三 ：</w:t>
      </w:r>
    </w:p>
    <w:p w14:paraId="64D9982E">
      <w:pPr>
        <w:pageBreakBefore w:val="0"/>
        <w:kinsoku/>
        <w:wordWrap/>
        <w:overflowPunct/>
        <w:topLinePunct w:val="0"/>
        <w:bidi w:val="0"/>
        <w:spacing w:line="360" w:lineRule="auto"/>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环境保护和文明养护协议</w:t>
      </w:r>
    </w:p>
    <w:p w14:paraId="1C70A544">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u w:val="single"/>
          <w:lang w:eastAsia="zh-CN"/>
        </w:rPr>
        <w:t>北京市绿地养护管理事务中心</w:t>
      </w:r>
    </w:p>
    <w:p w14:paraId="079AD3BA">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u w:val="single"/>
          <w:lang w:eastAsia="zh-CN"/>
        </w:rPr>
        <w:t xml:space="preserve">                         </w:t>
      </w:r>
    </w:p>
    <w:p w14:paraId="1E342042">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根据《中华人民共和国民法典》以及国家有关的法律、法规，本着双方平等自愿、协商一致的原则，达成以下协议，以资共同信守。</w:t>
      </w:r>
    </w:p>
    <w:p w14:paraId="7196D8D3">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第一条  项目概况</w:t>
      </w:r>
    </w:p>
    <w:p w14:paraId="1116D92F">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合同项目名称：</w:t>
      </w:r>
    </w:p>
    <w:p w14:paraId="3722FD9C">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合同项目地址：北京市通州区行政办公区</w:t>
      </w:r>
    </w:p>
    <w:p w14:paraId="13C85D5D">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环境保护和文明养护目标：市级环境保护文明作业标准</w:t>
      </w:r>
    </w:p>
    <w:p w14:paraId="75A37540">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乙方公司法人：</w:t>
      </w:r>
    </w:p>
    <w:p w14:paraId="021D3D60">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乙方环境保护和文明养护负责人：</w:t>
      </w:r>
    </w:p>
    <w:p w14:paraId="62C42AC2">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第二条  双方权责</w:t>
      </w:r>
    </w:p>
    <w:p w14:paraId="6E732001">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1、甲方定期对乙方环境保护和文明养护情况进行监督检查，督促乙方落实责任与义务。</w:t>
      </w:r>
    </w:p>
    <w:p w14:paraId="02E7A006">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乙方应根据甲方要求及养护情况，建立健全养护环境保护和文明养护工作制度及环保应急预案，明确专职和兼职环保管理人员并报甲方备案；乙方养护前应对所属养护服务人员进行环境保护和文明养护宣传和培训。</w:t>
      </w:r>
    </w:p>
    <w:p w14:paraId="4874ECBD">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第三条 严格执行环境保护</w:t>
      </w:r>
    </w:p>
    <w:p w14:paraId="1834C3B5">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1、乙方应遵守国家有关环境保护的政策、法规。养护范围内的垃圾应按规定及时清理、外运。</w:t>
      </w:r>
    </w:p>
    <w:p w14:paraId="469AC6F0">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2、乙方应按合同约定进行垃圾清理。清理垃圾不得影响绿化景观和污染周边环境。</w:t>
      </w:r>
    </w:p>
    <w:p w14:paraId="145F4D36">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3、乙方应按合同规定清理垃圾，清理出的垃圾应堆放于甲方指定位置。</w:t>
      </w:r>
    </w:p>
    <w:p w14:paraId="334B6B38">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第四条 严格执行《北京市园林绿化局空气重污染应急预案》</w:t>
      </w:r>
    </w:p>
    <w:p w14:paraId="15C2D7A0">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根据《北京市园林绿化局空气重污染应急预案》要求，将空气重污染预警由轻到重依次分为：黄色预警(三级) ，橙色预警(二级) ,红色预警(一级)，乙方应当分级采取相应的应急措施。</w:t>
      </w:r>
    </w:p>
    <w:p w14:paraId="189A58CA">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1、黄色预警(三级)</w:t>
      </w:r>
    </w:p>
    <w:p w14:paraId="0DD72D3E">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(1)乙方加强对空气重污染应急、健康防护等方面科普知识的宣传。</w:t>
      </w:r>
    </w:p>
    <w:p w14:paraId="50272101">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(2)加强养护范围内裸露地面等实施苫盖等扬尘控制措施力度。</w:t>
      </w:r>
    </w:p>
    <w:p w14:paraId="16EA3A3F">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(3)养护范围内拒绝露天烧烤和用火，严禁焚烧枯枝落叶等废弃物和野外用火。</w:t>
      </w:r>
    </w:p>
    <w:p w14:paraId="07852E57">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2、橙色预警(二级)</w:t>
      </w:r>
    </w:p>
    <w:p w14:paraId="5B344B7B">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(1)加强养护范围内裸露地面等实施苫盖等扬尘控制措施基础上，增加洒水降尘措施。</w:t>
      </w:r>
    </w:p>
    <w:p w14:paraId="01D05EDA">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(2)养护范围内拒绝露天烧烤和用火，严禁焚烧枯枝落叶等废弃物和野外用火,禁止燃放烟花炮竹。</w:t>
      </w:r>
    </w:p>
    <w:p w14:paraId="675E3C38">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(3)进行洒水降尘作业。</w:t>
      </w:r>
    </w:p>
    <w:p w14:paraId="389AA857">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3、红色预警(一级)</w:t>
      </w:r>
    </w:p>
    <w:p w14:paraId="764A1273">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(1)乙方室外执勤、作业等人员可采取佩戴口罩等防护措施。</w:t>
      </w:r>
    </w:p>
    <w:p w14:paraId="5BF2CA0D">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(2)增加养护范围内裸露地面洒水降尘频次和强度。</w:t>
      </w:r>
    </w:p>
    <w:p w14:paraId="5F155A2D">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(3)养护范围内严禁并配合执法部门严厉查处焚烧枯枝落叶等废弃物、露天烧烤、用火和严防烟花炮竹行为。</w:t>
      </w:r>
    </w:p>
    <w:p w14:paraId="017F57FF">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(4)进行洒水降尘作业。</w:t>
      </w:r>
    </w:p>
    <w:p w14:paraId="0362D857">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(5)加大对养护范围内的巡查，严格落实养护范围内施工现场停工管理。</w:t>
      </w:r>
    </w:p>
    <w:p w14:paraId="3BBA1104">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第五条  违约责任</w:t>
      </w:r>
    </w:p>
    <w:p w14:paraId="26FD5EA7">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1、甲、乙两方均需要严格遵守国家、北京市相关环保法律法规及本协议约定事项，积极为环境保护和文明养护创造条件。</w:t>
      </w:r>
    </w:p>
    <w:p w14:paraId="306E73D0">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2、若乙方未严格遵守本协议约定或者违反国家、北京市相关环保规定，造成乙方自身及任何第三方人身伤亡和财产损失或被国家相关部门处罚的，乙方应当承担全部赔偿责任及不利后果，给甲方造成损失的，乙方还应当赔偿因此给甲方造成的全部经济损失，甲方有权直接在支付乙方养护合同服务费时将全部损失予以扣除。</w:t>
      </w:r>
    </w:p>
    <w:p w14:paraId="4C49817F">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第六条  本协议作为养护合同的附件，与主合同具有同等法律效力。</w:t>
      </w:r>
    </w:p>
    <w:p w14:paraId="4BCF80C6">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第七条  本协议经甲乙双方法定代表人或授权代表签字并分别加盖各自单位公章之日起生效，本协议责任期限为：</w:t>
      </w:r>
      <w:r>
        <w:rPr>
          <w:rFonts w:hint="eastAsia" w:ascii="宋体" w:hAnsi="宋体" w:eastAsia="宋体" w:cs="宋体"/>
          <w:color w:val="auto"/>
          <w:sz w:val="24"/>
          <w:szCs w:val="24"/>
          <w:highlight w:val="none"/>
          <w:u w:val="single"/>
          <w:lang w:eastAsia="zh-CN"/>
        </w:rPr>
        <w:t xml:space="preserve">                 。</w:t>
      </w:r>
    </w:p>
    <w:p w14:paraId="0EF6C602">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第八条  本协议书作为养护合同的附件，与主合同具有同等法律效力。</w:t>
      </w:r>
    </w:p>
    <w:p w14:paraId="2C51746B">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p>
    <w:p w14:paraId="34049B1D">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p>
    <w:p w14:paraId="2B8F73A5">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p>
    <w:p w14:paraId="72AA3396">
      <w:pPr>
        <w:pStyle w:val="17"/>
        <w:pageBreakBefore w:val="0"/>
        <w:tabs>
          <w:tab w:val="left" w:pos="3406"/>
          <w:tab w:val="clear" w:pos="567"/>
        </w:tabs>
        <w:kinsoku/>
        <w:wordWrap/>
        <w:overflowPunct/>
        <w:topLinePunct w:val="0"/>
        <w:bidi w:val="0"/>
        <w:spacing w:line="360" w:lineRule="auto"/>
        <w:ind w:firstLine="468"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甲方（</w:t>
      </w:r>
      <w:r>
        <w:rPr>
          <w:rFonts w:hint="eastAsia" w:ascii="宋体" w:hAnsi="宋体" w:eastAsia="宋体" w:cs="宋体"/>
          <w:color w:val="auto"/>
          <w:spacing w:val="-1"/>
          <w:sz w:val="24"/>
          <w:szCs w:val="24"/>
          <w:highlight w:val="none"/>
          <w:lang w:eastAsia="zh-CN"/>
        </w:rPr>
        <w:t>公</w:t>
      </w:r>
      <w:r>
        <w:rPr>
          <w:rFonts w:hint="eastAsia" w:ascii="宋体" w:hAnsi="宋体" w:eastAsia="宋体" w:cs="宋体"/>
          <w:color w:val="auto"/>
          <w:spacing w:val="-3"/>
          <w:sz w:val="24"/>
          <w:szCs w:val="24"/>
          <w:highlight w:val="none"/>
          <w:lang w:eastAsia="zh-CN"/>
        </w:rPr>
        <w:t>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乙方</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1"/>
          <w:sz w:val="24"/>
          <w:szCs w:val="24"/>
          <w:highlight w:val="none"/>
          <w:lang w:eastAsia="zh-CN"/>
        </w:rPr>
        <w:t>公</w:t>
      </w:r>
      <w:r>
        <w:rPr>
          <w:rFonts w:hint="eastAsia" w:ascii="宋体" w:hAnsi="宋体" w:eastAsia="宋体" w:cs="宋体"/>
          <w:color w:val="auto"/>
          <w:spacing w:val="-3"/>
          <w:sz w:val="24"/>
          <w:szCs w:val="24"/>
          <w:highlight w:val="none"/>
          <w:lang w:eastAsia="zh-CN"/>
        </w:rPr>
        <w:t>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 xml:space="preserve">                              </w:t>
      </w:r>
    </w:p>
    <w:p w14:paraId="31739B4D">
      <w:pPr>
        <w:pStyle w:val="17"/>
        <w:pageBreakBefore w:val="0"/>
        <w:tabs>
          <w:tab w:val="left" w:pos="3406"/>
          <w:tab w:val="clear" w:pos="567"/>
        </w:tabs>
        <w:kinsoku/>
        <w:wordWrap/>
        <w:overflowPunct/>
        <w:topLinePunct w:val="0"/>
        <w:bidi w:val="0"/>
        <w:spacing w:line="360" w:lineRule="auto"/>
        <w:ind w:firstLine="476" w:firstLineChars="200"/>
        <w:textAlignment w:val="auto"/>
        <w:rPr>
          <w:rFonts w:hint="eastAsia" w:ascii="宋体" w:hAnsi="宋体" w:eastAsia="宋体" w:cs="宋体"/>
          <w:color w:val="auto"/>
          <w:spacing w:val="-1"/>
          <w:sz w:val="24"/>
          <w:szCs w:val="24"/>
          <w:highlight w:val="none"/>
          <w:lang w:eastAsia="zh-CN"/>
        </w:rPr>
      </w:pPr>
    </w:p>
    <w:p w14:paraId="5DE8CEE4">
      <w:pPr>
        <w:pStyle w:val="17"/>
        <w:pageBreakBefore w:val="0"/>
        <w:tabs>
          <w:tab w:val="left" w:pos="3406"/>
          <w:tab w:val="clear" w:pos="567"/>
        </w:tabs>
        <w:kinsoku/>
        <w:wordWrap/>
        <w:overflowPunct/>
        <w:topLinePunct w:val="0"/>
        <w:bidi w:val="0"/>
        <w:spacing w:line="360" w:lineRule="auto"/>
        <w:ind w:firstLine="476" w:firstLineChars="200"/>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法定</w:t>
      </w:r>
      <w:r>
        <w:rPr>
          <w:rFonts w:hint="eastAsia" w:ascii="宋体" w:hAnsi="宋体" w:eastAsia="宋体" w:cs="宋体"/>
          <w:color w:val="auto"/>
          <w:spacing w:val="-3"/>
          <w:sz w:val="24"/>
          <w:szCs w:val="24"/>
          <w:highlight w:val="none"/>
          <w:lang w:eastAsia="zh-CN"/>
        </w:rPr>
        <w:t>代</w:t>
      </w:r>
      <w:r>
        <w:rPr>
          <w:rFonts w:hint="eastAsia" w:ascii="宋体" w:hAnsi="宋体" w:eastAsia="宋体" w:cs="宋体"/>
          <w:color w:val="auto"/>
          <w:spacing w:val="-1"/>
          <w:sz w:val="24"/>
          <w:szCs w:val="24"/>
          <w:highlight w:val="none"/>
          <w:lang w:eastAsia="zh-CN"/>
        </w:rPr>
        <w:t>表</w:t>
      </w:r>
      <w:r>
        <w:rPr>
          <w:rFonts w:hint="eastAsia" w:ascii="宋体" w:hAnsi="宋体" w:eastAsia="宋体" w:cs="宋体"/>
          <w:color w:val="auto"/>
          <w:spacing w:val="-3"/>
          <w:sz w:val="24"/>
          <w:szCs w:val="24"/>
          <w:highlight w:val="none"/>
          <w:lang w:eastAsia="zh-CN"/>
        </w:rPr>
        <w:t>人</w:t>
      </w:r>
      <w:r>
        <w:rPr>
          <w:rFonts w:hint="eastAsia" w:ascii="宋体" w:hAnsi="宋体" w:eastAsia="宋体" w:cs="宋体"/>
          <w:color w:val="auto"/>
          <w:spacing w:val="-1"/>
          <w:sz w:val="24"/>
          <w:szCs w:val="24"/>
          <w:highlight w:val="none"/>
          <w:lang w:eastAsia="zh-CN"/>
        </w:rPr>
        <w:t xml:space="preserve">                                法定</w:t>
      </w:r>
      <w:r>
        <w:rPr>
          <w:rFonts w:hint="eastAsia" w:ascii="宋体" w:hAnsi="宋体" w:eastAsia="宋体" w:cs="宋体"/>
          <w:color w:val="auto"/>
          <w:spacing w:val="-3"/>
          <w:sz w:val="24"/>
          <w:szCs w:val="24"/>
          <w:highlight w:val="none"/>
          <w:lang w:eastAsia="zh-CN"/>
        </w:rPr>
        <w:t>代</w:t>
      </w:r>
      <w:r>
        <w:rPr>
          <w:rFonts w:hint="eastAsia" w:ascii="宋体" w:hAnsi="宋体" w:eastAsia="宋体" w:cs="宋体"/>
          <w:color w:val="auto"/>
          <w:spacing w:val="-1"/>
          <w:sz w:val="24"/>
          <w:szCs w:val="24"/>
          <w:highlight w:val="none"/>
          <w:lang w:eastAsia="zh-CN"/>
        </w:rPr>
        <w:t>表</w:t>
      </w:r>
      <w:r>
        <w:rPr>
          <w:rFonts w:hint="eastAsia" w:ascii="宋体" w:hAnsi="宋体" w:eastAsia="宋体" w:cs="宋体"/>
          <w:color w:val="auto"/>
          <w:spacing w:val="-3"/>
          <w:sz w:val="24"/>
          <w:szCs w:val="24"/>
          <w:highlight w:val="none"/>
          <w:lang w:eastAsia="zh-CN"/>
        </w:rPr>
        <w:t>人</w:t>
      </w:r>
    </w:p>
    <w:p w14:paraId="00712695">
      <w:pPr>
        <w:pStyle w:val="17"/>
        <w:pageBreakBefore w:val="0"/>
        <w:tabs>
          <w:tab w:val="left" w:pos="3406"/>
          <w:tab w:val="clear" w:pos="567"/>
        </w:tabs>
        <w:kinsoku/>
        <w:wordWrap/>
        <w:overflowPunct/>
        <w:topLinePunct w:val="0"/>
        <w:bidi w:val="0"/>
        <w:spacing w:line="360" w:lineRule="auto"/>
        <w:ind w:firstLine="468"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或</w:t>
      </w:r>
      <w:r>
        <w:rPr>
          <w:rFonts w:hint="eastAsia" w:ascii="宋体" w:hAnsi="宋体" w:eastAsia="宋体" w:cs="宋体"/>
          <w:color w:val="auto"/>
          <w:spacing w:val="-1"/>
          <w:sz w:val="24"/>
          <w:szCs w:val="24"/>
          <w:highlight w:val="none"/>
          <w:lang w:eastAsia="zh-CN"/>
        </w:rPr>
        <w:t>委托代理人</w:t>
      </w:r>
      <w:r>
        <w:rPr>
          <w:rFonts w:hint="eastAsia" w:ascii="宋体" w:hAnsi="宋体" w:eastAsia="宋体" w:cs="宋体"/>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lang w:eastAsia="zh-CN"/>
        </w:rPr>
        <w:t>（签字或盖章）</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1"/>
          <w:sz w:val="24"/>
          <w:szCs w:val="24"/>
          <w:highlight w:val="none"/>
          <w:lang w:eastAsia="zh-CN"/>
        </w:rPr>
        <w:t>或委托代理人</w:t>
      </w:r>
      <w:r>
        <w:rPr>
          <w:rFonts w:hint="eastAsia" w:ascii="宋体" w:hAnsi="宋体" w:eastAsia="宋体" w:cs="宋体"/>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lang w:eastAsia="zh-CN"/>
        </w:rPr>
        <w:t>（签字或盖章）</w:t>
      </w:r>
      <w:r>
        <w:rPr>
          <w:rFonts w:hint="eastAsia" w:ascii="宋体" w:hAnsi="宋体" w:eastAsia="宋体" w:cs="宋体"/>
          <w:color w:val="auto"/>
          <w:sz w:val="24"/>
          <w:szCs w:val="24"/>
          <w:highlight w:val="none"/>
          <w:u w:val="single"/>
          <w:lang w:eastAsia="zh-CN"/>
        </w:rPr>
        <w:t xml:space="preserve">              </w:t>
      </w:r>
    </w:p>
    <w:p w14:paraId="01CAD752">
      <w:pPr>
        <w:pStyle w:val="17"/>
        <w:pageBreakBefore w:val="0"/>
        <w:tabs>
          <w:tab w:val="left" w:pos="3387"/>
          <w:tab w:val="clear" w:pos="567"/>
        </w:tabs>
        <w:kinsoku/>
        <w:wordWrap/>
        <w:overflowPunct/>
        <w:topLinePunct w:val="0"/>
        <w:bidi w:val="0"/>
        <w:spacing w:line="360" w:lineRule="auto"/>
        <w:ind w:firstLine="476" w:firstLineChars="200"/>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签订时间：</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年</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月</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日              签订时间：</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年</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月</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日</w:t>
      </w:r>
    </w:p>
    <w:p w14:paraId="5DEA88EB">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eastAsia="zh-CN"/>
        </w:rPr>
        <w:sectPr>
          <w:pgSz w:w="11910" w:h="16840"/>
          <w:pgMar w:top="1400" w:right="1480" w:bottom="1000" w:left="1420" w:header="0" w:footer="808" w:gutter="0"/>
          <w:pgNumType w:fmt="decimal"/>
          <w:cols w:space="720" w:num="1"/>
        </w:sectPr>
      </w:pPr>
    </w:p>
    <w:p w14:paraId="364EB975">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eastAsia="zh-CN"/>
        </w:rPr>
      </w:pPr>
    </w:p>
    <w:p w14:paraId="60057B10">
      <w:pPr>
        <w:pageBreakBefore w:val="0"/>
        <w:kinsoku/>
        <w:wordWrap/>
        <w:overflowPunct/>
        <w:topLinePunct w:val="0"/>
        <w:bidi w:val="0"/>
        <w:spacing w:before="1" w:line="360" w:lineRule="auto"/>
        <w:jc w:val="both"/>
        <w:textAlignment w:val="auto"/>
        <w:outlineLvl w:val="2"/>
        <w:rPr>
          <w:rFonts w:hint="eastAsia" w:ascii="宋体" w:hAnsi="宋体" w:eastAsia="宋体" w:cs="宋体"/>
          <w:b/>
          <w:color w:val="auto"/>
          <w:sz w:val="24"/>
          <w:szCs w:val="24"/>
          <w:highlight w:val="none"/>
          <w:lang w:val="en-US" w:eastAsia="zh-CN"/>
        </w:rPr>
      </w:pPr>
      <w:bookmarkStart w:id="1189" w:name="_GoBack"/>
      <w:bookmarkEnd w:id="1189"/>
      <w:bookmarkStart w:id="846" w:name="北京城市副中心城镇绿地养护管理工作意见"/>
      <w:bookmarkEnd w:id="846"/>
      <w:r>
        <w:rPr>
          <w:rFonts w:hint="eastAsia" w:ascii="宋体" w:hAnsi="宋体" w:eastAsia="宋体" w:cs="宋体"/>
          <w:b/>
          <w:color w:val="auto"/>
          <w:sz w:val="24"/>
          <w:szCs w:val="24"/>
          <w:highlight w:val="none"/>
          <w:lang w:eastAsia="zh-CN"/>
        </w:rPr>
        <w:t>附件</w:t>
      </w:r>
      <w:r>
        <w:rPr>
          <w:rFonts w:hint="eastAsia" w:ascii="宋体" w:hAnsi="宋体" w:eastAsia="宋体" w:cs="宋体"/>
          <w:b/>
          <w:color w:val="auto"/>
          <w:sz w:val="24"/>
          <w:szCs w:val="24"/>
          <w:highlight w:val="none"/>
          <w:lang w:val="en-US" w:eastAsia="zh-CN"/>
        </w:rPr>
        <w:t>四</w:t>
      </w:r>
      <w:r>
        <w:rPr>
          <w:rFonts w:hint="eastAsia" w:ascii="宋体" w:hAnsi="宋体" w:eastAsia="宋体" w:cs="宋体"/>
          <w:b/>
          <w:bCs/>
          <w:color w:val="auto"/>
          <w:sz w:val="24"/>
          <w:szCs w:val="24"/>
          <w:highlight w:val="none"/>
          <w:lang w:eastAsia="zh-CN"/>
        </w:rPr>
        <w:t>：</w:t>
      </w:r>
      <w:r>
        <w:rPr>
          <w:rFonts w:hint="eastAsia" w:ascii="宋体" w:hAnsi="宋体" w:eastAsia="宋体" w:cs="宋体"/>
          <w:b/>
          <w:color w:val="auto"/>
          <w:sz w:val="24"/>
          <w:szCs w:val="24"/>
          <w:highlight w:val="none"/>
          <w:lang w:val="en-US" w:eastAsia="zh-CN"/>
        </w:rPr>
        <w:t xml:space="preserve">         </w:t>
      </w:r>
    </w:p>
    <w:p w14:paraId="192382BC">
      <w:pPr>
        <w:pageBreakBefore w:val="0"/>
        <w:kinsoku/>
        <w:wordWrap/>
        <w:overflowPunct/>
        <w:topLinePunct w:val="0"/>
        <w:bidi w:val="0"/>
        <w:spacing w:before="1" w:line="360" w:lineRule="auto"/>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园林养护接诉即办协议</w:t>
      </w:r>
    </w:p>
    <w:p w14:paraId="29F42624">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lang w:eastAsia="zh-CN"/>
        </w:rPr>
      </w:pPr>
    </w:p>
    <w:p w14:paraId="169AC4F0">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u w:val="single"/>
          <w:lang w:eastAsia="zh-CN"/>
        </w:rPr>
        <w:t>北京市绿地养护管理事务中心</w:t>
      </w:r>
    </w:p>
    <w:p w14:paraId="22463187">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u w:val="single"/>
          <w:lang w:eastAsia="zh-CN"/>
        </w:rPr>
        <w:t xml:space="preserve">                          </w:t>
      </w:r>
    </w:p>
    <w:p w14:paraId="4FFF6FEC">
      <w:pPr>
        <w:pageBreakBefore w:val="0"/>
        <w:tabs>
          <w:tab w:val="left" w:pos="7504"/>
        </w:tabs>
        <w:kinsoku/>
        <w:wordWrap/>
        <w:overflowPunct/>
        <w:topLinePunct w:val="0"/>
        <w:bidi w:val="0"/>
        <w:spacing w:before="71"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根据《中华人民共和国民法典》以及国家有关的法律、法规，本着双方平等自愿、协商一致的原则，达成以下协议，以资共同信守。</w:t>
      </w:r>
    </w:p>
    <w:p w14:paraId="303CD7FC">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第一条  项目概况</w:t>
      </w:r>
    </w:p>
    <w:p w14:paraId="7C2057C3">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合同项目名称：</w:t>
      </w:r>
    </w:p>
    <w:p w14:paraId="376C4F72">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合同项目地址：</w:t>
      </w:r>
      <w:r>
        <w:rPr>
          <w:rFonts w:hint="eastAsia" w:ascii="宋体" w:hAnsi="宋体" w:eastAsia="宋体" w:cs="宋体"/>
          <w:color w:val="auto"/>
          <w:sz w:val="24"/>
          <w:szCs w:val="24"/>
          <w:highlight w:val="none"/>
          <w:u w:val="single"/>
          <w:lang w:eastAsia="zh-CN"/>
        </w:rPr>
        <w:t>北京市通州区行政办公区</w:t>
      </w:r>
    </w:p>
    <w:p w14:paraId="42571CCE">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园林养护接诉即办目标：</w:t>
      </w:r>
      <w:r>
        <w:rPr>
          <w:rFonts w:hint="eastAsia" w:ascii="宋体" w:hAnsi="宋体" w:eastAsia="宋体" w:cs="宋体"/>
          <w:color w:val="auto"/>
          <w:sz w:val="24"/>
          <w:szCs w:val="24"/>
          <w:highlight w:val="none"/>
          <w:u w:val="single"/>
          <w:lang w:eastAsia="zh-CN"/>
        </w:rPr>
        <w:t>满意度100%</w:t>
      </w:r>
    </w:p>
    <w:p w14:paraId="057C08CA">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乙方公司法人</w:t>
      </w:r>
      <w:r>
        <w:rPr>
          <w:rFonts w:hint="eastAsia" w:ascii="宋体" w:hAnsi="宋体" w:eastAsia="宋体" w:cs="宋体"/>
          <w:color w:val="auto"/>
          <w:sz w:val="24"/>
          <w:szCs w:val="24"/>
          <w:highlight w:val="none"/>
          <w:u w:val="single"/>
          <w:lang w:eastAsia="zh-CN"/>
        </w:rPr>
        <w:t xml:space="preserve">：     </w:t>
      </w:r>
    </w:p>
    <w:p w14:paraId="0C5BBD78">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乙方园林养护接诉即办负责人</w:t>
      </w:r>
      <w:r>
        <w:rPr>
          <w:rFonts w:hint="eastAsia" w:ascii="宋体" w:hAnsi="宋体" w:eastAsia="宋体" w:cs="宋体"/>
          <w:color w:val="auto"/>
          <w:sz w:val="24"/>
          <w:szCs w:val="24"/>
          <w:highlight w:val="none"/>
          <w:u w:val="single"/>
          <w:lang w:eastAsia="zh-CN"/>
        </w:rPr>
        <w:t xml:space="preserve">：     </w:t>
      </w:r>
    </w:p>
    <w:p w14:paraId="29028078">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第二条  双方权责</w:t>
      </w:r>
    </w:p>
    <w:p w14:paraId="04059528">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一、甲方责任</w:t>
      </w:r>
    </w:p>
    <w:p w14:paraId="406B8C7B">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第三条 负责园林养护工作的整体规划与指导方向制定，确保养护工作符合相关园林景观标准及要求。</w:t>
      </w:r>
    </w:p>
    <w:p w14:paraId="4986954F">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第四条 设立接诉即办平台或渠道，接收来自各方（包括但不限于市民、相关管理部门等）关于园林养护的投诉、建议及需求信息。</w:t>
      </w:r>
    </w:p>
    <w:p w14:paraId="1C532B44">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第五条 在接到诉求后，及时对诉求进行分类整理，并在[</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]小时内将属于乙方责任范围内的诉求信息传达给乙方，传达方式包括但不限于电话、邮件、书面通知等，确保信息准确完整。</w:t>
      </w:r>
    </w:p>
    <w:p w14:paraId="2CD1E0F8">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第六条 对乙方处理接诉即办事项的过程进行监督与检查，定期（每[</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]周/月）对乙方的处理情况进行评估与考核，根据考核结果按合同约定执行奖惩措施。</w:t>
      </w:r>
    </w:p>
    <w:p w14:paraId="419F8E76">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第七条 协调乙方与其他相关部门或单位之间的关系，为乙方处理接诉即办事项提供必要的支持与协助，例如提供相关政策文件解读、协助处理涉及多方责任的复杂诉求等。</w:t>
      </w:r>
    </w:p>
    <w:p w14:paraId="3C57AA99">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二、乙方责任</w:t>
      </w:r>
    </w:p>
    <w:p w14:paraId="0B851BD9">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第八条 负责园林养护范围内所有设施的日常维护、修缮与管理，设施类目包括但不限于园林建筑（亭台楼阁、长廊等）、园路、广场、景观小品（雕塑、喷泉等）、灌溉系统、排水系统、照明系统、游乐设施（如有）、防护设施（围栏、栏杆等）以及各类园林标识牌等。确保所有设施正常运行、安全使用且外观整洁美观，及时处理设施出现的损坏、故障、老化等问题。</w:t>
      </w:r>
    </w:p>
    <w:p w14:paraId="11945DA0">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第九条 承担园林植物的全生命周期养护工作，包括但不限于种植、修剪、浇水、施肥、病虫害防治、防寒保暖、补植等。根据不同植物的生长习性和季节特点，制定科学合理的养护计划并严格执行，保证园林植物的健康生长与景观效果。植物养护需符合相关植物养护规范及环保要求，避免因养护不当造成环境污染或生态破坏。</w:t>
      </w:r>
    </w:p>
    <w:p w14:paraId="119494A1">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第十条 对于甲方转达的接诉即办事项，乙方需在接到通知后立即响应，一般诉求在[</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]小时内安排工作人员到达现场进行处理，复杂诉求或需特殊处理的情况在[</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小时内制定详细的处理方案并告知甲方，处理方案需得到甲方认可后方可实施。处理过程需做好记录，包括处理时间、处理人员、处理措施、使用材料等信息，处理完成后及时向甲方反馈处理结果，同时按照甲方要求对投诉人进行回访，收集满意度信息并反馈给甲方。</w:t>
      </w:r>
    </w:p>
    <w:p w14:paraId="70E4599D">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第十一条 乙方应建立健全自身的接诉即办工作机制，设立专门的投诉处理热线或在线平台（需与甲方平台对接或共享信息），安排专人负责接听投诉电话、接收网络投诉信息等，并在工作时间内保证通讯畅通。对自行接收到的投诉信息，应按照上述响应时间和处理流程进行处理，并及时将处理情况上报甲方备案。</w:t>
      </w:r>
    </w:p>
    <w:p w14:paraId="2DA8F455">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第十二条 定期对园林养护工作进行自查自纠，主动发现并解决可能引发投诉的潜在问题，每月向甲方提交一份园林养护及接诉即办工作情况报告，报告内容包括养护工作进展、接诉数量及类型分析、处理结果统计、存在问题及改进措施等。 </w:t>
      </w:r>
    </w:p>
    <w:p w14:paraId="079F072C">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三、双方协作与沟通</w:t>
      </w:r>
    </w:p>
    <w:p w14:paraId="72ABF861">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第十三条 甲乙双方应建立定期的沟通会议机制，每月至少召开[</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]次工作会议，共同商讨园林养护工作中的重大事项、接诉即办工作中遇到的问题及解决方案、下一阶段工作计划等。会议应由双方相关负责人参加，提前确定会议议程并做好会议记录。</w:t>
      </w:r>
    </w:p>
    <w:p w14:paraId="5847BCAF">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第十四条 对于涉及园林养护接诉即办工作的重要文件、通知、信息等，双方应采用书面形式进行传递，并确保文件签收记录完整。同时，双方应指定专门的联系人负责日常信息沟通与工作协调，联系人信息如有变动应及时通知对方。</w:t>
      </w:r>
    </w:p>
    <w:p w14:paraId="35203466">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第十五条 在处理一些紧急或重大接诉事项时，甲乙双方应保持密切配合，成立联合应急处理小组，共同制定并执行应急处理方案。应急处理过程中的资源调配、人员安排等由双方协商确定，以确保能够快速有效地解决问题，降低负面影响。</w:t>
      </w:r>
    </w:p>
    <w:p w14:paraId="6022BC04">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四、违约责任</w:t>
      </w:r>
    </w:p>
    <w:p w14:paraId="15E23CB4">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第十六条 若甲方未按照合同约定及时传达诉求信息或未提供必要的支持协助，导致乙方无法按时处理接诉即办事项或处理结果受到影响，甲方应承担相应责任，包括但不限于对乙方因此产生的额外费用进行补偿、对乙方的考核指标进行合理调整等。</w:t>
      </w:r>
    </w:p>
    <w:p w14:paraId="2F7CEF5E">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第十七条 若乙方未按照合同约定的时间、要求处理接诉即办事项，每出现一次逾期或处理不当情况，乙方应按照合同约定向甲方支付违约金。若因乙方原因导致同一诉求多次投诉或引发严重后果（如安全事故、重大舆情事件等），乙方除承担违约金外，还应承担由此给甲方造成的一切损失，包括但不限于经济赔偿、名誉损失修复等。同时，甲方有权根据乙方的违约情况解除合同或要求乙方限期整改，整改期间乙方仍需继续履行合同义务，若整改后仍不符合要求，甲方有权终止合同并追究乙方的法律责任。</w:t>
      </w:r>
    </w:p>
    <w:p w14:paraId="7649F73C">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五、其他条款</w:t>
      </w:r>
    </w:p>
    <w:p w14:paraId="635663C7">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第十八条 本协议作为园林养护合同的附件，与主合同具有同等法律效力。</w:t>
      </w:r>
    </w:p>
    <w:p w14:paraId="188EB29B">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p>
    <w:p w14:paraId="51CCA018">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甲方（公章）：</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乙方（公章）：</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 xml:space="preserve">                              </w:t>
      </w:r>
    </w:p>
    <w:p w14:paraId="48E5D9C8">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                                法定代表人</w:t>
      </w:r>
    </w:p>
    <w:p w14:paraId="4A3E0BF9">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或委托代理人：</w:t>
      </w:r>
      <w:r>
        <w:rPr>
          <w:rFonts w:hint="eastAsia" w:asciiTheme="minorEastAsia" w:hAnsiTheme="minorEastAsia" w:eastAsiaTheme="minorEastAsia" w:cstheme="minorEastAsia"/>
          <w:color w:val="auto"/>
          <w:sz w:val="24"/>
          <w:szCs w:val="24"/>
          <w:highlight w:val="none"/>
          <w:u w:val="single"/>
          <w:lang w:eastAsia="zh-CN"/>
        </w:rPr>
        <w:t>（签字或盖章）</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或委托代理人：</w:t>
      </w:r>
      <w:r>
        <w:rPr>
          <w:rFonts w:hint="eastAsia" w:asciiTheme="minorEastAsia" w:hAnsiTheme="minorEastAsia" w:eastAsiaTheme="minorEastAsia" w:cstheme="minorEastAsia"/>
          <w:color w:val="auto"/>
          <w:sz w:val="24"/>
          <w:szCs w:val="24"/>
          <w:highlight w:val="none"/>
          <w:u w:val="single"/>
          <w:lang w:eastAsia="zh-CN"/>
        </w:rPr>
        <w:t>（签字或盖章）</w:t>
      </w:r>
      <w:r>
        <w:rPr>
          <w:rFonts w:hint="eastAsia" w:ascii="宋体" w:hAnsi="宋体" w:eastAsia="宋体" w:cs="宋体"/>
          <w:color w:val="auto"/>
          <w:sz w:val="24"/>
          <w:szCs w:val="24"/>
          <w:highlight w:val="none"/>
          <w:u w:val="single"/>
          <w:lang w:eastAsia="zh-CN"/>
        </w:rPr>
        <w:t xml:space="preserve">                </w:t>
      </w:r>
    </w:p>
    <w:p w14:paraId="521D87CC">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签订时间：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              签订时间：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w:t>
      </w:r>
    </w:p>
    <w:p w14:paraId="2B4BF385">
      <w:pPr>
        <w:pageBreakBefore w:val="0"/>
        <w:kinsoku/>
        <w:wordWrap/>
        <w:overflowPunct/>
        <w:topLinePunct w:val="0"/>
        <w:bidi w:val="0"/>
        <w:spacing w:line="360" w:lineRule="auto"/>
        <w:textAlignment w:val="auto"/>
        <w:rPr>
          <w:rFonts w:hint="eastAsia" w:ascii="宋体" w:hAnsi="宋体" w:eastAsia="宋体" w:cs="宋体"/>
          <w:b/>
          <w:bCs/>
          <w:color w:val="auto"/>
          <w:sz w:val="24"/>
          <w:szCs w:val="24"/>
          <w:highlight w:val="none"/>
          <w:lang w:eastAsia="zh-CN"/>
        </w:rPr>
        <w:sectPr>
          <w:pgSz w:w="11910" w:h="16840"/>
          <w:pgMar w:top="1400" w:right="1480" w:bottom="1000" w:left="1420" w:header="0" w:footer="808" w:gutter="0"/>
          <w:pgNumType w:fmt="decimal"/>
          <w:cols w:space="720" w:num="1"/>
        </w:sectPr>
      </w:pPr>
    </w:p>
    <w:p w14:paraId="33ED86AC">
      <w:pPr>
        <w:pageBreakBefore w:val="0"/>
        <w:kinsoku/>
        <w:wordWrap/>
        <w:overflowPunct/>
        <w:topLinePunct w:val="0"/>
        <w:bidi w:val="0"/>
        <w:spacing w:line="360" w:lineRule="auto"/>
        <w:textAlignment w:val="auto"/>
        <w:outlineLvl w:val="2"/>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附件</w:t>
      </w: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eastAsia="zh-CN"/>
        </w:rPr>
        <w:t>：</w:t>
      </w:r>
    </w:p>
    <w:p w14:paraId="6F8EBADF">
      <w:pPr>
        <w:pageBreakBefore w:val="0"/>
        <w:kinsoku/>
        <w:wordWrap/>
        <w:overflowPunct/>
        <w:topLinePunct w:val="0"/>
        <w:bidi w:val="0"/>
        <w:spacing w:line="360" w:lineRule="auto"/>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北京城市副中心城镇绿地养护管理工作意见</w:t>
      </w:r>
    </w:p>
    <w:p w14:paraId="4B2D3FA0">
      <w:pPr>
        <w:pStyle w:val="17"/>
        <w:pageBreakBefore w:val="0"/>
        <w:kinsoku/>
        <w:wordWrap/>
        <w:overflowPunct/>
        <w:topLinePunct w:val="0"/>
        <w:bidi w:val="0"/>
        <w:spacing w:before="141" w:line="360" w:lineRule="auto"/>
        <w:ind w:left="223" w:right="214" w:firstLine="427"/>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为提升北京城市副中心城镇绿地养护管理水平，按照北京市人民政府《关于提高北京城市</w:t>
      </w:r>
      <w:r>
        <w:rPr>
          <w:rFonts w:hint="eastAsia" w:ascii="宋体" w:hAnsi="宋体" w:eastAsia="宋体" w:cs="宋体"/>
          <w:color w:val="auto"/>
          <w:spacing w:val="-4"/>
          <w:sz w:val="24"/>
          <w:szCs w:val="24"/>
          <w:highlight w:val="none"/>
          <w:lang w:eastAsia="zh-CN"/>
        </w:rPr>
        <w:t>副中心管理水平的意见》(</w:t>
      </w:r>
      <w:r>
        <w:rPr>
          <w:rFonts w:hint="eastAsia" w:ascii="宋体" w:hAnsi="宋体" w:eastAsia="宋体" w:cs="宋体"/>
          <w:color w:val="auto"/>
          <w:spacing w:val="-2"/>
          <w:sz w:val="24"/>
          <w:szCs w:val="24"/>
          <w:highlight w:val="none"/>
          <w:lang w:eastAsia="zh-CN"/>
        </w:rPr>
        <w:t>京政办发〔</w:t>
      </w:r>
      <w:r>
        <w:rPr>
          <w:rFonts w:hint="eastAsia" w:ascii="宋体" w:hAnsi="宋体" w:eastAsia="宋体" w:cs="宋体"/>
          <w:color w:val="auto"/>
          <w:sz w:val="24"/>
          <w:szCs w:val="24"/>
          <w:highlight w:val="none"/>
          <w:lang w:eastAsia="zh-CN"/>
        </w:rPr>
        <w:t>2017〕5 号)</w:t>
      </w:r>
      <w:r>
        <w:rPr>
          <w:rFonts w:hint="eastAsia" w:ascii="宋体" w:hAnsi="宋体" w:eastAsia="宋体" w:cs="宋体"/>
          <w:color w:val="auto"/>
          <w:spacing w:val="-2"/>
          <w:sz w:val="24"/>
          <w:szCs w:val="24"/>
          <w:highlight w:val="none"/>
          <w:lang w:eastAsia="zh-CN"/>
        </w:rPr>
        <w:t>的要求</w:t>
      </w:r>
      <w:r>
        <w:rPr>
          <w:rFonts w:hint="eastAsia" w:ascii="宋体" w:hAnsi="宋体" w:eastAsia="宋体" w:cs="宋体"/>
          <w:color w:val="auto"/>
          <w:spacing w:val="-3"/>
          <w:sz w:val="24"/>
          <w:szCs w:val="24"/>
          <w:highlight w:val="none"/>
          <w:lang w:eastAsia="zh-CN"/>
        </w:rPr>
        <w:t>,结合北京城市副中心的区域特点和实际情况，依据《城镇绿地养护管理规范》</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2"/>
          <w:sz w:val="24"/>
          <w:szCs w:val="24"/>
          <w:highlight w:val="none"/>
          <w:lang w:eastAsia="zh-CN"/>
        </w:rPr>
        <w:t>D</w:t>
      </w:r>
      <w:r>
        <w:rPr>
          <w:rFonts w:hint="eastAsia" w:ascii="宋体" w:hAnsi="宋体" w:eastAsia="宋体" w:cs="宋体"/>
          <w:color w:val="auto"/>
          <w:sz w:val="24"/>
          <w:szCs w:val="24"/>
          <w:highlight w:val="none"/>
          <w:lang w:eastAsia="zh-CN"/>
        </w:rPr>
        <w:t>B</w:t>
      </w:r>
      <w:r>
        <w:rPr>
          <w:rFonts w:hint="eastAsia" w:ascii="宋体" w:hAnsi="宋体" w:eastAsia="宋体" w:cs="宋体"/>
          <w:color w:val="auto"/>
          <w:spacing w:val="-8"/>
          <w:sz w:val="24"/>
          <w:szCs w:val="24"/>
          <w:highlight w:val="none"/>
          <w:lang w:eastAsia="zh-CN"/>
        </w:rPr>
        <w:t>1</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z w:val="24"/>
          <w:szCs w:val="24"/>
          <w:highlight w:val="none"/>
          <w:lang w:eastAsia="zh-CN"/>
        </w:rPr>
        <w:t>T2</w:t>
      </w:r>
      <w:r>
        <w:rPr>
          <w:rFonts w:hint="eastAsia" w:ascii="宋体" w:hAnsi="宋体" w:eastAsia="宋体" w:cs="宋体"/>
          <w:color w:val="auto"/>
          <w:spacing w:val="-3"/>
          <w:sz w:val="24"/>
          <w:szCs w:val="24"/>
          <w:highlight w:val="none"/>
          <w:lang w:eastAsia="zh-CN"/>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z w:val="24"/>
          <w:szCs w:val="24"/>
          <w:highlight w:val="none"/>
          <w:lang w:eastAsia="zh-CN"/>
        </w:rPr>
        <w:t>2014</w:t>
      </w:r>
      <w:r>
        <w:rPr>
          <w:rFonts w:hint="eastAsia" w:ascii="宋体" w:hAnsi="宋体" w:eastAsia="宋体" w:cs="宋体"/>
          <w:color w:val="auto"/>
          <w:spacing w:val="-106"/>
          <w:sz w:val="24"/>
          <w:szCs w:val="24"/>
          <w:highlight w:val="none"/>
          <w:lang w:eastAsia="zh-CN"/>
        </w:rPr>
        <w:t>）</w:t>
      </w:r>
      <w:r>
        <w:rPr>
          <w:rFonts w:hint="eastAsia" w:ascii="宋体" w:hAnsi="宋体" w:eastAsia="宋体" w:cs="宋体"/>
          <w:color w:val="auto"/>
          <w:spacing w:val="-3"/>
          <w:sz w:val="24"/>
          <w:szCs w:val="24"/>
          <w:highlight w:val="none"/>
          <w:lang w:eastAsia="zh-CN"/>
        </w:rPr>
        <w:t>，特提出如下意见。</w:t>
      </w:r>
    </w:p>
    <w:p w14:paraId="778CDAED">
      <w:pPr>
        <w:pStyle w:val="17"/>
        <w:pageBreakBefore w:val="0"/>
        <w:kinsoku/>
        <w:wordWrap/>
        <w:overflowPunct/>
        <w:topLinePunct w:val="0"/>
        <w:bidi w:val="0"/>
        <w:spacing w:before="1"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一、植物养护</w:t>
      </w:r>
    </w:p>
    <w:p w14:paraId="637D6114">
      <w:pPr>
        <w:pStyle w:val="17"/>
        <w:pageBreakBefore w:val="0"/>
        <w:kinsoku/>
        <w:wordWrap/>
        <w:overflowPunct/>
        <w:topLinePunct w:val="0"/>
        <w:bidi w:val="0"/>
        <w:spacing w:before="151"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（一）园林树木</w:t>
      </w:r>
    </w:p>
    <w:p w14:paraId="089B9E3B">
      <w:pPr>
        <w:pStyle w:val="17"/>
        <w:pageBreakBefore w:val="0"/>
        <w:kinsoku/>
        <w:wordWrap/>
        <w:overflowPunct/>
        <w:topLinePunct w:val="0"/>
        <w:bidi w:val="0"/>
        <w:spacing w:before="151" w:line="360" w:lineRule="auto"/>
        <w:ind w:left="85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 修剪</w:t>
      </w:r>
    </w:p>
    <w:p w14:paraId="74075825">
      <w:pPr>
        <w:pStyle w:val="17"/>
        <w:pageBreakBefore w:val="0"/>
        <w:kinsoku/>
        <w:wordWrap/>
        <w:overflowPunct/>
        <w:topLinePunct w:val="0"/>
        <w:bidi w:val="0"/>
        <w:spacing w:before="151"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（1）修剪原则</w:t>
      </w:r>
    </w:p>
    <w:p w14:paraId="4F3AE5C3">
      <w:pPr>
        <w:pStyle w:val="17"/>
        <w:pageBreakBefore w:val="0"/>
        <w:kinsoku/>
        <w:wordWrap/>
        <w:overflowPunct/>
        <w:topLinePunct w:val="0"/>
        <w:bidi w:val="0"/>
        <w:spacing w:before="151" w:line="360" w:lineRule="auto"/>
        <w:ind w:left="224" w:right="212" w:firstLine="427"/>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依据园林绿化功能和设计的要求，顺应树木生长特性和自然分枝规律（特型树木除外</w:t>
      </w:r>
      <w:r>
        <w:rPr>
          <w:rFonts w:hint="eastAsia" w:ascii="宋体" w:hAnsi="宋体" w:eastAsia="宋体" w:cs="宋体"/>
          <w:color w:val="auto"/>
          <w:spacing w:val="-101"/>
          <w:sz w:val="24"/>
          <w:szCs w:val="24"/>
          <w:highlight w:val="none"/>
          <w:lang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8"/>
          <w:sz w:val="24"/>
          <w:szCs w:val="24"/>
          <w:highlight w:val="none"/>
          <w:lang w:eastAsia="zh-CN"/>
        </w:rPr>
        <w:t>考虑树木生长势、树龄及生长环境，通过修剪改善通风透光条件，平衡树势，形成良好的生长</w:t>
      </w:r>
      <w:r>
        <w:rPr>
          <w:rFonts w:hint="eastAsia" w:ascii="宋体" w:hAnsi="宋体" w:eastAsia="宋体" w:cs="宋体"/>
          <w:color w:val="auto"/>
          <w:spacing w:val="-5"/>
          <w:sz w:val="24"/>
          <w:szCs w:val="24"/>
          <w:highlight w:val="none"/>
          <w:lang w:eastAsia="zh-CN"/>
        </w:rPr>
        <w:t>状态，满足树木生理需求和景观要求。</w:t>
      </w:r>
    </w:p>
    <w:p w14:paraId="1243303A">
      <w:pPr>
        <w:pStyle w:val="17"/>
        <w:pageBreakBefore w:val="0"/>
        <w:kinsoku/>
        <w:wordWrap/>
        <w:overflowPunct/>
        <w:topLinePunct w:val="0"/>
        <w:bidi w:val="0"/>
        <w:spacing w:before="1"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（2）修剪方案</w:t>
      </w:r>
    </w:p>
    <w:p w14:paraId="2F7395D6">
      <w:pPr>
        <w:pStyle w:val="17"/>
        <w:pageBreakBefore w:val="0"/>
        <w:kinsoku/>
        <w:wordWrap/>
        <w:overflowPunct/>
        <w:topLinePunct w:val="0"/>
        <w:bidi w:val="0"/>
        <w:spacing w:before="151" w:line="360" w:lineRule="auto"/>
        <w:ind w:left="224" w:right="214" w:firstLine="427"/>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lang w:eastAsia="zh-CN"/>
        </w:rPr>
        <w:t>树木修剪前应制定详细修剪方案，包括：人员培训、时间进度、工力安排、工具准备、安全维护、现场清理等，并认真加以贯彻。做到因地、因树、因时修剪。修剪方案需保证修剪技</w:t>
      </w:r>
      <w:r>
        <w:rPr>
          <w:rFonts w:hint="eastAsia" w:ascii="宋体" w:hAnsi="宋体" w:eastAsia="宋体" w:cs="宋体"/>
          <w:color w:val="auto"/>
          <w:spacing w:val="-3"/>
          <w:sz w:val="24"/>
          <w:szCs w:val="24"/>
          <w:highlight w:val="none"/>
          <w:lang w:eastAsia="zh-CN"/>
        </w:rPr>
        <w:t>术措施的延续性和修剪工作的连续性。</w:t>
      </w:r>
    </w:p>
    <w:p w14:paraId="2090E0DB">
      <w:pPr>
        <w:pStyle w:val="17"/>
        <w:pageBreakBefore w:val="0"/>
        <w:kinsoku/>
        <w:wordWrap/>
        <w:overflowPunct/>
        <w:topLinePunct w:val="0"/>
        <w:bidi w:val="0"/>
        <w:spacing w:before="1"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（3）修剪时期</w:t>
      </w:r>
    </w:p>
    <w:p w14:paraId="583E449A">
      <w:pPr>
        <w:pStyle w:val="17"/>
        <w:pageBreakBefore w:val="0"/>
        <w:kinsoku/>
        <w:wordWrap/>
        <w:overflowPunct/>
        <w:topLinePunct w:val="0"/>
        <w:bidi w:val="0"/>
        <w:spacing w:before="151" w:line="360" w:lineRule="auto"/>
        <w:ind w:left="224" w:right="106"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lang w:eastAsia="zh-CN"/>
        </w:rPr>
        <w:t>剪除枯死枝、病虫枝、抹芽、去孽等可随时进行；回缩更新修剪应在休眠期进行；抗寒性</w:t>
      </w:r>
      <w:r>
        <w:rPr>
          <w:rFonts w:hint="eastAsia" w:ascii="宋体" w:hAnsi="宋体" w:eastAsia="宋体" w:cs="宋体"/>
          <w:color w:val="auto"/>
          <w:spacing w:val="-13"/>
          <w:sz w:val="24"/>
          <w:szCs w:val="24"/>
          <w:highlight w:val="none"/>
          <w:lang w:eastAsia="zh-CN"/>
        </w:rPr>
        <w:t>差、易抽条的树种应于早春气温回升、温度稳定后进行；有严重伤流和易流胶的树种，如核桃、</w:t>
      </w:r>
      <w:r>
        <w:rPr>
          <w:rFonts w:hint="eastAsia" w:ascii="宋体" w:hAnsi="宋体" w:eastAsia="宋体" w:cs="宋体"/>
          <w:color w:val="auto"/>
          <w:spacing w:val="-6"/>
          <w:sz w:val="24"/>
          <w:szCs w:val="24"/>
          <w:highlight w:val="none"/>
          <w:lang w:eastAsia="zh-CN"/>
        </w:rPr>
        <w:t>元宝枫等，应避开生长季和落叶后伤流严重期；常绿树修剪应避开生长旺盛期。</w:t>
      </w:r>
    </w:p>
    <w:p w14:paraId="3D8ABF0A">
      <w:pPr>
        <w:pStyle w:val="17"/>
        <w:pageBreakBefore w:val="0"/>
        <w:kinsoku/>
        <w:wordWrap/>
        <w:overflowPunct/>
        <w:topLinePunct w:val="0"/>
        <w:bidi w:val="0"/>
        <w:spacing w:before="1"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气候等特殊原因造成树体倾斜、枝杈劈裂、折断等应及时抢险处理。</w:t>
      </w:r>
    </w:p>
    <w:p w14:paraId="36D3B0F5">
      <w:pPr>
        <w:pStyle w:val="17"/>
        <w:pageBreakBefore w:val="0"/>
        <w:kinsoku/>
        <w:wordWrap/>
        <w:overflowPunct/>
        <w:topLinePunct w:val="0"/>
        <w:bidi w:val="0"/>
        <w:spacing w:before="151"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（4）剪锯口处理</w:t>
      </w:r>
    </w:p>
    <w:p w14:paraId="156B92B0">
      <w:pPr>
        <w:pStyle w:val="17"/>
        <w:pageBreakBefore w:val="0"/>
        <w:kinsoku/>
        <w:wordWrap/>
        <w:overflowPunct/>
        <w:topLinePunct w:val="0"/>
        <w:bidi w:val="0"/>
        <w:spacing w:before="151" w:line="360" w:lineRule="auto"/>
        <w:ind w:left="224" w:right="211" w:firstLine="427"/>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 xml:space="preserve">疏除修剪时，落叶树一般不留残桩；常绿树留 </w:t>
      </w:r>
      <w:r>
        <w:rPr>
          <w:rFonts w:hint="eastAsia" w:ascii="宋体" w:hAnsi="宋体" w:eastAsia="宋体" w:cs="宋体"/>
          <w:color w:val="auto"/>
          <w:sz w:val="24"/>
          <w:szCs w:val="24"/>
          <w:highlight w:val="none"/>
          <w:lang w:eastAsia="zh-CN"/>
        </w:rPr>
        <w:t xml:space="preserve">1cm-2cm </w:t>
      </w:r>
      <w:r>
        <w:rPr>
          <w:rFonts w:hint="eastAsia" w:ascii="宋体" w:hAnsi="宋体" w:eastAsia="宋体" w:cs="宋体"/>
          <w:color w:val="auto"/>
          <w:spacing w:val="-3"/>
          <w:sz w:val="24"/>
          <w:szCs w:val="24"/>
          <w:highlight w:val="none"/>
          <w:lang w:eastAsia="zh-CN"/>
        </w:rPr>
        <w:t>的残桩；簇生枝和轮生枝需隔年</w:t>
      </w:r>
      <w:r>
        <w:rPr>
          <w:rFonts w:hint="eastAsia" w:ascii="宋体" w:hAnsi="宋体" w:eastAsia="宋体" w:cs="宋体"/>
          <w:color w:val="auto"/>
          <w:spacing w:val="-13"/>
          <w:sz w:val="24"/>
          <w:szCs w:val="24"/>
          <w:highlight w:val="none"/>
          <w:lang w:eastAsia="zh-CN"/>
        </w:rPr>
        <w:t xml:space="preserve">分次疏除。过于粗壮的大枝应采取分段截枝法，即先用锯在枝基部向枝延伸方向 </w:t>
      </w:r>
      <w:r>
        <w:rPr>
          <w:rFonts w:hint="eastAsia" w:ascii="宋体" w:hAnsi="宋体" w:eastAsia="宋体" w:cs="宋体"/>
          <w:color w:val="auto"/>
          <w:sz w:val="24"/>
          <w:szCs w:val="24"/>
          <w:highlight w:val="none"/>
          <w:lang w:eastAsia="zh-CN"/>
        </w:rPr>
        <w:t>10cm-15cm 处</w:t>
      </w:r>
      <w:r>
        <w:rPr>
          <w:rFonts w:hint="eastAsia" w:ascii="宋体" w:hAnsi="宋体" w:eastAsia="宋体" w:cs="宋体"/>
          <w:color w:val="auto"/>
          <w:spacing w:val="-7"/>
          <w:sz w:val="24"/>
          <w:szCs w:val="24"/>
          <w:highlight w:val="none"/>
          <w:lang w:eastAsia="zh-CN"/>
        </w:rPr>
        <w:t xml:space="preserve">的下方由下向上锯入 </w:t>
      </w:r>
      <w:r>
        <w:rPr>
          <w:rFonts w:hint="eastAsia" w:ascii="宋体" w:hAnsi="宋体" w:eastAsia="宋体" w:cs="宋体"/>
          <w:color w:val="auto"/>
          <w:sz w:val="24"/>
          <w:szCs w:val="24"/>
          <w:highlight w:val="none"/>
          <w:lang w:eastAsia="zh-CN"/>
        </w:rPr>
        <w:t xml:space="preserve">1/3 </w:t>
      </w:r>
      <w:r>
        <w:rPr>
          <w:rFonts w:hint="eastAsia" w:ascii="宋体" w:hAnsi="宋体" w:eastAsia="宋体" w:cs="宋体"/>
          <w:color w:val="auto"/>
          <w:spacing w:val="-18"/>
          <w:sz w:val="24"/>
          <w:szCs w:val="24"/>
          <w:highlight w:val="none"/>
          <w:lang w:eastAsia="zh-CN"/>
        </w:rPr>
        <w:t xml:space="preserve">至 </w:t>
      </w:r>
      <w:r>
        <w:rPr>
          <w:rFonts w:hint="eastAsia" w:ascii="宋体" w:hAnsi="宋体" w:eastAsia="宋体" w:cs="宋体"/>
          <w:color w:val="auto"/>
          <w:sz w:val="24"/>
          <w:szCs w:val="24"/>
          <w:highlight w:val="none"/>
          <w:lang w:eastAsia="zh-CN"/>
        </w:rPr>
        <w:t>2/5</w:t>
      </w:r>
      <w:r>
        <w:rPr>
          <w:rFonts w:hint="eastAsia" w:ascii="宋体" w:hAnsi="宋体" w:eastAsia="宋体" w:cs="宋体"/>
          <w:color w:val="auto"/>
          <w:spacing w:val="-7"/>
          <w:sz w:val="24"/>
          <w:szCs w:val="24"/>
          <w:highlight w:val="none"/>
          <w:lang w:eastAsia="zh-CN"/>
        </w:rPr>
        <w:t xml:space="preserve">，然后在锯口前或后 </w:t>
      </w:r>
      <w:r>
        <w:rPr>
          <w:rFonts w:hint="eastAsia" w:ascii="宋体" w:hAnsi="宋体" w:eastAsia="宋体" w:cs="宋体"/>
          <w:color w:val="auto"/>
          <w:sz w:val="24"/>
          <w:szCs w:val="24"/>
          <w:highlight w:val="none"/>
          <w:lang w:eastAsia="zh-CN"/>
        </w:rPr>
        <w:t xml:space="preserve">5cm </w:t>
      </w:r>
      <w:r>
        <w:rPr>
          <w:rFonts w:hint="eastAsia" w:ascii="宋体" w:hAnsi="宋体" w:eastAsia="宋体" w:cs="宋体"/>
          <w:color w:val="auto"/>
          <w:spacing w:val="-3"/>
          <w:sz w:val="24"/>
          <w:szCs w:val="24"/>
          <w:highlight w:val="none"/>
          <w:lang w:eastAsia="zh-CN"/>
        </w:rPr>
        <w:t>处从上向下锯下，待枝滑落后，从上至下去除残桩。</w:t>
      </w:r>
    </w:p>
    <w:p w14:paraId="21A1E658">
      <w:pPr>
        <w:pStyle w:val="17"/>
        <w:pageBreakBefore w:val="0"/>
        <w:kinsoku/>
        <w:wordWrap/>
        <w:overflowPunct/>
        <w:topLinePunct w:val="0"/>
        <w:bidi w:val="0"/>
        <w:spacing w:before="1" w:line="360" w:lineRule="auto"/>
        <w:ind w:left="224" w:right="211" w:firstLine="48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剪锯口应平滑，无劈裂，并注意留芽方向；直径超过 2cm 以上的剪锯口，涂抹防腐剂促进伤口愈合。</w:t>
      </w:r>
    </w:p>
    <w:p w14:paraId="244E3368">
      <w:pPr>
        <w:pStyle w:val="17"/>
        <w:pageBreakBefore w:val="0"/>
        <w:kinsoku/>
        <w:wordWrap/>
        <w:overflowPunct/>
        <w:topLinePunct w:val="0"/>
        <w:bidi w:val="0"/>
        <w:spacing w:before="1" w:line="360" w:lineRule="auto"/>
        <w:ind w:left="71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（5）乔木修剪</w:t>
      </w:r>
    </w:p>
    <w:p w14:paraId="72BC8AA5">
      <w:pPr>
        <w:pStyle w:val="17"/>
        <w:pageBreakBefore w:val="0"/>
        <w:kinsoku/>
        <w:wordWrap/>
        <w:overflowPunct/>
        <w:topLinePunct w:val="0"/>
        <w:bidi w:val="0"/>
        <w:spacing w:before="151" w:line="360" w:lineRule="auto"/>
        <w:ind w:left="224" w:right="175" w:firstLine="48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① 对主轴明显树种，应注意保护中央领导枝，使其直立向上生长；无明显主枝树种，应形成自然丰满的圆球形或半球形；针叶树应剪除基部垂地枝条，并随树木生长提高分枝点。</w:t>
      </w:r>
    </w:p>
    <w:p w14:paraId="390D6FC7">
      <w:pPr>
        <w:pStyle w:val="17"/>
        <w:pageBreakBefore w:val="0"/>
        <w:kinsoku/>
        <w:wordWrap/>
        <w:overflowPunct/>
        <w:topLinePunct w:val="0"/>
        <w:bidi w:val="0"/>
        <w:spacing w:line="360" w:lineRule="auto"/>
        <w:ind w:left="224" w:right="214" w:firstLine="48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② 除按上述操作外，绿地内丛植乔木，同一树龄和品种的分枝点高度应基本一致，位于林带边缘的树木分枝点可稍低于林内树木，保持自然顺畅的林冠线。</w:t>
      </w:r>
    </w:p>
    <w:p w14:paraId="611ECFB5">
      <w:pPr>
        <w:pStyle w:val="17"/>
        <w:pageBreakBefore w:val="0"/>
        <w:kinsoku/>
        <w:wordWrap/>
        <w:overflowPunct/>
        <w:topLinePunct w:val="0"/>
        <w:bidi w:val="0"/>
        <w:spacing w:before="46" w:line="360" w:lineRule="auto"/>
        <w:ind w:left="71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③ 绿地内孤植乔木，修剪时还应调整好树种间的关系，突出主栽品种。</w:t>
      </w:r>
    </w:p>
    <w:p w14:paraId="641198EA">
      <w:pPr>
        <w:pStyle w:val="17"/>
        <w:pageBreakBefore w:val="0"/>
        <w:kinsoku/>
        <w:wordWrap/>
        <w:overflowPunct/>
        <w:topLinePunct w:val="0"/>
        <w:bidi w:val="0"/>
        <w:spacing w:before="151" w:line="360" w:lineRule="auto"/>
        <w:ind w:left="223" w:right="214" w:firstLine="48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④ 行道树：树型和分枝点高度应基本一致，分枝点高度不得低于 2.8m</w:t>
      </w:r>
      <w:r>
        <w:rPr>
          <w:rFonts w:hint="eastAsia" w:ascii="宋体" w:hAnsi="宋体" w:eastAsia="宋体" w:cs="宋体"/>
          <w:color w:val="auto"/>
          <w:spacing w:val="-3"/>
          <w:sz w:val="24"/>
          <w:szCs w:val="24"/>
          <w:highlight w:val="none"/>
          <w:lang w:eastAsia="zh-CN"/>
        </w:rPr>
        <w:t>；加强行道树冬季整形修剪和雨季前危枝、死杈的修剪。</w:t>
      </w:r>
    </w:p>
    <w:p w14:paraId="27B23763">
      <w:pPr>
        <w:pStyle w:val="17"/>
        <w:pageBreakBefore w:val="0"/>
        <w:kinsoku/>
        <w:wordWrap/>
        <w:overflowPunct/>
        <w:topLinePunct w:val="0"/>
        <w:bidi w:val="0"/>
        <w:spacing w:line="360" w:lineRule="auto"/>
        <w:ind w:left="223" w:right="217" w:firstLine="48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 xml:space="preserve">⑤ 在交通路口 </w:t>
      </w:r>
      <w:r>
        <w:rPr>
          <w:rFonts w:hint="eastAsia" w:ascii="宋体" w:hAnsi="宋体" w:eastAsia="宋体" w:cs="宋体"/>
          <w:color w:val="auto"/>
          <w:sz w:val="24"/>
          <w:szCs w:val="24"/>
          <w:highlight w:val="none"/>
          <w:lang w:eastAsia="zh-CN"/>
        </w:rPr>
        <w:t xml:space="preserve">30m </w:t>
      </w:r>
      <w:r>
        <w:rPr>
          <w:rFonts w:hint="eastAsia" w:ascii="宋体" w:hAnsi="宋体" w:eastAsia="宋体" w:cs="宋体"/>
          <w:color w:val="auto"/>
          <w:spacing w:val="-8"/>
          <w:sz w:val="24"/>
          <w:szCs w:val="24"/>
          <w:highlight w:val="none"/>
          <w:lang w:eastAsia="zh-CN"/>
        </w:rPr>
        <w:t>范围内的树冠不能遮挡交通信号灯；要与路灯、变压设备、架空线保</w:t>
      </w:r>
      <w:r>
        <w:rPr>
          <w:rFonts w:hint="eastAsia" w:ascii="宋体" w:hAnsi="宋体" w:eastAsia="宋体" w:cs="宋体"/>
          <w:color w:val="auto"/>
          <w:spacing w:val="-5"/>
          <w:sz w:val="24"/>
          <w:szCs w:val="24"/>
          <w:highlight w:val="none"/>
          <w:lang w:eastAsia="zh-CN"/>
        </w:rPr>
        <w:t>留足够的安全距离；遮挡其他交通标识的树枝及时剪除。</w:t>
      </w:r>
    </w:p>
    <w:p w14:paraId="0B271F0A">
      <w:pPr>
        <w:pStyle w:val="17"/>
        <w:pageBreakBefore w:val="0"/>
        <w:kinsoku/>
        <w:wordWrap/>
        <w:overflowPunct/>
        <w:topLinePunct w:val="0"/>
        <w:bidi w:val="0"/>
        <w:spacing w:before="1" w:line="360" w:lineRule="auto"/>
        <w:ind w:left="71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⑥ 乔木每年修剪次数如下：特级和一级绿地不少于 2 次；二级绿地不少于 1 次。</w:t>
      </w:r>
    </w:p>
    <w:p w14:paraId="3E8D8734">
      <w:pPr>
        <w:pStyle w:val="17"/>
        <w:pageBreakBefore w:val="0"/>
        <w:kinsoku/>
        <w:wordWrap/>
        <w:overflowPunct/>
        <w:topLinePunct w:val="0"/>
        <w:bidi w:val="0"/>
        <w:spacing w:before="151" w:line="360" w:lineRule="auto"/>
        <w:ind w:left="71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（6）灌木修剪</w:t>
      </w:r>
    </w:p>
    <w:p w14:paraId="2C6111CA">
      <w:pPr>
        <w:pStyle w:val="17"/>
        <w:pageBreakBefore w:val="0"/>
        <w:kinsoku/>
        <w:wordWrap/>
        <w:overflowPunct/>
        <w:topLinePunct w:val="0"/>
        <w:bidi w:val="0"/>
        <w:spacing w:before="151"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① 孤植灌木：应形成冠形美观、分枝匀称、内高外低、自然丰满的圆球形或半球形。</w:t>
      </w:r>
    </w:p>
    <w:p w14:paraId="75221200">
      <w:pPr>
        <w:pStyle w:val="17"/>
        <w:pageBreakBefore w:val="0"/>
        <w:kinsoku/>
        <w:wordWrap/>
        <w:overflowPunct/>
        <w:topLinePunct w:val="0"/>
        <w:bidi w:val="0"/>
        <w:spacing w:before="151" w:line="360" w:lineRule="auto"/>
        <w:ind w:left="224" w:right="216"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② 同一种类丛植灌木：应形成外缘枝叶繁密、轮廓自然顺畅的灌丛；多种类栽植灌木丛还应调整好树种间的关系，突出主栽品种，并适当留出生长空间。</w:t>
      </w:r>
    </w:p>
    <w:p w14:paraId="533BC773">
      <w:pPr>
        <w:pStyle w:val="17"/>
        <w:pageBreakBefore w:val="0"/>
        <w:kinsoku/>
        <w:wordWrap/>
        <w:overflowPunct/>
        <w:topLinePunct w:val="0"/>
        <w:bidi w:val="0"/>
        <w:spacing w:before="1" w:line="360" w:lineRule="auto"/>
        <w:ind w:left="224" w:right="212" w:firstLine="427"/>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③ 观花为主灌木，修剪应有利于促进短枝和花芽形成；观叶为主灌木，修剪应促进新叶</w:t>
      </w:r>
      <w:r>
        <w:rPr>
          <w:rFonts w:hint="eastAsia" w:ascii="宋体" w:hAnsi="宋体" w:eastAsia="宋体" w:cs="宋体"/>
          <w:color w:val="auto"/>
          <w:spacing w:val="-7"/>
          <w:sz w:val="24"/>
          <w:szCs w:val="24"/>
          <w:highlight w:val="none"/>
          <w:lang w:eastAsia="zh-CN"/>
        </w:rPr>
        <w:t>繁茂。下垂细弱枝及地表萌孽应疏除；内膛过密枝应适当疏剪；强壮枝应进行适当短截；生长</w:t>
      </w:r>
      <w:r>
        <w:rPr>
          <w:rFonts w:hint="eastAsia" w:ascii="宋体" w:hAnsi="宋体" w:eastAsia="宋体" w:cs="宋体"/>
          <w:color w:val="auto"/>
          <w:spacing w:val="-5"/>
          <w:sz w:val="24"/>
          <w:szCs w:val="24"/>
          <w:highlight w:val="none"/>
          <w:lang w:eastAsia="zh-CN"/>
        </w:rPr>
        <w:t>于树冠外的徒长枝，应及时疏除或尽早短截，促生二次枝。</w:t>
      </w:r>
    </w:p>
    <w:p w14:paraId="27B009AA">
      <w:pPr>
        <w:pStyle w:val="17"/>
        <w:pageBreakBefore w:val="0"/>
        <w:kinsoku/>
        <w:wordWrap/>
        <w:overflowPunct/>
        <w:topLinePunct w:val="0"/>
        <w:bidi w:val="0"/>
        <w:spacing w:before="1" w:line="360" w:lineRule="auto"/>
        <w:ind w:left="224" w:right="212" w:firstLine="427"/>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④ 栽种多年的丛生灌木，应逐年更新衰老枝，培育新枝；栽植多年的有主干灌木，应采</w:t>
      </w:r>
      <w:r>
        <w:rPr>
          <w:rFonts w:hint="eastAsia" w:ascii="宋体" w:hAnsi="宋体" w:eastAsia="宋体" w:cs="宋体"/>
          <w:color w:val="auto"/>
          <w:spacing w:val="-7"/>
          <w:sz w:val="24"/>
          <w:szCs w:val="24"/>
          <w:highlight w:val="none"/>
          <w:lang w:eastAsia="zh-CN"/>
        </w:rPr>
        <w:t>取逐年交替回缩主枝控制树冠，防止树势上强下弱。对丁香、金银木等多年生灌木，结合生长</w:t>
      </w:r>
      <w:r>
        <w:rPr>
          <w:rFonts w:hint="eastAsia" w:ascii="宋体" w:hAnsi="宋体" w:eastAsia="宋体" w:cs="宋体"/>
          <w:color w:val="auto"/>
          <w:spacing w:val="-5"/>
          <w:sz w:val="24"/>
          <w:szCs w:val="24"/>
          <w:highlight w:val="none"/>
          <w:lang w:eastAsia="zh-CN"/>
        </w:rPr>
        <w:t>环境，亦可进行灌木乔化培养修剪。</w:t>
      </w:r>
    </w:p>
    <w:p w14:paraId="498CBF4A">
      <w:pPr>
        <w:pStyle w:val="17"/>
        <w:pageBreakBefore w:val="0"/>
        <w:kinsoku/>
        <w:wordWrap/>
        <w:overflowPunct/>
        <w:topLinePunct w:val="0"/>
        <w:bidi w:val="0"/>
        <w:spacing w:before="1" w:line="360" w:lineRule="auto"/>
        <w:ind w:left="223" w:right="164" w:firstLine="427"/>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⑤ 当年生开花灌木，如：紫薇、木槿、珍珠梅、月季等，为控制高度或影响观赏效果的杂乱过密枝，可于落叶后初冬做轻短截修剪，来年早春再重短截修剪。一年可多次开花灌木， 如：月季、紫薇等应及时剪除残花，促进再次开花。</w:t>
      </w:r>
    </w:p>
    <w:p w14:paraId="6F288C70">
      <w:pPr>
        <w:pStyle w:val="17"/>
        <w:pageBreakBefore w:val="0"/>
        <w:kinsoku/>
        <w:wordWrap/>
        <w:overflowPunct/>
        <w:topLinePunct w:val="0"/>
        <w:bidi w:val="0"/>
        <w:spacing w:before="1" w:line="360" w:lineRule="auto"/>
        <w:ind w:left="223" w:right="217"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⑥ 一年生枝条开花灌木，如：碧桃、榆叶梅、连翘、迎春、丁香、黄刺玫、紫珠等，休眠期适当整形修剪；生长季花后枝条 10-15 天进行中或重短截，并疏剪过密枝。</w:t>
      </w:r>
    </w:p>
    <w:p w14:paraId="382E6BDC">
      <w:pPr>
        <w:pStyle w:val="17"/>
        <w:pageBreakBefore w:val="0"/>
        <w:kinsoku/>
        <w:wordWrap/>
        <w:overflowPunct/>
        <w:topLinePunct w:val="0"/>
        <w:bidi w:val="0"/>
        <w:spacing w:before="1" w:line="360" w:lineRule="auto"/>
        <w:ind w:left="223" w:right="217"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⑦ 多年生枝条开花灌木，如：贴梗海棠、紫荆等，应注意培养和保护老枝，疏除弱枝、过密枝。</w:t>
      </w:r>
    </w:p>
    <w:p w14:paraId="3888C2C1">
      <w:pPr>
        <w:pStyle w:val="17"/>
        <w:pageBreakBefore w:val="0"/>
        <w:kinsoku/>
        <w:wordWrap/>
        <w:overflowPunct/>
        <w:topLinePunct w:val="0"/>
        <w:bidi w:val="0"/>
        <w:spacing w:line="360" w:lineRule="auto"/>
        <w:ind w:left="6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⑧ 灌木每年修剪次数如下：特级和一级绿地不少于 2 次；二级绿地不少于 1 次。</w:t>
      </w:r>
    </w:p>
    <w:p w14:paraId="580752A1">
      <w:pPr>
        <w:pStyle w:val="17"/>
        <w:pageBreakBefore w:val="0"/>
        <w:kinsoku/>
        <w:wordWrap/>
        <w:overflowPunct/>
        <w:topLinePunct w:val="0"/>
        <w:bidi w:val="0"/>
        <w:spacing w:before="151"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（7）造型植物修剪</w:t>
      </w:r>
    </w:p>
    <w:p w14:paraId="1EF92CF3">
      <w:pPr>
        <w:pStyle w:val="17"/>
        <w:pageBreakBefore w:val="0"/>
        <w:kinsoku/>
        <w:wordWrap/>
        <w:overflowPunct/>
        <w:topLinePunct w:val="0"/>
        <w:bidi w:val="0"/>
        <w:spacing w:before="151" w:line="360" w:lineRule="auto"/>
        <w:ind w:left="223" w:right="110"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 xml:space="preserve">① 绿篱、色带、色块、模纹等造型修剪，应轮廓清楚，造型美观、线条整齐，顶面平整， </w:t>
      </w:r>
      <w:r>
        <w:rPr>
          <w:rFonts w:hint="eastAsia" w:ascii="宋体" w:hAnsi="宋体" w:eastAsia="宋体" w:cs="宋体"/>
          <w:color w:val="auto"/>
          <w:spacing w:val="-5"/>
          <w:sz w:val="24"/>
          <w:szCs w:val="24"/>
          <w:highlight w:val="none"/>
          <w:lang w:eastAsia="zh-CN"/>
        </w:rPr>
        <w:t>侧面垂直。球等其他造型修剪亦应轮廓清晰，造型美观。</w:t>
      </w:r>
    </w:p>
    <w:p w14:paraId="3AA3D442">
      <w:pPr>
        <w:pStyle w:val="17"/>
        <w:pageBreakBefore w:val="0"/>
        <w:kinsoku/>
        <w:wordWrap/>
        <w:overflowPunct/>
        <w:topLinePunct w:val="0"/>
        <w:bidi w:val="0"/>
        <w:spacing w:before="1"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② 每次修剪高度较前一次修剪应提高 1cm，修剪后应及时将剪下枝叶清除干净。</w:t>
      </w:r>
    </w:p>
    <w:p w14:paraId="1BB99C95">
      <w:pPr>
        <w:pStyle w:val="17"/>
        <w:pageBreakBefore w:val="0"/>
        <w:kinsoku/>
        <w:wordWrap/>
        <w:overflowPunct/>
        <w:topLinePunct w:val="0"/>
        <w:bidi w:val="0"/>
        <w:spacing w:before="151" w:line="360" w:lineRule="auto"/>
        <w:ind w:left="223" w:right="110" w:firstLine="427"/>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③ 造型植物每年修剪次数如下：特级绿地不少于 3 次；一级绿地不少于 2 次；二级绿地不少于 1 次。</w:t>
      </w:r>
    </w:p>
    <w:p w14:paraId="64021585">
      <w:pPr>
        <w:pStyle w:val="17"/>
        <w:pageBreakBefore w:val="0"/>
        <w:kinsoku/>
        <w:wordWrap/>
        <w:overflowPunct/>
        <w:topLinePunct w:val="0"/>
        <w:bidi w:val="0"/>
        <w:spacing w:before="151" w:line="360" w:lineRule="auto"/>
        <w:ind w:left="76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（8）藤本植物修剪</w:t>
      </w:r>
    </w:p>
    <w:p w14:paraId="34A2CCA6">
      <w:pPr>
        <w:pStyle w:val="17"/>
        <w:pageBreakBefore w:val="0"/>
        <w:kinsoku/>
        <w:wordWrap/>
        <w:overflowPunct/>
        <w:topLinePunct w:val="0"/>
        <w:bidi w:val="0"/>
        <w:spacing w:before="46" w:line="360" w:lineRule="auto"/>
        <w:ind w:left="223" w:right="215" w:firstLine="48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① 吸附类藤本，修剪应着力促进分枝，加强覆盖和盘缠的功能。应在生长季剪去未能吸附墙体而下垂的枝条，未完全覆盖的植物应短截空隙周围枝条，以便发生副梢，填补空缺。</w:t>
      </w:r>
    </w:p>
    <w:p w14:paraId="680906DC">
      <w:pPr>
        <w:pStyle w:val="17"/>
        <w:pageBreakBefore w:val="0"/>
        <w:kinsoku/>
        <w:wordWrap/>
        <w:overflowPunct/>
        <w:topLinePunct w:val="0"/>
        <w:bidi w:val="0"/>
        <w:spacing w:before="46" w:line="360" w:lineRule="auto"/>
        <w:ind w:left="223" w:right="215" w:firstLine="48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② 钩刺类藤本，可按灌木修剪方法疏枝，生长到一定程度，树势衰弱时，应进行回缩修剪，增强树势。</w:t>
      </w:r>
    </w:p>
    <w:p w14:paraId="0209C694">
      <w:pPr>
        <w:pStyle w:val="17"/>
        <w:pageBreakBefore w:val="0"/>
        <w:kinsoku/>
        <w:wordWrap/>
        <w:overflowPunct/>
        <w:topLinePunct w:val="0"/>
        <w:bidi w:val="0"/>
        <w:spacing w:before="46" w:line="360" w:lineRule="auto"/>
        <w:ind w:left="223" w:right="215" w:firstLine="48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③ 长于棚架的藤本，落叶后应疏剪过密枝条，清除枯死枝，使枝条均匀分布架面。</w:t>
      </w:r>
    </w:p>
    <w:p w14:paraId="4132F2D5">
      <w:pPr>
        <w:pStyle w:val="17"/>
        <w:pageBreakBefore w:val="0"/>
        <w:kinsoku/>
        <w:wordWrap/>
        <w:overflowPunct/>
        <w:topLinePunct w:val="0"/>
        <w:bidi w:val="0"/>
        <w:spacing w:before="151" w:line="360" w:lineRule="auto"/>
        <w:ind w:left="71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④ 多年生藤本应常疏枝，并适当进行回缩修剪。</w:t>
      </w:r>
    </w:p>
    <w:p w14:paraId="11011667">
      <w:pPr>
        <w:pStyle w:val="17"/>
        <w:pageBreakBefore w:val="0"/>
        <w:kinsoku/>
        <w:wordWrap/>
        <w:overflowPunct/>
        <w:topLinePunct w:val="0"/>
        <w:bidi w:val="0"/>
        <w:spacing w:before="46" w:line="360" w:lineRule="auto"/>
        <w:ind w:left="223" w:right="215" w:firstLine="48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⑤ 藤本植物每年修剪次数如下：特级和一级绿地不少于 2 次；二级绿地不少于 1 次。</w:t>
      </w:r>
    </w:p>
    <w:p w14:paraId="46D4738B">
      <w:pPr>
        <w:pStyle w:val="17"/>
        <w:pageBreakBefore w:val="0"/>
        <w:kinsoku/>
        <w:wordWrap/>
        <w:overflowPunct/>
        <w:topLinePunct w:val="0"/>
        <w:bidi w:val="0"/>
        <w:spacing w:before="151"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2.浇灌与排涝</w:t>
      </w:r>
    </w:p>
    <w:p w14:paraId="517B2CE8">
      <w:pPr>
        <w:pStyle w:val="17"/>
        <w:pageBreakBefore w:val="0"/>
        <w:kinsoku/>
        <w:wordWrap/>
        <w:overflowPunct/>
        <w:topLinePunct w:val="0"/>
        <w:bidi w:val="0"/>
        <w:spacing w:before="151" w:line="360" w:lineRule="auto"/>
        <w:ind w:left="224" w:right="113" w:firstLine="48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（1）</w:t>
      </w:r>
      <w:r>
        <w:rPr>
          <w:rFonts w:hint="eastAsia" w:ascii="宋体" w:hAnsi="宋体" w:eastAsia="宋体" w:cs="宋体"/>
          <w:color w:val="auto"/>
          <w:spacing w:val="-10"/>
          <w:sz w:val="24"/>
          <w:szCs w:val="24"/>
          <w:highlight w:val="none"/>
          <w:lang w:eastAsia="zh-CN"/>
        </w:rPr>
        <w:t xml:space="preserve">应根据气候特点、土壤墒情、植物需水、根系呼吸代谢等情况，适时适量进行浇水， </w:t>
      </w:r>
      <w:r>
        <w:rPr>
          <w:rFonts w:hint="eastAsia" w:ascii="宋体" w:hAnsi="宋体" w:eastAsia="宋体" w:cs="宋体"/>
          <w:color w:val="auto"/>
          <w:spacing w:val="-3"/>
          <w:sz w:val="24"/>
          <w:szCs w:val="24"/>
          <w:highlight w:val="none"/>
          <w:lang w:eastAsia="zh-CN"/>
        </w:rPr>
        <w:t>保证每次浇足浇透。</w:t>
      </w:r>
    </w:p>
    <w:p w14:paraId="11635C88">
      <w:pPr>
        <w:pStyle w:val="17"/>
        <w:pageBreakBefore w:val="0"/>
        <w:kinsoku/>
        <w:wordWrap/>
        <w:overflowPunct/>
        <w:topLinePunct w:val="0"/>
        <w:bidi w:val="0"/>
        <w:spacing w:before="1" w:line="360" w:lineRule="auto"/>
        <w:ind w:left="224" w:right="212" w:firstLine="487"/>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pacing w:val="-5"/>
          <w:sz w:val="24"/>
          <w:szCs w:val="24"/>
          <w:highlight w:val="none"/>
          <w:lang w:eastAsia="zh-CN"/>
        </w:rPr>
        <w:t>要加强节水意识，积极推广使用节水设施，禁止跑、冒、滴、漏现象。再生水的使</w:t>
      </w:r>
      <w:r>
        <w:rPr>
          <w:rFonts w:hint="eastAsia" w:ascii="宋体" w:hAnsi="宋体" w:eastAsia="宋体" w:cs="宋体"/>
          <w:color w:val="auto"/>
          <w:spacing w:val="-8"/>
          <w:sz w:val="24"/>
          <w:szCs w:val="24"/>
          <w:highlight w:val="none"/>
          <w:lang w:eastAsia="zh-CN"/>
        </w:rPr>
        <w:t>用，水质必须符合园林植物灌溉水质要求。水车浇灌树木时，应接细管缓流浇灌，严禁用高压</w:t>
      </w:r>
      <w:r>
        <w:rPr>
          <w:rFonts w:hint="eastAsia" w:ascii="宋体" w:hAnsi="宋体" w:eastAsia="宋体" w:cs="宋体"/>
          <w:color w:val="auto"/>
          <w:spacing w:val="-5"/>
          <w:sz w:val="24"/>
          <w:szCs w:val="24"/>
          <w:highlight w:val="none"/>
          <w:lang w:eastAsia="zh-CN"/>
        </w:rPr>
        <w:t>水流冲灌。</w:t>
      </w:r>
    </w:p>
    <w:p w14:paraId="5E14CE29">
      <w:pPr>
        <w:pStyle w:val="17"/>
        <w:pageBreakBefore w:val="0"/>
        <w:kinsoku/>
        <w:wordWrap/>
        <w:overflowPunct/>
        <w:topLinePunct w:val="0"/>
        <w:bidi w:val="0"/>
        <w:spacing w:before="1" w:line="360" w:lineRule="auto"/>
        <w:ind w:left="224" w:right="214" w:firstLine="487"/>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（3）树木需开堰浇水；树堰要牢固、整齐、美观。树堰高度不低于 15cm；树堰直径， </w:t>
      </w:r>
      <w:r>
        <w:rPr>
          <w:rFonts w:hint="eastAsia" w:ascii="宋体" w:hAnsi="宋体" w:eastAsia="宋体" w:cs="宋体"/>
          <w:color w:val="auto"/>
          <w:spacing w:val="-3"/>
          <w:sz w:val="24"/>
          <w:szCs w:val="24"/>
          <w:highlight w:val="none"/>
          <w:lang w:eastAsia="zh-CN"/>
        </w:rPr>
        <w:t>原则上有铺装地块的以预留池为准,</w:t>
      </w:r>
      <w:r>
        <w:rPr>
          <w:rFonts w:hint="eastAsia" w:ascii="宋体" w:hAnsi="宋体" w:eastAsia="宋体" w:cs="宋体"/>
          <w:color w:val="auto"/>
          <w:spacing w:val="-5"/>
          <w:sz w:val="24"/>
          <w:szCs w:val="24"/>
          <w:highlight w:val="none"/>
          <w:lang w:eastAsia="zh-CN"/>
        </w:rPr>
        <w:t xml:space="preserve">无铺装地块的，乔木应以树干胸径 </w:t>
      </w:r>
      <w:r>
        <w:rPr>
          <w:rFonts w:hint="eastAsia" w:ascii="宋体" w:hAnsi="宋体" w:eastAsia="宋体" w:cs="宋体"/>
          <w:color w:val="auto"/>
          <w:sz w:val="24"/>
          <w:szCs w:val="24"/>
          <w:highlight w:val="none"/>
          <w:lang w:eastAsia="zh-CN"/>
        </w:rPr>
        <w:t xml:space="preserve">10 </w:t>
      </w:r>
      <w:r>
        <w:rPr>
          <w:rFonts w:hint="eastAsia" w:ascii="宋体" w:hAnsi="宋体" w:eastAsia="宋体" w:cs="宋体"/>
          <w:color w:val="auto"/>
          <w:spacing w:val="-3"/>
          <w:sz w:val="24"/>
          <w:szCs w:val="24"/>
          <w:highlight w:val="none"/>
          <w:lang w:eastAsia="zh-CN"/>
        </w:rPr>
        <w:t>倍左右、树冠垂直投</w:t>
      </w:r>
      <w:r>
        <w:rPr>
          <w:rFonts w:hint="eastAsia" w:ascii="宋体" w:hAnsi="宋体" w:eastAsia="宋体" w:cs="宋体"/>
          <w:color w:val="auto"/>
          <w:spacing w:val="-20"/>
          <w:sz w:val="24"/>
          <w:szCs w:val="24"/>
          <w:highlight w:val="none"/>
          <w:lang w:eastAsia="zh-CN"/>
        </w:rPr>
        <w:t xml:space="preserve">影的 </w:t>
      </w:r>
      <w:r>
        <w:rPr>
          <w:rFonts w:hint="eastAsia" w:ascii="宋体" w:hAnsi="宋体" w:eastAsia="宋体" w:cs="宋体"/>
          <w:color w:val="auto"/>
          <w:sz w:val="24"/>
          <w:szCs w:val="24"/>
          <w:highlight w:val="none"/>
          <w:lang w:eastAsia="zh-CN"/>
        </w:rPr>
        <w:t xml:space="preserve">1/2 </w:t>
      </w:r>
      <w:r>
        <w:rPr>
          <w:rFonts w:hint="eastAsia" w:ascii="宋体" w:hAnsi="宋体" w:eastAsia="宋体" w:cs="宋体"/>
          <w:color w:val="auto"/>
          <w:spacing w:val="-3"/>
          <w:sz w:val="24"/>
          <w:szCs w:val="24"/>
          <w:highlight w:val="none"/>
          <w:lang w:eastAsia="zh-CN"/>
        </w:rPr>
        <w:t>为准。</w:t>
      </w:r>
    </w:p>
    <w:p w14:paraId="7832DD7C">
      <w:pPr>
        <w:pStyle w:val="17"/>
        <w:pageBreakBefore w:val="0"/>
        <w:kinsoku/>
        <w:wordWrap/>
        <w:overflowPunct/>
        <w:topLinePunct w:val="0"/>
        <w:bidi w:val="0"/>
        <w:spacing w:before="1" w:line="360" w:lineRule="auto"/>
        <w:ind w:left="224" w:right="213" w:firstLine="48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（4）排涝：雨季应及时排除树池、绿地内积水，防止植物产生涝害；绿地和树池内积水不得超过 24 小时。</w:t>
      </w:r>
    </w:p>
    <w:p w14:paraId="475FA127">
      <w:pPr>
        <w:pStyle w:val="17"/>
        <w:pageBreakBefore w:val="0"/>
        <w:kinsoku/>
        <w:wordWrap/>
        <w:overflowPunct/>
        <w:topLinePunct w:val="0"/>
        <w:bidi w:val="0"/>
        <w:spacing w:before="46" w:line="360" w:lineRule="auto"/>
        <w:ind w:left="223" w:right="215" w:firstLine="48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（5）乔木、灌木每年浇水的次数如下：特级绿地不少于 15 次；一级绿地不少于 10 次；二级绿地不少于 8 次。造型植物和藤本植物每年浇水的次数如下：特级绿地不少于 10 次；一级绿地不少于 8 次；二级绿地不少于 5 次。</w:t>
      </w:r>
    </w:p>
    <w:p w14:paraId="7B2ECBC9">
      <w:pPr>
        <w:pStyle w:val="17"/>
        <w:pageBreakBefore w:val="0"/>
        <w:kinsoku/>
        <w:wordWrap/>
        <w:overflowPunct/>
        <w:topLinePunct w:val="0"/>
        <w:bidi w:val="0"/>
        <w:spacing w:before="151" w:line="360" w:lineRule="auto"/>
        <w:ind w:firstLine="960" w:firstLineChars="4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土质保水力差、新植树木、浅根系、不耐旱树种及特殊干旱天气，适当增加浇水次数。</w:t>
      </w:r>
    </w:p>
    <w:p w14:paraId="362DBCAA">
      <w:pPr>
        <w:pStyle w:val="17"/>
        <w:pageBreakBefore w:val="0"/>
        <w:kinsoku/>
        <w:wordWrap/>
        <w:overflowPunct/>
        <w:topLinePunct w:val="0"/>
        <w:bidi w:val="0"/>
        <w:spacing w:before="151"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施肥</w:t>
      </w:r>
    </w:p>
    <w:p w14:paraId="2E5FD644">
      <w:pPr>
        <w:pStyle w:val="17"/>
        <w:pageBreakBefore w:val="0"/>
        <w:kinsoku/>
        <w:wordWrap/>
        <w:overflowPunct/>
        <w:topLinePunct w:val="0"/>
        <w:bidi w:val="0"/>
        <w:spacing w:before="151" w:line="360" w:lineRule="auto"/>
        <w:ind w:left="224" w:right="200" w:firstLine="48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（1）科学合理进行施肥。应根据不同树木的生长需要、树木的大小及生长势、土壤肥力状况等因素确定，施肥量、浓度及相关要求应按照产品说明施用。</w:t>
      </w:r>
    </w:p>
    <w:p w14:paraId="08AA54DD">
      <w:pPr>
        <w:pStyle w:val="17"/>
        <w:pageBreakBefore w:val="0"/>
        <w:kinsoku/>
        <w:wordWrap/>
        <w:overflowPunct/>
        <w:topLinePunct w:val="0"/>
        <w:bidi w:val="0"/>
        <w:spacing w:before="1" w:line="360" w:lineRule="auto"/>
        <w:ind w:left="71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（2）树木休眠期以施有机肥为主。树木生长季节可根据需要进行土壤追肥或叶面喷肥。</w:t>
      </w:r>
    </w:p>
    <w:p w14:paraId="3F088C8E">
      <w:pPr>
        <w:pStyle w:val="17"/>
        <w:pageBreakBefore w:val="0"/>
        <w:kinsoku/>
        <w:wordWrap/>
        <w:overflowPunct/>
        <w:topLinePunct w:val="0"/>
        <w:bidi w:val="0"/>
        <w:spacing w:before="151" w:line="360" w:lineRule="auto"/>
        <w:ind w:left="224" w:right="211" w:firstLine="487"/>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pacing w:val="-5"/>
          <w:sz w:val="24"/>
          <w:szCs w:val="24"/>
          <w:highlight w:val="none"/>
          <w:lang w:eastAsia="zh-CN"/>
        </w:rPr>
        <w:t>土壤施肥可采用穴施、环施和放射状沟施等方法，外径应与树木的冠幅及树堰大小</w:t>
      </w:r>
      <w:r>
        <w:rPr>
          <w:rFonts w:hint="eastAsia" w:ascii="宋体" w:hAnsi="宋体" w:eastAsia="宋体" w:cs="宋体"/>
          <w:color w:val="auto"/>
          <w:spacing w:val="-9"/>
          <w:sz w:val="24"/>
          <w:szCs w:val="24"/>
          <w:highlight w:val="none"/>
          <w:lang w:eastAsia="zh-CN"/>
        </w:rPr>
        <w:t>相适应，深度应在根系密集层以上，不能对主要根系造成伤害；肥料不得撒到叶片上；施肥后</w:t>
      </w:r>
      <w:r>
        <w:rPr>
          <w:rFonts w:hint="eastAsia" w:ascii="宋体" w:hAnsi="宋体" w:eastAsia="宋体" w:cs="宋体"/>
          <w:color w:val="auto"/>
          <w:spacing w:val="-5"/>
          <w:sz w:val="24"/>
          <w:szCs w:val="24"/>
          <w:highlight w:val="none"/>
          <w:lang w:eastAsia="zh-CN"/>
        </w:rPr>
        <w:t>掩埋踏实，避免肥料外露，平整场地并及时浇水。</w:t>
      </w:r>
    </w:p>
    <w:p w14:paraId="63E33D59">
      <w:pPr>
        <w:pStyle w:val="17"/>
        <w:pageBreakBefore w:val="0"/>
        <w:kinsoku/>
        <w:wordWrap/>
        <w:overflowPunct/>
        <w:topLinePunct w:val="0"/>
        <w:bidi w:val="0"/>
        <w:spacing w:before="1" w:line="360" w:lineRule="auto"/>
        <w:ind w:left="71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（4）叶面喷肥避免在高温、下雨、大风天进行。</w:t>
      </w:r>
    </w:p>
    <w:p w14:paraId="5BCF35DF">
      <w:pPr>
        <w:pStyle w:val="17"/>
        <w:pageBreakBefore w:val="0"/>
        <w:kinsoku/>
        <w:wordWrap/>
        <w:overflowPunct/>
        <w:topLinePunct w:val="0"/>
        <w:bidi w:val="0"/>
        <w:spacing w:before="151" w:line="360" w:lineRule="auto"/>
        <w:ind w:left="71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（5）针叶树宜施菌根肥，观花观果树种开花后宜追施磷、钾肥。</w:t>
      </w:r>
    </w:p>
    <w:p w14:paraId="42F18FE2">
      <w:pPr>
        <w:pStyle w:val="17"/>
        <w:pageBreakBefore w:val="0"/>
        <w:kinsoku/>
        <w:wordWrap/>
        <w:overflowPunct/>
        <w:topLinePunct w:val="0"/>
        <w:bidi w:val="0"/>
        <w:spacing w:before="151" w:line="360" w:lineRule="auto"/>
        <w:ind w:left="71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（6）每年施肥次数如下：特级和一级绿地不少于 2 次；二级绿地不少于 1 次。</w:t>
      </w:r>
    </w:p>
    <w:p w14:paraId="4159A5C4">
      <w:pPr>
        <w:pStyle w:val="17"/>
        <w:pageBreakBefore w:val="0"/>
        <w:kinsoku/>
        <w:wordWrap/>
        <w:overflowPunct/>
        <w:topLinePunct w:val="0"/>
        <w:bidi w:val="0"/>
        <w:spacing w:before="151" w:line="360" w:lineRule="auto"/>
        <w:ind w:left="65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4.中耕除草</w:t>
      </w:r>
    </w:p>
    <w:p w14:paraId="57B786DF">
      <w:pPr>
        <w:pStyle w:val="17"/>
        <w:pageBreakBefore w:val="0"/>
        <w:numPr>
          <w:ilvl w:val="0"/>
          <w:numId w:val="21"/>
        </w:numPr>
        <w:kinsoku/>
        <w:wordWrap/>
        <w:overflowPunct/>
        <w:topLinePunct w:val="0"/>
        <w:bidi w:val="0"/>
        <w:spacing w:before="66" w:line="360" w:lineRule="auto"/>
        <w:ind w:left="223" w:right="111" w:firstLine="48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为避免杂草与树木争夺水分、养分，增加土壤透气度，保持土壤墒情，植物生长季节应适时对树堰内进行中耕、除草。绿地内慎用化学除草。</w:t>
      </w:r>
    </w:p>
    <w:p w14:paraId="5CDC11C6">
      <w:pPr>
        <w:pStyle w:val="17"/>
        <w:pageBreakBefore w:val="0"/>
        <w:numPr>
          <w:ilvl w:val="0"/>
          <w:numId w:val="21"/>
        </w:numPr>
        <w:kinsoku/>
        <w:wordWrap/>
        <w:overflowPunct/>
        <w:topLinePunct w:val="0"/>
        <w:bidi w:val="0"/>
        <w:spacing w:before="66" w:line="360" w:lineRule="auto"/>
        <w:ind w:left="223" w:right="111" w:firstLine="48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耕宜在土壤干湿度适宜时进行；中耕深度宜 10cm 左右，不应损伤根系和树皮为限，作到土碎地平。结合中耕应清除树堰内杂草、瓦砾、石块、草根等，集中收集并及时清运。</w:t>
      </w:r>
    </w:p>
    <w:p w14:paraId="03D152CE">
      <w:pPr>
        <w:pStyle w:val="17"/>
        <w:pageBreakBefore w:val="0"/>
        <w:kinsoku/>
        <w:wordWrap/>
        <w:overflowPunct/>
        <w:topLinePunct w:val="0"/>
        <w:bidi w:val="0"/>
        <w:spacing w:line="360" w:lineRule="auto"/>
        <w:ind w:left="71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（3）特级绿地除草一般做到“随有随除”，除草每年特级绿地不少于 3 次；一级绿地不少于 2 次；二级绿地不少于 1 次。</w:t>
      </w:r>
    </w:p>
    <w:p w14:paraId="5CE70390">
      <w:pPr>
        <w:pStyle w:val="17"/>
        <w:pageBreakBefore w:val="0"/>
        <w:kinsoku/>
        <w:wordWrap/>
        <w:overflowPunct/>
        <w:topLinePunct w:val="0"/>
        <w:bidi w:val="0"/>
        <w:spacing w:before="151" w:line="360" w:lineRule="auto"/>
        <w:ind w:left="65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5.病虫害防治</w:t>
      </w:r>
    </w:p>
    <w:p w14:paraId="64848CFF">
      <w:pPr>
        <w:pStyle w:val="17"/>
        <w:pageBreakBefore w:val="0"/>
        <w:kinsoku/>
        <w:wordWrap/>
        <w:overflowPunct/>
        <w:topLinePunct w:val="0"/>
        <w:bidi w:val="0"/>
        <w:spacing w:before="151" w:line="360" w:lineRule="auto"/>
        <w:ind w:left="223" w:right="217" w:firstLine="48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（1）应遵循“预防为主，科学治理，依法监管，强化责任”的方针，积极做好病虫害防治工作。病害要早预防早治理，虫害要早发现早治理；做到科学、安全、经济、及时、有效。</w:t>
      </w:r>
    </w:p>
    <w:p w14:paraId="11D3BFB6">
      <w:pPr>
        <w:pStyle w:val="17"/>
        <w:pageBreakBefore w:val="0"/>
        <w:kinsoku/>
        <w:wordWrap/>
        <w:overflowPunct/>
        <w:topLinePunct w:val="0"/>
        <w:bidi w:val="0"/>
        <w:spacing w:before="1" w:line="360" w:lineRule="auto"/>
        <w:ind w:left="71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（2）加强树木养护管理，增强树势，提高抗病虫害能力。</w:t>
      </w:r>
    </w:p>
    <w:p w14:paraId="1827F671">
      <w:pPr>
        <w:pStyle w:val="17"/>
        <w:pageBreakBefore w:val="0"/>
        <w:kinsoku/>
        <w:wordWrap/>
        <w:overflowPunct/>
        <w:topLinePunct w:val="0"/>
        <w:bidi w:val="0"/>
        <w:spacing w:before="151" w:line="360" w:lineRule="auto"/>
        <w:ind w:left="223" w:right="214" w:firstLine="48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（3）加强病虫检查，发现主要病虫害应根据虫情预报及时采取防治措施。对于危险性病虫害，一旦发现疫情应及时上报主管部门，并迅速采取措施。</w:t>
      </w:r>
    </w:p>
    <w:p w14:paraId="0A9A1968">
      <w:pPr>
        <w:pStyle w:val="17"/>
        <w:pageBreakBefore w:val="0"/>
        <w:kinsoku/>
        <w:wordWrap/>
        <w:overflowPunct/>
        <w:topLinePunct w:val="0"/>
        <w:bidi w:val="0"/>
        <w:spacing w:before="1" w:line="360" w:lineRule="auto"/>
        <w:ind w:left="223" w:right="214" w:firstLine="48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（4）及时有效地采取物理防治手段，包括诱杀、阻止上树、人工捕捉、摘除网幕、剪除病虫枝、清理带病虫落叶等。</w:t>
      </w:r>
    </w:p>
    <w:p w14:paraId="0413D2B0">
      <w:pPr>
        <w:pStyle w:val="17"/>
        <w:pageBreakBefore w:val="0"/>
        <w:kinsoku/>
        <w:wordWrap/>
        <w:overflowPunct/>
        <w:topLinePunct w:val="0"/>
        <w:bidi w:val="0"/>
        <w:spacing w:line="360" w:lineRule="auto"/>
        <w:ind w:left="71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（5）积极采用生物防治手段，保护和利用天敌。</w:t>
      </w:r>
    </w:p>
    <w:p w14:paraId="79B8B277">
      <w:pPr>
        <w:pStyle w:val="17"/>
        <w:pageBreakBefore w:val="0"/>
        <w:kinsoku/>
        <w:wordWrap/>
        <w:overflowPunct/>
        <w:topLinePunct w:val="0"/>
        <w:bidi w:val="0"/>
        <w:spacing w:before="151" w:line="360" w:lineRule="auto"/>
        <w:ind w:left="223" w:right="214" w:firstLine="48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（6）采用化学防治时，应选择符合环保要求的高效、低毒、低残留的药剂；应交替使用不同药剂，尽量采用兼治，减少喷药次数。</w:t>
      </w:r>
    </w:p>
    <w:p w14:paraId="590BFD6F">
      <w:pPr>
        <w:pStyle w:val="17"/>
        <w:pageBreakBefore w:val="0"/>
        <w:kinsoku/>
        <w:wordWrap/>
        <w:overflowPunct/>
        <w:topLinePunct w:val="0"/>
        <w:bidi w:val="0"/>
        <w:spacing w:before="1" w:line="360" w:lineRule="auto"/>
        <w:ind w:left="223" w:right="174" w:firstLine="48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（7）依据《农药管理条例》和北京市相关技术规程进行作业。喷洒药剂时应避开人流活动高峰期和夏季高温时段；用药要严格按照产品说明使用。</w:t>
      </w:r>
    </w:p>
    <w:p w14:paraId="2743DA5E">
      <w:pPr>
        <w:pStyle w:val="17"/>
        <w:pageBreakBefore w:val="0"/>
        <w:kinsoku/>
        <w:wordWrap/>
        <w:overflowPunct/>
        <w:topLinePunct w:val="0"/>
        <w:bidi w:val="0"/>
        <w:spacing w:before="1" w:line="360" w:lineRule="auto"/>
        <w:ind w:left="223" w:right="174" w:firstLine="48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（8）打药次数应根据虫害发生情况进行，每年喷药次数如下：特级绿地不少于 7 次；一级绿地不少于 5 次；二级绿地不少于 3 次。</w:t>
      </w:r>
    </w:p>
    <w:p w14:paraId="0480F164">
      <w:pPr>
        <w:pStyle w:val="17"/>
        <w:pageBreakBefore w:val="0"/>
        <w:kinsoku/>
        <w:wordWrap/>
        <w:overflowPunct/>
        <w:topLinePunct w:val="0"/>
        <w:bidi w:val="0"/>
        <w:spacing w:before="151" w:line="360" w:lineRule="auto"/>
        <w:ind w:left="65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6.补植、调整及伐除</w:t>
      </w:r>
    </w:p>
    <w:p w14:paraId="67341841">
      <w:pPr>
        <w:pStyle w:val="17"/>
        <w:pageBreakBefore w:val="0"/>
        <w:kinsoku/>
        <w:wordWrap/>
        <w:overflowPunct/>
        <w:topLinePunct w:val="0"/>
        <w:bidi w:val="0"/>
        <w:spacing w:before="151" w:line="360" w:lineRule="auto"/>
        <w:ind w:left="643"/>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（1）苗木缺株应适时及时进行补植。</w:t>
      </w:r>
    </w:p>
    <w:p w14:paraId="3FCA84DD">
      <w:pPr>
        <w:pStyle w:val="17"/>
        <w:pageBreakBefore w:val="0"/>
        <w:kinsoku/>
        <w:wordWrap/>
        <w:overflowPunct/>
        <w:topLinePunct w:val="0"/>
        <w:bidi w:val="0"/>
        <w:spacing w:before="151" w:line="360" w:lineRule="auto"/>
        <w:ind w:left="223" w:right="109" w:firstLine="42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（2）</w:t>
      </w:r>
      <w:r>
        <w:rPr>
          <w:rFonts w:hint="eastAsia" w:ascii="宋体" w:hAnsi="宋体" w:eastAsia="宋体" w:cs="宋体"/>
          <w:color w:val="auto"/>
          <w:spacing w:val="-6"/>
          <w:sz w:val="24"/>
          <w:szCs w:val="24"/>
          <w:highlight w:val="none"/>
          <w:lang w:eastAsia="zh-CN"/>
        </w:rPr>
        <w:t xml:space="preserve">补植苗木应选用规格相近、树势树型良好、无病虫害的原树种，若改变树种或规格， </w:t>
      </w:r>
      <w:r>
        <w:rPr>
          <w:rFonts w:hint="eastAsia" w:ascii="宋体" w:hAnsi="宋体" w:eastAsia="宋体" w:cs="宋体"/>
          <w:color w:val="auto"/>
          <w:spacing w:val="-4"/>
          <w:sz w:val="24"/>
          <w:szCs w:val="24"/>
          <w:highlight w:val="none"/>
          <w:lang w:eastAsia="zh-CN"/>
        </w:rPr>
        <w:t>应与景观主体相协调。</w:t>
      </w:r>
    </w:p>
    <w:p w14:paraId="03786E7C">
      <w:pPr>
        <w:pStyle w:val="17"/>
        <w:pageBreakBefore w:val="0"/>
        <w:kinsoku/>
        <w:wordWrap/>
        <w:overflowPunct/>
        <w:topLinePunct w:val="0"/>
        <w:bidi w:val="0"/>
        <w:spacing w:before="1" w:line="360" w:lineRule="auto"/>
        <w:ind w:left="223" w:right="203" w:firstLine="48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（3）对于苗木过密需调整、树种需更新、危死树需伐除及配合市政工程等的移伐工作， 需经相关部门批准后方可进行，并应严格按照操作规程规范进行操作。</w:t>
      </w:r>
    </w:p>
    <w:p w14:paraId="0E3EEE92">
      <w:pPr>
        <w:pStyle w:val="17"/>
        <w:pageBreakBefore w:val="0"/>
        <w:kinsoku/>
        <w:wordWrap/>
        <w:overflowPunct/>
        <w:topLinePunct w:val="0"/>
        <w:bidi w:val="0"/>
        <w:spacing w:line="360" w:lineRule="auto"/>
        <w:ind w:left="65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（二）花卉</w:t>
      </w:r>
    </w:p>
    <w:p w14:paraId="00DA200D">
      <w:pPr>
        <w:pStyle w:val="100"/>
        <w:keepNext w:val="0"/>
        <w:keepLines w:val="0"/>
        <w:pageBreakBefore w:val="0"/>
        <w:widowControl w:val="0"/>
        <w:numPr>
          <w:ilvl w:val="0"/>
          <w:numId w:val="22"/>
        </w:numPr>
        <w:tabs>
          <w:tab w:val="left" w:pos="916"/>
        </w:tabs>
        <w:kinsoku/>
        <w:wordWrap/>
        <w:overflowPunct/>
        <w:topLinePunct w:val="0"/>
        <w:autoSpaceDE/>
        <w:autoSpaceDN/>
        <w:bidi w:val="0"/>
        <w:adjustRightInd/>
        <w:snapToGrid/>
        <w:spacing w:before="35" w:line="360" w:lineRule="auto"/>
        <w:ind w:left="221"/>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修剪</w:t>
      </w:r>
    </w:p>
    <w:p w14:paraId="1378CDED">
      <w:pPr>
        <w:pStyle w:val="17"/>
        <w:pageBreakBefore w:val="0"/>
        <w:kinsoku/>
        <w:wordWrap/>
        <w:overflowPunct/>
        <w:topLinePunct w:val="0"/>
        <w:bidi w:val="0"/>
        <w:spacing w:before="151" w:line="360" w:lineRule="auto"/>
        <w:ind w:left="223" w:right="217"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（1）萌芽前应剪除上年残留枯枝、枯叶；生长季应及时剪除残花、枯叶、残枝、残果等不具观赏价值的部分。</w:t>
      </w:r>
    </w:p>
    <w:p w14:paraId="031185FE">
      <w:pPr>
        <w:pStyle w:val="17"/>
        <w:pageBreakBefore w:val="0"/>
        <w:kinsoku/>
        <w:wordWrap/>
        <w:overflowPunct/>
        <w:topLinePunct w:val="0"/>
        <w:bidi w:val="0"/>
        <w:spacing w:before="1" w:line="360" w:lineRule="auto"/>
        <w:ind w:left="223" w:right="217"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（2）需摘心的品种应及时摘心；叶片过密影响开花的应适当摘去过密叶和老叶；对易倒伏的花卉应适时修剪和支撑；对有二次开花习性的花卉应在花后适时进行修剪。</w:t>
      </w:r>
    </w:p>
    <w:p w14:paraId="2DA677EA">
      <w:pPr>
        <w:pStyle w:val="17"/>
        <w:pageBreakBefore w:val="0"/>
        <w:kinsoku/>
        <w:wordWrap/>
        <w:overflowPunct/>
        <w:topLinePunct w:val="0"/>
        <w:bidi w:val="0"/>
        <w:spacing w:before="1" w:line="360" w:lineRule="auto"/>
        <w:ind w:left="223" w:right="217"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（1）要积极采用滴灌、微喷等节水方式，及时有效地对花卉进行浇水；宿根花卉返青水和冻水应适时浇足浇透。为防止积水，花池应在适当位置加设排水孔，做到及时排涝；花卉种植地积水不得超过 12 小时。</w:t>
      </w:r>
    </w:p>
    <w:p w14:paraId="7497A132">
      <w:pPr>
        <w:pStyle w:val="17"/>
        <w:pageBreakBefore w:val="0"/>
        <w:kinsoku/>
        <w:wordWrap/>
        <w:overflowPunct/>
        <w:topLinePunct w:val="0"/>
        <w:bidi w:val="0"/>
        <w:spacing w:before="1" w:line="360" w:lineRule="auto"/>
        <w:ind w:left="223" w:right="217"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（2）每年花卉浇水的次数如下：特级绿地不少于 20 次，一级绿地不少于 15 次，二级绿地不少于 10 次；时令花卉、容器花卉需根据气候等实际情况适时适量浇水。</w:t>
      </w:r>
    </w:p>
    <w:p w14:paraId="71F70C1D">
      <w:pPr>
        <w:pStyle w:val="100"/>
        <w:keepNext w:val="0"/>
        <w:keepLines w:val="0"/>
        <w:pageBreakBefore w:val="0"/>
        <w:widowControl w:val="0"/>
        <w:numPr>
          <w:ilvl w:val="0"/>
          <w:numId w:val="22"/>
        </w:numPr>
        <w:tabs>
          <w:tab w:val="left" w:pos="916"/>
        </w:tabs>
        <w:kinsoku/>
        <w:wordWrap/>
        <w:overflowPunct/>
        <w:topLinePunct w:val="0"/>
        <w:autoSpaceDE/>
        <w:autoSpaceDN/>
        <w:bidi w:val="0"/>
        <w:adjustRightInd/>
        <w:snapToGrid/>
        <w:spacing w:before="35" w:line="360" w:lineRule="auto"/>
        <w:ind w:left="221"/>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施肥</w:t>
      </w:r>
    </w:p>
    <w:p w14:paraId="266CE772">
      <w:pPr>
        <w:pStyle w:val="17"/>
        <w:pageBreakBefore w:val="0"/>
        <w:kinsoku/>
        <w:wordWrap/>
        <w:overflowPunct/>
        <w:topLinePunct w:val="0"/>
        <w:bidi w:val="0"/>
        <w:spacing w:before="151" w:line="360" w:lineRule="auto"/>
        <w:ind w:left="224" w:right="212" w:firstLine="427"/>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（1）应根据不同花卉品种和不同时期，按照肥料产品说明进行施用。花坛换花前应深耕</w:t>
      </w:r>
      <w:r>
        <w:rPr>
          <w:rFonts w:hint="eastAsia" w:ascii="宋体" w:hAnsi="宋体" w:eastAsia="宋体" w:cs="宋体"/>
          <w:color w:val="auto"/>
          <w:spacing w:val="-7"/>
          <w:sz w:val="24"/>
          <w:szCs w:val="24"/>
          <w:highlight w:val="none"/>
          <w:lang w:eastAsia="zh-CN"/>
        </w:rPr>
        <w:t>细耙，施足基肥。生长季应进行土壤追肥或叶面喷肥，春、夏生长旺季可多施肥；秋后生长缓</w:t>
      </w:r>
      <w:r>
        <w:rPr>
          <w:rFonts w:hint="eastAsia" w:ascii="宋体" w:hAnsi="宋体" w:eastAsia="宋体" w:cs="宋体"/>
          <w:color w:val="auto"/>
          <w:spacing w:val="-5"/>
          <w:sz w:val="24"/>
          <w:szCs w:val="24"/>
          <w:highlight w:val="none"/>
          <w:lang w:eastAsia="zh-CN"/>
        </w:rPr>
        <w:t>慢，应少施肥；冬季不再施肥。</w:t>
      </w:r>
    </w:p>
    <w:p w14:paraId="2B00CB3B">
      <w:pPr>
        <w:pStyle w:val="17"/>
        <w:pageBreakBefore w:val="0"/>
        <w:kinsoku/>
        <w:wordWrap/>
        <w:overflowPunct/>
        <w:topLinePunct w:val="0"/>
        <w:bidi w:val="0"/>
        <w:spacing w:before="1" w:line="360" w:lineRule="auto"/>
        <w:ind w:left="224" w:right="216"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（2）夏季施肥应避开炎热高温时段；叶面喷肥应选择无雨、无大风天气；撒施肥应避免肥撒到叶面上，施肥后中耕土壤及时浇水。</w:t>
      </w:r>
    </w:p>
    <w:p w14:paraId="7B5155F6">
      <w:pPr>
        <w:pStyle w:val="17"/>
        <w:pageBreakBefore w:val="0"/>
        <w:kinsoku/>
        <w:wordWrap/>
        <w:overflowPunct/>
        <w:topLinePunct w:val="0"/>
        <w:bidi w:val="0"/>
        <w:spacing w:before="1" w:line="360" w:lineRule="auto"/>
        <w:ind w:left="224" w:right="216"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（3）每年对花卉进行施肥的次数如下：特级绿地不少于 4 次；一级绿地不少于 3 次；二级绿地不少于 1 次。</w:t>
      </w:r>
    </w:p>
    <w:p w14:paraId="415DFD84">
      <w:pPr>
        <w:pStyle w:val="100"/>
        <w:keepNext w:val="0"/>
        <w:keepLines w:val="0"/>
        <w:pageBreakBefore w:val="0"/>
        <w:widowControl w:val="0"/>
        <w:numPr>
          <w:ilvl w:val="0"/>
          <w:numId w:val="22"/>
        </w:numPr>
        <w:tabs>
          <w:tab w:val="left" w:pos="916"/>
        </w:tabs>
        <w:kinsoku/>
        <w:wordWrap/>
        <w:overflowPunct/>
        <w:topLinePunct w:val="0"/>
        <w:autoSpaceDE/>
        <w:autoSpaceDN/>
        <w:bidi w:val="0"/>
        <w:adjustRightInd/>
        <w:snapToGrid/>
        <w:spacing w:before="35" w:line="360" w:lineRule="auto"/>
        <w:ind w:left="221"/>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中耕除草</w:t>
      </w:r>
    </w:p>
    <w:p w14:paraId="3BD890C7">
      <w:pPr>
        <w:pStyle w:val="17"/>
        <w:pageBreakBefore w:val="0"/>
        <w:kinsoku/>
        <w:wordWrap/>
        <w:overflowPunct/>
        <w:topLinePunct w:val="0"/>
        <w:bidi w:val="0"/>
        <w:spacing w:before="151" w:line="360" w:lineRule="auto"/>
        <w:ind w:left="224" w:right="216"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（1）应适时对未覆盖土壤进行中耕，中耕后应将土块打碎整平，并注意避免伤及花卉； 随时清除花卉内杂草及石块、残茎和落叶等杂物，现场清理干净。</w:t>
      </w:r>
    </w:p>
    <w:p w14:paraId="730E4B80">
      <w:pPr>
        <w:pStyle w:val="17"/>
        <w:pageBreakBefore w:val="0"/>
        <w:kinsoku/>
        <w:wordWrap/>
        <w:overflowPunct/>
        <w:topLinePunct w:val="0"/>
        <w:bidi w:val="0"/>
        <w:spacing w:before="151" w:line="360" w:lineRule="auto"/>
        <w:ind w:left="224" w:right="216"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（2）每年对花卉进行除草的次数如下：特级绿地不少于 5 次，夏季做到“随有随除”；一级绿地不少于 4 次；二级绿地不少于 2 次。</w:t>
      </w:r>
    </w:p>
    <w:p w14:paraId="5163FCD3">
      <w:pPr>
        <w:pStyle w:val="100"/>
        <w:keepNext w:val="0"/>
        <w:keepLines w:val="0"/>
        <w:pageBreakBefore w:val="0"/>
        <w:widowControl w:val="0"/>
        <w:numPr>
          <w:ilvl w:val="0"/>
          <w:numId w:val="22"/>
        </w:numPr>
        <w:tabs>
          <w:tab w:val="left" w:pos="916"/>
        </w:tabs>
        <w:kinsoku/>
        <w:wordWrap/>
        <w:overflowPunct/>
        <w:topLinePunct w:val="0"/>
        <w:autoSpaceDE/>
        <w:autoSpaceDN/>
        <w:bidi w:val="0"/>
        <w:adjustRightInd/>
        <w:snapToGrid/>
        <w:spacing w:before="35" w:line="360" w:lineRule="auto"/>
        <w:ind w:left="221"/>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病虫害防治</w:t>
      </w:r>
    </w:p>
    <w:p w14:paraId="53D061D1">
      <w:pPr>
        <w:pStyle w:val="17"/>
        <w:pageBreakBefore w:val="0"/>
        <w:kinsoku/>
        <w:wordWrap/>
        <w:overflowPunct/>
        <w:topLinePunct w:val="0"/>
        <w:bidi w:val="0"/>
        <w:spacing w:before="151"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（1）花卉病虫害防治可参考树木。</w:t>
      </w:r>
    </w:p>
    <w:p w14:paraId="037F8B4D">
      <w:pPr>
        <w:pStyle w:val="17"/>
        <w:pageBreakBefore w:val="0"/>
        <w:kinsoku/>
        <w:wordWrap/>
        <w:overflowPunct/>
        <w:topLinePunct w:val="0"/>
        <w:bidi w:val="0"/>
        <w:spacing w:before="151" w:line="360" w:lineRule="auto"/>
        <w:ind w:left="224" w:right="216"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（2）每年对花卉进行喷药的次数如下：特级绿地不少于 5 次，一级绿地不少于 4 次，二级绿地不少于 2 次。</w:t>
      </w:r>
    </w:p>
    <w:p w14:paraId="477CD658">
      <w:pPr>
        <w:pStyle w:val="100"/>
        <w:keepNext w:val="0"/>
        <w:keepLines w:val="0"/>
        <w:pageBreakBefore w:val="0"/>
        <w:widowControl w:val="0"/>
        <w:numPr>
          <w:ilvl w:val="0"/>
          <w:numId w:val="22"/>
        </w:numPr>
        <w:tabs>
          <w:tab w:val="left" w:pos="916"/>
        </w:tabs>
        <w:kinsoku/>
        <w:wordWrap/>
        <w:overflowPunct/>
        <w:topLinePunct w:val="0"/>
        <w:autoSpaceDE/>
        <w:autoSpaceDN/>
        <w:bidi w:val="0"/>
        <w:adjustRightInd/>
        <w:snapToGrid/>
        <w:spacing w:before="35" w:line="360" w:lineRule="auto"/>
        <w:ind w:left="221"/>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补植</w:t>
      </w:r>
    </w:p>
    <w:p w14:paraId="5F2BEF6E">
      <w:pPr>
        <w:pStyle w:val="17"/>
        <w:pageBreakBefore w:val="0"/>
        <w:kinsoku/>
        <w:wordWrap/>
        <w:overflowPunct/>
        <w:topLinePunct w:val="0"/>
        <w:bidi w:val="0"/>
        <w:spacing w:before="151" w:line="360" w:lineRule="auto"/>
        <w:ind w:left="223" w:right="215" w:firstLine="41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生长季为保持良好观赏效果，应及时对死苗缺株和无观赏价值苗进行补植、更换，补植苗</w:t>
      </w:r>
      <w:r>
        <w:rPr>
          <w:rFonts w:hint="eastAsia" w:ascii="宋体" w:hAnsi="宋体" w:eastAsia="宋体" w:cs="宋体"/>
          <w:color w:val="auto"/>
          <w:spacing w:val="-4"/>
          <w:sz w:val="24"/>
          <w:szCs w:val="24"/>
          <w:highlight w:val="none"/>
          <w:lang w:eastAsia="zh-CN"/>
        </w:rPr>
        <w:t>应按原品种、并规格相近。</w:t>
      </w:r>
    </w:p>
    <w:p w14:paraId="72A0654B">
      <w:pPr>
        <w:pStyle w:val="17"/>
        <w:pageBreakBefore w:val="0"/>
        <w:kinsoku/>
        <w:wordWrap/>
        <w:overflowPunct/>
        <w:topLinePunct w:val="0"/>
        <w:bidi w:val="0"/>
        <w:spacing w:before="1" w:line="360" w:lineRule="auto"/>
        <w:ind w:left="634"/>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年生或临时布置的花卉撤除后需及时恢复绿地原貌或对裸露土地进行覆盖。</w:t>
      </w:r>
    </w:p>
    <w:p w14:paraId="7143958F">
      <w:pPr>
        <w:pStyle w:val="17"/>
        <w:pageBreakBefore w:val="0"/>
        <w:kinsoku/>
        <w:wordWrap/>
        <w:overflowPunct/>
        <w:topLinePunct w:val="0"/>
        <w:bidi w:val="0"/>
        <w:spacing w:before="151" w:line="360" w:lineRule="auto"/>
        <w:ind w:left="65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（三）草坪、地被</w:t>
      </w:r>
    </w:p>
    <w:p w14:paraId="0B36CF1F">
      <w:pPr>
        <w:pStyle w:val="100"/>
        <w:keepNext w:val="0"/>
        <w:keepLines w:val="0"/>
        <w:pageBreakBefore w:val="0"/>
        <w:widowControl w:val="0"/>
        <w:numPr>
          <w:ilvl w:val="0"/>
          <w:numId w:val="23"/>
        </w:numPr>
        <w:tabs>
          <w:tab w:val="left" w:pos="968"/>
        </w:tabs>
        <w:kinsoku/>
        <w:wordWrap/>
        <w:overflowPunct/>
        <w:topLinePunct w:val="0"/>
        <w:autoSpaceDE/>
        <w:autoSpaceDN/>
        <w:bidi w:val="0"/>
        <w:adjustRightInd/>
        <w:snapToGrid/>
        <w:spacing w:before="35" w:line="360" w:lineRule="auto"/>
        <w:ind w:left="221"/>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修剪</w:t>
      </w:r>
    </w:p>
    <w:p w14:paraId="5B0B44F4">
      <w:pPr>
        <w:pStyle w:val="17"/>
        <w:pageBreakBefore w:val="0"/>
        <w:kinsoku/>
        <w:wordWrap/>
        <w:overflowPunct/>
        <w:topLinePunct w:val="0"/>
        <w:bidi w:val="0"/>
        <w:spacing w:before="151" w:line="360" w:lineRule="auto"/>
        <w:ind w:left="223" w:right="217"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（1）应根据不同草种的习性和观赏效果进行修剪，使草坪覆盖度、整齐度保持一致，边缘整齐。</w:t>
      </w:r>
    </w:p>
    <w:p w14:paraId="54073DC4">
      <w:pPr>
        <w:pStyle w:val="17"/>
        <w:pageBreakBefore w:val="0"/>
        <w:kinsoku/>
        <w:wordWrap/>
        <w:overflowPunct/>
        <w:topLinePunct w:val="0"/>
        <w:bidi w:val="0"/>
        <w:spacing w:before="151" w:line="360" w:lineRule="auto"/>
        <w:ind w:left="223" w:right="217"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（2）剪草高度以草种、季节、环境等因素而定，一次修剪高度原则上不大于草高的1/3。</w:t>
      </w:r>
    </w:p>
    <w:p w14:paraId="430C9FF8">
      <w:pPr>
        <w:pStyle w:val="17"/>
        <w:pageBreakBefore w:val="0"/>
        <w:kinsoku/>
        <w:wordWrap/>
        <w:overflowPunct/>
        <w:topLinePunct w:val="0"/>
        <w:bidi w:val="0"/>
        <w:spacing w:before="151" w:line="360" w:lineRule="auto"/>
        <w:ind w:left="223" w:right="217"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（3）草坪修剪前应清除草坪内石子、瓦砾、树枝等杂物；修剪前 24 小时不宜浇水，保持草坪干爽；避免在正午阳光直射下进行修剪；阴雨天不宜修剪；修剪完成后次日方可浇水；同一草坪，应避免多次在同一行列、同一方向修剪。</w:t>
      </w:r>
    </w:p>
    <w:p w14:paraId="5AB8A074">
      <w:pPr>
        <w:pStyle w:val="17"/>
        <w:pageBreakBefore w:val="0"/>
        <w:kinsoku/>
        <w:wordWrap/>
        <w:overflowPunct/>
        <w:topLinePunct w:val="0"/>
        <w:bidi w:val="0"/>
        <w:spacing w:before="151" w:line="360" w:lineRule="auto"/>
        <w:ind w:left="223" w:right="217"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（4）修剪机具的刀片应锋利，防止撕裂茎叶；修剪前宜对刀片进行消毒。</w:t>
      </w:r>
    </w:p>
    <w:p w14:paraId="7D72FCAD">
      <w:pPr>
        <w:pStyle w:val="17"/>
        <w:pageBreakBefore w:val="0"/>
        <w:kinsoku/>
        <w:wordWrap/>
        <w:overflowPunct/>
        <w:topLinePunct w:val="0"/>
        <w:bidi w:val="0"/>
        <w:spacing w:before="151"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 草坪植物的修剪次数依不同的草种、不同的管理水平和不同的环境条件来确定：</w:t>
      </w:r>
    </w:p>
    <w:p w14:paraId="7DD3FE64">
      <w:pPr>
        <w:pStyle w:val="17"/>
        <w:pageBreakBefore w:val="0"/>
        <w:kinsoku/>
        <w:wordWrap/>
        <w:overflowPunct/>
        <w:topLinePunct w:val="0"/>
        <w:bidi w:val="0"/>
        <w:spacing w:before="151" w:line="360" w:lineRule="auto"/>
        <w:ind w:left="71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① 苔草、麦冬、马蔺：为提高观赏效果，根据长势和高度一年可修剪 2-3 次；</w:t>
      </w:r>
    </w:p>
    <w:p w14:paraId="551DD714">
      <w:pPr>
        <w:pStyle w:val="17"/>
        <w:pageBreakBefore w:val="0"/>
        <w:kinsoku/>
        <w:wordWrap/>
        <w:overflowPunct/>
        <w:topLinePunct w:val="0"/>
        <w:bidi w:val="0"/>
        <w:spacing w:before="151" w:line="360" w:lineRule="auto"/>
        <w:ind w:left="71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 xml:space="preserve">② 野牛草、羊胡子草等暖季型草：特级不少于 </w:t>
      </w:r>
      <w:r>
        <w:rPr>
          <w:rFonts w:hint="eastAsia" w:ascii="宋体" w:hAnsi="宋体" w:eastAsia="宋体" w:cs="宋体"/>
          <w:color w:val="auto"/>
          <w:sz w:val="24"/>
          <w:szCs w:val="24"/>
          <w:highlight w:val="none"/>
          <w:lang w:eastAsia="zh-CN"/>
        </w:rPr>
        <w:t xml:space="preserve">8 </w:t>
      </w:r>
      <w:r>
        <w:rPr>
          <w:rFonts w:hint="eastAsia" w:ascii="宋体" w:hAnsi="宋体" w:eastAsia="宋体" w:cs="宋体"/>
          <w:color w:val="auto"/>
          <w:spacing w:val="-11"/>
          <w:sz w:val="24"/>
          <w:szCs w:val="24"/>
          <w:highlight w:val="none"/>
          <w:lang w:eastAsia="zh-CN"/>
        </w:rPr>
        <w:t xml:space="preserve">次，一级不少于 </w:t>
      </w:r>
      <w:r>
        <w:rPr>
          <w:rFonts w:hint="eastAsia" w:ascii="宋体" w:hAnsi="宋体" w:eastAsia="宋体" w:cs="宋体"/>
          <w:color w:val="auto"/>
          <w:sz w:val="24"/>
          <w:szCs w:val="24"/>
          <w:highlight w:val="none"/>
          <w:lang w:eastAsia="zh-CN"/>
        </w:rPr>
        <w:t xml:space="preserve">5 </w:t>
      </w:r>
      <w:r>
        <w:rPr>
          <w:rFonts w:hint="eastAsia" w:ascii="宋体" w:hAnsi="宋体" w:eastAsia="宋体" w:cs="宋体"/>
          <w:color w:val="auto"/>
          <w:spacing w:val="-12"/>
          <w:sz w:val="24"/>
          <w:szCs w:val="24"/>
          <w:highlight w:val="none"/>
          <w:lang w:eastAsia="zh-CN"/>
        </w:rPr>
        <w:t xml:space="preserve">次，二级不少于 </w:t>
      </w:r>
      <w:r>
        <w:rPr>
          <w:rFonts w:hint="eastAsia" w:ascii="宋体" w:hAnsi="宋体" w:eastAsia="宋体" w:cs="宋体"/>
          <w:color w:val="auto"/>
          <w:sz w:val="24"/>
          <w:szCs w:val="24"/>
          <w:highlight w:val="none"/>
          <w:lang w:eastAsia="zh-CN"/>
        </w:rPr>
        <w:t>3 次;最后一次修剪应于 8 月底完成；</w:t>
      </w:r>
    </w:p>
    <w:p w14:paraId="13720104">
      <w:pPr>
        <w:pStyle w:val="17"/>
        <w:pageBreakBefore w:val="0"/>
        <w:kinsoku/>
        <w:wordWrap/>
        <w:overflowPunct/>
        <w:topLinePunct w:val="0"/>
        <w:bidi w:val="0"/>
        <w:spacing w:before="151" w:line="360" w:lineRule="auto"/>
        <w:ind w:left="71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③ 冷季型草：特级不少于 20 次，一级不少于 15 次，二级不少于 10 次，最后一次修剪</w:t>
      </w:r>
      <w:r>
        <w:rPr>
          <w:rFonts w:hint="eastAsia" w:ascii="宋体" w:hAnsi="宋体" w:eastAsia="宋体" w:cs="宋体"/>
          <w:color w:val="auto"/>
          <w:sz w:val="24"/>
          <w:szCs w:val="24"/>
          <w:highlight w:val="none"/>
        </w:rPr>
        <w:t>不应晚于 10 月中旬。</w:t>
      </w:r>
    </w:p>
    <w:p w14:paraId="101B5E37">
      <w:pPr>
        <w:pStyle w:val="100"/>
        <w:keepNext w:val="0"/>
        <w:keepLines w:val="0"/>
        <w:pageBreakBefore w:val="0"/>
        <w:widowControl w:val="0"/>
        <w:numPr>
          <w:ilvl w:val="0"/>
          <w:numId w:val="23"/>
        </w:numPr>
        <w:tabs>
          <w:tab w:val="left" w:pos="968"/>
        </w:tabs>
        <w:kinsoku/>
        <w:wordWrap/>
        <w:overflowPunct/>
        <w:topLinePunct w:val="0"/>
        <w:autoSpaceDE/>
        <w:autoSpaceDN/>
        <w:bidi w:val="0"/>
        <w:adjustRightInd/>
        <w:snapToGrid/>
        <w:spacing w:before="35" w:line="360" w:lineRule="auto"/>
        <w:ind w:left="221"/>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浇水与排涝</w:t>
      </w:r>
    </w:p>
    <w:p w14:paraId="18AE34BA">
      <w:pPr>
        <w:pStyle w:val="17"/>
        <w:pageBreakBefore w:val="0"/>
        <w:kinsoku/>
        <w:wordWrap/>
        <w:overflowPunct/>
        <w:topLinePunct w:val="0"/>
        <w:bidi w:val="0"/>
        <w:spacing w:line="360" w:lineRule="auto"/>
        <w:ind w:left="223" w:right="217"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（1）除土壤封冻期外，人工草坪应适时进行浇水，每次要浇均浇透，浇水深度不低于 20cm。干热天气尤其是冷季型草应适当喷水降温；返青水和冻水要浇足浇透。</w:t>
      </w:r>
    </w:p>
    <w:p w14:paraId="2373987D">
      <w:pPr>
        <w:pStyle w:val="17"/>
        <w:pageBreakBefore w:val="0"/>
        <w:kinsoku/>
        <w:wordWrap/>
        <w:overflowPunct/>
        <w:topLinePunct w:val="0"/>
        <w:bidi w:val="0"/>
        <w:spacing w:line="360" w:lineRule="auto"/>
        <w:ind w:left="223" w:right="217"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（2）再生水浇灌草坪，水质必须符合园林绿化植物灌溉水质的要求；禁止使用撒过融雪剂的积雪补充草坪土壤水分。</w:t>
      </w:r>
    </w:p>
    <w:p w14:paraId="7BECE951">
      <w:pPr>
        <w:pStyle w:val="17"/>
        <w:pageBreakBefore w:val="0"/>
        <w:kinsoku/>
        <w:wordWrap/>
        <w:overflowPunct/>
        <w:topLinePunct w:val="0"/>
        <w:bidi w:val="0"/>
        <w:spacing w:before="1" w:line="360" w:lineRule="auto"/>
        <w:ind w:left="223" w:right="217"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（3）草坪、地被浇水应采用喷灌、滴灌等节水方式，禁止大水漫灌，并有人看管，严禁跑、冒、滴、漏。</w:t>
      </w:r>
    </w:p>
    <w:p w14:paraId="4287704F">
      <w:pPr>
        <w:pStyle w:val="17"/>
        <w:pageBreakBefore w:val="0"/>
        <w:kinsoku/>
        <w:wordWrap/>
        <w:overflowPunct/>
        <w:topLinePunct w:val="0"/>
        <w:bidi w:val="0"/>
        <w:spacing w:before="1" w:line="360" w:lineRule="auto"/>
        <w:ind w:left="6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（4）雨季应注意排除草坪内积水。</w:t>
      </w:r>
    </w:p>
    <w:p w14:paraId="429875E7">
      <w:pPr>
        <w:pStyle w:val="17"/>
        <w:pageBreakBefore w:val="0"/>
        <w:kinsoku/>
        <w:wordWrap/>
        <w:overflowPunct/>
        <w:topLinePunct w:val="0"/>
        <w:bidi w:val="0"/>
        <w:spacing w:before="1" w:line="360" w:lineRule="auto"/>
        <w:ind w:left="223" w:right="217"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（5）每年对草坪浇水次数如下：特级绿地冷季型草不少于 25 次，暖季型草不少于 15 次；一级绿地冷季型草不少于 20 次，暖季型草不少于 10 次；二级绿地冷季型草不少于 15 次，暖季型草不少于 10 次。</w:t>
      </w:r>
    </w:p>
    <w:p w14:paraId="674A502C">
      <w:pPr>
        <w:pStyle w:val="100"/>
        <w:keepNext w:val="0"/>
        <w:keepLines w:val="0"/>
        <w:pageBreakBefore w:val="0"/>
        <w:widowControl w:val="0"/>
        <w:numPr>
          <w:ilvl w:val="0"/>
          <w:numId w:val="23"/>
        </w:numPr>
        <w:tabs>
          <w:tab w:val="left" w:pos="968"/>
        </w:tabs>
        <w:kinsoku/>
        <w:wordWrap/>
        <w:overflowPunct/>
        <w:topLinePunct w:val="0"/>
        <w:autoSpaceDE/>
        <w:autoSpaceDN/>
        <w:bidi w:val="0"/>
        <w:adjustRightInd/>
        <w:snapToGrid/>
        <w:spacing w:before="35" w:line="360" w:lineRule="auto"/>
        <w:ind w:left="221"/>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施肥</w:t>
      </w:r>
    </w:p>
    <w:p w14:paraId="25CAFAE5">
      <w:pPr>
        <w:pStyle w:val="17"/>
        <w:pageBreakBefore w:val="0"/>
        <w:kinsoku/>
        <w:wordWrap/>
        <w:overflowPunct/>
        <w:topLinePunct w:val="0"/>
        <w:bidi w:val="0"/>
        <w:spacing w:before="151" w:line="360" w:lineRule="auto"/>
        <w:ind w:left="223" w:right="217"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（1）草坪建植时应施基肥；每年应根据草坪草的生长状况进行适当追肥；具体施肥量应根据使用说明确定。</w:t>
      </w:r>
    </w:p>
    <w:p w14:paraId="2E4D6FD4">
      <w:pPr>
        <w:pStyle w:val="17"/>
        <w:pageBreakBefore w:val="0"/>
        <w:kinsoku/>
        <w:wordWrap/>
        <w:overflowPunct/>
        <w:topLinePunct w:val="0"/>
        <w:bidi w:val="0"/>
        <w:spacing w:before="1" w:line="360" w:lineRule="auto"/>
        <w:ind w:left="6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（2）施肥时间宜在春、秋季节进行：春季以氮肥为主，秋以磷、钾肥为主。</w:t>
      </w:r>
    </w:p>
    <w:p w14:paraId="2CB140A2">
      <w:pPr>
        <w:pStyle w:val="17"/>
        <w:pageBreakBefore w:val="0"/>
        <w:kinsoku/>
        <w:wordWrap/>
        <w:overflowPunct/>
        <w:topLinePunct w:val="0"/>
        <w:bidi w:val="0"/>
        <w:spacing w:before="151" w:line="360" w:lineRule="auto"/>
        <w:ind w:left="6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（3）草坪施肥均匀，避免叶面潮湿时撒施，撒肥后应及时浇水。</w:t>
      </w:r>
    </w:p>
    <w:p w14:paraId="11911EDF">
      <w:pPr>
        <w:pStyle w:val="17"/>
        <w:pageBreakBefore w:val="0"/>
        <w:kinsoku/>
        <w:wordWrap/>
        <w:overflowPunct/>
        <w:topLinePunct w:val="0"/>
        <w:bidi w:val="0"/>
        <w:spacing w:before="151" w:line="360" w:lineRule="auto"/>
        <w:ind w:left="6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（4）叶面喷肥应均匀，溶液浓度应控制在 0.1%-0.5%以内。</w:t>
      </w:r>
    </w:p>
    <w:p w14:paraId="6AB66A68">
      <w:pPr>
        <w:pStyle w:val="17"/>
        <w:pageBreakBefore w:val="0"/>
        <w:kinsoku/>
        <w:wordWrap/>
        <w:overflowPunct/>
        <w:topLinePunct w:val="0"/>
        <w:bidi w:val="0"/>
        <w:spacing w:before="151" w:line="360" w:lineRule="auto"/>
        <w:ind w:left="6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（5）每年对草坪施肥次数如下：特级绿地冷季型草不少于 5 次，暖季型草不少于 4 次；一级绿地冷季型草不少于 3 次，暖季型草不少于 2 次；二级绿地冷季型草不少于 2 次，暖季型</w:t>
      </w:r>
      <w:r>
        <w:rPr>
          <w:rFonts w:hint="eastAsia" w:ascii="宋体" w:hAnsi="宋体" w:eastAsia="宋体" w:cs="宋体"/>
          <w:color w:val="auto"/>
          <w:sz w:val="24"/>
          <w:szCs w:val="24"/>
          <w:highlight w:val="none"/>
        </w:rPr>
        <w:t>草不少于 1 次。</w:t>
      </w:r>
    </w:p>
    <w:p w14:paraId="681B19CE">
      <w:pPr>
        <w:pStyle w:val="100"/>
        <w:keepNext w:val="0"/>
        <w:keepLines w:val="0"/>
        <w:pageBreakBefore w:val="0"/>
        <w:widowControl w:val="0"/>
        <w:numPr>
          <w:ilvl w:val="0"/>
          <w:numId w:val="23"/>
        </w:numPr>
        <w:tabs>
          <w:tab w:val="left" w:pos="968"/>
        </w:tabs>
        <w:kinsoku/>
        <w:wordWrap/>
        <w:overflowPunct/>
        <w:topLinePunct w:val="0"/>
        <w:autoSpaceDE/>
        <w:autoSpaceDN/>
        <w:bidi w:val="0"/>
        <w:adjustRightInd/>
        <w:snapToGrid/>
        <w:spacing w:before="35" w:line="360" w:lineRule="auto"/>
        <w:ind w:left="221"/>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除杂草</w:t>
      </w:r>
    </w:p>
    <w:p w14:paraId="64616652">
      <w:pPr>
        <w:pStyle w:val="17"/>
        <w:pageBreakBefore w:val="0"/>
        <w:kinsoku/>
        <w:wordWrap/>
        <w:overflowPunct/>
        <w:topLinePunct w:val="0"/>
        <w:bidi w:val="0"/>
        <w:spacing w:before="151" w:line="360" w:lineRule="auto"/>
        <w:ind w:left="223" w:right="217"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人工建植草坪可通过疏草、打孔更新复壮。需要保持草坪纯度的应定期清除杂草；草坪纯</w:t>
      </w:r>
      <w:r>
        <w:rPr>
          <w:rFonts w:hint="eastAsia" w:ascii="宋体" w:hAnsi="宋体" w:eastAsia="宋体" w:cs="宋体"/>
          <w:color w:val="auto"/>
          <w:spacing w:val="-3"/>
          <w:sz w:val="24"/>
          <w:szCs w:val="24"/>
          <w:highlight w:val="none"/>
          <w:lang w:eastAsia="zh-CN"/>
        </w:rPr>
        <w:t>度应达到相应等级绿地标准；使用化学除草剂要慎重，先试验再使用。</w:t>
      </w:r>
    </w:p>
    <w:p w14:paraId="31F9538B">
      <w:pPr>
        <w:pStyle w:val="17"/>
        <w:pageBreakBefore w:val="0"/>
        <w:kinsoku/>
        <w:wordWrap/>
        <w:overflowPunct/>
        <w:topLinePunct w:val="0"/>
        <w:bidi w:val="0"/>
        <w:spacing w:before="151" w:line="360" w:lineRule="auto"/>
        <w:ind w:left="223" w:right="217"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每年除杂草的次数如下：特级绿地不少于 10 次，一级绿地不少于 8 次；二级绿地不少于</w:t>
      </w:r>
      <w:r>
        <w:rPr>
          <w:rFonts w:hint="eastAsia" w:cs="宋体"/>
          <w:color w:val="auto"/>
          <w:spacing w:val="-7"/>
          <w:sz w:val="24"/>
          <w:szCs w:val="24"/>
          <w:highlight w:val="none"/>
          <w:lang w:val="en-US" w:eastAsia="zh-CN"/>
        </w:rPr>
        <w:t>4</w:t>
      </w:r>
      <w:r>
        <w:rPr>
          <w:rFonts w:hint="eastAsia" w:ascii="宋体" w:hAnsi="宋体" w:eastAsia="宋体" w:cs="宋体"/>
          <w:color w:val="auto"/>
          <w:spacing w:val="-3"/>
          <w:sz w:val="24"/>
          <w:szCs w:val="24"/>
          <w:highlight w:val="none"/>
          <w:lang w:eastAsia="zh-CN"/>
        </w:rPr>
        <w:t>次。对分栽尚未成坪的草坪、地被，应加强除杂草次数，防治杂草恶性蔓延。</w:t>
      </w:r>
    </w:p>
    <w:p w14:paraId="3860ADF3">
      <w:pPr>
        <w:pStyle w:val="100"/>
        <w:keepNext w:val="0"/>
        <w:keepLines w:val="0"/>
        <w:pageBreakBefore w:val="0"/>
        <w:widowControl w:val="0"/>
        <w:numPr>
          <w:ilvl w:val="0"/>
          <w:numId w:val="23"/>
        </w:numPr>
        <w:tabs>
          <w:tab w:val="left" w:pos="968"/>
        </w:tabs>
        <w:kinsoku/>
        <w:wordWrap/>
        <w:overflowPunct/>
        <w:topLinePunct w:val="0"/>
        <w:autoSpaceDE/>
        <w:autoSpaceDN/>
        <w:bidi w:val="0"/>
        <w:adjustRightInd/>
        <w:snapToGrid/>
        <w:spacing w:before="35" w:line="360" w:lineRule="auto"/>
        <w:ind w:left="221"/>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病虫害防治</w:t>
      </w:r>
    </w:p>
    <w:p w14:paraId="1B064015">
      <w:pPr>
        <w:pStyle w:val="17"/>
        <w:pageBreakBefore w:val="0"/>
        <w:kinsoku/>
        <w:wordWrap/>
        <w:overflowPunct/>
        <w:topLinePunct w:val="0"/>
        <w:bidi w:val="0"/>
        <w:spacing w:before="66"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（1）草坪病虫害防治可参考树木。</w:t>
      </w:r>
    </w:p>
    <w:p w14:paraId="2B1DEA22">
      <w:pPr>
        <w:pStyle w:val="17"/>
        <w:pageBreakBefore w:val="0"/>
        <w:kinsoku/>
        <w:wordWrap/>
        <w:overflowPunct/>
        <w:topLinePunct w:val="0"/>
        <w:bidi w:val="0"/>
        <w:spacing w:before="151" w:line="360" w:lineRule="auto"/>
        <w:ind w:left="223" w:right="217"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（2）草坪病害以冷季型草最为严重，应在加强养护基础上，以预防为主，综合防治。化学防治应在 5 月初开始，此后根据病害发生情况及时防治。</w:t>
      </w:r>
    </w:p>
    <w:p w14:paraId="61414A91">
      <w:pPr>
        <w:pStyle w:val="17"/>
        <w:pageBreakBefore w:val="0"/>
        <w:kinsoku/>
        <w:wordWrap/>
        <w:overflowPunct/>
        <w:topLinePunct w:val="0"/>
        <w:bidi w:val="0"/>
        <w:spacing w:line="360" w:lineRule="auto"/>
        <w:ind w:left="223" w:right="217"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（3）草坪虫害主要有蛴螬、蚜虫、螨类、黏虫等，要早发现早防治，有针对性选择农药进行防治。</w:t>
      </w:r>
    </w:p>
    <w:p w14:paraId="457285B9">
      <w:pPr>
        <w:pStyle w:val="17"/>
        <w:pageBreakBefore w:val="0"/>
        <w:kinsoku/>
        <w:wordWrap/>
        <w:overflowPunct/>
        <w:topLinePunct w:val="0"/>
        <w:bidi w:val="0"/>
        <w:spacing w:line="360" w:lineRule="auto"/>
        <w:ind w:left="223" w:right="217" w:firstLine="42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（4）每年喷药次数为：特级绿地冷季型草不少于 10 次，暖季型草不少于 2 次；一级绿地冷季型草不少于 7 次，暖季型草不少于 2 次；二级绿地冷季型草不少于 3 次，暖季型草不少于</w:t>
      </w:r>
      <w:r>
        <w:rPr>
          <w:rFonts w:hint="eastAsia" w:ascii="宋体" w:hAnsi="宋体" w:eastAsia="宋体" w:cs="宋体"/>
          <w:color w:val="auto"/>
          <w:sz w:val="24"/>
          <w:szCs w:val="24"/>
          <w:highlight w:val="none"/>
        </w:rPr>
        <w:t>1 次。</w:t>
      </w:r>
    </w:p>
    <w:p w14:paraId="1D37F832">
      <w:pPr>
        <w:pStyle w:val="100"/>
        <w:keepNext w:val="0"/>
        <w:keepLines w:val="0"/>
        <w:pageBreakBefore w:val="0"/>
        <w:widowControl w:val="0"/>
        <w:numPr>
          <w:ilvl w:val="0"/>
          <w:numId w:val="23"/>
        </w:numPr>
        <w:tabs>
          <w:tab w:val="left" w:pos="968"/>
        </w:tabs>
        <w:kinsoku/>
        <w:wordWrap/>
        <w:overflowPunct/>
        <w:topLinePunct w:val="0"/>
        <w:autoSpaceDE/>
        <w:autoSpaceDN/>
        <w:bidi w:val="0"/>
        <w:adjustRightInd/>
        <w:snapToGrid/>
        <w:spacing w:before="35" w:line="360" w:lineRule="auto"/>
        <w:ind w:left="221"/>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补植</w:t>
      </w:r>
    </w:p>
    <w:p w14:paraId="17D74094">
      <w:pPr>
        <w:pStyle w:val="17"/>
        <w:pageBreakBefore w:val="0"/>
        <w:kinsoku/>
        <w:wordWrap/>
        <w:overflowPunct/>
        <w:topLinePunct w:val="0"/>
        <w:bidi w:val="0"/>
        <w:spacing w:before="151" w:line="360" w:lineRule="auto"/>
        <w:ind w:left="223" w:right="157"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草坪、地被斑秃应及时补植，保持草坪、地被完整无裸露地面；补植草应与原草种相同、叶色相近，并加强养护管理，使之尽快达到与周围草坪一致。</w:t>
      </w:r>
    </w:p>
    <w:p w14:paraId="706BA180">
      <w:pPr>
        <w:pStyle w:val="17"/>
        <w:pageBreakBefore w:val="0"/>
        <w:kinsoku/>
        <w:wordWrap/>
        <w:overflowPunct/>
        <w:topLinePunct w:val="0"/>
        <w:bidi w:val="0"/>
        <w:spacing w:before="1" w:line="360" w:lineRule="auto"/>
        <w:ind w:left="6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二、植物防护</w:t>
      </w:r>
    </w:p>
    <w:p w14:paraId="5727E78C">
      <w:pPr>
        <w:pStyle w:val="17"/>
        <w:pageBreakBefore w:val="0"/>
        <w:kinsoku/>
        <w:wordWrap/>
        <w:overflowPunct/>
        <w:topLinePunct w:val="0"/>
        <w:bidi w:val="0"/>
        <w:spacing w:before="151" w:line="360" w:lineRule="auto"/>
        <w:ind w:left="6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（一）防寒</w:t>
      </w:r>
    </w:p>
    <w:p w14:paraId="5F042A62">
      <w:pPr>
        <w:pStyle w:val="100"/>
        <w:keepNext w:val="0"/>
        <w:keepLines w:val="0"/>
        <w:pageBreakBefore w:val="0"/>
        <w:widowControl w:val="0"/>
        <w:numPr>
          <w:ilvl w:val="0"/>
          <w:numId w:val="24"/>
        </w:numPr>
        <w:tabs>
          <w:tab w:val="left" w:pos="915"/>
        </w:tabs>
        <w:kinsoku/>
        <w:wordWrap/>
        <w:overflowPunct/>
        <w:topLinePunct w:val="0"/>
        <w:autoSpaceDE/>
        <w:autoSpaceDN/>
        <w:bidi w:val="0"/>
        <w:adjustRightInd/>
        <w:snapToGrid/>
        <w:spacing w:before="35" w:line="360" w:lineRule="auto"/>
        <w:ind w:left="22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加强栽培管理，增强植物抗寒性</w:t>
      </w:r>
    </w:p>
    <w:p w14:paraId="0C489D62">
      <w:pPr>
        <w:pStyle w:val="17"/>
        <w:pageBreakBefore w:val="0"/>
        <w:kinsoku/>
        <w:wordWrap/>
        <w:overflowPunct/>
        <w:topLinePunct w:val="0"/>
        <w:bidi w:val="0"/>
        <w:spacing w:before="151" w:line="360" w:lineRule="auto"/>
        <w:ind w:left="223" w:right="213" w:firstLine="427"/>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在树木生长季适时合理进行浇水、施肥、修剪、病虫害防治等养护措施，促进树木健壮生</w:t>
      </w:r>
      <w:r>
        <w:rPr>
          <w:rFonts w:hint="eastAsia" w:ascii="宋体" w:hAnsi="宋体" w:eastAsia="宋体" w:cs="宋体"/>
          <w:color w:val="auto"/>
          <w:spacing w:val="-8"/>
          <w:sz w:val="24"/>
          <w:szCs w:val="24"/>
          <w:highlight w:val="none"/>
          <w:lang w:eastAsia="zh-CN"/>
        </w:rPr>
        <w:t>长，积累干物质。返青水和冻水要适时浇足浇透，冻水浇完后要及时回水；对不耐寒的树种应注意秋后控水；秋季停止施氮肥，增施磷肥、钾肥，促进树木木质化；合理安排修剪期和修剪</w:t>
      </w:r>
      <w:r>
        <w:rPr>
          <w:rFonts w:hint="eastAsia" w:ascii="宋体" w:hAnsi="宋体" w:eastAsia="宋体" w:cs="宋体"/>
          <w:color w:val="auto"/>
          <w:spacing w:val="-5"/>
          <w:sz w:val="24"/>
          <w:szCs w:val="24"/>
          <w:highlight w:val="none"/>
          <w:lang w:eastAsia="zh-CN"/>
        </w:rPr>
        <w:t>量，以利于树木安全越冬。</w:t>
      </w:r>
    </w:p>
    <w:p w14:paraId="274FAC3D">
      <w:pPr>
        <w:pStyle w:val="100"/>
        <w:keepNext w:val="0"/>
        <w:keepLines w:val="0"/>
        <w:pageBreakBefore w:val="0"/>
        <w:widowControl w:val="0"/>
        <w:numPr>
          <w:ilvl w:val="0"/>
          <w:numId w:val="24"/>
        </w:numPr>
        <w:tabs>
          <w:tab w:val="left" w:pos="915"/>
        </w:tabs>
        <w:kinsoku/>
        <w:wordWrap/>
        <w:overflowPunct/>
        <w:topLinePunct w:val="0"/>
        <w:autoSpaceDE/>
        <w:autoSpaceDN/>
        <w:bidi w:val="0"/>
        <w:adjustRightInd/>
        <w:snapToGrid/>
        <w:spacing w:before="35" w:line="360" w:lineRule="auto"/>
        <w:ind w:left="221"/>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采取防寒措施，保障植物安全越冬</w:t>
      </w:r>
    </w:p>
    <w:p w14:paraId="387A6DEE">
      <w:pPr>
        <w:pStyle w:val="17"/>
        <w:pageBreakBefore w:val="0"/>
        <w:kinsoku/>
        <w:wordWrap/>
        <w:overflowPunct/>
        <w:topLinePunct w:val="0"/>
        <w:bidi w:val="0"/>
        <w:spacing w:before="151" w:line="360" w:lineRule="auto"/>
        <w:ind w:left="6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（1）培土：浇冻水之后，对月季、牡丹等耐寒性较差的低矮植株可采取基部培土防寒。</w:t>
      </w:r>
    </w:p>
    <w:p w14:paraId="39B29FE7">
      <w:pPr>
        <w:pStyle w:val="17"/>
        <w:pageBreakBefore w:val="0"/>
        <w:kinsoku/>
        <w:wordWrap/>
        <w:overflowPunct/>
        <w:topLinePunct w:val="0"/>
        <w:bidi w:val="0"/>
        <w:spacing w:before="151" w:line="360" w:lineRule="auto"/>
        <w:ind w:left="223" w:right="217"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（2）包干和涂白：对悬铃木、高杆紫薇等耐寒性较差的树种，入冬前可采取主干涂白,缠绕无纺布，草绳、防寒棉等防寒材料，高度 1.5m 或至分枝处，晚霜后拆除。</w:t>
      </w:r>
    </w:p>
    <w:p w14:paraId="61EAC571">
      <w:pPr>
        <w:pStyle w:val="17"/>
        <w:pageBreakBefore w:val="0"/>
        <w:kinsoku/>
        <w:wordWrap/>
        <w:overflowPunct/>
        <w:topLinePunct w:val="0"/>
        <w:bidi w:val="0"/>
        <w:spacing w:before="1" w:line="360" w:lineRule="auto"/>
        <w:ind w:left="6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（3）搭设风障或包裹：对雪松等耐寒性、抗风能力差的边缘树种或珍贵树木，在新植 3年内应搭设风障；对不耐寒较低矮树木如大叶黄杨等，可采用包裹覆盖等防寒措施。</w:t>
      </w:r>
    </w:p>
    <w:p w14:paraId="3B6B7CB0">
      <w:pPr>
        <w:pStyle w:val="17"/>
        <w:pageBreakBefore w:val="0"/>
        <w:kinsoku/>
        <w:wordWrap/>
        <w:overflowPunct/>
        <w:topLinePunct w:val="0"/>
        <w:bidi w:val="0"/>
        <w:spacing w:before="151" w:line="360" w:lineRule="auto"/>
        <w:ind w:left="223" w:right="217"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（4）对紫薇、木槿、大叶黄杨等易抽条树种，可于上年初冬和当年早春适量喷洒高酯膜等抗蒸腾剂。</w:t>
      </w:r>
    </w:p>
    <w:p w14:paraId="70807195">
      <w:pPr>
        <w:pStyle w:val="17"/>
        <w:pageBreakBefore w:val="0"/>
        <w:kinsoku/>
        <w:wordWrap/>
        <w:overflowPunct/>
        <w:topLinePunct w:val="0"/>
        <w:bidi w:val="0"/>
        <w:spacing w:before="1" w:line="360" w:lineRule="auto"/>
        <w:ind w:left="223" w:right="217"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（5）降雪后应及清除树冠上的积雪，尤其是冠大、叶密的常绿树，以防发生折枝、歪斜或其他雪灾伤害。</w:t>
      </w:r>
    </w:p>
    <w:p w14:paraId="09BF35C6">
      <w:pPr>
        <w:pStyle w:val="17"/>
        <w:pageBreakBefore w:val="0"/>
        <w:kinsoku/>
        <w:wordWrap/>
        <w:overflowPunct/>
        <w:topLinePunct w:val="0"/>
        <w:bidi w:val="0"/>
        <w:spacing w:line="360" w:lineRule="auto"/>
        <w:ind w:left="6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（二）防融雪剂</w:t>
      </w:r>
    </w:p>
    <w:p w14:paraId="32A81E62">
      <w:pPr>
        <w:pStyle w:val="100"/>
        <w:keepNext w:val="0"/>
        <w:keepLines w:val="0"/>
        <w:pageBreakBefore w:val="0"/>
        <w:widowControl w:val="0"/>
        <w:numPr>
          <w:ilvl w:val="0"/>
          <w:numId w:val="25"/>
        </w:numPr>
        <w:tabs>
          <w:tab w:val="left" w:pos="915"/>
        </w:tabs>
        <w:kinsoku/>
        <w:wordWrap/>
        <w:overflowPunct/>
        <w:topLinePunct w:val="0"/>
        <w:autoSpaceDE/>
        <w:autoSpaceDN/>
        <w:bidi w:val="0"/>
        <w:adjustRightInd/>
        <w:snapToGrid/>
        <w:spacing w:before="35" w:line="360" w:lineRule="auto"/>
        <w:ind w:left="221"/>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安装防范设施</w:t>
      </w:r>
    </w:p>
    <w:p w14:paraId="4D85F29F">
      <w:pPr>
        <w:pStyle w:val="17"/>
        <w:pageBreakBefore w:val="0"/>
        <w:kinsoku/>
        <w:wordWrap/>
        <w:overflowPunct/>
        <w:topLinePunct w:val="0"/>
        <w:bidi w:val="0"/>
        <w:spacing w:before="151" w:line="360" w:lineRule="auto"/>
        <w:ind w:left="223" w:right="212" w:firstLine="427"/>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为阻挡融雪剂等有害化学物质污染土壤，伤害绿地植物，入冬前应对常年易喷洒融雪剂的</w:t>
      </w:r>
      <w:r>
        <w:rPr>
          <w:rFonts w:hint="eastAsia" w:ascii="宋体" w:hAnsi="宋体" w:eastAsia="宋体" w:cs="宋体"/>
          <w:color w:val="auto"/>
          <w:spacing w:val="-10"/>
          <w:sz w:val="24"/>
          <w:szCs w:val="24"/>
          <w:highlight w:val="none"/>
          <w:lang w:eastAsia="zh-CN"/>
        </w:rPr>
        <w:t>地区，重点在分车带、中央隔离带绿地外围安装挡盐板。也可在入冬前采取树堰内铺隔离材料等措施，来年春季撤除。挡盐板安装应安全牢固，整齐一致，损坏的要及时修复或更换，春季</w:t>
      </w:r>
      <w:r>
        <w:rPr>
          <w:rFonts w:hint="eastAsia" w:ascii="宋体" w:hAnsi="宋体" w:eastAsia="宋体" w:cs="宋体"/>
          <w:color w:val="auto"/>
          <w:sz w:val="24"/>
          <w:szCs w:val="24"/>
          <w:highlight w:val="none"/>
          <w:lang w:eastAsia="zh-CN"/>
        </w:rPr>
        <w:t>应及时撤除，并彻底清理绿地内卫生。为防止撒过融雪剂的积雪堆放绿地和树堰内，要加强监督看管，及时发现予以制止。</w:t>
      </w:r>
    </w:p>
    <w:p w14:paraId="069011F9">
      <w:pPr>
        <w:pStyle w:val="100"/>
        <w:keepNext w:val="0"/>
        <w:keepLines w:val="0"/>
        <w:pageBreakBefore w:val="0"/>
        <w:widowControl w:val="0"/>
        <w:numPr>
          <w:ilvl w:val="0"/>
          <w:numId w:val="25"/>
        </w:numPr>
        <w:tabs>
          <w:tab w:val="left" w:pos="915"/>
        </w:tabs>
        <w:kinsoku/>
        <w:wordWrap/>
        <w:overflowPunct/>
        <w:topLinePunct w:val="0"/>
        <w:autoSpaceDE/>
        <w:autoSpaceDN/>
        <w:bidi w:val="0"/>
        <w:adjustRightInd/>
        <w:snapToGrid/>
        <w:spacing w:before="35" w:line="360" w:lineRule="auto"/>
        <w:ind w:left="221"/>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补救污染土壤</w:t>
      </w:r>
    </w:p>
    <w:p w14:paraId="30902350">
      <w:pPr>
        <w:pStyle w:val="17"/>
        <w:pageBreakBefore w:val="0"/>
        <w:kinsoku/>
        <w:wordWrap/>
        <w:overflowPunct/>
        <w:topLinePunct w:val="0"/>
        <w:bidi w:val="0"/>
        <w:spacing w:before="151" w:line="360" w:lineRule="auto"/>
        <w:ind w:left="224" w:right="106"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4"/>
          <w:sz w:val="24"/>
          <w:szCs w:val="24"/>
          <w:highlight w:val="none"/>
          <w:lang w:eastAsia="zh-CN"/>
        </w:rPr>
        <w:t xml:space="preserve">积极采取补救措施，对被融雪剂污染的树木和绿地应采取冲洗、更换局部土壤等补救措施， </w:t>
      </w:r>
      <w:r>
        <w:rPr>
          <w:rFonts w:hint="eastAsia" w:ascii="宋体" w:hAnsi="宋体" w:eastAsia="宋体" w:cs="宋体"/>
          <w:color w:val="auto"/>
          <w:spacing w:val="-7"/>
          <w:sz w:val="24"/>
          <w:szCs w:val="24"/>
          <w:highlight w:val="none"/>
          <w:lang w:eastAsia="zh-CN"/>
        </w:rPr>
        <w:t>防止盐害扩大蔓延。</w:t>
      </w:r>
    </w:p>
    <w:p w14:paraId="22BA63C9">
      <w:pPr>
        <w:pStyle w:val="17"/>
        <w:pageBreakBefore w:val="0"/>
        <w:kinsoku/>
        <w:wordWrap/>
        <w:overflowPunct/>
        <w:topLinePunct w:val="0"/>
        <w:bidi w:val="0"/>
        <w:spacing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（三）巡视看护</w:t>
      </w:r>
    </w:p>
    <w:p w14:paraId="50649402">
      <w:pPr>
        <w:pStyle w:val="17"/>
        <w:pageBreakBefore w:val="0"/>
        <w:kinsoku/>
        <w:wordWrap/>
        <w:overflowPunct/>
        <w:topLinePunct w:val="0"/>
        <w:bidi w:val="0"/>
        <w:spacing w:before="151" w:line="360" w:lineRule="auto"/>
        <w:ind w:left="224" w:right="166"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加强绿地巡视，及时发现并制止损坏绿化成果行为；对不听劝阻或违法犯罪人员及时逐级</w:t>
      </w:r>
      <w:r>
        <w:rPr>
          <w:rFonts w:hint="eastAsia" w:ascii="宋体" w:hAnsi="宋体" w:eastAsia="宋体" w:cs="宋体"/>
          <w:color w:val="auto"/>
          <w:spacing w:val="-5"/>
          <w:sz w:val="24"/>
          <w:szCs w:val="24"/>
          <w:highlight w:val="none"/>
          <w:lang w:eastAsia="zh-CN"/>
        </w:rPr>
        <w:t>上报，并交由执法部门处理；根据区域特点，可按需配备绿地安保人员，负责绿地巡视看护。</w:t>
      </w:r>
    </w:p>
    <w:p w14:paraId="4E890BC6">
      <w:pPr>
        <w:pStyle w:val="17"/>
        <w:pageBreakBefore w:val="0"/>
        <w:kinsoku/>
        <w:wordWrap/>
        <w:overflowPunct/>
        <w:topLinePunct w:val="0"/>
        <w:bidi w:val="0"/>
        <w:spacing w:before="1"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三、绿地保洁和设施维护</w:t>
      </w:r>
    </w:p>
    <w:p w14:paraId="4D00F918">
      <w:pPr>
        <w:pStyle w:val="17"/>
        <w:pageBreakBefore w:val="0"/>
        <w:kinsoku/>
        <w:wordWrap/>
        <w:overflowPunct/>
        <w:topLinePunct w:val="0"/>
        <w:bidi w:val="0"/>
        <w:spacing w:before="151" w:line="360" w:lineRule="auto"/>
        <w:ind w:left="65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（一）绿地保洁</w:t>
      </w:r>
    </w:p>
    <w:p w14:paraId="3BCE1C76">
      <w:pPr>
        <w:pStyle w:val="100"/>
        <w:pageBreakBefore w:val="0"/>
        <w:numPr>
          <w:ilvl w:val="0"/>
          <w:numId w:val="26"/>
        </w:numPr>
        <w:tabs>
          <w:tab w:val="left" w:pos="918"/>
        </w:tabs>
        <w:kinsoku/>
        <w:wordWrap/>
        <w:overflowPunct/>
        <w:topLinePunct w:val="0"/>
        <w:bidi w:val="0"/>
        <w:spacing w:before="151" w:line="360" w:lineRule="auto"/>
        <w:ind w:right="219" w:firstLine="42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绿地内及景观水面要保持整洁无杂物，无建筑、生活垃圾，无影响景观的干枯枝叶， </w:t>
      </w:r>
      <w:r>
        <w:rPr>
          <w:rFonts w:hint="eastAsia" w:ascii="宋体" w:hAnsi="宋体" w:eastAsia="宋体" w:cs="宋体"/>
          <w:color w:val="auto"/>
          <w:spacing w:val="-3"/>
          <w:sz w:val="24"/>
          <w:szCs w:val="24"/>
          <w:highlight w:val="none"/>
          <w:lang w:eastAsia="zh-CN"/>
        </w:rPr>
        <w:t>无堆放杂物，无贴挂标语、晾晒衣物等。</w:t>
      </w:r>
    </w:p>
    <w:p w14:paraId="5416F264">
      <w:pPr>
        <w:pStyle w:val="100"/>
        <w:pageBreakBefore w:val="0"/>
        <w:numPr>
          <w:ilvl w:val="0"/>
          <w:numId w:val="26"/>
        </w:numPr>
        <w:tabs>
          <w:tab w:val="left" w:pos="918"/>
        </w:tabs>
        <w:kinsoku/>
        <w:wordWrap/>
        <w:overflowPunct/>
        <w:topLinePunct w:val="0"/>
        <w:bidi w:val="0"/>
        <w:spacing w:before="1" w:line="360" w:lineRule="auto"/>
        <w:ind w:right="219" w:firstLine="42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绿化修剪或自然掉落的枝叶要及时收集和清运，不得乱堆乱放；枯枝落叶宜资源化利</w:t>
      </w:r>
      <w:r>
        <w:rPr>
          <w:rFonts w:hint="eastAsia" w:ascii="宋体" w:hAnsi="宋体" w:eastAsia="宋体" w:cs="宋体"/>
          <w:color w:val="auto"/>
          <w:spacing w:val="-2"/>
          <w:sz w:val="24"/>
          <w:szCs w:val="24"/>
          <w:highlight w:val="none"/>
          <w:lang w:eastAsia="zh-CN"/>
        </w:rPr>
        <w:t>用，不得焚烧。</w:t>
      </w:r>
    </w:p>
    <w:p w14:paraId="51245706">
      <w:pPr>
        <w:pStyle w:val="100"/>
        <w:pageBreakBefore w:val="0"/>
        <w:numPr>
          <w:ilvl w:val="0"/>
          <w:numId w:val="26"/>
        </w:numPr>
        <w:tabs>
          <w:tab w:val="left" w:pos="918"/>
        </w:tabs>
        <w:kinsoku/>
        <w:wordWrap/>
        <w:overflowPunct/>
        <w:topLinePunct w:val="0"/>
        <w:bidi w:val="0"/>
        <w:spacing w:before="1" w:line="360" w:lineRule="auto"/>
        <w:ind w:right="219" w:firstLine="42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除专置停车场，绿地内不得停放与绿化作业无关的机械和车辆等，不得在绿地内从事</w:t>
      </w:r>
      <w:r>
        <w:rPr>
          <w:rFonts w:hint="eastAsia" w:ascii="宋体" w:hAnsi="宋体" w:eastAsia="宋体" w:cs="宋体"/>
          <w:color w:val="auto"/>
          <w:spacing w:val="-3"/>
          <w:sz w:val="24"/>
          <w:szCs w:val="24"/>
          <w:highlight w:val="none"/>
          <w:lang w:eastAsia="zh-CN"/>
        </w:rPr>
        <w:t>车辆清洗、维修等与园林绿化无关的业务。</w:t>
      </w:r>
    </w:p>
    <w:p w14:paraId="66B079B1">
      <w:pPr>
        <w:pStyle w:val="100"/>
        <w:pageBreakBefore w:val="0"/>
        <w:numPr>
          <w:ilvl w:val="0"/>
          <w:numId w:val="26"/>
        </w:numPr>
        <w:tabs>
          <w:tab w:val="left" w:pos="918"/>
        </w:tabs>
        <w:kinsoku/>
        <w:wordWrap/>
        <w:overflowPunct/>
        <w:topLinePunct w:val="0"/>
        <w:bidi w:val="0"/>
        <w:spacing w:before="1" w:line="360" w:lineRule="auto"/>
        <w:ind w:right="219" w:firstLine="42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绿地附属设施应及时清理，经常保洁。</w:t>
      </w:r>
    </w:p>
    <w:p w14:paraId="090023A8">
      <w:pPr>
        <w:pStyle w:val="17"/>
        <w:pageBreakBefore w:val="0"/>
        <w:kinsoku/>
        <w:wordWrap/>
        <w:overflowPunct/>
        <w:topLinePunct w:val="0"/>
        <w:bidi w:val="0"/>
        <w:spacing w:before="151" w:line="360" w:lineRule="auto"/>
        <w:ind w:left="65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（二）设施维护</w:t>
      </w:r>
    </w:p>
    <w:p w14:paraId="7D5FF68E">
      <w:pPr>
        <w:pStyle w:val="100"/>
        <w:pageBreakBefore w:val="0"/>
        <w:numPr>
          <w:ilvl w:val="0"/>
          <w:numId w:val="27"/>
        </w:numPr>
        <w:tabs>
          <w:tab w:val="left" w:pos="918"/>
        </w:tabs>
        <w:kinsoku/>
        <w:wordWrap/>
        <w:overflowPunct/>
        <w:topLinePunct w:val="0"/>
        <w:bidi w:val="0"/>
        <w:spacing w:before="151" w:line="360" w:lineRule="auto"/>
        <w:ind w:right="219" w:firstLine="42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建筑、铺装、围栏、小品等各种绿地附属设施应保持安全、牢固、完整，及时消除安</w:t>
      </w:r>
      <w:r>
        <w:rPr>
          <w:rFonts w:hint="eastAsia" w:ascii="宋体" w:hAnsi="宋体" w:eastAsia="宋体" w:cs="宋体"/>
          <w:color w:val="auto"/>
          <w:spacing w:val="-3"/>
          <w:sz w:val="24"/>
          <w:szCs w:val="24"/>
          <w:highlight w:val="none"/>
          <w:lang w:eastAsia="zh-CN"/>
        </w:rPr>
        <w:t>全隐患，对缺失和损坏的及时修复或更换。</w:t>
      </w:r>
    </w:p>
    <w:p w14:paraId="1902BC3D">
      <w:pPr>
        <w:pStyle w:val="100"/>
        <w:pageBreakBefore w:val="0"/>
        <w:numPr>
          <w:ilvl w:val="0"/>
          <w:numId w:val="27"/>
        </w:numPr>
        <w:tabs>
          <w:tab w:val="left" w:pos="918"/>
        </w:tabs>
        <w:kinsoku/>
        <w:wordWrap/>
        <w:overflowPunct/>
        <w:topLinePunct w:val="0"/>
        <w:bidi w:val="0"/>
        <w:spacing w:before="1" w:line="360" w:lineRule="auto"/>
        <w:ind w:right="219" w:firstLine="42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绿地给水、排水及雨水收集设施应保持管道畅通完好，井盖等设施完整无损；防汛、</w:t>
      </w:r>
      <w:r>
        <w:rPr>
          <w:rFonts w:hint="eastAsia" w:ascii="宋体" w:hAnsi="宋体" w:eastAsia="宋体" w:cs="宋体"/>
          <w:color w:val="auto"/>
          <w:spacing w:val="-3"/>
          <w:sz w:val="24"/>
          <w:szCs w:val="24"/>
          <w:highlight w:val="none"/>
          <w:lang w:eastAsia="zh-CN"/>
        </w:rPr>
        <w:t>消防等设备应保持完好、有效。</w:t>
      </w:r>
    </w:p>
    <w:p w14:paraId="49D7B07F">
      <w:pPr>
        <w:pStyle w:val="17"/>
        <w:pageBreakBefore w:val="0"/>
        <w:kinsoku/>
        <w:wordWrap/>
        <w:overflowPunct/>
        <w:topLinePunct w:val="0"/>
        <w:bidi w:val="0"/>
        <w:spacing w:before="1"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四、安全防范</w:t>
      </w:r>
    </w:p>
    <w:p w14:paraId="29B7F821">
      <w:pPr>
        <w:pStyle w:val="17"/>
        <w:pageBreakBefore w:val="0"/>
        <w:kinsoku/>
        <w:wordWrap/>
        <w:overflowPunct/>
        <w:topLinePunct w:val="0"/>
        <w:bidi w:val="0"/>
        <w:spacing w:before="151"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（一）安全作业</w:t>
      </w:r>
    </w:p>
    <w:p w14:paraId="4FB6D4CC">
      <w:pPr>
        <w:pStyle w:val="100"/>
        <w:keepNext w:val="0"/>
        <w:keepLines w:val="0"/>
        <w:pageBreakBefore w:val="0"/>
        <w:widowControl w:val="0"/>
        <w:numPr>
          <w:ilvl w:val="0"/>
          <w:numId w:val="28"/>
        </w:numPr>
        <w:tabs>
          <w:tab w:val="left" w:pos="916"/>
        </w:tabs>
        <w:kinsoku/>
        <w:wordWrap/>
        <w:overflowPunct/>
        <w:topLinePunct w:val="0"/>
        <w:autoSpaceDE/>
        <w:autoSpaceDN/>
        <w:bidi w:val="0"/>
        <w:adjustRightInd/>
        <w:snapToGrid/>
        <w:spacing w:before="0" w:beforeLines="175" w:line="360" w:lineRule="auto"/>
        <w:ind w:left="221"/>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园林机具使用</w:t>
      </w:r>
    </w:p>
    <w:p w14:paraId="4BB439C7">
      <w:pPr>
        <w:pStyle w:val="17"/>
        <w:pageBreakBefore w:val="0"/>
        <w:kinsoku/>
        <w:wordWrap/>
        <w:overflowPunct/>
        <w:topLinePunct w:val="0"/>
        <w:bidi w:val="0"/>
        <w:spacing w:before="151"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（1）上岗前要做好操作规程和作业人员自身安全防护的安全教育培训。</w:t>
      </w:r>
    </w:p>
    <w:p w14:paraId="0475CAE3">
      <w:pPr>
        <w:pStyle w:val="17"/>
        <w:pageBreakBefore w:val="0"/>
        <w:kinsoku/>
        <w:wordWrap/>
        <w:overflowPunct/>
        <w:topLinePunct w:val="0"/>
        <w:bidi w:val="0"/>
        <w:spacing w:before="151" w:line="360" w:lineRule="auto"/>
        <w:ind w:left="224" w:right="214"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（2）使用剪草机</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z w:val="24"/>
          <w:szCs w:val="24"/>
          <w:highlight w:val="none"/>
          <w:lang w:eastAsia="zh-CN"/>
        </w:rPr>
        <w:t>车</w:t>
      </w:r>
      <w:r>
        <w:rPr>
          <w:rFonts w:hint="eastAsia" w:ascii="宋体" w:hAnsi="宋体" w:eastAsia="宋体" w:cs="宋体"/>
          <w:color w:val="auto"/>
          <w:spacing w:val="-106"/>
          <w:sz w:val="24"/>
          <w:szCs w:val="24"/>
          <w:highlight w:val="none"/>
          <w:lang w:eastAsia="zh-CN"/>
        </w:rPr>
        <w:t>）</w:t>
      </w:r>
      <w:r>
        <w:rPr>
          <w:rFonts w:hint="eastAsia" w:ascii="宋体" w:hAnsi="宋体" w:eastAsia="宋体" w:cs="宋体"/>
          <w:color w:val="auto"/>
          <w:spacing w:val="-9"/>
          <w:sz w:val="24"/>
          <w:szCs w:val="24"/>
          <w:highlight w:val="none"/>
          <w:lang w:eastAsia="zh-CN"/>
        </w:rPr>
        <w:t>、割灌机、绿篱修剪机、打孔机、疏草机、油锯等园林机械时，要</w:t>
      </w:r>
      <w:r>
        <w:rPr>
          <w:rFonts w:hint="eastAsia" w:ascii="宋体" w:hAnsi="宋体" w:eastAsia="宋体" w:cs="宋体"/>
          <w:color w:val="auto"/>
          <w:spacing w:val="-5"/>
          <w:sz w:val="24"/>
          <w:szCs w:val="24"/>
          <w:highlight w:val="none"/>
          <w:lang w:eastAsia="zh-CN"/>
        </w:rPr>
        <w:t>先检查园林机具的安全性及完好性。</w:t>
      </w:r>
    </w:p>
    <w:p w14:paraId="338ACEB9">
      <w:pPr>
        <w:pStyle w:val="100"/>
        <w:keepNext w:val="0"/>
        <w:keepLines w:val="0"/>
        <w:pageBreakBefore w:val="0"/>
        <w:widowControl w:val="0"/>
        <w:numPr>
          <w:ilvl w:val="0"/>
          <w:numId w:val="28"/>
        </w:numPr>
        <w:tabs>
          <w:tab w:val="left" w:pos="916"/>
        </w:tabs>
        <w:kinsoku/>
        <w:wordWrap/>
        <w:overflowPunct/>
        <w:topLinePunct w:val="0"/>
        <w:autoSpaceDE/>
        <w:autoSpaceDN/>
        <w:bidi w:val="0"/>
        <w:adjustRightInd/>
        <w:snapToGrid/>
        <w:spacing w:before="0" w:beforeLines="175" w:line="360" w:lineRule="auto"/>
        <w:ind w:left="221"/>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高空作业</w:t>
      </w:r>
    </w:p>
    <w:p w14:paraId="426AD872">
      <w:pPr>
        <w:pStyle w:val="17"/>
        <w:pageBreakBefore w:val="0"/>
        <w:kinsoku/>
        <w:wordWrap/>
        <w:overflowPunct/>
        <w:topLinePunct w:val="0"/>
        <w:bidi w:val="0"/>
        <w:spacing w:before="151"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参照《行道树修剪规程》（DB11/T 839—2011）的要求执行。</w:t>
      </w:r>
    </w:p>
    <w:p w14:paraId="5671F8D6">
      <w:pPr>
        <w:pStyle w:val="100"/>
        <w:keepNext w:val="0"/>
        <w:keepLines w:val="0"/>
        <w:pageBreakBefore w:val="0"/>
        <w:widowControl w:val="0"/>
        <w:numPr>
          <w:ilvl w:val="0"/>
          <w:numId w:val="28"/>
        </w:numPr>
        <w:tabs>
          <w:tab w:val="left" w:pos="916"/>
        </w:tabs>
        <w:kinsoku/>
        <w:wordWrap/>
        <w:overflowPunct/>
        <w:topLinePunct w:val="0"/>
        <w:autoSpaceDE/>
        <w:autoSpaceDN/>
        <w:bidi w:val="0"/>
        <w:adjustRightInd/>
        <w:snapToGrid/>
        <w:spacing w:before="0" w:beforeLines="175" w:line="360" w:lineRule="auto"/>
        <w:ind w:left="221"/>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农药使用</w:t>
      </w:r>
    </w:p>
    <w:p w14:paraId="002562E5">
      <w:pPr>
        <w:pStyle w:val="17"/>
        <w:pageBreakBefore w:val="0"/>
        <w:kinsoku/>
        <w:wordWrap/>
        <w:overflowPunct/>
        <w:topLinePunct w:val="0"/>
        <w:bidi w:val="0"/>
        <w:spacing w:before="151"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（1）农药应设专人管理，做好出入库使用记录，用后需及时上交。</w:t>
      </w:r>
    </w:p>
    <w:p w14:paraId="3D4D1455">
      <w:pPr>
        <w:pStyle w:val="17"/>
        <w:pageBreakBefore w:val="0"/>
        <w:kinsoku/>
        <w:wordWrap/>
        <w:overflowPunct/>
        <w:topLinePunct w:val="0"/>
        <w:bidi w:val="0"/>
        <w:spacing w:before="151" w:line="360" w:lineRule="auto"/>
        <w:ind w:left="223" w:right="217"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（2）操作人员应严格按照《农药管理条例》和北京市相关技术规程等有关规定进行使用。地下空间作业绿化用表井、闸井、泄水井、检查井等有限空间作业时，首先进行通风，确保安全后方可下井作业。</w:t>
      </w:r>
    </w:p>
    <w:p w14:paraId="306CBF5D">
      <w:pPr>
        <w:pStyle w:val="100"/>
        <w:keepNext w:val="0"/>
        <w:keepLines w:val="0"/>
        <w:pageBreakBefore w:val="0"/>
        <w:widowControl w:val="0"/>
        <w:numPr>
          <w:ilvl w:val="0"/>
          <w:numId w:val="28"/>
        </w:numPr>
        <w:tabs>
          <w:tab w:val="left" w:pos="916"/>
        </w:tabs>
        <w:kinsoku/>
        <w:wordWrap/>
        <w:overflowPunct/>
        <w:topLinePunct w:val="0"/>
        <w:autoSpaceDE/>
        <w:autoSpaceDN/>
        <w:bidi w:val="0"/>
        <w:adjustRightInd/>
        <w:snapToGrid/>
        <w:spacing w:before="0" w:beforeLines="175" w:line="360" w:lineRule="auto"/>
        <w:ind w:left="221"/>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绿地火灾防范</w:t>
      </w:r>
    </w:p>
    <w:p w14:paraId="2ED5B013">
      <w:pPr>
        <w:pStyle w:val="17"/>
        <w:pageBreakBefore w:val="0"/>
        <w:kinsoku/>
        <w:wordWrap/>
        <w:overflowPunct/>
        <w:topLinePunct w:val="0"/>
        <w:bidi w:val="0"/>
        <w:spacing w:before="151" w:line="360" w:lineRule="auto"/>
        <w:ind w:left="223" w:right="217"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（1）及时清理清运园林绿化生产废弃物，不得随地焚烧；防止随意扔烟头等火源引起绿地火灾。</w:t>
      </w:r>
    </w:p>
    <w:p w14:paraId="1D2F2056">
      <w:pPr>
        <w:pStyle w:val="17"/>
        <w:pageBreakBefore w:val="0"/>
        <w:kinsoku/>
        <w:wordWrap/>
        <w:overflowPunct/>
        <w:topLinePunct w:val="0"/>
        <w:bidi w:val="0"/>
        <w:spacing w:before="1" w:line="360" w:lineRule="auto"/>
        <w:ind w:left="223" w:right="217"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（2）禁止在绿地内燃放烟花爆竹，做好烟花爆竹燃放期间的预防工作并根据天气干燥情况洒水阻燃。</w:t>
      </w:r>
    </w:p>
    <w:p w14:paraId="4CBE1C47">
      <w:pPr>
        <w:pStyle w:val="17"/>
        <w:pageBreakBefore w:val="0"/>
        <w:kinsoku/>
        <w:wordWrap/>
        <w:overflowPunct/>
        <w:topLinePunct w:val="0"/>
        <w:bidi w:val="0"/>
        <w:spacing w:before="1" w:line="360" w:lineRule="auto"/>
        <w:ind w:left="223" w:right="215"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（3）加强绿地内消防设施的建设与管理,与消防部门建立沟通协调机制，加强对绿地内消防设施的日常检查和维护。</w:t>
      </w:r>
    </w:p>
    <w:p w14:paraId="5202CE7F">
      <w:pPr>
        <w:pStyle w:val="17"/>
        <w:pageBreakBefore w:val="0"/>
        <w:kinsoku/>
        <w:wordWrap/>
        <w:overflowPunct/>
        <w:topLinePunct w:val="0"/>
        <w:bidi w:val="0"/>
        <w:spacing w:line="360" w:lineRule="auto"/>
        <w:ind w:left="6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（二）安全管理</w:t>
      </w:r>
    </w:p>
    <w:p w14:paraId="2A83BD9A">
      <w:pPr>
        <w:pStyle w:val="100"/>
        <w:keepNext w:val="0"/>
        <w:keepLines w:val="0"/>
        <w:pageBreakBefore w:val="0"/>
        <w:widowControl w:val="0"/>
        <w:numPr>
          <w:ilvl w:val="0"/>
          <w:numId w:val="29"/>
        </w:numPr>
        <w:tabs>
          <w:tab w:val="left" w:pos="915"/>
        </w:tabs>
        <w:kinsoku/>
        <w:wordWrap/>
        <w:overflowPunct/>
        <w:topLinePunct w:val="0"/>
        <w:autoSpaceDE/>
        <w:autoSpaceDN/>
        <w:bidi w:val="0"/>
        <w:adjustRightInd/>
        <w:snapToGrid/>
        <w:spacing w:before="35" w:line="360" w:lineRule="auto"/>
        <w:ind w:left="221"/>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仓库管理</w:t>
      </w:r>
    </w:p>
    <w:p w14:paraId="39812C20">
      <w:pPr>
        <w:pStyle w:val="17"/>
        <w:pageBreakBefore w:val="0"/>
        <w:kinsoku/>
        <w:wordWrap/>
        <w:overflowPunct/>
        <w:topLinePunct w:val="0"/>
        <w:bidi w:val="0"/>
        <w:spacing w:before="151" w:line="360" w:lineRule="auto"/>
        <w:ind w:left="6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（1）应建立管理制度，明确管理人员职责。</w:t>
      </w:r>
    </w:p>
    <w:p w14:paraId="3E779E2D">
      <w:pPr>
        <w:pStyle w:val="17"/>
        <w:pageBreakBefore w:val="0"/>
        <w:kinsoku/>
        <w:wordWrap/>
        <w:overflowPunct/>
        <w:topLinePunct w:val="0"/>
        <w:bidi w:val="0"/>
        <w:spacing w:before="151" w:line="360" w:lineRule="auto"/>
        <w:ind w:left="223" w:right="217"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（2）农药、化肥、汽油等危险、易燃物应分类存放，按规定配备灭火器，做好防潮、防火、防腐蚀、防盗等安全防护措施。</w:t>
      </w:r>
    </w:p>
    <w:p w14:paraId="0DA9B4EA">
      <w:pPr>
        <w:pStyle w:val="100"/>
        <w:keepNext w:val="0"/>
        <w:keepLines w:val="0"/>
        <w:pageBreakBefore w:val="0"/>
        <w:widowControl w:val="0"/>
        <w:numPr>
          <w:ilvl w:val="0"/>
          <w:numId w:val="29"/>
        </w:numPr>
        <w:tabs>
          <w:tab w:val="left" w:pos="915"/>
        </w:tabs>
        <w:kinsoku/>
        <w:wordWrap/>
        <w:overflowPunct/>
        <w:topLinePunct w:val="0"/>
        <w:autoSpaceDE/>
        <w:autoSpaceDN/>
        <w:bidi w:val="0"/>
        <w:adjustRightInd/>
        <w:snapToGrid/>
        <w:spacing w:before="35" w:line="360" w:lineRule="auto"/>
        <w:ind w:left="221"/>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应急抢险</w:t>
      </w:r>
    </w:p>
    <w:p w14:paraId="306372DA">
      <w:pPr>
        <w:pStyle w:val="17"/>
        <w:pageBreakBefore w:val="0"/>
        <w:kinsoku/>
        <w:wordWrap/>
        <w:overflowPunct/>
        <w:topLinePunct w:val="0"/>
        <w:bidi w:val="0"/>
        <w:spacing w:before="151" w:line="360" w:lineRule="auto"/>
        <w:ind w:left="6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（1）制定应急抢险预案，做好人员、物资、设备等方面的应急准备工作。</w:t>
      </w:r>
    </w:p>
    <w:p w14:paraId="1BEAC8A2">
      <w:pPr>
        <w:pStyle w:val="17"/>
        <w:pageBreakBefore w:val="0"/>
        <w:kinsoku/>
        <w:wordWrap/>
        <w:overflowPunct/>
        <w:topLinePunct w:val="0"/>
        <w:bidi w:val="0"/>
        <w:spacing w:before="151" w:line="360" w:lineRule="auto"/>
        <w:ind w:left="6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（2）雨、雪、大风等灾害性天气应及时做好安全抢险救灾工作。</w:t>
      </w:r>
    </w:p>
    <w:p w14:paraId="5204BF2F">
      <w:pPr>
        <w:pStyle w:val="17"/>
        <w:keepNext w:val="0"/>
        <w:keepLines w:val="0"/>
        <w:pageBreakBefore w:val="0"/>
        <w:widowControl w:val="0"/>
        <w:kinsoku/>
        <w:wordWrap/>
        <w:overflowPunct/>
        <w:topLinePunct w:val="0"/>
        <w:autoSpaceDE/>
        <w:autoSpaceDN/>
        <w:bidi w:val="0"/>
        <w:adjustRightInd/>
        <w:snapToGrid/>
        <w:spacing w:before="0" w:line="360" w:lineRule="auto"/>
        <w:ind w:left="652" w:right="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（3）交通事故等造成的树木损伤、绿地设施毁坏应及时进行现场处理。</w:t>
      </w:r>
    </w:p>
    <w:p w14:paraId="544D7AFC">
      <w:pPr>
        <w:pStyle w:val="17"/>
        <w:pageBreakBefore w:val="0"/>
        <w:kinsoku/>
        <w:wordWrap/>
        <w:overflowPunct/>
        <w:topLinePunct w:val="0"/>
        <w:bidi w:val="0"/>
        <w:spacing w:before="151" w:line="360" w:lineRule="auto"/>
        <w:ind w:left="650" w:right="1734"/>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五、培训和宣传</w:t>
      </w:r>
    </w:p>
    <w:p w14:paraId="68AB9563">
      <w:pPr>
        <w:pStyle w:val="17"/>
        <w:pageBreakBefore w:val="0"/>
        <w:kinsoku/>
        <w:wordWrap/>
        <w:overflowPunct/>
        <w:topLinePunct w:val="0"/>
        <w:bidi w:val="0"/>
        <w:spacing w:before="1" w:line="360" w:lineRule="auto"/>
        <w:ind w:left="6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（一）加强培训</w:t>
      </w:r>
    </w:p>
    <w:p w14:paraId="0B592EBF">
      <w:pPr>
        <w:pStyle w:val="100"/>
        <w:pageBreakBefore w:val="0"/>
        <w:numPr>
          <w:ilvl w:val="0"/>
          <w:numId w:val="30"/>
        </w:numPr>
        <w:tabs>
          <w:tab w:val="left" w:pos="915"/>
        </w:tabs>
        <w:kinsoku/>
        <w:wordWrap/>
        <w:overflowPunct/>
        <w:topLinePunct w:val="0"/>
        <w:bidi w:val="0"/>
        <w:spacing w:before="151" w:line="360" w:lineRule="auto"/>
        <w:ind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制定年度培训工作计划，包括：培训内容、培训对象、培训方法、培训的时间及地点。</w:t>
      </w:r>
    </w:p>
    <w:p w14:paraId="2F35A989">
      <w:pPr>
        <w:pStyle w:val="100"/>
        <w:pageBreakBefore w:val="0"/>
        <w:numPr>
          <w:ilvl w:val="0"/>
          <w:numId w:val="30"/>
        </w:numPr>
        <w:tabs>
          <w:tab w:val="left" w:pos="918"/>
        </w:tabs>
        <w:kinsoku/>
        <w:wordWrap/>
        <w:overflowPunct/>
        <w:topLinePunct w:val="0"/>
        <w:bidi w:val="0"/>
        <w:spacing w:before="151" w:line="360" w:lineRule="auto"/>
        <w:ind w:right="219"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建立养护工作管理人员与一线工人的专业技术考核体系，增强精细化管理意识，促进</w:t>
      </w:r>
      <w:r>
        <w:rPr>
          <w:rFonts w:hint="eastAsia" w:ascii="宋体" w:hAnsi="宋体" w:eastAsia="宋体" w:cs="宋体"/>
          <w:color w:val="auto"/>
          <w:spacing w:val="-3"/>
          <w:sz w:val="24"/>
          <w:szCs w:val="24"/>
          <w:highlight w:val="none"/>
          <w:lang w:eastAsia="zh-CN"/>
        </w:rPr>
        <w:t>养护队伍整体专业技术水平的提升。</w:t>
      </w:r>
    </w:p>
    <w:p w14:paraId="3BC3B081">
      <w:pPr>
        <w:pStyle w:val="100"/>
        <w:pageBreakBefore w:val="0"/>
        <w:numPr>
          <w:ilvl w:val="0"/>
          <w:numId w:val="30"/>
        </w:numPr>
        <w:tabs>
          <w:tab w:val="left" w:pos="918"/>
        </w:tabs>
        <w:kinsoku/>
        <w:wordWrap/>
        <w:overflowPunct/>
        <w:topLinePunct w:val="0"/>
        <w:bidi w:val="0"/>
        <w:spacing w:before="1" w:line="360" w:lineRule="auto"/>
        <w:ind w:right="219"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加强对员工的文明素质教育，规范养护人员文明作业，统一着装，树立园林行业良好形象。</w:t>
      </w:r>
    </w:p>
    <w:p w14:paraId="6FBBB476">
      <w:pPr>
        <w:pStyle w:val="17"/>
        <w:pageBreakBefore w:val="0"/>
        <w:kinsoku/>
        <w:wordWrap/>
        <w:overflowPunct/>
        <w:topLinePunct w:val="0"/>
        <w:bidi w:val="0"/>
        <w:spacing w:line="360" w:lineRule="auto"/>
        <w:ind w:left="6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（二）加强宣传</w:t>
      </w:r>
    </w:p>
    <w:p w14:paraId="5385E890">
      <w:pPr>
        <w:pStyle w:val="17"/>
        <w:pageBreakBefore w:val="0"/>
        <w:kinsoku/>
        <w:wordWrap/>
        <w:overflowPunct/>
        <w:topLinePunct w:val="0"/>
        <w:bidi w:val="0"/>
        <w:spacing w:before="151" w:line="360" w:lineRule="auto"/>
        <w:ind w:left="223" w:right="215"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定期开展数字化园林管理系统的科普宣传工作，采用牌示、图展、视频、新媒体等多种形</w:t>
      </w:r>
      <w:r>
        <w:rPr>
          <w:rFonts w:hint="eastAsia" w:ascii="宋体" w:hAnsi="宋体" w:eastAsia="宋体" w:cs="宋体"/>
          <w:color w:val="auto"/>
          <w:spacing w:val="-5"/>
          <w:sz w:val="24"/>
          <w:szCs w:val="24"/>
          <w:highlight w:val="none"/>
          <w:lang w:eastAsia="zh-CN"/>
        </w:rPr>
        <w:t>式向公众展示园林绿化知识，增强群众爱绿护绿意识。</w:t>
      </w:r>
    </w:p>
    <w:p w14:paraId="4AFFA7E4">
      <w:pPr>
        <w:pStyle w:val="17"/>
        <w:pageBreakBefore w:val="0"/>
        <w:kinsoku/>
        <w:wordWrap/>
        <w:overflowPunct/>
        <w:topLinePunct w:val="0"/>
        <w:bidi w:val="0"/>
        <w:spacing w:before="1" w:line="360" w:lineRule="auto"/>
        <w:ind w:left="6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六、信息平台建设</w:t>
      </w:r>
    </w:p>
    <w:p w14:paraId="1A4BC5DB">
      <w:pPr>
        <w:pStyle w:val="17"/>
        <w:pageBreakBefore w:val="0"/>
        <w:kinsoku/>
        <w:wordWrap/>
        <w:overflowPunct/>
        <w:topLinePunct w:val="0"/>
        <w:bidi w:val="0"/>
        <w:spacing w:before="151" w:line="360" w:lineRule="auto"/>
        <w:ind w:left="6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（一）建立绿地台账</w:t>
      </w:r>
    </w:p>
    <w:p w14:paraId="0CF8599D">
      <w:pPr>
        <w:pStyle w:val="17"/>
        <w:pageBreakBefore w:val="0"/>
        <w:kinsoku/>
        <w:wordWrap/>
        <w:overflowPunct/>
        <w:topLinePunct w:val="0"/>
        <w:bidi w:val="0"/>
        <w:spacing w:before="151" w:line="360" w:lineRule="auto"/>
        <w:ind w:left="223" w:right="215" w:firstLine="427"/>
        <w:textAlignment w:val="auto"/>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台账包括绿地类型、名称、位置（坐标）、 面积、植物种类和数量、绿地设施、绿地用水、绿地等级、建成时间、权属、责任单位、责任人及联系方式等内容，采取纸质和电子形式，并实施动态管理。</w:t>
      </w:r>
    </w:p>
    <w:p w14:paraId="60AE9353">
      <w:pPr>
        <w:pStyle w:val="17"/>
        <w:pageBreakBefore w:val="0"/>
        <w:kinsoku/>
        <w:wordWrap/>
        <w:overflowPunct/>
        <w:topLinePunct w:val="0"/>
        <w:bidi w:val="0"/>
        <w:spacing w:before="151"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（二）完善养护资料</w:t>
      </w:r>
    </w:p>
    <w:p w14:paraId="7F27C51F">
      <w:pPr>
        <w:pStyle w:val="17"/>
        <w:pageBreakBefore w:val="0"/>
        <w:kinsoku/>
        <w:wordWrap/>
        <w:overflowPunct/>
        <w:topLinePunct w:val="0"/>
        <w:bidi w:val="0"/>
        <w:spacing w:before="151"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制定绿地养护计划，做好日常养护资料的收集与整理，建立电子技术档案。</w:t>
      </w:r>
    </w:p>
    <w:p w14:paraId="550F6368">
      <w:pPr>
        <w:pStyle w:val="17"/>
        <w:pageBreakBefore w:val="0"/>
        <w:kinsoku/>
        <w:wordWrap/>
        <w:overflowPunct/>
        <w:topLinePunct w:val="0"/>
        <w:bidi w:val="0"/>
        <w:spacing w:before="151"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（三）问题处理与反馈</w:t>
      </w:r>
    </w:p>
    <w:p w14:paraId="42A3FE76">
      <w:pPr>
        <w:pStyle w:val="17"/>
        <w:pageBreakBefore w:val="0"/>
        <w:kinsoku/>
        <w:wordWrap/>
        <w:overflowPunct/>
        <w:topLinePunct w:val="0"/>
        <w:bidi w:val="0"/>
        <w:spacing w:before="151"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将巡查、遥感监测、群众举报等养护问题及照片输入管理平台，由责任单位按时整改并反馈。</w:t>
      </w:r>
    </w:p>
    <w:p w14:paraId="50C333CE">
      <w:pPr>
        <w:pStyle w:val="17"/>
        <w:pageBreakBefore w:val="0"/>
        <w:kinsoku/>
        <w:wordWrap/>
        <w:overflowPunct/>
        <w:topLinePunct w:val="0"/>
        <w:bidi w:val="0"/>
        <w:spacing w:before="151"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七、监督与考评</w:t>
      </w:r>
    </w:p>
    <w:p w14:paraId="755A9116">
      <w:pPr>
        <w:pStyle w:val="17"/>
        <w:pageBreakBefore w:val="0"/>
        <w:kinsoku/>
        <w:wordWrap/>
        <w:overflowPunct/>
        <w:topLinePunct w:val="0"/>
        <w:bidi w:val="0"/>
        <w:spacing w:before="151"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（一）建立监督考核制度，制定考核办法，完善考评标准，发挥好检查、监督、指导、协调等政府职能。</w:t>
      </w:r>
    </w:p>
    <w:p w14:paraId="788159AE">
      <w:pPr>
        <w:pStyle w:val="17"/>
        <w:pageBreakBefore w:val="0"/>
        <w:kinsoku/>
        <w:wordWrap/>
        <w:overflowPunct/>
        <w:topLinePunct w:val="0"/>
        <w:bidi w:val="0"/>
        <w:spacing w:before="151" w:line="360" w:lineRule="auto"/>
        <w:ind w:left="224" w:right="214"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pacing w:val="-22"/>
          <w:sz w:val="24"/>
          <w:szCs w:val="24"/>
          <w:highlight w:val="none"/>
          <w:lang w:eastAsia="zh-CN"/>
        </w:rPr>
        <w:t>）</w:t>
      </w:r>
      <w:r>
        <w:rPr>
          <w:rFonts w:hint="eastAsia" w:ascii="宋体" w:hAnsi="宋体" w:eastAsia="宋体" w:cs="宋体"/>
          <w:color w:val="auto"/>
          <w:spacing w:val="-6"/>
          <w:sz w:val="24"/>
          <w:szCs w:val="24"/>
          <w:highlight w:val="none"/>
          <w:lang w:eastAsia="zh-CN"/>
        </w:rPr>
        <w:t>建立健全城镇绿化管理长效机制，制定城镇绿化管理规划，作好城镇绿化管理年度计划。</w:t>
      </w:r>
    </w:p>
    <w:p w14:paraId="045F49D9">
      <w:pPr>
        <w:pStyle w:val="17"/>
        <w:pageBreakBefore w:val="0"/>
        <w:kinsoku/>
        <w:wordWrap/>
        <w:overflowPunct/>
        <w:topLinePunct w:val="0"/>
        <w:bidi w:val="0"/>
        <w:spacing w:before="1" w:line="360" w:lineRule="auto"/>
        <w:ind w:left="651" w:right="112"/>
        <w:textAlignment w:val="auto"/>
        <w:rPr>
          <w:rFonts w:hint="eastAsia" w:ascii="宋体" w:hAnsi="宋体" w:eastAsia="宋体" w:cs="宋体"/>
          <w:color w:val="auto"/>
          <w:spacing w:val="-11"/>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3"/>
          <w:sz w:val="24"/>
          <w:szCs w:val="24"/>
          <w:highlight w:val="none"/>
          <w:lang w:eastAsia="zh-CN"/>
        </w:rPr>
        <w:t>三</w:t>
      </w:r>
      <w:r>
        <w:rPr>
          <w:rFonts w:hint="eastAsia" w:ascii="宋体" w:hAnsi="宋体" w:eastAsia="宋体" w:cs="宋体"/>
          <w:color w:val="auto"/>
          <w:spacing w:val="-53"/>
          <w:sz w:val="24"/>
          <w:szCs w:val="24"/>
          <w:highlight w:val="none"/>
          <w:lang w:eastAsia="zh-CN"/>
        </w:rPr>
        <w:t>）</w:t>
      </w:r>
      <w:r>
        <w:rPr>
          <w:rFonts w:hint="eastAsia" w:ascii="宋体" w:hAnsi="宋体" w:eastAsia="宋体" w:cs="宋体"/>
          <w:color w:val="auto"/>
          <w:spacing w:val="-11"/>
          <w:sz w:val="24"/>
          <w:szCs w:val="24"/>
          <w:highlight w:val="none"/>
          <w:lang w:eastAsia="zh-CN"/>
        </w:rPr>
        <w:t>抓好城镇专业绿地等级升、定级工作，积极支持和逐步推进社会绿地等级评定工作。</w:t>
      </w:r>
    </w:p>
    <w:p w14:paraId="518CB11D">
      <w:pPr>
        <w:pStyle w:val="17"/>
        <w:pageBreakBefore w:val="0"/>
        <w:kinsoku/>
        <w:wordWrap/>
        <w:overflowPunct/>
        <w:topLinePunct w:val="0"/>
        <w:bidi w:val="0"/>
        <w:spacing w:before="1" w:line="360" w:lineRule="auto"/>
        <w:ind w:left="651" w:right="112"/>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八、附录</w:t>
      </w:r>
    </w:p>
    <w:p w14:paraId="66E1D435">
      <w:pPr>
        <w:pStyle w:val="17"/>
        <w:pageBreakBefore w:val="0"/>
        <w:kinsoku/>
        <w:wordWrap/>
        <w:overflowPunct/>
        <w:topLinePunct w:val="0"/>
        <w:bidi w:val="0"/>
        <w:spacing w:line="360" w:lineRule="auto"/>
        <w:ind w:left="224" w:right="109"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竹类、水生植物、古树名木等养护管理参照《城镇绿地养护管理规范</w:t>
      </w:r>
      <w:r>
        <w:rPr>
          <w:rFonts w:hint="eastAsia" w:ascii="宋体" w:hAnsi="宋体" w:eastAsia="宋体" w:cs="宋体"/>
          <w:color w:val="auto"/>
          <w:spacing w:val="-125"/>
          <w:sz w:val="24"/>
          <w:szCs w:val="24"/>
          <w:highlight w:val="none"/>
          <w:lang w:eastAsia="zh-CN"/>
        </w:rPr>
        <w:t>》</w:t>
      </w:r>
      <w:r>
        <w:rPr>
          <w:rFonts w:hint="eastAsia" w:ascii="宋体" w:hAnsi="宋体" w:eastAsia="宋体" w:cs="宋体"/>
          <w:color w:val="auto"/>
          <w:sz w:val="24"/>
          <w:szCs w:val="24"/>
          <w:highlight w:val="none"/>
          <w:lang w:eastAsia="zh-CN"/>
        </w:rPr>
        <w:t>（DB11/T213-2014） 执行。</w:t>
      </w:r>
    </w:p>
    <w:p w14:paraId="5E44AFE6">
      <w:pPr>
        <w:pStyle w:val="17"/>
        <w:pageBreakBefore w:val="0"/>
        <w:kinsoku/>
        <w:wordWrap/>
        <w:overflowPunct/>
        <w:topLinePunct w:val="0"/>
        <w:bidi w:val="0"/>
        <w:spacing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养护管理质量标准（表 1-4）</w:t>
      </w:r>
    </w:p>
    <w:p w14:paraId="55DC4AA0">
      <w:pPr>
        <w:pStyle w:val="2"/>
        <w:pageBreakBefore w:val="0"/>
        <w:kinsoku/>
        <w:wordWrap/>
        <w:overflowPunct/>
        <w:topLinePunct w:val="0"/>
        <w:bidi w:val="0"/>
        <w:spacing w:before="47" w:after="24" w:line="360" w:lineRule="auto"/>
        <w:ind w:left="2251" w:right="2247"/>
        <w:jc w:val="center"/>
        <w:textAlignment w:val="auto"/>
        <w:rPr>
          <w:rFonts w:hint="eastAsia" w:ascii="宋体" w:hAnsi="宋体" w:eastAsia="宋体" w:cs="宋体"/>
          <w:color w:val="auto"/>
          <w:sz w:val="24"/>
          <w:szCs w:val="24"/>
          <w:highlight w:val="none"/>
          <w:lang w:eastAsia="zh-CN"/>
        </w:rPr>
        <w:sectPr>
          <w:pgSz w:w="11910" w:h="16840"/>
          <w:pgMar w:top="1400" w:right="1480" w:bottom="1000" w:left="1420" w:header="0" w:footer="808" w:gutter="0"/>
          <w:pgNumType w:fmt="decimal"/>
          <w:cols w:space="720" w:num="1"/>
        </w:sectPr>
      </w:pPr>
      <w:bookmarkStart w:id="847" w:name="养护管理质量标准（表1）"/>
      <w:bookmarkEnd w:id="847"/>
      <w:bookmarkStart w:id="848" w:name="_Toc61947375"/>
      <w:bookmarkStart w:id="849" w:name="_Toc28612899"/>
      <w:bookmarkStart w:id="850" w:name="_Toc28273068"/>
    </w:p>
    <w:p w14:paraId="72408A10">
      <w:pPr>
        <w:spacing w:before="47" w:after="24"/>
        <w:ind w:left="2251" w:right="2247"/>
        <w:jc w:val="center"/>
        <w:outlineLvl w:val="9"/>
        <w:rPr>
          <w:color w:val="auto"/>
          <w:highlight w:val="none"/>
          <w:lang w:eastAsia="zh-CN"/>
        </w:rPr>
      </w:pPr>
      <w:r>
        <w:rPr>
          <w:color w:val="auto"/>
          <w:highlight w:val="none"/>
          <w:lang w:eastAsia="zh-CN"/>
        </w:rPr>
        <w:t xml:space="preserve">养护管理质量标准（表 </w:t>
      </w:r>
      <w:r>
        <w:rPr>
          <w:rFonts w:ascii="Times New Roman" w:eastAsia="Times New Roman"/>
          <w:color w:val="auto"/>
          <w:highlight w:val="none"/>
          <w:lang w:eastAsia="zh-CN"/>
        </w:rPr>
        <w:t>1</w:t>
      </w:r>
      <w:r>
        <w:rPr>
          <w:color w:val="auto"/>
          <w:highlight w:val="none"/>
          <w:lang w:eastAsia="zh-CN"/>
        </w:rPr>
        <w:t>）</w:t>
      </w:r>
      <w:bookmarkEnd w:id="848"/>
      <w:bookmarkEnd w:id="849"/>
      <w:bookmarkEnd w:id="850"/>
    </w:p>
    <w:tbl>
      <w:tblPr>
        <w:tblStyle w:val="46"/>
        <w:tblW w:w="0" w:type="auto"/>
        <w:tblInd w:w="356"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59"/>
        <w:gridCol w:w="888"/>
        <w:gridCol w:w="2254"/>
        <w:gridCol w:w="2269"/>
        <w:gridCol w:w="2329"/>
      </w:tblGrid>
      <w:tr w14:paraId="54124BA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24" w:hRule="atLeast"/>
        </w:trPr>
        <w:tc>
          <w:tcPr>
            <w:tcW w:w="559" w:type="dxa"/>
            <w:vMerge w:val="restart"/>
            <w:tcBorders>
              <w:bottom w:val="single" w:color="000000" w:sz="4" w:space="0"/>
              <w:right w:val="single" w:color="000000" w:sz="4" w:space="0"/>
            </w:tcBorders>
            <w:noWrap w:val="0"/>
            <w:vAlign w:val="center"/>
          </w:tcPr>
          <w:p w14:paraId="54C360B2">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rPr>
            </w:pPr>
            <w:r>
              <w:rPr>
                <w:color w:val="auto"/>
                <w:sz w:val="21"/>
                <w:highlight w:val="none"/>
              </w:rPr>
              <w:t>序号</w:t>
            </w:r>
          </w:p>
        </w:tc>
        <w:tc>
          <w:tcPr>
            <w:tcW w:w="888" w:type="dxa"/>
            <w:vMerge w:val="restart"/>
            <w:tcBorders>
              <w:left w:val="single" w:color="000000" w:sz="4" w:space="0"/>
              <w:bottom w:val="single" w:color="000000" w:sz="4" w:space="0"/>
              <w:right w:val="single" w:color="000000" w:sz="4" w:space="0"/>
            </w:tcBorders>
            <w:noWrap w:val="0"/>
            <w:vAlign w:val="center"/>
          </w:tcPr>
          <w:p w14:paraId="2C1D5C36">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rPr>
            </w:pPr>
            <w:r>
              <w:rPr>
                <w:color w:val="auto"/>
                <w:sz w:val="21"/>
                <w:highlight w:val="none"/>
              </w:rPr>
              <w:t>项目</w:t>
            </w:r>
          </w:p>
        </w:tc>
        <w:tc>
          <w:tcPr>
            <w:tcW w:w="6852" w:type="dxa"/>
            <w:gridSpan w:val="3"/>
            <w:tcBorders>
              <w:left w:val="single" w:color="000000" w:sz="4" w:space="0"/>
              <w:bottom w:val="single" w:color="000000" w:sz="4" w:space="0"/>
            </w:tcBorders>
            <w:noWrap w:val="0"/>
            <w:vAlign w:val="center"/>
          </w:tcPr>
          <w:p w14:paraId="5C149D9A">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color w:val="auto"/>
                <w:sz w:val="20"/>
                <w:highlight w:val="none"/>
              </w:rPr>
            </w:pPr>
            <w:r>
              <w:rPr>
                <w:color w:val="auto"/>
                <w:sz w:val="21"/>
                <w:highlight w:val="none"/>
              </w:rPr>
              <w:t>级别</w:t>
            </w:r>
          </w:p>
        </w:tc>
      </w:tr>
      <w:tr w14:paraId="1D8536D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3" w:hRule="atLeast"/>
        </w:trPr>
        <w:tc>
          <w:tcPr>
            <w:tcW w:w="559" w:type="dxa"/>
            <w:vMerge w:val="continue"/>
            <w:tcBorders>
              <w:top w:val="nil"/>
              <w:bottom w:val="single" w:color="000000" w:sz="4" w:space="0"/>
              <w:right w:val="single" w:color="000000" w:sz="4" w:space="0"/>
            </w:tcBorders>
            <w:noWrap w:val="0"/>
            <w:vAlign w:val="center"/>
          </w:tcPr>
          <w:p w14:paraId="6387B2CA">
            <w:pPr>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
                <w:szCs w:val="2"/>
                <w:highlight w:val="none"/>
              </w:rPr>
            </w:pPr>
          </w:p>
        </w:tc>
        <w:tc>
          <w:tcPr>
            <w:tcW w:w="888" w:type="dxa"/>
            <w:vMerge w:val="continue"/>
            <w:tcBorders>
              <w:top w:val="nil"/>
              <w:left w:val="single" w:color="000000" w:sz="4" w:space="0"/>
              <w:bottom w:val="single" w:color="000000" w:sz="4" w:space="0"/>
              <w:right w:val="single" w:color="000000" w:sz="4" w:space="0"/>
            </w:tcBorders>
            <w:noWrap w:val="0"/>
            <w:vAlign w:val="center"/>
          </w:tcPr>
          <w:p w14:paraId="75C20A6A">
            <w:pPr>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
                <w:szCs w:val="2"/>
                <w:highlight w:val="none"/>
              </w:rPr>
            </w:pPr>
          </w:p>
        </w:tc>
        <w:tc>
          <w:tcPr>
            <w:tcW w:w="2254" w:type="dxa"/>
            <w:tcBorders>
              <w:top w:val="single" w:color="000000" w:sz="4" w:space="0"/>
              <w:left w:val="single" w:color="000000" w:sz="4" w:space="0"/>
              <w:bottom w:val="single" w:color="000000" w:sz="4" w:space="0"/>
              <w:right w:val="single" w:color="000000" w:sz="4" w:space="0"/>
            </w:tcBorders>
            <w:noWrap w:val="0"/>
            <w:vAlign w:val="center"/>
          </w:tcPr>
          <w:p w14:paraId="0CB7908F">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rPr>
            </w:pPr>
            <w:r>
              <w:rPr>
                <w:color w:val="auto"/>
                <w:sz w:val="21"/>
                <w:highlight w:val="none"/>
              </w:rPr>
              <w:t>特级</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14:paraId="183FB49E">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rPr>
            </w:pPr>
            <w:r>
              <w:rPr>
                <w:color w:val="auto"/>
                <w:sz w:val="21"/>
                <w:highlight w:val="none"/>
              </w:rPr>
              <w:t>一级</w:t>
            </w:r>
          </w:p>
        </w:tc>
        <w:tc>
          <w:tcPr>
            <w:tcW w:w="2329" w:type="dxa"/>
            <w:tcBorders>
              <w:top w:val="single" w:color="000000" w:sz="4" w:space="0"/>
              <w:left w:val="single" w:color="000000" w:sz="4" w:space="0"/>
              <w:bottom w:val="single" w:color="000000" w:sz="4" w:space="0"/>
            </w:tcBorders>
            <w:noWrap w:val="0"/>
            <w:vAlign w:val="center"/>
          </w:tcPr>
          <w:p w14:paraId="784BC379">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rPr>
            </w:pPr>
            <w:r>
              <w:rPr>
                <w:color w:val="auto"/>
                <w:sz w:val="21"/>
                <w:highlight w:val="none"/>
              </w:rPr>
              <w:t>二级</w:t>
            </w:r>
          </w:p>
        </w:tc>
      </w:tr>
      <w:tr w14:paraId="59D11C6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63" w:hRule="atLeast"/>
        </w:trPr>
        <w:tc>
          <w:tcPr>
            <w:tcW w:w="559" w:type="dxa"/>
            <w:tcBorders>
              <w:top w:val="single" w:color="000000" w:sz="4" w:space="0"/>
              <w:bottom w:val="single" w:color="000000" w:sz="4" w:space="0"/>
              <w:right w:val="single" w:color="000000" w:sz="4" w:space="0"/>
            </w:tcBorders>
            <w:noWrap w:val="0"/>
            <w:vAlign w:val="center"/>
          </w:tcPr>
          <w:p w14:paraId="7713A5EF">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color w:val="auto"/>
                <w:sz w:val="21"/>
                <w:highlight w:val="none"/>
              </w:rPr>
            </w:pPr>
            <w:r>
              <w:rPr>
                <w:rFonts w:ascii="Times New Roman"/>
                <w:color w:val="auto"/>
                <w:sz w:val="21"/>
                <w:highlight w:val="none"/>
              </w:rPr>
              <w:t>1</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597E86DA">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rPr>
            </w:pPr>
            <w:r>
              <w:rPr>
                <w:color w:val="auto"/>
                <w:sz w:val="21"/>
                <w:highlight w:val="none"/>
              </w:rPr>
              <w:t>植物配置</w:t>
            </w:r>
          </w:p>
        </w:tc>
        <w:tc>
          <w:tcPr>
            <w:tcW w:w="2254" w:type="dxa"/>
            <w:tcBorders>
              <w:top w:val="single" w:color="000000" w:sz="4" w:space="0"/>
              <w:left w:val="single" w:color="000000" w:sz="4" w:space="0"/>
              <w:bottom w:val="single" w:color="000000" w:sz="4" w:space="0"/>
              <w:right w:val="single" w:color="000000" w:sz="4" w:space="0"/>
            </w:tcBorders>
            <w:noWrap w:val="0"/>
            <w:vAlign w:val="center"/>
          </w:tcPr>
          <w:p w14:paraId="416DF269">
            <w:pPr>
              <w:pStyle w:val="251"/>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color w:val="auto"/>
                <w:sz w:val="21"/>
                <w:highlight w:val="none"/>
                <w:lang w:eastAsia="zh-CN"/>
              </w:rPr>
            </w:pPr>
            <w:r>
              <w:rPr>
                <w:color w:val="auto"/>
                <w:spacing w:val="-9"/>
                <w:sz w:val="21"/>
                <w:highlight w:val="none"/>
                <w:lang w:eastAsia="zh-CN"/>
              </w:rPr>
              <w:t>乔灌花草相结合，植物种类（含品种）≥20种， 非林下草坪≤30%。</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14:paraId="0CC8DE91">
            <w:pPr>
              <w:pStyle w:val="251"/>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color w:val="auto"/>
                <w:sz w:val="21"/>
                <w:highlight w:val="none"/>
                <w:lang w:eastAsia="zh-CN"/>
              </w:rPr>
            </w:pPr>
            <w:r>
              <w:rPr>
                <w:color w:val="auto"/>
                <w:spacing w:val="-9"/>
                <w:sz w:val="21"/>
                <w:highlight w:val="none"/>
                <w:lang w:eastAsia="zh-CN"/>
              </w:rPr>
              <w:t>乔灌花草相结合，植物</w:t>
            </w:r>
            <w:r>
              <w:rPr>
                <w:color w:val="auto"/>
                <w:spacing w:val="-29"/>
                <w:sz w:val="21"/>
                <w:highlight w:val="none"/>
                <w:lang w:eastAsia="zh-CN"/>
              </w:rPr>
              <w:t>种类</w:t>
            </w:r>
            <w:r>
              <w:rPr>
                <w:color w:val="auto"/>
                <w:sz w:val="21"/>
                <w:highlight w:val="none"/>
                <w:lang w:eastAsia="zh-CN"/>
              </w:rPr>
              <w:t>（</w:t>
            </w:r>
            <w:r>
              <w:rPr>
                <w:color w:val="auto"/>
                <w:spacing w:val="-3"/>
                <w:sz w:val="21"/>
                <w:highlight w:val="none"/>
                <w:lang w:eastAsia="zh-CN"/>
              </w:rPr>
              <w:t>含品种</w:t>
            </w:r>
            <w:r>
              <w:rPr>
                <w:color w:val="auto"/>
                <w:spacing w:val="-15"/>
                <w:sz w:val="21"/>
                <w:highlight w:val="none"/>
                <w:lang w:eastAsia="zh-CN"/>
              </w:rPr>
              <w:t>）</w:t>
            </w:r>
            <w:r>
              <w:rPr>
                <w:rFonts w:ascii="Times New Roman" w:hAnsi="Times New Roman" w:eastAsia="Times New Roman"/>
                <w:color w:val="auto"/>
                <w:spacing w:val="-15"/>
                <w:sz w:val="21"/>
                <w:highlight w:val="none"/>
                <w:lang w:eastAsia="zh-CN"/>
              </w:rPr>
              <w:t>≥20</w:t>
            </w:r>
            <w:r>
              <w:rPr>
                <w:color w:val="auto"/>
                <w:sz w:val="21"/>
                <w:highlight w:val="none"/>
                <w:lang w:eastAsia="zh-CN"/>
              </w:rPr>
              <w:t xml:space="preserve">种， </w:t>
            </w:r>
            <w:r>
              <w:rPr>
                <w:color w:val="auto"/>
                <w:spacing w:val="-1"/>
                <w:sz w:val="21"/>
                <w:highlight w:val="none"/>
                <w:lang w:eastAsia="zh-CN"/>
              </w:rPr>
              <w:t>非林下草坪</w:t>
            </w:r>
            <w:r>
              <w:rPr>
                <w:rFonts w:ascii="Times New Roman" w:hAnsi="Times New Roman" w:eastAsia="Times New Roman"/>
                <w:color w:val="auto"/>
                <w:sz w:val="21"/>
                <w:highlight w:val="none"/>
                <w:lang w:eastAsia="zh-CN"/>
              </w:rPr>
              <w:t>≤30%</w:t>
            </w:r>
            <w:r>
              <w:rPr>
                <w:color w:val="auto"/>
                <w:sz w:val="21"/>
                <w:highlight w:val="none"/>
                <w:lang w:eastAsia="zh-CN"/>
              </w:rPr>
              <w:t>。</w:t>
            </w:r>
          </w:p>
        </w:tc>
        <w:tc>
          <w:tcPr>
            <w:tcW w:w="2329" w:type="dxa"/>
            <w:tcBorders>
              <w:top w:val="single" w:color="000000" w:sz="4" w:space="0"/>
              <w:left w:val="single" w:color="000000" w:sz="4" w:space="0"/>
              <w:bottom w:val="single" w:color="000000" w:sz="4" w:space="0"/>
            </w:tcBorders>
            <w:noWrap w:val="0"/>
            <w:vAlign w:val="center"/>
          </w:tcPr>
          <w:p w14:paraId="43787E68">
            <w:pPr>
              <w:pStyle w:val="251"/>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color w:val="auto"/>
                <w:sz w:val="21"/>
                <w:highlight w:val="none"/>
                <w:lang w:eastAsia="zh-CN"/>
              </w:rPr>
            </w:pPr>
            <w:r>
              <w:rPr>
                <w:color w:val="auto"/>
                <w:spacing w:val="-9"/>
                <w:sz w:val="21"/>
                <w:highlight w:val="none"/>
                <w:lang w:eastAsia="zh-CN"/>
              </w:rPr>
              <w:t>乔灌花草相结合，植物种类（含品种）≥10种， 单纯草坪≤50%。</w:t>
            </w:r>
          </w:p>
        </w:tc>
      </w:tr>
      <w:tr w14:paraId="134E19A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1" w:hRule="atLeast"/>
        </w:trPr>
        <w:tc>
          <w:tcPr>
            <w:tcW w:w="559" w:type="dxa"/>
            <w:tcBorders>
              <w:top w:val="single" w:color="000000" w:sz="4" w:space="0"/>
              <w:bottom w:val="single" w:color="000000" w:sz="4" w:space="0"/>
              <w:right w:val="single" w:color="000000" w:sz="4" w:space="0"/>
            </w:tcBorders>
            <w:noWrap w:val="0"/>
            <w:vAlign w:val="center"/>
          </w:tcPr>
          <w:p w14:paraId="710330E6">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color w:val="auto"/>
                <w:sz w:val="21"/>
                <w:highlight w:val="none"/>
              </w:rPr>
            </w:pPr>
            <w:r>
              <w:rPr>
                <w:rFonts w:ascii="Times New Roman"/>
                <w:color w:val="auto"/>
                <w:sz w:val="21"/>
                <w:highlight w:val="none"/>
              </w:rPr>
              <w:t>2</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57ADDDC">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rPr>
            </w:pPr>
            <w:r>
              <w:rPr>
                <w:color w:val="auto"/>
                <w:sz w:val="21"/>
                <w:highlight w:val="none"/>
              </w:rPr>
              <w:t>树木</w:t>
            </w:r>
          </w:p>
        </w:tc>
        <w:tc>
          <w:tcPr>
            <w:tcW w:w="2254" w:type="dxa"/>
            <w:tcBorders>
              <w:top w:val="single" w:color="000000" w:sz="4" w:space="0"/>
              <w:left w:val="single" w:color="000000" w:sz="4" w:space="0"/>
              <w:bottom w:val="single" w:color="000000" w:sz="4" w:space="0"/>
              <w:right w:val="single" w:color="000000" w:sz="4" w:space="0"/>
            </w:tcBorders>
            <w:noWrap w:val="0"/>
            <w:vAlign w:val="center"/>
          </w:tcPr>
          <w:p w14:paraId="61C56B11">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rPr>
            </w:pPr>
            <w:r>
              <w:rPr>
                <w:color w:val="auto"/>
                <w:sz w:val="21"/>
                <w:highlight w:val="none"/>
              </w:rPr>
              <w:t xml:space="preserve">见表 </w:t>
            </w:r>
            <w:r>
              <w:rPr>
                <w:rFonts w:ascii="Times New Roman" w:eastAsia="Times New Roman"/>
                <w:color w:val="auto"/>
                <w:sz w:val="21"/>
                <w:highlight w:val="none"/>
              </w:rPr>
              <w:t xml:space="preserve">2 </w:t>
            </w:r>
            <w:r>
              <w:rPr>
                <w:color w:val="auto"/>
                <w:sz w:val="21"/>
                <w:highlight w:val="none"/>
              </w:rPr>
              <w:t>特级</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14:paraId="170DEDE0">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rPr>
            </w:pPr>
            <w:r>
              <w:rPr>
                <w:color w:val="auto"/>
                <w:sz w:val="21"/>
                <w:highlight w:val="none"/>
              </w:rPr>
              <w:t xml:space="preserve">见表 </w:t>
            </w:r>
            <w:r>
              <w:rPr>
                <w:rFonts w:ascii="Times New Roman" w:eastAsia="Times New Roman"/>
                <w:color w:val="auto"/>
                <w:sz w:val="21"/>
                <w:highlight w:val="none"/>
              </w:rPr>
              <w:t xml:space="preserve">2 </w:t>
            </w:r>
            <w:r>
              <w:rPr>
                <w:color w:val="auto"/>
                <w:sz w:val="21"/>
                <w:highlight w:val="none"/>
              </w:rPr>
              <w:t>一级</w:t>
            </w:r>
          </w:p>
        </w:tc>
        <w:tc>
          <w:tcPr>
            <w:tcW w:w="2329" w:type="dxa"/>
            <w:tcBorders>
              <w:top w:val="single" w:color="000000" w:sz="4" w:space="0"/>
              <w:left w:val="single" w:color="000000" w:sz="4" w:space="0"/>
              <w:bottom w:val="single" w:color="000000" w:sz="4" w:space="0"/>
            </w:tcBorders>
            <w:noWrap w:val="0"/>
            <w:vAlign w:val="center"/>
          </w:tcPr>
          <w:p w14:paraId="0C752D9A">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rPr>
            </w:pPr>
            <w:r>
              <w:rPr>
                <w:color w:val="auto"/>
                <w:sz w:val="21"/>
                <w:highlight w:val="none"/>
              </w:rPr>
              <w:t xml:space="preserve">见表 </w:t>
            </w:r>
            <w:r>
              <w:rPr>
                <w:rFonts w:ascii="Times New Roman" w:eastAsia="Times New Roman"/>
                <w:color w:val="auto"/>
                <w:sz w:val="21"/>
                <w:highlight w:val="none"/>
              </w:rPr>
              <w:t xml:space="preserve">2 </w:t>
            </w:r>
            <w:r>
              <w:rPr>
                <w:color w:val="auto"/>
                <w:sz w:val="21"/>
                <w:highlight w:val="none"/>
              </w:rPr>
              <w:t>二级</w:t>
            </w:r>
          </w:p>
        </w:tc>
      </w:tr>
      <w:tr w14:paraId="7F03C3B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2" w:hRule="atLeast"/>
        </w:trPr>
        <w:tc>
          <w:tcPr>
            <w:tcW w:w="559" w:type="dxa"/>
            <w:tcBorders>
              <w:top w:val="single" w:color="000000" w:sz="4" w:space="0"/>
              <w:bottom w:val="single" w:color="000000" w:sz="4" w:space="0"/>
              <w:right w:val="single" w:color="000000" w:sz="4" w:space="0"/>
            </w:tcBorders>
            <w:noWrap w:val="0"/>
            <w:vAlign w:val="center"/>
          </w:tcPr>
          <w:p w14:paraId="4B2494F9">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color w:val="auto"/>
                <w:sz w:val="21"/>
                <w:highlight w:val="none"/>
              </w:rPr>
            </w:pPr>
            <w:r>
              <w:rPr>
                <w:rFonts w:ascii="Times New Roman"/>
                <w:color w:val="auto"/>
                <w:sz w:val="21"/>
                <w:highlight w:val="none"/>
              </w:rPr>
              <w:t>3</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45270F89">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rPr>
            </w:pPr>
            <w:r>
              <w:rPr>
                <w:color w:val="auto"/>
                <w:sz w:val="21"/>
                <w:highlight w:val="none"/>
              </w:rPr>
              <w:t>花卉</w:t>
            </w:r>
          </w:p>
        </w:tc>
        <w:tc>
          <w:tcPr>
            <w:tcW w:w="2254" w:type="dxa"/>
            <w:tcBorders>
              <w:top w:val="single" w:color="000000" w:sz="4" w:space="0"/>
              <w:left w:val="single" w:color="000000" w:sz="4" w:space="0"/>
              <w:bottom w:val="single" w:color="000000" w:sz="4" w:space="0"/>
              <w:right w:val="single" w:color="000000" w:sz="4" w:space="0"/>
            </w:tcBorders>
            <w:noWrap w:val="0"/>
            <w:vAlign w:val="center"/>
          </w:tcPr>
          <w:p w14:paraId="7F9C02D3">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rPr>
            </w:pPr>
            <w:r>
              <w:rPr>
                <w:color w:val="auto"/>
                <w:sz w:val="21"/>
                <w:highlight w:val="none"/>
              </w:rPr>
              <w:t xml:space="preserve">见表 </w:t>
            </w:r>
            <w:r>
              <w:rPr>
                <w:rFonts w:ascii="Times New Roman" w:eastAsia="Times New Roman"/>
                <w:color w:val="auto"/>
                <w:sz w:val="21"/>
                <w:highlight w:val="none"/>
              </w:rPr>
              <w:t xml:space="preserve">3 </w:t>
            </w:r>
            <w:r>
              <w:rPr>
                <w:color w:val="auto"/>
                <w:sz w:val="21"/>
                <w:highlight w:val="none"/>
              </w:rPr>
              <w:t>特级</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14:paraId="03220C40">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rPr>
            </w:pPr>
            <w:r>
              <w:rPr>
                <w:color w:val="auto"/>
                <w:sz w:val="21"/>
                <w:highlight w:val="none"/>
              </w:rPr>
              <w:t xml:space="preserve">见表 </w:t>
            </w:r>
            <w:r>
              <w:rPr>
                <w:rFonts w:ascii="Times New Roman" w:eastAsia="Times New Roman"/>
                <w:color w:val="auto"/>
                <w:sz w:val="21"/>
                <w:highlight w:val="none"/>
              </w:rPr>
              <w:t xml:space="preserve">3 </w:t>
            </w:r>
            <w:r>
              <w:rPr>
                <w:color w:val="auto"/>
                <w:sz w:val="21"/>
                <w:highlight w:val="none"/>
              </w:rPr>
              <w:t>一级</w:t>
            </w:r>
          </w:p>
        </w:tc>
        <w:tc>
          <w:tcPr>
            <w:tcW w:w="2329" w:type="dxa"/>
            <w:tcBorders>
              <w:top w:val="single" w:color="000000" w:sz="4" w:space="0"/>
              <w:left w:val="single" w:color="000000" w:sz="4" w:space="0"/>
              <w:bottom w:val="single" w:color="000000" w:sz="4" w:space="0"/>
            </w:tcBorders>
            <w:noWrap w:val="0"/>
            <w:vAlign w:val="center"/>
          </w:tcPr>
          <w:p w14:paraId="18DF7E63">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rPr>
            </w:pPr>
            <w:r>
              <w:rPr>
                <w:color w:val="auto"/>
                <w:sz w:val="21"/>
                <w:highlight w:val="none"/>
              </w:rPr>
              <w:t xml:space="preserve">见表 </w:t>
            </w:r>
            <w:r>
              <w:rPr>
                <w:rFonts w:ascii="Times New Roman" w:eastAsia="Times New Roman"/>
                <w:color w:val="auto"/>
                <w:sz w:val="21"/>
                <w:highlight w:val="none"/>
              </w:rPr>
              <w:t xml:space="preserve">3 </w:t>
            </w:r>
            <w:r>
              <w:rPr>
                <w:color w:val="auto"/>
                <w:sz w:val="21"/>
                <w:highlight w:val="none"/>
              </w:rPr>
              <w:t>二级</w:t>
            </w:r>
          </w:p>
        </w:tc>
      </w:tr>
      <w:tr w14:paraId="38933BA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9" w:hRule="atLeast"/>
        </w:trPr>
        <w:tc>
          <w:tcPr>
            <w:tcW w:w="559" w:type="dxa"/>
            <w:tcBorders>
              <w:top w:val="single" w:color="000000" w:sz="4" w:space="0"/>
              <w:bottom w:val="single" w:color="000000" w:sz="4" w:space="0"/>
              <w:right w:val="single" w:color="000000" w:sz="4" w:space="0"/>
            </w:tcBorders>
            <w:noWrap w:val="0"/>
            <w:vAlign w:val="center"/>
          </w:tcPr>
          <w:p w14:paraId="30C8442C">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color w:val="auto"/>
                <w:sz w:val="21"/>
                <w:highlight w:val="none"/>
              </w:rPr>
            </w:pPr>
            <w:r>
              <w:rPr>
                <w:rFonts w:ascii="Times New Roman"/>
                <w:color w:val="auto"/>
                <w:sz w:val="21"/>
                <w:highlight w:val="none"/>
              </w:rPr>
              <w:t>4</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6C11CDCA">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b/>
                <w:color w:val="auto"/>
                <w:sz w:val="21"/>
                <w:highlight w:val="none"/>
              </w:rPr>
            </w:pPr>
            <w:r>
              <w:rPr>
                <w:color w:val="auto"/>
                <w:sz w:val="21"/>
                <w:highlight w:val="none"/>
              </w:rPr>
              <w:t>草坪</w:t>
            </w:r>
          </w:p>
        </w:tc>
        <w:tc>
          <w:tcPr>
            <w:tcW w:w="2254" w:type="dxa"/>
            <w:tcBorders>
              <w:top w:val="single" w:color="000000" w:sz="4" w:space="0"/>
              <w:left w:val="single" w:color="000000" w:sz="4" w:space="0"/>
              <w:bottom w:val="single" w:color="000000" w:sz="4" w:space="0"/>
              <w:right w:val="single" w:color="000000" w:sz="4" w:space="0"/>
            </w:tcBorders>
            <w:noWrap w:val="0"/>
            <w:vAlign w:val="center"/>
          </w:tcPr>
          <w:p w14:paraId="7AA0DF26">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rPr>
            </w:pPr>
            <w:r>
              <w:rPr>
                <w:color w:val="auto"/>
                <w:sz w:val="21"/>
                <w:highlight w:val="none"/>
              </w:rPr>
              <w:t xml:space="preserve">见表 </w:t>
            </w:r>
            <w:r>
              <w:rPr>
                <w:rFonts w:ascii="Times New Roman" w:eastAsia="Times New Roman"/>
                <w:color w:val="auto"/>
                <w:sz w:val="21"/>
                <w:highlight w:val="none"/>
              </w:rPr>
              <w:t xml:space="preserve">4 </w:t>
            </w:r>
            <w:r>
              <w:rPr>
                <w:color w:val="auto"/>
                <w:sz w:val="21"/>
                <w:highlight w:val="none"/>
              </w:rPr>
              <w:t>特级</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14:paraId="5AD256B8">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rPr>
            </w:pPr>
            <w:r>
              <w:rPr>
                <w:color w:val="auto"/>
                <w:sz w:val="21"/>
                <w:highlight w:val="none"/>
              </w:rPr>
              <w:t xml:space="preserve">见表 </w:t>
            </w:r>
            <w:r>
              <w:rPr>
                <w:rFonts w:ascii="Times New Roman" w:eastAsia="Times New Roman"/>
                <w:color w:val="auto"/>
                <w:sz w:val="21"/>
                <w:highlight w:val="none"/>
              </w:rPr>
              <w:t xml:space="preserve">4 </w:t>
            </w:r>
            <w:r>
              <w:rPr>
                <w:color w:val="auto"/>
                <w:sz w:val="21"/>
                <w:highlight w:val="none"/>
              </w:rPr>
              <w:t>一级</w:t>
            </w:r>
          </w:p>
        </w:tc>
        <w:tc>
          <w:tcPr>
            <w:tcW w:w="2329" w:type="dxa"/>
            <w:tcBorders>
              <w:top w:val="single" w:color="000000" w:sz="4" w:space="0"/>
              <w:left w:val="single" w:color="000000" w:sz="4" w:space="0"/>
              <w:bottom w:val="single" w:color="000000" w:sz="4" w:space="0"/>
            </w:tcBorders>
            <w:noWrap w:val="0"/>
            <w:vAlign w:val="center"/>
          </w:tcPr>
          <w:p w14:paraId="2251823D">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rPr>
            </w:pPr>
            <w:r>
              <w:rPr>
                <w:color w:val="auto"/>
                <w:sz w:val="21"/>
                <w:highlight w:val="none"/>
              </w:rPr>
              <w:t xml:space="preserve">见表 </w:t>
            </w:r>
            <w:r>
              <w:rPr>
                <w:rFonts w:ascii="Times New Roman" w:eastAsia="Times New Roman"/>
                <w:color w:val="auto"/>
                <w:sz w:val="21"/>
                <w:highlight w:val="none"/>
              </w:rPr>
              <w:t xml:space="preserve">4 </w:t>
            </w:r>
            <w:r>
              <w:rPr>
                <w:color w:val="auto"/>
                <w:sz w:val="21"/>
                <w:highlight w:val="none"/>
              </w:rPr>
              <w:t>二级</w:t>
            </w:r>
          </w:p>
        </w:tc>
      </w:tr>
      <w:tr w14:paraId="2C97F73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34" w:hRule="atLeast"/>
        </w:trPr>
        <w:tc>
          <w:tcPr>
            <w:tcW w:w="559" w:type="dxa"/>
            <w:tcBorders>
              <w:top w:val="single" w:color="000000" w:sz="4" w:space="0"/>
              <w:bottom w:val="single" w:color="000000" w:sz="4" w:space="0"/>
              <w:right w:val="single" w:color="000000" w:sz="4" w:space="0"/>
            </w:tcBorders>
            <w:noWrap w:val="0"/>
            <w:vAlign w:val="center"/>
          </w:tcPr>
          <w:p w14:paraId="3E03FE68">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color w:val="auto"/>
                <w:sz w:val="21"/>
                <w:highlight w:val="none"/>
              </w:rPr>
            </w:pPr>
            <w:r>
              <w:rPr>
                <w:rFonts w:ascii="Times New Roman"/>
                <w:color w:val="auto"/>
                <w:sz w:val="21"/>
                <w:highlight w:val="none"/>
              </w:rPr>
              <w:t>5</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367BB981">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b/>
                <w:color w:val="auto"/>
                <w:sz w:val="21"/>
                <w:highlight w:val="none"/>
              </w:rPr>
            </w:pPr>
            <w:r>
              <w:rPr>
                <w:color w:val="auto"/>
                <w:sz w:val="21"/>
                <w:highlight w:val="none"/>
              </w:rPr>
              <w:t>植物防护</w:t>
            </w:r>
          </w:p>
        </w:tc>
        <w:tc>
          <w:tcPr>
            <w:tcW w:w="2254" w:type="dxa"/>
            <w:tcBorders>
              <w:top w:val="single" w:color="000000" w:sz="4" w:space="0"/>
              <w:left w:val="single" w:color="000000" w:sz="4" w:space="0"/>
              <w:bottom w:val="single" w:color="000000" w:sz="4" w:space="0"/>
              <w:right w:val="single" w:color="000000" w:sz="4" w:space="0"/>
            </w:tcBorders>
            <w:noWrap w:val="0"/>
            <w:vAlign w:val="center"/>
          </w:tcPr>
          <w:p w14:paraId="13325513">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lang w:eastAsia="zh-CN"/>
              </w:rPr>
            </w:pPr>
            <w:r>
              <w:rPr>
                <w:color w:val="auto"/>
                <w:sz w:val="21"/>
                <w:highlight w:val="none"/>
                <w:lang w:eastAsia="zh-CN"/>
              </w:rPr>
              <w:t>措施得当，无危害症状，具体要求见规范。</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14:paraId="0312C1DB">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lang w:eastAsia="zh-CN"/>
              </w:rPr>
            </w:pPr>
            <w:r>
              <w:rPr>
                <w:color w:val="auto"/>
                <w:sz w:val="21"/>
                <w:highlight w:val="none"/>
                <w:lang w:eastAsia="zh-CN"/>
              </w:rPr>
              <w:t>基本无危害症状，具体要求见规范。</w:t>
            </w:r>
          </w:p>
        </w:tc>
        <w:tc>
          <w:tcPr>
            <w:tcW w:w="2329" w:type="dxa"/>
            <w:tcBorders>
              <w:top w:val="single" w:color="000000" w:sz="4" w:space="0"/>
              <w:left w:val="single" w:color="000000" w:sz="4" w:space="0"/>
              <w:bottom w:val="single" w:color="000000" w:sz="4" w:space="0"/>
            </w:tcBorders>
            <w:noWrap w:val="0"/>
            <w:vAlign w:val="center"/>
          </w:tcPr>
          <w:p w14:paraId="7AB4E799">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lang w:eastAsia="zh-CN"/>
              </w:rPr>
            </w:pPr>
            <w:r>
              <w:rPr>
                <w:color w:val="auto"/>
                <w:sz w:val="21"/>
                <w:highlight w:val="none"/>
                <w:lang w:eastAsia="zh-CN"/>
              </w:rPr>
              <w:t>无明显危害症状，具体要求见规范。</w:t>
            </w:r>
          </w:p>
        </w:tc>
      </w:tr>
      <w:tr w14:paraId="21E7B57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49" w:hRule="atLeast"/>
        </w:trPr>
        <w:tc>
          <w:tcPr>
            <w:tcW w:w="559" w:type="dxa"/>
            <w:tcBorders>
              <w:top w:val="single" w:color="000000" w:sz="4" w:space="0"/>
              <w:bottom w:val="single" w:color="000000" w:sz="4" w:space="0"/>
              <w:right w:val="single" w:color="000000" w:sz="4" w:space="0"/>
            </w:tcBorders>
            <w:noWrap w:val="0"/>
            <w:vAlign w:val="center"/>
          </w:tcPr>
          <w:p w14:paraId="2230D3E2">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color w:val="auto"/>
                <w:sz w:val="21"/>
                <w:highlight w:val="none"/>
              </w:rPr>
            </w:pPr>
            <w:r>
              <w:rPr>
                <w:rFonts w:ascii="Times New Roman"/>
                <w:color w:val="auto"/>
                <w:sz w:val="21"/>
                <w:highlight w:val="none"/>
              </w:rPr>
              <w:t>6</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3C56873A">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rPr>
            </w:pPr>
            <w:r>
              <w:rPr>
                <w:color w:val="auto"/>
                <w:sz w:val="21"/>
                <w:highlight w:val="none"/>
              </w:rPr>
              <w:t>清洁保洁</w:t>
            </w:r>
          </w:p>
        </w:tc>
        <w:tc>
          <w:tcPr>
            <w:tcW w:w="2254" w:type="dxa"/>
            <w:tcBorders>
              <w:top w:val="single" w:color="000000" w:sz="4" w:space="0"/>
              <w:left w:val="single" w:color="000000" w:sz="4" w:space="0"/>
              <w:bottom w:val="single" w:color="000000" w:sz="4" w:space="0"/>
              <w:right w:val="single" w:color="000000" w:sz="4" w:space="0"/>
            </w:tcBorders>
            <w:noWrap w:val="0"/>
            <w:vAlign w:val="center"/>
          </w:tcPr>
          <w:p w14:paraId="27CCC9B7">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lang w:eastAsia="zh-CN"/>
              </w:rPr>
            </w:pPr>
            <w:r>
              <w:rPr>
                <w:color w:val="auto"/>
                <w:sz w:val="21"/>
                <w:highlight w:val="none"/>
                <w:lang w:eastAsia="zh-CN"/>
              </w:rPr>
              <w:t>垃圾及杂物随产随清， 具体要求见规范。</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14:paraId="4D9C7440">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lang w:eastAsia="zh-CN"/>
              </w:rPr>
            </w:pPr>
            <w:r>
              <w:rPr>
                <w:color w:val="auto"/>
                <w:sz w:val="21"/>
                <w:highlight w:val="none"/>
                <w:lang w:eastAsia="zh-CN"/>
              </w:rPr>
              <w:t>垃圾及杂物日产日清， 具体要求见规范。</w:t>
            </w:r>
          </w:p>
        </w:tc>
        <w:tc>
          <w:tcPr>
            <w:tcW w:w="2329" w:type="dxa"/>
            <w:tcBorders>
              <w:top w:val="single" w:color="000000" w:sz="4" w:space="0"/>
              <w:left w:val="single" w:color="000000" w:sz="4" w:space="0"/>
              <w:bottom w:val="single" w:color="000000" w:sz="4" w:space="0"/>
            </w:tcBorders>
            <w:noWrap w:val="0"/>
            <w:vAlign w:val="center"/>
          </w:tcPr>
          <w:p w14:paraId="4479B11D">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lang w:eastAsia="zh-CN"/>
              </w:rPr>
            </w:pPr>
            <w:r>
              <w:rPr>
                <w:color w:val="auto"/>
                <w:sz w:val="21"/>
                <w:highlight w:val="none"/>
                <w:lang w:eastAsia="zh-CN"/>
              </w:rPr>
              <w:t>垃圾及杂物日产日清， 具体要求见规范。</w:t>
            </w:r>
          </w:p>
        </w:tc>
      </w:tr>
      <w:tr w14:paraId="76D38A7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44" w:hRule="atLeast"/>
        </w:trPr>
        <w:tc>
          <w:tcPr>
            <w:tcW w:w="559" w:type="dxa"/>
            <w:tcBorders>
              <w:top w:val="single" w:color="000000" w:sz="4" w:space="0"/>
              <w:bottom w:val="single" w:color="000000" w:sz="4" w:space="0"/>
              <w:right w:val="single" w:color="000000" w:sz="4" w:space="0"/>
            </w:tcBorders>
            <w:noWrap w:val="0"/>
            <w:vAlign w:val="center"/>
          </w:tcPr>
          <w:p w14:paraId="2C21945D">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color w:val="auto"/>
                <w:sz w:val="21"/>
                <w:highlight w:val="none"/>
              </w:rPr>
            </w:pPr>
            <w:r>
              <w:rPr>
                <w:rFonts w:ascii="Times New Roman"/>
                <w:color w:val="auto"/>
                <w:sz w:val="21"/>
                <w:highlight w:val="none"/>
              </w:rPr>
              <w:t>7</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7499621">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rPr>
            </w:pPr>
            <w:r>
              <w:rPr>
                <w:color w:val="auto"/>
                <w:sz w:val="21"/>
                <w:highlight w:val="none"/>
              </w:rPr>
              <w:t>附属设施</w:t>
            </w:r>
          </w:p>
        </w:tc>
        <w:tc>
          <w:tcPr>
            <w:tcW w:w="2254" w:type="dxa"/>
            <w:tcBorders>
              <w:top w:val="single" w:color="000000" w:sz="4" w:space="0"/>
              <w:left w:val="single" w:color="000000" w:sz="4" w:space="0"/>
              <w:bottom w:val="single" w:color="000000" w:sz="4" w:space="0"/>
              <w:right w:val="single" w:color="000000" w:sz="4" w:space="0"/>
            </w:tcBorders>
            <w:noWrap w:val="0"/>
            <w:vAlign w:val="center"/>
          </w:tcPr>
          <w:p w14:paraId="202E8DF5">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lang w:eastAsia="zh-CN"/>
              </w:rPr>
            </w:pPr>
            <w:r>
              <w:rPr>
                <w:color w:val="auto"/>
                <w:spacing w:val="-19"/>
                <w:sz w:val="21"/>
                <w:highlight w:val="none"/>
                <w:lang w:eastAsia="zh-CN"/>
              </w:rPr>
              <w:t xml:space="preserve">安全、完整、维护及时， </w:t>
            </w:r>
            <w:r>
              <w:rPr>
                <w:color w:val="auto"/>
                <w:spacing w:val="-8"/>
                <w:sz w:val="21"/>
                <w:highlight w:val="none"/>
                <w:lang w:eastAsia="zh-CN"/>
              </w:rPr>
              <w:t>具体要求见规范。</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14:paraId="7BC290FD">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lang w:eastAsia="zh-CN"/>
              </w:rPr>
            </w:pPr>
            <w:r>
              <w:rPr>
                <w:color w:val="auto"/>
                <w:sz w:val="21"/>
                <w:highlight w:val="none"/>
                <w:lang w:eastAsia="zh-CN"/>
              </w:rPr>
              <w:t>安全、完整、维护基本及时，具体要求见规</w:t>
            </w:r>
          </w:p>
          <w:p w14:paraId="28F0165B">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rPr>
            </w:pPr>
            <w:r>
              <w:rPr>
                <w:color w:val="auto"/>
                <w:sz w:val="21"/>
                <w:highlight w:val="none"/>
              </w:rPr>
              <w:t>范。</w:t>
            </w:r>
          </w:p>
        </w:tc>
        <w:tc>
          <w:tcPr>
            <w:tcW w:w="2329" w:type="dxa"/>
            <w:tcBorders>
              <w:top w:val="single" w:color="000000" w:sz="4" w:space="0"/>
              <w:left w:val="single" w:color="000000" w:sz="4" w:space="0"/>
              <w:bottom w:val="single" w:color="000000" w:sz="4" w:space="0"/>
            </w:tcBorders>
            <w:noWrap w:val="0"/>
            <w:vAlign w:val="center"/>
          </w:tcPr>
          <w:p w14:paraId="43782EA6">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lang w:eastAsia="zh-CN"/>
              </w:rPr>
            </w:pPr>
            <w:r>
              <w:rPr>
                <w:color w:val="auto"/>
                <w:sz w:val="21"/>
                <w:highlight w:val="none"/>
                <w:lang w:eastAsia="zh-CN"/>
              </w:rPr>
              <w:t>安全、基本完整、能进行维护，具体要求见规</w:t>
            </w:r>
          </w:p>
          <w:p w14:paraId="354879EA">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rPr>
            </w:pPr>
            <w:r>
              <w:rPr>
                <w:color w:val="auto"/>
                <w:sz w:val="21"/>
                <w:highlight w:val="none"/>
              </w:rPr>
              <w:t>范。</w:t>
            </w:r>
          </w:p>
        </w:tc>
      </w:tr>
      <w:tr w14:paraId="1C9EBB0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2" w:hRule="atLeast"/>
        </w:trPr>
        <w:tc>
          <w:tcPr>
            <w:tcW w:w="559" w:type="dxa"/>
            <w:tcBorders>
              <w:top w:val="single" w:color="000000" w:sz="4" w:space="0"/>
              <w:bottom w:val="single" w:color="000000" w:sz="4" w:space="0"/>
              <w:right w:val="single" w:color="000000" w:sz="4" w:space="0"/>
            </w:tcBorders>
            <w:noWrap w:val="0"/>
            <w:vAlign w:val="center"/>
          </w:tcPr>
          <w:p w14:paraId="483E6DC7">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color w:val="auto"/>
                <w:sz w:val="21"/>
                <w:highlight w:val="none"/>
              </w:rPr>
            </w:pPr>
            <w:r>
              <w:rPr>
                <w:rFonts w:ascii="Times New Roman"/>
                <w:color w:val="auto"/>
                <w:sz w:val="21"/>
                <w:highlight w:val="none"/>
              </w:rPr>
              <w:t>8</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151BED8E">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rPr>
            </w:pPr>
            <w:r>
              <w:rPr>
                <w:color w:val="auto"/>
                <w:sz w:val="21"/>
                <w:highlight w:val="none"/>
              </w:rPr>
              <w:t>安全作业</w:t>
            </w:r>
          </w:p>
        </w:tc>
        <w:tc>
          <w:tcPr>
            <w:tcW w:w="2254" w:type="dxa"/>
            <w:tcBorders>
              <w:top w:val="single" w:color="000000" w:sz="4" w:space="0"/>
              <w:left w:val="single" w:color="000000" w:sz="4" w:space="0"/>
              <w:bottom w:val="single" w:color="000000" w:sz="4" w:space="0"/>
              <w:right w:val="single" w:color="000000" w:sz="4" w:space="0"/>
            </w:tcBorders>
            <w:noWrap w:val="0"/>
            <w:vAlign w:val="center"/>
          </w:tcPr>
          <w:p w14:paraId="3BD93769">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rPr>
            </w:pPr>
            <w:r>
              <w:rPr>
                <w:color w:val="auto"/>
                <w:sz w:val="21"/>
                <w:highlight w:val="none"/>
              </w:rPr>
              <w:t>具体内容见规范。</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14:paraId="539AFABB">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rPr>
            </w:pPr>
            <w:r>
              <w:rPr>
                <w:color w:val="auto"/>
                <w:sz w:val="21"/>
                <w:highlight w:val="none"/>
              </w:rPr>
              <w:t>具体内容见规范。</w:t>
            </w:r>
          </w:p>
        </w:tc>
        <w:tc>
          <w:tcPr>
            <w:tcW w:w="2329" w:type="dxa"/>
            <w:tcBorders>
              <w:top w:val="single" w:color="000000" w:sz="4" w:space="0"/>
              <w:left w:val="single" w:color="000000" w:sz="4" w:space="0"/>
              <w:bottom w:val="single" w:color="000000" w:sz="4" w:space="0"/>
            </w:tcBorders>
            <w:noWrap w:val="0"/>
            <w:vAlign w:val="center"/>
          </w:tcPr>
          <w:p w14:paraId="22FFF807">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rPr>
            </w:pPr>
            <w:r>
              <w:rPr>
                <w:color w:val="auto"/>
                <w:sz w:val="21"/>
                <w:highlight w:val="none"/>
              </w:rPr>
              <w:t>具体内容见规范。</w:t>
            </w:r>
          </w:p>
        </w:tc>
      </w:tr>
      <w:tr w14:paraId="161598D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24" w:hRule="atLeast"/>
        </w:trPr>
        <w:tc>
          <w:tcPr>
            <w:tcW w:w="559" w:type="dxa"/>
            <w:tcBorders>
              <w:top w:val="single" w:color="000000" w:sz="4" w:space="0"/>
              <w:right w:val="single" w:color="000000" w:sz="4" w:space="0"/>
            </w:tcBorders>
            <w:noWrap w:val="0"/>
            <w:vAlign w:val="center"/>
          </w:tcPr>
          <w:p w14:paraId="48FC349B">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color w:val="auto"/>
                <w:sz w:val="21"/>
                <w:highlight w:val="none"/>
              </w:rPr>
            </w:pPr>
            <w:r>
              <w:rPr>
                <w:rFonts w:ascii="Times New Roman"/>
                <w:color w:val="auto"/>
                <w:sz w:val="21"/>
                <w:highlight w:val="none"/>
              </w:rPr>
              <w:t>9</w:t>
            </w:r>
          </w:p>
        </w:tc>
        <w:tc>
          <w:tcPr>
            <w:tcW w:w="888" w:type="dxa"/>
            <w:tcBorders>
              <w:top w:val="single" w:color="000000" w:sz="4" w:space="0"/>
              <w:left w:val="single" w:color="000000" w:sz="4" w:space="0"/>
              <w:right w:val="single" w:color="000000" w:sz="4" w:space="0"/>
            </w:tcBorders>
            <w:noWrap w:val="0"/>
            <w:vAlign w:val="center"/>
          </w:tcPr>
          <w:p w14:paraId="59478FD8">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rPr>
            </w:pPr>
            <w:r>
              <w:rPr>
                <w:color w:val="auto"/>
                <w:sz w:val="21"/>
                <w:highlight w:val="none"/>
              </w:rPr>
              <w:t>技术档案</w:t>
            </w:r>
          </w:p>
        </w:tc>
        <w:tc>
          <w:tcPr>
            <w:tcW w:w="2254" w:type="dxa"/>
            <w:tcBorders>
              <w:top w:val="single" w:color="000000" w:sz="4" w:space="0"/>
              <w:left w:val="single" w:color="000000" w:sz="4" w:space="0"/>
              <w:right w:val="single" w:color="000000" w:sz="4" w:space="0"/>
            </w:tcBorders>
            <w:noWrap w:val="0"/>
            <w:vAlign w:val="center"/>
          </w:tcPr>
          <w:p w14:paraId="1CB16BB1">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lang w:eastAsia="zh-CN"/>
              </w:rPr>
            </w:pPr>
            <w:r>
              <w:rPr>
                <w:color w:val="auto"/>
                <w:sz w:val="21"/>
                <w:highlight w:val="none"/>
                <w:lang w:eastAsia="zh-CN"/>
              </w:rPr>
              <w:t>档案内容完整，具体要求见规范。</w:t>
            </w:r>
          </w:p>
        </w:tc>
        <w:tc>
          <w:tcPr>
            <w:tcW w:w="2269" w:type="dxa"/>
            <w:tcBorders>
              <w:top w:val="single" w:color="000000" w:sz="4" w:space="0"/>
              <w:left w:val="single" w:color="000000" w:sz="4" w:space="0"/>
              <w:right w:val="single" w:color="000000" w:sz="4" w:space="0"/>
            </w:tcBorders>
            <w:noWrap w:val="0"/>
            <w:vAlign w:val="center"/>
          </w:tcPr>
          <w:p w14:paraId="69FA8419">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lang w:eastAsia="zh-CN"/>
              </w:rPr>
            </w:pPr>
            <w:r>
              <w:rPr>
                <w:color w:val="auto"/>
                <w:sz w:val="21"/>
                <w:highlight w:val="none"/>
                <w:lang w:eastAsia="zh-CN"/>
              </w:rPr>
              <w:t>档案内容基本完整，具体要求见规范。</w:t>
            </w:r>
          </w:p>
        </w:tc>
        <w:tc>
          <w:tcPr>
            <w:tcW w:w="2329" w:type="dxa"/>
            <w:tcBorders>
              <w:top w:val="single" w:color="000000" w:sz="4" w:space="0"/>
              <w:left w:val="single" w:color="000000" w:sz="4" w:space="0"/>
            </w:tcBorders>
            <w:noWrap w:val="0"/>
            <w:vAlign w:val="center"/>
          </w:tcPr>
          <w:p w14:paraId="64630D88">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lang w:eastAsia="zh-CN"/>
              </w:rPr>
            </w:pPr>
            <w:r>
              <w:rPr>
                <w:color w:val="auto"/>
                <w:sz w:val="21"/>
                <w:highlight w:val="none"/>
                <w:lang w:eastAsia="zh-CN"/>
              </w:rPr>
              <w:t>档案内容基本完整，具体要求见规范。</w:t>
            </w:r>
          </w:p>
        </w:tc>
      </w:tr>
    </w:tbl>
    <w:p w14:paraId="4A787790">
      <w:pPr>
        <w:pStyle w:val="17"/>
        <w:spacing w:before="1"/>
        <w:rPr>
          <w:b/>
          <w:color w:val="auto"/>
          <w:sz w:val="36"/>
          <w:highlight w:val="none"/>
          <w:lang w:eastAsia="zh-CN"/>
        </w:rPr>
      </w:pPr>
    </w:p>
    <w:p w14:paraId="443D5D58">
      <w:pPr>
        <w:pStyle w:val="2"/>
        <w:spacing w:before="1" w:after="26"/>
        <w:ind w:left="2247" w:right="2247"/>
        <w:jc w:val="center"/>
        <w:rPr>
          <w:color w:val="auto"/>
          <w:highlight w:val="none"/>
          <w:lang w:eastAsia="zh-CN"/>
        </w:rPr>
        <w:sectPr>
          <w:pgSz w:w="11910" w:h="16840"/>
          <w:pgMar w:top="1400" w:right="1480" w:bottom="1000" w:left="1420" w:header="0" w:footer="808" w:gutter="0"/>
          <w:pgNumType w:fmt="decimal"/>
          <w:cols w:space="720" w:num="1"/>
        </w:sectPr>
      </w:pPr>
      <w:bookmarkStart w:id="851" w:name="树木养护管理质量等级（表2）"/>
      <w:bookmarkEnd w:id="851"/>
      <w:bookmarkStart w:id="852" w:name="_Toc61947376"/>
      <w:bookmarkStart w:id="853" w:name="_Toc28612900"/>
      <w:bookmarkStart w:id="854" w:name="_Toc28273069"/>
    </w:p>
    <w:p w14:paraId="203DE65C">
      <w:pPr>
        <w:spacing w:before="1" w:after="26"/>
        <w:ind w:left="2247" w:right="2247"/>
        <w:jc w:val="center"/>
        <w:outlineLvl w:val="9"/>
        <w:rPr>
          <w:color w:val="auto"/>
          <w:highlight w:val="none"/>
          <w:lang w:eastAsia="zh-CN"/>
        </w:rPr>
      </w:pPr>
      <w:r>
        <w:rPr>
          <w:color w:val="auto"/>
          <w:highlight w:val="none"/>
          <w:lang w:eastAsia="zh-CN"/>
        </w:rPr>
        <w:t xml:space="preserve">树木养护管理质量等级（表 </w:t>
      </w:r>
      <w:r>
        <w:rPr>
          <w:rFonts w:ascii="Times New Roman" w:eastAsia="Times New Roman"/>
          <w:color w:val="auto"/>
          <w:highlight w:val="none"/>
          <w:lang w:eastAsia="zh-CN"/>
        </w:rPr>
        <w:t>2</w:t>
      </w:r>
      <w:r>
        <w:rPr>
          <w:color w:val="auto"/>
          <w:highlight w:val="none"/>
          <w:lang w:eastAsia="zh-CN"/>
        </w:rPr>
        <w:t>）</w:t>
      </w:r>
      <w:bookmarkEnd w:id="852"/>
      <w:bookmarkEnd w:id="853"/>
      <w:bookmarkEnd w:id="854"/>
    </w:p>
    <w:tbl>
      <w:tblPr>
        <w:tblStyle w:val="46"/>
        <w:tblW w:w="0" w:type="auto"/>
        <w:tblInd w:w="32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56"/>
        <w:gridCol w:w="1152"/>
        <w:gridCol w:w="2254"/>
        <w:gridCol w:w="2268"/>
        <w:gridCol w:w="2227"/>
      </w:tblGrid>
      <w:tr w14:paraId="05C9015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5" w:hRule="atLeast"/>
        </w:trPr>
        <w:tc>
          <w:tcPr>
            <w:tcW w:w="456" w:type="dxa"/>
            <w:vMerge w:val="restart"/>
            <w:tcBorders>
              <w:bottom w:val="single" w:color="000000" w:sz="4" w:space="0"/>
              <w:right w:val="single" w:color="000000" w:sz="4" w:space="0"/>
            </w:tcBorders>
            <w:noWrap w:val="0"/>
            <w:vAlign w:val="center"/>
          </w:tcPr>
          <w:p w14:paraId="2094FBBC">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b/>
                <w:color w:val="auto"/>
                <w:sz w:val="21"/>
                <w:highlight w:val="none"/>
              </w:rPr>
            </w:pPr>
            <w:r>
              <w:rPr>
                <w:b/>
                <w:color w:val="auto"/>
                <w:sz w:val="21"/>
                <w:highlight w:val="none"/>
              </w:rPr>
              <w:t>序号</w:t>
            </w:r>
          </w:p>
        </w:tc>
        <w:tc>
          <w:tcPr>
            <w:tcW w:w="1152" w:type="dxa"/>
            <w:vMerge w:val="restart"/>
            <w:tcBorders>
              <w:left w:val="single" w:color="000000" w:sz="4" w:space="0"/>
              <w:bottom w:val="single" w:color="000000" w:sz="4" w:space="0"/>
              <w:right w:val="single" w:color="000000" w:sz="4" w:space="0"/>
            </w:tcBorders>
            <w:noWrap w:val="0"/>
            <w:vAlign w:val="center"/>
          </w:tcPr>
          <w:p w14:paraId="32BEEBC9">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b/>
                <w:color w:val="auto"/>
                <w:sz w:val="18"/>
                <w:highlight w:val="none"/>
              </w:rPr>
            </w:pPr>
          </w:p>
          <w:p w14:paraId="663C0429">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b/>
                <w:color w:val="auto"/>
                <w:sz w:val="21"/>
                <w:highlight w:val="none"/>
              </w:rPr>
            </w:pPr>
            <w:r>
              <w:rPr>
                <w:b/>
                <w:color w:val="auto"/>
                <w:sz w:val="21"/>
                <w:highlight w:val="none"/>
              </w:rPr>
              <w:t>项目</w:t>
            </w:r>
          </w:p>
        </w:tc>
        <w:tc>
          <w:tcPr>
            <w:tcW w:w="6749" w:type="dxa"/>
            <w:gridSpan w:val="3"/>
            <w:tcBorders>
              <w:left w:val="single" w:color="000000" w:sz="4" w:space="0"/>
              <w:bottom w:val="single" w:color="000000" w:sz="4" w:space="0"/>
            </w:tcBorders>
            <w:noWrap w:val="0"/>
            <w:vAlign w:val="center"/>
          </w:tcPr>
          <w:p w14:paraId="4A9498AD">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b/>
                <w:color w:val="auto"/>
                <w:sz w:val="21"/>
                <w:highlight w:val="none"/>
              </w:rPr>
            </w:pPr>
            <w:r>
              <w:rPr>
                <w:b/>
                <w:color w:val="auto"/>
                <w:sz w:val="21"/>
                <w:highlight w:val="none"/>
              </w:rPr>
              <w:t>级别</w:t>
            </w:r>
          </w:p>
        </w:tc>
      </w:tr>
      <w:tr w14:paraId="12CA946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2" w:hRule="atLeast"/>
        </w:trPr>
        <w:tc>
          <w:tcPr>
            <w:tcW w:w="456" w:type="dxa"/>
            <w:vMerge w:val="continue"/>
            <w:tcBorders>
              <w:top w:val="nil"/>
              <w:bottom w:val="single" w:color="000000" w:sz="4" w:space="0"/>
              <w:right w:val="single" w:color="000000" w:sz="4" w:space="0"/>
            </w:tcBorders>
            <w:noWrap w:val="0"/>
            <w:vAlign w:val="center"/>
          </w:tcPr>
          <w:p w14:paraId="258EF7C9">
            <w:pPr>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color w:val="auto"/>
                <w:sz w:val="2"/>
                <w:szCs w:val="2"/>
                <w:highlight w:val="none"/>
              </w:rPr>
            </w:pPr>
          </w:p>
        </w:tc>
        <w:tc>
          <w:tcPr>
            <w:tcW w:w="1152" w:type="dxa"/>
            <w:vMerge w:val="continue"/>
            <w:tcBorders>
              <w:top w:val="nil"/>
              <w:left w:val="single" w:color="000000" w:sz="4" w:space="0"/>
              <w:bottom w:val="single" w:color="000000" w:sz="4" w:space="0"/>
              <w:right w:val="single" w:color="000000" w:sz="4" w:space="0"/>
            </w:tcBorders>
            <w:noWrap w:val="0"/>
            <w:vAlign w:val="center"/>
          </w:tcPr>
          <w:p w14:paraId="1A6B3024">
            <w:pPr>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color w:val="auto"/>
                <w:sz w:val="2"/>
                <w:szCs w:val="2"/>
                <w:highlight w:val="none"/>
              </w:rPr>
            </w:pPr>
          </w:p>
        </w:tc>
        <w:tc>
          <w:tcPr>
            <w:tcW w:w="2254" w:type="dxa"/>
            <w:tcBorders>
              <w:top w:val="single" w:color="000000" w:sz="4" w:space="0"/>
              <w:left w:val="single" w:color="000000" w:sz="4" w:space="0"/>
              <w:bottom w:val="single" w:color="000000" w:sz="4" w:space="0"/>
              <w:right w:val="single" w:color="000000" w:sz="4" w:space="0"/>
            </w:tcBorders>
            <w:noWrap w:val="0"/>
            <w:vAlign w:val="center"/>
          </w:tcPr>
          <w:p w14:paraId="50CD4ABF">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b/>
                <w:color w:val="auto"/>
                <w:sz w:val="21"/>
                <w:highlight w:val="none"/>
              </w:rPr>
            </w:pPr>
            <w:r>
              <w:rPr>
                <w:b/>
                <w:color w:val="auto"/>
                <w:sz w:val="21"/>
                <w:highlight w:val="none"/>
              </w:rPr>
              <w:t>特级</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2B9EB15D">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b/>
                <w:color w:val="auto"/>
                <w:sz w:val="21"/>
                <w:highlight w:val="none"/>
              </w:rPr>
            </w:pPr>
            <w:r>
              <w:rPr>
                <w:b/>
                <w:color w:val="auto"/>
                <w:sz w:val="21"/>
                <w:highlight w:val="none"/>
              </w:rPr>
              <w:t>一级</w:t>
            </w:r>
          </w:p>
        </w:tc>
        <w:tc>
          <w:tcPr>
            <w:tcW w:w="2227" w:type="dxa"/>
            <w:tcBorders>
              <w:top w:val="single" w:color="000000" w:sz="4" w:space="0"/>
              <w:left w:val="single" w:color="000000" w:sz="4" w:space="0"/>
              <w:bottom w:val="single" w:color="000000" w:sz="4" w:space="0"/>
            </w:tcBorders>
            <w:noWrap w:val="0"/>
            <w:vAlign w:val="center"/>
          </w:tcPr>
          <w:p w14:paraId="24D24EA7">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b/>
                <w:color w:val="auto"/>
                <w:sz w:val="21"/>
                <w:highlight w:val="none"/>
              </w:rPr>
            </w:pPr>
            <w:r>
              <w:rPr>
                <w:b/>
                <w:color w:val="auto"/>
                <w:sz w:val="21"/>
                <w:highlight w:val="none"/>
              </w:rPr>
              <w:t>二级</w:t>
            </w:r>
          </w:p>
        </w:tc>
      </w:tr>
      <w:tr w14:paraId="1D27440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42" w:hRule="atLeast"/>
        </w:trPr>
        <w:tc>
          <w:tcPr>
            <w:tcW w:w="456" w:type="dxa"/>
            <w:tcBorders>
              <w:top w:val="single" w:color="000000" w:sz="4" w:space="0"/>
              <w:right w:val="single" w:color="000000" w:sz="4" w:space="0"/>
            </w:tcBorders>
            <w:noWrap w:val="0"/>
            <w:vAlign w:val="center"/>
          </w:tcPr>
          <w:p w14:paraId="1864115F">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ascii="Times New Roman"/>
                <w:color w:val="auto"/>
                <w:sz w:val="21"/>
                <w:highlight w:val="none"/>
              </w:rPr>
            </w:pPr>
            <w:r>
              <w:rPr>
                <w:rFonts w:ascii="Times New Roman"/>
                <w:color w:val="auto"/>
                <w:sz w:val="21"/>
                <w:highlight w:val="none"/>
              </w:rPr>
              <w:t>1</w:t>
            </w:r>
          </w:p>
        </w:tc>
        <w:tc>
          <w:tcPr>
            <w:tcW w:w="1152" w:type="dxa"/>
            <w:tcBorders>
              <w:top w:val="single" w:color="000000" w:sz="4" w:space="0"/>
              <w:left w:val="single" w:color="000000" w:sz="4" w:space="0"/>
              <w:right w:val="single" w:color="000000" w:sz="4" w:space="0"/>
            </w:tcBorders>
            <w:noWrap w:val="0"/>
            <w:vAlign w:val="center"/>
          </w:tcPr>
          <w:p w14:paraId="4C055872">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color w:val="auto"/>
                <w:sz w:val="21"/>
                <w:highlight w:val="none"/>
              </w:rPr>
            </w:pPr>
            <w:r>
              <w:rPr>
                <w:color w:val="auto"/>
                <w:sz w:val="21"/>
                <w:highlight w:val="none"/>
              </w:rPr>
              <w:t>整体效果</w:t>
            </w:r>
          </w:p>
        </w:tc>
        <w:tc>
          <w:tcPr>
            <w:tcW w:w="2254" w:type="dxa"/>
            <w:tcBorders>
              <w:top w:val="single" w:color="000000" w:sz="4" w:space="0"/>
              <w:left w:val="single" w:color="000000" w:sz="4" w:space="0"/>
              <w:right w:val="single" w:color="000000" w:sz="4" w:space="0"/>
            </w:tcBorders>
            <w:noWrap w:val="0"/>
            <w:vAlign w:val="center"/>
          </w:tcPr>
          <w:p w14:paraId="7D780A7B">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color w:val="auto"/>
                <w:spacing w:val="1"/>
                <w:sz w:val="21"/>
                <w:highlight w:val="none"/>
                <w:lang w:eastAsia="zh-CN"/>
              </w:rPr>
              <w:t>（</w:t>
            </w:r>
            <w:r>
              <w:rPr>
                <w:rFonts w:ascii="Times New Roman" w:eastAsia="Times New Roman"/>
                <w:color w:val="auto"/>
                <w:spacing w:val="1"/>
                <w:sz w:val="21"/>
                <w:highlight w:val="none"/>
                <w:lang w:eastAsia="zh-CN"/>
              </w:rPr>
              <w:t>1</w:t>
            </w:r>
            <w:r>
              <w:rPr>
                <w:color w:val="auto"/>
                <w:spacing w:val="1"/>
                <w:sz w:val="21"/>
                <w:highlight w:val="none"/>
                <w:lang w:eastAsia="zh-CN"/>
              </w:rPr>
              <w:t>）</w:t>
            </w:r>
            <w:r>
              <w:rPr>
                <w:color w:val="auto"/>
                <w:sz w:val="21"/>
                <w:highlight w:val="none"/>
                <w:lang w:eastAsia="zh-CN"/>
              </w:rPr>
              <w:t>树林、树丛群落</w:t>
            </w:r>
            <w:r>
              <w:rPr>
                <w:color w:val="auto"/>
                <w:spacing w:val="-9"/>
                <w:sz w:val="21"/>
                <w:highlight w:val="none"/>
                <w:lang w:eastAsia="zh-CN"/>
              </w:rPr>
              <w:t>结构合理，植株疏密得</w:t>
            </w:r>
            <w:r>
              <w:rPr>
                <w:color w:val="auto"/>
                <w:spacing w:val="-10"/>
                <w:sz w:val="21"/>
                <w:highlight w:val="none"/>
                <w:lang w:eastAsia="zh-CN"/>
              </w:rPr>
              <w:t>当，层次分明，林冠线</w:t>
            </w:r>
            <w:r>
              <w:rPr>
                <w:color w:val="auto"/>
                <w:spacing w:val="-5"/>
                <w:sz w:val="21"/>
                <w:highlight w:val="none"/>
                <w:lang w:eastAsia="zh-CN"/>
              </w:rPr>
              <w:t>和林缘线清晰饱满；</w:t>
            </w:r>
          </w:p>
          <w:p w14:paraId="5A4D4149">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color w:val="auto"/>
                <w:spacing w:val="-22"/>
                <w:sz w:val="21"/>
                <w:highlight w:val="none"/>
                <w:lang w:eastAsia="zh-CN"/>
              </w:rPr>
              <w:t>（</w:t>
            </w:r>
            <w:r>
              <w:rPr>
                <w:rFonts w:ascii="Times New Roman" w:eastAsia="Times New Roman"/>
                <w:color w:val="auto"/>
                <w:spacing w:val="-22"/>
                <w:sz w:val="21"/>
                <w:highlight w:val="none"/>
                <w:lang w:eastAsia="zh-CN"/>
              </w:rPr>
              <w:t>2</w:t>
            </w:r>
            <w:r>
              <w:rPr>
                <w:color w:val="auto"/>
                <w:spacing w:val="-22"/>
                <w:sz w:val="21"/>
                <w:highlight w:val="none"/>
                <w:lang w:eastAsia="zh-CN"/>
              </w:rPr>
              <w:t>）</w:t>
            </w:r>
            <w:r>
              <w:rPr>
                <w:color w:val="auto"/>
                <w:spacing w:val="-3"/>
                <w:sz w:val="21"/>
                <w:highlight w:val="none"/>
                <w:lang w:eastAsia="zh-CN"/>
              </w:rPr>
              <w:t>孤植树树形完美， 树冠饱满；</w:t>
            </w:r>
          </w:p>
          <w:p w14:paraId="6B2CDF82">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color w:val="auto"/>
                <w:spacing w:val="-22"/>
                <w:sz w:val="21"/>
                <w:highlight w:val="none"/>
                <w:lang w:eastAsia="zh-CN"/>
              </w:rPr>
              <w:t>（</w:t>
            </w:r>
            <w:r>
              <w:rPr>
                <w:rFonts w:ascii="Times New Roman" w:eastAsia="Times New Roman"/>
                <w:color w:val="auto"/>
                <w:spacing w:val="-22"/>
                <w:sz w:val="21"/>
                <w:highlight w:val="none"/>
                <w:lang w:eastAsia="zh-CN"/>
              </w:rPr>
              <w:t>3</w:t>
            </w:r>
            <w:r>
              <w:rPr>
                <w:color w:val="auto"/>
                <w:spacing w:val="-22"/>
                <w:sz w:val="21"/>
                <w:highlight w:val="none"/>
                <w:lang w:eastAsia="zh-CN"/>
              </w:rPr>
              <w:t>）</w:t>
            </w:r>
            <w:r>
              <w:rPr>
                <w:color w:val="auto"/>
                <w:spacing w:val="-3"/>
                <w:sz w:val="21"/>
                <w:highlight w:val="none"/>
                <w:lang w:eastAsia="zh-CN"/>
              </w:rPr>
              <w:t xml:space="preserve">行道树树冠完整， </w:t>
            </w:r>
            <w:r>
              <w:rPr>
                <w:color w:val="auto"/>
                <w:spacing w:val="-9"/>
                <w:sz w:val="21"/>
                <w:highlight w:val="none"/>
                <w:lang w:eastAsia="zh-CN"/>
              </w:rPr>
              <w:t>规格整齐、一致，缺株</w:t>
            </w:r>
          </w:p>
          <w:p w14:paraId="70F31177">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rFonts w:ascii="Times New Roman" w:hAnsi="Times New Roman" w:eastAsia="Times New Roman"/>
                <w:color w:val="auto"/>
                <w:sz w:val="21"/>
                <w:highlight w:val="none"/>
                <w:lang w:eastAsia="zh-CN"/>
              </w:rPr>
              <w:t>≤3%</w:t>
            </w:r>
            <w:r>
              <w:rPr>
                <w:color w:val="auto"/>
                <w:sz w:val="21"/>
                <w:highlight w:val="none"/>
                <w:lang w:eastAsia="zh-CN"/>
              </w:rPr>
              <w:t>，树干挺直；</w:t>
            </w:r>
          </w:p>
          <w:p w14:paraId="67631AC3">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w:t>
            </w:r>
            <w:r>
              <w:rPr>
                <w:rFonts w:ascii="Times New Roman" w:eastAsia="Times New Roman"/>
                <w:color w:val="auto"/>
                <w:sz w:val="21"/>
                <w:highlight w:val="none"/>
                <w:lang w:eastAsia="zh-CN"/>
              </w:rPr>
              <w:t>4</w:t>
            </w:r>
            <w:r>
              <w:rPr>
                <w:color w:val="auto"/>
                <w:sz w:val="21"/>
                <w:highlight w:val="none"/>
                <w:lang w:eastAsia="zh-CN"/>
              </w:rPr>
              <w:t>）绿篱无缺株，修剪面平整饱满，</w:t>
            </w:r>
          </w:p>
          <w:p w14:paraId="36E41AD3">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直线处平直，曲线处弧度圆润。</w:t>
            </w:r>
          </w:p>
        </w:tc>
        <w:tc>
          <w:tcPr>
            <w:tcW w:w="2268" w:type="dxa"/>
            <w:tcBorders>
              <w:top w:val="single" w:color="000000" w:sz="4" w:space="0"/>
              <w:left w:val="single" w:color="000000" w:sz="4" w:space="0"/>
              <w:right w:val="single" w:color="000000" w:sz="4" w:space="0"/>
            </w:tcBorders>
            <w:noWrap w:val="0"/>
            <w:vAlign w:val="center"/>
          </w:tcPr>
          <w:p w14:paraId="44F72A62">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color w:val="auto"/>
                <w:spacing w:val="3"/>
                <w:sz w:val="21"/>
                <w:highlight w:val="none"/>
                <w:lang w:eastAsia="zh-CN"/>
              </w:rPr>
              <w:t>（</w:t>
            </w:r>
            <w:r>
              <w:rPr>
                <w:rFonts w:ascii="Times New Roman" w:eastAsia="Times New Roman"/>
                <w:color w:val="auto"/>
                <w:spacing w:val="3"/>
                <w:sz w:val="21"/>
                <w:highlight w:val="none"/>
                <w:lang w:eastAsia="zh-CN"/>
              </w:rPr>
              <w:t>1</w:t>
            </w:r>
            <w:r>
              <w:rPr>
                <w:color w:val="auto"/>
                <w:spacing w:val="3"/>
                <w:sz w:val="21"/>
                <w:highlight w:val="none"/>
                <w:lang w:eastAsia="zh-CN"/>
              </w:rPr>
              <w:t>）</w:t>
            </w:r>
            <w:r>
              <w:rPr>
                <w:color w:val="auto"/>
                <w:spacing w:val="2"/>
                <w:sz w:val="21"/>
                <w:highlight w:val="none"/>
                <w:lang w:eastAsia="zh-CN"/>
              </w:rPr>
              <w:t>树林、树丛群落</w:t>
            </w:r>
            <w:r>
              <w:rPr>
                <w:color w:val="auto"/>
                <w:spacing w:val="-8"/>
                <w:sz w:val="21"/>
                <w:highlight w:val="none"/>
                <w:lang w:eastAsia="zh-CN"/>
              </w:rPr>
              <w:t>结构基本合理，林冠线</w:t>
            </w:r>
            <w:r>
              <w:rPr>
                <w:color w:val="auto"/>
                <w:spacing w:val="-5"/>
                <w:sz w:val="21"/>
                <w:highlight w:val="none"/>
                <w:lang w:eastAsia="zh-CN"/>
              </w:rPr>
              <w:t>和林缘线基本完整；</w:t>
            </w:r>
          </w:p>
          <w:p w14:paraId="4737814B">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w:t>
            </w:r>
            <w:r>
              <w:rPr>
                <w:rFonts w:ascii="Times New Roman" w:eastAsia="Times New Roman"/>
                <w:color w:val="auto"/>
                <w:sz w:val="21"/>
                <w:highlight w:val="none"/>
                <w:lang w:eastAsia="zh-CN"/>
              </w:rPr>
              <w:t>2</w:t>
            </w:r>
            <w:r>
              <w:rPr>
                <w:color w:val="auto"/>
                <w:sz w:val="21"/>
                <w:highlight w:val="none"/>
                <w:lang w:eastAsia="zh-CN"/>
              </w:rPr>
              <w:t>）孤植树树形基本完美，树冠基本饱满；</w:t>
            </w:r>
          </w:p>
          <w:p w14:paraId="390AA54A">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w:t>
            </w:r>
            <w:r>
              <w:rPr>
                <w:rFonts w:ascii="Times New Roman" w:hAnsi="Times New Roman" w:eastAsia="Times New Roman"/>
                <w:color w:val="auto"/>
                <w:sz w:val="21"/>
                <w:highlight w:val="none"/>
                <w:lang w:eastAsia="zh-CN"/>
              </w:rPr>
              <w:t>3</w:t>
            </w:r>
            <w:r>
              <w:rPr>
                <w:color w:val="auto"/>
                <w:sz w:val="21"/>
                <w:highlight w:val="none"/>
                <w:lang w:eastAsia="zh-CN"/>
              </w:rPr>
              <w:t>）行道树树冠基本完整，规格基本整齐， 无死树，缺株</w:t>
            </w:r>
            <w:r>
              <w:rPr>
                <w:rFonts w:ascii="Times New Roman" w:hAnsi="Times New Roman" w:eastAsia="Times New Roman"/>
                <w:color w:val="auto"/>
                <w:sz w:val="21"/>
                <w:highlight w:val="none"/>
                <w:lang w:eastAsia="zh-CN"/>
              </w:rPr>
              <w:t>≤5%</w:t>
            </w:r>
            <w:r>
              <w:rPr>
                <w:color w:val="auto"/>
                <w:sz w:val="21"/>
                <w:highlight w:val="none"/>
                <w:lang w:eastAsia="zh-CN"/>
              </w:rPr>
              <w:t>，树冠基本完整统一，树干基本挺直；</w:t>
            </w:r>
          </w:p>
          <w:p w14:paraId="0D219AF2">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color w:val="auto"/>
                <w:spacing w:val="-18"/>
                <w:sz w:val="21"/>
                <w:highlight w:val="none"/>
                <w:lang w:eastAsia="zh-CN"/>
              </w:rPr>
              <w:t>（</w:t>
            </w:r>
            <w:r>
              <w:rPr>
                <w:rFonts w:ascii="Times New Roman" w:eastAsia="Times New Roman"/>
                <w:color w:val="auto"/>
                <w:spacing w:val="-18"/>
                <w:sz w:val="21"/>
                <w:highlight w:val="none"/>
                <w:lang w:eastAsia="zh-CN"/>
              </w:rPr>
              <w:t>4</w:t>
            </w:r>
            <w:r>
              <w:rPr>
                <w:color w:val="auto"/>
                <w:spacing w:val="-18"/>
                <w:sz w:val="21"/>
                <w:highlight w:val="none"/>
                <w:lang w:eastAsia="zh-CN"/>
              </w:rPr>
              <w:t>）</w:t>
            </w:r>
            <w:r>
              <w:rPr>
                <w:color w:val="auto"/>
                <w:spacing w:val="-3"/>
                <w:sz w:val="21"/>
                <w:highlight w:val="none"/>
                <w:lang w:eastAsia="zh-CN"/>
              </w:rPr>
              <w:t xml:space="preserve">绿篱基本无缺株， </w:t>
            </w:r>
            <w:r>
              <w:rPr>
                <w:color w:val="auto"/>
                <w:spacing w:val="-9"/>
                <w:sz w:val="21"/>
                <w:highlight w:val="none"/>
                <w:lang w:eastAsia="zh-CN"/>
              </w:rPr>
              <w:t>修剪面平整饱满，直线</w:t>
            </w:r>
            <w:r>
              <w:rPr>
                <w:color w:val="auto"/>
                <w:spacing w:val="-8"/>
                <w:sz w:val="21"/>
                <w:highlight w:val="none"/>
                <w:lang w:eastAsia="zh-CN"/>
              </w:rPr>
              <w:t>处平直，曲线处弧度圆</w:t>
            </w:r>
            <w:r>
              <w:rPr>
                <w:color w:val="auto"/>
                <w:sz w:val="21"/>
                <w:highlight w:val="none"/>
                <w:lang w:eastAsia="zh-CN"/>
              </w:rPr>
              <w:t>润。</w:t>
            </w:r>
          </w:p>
        </w:tc>
        <w:tc>
          <w:tcPr>
            <w:tcW w:w="2227" w:type="dxa"/>
            <w:tcBorders>
              <w:top w:val="single" w:color="000000" w:sz="4" w:space="0"/>
              <w:left w:val="single" w:color="000000" w:sz="4" w:space="0"/>
            </w:tcBorders>
            <w:noWrap w:val="0"/>
            <w:vAlign w:val="center"/>
          </w:tcPr>
          <w:p w14:paraId="614453FA">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w:t>
            </w:r>
            <w:r>
              <w:rPr>
                <w:rFonts w:ascii="Times New Roman" w:eastAsia="Times New Roman"/>
                <w:color w:val="auto"/>
                <w:sz w:val="21"/>
                <w:highlight w:val="none"/>
                <w:lang w:eastAsia="zh-CN"/>
              </w:rPr>
              <w:t>1</w:t>
            </w:r>
            <w:r>
              <w:rPr>
                <w:color w:val="auto"/>
                <w:sz w:val="21"/>
                <w:highlight w:val="none"/>
                <w:lang w:eastAsia="zh-CN"/>
              </w:rPr>
              <w:t>）树林、树丛具有</w:t>
            </w:r>
            <w:r>
              <w:rPr>
                <w:color w:val="auto"/>
                <w:spacing w:val="-13"/>
                <w:sz w:val="21"/>
                <w:highlight w:val="none"/>
                <w:lang w:eastAsia="zh-CN"/>
              </w:rPr>
              <w:t>基本完整的外貌，有一</w:t>
            </w:r>
            <w:r>
              <w:rPr>
                <w:color w:val="auto"/>
                <w:spacing w:val="-6"/>
                <w:sz w:val="21"/>
                <w:highlight w:val="none"/>
                <w:lang w:eastAsia="zh-CN"/>
              </w:rPr>
              <w:t>定的群落结构；</w:t>
            </w:r>
          </w:p>
          <w:p w14:paraId="0459FE4D">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w:t>
            </w:r>
            <w:r>
              <w:rPr>
                <w:rFonts w:ascii="Times New Roman" w:eastAsia="Times New Roman"/>
                <w:color w:val="auto"/>
                <w:sz w:val="21"/>
                <w:highlight w:val="none"/>
                <w:lang w:eastAsia="zh-CN"/>
              </w:rPr>
              <w:t>2</w:t>
            </w:r>
            <w:r>
              <w:rPr>
                <w:color w:val="auto"/>
                <w:sz w:val="21"/>
                <w:highlight w:val="none"/>
                <w:lang w:eastAsia="zh-CN"/>
              </w:rPr>
              <w:t>）孤植树树形基本完美，树冠基本饱满；</w:t>
            </w:r>
          </w:p>
          <w:p w14:paraId="58EC608F">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w:t>
            </w:r>
            <w:r>
              <w:rPr>
                <w:rFonts w:ascii="Times New Roman" w:hAnsi="Times New Roman" w:eastAsia="Times New Roman"/>
                <w:color w:val="auto"/>
                <w:sz w:val="21"/>
                <w:highlight w:val="none"/>
                <w:lang w:eastAsia="zh-CN"/>
              </w:rPr>
              <w:t>3</w:t>
            </w:r>
            <w:r>
              <w:rPr>
                <w:color w:val="auto"/>
                <w:sz w:val="21"/>
                <w:highlight w:val="none"/>
                <w:lang w:eastAsia="zh-CN"/>
              </w:rPr>
              <w:t>）行道树无死树， 缺株</w:t>
            </w:r>
            <w:r>
              <w:rPr>
                <w:rFonts w:ascii="Times New Roman" w:hAnsi="Times New Roman" w:eastAsia="Times New Roman"/>
                <w:color w:val="auto"/>
                <w:spacing w:val="-18"/>
                <w:sz w:val="21"/>
                <w:highlight w:val="none"/>
                <w:lang w:eastAsia="zh-CN"/>
              </w:rPr>
              <w:t>≤8%</w:t>
            </w:r>
            <w:r>
              <w:rPr>
                <w:color w:val="auto"/>
                <w:spacing w:val="-5"/>
                <w:sz w:val="21"/>
                <w:highlight w:val="none"/>
                <w:lang w:eastAsia="zh-CN"/>
              </w:rPr>
              <w:t>，树冠基本统</w:t>
            </w:r>
            <w:r>
              <w:rPr>
                <w:color w:val="auto"/>
                <w:spacing w:val="-4"/>
                <w:sz w:val="21"/>
                <w:highlight w:val="none"/>
                <w:lang w:eastAsia="zh-CN"/>
              </w:rPr>
              <w:t>一，树干基本挺直；</w:t>
            </w:r>
          </w:p>
          <w:p w14:paraId="253661D5">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w:t>
            </w:r>
            <w:r>
              <w:rPr>
                <w:rFonts w:ascii="Times New Roman" w:eastAsia="Times New Roman"/>
                <w:color w:val="auto"/>
                <w:sz w:val="21"/>
                <w:highlight w:val="none"/>
                <w:lang w:eastAsia="zh-CN"/>
              </w:rPr>
              <w:t>4</w:t>
            </w:r>
            <w:r>
              <w:rPr>
                <w:color w:val="auto"/>
                <w:spacing w:val="-92"/>
                <w:sz w:val="21"/>
                <w:highlight w:val="none"/>
                <w:lang w:eastAsia="zh-CN"/>
              </w:rPr>
              <w:t>）</w:t>
            </w:r>
            <w:r>
              <w:rPr>
                <w:color w:val="auto"/>
                <w:spacing w:val="-3"/>
                <w:sz w:val="21"/>
                <w:highlight w:val="none"/>
                <w:lang w:eastAsia="zh-CN"/>
              </w:rPr>
              <w:t>绿篱基本无缺株，修剪面平整饱</w:t>
            </w:r>
          </w:p>
          <w:p w14:paraId="5F0B42A5">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color w:val="auto"/>
                <w:spacing w:val="-12"/>
                <w:sz w:val="21"/>
                <w:highlight w:val="none"/>
                <w:lang w:eastAsia="zh-CN"/>
              </w:rPr>
              <w:t>满，直线处平直，曲线</w:t>
            </w:r>
            <w:r>
              <w:rPr>
                <w:color w:val="auto"/>
                <w:spacing w:val="-6"/>
                <w:sz w:val="21"/>
                <w:highlight w:val="none"/>
                <w:lang w:eastAsia="zh-CN"/>
              </w:rPr>
              <w:t>处弧度圆润。</w:t>
            </w:r>
          </w:p>
        </w:tc>
      </w:tr>
      <w:tr w14:paraId="514D1F3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50" w:hRule="atLeast"/>
        </w:trPr>
        <w:tc>
          <w:tcPr>
            <w:tcW w:w="456" w:type="dxa"/>
            <w:tcBorders>
              <w:top w:val="single" w:color="000000" w:sz="4" w:space="0"/>
              <w:bottom w:val="single" w:color="000000" w:sz="4" w:space="0"/>
              <w:right w:val="single" w:color="000000" w:sz="4" w:space="0"/>
            </w:tcBorders>
            <w:noWrap w:val="0"/>
            <w:vAlign w:val="center"/>
          </w:tcPr>
          <w:p w14:paraId="376DA439">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ascii="Times New Roman"/>
                <w:color w:val="auto"/>
                <w:sz w:val="21"/>
                <w:highlight w:val="none"/>
              </w:rPr>
            </w:pPr>
            <w:r>
              <w:rPr>
                <w:rFonts w:ascii="Times New Roman"/>
                <w:color w:val="auto"/>
                <w:sz w:val="21"/>
                <w:highlight w:val="none"/>
              </w:rPr>
              <w:t>2</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04EA973D">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color w:val="auto"/>
                <w:sz w:val="21"/>
                <w:highlight w:val="none"/>
              </w:rPr>
            </w:pPr>
            <w:r>
              <w:rPr>
                <w:color w:val="auto"/>
                <w:sz w:val="21"/>
                <w:highlight w:val="none"/>
              </w:rPr>
              <w:t>生长势</w:t>
            </w:r>
          </w:p>
        </w:tc>
        <w:tc>
          <w:tcPr>
            <w:tcW w:w="2254" w:type="dxa"/>
            <w:tcBorders>
              <w:top w:val="single" w:color="000000" w:sz="4" w:space="0"/>
              <w:left w:val="single" w:color="000000" w:sz="4" w:space="0"/>
              <w:bottom w:val="single" w:color="000000" w:sz="4" w:space="0"/>
              <w:right w:val="single" w:color="000000" w:sz="4" w:space="0"/>
            </w:tcBorders>
            <w:noWrap w:val="0"/>
            <w:vAlign w:val="center"/>
          </w:tcPr>
          <w:p w14:paraId="1895CF0A">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枝叶生长茂盛，观花、观果树种正常开花结果，彩色树种季相特征明显，无枯枝。</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67E09B25">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枝叶生长正常，观花、观果树种正常开花结果，无大型枯枝。</w:t>
            </w:r>
          </w:p>
        </w:tc>
        <w:tc>
          <w:tcPr>
            <w:tcW w:w="2227" w:type="dxa"/>
            <w:tcBorders>
              <w:top w:val="single" w:color="000000" w:sz="4" w:space="0"/>
              <w:left w:val="single" w:color="000000" w:sz="4" w:space="0"/>
              <w:bottom w:val="single" w:color="000000" w:sz="4" w:space="0"/>
            </w:tcBorders>
            <w:noWrap w:val="0"/>
            <w:vAlign w:val="center"/>
          </w:tcPr>
          <w:p w14:paraId="64A961F6">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color w:val="auto"/>
                <w:spacing w:val="11"/>
                <w:sz w:val="21"/>
                <w:highlight w:val="none"/>
                <w:lang w:eastAsia="zh-CN"/>
              </w:rPr>
              <w:t>植株生长量和色泽基</w:t>
            </w:r>
            <w:r>
              <w:rPr>
                <w:color w:val="auto"/>
                <w:spacing w:val="-13"/>
                <w:sz w:val="21"/>
                <w:highlight w:val="none"/>
                <w:lang w:eastAsia="zh-CN"/>
              </w:rPr>
              <w:t>本正常，观花、观果树</w:t>
            </w:r>
            <w:r>
              <w:rPr>
                <w:color w:val="auto"/>
                <w:spacing w:val="-6"/>
                <w:sz w:val="21"/>
                <w:highlight w:val="none"/>
                <w:lang w:eastAsia="zh-CN"/>
              </w:rPr>
              <w:t xml:space="preserve">种基本正常开花结果， </w:t>
            </w:r>
            <w:r>
              <w:rPr>
                <w:color w:val="auto"/>
                <w:spacing w:val="-4"/>
                <w:sz w:val="21"/>
                <w:highlight w:val="none"/>
                <w:lang w:eastAsia="zh-CN"/>
              </w:rPr>
              <w:t>无大型枯枝。</w:t>
            </w:r>
          </w:p>
        </w:tc>
      </w:tr>
      <w:tr w14:paraId="741AB43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16" w:hRule="atLeast"/>
        </w:trPr>
        <w:tc>
          <w:tcPr>
            <w:tcW w:w="456" w:type="dxa"/>
            <w:tcBorders>
              <w:top w:val="single" w:color="000000" w:sz="4" w:space="0"/>
              <w:bottom w:val="single" w:color="000000" w:sz="4" w:space="0"/>
              <w:right w:val="single" w:color="000000" w:sz="4" w:space="0"/>
            </w:tcBorders>
            <w:noWrap w:val="0"/>
            <w:vAlign w:val="center"/>
          </w:tcPr>
          <w:p w14:paraId="2433BF1C">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ascii="Times New Roman"/>
                <w:color w:val="auto"/>
                <w:sz w:val="21"/>
                <w:highlight w:val="none"/>
              </w:rPr>
            </w:pPr>
            <w:r>
              <w:rPr>
                <w:rFonts w:ascii="Times New Roman"/>
                <w:color w:val="auto"/>
                <w:sz w:val="21"/>
                <w:highlight w:val="none"/>
              </w:rPr>
              <w:t>3</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31A1950C">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color w:val="auto"/>
                <w:sz w:val="21"/>
                <w:highlight w:val="none"/>
              </w:rPr>
            </w:pPr>
            <w:r>
              <w:rPr>
                <w:color w:val="auto"/>
                <w:sz w:val="21"/>
                <w:highlight w:val="none"/>
              </w:rPr>
              <w:t>排灌</w:t>
            </w:r>
          </w:p>
        </w:tc>
        <w:tc>
          <w:tcPr>
            <w:tcW w:w="2254" w:type="dxa"/>
            <w:tcBorders>
              <w:top w:val="single" w:color="000000" w:sz="4" w:space="0"/>
              <w:left w:val="single" w:color="000000" w:sz="4" w:space="0"/>
              <w:bottom w:val="single" w:color="000000" w:sz="4" w:space="0"/>
              <w:right w:val="single" w:color="000000" w:sz="4" w:space="0"/>
            </w:tcBorders>
            <w:noWrap w:val="0"/>
            <w:vAlign w:val="center"/>
          </w:tcPr>
          <w:p w14:paraId="2C841E3D">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植株未出现失水萎蔫和沥涝现象。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5AF7ACD5">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植株基本无失水萎蔫和沥涝现象。</w:t>
            </w:r>
          </w:p>
        </w:tc>
        <w:tc>
          <w:tcPr>
            <w:tcW w:w="2227" w:type="dxa"/>
            <w:tcBorders>
              <w:top w:val="single" w:color="000000" w:sz="4" w:space="0"/>
              <w:left w:val="single" w:color="000000" w:sz="4" w:space="0"/>
              <w:bottom w:val="single" w:color="000000" w:sz="4" w:space="0"/>
            </w:tcBorders>
            <w:noWrap w:val="0"/>
            <w:vAlign w:val="center"/>
          </w:tcPr>
          <w:p w14:paraId="790A67A2">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植株失水或积水现象</w:t>
            </w:r>
          </w:p>
          <w:p w14:paraId="0C6B01B4">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rFonts w:ascii="Times New Roman" w:eastAsia="Times New Roman"/>
                <w:color w:val="auto"/>
                <w:sz w:val="21"/>
                <w:highlight w:val="none"/>
                <w:lang w:eastAsia="zh-CN"/>
              </w:rPr>
              <w:t xml:space="preserve">1d </w:t>
            </w:r>
            <w:r>
              <w:rPr>
                <w:color w:val="auto"/>
                <w:sz w:val="21"/>
                <w:highlight w:val="none"/>
                <w:lang w:eastAsia="zh-CN"/>
              </w:rPr>
              <w:t>内消除。</w:t>
            </w:r>
          </w:p>
        </w:tc>
      </w:tr>
      <w:tr w14:paraId="0FE7568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54" w:hRule="atLeast"/>
        </w:trPr>
        <w:tc>
          <w:tcPr>
            <w:tcW w:w="456" w:type="dxa"/>
            <w:tcBorders>
              <w:top w:val="single" w:color="000000" w:sz="4" w:space="0"/>
              <w:bottom w:val="single" w:color="000000" w:sz="4" w:space="0"/>
              <w:right w:val="single" w:color="000000" w:sz="4" w:space="0"/>
            </w:tcBorders>
            <w:noWrap w:val="0"/>
            <w:vAlign w:val="center"/>
          </w:tcPr>
          <w:p w14:paraId="284FF5EA">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ascii="Times New Roman"/>
                <w:color w:val="auto"/>
                <w:sz w:val="21"/>
                <w:highlight w:val="none"/>
              </w:rPr>
            </w:pPr>
            <w:r>
              <w:rPr>
                <w:rFonts w:ascii="Times New Roman"/>
                <w:color w:val="auto"/>
                <w:sz w:val="21"/>
                <w:highlight w:val="none"/>
              </w:rPr>
              <w:t>4</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04194DF8">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color w:val="auto"/>
                <w:sz w:val="21"/>
                <w:highlight w:val="none"/>
              </w:rPr>
            </w:pPr>
            <w:r>
              <w:rPr>
                <w:color w:val="auto"/>
                <w:sz w:val="21"/>
                <w:highlight w:val="none"/>
              </w:rPr>
              <w:t>病虫害防治</w:t>
            </w:r>
          </w:p>
        </w:tc>
        <w:tc>
          <w:tcPr>
            <w:tcW w:w="2254" w:type="dxa"/>
            <w:tcBorders>
              <w:top w:val="single" w:color="000000" w:sz="4" w:space="0"/>
              <w:left w:val="single" w:color="000000" w:sz="4" w:space="0"/>
              <w:bottom w:val="single" w:color="000000" w:sz="4" w:space="0"/>
              <w:right w:val="single" w:color="000000" w:sz="4" w:space="0"/>
            </w:tcBorders>
            <w:noWrap w:val="0"/>
            <w:vAlign w:val="center"/>
          </w:tcPr>
          <w:p w14:paraId="0091F003">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w:t>
            </w:r>
            <w:r>
              <w:rPr>
                <w:rFonts w:ascii="Times New Roman" w:eastAsia="Times New Roman"/>
                <w:color w:val="auto"/>
                <w:sz w:val="21"/>
                <w:highlight w:val="none"/>
                <w:lang w:eastAsia="zh-CN"/>
              </w:rPr>
              <w:t>1</w:t>
            </w:r>
            <w:r>
              <w:rPr>
                <w:color w:val="auto"/>
                <w:sz w:val="21"/>
                <w:highlight w:val="none"/>
                <w:lang w:eastAsia="zh-CN"/>
              </w:rPr>
              <w:t>）基本无危害状；</w:t>
            </w:r>
          </w:p>
          <w:p w14:paraId="541DFFB3">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color w:val="auto"/>
                <w:spacing w:val="-14"/>
                <w:sz w:val="21"/>
                <w:highlight w:val="none"/>
                <w:lang w:eastAsia="zh-CN"/>
              </w:rPr>
              <w:t>（</w:t>
            </w:r>
            <w:r>
              <w:rPr>
                <w:rFonts w:ascii="Times New Roman" w:hAnsi="Times New Roman" w:eastAsia="Times New Roman"/>
                <w:color w:val="auto"/>
                <w:spacing w:val="-14"/>
                <w:sz w:val="21"/>
                <w:highlight w:val="none"/>
                <w:lang w:eastAsia="zh-CN"/>
              </w:rPr>
              <w:t>2</w:t>
            </w:r>
            <w:r>
              <w:rPr>
                <w:color w:val="auto"/>
                <w:spacing w:val="-14"/>
                <w:sz w:val="21"/>
                <w:highlight w:val="none"/>
                <w:lang w:eastAsia="zh-CN"/>
              </w:rPr>
              <w:t>）</w:t>
            </w:r>
            <w:r>
              <w:rPr>
                <w:color w:val="auto"/>
                <w:spacing w:val="-3"/>
                <w:sz w:val="21"/>
                <w:highlight w:val="none"/>
                <w:lang w:eastAsia="zh-CN"/>
              </w:rPr>
              <w:t>枝叶受害率</w:t>
            </w:r>
            <w:r>
              <w:rPr>
                <w:rFonts w:ascii="Times New Roman" w:hAnsi="Times New Roman" w:eastAsia="Times New Roman"/>
                <w:color w:val="auto"/>
                <w:sz w:val="21"/>
                <w:highlight w:val="none"/>
                <w:lang w:eastAsia="zh-CN"/>
              </w:rPr>
              <w:t>≤3%</w:t>
            </w:r>
            <w:r>
              <w:rPr>
                <w:color w:val="auto"/>
                <w:sz w:val="21"/>
                <w:highlight w:val="none"/>
                <w:lang w:eastAsia="zh-CN"/>
              </w:rPr>
              <w:t xml:space="preserve">， </w:t>
            </w:r>
            <w:r>
              <w:rPr>
                <w:color w:val="auto"/>
                <w:spacing w:val="-1"/>
                <w:sz w:val="21"/>
                <w:highlight w:val="none"/>
                <w:lang w:eastAsia="zh-CN"/>
              </w:rPr>
              <w:t>树干受害率</w:t>
            </w:r>
            <w:r>
              <w:rPr>
                <w:rFonts w:ascii="Times New Roman" w:hAnsi="Times New Roman" w:eastAsia="Times New Roman"/>
                <w:color w:val="auto"/>
                <w:sz w:val="21"/>
                <w:highlight w:val="none"/>
                <w:lang w:eastAsia="zh-CN"/>
              </w:rPr>
              <w:t>≤3%</w:t>
            </w:r>
            <w:r>
              <w:rPr>
                <w:color w:val="auto"/>
                <w:sz w:val="21"/>
                <w:highlight w:val="none"/>
                <w:lang w:eastAsia="zh-CN"/>
              </w:rPr>
              <w:t>。</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2AC81EDE">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w:t>
            </w:r>
            <w:r>
              <w:rPr>
                <w:rFonts w:ascii="Times New Roman" w:eastAsia="Times New Roman"/>
                <w:color w:val="auto"/>
                <w:sz w:val="21"/>
                <w:highlight w:val="none"/>
                <w:lang w:eastAsia="zh-CN"/>
              </w:rPr>
              <w:t>1</w:t>
            </w:r>
            <w:r>
              <w:rPr>
                <w:color w:val="auto"/>
                <w:sz w:val="21"/>
                <w:highlight w:val="none"/>
                <w:lang w:eastAsia="zh-CN"/>
              </w:rPr>
              <w:t>）无明显危害状；</w:t>
            </w:r>
          </w:p>
          <w:p w14:paraId="205117B3">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color w:val="auto"/>
                <w:spacing w:val="-8"/>
                <w:sz w:val="21"/>
                <w:highlight w:val="none"/>
                <w:lang w:eastAsia="zh-CN"/>
              </w:rPr>
              <w:t>（</w:t>
            </w:r>
            <w:r>
              <w:rPr>
                <w:rFonts w:ascii="Times New Roman" w:hAnsi="Times New Roman" w:eastAsia="Times New Roman"/>
                <w:color w:val="auto"/>
                <w:spacing w:val="-8"/>
                <w:sz w:val="21"/>
                <w:highlight w:val="none"/>
                <w:lang w:eastAsia="zh-CN"/>
              </w:rPr>
              <w:t>2</w:t>
            </w:r>
            <w:r>
              <w:rPr>
                <w:color w:val="auto"/>
                <w:spacing w:val="-8"/>
                <w:sz w:val="21"/>
                <w:highlight w:val="none"/>
                <w:lang w:eastAsia="zh-CN"/>
              </w:rPr>
              <w:t>）</w:t>
            </w:r>
            <w:r>
              <w:rPr>
                <w:color w:val="auto"/>
                <w:spacing w:val="-3"/>
                <w:sz w:val="21"/>
                <w:highlight w:val="none"/>
                <w:lang w:eastAsia="zh-CN"/>
              </w:rPr>
              <w:t>枝叶受害率</w:t>
            </w:r>
            <w:r>
              <w:rPr>
                <w:rFonts w:ascii="Times New Roman" w:hAnsi="Times New Roman" w:eastAsia="Times New Roman"/>
                <w:color w:val="auto"/>
                <w:sz w:val="21"/>
                <w:highlight w:val="none"/>
                <w:lang w:eastAsia="zh-CN"/>
              </w:rPr>
              <w:t>≤8%</w:t>
            </w:r>
            <w:r>
              <w:rPr>
                <w:color w:val="auto"/>
                <w:sz w:val="21"/>
                <w:highlight w:val="none"/>
                <w:lang w:eastAsia="zh-CN"/>
              </w:rPr>
              <w:t xml:space="preserve">， </w:t>
            </w:r>
            <w:r>
              <w:rPr>
                <w:color w:val="auto"/>
                <w:spacing w:val="-1"/>
                <w:sz w:val="21"/>
                <w:highlight w:val="none"/>
                <w:lang w:eastAsia="zh-CN"/>
              </w:rPr>
              <w:t>树干受害率</w:t>
            </w:r>
            <w:r>
              <w:rPr>
                <w:rFonts w:ascii="Times New Roman" w:hAnsi="Times New Roman" w:eastAsia="Times New Roman"/>
                <w:color w:val="auto"/>
                <w:sz w:val="21"/>
                <w:highlight w:val="none"/>
                <w:lang w:eastAsia="zh-CN"/>
              </w:rPr>
              <w:t>≤5%</w:t>
            </w:r>
            <w:r>
              <w:rPr>
                <w:color w:val="auto"/>
                <w:sz w:val="21"/>
                <w:highlight w:val="none"/>
                <w:lang w:eastAsia="zh-CN"/>
              </w:rPr>
              <w:t>。</w:t>
            </w:r>
          </w:p>
        </w:tc>
        <w:tc>
          <w:tcPr>
            <w:tcW w:w="2227" w:type="dxa"/>
            <w:tcBorders>
              <w:top w:val="single" w:color="000000" w:sz="4" w:space="0"/>
              <w:left w:val="single" w:color="000000" w:sz="4" w:space="0"/>
              <w:bottom w:val="single" w:color="000000" w:sz="4" w:space="0"/>
            </w:tcBorders>
            <w:noWrap w:val="0"/>
            <w:vAlign w:val="center"/>
          </w:tcPr>
          <w:p w14:paraId="7CF79B06">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w:t>
            </w:r>
            <w:r>
              <w:rPr>
                <w:rFonts w:ascii="Times New Roman" w:eastAsia="Times New Roman"/>
                <w:color w:val="auto"/>
                <w:sz w:val="21"/>
                <w:highlight w:val="none"/>
                <w:lang w:eastAsia="zh-CN"/>
              </w:rPr>
              <w:t>1</w:t>
            </w:r>
            <w:r>
              <w:rPr>
                <w:color w:val="auto"/>
                <w:sz w:val="21"/>
                <w:highlight w:val="none"/>
                <w:lang w:eastAsia="zh-CN"/>
              </w:rPr>
              <w:t>）无严重危害状；</w:t>
            </w:r>
          </w:p>
          <w:p w14:paraId="43AC9116">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 xml:space="preserve">（ </w:t>
            </w:r>
            <w:r>
              <w:rPr>
                <w:rFonts w:ascii="Times New Roman" w:eastAsia="Times New Roman"/>
                <w:color w:val="auto"/>
                <w:sz w:val="21"/>
                <w:highlight w:val="none"/>
                <w:lang w:eastAsia="zh-CN"/>
              </w:rPr>
              <w:t xml:space="preserve">2 </w:t>
            </w:r>
            <w:r>
              <w:rPr>
                <w:color w:val="auto"/>
                <w:spacing w:val="57"/>
                <w:sz w:val="21"/>
                <w:highlight w:val="none"/>
                <w:lang w:eastAsia="zh-CN"/>
              </w:rPr>
              <w:t>）</w:t>
            </w:r>
            <w:r>
              <w:rPr>
                <w:color w:val="auto"/>
                <w:spacing w:val="2"/>
                <w:sz w:val="21"/>
                <w:highlight w:val="none"/>
                <w:lang w:eastAsia="zh-CN"/>
              </w:rPr>
              <w:t>枝 叶受害 率</w:t>
            </w:r>
          </w:p>
          <w:p w14:paraId="7AB3ADC7">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rPr>
            </w:pPr>
            <w:r>
              <w:rPr>
                <w:rFonts w:ascii="Times New Roman" w:hAnsi="Times New Roman" w:eastAsia="Times New Roman"/>
                <w:color w:val="auto"/>
                <w:sz w:val="21"/>
                <w:highlight w:val="none"/>
              </w:rPr>
              <w:t xml:space="preserve">≤12% </w:t>
            </w:r>
            <w:r>
              <w:rPr>
                <w:color w:val="auto"/>
                <w:sz w:val="21"/>
                <w:highlight w:val="none"/>
              </w:rPr>
              <w:t>，树干受害率</w:t>
            </w:r>
          </w:p>
          <w:p w14:paraId="206E8802">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rPr>
            </w:pPr>
            <w:r>
              <w:rPr>
                <w:rFonts w:ascii="Times New Roman" w:hAnsi="Times New Roman" w:eastAsia="Times New Roman"/>
                <w:color w:val="auto"/>
                <w:sz w:val="21"/>
                <w:highlight w:val="none"/>
              </w:rPr>
              <w:t>≤8%</w:t>
            </w:r>
            <w:r>
              <w:rPr>
                <w:color w:val="auto"/>
                <w:sz w:val="21"/>
                <w:highlight w:val="none"/>
              </w:rPr>
              <w:t>。</w:t>
            </w:r>
          </w:p>
        </w:tc>
      </w:tr>
      <w:tr w14:paraId="707E952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48" w:hRule="atLeast"/>
        </w:trPr>
        <w:tc>
          <w:tcPr>
            <w:tcW w:w="456" w:type="dxa"/>
            <w:tcBorders>
              <w:top w:val="single" w:color="000000" w:sz="4" w:space="0"/>
              <w:right w:val="single" w:color="000000" w:sz="4" w:space="0"/>
            </w:tcBorders>
            <w:noWrap w:val="0"/>
            <w:vAlign w:val="center"/>
          </w:tcPr>
          <w:p w14:paraId="70B15F27">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ascii="Times New Roman"/>
                <w:color w:val="auto"/>
                <w:sz w:val="21"/>
                <w:highlight w:val="none"/>
              </w:rPr>
            </w:pPr>
            <w:r>
              <w:rPr>
                <w:rFonts w:ascii="Times New Roman"/>
                <w:color w:val="auto"/>
                <w:sz w:val="21"/>
                <w:highlight w:val="none"/>
              </w:rPr>
              <w:t>5</w:t>
            </w:r>
          </w:p>
        </w:tc>
        <w:tc>
          <w:tcPr>
            <w:tcW w:w="1152" w:type="dxa"/>
            <w:tcBorders>
              <w:top w:val="single" w:color="000000" w:sz="4" w:space="0"/>
              <w:left w:val="single" w:color="000000" w:sz="4" w:space="0"/>
              <w:right w:val="single" w:color="000000" w:sz="4" w:space="0"/>
            </w:tcBorders>
            <w:noWrap w:val="0"/>
            <w:vAlign w:val="center"/>
          </w:tcPr>
          <w:p w14:paraId="20333B7A">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color w:val="auto"/>
                <w:sz w:val="21"/>
                <w:highlight w:val="none"/>
              </w:rPr>
            </w:pPr>
            <w:r>
              <w:rPr>
                <w:color w:val="auto"/>
                <w:sz w:val="21"/>
                <w:highlight w:val="none"/>
              </w:rPr>
              <w:t>补植完成</w:t>
            </w:r>
          </w:p>
          <w:p w14:paraId="66D92780">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color w:val="auto"/>
                <w:sz w:val="21"/>
                <w:highlight w:val="none"/>
              </w:rPr>
            </w:pPr>
            <w:r>
              <w:rPr>
                <w:color w:val="auto"/>
                <w:sz w:val="21"/>
                <w:highlight w:val="none"/>
              </w:rPr>
              <w:t>时间</w:t>
            </w:r>
          </w:p>
        </w:tc>
        <w:tc>
          <w:tcPr>
            <w:tcW w:w="2254" w:type="dxa"/>
            <w:tcBorders>
              <w:top w:val="single" w:color="000000" w:sz="4" w:space="0"/>
              <w:left w:val="single" w:color="000000" w:sz="4" w:space="0"/>
              <w:right w:val="single" w:color="000000" w:sz="4" w:space="0"/>
            </w:tcBorders>
            <w:noWrap w:val="0"/>
            <w:vAlign w:val="center"/>
          </w:tcPr>
          <w:p w14:paraId="4576589A">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ascii="Times New Roman" w:hAnsi="Times New Roman"/>
                <w:color w:val="auto"/>
                <w:sz w:val="21"/>
                <w:highlight w:val="none"/>
              </w:rPr>
            </w:pPr>
            <w:r>
              <w:rPr>
                <w:rFonts w:ascii="Times New Roman" w:hAnsi="Times New Roman"/>
                <w:color w:val="auto"/>
                <w:sz w:val="21"/>
                <w:highlight w:val="none"/>
              </w:rPr>
              <w:t>≤3d</w:t>
            </w:r>
          </w:p>
        </w:tc>
        <w:tc>
          <w:tcPr>
            <w:tcW w:w="2268" w:type="dxa"/>
            <w:tcBorders>
              <w:top w:val="single" w:color="000000" w:sz="4" w:space="0"/>
              <w:left w:val="single" w:color="000000" w:sz="4" w:space="0"/>
              <w:right w:val="single" w:color="000000" w:sz="4" w:space="0"/>
            </w:tcBorders>
            <w:noWrap w:val="0"/>
            <w:vAlign w:val="center"/>
          </w:tcPr>
          <w:p w14:paraId="0B77F310">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ascii="Times New Roman" w:hAnsi="Times New Roman"/>
                <w:color w:val="auto"/>
                <w:sz w:val="21"/>
                <w:highlight w:val="none"/>
              </w:rPr>
            </w:pPr>
            <w:r>
              <w:rPr>
                <w:rFonts w:ascii="Times New Roman" w:hAnsi="Times New Roman"/>
                <w:color w:val="auto"/>
                <w:sz w:val="21"/>
                <w:highlight w:val="none"/>
              </w:rPr>
              <w:t>≤7d</w:t>
            </w:r>
          </w:p>
        </w:tc>
        <w:tc>
          <w:tcPr>
            <w:tcW w:w="2227" w:type="dxa"/>
            <w:tcBorders>
              <w:top w:val="single" w:color="000000" w:sz="4" w:space="0"/>
              <w:left w:val="single" w:color="000000" w:sz="4" w:space="0"/>
            </w:tcBorders>
            <w:noWrap w:val="0"/>
            <w:vAlign w:val="center"/>
          </w:tcPr>
          <w:p w14:paraId="03B4C14F">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ascii="Times New Roman" w:hAnsi="Times New Roman"/>
                <w:color w:val="auto"/>
                <w:sz w:val="21"/>
                <w:highlight w:val="none"/>
              </w:rPr>
            </w:pPr>
            <w:r>
              <w:rPr>
                <w:rFonts w:ascii="Times New Roman" w:hAnsi="Times New Roman"/>
                <w:color w:val="auto"/>
                <w:sz w:val="21"/>
                <w:highlight w:val="none"/>
              </w:rPr>
              <w:t>≤20d</w:t>
            </w:r>
          </w:p>
        </w:tc>
      </w:tr>
    </w:tbl>
    <w:p w14:paraId="1A005501">
      <w:pPr>
        <w:pStyle w:val="2"/>
        <w:spacing w:before="127" w:after="26"/>
        <w:ind w:left="2847"/>
        <w:jc w:val="both"/>
        <w:rPr>
          <w:color w:val="auto"/>
          <w:highlight w:val="none"/>
          <w:lang w:eastAsia="zh-CN"/>
        </w:rPr>
        <w:sectPr>
          <w:pgSz w:w="11910" w:h="16840"/>
          <w:pgMar w:top="1400" w:right="1480" w:bottom="1000" w:left="1420" w:header="0" w:footer="808" w:gutter="0"/>
          <w:pgNumType w:fmt="decimal"/>
          <w:cols w:space="720" w:num="1"/>
        </w:sectPr>
      </w:pPr>
      <w:bookmarkStart w:id="855" w:name="花卉养护管理质量等级（表3）"/>
      <w:bookmarkEnd w:id="855"/>
      <w:bookmarkStart w:id="856" w:name="_Toc28273070"/>
      <w:bookmarkStart w:id="857" w:name="_Toc28612901"/>
      <w:bookmarkStart w:id="858" w:name="_Toc61947377"/>
    </w:p>
    <w:p w14:paraId="69E031B7">
      <w:pPr>
        <w:spacing w:before="127" w:after="26"/>
        <w:ind w:left="2847"/>
        <w:jc w:val="both"/>
        <w:outlineLvl w:val="9"/>
        <w:rPr>
          <w:color w:val="auto"/>
          <w:highlight w:val="none"/>
          <w:lang w:eastAsia="zh-CN"/>
        </w:rPr>
      </w:pPr>
      <w:r>
        <w:rPr>
          <w:color w:val="auto"/>
          <w:highlight w:val="none"/>
          <w:lang w:eastAsia="zh-CN"/>
        </w:rPr>
        <w:t xml:space="preserve">花卉养护管理质量等级（表 </w:t>
      </w:r>
      <w:r>
        <w:rPr>
          <w:rFonts w:ascii="Times New Roman" w:eastAsia="Times New Roman"/>
          <w:color w:val="auto"/>
          <w:highlight w:val="none"/>
          <w:lang w:eastAsia="zh-CN"/>
        </w:rPr>
        <w:t>3</w:t>
      </w:r>
      <w:r>
        <w:rPr>
          <w:color w:val="auto"/>
          <w:highlight w:val="none"/>
          <w:lang w:eastAsia="zh-CN"/>
        </w:rPr>
        <w:t>）</w:t>
      </w:r>
      <w:bookmarkEnd w:id="856"/>
      <w:bookmarkEnd w:id="857"/>
      <w:bookmarkEnd w:id="858"/>
    </w:p>
    <w:tbl>
      <w:tblPr>
        <w:tblStyle w:val="46"/>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15"/>
        <w:gridCol w:w="1152"/>
        <w:gridCol w:w="2191"/>
        <w:gridCol w:w="2337"/>
        <w:gridCol w:w="2260"/>
      </w:tblGrid>
      <w:tr w14:paraId="71D416A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6" w:hRule="atLeast"/>
          <w:jc w:val="center"/>
        </w:trPr>
        <w:tc>
          <w:tcPr>
            <w:tcW w:w="415" w:type="dxa"/>
            <w:vMerge w:val="restart"/>
            <w:tcBorders>
              <w:bottom w:val="single" w:color="000000" w:sz="4" w:space="0"/>
              <w:right w:val="single" w:color="000000" w:sz="4" w:space="0"/>
            </w:tcBorders>
            <w:noWrap w:val="0"/>
            <w:vAlign w:val="center"/>
          </w:tcPr>
          <w:p w14:paraId="2A73C198">
            <w:pPr>
              <w:pStyle w:val="251"/>
              <w:keepNext w:val="0"/>
              <w:keepLines w:val="0"/>
              <w:pageBreakBefore w:val="0"/>
              <w:widowControl w:val="0"/>
              <w:kinsoku/>
              <w:wordWrap w:val="0"/>
              <w:overflowPunct/>
              <w:topLinePunct/>
              <w:bidi w:val="0"/>
              <w:adjustRightInd/>
              <w:snapToGrid/>
              <w:spacing w:line="240" w:lineRule="auto"/>
              <w:ind w:left="0" w:right="0" w:firstLine="0"/>
              <w:jc w:val="center"/>
              <w:textAlignment w:val="auto"/>
              <w:rPr>
                <w:b/>
                <w:color w:val="auto"/>
                <w:sz w:val="21"/>
                <w:highlight w:val="none"/>
              </w:rPr>
            </w:pPr>
            <w:r>
              <w:rPr>
                <w:b/>
                <w:color w:val="auto"/>
                <w:sz w:val="21"/>
                <w:highlight w:val="none"/>
              </w:rPr>
              <w:t>序号</w:t>
            </w:r>
          </w:p>
        </w:tc>
        <w:tc>
          <w:tcPr>
            <w:tcW w:w="1152" w:type="dxa"/>
            <w:vMerge w:val="restart"/>
            <w:tcBorders>
              <w:left w:val="single" w:color="000000" w:sz="4" w:space="0"/>
              <w:bottom w:val="single" w:color="000000" w:sz="4" w:space="0"/>
              <w:right w:val="single" w:color="000000" w:sz="4" w:space="0"/>
            </w:tcBorders>
            <w:noWrap w:val="0"/>
            <w:vAlign w:val="center"/>
          </w:tcPr>
          <w:p w14:paraId="7441C398">
            <w:pPr>
              <w:pStyle w:val="251"/>
              <w:keepNext w:val="0"/>
              <w:keepLines w:val="0"/>
              <w:pageBreakBefore w:val="0"/>
              <w:widowControl w:val="0"/>
              <w:kinsoku/>
              <w:wordWrap w:val="0"/>
              <w:overflowPunct/>
              <w:topLinePunct/>
              <w:bidi w:val="0"/>
              <w:adjustRightInd/>
              <w:snapToGrid/>
              <w:spacing w:line="240" w:lineRule="auto"/>
              <w:ind w:left="0" w:right="0" w:firstLine="0"/>
              <w:jc w:val="center"/>
              <w:textAlignment w:val="auto"/>
              <w:rPr>
                <w:b/>
                <w:color w:val="auto"/>
                <w:sz w:val="21"/>
                <w:highlight w:val="none"/>
              </w:rPr>
            </w:pPr>
            <w:r>
              <w:rPr>
                <w:b/>
                <w:color w:val="auto"/>
                <w:sz w:val="21"/>
                <w:highlight w:val="none"/>
              </w:rPr>
              <w:t>项目</w:t>
            </w:r>
          </w:p>
        </w:tc>
        <w:tc>
          <w:tcPr>
            <w:tcW w:w="6788" w:type="dxa"/>
            <w:gridSpan w:val="3"/>
            <w:tcBorders>
              <w:left w:val="single" w:color="000000" w:sz="4" w:space="0"/>
              <w:bottom w:val="single" w:color="000000" w:sz="4" w:space="0"/>
            </w:tcBorders>
            <w:noWrap w:val="0"/>
            <w:vAlign w:val="center"/>
          </w:tcPr>
          <w:p w14:paraId="6A3D34A6">
            <w:pPr>
              <w:pStyle w:val="251"/>
              <w:keepNext w:val="0"/>
              <w:keepLines w:val="0"/>
              <w:pageBreakBefore w:val="0"/>
              <w:widowControl w:val="0"/>
              <w:kinsoku/>
              <w:wordWrap w:val="0"/>
              <w:overflowPunct/>
              <w:topLinePunct/>
              <w:bidi w:val="0"/>
              <w:adjustRightInd/>
              <w:snapToGrid/>
              <w:spacing w:line="240" w:lineRule="auto"/>
              <w:ind w:left="0" w:right="0" w:firstLine="0"/>
              <w:jc w:val="center"/>
              <w:textAlignment w:val="auto"/>
              <w:rPr>
                <w:b/>
                <w:color w:val="auto"/>
                <w:sz w:val="21"/>
                <w:highlight w:val="none"/>
              </w:rPr>
            </w:pPr>
            <w:r>
              <w:rPr>
                <w:b/>
                <w:color w:val="auto"/>
                <w:sz w:val="21"/>
                <w:highlight w:val="none"/>
              </w:rPr>
              <w:t>级别</w:t>
            </w:r>
          </w:p>
        </w:tc>
      </w:tr>
      <w:tr w14:paraId="4CD2CBA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8" w:hRule="atLeast"/>
          <w:jc w:val="center"/>
        </w:trPr>
        <w:tc>
          <w:tcPr>
            <w:tcW w:w="415" w:type="dxa"/>
            <w:vMerge w:val="continue"/>
            <w:tcBorders>
              <w:top w:val="nil"/>
              <w:bottom w:val="single" w:color="000000" w:sz="4" w:space="0"/>
              <w:right w:val="single" w:color="000000" w:sz="4" w:space="0"/>
            </w:tcBorders>
            <w:noWrap w:val="0"/>
            <w:vAlign w:val="center"/>
          </w:tcPr>
          <w:p w14:paraId="0E0A1FF6">
            <w:pPr>
              <w:keepNext w:val="0"/>
              <w:keepLines w:val="0"/>
              <w:pageBreakBefore w:val="0"/>
              <w:widowControl w:val="0"/>
              <w:kinsoku/>
              <w:wordWrap w:val="0"/>
              <w:overflowPunct/>
              <w:topLinePunct/>
              <w:bidi w:val="0"/>
              <w:adjustRightInd/>
              <w:snapToGrid/>
              <w:spacing w:line="240" w:lineRule="auto"/>
              <w:ind w:left="0" w:right="0" w:firstLine="0"/>
              <w:jc w:val="center"/>
              <w:textAlignment w:val="auto"/>
              <w:rPr>
                <w:color w:val="auto"/>
                <w:sz w:val="2"/>
                <w:szCs w:val="2"/>
                <w:highlight w:val="none"/>
              </w:rPr>
            </w:pPr>
          </w:p>
        </w:tc>
        <w:tc>
          <w:tcPr>
            <w:tcW w:w="1152" w:type="dxa"/>
            <w:vMerge w:val="continue"/>
            <w:tcBorders>
              <w:top w:val="nil"/>
              <w:left w:val="single" w:color="000000" w:sz="4" w:space="0"/>
              <w:bottom w:val="single" w:color="000000" w:sz="4" w:space="0"/>
              <w:right w:val="single" w:color="000000" w:sz="4" w:space="0"/>
            </w:tcBorders>
            <w:noWrap w:val="0"/>
            <w:vAlign w:val="center"/>
          </w:tcPr>
          <w:p w14:paraId="0083BC03">
            <w:pPr>
              <w:keepNext w:val="0"/>
              <w:keepLines w:val="0"/>
              <w:pageBreakBefore w:val="0"/>
              <w:widowControl w:val="0"/>
              <w:kinsoku/>
              <w:wordWrap w:val="0"/>
              <w:overflowPunct/>
              <w:topLinePunct/>
              <w:bidi w:val="0"/>
              <w:adjustRightInd/>
              <w:snapToGrid/>
              <w:spacing w:line="240" w:lineRule="auto"/>
              <w:ind w:left="0" w:right="0" w:firstLine="0"/>
              <w:jc w:val="center"/>
              <w:textAlignment w:val="auto"/>
              <w:rPr>
                <w:color w:val="auto"/>
                <w:sz w:val="2"/>
                <w:szCs w:val="2"/>
                <w:highlight w:val="none"/>
              </w:rPr>
            </w:pP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231911DB">
            <w:pPr>
              <w:pStyle w:val="251"/>
              <w:keepNext w:val="0"/>
              <w:keepLines w:val="0"/>
              <w:pageBreakBefore w:val="0"/>
              <w:widowControl w:val="0"/>
              <w:kinsoku/>
              <w:wordWrap w:val="0"/>
              <w:overflowPunct/>
              <w:topLinePunct/>
              <w:bidi w:val="0"/>
              <w:adjustRightInd/>
              <w:snapToGrid/>
              <w:spacing w:line="240" w:lineRule="auto"/>
              <w:ind w:left="0" w:right="0" w:firstLine="0"/>
              <w:jc w:val="center"/>
              <w:textAlignment w:val="auto"/>
              <w:rPr>
                <w:b/>
                <w:color w:val="auto"/>
                <w:sz w:val="21"/>
                <w:highlight w:val="none"/>
              </w:rPr>
            </w:pPr>
            <w:r>
              <w:rPr>
                <w:b/>
                <w:color w:val="auto"/>
                <w:sz w:val="21"/>
                <w:highlight w:val="none"/>
              </w:rPr>
              <w:t>特级</w:t>
            </w:r>
          </w:p>
        </w:tc>
        <w:tc>
          <w:tcPr>
            <w:tcW w:w="2337" w:type="dxa"/>
            <w:tcBorders>
              <w:top w:val="single" w:color="000000" w:sz="4" w:space="0"/>
              <w:left w:val="single" w:color="000000" w:sz="4" w:space="0"/>
              <w:bottom w:val="single" w:color="000000" w:sz="4" w:space="0"/>
              <w:right w:val="single" w:color="000000" w:sz="4" w:space="0"/>
            </w:tcBorders>
            <w:noWrap w:val="0"/>
            <w:vAlign w:val="center"/>
          </w:tcPr>
          <w:p w14:paraId="7548EC28">
            <w:pPr>
              <w:pStyle w:val="251"/>
              <w:keepNext w:val="0"/>
              <w:keepLines w:val="0"/>
              <w:pageBreakBefore w:val="0"/>
              <w:widowControl w:val="0"/>
              <w:kinsoku/>
              <w:wordWrap w:val="0"/>
              <w:overflowPunct/>
              <w:topLinePunct/>
              <w:bidi w:val="0"/>
              <w:adjustRightInd/>
              <w:snapToGrid/>
              <w:spacing w:line="240" w:lineRule="auto"/>
              <w:ind w:left="0" w:right="0" w:firstLine="0"/>
              <w:jc w:val="center"/>
              <w:textAlignment w:val="auto"/>
              <w:rPr>
                <w:b/>
                <w:color w:val="auto"/>
                <w:sz w:val="21"/>
                <w:highlight w:val="none"/>
              </w:rPr>
            </w:pPr>
            <w:r>
              <w:rPr>
                <w:b/>
                <w:color w:val="auto"/>
                <w:sz w:val="21"/>
                <w:highlight w:val="none"/>
              </w:rPr>
              <w:t>一级</w:t>
            </w:r>
          </w:p>
        </w:tc>
        <w:tc>
          <w:tcPr>
            <w:tcW w:w="2260" w:type="dxa"/>
            <w:tcBorders>
              <w:top w:val="single" w:color="000000" w:sz="4" w:space="0"/>
              <w:left w:val="single" w:color="000000" w:sz="4" w:space="0"/>
              <w:bottom w:val="single" w:color="000000" w:sz="4" w:space="0"/>
            </w:tcBorders>
            <w:noWrap w:val="0"/>
            <w:vAlign w:val="center"/>
          </w:tcPr>
          <w:p w14:paraId="26D98B23">
            <w:pPr>
              <w:pStyle w:val="251"/>
              <w:keepNext w:val="0"/>
              <w:keepLines w:val="0"/>
              <w:pageBreakBefore w:val="0"/>
              <w:widowControl w:val="0"/>
              <w:kinsoku/>
              <w:wordWrap w:val="0"/>
              <w:overflowPunct/>
              <w:topLinePunct/>
              <w:bidi w:val="0"/>
              <w:adjustRightInd/>
              <w:snapToGrid/>
              <w:spacing w:line="240" w:lineRule="auto"/>
              <w:ind w:left="0" w:right="0" w:firstLine="0"/>
              <w:jc w:val="center"/>
              <w:textAlignment w:val="auto"/>
              <w:rPr>
                <w:b/>
                <w:color w:val="auto"/>
                <w:sz w:val="21"/>
                <w:highlight w:val="none"/>
              </w:rPr>
            </w:pPr>
            <w:r>
              <w:rPr>
                <w:b/>
                <w:color w:val="auto"/>
                <w:sz w:val="21"/>
                <w:highlight w:val="none"/>
              </w:rPr>
              <w:t>二级</w:t>
            </w:r>
          </w:p>
        </w:tc>
      </w:tr>
      <w:tr w14:paraId="6729567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16" w:hRule="atLeast"/>
          <w:jc w:val="center"/>
        </w:trPr>
        <w:tc>
          <w:tcPr>
            <w:tcW w:w="415" w:type="dxa"/>
            <w:tcBorders>
              <w:top w:val="single" w:color="000000" w:sz="4" w:space="0"/>
              <w:bottom w:val="single" w:color="000000" w:sz="4" w:space="0"/>
              <w:right w:val="single" w:color="000000" w:sz="4" w:space="0"/>
            </w:tcBorders>
            <w:noWrap w:val="0"/>
            <w:vAlign w:val="center"/>
          </w:tcPr>
          <w:p w14:paraId="2A19F88C">
            <w:pPr>
              <w:pStyle w:val="251"/>
              <w:keepNext w:val="0"/>
              <w:keepLines w:val="0"/>
              <w:pageBreakBefore w:val="0"/>
              <w:widowControl w:val="0"/>
              <w:kinsoku/>
              <w:wordWrap w:val="0"/>
              <w:overflowPunct/>
              <w:topLinePunct/>
              <w:bidi w:val="0"/>
              <w:adjustRightInd/>
              <w:snapToGrid/>
              <w:spacing w:line="240" w:lineRule="auto"/>
              <w:ind w:left="0" w:right="0" w:firstLine="0"/>
              <w:jc w:val="center"/>
              <w:textAlignment w:val="auto"/>
              <w:rPr>
                <w:color w:val="auto"/>
                <w:sz w:val="21"/>
                <w:highlight w:val="none"/>
              </w:rPr>
            </w:pPr>
            <w:r>
              <w:rPr>
                <w:color w:val="auto"/>
                <w:sz w:val="21"/>
                <w:highlight w:val="none"/>
              </w:rPr>
              <w:t>1</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3F71B15E">
            <w:pPr>
              <w:pStyle w:val="251"/>
              <w:keepNext w:val="0"/>
              <w:keepLines w:val="0"/>
              <w:pageBreakBefore w:val="0"/>
              <w:widowControl w:val="0"/>
              <w:kinsoku/>
              <w:wordWrap w:val="0"/>
              <w:overflowPunct/>
              <w:topLinePunct/>
              <w:bidi w:val="0"/>
              <w:adjustRightInd/>
              <w:snapToGrid/>
              <w:spacing w:line="240" w:lineRule="auto"/>
              <w:ind w:left="0" w:right="0" w:firstLine="0"/>
              <w:jc w:val="center"/>
              <w:textAlignment w:val="auto"/>
              <w:rPr>
                <w:color w:val="auto"/>
                <w:sz w:val="21"/>
                <w:highlight w:val="none"/>
              </w:rPr>
            </w:pPr>
            <w:r>
              <w:rPr>
                <w:color w:val="auto"/>
                <w:sz w:val="21"/>
                <w:highlight w:val="none"/>
              </w:rPr>
              <w:t>整体效果</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4DF95526">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（1）缺株倒伏的花苗</w:t>
            </w:r>
          </w:p>
          <w:p w14:paraId="18BFE3E7">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≤3%；</w:t>
            </w:r>
          </w:p>
          <w:p w14:paraId="681F37F5">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（2）基本无枯枝、残花。</w:t>
            </w:r>
          </w:p>
        </w:tc>
        <w:tc>
          <w:tcPr>
            <w:tcW w:w="2337" w:type="dxa"/>
            <w:tcBorders>
              <w:top w:val="single" w:color="000000" w:sz="4" w:space="0"/>
              <w:left w:val="single" w:color="000000" w:sz="4" w:space="0"/>
              <w:bottom w:val="single" w:color="000000" w:sz="4" w:space="0"/>
              <w:right w:val="single" w:color="000000" w:sz="4" w:space="0"/>
            </w:tcBorders>
            <w:noWrap w:val="0"/>
            <w:vAlign w:val="center"/>
          </w:tcPr>
          <w:p w14:paraId="1B016EF7">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（1）缺株倒伏的花苗</w:t>
            </w:r>
          </w:p>
          <w:p w14:paraId="613309FB">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≤8%；</w:t>
            </w:r>
          </w:p>
          <w:p w14:paraId="454C05B2">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（2）枯枝、残花量≤3%。</w:t>
            </w:r>
          </w:p>
        </w:tc>
        <w:tc>
          <w:tcPr>
            <w:tcW w:w="2260" w:type="dxa"/>
            <w:tcBorders>
              <w:top w:val="single" w:color="000000" w:sz="4" w:space="0"/>
              <w:left w:val="single" w:color="000000" w:sz="4" w:space="0"/>
              <w:bottom w:val="single" w:color="000000" w:sz="4" w:space="0"/>
            </w:tcBorders>
            <w:noWrap w:val="0"/>
            <w:vAlign w:val="center"/>
          </w:tcPr>
          <w:p w14:paraId="52E22848">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（1）缺株倒伏的花苗</w:t>
            </w:r>
          </w:p>
          <w:p w14:paraId="20C5F41A">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≤12%；</w:t>
            </w:r>
          </w:p>
          <w:p w14:paraId="57CF16EF">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（2</w:t>
            </w:r>
            <w:r>
              <w:rPr>
                <w:color w:val="auto"/>
                <w:spacing w:val="30"/>
                <w:sz w:val="21"/>
                <w:highlight w:val="none"/>
                <w:lang w:eastAsia="zh-CN"/>
              </w:rPr>
              <w:t>）枯枝、残花量</w:t>
            </w:r>
          </w:p>
          <w:p w14:paraId="7AF7EEAA">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≤8%。</w:t>
            </w:r>
          </w:p>
        </w:tc>
      </w:tr>
      <w:tr w14:paraId="1171AD0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0" w:hRule="atLeast"/>
          <w:jc w:val="center"/>
        </w:trPr>
        <w:tc>
          <w:tcPr>
            <w:tcW w:w="415" w:type="dxa"/>
            <w:tcBorders>
              <w:top w:val="single" w:color="000000" w:sz="4" w:space="0"/>
              <w:bottom w:val="single" w:color="000000" w:sz="4" w:space="0"/>
              <w:right w:val="single" w:color="000000" w:sz="4" w:space="0"/>
            </w:tcBorders>
            <w:noWrap w:val="0"/>
            <w:vAlign w:val="center"/>
          </w:tcPr>
          <w:p w14:paraId="38A95340">
            <w:pPr>
              <w:pStyle w:val="251"/>
              <w:keepNext w:val="0"/>
              <w:keepLines w:val="0"/>
              <w:pageBreakBefore w:val="0"/>
              <w:widowControl w:val="0"/>
              <w:kinsoku/>
              <w:wordWrap w:val="0"/>
              <w:overflowPunct/>
              <w:topLinePunct/>
              <w:bidi w:val="0"/>
              <w:adjustRightInd/>
              <w:snapToGrid/>
              <w:spacing w:line="240" w:lineRule="auto"/>
              <w:ind w:left="0" w:right="0" w:firstLine="0"/>
              <w:jc w:val="center"/>
              <w:textAlignment w:val="auto"/>
              <w:rPr>
                <w:color w:val="auto"/>
                <w:sz w:val="21"/>
                <w:highlight w:val="none"/>
              </w:rPr>
            </w:pPr>
            <w:r>
              <w:rPr>
                <w:color w:val="auto"/>
                <w:sz w:val="21"/>
                <w:highlight w:val="none"/>
              </w:rPr>
              <w:t>2</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06FADAB2">
            <w:pPr>
              <w:pStyle w:val="251"/>
              <w:keepNext w:val="0"/>
              <w:keepLines w:val="0"/>
              <w:pageBreakBefore w:val="0"/>
              <w:widowControl w:val="0"/>
              <w:kinsoku/>
              <w:wordWrap w:val="0"/>
              <w:overflowPunct/>
              <w:topLinePunct/>
              <w:bidi w:val="0"/>
              <w:adjustRightInd/>
              <w:snapToGrid/>
              <w:spacing w:line="240" w:lineRule="auto"/>
              <w:ind w:left="0" w:right="0" w:firstLine="0"/>
              <w:jc w:val="center"/>
              <w:textAlignment w:val="auto"/>
              <w:rPr>
                <w:color w:val="auto"/>
                <w:sz w:val="21"/>
                <w:highlight w:val="none"/>
              </w:rPr>
            </w:pPr>
            <w:r>
              <w:rPr>
                <w:color w:val="auto"/>
                <w:sz w:val="21"/>
                <w:highlight w:val="none"/>
              </w:rPr>
              <w:t>花期</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373F56C4">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rPr>
            </w:pPr>
            <w:r>
              <w:rPr>
                <w:color w:val="auto"/>
                <w:sz w:val="21"/>
                <w:highlight w:val="none"/>
              </w:rPr>
              <w:t>花期一致</w:t>
            </w:r>
          </w:p>
        </w:tc>
        <w:tc>
          <w:tcPr>
            <w:tcW w:w="2337" w:type="dxa"/>
            <w:tcBorders>
              <w:top w:val="single" w:color="000000" w:sz="4" w:space="0"/>
              <w:left w:val="single" w:color="000000" w:sz="4" w:space="0"/>
              <w:bottom w:val="single" w:color="000000" w:sz="4" w:space="0"/>
              <w:right w:val="single" w:color="000000" w:sz="4" w:space="0"/>
            </w:tcBorders>
            <w:noWrap w:val="0"/>
            <w:vAlign w:val="center"/>
          </w:tcPr>
          <w:p w14:paraId="201D4DE1">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rPr>
            </w:pPr>
            <w:r>
              <w:rPr>
                <w:color w:val="auto"/>
                <w:sz w:val="21"/>
                <w:highlight w:val="none"/>
              </w:rPr>
              <w:t>花期一致</w:t>
            </w:r>
          </w:p>
        </w:tc>
        <w:tc>
          <w:tcPr>
            <w:tcW w:w="2260" w:type="dxa"/>
            <w:tcBorders>
              <w:top w:val="single" w:color="000000" w:sz="4" w:space="0"/>
              <w:left w:val="single" w:color="000000" w:sz="4" w:space="0"/>
              <w:bottom w:val="single" w:color="000000" w:sz="4" w:space="0"/>
            </w:tcBorders>
            <w:noWrap w:val="0"/>
            <w:vAlign w:val="center"/>
          </w:tcPr>
          <w:p w14:paraId="3075B49C">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rPr>
            </w:pPr>
            <w:r>
              <w:rPr>
                <w:color w:val="auto"/>
                <w:sz w:val="21"/>
                <w:highlight w:val="none"/>
              </w:rPr>
              <w:t>花期基本一致</w:t>
            </w:r>
          </w:p>
        </w:tc>
      </w:tr>
      <w:tr w14:paraId="1580FE3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811" w:hRule="atLeast"/>
          <w:jc w:val="center"/>
        </w:trPr>
        <w:tc>
          <w:tcPr>
            <w:tcW w:w="415" w:type="dxa"/>
            <w:tcBorders>
              <w:top w:val="single" w:color="000000" w:sz="4" w:space="0"/>
              <w:bottom w:val="single" w:color="000000" w:sz="4" w:space="0"/>
              <w:right w:val="single" w:color="000000" w:sz="4" w:space="0"/>
            </w:tcBorders>
            <w:noWrap w:val="0"/>
            <w:vAlign w:val="center"/>
          </w:tcPr>
          <w:p w14:paraId="6AB082B1">
            <w:pPr>
              <w:pStyle w:val="251"/>
              <w:keepNext w:val="0"/>
              <w:keepLines w:val="0"/>
              <w:pageBreakBefore w:val="0"/>
              <w:widowControl w:val="0"/>
              <w:kinsoku/>
              <w:wordWrap w:val="0"/>
              <w:overflowPunct/>
              <w:topLinePunct/>
              <w:bidi w:val="0"/>
              <w:adjustRightInd/>
              <w:snapToGrid/>
              <w:spacing w:line="240" w:lineRule="auto"/>
              <w:ind w:left="0" w:right="0" w:firstLine="0"/>
              <w:jc w:val="center"/>
              <w:textAlignment w:val="auto"/>
              <w:rPr>
                <w:color w:val="auto"/>
                <w:sz w:val="21"/>
                <w:highlight w:val="none"/>
              </w:rPr>
            </w:pPr>
            <w:r>
              <w:rPr>
                <w:color w:val="auto"/>
                <w:sz w:val="21"/>
                <w:highlight w:val="none"/>
              </w:rPr>
              <w:t>3</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09BB2D09">
            <w:pPr>
              <w:pStyle w:val="251"/>
              <w:keepNext w:val="0"/>
              <w:keepLines w:val="0"/>
              <w:pageBreakBefore w:val="0"/>
              <w:widowControl w:val="0"/>
              <w:kinsoku/>
              <w:wordWrap w:val="0"/>
              <w:overflowPunct/>
              <w:topLinePunct/>
              <w:bidi w:val="0"/>
              <w:adjustRightInd/>
              <w:snapToGrid/>
              <w:spacing w:line="240" w:lineRule="auto"/>
              <w:ind w:left="0" w:right="0" w:firstLine="0"/>
              <w:jc w:val="center"/>
              <w:textAlignment w:val="auto"/>
              <w:rPr>
                <w:color w:val="auto"/>
                <w:sz w:val="21"/>
                <w:highlight w:val="none"/>
              </w:rPr>
            </w:pPr>
            <w:r>
              <w:rPr>
                <w:color w:val="auto"/>
                <w:sz w:val="21"/>
                <w:highlight w:val="none"/>
              </w:rPr>
              <w:t>生长势</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13F04E7E">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lang w:eastAsia="zh-CN"/>
              </w:rPr>
            </w:pPr>
            <w:r>
              <w:rPr>
                <w:color w:val="auto"/>
                <w:spacing w:val="-1"/>
                <w:sz w:val="21"/>
                <w:highlight w:val="none"/>
                <w:lang w:eastAsia="zh-CN"/>
              </w:rPr>
              <w:t>（1）</w:t>
            </w:r>
            <w:r>
              <w:rPr>
                <w:color w:val="auto"/>
                <w:spacing w:val="-6"/>
                <w:sz w:val="21"/>
                <w:highlight w:val="none"/>
                <w:lang w:eastAsia="zh-CN"/>
              </w:rPr>
              <w:t>植株生长健壮；</w:t>
            </w:r>
          </w:p>
          <w:p w14:paraId="4588CF95">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lang w:eastAsia="zh-CN"/>
              </w:rPr>
            </w:pPr>
            <w:r>
              <w:rPr>
                <w:color w:val="auto"/>
                <w:spacing w:val="-4"/>
                <w:sz w:val="21"/>
                <w:highlight w:val="none"/>
                <w:lang w:eastAsia="zh-CN"/>
              </w:rPr>
              <w:t>（2）</w:t>
            </w:r>
            <w:r>
              <w:rPr>
                <w:color w:val="auto"/>
                <w:spacing w:val="-5"/>
                <w:sz w:val="21"/>
                <w:highlight w:val="none"/>
                <w:lang w:eastAsia="zh-CN"/>
              </w:rPr>
              <w:t>茎干粗壮，基部</w:t>
            </w:r>
            <w:r>
              <w:rPr>
                <w:color w:val="auto"/>
                <w:spacing w:val="-16"/>
                <w:sz w:val="21"/>
                <w:highlight w:val="none"/>
                <w:lang w:eastAsia="zh-CN"/>
              </w:rPr>
              <w:t>分枝强健，蓬径饱满；</w:t>
            </w:r>
          </w:p>
          <w:p w14:paraId="3D278FB8">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（3）花型美观，花色鲜艳，株高一致。</w:t>
            </w:r>
          </w:p>
        </w:tc>
        <w:tc>
          <w:tcPr>
            <w:tcW w:w="2337" w:type="dxa"/>
            <w:tcBorders>
              <w:top w:val="single" w:color="000000" w:sz="4" w:space="0"/>
              <w:left w:val="single" w:color="000000" w:sz="4" w:space="0"/>
              <w:bottom w:val="single" w:color="000000" w:sz="4" w:space="0"/>
              <w:right w:val="single" w:color="000000" w:sz="4" w:space="0"/>
            </w:tcBorders>
            <w:noWrap w:val="0"/>
            <w:vAlign w:val="center"/>
          </w:tcPr>
          <w:p w14:paraId="2511429F">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（1）植株生长基本健壮；</w:t>
            </w:r>
          </w:p>
          <w:p w14:paraId="240ABC16">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lang w:eastAsia="zh-CN"/>
              </w:rPr>
            </w:pPr>
            <w:r>
              <w:rPr>
                <w:color w:val="auto"/>
                <w:spacing w:val="-15"/>
                <w:sz w:val="21"/>
                <w:highlight w:val="none"/>
                <w:lang w:eastAsia="zh-CN"/>
              </w:rPr>
              <w:t>（2）</w:t>
            </w:r>
            <w:r>
              <w:rPr>
                <w:color w:val="auto"/>
                <w:spacing w:val="-9"/>
                <w:sz w:val="21"/>
                <w:highlight w:val="none"/>
                <w:lang w:eastAsia="zh-CN"/>
              </w:rPr>
              <w:t>茎干粗壮，基部分</w:t>
            </w:r>
            <w:r>
              <w:rPr>
                <w:color w:val="auto"/>
                <w:spacing w:val="-21"/>
                <w:sz w:val="21"/>
                <w:highlight w:val="none"/>
                <w:lang w:eastAsia="zh-CN"/>
              </w:rPr>
              <w:t>枝强健，蓬径基本饱满；</w:t>
            </w:r>
          </w:p>
          <w:p w14:paraId="445EF8B6">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rPr>
            </w:pPr>
            <w:r>
              <w:rPr>
                <w:color w:val="auto"/>
                <w:sz w:val="21"/>
                <w:highlight w:val="none"/>
              </w:rPr>
              <w:t>（3）株高一致。</w:t>
            </w:r>
          </w:p>
        </w:tc>
        <w:tc>
          <w:tcPr>
            <w:tcW w:w="2260" w:type="dxa"/>
            <w:tcBorders>
              <w:top w:val="single" w:color="000000" w:sz="4" w:space="0"/>
              <w:left w:val="single" w:color="000000" w:sz="4" w:space="0"/>
              <w:bottom w:val="single" w:color="000000" w:sz="4" w:space="0"/>
            </w:tcBorders>
            <w:noWrap w:val="0"/>
            <w:vAlign w:val="center"/>
          </w:tcPr>
          <w:p w14:paraId="7DCB78CA">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（1）植株生长基本健壮；</w:t>
            </w:r>
          </w:p>
          <w:p w14:paraId="359AA12C">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lang w:eastAsia="zh-CN"/>
              </w:rPr>
            </w:pPr>
            <w:r>
              <w:rPr>
                <w:color w:val="auto"/>
                <w:spacing w:val="2"/>
                <w:sz w:val="21"/>
                <w:highlight w:val="none"/>
                <w:lang w:eastAsia="zh-CN"/>
              </w:rPr>
              <w:t>（2）</w:t>
            </w:r>
            <w:r>
              <w:rPr>
                <w:color w:val="auto"/>
                <w:spacing w:val="1"/>
                <w:sz w:val="21"/>
                <w:highlight w:val="none"/>
                <w:lang w:eastAsia="zh-CN"/>
              </w:rPr>
              <w:t>茎干粗壮，基部</w:t>
            </w:r>
            <w:r>
              <w:rPr>
                <w:color w:val="auto"/>
                <w:spacing w:val="-9"/>
                <w:sz w:val="21"/>
                <w:highlight w:val="none"/>
                <w:lang w:eastAsia="zh-CN"/>
              </w:rPr>
              <w:t>分枝强健，蓬径基本饱</w:t>
            </w:r>
            <w:r>
              <w:rPr>
                <w:color w:val="auto"/>
                <w:spacing w:val="-6"/>
                <w:sz w:val="21"/>
                <w:highlight w:val="none"/>
                <w:lang w:eastAsia="zh-CN"/>
              </w:rPr>
              <w:t>满；</w:t>
            </w:r>
          </w:p>
          <w:p w14:paraId="6CB11EFF">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rPr>
            </w:pPr>
            <w:r>
              <w:rPr>
                <w:color w:val="auto"/>
                <w:sz w:val="21"/>
                <w:highlight w:val="none"/>
              </w:rPr>
              <w:t>（3）株高基本一致。</w:t>
            </w:r>
          </w:p>
        </w:tc>
      </w:tr>
      <w:tr w14:paraId="27FF4ED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91" w:hRule="atLeast"/>
          <w:jc w:val="center"/>
        </w:trPr>
        <w:tc>
          <w:tcPr>
            <w:tcW w:w="415" w:type="dxa"/>
            <w:tcBorders>
              <w:top w:val="single" w:color="000000" w:sz="4" w:space="0"/>
              <w:bottom w:val="single" w:color="000000" w:sz="4" w:space="0"/>
              <w:right w:val="single" w:color="000000" w:sz="4" w:space="0"/>
            </w:tcBorders>
            <w:noWrap w:val="0"/>
            <w:vAlign w:val="center"/>
          </w:tcPr>
          <w:p w14:paraId="6F24C409">
            <w:pPr>
              <w:pStyle w:val="251"/>
              <w:keepNext w:val="0"/>
              <w:keepLines w:val="0"/>
              <w:pageBreakBefore w:val="0"/>
              <w:widowControl w:val="0"/>
              <w:kinsoku/>
              <w:wordWrap w:val="0"/>
              <w:overflowPunct/>
              <w:topLinePunct/>
              <w:bidi w:val="0"/>
              <w:adjustRightInd/>
              <w:snapToGrid/>
              <w:spacing w:line="240" w:lineRule="auto"/>
              <w:ind w:left="0" w:right="0" w:firstLine="0"/>
              <w:jc w:val="center"/>
              <w:textAlignment w:val="auto"/>
              <w:rPr>
                <w:color w:val="auto"/>
                <w:sz w:val="21"/>
                <w:highlight w:val="none"/>
              </w:rPr>
            </w:pPr>
            <w:r>
              <w:rPr>
                <w:color w:val="auto"/>
                <w:sz w:val="21"/>
                <w:highlight w:val="none"/>
              </w:rPr>
              <w:t>4</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5D8B98EB">
            <w:pPr>
              <w:pStyle w:val="251"/>
              <w:keepNext w:val="0"/>
              <w:keepLines w:val="0"/>
              <w:pageBreakBefore w:val="0"/>
              <w:widowControl w:val="0"/>
              <w:kinsoku/>
              <w:wordWrap w:val="0"/>
              <w:overflowPunct/>
              <w:topLinePunct/>
              <w:bidi w:val="0"/>
              <w:adjustRightInd/>
              <w:snapToGrid/>
              <w:spacing w:line="240" w:lineRule="auto"/>
              <w:ind w:left="0" w:right="0" w:firstLine="0"/>
              <w:jc w:val="center"/>
              <w:textAlignment w:val="auto"/>
              <w:rPr>
                <w:color w:val="auto"/>
                <w:sz w:val="21"/>
                <w:highlight w:val="none"/>
              </w:rPr>
            </w:pPr>
            <w:r>
              <w:rPr>
                <w:color w:val="auto"/>
                <w:sz w:val="21"/>
                <w:highlight w:val="none"/>
              </w:rPr>
              <w:t>排灌</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3F26CFD0">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植株不得出现失水萎蔫现象。</w:t>
            </w:r>
          </w:p>
        </w:tc>
        <w:tc>
          <w:tcPr>
            <w:tcW w:w="2337" w:type="dxa"/>
            <w:tcBorders>
              <w:top w:val="single" w:color="000000" w:sz="4" w:space="0"/>
              <w:left w:val="single" w:color="000000" w:sz="4" w:space="0"/>
              <w:bottom w:val="single" w:color="000000" w:sz="4" w:space="0"/>
              <w:right w:val="single" w:color="000000" w:sz="4" w:space="0"/>
            </w:tcBorders>
            <w:noWrap w:val="0"/>
            <w:vAlign w:val="center"/>
          </w:tcPr>
          <w:p w14:paraId="52EA6539">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植株基无干旱和沥涝现象。</w:t>
            </w:r>
          </w:p>
        </w:tc>
        <w:tc>
          <w:tcPr>
            <w:tcW w:w="2260" w:type="dxa"/>
            <w:tcBorders>
              <w:top w:val="single" w:color="000000" w:sz="4" w:space="0"/>
              <w:left w:val="single" w:color="000000" w:sz="4" w:space="0"/>
              <w:bottom w:val="single" w:color="000000" w:sz="4" w:space="0"/>
            </w:tcBorders>
            <w:noWrap w:val="0"/>
            <w:vAlign w:val="center"/>
          </w:tcPr>
          <w:p w14:paraId="62799C31">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植株基本无失水萎蔫现象。</w:t>
            </w:r>
          </w:p>
        </w:tc>
      </w:tr>
      <w:tr w14:paraId="2E82EB9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50" w:hRule="atLeast"/>
          <w:jc w:val="center"/>
        </w:trPr>
        <w:tc>
          <w:tcPr>
            <w:tcW w:w="415" w:type="dxa"/>
            <w:tcBorders>
              <w:top w:val="single" w:color="000000" w:sz="4" w:space="0"/>
              <w:bottom w:val="single" w:color="000000" w:sz="4" w:space="0"/>
              <w:right w:val="single" w:color="000000" w:sz="4" w:space="0"/>
            </w:tcBorders>
            <w:noWrap w:val="0"/>
            <w:vAlign w:val="center"/>
          </w:tcPr>
          <w:p w14:paraId="2B0F644A">
            <w:pPr>
              <w:pStyle w:val="251"/>
              <w:keepNext w:val="0"/>
              <w:keepLines w:val="0"/>
              <w:pageBreakBefore w:val="0"/>
              <w:widowControl w:val="0"/>
              <w:kinsoku/>
              <w:wordWrap w:val="0"/>
              <w:overflowPunct/>
              <w:topLinePunct/>
              <w:bidi w:val="0"/>
              <w:adjustRightInd/>
              <w:snapToGrid/>
              <w:spacing w:line="240" w:lineRule="auto"/>
              <w:ind w:left="0" w:right="0" w:firstLine="0"/>
              <w:jc w:val="center"/>
              <w:textAlignment w:val="auto"/>
              <w:rPr>
                <w:color w:val="auto"/>
                <w:sz w:val="21"/>
                <w:highlight w:val="none"/>
              </w:rPr>
            </w:pPr>
            <w:r>
              <w:rPr>
                <w:color w:val="auto"/>
                <w:sz w:val="21"/>
                <w:highlight w:val="none"/>
              </w:rPr>
              <w:t>5</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3FFB1EC9">
            <w:pPr>
              <w:pStyle w:val="251"/>
              <w:keepNext w:val="0"/>
              <w:keepLines w:val="0"/>
              <w:pageBreakBefore w:val="0"/>
              <w:widowControl w:val="0"/>
              <w:kinsoku/>
              <w:wordWrap w:val="0"/>
              <w:overflowPunct/>
              <w:topLinePunct/>
              <w:autoSpaceDE w:val="0"/>
              <w:autoSpaceDN w:val="0"/>
              <w:bidi w:val="0"/>
              <w:adjustRightInd/>
              <w:snapToGrid/>
              <w:spacing w:line="240" w:lineRule="auto"/>
              <w:ind w:left="0" w:right="0" w:firstLine="0"/>
              <w:jc w:val="center"/>
              <w:textAlignment w:val="auto"/>
              <w:rPr>
                <w:color w:val="auto"/>
                <w:sz w:val="21"/>
                <w:highlight w:val="none"/>
              </w:rPr>
            </w:pPr>
            <w:r>
              <w:rPr>
                <w:color w:val="auto"/>
                <w:sz w:val="21"/>
                <w:highlight w:val="none"/>
              </w:rPr>
              <w:t>病虫害防治</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0A6E231C">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（1）基本无有害生物危害状；</w:t>
            </w:r>
          </w:p>
          <w:p w14:paraId="0B528237">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rPr>
            </w:pPr>
            <w:r>
              <w:rPr>
                <w:color w:val="auto"/>
                <w:sz w:val="21"/>
                <w:highlight w:val="none"/>
              </w:rPr>
              <w:t>（ 2 ） 植株 受害率</w:t>
            </w:r>
          </w:p>
          <w:p w14:paraId="47DA15C9">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rPr>
            </w:pPr>
            <w:r>
              <w:rPr>
                <w:color w:val="auto"/>
                <w:sz w:val="21"/>
                <w:highlight w:val="none"/>
              </w:rPr>
              <w:t>≤3%。</w:t>
            </w:r>
          </w:p>
        </w:tc>
        <w:tc>
          <w:tcPr>
            <w:tcW w:w="2337" w:type="dxa"/>
            <w:tcBorders>
              <w:top w:val="single" w:color="000000" w:sz="4" w:space="0"/>
              <w:left w:val="single" w:color="000000" w:sz="4" w:space="0"/>
              <w:bottom w:val="single" w:color="000000" w:sz="4" w:space="0"/>
              <w:right w:val="single" w:color="000000" w:sz="4" w:space="0"/>
            </w:tcBorders>
            <w:noWrap w:val="0"/>
            <w:vAlign w:val="center"/>
          </w:tcPr>
          <w:p w14:paraId="477753A5">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lang w:eastAsia="zh-CN"/>
              </w:rPr>
            </w:pPr>
            <w:r>
              <w:rPr>
                <w:color w:val="auto"/>
                <w:spacing w:val="-28"/>
                <w:sz w:val="21"/>
                <w:highlight w:val="none"/>
                <w:lang w:eastAsia="zh-CN"/>
              </w:rPr>
              <w:t>（1）</w:t>
            </w:r>
            <w:r>
              <w:rPr>
                <w:color w:val="auto"/>
                <w:spacing w:val="-3"/>
                <w:sz w:val="21"/>
                <w:highlight w:val="none"/>
                <w:lang w:eastAsia="zh-CN"/>
              </w:rPr>
              <w:t>无明显有害生物危</w:t>
            </w:r>
            <w:r>
              <w:rPr>
                <w:color w:val="auto"/>
                <w:spacing w:val="-1"/>
                <w:sz w:val="21"/>
                <w:highlight w:val="none"/>
                <w:lang w:eastAsia="zh-CN"/>
              </w:rPr>
              <w:t>害状；</w:t>
            </w:r>
          </w:p>
          <w:p w14:paraId="7F428D61">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rPr>
            </w:pPr>
            <w:r>
              <w:rPr>
                <w:color w:val="auto"/>
                <w:sz w:val="21"/>
                <w:highlight w:val="none"/>
              </w:rPr>
              <w:t>（2）</w:t>
            </w:r>
            <w:r>
              <w:rPr>
                <w:color w:val="auto"/>
                <w:spacing w:val="-3"/>
                <w:sz w:val="21"/>
                <w:highlight w:val="none"/>
              </w:rPr>
              <w:t>植株受害率≤</w:t>
            </w:r>
            <w:r>
              <w:rPr>
                <w:color w:val="auto"/>
                <w:sz w:val="21"/>
                <w:highlight w:val="none"/>
              </w:rPr>
              <w:t>8</w:t>
            </w:r>
            <w:r>
              <w:rPr>
                <w:color w:val="auto"/>
                <w:spacing w:val="-44"/>
                <w:sz w:val="21"/>
                <w:highlight w:val="none"/>
              </w:rPr>
              <w:t>%。</w:t>
            </w:r>
          </w:p>
        </w:tc>
        <w:tc>
          <w:tcPr>
            <w:tcW w:w="2260" w:type="dxa"/>
            <w:tcBorders>
              <w:top w:val="single" w:color="000000" w:sz="4" w:space="0"/>
              <w:left w:val="single" w:color="000000" w:sz="4" w:space="0"/>
              <w:bottom w:val="single" w:color="000000" w:sz="4" w:space="0"/>
            </w:tcBorders>
            <w:noWrap w:val="0"/>
            <w:vAlign w:val="center"/>
          </w:tcPr>
          <w:p w14:paraId="271C77A9">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（1）无严重有害生物危害状；</w:t>
            </w:r>
          </w:p>
          <w:p w14:paraId="248D7B83">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rPr>
            </w:pPr>
            <w:r>
              <w:rPr>
                <w:color w:val="auto"/>
                <w:sz w:val="21"/>
                <w:highlight w:val="none"/>
              </w:rPr>
              <w:t xml:space="preserve">（ 2 </w:t>
            </w:r>
            <w:r>
              <w:rPr>
                <w:color w:val="auto"/>
                <w:spacing w:val="62"/>
                <w:sz w:val="21"/>
                <w:highlight w:val="none"/>
              </w:rPr>
              <w:t>）</w:t>
            </w:r>
            <w:r>
              <w:rPr>
                <w:color w:val="auto"/>
                <w:spacing w:val="5"/>
                <w:sz w:val="21"/>
                <w:highlight w:val="none"/>
              </w:rPr>
              <w:t>植株 受害 率</w:t>
            </w:r>
          </w:p>
          <w:p w14:paraId="4968CF3A">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rPr>
            </w:pPr>
            <w:r>
              <w:rPr>
                <w:color w:val="auto"/>
                <w:sz w:val="21"/>
                <w:highlight w:val="none"/>
              </w:rPr>
              <w:t>≤10%。</w:t>
            </w:r>
          </w:p>
        </w:tc>
      </w:tr>
      <w:tr w14:paraId="639F392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41" w:hRule="atLeast"/>
          <w:jc w:val="center"/>
        </w:trPr>
        <w:tc>
          <w:tcPr>
            <w:tcW w:w="415" w:type="dxa"/>
            <w:tcBorders>
              <w:top w:val="single" w:color="000000" w:sz="4" w:space="0"/>
              <w:bottom w:val="single" w:color="000000" w:sz="4" w:space="0"/>
              <w:right w:val="single" w:color="000000" w:sz="4" w:space="0"/>
            </w:tcBorders>
            <w:noWrap w:val="0"/>
            <w:vAlign w:val="center"/>
          </w:tcPr>
          <w:p w14:paraId="1720C81A">
            <w:pPr>
              <w:pStyle w:val="251"/>
              <w:keepNext w:val="0"/>
              <w:keepLines w:val="0"/>
              <w:pageBreakBefore w:val="0"/>
              <w:widowControl w:val="0"/>
              <w:kinsoku/>
              <w:wordWrap w:val="0"/>
              <w:overflowPunct/>
              <w:topLinePunct/>
              <w:bidi w:val="0"/>
              <w:adjustRightInd/>
              <w:snapToGrid/>
              <w:spacing w:line="240" w:lineRule="auto"/>
              <w:ind w:left="0" w:right="0" w:firstLine="0"/>
              <w:jc w:val="center"/>
              <w:textAlignment w:val="auto"/>
              <w:rPr>
                <w:color w:val="auto"/>
                <w:sz w:val="21"/>
                <w:highlight w:val="none"/>
              </w:rPr>
            </w:pPr>
            <w:r>
              <w:rPr>
                <w:color w:val="auto"/>
                <w:sz w:val="21"/>
                <w:highlight w:val="none"/>
              </w:rPr>
              <w:t>6</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50BA8602">
            <w:pPr>
              <w:pStyle w:val="251"/>
              <w:keepNext w:val="0"/>
              <w:keepLines w:val="0"/>
              <w:pageBreakBefore w:val="0"/>
              <w:widowControl w:val="0"/>
              <w:kinsoku/>
              <w:wordWrap w:val="0"/>
              <w:overflowPunct/>
              <w:topLinePunct/>
              <w:autoSpaceDE w:val="0"/>
              <w:autoSpaceDN w:val="0"/>
              <w:bidi w:val="0"/>
              <w:adjustRightInd/>
              <w:snapToGrid/>
              <w:spacing w:line="240" w:lineRule="auto"/>
              <w:ind w:left="0" w:right="0" w:firstLine="0"/>
              <w:jc w:val="center"/>
              <w:textAlignment w:val="auto"/>
              <w:rPr>
                <w:color w:val="auto"/>
                <w:sz w:val="21"/>
                <w:highlight w:val="none"/>
              </w:rPr>
            </w:pPr>
            <w:r>
              <w:rPr>
                <w:color w:val="auto"/>
                <w:sz w:val="21"/>
                <w:highlight w:val="none"/>
              </w:rPr>
              <w:t>杂草覆盖率</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5906C9CA">
            <w:pPr>
              <w:pStyle w:val="251"/>
              <w:keepNext w:val="0"/>
              <w:keepLines w:val="0"/>
              <w:pageBreakBefore w:val="0"/>
              <w:widowControl w:val="0"/>
              <w:kinsoku/>
              <w:wordWrap w:val="0"/>
              <w:overflowPunct/>
              <w:topLinePunct/>
              <w:bidi w:val="0"/>
              <w:adjustRightInd/>
              <w:snapToGrid/>
              <w:spacing w:line="240" w:lineRule="auto"/>
              <w:ind w:left="0" w:right="0" w:firstLine="0"/>
              <w:jc w:val="center"/>
              <w:textAlignment w:val="auto"/>
              <w:rPr>
                <w:color w:val="auto"/>
                <w:sz w:val="21"/>
                <w:highlight w:val="none"/>
              </w:rPr>
            </w:pPr>
            <w:r>
              <w:rPr>
                <w:color w:val="auto"/>
                <w:sz w:val="21"/>
                <w:highlight w:val="none"/>
              </w:rPr>
              <w:t>≤2%</w:t>
            </w:r>
          </w:p>
        </w:tc>
        <w:tc>
          <w:tcPr>
            <w:tcW w:w="2337" w:type="dxa"/>
            <w:tcBorders>
              <w:top w:val="single" w:color="000000" w:sz="4" w:space="0"/>
              <w:left w:val="single" w:color="000000" w:sz="4" w:space="0"/>
              <w:bottom w:val="single" w:color="000000" w:sz="4" w:space="0"/>
              <w:right w:val="single" w:color="000000" w:sz="4" w:space="0"/>
            </w:tcBorders>
            <w:noWrap w:val="0"/>
            <w:vAlign w:val="center"/>
          </w:tcPr>
          <w:p w14:paraId="6D1DF49E">
            <w:pPr>
              <w:pStyle w:val="251"/>
              <w:keepNext w:val="0"/>
              <w:keepLines w:val="0"/>
              <w:pageBreakBefore w:val="0"/>
              <w:widowControl w:val="0"/>
              <w:kinsoku/>
              <w:wordWrap w:val="0"/>
              <w:overflowPunct/>
              <w:topLinePunct/>
              <w:bidi w:val="0"/>
              <w:adjustRightInd/>
              <w:snapToGrid/>
              <w:spacing w:line="240" w:lineRule="auto"/>
              <w:ind w:left="0" w:right="0" w:firstLine="0"/>
              <w:jc w:val="center"/>
              <w:textAlignment w:val="auto"/>
              <w:rPr>
                <w:color w:val="auto"/>
                <w:sz w:val="21"/>
                <w:highlight w:val="none"/>
              </w:rPr>
            </w:pPr>
            <w:r>
              <w:rPr>
                <w:color w:val="auto"/>
                <w:sz w:val="21"/>
                <w:highlight w:val="none"/>
              </w:rPr>
              <w:t>≤5%</w:t>
            </w:r>
          </w:p>
        </w:tc>
        <w:tc>
          <w:tcPr>
            <w:tcW w:w="2260" w:type="dxa"/>
            <w:tcBorders>
              <w:top w:val="single" w:color="000000" w:sz="4" w:space="0"/>
              <w:left w:val="single" w:color="000000" w:sz="4" w:space="0"/>
              <w:bottom w:val="single" w:color="000000" w:sz="4" w:space="0"/>
            </w:tcBorders>
            <w:noWrap w:val="0"/>
            <w:vAlign w:val="center"/>
          </w:tcPr>
          <w:p w14:paraId="3A89E308">
            <w:pPr>
              <w:pStyle w:val="251"/>
              <w:keepNext w:val="0"/>
              <w:keepLines w:val="0"/>
              <w:pageBreakBefore w:val="0"/>
              <w:widowControl w:val="0"/>
              <w:kinsoku/>
              <w:wordWrap w:val="0"/>
              <w:overflowPunct/>
              <w:topLinePunct/>
              <w:bidi w:val="0"/>
              <w:adjustRightInd/>
              <w:snapToGrid/>
              <w:spacing w:line="240" w:lineRule="auto"/>
              <w:ind w:left="0" w:right="0" w:firstLine="0"/>
              <w:jc w:val="center"/>
              <w:textAlignment w:val="auto"/>
              <w:rPr>
                <w:color w:val="auto"/>
                <w:sz w:val="21"/>
                <w:highlight w:val="none"/>
              </w:rPr>
            </w:pPr>
            <w:r>
              <w:rPr>
                <w:color w:val="auto"/>
                <w:sz w:val="21"/>
                <w:highlight w:val="none"/>
              </w:rPr>
              <w:t>≤10%</w:t>
            </w:r>
          </w:p>
        </w:tc>
      </w:tr>
      <w:tr w14:paraId="297B560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41" w:hRule="atLeast"/>
          <w:jc w:val="center"/>
        </w:trPr>
        <w:tc>
          <w:tcPr>
            <w:tcW w:w="415" w:type="dxa"/>
            <w:tcBorders>
              <w:top w:val="single" w:color="000000" w:sz="4" w:space="0"/>
              <w:right w:val="single" w:color="000000" w:sz="4" w:space="0"/>
            </w:tcBorders>
            <w:shd w:val="clear" w:color="auto" w:fill="auto"/>
            <w:noWrap w:val="0"/>
            <w:vAlign w:val="center"/>
          </w:tcPr>
          <w:p w14:paraId="05ECDD34">
            <w:pPr>
              <w:pStyle w:val="251"/>
              <w:keepNext w:val="0"/>
              <w:keepLines w:val="0"/>
              <w:pageBreakBefore w:val="0"/>
              <w:widowControl w:val="0"/>
              <w:kinsoku/>
              <w:wordWrap w:val="0"/>
              <w:overflowPunct/>
              <w:topLinePunct/>
              <w:bidi w:val="0"/>
              <w:adjustRightInd/>
              <w:snapToGrid/>
              <w:spacing w:line="240" w:lineRule="auto"/>
              <w:ind w:left="0" w:right="0" w:firstLine="0"/>
              <w:jc w:val="center"/>
              <w:textAlignment w:val="auto"/>
              <w:rPr>
                <w:color w:val="auto"/>
                <w:sz w:val="21"/>
                <w:highlight w:val="none"/>
                <w:lang w:val="en-US" w:eastAsia="en-US"/>
              </w:rPr>
            </w:pPr>
            <w:r>
              <w:rPr>
                <w:color w:val="auto"/>
                <w:sz w:val="21"/>
                <w:highlight w:val="none"/>
              </w:rPr>
              <w:t>7</w:t>
            </w:r>
          </w:p>
        </w:tc>
        <w:tc>
          <w:tcPr>
            <w:tcW w:w="1152" w:type="dxa"/>
            <w:tcBorders>
              <w:top w:val="single" w:color="000000" w:sz="4" w:space="0"/>
              <w:left w:val="single" w:color="000000" w:sz="4" w:space="0"/>
              <w:right w:val="single" w:color="000000" w:sz="4" w:space="0"/>
            </w:tcBorders>
            <w:shd w:val="clear" w:color="auto" w:fill="auto"/>
            <w:noWrap w:val="0"/>
            <w:vAlign w:val="center"/>
          </w:tcPr>
          <w:p w14:paraId="7428C558">
            <w:pPr>
              <w:pStyle w:val="251"/>
              <w:keepNext w:val="0"/>
              <w:keepLines w:val="0"/>
              <w:pageBreakBefore w:val="0"/>
              <w:widowControl w:val="0"/>
              <w:kinsoku/>
              <w:wordWrap w:val="0"/>
              <w:overflowPunct/>
              <w:topLinePunct/>
              <w:bidi w:val="0"/>
              <w:adjustRightInd/>
              <w:snapToGrid/>
              <w:spacing w:line="240" w:lineRule="auto"/>
              <w:ind w:left="0" w:right="0" w:firstLine="0"/>
              <w:jc w:val="center"/>
              <w:textAlignment w:val="auto"/>
              <w:rPr>
                <w:color w:val="auto"/>
                <w:sz w:val="21"/>
                <w:highlight w:val="none"/>
                <w:lang w:val="en-US" w:eastAsia="en-US"/>
              </w:rPr>
            </w:pPr>
            <w:r>
              <w:rPr>
                <w:color w:val="auto"/>
                <w:sz w:val="21"/>
                <w:highlight w:val="none"/>
              </w:rPr>
              <w:t>补植完成时间</w:t>
            </w:r>
          </w:p>
        </w:tc>
        <w:tc>
          <w:tcPr>
            <w:tcW w:w="2191" w:type="dxa"/>
            <w:tcBorders>
              <w:top w:val="single" w:color="000000" w:sz="4" w:space="0"/>
              <w:left w:val="single" w:color="000000" w:sz="4" w:space="0"/>
              <w:right w:val="single" w:color="000000" w:sz="4" w:space="0"/>
            </w:tcBorders>
            <w:shd w:val="clear" w:color="auto" w:fill="auto"/>
            <w:noWrap w:val="0"/>
            <w:vAlign w:val="center"/>
          </w:tcPr>
          <w:p w14:paraId="5F54311B">
            <w:pPr>
              <w:pStyle w:val="251"/>
              <w:keepNext w:val="0"/>
              <w:keepLines w:val="0"/>
              <w:pageBreakBefore w:val="0"/>
              <w:widowControl w:val="0"/>
              <w:kinsoku/>
              <w:overflowPunct/>
              <w:bidi w:val="0"/>
              <w:adjustRightInd/>
              <w:snapToGrid/>
              <w:spacing w:line="240" w:lineRule="auto"/>
              <w:ind w:left="0" w:right="0" w:rightChars="0" w:firstLine="0"/>
              <w:jc w:val="center"/>
              <w:textAlignment w:val="auto"/>
              <w:rPr>
                <w:rFonts w:ascii="宋体" w:hAnsi="宋体" w:eastAsia="宋体" w:cs="宋体"/>
                <w:color w:val="auto"/>
                <w:kern w:val="0"/>
                <w:sz w:val="21"/>
                <w:szCs w:val="22"/>
                <w:highlight w:val="none"/>
                <w:lang w:val="en-US" w:eastAsia="en-US" w:bidi="ar-SA"/>
              </w:rPr>
            </w:pPr>
            <w:r>
              <w:rPr>
                <w:color w:val="auto"/>
                <w:sz w:val="21"/>
                <w:highlight w:val="none"/>
              </w:rPr>
              <w:t>≤2d</w:t>
            </w:r>
          </w:p>
        </w:tc>
        <w:tc>
          <w:tcPr>
            <w:tcW w:w="2337" w:type="dxa"/>
            <w:tcBorders>
              <w:top w:val="single" w:color="000000" w:sz="4" w:space="0"/>
              <w:left w:val="single" w:color="000000" w:sz="4" w:space="0"/>
              <w:right w:val="single" w:color="000000" w:sz="4" w:space="0"/>
            </w:tcBorders>
            <w:shd w:val="clear" w:color="auto" w:fill="auto"/>
            <w:noWrap w:val="0"/>
            <w:vAlign w:val="center"/>
          </w:tcPr>
          <w:p w14:paraId="124E9329">
            <w:pPr>
              <w:pStyle w:val="251"/>
              <w:keepNext w:val="0"/>
              <w:keepLines w:val="0"/>
              <w:pageBreakBefore w:val="0"/>
              <w:widowControl w:val="0"/>
              <w:kinsoku/>
              <w:overflowPunct/>
              <w:bidi w:val="0"/>
              <w:adjustRightInd/>
              <w:snapToGrid/>
              <w:spacing w:line="240" w:lineRule="auto"/>
              <w:ind w:left="0" w:leftChars="0" w:right="0" w:firstLine="0"/>
              <w:jc w:val="center"/>
              <w:textAlignment w:val="auto"/>
              <w:rPr>
                <w:rFonts w:ascii="宋体" w:hAnsi="宋体" w:eastAsia="宋体" w:cs="宋体"/>
                <w:color w:val="auto"/>
                <w:kern w:val="0"/>
                <w:sz w:val="21"/>
                <w:szCs w:val="22"/>
                <w:highlight w:val="none"/>
                <w:lang w:val="en-US" w:eastAsia="en-US" w:bidi="ar-SA"/>
              </w:rPr>
            </w:pPr>
            <w:r>
              <w:rPr>
                <w:color w:val="auto"/>
                <w:sz w:val="21"/>
                <w:highlight w:val="none"/>
              </w:rPr>
              <w:t>≤4d</w:t>
            </w:r>
          </w:p>
        </w:tc>
        <w:tc>
          <w:tcPr>
            <w:tcW w:w="2260" w:type="dxa"/>
            <w:tcBorders>
              <w:top w:val="single" w:color="000000" w:sz="4" w:space="0"/>
              <w:left w:val="single" w:color="000000" w:sz="4" w:space="0"/>
            </w:tcBorders>
            <w:shd w:val="clear" w:color="auto" w:fill="auto"/>
            <w:noWrap w:val="0"/>
            <w:vAlign w:val="center"/>
          </w:tcPr>
          <w:p w14:paraId="7C8B1FB9">
            <w:pPr>
              <w:pStyle w:val="251"/>
              <w:keepNext w:val="0"/>
              <w:keepLines w:val="0"/>
              <w:pageBreakBefore w:val="0"/>
              <w:widowControl w:val="0"/>
              <w:kinsoku/>
              <w:overflowPunct/>
              <w:bidi w:val="0"/>
              <w:adjustRightInd/>
              <w:snapToGrid/>
              <w:spacing w:line="240" w:lineRule="auto"/>
              <w:ind w:left="0" w:right="0" w:rightChars="0" w:firstLine="0"/>
              <w:jc w:val="center"/>
              <w:textAlignment w:val="auto"/>
              <w:rPr>
                <w:rFonts w:ascii="宋体" w:hAnsi="宋体" w:eastAsia="宋体" w:cs="宋体"/>
                <w:color w:val="auto"/>
                <w:kern w:val="0"/>
                <w:sz w:val="21"/>
                <w:szCs w:val="22"/>
                <w:highlight w:val="none"/>
                <w:lang w:val="en-US" w:eastAsia="en-US" w:bidi="ar-SA"/>
              </w:rPr>
            </w:pPr>
            <w:r>
              <w:rPr>
                <w:color w:val="auto"/>
                <w:sz w:val="21"/>
                <w:highlight w:val="none"/>
              </w:rPr>
              <w:t>≤6d</w:t>
            </w:r>
          </w:p>
        </w:tc>
      </w:tr>
    </w:tbl>
    <w:p w14:paraId="0FEEA43A">
      <w:pPr>
        <w:jc w:val="right"/>
        <w:rPr>
          <w:color w:val="auto"/>
          <w:sz w:val="21"/>
          <w:highlight w:val="none"/>
        </w:rPr>
        <w:sectPr>
          <w:pgSz w:w="11910" w:h="16840"/>
          <w:pgMar w:top="1400" w:right="1480" w:bottom="1000" w:left="1420" w:header="0" w:footer="808" w:gutter="0"/>
          <w:pgNumType w:fmt="decimal"/>
          <w:cols w:space="720" w:num="1"/>
        </w:sectPr>
      </w:pPr>
    </w:p>
    <w:p w14:paraId="38A2046F">
      <w:pPr>
        <w:spacing w:before="127"/>
        <w:ind w:left="2847"/>
        <w:jc w:val="both"/>
        <w:outlineLvl w:val="9"/>
        <w:rPr>
          <w:color w:val="auto"/>
          <w:highlight w:val="none"/>
          <w:lang w:eastAsia="zh-CN"/>
        </w:rPr>
      </w:pPr>
      <w:bookmarkStart w:id="859" w:name="草坪养护管理质量等级（表4）"/>
      <w:bookmarkEnd w:id="859"/>
      <w:bookmarkStart w:id="860" w:name="_Toc28612902"/>
      <w:bookmarkStart w:id="861" w:name="_Toc61947378"/>
      <w:bookmarkStart w:id="862" w:name="_Toc28273071"/>
      <w:r>
        <w:rPr>
          <w:color w:val="auto"/>
          <w:highlight w:val="none"/>
          <w:lang w:eastAsia="zh-CN"/>
        </w:rPr>
        <w:t xml:space="preserve">草坪养护管理质量等级（表 </w:t>
      </w:r>
      <w:r>
        <w:rPr>
          <w:rFonts w:ascii="Times New Roman" w:eastAsia="Times New Roman"/>
          <w:color w:val="auto"/>
          <w:highlight w:val="none"/>
          <w:lang w:eastAsia="zh-CN"/>
        </w:rPr>
        <w:t>4</w:t>
      </w:r>
      <w:r>
        <w:rPr>
          <w:color w:val="auto"/>
          <w:highlight w:val="none"/>
          <w:lang w:eastAsia="zh-CN"/>
        </w:rPr>
        <w:t>）</w:t>
      </w:r>
      <w:bookmarkEnd w:id="860"/>
      <w:bookmarkEnd w:id="861"/>
      <w:bookmarkEnd w:id="862"/>
    </w:p>
    <w:p w14:paraId="3A3173AE">
      <w:pPr>
        <w:pStyle w:val="17"/>
        <w:spacing w:before="5"/>
        <w:rPr>
          <w:b/>
          <w:color w:val="auto"/>
          <w:sz w:val="11"/>
          <w:highlight w:val="none"/>
          <w:lang w:eastAsia="zh-CN"/>
        </w:rPr>
      </w:pPr>
    </w:p>
    <w:tbl>
      <w:tblPr>
        <w:tblStyle w:val="46"/>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56"/>
        <w:gridCol w:w="1212"/>
        <w:gridCol w:w="2201"/>
        <w:gridCol w:w="2335"/>
        <w:gridCol w:w="2241"/>
      </w:tblGrid>
      <w:tr w14:paraId="2B3597D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0" w:hRule="atLeast"/>
        </w:trPr>
        <w:tc>
          <w:tcPr>
            <w:tcW w:w="456" w:type="dxa"/>
            <w:vMerge w:val="restart"/>
            <w:tcBorders>
              <w:bottom w:val="single" w:color="000000" w:sz="4" w:space="0"/>
              <w:right w:val="single" w:color="000000" w:sz="4" w:space="0"/>
            </w:tcBorders>
            <w:noWrap w:val="0"/>
            <w:vAlign w:val="center"/>
          </w:tcPr>
          <w:p w14:paraId="5ECB1F98">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b/>
                <w:color w:val="auto"/>
                <w:sz w:val="21"/>
                <w:szCs w:val="21"/>
                <w:highlight w:val="none"/>
              </w:rPr>
            </w:pPr>
            <w:r>
              <w:rPr>
                <w:rFonts w:hint="eastAsia"/>
                <w:b/>
                <w:color w:val="auto"/>
                <w:sz w:val="21"/>
                <w:szCs w:val="21"/>
                <w:highlight w:val="none"/>
              </w:rPr>
              <w:t>序号</w:t>
            </w:r>
          </w:p>
        </w:tc>
        <w:tc>
          <w:tcPr>
            <w:tcW w:w="1212" w:type="dxa"/>
            <w:vMerge w:val="restart"/>
            <w:tcBorders>
              <w:left w:val="single" w:color="000000" w:sz="4" w:space="0"/>
              <w:bottom w:val="single" w:color="000000" w:sz="4" w:space="0"/>
              <w:right w:val="single" w:color="000000" w:sz="4" w:space="0"/>
            </w:tcBorders>
            <w:noWrap w:val="0"/>
            <w:vAlign w:val="center"/>
          </w:tcPr>
          <w:p w14:paraId="3CAED7E8">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b/>
                <w:color w:val="auto"/>
                <w:sz w:val="21"/>
                <w:szCs w:val="21"/>
                <w:highlight w:val="none"/>
              </w:rPr>
            </w:pPr>
            <w:r>
              <w:rPr>
                <w:rFonts w:hint="eastAsia"/>
                <w:b/>
                <w:color w:val="auto"/>
                <w:sz w:val="21"/>
                <w:szCs w:val="21"/>
                <w:highlight w:val="none"/>
              </w:rPr>
              <w:t>项目</w:t>
            </w:r>
          </w:p>
        </w:tc>
        <w:tc>
          <w:tcPr>
            <w:tcW w:w="6777" w:type="dxa"/>
            <w:gridSpan w:val="3"/>
            <w:tcBorders>
              <w:left w:val="single" w:color="000000" w:sz="4" w:space="0"/>
              <w:bottom w:val="single" w:color="000000" w:sz="4" w:space="0"/>
            </w:tcBorders>
            <w:noWrap w:val="0"/>
            <w:vAlign w:val="center"/>
          </w:tcPr>
          <w:p w14:paraId="439601B9">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b/>
                <w:color w:val="auto"/>
                <w:sz w:val="21"/>
                <w:szCs w:val="21"/>
                <w:highlight w:val="none"/>
              </w:rPr>
            </w:pPr>
            <w:r>
              <w:rPr>
                <w:rFonts w:hint="eastAsia"/>
                <w:b/>
                <w:color w:val="auto"/>
                <w:sz w:val="21"/>
                <w:szCs w:val="21"/>
                <w:highlight w:val="none"/>
              </w:rPr>
              <w:t>级别</w:t>
            </w:r>
          </w:p>
        </w:tc>
      </w:tr>
      <w:tr w14:paraId="4712E3B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456" w:type="dxa"/>
            <w:vMerge w:val="continue"/>
            <w:tcBorders>
              <w:top w:val="nil"/>
              <w:bottom w:val="single" w:color="000000" w:sz="4" w:space="0"/>
              <w:right w:val="single" w:color="000000" w:sz="4" w:space="0"/>
            </w:tcBorders>
            <w:noWrap w:val="0"/>
            <w:vAlign w:val="center"/>
          </w:tcPr>
          <w:p w14:paraId="4734DA94">
            <w:pPr>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color w:val="auto"/>
                <w:sz w:val="21"/>
                <w:szCs w:val="21"/>
                <w:highlight w:val="none"/>
              </w:rPr>
            </w:pPr>
          </w:p>
        </w:tc>
        <w:tc>
          <w:tcPr>
            <w:tcW w:w="1212" w:type="dxa"/>
            <w:vMerge w:val="continue"/>
            <w:tcBorders>
              <w:top w:val="nil"/>
              <w:left w:val="single" w:color="000000" w:sz="4" w:space="0"/>
              <w:bottom w:val="single" w:color="000000" w:sz="4" w:space="0"/>
              <w:right w:val="single" w:color="000000" w:sz="4" w:space="0"/>
            </w:tcBorders>
            <w:noWrap w:val="0"/>
            <w:vAlign w:val="center"/>
          </w:tcPr>
          <w:p w14:paraId="7E7D01E2">
            <w:pPr>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color w:val="auto"/>
                <w:sz w:val="21"/>
                <w:szCs w:val="21"/>
                <w:highlight w:val="none"/>
              </w:rPr>
            </w:pP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51C324A2">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b/>
                <w:color w:val="auto"/>
                <w:sz w:val="21"/>
                <w:szCs w:val="21"/>
                <w:highlight w:val="none"/>
              </w:rPr>
            </w:pPr>
            <w:r>
              <w:rPr>
                <w:rFonts w:hint="eastAsia"/>
                <w:b/>
                <w:color w:val="auto"/>
                <w:sz w:val="21"/>
                <w:szCs w:val="21"/>
                <w:highlight w:val="none"/>
              </w:rPr>
              <w:t>特级</w:t>
            </w:r>
          </w:p>
        </w:tc>
        <w:tc>
          <w:tcPr>
            <w:tcW w:w="2335" w:type="dxa"/>
            <w:tcBorders>
              <w:top w:val="single" w:color="000000" w:sz="4" w:space="0"/>
              <w:left w:val="single" w:color="000000" w:sz="4" w:space="0"/>
              <w:bottom w:val="single" w:color="000000" w:sz="4" w:space="0"/>
              <w:right w:val="single" w:color="000000" w:sz="4" w:space="0"/>
            </w:tcBorders>
            <w:noWrap w:val="0"/>
            <w:vAlign w:val="center"/>
          </w:tcPr>
          <w:p w14:paraId="4E95F676">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b/>
                <w:color w:val="auto"/>
                <w:sz w:val="21"/>
                <w:szCs w:val="21"/>
                <w:highlight w:val="none"/>
              </w:rPr>
            </w:pPr>
            <w:r>
              <w:rPr>
                <w:rFonts w:hint="eastAsia"/>
                <w:b/>
                <w:color w:val="auto"/>
                <w:sz w:val="21"/>
                <w:szCs w:val="21"/>
                <w:highlight w:val="none"/>
              </w:rPr>
              <w:t>一级</w:t>
            </w:r>
          </w:p>
        </w:tc>
        <w:tc>
          <w:tcPr>
            <w:tcW w:w="2241" w:type="dxa"/>
            <w:tcBorders>
              <w:top w:val="single" w:color="000000" w:sz="4" w:space="0"/>
              <w:left w:val="single" w:color="000000" w:sz="4" w:space="0"/>
              <w:bottom w:val="single" w:color="000000" w:sz="4" w:space="0"/>
            </w:tcBorders>
            <w:noWrap w:val="0"/>
            <w:vAlign w:val="center"/>
          </w:tcPr>
          <w:p w14:paraId="4F1C5FF9">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b/>
                <w:color w:val="auto"/>
                <w:sz w:val="21"/>
                <w:szCs w:val="21"/>
                <w:highlight w:val="none"/>
              </w:rPr>
            </w:pPr>
            <w:r>
              <w:rPr>
                <w:rFonts w:hint="eastAsia"/>
                <w:b/>
                <w:color w:val="auto"/>
                <w:sz w:val="21"/>
                <w:szCs w:val="21"/>
                <w:highlight w:val="none"/>
              </w:rPr>
              <w:t>二级</w:t>
            </w:r>
          </w:p>
        </w:tc>
      </w:tr>
      <w:tr w14:paraId="1FE180F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74" w:hRule="atLeast"/>
        </w:trPr>
        <w:tc>
          <w:tcPr>
            <w:tcW w:w="456" w:type="dxa"/>
            <w:tcBorders>
              <w:top w:val="single" w:color="000000" w:sz="4" w:space="0"/>
              <w:bottom w:val="single" w:color="000000" w:sz="4" w:space="0"/>
              <w:right w:val="single" w:color="000000" w:sz="4" w:space="0"/>
            </w:tcBorders>
            <w:noWrap w:val="0"/>
            <w:vAlign w:val="center"/>
          </w:tcPr>
          <w:p w14:paraId="5E5CD1F1">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color w:val="auto"/>
                <w:sz w:val="21"/>
                <w:szCs w:val="21"/>
                <w:highlight w:val="none"/>
              </w:rPr>
            </w:pPr>
            <w:r>
              <w:rPr>
                <w:rFonts w:hint="eastAsia"/>
                <w:color w:val="auto"/>
                <w:w w:val="95"/>
                <w:sz w:val="21"/>
                <w:szCs w:val="21"/>
                <w:highlight w:val="none"/>
              </w:rPr>
              <w:t>1</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02691329">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color w:val="auto"/>
                <w:sz w:val="21"/>
                <w:szCs w:val="21"/>
                <w:highlight w:val="none"/>
              </w:rPr>
            </w:pPr>
            <w:r>
              <w:rPr>
                <w:rFonts w:hint="eastAsia"/>
                <w:color w:val="auto"/>
                <w:sz w:val="21"/>
                <w:szCs w:val="21"/>
                <w:highlight w:val="none"/>
              </w:rPr>
              <w:t>整体效果</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69449780">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rFonts w:hint="eastAsia"/>
                <w:color w:val="auto"/>
                <w:sz w:val="21"/>
                <w:szCs w:val="21"/>
                <w:highlight w:val="none"/>
                <w:lang w:eastAsia="zh-CN"/>
              </w:rPr>
            </w:pPr>
            <w:r>
              <w:rPr>
                <w:rFonts w:hint="eastAsia"/>
                <w:color w:val="auto"/>
                <w:spacing w:val="7"/>
                <w:sz w:val="21"/>
                <w:szCs w:val="21"/>
                <w:highlight w:val="none"/>
                <w:lang w:eastAsia="zh-CN"/>
              </w:rPr>
              <w:t>（1）成坪高度应符合</w:t>
            </w:r>
            <w:r>
              <w:rPr>
                <w:rFonts w:hint="eastAsia"/>
                <w:color w:val="auto"/>
                <w:sz w:val="21"/>
                <w:szCs w:val="21"/>
                <w:highlight w:val="none"/>
                <w:lang w:eastAsia="zh-CN"/>
              </w:rPr>
              <w:t>GB/T18247.7</w:t>
            </w:r>
            <w:r>
              <w:rPr>
                <w:rFonts w:hint="eastAsia"/>
                <w:color w:val="auto"/>
                <w:spacing w:val="-15"/>
                <w:sz w:val="21"/>
                <w:szCs w:val="21"/>
                <w:highlight w:val="none"/>
                <w:lang w:eastAsia="zh-CN"/>
              </w:rPr>
              <w:t xml:space="preserve"> 要求，平坦整洁；</w:t>
            </w:r>
          </w:p>
          <w:p w14:paraId="3C787AF5">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rFonts w:hint="eastAsia"/>
                <w:color w:val="auto"/>
                <w:sz w:val="21"/>
                <w:szCs w:val="21"/>
                <w:highlight w:val="none"/>
                <w:lang w:eastAsia="zh-CN"/>
              </w:rPr>
            </w:pPr>
            <w:r>
              <w:rPr>
                <w:rFonts w:hint="eastAsia"/>
                <w:color w:val="auto"/>
                <w:spacing w:val="7"/>
                <w:sz w:val="21"/>
                <w:szCs w:val="21"/>
                <w:highlight w:val="none"/>
                <w:lang w:eastAsia="zh-CN"/>
              </w:rPr>
              <w:t>（2）修剪后无残留草</w:t>
            </w:r>
            <w:r>
              <w:rPr>
                <w:rFonts w:hint="eastAsia"/>
                <w:color w:val="auto"/>
                <w:spacing w:val="-4"/>
                <w:sz w:val="21"/>
                <w:szCs w:val="21"/>
                <w:highlight w:val="none"/>
                <w:lang w:eastAsia="zh-CN"/>
              </w:rPr>
              <w:t>屑，剪口无焦枯、撕裂现象。</w:t>
            </w:r>
          </w:p>
        </w:tc>
        <w:tc>
          <w:tcPr>
            <w:tcW w:w="2335" w:type="dxa"/>
            <w:tcBorders>
              <w:top w:val="single" w:color="000000" w:sz="4" w:space="0"/>
              <w:left w:val="single" w:color="000000" w:sz="4" w:space="0"/>
              <w:bottom w:val="single" w:color="000000" w:sz="4" w:space="0"/>
              <w:right w:val="single" w:color="000000" w:sz="4" w:space="0"/>
            </w:tcBorders>
            <w:noWrap w:val="0"/>
            <w:vAlign w:val="center"/>
          </w:tcPr>
          <w:p w14:paraId="7F9B3EA8">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rFonts w:hint="eastAsia"/>
                <w:color w:val="auto"/>
                <w:sz w:val="21"/>
                <w:szCs w:val="21"/>
                <w:highlight w:val="none"/>
                <w:lang w:eastAsia="zh-CN"/>
              </w:rPr>
            </w:pPr>
            <w:r>
              <w:rPr>
                <w:rFonts w:hint="eastAsia"/>
                <w:color w:val="auto"/>
                <w:sz w:val="21"/>
                <w:szCs w:val="21"/>
                <w:highlight w:val="none"/>
                <w:lang w:eastAsia="zh-CN"/>
              </w:rPr>
              <w:t>（1）</w:t>
            </w:r>
            <w:r>
              <w:rPr>
                <w:rFonts w:hint="eastAsia"/>
                <w:color w:val="auto"/>
                <w:spacing w:val="5"/>
                <w:sz w:val="21"/>
                <w:szCs w:val="21"/>
                <w:highlight w:val="none"/>
                <w:lang w:eastAsia="zh-CN"/>
              </w:rPr>
              <w:t>成坪高度应符合GB/T</w:t>
            </w:r>
            <w:r>
              <w:rPr>
                <w:rFonts w:hint="eastAsia"/>
                <w:color w:val="auto"/>
                <w:sz w:val="21"/>
                <w:szCs w:val="21"/>
                <w:highlight w:val="none"/>
                <w:lang w:eastAsia="zh-CN"/>
              </w:rPr>
              <w:t>18247.7</w:t>
            </w:r>
            <w:r>
              <w:rPr>
                <w:rFonts w:hint="eastAsia"/>
                <w:color w:val="auto"/>
                <w:spacing w:val="2"/>
                <w:sz w:val="21"/>
                <w:szCs w:val="21"/>
                <w:highlight w:val="none"/>
                <w:lang w:eastAsia="zh-CN"/>
              </w:rPr>
              <w:t xml:space="preserve"> 要求，基</w:t>
            </w:r>
            <w:r>
              <w:rPr>
                <w:rFonts w:hint="eastAsia"/>
                <w:color w:val="auto"/>
                <w:sz w:val="21"/>
                <w:szCs w:val="21"/>
                <w:highlight w:val="none"/>
                <w:lang w:eastAsia="zh-CN"/>
              </w:rPr>
              <w:t>本平整；</w:t>
            </w:r>
          </w:p>
          <w:p w14:paraId="4D2F269E">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rFonts w:hint="eastAsia"/>
                <w:color w:val="auto"/>
                <w:sz w:val="21"/>
                <w:szCs w:val="21"/>
                <w:highlight w:val="none"/>
                <w:lang w:eastAsia="zh-CN"/>
              </w:rPr>
            </w:pPr>
            <w:r>
              <w:rPr>
                <w:rFonts w:hint="eastAsia"/>
                <w:color w:val="auto"/>
                <w:sz w:val="21"/>
                <w:szCs w:val="21"/>
                <w:highlight w:val="none"/>
                <w:lang w:eastAsia="zh-CN"/>
              </w:rPr>
              <w:t>（2）修剪后基本无残留</w:t>
            </w:r>
            <w:r>
              <w:rPr>
                <w:rFonts w:hint="eastAsia"/>
                <w:color w:val="auto"/>
                <w:w w:val="95"/>
                <w:sz w:val="21"/>
                <w:szCs w:val="21"/>
                <w:highlight w:val="none"/>
                <w:lang w:eastAsia="zh-CN"/>
              </w:rPr>
              <w:t>草屑，剪口无明显撕裂现</w:t>
            </w:r>
            <w:r>
              <w:rPr>
                <w:rFonts w:hint="eastAsia"/>
                <w:color w:val="auto"/>
                <w:sz w:val="21"/>
                <w:szCs w:val="21"/>
                <w:highlight w:val="none"/>
                <w:lang w:eastAsia="zh-CN"/>
              </w:rPr>
              <w:t>象。</w:t>
            </w:r>
          </w:p>
        </w:tc>
        <w:tc>
          <w:tcPr>
            <w:tcW w:w="2241" w:type="dxa"/>
            <w:tcBorders>
              <w:top w:val="single" w:color="000000" w:sz="4" w:space="0"/>
              <w:left w:val="single" w:color="000000" w:sz="4" w:space="0"/>
              <w:bottom w:val="single" w:color="000000" w:sz="4" w:space="0"/>
            </w:tcBorders>
            <w:noWrap w:val="0"/>
            <w:vAlign w:val="center"/>
          </w:tcPr>
          <w:p w14:paraId="41A867D0">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rFonts w:hint="eastAsia"/>
                <w:color w:val="auto"/>
                <w:sz w:val="21"/>
                <w:szCs w:val="21"/>
                <w:highlight w:val="none"/>
                <w:lang w:eastAsia="zh-CN"/>
              </w:rPr>
            </w:pPr>
            <w:r>
              <w:rPr>
                <w:rFonts w:hint="eastAsia"/>
                <w:color w:val="auto"/>
                <w:spacing w:val="12"/>
                <w:sz w:val="21"/>
                <w:szCs w:val="21"/>
                <w:highlight w:val="none"/>
                <w:lang w:eastAsia="zh-CN"/>
              </w:rPr>
              <w:t>（1）</w:t>
            </w:r>
            <w:r>
              <w:rPr>
                <w:rFonts w:hint="eastAsia"/>
                <w:color w:val="auto"/>
                <w:spacing w:val="10"/>
                <w:sz w:val="21"/>
                <w:szCs w:val="21"/>
                <w:highlight w:val="none"/>
                <w:lang w:eastAsia="zh-CN"/>
              </w:rPr>
              <w:t>成坪高度应符合GB/T</w:t>
            </w:r>
            <w:r>
              <w:rPr>
                <w:rFonts w:hint="eastAsia"/>
                <w:color w:val="auto"/>
                <w:sz w:val="21"/>
                <w:szCs w:val="21"/>
                <w:highlight w:val="none"/>
                <w:lang w:eastAsia="zh-CN"/>
              </w:rPr>
              <w:t>18247.7</w:t>
            </w:r>
            <w:r>
              <w:rPr>
                <w:rFonts w:hint="eastAsia"/>
                <w:color w:val="auto"/>
                <w:spacing w:val="-12"/>
                <w:sz w:val="21"/>
                <w:szCs w:val="21"/>
                <w:highlight w:val="none"/>
                <w:lang w:eastAsia="zh-CN"/>
              </w:rPr>
              <w:t xml:space="preserve"> 要求，基本平整；</w:t>
            </w:r>
          </w:p>
          <w:p w14:paraId="5FCF7579">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rFonts w:hint="eastAsia"/>
                <w:color w:val="auto"/>
                <w:sz w:val="21"/>
                <w:szCs w:val="21"/>
                <w:highlight w:val="none"/>
                <w:lang w:eastAsia="zh-CN"/>
              </w:rPr>
            </w:pPr>
            <w:r>
              <w:rPr>
                <w:rFonts w:hint="eastAsia"/>
                <w:color w:val="auto"/>
                <w:spacing w:val="-25"/>
                <w:sz w:val="21"/>
                <w:szCs w:val="21"/>
                <w:highlight w:val="none"/>
                <w:lang w:eastAsia="zh-CN"/>
              </w:rPr>
              <w:t>（2）</w:t>
            </w:r>
            <w:r>
              <w:rPr>
                <w:rFonts w:hint="eastAsia"/>
                <w:color w:val="auto"/>
                <w:sz w:val="21"/>
                <w:szCs w:val="21"/>
                <w:highlight w:val="none"/>
                <w:lang w:eastAsia="zh-CN"/>
              </w:rPr>
              <w:t>修剪后基本无残留草屑，剪口基本无明显撕裂现象。</w:t>
            </w:r>
          </w:p>
        </w:tc>
      </w:tr>
      <w:tr w14:paraId="72ECE81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2" w:hRule="atLeast"/>
        </w:trPr>
        <w:tc>
          <w:tcPr>
            <w:tcW w:w="456" w:type="dxa"/>
            <w:tcBorders>
              <w:top w:val="single" w:color="000000" w:sz="4" w:space="0"/>
              <w:bottom w:val="single" w:color="000000" w:sz="4" w:space="0"/>
              <w:right w:val="single" w:color="000000" w:sz="4" w:space="0"/>
            </w:tcBorders>
            <w:noWrap w:val="0"/>
            <w:vAlign w:val="center"/>
          </w:tcPr>
          <w:p w14:paraId="7EED7950">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color w:val="auto"/>
                <w:sz w:val="21"/>
                <w:szCs w:val="21"/>
                <w:highlight w:val="none"/>
              </w:rPr>
            </w:pPr>
            <w:r>
              <w:rPr>
                <w:rFonts w:hint="eastAsia"/>
                <w:color w:val="auto"/>
                <w:w w:val="95"/>
                <w:sz w:val="21"/>
                <w:szCs w:val="21"/>
                <w:highlight w:val="none"/>
              </w:rPr>
              <w:t>2</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2651F5DF">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color w:val="auto"/>
                <w:sz w:val="21"/>
                <w:szCs w:val="21"/>
                <w:highlight w:val="none"/>
              </w:rPr>
            </w:pPr>
            <w:r>
              <w:rPr>
                <w:rFonts w:hint="eastAsia"/>
                <w:color w:val="auto"/>
                <w:sz w:val="21"/>
                <w:szCs w:val="21"/>
                <w:highlight w:val="none"/>
              </w:rPr>
              <w:t>生长势</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4F67D4BC">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rFonts w:hint="eastAsia"/>
                <w:color w:val="auto"/>
                <w:sz w:val="21"/>
                <w:szCs w:val="21"/>
                <w:highlight w:val="none"/>
              </w:rPr>
            </w:pPr>
            <w:r>
              <w:rPr>
                <w:rFonts w:hint="eastAsia"/>
                <w:color w:val="auto"/>
                <w:sz w:val="21"/>
                <w:szCs w:val="21"/>
                <w:highlight w:val="none"/>
              </w:rPr>
              <w:t>生长茂盛</w:t>
            </w:r>
          </w:p>
        </w:tc>
        <w:tc>
          <w:tcPr>
            <w:tcW w:w="2335" w:type="dxa"/>
            <w:tcBorders>
              <w:top w:val="single" w:color="000000" w:sz="4" w:space="0"/>
              <w:left w:val="single" w:color="000000" w:sz="4" w:space="0"/>
              <w:bottom w:val="single" w:color="000000" w:sz="4" w:space="0"/>
              <w:right w:val="single" w:color="000000" w:sz="4" w:space="0"/>
            </w:tcBorders>
            <w:noWrap w:val="0"/>
            <w:vAlign w:val="center"/>
          </w:tcPr>
          <w:p w14:paraId="05A3EC6F">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rFonts w:hint="eastAsia"/>
                <w:color w:val="auto"/>
                <w:sz w:val="21"/>
                <w:szCs w:val="21"/>
                <w:highlight w:val="none"/>
              </w:rPr>
            </w:pPr>
            <w:r>
              <w:rPr>
                <w:rFonts w:hint="eastAsia"/>
                <w:color w:val="auto"/>
                <w:sz w:val="21"/>
                <w:szCs w:val="21"/>
                <w:highlight w:val="none"/>
              </w:rPr>
              <w:t>生长良好</w:t>
            </w:r>
          </w:p>
        </w:tc>
        <w:tc>
          <w:tcPr>
            <w:tcW w:w="2241" w:type="dxa"/>
            <w:tcBorders>
              <w:top w:val="single" w:color="000000" w:sz="4" w:space="0"/>
              <w:left w:val="single" w:color="000000" w:sz="4" w:space="0"/>
              <w:bottom w:val="single" w:color="000000" w:sz="4" w:space="0"/>
            </w:tcBorders>
            <w:noWrap w:val="0"/>
            <w:vAlign w:val="center"/>
          </w:tcPr>
          <w:p w14:paraId="6DA0AADB">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rFonts w:hint="eastAsia"/>
                <w:color w:val="auto"/>
                <w:sz w:val="21"/>
                <w:szCs w:val="21"/>
                <w:highlight w:val="none"/>
              </w:rPr>
            </w:pPr>
            <w:r>
              <w:rPr>
                <w:rFonts w:hint="eastAsia"/>
                <w:color w:val="auto"/>
                <w:sz w:val="21"/>
                <w:szCs w:val="21"/>
                <w:highlight w:val="none"/>
              </w:rPr>
              <w:t>生长基本良好</w:t>
            </w:r>
          </w:p>
        </w:tc>
      </w:tr>
      <w:tr w14:paraId="778D0DB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42" w:hRule="atLeast"/>
        </w:trPr>
        <w:tc>
          <w:tcPr>
            <w:tcW w:w="456" w:type="dxa"/>
            <w:tcBorders>
              <w:top w:val="single" w:color="000000" w:sz="4" w:space="0"/>
              <w:bottom w:val="single" w:color="000000" w:sz="4" w:space="0"/>
              <w:right w:val="single" w:color="000000" w:sz="4" w:space="0"/>
            </w:tcBorders>
            <w:noWrap w:val="0"/>
            <w:vAlign w:val="center"/>
          </w:tcPr>
          <w:p w14:paraId="36F1DA8B">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color w:val="auto"/>
                <w:sz w:val="21"/>
                <w:szCs w:val="21"/>
                <w:highlight w:val="none"/>
              </w:rPr>
            </w:pPr>
            <w:r>
              <w:rPr>
                <w:rFonts w:hint="eastAsia"/>
                <w:color w:val="auto"/>
                <w:w w:val="95"/>
                <w:sz w:val="21"/>
                <w:szCs w:val="21"/>
                <w:highlight w:val="none"/>
              </w:rPr>
              <w:t>3</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1BA766CF">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color w:val="auto"/>
                <w:sz w:val="21"/>
                <w:szCs w:val="21"/>
                <w:highlight w:val="none"/>
              </w:rPr>
            </w:pPr>
            <w:r>
              <w:rPr>
                <w:rFonts w:hint="eastAsia"/>
                <w:color w:val="auto"/>
                <w:sz w:val="21"/>
                <w:szCs w:val="21"/>
                <w:highlight w:val="none"/>
              </w:rPr>
              <w:t>排灌</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662E1F92">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rFonts w:hint="eastAsia"/>
                <w:color w:val="auto"/>
                <w:sz w:val="21"/>
                <w:szCs w:val="21"/>
                <w:highlight w:val="none"/>
                <w:lang w:eastAsia="zh-CN"/>
              </w:rPr>
            </w:pPr>
            <w:r>
              <w:rPr>
                <w:rFonts w:hint="eastAsia"/>
                <w:color w:val="auto"/>
                <w:sz w:val="21"/>
                <w:szCs w:val="21"/>
                <w:highlight w:val="none"/>
                <w:lang w:eastAsia="zh-CN"/>
              </w:rPr>
              <w:t>草坪无明显失水萎蔫现象。</w:t>
            </w:r>
          </w:p>
        </w:tc>
        <w:tc>
          <w:tcPr>
            <w:tcW w:w="2335" w:type="dxa"/>
            <w:tcBorders>
              <w:top w:val="single" w:color="000000" w:sz="4" w:space="0"/>
              <w:left w:val="single" w:color="000000" w:sz="4" w:space="0"/>
              <w:bottom w:val="single" w:color="000000" w:sz="4" w:space="0"/>
              <w:right w:val="single" w:color="000000" w:sz="4" w:space="0"/>
            </w:tcBorders>
            <w:noWrap w:val="0"/>
            <w:vAlign w:val="center"/>
          </w:tcPr>
          <w:p w14:paraId="54CD20D5">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rFonts w:hint="eastAsia"/>
                <w:color w:val="auto"/>
                <w:sz w:val="21"/>
                <w:szCs w:val="21"/>
                <w:highlight w:val="none"/>
                <w:lang w:eastAsia="zh-CN"/>
              </w:rPr>
            </w:pPr>
            <w:r>
              <w:rPr>
                <w:rFonts w:hint="eastAsia"/>
                <w:color w:val="auto"/>
                <w:sz w:val="21"/>
                <w:szCs w:val="21"/>
                <w:highlight w:val="none"/>
                <w:lang w:eastAsia="zh-CN"/>
              </w:rPr>
              <w:t>草坪基本无失水萎蔫现象。</w:t>
            </w:r>
          </w:p>
        </w:tc>
        <w:tc>
          <w:tcPr>
            <w:tcW w:w="2241" w:type="dxa"/>
            <w:tcBorders>
              <w:top w:val="single" w:color="000000" w:sz="4" w:space="0"/>
              <w:left w:val="single" w:color="000000" w:sz="4" w:space="0"/>
              <w:bottom w:val="single" w:color="000000" w:sz="4" w:space="0"/>
            </w:tcBorders>
            <w:noWrap w:val="0"/>
            <w:vAlign w:val="center"/>
          </w:tcPr>
          <w:p w14:paraId="14D13173">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rFonts w:hint="eastAsia"/>
                <w:color w:val="auto"/>
                <w:sz w:val="21"/>
                <w:szCs w:val="21"/>
                <w:highlight w:val="none"/>
                <w:lang w:eastAsia="zh-CN"/>
              </w:rPr>
            </w:pPr>
            <w:r>
              <w:rPr>
                <w:rFonts w:hint="eastAsia"/>
                <w:color w:val="auto"/>
                <w:sz w:val="21"/>
                <w:szCs w:val="21"/>
                <w:highlight w:val="none"/>
                <w:lang w:eastAsia="zh-CN"/>
              </w:rPr>
              <w:t>草坪无明显失水萎蔫现象。</w:t>
            </w:r>
          </w:p>
        </w:tc>
      </w:tr>
      <w:tr w14:paraId="6E5D2FF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52" w:hRule="atLeast"/>
        </w:trPr>
        <w:tc>
          <w:tcPr>
            <w:tcW w:w="456" w:type="dxa"/>
            <w:tcBorders>
              <w:top w:val="single" w:color="000000" w:sz="4" w:space="0"/>
              <w:bottom w:val="single" w:color="000000" w:sz="4" w:space="0"/>
              <w:right w:val="single" w:color="000000" w:sz="4" w:space="0"/>
            </w:tcBorders>
            <w:noWrap w:val="0"/>
            <w:vAlign w:val="center"/>
          </w:tcPr>
          <w:p w14:paraId="22630F18">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color w:val="auto"/>
                <w:sz w:val="21"/>
                <w:szCs w:val="21"/>
                <w:highlight w:val="none"/>
              </w:rPr>
            </w:pPr>
            <w:r>
              <w:rPr>
                <w:rFonts w:hint="eastAsia"/>
                <w:color w:val="auto"/>
                <w:w w:val="95"/>
                <w:sz w:val="21"/>
                <w:szCs w:val="21"/>
                <w:highlight w:val="none"/>
              </w:rPr>
              <w:t>4</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242E6AA4">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color w:val="auto"/>
                <w:sz w:val="21"/>
                <w:szCs w:val="21"/>
                <w:highlight w:val="none"/>
              </w:rPr>
            </w:pPr>
            <w:r>
              <w:rPr>
                <w:rFonts w:hint="eastAsia"/>
                <w:color w:val="auto"/>
                <w:sz w:val="21"/>
                <w:szCs w:val="21"/>
                <w:highlight w:val="none"/>
              </w:rPr>
              <w:t>病虫害防治</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4105B8C9">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rFonts w:hint="eastAsia"/>
                <w:color w:val="auto"/>
                <w:sz w:val="21"/>
                <w:szCs w:val="21"/>
                <w:highlight w:val="none"/>
                <w:lang w:eastAsia="zh-CN"/>
              </w:rPr>
            </w:pPr>
            <w:r>
              <w:rPr>
                <w:rFonts w:hint="eastAsia"/>
                <w:color w:val="auto"/>
                <w:sz w:val="21"/>
                <w:szCs w:val="21"/>
                <w:highlight w:val="none"/>
                <w:lang w:eastAsia="zh-CN"/>
              </w:rPr>
              <w:t>（1</w:t>
            </w:r>
            <w:r>
              <w:rPr>
                <w:rFonts w:hint="eastAsia"/>
                <w:color w:val="auto"/>
                <w:spacing w:val="35"/>
                <w:sz w:val="21"/>
                <w:szCs w:val="21"/>
                <w:highlight w:val="none"/>
                <w:lang w:eastAsia="zh-CN"/>
              </w:rPr>
              <w:t>）</w:t>
            </w:r>
            <w:r>
              <w:rPr>
                <w:rFonts w:hint="eastAsia"/>
                <w:color w:val="auto"/>
                <w:spacing w:val="28"/>
                <w:sz w:val="21"/>
                <w:szCs w:val="21"/>
                <w:highlight w:val="none"/>
                <w:lang w:eastAsia="zh-CN"/>
              </w:rPr>
              <w:t>草坪草受害度</w:t>
            </w:r>
          </w:p>
          <w:p w14:paraId="6C1A2840">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rFonts w:hint="eastAsia"/>
                <w:color w:val="auto"/>
                <w:sz w:val="21"/>
                <w:szCs w:val="21"/>
                <w:highlight w:val="none"/>
                <w:lang w:eastAsia="zh-CN"/>
              </w:rPr>
            </w:pPr>
            <w:r>
              <w:rPr>
                <w:rFonts w:hint="eastAsia"/>
                <w:color w:val="auto"/>
                <w:sz w:val="21"/>
                <w:szCs w:val="21"/>
                <w:highlight w:val="none"/>
                <w:lang w:eastAsia="zh-CN"/>
              </w:rPr>
              <w:t>≤3%；</w:t>
            </w:r>
          </w:p>
          <w:p w14:paraId="56FD17B1">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rFonts w:hint="eastAsia"/>
                <w:color w:val="auto"/>
                <w:sz w:val="21"/>
                <w:szCs w:val="21"/>
                <w:highlight w:val="none"/>
                <w:lang w:eastAsia="zh-CN"/>
              </w:rPr>
            </w:pPr>
            <w:r>
              <w:rPr>
                <w:rFonts w:hint="eastAsia"/>
                <w:color w:val="auto"/>
                <w:sz w:val="21"/>
                <w:szCs w:val="21"/>
                <w:highlight w:val="none"/>
                <w:lang w:eastAsia="zh-CN"/>
              </w:rPr>
              <w:t>（2）无杂草。</w:t>
            </w:r>
          </w:p>
        </w:tc>
        <w:tc>
          <w:tcPr>
            <w:tcW w:w="2335" w:type="dxa"/>
            <w:tcBorders>
              <w:top w:val="single" w:color="000000" w:sz="4" w:space="0"/>
              <w:left w:val="single" w:color="000000" w:sz="4" w:space="0"/>
              <w:bottom w:val="single" w:color="000000" w:sz="4" w:space="0"/>
              <w:right w:val="single" w:color="000000" w:sz="4" w:space="0"/>
            </w:tcBorders>
            <w:noWrap w:val="0"/>
            <w:vAlign w:val="center"/>
          </w:tcPr>
          <w:p w14:paraId="1412ADF8">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rFonts w:hint="eastAsia"/>
                <w:color w:val="auto"/>
                <w:sz w:val="21"/>
                <w:szCs w:val="21"/>
                <w:highlight w:val="none"/>
                <w:lang w:eastAsia="zh-CN"/>
              </w:rPr>
            </w:pPr>
            <w:r>
              <w:rPr>
                <w:rFonts w:hint="eastAsia"/>
                <w:color w:val="auto"/>
                <w:w w:val="99"/>
                <w:sz w:val="21"/>
                <w:szCs w:val="21"/>
                <w:highlight w:val="none"/>
                <w:lang w:eastAsia="zh-CN"/>
              </w:rPr>
              <w:t>（1</w:t>
            </w:r>
            <w:r>
              <w:rPr>
                <w:rFonts w:hint="eastAsia"/>
                <w:color w:val="auto"/>
                <w:spacing w:val="-82"/>
                <w:w w:val="99"/>
                <w:sz w:val="21"/>
                <w:szCs w:val="21"/>
                <w:highlight w:val="none"/>
                <w:lang w:eastAsia="zh-CN"/>
              </w:rPr>
              <w:t>）</w:t>
            </w:r>
            <w:r>
              <w:rPr>
                <w:rFonts w:hint="eastAsia"/>
                <w:color w:val="auto"/>
                <w:w w:val="99"/>
                <w:sz w:val="21"/>
                <w:szCs w:val="21"/>
                <w:highlight w:val="none"/>
                <w:lang w:eastAsia="zh-CN"/>
              </w:rPr>
              <w:t>草坪草受害度≤6%</w:t>
            </w:r>
            <w:r>
              <w:rPr>
                <w:rFonts w:hint="eastAsia"/>
                <w:color w:val="auto"/>
                <w:spacing w:val="-99"/>
                <w:w w:val="99"/>
                <w:sz w:val="21"/>
                <w:szCs w:val="21"/>
                <w:highlight w:val="none"/>
                <w:lang w:eastAsia="zh-CN"/>
              </w:rPr>
              <w:t>；</w:t>
            </w:r>
          </w:p>
          <w:p w14:paraId="491A47B1">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rFonts w:hint="eastAsia"/>
                <w:color w:val="auto"/>
                <w:sz w:val="21"/>
                <w:szCs w:val="21"/>
                <w:highlight w:val="none"/>
                <w:lang w:eastAsia="zh-CN"/>
              </w:rPr>
            </w:pPr>
            <w:r>
              <w:rPr>
                <w:rFonts w:hint="eastAsia"/>
                <w:color w:val="auto"/>
                <w:sz w:val="21"/>
                <w:szCs w:val="21"/>
                <w:highlight w:val="none"/>
                <w:lang w:eastAsia="zh-CN"/>
              </w:rPr>
              <w:t>（2）</w:t>
            </w:r>
            <w:r>
              <w:rPr>
                <w:rFonts w:hint="eastAsia"/>
                <w:color w:val="auto"/>
                <w:spacing w:val="-8"/>
                <w:sz w:val="21"/>
                <w:szCs w:val="21"/>
                <w:highlight w:val="none"/>
                <w:lang w:eastAsia="zh-CN"/>
              </w:rPr>
              <w:t xml:space="preserve">杂草率不超过 </w:t>
            </w:r>
            <w:r>
              <w:rPr>
                <w:rFonts w:hint="eastAsia"/>
                <w:color w:val="auto"/>
                <w:sz w:val="21"/>
                <w:szCs w:val="21"/>
                <w:highlight w:val="none"/>
                <w:lang w:eastAsia="zh-CN"/>
              </w:rPr>
              <w:t>2%</w:t>
            </w:r>
            <w:r>
              <w:rPr>
                <w:rFonts w:hint="eastAsia"/>
                <w:color w:val="auto"/>
                <w:spacing w:val="-29"/>
                <w:sz w:val="21"/>
                <w:szCs w:val="21"/>
                <w:highlight w:val="none"/>
                <w:lang w:eastAsia="zh-CN"/>
              </w:rPr>
              <w:t>。</w:t>
            </w:r>
          </w:p>
        </w:tc>
        <w:tc>
          <w:tcPr>
            <w:tcW w:w="2241" w:type="dxa"/>
            <w:tcBorders>
              <w:top w:val="single" w:color="000000" w:sz="4" w:space="0"/>
              <w:left w:val="single" w:color="000000" w:sz="4" w:space="0"/>
              <w:bottom w:val="single" w:color="000000" w:sz="4" w:space="0"/>
            </w:tcBorders>
            <w:noWrap w:val="0"/>
            <w:vAlign w:val="center"/>
          </w:tcPr>
          <w:p w14:paraId="49FB6B07">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rFonts w:hint="eastAsia"/>
                <w:color w:val="auto"/>
                <w:sz w:val="21"/>
                <w:szCs w:val="21"/>
                <w:highlight w:val="none"/>
                <w:lang w:eastAsia="zh-CN"/>
              </w:rPr>
            </w:pPr>
            <w:r>
              <w:rPr>
                <w:rFonts w:hint="eastAsia"/>
                <w:color w:val="auto"/>
                <w:sz w:val="21"/>
                <w:szCs w:val="21"/>
                <w:highlight w:val="none"/>
                <w:lang w:eastAsia="zh-CN"/>
              </w:rPr>
              <w:t>（1</w:t>
            </w:r>
            <w:r>
              <w:rPr>
                <w:rFonts w:hint="eastAsia"/>
                <w:color w:val="auto"/>
                <w:spacing w:val="40"/>
                <w:sz w:val="21"/>
                <w:szCs w:val="21"/>
                <w:highlight w:val="none"/>
                <w:lang w:eastAsia="zh-CN"/>
              </w:rPr>
              <w:t>）</w:t>
            </w:r>
            <w:r>
              <w:rPr>
                <w:rFonts w:hint="eastAsia"/>
                <w:color w:val="auto"/>
                <w:spacing w:val="32"/>
                <w:sz w:val="21"/>
                <w:szCs w:val="21"/>
                <w:highlight w:val="none"/>
                <w:lang w:eastAsia="zh-CN"/>
              </w:rPr>
              <w:t>草坪草受害度</w:t>
            </w:r>
          </w:p>
          <w:p w14:paraId="28A3FAAD">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rFonts w:hint="eastAsia"/>
                <w:color w:val="auto"/>
                <w:sz w:val="21"/>
                <w:szCs w:val="21"/>
                <w:highlight w:val="none"/>
                <w:lang w:eastAsia="zh-CN"/>
              </w:rPr>
            </w:pPr>
            <w:r>
              <w:rPr>
                <w:rFonts w:hint="eastAsia"/>
                <w:color w:val="auto"/>
                <w:sz w:val="21"/>
                <w:szCs w:val="21"/>
                <w:highlight w:val="none"/>
                <w:lang w:eastAsia="zh-CN"/>
              </w:rPr>
              <w:t>≤10%；</w:t>
            </w:r>
          </w:p>
          <w:p w14:paraId="401C44C5">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rFonts w:hint="eastAsia"/>
                <w:color w:val="auto"/>
                <w:sz w:val="21"/>
                <w:szCs w:val="21"/>
                <w:highlight w:val="none"/>
                <w:lang w:eastAsia="zh-CN"/>
              </w:rPr>
            </w:pPr>
            <w:r>
              <w:rPr>
                <w:rFonts w:hint="eastAsia"/>
                <w:color w:val="auto"/>
                <w:spacing w:val="-9"/>
                <w:sz w:val="21"/>
                <w:szCs w:val="21"/>
                <w:highlight w:val="none"/>
                <w:lang w:eastAsia="zh-CN"/>
              </w:rPr>
              <w:t>（2）</w:t>
            </w:r>
            <w:r>
              <w:rPr>
                <w:rFonts w:hint="eastAsia"/>
                <w:color w:val="auto"/>
                <w:spacing w:val="-8"/>
                <w:sz w:val="21"/>
                <w:szCs w:val="21"/>
                <w:highlight w:val="none"/>
                <w:lang w:eastAsia="zh-CN"/>
              </w:rPr>
              <w:t xml:space="preserve">杂草率不超过 </w:t>
            </w:r>
            <w:r>
              <w:rPr>
                <w:rFonts w:hint="eastAsia"/>
                <w:color w:val="auto"/>
                <w:sz w:val="21"/>
                <w:szCs w:val="21"/>
                <w:highlight w:val="none"/>
                <w:lang w:eastAsia="zh-CN"/>
              </w:rPr>
              <w:t>5%</w:t>
            </w:r>
            <w:r>
              <w:rPr>
                <w:rFonts w:hint="eastAsia"/>
                <w:color w:val="auto"/>
                <w:spacing w:val="-99"/>
                <w:sz w:val="21"/>
                <w:szCs w:val="21"/>
                <w:highlight w:val="none"/>
                <w:lang w:eastAsia="zh-CN"/>
              </w:rPr>
              <w:t>。</w:t>
            </w:r>
          </w:p>
        </w:tc>
      </w:tr>
      <w:tr w14:paraId="6505DF8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86" w:hRule="atLeast"/>
        </w:trPr>
        <w:tc>
          <w:tcPr>
            <w:tcW w:w="456" w:type="dxa"/>
            <w:tcBorders>
              <w:top w:val="single" w:color="000000" w:sz="4" w:space="0"/>
              <w:bottom w:val="single" w:color="000000" w:sz="4" w:space="0"/>
              <w:right w:val="single" w:color="000000" w:sz="4" w:space="0"/>
            </w:tcBorders>
            <w:noWrap w:val="0"/>
            <w:vAlign w:val="center"/>
          </w:tcPr>
          <w:p w14:paraId="11C14B8F">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color w:val="auto"/>
                <w:sz w:val="21"/>
                <w:szCs w:val="21"/>
                <w:highlight w:val="none"/>
              </w:rPr>
            </w:pPr>
            <w:r>
              <w:rPr>
                <w:rFonts w:hint="eastAsia"/>
                <w:color w:val="auto"/>
                <w:w w:val="95"/>
                <w:sz w:val="21"/>
                <w:szCs w:val="21"/>
                <w:highlight w:val="none"/>
              </w:rPr>
              <w:t>5</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674C3B3D">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color w:val="auto"/>
                <w:sz w:val="21"/>
                <w:szCs w:val="21"/>
                <w:highlight w:val="none"/>
              </w:rPr>
            </w:pPr>
            <w:r>
              <w:rPr>
                <w:rFonts w:hint="eastAsia"/>
                <w:color w:val="auto"/>
                <w:sz w:val="21"/>
                <w:szCs w:val="21"/>
                <w:highlight w:val="none"/>
              </w:rPr>
              <w:t>绿色期</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33FC644C">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rFonts w:hint="eastAsia"/>
                <w:color w:val="auto"/>
                <w:sz w:val="21"/>
                <w:szCs w:val="21"/>
                <w:highlight w:val="none"/>
              </w:rPr>
            </w:pPr>
            <w:r>
              <w:rPr>
                <w:rFonts w:hint="eastAsia"/>
                <w:color w:val="auto"/>
                <w:sz w:val="21"/>
                <w:szCs w:val="21"/>
                <w:highlight w:val="none"/>
              </w:rPr>
              <w:t>冷季型草不低于300</w:t>
            </w:r>
          </w:p>
          <w:p w14:paraId="7718219B">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rFonts w:hint="eastAsia"/>
                <w:color w:val="auto"/>
                <w:sz w:val="21"/>
                <w:szCs w:val="21"/>
                <w:highlight w:val="none"/>
              </w:rPr>
            </w:pPr>
            <w:r>
              <w:rPr>
                <w:rFonts w:hint="eastAsia"/>
                <w:color w:val="auto"/>
                <w:sz w:val="21"/>
                <w:szCs w:val="21"/>
                <w:highlight w:val="none"/>
              </w:rPr>
              <w:t>天，暖季型草不少于</w:t>
            </w:r>
          </w:p>
          <w:p w14:paraId="005AFE98">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rFonts w:hint="eastAsia"/>
                <w:color w:val="auto"/>
                <w:sz w:val="21"/>
                <w:szCs w:val="21"/>
                <w:highlight w:val="none"/>
              </w:rPr>
            </w:pPr>
            <w:r>
              <w:rPr>
                <w:rFonts w:hint="eastAsia"/>
                <w:color w:val="auto"/>
                <w:sz w:val="21"/>
                <w:szCs w:val="21"/>
                <w:highlight w:val="none"/>
              </w:rPr>
              <w:t>210天。</w:t>
            </w:r>
          </w:p>
        </w:tc>
        <w:tc>
          <w:tcPr>
            <w:tcW w:w="2335" w:type="dxa"/>
            <w:tcBorders>
              <w:top w:val="single" w:color="000000" w:sz="4" w:space="0"/>
              <w:left w:val="single" w:color="000000" w:sz="4" w:space="0"/>
              <w:bottom w:val="single" w:color="000000" w:sz="4" w:space="0"/>
              <w:right w:val="single" w:color="000000" w:sz="4" w:space="0"/>
            </w:tcBorders>
            <w:noWrap w:val="0"/>
            <w:vAlign w:val="center"/>
          </w:tcPr>
          <w:p w14:paraId="6808DFE8">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rFonts w:hint="eastAsia"/>
                <w:color w:val="auto"/>
                <w:sz w:val="21"/>
                <w:szCs w:val="21"/>
                <w:highlight w:val="none"/>
              </w:rPr>
            </w:pPr>
            <w:r>
              <w:rPr>
                <w:rFonts w:hint="eastAsia"/>
                <w:color w:val="auto"/>
                <w:spacing w:val="-7"/>
                <w:sz w:val="21"/>
                <w:szCs w:val="21"/>
                <w:highlight w:val="none"/>
              </w:rPr>
              <w:t>冷季型草不低于</w:t>
            </w:r>
            <w:r>
              <w:rPr>
                <w:rFonts w:hint="eastAsia"/>
                <w:color w:val="auto"/>
                <w:sz w:val="21"/>
                <w:szCs w:val="21"/>
                <w:highlight w:val="none"/>
              </w:rPr>
              <w:t>270</w:t>
            </w:r>
            <w:r>
              <w:rPr>
                <w:rFonts w:hint="eastAsia"/>
                <w:color w:val="auto"/>
                <w:spacing w:val="-18"/>
                <w:sz w:val="21"/>
                <w:szCs w:val="21"/>
                <w:highlight w:val="none"/>
              </w:rPr>
              <w:t>天，</w:t>
            </w:r>
          </w:p>
          <w:p w14:paraId="73648AA7">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rFonts w:hint="eastAsia"/>
                <w:color w:val="auto"/>
                <w:sz w:val="21"/>
                <w:szCs w:val="21"/>
                <w:highlight w:val="none"/>
              </w:rPr>
            </w:pPr>
            <w:r>
              <w:rPr>
                <w:rFonts w:hint="eastAsia"/>
                <w:color w:val="auto"/>
                <w:spacing w:val="-7"/>
                <w:sz w:val="21"/>
                <w:szCs w:val="21"/>
                <w:highlight w:val="none"/>
              </w:rPr>
              <w:t>暖季型草不少于</w:t>
            </w:r>
            <w:r>
              <w:rPr>
                <w:rFonts w:hint="eastAsia"/>
                <w:color w:val="auto"/>
                <w:sz w:val="21"/>
                <w:szCs w:val="21"/>
                <w:highlight w:val="none"/>
              </w:rPr>
              <w:t>180</w:t>
            </w:r>
            <w:r>
              <w:rPr>
                <w:rFonts w:hint="eastAsia"/>
                <w:color w:val="auto"/>
                <w:spacing w:val="-44"/>
                <w:sz w:val="21"/>
                <w:szCs w:val="21"/>
                <w:highlight w:val="none"/>
              </w:rPr>
              <w:t>天。</w:t>
            </w:r>
          </w:p>
        </w:tc>
        <w:tc>
          <w:tcPr>
            <w:tcW w:w="2241" w:type="dxa"/>
            <w:tcBorders>
              <w:top w:val="single" w:color="000000" w:sz="4" w:space="0"/>
              <w:left w:val="single" w:color="000000" w:sz="4" w:space="0"/>
              <w:bottom w:val="single" w:color="000000" w:sz="4" w:space="0"/>
            </w:tcBorders>
            <w:noWrap w:val="0"/>
            <w:vAlign w:val="center"/>
          </w:tcPr>
          <w:p w14:paraId="4D4D47A2">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rFonts w:hint="eastAsia"/>
                <w:color w:val="auto"/>
                <w:sz w:val="21"/>
                <w:szCs w:val="21"/>
                <w:highlight w:val="none"/>
              </w:rPr>
            </w:pPr>
            <w:r>
              <w:rPr>
                <w:rFonts w:hint="eastAsia"/>
                <w:color w:val="auto"/>
                <w:sz w:val="21"/>
                <w:szCs w:val="21"/>
                <w:highlight w:val="none"/>
              </w:rPr>
              <w:t>冷季型草不低于240</w:t>
            </w:r>
            <w:r>
              <w:rPr>
                <w:rFonts w:hint="eastAsia"/>
                <w:color w:val="auto"/>
                <w:w w:val="95"/>
                <w:sz w:val="21"/>
                <w:szCs w:val="21"/>
                <w:highlight w:val="none"/>
              </w:rPr>
              <w:t>天，暖季型草不少于160</w:t>
            </w:r>
            <w:r>
              <w:rPr>
                <w:rFonts w:hint="eastAsia"/>
                <w:color w:val="auto"/>
                <w:sz w:val="21"/>
                <w:szCs w:val="21"/>
                <w:highlight w:val="none"/>
              </w:rPr>
              <w:t>天。</w:t>
            </w:r>
          </w:p>
        </w:tc>
      </w:tr>
      <w:tr w14:paraId="2BB7D18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2" w:hRule="atLeast"/>
        </w:trPr>
        <w:tc>
          <w:tcPr>
            <w:tcW w:w="456" w:type="dxa"/>
            <w:tcBorders>
              <w:top w:val="single" w:color="000000" w:sz="4" w:space="0"/>
              <w:bottom w:val="single" w:color="000000" w:sz="4" w:space="0"/>
              <w:right w:val="single" w:color="000000" w:sz="4" w:space="0"/>
            </w:tcBorders>
            <w:noWrap w:val="0"/>
            <w:vAlign w:val="center"/>
          </w:tcPr>
          <w:p w14:paraId="6296BAC8">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color w:val="auto"/>
                <w:sz w:val="21"/>
                <w:szCs w:val="21"/>
                <w:highlight w:val="none"/>
              </w:rPr>
            </w:pPr>
            <w:r>
              <w:rPr>
                <w:rFonts w:hint="eastAsia"/>
                <w:color w:val="auto"/>
                <w:w w:val="95"/>
                <w:sz w:val="21"/>
                <w:szCs w:val="21"/>
                <w:highlight w:val="none"/>
              </w:rPr>
              <w:t>6</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569CC0E4">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color w:val="auto"/>
                <w:sz w:val="21"/>
                <w:szCs w:val="21"/>
                <w:highlight w:val="none"/>
              </w:rPr>
            </w:pPr>
            <w:r>
              <w:rPr>
                <w:rFonts w:hint="eastAsia"/>
                <w:color w:val="auto"/>
                <w:sz w:val="21"/>
                <w:szCs w:val="21"/>
                <w:highlight w:val="none"/>
              </w:rPr>
              <w:t>覆盖度</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09E10741">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b/>
                <w:color w:val="auto"/>
                <w:sz w:val="21"/>
                <w:szCs w:val="21"/>
                <w:highlight w:val="none"/>
              </w:rPr>
            </w:pPr>
          </w:p>
          <w:p w14:paraId="0CBA542E">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color w:val="auto"/>
                <w:sz w:val="21"/>
                <w:szCs w:val="21"/>
                <w:highlight w:val="none"/>
              </w:rPr>
            </w:pPr>
            <w:r>
              <w:rPr>
                <w:rFonts w:hint="eastAsia"/>
                <w:color w:val="auto"/>
                <w:w w:val="95"/>
                <w:sz w:val="21"/>
                <w:szCs w:val="21"/>
                <w:highlight w:val="none"/>
              </w:rPr>
              <w:t>≥98%</w:t>
            </w:r>
          </w:p>
        </w:tc>
        <w:tc>
          <w:tcPr>
            <w:tcW w:w="2335" w:type="dxa"/>
            <w:tcBorders>
              <w:top w:val="single" w:color="000000" w:sz="4" w:space="0"/>
              <w:left w:val="single" w:color="000000" w:sz="4" w:space="0"/>
              <w:bottom w:val="single" w:color="000000" w:sz="4" w:space="0"/>
              <w:right w:val="single" w:color="000000" w:sz="4" w:space="0"/>
            </w:tcBorders>
            <w:noWrap w:val="0"/>
            <w:vAlign w:val="center"/>
          </w:tcPr>
          <w:p w14:paraId="4EB80476">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b/>
                <w:color w:val="auto"/>
                <w:sz w:val="21"/>
                <w:szCs w:val="21"/>
                <w:highlight w:val="none"/>
              </w:rPr>
            </w:pPr>
          </w:p>
          <w:p w14:paraId="0E0A5341">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color w:val="auto"/>
                <w:sz w:val="21"/>
                <w:szCs w:val="21"/>
                <w:highlight w:val="none"/>
              </w:rPr>
            </w:pPr>
            <w:r>
              <w:rPr>
                <w:rFonts w:hint="eastAsia"/>
                <w:color w:val="auto"/>
                <w:w w:val="95"/>
                <w:sz w:val="21"/>
                <w:szCs w:val="21"/>
                <w:highlight w:val="none"/>
              </w:rPr>
              <w:t>≥95%</w:t>
            </w:r>
          </w:p>
        </w:tc>
        <w:tc>
          <w:tcPr>
            <w:tcW w:w="2241" w:type="dxa"/>
            <w:tcBorders>
              <w:top w:val="single" w:color="000000" w:sz="4" w:space="0"/>
              <w:left w:val="single" w:color="000000" w:sz="4" w:space="0"/>
              <w:bottom w:val="single" w:color="000000" w:sz="4" w:space="0"/>
            </w:tcBorders>
            <w:noWrap w:val="0"/>
            <w:vAlign w:val="center"/>
          </w:tcPr>
          <w:p w14:paraId="67357EE3">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b/>
                <w:color w:val="auto"/>
                <w:sz w:val="21"/>
                <w:szCs w:val="21"/>
                <w:highlight w:val="none"/>
              </w:rPr>
            </w:pPr>
          </w:p>
          <w:p w14:paraId="1916BD86">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color w:val="auto"/>
                <w:sz w:val="21"/>
                <w:szCs w:val="21"/>
                <w:highlight w:val="none"/>
              </w:rPr>
            </w:pPr>
            <w:r>
              <w:rPr>
                <w:rFonts w:hint="eastAsia"/>
                <w:color w:val="auto"/>
                <w:w w:val="95"/>
                <w:sz w:val="21"/>
                <w:szCs w:val="21"/>
                <w:highlight w:val="none"/>
              </w:rPr>
              <w:t>≥90%</w:t>
            </w:r>
          </w:p>
        </w:tc>
      </w:tr>
      <w:tr w14:paraId="6438BAB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8" w:hRule="atLeast"/>
        </w:trPr>
        <w:tc>
          <w:tcPr>
            <w:tcW w:w="456" w:type="dxa"/>
            <w:tcBorders>
              <w:top w:val="single" w:color="000000" w:sz="4" w:space="0"/>
              <w:right w:val="single" w:color="000000" w:sz="4" w:space="0"/>
            </w:tcBorders>
            <w:noWrap w:val="0"/>
            <w:vAlign w:val="center"/>
          </w:tcPr>
          <w:p w14:paraId="2E02E48F">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color w:val="auto"/>
                <w:sz w:val="21"/>
                <w:szCs w:val="21"/>
                <w:highlight w:val="none"/>
              </w:rPr>
            </w:pPr>
            <w:r>
              <w:rPr>
                <w:rFonts w:hint="eastAsia"/>
                <w:color w:val="auto"/>
                <w:w w:val="95"/>
                <w:sz w:val="21"/>
                <w:szCs w:val="21"/>
                <w:highlight w:val="none"/>
              </w:rPr>
              <w:t>7</w:t>
            </w:r>
          </w:p>
        </w:tc>
        <w:tc>
          <w:tcPr>
            <w:tcW w:w="1212" w:type="dxa"/>
            <w:tcBorders>
              <w:top w:val="single" w:color="000000" w:sz="4" w:space="0"/>
              <w:left w:val="single" w:color="000000" w:sz="4" w:space="0"/>
              <w:right w:val="single" w:color="000000" w:sz="4" w:space="0"/>
            </w:tcBorders>
            <w:noWrap w:val="0"/>
            <w:vAlign w:val="center"/>
          </w:tcPr>
          <w:p w14:paraId="2D44AE7D">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color w:val="auto"/>
                <w:sz w:val="21"/>
                <w:szCs w:val="21"/>
                <w:highlight w:val="none"/>
              </w:rPr>
            </w:pPr>
            <w:r>
              <w:rPr>
                <w:rFonts w:hint="eastAsia"/>
                <w:color w:val="auto"/>
                <w:sz w:val="21"/>
                <w:szCs w:val="21"/>
                <w:highlight w:val="none"/>
              </w:rPr>
              <w:t>补植完成时间</w:t>
            </w:r>
          </w:p>
        </w:tc>
        <w:tc>
          <w:tcPr>
            <w:tcW w:w="2201" w:type="dxa"/>
            <w:tcBorders>
              <w:top w:val="single" w:color="000000" w:sz="4" w:space="0"/>
              <w:left w:val="single" w:color="000000" w:sz="4" w:space="0"/>
              <w:right w:val="single" w:color="000000" w:sz="4" w:space="0"/>
            </w:tcBorders>
            <w:noWrap w:val="0"/>
            <w:vAlign w:val="center"/>
          </w:tcPr>
          <w:p w14:paraId="1D315936">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b/>
                <w:color w:val="auto"/>
                <w:sz w:val="21"/>
                <w:szCs w:val="21"/>
                <w:highlight w:val="none"/>
              </w:rPr>
            </w:pPr>
          </w:p>
          <w:p w14:paraId="698B31AF">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color w:val="auto"/>
                <w:sz w:val="21"/>
                <w:szCs w:val="21"/>
                <w:highlight w:val="none"/>
              </w:rPr>
            </w:pPr>
            <w:r>
              <w:rPr>
                <w:rFonts w:hint="eastAsia"/>
                <w:color w:val="auto"/>
                <w:sz w:val="21"/>
                <w:szCs w:val="21"/>
                <w:highlight w:val="none"/>
              </w:rPr>
              <w:t>≤3d</w:t>
            </w:r>
          </w:p>
        </w:tc>
        <w:tc>
          <w:tcPr>
            <w:tcW w:w="2335" w:type="dxa"/>
            <w:tcBorders>
              <w:top w:val="single" w:color="000000" w:sz="4" w:space="0"/>
              <w:left w:val="single" w:color="000000" w:sz="4" w:space="0"/>
              <w:right w:val="single" w:color="000000" w:sz="4" w:space="0"/>
            </w:tcBorders>
            <w:noWrap w:val="0"/>
            <w:vAlign w:val="center"/>
          </w:tcPr>
          <w:p w14:paraId="7D9F5BFF">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b/>
                <w:color w:val="auto"/>
                <w:sz w:val="21"/>
                <w:szCs w:val="21"/>
                <w:highlight w:val="none"/>
              </w:rPr>
            </w:pPr>
          </w:p>
          <w:p w14:paraId="7E9A62CF">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color w:val="auto"/>
                <w:sz w:val="21"/>
                <w:szCs w:val="21"/>
                <w:highlight w:val="none"/>
              </w:rPr>
            </w:pPr>
            <w:r>
              <w:rPr>
                <w:rFonts w:hint="eastAsia"/>
                <w:color w:val="auto"/>
                <w:sz w:val="21"/>
                <w:szCs w:val="21"/>
                <w:highlight w:val="none"/>
              </w:rPr>
              <w:t>≤5d</w:t>
            </w:r>
          </w:p>
        </w:tc>
        <w:tc>
          <w:tcPr>
            <w:tcW w:w="2241" w:type="dxa"/>
            <w:tcBorders>
              <w:top w:val="single" w:color="000000" w:sz="4" w:space="0"/>
              <w:left w:val="single" w:color="000000" w:sz="4" w:space="0"/>
            </w:tcBorders>
            <w:noWrap w:val="0"/>
            <w:vAlign w:val="center"/>
          </w:tcPr>
          <w:p w14:paraId="17ED68D6">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b/>
                <w:color w:val="auto"/>
                <w:sz w:val="21"/>
                <w:szCs w:val="21"/>
                <w:highlight w:val="none"/>
              </w:rPr>
            </w:pPr>
          </w:p>
          <w:p w14:paraId="74C6378C">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color w:val="auto"/>
                <w:sz w:val="21"/>
                <w:szCs w:val="21"/>
                <w:highlight w:val="none"/>
              </w:rPr>
            </w:pPr>
            <w:r>
              <w:rPr>
                <w:rFonts w:hint="eastAsia"/>
                <w:color w:val="auto"/>
                <w:sz w:val="21"/>
                <w:szCs w:val="21"/>
                <w:highlight w:val="none"/>
              </w:rPr>
              <w:t>≤7d</w:t>
            </w:r>
          </w:p>
        </w:tc>
      </w:tr>
    </w:tbl>
    <w:p w14:paraId="7BEFE111">
      <w:pPr>
        <w:tabs>
          <w:tab w:val="left" w:pos="7504"/>
        </w:tabs>
        <w:spacing w:before="71"/>
        <w:rPr>
          <w:color w:val="auto"/>
          <w:sz w:val="21"/>
          <w:szCs w:val="21"/>
          <w:highlight w:val="none"/>
          <w:lang w:eastAsia="zh-CN"/>
        </w:rPr>
        <w:sectPr>
          <w:headerReference r:id="rId17" w:type="default"/>
          <w:footerReference r:id="rId18" w:type="default"/>
          <w:pgSz w:w="11906" w:h="16838"/>
          <w:pgMar w:top="1440" w:right="1588" w:bottom="1440" w:left="1588" w:header="851" w:footer="992" w:gutter="0"/>
          <w:pgNumType w:fmt="decimal"/>
          <w:cols w:space="720" w:num="1"/>
          <w:titlePg/>
          <w:docGrid w:type="lines" w:linePitch="312" w:charSpace="0"/>
        </w:sectPr>
      </w:pPr>
      <w:bookmarkStart w:id="863" w:name="第五章_采购需求"/>
      <w:bookmarkEnd w:id="863"/>
      <w:bookmarkStart w:id="864" w:name="附件五："/>
      <w:bookmarkEnd w:id="864"/>
      <w:bookmarkStart w:id="865" w:name="_bookmark5"/>
      <w:bookmarkEnd w:id="865"/>
    </w:p>
    <w:p w14:paraId="6E98682B">
      <w:pPr>
        <w:jc w:val="both"/>
        <w:outlineLvl w:val="2"/>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lang w:val="en-US" w:eastAsia="zh-CN" w:bidi="ar-SA"/>
        </w:rPr>
        <w:t>附件六：</w:t>
      </w:r>
    </w:p>
    <w:p w14:paraId="21B1A84C">
      <w:pPr>
        <w:pageBreakBefore w:val="0"/>
        <w:kinsoku/>
        <w:wordWrap/>
        <w:overflowPunct/>
        <w:topLinePunct w:val="0"/>
        <w:bidi w:val="0"/>
        <w:spacing w:before="1" w:line="360" w:lineRule="auto"/>
        <w:ind w:left="221"/>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构建“亲”“清”政商关系告知书</w:t>
      </w:r>
    </w:p>
    <w:p w14:paraId="03E250A4">
      <w:pPr>
        <w:spacing w:line="56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深入构建亲清新型政商关系，努力打造尊商、亲商、助商、安商良好营商环境，确保园林绿化项目工程质量，更好地预防职务犯罪，根据市党风廉政建设相关规定，市园林绿化局，特制定构建“亲”“清”政商关系告知书，严明公职人员在政商交往中的纪律要求。请各涉园林绿化项目的</w:t>
      </w:r>
      <w:r>
        <w:rPr>
          <w:rFonts w:hint="eastAsia" w:ascii="宋体" w:hAnsi="宋体" w:eastAsia="宋体" w:cs="宋体"/>
          <w:bCs/>
          <w:color w:val="auto"/>
          <w:sz w:val="24"/>
          <w:szCs w:val="24"/>
          <w:highlight w:val="none"/>
        </w:rPr>
        <w:t>代理机构、投标方、监理方、建设方、养护方企业</w:t>
      </w:r>
      <w:r>
        <w:rPr>
          <w:rFonts w:hint="eastAsia" w:ascii="宋体" w:hAnsi="宋体" w:eastAsia="宋体" w:cs="宋体"/>
          <w:color w:val="auto"/>
          <w:sz w:val="24"/>
          <w:szCs w:val="24"/>
          <w:highlight w:val="none"/>
        </w:rPr>
        <w:t>及其从业人员知晓，严格遵守并监督我局公职人员落实。</w:t>
      </w:r>
    </w:p>
    <w:p w14:paraId="4D193278">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一、不得向公职人员赠送礼品、礼金、消费卡等财物。</w:t>
      </w:r>
    </w:p>
    <w:p w14:paraId="5412F8BB">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二、不得向公职人员提供宴请、旅游、健身、娱乐等活动安排。</w:t>
      </w:r>
    </w:p>
    <w:p w14:paraId="6C914BF4">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三、不得以任何借口为公职人员住房装修、婚丧嫁娶、亲友出国等提供方便。</w:t>
      </w:r>
    </w:p>
    <w:p w14:paraId="42F8CF4E">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四、不得为公职人员报销应由其个人支付的费用。</w:t>
      </w:r>
    </w:p>
    <w:p w14:paraId="70760123">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五、不得违规向公职人员及其亲友借贷款。</w:t>
      </w:r>
    </w:p>
    <w:p w14:paraId="181C94EC">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六、不得违规将车辆、住房等借给公职人员使用。</w:t>
      </w:r>
    </w:p>
    <w:p w14:paraId="19B9A25D">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七、不得在招投标中与公职人员搞暗箱操作、围标串标。</w:t>
      </w:r>
    </w:p>
    <w:p w14:paraId="163D92C6">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八、不得为利益相关人和公职人员牵线搭桥或者代为传递信息、传递财物。</w:t>
      </w:r>
    </w:p>
    <w:p w14:paraId="634FCD83">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九、不得让公职人员在企业违规兼职取酬。</w:t>
      </w:r>
    </w:p>
    <w:p w14:paraId="3344FE6B">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十、不得为公职人员亲友违规承揽业务提供便利。</w:t>
      </w:r>
    </w:p>
    <w:p w14:paraId="6CE34BCF">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上述“十个不得”，请您严格遵守。同时，在政商交往中，如有发现我局公职人员存在违反“十个不得”的问题， 请通过首都园林绿化政务网举报信箱：</w:t>
      </w:r>
      <w:r>
        <w:rPr>
          <w:rFonts w:hint="eastAsia" w:ascii="宋体" w:hAnsi="宋体" w:eastAsia="宋体" w:cs="宋体"/>
          <w:bCs/>
          <w:color w:val="auto"/>
          <w:sz w:val="24"/>
          <w:szCs w:val="24"/>
          <w:highlight w:val="none"/>
        </w:rPr>
        <w:t>北京市园林绿化局（首都绿化委员会办公室）网——政民活动——我要写信（纪检举报）,</w:t>
      </w:r>
      <w:r>
        <w:rPr>
          <w:rFonts w:hint="eastAsia" w:ascii="宋体" w:hAnsi="宋体" w:eastAsia="宋体" w:cs="宋体"/>
          <w:color w:val="auto"/>
          <w:sz w:val="24"/>
          <w:szCs w:val="24"/>
          <w:highlight w:val="none"/>
        </w:rPr>
        <w:t>邮箱：</w:t>
      </w: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HYPERLINK "mailto:ylztb@yllhj.beijing.gov.cn" </w:instrText>
      </w:r>
      <w:r>
        <w:rPr>
          <w:rFonts w:hint="eastAsia" w:ascii="宋体" w:hAnsi="宋体" w:eastAsia="宋体" w:cs="宋体"/>
          <w:color w:val="auto"/>
          <w:sz w:val="24"/>
          <w:szCs w:val="24"/>
          <w:highlight w:val="none"/>
          <w:u w:val="none"/>
        </w:rPr>
        <w:fldChar w:fldCharType="separate"/>
      </w:r>
      <w:r>
        <w:rPr>
          <w:rStyle w:val="54"/>
          <w:rFonts w:hint="eastAsia" w:ascii="宋体" w:hAnsi="宋体" w:eastAsia="宋体" w:cs="宋体"/>
          <w:color w:val="auto"/>
          <w:sz w:val="24"/>
          <w:szCs w:val="24"/>
          <w:highlight w:val="none"/>
          <w:u w:val="none"/>
        </w:rPr>
        <w:t>ylztb@yllhj.beijing.gov.cn</w:t>
      </w:r>
      <w:r>
        <w:rPr>
          <w:rStyle w:val="54"/>
          <w:rFonts w:hint="eastAsia" w:ascii="宋体" w:hAnsi="宋体" w:eastAsia="宋体" w:cs="宋体"/>
          <w:color w:val="auto"/>
          <w:sz w:val="24"/>
          <w:szCs w:val="24"/>
          <w:highlight w:val="none"/>
          <w:u w:val="none"/>
        </w:rPr>
        <w:fldChar w:fldCharType="end"/>
      </w:r>
    </w:p>
    <w:p w14:paraId="0C30C996">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或北京市园林绿化局机关纪委信访邮箱：jgjw＠yllhj.beijing.gov.cn举报，电话84236701等方式，向纪检监察机关反映举报，我们将严格保密，按照相关规定优先处置，严肃查处。</w:t>
      </w:r>
    </w:p>
    <w:p w14:paraId="6D49E5C3">
      <w:pPr>
        <w:spacing w:line="560" w:lineRule="exact"/>
        <w:rPr>
          <w:rFonts w:hint="eastAsia" w:ascii="宋体" w:hAnsi="宋体" w:eastAsia="宋体" w:cs="宋体"/>
          <w:color w:val="auto"/>
          <w:sz w:val="24"/>
          <w:szCs w:val="24"/>
          <w:highlight w:val="none"/>
        </w:rPr>
      </w:pPr>
    </w:p>
    <w:p w14:paraId="1D6B95A7">
      <w:pPr>
        <w:spacing w:line="560" w:lineRule="exact"/>
        <w:ind w:left="3160" w:leftChars="76" w:hanging="3000" w:hangingChars="1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单位</w:t>
      </w:r>
      <w:r>
        <w:rPr>
          <w:rFonts w:hint="eastAsia" w:ascii="宋体" w:hAnsi="宋体" w:cs="宋体"/>
          <w:color w:val="auto"/>
          <w:sz w:val="24"/>
          <w:szCs w:val="24"/>
          <w:highlight w:val="none"/>
          <w:lang w:val="en-US" w:eastAsia="zh-CN"/>
        </w:rPr>
        <w:t>(盖公章)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本人已知晓上述告知内容，愿意遵照执行，如有违反自愿承担法律责任。（签名）：</w:t>
      </w:r>
    </w:p>
    <w:p w14:paraId="382645D2">
      <w:pPr>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5EB0A93">
      <w:pPr>
        <w:spacing w:line="56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                        年 月 日</w:t>
      </w:r>
    </w:p>
    <w:p w14:paraId="39FFA862">
      <w:pPr>
        <w:spacing w:line="560" w:lineRule="exact"/>
        <w:rPr>
          <w:rFonts w:hint="eastAsia" w:ascii="宋体" w:hAnsi="宋体" w:eastAsia="宋体" w:cs="宋体"/>
          <w:color w:val="auto"/>
          <w:sz w:val="24"/>
          <w:szCs w:val="24"/>
          <w:highlight w:val="none"/>
        </w:rPr>
      </w:pPr>
    </w:p>
    <w:p w14:paraId="729A5441">
      <w:pPr>
        <w:spacing w:line="560" w:lineRule="exact"/>
        <w:rPr>
          <w:rFonts w:hint="eastAsia" w:ascii="宋体" w:hAnsi="宋体" w:eastAsia="宋体" w:cs="宋体"/>
          <w:color w:val="auto"/>
          <w:sz w:val="24"/>
          <w:szCs w:val="24"/>
          <w:highlight w:val="none"/>
        </w:rPr>
      </w:pPr>
    </w:p>
    <w:p w14:paraId="3F219D16">
      <w:pPr>
        <w:spacing w:line="56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（本告知书一式两份，一份由被告知人保存，一份由告知人所在单位保存。）</w:t>
      </w:r>
    </w:p>
    <w:p w14:paraId="67E9AD3E">
      <w:pPr>
        <w:tabs>
          <w:tab w:val="left" w:pos="7504"/>
        </w:tabs>
        <w:spacing w:before="71"/>
        <w:rPr>
          <w:color w:val="auto"/>
          <w:sz w:val="21"/>
          <w:szCs w:val="21"/>
          <w:highlight w:val="none"/>
          <w:lang w:eastAsia="zh-CN"/>
        </w:rPr>
        <w:sectPr>
          <w:pgSz w:w="11906" w:h="16838"/>
          <w:pgMar w:top="1440" w:right="1588" w:bottom="1440" w:left="1588" w:header="851" w:footer="992" w:gutter="0"/>
          <w:pgNumType w:fmt="decimal"/>
          <w:cols w:space="720" w:num="1"/>
          <w:titlePg/>
          <w:docGrid w:type="lines" w:linePitch="312" w:charSpace="0"/>
        </w:sectPr>
      </w:pPr>
    </w:p>
    <w:p w14:paraId="66528B03">
      <w:pPr>
        <w:jc w:val="both"/>
        <w:outlineLvl w:val="2"/>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lang w:val="en-US" w:eastAsia="zh-CN" w:bidi="ar-SA"/>
        </w:rPr>
        <w:t>附件七</w:t>
      </w:r>
    </w:p>
    <w:p w14:paraId="4A75A46C">
      <w:pPr>
        <w:pageBreakBefore w:val="0"/>
        <w:kinsoku/>
        <w:wordWrap/>
        <w:overflowPunct/>
        <w:topLinePunct w:val="0"/>
        <w:bidi w:val="0"/>
        <w:spacing w:before="1" w:line="360" w:lineRule="auto"/>
        <w:ind w:left="221" w:firstLine="1687" w:firstLineChars="700"/>
        <w:jc w:val="both"/>
        <w:textAlignment w:val="auto"/>
        <w:rPr>
          <w:rFonts w:hint="eastAsia" w:ascii="宋体" w:hAnsi="宋体" w:eastAsia="宋体" w:cs="宋体"/>
          <w:b/>
          <w:color w:val="auto"/>
          <w:sz w:val="24"/>
          <w:szCs w:val="24"/>
          <w:highlight w:val="none"/>
          <w:lang w:val="en-US" w:eastAsia="zh-CN"/>
        </w:rPr>
        <w:sectPr>
          <w:headerReference r:id="rId19" w:type="default"/>
          <w:footerReference r:id="rId20" w:type="default"/>
          <w:pgSz w:w="11907" w:h="16840"/>
          <w:pgMar w:top="1418" w:right="1134" w:bottom="1418" w:left="1701" w:header="851" w:footer="851" w:gutter="0"/>
          <w:pgNumType w:fmt="decimal"/>
          <w:cols w:space="720" w:num="1"/>
          <w:docGrid w:linePitch="462" w:charSpace="0"/>
        </w:sectPr>
      </w:pPr>
      <w:r>
        <w:rPr>
          <w:rFonts w:hint="eastAsia" w:ascii="宋体" w:hAnsi="宋体" w:eastAsia="宋体" w:cs="宋体"/>
          <w:b/>
          <w:color w:val="auto"/>
          <w:sz w:val="24"/>
          <w:szCs w:val="24"/>
          <w:highlight w:val="none"/>
          <w:lang w:val="en-US" w:eastAsia="zh-CN"/>
        </w:rPr>
        <w:t>标段养护面积和范围附图（</w:t>
      </w:r>
      <w:r>
        <w:rPr>
          <w:rFonts w:hint="eastAsia" w:ascii="宋体" w:hAnsi="宋体" w:cs="宋体"/>
          <w:b/>
          <w:color w:val="auto"/>
          <w:sz w:val="24"/>
          <w:szCs w:val="24"/>
          <w:highlight w:val="none"/>
          <w:lang w:val="en-US" w:eastAsia="zh-CN"/>
        </w:rPr>
        <w:t>签订合同时</w:t>
      </w:r>
      <w:r>
        <w:rPr>
          <w:rFonts w:hint="eastAsia" w:ascii="宋体" w:hAnsi="宋体" w:eastAsia="宋体" w:cs="宋体"/>
          <w:b/>
          <w:color w:val="auto"/>
          <w:sz w:val="24"/>
          <w:szCs w:val="24"/>
          <w:highlight w:val="none"/>
          <w:lang w:val="en-US" w:eastAsia="zh-CN"/>
        </w:rPr>
        <w:t>另附）</w:t>
      </w:r>
    </w:p>
    <w:p w14:paraId="314E3896">
      <w:pPr>
        <w:outlineLvl w:val="1"/>
        <w:rPr>
          <w:rFonts w:hint="eastAsia"/>
          <w:color w:val="auto"/>
          <w:highlight w:val="none"/>
          <w:lang w:val="en-US" w:eastAsia="zh-CN"/>
        </w:rPr>
      </w:pPr>
      <w:r>
        <w:rPr>
          <w:rFonts w:hint="eastAsia" w:ascii="宋体" w:hAnsi="宋体"/>
          <w:b/>
          <w:color w:val="auto"/>
          <w:sz w:val="24"/>
          <w:highlight w:val="none"/>
          <w:lang w:val="en-US" w:eastAsia="zh-CN"/>
        </w:rPr>
        <w:t>2包六合村办公区组团行政办公区绿地养护监理服务合同范本</w:t>
      </w:r>
    </w:p>
    <w:p w14:paraId="267C296D">
      <w:pPr>
        <w:pStyle w:val="17"/>
        <w:rPr>
          <w:color w:val="auto"/>
          <w:highlight w:val="none"/>
        </w:rPr>
      </w:pPr>
    </w:p>
    <w:p w14:paraId="707C9E9C">
      <w:pPr>
        <w:tabs>
          <w:tab w:val="left" w:pos="7504"/>
        </w:tabs>
        <w:spacing w:before="71"/>
        <w:ind w:firstLine="1405" w:firstLineChars="500"/>
        <w:rPr>
          <w:b/>
          <w:color w:val="auto"/>
          <w:sz w:val="28"/>
          <w:highlight w:val="none"/>
          <w:lang w:eastAsia="zh-CN"/>
        </w:rPr>
      </w:pPr>
    </w:p>
    <w:p w14:paraId="51B5FDCF">
      <w:pPr>
        <w:tabs>
          <w:tab w:val="left" w:pos="7504"/>
        </w:tabs>
        <w:spacing w:before="71"/>
        <w:ind w:firstLine="1405" w:firstLineChars="500"/>
        <w:rPr>
          <w:rFonts w:ascii="Times New Roman" w:eastAsia="Times New Roman"/>
          <w:b/>
          <w:color w:val="auto"/>
          <w:sz w:val="28"/>
          <w:highlight w:val="none"/>
          <w:lang w:eastAsia="zh-CN"/>
        </w:rPr>
      </w:pPr>
      <w:r>
        <w:rPr>
          <w:b/>
          <w:color w:val="auto"/>
          <w:sz w:val="28"/>
          <w:highlight w:val="none"/>
          <w:lang w:eastAsia="zh-CN"/>
        </w:rPr>
        <w:t>合同编号：</w:t>
      </w:r>
      <w:r>
        <w:rPr>
          <w:rFonts w:ascii="Times New Roman" w:eastAsia="Times New Roman"/>
          <w:b/>
          <w:color w:val="auto"/>
          <w:sz w:val="28"/>
          <w:highlight w:val="none"/>
          <w:u w:val="thick"/>
          <w:lang w:eastAsia="zh-CN"/>
        </w:rPr>
        <w:tab/>
      </w:r>
    </w:p>
    <w:p w14:paraId="6A67DF8D">
      <w:pPr>
        <w:rPr>
          <w:b/>
          <w:bCs/>
          <w:color w:val="auto"/>
          <w:sz w:val="72"/>
          <w:szCs w:val="72"/>
          <w:highlight w:val="none"/>
          <w:lang w:eastAsia="zh-CN"/>
        </w:rPr>
      </w:pPr>
    </w:p>
    <w:p w14:paraId="1CC4CAAB">
      <w:pPr>
        <w:rPr>
          <w:b/>
          <w:bCs/>
          <w:color w:val="auto"/>
          <w:sz w:val="72"/>
          <w:szCs w:val="72"/>
          <w:highlight w:val="none"/>
          <w:lang w:eastAsia="zh-CN"/>
        </w:rPr>
      </w:pPr>
    </w:p>
    <w:p w14:paraId="1D5CAF46">
      <w:pPr>
        <w:jc w:val="center"/>
        <w:rPr>
          <w:b/>
          <w:bCs/>
          <w:color w:val="auto"/>
          <w:sz w:val="44"/>
          <w:szCs w:val="44"/>
          <w:highlight w:val="none"/>
          <w:lang w:eastAsia="zh-CN"/>
        </w:rPr>
      </w:pPr>
      <w:r>
        <w:rPr>
          <w:rFonts w:hint="eastAsia"/>
          <w:b/>
          <w:bCs/>
          <w:color w:val="auto"/>
          <w:sz w:val="44"/>
          <w:szCs w:val="44"/>
          <w:highlight w:val="none"/>
          <w:lang w:eastAsia="zh-CN"/>
        </w:rPr>
        <w:t>北京市建设工程监理合同</w:t>
      </w:r>
    </w:p>
    <w:p w14:paraId="50B64C28">
      <w:pPr>
        <w:ind w:firstLine="357"/>
        <w:jc w:val="center"/>
        <w:rPr>
          <w:rFonts w:eastAsia="仿宋_GB2312"/>
          <w:bCs/>
          <w:color w:val="auto"/>
          <w:sz w:val="40"/>
          <w:szCs w:val="72"/>
          <w:highlight w:val="none"/>
          <w:lang w:eastAsia="zh-CN"/>
        </w:rPr>
      </w:pPr>
    </w:p>
    <w:p w14:paraId="3B026B92">
      <w:pPr>
        <w:ind w:firstLine="357"/>
        <w:jc w:val="center"/>
        <w:rPr>
          <w:b/>
          <w:bCs/>
          <w:color w:val="auto"/>
          <w:sz w:val="40"/>
          <w:szCs w:val="72"/>
          <w:highlight w:val="none"/>
          <w:lang w:eastAsia="zh-CN"/>
        </w:rPr>
      </w:pPr>
    </w:p>
    <w:p w14:paraId="3F14C645">
      <w:pPr>
        <w:ind w:firstLine="357"/>
        <w:jc w:val="center"/>
        <w:rPr>
          <w:b/>
          <w:bCs/>
          <w:color w:val="auto"/>
          <w:sz w:val="40"/>
          <w:szCs w:val="72"/>
          <w:highlight w:val="none"/>
          <w:lang w:eastAsia="zh-CN"/>
        </w:rPr>
      </w:pPr>
    </w:p>
    <w:tbl>
      <w:tblPr>
        <w:tblStyle w:val="46"/>
        <w:tblW w:w="7695" w:type="dxa"/>
        <w:jc w:val="center"/>
        <w:tblLayout w:type="fixed"/>
        <w:tblCellMar>
          <w:top w:w="0" w:type="dxa"/>
          <w:left w:w="108" w:type="dxa"/>
          <w:bottom w:w="0" w:type="dxa"/>
          <w:right w:w="108" w:type="dxa"/>
        </w:tblCellMar>
      </w:tblPr>
      <w:tblGrid>
        <w:gridCol w:w="1748"/>
        <w:gridCol w:w="578"/>
        <w:gridCol w:w="5369"/>
      </w:tblGrid>
      <w:tr w14:paraId="554CF2E7">
        <w:tblPrEx>
          <w:tblCellMar>
            <w:top w:w="0" w:type="dxa"/>
            <w:left w:w="108" w:type="dxa"/>
            <w:bottom w:w="0" w:type="dxa"/>
            <w:right w:w="108" w:type="dxa"/>
          </w:tblCellMar>
        </w:tblPrEx>
        <w:trPr>
          <w:trHeight w:val="997" w:hRule="atLeast"/>
          <w:jc w:val="center"/>
        </w:trPr>
        <w:tc>
          <w:tcPr>
            <w:tcW w:w="1748" w:type="dxa"/>
            <w:noWrap w:val="0"/>
            <w:vAlign w:val="bottom"/>
          </w:tcPr>
          <w:p w14:paraId="1DB9545A">
            <w:pPr>
              <w:keepNext w:val="0"/>
              <w:keepLines w:val="0"/>
              <w:suppressLineNumbers w:val="0"/>
              <w:spacing w:before="0" w:beforeAutospacing="0" w:after="0" w:afterAutospacing="0"/>
              <w:ind w:left="0" w:right="0"/>
              <w:jc w:val="distribute"/>
              <w:rPr>
                <w:rFonts w:hint="default"/>
                <w:b/>
                <w:bCs/>
                <w:color w:val="auto"/>
                <w:sz w:val="32"/>
                <w:szCs w:val="32"/>
                <w:highlight w:val="none"/>
              </w:rPr>
            </w:pPr>
            <w:r>
              <w:rPr>
                <w:rFonts w:hint="eastAsia"/>
                <w:b/>
                <w:bCs/>
                <w:color w:val="auto"/>
                <w:sz w:val="32"/>
                <w:szCs w:val="32"/>
                <w:highlight w:val="none"/>
              </w:rPr>
              <w:t>委托人</w:t>
            </w:r>
          </w:p>
        </w:tc>
        <w:tc>
          <w:tcPr>
            <w:tcW w:w="578" w:type="dxa"/>
            <w:noWrap w:val="0"/>
            <w:vAlign w:val="bottom"/>
          </w:tcPr>
          <w:p w14:paraId="4B400AA3">
            <w:pPr>
              <w:keepNext w:val="0"/>
              <w:keepLines w:val="0"/>
              <w:suppressLineNumbers w:val="0"/>
              <w:spacing w:before="0" w:beforeAutospacing="0" w:after="0" w:afterAutospacing="0"/>
              <w:ind w:left="0" w:right="0"/>
              <w:jc w:val="center"/>
              <w:rPr>
                <w:rFonts w:hint="default"/>
                <w:b/>
                <w:bCs/>
                <w:color w:val="auto"/>
                <w:sz w:val="32"/>
                <w:szCs w:val="32"/>
                <w:highlight w:val="none"/>
              </w:rPr>
            </w:pPr>
            <w:r>
              <w:rPr>
                <w:rFonts w:hint="eastAsia"/>
                <w:b/>
                <w:bCs/>
                <w:color w:val="auto"/>
                <w:sz w:val="32"/>
                <w:szCs w:val="32"/>
                <w:highlight w:val="none"/>
              </w:rPr>
              <w:t>：</w:t>
            </w:r>
          </w:p>
        </w:tc>
        <w:tc>
          <w:tcPr>
            <w:tcW w:w="5369" w:type="dxa"/>
            <w:tcBorders>
              <w:bottom w:val="single" w:color="auto" w:sz="4" w:space="0"/>
            </w:tcBorders>
            <w:noWrap w:val="0"/>
            <w:vAlign w:val="bottom"/>
          </w:tcPr>
          <w:p w14:paraId="6AA214E1">
            <w:pPr>
              <w:keepNext w:val="0"/>
              <w:keepLines w:val="0"/>
              <w:suppressLineNumbers w:val="0"/>
              <w:spacing w:before="0" w:beforeAutospacing="0" w:after="0" w:afterAutospacing="0"/>
              <w:ind w:left="0" w:right="0"/>
              <w:jc w:val="center"/>
              <w:rPr>
                <w:rFonts w:hint="default"/>
                <w:b/>
                <w:bCs/>
                <w:color w:val="auto"/>
                <w:sz w:val="36"/>
                <w:szCs w:val="72"/>
                <w:highlight w:val="none"/>
              </w:rPr>
            </w:pPr>
          </w:p>
        </w:tc>
      </w:tr>
      <w:tr w14:paraId="7AB45B9A">
        <w:tblPrEx>
          <w:tblCellMar>
            <w:top w:w="0" w:type="dxa"/>
            <w:left w:w="108" w:type="dxa"/>
            <w:bottom w:w="0" w:type="dxa"/>
            <w:right w:w="108" w:type="dxa"/>
          </w:tblCellMar>
        </w:tblPrEx>
        <w:trPr>
          <w:trHeight w:val="997" w:hRule="atLeast"/>
          <w:jc w:val="center"/>
        </w:trPr>
        <w:tc>
          <w:tcPr>
            <w:tcW w:w="1748" w:type="dxa"/>
            <w:noWrap w:val="0"/>
            <w:vAlign w:val="bottom"/>
          </w:tcPr>
          <w:p w14:paraId="6A7863B9">
            <w:pPr>
              <w:keepNext w:val="0"/>
              <w:keepLines w:val="0"/>
              <w:suppressLineNumbers w:val="0"/>
              <w:spacing w:before="0" w:beforeAutospacing="0" w:after="0" w:afterAutospacing="0"/>
              <w:ind w:left="0" w:right="0"/>
              <w:jc w:val="distribute"/>
              <w:rPr>
                <w:rFonts w:hint="default"/>
                <w:b/>
                <w:bCs/>
                <w:color w:val="auto"/>
                <w:sz w:val="32"/>
                <w:szCs w:val="32"/>
                <w:highlight w:val="none"/>
              </w:rPr>
            </w:pPr>
            <w:r>
              <w:rPr>
                <w:rFonts w:hint="eastAsia"/>
                <w:b/>
                <w:bCs/>
                <w:color w:val="auto"/>
                <w:sz w:val="32"/>
                <w:szCs w:val="32"/>
                <w:highlight w:val="none"/>
              </w:rPr>
              <w:t>监理人</w:t>
            </w:r>
          </w:p>
        </w:tc>
        <w:tc>
          <w:tcPr>
            <w:tcW w:w="578" w:type="dxa"/>
            <w:noWrap w:val="0"/>
            <w:vAlign w:val="bottom"/>
          </w:tcPr>
          <w:p w14:paraId="02767858">
            <w:pPr>
              <w:keepNext w:val="0"/>
              <w:keepLines w:val="0"/>
              <w:suppressLineNumbers w:val="0"/>
              <w:spacing w:before="0" w:beforeAutospacing="0" w:after="0" w:afterAutospacing="0"/>
              <w:ind w:left="0" w:right="0"/>
              <w:jc w:val="center"/>
              <w:rPr>
                <w:rFonts w:hint="default"/>
                <w:b/>
                <w:bCs/>
                <w:color w:val="auto"/>
                <w:sz w:val="32"/>
                <w:szCs w:val="32"/>
                <w:highlight w:val="none"/>
              </w:rPr>
            </w:pPr>
            <w:r>
              <w:rPr>
                <w:rFonts w:hint="eastAsia"/>
                <w:b/>
                <w:bCs/>
                <w:color w:val="auto"/>
                <w:sz w:val="32"/>
                <w:szCs w:val="32"/>
                <w:highlight w:val="none"/>
              </w:rPr>
              <w:t>：</w:t>
            </w:r>
          </w:p>
        </w:tc>
        <w:tc>
          <w:tcPr>
            <w:tcW w:w="5369" w:type="dxa"/>
            <w:tcBorders>
              <w:top w:val="single" w:color="auto" w:sz="4" w:space="0"/>
              <w:bottom w:val="single" w:color="auto" w:sz="4" w:space="0"/>
            </w:tcBorders>
            <w:noWrap w:val="0"/>
            <w:vAlign w:val="bottom"/>
          </w:tcPr>
          <w:p w14:paraId="34E354F0">
            <w:pPr>
              <w:keepNext w:val="0"/>
              <w:keepLines w:val="0"/>
              <w:suppressLineNumbers w:val="0"/>
              <w:spacing w:before="0" w:beforeAutospacing="0" w:after="0" w:afterAutospacing="0"/>
              <w:ind w:left="0" w:right="0"/>
              <w:jc w:val="center"/>
              <w:rPr>
                <w:rFonts w:hint="default"/>
                <w:b/>
                <w:bCs/>
                <w:color w:val="auto"/>
                <w:sz w:val="36"/>
                <w:szCs w:val="72"/>
                <w:highlight w:val="none"/>
              </w:rPr>
            </w:pPr>
          </w:p>
        </w:tc>
      </w:tr>
      <w:tr w14:paraId="4555C0C3">
        <w:trPr>
          <w:trHeight w:val="997" w:hRule="atLeast"/>
          <w:jc w:val="center"/>
        </w:trPr>
        <w:tc>
          <w:tcPr>
            <w:tcW w:w="1748" w:type="dxa"/>
            <w:noWrap w:val="0"/>
            <w:vAlign w:val="bottom"/>
          </w:tcPr>
          <w:p w14:paraId="68363BE7">
            <w:pPr>
              <w:keepNext w:val="0"/>
              <w:keepLines w:val="0"/>
              <w:suppressLineNumbers w:val="0"/>
              <w:spacing w:before="0" w:beforeAutospacing="0" w:after="0" w:afterAutospacing="0"/>
              <w:ind w:left="0" w:right="0"/>
              <w:jc w:val="center"/>
              <w:rPr>
                <w:rFonts w:hint="default"/>
                <w:b/>
                <w:bCs/>
                <w:color w:val="auto"/>
                <w:sz w:val="32"/>
                <w:szCs w:val="32"/>
                <w:highlight w:val="none"/>
              </w:rPr>
            </w:pPr>
            <w:r>
              <w:rPr>
                <w:rFonts w:hint="eastAsia"/>
                <w:b/>
                <w:bCs/>
                <w:color w:val="auto"/>
                <w:sz w:val="32"/>
                <w:szCs w:val="32"/>
                <w:highlight w:val="none"/>
              </w:rPr>
              <w:t>项目名称</w:t>
            </w:r>
          </w:p>
        </w:tc>
        <w:tc>
          <w:tcPr>
            <w:tcW w:w="578" w:type="dxa"/>
            <w:noWrap w:val="0"/>
            <w:vAlign w:val="bottom"/>
          </w:tcPr>
          <w:p w14:paraId="3289A3FB">
            <w:pPr>
              <w:keepNext w:val="0"/>
              <w:keepLines w:val="0"/>
              <w:suppressLineNumbers w:val="0"/>
              <w:spacing w:before="0" w:beforeAutospacing="0" w:after="0" w:afterAutospacing="0"/>
              <w:ind w:left="0" w:right="0"/>
              <w:jc w:val="center"/>
              <w:rPr>
                <w:rFonts w:hint="default"/>
                <w:b/>
                <w:bCs/>
                <w:color w:val="auto"/>
                <w:sz w:val="32"/>
                <w:szCs w:val="32"/>
                <w:highlight w:val="none"/>
              </w:rPr>
            </w:pPr>
            <w:r>
              <w:rPr>
                <w:rFonts w:hint="eastAsia"/>
                <w:b/>
                <w:bCs/>
                <w:color w:val="auto"/>
                <w:sz w:val="32"/>
                <w:szCs w:val="32"/>
                <w:highlight w:val="none"/>
              </w:rPr>
              <w:t>：</w:t>
            </w:r>
          </w:p>
        </w:tc>
        <w:tc>
          <w:tcPr>
            <w:tcW w:w="5369" w:type="dxa"/>
            <w:tcBorders>
              <w:top w:val="single" w:color="auto" w:sz="4" w:space="0"/>
              <w:bottom w:val="single" w:color="auto" w:sz="4" w:space="0"/>
            </w:tcBorders>
            <w:noWrap w:val="0"/>
            <w:vAlign w:val="bottom"/>
          </w:tcPr>
          <w:p w14:paraId="26E6269E">
            <w:pPr>
              <w:keepNext w:val="0"/>
              <w:keepLines w:val="0"/>
              <w:suppressLineNumbers w:val="0"/>
              <w:spacing w:before="0" w:beforeAutospacing="0" w:after="0" w:afterAutospacing="0"/>
              <w:ind w:left="0" w:right="0"/>
              <w:jc w:val="center"/>
              <w:rPr>
                <w:rFonts w:hint="default"/>
                <w:b/>
                <w:bCs/>
                <w:color w:val="auto"/>
                <w:sz w:val="36"/>
                <w:szCs w:val="72"/>
                <w:highlight w:val="none"/>
              </w:rPr>
            </w:pPr>
          </w:p>
        </w:tc>
      </w:tr>
      <w:tr w14:paraId="5E587A38">
        <w:trPr>
          <w:trHeight w:val="997" w:hRule="atLeast"/>
          <w:jc w:val="center"/>
        </w:trPr>
        <w:tc>
          <w:tcPr>
            <w:tcW w:w="1748" w:type="dxa"/>
            <w:noWrap w:val="0"/>
            <w:vAlign w:val="bottom"/>
          </w:tcPr>
          <w:p w14:paraId="5C477838">
            <w:pPr>
              <w:keepNext w:val="0"/>
              <w:keepLines w:val="0"/>
              <w:suppressLineNumbers w:val="0"/>
              <w:spacing w:before="0" w:beforeAutospacing="0" w:after="0" w:afterAutospacing="0"/>
              <w:ind w:left="0" w:right="0"/>
              <w:jc w:val="center"/>
              <w:rPr>
                <w:rFonts w:hint="default"/>
                <w:b/>
                <w:bCs/>
                <w:color w:val="auto"/>
                <w:sz w:val="32"/>
                <w:szCs w:val="32"/>
                <w:highlight w:val="none"/>
              </w:rPr>
            </w:pPr>
            <w:r>
              <w:rPr>
                <w:rFonts w:hint="eastAsia"/>
                <w:b/>
                <w:bCs/>
                <w:color w:val="auto"/>
                <w:sz w:val="32"/>
                <w:szCs w:val="32"/>
                <w:highlight w:val="none"/>
              </w:rPr>
              <w:t>合同编号</w:t>
            </w:r>
          </w:p>
        </w:tc>
        <w:tc>
          <w:tcPr>
            <w:tcW w:w="578" w:type="dxa"/>
            <w:noWrap w:val="0"/>
            <w:vAlign w:val="bottom"/>
          </w:tcPr>
          <w:p w14:paraId="25D041C8">
            <w:pPr>
              <w:keepNext w:val="0"/>
              <w:keepLines w:val="0"/>
              <w:suppressLineNumbers w:val="0"/>
              <w:spacing w:before="0" w:beforeAutospacing="0" w:after="0" w:afterAutospacing="0"/>
              <w:ind w:left="0" w:right="0"/>
              <w:jc w:val="center"/>
              <w:rPr>
                <w:rFonts w:hint="default"/>
                <w:b/>
                <w:bCs/>
                <w:color w:val="auto"/>
                <w:sz w:val="32"/>
                <w:szCs w:val="32"/>
                <w:highlight w:val="none"/>
              </w:rPr>
            </w:pPr>
            <w:r>
              <w:rPr>
                <w:rFonts w:hint="eastAsia"/>
                <w:b/>
                <w:bCs/>
                <w:color w:val="auto"/>
                <w:sz w:val="32"/>
                <w:szCs w:val="32"/>
                <w:highlight w:val="none"/>
              </w:rPr>
              <w:t>：</w:t>
            </w:r>
          </w:p>
        </w:tc>
        <w:tc>
          <w:tcPr>
            <w:tcW w:w="5369" w:type="dxa"/>
            <w:tcBorders>
              <w:top w:val="single" w:color="auto" w:sz="4" w:space="0"/>
              <w:bottom w:val="single" w:color="auto" w:sz="4" w:space="0"/>
            </w:tcBorders>
            <w:noWrap w:val="0"/>
            <w:vAlign w:val="bottom"/>
          </w:tcPr>
          <w:p w14:paraId="1A6D441D">
            <w:pPr>
              <w:keepNext w:val="0"/>
              <w:keepLines w:val="0"/>
              <w:suppressLineNumbers w:val="0"/>
              <w:spacing w:before="0" w:beforeAutospacing="0" w:after="0" w:afterAutospacing="0"/>
              <w:ind w:left="0" w:right="0"/>
              <w:jc w:val="center"/>
              <w:rPr>
                <w:rFonts w:hint="default"/>
                <w:b/>
                <w:bCs/>
                <w:color w:val="auto"/>
                <w:sz w:val="36"/>
                <w:szCs w:val="72"/>
                <w:highlight w:val="none"/>
              </w:rPr>
            </w:pPr>
          </w:p>
        </w:tc>
      </w:tr>
    </w:tbl>
    <w:p w14:paraId="05868770">
      <w:pPr>
        <w:rPr>
          <w:color w:val="auto"/>
          <w:highlight w:val="none"/>
        </w:rPr>
      </w:pPr>
    </w:p>
    <w:p w14:paraId="3E9C46AB">
      <w:pPr>
        <w:rPr>
          <w:color w:val="auto"/>
          <w:highlight w:val="none"/>
        </w:rPr>
      </w:pPr>
    </w:p>
    <w:p w14:paraId="21A5575B">
      <w:pPr>
        <w:ind w:right="1804" w:rightChars="859" w:firstLine="1439" w:firstLineChars="448"/>
        <w:jc w:val="distribute"/>
        <w:rPr>
          <w:b/>
          <w:bCs/>
          <w:color w:val="auto"/>
          <w:sz w:val="32"/>
          <w:szCs w:val="32"/>
          <w:highlight w:val="none"/>
          <w:lang w:eastAsia="zh-CN"/>
        </w:rPr>
      </w:pPr>
      <w:r>
        <w:rPr>
          <w:rFonts w:hint="eastAsia"/>
          <w:b/>
          <w:bCs/>
          <w:color w:val="auto"/>
          <w:sz w:val="32"/>
          <w:szCs w:val="32"/>
          <w:highlight w:val="none"/>
          <w:lang w:eastAsia="zh-CN"/>
        </w:rPr>
        <w:t>北京市住房和城乡建设委员会</w:t>
      </w:r>
    </w:p>
    <w:p w14:paraId="317F2484">
      <w:pPr>
        <w:ind w:right="1804" w:rightChars="859" w:firstLine="1439" w:firstLineChars="448"/>
        <w:jc w:val="distribute"/>
        <w:rPr>
          <w:b/>
          <w:bCs/>
          <w:color w:val="auto"/>
          <w:sz w:val="32"/>
          <w:szCs w:val="32"/>
          <w:highlight w:val="none"/>
          <w:lang w:eastAsia="zh-CN"/>
        </w:rPr>
      </w:pPr>
      <w:r>
        <w:rPr>
          <w:rFonts w:hint="eastAsia"/>
          <w:b/>
          <w:bCs/>
          <w:color w:val="auto"/>
          <w:sz w:val="32"/>
          <w:szCs w:val="32"/>
          <w:highlight w:val="none"/>
          <w:lang w:eastAsia="zh-CN"/>
        </w:rPr>
        <w:t>北京市工商行政管理局</w:t>
      </w:r>
    </w:p>
    <w:p w14:paraId="47E7CACA">
      <w:pPr>
        <w:ind w:right="1804" w:rightChars="859"/>
        <w:jc w:val="center"/>
        <w:rPr>
          <w:color w:val="auto"/>
          <w:sz w:val="32"/>
          <w:szCs w:val="32"/>
          <w:highlight w:val="none"/>
          <w:lang w:eastAsia="zh-CN"/>
        </w:rPr>
      </w:pPr>
      <w:r>
        <w:rPr>
          <w:rFonts w:hint="eastAsia"/>
          <w:b/>
          <w:bCs/>
          <w:color w:val="auto"/>
          <w:sz w:val="32"/>
          <w:szCs w:val="32"/>
          <w:highlight w:val="none"/>
          <w:lang w:eastAsia="zh-CN"/>
        </w:rPr>
        <w:t>二○一四年四月制定</w:t>
      </w:r>
    </w:p>
    <w:p w14:paraId="3D4E3B5B">
      <w:pPr>
        <w:rPr>
          <w:rFonts w:hint="eastAsia"/>
          <w:b/>
          <w:bCs/>
          <w:color w:val="auto"/>
          <w:sz w:val="32"/>
          <w:szCs w:val="32"/>
          <w:highlight w:val="none"/>
          <w:lang w:eastAsia="zh-CN"/>
        </w:rPr>
      </w:pPr>
      <w:r>
        <w:rPr>
          <w:rFonts w:hint="eastAsia"/>
          <w:b/>
          <w:bCs/>
          <w:color w:val="auto"/>
          <w:sz w:val="32"/>
          <w:szCs w:val="32"/>
          <w:highlight w:val="none"/>
          <w:lang w:eastAsia="zh-CN"/>
        </w:rPr>
        <w:br w:type="page"/>
      </w:r>
    </w:p>
    <w:p w14:paraId="23E6804F">
      <w:pPr>
        <w:keepNext w:val="0"/>
        <w:keepLines w:val="0"/>
        <w:pageBreakBefore/>
        <w:widowControl w:val="0"/>
        <w:kinsoku/>
        <w:wordWrap/>
        <w:overflowPunct/>
        <w:topLinePunct w:val="0"/>
        <w:autoSpaceDE/>
        <w:autoSpaceDN/>
        <w:bidi w:val="0"/>
        <w:spacing w:line="240" w:lineRule="auto"/>
        <w:ind w:left="0" w:right="0" w:firstLine="643" w:firstLineChars="200"/>
        <w:jc w:val="center"/>
        <w:textAlignment w:val="auto"/>
        <w:outlineLvl w:val="9"/>
        <w:rPr>
          <w:rFonts w:hint="eastAsia"/>
          <w:b/>
          <w:bCs/>
          <w:color w:val="auto"/>
          <w:sz w:val="32"/>
          <w:szCs w:val="32"/>
          <w:highlight w:val="none"/>
          <w:lang w:eastAsia="zh-CN"/>
        </w:rPr>
        <w:sectPr>
          <w:headerReference r:id="rId21" w:type="default"/>
          <w:footerReference r:id="rId22" w:type="default"/>
          <w:pgSz w:w="11907" w:h="16840"/>
          <w:pgMar w:top="1418" w:right="1134" w:bottom="1418" w:left="1701" w:header="851" w:footer="851" w:gutter="0"/>
          <w:pgNumType w:fmt="decimal"/>
          <w:cols w:space="720" w:num="1"/>
          <w:docGrid w:linePitch="462" w:charSpace="0"/>
        </w:sectPr>
      </w:pPr>
    </w:p>
    <w:p w14:paraId="28859179">
      <w:pPr>
        <w:pageBreakBefore/>
        <w:spacing w:line="360" w:lineRule="auto"/>
        <w:ind w:firstLine="357"/>
        <w:jc w:val="center"/>
        <w:outlineLvl w:val="9"/>
        <w:rPr>
          <w:b/>
          <w:bCs/>
          <w:color w:val="auto"/>
          <w:sz w:val="32"/>
          <w:szCs w:val="32"/>
          <w:highlight w:val="none"/>
          <w:lang w:eastAsia="zh-CN"/>
        </w:rPr>
      </w:pPr>
      <w:r>
        <w:rPr>
          <w:rFonts w:hint="eastAsia"/>
          <w:b/>
          <w:bCs/>
          <w:color w:val="auto"/>
          <w:sz w:val="32"/>
          <w:szCs w:val="32"/>
          <w:highlight w:val="none"/>
          <w:lang w:eastAsia="zh-CN"/>
        </w:rPr>
        <w:t>第一部分合同协议书</w:t>
      </w:r>
    </w:p>
    <w:p w14:paraId="20C09D63">
      <w:pPr>
        <w:adjustRightInd w:val="0"/>
        <w:snapToGrid w:val="0"/>
        <w:spacing w:line="360" w:lineRule="auto"/>
        <w:ind w:firstLine="325" w:firstLineChars="250"/>
        <w:rPr>
          <w:color w:val="auto"/>
          <w:sz w:val="13"/>
          <w:szCs w:val="13"/>
          <w:highlight w:val="none"/>
          <w:lang w:eastAsia="zh-CN"/>
        </w:rPr>
      </w:pPr>
    </w:p>
    <w:p w14:paraId="71B68D45">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委托人（全称）：</w:t>
      </w:r>
    </w:p>
    <w:p w14:paraId="43BFAD0E">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监理人（全称）：</w:t>
      </w:r>
    </w:p>
    <w:p w14:paraId="321C232C">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z w:val="24"/>
          <w:szCs w:val="24"/>
          <w:highlight w:val="none"/>
          <w:lang w:eastAsia="zh-CN"/>
        </w:rPr>
        <w:t>根据《中华人民共和国民法典》、《中华人民共和国建筑法》及其他有关法律、法规，遵循平等、自愿、公平和诚实信用原则，双方就下述工程委托监理与相关服务事项协商一致，订立本合同。</w:t>
      </w:r>
    </w:p>
    <w:p w14:paraId="15E5CFAD">
      <w:pPr>
        <w:spacing w:line="360" w:lineRule="auto"/>
        <w:ind w:firstLine="431" w:firstLineChars="179"/>
        <w:outlineLvl w:val="9"/>
        <w:rPr>
          <w:rFonts w:hint="eastAsia" w:asciiTheme="minorEastAsia" w:hAnsiTheme="minorEastAsia" w:eastAsiaTheme="minorEastAsia" w:cstheme="minorEastAsia"/>
          <w:b/>
          <w:color w:val="auto"/>
          <w:sz w:val="24"/>
          <w:szCs w:val="24"/>
          <w:highlight w:val="none"/>
          <w:lang w:eastAsia="zh-CN"/>
        </w:rPr>
      </w:pPr>
      <w:bookmarkStart w:id="866" w:name="_Toc61947380"/>
      <w:bookmarkStart w:id="867" w:name="_Toc11332810"/>
      <w:r>
        <w:rPr>
          <w:rFonts w:hint="eastAsia" w:asciiTheme="minorEastAsia" w:hAnsiTheme="minorEastAsia" w:eastAsiaTheme="minorEastAsia" w:cstheme="minorEastAsia"/>
          <w:b/>
          <w:color w:val="auto"/>
          <w:sz w:val="24"/>
          <w:szCs w:val="24"/>
          <w:highlight w:val="none"/>
          <w:lang w:eastAsia="zh-CN"/>
        </w:rPr>
        <w:t>一、工程概况</w:t>
      </w:r>
      <w:bookmarkEnd w:id="866"/>
      <w:bookmarkEnd w:id="867"/>
    </w:p>
    <w:p w14:paraId="396CCE05">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z w:val="24"/>
          <w:szCs w:val="24"/>
          <w:highlight w:val="none"/>
          <w:lang w:eastAsia="zh-CN"/>
        </w:rPr>
        <w:t>1. 工程名称：</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w:t>
      </w:r>
    </w:p>
    <w:p w14:paraId="151F2F1B">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 工程地点：</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w:t>
      </w:r>
    </w:p>
    <w:p w14:paraId="6A56A661">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 工程规模：</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w:t>
      </w:r>
    </w:p>
    <w:p w14:paraId="3AD3CB29">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 工程范围：</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w:t>
      </w:r>
    </w:p>
    <w:p w14:paraId="1845A75D">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 工程概算投资额或建筑安装工程费：。</w:t>
      </w:r>
    </w:p>
    <w:p w14:paraId="39647FF4">
      <w:pPr>
        <w:spacing w:line="360" w:lineRule="auto"/>
        <w:ind w:firstLine="431" w:firstLineChars="179"/>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二、词语定义</w:t>
      </w:r>
    </w:p>
    <w:p w14:paraId="04C376B3">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合同协议书中相关词语的含义与合同通用条款中的定义与解释相同。</w:t>
      </w:r>
    </w:p>
    <w:p w14:paraId="4ED59097">
      <w:pPr>
        <w:spacing w:line="360" w:lineRule="auto"/>
        <w:ind w:firstLine="429" w:firstLineChars="179"/>
        <w:outlineLvl w:val="9"/>
        <w:rPr>
          <w:rFonts w:hint="eastAsia" w:asciiTheme="minorEastAsia" w:hAnsiTheme="minorEastAsia" w:eastAsiaTheme="minorEastAsia" w:cstheme="minorEastAsia"/>
          <w:color w:val="auto"/>
          <w:sz w:val="24"/>
          <w:szCs w:val="24"/>
          <w:highlight w:val="none"/>
          <w:lang w:eastAsia="zh-CN"/>
        </w:rPr>
      </w:pPr>
      <w:bookmarkStart w:id="868" w:name="_Toc61947381"/>
      <w:bookmarkStart w:id="869" w:name="_Toc11332811"/>
      <w:r>
        <w:rPr>
          <w:rFonts w:hint="eastAsia" w:asciiTheme="minorEastAsia" w:hAnsiTheme="minorEastAsia" w:eastAsiaTheme="minorEastAsia" w:cstheme="minorEastAsia"/>
          <w:color w:val="auto"/>
          <w:sz w:val="24"/>
          <w:szCs w:val="24"/>
          <w:highlight w:val="none"/>
          <w:lang w:eastAsia="zh-CN"/>
        </w:rPr>
        <w:t>三、组成合同的文件</w:t>
      </w:r>
      <w:bookmarkEnd w:id="868"/>
      <w:bookmarkEnd w:id="869"/>
    </w:p>
    <w:p w14:paraId="393DE0DD">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 合同协议书；</w:t>
      </w:r>
    </w:p>
    <w:p w14:paraId="01DB4AF0">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 中标通知书（适用于招标养护项目）或委托书（适用于非招标养护项目）；</w:t>
      </w:r>
    </w:p>
    <w:p w14:paraId="2735CA4F">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 投标</w:t>
      </w:r>
      <w:r>
        <w:rPr>
          <w:rFonts w:hint="eastAsia" w:asciiTheme="minorEastAsia" w:hAnsiTheme="minorEastAsia" w:eastAsiaTheme="minorEastAsia" w:cstheme="minorEastAsia"/>
          <w:color w:val="auto"/>
          <w:sz w:val="24"/>
          <w:szCs w:val="24"/>
          <w:highlight w:val="none"/>
          <w:lang w:val="en-US" w:eastAsia="zh-CN"/>
        </w:rPr>
        <w:t>书</w:t>
      </w:r>
      <w:r>
        <w:rPr>
          <w:rFonts w:hint="eastAsia" w:asciiTheme="minorEastAsia" w:hAnsiTheme="minorEastAsia" w:eastAsiaTheme="minorEastAsia" w:cstheme="minorEastAsia"/>
          <w:color w:val="auto"/>
          <w:sz w:val="24"/>
          <w:szCs w:val="24"/>
          <w:highlight w:val="none"/>
          <w:lang w:eastAsia="zh-CN"/>
        </w:rPr>
        <w:t>；</w:t>
      </w:r>
    </w:p>
    <w:p w14:paraId="0EA022F1">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 投标文件中的拟投入监理与相关服务人员、设备计划、监理大纲及相关服务方案（适用于招标养护项目）或监理与相关服务建议书（适用于非招标养护项目）；</w:t>
      </w:r>
    </w:p>
    <w:p w14:paraId="0C69A124">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 合同专用条款；</w:t>
      </w:r>
    </w:p>
    <w:p w14:paraId="05D9B165">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 合同通用条款；</w:t>
      </w:r>
    </w:p>
    <w:p w14:paraId="33214867">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7. 本工程适用的监理与相关服务有关的规范、规程，及其他合同文件。</w:t>
      </w:r>
    </w:p>
    <w:p w14:paraId="21CC8B65">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合同签订后，双方依法签订的补充协议也是合同文件的组成部分。</w:t>
      </w:r>
    </w:p>
    <w:p w14:paraId="6DCE9C8E">
      <w:pPr>
        <w:spacing w:line="360" w:lineRule="auto"/>
        <w:ind w:firstLine="431" w:firstLineChars="179"/>
        <w:outlineLvl w:val="9"/>
        <w:rPr>
          <w:rFonts w:hint="eastAsia" w:asciiTheme="minorEastAsia" w:hAnsiTheme="minorEastAsia" w:eastAsiaTheme="minorEastAsia" w:cstheme="minorEastAsia"/>
          <w:b/>
          <w:color w:val="auto"/>
          <w:sz w:val="24"/>
          <w:szCs w:val="24"/>
          <w:highlight w:val="none"/>
          <w:lang w:eastAsia="zh-CN"/>
        </w:rPr>
      </w:pPr>
      <w:bookmarkStart w:id="870" w:name="_Toc61947382"/>
      <w:bookmarkStart w:id="871" w:name="_Toc11332812"/>
      <w:r>
        <w:rPr>
          <w:rFonts w:hint="eastAsia" w:asciiTheme="minorEastAsia" w:hAnsiTheme="minorEastAsia" w:eastAsiaTheme="minorEastAsia" w:cstheme="minorEastAsia"/>
          <w:b/>
          <w:color w:val="auto"/>
          <w:sz w:val="24"/>
          <w:szCs w:val="24"/>
          <w:highlight w:val="none"/>
          <w:lang w:eastAsia="zh-CN"/>
        </w:rPr>
        <w:t>四、总监理工程师</w:t>
      </w:r>
      <w:bookmarkEnd w:id="870"/>
      <w:bookmarkEnd w:id="871"/>
    </w:p>
    <w:p w14:paraId="7402F395">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总监理工程师姓名： </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 xml:space="preserve">，身份证号码： </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 xml:space="preserve">，注册号： </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w:t>
      </w:r>
    </w:p>
    <w:p w14:paraId="0060EFC6">
      <w:pPr>
        <w:spacing w:line="360" w:lineRule="auto"/>
        <w:ind w:firstLine="431" w:firstLineChars="179"/>
        <w:outlineLvl w:val="9"/>
        <w:rPr>
          <w:rFonts w:hint="eastAsia" w:asciiTheme="minorEastAsia" w:hAnsiTheme="minorEastAsia" w:eastAsiaTheme="minorEastAsia" w:cstheme="minorEastAsia"/>
          <w:b/>
          <w:color w:val="auto"/>
          <w:sz w:val="24"/>
          <w:szCs w:val="24"/>
          <w:highlight w:val="none"/>
          <w:lang w:eastAsia="zh-CN"/>
        </w:rPr>
      </w:pPr>
      <w:bookmarkStart w:id="872" w:name="_Toc61947383"/>
      <w:bookmarkStart w:id="873" w:name="_Toc11332813"/>
      <w:r>
        <w:rPr>
          <w:rFonts w:hint="eastAsia" w:asciiTheme="minorEastAsia" w:hAnsiTheme="minorEastAsia" w:eastAsiaTheme="minorEastAsia" w:cstheme="minorEastAsia"/>
          <w:b/>
          <w:color w:val="auto"/>
          <w:sz w:val="24"/>
          <w:szCs w:val="24"/>
          <w:highlight w:val="none"/>
          <w:lang w:eastAsia="zh-CN"/>
        </w:rPr>
        <w:t>五、签约酬金与补偿费用</w:t>
      </w:r>
      <w:bookmarkEnd w:id="872"/>
      <w:bookmarkEnd w:id="873"/>
    </w:p>
    <w:p w14:paraId="004927B4">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（一）签约酬金（大写）： </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元（¥</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w:t>
      </w:r>
    </w:p>
    <w:p w14:paraId="639F900A">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包括：</w:t>
      </w:r>
    </w:p>
    <w:p w14:paraId="7CAC0445">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 监理酬金：</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w:t>
      </w:r>
    </w:p>
    <w:p w14:paraId="53F01EA3">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 相关服务酬金：</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w:t>
      </w:r>
    </w:p>
    <w:p w14:paraId="3FF71B1C">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其中：</w:t>
      </w:r>
    </w:p>
    <w:p w14:paraId="0DA401D4">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（1）保修期服务酬金：</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w:t>
      </w:r>
    </w:p>
    <w:p w14:paraId="22D7405B">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（2）其他相关服务酬金：</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w:t>
      </w:r>
    </w:p>
    <w:p w14:paraId="7F1C2E5F">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（二）委托人不提供或部分提供相应的人员、房屋、资料、设备、设施时的补偿费用（大写）：</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元（¥</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w:t>
      </w:r>
    </w:p>
    <w:p w14:paraId="179F2E36">
      <w:pPr>
        <w:spacing w:line="360" w:lineRule="auto"/>
        <w:ind w:firstLine="431" w:firstLineChars="179"/>
        <w:outlineLvl w:val="9"/>
        <w:rPr>
          <w:rFonts w:hint="eastAsia" w:asciiTheme="minorEastAsia" w:hAnsiTheme="minorEastAsia" w:eastAsiaTheme="minorEastAsia" w:cstheme="minorEastAsia"/>
          <w:b/>
          <w:color w:val="auto"/>
          <w:sz w:val="24"/>
          <w:szCs w:val="24"/>
          <w:highlight w:val="none"/>
          <w:lang w:eastAsia="zh-CN"/>
        </w:rPr>
      </w:pPr>
      <w:bookmarkStart w:id="874" w:name="_Toc61947384"/>
      <w:bookmarkStart w:id="875" w:name="_Toc11332814"/>
      <w:r>
        <w:rPr>
          <w:rFonts w:hint="eastAsia" w:asciiTheme="minorEastAsia" w:hAnsiTheme="minorEastAsia" w:eastAsiaTheme="minorEastAsia" w:cstheme="minorEastAsia"/>
          <w:b/>
          <w:color w:val="auto"/>
          <w:sz w:val="24"/>
          <w:szCs w:val="24"/>
          <w:highlight w:val="none"/>
          <w:lang w:eastAsia="zh-CN"/>
        </w:rPr>
        <w:t>六、期限</w:t>
      </w:r>
      <w:bookmarkEnd w:id="874"/>
      <w:bookmarkEnd w:id="875"/>
    </w:p>
    <w:p w14:paraId="09C75CDA">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 监理期限：</w:t>
      </w:r>
    </w:p>
    <w:p w14:paraId="209105B7">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自</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年</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月</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日始，至</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年</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月</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日止；共计</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天。</w:t>
      </w:r>
    </w:p>
    <w:p w14:paraId="7D4B276A">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 相关服务期限：</w:t>
      </w:r>
    </w:p>
    <w:p w14:paraId="0D1131AD">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（1）保修期服务期限自实际竣工日期至</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lang w:eastAsia="zh-CN"/>
        </w:rPr>
        <w:t>年</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lang w:eastAsia="zh-CN"/>
        </w:rPr>
        <w:t>月</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lang w:eastAsia="zh-CN"/>
        </w:rPr>
        <w:t>日止。</w:t>
      </w:r>
    </w:p>
    <w:p w14:paraId="6B4349D7">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（2）其他相关服务期限自</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年</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月</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日始，至</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年</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月</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日止。</w:t>
      </w:r>
    </w:p>
    <w:p w14:paraId="68FB0316">
      <w:pPr>
        <w:spacing w:line="360" w:lineRule="auto"/>
        <w:ind w:firstLine="431" w:firstLineChars="179"/>
        <w:outlineLvl w:val="9"/>
        <w:rPr>
          <w:rFonts w:hint="eastAsia" w:asciiTheme="minorEastAsia" w:hAnsiTheme="minorEastAsia" w:eastAsiaTheme="minorEastAsia" w:cstheme="minorEastAsia"/>
          <w:b/>
          <w:color w:val="auto"/>
          <w:sz w:val="24"/>
          <w:szCs w:val="24"/>
          <w:highlight w:val="none"/>
          <w:lang w:eastAsia="zh-CN"/>
        </w:rPr>
      </w:pPr>
      <w:bookmarkStart w:id="876" w:name="_Toc11332815"/>
      <w:bookmarkStart w:id="877" w:name="_Toc61947385"/>
      <w:r>
        <w:rPr>
          <w:rFonts w:hint="eastAsia" w:asciiTheme="minorEastAsia" w:hAnsiTheme="minorEastAsia" w:eastAsiaTheme="minorEastAsia" w:cstheme="minorEastAsia"/>
          <w:b/>
          <w:color w:val="auto"/>
          <w:sz w:val="24"/>
          <w:szCs w:val="24"/>
          <w:highlight w:val="none"/>
          <w:lang w:eastAsia="zh-CN"/>
        </w:rPr>
        <w:t>七、双方承诺</w:t>
      </w:r>
      <w:bookmarkEnd w:id="876"/>
      <w:bookmarkEnd w:id="877"/>
    </w:p>
    <w:p w14:paraId="09AAEF1C">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 监理人向委托人承诺，按照合同约定提供监理与相关服务。</w:t>
      </w:r>
    </w:p>
    <w:p w14:paraId="723D4A84">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 委托人向监理人承诺，按照合同约定提供相应的人员、房屋、资料、设备、设施，并按照合同约定支付酬金。</w:t>
      </w:r>
    </w:p>
    <w:p w14:paraId="633C4510">
      <w:pPr>
        <w:spacing w:line="360" w:lineRule="auto"/>
        <w:ind w:firstLine="431" w:firstLineChars="179"/>
        <w:outlineLvl w:val="9"/>
        <w:rPr>
          <w:rFonts w:hint="eastAsia" w:asciiTheme="minorEastAsia" w:hAnsiTheme="minorEastAsia" w:eastAsiaTheme="minorEastAsia" w:cstheme="minorEastAsia"/>
          <w:b/>
          <w:color w:val="auto"/>
          <w:sz w:val="24"/>
          <w:szCs w:val="24"/>
          <w:highlight w:val="none"/>
          <w:lang w:eastAsia="zh-CN"/>
        </w:rPr>
      </w:pPr>
      <w:bookmarkStart w:id="878" w:name="_Toc61947386"/>
      <w:bookmarkStart w:id="879" w:name="_Toc11332816"/>
      <w:r>
        <w:rPr>
          <w:rFonts w:hint="eastAsia" w:asciiTheme="minorEastAsia" w:hAnsiTheme="minorEastAsia" w:eastAsiaTheme="minorEastAsia" w:cstheme="minorEastAsia"/>
          <w:b/>
          <w:color w:val="auto"/>
          <w:sz w:val="24"/>
          <w:szCs w:val="24"/>
          <w:highlight w:val="none"/>
          <w:lang w:eastAsia="zh-CN"/>
        </w:rPr>
        <w:t>八、合同订立</w:t>
      </w:r>
      <w:bookmarkEnd w:id="878"/>
      <w:bookmarkEnd w:id="879"/>
    </w:p>
    <w:p w14:paraId="67B25BD3">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 订立时间：</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年</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月</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日。</w:t>
      </w:r>
    </w:p>
    <w:p w14:paraId="7304B29B">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 订立地点：</w:t>
      </w:r>
      <w:r>
        <w:rPr>
          <w:rFonts w:hint="eastAsia" w:asciiTheme="minorEastAsia" w:hAnsiTheme="minorEastAsia" w:eastAsiaTheme="minorEastAsia" w:cstheme="minorEastAsia"/>
          <w:color w:val="auto"/>
          <w:sz w:val="24"/>
          <w:szCs w:val="24"/>
          <w:highlight w:val="none"/>
          <w:u w:val="single"/>
          <w:lang w:eastAsia="zh-CN"/>
        </w:rPr>
        <w:t xml:space="preserve">北京市 </w:t>
      </w:r>
      <w:r>
        <w:rPr>
          <w:rFonts w:hint="eastAsia" w:asciiTheme="minorEastAsia" w:hAnsiTheme="minorEastAsia" w:eastAsiaTheme="minorEastAsia" w:cstheme="minorEastAsia"/>
          <w:color w:val="auto"/>
          <w:sz w:val="24"/>
          <w:szCs w:val="24"/>
          <w:highlight w:val="none"/>
          <w:lang w:eastAsia="zh-CN"/>
        </w:rPr>
        <w:t>。</w:t>
      </w:r>
    </w:p>
    <w:p w14:paraId="4795803B">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 合同一式份，具有同等法律效力，双方各执份</w:t>
      </w:r>
    </w:p>
    <w:p w14:paraId="034A5846">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p>
    <w:p w14:paraId="3A4E4422">
      <w:pPr>
        <w:adjustRightInd w:val="0"/>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委托人：</w:t>
      </w:r>
      <w:r>
        <w:rPr>
          <w:rFonts w:hint="eastAsia" w:asciiTheme="minorEastAsia" w:hAnsiTheme="minorEastAsia" w:eastAsiaTheme="minorEastAsia" w:cstheme="minorEastAsia"/>
          <w:color w:val="auto"/>
          <w:sz w:val="24"/>
          <w:szCs w:val="24"/>
          <w:highlight w:val="none"/>
          <w:u w:val="single"/>
          <w:lang w:eastAsia="zh-CN"/>
        </w:rPr>
        <w:t xml:space="preserve">（盖章）                      </w:t>
      </w:r>
      <w:r>
        <w:rPr>
          <w:rFonts w:hint="eastAsia" w:asciiTheme="minorEastAsia" w:hAnsiTheme="minorEastAsia" w:eastAsiaTheme="minorEastAsia" w:cstheme="minorEastAsia"/>
          <w:color w:val="auto"/>
          <w:sz w:val="24"/>
          <w:szCs w:val="24"/>
          <w:highlight w:val="none"/>
          <w:lang w:eastAsia="zh-CN"/>
        </w:rPr>
        <w:t xml:space="preserve">  监理人：</w:t>
      </w:r>
      <w:r>
        <w:rPr>
          <w:rFonts w:hint="eastAsia" w:asciiTheme="minorEastAsia" w:hAnsiTheme="minorEastAsia" w:eastAsiaTheme="minorEastAsia" w:cstheme="minorEastAsia"/>
          <w:color w:val="auto"/>
          <w:sz w:val="24"/>
          <w:szCs w:val="24"/>
          <w:highlight w:val="none"/>
          <w:u w:val="single"/>
          <w:lang w:eastAsia="zh-CN"/>
        </w:rPr>
        <w:t>（盖章）</w:t>
      </w:r>
    </w:p>
    <w:p w14:paraId="065693AE">
      <w:pPr>
        <w:adjustRightInd w:val="0"/>
        <w:snapToGrid w:val="0"/>
        <w:spacing w:line="360" w:lineRule="auto"/>
        <w:ind w:firstLine="1680" w:firstLineChars="700"/>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z w:val="24"/>
          <w:szCs w:val="24"/>
          <w:highlight w:val="none"/>
          <w:lang w:eastAsia="zh-CN"/>
        </w:rPr>
        <w:t xml:space="preserve">                          营业执照号：</w:t>
      </w:r>
    </w:p>
    <w:p w14:paraId="25E2227A">
      <w:pPr>
        <w:adjustRightInd w:val="0"/>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                                        资质证书编号：</w:t>
      </w:r>
    </w:p>
    <w:p w14:paraId="42468DAE">
      <w:pPr>
        <w:adjustRightInd w:val="0"/>
        <w:snapToGrid w:val="0"/>
        <w:spacing w:line="360" w:lineRule="auto"/>
        <w:ind w:firstLine="720" w:firstLineChars="3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                                  住所：</w:t>
      </w:r>
    </w:p>
    <w:p w14:paraId="30EE53BD">
      <w:pPr>
        <w:adjustRightInd w:val="0"/>
        <w:snapToGrid w:val="0"/>
        <w:spacing w:line="360" w:lineRule="auto"/>
        <w:ind w:firstLine="1200" w:firstLineChars="5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                              邮政编码：</w:t>
      </w:r>
    </w:p>
    <w:p w14:paraId="1A1E4D99">
      <w:pPr>
        <w:adjustRightInd w:val="0"/>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法定代表人或其委托                      法定代表人或其委托</w:t>
      </w:r>
    </w:p>
    <w:p w14:paraId="09585F44">
      <w:pPr>
        <w:adjustRightInd w:val="0"/>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代理人：</w:t>
      </w:r>
      <w:r>
        <w:rPr>
          <w:rFonts w:hint="eastAsia" w:asciiTheme="minorEastAsia" w:hAnsiTheme="minorEastAsia" w:eastAsiaTheme="minorEastAsia" w:cstheme="minorEastAsia"/>
          <w:color w:val="auto"/>
          <w:sz w:val="24"/>
          <w:szCs w:val="24"/>
          <w:highlight w:val="none"/>
          <w:u w:val="single"/>
          <w:lang w:eastAsia="zh-CN"/>
        </w:rPr>
        <w:t xml:space="preserve">（签字或盖章）              </w:t>
      </w:r>
      <w:r>
        <w:rPr>
          <w:rFonts w:hint="eastAsia" w:asciiTheme="minorEastAsia" w:hAnsiTheme="minorEastAsia" w:eastAsiaTheme="minorEastAsia" w:cstheme="minorEastAsia"/>
          <w:color w:val="auto"/>
          <w:sz w:val="24"/>
          <w:szCs w:val="24"/>
          <w:highlight w:val="none"/>
          <w:lang w:eastAsia="zh-CN"/>
        </w:rPr>
        <w:t xml:space="preserve">    代理人：</w:t>
      </w:r>
      <w:r>
        <w:rPr>
          <w:rFonts w:hint="eastAsia" w:asciiTheme="minorEastAsia" w:hAnsiTheme="minorEastAsia" w:eastAsiaTheme="minorEastAsia" w:cstheme="minorEastAsia"/>
          <w:color w:val="auto"/>
          <w:sz w:val="24"/>
          <w:szCs w:val="24"/>
          <w:highlight w:val="none"/>
          <w:u w:val="single"/>
          <w:lang w:eastAsia="zh-CN"/>
        </w:rPr>
        <w:t>（签字或盖章）</w:t>
      </w:r>
    </w:p>
    <w:p w14:paraId="00554C0A">
      <w:pPr>
        <w:adjustRightInd w:val="0"/>
        <w:snapToGrid w:val="0"/>
        <w:spacing w:line="360" w:lineRule="auto"/>
        <w:ind w:left="4557" w:leftChars="570" w:hanging="3360" w:hangingChars="14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                              开户银行：</w:t>
      </w:r>
    </w:p>
    <w:p w14:paraId="5F8C4033">
      <w:pPr>
        <w:adjustRightInd w:val="0"/>
        <w:snapToGrid w:val="0"/>
        <w:spacing w:line="360" w:lineRule="auto"/>
        <w:ind w:firstLine="720" w:firstLineChars="3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                                  账号：</w:t>
      </w:r>
    </w:p>
    <w:p w14:paraId="26746873">
      <w:pPr>
        <w:adjustRightInd w:val="0"/>
        <w:snapToGrid w:val="0"/>
        <w:spacing w:line="360" w:lineRule="auto"/>
        <w:ind w:firstLine="720" w:firstLineChars="3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                                  电话：</w:t>
      </w:r>
    </w:p>
    <w:p w14:paraId="627C5309">
      <w:pPr>
        <w:adjustRightInd w:val="0"/>
        <w:snapToGrid w:val="0"/>
        <w:spacing w:line="360" w:lineRule="auto"/>
        <w:ind w:firstLine="720" w:firstLineChars="3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                                  传真：</w:t>
      </w:r>
    </w:p>
    <w:p w14:paraId="33919BC3">
      <w:pPr>
        <w:adjustRightInd w:val="0"/>
        <w:snapToGrid w:val="0"/>
        <w:spacing w:line="360" w:lineRule="auto"/>
        <w:ind w:firstLine="1200" w:firstLineChars="5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                              电子邮箱：</w:t>
      </w:r>
    </w:p>
    <w:p w14:paraId="218EA121">
      <w:pPr>
        <w:spacing w:line="360" w:lineRule="auto"/>
        <w:ind w:firstLine="542" w:firstLineChars="225"/>
        <w:jc w:val="center"/>
        <w:rPr>
          <w:rFonts w:hint="eastAsia" w:asciiTheme="minorEastAsia" w:hAnsiTheme="minorEastAsia" w:eastAsiaTheme="minorEastAsia" w:cstheme="minorEastAsia"/>
          <w:b/>
          <w:color w:val="auto"/>
          <w:sz w:val="24"/>
          <w:szCs w:val="24"/>
          <w:highlight w:val="none"/>
          <w:lang w:eastAsia="zh-CN"/>
        </w:rPr>
        <w:sectPr>
          <w:headerReference r:id="rId23" w:type="default"/>
          <w:footerReference r:id="rId25" w:type="default"/>
          <w:headerReference r:id="rId24" w:type="even"/>
          <w:footerReference r:id="rId26" w:type="even"/>
          <w:pgSz w:w="11906" w:h="16838"/>
          <w:pgMar w:top="1440" w:right="1588" w:bottom="1440" w:left="1588" w:header="851" w:footer="992" w:gutter="0"/>
          <w:pgNumType w:fmt="decimal"/>
          <w:cols w:space="720" w:num="1"/>
          <w:titlePg/>
          <w:docGrid w:type="lines" w:linePitch="312" w:charSpace="0"/>
        </w:sectPr>
      </w:pPr>
    </w:p>
    <w:p w14:paraId="3ED0EE13">
      <w:pPr>
        <w:pageBreakBefore/>
        <w:spacing w:line="360" w:lineRule="auto"/>
        <w:ind w:firstLine="357"/>
        <w:jc w:val="center"/>
        <w:outlineLvl w:val="9"/>
        <w:rPr>
          <w:rFonts w:hint="eastAsia" w:asciiTheme="minorEastAsia" w:hAnsiTheme="minorEastAsia" w:eastAsiaTheme="minorEastAsia" w:cstheme="minorEastAsia"/>
          <w:b/>
          <w:bCs/>
          <w:color w:val="auto"/>
          <w:sz w:val="24"/>
          <w:szCs w:val="24"/>
          <w:highlight w:val="none"/>
          <w:lang w:eastAsia="zh-CN"/>
        </w:rPr>
      </w:pPr>
      <w:bookmarkStart w:id="880" w:name="_Toc61947387"/>
      <w:bookmarkStart w:id="881" w:name="_Toc11332817"/>
      <w:r>
        <w:rPr>
          <w:rFonts w:hint="eastAsia" w:asciiTheme="minorEastAsia" w:hAnsiTheme="minorEastAsia" w:eastAsiaTheme="minorEastAsia" w:cstheme="minorEastAsia"/>
          <w:b/>
          <w:bCs/>
          <w:color w:val="auto"/>
          <w:sz w:val="24"/>
          <w:szCs w:val="24"/>
          <w:highlight w:val="none"/>
          <w:lang w:eastAsia="zh-CN"/>
        </w:rPr>
        <w:t>第二部分合同通用条款</w:t>
      </w:r>
      <w:bookmarkEnd w:id="880"/>
      <w:bookmarkEnd w:id="881"/>
    </w:p>
    <w:p w14:paraId="77BA3289">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p>
    <w:p w14:paraId="24B7ECEF">
      <w:pPr>
        <w:adjustRightInd w:val="0"/>
        <w:spacing w:before="120" w:beforeLines="50" w:line="360" w:lineRule="auto"/>
        <w:outlineLvl w:val="9"/>
        <w:rPr>
          <w:rFonts w:hint="eastAsia" w:asciiTheme="minorEastAsia" w:hAnsiTheme="minorEastAsia" w:eastAsiaTheme="minorEastAsia" w:cstheme="minorEastAsia"/>
          <w:color w:val="auto"/>
          <w:sz w:val="24"/>
          <w:szCs w:val="24"/>
          <w:highlight w:val="none"/>
          <w:lang w:eastAsia="zh-CN"/>
        </w:rPr>
      </w:pPr>
      <w:bookmarkStart w:id="882" w:name="_Toc371398288"/>
      <w:bookmarkStart w:id="883" w:name="_Toc61947388"/>
      <w:bookmarkStart w:id="884" w:name="_Toc11332818"/>
      <w:r>
        <w:rPr>
          <w:rFonts w:hint="eastAsia" w:asciiTheme="minorEastAsia" w:hAnsiTheme="minorEastAsia" w:eastAsiaTheme="minorEastAsia" w:cstheme="minorEastAsia"/>
          <w:color w:val="auto"/>
          <w:sz w:val="24"/>
          <w:szCs w:val="24"/>
          <w:highlight w:val="none"/>
          <w:lang w:eastAsia="zh-CN"/>
        </w:rPr>
        <w:t>1. 一般约定</w:t>
      </w:r>
      <w:bookmarkEnd w:id="882"/>
      <w:bookmarkEnd w:id="883"/>
      <w:bookmarkEnd w:id="884"/>
    </w:p>
    <w:p w14:paraId="018E4685">
      <w:pPr>
        <w:outlineLvl w:val="9"/>
        <w:rPr>
          <w:rFonts w:hint="eastAsia" w:asciiTheme="minorEastAsia" w:hAnsiTheme="minorEastAsia" w:eastAsiaTheme="minorEastAsia" w:cstheme="minorEastAsia"/>
          <w:b w:val="0"/>
          <w:color w:val="auto"/>
          <w:sz w:val="24"/>
          <w:szCs w:val="24"/>
          <w:highlight w:val="none"/>
          <w:lang w:eastAsia="zh-CN"/>
        </w:rPr>
      </w:pPr>
      <w:bookmarkStart w:id="885" w:name="_Toc371398289"/>
      <w:bookmarkStart w:id="886" w:name="_Toc61947389"/>
      <w:bookmarkStart w:id="887" w:name="_Toc11332819"/>
      <w:r>
        <w:rPr>
          <w:rFonts w:hint="eastAsia" w:asciiTheme="minorEastAsia" w:hAnsiTheme="minorEastAsia" w:eastAsiaTheme="minorEastAsia" w:cstheme="minorEastAsia"/>
          <w:color w:val="auto"/>
          <w:sz w:val="24"/>
          <w:szCs w:val="24"/>
          <w:highlight w:val="none"/>
          <w:lang w:eastAsia="zh-CN"/>
        </w:rPr>
        <w:t>1.1 词语定义</w:t>
      </w:r>
      <w:bookmarkEnd w:id="885"/>
      <w:bookmarkEnd w:id="886"/>
      <w:bookmarkEnd w:id="887"/>
    </w:p>
    <w:p w14:paraId="7BBDE463">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除根据上下文另有意义或合同专用条款另有约定外，合同中的下列名词和用语应当具有本款所赋予的含义：</w:t>
      </w:r>
    </w:p>
    <w:p w14:paraId="58A00C42">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1.1.1 “工程”是指按照合同约定实施监理与相关服务的建设工程。</w:t>
      </w:r>
    </w:p>
    <w:p w14:paraId="03858B33">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1.1.2 “合同”是指合同协议书、中标通知书（适用于招标工程）、投标文件中的投标函及投标函附录、拟投入监理与相关服务人员、设备及监理大纲及相关服务方案（适用于招标工程）或监理与相关服务建议书（适用于非招标工程）、合同专用条款、合同通用条款以及其他合同文件。</w:t>
      </w:r>
    </w:p>
    <w:p w14:paraId="66A39D03">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1.1.3 “委托人”是指合同协议书中指明，委托监理与相关服务的当事人，及其合法的继承人或受让人。</w:t>
      </w:r>
    </w:p>
    <w:p w14:paraId="53E7A4C5">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1.1.4 “监理人”是指合同协议书中指明，具备相应资质的，提供监理与相关服务的当事人，及其合法的继承人。</w:t>
      </w:r>
    </w:p>
    <w:p w14:paraId="4369AC22">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1.1.5 “承包人”是指在工程范围内与委托人签订施工合同的当事人，及其合法的继承人。当相关服务包括勘察、设计等相关服务时，承包人包括与委托人签订勘察、设计等有关合同的当事人及其合法的继承人。</w:t>
      </w:r>
    </w:p>
    <w:p w14:paraId="3717CE62">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1.1.6 “监理”是指监理人根据法律法规、工程建设标准、勘察设计文件及合同，在施工阶段对建设工程质量、进度、造价进行控制，对合同、信息进行管理，对工程建设相关方的关系进行协调，并履行建设工程安全生产管理法定及合同约定职责的服务活动。</w:t>
      </w:r>
    </w:p>
    <w:p w14:paraId="4E32FEEB">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1.1.7 “相关服务”是指监理人按照合同约定提供的施工阶段监理以外的其他服务，包括保修期提供的服务等。</w:t>
      </w:r>
    </w:p>
    <w:p w14:paraId="40F3F404">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1.1.8 “正常工作”是指合同订立时约定的监理人在监理与相关服务期限和范围内的工作。</w:t>
      </w:r>
    </w:p>
    <w:p w14:paraId="48BEC981">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1.1.9 “附加工作”是指合同约定正常工作以外的监理人工作。</w:t>
      </w:r>
    </w:p>
    <w:p w14:paraId="1645AD57">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1.1.10 “项目监理与相关服务机构”是指监理人派驻本工程负责履行合同的组织机构。</w:t>
      </w:r>
    </w:p>
    <w:p w14:paraId="3B3C13C7">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1.1.11 “总监理工程师”是指由监理人的法定代表人书面授权，全面负责履行合同、主持项目监理与相关服务机构工作的注册监理工程师。</w:t>
      </w:r>
    </w:p>
    <w:p w14:paraId="3A481584">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1.1.12 “委托人代表”是指由委托人任命的，在委托授权范围内代表委托人行使合同约定的权利并履行约定义务的委托代理人。</w:t>
      </w:r>
    </w:p>
    <w:p w14:paraId="5DC7FA0F">
      <w:pPr>
        <w:adjustRightInd w:val="0"/>
        <w:snapToGrid w:val="0"/>
        <w:spacing w:line="360" w:lineRule="auto"/>
        <w:ind w:firstLine="475" w:firstLineChars="198"/>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1.1.13 “酬金”是指监理人履行合同义务，委托人按照合同约定给付监理人的金额。</w:t>
      </w:r>
    </w:p>
    <w:p w14:paraId="1A75E3DF">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1.1.14 “正常工作酬金”是指监理人完成正常工作，委托人应当给付监理人并在合同协议书中载明的签约酬金额。</w:t>
      </w:r>
    </w:p>
    <w:p w14:paraId="68012EAA">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1.1.15 “附加工作酬金”是指监理人完成附加工作，委托人应当给付监理人的金额。</w:t>
      </w:r>
    </w:p>
    <w:p w14:paraId="067F7565">
      <w:pPr>
        <w:adjustRightInd w:val="0"/>
        <w:snapToGrid w:val="0"/>
        <w:spacing w:line="360" w:lineRule="auto"/>
        <w:ind w:firstLine="475" w:firstLineChars="198"/>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1.1.16 “补偿费用”是指委托人不提供或部分提供相应的人员、</w:t>
      </w:r>
      <w:r>
        <w:rPr>
          <w:rFonts w:hint="eastAsia" w:asciiTheme="minorEastAsia" w:hAnsiTheme="minorEastAsia" w:eastAsiaTheme="minorEastAsia" w:cstheme="minorEastAsia"/>
          <w:bCs/>
          <w:color w:val="auto"/>
          <w:sz w:val="24"/>
          <w:szCs w:val="24"/>
          <w:highlight w:val="none"/>
          <w:lang w:eastAsia="zh-CN"/>
        </w:rPr>
        <w:t>房屋、资料</w:t>
      </w:r>
      <w:r>
        <w:rPr>
          <w:rFonts w:hint="eastAsia" w:asciiTheme="minorEastAsia" w:hAnsiTheme="minorEastAsia" w:eastAsiaTheme="minorEastAsia" w:cstheme="minorEastAsia"/>
          <w:color w:val="auto"/>
          <w:sz w:val="24"/>
          <w:szCs w:val="24"/>
          <w:highlight w:val="none"/>
          <w:lang w:eastAsia="zh-CN"/>
        </w:rPr>
        <w:t>、设备、设施时应当补偿的费用。</w:t>
      </w:r>
    </w:p>
    <w:p w14:paraId="232268D7">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1.1.17 “一方”是指委托人或监理人；“双方”是指委托人和监理人；“第三方”是指除委托人和监理人以外的有关方。</w:t>
      </w:r>
    </w:p>
    <w:p w14:paraId="285A8390">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1.1.18 “书面形式”是指信件和数据电文（包括电报、电传、传真、电子数据交换和电子邮件）等可以有形地表现所载内容的形式。</w:t>
      </w:r>
    </w:p>
    <w:p w14:paraId="204A2B0B">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1.1.19 “监理与相关服务期限”是指合同协议书中约定的监理人提供监理与相关服务的期限。</w:t>
      </w:r>
    </w:p>
    <w:p w14:paraId="1BAD4951">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1.1.20 “天”是指第一天零时至第二天零时的时间。</w:t>
      </w:r>
    </w:p>
    <w:p w14:paraId="2DDF6350">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1.1.21 “不可抗力”是指委托人和监理人在订立本合同时不可预见，在工程施工过程中不可避免发生并不能克服的自然灾害和社会性突发事件，如地震、海啸、瘟疫、水灾、骚乱、暴动、战争和专用条款约定的其他情形。</w:t>
      </w:r>
    </w:p>
    <w:p w14:paraId="3A7C6E4D">
      <w:pPr>
        <w:outlineLvl w:val="9"/>
        <w:rPr>
          <w:rFonts w:hint="eastAsia" w:asciiTheme="minorEastAsia" w:hAnsiTheme="minorEastAsia" w:eastAsiaTheme="minorEastAsia" w:cstheme="minorEastAsia"/>
          <w:b w:val="0"/>
          <w:color w:val="auto"/>
          <w:sz w:val="24"/>
          <w:szCs w:val="24"/>
          <w:highlight w:val="none"/>
          <w:lang w:eastAsia="zh-CN"/>
        </w:rPr>
      </w:pPr>
      <w:bookmarkStart w:id="888" w:name="_Toc371398290"/>
      <w:bookmarkStart w:id="889" w:name="_Toc61947390"/>
      <w:bookmarkStart w:id="890" w:name="_Toc11332820"/>
      <w:r>
        <w:rPr>
          <w:rFonts w:hint="eastAsia" w:asciiTheme="minorEastAsia" w:hAnsiTheme="minorEastAsia" w:eastAsiaTheme="minorEastAsia" w:cstheme="minorEastAsia"/>
          <w:color w:val="auto"/>
          <w:sz w:val="24"/>
          <w:szCs w:val="24"/>
          <w:highlight w:val="none"/>
          <w:lang w:eastAsia="zh-CN"/>
        </w:rPr>
        <w:t>1.2 解释</w:t>
      </w:r>
      <w:bookmarkEnd w:id="888"/>
      <w:bookmarkEnd w:id="889"/>
      <w:bookmarkEnd w:id="890"/>
    </w:p>
    <w:p w14:paraId="4A79129F">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合同使用中文书写、解释和说明。如合同专用条款约定使用两种及以上语言文字时，应当以中文为准。</w:t>
      </w:r>
    </w:p>
    <w:p w14:paraId="50567E57">
      <w:pPr>
        <w:outlineLvl w:val="9"/>
        <w:rPr>
          <w:rFonts w:hint="eastAsia" w:asciiTheme="minorEastAsia" w:hAnsiTheme="minorEastAsia" w:eastAsiaTheme="minorEastAsia" w:cstheme="minorEastAsia"/>
          <w:b w:val="0"/>
          <w:color w:val="auto"/>
          <w:sz w:val="24"/>
          <w:szCs w:val="24"/>
          <w:highlight w:val="none"/>
          <w:lang w:eastAsia="zh-CN"/>
        </w:rPr>
      </w:pPr>
      <w:bookmarkStart w:id="891" w:name="_Toc11332821"/>
      <w:bookmarkStart w:id="892" w:name="_Toc61947391"/>
      <w:bookmarkStart w:id="893" w:name="_Toc371398291"/>
      <w:r>
        <w:rPr>
          <w:rFonts w:hint="eastAsia" w:asciiTheme="minorEastAsia" w:hAnsiTheme="minorEastAsia" w:eastAsiaTheme="minorEastAsia" w:cstheme="minorEastAsia"/>
          <w:color w:val="auto"/>
          <w:sz w:val="24"/>
          <w:szCs w:val="24"/>
          <w:highlight w:val="none"/>
          <w:lang w:eastAsia="zh-CN"/>
        </w:rPr>
        <w:t>1.3 合同文件组成与解释顺序</w:t>
      </w:r>
      <w:bookmarkEnd w:id="891"/>
      <w:bookmarkEnd w:id="892"/>
      <w:bookmarkEnd w:id="893"/>
    </w:p>
    <w:p w14:paraId="71653C0D">
      <w:pPr>
        <w:tabs>
          <w:tab w:val="left" w:pos="6140"/>
        </w:tabs>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组成合同的下列文件彼此应当相互解释、互为说明。除合同专用条款另有约定外，合同文件的解释顺序如下：</w:t>
      </w:r>
    </w:p>
    <w:p w14:paraId="264D3D37">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（1）合同协议书；</w:t>
      </w:r>
    </w:p>
    <w:p w14:paraId="78EB2720">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（2）中标通知书（适用于招标工程）或委托书（适用于非招标工程）；</w:t>
      </w:r>
    </w:p>
    <w:p w14:paraId="08F3087F">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（3）投标函及投标函附录；</w:t>
      </w:r>
    </w:p>
    <w:p w14:paraId="778D7E44">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（4）投标文件中的拟投入监理与相关服务人员、设备计划、监理大纲及相关服务方案（适用于招标工程）或监理与相关服务建议书（适用于非招标工程）；</w:t>
      </w:r>
    </w:p>
    <w:p w14:paraId="731F8488">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（5）合同专用条款；</w:t>
      </w:r>
    </w:p>
    <w:p w14:paraId="2C46152B">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（6）合同通用条款；</w:t>
      </w:r>
    </w:p>
    <w:p w14:paraId="7DE7B8DE">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（7）本工程适用的监理与相关服务有关的规范、规程，及其他合同文件。</w:t>
      </w:r>
    </w:p>
    <w:p w14:paraId="06BDFD9B">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双方签订的补充协议与其他文件发生矛盾或歧义时，属于同一类内容的文件，以最新签署的为准，但招标工程的补充协议不得背离合同的实质性内容。</w:t>
      </w:r>
    </w:p>
    <w:p w14:paraId="189BF9A6">
      <w:pPr>
        <w:outlineLvl w:val="9"/>
        <w:rPr>
          <w:rFonts w:hint="eastAsia" w:asciiTheme="minorEastAsia" w:hAnsiTheme="minorEastAsia" w:eastAsiaTheme="minorEastAsia" w:cstheme="minorEastAsia"/>
          <w:b w:val="0"/>
          <w:color w:val="auto"/>
          <w:sz w:val="24"/>
          <w:szCs w:val="24"/>
          <w:highlight w:val="none"/>
          <w:lang w:eastAsia="zh-CN"/>
        </w:rPr>
      </w:pPr>
      <w:bookmarkStart w:id="894" w:name="_Toc371398292"/>
      <w:bookmarkStart w:id="895" w:name="_Toc61947392"/>
      <w:bookmarkStart w:id="896" w:name="_Toc11332822"/>
      <w:r>
        <w:rPr>
          <w:rFonts w:hint="eastAsia" w:asciiTheme="minorEastAsia" w:hAnsiTheme="minorEastAsia" w:eastAsiaTheme="minorEastAsia" w:cstheme="minorEastAsia"/>
          <w:color w:val="auto"/>
          <w:sz w:val="24"/>
          <w:szCs w:val="24"/>
          <w:highlight w:val="none"/>
          <w:lang w:eastAsia="zh-CN"/>
        </w:rPr>
        <w:t>1.4 通知</w:t>
      </w:r>
      <w:bookmarkEnd w:id="894"/>
      <w:bookmarkEnd w:id="895"/>
      <w:bookmarkEnd w:id="896"/>
    </w:p>
    <w:p w14:paraId="14D78D10">
      <w:pPr>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与合同有关的通知均应当采用书面形式，并在送达对方时生效，收件人应当签收或回复。</w:t>
      </w:r>
    </w:p>
    <w:p w14:paraId="1498B24C">
      <w:pPr>
        <w:outlineLvl w:val="9"/>
        <w:rPr>
          <w:rFonts w:hint="eastAsia" w:asciiTheme="minorEastAsia" w:hAnsiTheme="minorEastAsia" w:eastAsiaTheme="minorEastAsia" w:cstheme="minorEastAsia"/>
          <w:b w:val="0"/>
          <w:color w:val="auto"/>
          <w:sz w:val="24"/>
          <w:szCs w:val="24"/>
          <w:highlight w:val="none"/>
          <w:lang w:eastAsia="zh-CN"/>
        </w:rPr>
      </w:pPr>
      <w:bookmarkStart w:id="897" w:name="_Toc61947393"/>
      <w:bookmarkStart w:id="898" w:name="_Toc11332823"/>
      <w:bookmarkStart w:id="899" w:name="_Toc371398293"/>
      <w:r>
        <w:rPr>
          <w:rFonts w:hint="eastAsia" w:asciiTheme="minorEastAsia" w:hAnsiTheme="minorEastAsia" w:eastAsiaTheme="minorEastAsia" w:cstheme="minorEastAsia"/>
          <w:color w:val="auto"/>
          <w:sz w:val="24"/>
          <w:szCs w:val="24"/>
          <w:highlight w:val="none"/>
          <w:lang w:eastAsia="zh-CN"/>
        </w:rPr>
        <w:t>1.5 保密</w:t>
      </w:r>
      <w:bookmarkEnd w:id="897"/>
      <w:bookmarkEnd w:id="898"/>
      <w:bookmarkEnd w:id="899"/>
    </w:p>
    <w:p w14:paraId="60B5FBB4">
      <w:pPr>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双方不得泄露对方申明的保密资料，亦不得泄露与实施工程有关的第三方所提供的保密资料，保密事项及保密期限在合同专用条款中约定。</w:t>
      </w:r>
    </w:p>
    <w:p w14:paraId="67EB17C1">
      <w:pPr>
        <w:outlineLvl w:val="9"/>
        <w:rPr>
          <w:rFonts w:hint="eastAsia" w:asciiTheme="minorEastAsia" w:hAnsiTheme="minorEastAsia" w:eastAsiaTheme="minorEastAsia" w:cstheme="minorEastAsia"/>
          <w:b w:val="0"/>
          <w:color w:val="auto"/>
          <w:sz w:val="24"/>
          <w:szCs w:val="24"/>
          <w:highlight w:val="none"/>
          <w:lang w:eastAsia="zh-CN"/>
        </w:rPr>
      </w:pPr>
      <w:bookmarkStart w:id="900" w:name="_Toc11332824"/>
      <w:bookmarkStart w:id="901" w:name="_Toc61947394"/>
      <w:bookmarkStart w:id="902" w:name="_Toc371398294"/>
      <w:r>
        <w:rPr>
          <w:rFonts w:hint="eastAsia" w:asciiTheme="minorEastAsia" w:hAnsiTheme="minorEastAsia" w:eastAsiaTheme="minorEastAsia" w:cstheme="minorEastAsia"/>
          <w:color w:val="auto"/>
          <w:sz w:val="24"/>
          <w:szCs w:val="24"/>
          <w:highlight w:val="none"/>
          <w:lang w:eastAsia="zh-CN"/>
        </w:rPr>
        <w:t>1.6 著作权</w:t>
      </w:r>
      <w:bookmarkEnd w:id="900"/>
      <w:bookmarkEnd w:id="901"/>
      <w:bookmarkEnd w:id="902"/>
    </w:p>
    <w:p w14:paraId="3C9D5404">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监理人对其编制的文件拥有著作权。</w:t>
      </w:r>
    </w:p>
    <w:p w14:paraId="69C6CF76">
      <w:pPr>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监理人可单独或与他人联合出版有关监理与相关服务的资料。除合同专用条款另有约定外，如果监理人在合同履行期间及合同终止后两年内出版涉及本工程的有关监理与相关服务的资料，应当征得委托人的同意。</w:t>
      </w:r>
    </w:p>
    <w:p w14:paraId="5D683F21">
      <w:pPr>
        <w:adjustRightInd w:val="0"/>
        <w:spacing w:before="120" w:beforeLines="50" w:line="360" w:lineRule="auto"/>
        <w:outlineLvl w:val="9"/>
        <w:rPr>
          <w:rFonts w:hint="eastAsia" w:asciiTheme="minorEastAsia" w:hAnsiTheme="minorEastAsia" w:eastAsiaTheme="minorEastAsia" w:cstheme="minorEastAsia"/>
          <w:color w:val="auto"/>
          <w:sz w:val="24"/>
          <w:szCs w:val="24"/>
          <w:highlight w:val="none"/>
          <w:lang w:eastAsia="zh-CN"/>
        </w:rPr>
      </w:pPr>
      <w:bookmarkStart w:id="903" w:name="_Toc61947395"/>
      <w:bookmarkStart w:id="904" w:name="_Toc11332825"/>
      <w:bookmarkStart w:id="905" w:name="_Toc371398295"/>
      <w:r>
        <w:rPr>
          <w:rFonts w:hint="eastAsia" w:asciiTheme="minorEastAsia" w:hAnsiTheme="minorEastAsia" w:eastAsiaTheme="minorEastAsia" w:cstheme="minorEastAsia"/>
          <w:color w:val="auto"/>
          <w:sz w:val="24"/>
          <w:szCs w:val="24"/>
          <w:highlight w:val="none"/>
          <w:lang w:eastAsia="zh-CN"/>
        </w:rPr>
        <w:t>2. 监理人的义务</w:t>
      </w:r>
      <w:bookmarkEnd w:id="903"/>
      <w:bookmarkEnd w:id="904"/>
      <w:bookmarkEnd w:id="905"/>
    </w:p>
    <w:p w14:paraId="161837A1">
      <w:pPr>
        <w:outlineLvl w:val="9"/>
        <w:rPr>
          <w:rFonts w:hint="eastAsia" w:asciiTheme="minorEastAsia" w:hAnsiTheme="minorEastAsia" w:eastAsiaTheme="minorEastAsia" w:cstheme="minorEastAsia"/>
          <w:b w:val="0"/>
          <w:color w:val="auto"/>
          <w:sz w:val="24"/>
          <w:szCs w:val="24"/>
          <w:highlight w:val="none"/>
          <w:lang w:eastAsia="zh-CN"/>
        </w:rPr>
      </w:pPr>
      <w:bookmarkStart w:id="906" w:name="_Toc61947396"/>
      <w:bookmarkStart w:id="907" w:name="_Toc371398296"/>
      <w:bookmarkStart w:id="908" w:name="_Toc11332826"/>
      <w:r>
        <w:rPr>
          <w:rFonts w:hint="eastAsia" w:asciiTheme="minorEastAsia" w:hAnsiTheme="minorEastAsia" w:eastAsiaTheme="minorEastAsia" w:cstheme="minorEastAsia"/>
          <w:color w:val="auto"/>
          <w:sz w:val="24"/>
          <w:szCs w:val="24"/>
          <w:highlight w:val="none"/>
          <w:lang w:eastAsia="zh-CN"/>
        </w:rPr>
        <w:t>2.1 监理与相关服务的工程范围和服务内容</w:t>
      </w:r>
      <w:bookmarkEnd w:id="906"/>
      <w:bookmarkEnd w:id="907"/>
      <w:bookmarkEnd w:id="908"/>
    </w:p>
    <w:p w14:paraId="244BC969">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2.1.1 监理与相关服务的工程范围在合同专用条款中约定。</w:t>
      </w:r>
    </w:p>
    <w:p w14:paraId="3BEE7FCA">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2.1.2 除合同专用条款另有约定外，监理内容指监理人根据法律法规、工程建设标准、勘察设计文件及合同，在施工阶段对建设工程质量、进度、造价进行控制，对合同、信息进行管理，对工程建设相关方的关系进行协调，并履行法定及合同约定的建设工程安全生产管理职责。</w:t>
      </w:r>
    </w:p>
    <w:p w14:paraId="6484BAAE">
      <w:pPr>
        <w:spacing w:line="360" w:lineRule="auto"/>
        <w:ind w:firstLine="420" w:firstLineChars="17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2.1.3除合同专用条款另有约定外，委托人委托的下列内容，应当作为监理相关服务内容：</w:t>
      </w:r>
    </w:p>
    <w:p w14:paraId="74E57CBC">
      <w:pPr>
        <w:spacing w:line="360" w:lineRule="auto"/>
        <w:ind w:firstLine="420" w:firstLineChars="17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2.1.3.1保修期内定期回访，调查和确认缺陷原因及责任，检查缺陷修复质量；</w:t>
      </w:r>
    </w:p>
    <w:p w14:paraId="1F912156">
      <w:pPr>
        <w:spacing w:line="360" w:lineRule="auto"/>
        <w:ind w:firstLine="420" w:firstLineChars="17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2.1.3.2委托人要求监理人外出考察；</w:t>
      </w:r>
    </w:p>
    <w:p w14:paraId="7C5A2358">
      <w:pPr>
        <w:spacing w:line="360" w:lineRule="auto"/>
        <w:ind w:firstLine="420" w:firstLineChars="17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2.1.3.3委托人要求监理人进行的材料和设备检测；</w:t>
      </w:r>
    </w:p>
    <w:p w14:paraId="0FD04D24">
      <w:pPr>
        <w:spacing w:line="360" w:lineRule="auto"/>
        <w:ind w:firstLine="420" w:firstLineChars="17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2.1.3.4委托人要求监理人组织相关咨询论证会以及聘请相关专家；</w:t>
      </w:r>
    </w:p>
    <w:p w14:paraId="48015763">
      <w:pPr>
        <w:spacing w:line="360" w:lineRule="auto"/>
        <w:ind w:firstLine="420" w:firstLineChars="17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2.1.3.5其他相关服务的内容在合同专用条款中约定。</w:t>
      </w:r>
    </w:p>
    <w:p w14:paraId="48C2919B">
      <w:pPr>
        <w:outlineLvl w:val="9"/>
        <w:rPr>
          <w:rFonts w:hint="eastAsia" w:asciiTheme="minorEastAsia" w:hAnsiTheme="minorEastAsia" w:eastAsiaTheme="minorEastAsia" w:cstheme="minorEastAsia"/>
          <w:b w:val="0"/>
          <w:color w:val="auto"/>
          <w:sz w:val="24"/>
          <w:szCs w:val="24"/>
          <w:highlight w:val="none"/>
          <w:lang w:eastAsia="zh-CN"/>
        </w:rPr>
      </w:pPr>
      <w:bookmarkStart w:id="909" w:name="_Toc11332827"/>
      <w:bookmarkStart w:id="910" w:name="_Toc61947397"/>
      <w:bookmarkStart w:id="911" w:name="_Toc371398297"/>
      <w:r>
        <w:rPr>
          <w:rFonts w:hint="eastAsia" w:asciiTheme="minorEastAsia" w:hAnsiTheme="minorEastAsia" w:eastAsiaTheme="minorEastAsia" w:cstheme="minorEastAsia"/>
          <w:color w:val="auto"/>
          <w:sz w:val="24"/>
          <w:szCs w:val="24"/>
          <w:highlight w:val="none"/>
          <w:lang w:eastAsia="zh-CN"/>
        </w:rPr>
        <w:t>2.2 监理与相关服务依据</w:t>
      </w:r>
      <w:bookmarkEnd w:id="909"/>
      <w:bookmarkEnd w:id="910"/>
      <w:bookmarkEnd w:id="911"/>
    </w:p>
    <w:p w14:paraId="1842A395">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2.2.1 监理依据包括：</w:t>
      </w:r>
    </w:p>
    <w:p w14:paraId="4B7371B9">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（1）适用的法律、法规及部门规章；</w:t>
      </w:r>
    </w:p>
    <w:p w14:paraId="2C2A547B">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（2）与工程有关的标准；</w:t>
      </w:r>
    </w:p>
    <w:p w14:paraId="6F2C52AF">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（3）工程设计及有关文件；</w:t>
      </w:r>
    </w:p>
    <w:p w14:paraId="0A9CCFB7">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（4）合同及委托人与第三方签订的与实施工程有关的其他合同；</w:t>
      </w:r>
    </w:p>
    <w:p w14:paraId="64993D0F">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（5）国家及本市监理服务规范、规程。</w:t>
      </w:r>
    </w:p>
    <w:p w14:paraId="674262F5">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双方可根据工程的行业特点，在合同专用条款中补充约定具体监理依据。</w:t>
      </w:r>
    </w:p>
    <w:p w14:paraId="69DD3B31">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2.2.2 相关服务依据在合同专用条款中约定。</w:t>
      </w:r>
    </w:p>
    <w:p w14:paraId="5E401FF5">
      <w:pPr>
        <w:outlineLvl w:val="9"/>
        <w:rPr>
          <w:rFonts w:hint="eastAsia" w:asciiTheme="minorEastAsia" w:hAnsiTheme="minorEastAsia" w:eastAsiaTheme="minorEastAsia" w:cstheme="minorEastAsia"/>
          <w:b w:val="0"/>
          <w:color w:val="auto"/>
          <w:sz w:val="24"/>
          <w:szCs w:val="24"/>
          <w:highlight w:val="none"/>
          <w:lang w:eastAsia="zh-CN"/>
        </w:rPr>
      </w:pPr>
      <w:bookmarkStart w:id="912" w:name="_Toc11332828"/>
      <w:bookmarkStart w:id="913" w:name="_Toc371398298"/>
      <w:bookmarkStart w:id="914" w:name="_Toc61947398"/>
      <w:r>
        <w:rPr>
          <w:rFonts w:hint="eastAsia" w:asciiTheme="minorEastAsia" w:hAnsiTheme="minorEastAsia" w:eastAsiaTheme="minorEastAsia" w:cstheme="minorEastAsia"/>
          <w:color w:val="auto"/>
          <w:sz w:val="24"/>
          <w:szCs w:val="24"/>
          <w:highlight w:val="none"/>
          <w:lang w:eastAsia="zh-CN"/>
        </w:rPr>
        <w:t>2.3 项目监理与相关服务机构和人员</w:t>
      </w:r>
      <w:bookmarkEnd w:id="912"/>
      <w:bookmarkEnd w:id="913"/>
      <w:bookmarkEnd w:id="914"/>
    </w:p>
    <w:p w14:paraId="5FEC3BD4">
      <w:pPr>
        <w:adjustRightInd w:val="0"/>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 2.3.1 监理人应当根据合同约定组建满足工作需要的项目监理与相关服务机构，配备必要的检测设备。项目监理与相关服务机构的主要人员应当具有相应的资格条件。</w:t>
      </w:r>
    </w:p>
    <w:p w14:paraId="3D444D91">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2.3.2 合同履行过程中，总监理工程师及重要岗位监理人员应当保持相对稳定，以保证监理工作正常进行。</w:t>
      </w:r>
    </w:p>
    <w:p w14:paraId="258E3A73">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2.3.3 监理人可根据工程进展和工作需要调整项目监理与相关服务机构人员。监理人更换总监理工程师时，应当提前7天向委托人书面报告，经委托人同意后方可更换；监理人更换项目监理与相关服务其他监理人员，应当以相当资格与能力的人员替换，并通知委托人。</w:t>
      </w:r>
    </w:p>
    <w:p w14:paraId="12687302">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2.3.4 监理人应当及时更换有下列情形之一的监理人员：</w:t>
      </w:r>
    </w:p>
    <w:p w14:paraId="1F4A3B41">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（1）不能胜任岗位职责的；</w:t>
      </w:r>
    </w:p>
    <w:p w14:paraId="0C830C02">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（2）严重违反职业道德的；</w:t>
      </w:r>
    </w:p>
    <w:p w14:paraId="38B74CCA">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（3）有严重过失行为的；</w:t>
      </w:r>
    </w:p>
    <w:p w14:paraId="78BBF345">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（4）有违法行为不能履行职责的；</w:t>
      </w:r>
    </w:p>
    <w:p w14:paraId="351BC485">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（5）涉嫌犯罪的；</w:t>
      </w:r>
    </w:p>
    <w:p w14:paraId="7F96DC3B">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（6）合同专用条款约定的其他情形。</w:t>
      </w:r>
    </w:p>
    <w:p w14:paraId="7A9293A0">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2.3.5 委托人有权要求监理人更换不能胜任本职工作的项目监理与相关服务机构人员。</w:t>
      </w:r>
    </w:p>
    <w:p w14:paraId="760CCDD0">
      <w:pPr>
        <w:outlineLvl w:val="9"/>
        <w:rPr>
          <w:rFonts w:hint="eastAsia" w:asciiTheme="minorEastAsia" w:hAnsiTheme="minorEastAsia" w:eastAsiaTheme="minorEastAsia" w:cstheme="minorEastAsia"/>
          <w:b w:val="0"/>
          <w:color w:val="auto"/>
          <w:sz w:val="24"/>
          <w:szCs w:val="24"/>
          <w:highlight w:val="none"/>
          <w:lang w:eastAsia="zh-CN"/>
        </w:rPr>
      </w:pPr>
      <w:bookmarkStart w:id="915" w:name="_Toc11332829"/>
      <w:bookmarkStart w:id="916" w:name="_Toc371398299"/>
      <w:bookmarkStart w:id="917" w:name="_Toc61947399"/>
      <w:r>
        <w:rPr>
          <w:rFonts w:hint="eastAsia" w:asciiTheme="minorEastAsia" w:hAnsiTheme="minorEastAsia" w:eastAsiaTheme="minorEastAsia" w:cstheme="minorEastAsia"/>
          <w:color w:val="auto"/>
          <w:sz w:val="24"/>
          <w:szCs w:val="24"/>
          <w:highlight w:val="none"/>
          <w:lang w:eastAsia="zh-CN"/>
        </w:rPr>
        <w:t>2.4 履行职责</w:t>
      </w:r>
      <w:bookmarkEnd w:id="915"/>
      <w:bookmarkEnd w:id="916"/>
      <w:bookmarkEnd w:id="917"/>
    </w:p>
    <w:p w14:paraId="574423EB">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监理人应当遵循职业道德准则和行为规范，严格按照法律、法规、工程建设有关标准及合同履行职责。</w:t>
      </w:r>
    </w:p>
    <w:p w14:paraId="4CEAB1AC">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2.4.1 在合同约定的监理与相关服务范围内，委托人和承包人提出的意见和要求，监理人应当及时处置并回复。当委托人与承包人之间发生合同争议时，监理人应当协调委托人、承包人协商解决。</w:t>
      </w:r>
    </w:p>
    <w:p w14:paraId="71A12318">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2.4.2 当委托人与承包人之间的合同争议提交仲裁机构仲裁或人民法院审理时，监理人应当提供必要的证明资料。</w:t>
      </w:r>
    </w:p>
    <w:p w14:paraId="2886A5B6">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2.4.3 监理人应当在合同专用条款约定的授权范围内，处理委托人与承包人所签订合同的变更事宜。如果变更超过授权范围，应当以书面形式报委托人批准。</w:t>
      </w:r>
    </w:p>
    <w:p w14:paraId="31472BFD">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在紧急情况下，为了保护财产和人身安全，监理人所发出的指令未能事先报委托人批准时，应当在发出指令后的24小时内以书面形式报委托人。</w:t>
      </w:r>
    </w:p>
    <w:p w14:paraId="791664F7">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2.4.4 除合同专用条款另有约定外，监理人发现承包人的人员不能胜任本职工作的，有权要求承包人予以更换。</w:t>
      </w:r>
    </w:p>
    <w:p w14:paraId="78B050AC">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2.4.5 监理人在实施监理过程中，发现存在安全事故隐患的，应当要求承包人整改；情况严重的，应当要求承包人暂时停止施工，并及时报告委托人。承包人拒不整改或者不停止施工的，监理人应当及时向有关主管部门报告。</w:t>
      </w:r>
    </w:p>
    <w:p w14:paraId="3664C87F">
      <w:pPr>
        <w:outlineLvl w:val="9"/>
        <w:rPr>
          <w:rFonts w:hint="eastAsia" w:asciiTheme="minorEastAsia" w:hAnsiTheme="minorEastAsia" w:eastAsiaTheme="minorEastAsia" w:cstheme="minorEastAsia"/>
          <w:b w:val="0"/>
          <w:color w:val="auto"/>
          <w:sz w:val="24"/>
          <w:szCs w:val="24"/>
          <w:highlight w:val="none"/>
          <w:lang w:eastAsia="zh-CN"/>
        </w:rPr>
      </w:pPr>
      <w:bookmarkStart w:id="918" w:name="_Toc371398300"/>
      <w:bookmarkStart w:id="919" w:name="_Toc61947400"/>
      <w:bookmarkStart w:id="920" w:name="_Toc11332830"/>
      <w:r>
        <w:rPr>
          <w:rFonts w:hint="eastAsia" w:asciiTheme="minorEastAsia" w:hAnsiTheme="minorEastAsia" w:eastAsiaTheme="minorEastAsia" w:cstheme="minorEastAsia"/>
          <w:color w:val="auto"/>
          <w:sz w:val="24"/>
          <w:szCs w:val="24"/>
          <w:highlight w:val="none"/>
          <w:lang w:eastAsia="zh-CN"/>
        </w:rPr>
        <w:t>2.5 守法诚信</w:t>
      </w:r>
      <w:bookmarkEnd w:id="918"/>
      <w:bookmarkEnd w:id="919"/>
      <w:bookmarkEnd w:id="920"/>
    </w:p>
    <w:p w14:paraId="5F19C8D8">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监理人及其工作人员不得从与实施工程有关的第三方处获得任何经济利益。</w:t>
      </w:r>
    </w:p>
    <w:p w14:paraId="59083E26">
      <w:pPr>
        <w:outlineLvl w:val="9"/>
        <w:rPr>
          <w:rFonts w:hint="eastAsia" w:asciiTheme="minorEastAsia" w:hAnsiTheme="minorEastAsia" w:eastAsiaTheme="minorEastAsia" w:cstheme="minorEastAsia"/>
          <w:b w:val="0"/>
          <w:color w:val="auto"/>
          <w:sz w:val="24"/>
          <w:szCs w:val="24"/>
          <w:highlight w:val="none"/>
          <w:lang w:eastAsia="zh-CN"/>
        </w:rPr>
      </w:pPr>
      <w:bookmarkStart w:id="921" w:name="_Toc371398301"/>
      <w:bookmarkStart w:id="922" w:name="_Toc61947401"/>
      <w:bookmarkStart w:id="923" w:name="_Toc11332831"/>
      <w:r>
        <w:rPr>
          <w:rFonts w:hint="eastAsia" w:asciiTheme="minorEastAsia" w:hAnsiTheme="minorEastAsia" w:eastAsiaTheme="minorEastAsia" w:cstheme="minorEastAsia"/>
          <w:color w:val="auto"/>
          <w:sz w:val="24"/>
          <w:szCs w:val="24"/>
          <w:highlight w:val="none"/>
          <w:lang w:eastAsia="zh-CN"/>
        </w:rPr>
        <w:t>2.6保险</w:t>
      </w:r>
      <w:bookmarkEnd w:id="921"/>
      <w:bookmarkEnd w:id="922"/>
      <w:bookmarkEnd w:id="923"/>
    </w:p>
    <w:p w14:paraId="37305843">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监理人应当按法律、法规规定，为派驻现场的监理与相关服务机构人员办理相关保险,保证现场监理人员的安全。</w:t>
      </w:r>
    </w:p>
    <w:p w14:paraId="034A3DFB">
      <w:pPr>
        <w:outlineLvl w:val="9"/>
        <w:rPr>
          <w:rFonts w:hint="eastAsia" w:asciiTheme="minorEastAsia" w:hAnsiTheme="minorEastAsia" w:eastAsiaTheme="minorEastAsia" w:cstheme="minorEastAsia"/>
          <w:b w:val="0"/>
          <w:color w:val="auto"/>
          <w:sz w:val="24"/>
          <w:szCs w:val="24"/>
          <w:highlight w:val="none"/>
          <w:lang w:eastAsia="zh-CN"/>
        </w:rPr>
      </w:pPr>
      <w:bookmarkStart w:id="924" w:name="_Toc371398302"/>
      <w:bookmarkStart w:id="925" w:name="_Toc11332832"/>
      <w:bookmarkStart w:id="926" w:name="_Toc61947402"/>
      <w:r>
        <w:rPr>
          <w:rFonts w:hint="eastAsia" w:asciiTheme="minorEastAsia" w:hAnsiTheme="minorEastAsia" w:eastAsiaTheme="minorEastAsia" w:cstheme="minorEastAsia"/>
          <w:color w:val="auto"/>
          <w:sz w:val="24"/>
          <w:szCs w:val="24"/>
          <w:highlight w:val="none"/>
          <w:lang w:eastAsia="zh-CN"/>
        </w:rPr>
        <w:t>2.7 提交报告</w:t>
      </w:r>
      <w:bookmarkEnd w:id="924"/>
      <w:bookmarkEnd w:id="925"/>
      <w:bookmarkEnd w:id="926"/>
    </w:p>
    <w:p w14:paraId="32EBD3A9">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监理人应当按合同专用条款约定的种类、时间和份数向委托人提交监理与相关服务的报告。</w:t>
      </w:r>
    </w:p>
    <w:p w14:paraId="52A5C213">
      <w:pPr>
        <w:outlineLvl w:val="9"/>
        <w:rPr>
          <w:rFonts w:hint="eastAsia" w:asciiTheme="minorEastAsia" w:hAnsiTheme="minorEastAsia" w:eastAsiaTheme="minorEastAsia" w:cstheme="minorEastAsia"/>
          <w:b w:val="0"/>
          <w:color w:val="auto"/>
          <w:sz w:val="24"/>
          <w:szCs w:val="24"/>
          <w:highlight w:val="none"/>
          <w:lang w:eastAsia="zh-CN"/>
        </w:rPr>
      </w:pPr>
      <w:bookmarkStart w:id="927" w:name="_Toc61947403"/>
      <w:bookmarkStart w:id="928" w:name="_Toc371398303"/>
      <w:bookmarkStart w:id="929" w:name="_Toc11332833"/>
      <w:r>
        <w:rPr>
          <w:rFonts w:hint="eastAsia" w:asciiTheme="minorEastAsia" w:hAnsiTheme="minorEastAsia" w:eastAsiaTheme="minorEastAsia" w:cstheme="minorEastAsia"/>
          <w:color w:val="auto"/>
          <w:sz w:val="24"/>
          <w:szCs w:val="24"/>
          <w:highlight w:val="none"/>
          <w:lang w:eastAsia="zh-CN"/>
        </w:rPr>
        <w:t>2.8 文件资料</w:t>
      </w:r>
      <w:bookmarkEnd w:id="927"/>
      <w:bookmarkEnd w:id="928"/>
      <w:bookmarkEnd w:id="929"/>
    </w:p>
    <w:p w14:paraId="1F85146F">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在合同履行期内，监理人应当在现场保留工作所用的图纸、报告及记录监理工作的相关文件。工程竣工后，应当按照档案管理规定将监理有关文件归档。</w:t>
      </w:r>
    </w:p>
    <w:p w14:paraId="176C94BC">
      <w:pPr>
        <w:outlineLvl w:val="9"/>
        <w:rPr>
          <w:rFonts w:hint="eastAsia" w:asciiTheme="minorEastAsia" w:hAnsiTheme="minorEastAsia" w:eastAsiaTheme="minorEastAsia" w:cstheme="minorEastAsia"/>
          <w:b w:val="0"/>
          <w:color w:val="auto"/>
          <w:sz w:val="24"/>
          <w:szCs w:val="24"/>
          <w:highlight w:val="none"/>
          <w:lang w:eastAsia="zh-CN"/>
        </w:rPr>
      </w:pPr>
      <w:bookmarkStart w:id="930" w:name="_Toc11332834"/>
      <w:bookmarkStart w:id="931" w:name="_Toc61947404"/>
      <w:bookmarkStart w:id="932" w:name="_Toc371398304"/>
      <w:r>
        <w:rPr>
          <w:rFonts w:hint="eastAsia" w:asciiTheme="minorEastAsia" w:hAnsiTheme="minorEastAsia" w:eastAsiaTheme="minorEastAsia" w:cstheme="minorEastAsia"/>
          <w:color w:val="auto"/>
          <w:sz w:val="24"/>
          <w:szCs w:val="24"/>
          <w:highlight w:val="none"/>
          <w:lang w:eastAsia="zh-CN"/>
        </w:rPr>
        <w:t>2.9 使用委托人的财产</w:t>
      </w:r>
      <w:bookmarkEnd w:id="930"/>
      <w:bookmarkEnd w:id="931"/>
      <w:bookmarkEnd w:id="932"/>
    </w:p>
    <w:p w14:paraId="56A57EAA">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监理人免费使用合同专用条款中约定的由委托人提供的人员、房屋、设备、设施。除合同专用条款另有约定外，委托人提供的设备、设施属于委托人的财产，监理人应当妥善使用和保管，在合同终止时将这些设备、设施的清单提交委托人，并按合同专用条款约定的时间和方式移交。</w:t>
      </w:r>
    </w:p>
    <w:p w14:paraId="742691B9">
      <w:pPr>
        <w:adjustRightInd w:val="0"/>
        <w:spacing w:before="120" w:beforeLines="50" w:line="360" w:lineRule="auto"/>
        <w:outlineLvl w:val="9"/>
        <w:rPr>
          <w:rFonts w:hint="eastAsia" w:asciiTheme="minorEastAsia" w:hAnsiTheme="minorEastAsia" w:eastAsiaTheme="minorEastAsia" w:cstheme="minorEastAsia"/>
          <w:color w:val="auto"/>
          <w:sz w:val="24"/>
          <w:szCs w:val="24"/>
          <w:highlight w:val="none"/>
          <w:lang w:eastAsia="zh-CN"/>
        </w:rPr>
      </w:pPr>
      <w:bookmarkStart w:id="933" w:name="_Toc371398305"/>
      <w:bookmarkStart w:id="934" w:name="_Toc11332835"/>
      <w:bookmarkStart w:id="935" w:name="_Toc61947405"/>
      <w:r>
        <w:rPr>
          <w:rFonts w:hint="eastAsia" w:asciiTheme="minorEastAsia" w:hAnsiTheme="minorEastAsia" w:eastAsiaTheme="minorEastAsia" w:cstheme="minorEastAsia"/>
          <w:color w:val="auto"/>
          <w:sz w:val="24"/>
          <w:szCs w:val="24"/>
          <w:highlight w:val="none"/>
          <w:lang w:eastAsia="zh-CN"/>
        </w:rPr>
        <w:t>3．委托人的义务</w:t>
      </w:r>
      <w:bookmarkEnd w:id="933"/>
      <w:bookmarkEnd w:id="934"/>
      <w:bookmarkEnd w:id="935"/>
    </w:p>
    <w:p w14:paraId="767EA5E2">
      <w:pPr>
        <w:outlineLvl w:val="9"/>
        <w:rPr>
          <w:rFonts w:hint="eastAsia" w:asciiTheme="minorEastAsia" w:hAnsiTheme="minorEastAsia" w:eastAsiaTheme="minorEastAsia" w:cstheme="minorEastAsia"/>
          <w:b w:val="0"/>
          <w:color w:val="auto"/>
          <w:sz w:val="24"/>
          <w:szCs w:val="24"/>
          <w:highlight w:val="none"/>
          <w:lang w:eastAsia="zh-CN"/>
        </w:rPr>
      </w:pPr>
      <w:bookmarkStart w:id="936" w:name="_Toc61947406"/>
      <w:bookmarkStart w:id="937" w:name="_Toc371398306"/>
      <w:bookmarkStart w:id="938" w:name="_Toc11332836"/>
      <w:r>
        <w:rPr>
          <w:rFonts w:hint="eastAsia" w:asciiTheme="minorEastAsia" w:hAnsiTheme="minorEastAsia" w:eastAsiaTheme="minorEastAsia" w:cstheme="minorEastAsia"/>
          <w:color w:val="auto"/>
          <w:sz w:val="24"/>
          <w:szCs w:val="24"/>
          <w:highlight w:val="none"/>
          <w:lang w:eastAsia="zh-CN"/>
        </w:rPr>
        <w:t>3.1 告知</w:t>
      </w:r>
      <w:bookmarkEnd w:id="936"/>
      <w:bookmarkEnd w:id="937"/>
      <w:bookmarkEnd w:id="938"/>
    </w:p>
    <w:p w14:paraId="2FF0BCC9">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委托人应当在委托人与承包人签订的合同中明确监理人、总监理工程师和授予项目监理与相关服务机构的权限。如有变更，应当及时通知承包人。</w:t>
      </w:r>
    </w:p>
    <w:p w14:paraId="1F523548">
      <w:pPr>
        <w:outlineLvl w:val="9"/>
        <w:rPr>
          <w:rFonts w:hint="eastAsia" w:asciiTheme="minorEastAsia" w:hAnsiTheme="minorEastAsia" w:eastAsiaTheme="minorEastAsia" w:cstheme="minorEastAsia"/>
          <w:b w:val="0"/>
          <w:color w:val="auto"/>
          <w:sz w:val="24"/>
          <w:szCs w:val="24"/>
          <w:highlight w:val="none"/>
          <w:lang w:eastAsia="zh-CN"/>
        </w:rPr>
      </w:pPr>
      <w:bookmarkStart w:id="939" w:name="_Toc371398307"/>
      <w:bookmarkStart w:id="940" w:name="_Toc61947407"/>
      <w:bookmarkStart w:id="941" w:name="_Toc11332837"/>
      <w:r>
        <w:rPr>
          <w:rFonts w:hint="eastAsia" w:asciiTheme="minorEastAsia" w:hAnsiTheme="minorEastAsia" w:eastAsiaTheme="minorEastAsia" w:cstheme="minorEastAsia"/>
          <w:color w:val="auto"/>
          <w:sz w:val="24"/>
          <w:szCs w:val="24"/>
          <w:highlight w:val="none"/>
          <w:lang w:eastAsia="zh-CN"/>
        </w:rPr>
        <w:t>3.2 提供资料</w:t>
      </w:r>
      <w:bookmarkEnd w:id="939"/>
      <w:bookmarkEnd w:id="940"/>
      <w:bookmarkEnd w:id="941"/>
    </w:p>
    <w:p w14:paraId="43D53508">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委托人应当按照合同专用条款约定，免费向监理人提供与工程有关的资料。在合同履行过程中，委托人应当及时向监理人提供与工程有关的最新资料。</w:t>
      </w:r>
    </w:p>
    <w:p w14:paraId="47D56617">
      <w:pPr>
        <w:outlineLvl w:val="9"/>
        <w:rPr>
          <w:rFonts w:hint="eastAsia" w:asciiTheme="minorEastAsia" w:hAnsiTheme="minorEastAsia" w:eastAsiaTheme="minorEastAsia" w:cstheme="minorEastAsia"/>
          <w:b w:val="0"/>
          <w:color w:val="auto"/>
          <w:sz w:val="24"/>
          <w:szCs w:val="24"/>
          <w:highlight w:val="none"/>
          <w:lang w:eastAsia="zh-CN"/>
        </w:rPr>
      </w:pPr>
      <w:bookmarkStart w:id="942" w:name="_Toc371398308"/>
      <w:bookmarkStart w:id="943" w:name="_Toc61947408"/>
      <w:bookmarkStart w:id="944" w:name="_Toc11332838"/>
      <w:r>
        <w:rPr>
          <w:rFonts w:hint="eastAsia" w:asciiTheme="minorEastAsia" w:hAnsiTheme="minorEastAsia" w:eastAsiaTheme="minorEastAsia" w:cstheme="minorEastAsia"/>
          <w:color w:val="auto"/>
          <w:sz w:val="24"/>
          <w:szCs w:val="24"/>
          <w:highlight w:val="none"/>
          <w:lang w:eastAsia="zh-CN"/>
        </w:rPr>
        <w:t>3.3 提供工作条件</w:t>
      </w:r>
      <w:bookmarkEnd w:id="942"/>
      <w:bookmarkEnd w:id="943"/>
      <w:bookmarkEnd w:id="944"/>
    </w:p>
    <w:p w14:paraId="20CBA6F3">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委托人应当为监理人完成监理与相关服务提供必要的条件。</w:t>
      </w:r>
    </w:p>
    <w:p w14:paraId="72C0BEA4">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3.3.1 委托人应当按照合同专用条款约定，提供相应的人员、房屋、设备、设施，供监理人免费使用。如委托人不提供或部分提供相应的人员、</w:t>
      </w:r>
      <w:r>
        <w:rPr>
          <w:rFonts w:hint="eastAsia" w:asciiTheme="minorEastAsia" w:hAnsiTheme="minorEastAsia" w:eastAsiaTheme="minorEastAsia" w:cstheme="minorEastAsia"/>
          <w:bCs/>
          <w:color w:val="auto"/>
          <w:sz w:val="24"/>
          <w:szCs w:val="24"/>
          <w:highlight w:val="none"/>
          <w:lang w:eastAsia="zh-CN"/>
        </w:rPr>
        <w:t>房屋、资料</w:t>
      </w:r>
      <w:r>
        <w:rPr>
          <w:rFonts w:hint="eastAsia" w:asciiTheme="minorEastAsia" w:hAnsiTheme="minorEastAsia" w:eastAsiaTheme="minorEastAsia" w:cstheme="minorEastAsia"/>
          <w:color w:val="auto"/>
          <w:sz w:val="24"/>
          <w:szCs w:val="24"/>
          <w:highlight w:val="none"/>
          <w:lang w:eastAsia="zh-CN"/>
        </w:rPr>
        <w:t>、设备、设施时应当进行补偿。</w:t>
      </w:r>
    </w:p>
    <w:p w14:paraId="45F6BF20">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3.3.2 委托人应当负责协调工程建设中所有外部关系，为监理人履行合同提供必要的外部条件。</w:t>
      </w:r>
    </w:p>
    <w:p w14:paraId="198A6CF0">
      <w:pPr>
        <w:outlineLvl w:val="9"/>
        <w:rPr>
          <w:rFonts w:hint="eastAsia" w:asciiTheme="minorEastAsia" w:hAnsiTheme="minorEastAsia" w:eastAsiaTheme="minorEastAsia" w:cstheme="minorEastAsia"/>
          <w:b w:val="0"/>
          <w:color w:val="auto"/>
          <w:sz w:val="24"/>
          <w:szCs w:val="24"/>
          <w:highlight w:val="none"/>
          <w:lang w:eastAsia="zh-CN"/>
        </w:rPr>
      </w:pPr>
      <w:bookmarkStart w:id="945" w:name="_Toc371398309"/>
      <w:bookmarkStart w:id="946" w:name="_Toc61947409"/>
      <w:bookmarkStart w:id="947" w:name="_Toc11332839"/>
      <w:r>
        <w:rPr>
          <w:rFonts w:hint="eastAsia" w:asciiTheme="minorEastAsia" w:hAnsiTheme="minorEastAsia" w:eastAsiaTheme="minorEastAsia" w:cstheme="minorEastAsia"/>
          <w:color w:val="auto"/>
          <w:sz w:val="24"/>
          <w:szCs w:val="24"/>
          <w:highlight w:val="none"/>
          <w:lang w:eastAsia="zh-CN"/>
        </w:rPr>
        <w:t>3.4 委托人代表</w:t>
      </w:r>
      <w:bookmarkEnd w:id="945"/>
      <w:bookmarkEnd w:id="946"/>
      <w:bookmarkEnd w:id="947"/>
    </w:p>
    <w:p w14:paraId="43D6BFD5">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委托人应当授权一名熟悉工程情况的代表，负责与监理人联系。委托人应将委托人代表的姓名和职责书面告知监理人，当委托人更换委托人代表时，应当提前7天通知监理人。</w:t>
      </w:r>
    </w:p>
    <w:p w14:paraId="55761A8F">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委托人代表的姓名在合同专用条款中明确。</w:t>
      </w:r>
    </w:p>
    <w:p w14:paraId="5F5B3894">
      <w:pPr>
        <w:outlineLvl w:val="9"/>
        <w:rPr>
          <w:rFonts w:hint="eastAsia" w:asciiTheme="minorEastAsia" w:hAnsiTheme="minorEastAsia" w:eastAsiaTheme="minorEastAsia" w:cstheme="minorEastAsia"/>
          <w:b w:val="0"/>
          <w:color w:val="auto"/>
          <w:sz w:val="24"/>
          <w:szCs w:val="24"/>
          <w:highlight w:val="none"/>
          <w:lang w:eastAsia="zh-CN"/>
        </w:rPr>
      </w:pPr>
      <w:bookmarkStart w:id="948" w:name="_Toc371398310"/>
      <w:bookmarkStart w:id="949" w:name="_Toc61947410"/>
      <w:bookmarkStart w:id="950" w:name="_Toc11332840"/>
      <w:r>
        <w:rPr>
          <w:rFonts w:hint="eastAsia" w:asciiTheme="minorEastAsia" w:hAnsiTheme="minorEastAsia" w:eastAsiaTheme="minorEastAsia" w:cstheme="minorEastAsia"/>
          <w:color w:val="auto"/>
          <w:sz w:val="24"/>
          <w:szCs w:val="24"/>
          <w:highlight w:val="none"/>
          <w:lang w:eastAsia="zh-CN"/>
        </w:rPr>
        <w:t>3.5 委托人意见或要求</w:t>
      </w:r>
      <w:bookmarkEnd w:id="948"/>
      <w:bookmarkEnd w:id="949"/>
      <w:bookmarkEnd w:id="950"/>
    </w:p>
    <w:p w14:paraId="299A952D">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在合同约定的监理和相关服务工作范围内，委托人对承包人的任何意见或要求应当通知监理人，由监理人向承包人发出相应指令。</w:t>
      </w:r>
    </w:p>
    <w:p w14:paraId="261EFEC1">
      <w:pPr>
        <w:outlineLvl w:val="9"/>
        <w:rPr>
          <w:rFonts w:hint="eastAsia" w:asciiTheme="minorEastAsia" w:hAnsiTheme="minorEastAsia" w:eastAsiaTheme="minorEastAsia" w:cstheme="minorEastAsia"/>
          <w:b w:val="0"/>
          <w:color w:val="auto"/>
          <w:sz w:val="24"/>
          <w:szCs w:val="24"/>
          <w:highlight w:val="none"/>
          <w:lang w:eastAsia="zh-CN"/>
        </w:rPr>
      </w:pPr>
      <w:bookmarkStart w:id="951" w:name="_Toc61947411"/>
      <w:bookmarkStart w:id="952" w:name="_Toc11332841"/>
      <w:bookmarkStart w:id="953" w:name="_Toc371398311"/>
      <w:r>
        <w:rPr>
          <w:rFonts w:hint="eastAsia" w:asciiTheme="minorEastAsia" w:hAnsiTheme="minorEastAsia" w:eastAsiaTheme="minorEastAsia" w:cstheme="minorEastAsia"/>
          <w:color w:val="auto"/>
          <w:sz w:val="24"/>
          <w:szCs w:val="24"/>
          <w:highlight w:val="none"/>
          <w:lang w:eastAsia="zh-CN"/>
        </w:rPr>
        <w:t>3.6 答复</w:t>
      </w:r>
      <w:bookmarkEnd w:id="951"/>
      <w:bookmarkEnd w:id="952"/>
      <w:bookmarkEnd w:id="953"/>
    </w:p>
    <w:p w14:paraId="23905230">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委托人应当在合同专用条款约定的时间内，对监理人以书面形式提交并要求做出决定的事宜，给予书面答复。逾期未答复的，视为委托人认可。</w:t>
      </w:r>
    </w:p>
    <w:p w14:paraId="45F27A96">
      <w:pPr>
        <w:outlineLvl w:val="9"/>
        <w:rPr>
          <w:rFonts w:hint="eastAsia" w:asciiTheme="minorEastAsia" w:hAnsiTheme="minorEastAsia" w:eastAsiaTheme="minorEastAsia" w:cstheme="minorEastAsia"/>
          <w:b w:val="0"/>
          <w:color w:val="auto"/>
          <w:sz w:val="24"/>
          <w:szCs w:val="24"/>
          <w:highlight w:val="none"/>
          <w:lang w:eastAsia="zh-CN"/>
        </w:rPr>
      </w:pPr>
      <w:bookmarkStart w:id="954" w:name="_Toc61947412"/>
      <w:bookmarkStart w:id="955" w:name="_Toc11332842"/>
      <w:bookmarkStart w:id="956" w:name="_Toc371398312"/>
      <w:r>
        <w:rPr>
          <w:rFonts w:hint="eastAsia" w:asciiTheme="minorEastAsia" w:hAnsiTheme="minorEastAsia" w:eastAsiaTheme="minorEastAsia" w:cstheme="minorEastAsia"/>
          <w:color w:val="auto"/>
          <w:sz w:val="24"/>
          <w:szCs w:val="24"/>
          <w:highlight w:val="none"/>
          <w:lang w:eastAsia="zh-CN"/>
        </w:rPr>
        <w:t>3.7 支付</w:t>
      </w:r>
      <w:bookmarkEnd w:id="954"/>
      <w:bookmarkEnd w:id="955"/>
      <w:bookmarkEnd w:id="956"/>
    </w:p>
    <w:p w14:paraId="3FF66862">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委托人应当按合同约定，向监理人支付酬金。</w:t>
      </w:r>
    </w:p>
    <w:p w14:paraId="34F5CFA7">
      <w:pPr>
        <w:outlineLvl w:val="9"/>
        <w:rPr>
          <w:rFonts w:hint="eastAsia" w:asciiTheme="minorEastAsia" w:hAnsiTheme="minorEastAsia" w:eastAsiaTheme="minorEastAsia" w:cstheme="minorEastAsia"/>
          <w:b w:val="0"/>
          <w:color w:val="auto"/>
          <w:sz w:val="24"/>
          <w:szCs w:val="24"/>
          <w:highlight w:val="none"/>
          <w:lang w:eastAsia="zh-CN"/>
        </w:rPr>
      </w:pPr>
      <w:bookmarkStart w:id="957" w:name="_Toc11332843"/>
      <w:bookmarkStart w:id="958" w:name="_Toc371398313"/>
      <w:bookmarkStart w:id="959" w:name="_Toc61947413"/>
      <w:r>
        <w:rPr>
          <w:rFonts w:hint="eastAsia" w:asciiTheme="minorEastAsia" w:hAnsiTheme="minorEastAsia" w:eastAsiaTheme="minorEastAsia" w:cstheme="minorEastAsia"/>
          <w:color w:val="auto"/>
          <w:sz w:val="24"/>
          <w:szCs w:val="24"/>
          <w:highlight w:val="none"/>
          <w:lang w:eastAsia="zh-CN"/>
        </w:rPr>
        <w:t>3.8 合理化建议的奖励</w:t>
      </w:r>
      <w:bookmarkEnd w:id="957"/>
      <w:bookmarkEnd w:id="958"/>
      <w:bookmarkEnd w:id="959"/>
    </w:p>
    <w:p w14:paraId="5B9F9524">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监理人在服务过程中提出的合理化建议，使委托人获得经济效益的，委托人应当予以奖励。奖励金额的确定方法在合同专用条款中约定。</w:t>
      </w:r>
    </w:p>
    <w:p w14:paraId="32B23629">
      <w:pPr>
        <w:outlineLvl w:val="9"/>
        <w:rPr>
          <w:rFonts w:hint="eastAsia" w:asciiTheme="minorEastAsia" w:hAnsiTheme="minorEastAsia" w:eastAsiaTheme="minorEastAsia" w:cstheme="minorEastAsia"/>
          <w:b w:val="0"/>
          <w:color w:val="auto"/>
          <w:sz w:val="24"/>
          <w:szCs w:val="24"/>
          <w:highlight w:val="none"/>
          <w:lang w:eastAsia="zh-CN"/>
        </w:rPr>
      </w:pPr>
      <w:bookmarkStart w:id="960" w:name="_Toc371398314"/>
      <w:bookmarkStart w:id="961" w:name="_Toc11332844"/>
      <w:bookmarkStart w:id="962" w:name="_Toc61947414"/>
      <w:r>
        <w:rPr>
          <w:rFonts w:hint="eastAsia" w:asciiTheme="minorEastAsia" w:hAnsiTheme="minorEastAsia" w:eastAsiaTheme="minorEastAsia" w:cstheme="minorEastAsia"/>
          <w:color w:val="auto"/>
          <w:sz w:val="24"/>
          <w:szCs w:val="24"/>
          <w:highlight w:val="none"/>
          <w:lang w:eastAsia="zh-CN"/>
        </w:rPr>
        <w:t>3.9 保障监理人的权利</w:t>
      </w:r>
      <w:bookmarkEnd w:id="960"/>
      <w:bookmarkEnd w:id="961"/>
      <w:bookmarkEnd w:id="962"/>
    </w:p>
    <w:p w14:paraId="34FC0A12">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委托人应当保证监理人为履行合同而正常行使合同授予的对工程的监督、管理相应权利。</w:t>
      </w:r>
    </w:p>
    <w:p w14:paraId="0A526411">
      <w:pPr>
        <w:adjustRightInd w:val="0"/>
        <w:spacing w:before="120" w:beforeLines="50" w:line="360" w:lineRule="auto"/>
        <w:outlineLvl w:val="9"/>
        <w:rPr>
          <w:rFonts w:hint="eastAsia" w:asciiTheme="minorEastAsia" w:hAnsiTheme="minorEastAsia" w:eastAsiaTheme="minorEastAsia" w:cstheme="minorEastAsia"/>
          <w:color w:val="auto"/>
          <w:sz w:val="24"/>
          <w:szCs w:val="24"/>
          <w:highlight w:val="none"/>
          <w:lang w:eastAsia="zh-CN"/>
        </w:rPr>
      </w:pPr>
      <w:bookmarkStart w:id="963" w:name="_Toc11332845"/>
      <w:bookmarkStart w:id="964" w:name="_Toc61947415"/>
      <w:bookmarkStart w:id="965" w:name="_Toc371398315"/>
      <w:r>
        <w:rPr>
          <w:rFonts w:hint="eastAsia" w:asciiTheme="minorEastAsia" w:hAnsiTheme="minorEastAsia" w:eastAsiaTheme="minorEastAsia" w:cstheme="minorEastAsia"/>
          <w:color w:val="auto"/>
          <w:sz w:val="24"/>
          <w:szCs w:val="24"/>
          <w:highlight w:val="none"/>
          <w:lang w:eastAsia="zh-CN"/>
        </w:rPr>
        <w:t>4. 违约</w:t>
      </w:r>
      <w:bookmarkEnd w:id="963"/>
      <w:bookmarkEnd w:id="964"/>
      <w:bookmarkEnd w:id="965"/>
    </w:p>
    <w:p w14:paraId="6CB60D86">
      <w:pPr>
        <w:outlineLvl w:val="9"/>
        <w:rPr>
          <w:rFonts w:hint="eastAsia" w:asciiTheme="minorEastAsia" w:hAnsiTheme="minorEastAsia" w:eastAsiaTheme="minorEastAsia" w:cstheme="minorEastAsia"/>
          <w:b w:val="0"/>
          <w:color w:val="auto"/>
          <w:sz w:val="24"/>
          <w:szCs w:val="24"/>
          <w:highlight w:val="none"/>
          <w:lang w:eastAsia="zh-CN"/>
        </w:rPr>
      </w:pPr>
      <w:bookmarkStart w:id="966" w:name="_Toc61947416"/>
      <w:bookmarkStart w:id="967" w:name="_Toc371398316"/>
      <w:bookmarkStart w:id="968" w:name="_Toc11332846"/>
      <w:r>
        <w:rPr>
          <w:rFonts w:hint="eastAsia" w:asciiTheme="minorEastAsia" w:hAnsiTheme="minorEastAsia" w:eastAsiaTheme="minorEastAsia" w:cstheme="minorEastAsia"/>
          <w:color w:val="auto"/>
          <w:sz w:val="24"/>
          <w:szCs w:val="24"/>
          <w:highlight w:val="none"/>
          <w:lang w:eastAsia="zh-CN"/>
        </w:rPr>
        <w:t>4.1 监理人的违约</w:t>
      </w:r>
      <w:bookmarkEnd w:id="966"/>
      <w:bookmarkEnd w:id="967"/>
      <w:bookmarkEnd w:id="968"/>
    </w:p>
    <w:p w14:paraId="42AAEA79">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4.1.1  监理人的违约情形</w:t>
      </w:r>
    </w:p>
    <w:p w14:paraId="5EBBD7DC">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4.1.1.1 监理人明确表示或者以行为表明不履行合同义务，或履行义务不符合约定；</w:t>
      </w:r>
    </w:p>
    <w:p w14:paraId="630559D8">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4.1.1.2 监理人违反合同的约定，将监理与相关服务的任何部分转让或分包；</w:t>
      </w:r>
    </w:p>
    <w:p w14:paraId="41714DBB">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4.1.1.3 违反合同专用条款约定的其他情形。</w:t>
      </w:r>
    </w:p>
    <w:p w14:paraId="69C43B51">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4.1.2 监理人的违约责任</w:t>
      </w:r>
    </w:p>
    <w:p w14:paraId="45BDD44E">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4.1.2.1 监理人违反合同约定，在第6.3款约定的时间内，拒绝改正的，委托人有权解除合同；</w:t>
      </w:r>
    </w:p>
    <w:p w14:paraId="0E14EA8F">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4.1.2.2因监理人违反本合同约定给委托人造成损失的，监理人应当赔偿委托人损失。赔偿金额的确定方法在合同专用条款中约定。监理人承担部分赔偿责任的，其承担赔偿金额由双方协商确定。</w:t>
      </w:r>
    </w:p>
    <w:p w14:paraId="68BBDC49">
      <w:pPr>
        <w:outlineLvl w:val="9"/>
        <w:rPr>
          <w:rFonts w:hint="eastAsia" w:asciiTheme="minorEastAsia" w:hAnsiTheme="minorEastAsia" w:eastAsiaTheme="minorEastAsia" w:cstheme="minorEastAsia"/>
          <w:b w:val="0"/>
          <w:color w:val="auto"/>
          <w:sz w:val="24"/>
          <w:szCs w:val="24"/>
          <w:highlight w:val="none"/>
          <w:lang w:eastAsia="zh-CN"/>
        </w:rPr>
      </w:pPr>
      <w:bookmarkStart w:id="969" w:name="_Toc61947417"/>
      <w:bookmarkStart w:id="970" w:name="_Toc371398317"/>
      <w:bookmarkStart w:id="971" w:name="_Toc11332847"/>
      <w:r>
        <w:rPr>
          <w:rFonts w:hint="eastAsia" w:asciiTheme="minorEastAsia" w:hAnsiTheme="minorEastAsia" w:eastAsiaTheme="minorEastAsia" w:cstheme="minorEastAsia"/>
          <w:color w:val="auto"/>
          <w:sz w:val="24"/>
          <w:szCs w:val="24"/>
          <w:highlight w:val="none"/>
          <w:lang w:eastAsia="zh-CN"/>
        </w:rPr>
        <w:t>4.2 委托人的违约</w:t>
      </w:r>
      <w:bookmarkEnd w:id="969"/>
      <w:bookmarkEnd w:id="970"/>
      <w:bookmarkEnd w:id="971"/>
    </w:p>
    <w:p w14:paraId="18BBA46E">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bookmarkStart w:id="972" w:name="_Toc343091309"/>
      <w:r>
        <w:rPr>
          <w:rFonts w:hint="eastAsia" w:asciiTheme="minorEastAsia" w:hAnsiTheme="minorEastAsia" w:eastAsiaTheme="minorEastAsia" w:cstheme="minorEastAsia"/>
          <w:color w:val="auto"/>
          <w:sz w:val="24"/>
          <w:szCs w:val="24"/>
          <w:highlight w:val="none"/>
          <w:lang w:eastAsia="zh-CN"/>
        </w:rPr>
        <w:t>4.2.1 委托人的违约情形</w:t>
      </w:r>
      <w:bookmarkEnd w:id="972"/>
    </w:p>
    <w:p w14:paraId="11BEF03E">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4.2.1.1 明确表示或者以行为表明不履行合同义务，或履行义务不符合约定；</w:t>
      </w:r>
    </w:p>
    <w:p w14:paraId="527374D0">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4.2.1.2 未按合同约定支付酬金；</w:t>
      </w:r>
    </w:p>
    <w:p w14:paraId="77C69081">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4.2.1.3 违反合同专用条款约定的其他情形。</w:t>
      </w:r>
    </w:p>
    <w:p w14:paraId="717A645C">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bookmarkStart w:id="973" w:name="_Toc343091310"/>
      <w:r>
        <w:rPr>
          <w:rFonts w:hint="eastAsia" w:asciiTheme="minorEastAsia" w:hAnsiTheme="minorEastAsia" w:eastAsiaTheme="minorEastAsia" w:cstheme="minorEastAsia"/>
          <w:color w:val="auto"/>
          <w:sz w:val="24"/>
          <w:szCs w:val="24"/>
          <w:highlight w:val="none"/>
          <w:lang w:eastAsia="zh-CN"/>
        </w:rPr>
        <w:t>4.2.2 委托人的违约责任</w:t>
      </w:r>
      <w:bookmarkEnd w:id="973"/>
    </w:p>
    <w:p w14:paraId="57E26DA7">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4.2.2.1 委托人违反合同的约定并造成监理人的经济损失，应当向监理人赔偿，赔偿金额的确定方法在合同专用条款中约定。</w:t>
      </w:r>
    </w:p>
    <w:p w14:paraId="044CC186">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4.2.2.2委托人未能按期支付酬金超过28天，应当支付逾期付款利息，监理人可依据第6.3.2项解除合同，逾期付款利息按下述方法确定：</w:t>
      </w:r>
    </w:p>
    <w:p w14:paraId="0D977441">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逾期付款利息＝当期应付酬金总额×中国人民银行发布的同期同类贷款利率×拖延支付天数</w:t>
      </w:r>
    </w:p>
    <w:p w14:paraId="28E9EA79">
      <w:pPr>
        <w:outlineLvl w:val="9"/>
        <w:rPr>
          <w:rFonts w:hint="eastAsia" w:asciiTheme="minorEastAsia" w:hAnsiTheme="minorEastAsia" w:eastAsiaTheme="minorEastAsia" w:cstheme="minorEastAsia"/>
          <w:b w:val="0"/>
          <w:color w:val="auto"/>
          <w:sz w:val="24"/>
          <w:szCs w:val="24"/>
          <w:highlight w:val="none"/>
          <w:lang w:eastAsia="zh-CN"/>
        </w:rPr>
      </w:pPr>
      <w:bookmarkStart w:id="974" w:name="_Toc61947418"/>
      <w:bookmarkStart w:id="975" w:name="_Toc11332848"/>
      <w:bookmarkStart w:id="976" w:name="_Toc371398318"/>
      <w:r>
        <w:rPr>
          <w:rFonts w:hint="eastAsia" w:asciiTheme="minorEastAsia" w:hAnsiTheme="minorEastAsia" w:eastAsiaTheme="minorEastAsia" w:cstheme="minorEastAsia"/>
          <w:color w:val="auto"/>
          <w:sz w:val="24"/>
          <w:szCs w:val="24"/>
          <w:highlight w:val="none"/>
          <w:lang w:eastAsia="zh-CN"/>
        </w:rPr>
        <w:t>4.3 除外责任</w:t>
      </w:r>
      <w:bookmarkEnd w:id="974"/>
      <w:bookmarkEnd w:id="975"/>
      <w:bookmarkEnd w:id="976"/>
    </w:p>
    <w:p w14:paraId="2C4C4457">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因非监理人的原因，且监理人无过错，发生工程质量事故、安全事故、工期延误等造成的损失，监理人不承担违约责任。</w:t>
      </w:r>
    </w:p>
    <w:p w14:paraId="2FB47E2C">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因不可抗力导致合同全部或部分不能履行时，双方各自承担其因此而造成的损失、损害。</w:t>
      </w:r>
    </w:p>
    <w:p w14:paraId="531ECC23">
      <w:pPr>
        <w:adjustRightInd w:val="0"/>
        <w:spacing w:before="120" w:beforeLines="50" w:line="360" w:lineRule="auto"/>
        <w:outlineLvl w:val="9"/>
        <w:rPr>
          <w:rFonts w:hint="eastAsia" w:asciiTheme="minorEastAsia" w:hAnsiTheme="minorEastAsia" w:eastAsiaTheme="minorEastAsia" w:cstheme="minorEastAsia"/>
          <w:color w:val="auto"/>
          <w:sz w:val="24"/>
          <w:szCs w:val="24"/>
          <w:highlight w:val="none"/>
          <w:lang w:eastAsia="zh-CN"/>
        </w:rPr>
      </w:pPr>
      <w:bookmarkStart w:id="977" w:name="_Toc61947419"/>
      <w:bookmarkStart w:id="978" w:name="_Toc371398319"/>
      <w:bookmarkStart w:id="979" w:name="_Toc11332849"/>
      <w:r>
        <w:rPr>
          <w:rFonts w:hint="eastAsia" w:asciiTheme="minorEastAsia" w:hAnsiTheme="minorEastAsia" w:eastAsiaTheme="minorEastAsia" w:cstheme="minorEastAsia"/>
          <w:color w:val="auto"/>
          <w:sz w:val="24"/>
          <w:szCs w:val="24"/>
          <w:highlight w:val="none"/>
          <w:lang w:eastAsia="zh-CN"/>
        </w:rPr>
        <w:t>5. 支付</w:t>
      </w:r>
      <w:bookmarkEnd w:id="977"/>
      <w:bookmarkEnd w:id="978"/>
      <w:bookmarkEnd w:id="979"/>
    </w:p>
    <w:p w14:paraId="4FA4F3CC">
      <w:pPr>
        <w:outlineLvl w:val="9"/>
        <w:rPr>
          <w:rFonts w:hint="eastAsia" w:asciiTheme="minorEastAsia" w:hAnsiTheme="minorEastAsia" w:eastAsiaTheme="minorEastAsia" w:cstheme="minorEastAsia"/>
          <w:b w:val="0"/>
          <w:color w:val="auto"/>
          <w:sz w:val="24"/>
          <w:szCs w:val="24"/>
          <w:highlight w:val="none"/>
          <w:lang w:eastAsia="zh-CN"/>
        </w:rPr>
      </w:pPr>
      <w:bookmarkStart w:id="980" w:name="_Toc11332850"/>
      <w:bookmarkStart w:id="981" w:name="_Toc61947420"/>
      <w:bookmarkStart w:id="982" w:name="_Toc371398320"/>
      <w:r>
        <w:rPr>
          <w:rFonts w:hint="eastAsia" w:asciiTheme="minorEastAsia" w:hAnsiTheme="minorEastAsia" w:eastAsiaTheme="minorEastAsia" w:cstheme="minorEastAsia"/>
          <w:color w:val="auto"/>
          <w:sz w:val="24"/>
          <w:szCs w:val="24"/>
          <w:highlight w:val="none"/>
          <w:lang w:eastAsia="zh-CN"/>
        </w:rPr>
        <w:t>5.1 支付货币</w:t>
      </w:r>
      <w:bookmarkEnd w:id="980"/>
      <w:bookmarkEnd w:id="981"/>
      <w:bookmarkEnd w:id="982"/>
    </w:p>
    <w:p w14:paraId="742172F1">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除合同专用条款另有约定外，酬金均以人民币支付。</w:t>
      </w:r>
    </w:p>
    <w:p w14:paraId="3FE5D3B5">
      <w:pPr>
        <w:outlineLvl w:val="9"/>
        <w:rPr>
          <w:rFonts w:hint="eastAsia" w:asciiTheme="minorEastAsia" w:hAnsiTheme="minorEastAsia" w:eastAsiaTheme="minorEastAsia" w:cstheme="minorEastAsia"/>
          <w:b w:val="0"/>
          <w:color w:val="auto"/>
          <w:sz w:val="24"/>
          <w:szCs w:val="24"/>
          <w:highlight w:val="none"/>
          <w:lang w:eastAsia="zh-CN"/>
        </w:rPr>
      </w:pPr>
      <w:bookmarkStart w:id="983" w:name="_Toc61947421"/>
      <w:bookmarkStart w:id="984" w:name="_Toc11332851"/>
      <w:bookmarkStart w:id="985" w:name="_Toc371398321"/>
      <w:r>
        <w:rPr>
          <w:rFonts w:hint="eastAsia" w:asciiTheme="minorEastAsia" w:hAnsiTheme="minorEastAsia" w:eastAsiaTheme="minorEastAsia" w:cstheme="minorEastAsia"/>
          <w:color w:val="auto"/>
          <w:sz w:val="24"/>
          <w:szCs w:val="24"/>
          <w:highlight w:val="none"/>
          <w:lang w:eastAsia="zh-CN"/>
        </w:rPr>
        <w:t>5.2 首付款</w:t>
      </w:r>
      <w:bookmarkEnd w:id="983"/>
      <w:bookmarkEnd w:id="984"/>
      <w:bookmarkEnd w:id="985"/>
    </w:p>
    <w:p w14:paraId="0AF8A6A0">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除合同专用条款另有约定外，委托人应当在合同订立且财政资金到位后30天内，支付监理费合同金额的30%.</w:t>
      </w:r>
    </w:p>
    <w:p w14:paraId="73C9E42E">
      <w:pPr>
        <w:outlineLvl w:val="9"/>
        <w:rPr>
          <w:rFonts w:hint="eastAsia" w:asciiTheme="minorEastAsia" w:hAnsiTheme="minorEastAsia" w:eastAsiaTheme="minorEastAsia" w:cstheme="minorEastAsia"/>
          <w:b w:val="0"/>
          <w:color w:val="auto"/>
          <w:sz w:val="24"/>
          <w:szCs w:val="24"/>
          <w:highlight w:val="none"/>
          <w:lang w:eastAsia="zh-CN"/>
        </w:rPr>
      </w:pPr>
      <w:bookmarkStart w:id="986" w:name="_Toc371398322"/>
      <w:bookmarkStart w:id="987" w:name="_Toc61947422"/>
      <w:bookmarkStart w:id="988" w:name="_Toc11332852"/>
      <w:r>
        <w:rPr>
          <w:rFonts w:hint="eastAsia" w:asciiTheme="minorEastAsia" w:hAnsiTheme="minorEastAsia" w:eastAsiaTheme="minorEastAsia" w:cstheme="minorEastAsia"/>
          <w:color w:val="auto"/>
          <w:sz w:val="24"/>
          <w:szCs w:val="24"/>
          <w:highlight w:val="none"/>
          <w:lang w:eastAsia="zh-CN"/>
        </w:rPr>
        <w:t>5.3 中期支付</w:t>
      </w:r>
      <w:bookmarkEnd w:id="986"/>
      <w:bookmarkEnd w:id="987"/>
      <w:bookmarkEnd w:id="988"/>
    </w:p>
    <w:p w14:paraId="55CA6C76">
      <w:pPr>
        <w:snapToGrid w:val="0"/>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5.3.1监理酬金</w:t>
      </w:r>
    </w:p>
    <w:p w14:paraId="2706347E">
      <w:pPr>
        <w:snapToGrid w:val="0"/>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委托人采用总价平均、分期支付的方式按进度向监理人支付监理酬金。具体支付方式在合同专用条款中约定。</w:t>
      </w:r>
    </w:p>
    <w:p w14:paraId="1DFE0E05">
      <w:pPr>
        <w:snapToGrid w:val="0"/>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5.3.2相关服务酬金</w:t>
      </w:r>
    </w:p>
    <w:p w14:paraId="5CDA448A">
      <w:pPr>
        <w:snapToGrid w:val="0"/>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相关服务酬金按合同约定的人工日费用，根据实际工作时间支付。具体支付方式在合同专用条款中约定。</w:t>
      </w:r>
    </w:p>
    <w:p w14:paraId="389614CD">
      <w:pPr>
        <w:snapToGrid w:val="0"/>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5.3.3附加工作酬金</w:t>
      </w:r>
    </w:p>
    <w:p w14:paraId="201F822A">
      <w:pPr>
        <w:snapToGrid w:val="0"/>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附加工作酬金经双方确定后按月支付。具体支付方式在合同专用条款中约定。</w:t>
      </w:r>
    </w:p>
    <w:p w14:paraId="15FA1B0D">
      <w:pPr>
        <w:snapToGrid w:val="0"/>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5.3.4补偿费用</w:t>
      </w:r>
    </w:p>
    <w:p w14:paraId="1CE69EF5">
      <w:pPr>
        <w:snapToGrid w:val="0"/>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补偿费用的支付方法在合同专用条款中约定。</w:t>
      </w:r>
    </w:p>
    <w:p w14:paraId="7DFD5010">
      <w:pPr>
        <w:snapToGrid w:val="0"/>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5.3.5合理化建议奖励</w:t>
      </w:r>
    </w:p>
    <w:p w14:paraId="233B8632">
      <w:pPr>
        <w:snapToGrid w:val="0"/>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监理人提出合理化建议奖励金额的支付方法在合同专用条款中约定。</w:t>
      </w:r>
    </w:p>
    <w:p w14:paraId="47DE450A">
      <w:pPr>
        <w:snapToGrid w:val="0"/>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5.3.6竣工支付</w:t>
      </w:r>
    </w:p>
    <w:p w14:paraId="34986008">
      <w:pPr>
        <w:snapToGrid w:val="0"/>
        <w:spacing w:line="360" w:lineRule="auto"/>
        <w:ind w:firstLine="514"/>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工程竣工验收时，委托人累计支付的酬金比例应当不少于合同约定酬金总和的90%。</w:t>
      </w:r>
    </w:p>
    <w:p w14:paraId="24AE6903">
      <w:pPr>
        <w:snapToGrid w:val="0"/>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如委托人未按约定支付，监理人可不签署工程竣工验收及移交竣工文件。</w:t>
      </w:r>
    </w:p>
    <w:p w14:paraId="6F77D1F2">
      <w:pPr>
        <w:snapToGrid w:val="0"/>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5.3.7支付申请</w:t>
      </w:r>
    </w:p>
    <w:p w14:paraId="261D3D84">
      <w:pPr>
        <w:snapToGrid w:val="0"/>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监理人应当在合同约定的每个支付周期结束后的7天内，以书面形式向委托人提交支付申请书。支付申请书应当说明当期应付酬金和费用总额及细目、金额。</w:t>
      </w:r>
    </w:p>
    <w:p w14:paraId="45192654">
      <w:pPr>
        <w:snapToGrid w:val="0"/>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支付申请书应当包括以下内容：</w:t>
      </w:r>
    </w:p>
    <w:p w14:paraId="7753A932">
      <w:pPr>
        <w:snapToGrid w:val="0"/>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（1）截至本次付款周期应当支付的酬金；</w:t>
      </w:r>
    </w:p>
    <w:p w14:paraId="004B8D1F">
      <w:pPr>
        <w:snapToGrid w:val="0"/>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（2）根据第4.1、4.2款确定的违约金和赔偿金；</w:t>
      </w:r>
    </w:p>
    <w:p w14:paraId="7B0C8AFE">
      <w:pPr>
        <w:snapToGrid w:val="0"/>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（3）根据第5.3.4项约定的补偿费用；</w:t>
      </w:r>
    </w:p>
    <w:p w14:paraId="19DA0389">
      <w:pPr>
        <w:snapToGrid w:val="0"/>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（4）根据第5.3.5项约定应当支付的合理化建议奖励；</w:t>
      </w:r>
    </w:p>
    <w:p w14:paraId="329E7383">
      <w:pPr>
        <w:snapToGrid w:val="0"/>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（5）根据第6.2款应当增加或扣减的变更金额；</w:t>
      </w:r>
    </w:p>
    <w:p w14:paraId="65176231">
      <w:pPr>
        <w:snapToGrid w:val="0"/>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（6）根据合同应当增加和扣减的其他金额。</w:t>
      </w:r>
    </w:p>
    <w:p w14:paraId="7BAEA3D7">
      <w:pPr>
        <w:snapToGrid w:val="0"/>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5.3.8支付时限</w:t>
      </w:r>
    </w:p>
    <w:p w14:paraId="0DD98B0C">
      <w:pPr>
        <w:snapToGrid w:val="0"/>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除合同专用条款另有约定外，委托人应当在收到监理支付申请后7天内予以审批，在批复后14天内向监理人支付酬金。</w:t>
      </w:r>
    </w:p>
    <w:p w14:paraId="1CF59544">
      <w:pPr>
        <w:outlineLvl w:val="9"/>
        <w:rPr>
          <w:rFonts w:hint="eastAsia" w:asciiTheme="minorEastAsia" w:hAnsiTheme="minorEastAsia" w:eastAsiaTheme="minorEastAsia" w:cstheme="minorEastAsia"/>
          <w:b w:val="0"/>
          <w:color w:val="auto"/>
          <w:sz w:val="24"/>
          <w:szCs w:val="24"/>
          <w:highlight w:val="none"/>
          <w:lang w:eastAsia="zh-CN"/>
        </w:rPr>
      </w:pPr>
      <w:bookmarkStart w:id="989" w:name="_Toc11332853"/>
      <w:bookmarkStart w:id="990" w:name="_Toc371398323"/>
      <w:bookmarkStart w:id="991" w:name="_Toc61947423"/>
      <w:r>
        <w:rPr>
          <w:rFonts w:hint="eastAsia" w:asciiTheme="minorEastAsia" w:hAnsiTheme="minorEastAsia" w:eastAsiaTheme="minorEastAsia" w:cstheme="minorEastAsia"/>
          <w:color w:val="auto"/>
          <w:sz w:val="24"/>
          <w:szCs w:val="24"/>
          <w:highlight w:val="none"/>
          <w:lang w:eastAsia="zh-CN"/>
        </w:rPr>
        <w:t>5.4 有争议部分的付款</w:t>
      </w:r>
      <w:bookmarkEnd w:id="989"/>
      <w:bookmarkEnd w:id="990"/>
      <w:bookmarkEnd w:id="991"/>
    </w:p>
    <w:p w14:paraId="594EB91B">
      <w:pPr>
        <w:snapToGrid w:val="0"/>
        <w:spacing w:line="360" w:lineRule="auto"/>
        <w:ind w:firstLine="42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委托人对监理人提交的支付申请书有异议时，应当在收到监理人提交的支付申请书后7天内，以书面形式向监理人发出异议通知。无异议部分的款项应当按期支付，有异议部分的款项按第7条约定办理。</w:t>
      </w:r>
    </w:p>
    <w:p w14:paraId="126BE19E">
      <w:pPr>
        <w:outlineLvl w:val="9"/>
        <w:rPr>
          <w:rFonts w:hint="eastAsia" w:asciiTheme="minorEastAsia" w:hAnsiTheme="minorEastAsia" w:eastAsiaTheme="minorEastAsia" w:cstheme="minorEastAsia"/>
          <w:b w:val="0"/>
          <w:color w:val="auto"/>
          <w:sz w:val="24"/>
          <w:szCs w:val="24"/>
          <w:highlight w:val="none"/>
          <w:lang w:eastAsia="zh-CN"/>
        </w:rPr>
      </w:pPr>
      <w:bookmarkStart w:id="992" w:name="_Toc11332854"/>
      <w:bookmarkStart w:id="993" w:name="_Toc371398324"/>
      <w:bookmarkStart w:id="994" w:name="_Toc61947424"/>
      <w:r>
        <w:rPr>
          <w:rFonts w:hint="eastAsia" w:asciiTheme="minorEastAsia" w:hAnsiTheme="minorEastAsia" w:eastAsiaTheme="minorEastAsia" w:cstheme="minorEastAsia"/>
          <w:color w:val="auto"/>
          <w:sz w:val="24"/>
          <w:szCs w:val="24"/>
          <w:highlight w:val="none"/>
          <w:lang w:eastAsia="zh-CN"/>
        </w:rPr>
        <w:t>5.5 结算</w:t>
      </w:r>
      <w:bookmarkEnd w:id="992"/>
      <w:bookmarkEnd w:id="993"/>
      <w:bookmarkEnd w:id="994"/>
    </w:p>
    <w:p w14:paraId="7D14885A">
      <w:pPr>
        <w:snapToGrid w:val="0"/>
        <w:spacing w:line="360" w:lineRule="auto"/>
        <w:ind w:firstLine="42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工程竣工后，监理与相关服务结算价款依据本合同文件约定的结算方法进行调整，并于工程竣工结算后28天内一次性支付剩余监理与相关服务酬金。</w:t>
      </w:r>
    </w:p>
    <w:p w14:paraId="6C654070">
      <w:pPr>
        <w:adjustRightInd w:val="0"/>
        <w:spacing w:before="120" w:beforeLines="50" w:line="360" w:lineRule="auto"/>
        <w:outlineLvl w:val="9"/>
        <w:rPr>
          <w:rFonts w:hint="eastAsia" w:asciiTheme="minorEastAsia" w:hAnsiTheme="minorEastAsia" w:eastAsiaTheme="minorEastAsia" w:cstheme="minorEastAsia"/>
          <w:color w:val="auto"/>
          <w:sz w:val="24"/>
          <w:szCs w:val="24"/>
          <w:highlight w:val="none"/>
          <w:lang w:eastAsia="zh-CN"/>
        </w:rPr>
      </w:pPr>
      <w:bookmarkStart w:id="995" w:name="_Toc11332855"/>
      <w:bookmarkStart w:id="996" w:name="_Toc371398325"/>
      <w:bookmarkStart w:id="997" w:name="_Toc61947425"/>
      <w:r>
        <w:rPr>
          <w:rFonts w:hint="eastAsia" w:asciiTheme="minorEastAsia" w:hAnsiTheme="minorEastAsia" w:eastAsiaTheme="minorEastAsia" w:cstheme="minorEastAsia"/>
          <w:color w:val="auto"/>
          <w:sz w:val="24"/>
          <w:szCs w:val="24"/>
          <w:highlight w:val="none"/>
          <w:lang w:eastAsia="zh-CN"/>
        </w:rPr>
        <w:t>6. 合同生效、变更与终止</w:t>
      </w:r>
      <w:bookmarkEnd w:id="995"/>
      <w:bookmarkEnd w:id="996"/>
      <w:bookmarkEnd w:id="997"/>
    </w:p>
    <w:p w14:paraId="2126956D">
      <w:pPr>
        <w:outlineLvl w:val="9"/>
        <w:rPr>
          <w:rFonts w:hint="eastAsia" w:asciiTheme="minorEastAsia" w:hAnsiTheme="minorEastAsia" w:eastAsiaTheme="minorEastAsia" w:cstheme="minorEastAsia"/>
          <w:b w:val="0"/>
          <w:color w:val="auto"/>
          <w:sz w:val="24"/>
          <w:szCs w:val="24"/>
          <w:highlight w:val="none"/>
          <w:lang w:eastAsia="zh-CN"/>
        </w:rPr>
      </w:pPr>
      <w:bookmarkStart w:id="998" w:name="_Toc61947426"/>
      <w:bookmarkStart w:id="999" w:name="_Toc11332856"/>
      <w:bookmarkStart w:id="1000" w:name="_Toc371398326"/>
      <w:r>
        <w:rPr>
          <w:rFonts w:hint="eastAsia" w:asciiTheme="minorEastAsia" w:hAnsiTheme="minorEastAsia" w:eastAsiaTheme="minorEastAsia" w:cstheme="minorEastAsia"/>
          <w:color w:val="auto"/>
          <w:sz w:val="24"/>
          <w:szCs w:val="24"/>
          <w:highlight w:val="none"/>
          <w:lang w:eastAsia="zh-CN"/>
        </w:rPr>
        <w:t>6.1 生效</w:t>
      </w:r>
      <w:bookmarkEnd w:id="998"/>
      <w:bookmarkEnd w:id="999"/>
      <w:bookmarkEnd w:id="1000"/>
    </w:p>
    <w:p w14:paraId="36A05D69">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除法律另有规定或合同专用条款另有约定外，委托人和监理人的法定代表人或其授权代理人在合同协议书上签字并盖单位章后合同生效。</w:t>
      </w:r>
    </w:p>
    <w:p w14:paraId="579021D8">
      <w:pPr>
        <w:outlineLvl w:val="9"/>
        <w:rPr>
          <w:rFonts w:hint="eastAsia" w:asciiTheme="minorEastAsia" w:hAnsiTheme="minorEastAsia" w:eastAsiaTheme="minorEastAsia" w:cstheme="minorEastAsia"/>
          <w:b w:val="0"/>
          <w:color w:val="auto"/>
          <w:sz w:val="24"/>
          <w:szCs w:val="24"/>
          <w:highlight w:val="none"/>
          <w:lang w:eastAsia="zh-CN"/>
        </w:rPr>
      </w:pPr>
      <w:bookmarkStart w:id="1001" w:name="_Toc371398327"/>
      <w:bookmarkStart w:id="1002" w:name="_Toc61947427"/>
      <w:bookmarkStart w:id="1003" w:name="_Toc11332857"/>
      <w:r>
        <w:rPr>
          <w:rFonts w:hint="eastAsia" w:asciiTheme="minorEastAsia" w:hAnsiTheme="minorEastAsia" w:eastAsiaTheme="minorEastAsia" w:cstheme="minorEastAsia"/>
          <w:color w:val="auto"/>
          <w:sz w:val="24"/>
          <w:szCs w:val="24"/>
          <w:highlight w:val="none"/>
          <w:lang w:eastAsia="zh-CN"/>
        </w:rPr>
        <w:t>6.2变更</w:t>
      </w:r>
      <w:bookmarkEnd w:id="1001"/>
      <w:bookmarkEnd w:id="1002"/>
      <w:bookmarkEnd w:id="1003"/>
    </w:p>
    <w:p w14:paraId="108CDE1D">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6.2.1 附加工作</w:t>
      </w:r>
    </w:p>
    <w:p w14:paraId="29F7DE27">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除合同专用条款另有约定外，在履行合同过程中发生以下情形之一，视为附加工作，委托人应向监理人支付附加工作酬金。除下列第6.2.1.4目的情形外，附加工作酬金的确定方法为：</w:t>
      </w:r>
    </w:p>
    <w:p w14:paraId="739D2A96">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a. 因非监理人原因工程工期延长，按下列方法确定：</w:t>
      </w:r>
    </w:p>
    <w:p w14:paraId="4E5F7145">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附加工作酬金=增加的监理与相关服务时间（天）×正常工作酬金÷合同协议书约定的监理与相关服务期限（天）</w:t>
      </w:r>
    </w:p>
    <w:p w14:paraId="74C17418">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b. 实际情况发生变化导致履行中的合同全部或部分中止，监理人完成善后工作以及恢复服务前准备工作的工作酬金按下列方法确定：</w:t>
      </w:r>
    </w:p>
    <w:p w14:paraId="7806B42A">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附加工作酬金=善后或准备工作的时间（天）×正常工作酬金÷合同协议书约定的监理与相关服务期限（天）</w:t>
      </w:r>
    </w:p>
    <w:p w14:paraId="2B383FEA">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6.2.1.1 除不可抗力外，因非监理人原因，工程工期延长；</w:t>
      </w:r>
    </w:p>
    <w:p w14:paraId="757754EC">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6.2.1.2因非监理人原因监理与相关服务受到延误或阻碍或暂停；</w:t>
      </w:r>
    </w:p>
    <w:p w14:paraId="4EA396E2">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6.2.1.3实际情况发生变化，使监理人不能完成全部或部分工作，监理人进行善后工作以及恢复服务准备工作，监理人用于恢复服务的时间不得超过28天；</w:t>
      </w:r>
    </w:p>
    <w:p w14:paraId="03CB4176">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6.2.1.4监理与相关服务内容增加，附加工作酬金应该按照增加的内容占正常工作范围内监理与相关服务内容的比例计算，具体比例由双方根据增加的内容通过协商确定。</w:t>
      </w:r>
    </w:p>
    <w:p w14:paraId="5F023D7E">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6.2.2 合同签订后，遇有与工程相关的法律、法规、标准颁布或修订的，双方应当遵照执行。由此引起监理与相关服务的范围、时间、酬金变化的，双方应当通过协商进行相应调整。</w:t>
      </w:r>
    </w:p>
    <w:p w14:paraId="4667D106">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6.2.3因非监理人原因，工程投资额（建筑安装工程费）增加，正常工作酬金应当按以下方法调整：</w:t>
      </w:r>
    </w:p>
    <w:p w14:paraId="2EA82844">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正常工作酬金增加额=工程投资（建筑安装工程费）增加额×正常工作酬金÷工程概算投资额（建筑安装工程费）</w:t>
      </w:r>
    </w:p>
    <w:p w14:paraId="433FF43C">
      <w:pPr>
        <w:adjustRightInd w:val="0"/>
        <w:snapToGrid w:val="0"/>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6.2.4因非监理人原因工程投资额（建筑安装工程费）减少，正常工作酬金应当按以下方法调整：正常工作酬金减少额＝工程投资（建筑安装工程费）减少额×正常工作酬金÷工程概算投资额（建筑安装工程费）。因非监理人原因监理与相关服务内容减少，正常工作酬金应作相应调整，调整减少金额按照减少的内容占正常工作范围内监理与相关服务内容的比例计算，具体比例由双方根据减少的内容通过协商确定。</w:t>
      </w:r>
    </w:p>
    <w:p w14:paraId="35673959">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工程投资额（建筑安装工程费）或监理与相关服务内容未发生变化，工程提前竣工，不减少监理人酬金。</w:t>
      </w:r>
    </w:p>
    <w:p w14:paraId="79499456">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6.2.5 任何一方提出变更请求时，双方经协商一致后可进行变更。</w:t>
      </w:r>
    </w:p>
    <w:p w14:paraId="452E28B9">
      <w:pPr>
        <w:outlineLvl w:val="9"/>
        <w:rPr>
          <w:rFonts w:hint="eastAsia" w:asciiTheme="minorEastAsia" w:hAnsiTheme="minorEastAsia" w:eastAsiaTheme="minorEastAsia" w:cstheme="minorEastAsia"/>
          <w:b w:val="0"/>
          <w:color w:val="auto"/>
          <w:sz w:val="24"/>
          <w:szCs w:val="24"/>
          <w:highlight w:val="none"/>
          <w:lang w:eastAsia="zh-CN"/>
        </w:rPr>
      </w:pPr>
      <w:bookmarkStart w:id="1004" w:name="_Toc61947428"/>
      <w:bookmarkStart w:id="1005" w:name="_Toc371398328"/>
      <w:bookmarkStart w:id="1006" w:name="_Toc11332858"/>
      <w:r>
        <w:rPr>
          <w:rFonts w:hint="eastAsia" w:asciiTheme="minorEastAsia" w:hAnsiTheme="minorEastAsia" w:eastAsiaTheme="minorEastAsia" w:cstheme="minorEastAsia"/>
          <w:color w:val="auto"/>
          <w:sz w:val="24"/>
          <w:szCs w:val="24"/>
          <w:highlight w:val="none"/>
          <w:lang w:eastAsia="zh-CN"/>
        </w:rPr>
        <w:t>6.3 暂停履行与解除</w:t>
      </w:r>
      <w:bookmarkEnd w:id="1004"/>
      <w:bookmarkEnd w:id="1005"/>
      <w:bookmarkEnd w:id="1006"/>
    </w:p>
    <w:p w14:paraId="202AD671">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6.3.1 委托人发出通知</w:t>
      </w:r>
    </w:p>
    <w:p w14:paraId="0D726ADC">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当监理人发生第4.1.1项情况时，委托人应当通知监理人限期改正。若委托人在发出通知后7天内没有收到监理人书面形式的合理解释，则可在7天内发出解除合同的通知，自通知到达监理人时合同解除。</w:t>
      </w:r>
    </w:p>
    <w:p w14:paraId="30AFD1D2">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6.3.2 监理人发出通知</w:t>
      </w:r>
    </w:p>
    <w:p w14:paraId="476B82E7">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当委托人发生下列情况时，监理人可向委托人发出解除合同的通知，自通知到达委托人时合同解除，委托人应当将监理与相关服务的酬金支付至合同解除日。</w:t>
      </w:r>
    </w:p>
    <w:p w14:paraId="2CF59614">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6.3.2.1 监理人在合同专用条款中约定的支付之日起28天后仍未收到委托人按合同约定应付的酬金，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发出解除合同的通知。</w:t>
      </w:r>
    </w:p>
    <w:p w14:paraId="08DC5DF6">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6.3.2.2 在合同有效期内，因非监理人的原因导致工程施工全部或部分暂停，委托人可以书面形式通知监理人要求暂停全部或部分工作。监理人应当立即安排停止工作，并将开支减至最小。除不可抗力外，由此导致监理人遭受的损失应当由委托人予以补偿。</w:t>
      </w:r>
    </w:p>
    <w:p w14:paraId="5E36796B">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暂停部分监理与相关服务且暂停时间超过182天，监理人可发出解除合同约定的该部分义务的通知；暂停全部工作且暂停时间超过182天，监理人可发出解除合同的通知。</w:t>
      </w:r>
    </w:p>
    <w:p w14:paraId="17E67FC2">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6.3.3 双方协商一致</w:t>
      </w:r>
    </w:p>
    <w:p w14:paraId="0B88165B">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在合同有效期内，由于双方无法预见和控制的原因导致合同全部或部分无法继续履行或继续履行已无意义，经双方协商一致，可以解除合同或监理人的部分义务。在解除之前，监理人应当作出合理安排，使开支减至最小。</w:t>
      </w:r>
    </w:p>
    <w:p w14:paraId="1E64416E">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因解除合同或解除监理人的部分义务导致监理人遭受的损失，除依法可以免除责任的情况外，应当由委托人予以补偿，补偿金额由双方协商确定。</w:t>
      </w:r>
    </w:p>
    <w:p w14:paraId="3A9519E7">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6.3.4 不可抗力导致合同暂停或解除</w:t>
      </w:r>
    </w:p>
    <w:p w14:paraId="6ED87AA1">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因不可抗力致使合同不能履行或只能部分履行时，一方应当立即书面通知另一方，暂停或解除合同。</w:t>
      </w:r>
    </w:p>
    <w:p w14:paraId="34CFBC66">
      <w:pPr>
        <w:outlineLvl w:val="9"/>
        <w:rPr>
          <w:rFonts w:hint="eastAsia" w:asciiTheme="minorEastAsia" w:hAnsiTheme="minorEastAsia" w:eastAsiaTheme="minorEastAsia" w:cstheme="minorEastAsia"/>
          <w:b w:val="0"/>
          <w:color w:val="auto"/>
          <w:sz w:val="24"/>
          <w:szCs w:val="24"/>
          <w:highlight w:val="none"/>
          <w:lang w:eastAsia="zh-CN"/>
        </w:rPr>
      </w:pPr>
      <w:bookmarkStart w:id="1007" w:name="_Toc61947429"/>
      <w:bookmarkStart w:id="1008" w:name="_Toc11332859"/>
      <w:bookmarkStart w:id="1009" w:name="_Toc371398329"/>
      <w:r>
        <w:rPr>
          <w:rFonts w:hint="eastAsia" w:asciiTheme="minorEastAsia" w:hAnsiTheme="minorEastAsia" w:eastAsiaTheme="minorEastAsia" w:cstheme="minorEastAsia"/>
          <w:color w:val="auto"/>
          <w:sz w:val="24"/>
          <w:szCs w:val="24"/>
          <w:highlight w:val="none"/>
          <w:lang w:eastAsia="zh-CN"/>
        </w:rPr>
        <w:t>6.4 终止</w:t>
      </w:r>
      <w:bookmarkEnd w:id="1007"/>
      <w:bookmarkEnd w:id="1008"/>
      <w:bookmarkEnd w:id="1009"/>
    </w:p>
    <w:p w14:paraId="4AF499CF">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6.4.1 下列条件之一成就时，合同权利义务即告终止：</w:t>
      </w:r>
    </w:p>
    <w:p w14:paraId="6BE19D28">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（1）按第6.3款约定双方解除合同；</w:t>
      </w:r>
    </w:p>
    <w:p w14:paraId="2FBE362F">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（2）监理人完成合同约定的全部工作。</w:t>
      </w:r>
    </w:p>
    <w:p w14:paraId="2030B527">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6.4.2合同权利义务终止后，合同约定的有关结算、清理、争议解决方式的条款仍然有效。</w:t>
      </w:r>
    </w:p>
    <w:p w14:paraId="0B2758E4">
      <w:pPr>
        <w:adjustRightInd w:val="0"/>
        <w:spacing w:before="120" w:beforeLines="50" w:line="360" w:lineRule="auto"/>
        <w:outlineLvl w:val="9"/>
        <w:rPr>
          <w:rFonts w:hint="eastAsia" w:asciiTheme="minorEastAsia" w:hAnsiTheme="minorEastAsia" w:eastAsiaTheme="minorEastAsia" w:cstheme="minorEastAsia"/>
          <w:color w:val="auto"/>
          <w:sz w:val="24"/>
          <w:szCs w:val="24"/>
          <w:highlight w:val="none"/>
          <w:lang w:eastAsia="zh-CN"/>
        </w:rPr>
      </w:pPr>
      <w:bookmarkStart w:id="1010" w:name="_Toc61947430"/>
      <w:bookmarkStart w:id="1011" w:name="_Toc371398330"/>
      <w:bookmarkStart w:id="1012" w:name="_Toc11332860"/>
      <w:r>
        <w:rPr>
          <w:rFonts w:hint="eastAsia" w:asciiTheme="minorEastAsia" w:hAnsiTheme="minorEastAsia" w:eastAsiaTheme="minorEastAsia" w:cstheme="minorEastAsia"/>
          <w:color w:val="auto"/>
          <w:sz w:val="24"/>
          <w:szCs w:val="24"/>
          <w:highlight w:val="none"/>
          <w:lang w:eastAsia="zh-CN"/>
        </w:rPr>
        <w:t>7. 争议解决</w:t>
      </w:r>
      <w:bookmarkEnd w:id="1010"/>
      <w:bookmarkEnd w:id="1011"/>
      <w:bookmarkEnd w:id="1012"/>
    </w:p>
    <w:p w14:paraId="0F4A697A">
      <w:pPr>
        <w:outlineLvl w:val="9"/>
        <w:rPr>
          <w:rFonts w:hint="eastAsia" w:asciiTheme="minorEastAsia" w:hAnsiTheme="minorEastAsia" w:eastAsiaTheme="minorEastAsia" w:cstheme="minorEastAsia"/>
          <w:b w:val="0"/>
          <w:color w:val="auto"/>
          <w:sz w:val="24"/>
          <w:szCs w:val="24"/>
          <w:highlight w:val="none"/>
          <w:lang w:eastAsia="zh-CN"/>
        </w:rPr>
      </w:pPr>
      <w:bookmarkStart w:id="1013" w:name="_Toc61947431"/>
      <w:bookmarkStart w:id="1014" w:name="_Toc371398331"/>
      <w:bookmarkStart w:id="1015" w:name="_Toc11332861"/>
      <w:r>
        <w:rPr>
          <w:rFonts w:hint="eastAsia" w:asciiTheme="minorEastAsia" w:hAnsiTheme="minorEastAsia" w:eastAsiaTheme="minorEastAsia" w:cstheme="minorEastAsia"/>
          <w:color w:val="auto"/>
          <w:sz w:val="24"/>
          <w:szCs w:val="24"/>
          <w:highlight w:val="none"/>
          <w:lang w:eastAsia="zh-CN"/>
        </w:rPr>
        <w:t>7.1协商</w:t>
      </w:r>
      <w:bookmarkEnd w:id="1013"/>
      <w:bookmarkEnd w:id="1014"/>
      <w:bookmarkEnd w:id="1015"/>
    </w:p>
    <w:p w14:paraId="21A815F1">
      <w:pPr>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双方应当本着诚信原则协商解决彼此间的争议。</w:t>
      </w:r>
    </w:p>
    <w:p w14:paraId="2176EB5C">
      <w:pPr>
        <w:outlineLvl w:val="9"/>
        <w:rPr>
          <w:rFonts w:hint="eastAsia" w:asciiTheme="minorEastAsia" w:hAnsiTheme="minorEastAsia" w:eastAsiaTheme="minorEastAsia" w:cstheme="minorEastAsia"/>
          <w:b w:val="0"/>
          <w:color w:val="auto"/>
          <w:sz w:val="24"/>
          <w:szCs w:val="24"/>
          <w:highlight w:val="none"/>
          <w:lang w:eastAsia="zh-CN"/>
        </w:rPr>
      </w:pPr>
      <w:bookmarkStart w:id="1016" w:name="_Toc371398332"/>
      <w:bookmarkStart w:id="1017" w:name="_Toc11332862"/>
      <w:bookmarkStart w:id="1018" w:name="_Toc61947432"/>
      <w:r>
        <w:rPr>
          <w:rFonts w:hint="eastAsia" w:asciiTheme="minorEastAsia" w:hAnsiTheme="minorEastAsia" w:eastAsiaTheme="minorEastAsia" w:cstheme="minorEastAsia"/>
          <w:color w:val="auto"/>
          <w:sz w:val="24"/>
          <w:szCs w:val="24"/>
          <w:highlight w:val="none"/>
          <w:lang w:eastAsia="zh-CN"/>
        </w:rPr>
        <w:t>7.2调解</w:t>
      </w:r>
      <w:bookmarkEnd w:id="1016"/>
      <w:bookmarkEnd w:id="1017"/>
      <w:bookmarkEnd w:id="1018"/>
    </w:p>
    <w:p w14:paraId="10A71D23">
      <w:pPr>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如果双方不能在14天内或双方商定的其他时间内解决合同争议，可以将其提交给合同专用条款约定的或事后达成协议选定的调解人进行调解。</w:t>
      </w:r>
    </w:p>
    <w:p w14:paraId="16BF1EAB">
      <w:pPr>
        <w:outlineLvl w:val="9"/>
        <w:rPr>
          <w:rFonts w:hint="eastAsia" w:asciiTheme="minorEastAsia" w:hAnsiTheme="minorEastAsia" w:eastAsiaTheme="minorEastAsia" w:cstheme="minorEastAsia"/>
          <w:b w:val="0"/>
          <w:color w:val="auto"/>
          <w:sz w:val="24"/>
          <w:szCs w:val="24"/>
          <w:highlight w:val="none"/>
          <w:lang w:eastAsia="zh-CN"/>
        </w:rPr>
      </w:pPr>
      <w:bookmarkStart w:id="1019" w:name="_Toc371398333"/>
      <w:bookmarkStart w:id="1020" w:name="_Toc11332863"/>
      <w:bookmarkStart w:id="1021" w:name="_Toc61947433"/>
      <w:r>
        <w:rPr>
          <w:rFonts w:hint="eastAsia" w:asciiTheme="minorEastAsia" w:hAnsiTheme="minorEastAsia" w:eastAsiaTheme="minorEastAsia" w:cstheme="minorEastAsia"/>
          <w:color w:val="auto"/>
          <w:sz w:val="24"/>
          <w:szCs w:val="24"/>
          <w:highlight w:val="none"/>
          <w:lang w:eastAsia="zh-CN"/>
        </w:rPr>
        <w:t>7.3仲裁或诉讼</w:t>
      </w:r>
      <w:bookmarkEnd w:id="1019"/>
      <w:bookmarkEnd w:id="1020"/>
      <w:bookmarkEnd w:id="1021"/>
    </w:p>
    <w:p w14:paraId="02F9D751">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双方均有权不经调解直接向合同专用条款约定的仲裁机构申请仲裁或向有管辖权的人民法院提起诉讼。</w:t>
      </w:r>
    </w:p>
    <w:p w14:paraId="7D9D0C9D">
      <w:pPr>
        <w:rPr>
          <w:rFonts w:hint="eastAsia" w:asciiTheme="minorEastAsia" w:hAnsiTheme="minorEastAsia" w:eastAsiaTheme="minorEastAsia" w:cstheme="minorEastAsia"/>
          <w:color w:val="auto"/>
          <w:sz w:val="24"/>
          <w:szCs w:val="24"/>
          <w:highlight w:val="none"/>
          <w:lang w:eastAsia="zh-CN"/>
        </w:rPr>
      </w:pPr>
    </w:p>
    <w:p w14:paraId="4DC5B62E">
      <w:pPr>
        <w:pageBreakBefore/>
        <w:spacing w:line="360" w:lineRule="auto"/>
        <w:jc w:val="center"/>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第三部分合同专用条款</w:t>
      </w:r>
    </w:p>
    <w:p w14:paraId="163612E9">
      <w:pPr>
        <w:spacing w:line="360" w:lineRule="auto"/>
        <w:jc w:val="center"/>
        <w:rPr>
          <w:rFonts w:hint="eastAsia" w:asciiTheme="minorEastAsia" w:hAnsiTheme="minorEastAsia" w:eastAsiaTheme="minorEastAsia" w:cstheme="minorEastAsia"/>
          <w:b/>
          <w:color w:val="auto"/>
          <w:sz w:val="24"/>
          <w:szCs w:val="24"/>
          <w:highlight w:val="none"/>
          <w:lang w:eastAsia="zh-CN"/>
        </w:rPr>
      </w:pPr>
    </w:p>
    <w:p w14:paraId="3D0FB88F">
      <w:pPr>
        <w:adjustRightInd w:val="0"/>
        <w:snapToGrid w:val="0"/>
        <w:spacing w:before="120" w:beforeLines="50" w:line="360" w:lineRule="auto"/>
        <w:outlineLvl w:val="9"/>
        <w:rPr>
          <w:rFonts w:hint="eastAsia" w:asciiTheme="minorEastAsia" w:hAnsiTheme="minorEastAsia" w:eastAsiaTheme="minorEastAsia" w:cstheme="minorEastAsia"/>
          <w:color w:val="auto"/>
          <w:sz w:val="24"/>
          <w:szCs w:val="24"/>
          <w:highlight w:val="none"/>
          <w:lang w:eastAsia="zh-CN"/>
        </w:rPr>
      </w:pPr>
      <w:bookmarkStart w:id="1022" w:name="_Toc371398132"/>
      <w:bookmarkStart w:id="1023" w:name="_Toc61947434"/>
      <w:bookmarkStart w:id="1024" w:name="_Toc11332864"/>
      <w:r>
        <w:rPr>
          <w:rFonts w:hint="eastAsia" w:asciiTheme="minorEastAsia" w:hAnsiTheme="minorEastAsia" w:eastAsiaTheme="minorEastAsia" w:cstheme="minorEastAsia"/>
          <w:color w:val="auto"/>
          <w:sz w:val="24"/>
          <w:szCs w:val="24"/>
          <w:highlight w:val="none"/>
          <w:lang w:eastAsia="zh-CN"/>
        </w:rPr>
        <w:t>1. 定义与解释</w:t>
      </w:r>
      <w:bookmarkEnd w:id="1022"/>
      <w:bookmarkEnd w:id="1023"/>
      <w:bookmarkEnd w:id="1024"/>
    </w:p>
    <w:p w14:paraId="3E266375">
      <w:pPr>
        <w:outlineLvl w:val="9"/>
        <w:rPr>
          <w:rFonts w:hint="eastAsia" w:asciiTheme="minorEastAsia" w:hAnsiTheme="minorEastAsia" w:eastAsiaTheme="minorEastAsia" w:cstheme="minorEastAsia"/>
          <w:b w:val="0"/>
          <w:color w:val="auto"/>
          <w:sz w:val="24"/>
          <w:szCs w:val="24"/>
          <w:highlight w:val="none"/>
          <w:lang w:eastAsia="zh-CN"/>
        </w:rPr>
      </w:pPr>
      <w:bookmarkStart w:id="1025" w:name="_Toc11332865"/>
      <w:bookmarkStart w:id="1026" w:name="_Toc61947435"/>
      <w:bookmarkStart w:id="1027" w:name="_Toc371398133"/>
      <w:r>
        <w:rPr>
          <w:rFonts w:hint="eastAsia" w:asciiTheme="minorEastAsia" w:hAnsiTheme="minorEastAsia" w:eastAsiaTheme="minorEastAsia" w:cstheme="minorEastAsia"/>
          <w:color w:val="auto"/>
          <w:sz w:val="24"/>
          <w:szCs w:val="24"/>
          <w:highlight w:val="none"/>
          <w:lang w:eastAsia="zh-CN"/>
        </w:rPr>
        <w:t>1.3 合同文件组成与解释顺序</w:t>
      </w:r>
      <w:bookmarkEnd w:id="1025"/>
      <w:bookmarkEnd w:id="1026"/>
      <w:bookmarkEnd w:id="1027"/>
    </w:p>
    <w:p w14:paraId="1D4E8646">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1.3 组成合同文件的其他文件：</w:t>
      </w:r>
      <w:r>
        <w:rPr>
          <w:rFonts w:hint="eastAsia" w:asciiTheme="minorEastAsia" w:hAnsiTheme="minorEastAsia" w:eastAsiaTheme="minorEastAsia" w:cstheme="minorEastAsia"/>
          <w:color w:val="auto"/>
          <w:sz w:val="24"/>
          <w:szCs w:val="24"/>
          <w:highlight w:val="none"/>
          <w:u w:val="single"/>
          <w:lang w:eastAsia="zh-CN"/>
        </w:rPr>
        <w:t>无</w:t>
      </w:r>
      <w:r>
        <w:rPr>
          <w:rFonts w:hint="eastAsia" w:asciiTheme="minorEastAsia" w:hAnsiTheme="minorEastAsia" w:eastAsiaTheme="minorEastAsia" w:cstheme="minorEastAsia"/>
          <w:color w:val="auto"/>
          <w:sz w:val="24"/>
          <w:szCs w:val="24"/>
          <w:highlight w:val="none"/>
          <w:lang w:eastAsia="zh-CN"/>
        </w:rPr>
        <w:t>。</w:t>
      </w:r>
    </w:p>
    <w:p w14:paraId="2C77BB82">
      <w:pPr>
        <w:outlineLvl w:val="9"/>
        <w:rPr>
          <w:rFonts w:hint="eastAsia" w:asciiTheme="minorEastAsia" w:hAnsiTheme="minorEastAsia" w:eastAsiaTheme="minorEastAsia" w:cstheme="minorEastAsia"/>
          <w:b w:val="0"/>
          <w:color w:val="auto"/>
          <w:sz w:val="24"/>
          <w:szCs w:val="24"/>
          <w:highlight w:val="none"/>
          <w:lang w:eastAsia="zh-CN"/>
        </w:rPr>
      </w:pPr>
      <w:bookmarkStart w:id="1028" w:name="_Toc11332866"/>
      <w:bookmarkStart w:id="1029" w:name="_Toc371398134"/>
      <w:bookmarkStart w:id="1030" w:name="_Toc61947436"/>
      <w:r>
        <w:rPr>
          <w:rFonts w:hint="eastAsia" w:asciiTheme="minorEastAsia" w:hAnsiTheme="minorEastAsia" w:eastAsiaTheme="minorEastAsia" w:cstheme="minorEastAsia"/>
          <w:color w:val="auto"/>
          <w:sz w:val="24"/>
          <w:szCs w:val="24"/>
          <w:highlight w:val="none"/>
          <w:lang w:eastAsia="zh-CN"/>
        </w:rPr>
        <w:t>1.5 保密</w:t>
      </w:r>
      <w:bookmarkEnd w:id="1028"/>
      <w:bookmarkEnd w:id="1029"/>
      <w:bookmarkEnd w:id="1030"/>
    </w:p>
    <w:p w14:paraId="22903C3B">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委托人申明的保密事项和期限：</w:t>
      </w:r>
      <w:r>
        <w:rPr>
          <w:rFonts w:hint="eastAsia" w:asciiTheme="minorEastAsia" w:hAnsiTheme="minorEastAsia" w:eastAsiaTheme="minorEastAsia" w:cstheme="minorEastAsia"/>
          <w:color w:val="auto"/>
          <w:sz w:val="24"/>
          <w:szCs w:val="24"/>
          <w:highlight w:val="none"/>
          <w:u w:val="single"/>
          <w:lang w:eastAsia="zh-CN"/>
        </w:rPr>
        <w:t>　无　</w:t>
      </w:r>
    </w:p>
    <w:p w14:paraId="637795BF">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z w:val="24"/>
          <w:szCs w:val="24"/>
          <w:highlight w:val="none"/>
          <w:lang w:eastAsia="zh-CN"/>
        </w:rPr>
        <w:t>监理人申明的保密事项和期限：</w:t>
      </w:r>
      <w:r>
        <w:rPr>
          <w:rFonts w:hint="eastAsia" w:asciiTheme="minorEastAsia" w:hAnsiTheme="minorEastAsia" w:eastAsiaTheme="minorEastAsia" w:cstheme="minorEastAsia"/>
          <w:color w:val="auto"/>
          <w:sz w:val="24"/>
          <w:szCs w:val="24"/>
          <w:highlight w:val="none"/>
          <w:u w:val="single"/>
          <w:lang w:eastAsia="zh-CN"/>
        </w:rPr>
        <w:t>　　无　</w:t>
      </w:r>
    </w:p>
    <w:p w14:paraId="1435D2ED">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第三方申明的保密事项和期限：</w:t>
      </w:r>
      <w:r>
        <w:rPr>
          <w:rFonts w:hint="eastAsia" w:asciiTheme="minorEastAsia" w:hAnsiTheme="minorEastAsia" w:eastAsiaTheme="minorEastAsia" w:cstheme="minorEastAsia"/>
          <w:color w:val="auto"/>
          <w:sz w:val="24"/>
          <w:szCs w:val="24"/>
          <w:highlight w:val="none"/>
          <w:u w:val="single"/>
          <w:lang w:eastAsia="zh-CN"/>
        </w:rPr>
        <w:t>无</w:t>
      </w:r>
    </w:p>
    <w:p w14:paraId="1BEEAAAF">
      <w:pPr>
        <w:adjustRightInd w:val="0"/>
        <w:snapToGrid w:val="0"/>
        <w:spacing w:before="120" w:beforeLines="50" w:line="360" w:lineRule="auto"/>
        <w:outlineLvl w:val="9"/>
        <w:rPr>
          <w:rFonts w:hint="eastAsia" w:asciiTheme="minorEastAsia" w:hAnsiTheme="minorEastAsia" w:eastAsiaTheme="minorEastAsia" w:cstheme="minorEastAsia"/>
          <w:color w:val="auto"/>
          <w:sz w:val="24"/>
          <w:szCs w:val="24"/>
          <w:highlight w:val="none"/>
          <w:lang w:eastAsia="zh-CN"/>
        </w:rPr>
      </w:pPr>
      <w:bookmarkStart w:id="1031" w:name="_Toc371398135"/>
      <w:bookmarkStart w:id="1032" w:name="_Toc61947437"/>
      <w:bookmarkStart w:id="1033" w:name="_Toc11332867"/>
      <w:r>
        <w:rPr>
          <w:rFonts w:hint="eastAsia" w:asciiTheme="minorEastAsia" w:hAnsiTheme="minorEastAsia" w:eastAsiaTheme="minorEastAsia" w:cstheme="minorEastAsia"/>
          <w:color w:val="auto"/>
          <w:sz w:val="24"/>
          <w:szCs w:val="24"/>
          <w:highlight w:val="none"/>
          <w:lang w:eastAsia="zh-CN"/>
        </w:rPr>
        <w:t>2. 监理人义务</w:t>
      </w:r>
      <w:bookmarkEnd w:id="1031"/>
      <w:bookmarkEnd w:id="1032"/>
      <w:bookmarkEnd w:id="1033"/>
    </w:p>
    <w:p w14:paraId="045253EA">
      <w:pPr>
        <w:outlineLvl w:val="9"/>
        <w:rPr>
          <w:rFonts w:hint="eastAsia" w:asciiTheme="minorEastAsia" w:hAnsiTheme="minorEastAsia" w:eastAsiaTheme="minorEastAsia" w:cstheme="minorEastAsia"/>
          <w:b w:val="0"/>
          <w:color w:val="auto"/>
          <w:sz w:val="24"/>
          <w:szCs w:val="24"/>
          <w:highlight w:val="none"/>
          <w:lang w:eastAsia="zh-CN"/>
        </w:rPr>
      </w:pPr>
      <w:bookmarkStart w:id="1034" w:name="_Toc371398136"/>
      <w:bookmarkStart w:id="1035" w:name="_Toc61947438"/>
      <w:bookmarkStart w:id="1036" w:name="_Toc11332868"/>
      <w:r>
        <w:rPr>
          <w:rFonts w:hint="eastAsia" w:asciiTheme="minorEastAsia" w:hAnsiTheme="minorEastAsia" w:eastAsiaTheme="minorEastAsia" w:cstheme="minorEastAsia"/>
          <w:color w:val="auto"/>
          <w:sz w:val="24"/>
          <w:szCs w:val="24"/>
          <w:highlight w:val="none"/>
          <w:lang w:eastAsia="zh-CN"/>
        </w:rPr>
        <w:t>2.1 监理与相关服务的工程范围和服务内容</w:t>
      </w:r>
      <w:bookmarkEnd w:id="1034"/>
      <w:bookmarkEnd w:id="1035"/>
      <w:bookmarkEnd w:id="1036"/>
    </w:p>
    <w:p w14:paraId="7FDF9304">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2.1.1 监理与相关服务的工程范围包括：</w:t>
      </w:r>
      <w:r>
        <w:rPr>
          <w:rFonts w:hint="eastAsia" w:asciiTheme="minorEastAsia" w:hAnsiTheme="minorEastAsia" w:eastAsiaTheme="minorEastAsia" w:cstheme="minorEastAsia"/>
          <w:color w:val="auto"/>
          <w:sz w:val="24"/>
          <w:szCs w:val="24"/>
          <w:highlight w:val="none"/>
          <w:u w:val="single"/>
          <w:lang w:eastAsia="zh-CN"/>
        </w:rPr>
        <w:t>全过程监理</w:t>
      </w:r>
      <w:r>
        <w:rPr>
          <w:rFonts w:hint="eastAsia" w:asciiTheme="minorEastAsia" w:hAnsiTheme="minorEastAsia" w:eastAsiaTheme="minorEastAsia" w:cstheme="minorEastAsia"/>
          <w:color w:val="auto"/>
          <w:sz w:val="24"/>
          <w:szCs w:val="24"/>
          <w:highlight w:val="none"/>
          <w:lang w:eastAsia="zh-CN"/>
        </w:rPr>
        <w:t>。</w:t>
      </w:r>
    </w:p>
    <w:p w14:paraId="56BDECB4">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2.1.3.5 其他相关服务的内容：。</w:t>
      </w:r>
    </w:p>
    <w:p w14:paraId="5FF3305A">
      <w:pPr>
        <w:outlineLvl w:val="9"/>
        <w:rPr>
          <w:rFonts w:hint="eastAsia" w:asciiTheme="minorEastAsia" w:hAnsiTheme="minorEastAsia" w:eastAsiaTheme="minorEastAsia" w:cstheme="minorEastAsia"/>
          <w:b w:val="0"/>
          <w:color w:val="auto"/>
          <w:sz w:val="24"/>
          <w:szCs w:val="24"/>
          <w:highlight w:val="none"/>
          <w:lang w:eastAsia="zh-CN"/>
        </w:rPr>
      </w:pPr>
      <w:bookmarkStart w:id="1037" w:name="_Toc11332869"/>
      <w:bookmarkStart w:id="1038" w:name="_Toc371398137"/>
      <w:bookmarkStart w:id="1039" w:name="_Toc61947439"/>
      <w:r>
        <w:rPr>
          <w:rFonts w:hint="eastAsia" w:asciiTheme="minorEastAsia" w:hAnsiTheme="minorEastAsia" w:eastAsiaTheme="minorEastAsia" w:cstheme="minorEastAsia"/>
          <w:color w:val="auto"/>
          <w:sz w:val="24"/>
          <w:szCs w:val="24"/>
          <w:highlight w:val="none"/>
          <w:lang w:eastAsia="zh-CN"/>
        </w:rPr>
        <w:t>2.2 监理与相关服务依据</w:t>
      </w:r>
      <w:bookmarkEnd w:id="1037"/>
      <w:bookmarkEnd w:id="1038"/>
      <w:bookmarkEnd w:id="1039"/>
    </w:p>
    <w:p w14:paraId="752192ED">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2.2.1 监理依据：</w:t>
      </w:r>
      <w:r>
        <w:rPr>
          <w:rFonts w:hint="eastAsia" w:asciiTheme="minorEastAsia" w:hAnsiTheme="minorEastAsia" w:eastAsiaTheme="minorEastAsia" w:cstheme="minorEastAsia"/>
          <w:color w:val="auto"/>
          <w:sz w:val="24"/>
          <w:szCs w:val="24"/>
          <w:highlight w:val="none"/>
          <w:u w:val="single"/>
          <w:lang w:eastAsia="zh-CN"/>
        </w:rPr>
        <w:t>1、与养护相关的法律、法规；2《养护合同》及其他合同文件；3、现行的国家及地方各类技术标准、规范。</w:t>
      </w:r>
    </w:p>
    <w:p w14:paraId="4B5FA1B4">
      <w:pPr>
        <w:adjustRightInd w:val="0"/>
        <w:snapToGrid w:val="0"/>
        <w:spacing w:line="360" w:lineRule="auto"/>
        <w:ind w:firstLine="480" w:firstLineChars="200"/>
        <w:rPr>
          <w:rFonts w:hint="eastAsia" w:asciiTheme="minorEastAsia" w:hAnsiTheme="minorEastAsia" w:eastAsiaTheme="minorEastAsia" w:cstheme="minorEastAsia"/>
          <w:dstrike/>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2.2.2 相关服务依据：</w:t>
      </w:r>
      <w:r>
        <w:rPr>
          <w:rFonts w:hint="eastAsia" w:asciiTheme="minorEastAsia" w:hAnsiTheme="minorEastAsia" w:eastAsiaTheme="minorEastAsia" w:cstheme="minorEastAsia"/>
          <w:color w:val="auto"/>
          <w:sz w:val="24"/>
          <w:szCs w:val="24"/>
          <w:highlight w:val="none"/>
          <w:u w:val="single"/>
          <w:lang w:eastAsia="zh-CN"/>
        </w:rPr>
        <w:t>无</w:t>
      </w:r>
      <w:r>
        <w:rPr>
          <w:rFonts w:hint="eastAsia" w:asciiTheme="minorEastAsia" w:hAnsiTheme="minorEastAsia" w:eastAsiaTheme="minorEastAsia" w:cstheme="minorEastAsia"/>
          <w:color w:val="auto"/>
          <w:sz w:val="24"/>
          <w:szCs w:val="24"/>
          <w:highlight w:val="none"/>
          <w:lang w:eastAsia="zh-CN"/>
        </w:rPr>
        <w:t>。</w:t>
      </w:r>
    </w:p>
    <w:p w14:paraId="62ACCEC4">
      <w:pPr>
        <w:outlineLvl w:val="9"/>
        <w:rPr>
          <w:rFonts w:hint="eastAsia" w:asciiTheme="minorEastAsia" w:hAnsiTheme="minorEastAsia" w:eastAsiaTheme="minorEastAsia" w:cstheme="minorEastAsia"/>
          <w:b w:val="0"/>
          <w:color w:val="auto"/>
          <w:sz w:val="24"/>
          <w:szCs w:val="24"/>
          <w:highlight w:val="none"/>
          <w:lang w:eastAsia="zh-CN"/>
        </w:rPr>
      </w:pPr>
      <w:bookmarkStart w:id="1040" w:name="_Toc371398138"/>
      <w:bookmarkStart w:id="1041" w:name="_Toc11332870"/>
      <w:bookmarkStart w:id="1042" w:name="_Toc61947440"/>
      <w:r>
        <w:rPr>
          <w:rFonts w:hint="eastAsia" w:asciiTheme="minorEastAsia" w:hAnsiTheme="minorEastAsia" w:eastAsiaTheme="minorEastAsia" w:cstheme="minorEastAsia"/>
          <w:color w:val="auto"/>
          <w:sz w:val="24"/>
          <w:szCs w:val="24"/>
          <w:highlight w:val="none"/>
          <w:lang w:eastAsia="zh-CN"/>
        </w:rPr>
        <w:t>2.3 项目监理与相关服务机构和人员</w:t>
      </w:r>
      <w:bookmarkEnd w:id="1040"/>
      <w:bookmarkEnd w:id="1041"/>
      <w:bookmarkEnd w:id="1042"/>
    </w:p>
    <w:p w14:paraId="0C3CAD63">
      <w:pPr>
        <w:adjustRightInd w:val="0"/>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2.3.4 更换监理人员的其他情形：</w:t>
      </w:r>
      <w:r>
        <w:rPr>
          <w:rFonts w:hint="eastAsia" w:asciiTheme="minorEastAsia" w:hAnsiTheme="minorEastAsia" w:eastAsiaTheme="minorEastAsia" w:cstheme="minorEastAsia"/>
          <w:color w:val="auto"/>
          <w:sz w:val="24"/>
          <w:szCs w:val="24"/>
          <w:highlight w:val="none"/>
          <w:u w:val="single"/>
          <w:lang w:eastAsia="zh-CN"/>
        </w:rPr>
        <w:t>/。</w:t>
      </w:r>
    </w:p>
    <w:p w14:paraId="0798743A">
      <w:pPr>
        <w:outlineLvl w:val="9"/>
        <w:rPr>
          <w:rFonts w:hint="eastAsia" w:asciiTheme="minorEastAsia" w:hAnsiTheme="minorEastAsia" w:eastAsiaTheme="minorEastAsia" w:cstheme="minorEastAsia"/>
          <w:b w:val="0"/>
          <w:color w:val="auto"/>
          <w:sz w:val="24"/>
          <w:szCs w:val="24"/>
          <w:highlight w:val="none"/>
          <w:lang w:eastAsia="zh-CN"/>
        </w:rPr>
      </w:pPr>
      <w:bookmarkStart w:id="1043" w:name="_Toc11332871"/>
      <w:bookmarkStart w:id="1044" w:name="_Toc371398139"/>
      <w:bookmarkStart w:id="1045" w:name="_Toc61947441"/>
      <w:r>
        <w:rPr>
          <w:rFonts w:hint="eastAsia" w:asciiTheme="minorEastAsia" w:hAnsiTheme="minorEastAsia" w:eastAsiaTheme="minorEastAsia" w:cstheme="minorEastAsia"/>
          <w:color w:val="auto"/>
          <w:sz w:val="24"/>
          <w:szCs w:val="24"/>
          <w:highlight w:val="none"/>
          <w:lang w:eastAsia="zh-CN"/>
        </w:rPr>
        <w:t>2.4 履行职责</w:t>
      </w:r>
      <w:bookmarkEnd w:id="1043"/>
      <w:bookmarkEnd w:id="1044"/>
      <w:bookmarkEnd w:id="1045"/>
    </w:p>
    <w:p w14:paraId="05C4FC06">
      <w:pPr>
        <w:adjustRightInd w:val="0"/>
        <w:snapToGrid w:val="0"/>
        <w:spacing w:line="360" w:lineRule="auto"/>
        <w:ind w:left="315" w:hanging="360" w:hangingChars="150"/>
        <w:rPr>
          <w:rFonts w:hint="eastAsia" w:asciiTheme="minorEastAsia" w:hAnsiTheme="minorEastAsia" w:eastAsiaTheme="minorEastAsia" w:cstheme="minorEastAsia"/>
          <w:color w:val="auto"/>
          <w:sz w:val="24"/>
          <w:szCs w:val="24"/>
          <w:highlight w:val="none"/>
          <w:lang w:eastAsia="zh-CN"/>
        </w:rPr>
      </w:pPr>
      <w:bookmarkStart w:id="1046" w:name="_Toc343092723"/>
      <w:r>
        <w:rPr>
          <w:rFonts w:hint="eastAsia" w:asciiTheme="minorEastAsia" w:hAnsiTheme="minorEastAsia" w:eastAsiaTheme="minorEastAsia" w:cstheme="minorEastAsia"/>
          <w:color w:val="auto"/>
          <w:sz w:val="24"/>
          <w:szCs w:val="24"/>
          <w:highlight w:val="none"/>
          <w:lang w:eastAsia="zh-CN"/>
        </w:rPr>
        <w:t>2.4.3 对监理人的授权范围：</w:t>
      </w:r>
      <w:bookmarkEnd w:id="1046"/>
      <w:r>
        <w:rPr>
          <w:rFonts w:hint="eastAsia" w:asciiTheme="minorEastAsia" w:hAnsiTheme="minorEastAsia" w:eastAsiaTheme="minorEastAsia" w:cstheme="minorEastAsia"/>
          <w:color w:val="auto"/>
          <w:sz w:val="24"/>
          <w:szCs w:val="24"/>
          <w:highlight w:val="none"/>
          <w:u w:val="single"/>
          <w:lang w:eastAsia="zh-CN"/>
        </w:rPr>
        <w:t>包括投资控制、质量控制、进度控制；合同管理、信息管理、安全管理；项目内部关系协调</w:t>
      </w:r>
      <w:r>
        <w:rPr>
          <w:rFonts w:hint="eastAsia" w:asciiTheme="minorEastAsia" w:hAnsiTheme="minorEastAsia" w:eastAsiaTheme="minorEastAsia" w:cstheme="minorEastAsia"/>
          <w:color w:val="auto"/>
          <w:sz w:val="24"/>
          <w:szCs w:val="24"/>
          <w:highlight w:val="none"/>
          <w:lang w:eastAsia="zh-CN"/>
        </w:rPr>
        <w:t>。</w:t>
      </w:r>
    </w:p>
    <w:p w14:paraId="0EB6B49C">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在涉及工程延期</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lang w:eastAsia="zh-CN"/>
        </w:rPr>
        <w:t>天内和（或）金额</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lang w:eastAsia="zh-CN"/>
        </w:rPr>
        <w:t>万元内的变更，监理人不需请示委托人即可向承包人发布变更通知。</w:t>
      </w:r>
    </w:p>
    <w:p w14:paraId="2A6964E8">
      <w:pPr>
        <w:outlineLvl w:val="9"/>
        <w:rPr>
          <w:rFonts w:hint="eastAsia" w:asciiTheme="minorEastAsia" w:hAnsiTheme="minorEastAsia" w:eastAsiaTheme="minorEastAsia" w:cstheme="minorEastAsia"/>
          <w:b w:val="0"/>
          <w:color w:val="auto"/>
          <w:sz w:val="24"/>
          <w:szCs w:val="24"/>
          <w:highlight w:val="none"/>
          <w:lang w:eastAsia="zh-CN"/>
        </w:rPr>
      </w:pPr>
      <w:bookmarkStart w:id="1047" w:name="_Toc61947442"/>
      <w:bookmarkStart w:id="1048" w:name="_Toc11332872"/>
      <w:bookmarkStart w:id="1049" w:name="_Toc371398140"/>
      <w:r>
        <w:rPr>
          <w:rFonts w:hint="eastAsia" w:asciiTheme="minorEastAsia" w:hAnsiTheme="minorEastAsia" w:eastAsiaTheme="minorEastAsia" w:cstheme="minorEastAsia"/>
          <w:color w:val="auto"/>
          <w:sz w:val="24"/>
          <w:szCs w:val="24"/>
          <w:highlight w:val="none"/>
          <w:lang w:eastAsia="zh-CN"/>
        </w:rPr>
        <w:t>2.7 提交报告</w:t>
      </w:r>
      <w:bookmarkEnd w:id="1047"/>
      <w:bookmarkEnd w:id="1048"/>
      <w:bookmarkEnd w:id="1049"/>
    </w:p>
    <w:p w14:paraId="61344080">
      <w:pPr>
        <w:adjustRightInd w:val="0"/>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监理人应当提交报告的种类（包括监理规划、监理月报及约定的专项报告）、时间和份数：</w:t>
      </w:r>
      <w:r>
        <w:rPr>
          <w:rFonts w:hint="eastAsia" w:asciiTheme="minorEastAsia" w:hAnsiTheme="minorEastAsia" w:eastAsiaTheme="minorEastAsia" w:cstheme="minorEastAsia"/>
          <w:color w:val="auto"/>
          <w:sz w:val="24"/>
          <w:szCs w:val="24"/>
          <w:highlight w:val="none"/>
          <w:u w:val="single"/>
          <w:lang w:eastAsia="zh-CN"/>
        </w:rPr>
        <w:t>监理机构进场后10日内提交监理规划，每月25日前提交监理月报，其他提交时点及监理报告具体份数根据工程特点由甲乙双方协定。</w:t>
      </w:r>
    </w:p>
    <w:p w14:paraId="7890C90F">
      <w:pPr>
        <w:outlineLvl w:val="9"/>
        <w:rPr>
          <w:rFonts w:hint="eastAsia" w:asciiTheme="minorEastAsia" w:hAnsiTheme="minorEastAsia" w:eastAsiaTheme="minorEastAsia" w:cstheme="minorEastAsia"/>
          <w:b w:val="0"/>
          <w:color w:val="auto"/>
          <w:sz w:val="24"/>
          <w:szCs w:val="24"/>
          <w:highlight w:val="none"/>
          <w:lang w:eastAsia="zh-CN"/>
        </w:rPr>
      </w:pPr>
      <w:bookmarkStart w:id="1050" w:name="_Toc61947443"/>
      <w:bookmarkStart w:id="1051" w:name="_Toc11332873"/>
      <w:bookmarkStart w:id="1052" w:name="_Toc371398141"/>
      <w:r>
        <w:rPr>
          <w:rFonts w:hint="eastAsia" w:asciiTheme="minorEastAsia" w:hAnsiTheme="minorEastAsia" w:eastAsiaTheme="minorEastAsia" w:cstheme="minorEastAsia"/>
          <w:color w:val="auto"/>
          <w:sz w:val="24"/>
          <w:szCs w:val="24"/>
          <w:highlight w:val="none"/>
          <w:lang w:eastAsia="zh-CN"/>
        </w:rPr>
        <w:t>2.9 使用委托人的财产</w:t>
      </w:r>
      <w:bookmarkEnd w:id="1050"/>
      <w:bookmarkEnd w:id="1051"/>
      <w:bookmarkEnd w:id="1052"/>
    </w:p>
    <w:p w14:paraId="40FBE646">
      <w:pPr>
        <w:snapToGrid w:val="0"/>
        <w:spacing w:line="360" w:lineRule="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委托人提供的人员、房屋、设备、设施：</w:t>
      </w:r>
      <w:r>
        <w:rPr>
          <w:rFonts w:hint="eastAsia" w:asciiTheme="minorEastAsia" w:hAnsiTheme="minorEastAsia" w:eastAsiaTheme="minorEastAsia" w:cstheme="minorEastAsia"/>
          <w:color w:val="auto"/>
          <w:sz w:val="24"/>
          <w:szCs w:val="24"/>
          <w:highlight w:val="none"/>
          <w:u w:val="single"/>
          <w:lang w:eastAsia="zh-CN"/>
        </w:rPr>
        <w:t>由双方商定</w:t>
      </w:r>
      <w:r>
        <w:rPr>
          <w:rFonts w:hint="eastAsia" w:asciiTheme="minorEastAsia" w:hAnsiTheme="minorEastAsia" w:eastAsiaTheme="minorEastAsia" w:cstheme="minorEastAsia"/>
          <w:color w:val="auto"/>
          <w:sz w:val="24"/>
          <w:szCs w:val="24"/>
          <w:highlight w:val="none"/>
          <w:lang w:eastAsia="zh-CN"/>
        </w:rPr>
        <w:t>。</w:t>
      </w:r>
    </w:p>
    <w:p w14:paraId="0870EC21">
      <w:pPr>
        <w:adjustRightInd w:val="0"/>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由委托人提供的房屋、设备、设施的所有权属于：</w:t>
      </w:r>
      <w:r>
        <w:rPr>
          <w:rFonts w:hint="eastAsia" w:asciiTheme="minorEastAsia" w:hAnsiTheme="minorEastAsia" w:eastAsiaTheme="minorEastAsia" w:cstheme="minorEastAsia"/>
          <w:color w:val="auto"/>
          <w:sz w:val="24"/>
          <w:szCs w:val="24"/>
          <w:highlight w:val="none"/>
          <w:u w:val="single"/>
          <w:lang w:eastAsia="zh-CN"/>
        </w:rPr>
        <w:t>委托人</w:t>
      </w:r>
      <w:r>
        <w:rPr>
          <w:rFonts w:hint="eastAsia" w:asciiTheme="minorEastAsia" w:hAnsiTheme="minorEastAsia" w:eastAsiaTheme="minorEastAsia" w:cstheme="minorEastAsia"/>
          <w:color w:val="auto"/>
          <w:sz w:val="24"/>
          <w:szCs w:val="24"/>
          <w:highlight w:val="none"/>
          <w:lang w:eastAsia="zh-CN"/>
        </w:rPr>
        <w:t>。</w:t>
      </w:r>
    </w:p>
    <w:p w14:paraId="53C96BC1">
      <w:pPr>
        <w:adjustRightInd w:val="0"/>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在合同终止后，监理人应当在</w:t>
      </w:r>
      <w:r>
        <w:rPr>
          <w:rFonts w:hint="eastAsia" w:asciiTheme="minorEastAsia" w:hAnsiTheme="minorEastAsia" w:eastAsiaTheme="minorEastAsia" w:cstheme="minorEastAsia"/>
          <w:color w:val="auto"/>
          <w:sz w:val="24"/>
          <w:szCs w:val="24"/>
          <w:highlight w:val="none"/>
          <w:u w:val="single"/>
          <w:lang w:eastAsia="zh-CN"/>
        </w:rPr>
        <w:t>15</w:t>
      </w:r>
      <w:r>
        <w:rPr>
          <w:rFonts w:hint="eastAsia" w:asciiTheme="minorEastAsia" w:hAnsiTheme="minorEastAsia" w:eastAsiaTheme="minorEastAsia" w:cstheme="minorEastAsia"/>
          <w:color w:val="auto"/>
          <w:sz w:val="24"/>
          <w:szCs w:val="24"/>
          <w:highlight w:val="none"/>
          <w:lang w:eastAsia="zh-CN"/>
        </w:rPr>
        <w:t>天内移交委托人免费提供的设备、设施，移交的方式和时间为：</w:t>
      </w:r>
      <w:r>
        <w:rPr>
          <w:rFonts w:hint="eastAsia" w:asciiTheme="minorEastAsia" w:hAnsiTheme="minorEastAsia" w:eastAsiaTheme="minorEastAsia" w:cstheme="minorEastAsia"/>
          <w:color w:val="auto"/>
          <w:sz w:val="24"/>
          <w:szCs w:val="24"/>
          <w:highlight w:val="none"/>
          <w:u w:val="single"/>
          <w:lang w:eastAsia="zh-CN"/>
        </w:rPr>
        <w:t>双方当面清点移交</w:t>
      </w:r>
      <w:r>
        <w:rPr>
          <w:rFonts w:hint="eastAsia" w:asciiTheme="minorEastAsia" w:hAnsiTheme="minorEastAsia" w:eastAsiaTheme="minorEastAsia" w:cstheme="minorEastAsia"/>
          <w:color w:val="auto"/>
          <w:sz w:val="24"/>
          <w:szCs w:val="24"/>
          <w:highlight w:val="none"/>
          <w:lang w:eastAsia="zh-CN"/>
        </w:rPr>
        <w:t>。</w:t>
      </w:r>
    </w:p>
    <w:p w14:paraId="0D0E182C">
      <w:pPr>
        <w:adjustRightInd w:val="0"/>
        <w:snapToGrid w:val="0"/>
        <w:spacing w:before="120" w:beforeLines="50" w:line="360" w:lineRule="auto"/>
        <w:outlineLvl w:val="9"/>
        <w:rPr>
          <w:rFonts w:hint="eastAsia" w:asciiTheme="minorEastAsia" w:hAnsiTheme="minorEastAsia" w:eastAsiaTheme="minorEastAsia" w:cstheme="minorEastAsia"/>
          <w:color w:val="auto"/>
          <w:sz w:val="24"/>
          <w:szCs w:val="24"/>
          <w:highlight w:val="none"/>
          <w:lang w:eastAsia="zh-CN"/>
        </w:rPr>
      </w:pPr>
      <w:bookmarkStart w:id="1053" w:name="_Toc11332874"/>
      <w:bookmarkStart w:id="1054" w:name="_Toc61947444"/>
      <w:bookmarkStart w:id="1055" w:name="_Toc371398142"/>
      <w:r>
        <w:rPr>
          <w:rFonts w:hint="eastAsia" w:asciiTheme="minorEastAsia" w:hAnsiTheme="minorEastAsia" w:eastAsiaTheme="minorEastAsia" w:cstheme="minorEastAsia"/>
          <w:color w:val="auto"/>
          <w:sz w:val="24"/>
          <w:szCs w:val="24"/>
          <w:highlight w:val="none"/>
          <w:lang w:eastAsia="zh-CN"/>
        </w:rPr>
        <w:t>3. 委托人义务</w:t>
      </w:r>
      <w:bookmarkEnd w:id="1053"/>
      <w:bookmarkEnd w:id="1054"/>
      <w:bookmarkEnd w:id="1055"/>
    </w:p>
    <w:p w14:paraId="3FD47011">
      <w:pPr>
        <w:outlineLvl w:val="9"/>
        <w:rPr>
          <w:rFonts w:hint="eastAsia" w:asciiTheme="minorEastAsia" w:hAnsiTheme="minorEastAsia" w:eastAsiaTheme="minorEastAsia" w:cstheme="minorEastAsia"/>
          <w:b w:val="0"/>
          <w:color w:val="auto"/>
          <w:sz w:val="24"/>
          <w:szCs w:val="24"/>
          <w:highlight w:val="none"/>
          <w:lang w:eastAsia="zh-CN"/>
        </w:rPr>
      </w:pPr>
      <w:bookmarkStart w:id="1056" w:name="_Toc11332875"/>
      <w:bookmarkStart w:id="1057" w:name="_Toc61947445"/>
      <w:r>
        <w:rPr>
          <w:rFonts w:hint="eastAsia" w:asciiTheme="minorEastAsia" w:hAnsiTheme="minorEastAsia" w:eastAsiaTheme="minorEastAsia" w:cstheme="minorEastAsia"/>
          <w:color w:val="auto"/>
          <w:sz w:val="24"/>
          <w:szCs w:val="24"/>
          <w:highlight w:val="none"/>
          <w:lang w:eastAsia="zh-CN"/>
        </w:rPr>
        <w:t>3.2 提供资料</w:t>
      </w:r>
      <w:bookmarkEnd w:id="1056"/>
      <w:bookmarkEnd w:id="1057"/>
    </w:p>
    <w:p w14:paraId="1F2DD5CB">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委托人免费向监理人提供与工程有关的资料：</w:t>
      </w:r>
      <w:r>
        <w:rPr>
          <w:rFonts w:hint="eastAsia" w:asciiTheme="minorEastAsia" w:hAnsiTheme="minorEastAsia" w:eastAsiaTheme="minorEastAsia" w:cstheme="minorEastAsia"/>
          <w:color w:val="auto"/>
          <w:sz w:val="24"/>
          <w:szCs w:val="24"/>
          <w:highlight w:val="none"/>
          <w:u w:val="single"/>
          <w:lang w:eastAsia="zh-CN"/>
        </w:rPr>
        <w:t>根据工作实际需要。</w:t>
      </w:r>
    </w:p>
    <w:p w14:paraId="7D19195E">
      <w:pPr>
        <w:outlineLvl w:val="9"/>
        <w:rPr>
          <w:rFonts w:hint="eastAsia" w:asciiTheme="minorEastAsia" w:hAnsiTheme="minorEastAsia" w:eastAsiaTheme="minorEastAsia" w:cstheme="minorEastAsia"/>
          <w:b w:val="0"/>
          <w:color w:val="auto"/>
          <w:sz w:val="24"/>
          <w:szCs w:val="24"/>
          <w:highlight w:val="none"/>
          <w:lang w:eastAsia="zh-CN"/>
        </w:rPr>
      </w:pPr>
      <w:bookmarkStart w:id="1058" w:name="_Toc11332876"/>
      <w:bookmarkStart w:id="1059" w:name="_Toc371398143"/>
      <w:bookmarkStart w:id="1060" w:name="_Toc61947446"/>
      <w:r>
        <w:rPr>
          <w:rFonts w:hint="eastAsia" w:asciiTheme="minorEastAsia" w:hAnsiTheme="minorEastAsia" w:eastAsiaTheme="minorEastAsia" w:cstheme="minorEastAsia"/>
          <w:color w:val="auto"/>
          <w:sz w:val="24"/>
          <w:szCs w:val="24"/>
          <w:highlight w:val="none"/>
          <w:lang w:eastAsia="zh-CN"/>
        </w:rPr>
        <w:t>3.4 委托人代表</w:t>
      </w:r>
      <w:bookmarkEnd w:id="1058"/>
      <w:bookmarkEnd w:id="1059"/>
      <w:bookmarkEnd w:id="1060"/>
    </w:p>
    <w:p w14:paraId="4312FF5A">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委托人代表为：。</w:t>
      </w:r>
    </w:p>
    <w:p w14:paraId="5261972C">
      <w:pPr>
        <w:outlineLvl w:val="9"/>
        <w:rPr>
          <w:rFonts w:hint="eastAsia" w:asciiTheme="minorEastAsia" w:hAnsiTheme="minorEastAsia" w:eastAsiaTheme="minorEastAsia" w:cstheme="minorEastAsia"/>
          <w:b w:val="0"/>
          <w:color w:val="auto"/>
          <w:sz w:val="24"/>
          <w:szCs w:val="24"/>
          <w:highlight w:val="none"/>
          <w:lang w:eastAsia="zh-CN"/>
        </w:rPr>
      </w:pPr>
      <w:bookmarkStart w:id="1061" w:name="_Toc371398144"/>
      <w:bookmarkStart w:id="1062" w:name="_Toc11332877"/>
      <w:bookmarkStart w:id="1063" w:name="_Toc61947447"/>
      <w:r>
        <w:rPr>
          <w:rFonts w:hint="eastAsia" w:asciiTheme="minorEastAsia" w:hAnsiTheme="minorEastAsia" w:eastAsiaTheme="minorEastAsia" w:cstheme="minorEastAsia"/>
          <w:color w:val="auto"/>
          <w:sz w:val="24"/>
          <w:szCs w:val="24"/>
          <w:highlight w:val="none"/>
          <w:lang w:eastAsia="zh-CN"/>
        </w:rPr>
        <w:t>3.6 答复</w:t>
      </w:r>
      <w:bookmarkEnd w:id="1061"/>
      <w:bookmarkEnd w:id="1062"/>
      <w:bookmarkEnd w:id="1063"/>
    </w:p>
    <w:p w14:paraId="2700713A">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委托人同意在</w:t>
      </w:r>
      <w:r>
        <w:rPr>
          <w:rFonts w:hint="eastAsia" w:asciiTheme="minorEastAsia" w:hAnsiTheme="minorEastAsia" w:eastAsiaTheme="minorEastAsia" w:cstheme="minorEastAsia"/>
          <w:color w:val="auto"/>
          <w:sz w:val="24"/>
          <w:szCs w:val="24"/>
          <w:highlight w:val="none"/>
          <w:u w:val="single"/>
          <w:lang w:eastAsia="zh-CN"/>
        </w:rPr>
        <w:t>14</w:t>
      </w:r>
      <w:r>
        <w:rPr>
          <w:rFonts w:hint="eastAsia" w:asciiTheme="minorEastAsia" w:hAnsiTheme="minorEastAsia" w:eastAsiaTheme="minorEastAsia" w:cstheme="minorEastAsia"/>
          <w:color w:val="auto"/>
          <w:sz w:val="24"/>
          <w:szCs w:val="24"/>
          <w:highlight w:val="none"/>
          <w:lang w:eastAsia="zh-CN"/>
        </w:rPr>
        <w:t>天内，对监理人书面提交并要求作出决定的事宜给予书面答复。</w:t>
      </w:r>
    </w:p>
    <w:p w14:paraId="68B3277A">
      <w:pPr>
        <w:outlineLvl w:val="9"/>
        <w:rPr>
          <w:rFonts w:hint="eastAsia" w:asciiTheme="minorEastAsia" w:hAnsiTheme="minorEastAsia" w:eastAsiaTheme="minorEastAsia" w:cstheme="minorEastAsia"/>
          <w:b w:val="0"/>
          <w:color w:val="auto"/>
          <w:sz w:val="24"/>
          <w:szCs w:val="24"/>
          <w:highlight w:val="none"/>
          <w:lang w:eastAsia="zh-CN"/>
        </w:rPr>
      </w:pPr>
      <w:bookmarkStart w:id="1064" w:name="_Toc61947448"/>
      <w:bookmarkStart w:id="1065" w:name="_Toc11332878"/>
      <w:bookmarkStart w:id="1066" w:name="_Toc371398145"/>
      <w:r>
        <w:rPr>
          <w:rFonts w:hint="eastAsia" w:asciiTheme="minorEastAsia" w:hAnsiTheme="minorEastAsia" w:eastAsiaTheme="minorEastAsia" w:cstheme="minorEastAsia"/>
          <w:color w:val="auto"/>
          <w:sz w:val="24"/>
          <w:szCs w:val="24"/>
          <w:highlight w:val="none"/>
          <w:lang w:eastAsia="zh-CN"/>
        </w:rPr>
        <w:t>3.8 合理化建议的奖励</w:t>
      </w:r>
      <w:bookmarkEnd w:id="1064"/>
      <w:bookmarkEnd w:id="1065"/>
      <w:bookmarkEnd w:id="1066"/>
    </w:p>
    <w:p w14:paraId="0BCFC7DE">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监理人提出合理化建议的奖励金额按下列方法确定：</w:t>
      </w:r>
    </w:p>
    <w:p w14:paraId="69580293">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奖励金额＝工程投资节省额×奖励金额的比率；</w:t>
      </w:r>
    </w:p>
    <w:p w14:paraId="03E645E7">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奖励金额的比率为</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lang w:eastAsia="zh-CN"/>
        </w:rPr>
        <w:t>%。</w:t>
      </w:r>
    </w:p>
    <w:p w14:paraId="2EFD124E">
      <w:pPr>
        <w:adjustRightInd w:val="0"/>
        <w:snapToGrid w:val="0"/>
        <w:spacing w:before="120" w:beforeLines="50" w:line="360" w:lineRule="auto"/>
        <w:outlineLvl w:val="9"/>
        <w:rPr>
          <w:rFonts w:hint="eastAsia" w:asciiTheme="minorEastAsia" w:hAnsiTheme="minorEastAsia" w:eastAsiaTheme="minorEastAsia" w:cstheme="minorEastAsia"/>
          <w:color w:val="auto"/>
          <w:sz w:val="24"/>
          <w:szCs w:val="24"/>
          <w:highlight w:val="none"/>
          <w:lang w:eastAsia="zh-CN"/>
        </w:rPr>
      </w:pPr>
      <w:bookmarkStart w:id="1067" w:name="_Toc371398146"/>
      <w:bookmarkStart w:id="1068" w:name="_Toc11332879"/>
      <w:bookmarkStart w:id="1069" w:name="_Toc61947449"/>
      <w:r>
        <w:rPr>
          <w:rFonts w:hint="eastAsia" w:asciiTheme="minorEastAsia" w:hAnsiTheme="minorEastAsia" w:eastAsiaTheme="minorEastAsia" w:cstheme="minorEastAsia"/>
          <w:color w:val="auto"/>
          <w:sz w:val="24"/>
          <w:szCs w:val="24"/>
          <w:highlight w:val="none"/>
          <w:lang w:eastAsia="zh-CN"/>
        </w:rPr>
        <w:t>4. 违约</w:t>
      </w:r>
      <w:bookmarkEnd w:id="1067"/>
      <w:bookmarkEnd w:id="1068"/>
      <w:bookmarkEnd w:id="1069"/>
    </w:p>
    <w:p w14:paraId="2A9B2F80">
      <w:pPr>
        <w:outlineLvl w:val="9"/>
        <w:rPr>
          <w:rFonts w:hint="eastAsia" w:asciiTheme="minorEastAsia" w:hAnsiTheme="minorEastAsia" w:eastAsiaTheme="minorEastAsia" w:cstheme="minorEastAsia"/>
          <w:b w:val="0"/>
          <w:color w:val="auto"/>
          <w:sz w:val="24"/>
          <w:szCs w:val="24"/>
          <w:highlight w:val="none"/>
          <w:lang w:eastAsia="zh-CN"/>
        </w:rPr>
      </w:pPr>
      <w:bookmarkStart w:id="1070" w:name="_Toc371398147"/>
      <w:bookmarkStart w:id="1071" w:name="_Toc61947450"/>
      <w:bookmarkStart w:id="1072" w:name="_Toc11332880"/>
      <w:r>
        <w:rPr>
          <w:rFonts w:hint="eastAsia" w:asciiTheme="minorEastAsia" w:hAnsiTheme="minorEastAsia" w:eastAsiaTheme="minorEastAsia" w:cstheme="minorEastAsia"/>
          <w:color w:val="auto"/>
          <w:sz w:val="24"/>
          <w:szCs w:val="24"/>
          <w:highlight w:val="none"/>
          <w:lang w:eastAsia="zh-CN"/>
        </w:rPr>
        <w:t>4.1 监理人的违约</w:t>
      </w:r>
      <w:bookmarkEnd w:id="1070"/>
      <w:bookmarkEnd w:id="1071"/>
      <w:bookmarkEnd w:id="1072"/>
    </w:p>
    <w:p w14:paraId="5CF36AB4">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4.1.1.3 监理人违约的其他情形：</w:t>
      </w:r>
      <w:r>
        <w:rPr>
          <w:rFonts w:hint="eastAsia" w:asciiTheme="minorEastAsia" w:hAnsiTheme="minorEastAsia" w:eastAsiaTheme="minorEastAsia" w:cstheme="minorEastAsia"/>
          <w:color w:val="auto"/>
          <w:sz w:val="24"/>
          <w:szCs w:val="24"/>
          <w:highlight w:val="none"/>
          <w:u w:val="single"/>
          <w:lang w:eastAsia="zh-CN"/>
        </w:rPr>
        <w:t>无</w:t>
      </w:r>
      <w:r>
        <w:rPr>
          <w:rFonts w:hint="eastAsia" w:asciiTheme="minorEastAsia" w:hAnsiTheme="minorEastAsia" w:eastAsiaTheme="minorEastAsia" w:cstheme="minorEastAsia"/>
          <w:color w:val="auto"/>
          <w:sz w:val="24"/>
          <w:szCs w:val="24"/>
          <w:highlight w:val="none"/>
          <w:lang w:eastAsia="zh-CN"/>
        </w:rPr>
        <w:t>。</w:t>
      </w:r>
    </w:p>
    <w:p w14:paraId="4E1183F5">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z w:val="24"/>
          <w:szCs w:val="24"/>
          <w:highlight w:val="none"/>
          <w:lang w:eastAsia="zh-CN"/>
        </w:rPr>
        <w:t>4.1.2.2监理人赔偿金额按下列方法确定：</w:t>
      </w:r>
      <w:r>
        <w:rPr>
          <w:rFonts w:hint="eastAsia" w:asciiTheme="minorEastAsia" w:hAnsiTheme="minorEastAsia" w:eastAsiaTheme="minorEastAsia" w:cstheme="minorEastAsia"/>
          <w:color w:val="auto"/>
          <w:sz w:val="24"/>
          <w:szCs w:val="24"/>
          <w:highlight w:val="none"/>
          <w:u w:val="single"/>
          <w:lang w:eastAsia="zh-CN"/>
        </w:rPr>
        <w:t>无。</w:t>
      </w:r>
    </w:p>
    <w:p w14:paraId="558787DB">
      <w:pPr>
        <w:outlineLvl w:val="9"/>
        <w:rPr>
          <w:rFonts w:hint="eastAsia" w:asciiTheme="minorEastAsia" w:hAnsiTheme="minorEastAsia" w:eastAsiaTheme="minorEastAsia" w:cstheme="minorEastAsia"/>
          <w:b w:val="0"/>
          <w:color w:val="auto"/>
          <w:sz w:val="24"/>
          <w:szCs w:val="24"/>
          <w:highlight w:val="none"/>
          <w:lang w:eastAsia="zh-CN"/>
        </w:rPr>
      </w:pPr>
      <w:bookmarkStart w:id="1073" w:name="_Toc61947451"/>
      <w:bookmarkStart w:id="1074" w:name="_Toc371398148"/>
      <w:bookmarkStart w:id="1075" w:name="_Toc11332881"/>
      <w:r>
        <w:rPr>
          <w:rFonts w:hint="eastAsia" w:asciiTheme="minorEastAsia" w:hAnsiTheme="minorEastAsia" w:eastAsiaTheme="minorEastAsia" w:cstheme="minorEastAsia"/>
          <w:color w:val="auto"/>
          <w:sz w:val="24"/>
          <w:szCs w:val="24"/>
          <w:highlight w:val="none"/>
          <w:lang w:eastAsia="zh-CN"/>
        </w:rPr>
        <w:t>4.2 委托人的违约</w:t>
      </w:r>
      <w:bookmarkEnd w:id="1073"/>
      <w:bookmarkEnd w:id="1074"/>
      <w:bookmarkEnd w:id="1075"/>
    </w:p>
    <w:p w14:paraId="0519AD25">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z w:val="24"/>
          <w:szCs w:val="24"/>
          <w:highlight w:val="none"/>
          <w:lang w:eastAsia="zh-CN"/>
        </w:rPr>
        <w:t>4.2.1.3 委托人违约的其他情形：</w:t>
      </w:r>
      <w:r>
        <w:rPr>
          <w:rFonts w:hint="eastAsia" w:asciiTheme="minorEastAsia" w:hAnsiTheme="minorEastAsia" w:eastAsiaTheme="minorEastAsia" w:cstheme="minorEastAsia"/>
          <w:color w:val="auto"/>
          <w:sz w:val="24"/>
          <w:szCs w:val="24"/>
          <w:highlight w:val="none"/>
          <w:u w:val="single"/>
          <w:lang w:eastAsia="zh-CN"/>
        </w:rPr>
        <w:t>无</w:t>
      </w:r>
      <w:r>
        <w:rPr>
          <w:rFonts w:hint="eastAsia" w:asciiTheme="minorEastAsia" w:hAnsiTheme="minorEastAsia" w:eastAsiaTheme="minorEastAsia" w:cstheme="minorEastAsia"/>
          <w:color w:val="auto"/>
          <w:sz w:val="24"/>
          <w:szCs w:val="24"/>
          <w:highlight w:val="none"/>
          <w:lang w:eastAsia="zh-CN"/>
        </w:rPr>
        <w:t>。</w:t>
      </w:r>
    </w:p>
    <w:p w14:paraId="479B7407">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z w:val="24"/>
          <w:szCs w:val="24"/>
          <w:highlight w:val="none"/>
          <w:lang w:eastAsia="zh-CN"/>
        </w:rPr>
        <w:t>4.2.2.1 委托人赔偿金额按下列方法确定：</w:t>
      </w:r>
      <w:r>
        <w:rPr>
          <w:rFonts w:hint="eastAsia" w:asciiTheme="minorEastAsia" w:hAnsiTheme="minorEastAsia" w:eastAsiaTheme="minorEastAsia" w:cstheme="minorEastAsia"/>
          <w:color w:val="auto"/>
          <w:sz w:val="24"/>
          <w:szCs w:val="24"/>
          <w:highlight w:val="none"/>
          <w:u w:val="single"/>
          <w:lang w:eastAsia="zh-CN"/>
        </w:rPr>
        <w:t>无</w:t>
      </w:r>
      <w:r>
        <w:rPr>
          <w:rFonts w:hint="eastAsia" w:asciiTheme="minorEastAsia" w:hAnsiTheme="minorEastAsia" w:eastAsiaTheme="minorEastAsia" w:cstheme="minorEastAsia"/>
          <w:color w:val="auto"/>
          <w:sz w:val="24"/>
          <w:szCs w:val="24"/>
          <w:highlight w:val="none"/>
          <w:lang w:eastAsia="zh-CN"/>
        </w:rPr>
        <w:t>。</w:t>
      </w:r>
      <w:bookmarkStart w:id="1076" w:name="_Toc371398149"/>
    </w:p>
    <w:p w14:paraId="541C8D6B">
      <w:pPr>
        <w:adjustRightInd w:val="0"/>
        <w:snapToGrid w:val="0"/>
        <w:spacing w:before="120" w:beforeLines="50" w:line="360" w:lineRule="auto"/>
        <w:outlineLvl w:val="9"/>
        <w:rPr>
          <w:rFonts w:hint="eastAsia" w:asciiTheme="minorEastAsia" w:hAnsiTheme="minorEastAsia" w:eastAsiaTheme="minorEastAsia" w:cstheme="minorEastAsia"/>
          <w:color w:val="auto"/>
          <w:sz w:val="24"/>
          <w:szCs w:val="24"/>
          <w:highlight w:val="none"/>
          <w:lang w:eastAsia="zh-CN"/>
        </w:rPr>
      </w:pPr>
      <w:bookmarkStart w:id="1077" w:name="_Toc11332882"/>
      <w:bookmarkStart w:id="1078" w:name="_Toc61947452"/>
      <w:r>
        <w:rPr>
          <w:rFonts w:hint="eastAsia" w:asciiTheme="minorEastAsia" w:hAnsiTheme="minorEastAsia" w:eastAsiaTheme="minorEastAsia" w:cstheme="minorEastAsia"/>
          <w:color w:val="auto"/>
          <w:sz w:val="24"/>
          <w:szCs w:val="24"/>
          <w:highlight w:val="none"/>
          <w:lang w:eastAsia="zh-CN"/>
        </w:rPr>
        <w:t>5. 支付</w:t>
      </w:r>
      <w:bookmarkEnd w:id="1076"/>
      <w:bookmarkEnd w:id="1077"/>
      <w:bookmarkEnd w:id="1078"/>
    </w:p>
    <w:p w14:paraId="3FFE6A23">
      <w:pPr>
        <w:outlineLvl w:val="9"/>
        <w:rPr>
          <w:rFonts w:hint="eastAsia" w:asciiTheme="minorEastAsia" w:hAnsiTheme="minorEastAsia" w:eastAsiaTheme="minorEastAsia" w:cstheme="minorEastAsia"/>
          <w:b w:val="0"/>
          <w:color w:val="auto"/>
          <w:sz w:val="24"/>
          <w:szCs w:val="24"/>
          <w:highlight w:val="none"/>
          <w:lang w:eastAsia="zh-CN"/>
        </w:rPr>
      </w:pPr>
      <w:bookmarkStart w:id="1079" w:name="_Toc371398150"/>
      <w:bookmarkStart w:id="1080" w:name="_Toc11332883"/>
      <w:bookmarkStart w:id="1081" w:name="_Toc61947453"/>
      <w:r>
        <w:rPr>
          <w:rFonts w:hint="eastAsia" w:asciiTheme="minorEastAsia" w:hAnsiTheme="minorEastAsia" w:eastAsiaTheme="minorEastAsia" w:cstheme="minorEastAsia"/>
          <w:color w:val="auto"/>
          <w:sz w:val="24"/>
          <w:szCs w:val="24"/>
          <w:highlight w:val="none"/>
          <w:lang w:eastAsia="zh-CN"/>
        </w:rPr>
        <w:t xml:space="preserve">5.3 </w:t>
      </w:r>
      <w:bookmarkEnd w:id="1079"/>
      <w:r>
        <w:rPr>
          <w:rFonts w:hint="eastAsia" w:asciiTheme="minorEastAsia" w:hAnsiTheme="minorEastAsia" w:eastAsiaTheme="minorEastAsia" w:cstheme="minorEastAsia"/>
          <w:color w:val="auto"/>
          <w:sz w:val="24"/>
          <w:szCs w:val="24"/>
          <w:highlight w:val="none"/>
          <w:lang w:eastAsia="zh-CN"/>
        </w:rPr>
        <w:t>支付</w:t>
      </w:r>
      <w:bookmarkEnd w:id="1080"/>
      <w:bookmarkEnd w:id="1081"/>
    </w:p>
    <w:p w14:paraId="4B02A154">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5.3.1 监理酬金</w:t>
      </w:r>
    </w:p>
    <w:p w14:paraId="75944691">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z w:val="24"/>
          <w:szCs w:val="24"/>
          <w:highlight w:val="none"/>
          <w:lang w:eastAsia="zh-CN"/>
        </w:rPr>
        <w:t>监理酬金具体支付方式：</w:t>
      </w:r>
      <w:r>
        <w:rPr>
          <w:rFonts w:hint="eastAsia" w:asciiTheme="minorEastAsia" w:hAnsiTheme="minorEastAsia" w:eastAsiaTheme="minorEastAsia" w:cstheme="minorEastAsia"/>
          <w:color w:val="auto"/>
          <w:sz w:val="24"/>
          <w:szCs w:val="24"/>
          <w:highlight w:val="none"/>
          <w:u w:val="single"/>
          <w:lang w:eastAsia="zh-CN"/>
        </w:rPr>
        <w:t>合同订立且财政资金到位后30天内，支付监理费合同金额的30%；进度款支付时间参考养护费用支付时间执行。</w:t>
      </w:r>
    </w:p>
    <w:p w14:paraId="1D5F0CCE">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z w:val="24"/>
          <w:szCs w:val="24"/>
          <w:highlight w:val="none"/>
          <w:u w:val="single"/>
          <w:lang w:eastAsia="zh-CN"/>
        </w:rPr>
        <w:t>5.3.2 相关服务酬金</w:t>
      </w:r>
    </w:p>
    <w:p w14:paraId="579EACD9">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相关服务酬金具体支付方式：</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lang w:eastAsia="zh-CN"/>
        </w:rPr>
        <w:t>。</w:t>
      </w:r>
    </w:p>
    <w:p w14:paraId="4F5A579B">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5.3.3附加工作酬金</w:t>
      </w:r>
    </w:p>
    <w:p w14:paraId="1BE52812">
      <w:pPr>
        <w:snapToGrid w:val="0"/>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附加工作酬金具体支付方式：</w:t>
      </w:r>
      <w:r>
        <w:rPr>
          <w:rFonts w:hint="eastAsia" w:asciiTheme="minorEastAsia" w:hAnsiTheme="minorEastAsia" w:eastAsiaTheme="minorEastAsia" w:cstheme="minorEastAsia"/>
          <w:color w:val="auto"/>
          <w:sz w:val="24"/>
          <w:szCs w:val="24"/>
          <w:highlight w:val="none"/>
          <w:u w:val="single"/>
          <w:lang w:eastAsia="zh-CN"/>
        </w:rPr>
        <w:t>/　　</w:t>
      </w:r>
      <w:r>
        <w:rPr>
          <w:rFonts w:hint="eastAsia" w:asciiTheme="minorEastAsia" w:hAnsiTheme="minorEastAsia" w:eastAsiaTheme="minorEastAsia" w:cstheme="minorEastAsia"/>
          <w:color w:val="auto"/>
          <w:sz w:val="24"/>
          <w:szCs w:val="24"/>
          <w:highlight w:val="none"/>
          <w:lang w:eastAsia="zh-CN"/>
        </w:rPr>
        <w:t>。</w:t>
      </w:r>
    </w:p>
    <w:p w14:paraId="1D561B66">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5.3.4 补偿费用</w:t>
      </w:r>
    </w:p>
    <w:p w14:paraId="049EBF69">
      <w:pPr>
        <w:snapToGrid w:val="0"/>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补偿费用的支付方法：</w:t>
      </w:r>
      <w:r>
        <w:rPr>
          <w:rFonts w:hint="eastAsia" w:asciiTheme="minorEastAsia" w:hAnsiTheme="minorEastAsia" w:eastAsiaTheme="minorEastAsia" w:cstheme="minorEastAsia"/>
          <w:color w:val="auto"/>
          <w:sz w:val="24"/>
          <w:szCs w:val="24"/>
          <w:highlight w:val="none"/>
          <w:u w:val="single"/>
          <w:lang w:eastAsia="zh-CN"/>
        </w:rPr>
        <w:t>/　</w:t>
      </w:r>
      <w:r>
        <w:rPr>
          <w:rFonts w:hint="eastAsia" w:asciiTheme="minorEastAsia" w:hAnsiTheme="minorEastAsia" w:eastAsiaTheme="minorEastAsia" w:cstheme="minorEastAsia"/>
          <w:color w:val="auto"/>
          <w:sz w:val="24"/>
          <w:szCs w:val="24"/>
          <w:highlight w:val="none"/>
          <w:lang w:eastAsia="zh-CN"/>
        </w:rPr>
        <w:t>。</w:t>
      </w:r>
    </w:p>
    <w:p w14:paraId="1C483C1C">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5.3.5合理化建议奖励</w:t>
      </w:r>
    </w:p>
    <w:p w14:paraId="3F01AF46">
      <w:pPr>
        <w:snapToGrid w:val="0"/>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合理化建议奖励的支付方法：</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lang w:eastAsia="zh-CN"/>
        </w:rPr>
        <w:t>。</w:t>
      </w:r>
    </w:p>
    <w:p w14:paraId="0AAFE89C">
      <w:pPr>
        <w:adjustRightInd w:val="0"/>
        <w:snapToGrid w:val="0"/>
        <w:spacing w:before="120" w:beforeLines="50" w:line="360" w:lineRule="auto"/>
        <w:outlineLvl w:val="9"/>
        <w:rPr>
          <w:rFonts w:hint="eastAsia" w:asciiTheme="minorEastAsia" w:hAnsiTheme="minorEastAsia" w:eastAsiaTheme="minorEastAsia" w:cstheme="minorEastAsia"/>
          <w:color w:val="auto"/>
          <w:sz w:val="24"/>
          <w:szCs w:val="24"/>
          <w:highlight w:val="none"/>
          <w:lang w:eastAsia="zh-CN"/>
        </w:rPr>
      </w:pPr>
      <w:bookmarkStart w:id="1082" w:name="_Toc61947454"/>
      <w:bookmarkStart w:id="1083" w:name="_Toc11332884"/>
      <w:bookmarkStart w:id="1084" w:name="_Toc371398154"/>
      <w:r>
        <w:rPr>
          <w:rFonts w:hint="eastAsia" w:asciiTheme="minorEastAsia" w:hAnsiTheme="minorEastAsia" w:eastAsiaTheme="minorEastAsia" w:cstheme="minorEastAsia"/>
          <w:color w:val="auto"/>
          <w:sz w:val="24"/>
          <w:szCs w:val="24"/>
          <w:highlight w:val="none"/>
          <w:lang w:eastAsia="zh-CN"/>
        </w:rPr>
        <w:t>7. 争议解决</w:t>
      </w:r>
      <w:bookmarkEnd w:id="1082"/>
      <w:bookmarkEnd w:id="1083"/>
      <w:bookmarkEnd w:id="1084"/>
    </w:p>
    <w:p w14:paraId="1F16A9F0">
      <w:pPr>
        <w:outlineLvl w:val="9"/>
        <w:rPr>
          <w:rFonts w:hint="eastAsia" w:asciiTheme="minorEastAsia" w:hAnsiTheme="minorEastAsia" w:eastAsiaTheme="minorEastAsia" w:cstheme="minorEastAsia"/>
          <w:b w:val="0"/>
          <w:color w:val="auto"/>
          <w:sz w:val="24"/>
          <w:szCs w:val="24"/>
          <w:highlight w:val="none"/>
          <w:lang w:eastAsia="zh-CN"/>
        </w:rPr>
      </w:pPr>
      <w:bookmarkStart w:id="1085" w:name="_Toc11332885"/>
      <w:bookmarkStart w:id="1086" w:name="_Toc61947455"/>
      <w:bookmarkStart w:id="1087" w:name="_Toc371398155"/>
      <w:r>
        <w:rPr>
          <w:rFonts w:hint="eastAsia" w:asciiTheme="minorEastAsia" w:hAnsiTheme="minorEastAsia" w:eastAsiaTheme="minorEastAsia" w:cstheme="minorEastAsia"/>
          <w:color w:val="auto"/>
          <w:sz w:val="24"/>
          <w:szCs w:val="24"/>
          <w:highlight w:val="none"/>
          <w:lang w:eastAsia="zh-CN"/>
        </w:rPr>
        <w:t>7.2 调解</w:t>
      </w:r>
      <w:bookmarkEnd w:id="1085"/>
      <w:bookmarkEnd w:id="1086"/>
      <w:bookmarkEnd w:id="1087"/>
    </w:p>
    <w:p w14:paraId="0364FCA1">
      <w:pPr>
        <w:snapToGrid w:val="0"/>
        <w:spacing w:line="360" w:lineRule="auto"/>
        <w:ind w:firstLine="470" w:firstLineChars="19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合同争议进行调解时，可提交</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lang w:eastAsia="zh-CN"/>
        </w:rPr>
        <w:t>（调解人）进行调解。</w:t>
      </w:r>
    </w:p>
    <w:p w14:paraId="216DA182">
      <w:pPr>
        <w:outlineLvl w:val="9"/>
        <w:rPr>
          <w:rFonts w:hint="eastAsia" w:asciiTheme="minorEastAsia" w:hAnsiTheme="minorEastAsia" w:eastAsiaTheme="minorEastAsia" w:cstheme="minorEastAsia"/>
          <w:b w:val="0"/>
          <w:color w:val="auto"/>
          <w:sz w:val="24"/>
          <w:szCs w:val="24"/>
          <w:highlight w:val="none"/>
          <w:lang w:eastAsia="zh-CN"/>
        </w:rPr>
      </w:pPr>
      <w:bookmarkStart w:id="1088" w:name="_Toc61947456"/>
      <w:bookmarkStart w:id="1089" w:name="_Toc11332886"/>
      <w:bookmarkStart w:id="1090" w:name="_Toc371398156"/>
      <w:r>
        <w:rPr>
          <w:rFonts w:hint="eastAsia" w:asciiTheme="minorEastAsia" w:hAnsiTheme="minorEastAsia" w:eastAsiaTheme="minorEastAsia" w:cstheme="minorEastAsia"/>
          <w:color w:val="auto"/>
          <w:sz w:val="24"/>
          <w:szCs w:val="24"/>
          <w:highlight w:val="none"/>
          <w:lang w:eastAsia="zh-CN"/>
        </w:rPr>
        <w:t>7.3 仲裁或诉讼</w:t>
      </w:r>
      <w:bookmarkEnd w:id="1088"/>
      <w:bookmarkEnd w:id="1089"/>
      <w:bookmarkEnd w:id="1090"/>
    </w:p>
    <w:p w14:paraId="21DDA12B">
      <w:pPr>
        <w:snapToGrid w:val="0"/>
        <w:spacing w:line="360" w:lineRule="auto"/>
        <w:ind w:firstLine="470" w:firstLineChars="19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合同争议的最终解决方式为下列第</w:t>
      </w:r>
      <w:r>
        <w:rPr>
          <w:rFonts w:hint="eastAsia" w:asciiTheme="minorEastAsia" w:hAnsiTheme="minorEastAsia" w:eastAsiaTheme="minorEastAsia" w:cstheme="minorEastAsia"/>
          <w:color w:val="auto"/>
          <w:sz w:val="24"/>
          <w:szCs w:val="24"/>
          <w:highlight w:val="none"/>
          <w:u w:val="single"/>
          <w:lang w:eastAsia="zh-CN"/>
        </w:rPr>
        <w:t>（2）</w:t>
      </w:r>
      <w:r>
        <w:rPr>
          <w:rFonts w:hint="eastAsia" w:asciiTheme="minorEastAsia" w:hAnsiTheme="minorEastAsia" w:eastAsiaTheme="minorEastAsia" w:cstheme="minorEastAsia"/>
          <w:color w:val="auto"/>
          <w:sz w:val="24"/>
          <w:szCs w:val="24"/>
          <w:highlight w:val="none"/>
          <w:lang w:eastAsia="zh-CN"/>
        </w:rPr>
        <w:t>种方式。</w:t>
      </w:r>
    </w:p>
    <w:p w14:paraId="7045181F">
      <w:pPr>
        <w:snapToGrid w:val="0"/>
        <w:spacing w:line="360" w:lineRule="auto"/>
        <w:ind w:firstLine="470" w:firstLineChars="19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（1）提请仲裁委员会进行仲裁。</w:t>
      </w:r>
    </w:p>
    <w:p w14:paraId="12C83D81">
      <w:pPr>
        <w:snapToGrid w:val="0"/>
        <w:spacing w:line="360" w:lineRule="auto"/>
        <w:ind w:firstLine="470" w:firstLineChars="19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（2）向</w:t>
      </w:r>
      <w:r>
        <w:rPr>
          <w:rFonts w:hint="eastAsia" w:asciiTheme="minorEastAsia" w:hAnsiTheme="minorEastAsia" w:eastAsiaTheme="minorEastAsia" w:cstheme="minorEastAsia"/>
          <w:color w:val="auto"/>
          <w:sz w:val="24"/>
          <w:szCs w:val="24"/>
          <w:highlight w:val="none"/>
          <w:u w:val="single"/>
          <w:lang w:eastAsia="zh-CN"/>
        </w:rPr>
        <w:t>北京市</w:t>
      </w:r>
      <w:r>
        <w:rPr>
          <w:rFonts w:hint="eastAsia" w:asciiTheme="minorEastAsia" w:hAnsiTheme="minorEastAsia" w:eastAsiaTheme="minorEastAsia" w:cstheme="minorEastAsia"/>
          <w:color w:val="auto"/>
          <w:sz w:val="24"/>
          <w:szCs w:val="24"/>
          <w:highlight w:val="none"/>
          <w:lang w:eastAsia="zh-CN"/>
        </w:rPr>
        <w:t>人民法院提起诉讼。</w:t>
      </w:r>
    </w:p>
    <w:p w14:paraId="4BF7E2E9">
      <w:pPr>
        <w:snapToGrid w:val="0"/>
        <w:spacing w:line="360" w:lineRule="auto"/>
        <w:rPr>
          <w:rFonts w:hint="eastAsia" w:asciiTheme="minorEastAsia" w:hAnsiTheme="minorEastAsia" w:eastAsiaTheme="minorEastAsia" w:cstheme="minorEastAsia"/>
          <w:color w:val="auto"/>
          <w:sz w:val="24"/>
          <w:szCs w:val="24"/>
          <w:highlight w:val="none"/>
          <w:lang w:eastAsia="zh-CN"/>
        </w:rPr>
      </w:pPr>
      <w:bookmarkStart w:id="1091" w:name="_Toc371398157"/>
      <w:r>
        <w:rPr>
          <w:rFonts w:hint="eastAsia" w:asciiTheme="minorEastAsia" w:hAnsiTheme="minorEastAsia" w:eastAsiaTheme="minorEastAsia" w:cstheme="minorEastAsia"/>
          <w:color w:val="auto"/>
          <w:sz w:val="24"/>
          <w:szCs w:val="24"/>
          <w:highlight w:val="none"/>
          <w:lang w:eastAsia="zh-CN"/>
        </w:rPr>
        <w:t>8. 补充条款</w:t>
      </w:r>
      <w:bookmarkEnd w:id="1091"/>
    </w:p>
    <w:p w14:paraId="7BAA0851">
      <w:pPr>
        <w:snapToGrid w:val="0"/>
        <w:spacing w:before="120" w:beforeLines="50" w:after="120" w:afterLines="50" w:line="360" w:lineRule="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无</w:t>
      </w:r>
    </w:p>
    <w:p w14:paraId="7204C6D7">
      <w:pPr>
        <w:snapToGrid w:val="0"/>
        <w:spacing w:before="120" w:beforeLines="50" w:after="120" w:afterLines="50"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9.合同附件</w:t>
      </w:r>
    </w:p>
    <w:p w14:paraId="16F6F45C">
      <w:pPr>
        <w:keepNext w:val="0"/>
        <w:keepLines w:val="0"/>
        <w:pageBreakBefore w:val="0"/>
        <w:widowControl w:val="0"/>
        <w:kinsoku/>
        <w:wordWrap/>
        <w:overflowPunct/>
        <w:topLinePunct w:val="0"/>
        <w:autoSpaceDE/>
        <w:autoSpaceDN/>
        <w:bidi w:val="0"/>
        <w:adjustRightInd/>
        <w:spacing w:line="360" w:lineRule="auto"/>
        <w:ind w:right="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附件一 廉政责</w:t>
      </w:r>
      <w:r>
        <w:rPr>
          <w:rFonts w:hint="eastAsia" w:asciiTheme="minorEastAsia" w:hAnsiTheme="minorEastAsia" w:eastAsiaTheme="minorEastAsia" w:cstheme="minorEastAsia"/>
          <w:color w:val="auto"/>
          <w:sz w:val="24"/>
          <w:szCs w:val="24"/>
          <w:highlight w:val="none"/>
          <w:lang w:val="en-US" w:eastAsia="zh-CN"/>
        </w:rPr>
        <w:t>责任书</w:t>
      </w:r>
    </w:p>
    <w:p w14:paraId="3FD5C2F5">
      <w:pPr>
        <w:keepNext w:val="0"/>
        <w:keepLines w:val="0"/>
        <w:pageBreakBefore w:val="0"/>
        <w:widowControl w:val="0"/>
        <w:kinsoku/>
        <w:wordWrap/>
        <w:overflowPunct/>
        <w:topLinePunct w:val="0"/>
        <w:autoSpaceDE/>
        <w:autoSpaceDN/>
        <w:bidi w:val="0"/>
        <w:adjustRightInd/>
        <w:spacing w:before="72" w:line="360" w:lineRule="auto"/>
        <w:ind w:right="5646"/>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附件二 安全生产责任书</w:t>
      </w:r>
    </w:p>
    <w:p w14:paraId="73AEF3C6">
      <w:pPr>
        <w:pStyle w:val="17"/>
        <w:keepNext w:val="0"/>
        <w:keepLines w:val="0"/>
        <w:pageBreakBefore w:val="0"/>
        <w:widowControl w:val="0"/>
        <w:kinsoku/>
        <w:wordWrap/>
        <w:overflowPunct/>
        <w:topLinePunct w:val="0"/>
        <w:autoSpaceDE/>
        <w:autoSpaceDN/>
        <w:bidi w:val="0"/>
        <w:adjustRightInd/>
        <w:spacing w:before="0" w:line="360" w:lineRule="auto"/>
        <w:ind w:right="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附件三 构建“亲”“清”政商关系告知书</w:t>
      </w:r>
    </w:p>
    <w:p w14:paraId="0762772A">
      <w:pPr>
        <w:pageBreakBefore/>
        <w:spacing w:line="360" w:lineRule="auto"/>
        <w:outlineLvl w:val="1"/>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附件一              工程建设项目廉政责任书</w:t>
      </w:r>
    </w:p>
    <w:p w14:paraId="68F4C8A1">
      <w:pPr>
        <w:ind w:left="360"/>
        <w:rPr>
          <w:rFonts w:hint="eastAsia" w:asciiTheme="minorEastAsia" w:hAnsiTheme="minorEastAsia" w:eastAsiaTheme="minorEastAsia" w:cstheme="minorEastAsia"/>
          <w:color w:val="auto"/>
          <w:sz w:val="24"/>
          <w:szCs w:val="24"/>
          <w:highlight w:val="none"/>
          <w:lang w:eastAsia="zh-CN"/>
        </w:rPr>
      </w:pPr>
    </w:p>
    <w:p w14:paraId="3903093D">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工程项目名称：</w:t>
      </w:r>
    </w:p>
    <w:p w14:paraId="2F90AD01">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工程项目地址：</w:t>
      </w:r>
    </w:p>
    <w:p w14:paraId="1B6A904A">
      <w:pPr>
        <w:snapToGrid w:val="0"/>
        <w:spacing w:line="360" w:lineRule="auto"/>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z w:val="24"/>
          <w:szCs w:val="24"/>
          <w:highlight w:val="none"/>
          <w:lang w:eastAsia="zh-CN"/>
        </w:rPr>
        <w:t>建设单位（甲方）：</w:t>
      </w:r>
    </w:p>
    <w:p w14:paraId="32C55593">
      <w:pPr>
        <w:snapToGrid w:val="0"/>
        <w:spacing w:line="360" w:lineRule="auto"/>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z w:val="24"/>
          <w:szCs w:val="24"/>
          <w:highlight w:val="none"/>
          <w:lang w:eastAsia="zh-CN"/>
        </w:rPr>
        <w:t>监理单位（乙方）：</w:t>
      </w:r>
    </w:p>
    <w:p w14:paraId="5012DDA7">
      <w:pPr>
        <w:snapToGrid w:val="0"/>
        <w:spacing w:line="360" w:lineRule="auto"/>
        <w:ind w:firstLine="240" w:firstLineChars="1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14:paraId="006C9C6A">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第一条　甲乙双方的责任</w:t>
      </w:r>
    </w:p>
    <w:p w14:paraId="29F82592">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（一）应严格遵守国家关于市场准入、项目招标投标、工程建设、施工安装和市场活动等有关法律、法规，相关政策，以及廉政建设的各项规定。</w:t>
      </w:r>
    </w:p>
    <w:p w14:paraId="79690AE4">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（二）严格执行建设工程项目承发包合同文件，自觉按合同办事。</w:t>
      </w:r>
    </w:p>
    <w:p w14:paraId="549A3E3F">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（三）业务活动必须坚持公开、公平、公正、诚信、透明的原则（除法律法规另有规定者外），不得为获取不正当的利益，损害国家、集体和对方利益，不得违反工程建设管理、施工安装的规章制度。</w:t>
      </w:r>
    </w:p>
    <w:p w14:paraId="5B615445">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（四）发现对方在业务活动中有违规、违纪、违法行为的，应及时提醒对方，情节严重的，应向其上级主管部门或纪检监察、司法等有关机关举报。</w:t>
      </w:r>
    </w:p>
    <w:p w14:paraId="737CE550">
      <w:pPr>
        <w:snapToGrid w:val="0"/>
        <w:spacing w:line="360" w:lineRule="auto"/>
        <w:ind w:firstLine="240" w:firstLineChars="1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第二条　甲方的责任</w:t>
      </w:r>
    </w:p>
    <w:p w14:paraId="6072844C">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甲方的领导和从事该建设工程项目的工作人员，在工程建设的事前、事中、事后应遵守以下规定：</w:t>
      </w:r>
    </w:p>
    <w:p w14:paraId="4EC48609">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（一）不准向乙方和相关单位索要或接受回扣、礼金、有价证券、贵重物品和好处费、感谢费等。</w:t>
      </w:r>
    </w:p>
    <w:p w14:paraId="1CA10BAD">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（二）不准在乙方和相关单位报销任何应由甲方或个人支付的费用。</w:t>
      </w:r>
    </w:p>
    <w:p w14:paraId="5CEF7B85">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（三）不准要求、暗示或接受乙方和相关单位为个人装修住房、婚丧嫁娶、配偶子女的工作安排以及出国（境）、旅游等提供方便。</w:t>
      </w:r>
    </w:p>
    <w:p w14:paraId="6362C6E3">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（四）不准参加有可能影响公正执行公务的乙方和相关单位的宴请和健身、娱乐等活动。</w:t>
      </w:r>
    </w:p>
    <w:p w14:paraId="67F586B5">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14:paraId="2DD5EE5F">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第三条　乙方的责任</w:t>
      </w:r>
    </w:p>
    <w:p w14:paraId="5A53E9DF">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应与甲方保持正常的业务交往，按照有关法律法规和程序开展业务工作，严格执行工程建设的有关方针、政策，尤其是有关建筑施工安装的强制性标准和规范，并遵守以下规定：</w:t>
      </w:r>
    </w:p>
    <w:p w14:paraId="495222EB">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（一）不准以任何理由向甲方、相关单位及其工作人员索要、接受或赠送礼金、有价证券、贵重物品和回扣、好处费、感谢费等。</w:t>
      </w:r>
    </w:p>
    <w:p w14:paraId="66A1969D">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（二）不准以任何理由为甲方和相关单位报销应由对方或个人支付的费用。</w:t>
      </w:r>
    </w:p>
    <w:p w14:paraId="55D6E951">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（三）不准接受或暗示为甲方、相关单位或个人装修住房、婚丧嫁娶、配偶子女的工作安排以及出国（境）、旅游等提供方便。</w:t>
      </w:r>
    </w:p>
    <w:p w14:paraId="7AF697D0">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（四）不准以任何理由为甲方、相关单位或个人组织有可能影响公正执行公务的宴请、健身、娱乐等活动。</w:t>
      </w:r>
    </w:p>
    <w:p w14:paraId="3B9BBFD8">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第四条　违约责任</w:t>
      </w:r>
    </w:p>
    <w:p w14:paraId="05C21A85">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一）甲方工作人员有违反本责任书第一、二条责任行为的，按照管理权限，依据有关法律法规和规定给予党纪、政纪处分或组织处理；涉嫌犯罪，移交司法机关追究刑事责任；给乙方单位造成经济损失的，应予以赔偿。</w:t>
      </w:r>
    </w:p>
    <w:p w14:paraId="1223B0D6">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二）乙方工作人员有违反本责任书第一、三条责任行为的，按照管理权限，依据有关法律法规和规定给予党纪、政纪处分或组织处理；涉嬚犯罪的，移交司法机关追究刑事责任；给甲方单位造成经济损失的，应予以赔偿。</w:t>
      </w:r>
    </w:p>
    <w:p w14:paraId="1D4D6C75">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第五条　本责任书作为工程监理合同的附件，与工程监理合同具有同等法律效力。经双方签署后立即生效。</w:t>
      </w:r>
    </w:p>
    <w:p w14:paraId="01FD5F95">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第六条　本责任书的有效期为双方签署之日起至该工程项目竣工验收合格时止。</w:t>
      </w:r>
    </w:p>
    <w:p w14:paraId="2F1281DA">
      <w:pPr>
        <w:snapToGrid w:val="0"/>
        <w:spacing w:line="360" w:lineRule="auto"/>
        <w:ind w:firstLine="42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第七条　本责任书一式六份，由甲乙双方各执两份，送交甲乙双方的监督单位各一份。</w:t>
      </w:r>
    </w:p>
    <w:p w14:paraId="31D31E42">
      <w:pPr>
        <w:snapToGrid w:val="0"/>
        <w:spacing w:line="360" w:lineRule="auto"/>
        <w:ind w:firstLine="420"/>
        <w:rPr>
          <w:rFonts w:hint="eastAsia" w:asciiTheme="minorEastAsia" w:hAnsiTheme="minorEastAsia" w:eastAsiaTheme="minorEastAsia" w:cstheme="minorEastAsia"/>
          <w:color w:val="auto"/>
          <w:sz w:val="24"/>
          <w:szCs w:val="24"/>
          <w:highlight w:val="none"/>
          <w:lang w:eastAsia="zh-CN"/>
        </w:rPr>
      </w:pPr>
    </w:p>
    <w:p w14:paraId="4734F22F">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甲方单位：（盖章）　　　　　　　　　　乙方单位：（盖章）</w:t>
      </w:r>
    </w:p>
    <w:p w14:paraId="23A3864C">
      <w:pPr>
        <w:pStyle w:val="17"/>
        <w:pageBreakBefore w:val="0"/>
        <w:tabs>
          <w:tab w:val="left" w:pos="3406"/>
          <w:tab w:val="clear" w:pos="567"/>
        </w:tabs>
        <w:kinsoku/>
        <w:wordWrap/>
        <w:overflowPunct/>
        <w:topLinePunct w:val="0"/>
        <w:bidi w:val="0"/>
        <w:spacing w:line="360" w:lineRule="auto"/>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法定</w:t>
      </w:r>
      <w:r>
        <w:rPr>
          <w:rFonts w:hint="eastAsia" w:ascii="宋体" w:hAnsi="宋体" w:eastAsia="宋体" w:cs="宋体"/>
          <w:color w:val="auto"/>
          <w:spacing w:val="-3"/>
          <w:sz w:val="24"/>
          <w:szCs w:val="24"/>
          <w:highlight w:val="none"/>
          <w:lang w:eastAsia="zh-CN"/>
        </w:rPr>
        <w:t>代</w:t>
      </w:r>
      <w:r>
        <w:rPr>
          <w:rFonts w:hint="eastAsia" w:ascii="宋体" w:hAnsi="宋体" w:eastAsia="宋体" w:cs="宋体"/>
          <w:color w:val="auto"/>
          <w:spacing w:val="-1"/>
          <w:sz w:val="24"/>
          <w:szCs w:val="24"/>
          <w:highlight w:val="none"/>
          <w:lang w:eastAsia="zh-CN"/>
        </w:rPr>
        <w:t>表</w:t>
      </w:r>
      <w:r>
        <w:rPr>
          <w:rFonts w:hint="eastAsia" w:ascii="宋体" w:hAnsi="宋体" w:eastAsia="宋体" w:cs="宋体"/>
          <w:color w:val="auto"/>
          <w:spacing w:val="-3"/>
          <w:sz w:val="24"/>
          <w:szCs w:val="24"/>
          <w:highlight w:val="none"/>
          <w:lang w:eastAsia="zh-CN"/>
        </w:rPr>
        <w:t>人</w:t>
      </w:r>
      <w:r>
        <w:rPr>
          <w:rFonts w:hint="eastAsia" w:ascii="宋体" w:hAnsi="宋体" w:eastAsia="宋体" w:cs="宋体"/>
          <w:color w:val="auto"/>
          <w:spacing w:val="-1"/>
          <w:sz w:val="24"/>
          <w:szCs w:val="24"/>
          <w:highlight w:val="none"/>
          <w:lang w:eastAsia="zh-CN"/>
        </w:rPr>
        <w:t xml:space="preserve">                             法定</w:t>
      </w:r>
      <w:r>
        <w:rPr>
          <w:rFonts w:hint="eastAsia" w:ascii="宋体" w:hAnsi="宋体" w:eastAsia="宋体" w:cs="宋体"/>
          <w:color w:val="auto"/>
          <w:spacing w:val="-3"/>
          <w:sz w:val="24"/>
          <w:szCs w:val="24"/>
          <w:highlight w:val="none"/>
          <w:lang w:eastAsia="zh-CN"/>
        </w:rPr>
        <w:t>代</w:t>
      </w:r>
      <w:r>
        <w:rPr>
          <w:rFonts w:hint="eastAsia" w:ascii="宋体" w:hAnsi="宋体" w:eastAsia="宋体" w:cs="宋体"/>
          <w:color w:val="auto"/>
          <w:spacing w:val="-1"/>
          <w:sz w:val="24"/>
          <w:szCs w:val="24"/>
          <w:highlight w:val="none"/>
          <w:lang w:eastAsia="zh-CN"/>
        </w:rPr>
        <w:t>表</w:t>
      </w:r>
      <w:r>
        <w:rPr>
          <w:rFonts w:hint="eastAsia" w:ascii="宋体" w:hAnsi="宋体" w:eastAsia="宋体" w:cs="宋体"/>
          <w:color w:val="auto"/>
          <w:spacing w:val="-3"/>
          <w:sz w:val="24"/>
          <w:szCs w:val="24"/>
          <w:highlight w:val="none"/>
          <w:lang w:eastAsia="zh-CN"/>
        </w:rPr>
        <w:t>人</w:t>
      </w:r>
    </w:p>
    <w:p w14:paraId="1DBB5D8B">
      <w:pPr>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spacing w:val="-3"/>
          <w:sz w:val="24"/>
          <w:szCs w:val="24"/>
          <w:highlight w:val="none"/>
          <w:lang w:eastAsia="zh-CN"/>
        </w:rPr>
        <w:t>或</w:t>
      </w:r>
      <w:r>
        <w:rPr>
          <w:rFonts w:hint="eastAsia" w:ascii="宋体" w:hAnsi="宋体" w:eastAsia="宋体" w:cs="宋体"/>
          <w:color w:val="auto"/>
          <w:spacing w:val="-1"/>
          <w:sz w:val="24"/>
          <w:szCs w:val="24"/>
          <w:highlight w:val="none"/>
          <w:lang w:eastAsia="zh-CN"/>
        </w:rPr>
        <w:t>委托代理人</w:t>
      </w:r>
      <w:r>
        <w:rPr>
          <w:rFonts w:hint="eastAsia" w:ascii="宋体" w:hAnsi="宋体" w:eastAsia="宋体" w:cs="宋体"/>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lang w:eastAsia="zh-CN"/>
        </w:rPr>
        <w:t>（签字或盖章）</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或委托代理人</w:t>
      </w:r>
      <w:r>
        <w:rPr>
          <w:rFonts w:hint="eastAsia" w:ascii="宋体" w:hAnsi="宋体" w:eastAsia="宋体" w:cs="宋体"/>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lang w:eastAsia="zh-CN"/>
        </w:rPr>
        <w:t>（签字或盖章）</w:t>
      </w:r>
      <w:r>
        <w:rPr>
          <w:rFonts w:hint="eastAsia" w:ascii="宋体" w:hAnsi="宋体" w:eastAsia="宋体" w:cs="宋体"/>
          <w:color w:val="auto"/>
          <w:sz w:val="24"/>
          <w:szCs w:val="24"/>
          <w:highlight w:val="none"/>
          <w:u w:val="single"/>
          <w:lang w:eastAsia="zh-CN"/>
        </w:rPr>
        <w:t xml:space="preserve">            </w:t>
      </w:r>
    </w:p>
    <w:p w14:paraId="4E0F5187">
      <w:pPr>
        <w:snapToGrid w:val="0"/>
        <w:spacing w:line="360" w:lineRule="auto"/>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　　　　　　           年　　月　　日</w:t>
      </w:r>
    </w:p>
    <w:p w14:paraId="2DD0CD02">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br w:type="page"/>
      </w:r>
    </w:p>
    <w:p w14:paraId="7E9FAE63">
      <w:pPr>
        <w:pStyle w:val="2"/>
        <w:rPr>
          <w:rFonts w:hint="eastAsia"/>
          <w:color w:val="auto"/>
          <w:highlight w:val="none"/>
          <w:lang w:eastAsia="zh-CN"/>
        </w:rPr>
      </w:pPr>
    </w:p>
    <w:p w14:paraId="71705E24">
      <w:pPr>
        <w:outlineLvl w:val="1"/>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附件二</w:t>
      </w:r>
    </w:p>
    <w:p w14:paraId="6A3BEAFE">
      <w:pPr>
        <w:spacing w:before="1"/>
        <w:ind w:left="223"/>
        <w:jc w:val="center"/>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安全生产责任书</w:t>
      </w:r>
    </w:p>
    <w:p w14:paraId="5351AA95">
      <w:pPr>
        <w:snapToGrid w:val="0"/>
        <w:spacing w:line="360" w:lineRule="auto"/>
        <w:rPr>
          <w:rFonts w:hint="eastAsia" w:asciiTheme="minorEastAsia" w:hAnsiTheme="minorEastAsia" w:eastAsiaTheme="minorEastAsia" w:cstheme="minorEastAsia"/>
          <w:color w:val="auto"/>
          <w:sz w:val="24"/>
          <w:szCs w:val="24"/>
          <w:highlight w:val="none"/>
          <w:lang w:eastAsia="zh-CN"/>
        </w:rPr>
      </w:pPr>
    </w:p>
    <w:p w14:paraId="43B30C65">
      <w:pPr>
        <w:snapToGrid w:val="0"/>
        <w:spacing w:line="360" w:lineRule="auto"/>
        <w:ind w:firstLine="63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为认真贯彻落实《中华人民共和国安全生产法》、《建设工程安全生产管理条例》，加强安全生产工作的领导，明确各单位行政领导的安全生产责任，落实安全生产责任制，与监理单位签订安全生产责任书。</w:t>
      </w:r>
    </w:p>
    <w:p w14:paraId="40C1CBCE">
      <w:pPr>
        <w:snapToGrid w:val="0"/>
        <w:spacing w:line="360" w:lineRule="auto"/>
        <w:ind w:firstLine="63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一、监理单位要建立安全生产领导机构，牢固树立“安全生产责任制重于泰山”的指导思想，必须高度重视安全工作，把抓安全生产工作融入各项工作，永远摆在工作的第一位，确保人民生命财产安全。</w:t>
      </w:r>
    </w:p>
    <w:p w14:paraId="107E3685">
      <w:pPr>
        <w:snapToGrid w:val="0"/>
        <w:spacing w:line="360" w:lineRule="auto"/>
        <w:ind w:firstLine="63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二、监理单位法定代表人是安全生产工作第一责任人，要设置安全生产工作主管负责人，项目总监是本工程的安全生产第一责任人。监理单位要与工程项目的建设单位、施工总承包单位组成施工工地“安全生产领导小组”。</w:t>
      </w:r>
    </w:p>
    <w:p w14:paraId="0B6BEE04">
      <w:pPr>
        <w:snapToGrid w:val="0"/>
        <w:spacing w:line="360" w:lineRule="auto"/>
        <w:ind w:firstLine="63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三、监理单位负责监督建设工程建立健全各项安全管理制度、责任制，及突发事件、重大安全事故处理应急预案，完善施工现场安全生产保证体系，确保安全生产。并对工程项目的各项制度、措施、方案进行审批、监督实施，严格履行监理职责。</w:t>
      </w:r>
    </w:p>
    <w:p w14:paraId="0BAC1C89">
      <w:pPr>
        <w:snapToGrid w:val="0"/>
        <w:spacing w:line="360" w:lineRule="auto"/>
        <w:ind w:firstLine="63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四、监理单位负责对承包单位的资质及从业人员资格进行严格审查，杜绝无资质或超资质承揽工程。</w:t>
      </w:r>
    </w:p>
    <w:p w14:paraId="619EF811">
      <w:pPr>
        <w:snapToGrid w:val="0"/>
        <w:spacing w:line="360" w:lineRule="auto"/>
        <w:ind w:firstLine="63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五、监理单位必须定期组织召开工程项目安全生产工作会，研究、分析、布置、督促检查建设工程的安全生产工作，对会议所确定的各项工作安排进行监督，会议要有文字记录。</w:t>
      </w:r>
    </w:p>
    <w:p w14:paraId="6036D340">
      <w:pPr>
        <w:snapToGrid w:val="0"/>
        <w:spacing w:line="360" w:lineRule="auto"/>
        <w:ind w:firstLine="63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六、监理单位要宣传贯彻《建设工程安全生产管理条例》、《北京市建设工程施工现场管理办法》等有关安全生产的各项法律、法规和强制性规范标准，加强对施工现场的重点工序、重点部位的旁站监理，对重大安全隐患要立即下达书面停工通知单，并及时组织力量加以排除，同时要向行业主管及有关部门报告。对监理单位提出的安全隐患，施工单位拒不整改，监理人员又不向有关主管部门汇报，监理单位将负相关责任。</w:t>
      </w:r>
    </w:p>
    <w:p w14:paraId="58555C9D">
      <w:pPr>
        <w:snapToGrid w:val="0"/>
        <w:spacing w:line="360" w:lineRule="auto"/>
        <w:ind w:firstLine="63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七、安全事故发生后，监理单位要会同建设单位、承包单位立即组织力量抢救，启动应急预案，协助有关部门进行事故处理。</w:t>
      </w:r>
    </w:p>
    <w:p w14:paraId="425EEAC3">
      <w:pPr>
        <w:snapToGrid w:val="0"/>
        <w:spacing w:line="360" w:lineRule="auto"/>
        <w:ind w:firstLine="63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八、对不贯彻执行市级政府及安全生产委员会关于安全生产工作有关规定、要求，不认真履行职责，并出现安全事故的监理单位，将依据有关规定，依法严肃查处。</w:t>
      </w:r>
    </w:p>
    <w:p w14:paraId="6D0AC8D3">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    九、监理单位应督促建设单位、承包单位按照工程进度及时支付工程款、劳务费，掌握工程款、劳务费支付情况，防止发生不稳定冲突事件，有重大情况应及时向建设单位汇报。</w:t>
      </w:r>
    </w:p>
    <w:p w14:paraId="6E377AC5">
      <w:pPr>
        <w:snapToGrid w:val="0"/>
        <w:spacing w:line="400" w:lineRule="atLeast"/>
        <w:ind w:firstLine="482" w:firstLineChars="200"/>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十 上述所有条款本单</w:t>
      </w:r>
      <w:r>
        <w:rPr>
          <w:rFonts w:hint="eastAsia" w:asciiTheme="minorEastAsia" w:hAnsiTheme="minorEastAsia" w:eastAsiaTheme="minorEastAsia" w:cstheme="minorEastAsia"/>
          <w:b/>
          <w:bCs/>
          <w:color w:val="auto"/>
          <w:sz w:val="24"/>
          <w:szCs w:val="24"/>
          <w:highlight w:val="none"/>
          <w:lang w:eastAsia="zh-CN"/>
        </w:rPr>
        <w:t>已详细阅读并同意条款内容，确保严格执行条款内容。</w:t>
      </w:r>
    </w:p>
    <w:p w14:paraId="34A90C4F">
      <w:pPr>
        <w:snapToGrid w:val="0"/>
        <w:spacing w:line="400" w:lineRule="atLeas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十一 本责任书由北京市绿地养护管理事务中心负责全权解释。</w:t>
      </w:r>
    </w:p>
    <w:p w14:paraId="5A43DC54">
      <w:pPr>
        <w:snapToGrid w:val="0"/>
        <w:spacing w:line="400" w:lineRule="atLeas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十二 责任书自签订之日起生效。</w:t>
      </w:r>
    </w:p>
    <w:p w14:paraId="414A7556">
      <w:pPr>
        <w:snapToGrid w:val="0"/>
        <w:spacing w:line="400" w:lineRule="atLeas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十三 本责任书一式二份，甲乙双方各执一份。</w:t>
      </w:r>
    </w:p>
    <w:p w14:paraId="686224EF">
      <w:pPr>
        <w:snapToGrid w:val="0"/>
        <w:spacing w:line="400" w:lineRule="atLeast"/>
        <w:ind w:firstLine="480" w:firstLineChars="200"/>
        <w:rPr>
          <w:rFonts w:hint="eastAsia" w:asciiTheme="minorEastAsia" w:hAnsiTheme="minorEastAsia" w:eastAsiaTheme="minorEastAsia" w:cstheme="minorEastAsia"/>
          <w:color w:val="auto"/>
          <w:sz w:val="24"/>
          <w:szCs w:val="24"/>
          <w:highlight w:val="none"/>
          <w:lang w:eastAsia="zh-CN"/>
        </w:rPr>
      </w:pPr>
    </w:p>
    <w:p w14:paraId="1915C9CC">
      <w:pPr>
        <w:snapToGrid w:val="0"/>
        <w:spacing w:line="400" w:lineRule="atLeast"/>
        <w:ind w:firstLine="480" w:firstLineChars="200"/>
        <w:rPr>
          <w:rFonts w:hint="eastAsia" w:asciiTheme="minorEastAsia" w:hAnsiTheme="minorEastAsia" w:eastAsiaTheme="minorEastAsia" w:cstheme="minorEastAsia"/>
          <w:color w:val="auto"/>
          <w:sz w:val="24"/>
          <w:szCs w:val="24"/>
          <w:highlight w:val="none"/>
          <w:lang w:eastAsia="zh-CN"/>
        </w:rPr>
      </w:pPr>
    </w:p>
    <w:p w14:paraId="222831AB">
      <w:pPr>
        <w:snapToGrid w:val="0"/>
        <w:spacing w:line="400" w:lineRule="atLeast"/>
        <w:ind w:firstLine="480" w:firstLineChars="200"/>
        <w:rPr>
          <w:rFonts w:hint="eastAsia" w:asciiTheme="minorEastAsia" w:hAnsiTheme="minorEastAsia" w:eastAsiaTheme="minorEastAsia" w:cstheme="minorEastAsia"/>
          <w:color w:val="auto"/>
          <w:sz w:val="24"/>
          <w:szCs w:val="24"/>
          <w:highlight w:val="none"/>
          <w:lang w:eastAsia="zh-CN"/>
        </w:rPr>
      </w:pPr>
    </w:p>
    <w:p w14:paraId="7A7DB44C">
      <w:pPr>
        <w:snapToGrid w:val="0"/>
        <w:spacing w:line="400" w:lineRule="atLeast"/>
        <w:ind w:firstLine="960" w:firstLineChars="4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甲方盖章：                             乙方盖章：</w:t>
      </w:r>
    </w:p>
    <w:p w14:paraId="36231B10">
      <w:pPr>
        <w:snapToGrid w:val="0"/>
        <w:spacing w:line="400" w:lineRule="atLeast"/>
        <w:ind w:firstLine="960" w:firstLineChars="4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法定代表人                             法定代表人</w:t>
      </w:r>
    </w:p>
    <w:p w14:paraId="3F863878">
      <w:pPr>
        <w:snapToGrid w:val="0"/>
        <w:spacing w:line="400" w:lineRule="atLeast"/>
        <w:ind w:firstLine="960" w:firstLineChars="4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或委托代理人：</w:t>
      </w:r>
      <w:r>
        <w:rPr>
          <w:rFonts w:hint="eastAsia" w:asciiTheme="minorEastAsia" w:hAnsiTheme="minorEastAsia" w:eastAsiaTheme="minorEastAsia" w:cstheme="minorEastAsia"/>
          <w:color w:val="auto"/>
          <w:sz w:val="24"/>
          <w:szCs w:val="24"/>
          <w:highlight w:val="none"/>
          <w:u w:val="single"/>
          <w:lang w:eastAsia="zh-CN"/>
        </w:rPr>
        <w:t>（签字或盖章）</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或委托代理人：</w:t>
      </w:r>
      <w:r>
        <w:rPr>
          <w:rFonts w:hint="eastAsia" w:asciiTheme="minorEastAsia" w:hAnsiTheme="minorEastAsia" w:eastAsiaTheme="minorEastAsia" w:cstheme="minorEastAsia"/>
          <w:color w:val="auto"/>
          <w:sz w:val="24"/>
          <w:szCs w:val="24"/>
          <w:highlight w:val="none"/>
          <w:u w:val="single"/>
          <w:lang w:eastAsia="zh-CN"/>
        </w:rPr>
        <w:t>（签字或盖章）</w:t>
      </w:r>
      <w:r>
        <w:rPr>
          <w:rFonts w:hint="eastAsia" w:asciiTheme="minorEastAsia" w:hAnsiTheme="minorEastAsia" w:eastAsiaTheme="minorEastAsia" w:cstheme="minorEastAsia"/>
          <w:color w:val="auto"/>
          <w:sz w:val="24"/>
          <w:szCs w:val="24"/>
          <w:highlight w:val="none"/>
          <w:lang w:eastAsia="zh-CN"/>
        </w:rPr>
        <w:t xml:space="preserve">          </w:t>
      </w:r>
    </w:p>
    <w:p w14:paraId="79450C69">
      <w:pPr>
        <w:snapToGrid w:val="0"/>
        <w:spacing w:line="400" w:lineRule="atLeast"/>
        <w:ind w:firstLine="1200" w:firstLineChars="5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签订日期：    年  月  日               签订日期：  年  月  日</w:t>
      </w:r>
    </w:p>
    <w:p w14:paraId="59BD4DE7">
      <w:pPr>
        <w:rPr>
          <w:rFonts w:hint="eastAsia"/>
          <w:b/>
          <w:bCs/>
          <w:color w:val="auto"/>
          <w:sz w:val="32"/>
          <w:szCs w:val="32"/>
          <w:highlight w:val="none"/>
          <w:lang w:eastAsia="zh-CN"/>
        </w:rPr>
      </w:pPr>
      <w:r>
        <w:rPr>
          <w:rFonts w:hint="eastAsia"/>
          <w:b/>
          <w:bCs/>
          <w:color w:val="auto"/>
          <w:sz w:val="32"/>
          <w:szCs w:val="32"/>
          <w:highlight w:val="none"/>
          <w:lang w:eastAsia="zh-CN"/>
        </w:rPr>
        <w:br w:type="page"/>
      </w:r>
    </w:p>
    <w:p w14:paraId="76C7E866">
      <w:pPr>
        <w:pStyle w:val="17"/>
        <w:keepNext w:val="0"/>
        <w:keepLines w:val="0"/>
        <w:pageBreakBefore w:val="0"/>
        <w:widowControl w:val="0"/>
        <w:kinsoku/>
        <w:wordWrap/>
        <w:overflowPunct/>
        <w:topLinePunct w:val="0"/>
        <w:autoSpaceDE/>
        <w:autoSpaceDN/>
        <w:bidi w:val="0"/>
        <w:adjustRightInd/>
        <w:spacing w:before="0" w:line="360" w:lineRule="auto"/>
        <w:ind w:right="0"/>
        <w:jc w:val="both"/>
        <w:textAlignment w:val="auto"/>
        <w:outlineLvl w:val="1"/>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附件三 </w:t>
      </w:r>
    </w:p>
    <w:p w14:paraId="198861BE">
      <w:pPr>
        <w:pageBreakBefore w:val="0"/>
        <w:kinsoku/>
        <w:wordWrap/>
        <w:overflowPunct/>
        <w:topLinePunct w:val="0"/>
        <w:bidi w:val="0"/>
        <w:spacing w:before="1" w:line="360" w:lineRule="auto"/>
        <w:ind w:left="221"/>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构建“亲”“清”政商关系告知书</w:t>
      </w:r>
    </w:p>
    <w:p w14:paraId="2797BC58">
      <w:pPr>
        <w:spacing w:line="56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深入构建亲清新型政商关系，努力打造尊商、亲商、助商、安商良好营商环境，确保园林绿化项目工程质量，更好地预防职务犯罪，根据市党风廉政建设相关规定，市园林绿化局，特制定构建“亲”“清”政商关系告知书，严明公职人员在政商交往中的纪律要求。请各涉园林绿化项目的</w:t>
      </w:r>
      <w:r>
        <w:rPr>
          <w:rFonts w:hint="eastAsia" w:ascii="宋体" w:hAnsi="宋体" w:eastAsia="宋体" w:cs="宋体"/>
          <w:bCs/>
          <w:color w:val="auto"/>
          <w:sz w:val="24"/>
          <w:szCs w:val="24"/>
          <w:highlight w:val="none"/>
        </w:rPr>
        <w:t>代理机构、投标方、监理方、建设方、养护方企业</w:t>
      </w:r>
      <w:r>
        <w:rPr>
          <w:rFonts w:hint="eastAsia" w:ascii="宋体" w:hAnsi="宋体" w:eastAsia="宋体" w:cs="宋体"/>
          <w:color w:val="auto"/>
          <w:sz w:val="24"/>
          <w:szCs w:val="24"/>
          <w:highlight w:val="none"/>
        </w:rPr>
        <w:t>及其从业人员知晓，严格遵守并监督我局公职人员落实。</w:t>
      </w:r>
    </w:p>
    <w:p w14:paraId="7A5FFC1D">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一、不得向公职人员赠送礼品、礼金、消费卡等财物。</w:t>
      </w:r>
    </w:p>
    <w:p w14:paraId="5E0A8CD3">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二、不得向公职人员提供宴请、旅游、健身、娱乐等活动安排。</w:t>
      </w:r>
    </w:p>
    <w:p w14:paraId="794916A5">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三、不得以任何借口为公职人员住房装修、婚丧嫁娶、亲友出国等提供方便。</w:t>
      </w:r>
    </w:p>
    <w:p w14:paraId="2DFB7C63">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四、不得为公职人员报销应由其个人支付的费用。</w:t>
      </w:r>
    </w:p>
    <w:p w14:paraId="3514F22D">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五、不得违规向公职人员及其亲友借贷款。</w:t>
      </w:r>
    </w:p>
    <w:p w14:paraId="3C101AD9">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六、不得违规将车辆、住房等借给公职人员使用。</w:t>
      </w:r>
    </w:p>
    <w:p w14:paraId="6A85E8C5">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七、不得在招投标中与公职人员搞暗箱操作、围标串标。</w:t>
      </w:r>
    </w:p>
    <w:p w14:paraId="2872AB90">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八、不得为利益相关人和公职人员牵线搭桥或者代为传递信息、传递财物。</w:t>
      </w:r>
    </w:p>
    <w:p w14:paraId="480C5F23">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九、不得让公职人员在企业违规兼职取酬。</w:t>
      </w:r>
    </w:p>
    <w:p w14:paraId="02E8D129">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十、不得为公职人员亲友违规承揽业务提供便利。</w:t>
      </w:r>
    </w:p>
    <w:p w14:paraId="2E290938">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上述“十个不得”，请您严格遵守。同时，在政商交往中，如有发现我局公职人员存在违反“十个不得”的问题， 请通过首都园林绿化政务网举报信箱：</w:t>
      </w:r>
      <w:r>
        <w:rPr>
          <w:rFonts w:hint="eastAsia" w:ascii="宋体" w:hAnsi="宋体" w:eastAsia="宋体" w:cs="宋体"/>
          <w:bCs/>
          <w:color w:val="auto"/>
          <w:sz w:val="24"/>
          <w:szCs w:val="24"/>
          <w:highlight w:val="none"/>
        </w:rPr>
        <w:t>北京市园林绿化局（首都绿化委员会办公室）网——政民活动——我要写信（纪检举报）,</w:t>
      </w:r>
      <w:r>
        <w:rPr>
          <w:rFonts w:hint="eastAsia" w:ascii="宋体" w:hAnsi="宋体" w:eastAsia="宋体" w:cs="宋体"/>
          <w:color w:val="auto"/>
          <w:sz w:val="24"/>
          <w:szCs w:val="24"/>
          <w:highlight w:val="none"/>
        </w:rPr>
        <w:t>邮箱：</w:t>
      </w: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HYPERLINK "mailto:ylztb@yllhj.beijing.gov.cn" </w:instrText>
      </w:r>
      <w:r>
        <w:rPr>
          <w:rFonts w:hint="eastAsia" w:ascii="宋体" w:hAnsi="宋体" w:eastAsia="宋体" w:cs="宋体"/>
          <w:color w:val="auto"/>
          <w:sz w:val="24"/>
          <w:szCs w:val="24"/>
          <w:highlight w:val="none"/>
          <w:u w:val="none"/>
        </w:rPr>
        <w:fldChar w:fldCharType="separate"/>
      </w:r>
      <w:r>
        <w:rPr>
          <w:rStyle w:val="54"/>
          <w:rFonts w:hint="eastAsia" w:ascii="宋体" w:hAnsi="宋体" w:eastAsia="宋体" w:cs="宋体"/>
          <w:color w:val="auto"/>
          <w:sz w:val="24"/>
          <w:szCs w:val="24"/>
          <w:highlight w:val="none"/>
          <w:u w:val="none"/>
        </w:rPr>
        <w:t>ylztb@yllhj.beijing.gov.cn</w:t>
      </w:r>
      <w:r>
        <w:rPr>
          <w:rStyle w:val="54"/>
          <w:rFonts w:hint="eastAsia" w:ascii="宋体" w:hAnsi="宋体" w:eastAsia="宋体" w:cs="宋体"/>
          <w:color w:val="auto"/>
          <w:sz w:val="24"/>
          <w:szCs w:val="24"/>
          <w:highlight w:val="none"/>
          <w:u w:val="none"/>
        </w:rPr>
        <w:fldChar w:fldCharType="end"/>
      </w:r>
    </w:p>
    <w:p w14:paraId="2DAEE26D">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或北京市园林绿化局机关纪委信访邮箱：jgjw＠yllhj.beijing.gov.cn举报，电话84236701等方式，向纪检监察机关反映举报，我们将严格保密，按照相关规定优先处置，严肃查处。</w:t>
      </w:r>
    </w:p>
    <w:p w14:paraId="3519E948">
      <w:pPr>
        <w:spacing w:line="560" w:lineRule="exact"/>
        <w:rPr>
          <w:rFonts w:hint="eastAsia" w:ascii="宋体" w:hAnsi="宋体" w:eastAsia="宋体" w:cs="宋体"/>
          <w:color w:val="auto"/>
          <w:sz w:val="24"/>
          <w:szCs w:val="24"/>
          <w:highlight w:val="none"/>
        </w:rPr>
      </w:pPr>
    </w:p>
    <w:p w14:paraId="302D0BF2">
      <w:pPr>
        <w:spacing w:line="560" w:lineRule="exact"/>
        <w:ind w:left="3160" w:leftChars="76" w:hanging="3000" w:hangingChars="1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单位</w:t>
      </w:r>
      <w:r>
        <w:rPr>
          <w:rFonts w:hint="eastAsia" w:ascii="宋体" w:hAnsi="宋体" w:cs="宋体"/>
          <w:color w:val="auto"/>
          <w:sz w:val="24"/>
          <w:szCs w:val="24"/>
          <w:highlight w:val="none"/>
          <w:lang w:val="en-US" w:eastAsia="zh-CN"/>
        </w:rPr>
        <w:t>（盖公章）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本人已知晓上述告知内容，愿意遵照执行，如有违反自愿承担法律责任。（签名）：</w:t>
      </w:r>
    </w:p>
    <w:p w14:paraId="0326848A">
      <w:pPr>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C41295E">
      <w:pPr>
        <w:spacing w:line="56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                        年 月 日</w:t>
      </w:r>
    </w:p>
    <w:p w14:paraId="5D62A14B">
      <w:pPr>
        <w:spacing w:line="560" w:lineRule="exact"/>
        <w:rPr>
          <w:rFonts w:hint="eastAsia" w:ascii="宋体" w:hAnsi="宋体" w:eastAsia="宋体" w:cs="宋体"/>
          <w:color w:val="auto"/>
          <w:sz w:val="24"/>
          <w:szCs w:val="24"/>
          <w:highlight w:val="none"/>
        </w:rPr>
      </w:pPr>
    </w:p>
    <w:p w14:paraId="7C2AC567">
      <w:pPr>
        <w:spacing w:line="560" w:lineRule="exact"/>
        <w:rPr>
          <w:rFonts w:hint="eastAsia" w:ascii="宋体" w:hAnsi="宋体" w:eastAsia="宋体" w:cs="宋体"/>
          <w:color w:val="auto"/>
          <w:sz w:val="24"/>
          <w:szCs w:val="24"/>
          <w:highlight w:val="none"/>
        </w:rPr>
      </w:pPr>
    </w:p>
    <w:p w14:paraId="27BD1943">
      <w:pPr>
        <w:outlineLvl w:val="9"/>
        <w:rPr>
          <w:rFonts w:hint="eastAsia"/>
          <w:color w:val="auto"/>
          <w:highlight w:val="none"/>
          <w:lang w:val="en-US" w:eastAsia="zh-CN"/>
        </w:rPr>
      </w:pPr>
      <w:r>
        <w:rPr>
          <w:rFonts w:hint="eastAsia" w:ascii="宋体" w:hAnsi="宋体" w:eastAsia="宋体" w:cs="宋体"/>
          <w:color w:val="auto"/>
          <w:sz w:val="24"/>
          <w:szCs w:val="24"/>
          <w:highlight w:val="none"/>
        </w:rPr>
        <w:t>（本告知书一式两份，一份由被告知人保存，一份由告知人所在单位保存。）</w:t>
      </w:r>
    </w:p>
    <w:p w14:paraId="221972FC">
      <w:pPr>
        <w:outlineLvl w:val="9"/>
        <w:rPr>
          <w:rFonts w:hint="eastAsia"/>
          <w:color w:val="auto"/>
          <w:highlight w:val="none"/>
          <w:lang w:val="en-US" w:eastAsia="zh-CN"/>
        </w:rPr>
      </w:pPr>
    </w:p>
    <w:p w14:paraId="530717EB">
      <w:pPr>
        <w:outlineLvl w:val="9"/>
        <w:rPr>
          <w:rFonts w:hint="eastAsia"/>
          <w:color w:val="auto"/>
          <w:highlight w:val="none"/>
          <w:lang w:val="en-US" w:eastAsia="zh-CN"/>
        </w:rPr>
      </w:pPr>
    </w:p>
    <w:p w14:paraId="0881AE20">
      <w:pPr>
        <w:outlineLvl w:val="9"/>
        <w:rPr>
          <w:rFonts w:hint="eastAsia"/>
          <w:color w:val="auto"/>
          <w:highlight w:val="none"/>
          <w:lang w:val="en-US" w:eastAsia="zh-CN"/>
        </w:rPr>
      </w:pPr>
    </w:p>
    <w:p w14:paraId="1CCFEB36">
      <w:pPr>
        <w:outlineLvl w:val="9"/>
        <w:rPr>
          <w:rFonts w:hint="eastAsia"/>
          <w:color w:val="auto"/>
          <w:highlight w:val="none"/>
          <w:lang w:val="en-US" w:eastAsia="zh-CN"/>
        </w:rPr>
      </w:pPr>
    </w:p>
    <w:p w14:paraId="04E454EF">
      <w:pPr>
        <w:outlineLvl w:val="9"/>
        <w:rPr>
          <w:rFonts w:hint="eastAsia"/>
          <w:color w:val="auto"/>
          <w:highlight w:val="none"/>
          <w:lang w:val="en-US" w:eastAsia="zh-CN"/>
        </w:rPr>
      </w:pPr>
    </w:p>
    <w:p w14:paraId="64DCB7AF">
      <w:pPr>
        <w:rPr>
          <w:rFonts w:hint="eastAsia"/>
          <w:color w:val="auto"/>
          <w:highlight w:val="none"/>
          <w:lang w:val="en-US" w:eastAsia="zh-CN"/>
        </w:rPr>
        <w:sectPr>
          <w:pgSz w:w="11907" w:h="16840"/>
          <w:pgMar w:top="1418" w:right="1134" w:bottom="1418" w:left="1701" w:header="851" w:footer="851" w:gutter="0"/>
          <w:pgNumType w:fmt="decimal"/>
          <w:cols w:space="720" w:num="1"/>
          <w:docGrid w:linePitch="462" w:charSpace="0"/>
        </w:sectPr>
      </w:pPr>
    </w:p>
    <w:p w14:paraId="7460FBC1">
      <w:pPr>
        <w:snapToGrid/>
        <w:spacing w:line="360" w:lineRule="auto"/>
        <w:ind w:left="0"/>
        <w:jc w:val="center"/>
        <w:outlineLvl w:val="0"/>
        <w:rPr>
          <w:rFonts w:ascii="宋体" w:hAnsi="宋体"/>
          <w:b/>
          <w:color w:val="auto"/>
          <w:sz w:val="24"/>
          <w:highlight w:val="none"/>
        </w:rPr>
      </w:pPr>
      <w:bookmarkStart w:id="1092" w:name="_Toc10041"/>
      <w:r>
        <w:rPr>
          <w:rFonts w:ascii="宋体" w:hAnsi="宋体"/>
          <w:b/>
          <w:color w:val="auto"/>
          <w:sz w:val="24"/>
          <w:highlight w:val="none"/>
        </w:rPr>
        <w:t>第七章   投标文件格式</w:t>
      </w:r>
      <w:bookmarkEnd w:id="738"/>
      <w:bookmarkEnd w:id="739"/>
      <w:bookmarkEnd w:id="1092"/>
    </w:p>
    <w:p w14:paraId="3D899129">
      <w:pPr>
        <w:tabs>
          <w:tab w:val="left" w:pos="900"/>
          <w:tab w:val="left" w:pos="1980"/>
        </w:tabs>
        <w:snapToGrid w:val="0"/>
        <w:spacing w:line="360" w:lineRule="auto"/>
        <w:ind w:left="142"/>
        <w:rPr>
          <w:rFonts w:ascii="宋体" w:hAnsi="宋体"/>
          <w:color w:val="auto"/>
          <w:sz w:val="24"/>
          <w:highlight w:val="none"/>
        </w:rPr>
      </w:pPr>
      <w:r>
        <w:rPr>
          <w:rFonts w:ascii="宋体" w:hAnsi="宋体"/>
          <w:b/>
          <w:color w:val="auto"/>
          <w:sz w:val="24"/>
          <w:highlight w:val="none"/>
        </w:rPr>
        <w:t>投标人编制文件须知</w:t>
      </w:r>
    </w:p>
    <w:p w14:paraId="4F5F4C43">
      <w:pPr>
        <w:tabs>
          <w:tab w:val="left" w:pos="900"/>
          <w:tab w:val="left" w:pos="1980"/>
        </w:tabs>
        <w:snapToGrid w:val="0"/>
        <w:spacing w:line="360" w:lineRule="auto"/>
        <w:ind w:left="142"/>
        <w:rPr>
          <w:rFonts w:ascii="宋体" w:hAnsi="宋体"/>
          <w:color w:val="auto"/>
          <w:sz w:val="24"/>
          <w:highlight w:val="none"/>
        </w:rPr>
      </w:pPr>
      <w:r>
        <w:rPr>
          <w:rFonts w:ascii="宋体" w:hAnsi="宋体"/>
          <w:color w:val="auto"/>
          <w:sz w:val="24"/>
          <w:highlight w:val="none"/>
        </w:rPr>
        <w:t>1、投标人按照本部分的顺序编制投标文件（资格证明文件）、投标文件（商务技术文件），编制中涉及格式资料的，应按照本部分提供的内容和格式（所有表格的格式可扩展）填写提交。</w:t>
      </w:r>
    </w:p>
    <w:p w14:paraId="18CDAA33">
      <w:pPr>
        <w:tabs>
          <w:tab w:val="left" w:pos="900"/>
          <w:tab w:val="left" w:pos="1980"/>
        </w:tabs>
        <w:snapToGrid w:val="0"/>
        <w:spacing w:line="360" w:lineRule="auto"/>
        <w:ind w:left="142"/>
        <w:rPr>
          <w:rFonts w:ascii="宋体" w:hAnsi="宋体"/>
          <w:color w:val="auto"/>
          <w:kern w:val="0"/>
          <w:sz w:val="24"/>
          <w:highlight w:val="none"/>
        </w:rPr>
      </w:pPr>
      <w:r>
        <w:rPr>
          <w:rFonts w:ascii="宋体" w:hAnsi="宋体"/>
          <w:color w:val="auto"/>
          <w:sz w:val="24"/>
          <w:highlight w:val="none"/>
        </w:rPr>
        <w:t>2、</w:t>
      </w:r>
      <w:r>
        <w:rPr>
          <w:rFonts w:ascii="宋体" w:hAnsi="宋体"/>
          <w:color w:val="auto"/>
          <w:kern w:val="0"/>
          <w:sz w:val="24"/>
          <w:highlight w:val="none"/>
        </w:rPr>
        <w:t>对于招标文件中标记了“实质性格式”文件的，</w:t>
      </w:r>
      <w:r>
        <w:rPr>
          <w:rFonts w:ascii="宋体" w:hAnsi="宋体"/>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olor w:val="auto"/>
          <w:kern w:val="0"/>
          <w:sz w:val="24"/>
          <w:highlight w:val="none"/>
        </w:rPr>
        <w:t>否则</w:t>
      </w:r>
      <w:r>
        <w:rPr>
          <w:rFonts w:ascii="宋体" w:hAnsi="宋体"/>
          <w:b/>
          <w:color w:val="auto"/>
          <w:kern w:val="0"/>
          <w:sz w:val="24"/>
          <w:highlight w:val="none"/>
        </w:rPr>
        <w:t>投标无效</w:t>
      </w:r>
      <w:r>
        <w:rPr>
          <w:rFonts w:ascii="宋体" w:hAnsi="宋体"/>
          <w:color w:val="auto"/>
          <w:kern w:val="0"/>
          <w:sz w:val="24"/>
          <w:highlight w:val="none"/>
        </w:rPr>
        <w:t>。未标记“实质性格式”的文件和招标文件未提供格式的内容，可由投标人自行编写。</w:t>
      </w:r>
    </w:p>
    <w:p w14:paraId="0C829B59">
      <w:pPr>
        <w:tabs>
          <w:tab w:val="left" w:pos="900"/>
          <w:tab w:val="left" w:pos="1980"/>
        </w:tabs>
        <w:snapToGrid w:val="0"/>
        <w:spacing w:line="360" w:lineRule="auto"/>
        <w:ind w:left="142"/>
        <w:rPr>
          <w:rFonts w:ascii="宋体" w:hAnsi="宋体"/>
          <w:color w:val="auto"/>
          <w:sz w:val="24"/>
          <w:highlight w:val="none"/>
        </w:rPr>
      </w:pPr>
      <w:r>
        <w:rPr>
          <w:rFonts w:ascii="宋体" w:hAnsi="宋体"/>
          <w:color w:val="auto"/>
          <w:sz w:val="24"/>
          <w:highlight w:val="none"/>
        </w:rPr>
        <w:t>3、全部声明和问题的回答及所附材料必须是真实的、准确的和完整的。</w:t>
      </w:r>
    </w:p>
    <w:p w14:paraId="1D07D69F">
      <w:pPr>
        <w:tabs>
          <w:tab w:val="left" w:pos="900"/>
          <w:tab w:val="left" w:pos="1980"/>
        </w:tabs>
        <w:snapToGrid w:val="0"/>
        <w:spacing w:line="360" w:lineRule="auto"/>
        <w:ind w:left="142"/>
        <w:rPr>
          <w:rFonts w:ascii="宋体" w:hAnsi="宋体"/>
          <w:color w:val="auto"/>
          <w:kern w:val="0"/>
          <w:sz w:val="24"/>
          <w:highlight w:val="none"/>
        </w:rPr>
      </w:pPr>
      <w:r>
        <w:rPr>
          <w:rFonts w:hint="eastAsia" w:ascii="宋体" w:hAnsi="宋体"/>
          <w:color w:val="auto"/>
          <w:kern w:val="0"/>
          <w:sz w:val="24"/>
          <w:highlight w:val="none"/>
        </w:rPr>
        <w:t>4、投标文件不分册装订。</w:t>
      </w:r>
    </w:p>
    <w:p w14:paraId="4D0D5EC5">
      <w:pPr>
        <w:pStyle w:val="2"/>
        <w:outlineLvl w:val="9"/>
        <w:rPr>
          <w:color w:val="auto"/>
          <w:highlight w:val="none"/>
        </w:rPr>
      </w:pPr>
      <w:r>
        <w:rPr>
          <w:color w:val="auto"/>
          <w:highlight w:val="none"/>
        </w:rPr>
        <w:br w:type="page"/>
      </w:r>
    </w:p>
    <w:p w14:paraId="481B8BAD">
      <w:pPr>
        <w:rPr>
          <w:rFonts w:ascii="宋体" w:hAnsi="宋体"/>
          <w:b/>
          <w:color w:val="auto"/>
          <w:sz w:val="24"/>
          <w:highlight w:val="none"/>
        </w:rPr>
      </w:pPr>
      <w:r>
        <w:rPr>
          <w:rFonts w:ascii="宋体" w:hAnsi="宋体"/>
          <w:b/>
          <w:color w:val="auto"/>
          <w:spacing w:val="20"/>
          <w:sz w:val="24"/>
          <w:highlight w:val="none"/>
        </w:rPr>
        <w:t>投标文件</w:t>
      </w:r>
      <w:r>
        <w:rPr>
          <w:rFonts w:ascii="宋体" w:hAnsi="宋体"/>
          <w:b/>
          <w:color w:val="auto"/>
          <w:sz w:val="24"/>
          <w:highlight w:val="none"/>
        </w:rPr>
        <w:t>封面（非实质性格式）</w:t>
      </w:r>
    </w:p>
    <w:p w14:paraId="04DFD942">
      <w:pPr>
        <w:tabs>
          <w:tab w:val="left" w:pos="1502"/>
          <w:tab w:val="left" w:pos="3005"/>
          <w:tab w:val="left" w:pos="4508"/>
        </w:tabs>
        <w:ind w:right="113"/>
        <w:jc w:val="center"/>
        <w:rPr>
          <w:rFonts w:asciiTheme="minorEastAsia" w:hAnsiTheme="minorEastAsia" w:eastAsiaTheme="minorEastAsia"/>
          <w:color w:val="auto"/>
          <w:sz w:val="84"/>
          <w:highlight w:val="none"/>
        </w:rPr>
      </w:pPr>
    </w:p>
    <w:p w14:paraId="480F5AEB">
      <w:pPr>
        <w:tabs>
          <w:tab w:val="left" w:pos="1502"/>
          <w:tab w:val="left" w:pos="3005"/>
          <w:tab w:val="left" w:pos="4508"/>
        </w:tabs>
        <w:ind w:right="113"/>
        <w:jc w:val="center"/>
        <w:rPr>
          <w:rFonts w:asciiTheme="minorEastAsia" w:hAnsiTheme="minorEastAsia" w:eastAsiaTheme="minorEastAsia"/>
          <w:color w:val="auto"/>
          <w:sz w:val="84"/>
          <w:highlight w:val="none"/>
        </w:rPr>
      </w:pPr>
    </w:p>
    <w:p w14:paraId="596A93B7">
      <w:pPr>
        <w:tabs>
          <w:tab w:val="left" w:pos="1502"/>
          <w:tab w:val="left" w:pos="3005"/>
          <w:tab w:val="left" w:pos="4508"/>
        </w:tabs>
        <w:ind w:right="113"/>
        <w:jc w:val="center"/>
        <w:rPr>
          <w:rFonts w:asciiTheme="minorEastAsia" w:hAnsiTheme="minorEastAsia" w:eastAsiaTheme="minorEastAsia"/>
          <w:color w:val="auto"/>
          <w:sz w:val="84"/>
          <w:highlight w:val="none"/>
        </w:rPr>
      </w:pPr>
      <w:r>
        <w:rPr>
          <w:rFonts w:asciiTheme="minorEastAsia" w:hAnsiTheme="minorEastAsia" w:eastAsiaTheme="minorEastAsia"/>
          <w:color w:val="auto"/>
          <w:sz w:val="84"/>
          <w:highlight w:val="none"/>
        </w:rPr>
        <w:t>投</w:t>
      </w:r>
      <w:r>
        <w:rPr>
          <w:rFonts w:asciiTheme="minorEastAsia" w:hAnsiTheme="minorEastAsia" w:eastAsiaTheme="minorEastAsia"/>
          <w:color w:val="auto"/>
          <w:sz w:val="84"/>
          <w:highlight w:val="none"/>
        </w:rPr>
        <w:tab/>
      </w:r>
      <w:r>
        <w:rPr>
          <w:rFonts w:asciiTheme="minorEastAsia" w:hAnsiTheme="minorEastAsia" w:eastAsiaTheme="minorEastAsia"/>
          <w:color w:val="auto"/>
          <w:sz w:val="84"/>
          <w:highlight w:val="none"/>
        </w:rPr>
        <w:t>标</w:t>
      </w:r>
      <w:r>
        <w:rPr>
          <w:rFonts w:asciiTheme="minorEastAsia" w:hAnsiTheme="minorEastAsia" w:eastAsiaTheme="minorEastAsia"/>
          <w:color w:val="auto"/>
          <w:sz w:val="84"/>
          <w:highlight w:val="none"/>
        </w:rPr>
        <w:tab/>
      </w:r>
      <w:r>
        <w:rPr>
          <w:rFonts w:asciiTheme="minorEastAsia" w:hAnsiTheme="minorEastAsia" w:eastAsiaTheme="minorEastAsia"/>
          <w:color w:val="auto"/>
          <w:sz w:val="84"/>
          <w:highlight w:val="none"/>
        </w:rPr>
        <w:t>文</w:t>
      </w:r>
      <w:r>
        <w:rPr>
          <w:rFonts w:asciiTheme="minorEastAsia" w:hAnsiTheme="minorEastAsia" w:eastAsiaTheme="minorEastAsia"/>
          <w:color w:val="auto"/>
          <w:sz w:val="84"/>
          <w:highlight w:val="none"/>
        </w:rPr>
        <w:tab/>
      </w:r>
      <w:r>
        <w:rPr>
          <w:rFonts w:asciiTheme="minorEastAsia" w:hAnsiTheme="minorEastAsia" w:eastAsiaTheme="minorEastAsia"/>
          <w:color w:val="auto"/>
          <w:sz w:val="84"/>
          <w:highlight w:val="none"/>
        </w:rPr>
        <w:t>件</w:t>
      </w:r>
    </w:p>
    <w:p w14:paraId="36BE1227">
      <w:pPr>
        <w:pStyle w:val="17"/>
        <w:spacing w:before="7"/>
        <w:rPr>
          <w:rFonts w:asciiTheme="minorEastAsia" w:hAnsiTheme="minorEastAsia" w:eastAsiaTheme="minorEastAsia"/>
          <w:color w:val="auto"/>
          <w:sz w:val="58"/>
          <w:highlight w:val="none"/>
        </w:rPr>
      </w:pPr>
    </w:p>
    <w:p w14:paraId="2AE45FB9">
      <w:pPr>
        <w:pStyle w:val="17"/>
        <w:spacing w:before="7"/>
        <w:rPr>
          <w:rFonts w:asciiTheme="minorEastAsia" w:hAnsiTheme="minorEastAsia" w:eastAsiaTheme="minorEastAsia"/>
          <w:color w:val="auto"/>
          <w:sz w:val="58"/>
          <w:highlight w:val="none"/>
        </w:rPr>
      </w:pPr>
    </w:p>
    <w:p w14:paraId="7D71050B">
      <w:pPr>
        <w:pStyle w:val="17"/>
        <w:spacing w:before="7"/>
        <w:rPr>
          <w:rFonts w:asciiTheme="minorEastAsia" w:hAnsiTheme="minorEastAsia" w:eastAsiaTheme="minorEastAsia"/>
          <w:color w:val="auto"/>
          <w:sz w:val="58"/>
          <w:highlight w:val="none"/>
        </w:rPr>
      </w:pPr>
    </w:p>
    <w:p w14:paraId="5BE2689C">
      <w:pPr>
        <w:pStyle w:val="17"/>
        <w:spacing w:before="7"/>
        <w:rPr>
          <w:rFonts w:asciiTheme="minorEastAsia" w:hAnsiTheme="minorEastAsia" w:eastAsiaTheme="minorEastAsia"/>
          <w:color w:val="auto"/>
          <w:sz w:val="56"/>
          <w:szCs w:val="22"/>
          <w:highlight w:val="none"/>
        </w:rPr>
      </w:pPr>
    </w:p>
    <w:p w14:paraId="695FFE9B">
      <w:pPr>
        <w:rPr>
          <w:rFonts w:asciiTheme="minorEastAsia" w:hAnsiTheme="minorEastAsia" w:eastAsiaTheme="minorEastAsia"/>
          <w:b/>
          <w:i/>
          <w:color w:val="auto"/>
          <w:sz w:val="36"/>
          <w:szCs w:val="36"/>
          <w:highlight w:val="none"/>
        </w:rPr>
      </w:pPr>
      <w:bookmarkStart w:id="1093" w:name="_Toc145095272"/>
      <w:r>
        <w:rPr>
          <w:rFonts w:hint="eastAsia" w:asciiTheme="minorEastAsia" w:hAnsiTheme="minorEastAsia" w:eastAsiaTheme="minorEastAsia"/>
          <w:color w:val="auto"/>
          <w:sz w:val="36"/>
          <w:szCs w:val="36"/>
          <w:highlight w:val="none"/>
        </w:rPr>
        <w:t>项目名称/标的名称</w:t>
      </w:r>
      <w:r>
        <w:rPr>
          <w:rFonts w:asciiTheme="minorEastAsia" w:hAnsiTheme="minorEastAsia" w:eastAsiaTheme="minorEastAsia"/>
          <w:b/>
          <w:i w:val="0"/>
          <w:iCs/>
          <w:color w:val="auto"/>
          <w:sz w:val="36"/>
          <w:szCs w:val="36"/>
          <w:highlight w:val="none"/>
        </w:rPr>
        <w:t>:</w:t>
      </w:r>
      <w:bookmarkEnd w:id="1093"/>
    </w:p>
    <w:p w14:paraId="7E6E11BC">
      <w:pPr>
        <w:rPr>
          <w:rFonts w:asciiTheme="minorEastAsia" w:hAnsiTheme="minorEastAsia" w:eastAsiaTheme="minorEastAsia"/>
          <w:color w:val="auto"/>
          <w:sz w:val="36"/>
          <w:szCs w:val="36"/>
          <w:highlight w:val="none"/>
        </w:rPr>
      </w:pPr>
      <w:bookmarkStart w:id="1094" w:name="_Toc145095273"/>
      <w:r>
        <w:rPr>
          <w:rFonts w:asciiTheme="minorEastAsia" w:hAnsiTheme="minorEastAsia" w:eastAsiaTheme="minorEastAsia"/>
          <w:color w:val="auto"/>
          <w:sz w:val="36"/>
          <w:szCs w:val="36"/>
          <w:highlight w:val="none"/>
        </w:rPr>
        <w:t>项目编号</w:t>
      </w:r>
      <w:r>
        <w:rPr>
          <w:rFonts w:asciiTheme="minorEastAsia" w:hAnsiTheme="minorEastAsia" w:eastAsiaTheme="minorEastAsia"/>
          <w:b/>
          <w:i/>
          <w:color w:val="auto"/>
          <w:sz w:val="36"/>
          <w:szCs w:val="36"/>
          <w:highlight w:val="none"/>
        </w:rPr>
        <w:t>/</w:t>
      </w:r>
      <w:r>
        <w:rPr>
          <w:rFonts w:asciiTheme="minorEastAsia" w:hAnsiTheme="minorEastAsia" w:eastAsiaTheme="minorEastAsia"/>
          <w:color w:val="auto"/>
          <w:sz w:val="36"/>
          <w:szCs w:val="36"/>
          <w:highlight w:val="none"/>
        </w:rPr>
        <w:t>包号：</w:t>
      </w:r>
      <w:bookmarkEnd w:id="1094"/>
    </w:p>
    <w:p w14:paraId="09C9DB44">
      <w:pPr>
        <w:rPr>
          <w:rFonts w:asciiTheme="minorEastAsia" w:hAnsiTheme="minorEastAsia" w:eastAsiaTheme="minorEastAsia"/>
          <w:color w:val="auto"/>
          <w:szCs w:val="21"/>
          <w:highlight w:val="none"/>
        </w:rPr>
      </w:pPr>
      <w:bookmarkStart w:id="1095" w:name="_Toc145095274"/>
      <w:r>
        <w:rPr>
          <w:rFonts w:asciiTheme="minorEastAsia" w:hAnsiTheme="minorEastAsia" w:eastAsiaTheme="minorEastAsia"/>
          <w:color w:val="auto"/>
          <w:sz w:val="36"/>
          <w:szCs w:val="36"/>
          <w:highlight w:val="none"/>
        </w:rPr>
        <w:t>投标人名称</w:t>
      </w:r>
      <w:r>
        <w:rPr>
          <w:rFonts w:asciiTheme="minorEastAsia" w:hAnsiTheme="minorEastAsia" w:eastAsiaTheme="minorEastAsia"/>
          <w:color w:val="auto"/>
          <w:szCs w:val="21"/>
          <w:highlight w:val="none"/>
        </w:rPr>
        <w:t>：</w:t>
      </w:r>
      <w:bookmarkEnd w:id="1095"/>
    </w:p>
    <w:p w14:paraId="369E9426">
      <w:pPr>
        <w:rPr>
          <w:rFonts w:hint="eastAsia" w:asciiTheme="minorEastAsia" w:hAnsiTheme="minorEastAsia" w:eastAsiaTheme="minorEastAsia"/>
          <w:color w:val="auto"/>
          <w:sz w:val="36"/>
          <w:szCs w:val="36"/>
          <w:highlight w:val="none"/>
        </w:rPr>
      </w:pPr>
      <w:r>
        <w:rPr>
          <w:rFonts w:hint="eastAsia" w:asciiTheme="minorEastAsia" w:hAnsiTheme="minorEastAsia" w:eastAsiaTheme="minorEastAsia"/>
          <w:color w:val="auto"/>
          <w:sz w:val="36"/>
          <w:szCs w:val="36"/>
          <w:highlight w:val="none"/>
        </w:rPr>
        <w:t>法定代表人或授权代表人（签字或盖章）：</w:t>
      </w:r>
    </w:p>
    <w:p w14:paraId="74667B5B">
      <w:pPr>
        <w:rPr>
          <w:rFonts w:hint="eastAsia" w:asciiTheme="minorEastAsia" w:hAnsiTheme="minorEastAsia" w:eastAsiaTheme="minorEastAsia"/>
          <w:color w:val="auto"/>
          <w:sz w:val="36"/>
          <w:szCs w:val="36"/>
          <w:highlight w:val="none"/>
        </w:rPr>
      </w:pPr>
      <w:r>
        <w:rPr>
          <w:rFonts w:hint="eastAsia" w:asciiTheme="minorEastAsia" w:hAnsiTheme="minorEastAsia" w:eastAsiaTheme="minorEastAsia"/>
          <w:color w:val="auto"/>
          <w:sz w:val="36"/>
          <w:szCs w:val="36"/>
          <w:highlight w:val="none"/>
        </w:rPr>
        <w:t>日期：</w:t>
      </w:r>
    </w:p>
    <w:p w14:paraId="35300F7C">
      <w:pPr>
        <w:tabs>
          <w:tab w:val="left" w:pos="900"/>
          <w:tab w:val="left" w:pos="1980"/>
        </w:tabs>
        <w:snapToGrid w:val="0"/>
        <w:spacing w:line="360" w:lineRule="auto"/>
        <w:ind w:left="142"/>
        <w:rPr>
          <w:rFonts w:hint="eastAsia" w:ascii="宋体" w:hAnsi="宋体"/>
          <w:color w:val="auto"/>
          <w:kern w:val="0"/>
          <w:sz w:val="24"/>
          <w:highlight w:val="none"/>
        </w:rPr>
      </w:pPr>
    </w:p>
    <w:p w14:paraId="3C46350F">
      <w:pPr>
        <w:widowControl/>
        <w:jc w:val="left"/>
        <w:rPr>
          <w:rFonts w:ascii="宋体" w:hAnsi="宋体"/>
          <w:color w:val="auto"/>
          <w:sz w:val="24"/>
          <w:highlight w:val="none"/>
        </w:rPr>
      </w:pPr>
      <w:r>
        <w:rPr>
          <w:rFonts w:ascii="宋体" w:hAnsi="宋体"/>
          <w:color w:val="auto"/>
          <w:sz w:val="24"/>
          <w:highlight w:val="none"/>
        </w:rPr>
        <w:br w:type="page"/>
      </w:r>
    </w:p>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14:paraId="6AAF6682">
      <w:pPr>
        <w:keepNext/>
        <w:keepLines/>
        <w:autoSpaceDE w:val="0"/>
        <w:autoSpaceDN w:val="0"/>
        <w:adjustRightInd w:val="0"/>
        <w:spacing w:before="120" w:line="300" w:lineRule="auto"/>
        <w:jc w:val="left"/>
        <w:outlineLvl w:val="1"/>
        <w:rPr>
          <w:rFonts w:ascii="宋体" w:hAnsi="宋体"/>
          <w:b/>
          <w:color w:val="auto"/>
          <w:spacing w:val="20"/>
          <w:sz w:val="24"/>
          <w:highlight w:val="none"/>
        </w:rPr>
      </w:pPr>
      <w:r>
        <w:rPr>
          <w:rFonts w:ascii="宋体" w:hAnsi="宋体"/>
          <w:b/>
          <w:color w:val="auto"/>
          <w:spacing w:val="20"/>
          <w:sz w:val="24"/>
          <w:highlight w:val="none"/>
        </w:rPr>
        <w:t>一、资格证明文件格式</w:t>
      </w:r>
    </w:p>
    <w:p w14:paraId="6022158E">
      <w:pPr>
        <w:widowControl/>
        <w:jc w:val="left"/>
        <w:rPr>
          <w:rFonts w:ascii="宋体" w:hAnsi="宋体"/>
          <w:b/>
          <w:color w:val="auto"/>
          <w:spacing w:val="20"/>
          <w:sz w:val="24"/>
          <w:highlight w:val="none"/>
        </w:rPr>
      </w:pPr>
    </w:p>
    <w:p w14:paraId="3386AB4D">
      <w:pPr>
        <w:rPr>
          <w:rFonts w:ascii="宋体" w:hAnsi="宋体"/>
          <w:b/>
          <w:color w:val="auto"/>
          <w:sz w:val="24"/>
          <w:highlight w:val="none"/>
        </w:rPr>
      </w:pPr>
      <w:r>
        <w:rPr>
          <w:rFonts w:ascii="宋体" w:hAnsi="宋体"/>
          <w:b/>
          <w:color w:val="auto"/>
          <w:spacing w:val="20"/>
          <w:sz w:val="24"/>
          <w:highlight w:val="none"/>
        </w:rPr>
        <w:t>投标文件（资格证明文件）</w:t>
      </w:r>
      <w:r>
        <w:rPr>
          <w:rFonts w:ascii="宋体" w:hAnsi="宋体"/>
          <w:b/>
          <w:color w:val="auto"/>
          <w:sz w:val="24"/>
          <w:highlight w:val="none"/>
        </w:rPr>
        <w:t>封面（非实质性格式）</w:t>
      </w:r>
    </w:p>
    <w:p w14:paraId="7E67D9F5">
      <w:pPr>
        <w:jc w:val="center"/>
        <w:rPr>
          <w:rFonts w:ascii="宋体" w:hAnsi="宋体"/>
          <w:color w:val="auto"/>
          <w:sz w:val="24"/>
          <w:highlight w:val="none"/>
        </w:rPr>
      </w:pPr>
    </w:p>
    <w:p w14:paraId="40626B93">
      <w:pPr>
        <w:jc w:val="center"/>
        <w:rPr>
          <w:rFonts w:ascii="宋体" w:hAnsi="宋体"/>
          <w:b/>
          <w:color w:val="auto"/>
          <w:spacing w:val="60"/>
          <w:sz w:val="24"/>
          <w:highlight w:val="none"/>
        </w:rPr>
      </w:pPr>
      <w:r>
        <w:rPr>
          <w:rFonts w:ascii="宋体" w:hAnsi="宋体"/>
          <w:b/>
          <w:color w:val="auto"/>
          <w:spacing w:val="60"/>
          <w:sz w:val="24"/>
          <w:highlight w:val="none"/>
        </w:rPr>
        <w:t>投 标 文 件</w:t>
      </w:r>
    </w:p>
    <w:p w14:paraId="10586927">
      <w:pPr>
        <w:jc w:val="center"/>
        <w:rPr>
          <w:rFonts w:ascii="宋体" w:hAnsi="宋体"/>
          <w:b/>
          <w:color w:val="auto"/>
          <w:spacing w:val="60"/>
          <w:sz w:val="24"/>
          <w:highlight w:val="none"/>
        </w:rPr>
      </w:pPr>
      <w:r>
        <w:rPr>
          <w:rFonts w:ascii="宋体" w:hAnsi="宋体"/>
          <w:b/>
          <w:color w:val="auto"/>
          <w:spacing w:val="60"/>
          <w:sz w:val="24"/>
          <w:highlight w:val="none"/>
        </w:rPr>
        <w:t>（资格证明文件）</w:t>
      </w:r>
    </w:p>
    <w:p w14:paraId="3385BFD6">
      <w:pPr>
        <w:ind w:firstLine="0" w:firstLineChars="0"/>
        <w:rPr>
          <w:rFonts w:ascii="宋体" w:hAnsi="宋体"/>
          <w:b/>
          <w:color w:val="auto"/>
          <w:spacing w:val="20"/>
          <w:sz w:val="24"/>
          <w:highlight w:val="none"/>
        </w:rPr>
      </w:pPr>
    </w:p>
    <w:p w14:paraId="310E004B">
      <w:pPr>
        <w:ind w:firstLine="0" w:firstLineChars="0"/>
        <w:rPr>
          <w:rFonts w:ascii="宋体" w:hAnsi="宋体"/>
          <w:b/>
          <w:color w:val="auto"/>
          <w:spacing w:val="20"/>
          <w:sz w:val="24"/>
          <w:highlight w:val="none"/>
        </w:rPr>
      </w:pPr>
    </w:p>
    <w:p w14:paraId="2E459AA9">
      <w:pPr>
        <w:rPr>
          <w:color w:val="auto"/>
          <w:highlight w:val="none"/>
        </w:rPr>
      </w:pPr>
    </w:p>
    <w:p w14:paraId="55B2EC9D">
      <w:pPr>
        <w:rPr>
          <w:color w:val="auto"/>
          <w:highlight w:val="none"/>
        </w:rPr>
      </w:pPr>
    </w:p>
    <w:p w14:paraId="48856A49">
      <w:pPr>
        <w:rPr>
          <w:color w:val="auto"/>
          <w:highlight w:val="none"/>
        </w:rPr>
      </w:pPr>
    </w:p>
    <w:p w14:paraId="327EF816">
      <w:pPr>
        <w:rPr>
          <w:color w:val="auto"/>
          <w:highlight w:val="none"/>
        </w:rPr>
      </w:pPr>
    </w:p>
    <w:p w14:paraId="3BC82135">
      <w:pPr>
        <w:rPr>
          <w:color w:val="auto"/>
          <w:highlight w:val="none"/>
        </w:rPr>
      </w:pPr>
    </w:p>
    <w:p w14:paraId="153104B3">
      <w:pPr>
        <w:ind w:firstLine="0" w:firstLineChars="0"/>
        <w:rPr>
          <w:rFonts w:hint="eastAsia" w:ascii="Times New Roman" w:hAnsi="Times New Roman"/>
          <w:b w:val="0"/>
          <w:color w:val="auto"/>
          <w:spacing w:val="0"/>
          <w:sz w:val="21"/>
          <w:highlight w:val="none"/>
        </w:rPr>
      </w:pPr>
    </w:p>
    <w:p w14:paraId="5B744B7C">
      <w:pPr>
        <w:rPr>
          <w:rFonts w:hint="eastAsia" w:asciiTheme="minorEastAsia" w:hAnsiTheme="minorEastAsia" w:eastAsiaTheme="minorEastAsia"/>
          <w:b/>
          <w:bCs/>
          <w:i/>
          <w:color w:val="auto"/>
          <w:sz w:val="24"/>
          <w:szCs w:val="24"/>
          <w:highlight w:val="none"/>
          <w:lang w:eastAsia="zh-CN"/>
        </w:rPr>
      </w:pPr>
      <w:r>
        <w:rPr>
          <w:rFonts w:hint="eastAsia" w:asciiTheme="minorEastAsia" w:hAnsiTheme="minorEastAsia" w:eastAsiaTheme="minorEastAsia"/>
          <w:b/>
          <w:bCs/>
          <w:color w:val="auto"/>
          <w:sz w:val="24"/>
          <w:szCs w:val="24"/>
          <w:highlight w:val="none"/>
        </w:rPr>
        <w:t>项目名称/标的名称</w:t>
      </w:r>
      <w:r>
        <w:rPr>
          <w:rFonts w:hint="eastAsia" w:asciiTheme="minorEastAsia" w:hAnsiTheme="minorEastAsia" w:eastAsiaTheme="minorEastAsia"/>
          <w:b/>
          <w:bCs/>
          <w:i w:val="0"/>
          <w:iCs/>
          <w:color w:val="auto"/>
          <w:sz w:val="24"/>
          <w:szCs w:val="24"/>
          <w:highlight w:val="none"/>
          <w:lang w:eastAsia="zh-CN"/>
        </w:rPr>
        <w:t>：</w:t>
      </w:r>
    </w:p>
    <w:p w14:paraId="018547D7">
      <w:pPr>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项目编号/包号</w:t>
      </w:r>
      <w:r>
        <w:rPr>
          <w:rFonts w:asciiTheme="minorEastAsia" w:hAnsiTheme="minorEastAsia" w:eastAsiaTheme="minorEastAsia"/>
          <w:b/>
          <w:bCs/>
          <w:color w:val="auto"/>
          <w:sz w:val="24"/>
          <w:szCs w:val="24"/>
          <w:highlight w:val="none"/>
        </w:rPr>
        <w:t>：</w:t>
      </w:r>
    </w:p>
    <w:p w14:paraId="2D04FFF3">
      <w:pPr>
        <w:rPr>
          <w:rFonts w:asciiTheme="minorEastAsia" w:hAnsiTheme="minorEastAsia" w:eastAsiaTheme="minorEastAsia"/>
          <w:b/>
          <w:bCs/>
          <w:color w:val="auto"/>
          <w:sz w:val="16"/>
          <w:szCs w:val="16"/>
          <w:highlight w:val="none"/>
        </w:rPr>
      </w:pPr>
      <w:r>
        <w:rPr>
          <w:rFonts w:asciiTheme="minorEastAsia" w:hAnsiTheme="minorEastAsia" w:eastAsiaTheme="minorEastAsia"/>
          <w:b/>
          <w:bCs/>
          <w:color w:val="auto"/>
          <w:sz w:val="24"/>
          <w:szCs w:val="24"/>
          <w:highlight w:val="none"/>
        </w:rPr>
        <w:t>投标人名称</w:t>
      </w:r>
      <w:r>
        <w:rPr>
          <w:rFonts w:asciiTheme="minorEastAsia" w:hAnsiTheme="minorEastAsia" w:eastAsiaTheme="minorEastAsia"/>
          <w:b/>
          <w:bCs/>
          <w:color w:val="auto"/>
          <w:sz w:val="16"/>
          <w:szCs w:val="16"/>
          <w:highlight w:val="none"/>
        </w:rPr>
        <w:t>：</w:t>
      </w:r>
    </w:p>
    <w:p w14:paraId="5ED8A288">
      <w:pPr>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法定代表人或授权代表人（签字或盖章）：</w:t>
      </w:r>
    </w:p>
    <w:p w14:paraId="25F440DC">
      <w:pPr>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日期：</w:t>
      </w:r>
    </w:p>
    <w:p w14:paraId="720C0052">
      <w:pPr>
        <w:jc w:val="center"/>
        <w:rPr>
          <w:rFonts w:ascii="宋体" w:hAnsi="宋体"/>
          <w:b/>
          <w:color w:val="auto"/>
          <w:sz w:val="24"/>
          <w:highlight w:val="none"/>
        </w:rPr>
      </w:pPr>
    </w:p>
    <w:p w14:paraId="6181375D">
      <w:pPr>
        <w:rPr>
          <w:rFonts w:ascii="宋体" w:hAnsi="宋体"/>
          <w:b/>
          <w:color w:val="auto"/>
          <w:sz w:val="24"/>
          <w:highlight w:val="none"/>
        </w:rPr>
      </w:pPr>
      <w:r>
        <w:rPr>
          <w:rFonts w:ascii="宋体" w:hAnsi="宋体"/>
          <w:b/>
          <w:color w:val="auto"/>
          <w:spacing w:val="20"/>
          <w:sz w:val="24"/>
          <w:highlight w:val="none"/>
        </w:rPr>
        <w:br w:type="page"/>
      </w:r>
    </w:p>
    <w:p w14:paraId="4DE69417">
      <w:pPr>
        <w:spacing w:line="360" w:lineRule="auto"/>
        <w:rPr>
          <w:rFonts w:ascii="宋体" w:hAnsi="宋体"/>
          <w:color w:val="auto"/>
          <w:sz w:val="24"/>
          <w:highlight w:val="none"/>
        </w:rPr>
      </w:pPr>
      <w:r>
        <w:rPr>
          <w:rFonts w:ascii="宋体" w:hAnsi="宋体"/>
          <w:color w:val="auto"/>
          <w:sz w:val="24"/>
          <w:highlight w:val="none"/>
        </w:rPr>
        <w:t>1 满足《中华人民共和国政府采购法》第二十二条规定</w:t>
      </w:r>
      <w:r>
        <w:rPr>
          <w:rFonts w:hint="eastAsia" w:ascii="宋体" w:hAnsi="宋体"/>
          <w:color w:val="auto"/>
          <w:sz w:val="24"/>
          <w:highlight w:val="none"/>
        </w:rPr>
        <w:t>；</w:t>
      </w:r>
      <w:r>
        <w:rPr>
          <w:rFonts w:hint="eastAsia" w:ascii="宋体" w:hAnsi="宋体" w:cs="宋体"/>
          <w:color w:val="auto"/>
          <w:sz w:val="24"/>
          <w:highlight w:val="none"/>
          <w:shd w:val="clear" w:color="auto" w:fill="FFFFFF"/>
        </w:rPr>
        <w:t>《中华人民共和国政府采购法实施条例》第十七条规定</w:t>
      </w:r>
      <w:r>
        <w:rPr>
          <w:rFonts w:ascii="宋体" w:hAnsi="宋体"/>
          <w:color w:val="auto"/>
          <w:sz w:val="24"/>
          <w:highlight w:val="none"/>
        </w:rPr>
        <w:t>及法律法规的其他规定</w:t>
      </w:r>
      <w:r>
        <w:rPr>
          <w:rFonts w:hint="eastAsia" w:ascii="宋体" w:hAnsi="宋体"/>
          <w:color w:val="auto"/>
          <w:sz w:val="24"/>
          <w:highlight w:val="none"/>
        </w:rPr>
        <w:t>；</w:t>
      </w:r>
    </w:p>
    <w:p w14:paraId="488F3D83">
      <w:pPr>
        <w:spacing w:line="360" w:lineRule="auto"/>
        <w:outlineLvl w:val="2"/>
        <w:rPr>
          <w:rFonts w:ascii="宋体" w:hAnsi="宋体"/>
          <w:color w:val="auto"/>
          <w:sz w:val="24"/>
          <w:highlight w:val="none"/>
        </w:rPr>
      </w:pPr>
      <w:r>
        <w:rPr>
          <w:rFonts w:ascii="宋体" w:hAnsi="宋体"/>
          <w:color w:val="auto"/>
          <w:sz w:val="24"/>
          <w:highlight w:val="none"/>
        </w:rPr>
        <w:t>1-1营业执照等证明文件</w:t>
      </w:r>
    </w:p>
    <w:p w14:paraId="5D0CA9FA">
      <w:pPr>
        <w:tabs>
          <w:tab w:val="left" w:pos="1080"/>
        </w:tabs>
        <w:snapToGrid w:val="0"/>
        <w:rPr>
          <w:rFonts w:ascii="宋体" w:hAnsi="宋体"/>
          <w:color w:val="auto"/>
          <w:sz w:val="24"/>
          <w:highlight w:val="none"/>
        </w:rPr>
      </w:pPr>
    </w:p>
    <w:p w14:paraId="0A106589">
      <w:pPr>
        <w:widowControl/>
        <w:jc w:val="left"/>
        <w:rPr>
          <w:rFonts w:ascii="宋体" w:hAnsi="宋体"/>
          <w:color w:val="auto"/>
          <w:sz w:val="24"/>
          <w:highlight w:val="none"/>
        </w:rPr>
      </w:pPr>
      <w:r>
        <w:rPr>
          <w:rFonts w:ascii="宋体" w:hAnsi="宋体"/>
          <w:color w:val="auto"/>
          <w:sz w:val="24"/>
          <w:highlight w:val="none"/>
        </w:rPr>
        <w:br w:type="page"/>
      </w:r>
    </w:p>
    <w:p w14:paraId="3FB1E20D">
      <w:pPr>
        <w:pStyle w:val="4"/>
        <w:rPr>
          <w:rFonts w:hAnsi="宋体"/>
          <w:b w:val="0"/>
          <w:bCs/>
          <w:color w:val="auto"/>
          <w:szCs w:val="24"/>
          <w:highlight w:val="none"/>
          <w:u w:val="none"/>
        </w:rPr>
      </w:pPr>
      <w:r>
        <w:rPr>
          <w:rFonts w:hAnsi="宋体"/>
          <w:b w:val="0"/>
          <w:color w:val="auto"/>
          <w:szCs w:val="24"/>
          <w:highlight w:val="none"/>
          <w:u w:val="none"/>
        </w:rPr>
        <w:t>1-2 投标人资格声明书（实质性格式）</w:t>
      </w:r>
    </w:p>
    <w:p w14:paraId="34ABAE34">
      <w:pPr>
        <w:jc w:val="center"/>
        <w:rPr>
          <w:rFonts w:ascii="宋体" w:hAnsi="宋体"/>
          <w:b/>
          <w:color w:val="auto"/>
          <w:sz w:val="24"/>
          <w:highlight w:val="none"/>
        </w:rPr>
      </w:pPr>
      <w:r>
        <w:rPr>
          <w:rFonts w:hint="eastAsia" w:ascii="宋体" w:hAnsi="宋体"/>
          <w:b/>
          <w:color w:val="auto"/>
          <w:sz w:val="24"/>
          <w:highlight w:val="none"/>
        </w:rPr>
        <w:t>投标人资格声明书</w:t>
      </w:r>
    </w:p>
    <w:p w14:paraId="44AF09CA">
      <w:pPr>
        <w:tabs>
          <w:tab w:val="left" w:pos="5580"/>
        </w:tabs>
        <w:spacing w:line="360" w:lineRule="auto"/>
        <w:rPr>
          <w:rFonts w:ascii="宋体" w:hAnsi="宋体"/>
          <w:color w:val="auto"/>
          <w:sz w:val="24"/>
          <w:highlight w:val="none"/>
        </w:rPr>
      </w:pPr>
    </w:p>
    <w:p w14:paraId="2C46A78A">
      <w:pPr>
        <w:tabs>
          <w:tab w:val="left" w:pos="5580"/>
        </w:tabs>
        <w:spacing w:line="360" w:lineRule="auto"/>
        <w:rPr>
          <w:rFonts w:ascii="宋体" w:hAnsi="宋体"/>
          <w:color w:val="auto"/>
          <w:sz w:val="24"/>
          <w:highlight w:val="none"/>
        </w:rPr>
      </w:pPr>
      <w:r>
        <w:rPr>
          <w:rFonts w:ascii="宋体" w:hAnsi="宋体"/>
          <w:color w:val="auto"/>
          <w:sz w:val="24"/>
          <w:highlight w:val="none"/>
        </w:rPr>
        <w:t>致：</w:t>
      </w:r>
      <w:r>
        <w:rPr>
          <w:rFonts w:ascii="宋体" w:hAnsi="宋体"/>
          <w:color w:val="auto"/>
          <w:sz w:val="24"/>
          <w:highlight w:val="none"/>
          <w:u w:val="single"/>
        </w:rPr>
        <w:t>采购人或采购代理机构</w:t>
      </w:r>
    </w:p>
    <w:p w14:paraId="1D06595C">
      <w:pPr>
        <w:spacing w:line="360" w:lineRule="auto"/>
        <w:ind w:firstLine="480" w:firstLineChars="200"/>
        <w:rPr>
          <w:rFonts w:ascii="宋体" w:hAnsi="宋体"/>
          <w:color w:val="auto"/>
          <w:sz w:val="24"/>
          <w:highlight w:val="none"/>
        </w:rPr>
      </w:pPr>
      <w:r>
        <w:rPr>
          <w:rFonts w:ascii="宋体" w:hAnsi="宋体"/>
          <w:color w:val="auto"/>
          <w:sz w:val="24"/>
          <w:highlight w:val="none"/>
        </w:rPr>
        <w:t>在参与本次项目投标中，我单位承诺：</w:t>
      </w:r>
    </w:p>
    <w:p w14:paraId="16FA4884">
      <w:pPr>
        <w:numPr>
          <w:ilvl w:val="0"/>
          <w:numId w:val="31"/>
        </w:numPr>
        <w:spacing w:line="360" w:lineRule="auto"/>
        <w:ind w:left="1134"/>
        <w:rPr>
          <w:rFonts w:ascii="宋体" w:hAnsi="宋体"/>
          <w:color w:val="auto"/>
          <w:sz w:val="24"/>
          <w:highlight w:val="none"/>
        </w:rPr>
      </w:pPr>
      <w:r>
        <w:rPr>
          <w:rFonts w:ascii="宋体" w:hAnsi="宋体"/>
          <w:color w:val="auto"/>
          <w:sz w:val="24"/>
          <w:highlight w:val="none"/>
        </w:rPr>
        <w:t>具有良好的商业信誉和健全的财务会计制度；</w:t>
      </w:r>
    </w:p>
    <w:p w14:paraId="34735B44">
      <w:pPr>
        <w:numPr>
          <w:ilvl w:val="0"/>
          <w:numId w:val="31"/>
        </w:numPr>
        <w:spacing w:line="360" w:lineRule="auto"/>
        <w:ind w:left="1134"/>
        <w:rPr>
          <w:rFonts w:ascii="宋体" w:hAnsi="宋体"/>
          <w:color w:val="auto"/>
          <w:sz w:val="24"/>
          <w:highlight w:val="none"/>
        </w:rPr>
      </w:pPr>
      <w:r>
        <w:rPr>
          <w:rFonts w:ascii="宋体" w:hAnsi="宋体"/>
          <w:color w:val="auto"/>
          <w:sz w:val="24"/>
          <w:highlight w:val="none"/>
        </w:rPr>
        <w:t>具有履行合同所必需的设备和专业技术能力；</w:t>
      </w:r>
    </w:p>
    <w:p w14:paraId="698EADFA">
      <w:pPr>
        <w:numPr>
          <w:ilvl w:val="0"/>
          <w:numId w:val="31"/>
        </w:numPr>
        <w:spacing w:line="360" w:lineRule="auto"/>
        <w:ind w:left="1134"/>
        <w:rPr>
          <w:rFonts w:ascii="宋体" w:hAnsi="宋体"/>
          <w:color w:val="auto"/>
          <w:sz w:val="24"/>
          <w:highlight w:val="none"/>
        </w:rPr>
      </w:pPr>
      <w:r>
        <w:rPr>
          <w:rFonts w:ascii="宋体" w:hAnsi="宋体"/>
          <w:color w:val="auto"/>
          <w:sz w:val="24"/>
          <w:highlight w:val="none"/>
        </w:rPr>
        <w:t>有依法缴纳税收和社会保障资金的良好记录；</w:t>
      </w:r>
    </w:p>
    <w:p w14:paraId="2FA73432">
      <w:pPr>
        <w:numPr>
          <w:ilvl w:val="0"/>
          <w:numId w:val="31"/>
        </w:numPr>
        <w:spacing w:line="360" w:lineRule="auto"/>
        <w:ind w:left="1134"/>
        <w:rPr>
          <w:rFonts w:ascii="宋体" w:hAnsi="宋体"/>
          <w:color w:val="auto"/>
          <w:sz w:val="24"/>
          <w:highlight w:val="none"/>
        </w:rPr>
      </w:pPr>
      <w:r>
        <w:rPr>
          <w:rFonts w:ascii="宋体" w:hAnsi="宋体"/>
          <w:color w:val="auto"/>
          <w:sz w:val="24"/>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012235D">
      <w:pPr>
        <w:numPr>
          <w:ilvl w:val="0"/>
          <w:numId w:val="31"/>
        </w:numPr>
        <w:spacing w:line="360" w:lineRule="auto"/>
        <w:ind w:left="1134"/>
        <w:rPr>
          <w:rFonts w:ascii="宋体" w:hAnsi="宋体"/>
          <w:color w:val="auto"/>
          <w:sz w:val="24"/>
          <w:highlight w:val="none"/>
        </w:rPr>
      </w:pPr>
      <w:r>
        <w:rPr>
          <w:rFonts w:ascii="宋体" w:hAnsi="宋体"/>
          <w:color w:val="auto"/>
          <w:sz w:val="24"/>
          <w:highlight w:val="none"/>
        </w:rPr>
        <w:t>我单位不属于政府采购法律、行政法规规定的公益一类事业单位、或使用事业编制且由财政拨款保障的群团组织（仅适用于政府购买服务项目）；</w:t>
      </w:r>
    </w:p>
    <w:p w14:paraId="1C0A8C5A">
      <w:pPr>
        <w:numPr>
          <w:ilvl w:val="0"/>
          <w:numId w:val="31"/>
        </w:numPr>
        <w:spacing w:line="360" w:lineRule="auto"/>
        <w:ind w:left="1134"/>
        <w:rPr>
          <w:rFonts w:ascii="宋体" w:hAnsi="宋体"/>
          <w:color w:val="auto"/>
          <w:sz w:val="24"/>
          <w:highlight w:val="none"/>
        </w:rPr>
      </w:pPr>
      <w:r>
        <w:rPr>
          <w:rFonts w:ascii="宋体" w:hAnsi="宋体"/>
          <w:color w:val="auto"/>
          <w:sz w:val="24"/>
          <w:highlight w:val="none"/>
        </w:rPr>
        <w:t>我单位不存在为采购项目提供整体设计、规范编制或者项目管理、监理、检测等服务后，再参加该采购项目的其他采购活动的情形（单一来源采购项目除外）；</w:t>
      </w:r>
    </w:p>
    <w:p w14:paraId="30305A47">
      <w:pPr>
        <w:numPr>
          <w:ilvl w:val="0"/>
          <w:numId w:val="31"/>
        </w:numPr>
        <w:spacing w:line="360" w:lineRule="auto"/>
        <w:ind w:left="1134"/>
        <w:rPr>
          <w:rFonts w:ascii="宋体" w:hAnsi="宋体"/>
          <w:color w:val="auto"/>
          <w:sz w:val="24"/>
          <w:highlight w:val="none"/>
        </w:rPr>
      </w:pPr>
      <w:r>
        <w:rPr>
          <w:rFonts w:ascii="宋体" w:hAnsi="宋体"/>
          <w:color w:val="auto"/>
          <w:sz w:val="24"/>
          <w:highlight w:val="none"/>
        </w:rPr>
        <w:t>与我单位存在“单位负责人为同一人或者存在直接控股、管理关系”的其他法人单位信息如下（如有，不论其是否参加同一合同项下的政府采购活动均须填写）：</w:t>
      </w: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08A6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41F6A90">
            <w:pPr>
              <w:jc w:val="center"/>
              <w:rPr>
                <w:rFonts w:ascii="宋体" w:hAnsi="宋体"/>
                <w:color w:val="auto"/>
                <w:sz w:val="24"/>
                <w:highlight w:val="none"/>
              </w:rPr>
            </w:pPr>
            <w:r>
              <w:rPr>
                <w:rFonts w:ascii="宋体" w:hAnsi="宋体"/>
                <w:color w:val="auto"/>
                <w:sz w:val="24"/>
                <w:highlight w:val="none"/>
              </w:rPr>
              <w:t>序号</w:t>
            </w:r>
          </w:p>
        </w:tc>
        <w:tc>
          <w:tcPr>
            <w:tcW w:w="4574" w:type="dxa"/>
            <w:vAlign w:val="center"/>
          </w:tcPr>
          <w:p w14:paraId="43862DEF">
            <w:pPr>
              <w:jc w:val="center"/>
              <w:rPr>
                <w:rFonts w:ascii="宋体" w:hAnsi="宋体"/>
                <w:color w:val="auto"/>
                <w:sz w:val="24"/>
                <w:highlight w:val="none"/>
              </w:rPr>
            </w:pPr>
            <w:r>
              <w:rPr>
                <w:rFonts w:ascii="宋体" w:hAnsi="宋体"/>
                <w:color w:val="auto"/>
                <w:sz w:val="24"/>
                <w:highlight w:val="none"/>
              </w:rPr>
              <w:t>单位名称</w:t>
            </w:r>
          </w:p>
        </w:tc>
        <w:tc>
          <w:tcPr>
            <w:tcW w:w="2976" w:type="dxa"/>
            <w:vAlign w:val="center"/>
          </w:tcPr>
          <w:p w14:paraId="395987AB">
            <w:pPr>
              <w:jc w:val="center"/>
              <w:rPr>
                <w:rFonts w:ascii="宋体" w:hAnsi="宋体"/>
                <w:color w:val="auto"/>
                <w:sz w:val="24"/>
                <w:highlight w:val="none"/>
              </w:rPr>
            </w:pPr>
            <w:r>
              <w:rPr>
                <w:rFonts w:ascii="宋体" w:hAnsi="宋体"/>
                <w:color w:val="auto"/>
                <w:sz w:val="24"/>
                <w:highlight w:val="none"/>
              </w:rPr>
              <w:t>相互关系</w:t>
            </w:r>
          </w:p>
        </w:tc>
      </w:tr>
      <w:tr w14:paraId="0F7B0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F8BED61">
            <w:pPr>
              <w:jc w:val="center"/>
              <w:rPr>
                <w:rFonts w:ascii="宋体" w:hAnsi="宋体"/>
                <w:color w:val="auto"/>
                <w:sz w:val="24"/>
                <w:highlight w:val="none"/>
              </w:rPr>
            </w:pPr>
            <w:r>
              <w:rPr>
                <w:rFonts w:ascii="宋体" w:hAnsi="宋体"/>
                <w:color w:val="auto"/>
                <w:sz w:val="24"/>
                <w:highlight w:val="none"/>
              </w:rPr>
              <w:t>1</w:t>
            </w:r>
          </w:p>
        </w:tc>
        <w:tc>
          <w:tcPr>
            <w:tcW w:w="4574" w:type="dxa"/>
            <w:vAlign w:val="center"/>
          </w:tcPr>
          <w:p w14:paraId="13A9C059">
            <w:pPr>
              <w:jc w:val="center"/>
              <w:rPr>
                <w:rFonts w:ascii="宋体" w:hAnsi="宋体"/>
                <w:color w:val="auto"/>
                <w:sz w:val="24"/>
                <w:highlight w:val="none"/>
              </w:rPr>
            </w:pPr>
          </w:p>
        </w:tc>
        <w:tc>
          <w:tcPr>
            <w:tcW w:w="2976" w:type="dxa"/>
            <w:vAlign w:val="center"/>
          </w:tcPr>
          <w:p w14:paraId="087F9349">
            <w:pPr>
              <w:jc w:val="center"/>
              <w:rPr>
                <w:rFonts w:ascii="宋体" w:hAnsi="宋体"/>
                <w:color w:val="auto"/>
                <w:sz w:val="24"/>
                <w:highlight w:val="none"/>
              </w:rPr>
            </w:pPr>
          </w:p>
        </w:tc>
      </w:tr>
      <w:tr w14:paraId="10F23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E049102">
            <w:pPr>
              <w:jc w:val="center"/>
              <w:rPr>
                <w:rFonts w:ascii="宋体" w:hAnsi="宋体"/>
                <w:color w:val="auto"/>
                <w:sz w:val="24"/>
                <w:highlight w:val="none"/>
              </w:rPr>
            </w:pPr>
            <w:r>
              <w:rPr>
                <w:rFonts w:ascii="宋体" w:hAnsi="宋体"/>
                <w:color w:val="auto"/>
                <w:sz w:val="24"/>
                <w:highlight w:val="none"/>
              </w:rPr>
              <w:t>2</w:t>
            </w:r>
          </w:p>
        </w:tc>
        <w:tc>
          <w:tcPr>
            <w:tcW w:w="4574" w:type="dxa"/>
            <w:vAlign w:val="center"/>
          </w:tcPr>
          <w:p w14:paraId="2C3AFC6E">
            <w:pPr>
              <w:jc w:val="center"/>
              <w:rPr>
                <w:rFonts w:ascii="宋体" w:hAnsi="宋体"/>
                <w:color w:val="auto"/>
                <w:sz w:val="24"/>
                <w:highlight w:val="none"/>
              </w:rPr>
            </w:pPr>
          </w:p>
        </w:tc>
        <w:tc>
          <w:tcPr>
            <w:tcW w:w="2976" w:type="dxa"/>
            <w:vAlign w:val="center"/>
          </w:tcPr>
          <w:p w14:paraId="1B64DB35">
            <w:pPr>
              <w:jc w:val="center"/>
              <w:rPr>
                <w:rFonts w:ascii="宋体" w:hAnsi="宋体"/>
                <w:color w:val="auto"/>
                <w:sz w:val="24"/>
                <w:highlight w:val="none"/>
              </w:rPr>
            </w:pPr>
          </w:p>
        </w:tc>
      </w:tr>
      <w:tr w14:paraId="19DDC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E34F926">
            <w:pPr>
              <w:jc w:val="center"/>
              <w:rPr>
                <w:rFonts w:ascii="宋体" w:hAnsi="宋体"/>
                <w:color w:val="auto"/>
                <w:sz w:val="24"/>
                <w:highlight w:val="none"/>
              </w:rPr>
            </w:pPr>
            <w:r>
              <w:rPr>
                <w:rFonts w:ascii="宋体" w:hAnsi="宋体"/>
                <w:color w:val="auto"/>
                <w:sz w:val="24"/>
                <w:highlight w:val="none"/>
              </w:rPr>
              <w:t>…</w:t>
            </w:r>
          </w:p>
        </w:tc>
        <w:tc>
          <w:tcPr>
            <w:tcW w:w="4574" w:type="dxa"/>
            <w:vAlign w:val="center"/>
          </w:tcPr>
          <w:p w14:paraId="230D4FE3">
            <w:pPr>
              <w:jc w:val="center"/>
              <w:rPr>
                <w:rFonts w:ascii="宋体" w:hAnsi="宋体"/>
                <w:color w:val="auto"/>
                <w:sz w:val="24"/>
                <w:highlight w:val="none"/>
              </w:rPr>
            </w:pPr>
          </w:p>
        </w:tc>
        <w:tc>
          <w:tcPr>
            <w:tcW w:w="2976" w:type="dxa"/>
            <w:vAlign w:val="center"/>
          </w:tcPr>
          <w:p w14:paraId="725F7326">
            <w:pPr>
              <w:jc w:val="center"/>
              <w:rPr>
                <w:rFonts w:ascii="宋体" w:hAnsi="宋体"/>
                <w:color w:val="auto"/>
                <w:sz w:val="24"/>
                <w:highlight w:val="none"/>
              </w:rPr>
            </w:pPr>
          </w:p>
        </w:tc>
      </w:tr>
    </w:tbl>
    <w:p w14:paraId="286283BC">
      <w:pPr>
        <w:rPr>
          <w:rFonts w:ascii="宋体" w:hAnsi="宋体"/>
          <w:color w:val="auto"/>
          <w:sz w:val="24"/>
          <w:highlight w:val="none"/>
        </w:rPr>
      </w:pPr>
    </w:p>
    <w:p w14:paraId="31CEDD23">
      <w:pPr>
        <w:ind w:firstLine="480" w:firstLineChars="200"/>
        <w:rPr>
          <w:rFonts w:ascii="宋体" w:hAnsi="宋体"/>
          <w:color w:val="auto"/>
          <w:sz w:val="24"/>
          <w:highlight w:val="none"/>
        </w:rPr>
      </w:pPr>
      <w:r>
        <w:rPr>
          <w:rFonts w:ascii="宋体" w:hAnsi="宋体"/>
          <w:color w:val="auto"/>
          <w:sz w:val="24"/>
          <w:highlight w:val="none"/>
        </w:rPr>
        <w:t>上述声明真实有效，否则我方负全部责任。</w:t>
      </w:r>
    </w:p>
    <w:p w14:paraId="250FB437">
      <w:pPr>
        <w:spacing w:line="360" w:lineRule="auto"/>
        <w:rPr>
          <w:rFonts w:ascii="宋体" w:hAnsi="宋体"/>
          <w:color w:val="auto"/>
          <w:sz w:val="24"/>
          <w:highlight w:val="none"/>
        </w:rPr>
      </w:pPr>
    </w:p>
    <w:p w14:paraId="617065F3">
      <w:pPr>
        <w:autoSpaceDE w:val="0"/>
        <w:autoSpaceDN w:val="0"/>
        <w:adjustRightInd w:val="0"/>
        <w:snapToGrid w:val="0"/>
        <w:spacing w:before="25" w:after="25" w:line="360" w:lineRule="auto"/>
        <w:jc w:val="right"/>
        <w:rPr>
          <w:rFonts w:ascii="宋体" w:hAnsi="宋体"/>
          <w:color w:val="auto"/>
          <w:sz w:val="24"/>
          <w:highlight w:val="none"/>
          <w:lang w:val="zh-CN"/>
        </w:rPr>
      </w:pPr>
      <w:r>
        <w:rPr>
          <w:rFonts w:ascii="宋体" w:hAnsi="宋体"/>
          <w:color w:val="auto"/>
          <w:sz w:val="24"/>
          <w:highlight w:val="none"/>
        </w:rPr>
        <w:t>投标人名称（加盖公章）</w:t>
      </w:r>
      <w:r>
        <w:rPr>
          <w:rFonts w:ascii="宋体" w:hAnsi="宋体"/>
          <w:color w:val="auto"/>
          <w:sz w:val="24"/>
          <w:highlight w:val="none"/>
          <w:lang w:val="zh-CN"/>
        </w:rPr>
        <w:t>：____________</w:t>
      </w:r>
    </w:p>
    <w:p w14:paraId="72F935D0">
      <w:pPr>
        <w:spacing w:line="360" w:lineRule="auto"/>
        <w:ind w:right="360" w:firstLine="480"/>
        <w:jc w:val="right"/>
        <w:rPr>
          <w:rFonts w:ascii="宋体" w:hAnsi="宋体"/>
          <w:color w:val="auto"/>
          <w:sz w:val="24"/>
          <w:highlight w:val="none"/>
        </w:rPr>
      </w:pPr>
      <w:r>
        <w:rPr>
          <w:rFonts w:ascii="宋体" w:hAnsi="宋体"/>
          <w:color w:val="auto"/>
          <w:sz w:val="24"/>
          <w:highlight w:val="none"/>
        </w:rPr>
        <w:t xml:space="preserve">日期：_____年______月______日   </w:t>
      </w:r>
    </w:p>
    <w:p w14:paraId="0A68739B">
      <w:pPr>
        <w:spacing w:line="360" w:lineRule="auto"/>
        <w:rPr>
          <w:rFonts w:ascii="宋体" w:hAnsi="宋体"/>
          <w:color w:val="auto"/>
          <w:sz w:val="24"/>
          <w:highlight w:val="none"/>
        </w:rPr>
      </w:pPr>
      <w:r>
        <w:rPr>
          <w:rFonts w:ascii="宋体" w:hAnsi="宋体"/>
          <w:color w:val="auto"/>
          <w:sz w:val="24"/>
          <w:highlight w:val="none"/>
        </w:rPr>
        <w:t>说明：</w:t>
      </w:r>
      <w:r>
        <w:rPr>
          <w:rFonts w:hint="eastAsia" w:ascii="宋体" w:hAnsi="宋体"/>
          <w:color w:val="auto"/>
          <w:sz w:val="24"/>
          <w:highlight w:val="none"/>
        </w:rPr>
        <w:t>供应商承诺不实的，依据《政府采购法》第七十七条“提供虚假材料谋取中标、成交的”有关规定予以处理</w:t>
      </w:r>
      <w:r>
        <w:rPr>
          <w:rFonts w:ascii="宋体" w:hAnsi="宋体"/>
          <w:color w:val="auto"/>
          <w:sz w:val="24"/>
          <w:highlight w:val="none"/>
        </w:rPr>
        <w:t>。</w:t>
      </w:r>
    </w:p>
    <w:p w14:paraId="29C0FA40">
      <w:pPr>
        <w:spacing w:line="360" w:lineRule="auto"/>
        <w:outlineLvl w:val="2"/>
        <w:rPr>
          <w:rFonts w:ascii="宋体" w:hAnsi="宋体"/>
          <w:color w:val="auto"/>
          <w:sz w:val="24"/>
          <w:highlight w:val="none"/>
        </w:rPr>
      </w:pPr>
      <w:r>
        <w:rPr>
          <w:rFonts w:ascii="宋体" w:hAnsi="宋体"/>
          <w:color w:val="auto"/>
          <w:sz w:val="24"/>
          <w:highlight w:val="none"/>
        </w:rPr>
        <w:t>2 落实政府采购政策需满足的资格要求</w:t>
      </w:r>
    </w:p>
    <w:p w14:paraId="15914DC0">
      <w:pPr>
        <w:spacing w:line="360" w:lineRule="auto"/>
        <w:outlineLvl w:val="2"/>
        <w:rPr>
          <w:rFonts w:ascii="宋体" w:hAnsi="宋体"/>
          <w:color w:val="auto"/>
          <w:sz w:val="24"/>
          <w:highlight w:val="none"/>
        </w:rPr>
      </w:pPr>
      <w:r>
        <w:rPr>
          <w:rFonts w:ascii="宋体" w:hAnsi="宋体"/>
          <w:color w:val="auto"/>
          <w:sz w:val="24"/>
          <w:highlight w:val="none"/>
        </w:rPr>
        <w:t>2-1中小企业声明函</w:t>
      </w:r>
    </w:p>
    <w:p w14:paraId="2AA8E631">
      <w:pPr>
        <w:tabs>
          <w:tab w:val="left" w:pos="5580"/>
        </w:tabs>
        <w:spacing w:line="360" w:lineRule="auto"/>
        <w:rPr>
          <w:rFonts w:ascii="宋体" w:hAnsi="宋体"/>
          <w:color w:val="auto"/>
          <w:sz w:val="24"/>
          <w:highlight w:val="none"/>
        </w:rPr>
      </w:pPr>
    </w:p>
    <w:p w14:paraId="2250FEEB">
      <w:pPr>
        <w:tabs>
          <w:tab w:val="left" w:pos="5580"/>
        </w:tabs>
        <w:spacing w:line="360" w:lineRule="auto"/>
        <w:rPr>
          <w:rFonts w:ascii="宋体" w:hAnsi="宋体"/>
          <w:color w:val="auto"/>
          <w:sz w:val="24"/>
          <w:highlight w:val="none"/>
        </w:rPr>
      </w:pPr>
      <w:r>
        <w:rPr>
          <w:rFonts w:ascii="宋体" w:hAnsi="宋体"/>
          <w:color w:val="auto"/>
          <w:sz w:val="24"/>
          <w:highlight w:val="none"/>
        </w:rPr>
        <w:t>说明：</w:t>
      </w:r>
    </w:p>
    <w:p w14:paraId="120D4F63">
      <w:pPr>
        <w:tabs>
          <w:tab w:val="left" w:pos="5580"/>
        </w:tabs>
        <w:spacing w:line="360" w:lineRule="auto"/>
        <w:rPr>
          <w:rFonts w:ascii="宋体" w:hAnsi="宋体"/>
          <w:color w:val="auto"/>
          <w:sz w:val="24"/>
          <w:highlight w:val="none"/>
        </w:rPr>
      </w:pPr>
      <w:r>
        <w:rPr>
          <w:rFonts w:ascii="宋体" w:hAnsi="宋体"/>
          <w:color w:val="auto"/>
          <w:sz w:val="24"/>
          <w:highlight w:val="none"/>
        </w:rPr>
        <w:t>（1）如本项目（包）不专门面向中小企业预留采购份额，</w:t>
      </w:r>
      <w:r>
        <w:rPr>
          <w:rFonts w:hint="eastAsia" w:ascii="宋体" w:hAnsi="宋体"/>
          <w:color w:val="auto"/>
          <w:sz w:val="24"/>
          <w:highlight w:val="none"/>
        </w:rPr>
        <w:t>资格证明文件部分</w:t>
      </w:r>
      <w:r>
        <w:rPr>
          <w:rFonts w:ascii="宋体" w:hAnsi="宋体"/>
          <w:color w:val="auto"/>
          <w:sz w:val="24"/>
          <w:highlight w:val="none"/>
        </w:rPr>
        <w:t>无需提供《中小企业声明函》。</w:t>
      </w:r>
    </w:p>
    <w:p w14:paraId="5EADE940">
      <w:pPr>
        <w:tabs>
          <w:tab w:val="left" w:pos="5580"/>
        </w:tabs>
        <w:spacing w:line="360" w:lineRule="auto"/>
        <w:rPr>
          <w:rFonts w:ascii="宋体" w:hAnsi="宋体"/>
          <w:color w:val="auto"/>
          <w:sz w:val="24"/>
          <w:highlight w:val="none"/>
        </w:rPr>
      </w:pPr>
      <w:r>
        <w:rPr>
          <w:rFonts w:ascii="宋体" w:hAnsi="宋体"/>
          <w:color w:val="auto"/>
          <w:sz w:val="24"/>
          <w:highlight w:val="none"/>
        </w:rPr>
        <w:t>（2）如本项目（包）专门面向中小/小微企业采购，须提供《中小企业声明函》（实质性格式）。</w:t>
      </w:r>
    </w:p>
    <w:p w14:paraId="7BB82379">
      <w:pPr>
        <w:tabs>
          <w:tab w:val="left" w:pos="5580"/>
        </w:tabs>
        <w:spacing w:line="360" w:lineRule="auto"/>
        <w:rPr>
          <w:rFonts w:ascii="宋体" w:hAnsi="宋体"/>
          <w:color w:val="auto"/>
          <w:sz w:val="24"/>
          <w:highlight w:val="none"/>
        </w:rPr>
      </w:pPr>
      <w:r>
        <w:rPr>
          <w:rFonts w:ascii="宋体" w:hAnsi="宋体"/>
          <w:color w:val="auto"/>
          <w:sz w:val="24"/>
          <w:highlight w:val="none"/>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5E86524E">
      <w:pPr>
        <w:tabs>
          <w:tab w:val="left" w:pos="5580"/>
        </w:tabs>
        <w:spacing w:line="360" w:lineRule="auto"/>
        <w:rPr>
          <w:rFonts w:ascii="宋体" w:hAnsi="宋体"/>
          <w:color w:val="auto"/>
          <w:sz w:val="24"/>
          <w:highlight w:val="none"/>
        </w:rPr>
      </w:pPr>
      <w:r>
        <w:rPr>
          <w:rFonts w:hint="eastAsia" w:ascii="宋体" w:hAnsi="宋体"/>
          <w:color w:val="auto"/>
          <w:sz w:val="24"/>
          <w:highlight w:val="none"/>
        </w:rPr>
        <w:t>（4）其他</w:t>
      </w:r>
    </w:p>
    <w:p w14:paraId="59D65AA9">
      <w:pPr>
        <w:tabs>
          <w:tab w:val="left" w:pos="5580"/>
        </w:tabs>
        <w:spacing w:line="360" w:lineRule="auto"/>
        <w:rPr>
          <w:rFonts w:ascii="宋体" w:hAnsi="宋体"/>
          <w:color w:val="auto"/>
          <w:sz w:val="24"/>
          <w:highlight w:val="none"/>
        </w:rPr>
      </w:pPr>
      <w:r>
        <w:rPr>
          <w:rFonts w:hint="eastAsia" w:ascii="宋体" w:hAnsi="宋体"/>
          <w:color w:val="auto"/>
          <w:sz w:val="24"/>
          <w:highlight w:val="none"/>
        </w:rPr>
        <w:t>1）中小企业参加政府采购活动，应当出具此格式文件。《中小企业声明函》由参加政府采购活动的投标人出具。联合体投标的，《中小企业声明函》由牵头人出具。</w:t>
      </w:r>
    </w:p>
    <w:p w14:paraId="49D12B15">
      <w:pPr>
        <w:tabs>
          <w:tab w:val="left" w:pos="5580"/>
        </w:tabs>
        <w:spacing w:line="360" w:lineRule="auto"/>
        <w:rPr>
          <w:rFonts w:ascii="宋体" w:hAnsi="宋体"/>
          <w:color w:val="auto"/>
          <w:sz w:val="24"/>
          <w:highlight w:val="none"/>
        </w:rPr>
      </w:pPr>
      <w:r>
        <w:rPr>
          <w:rFonts w:hint="eastAsia" w:ascii="宋体" w:hAnsi="宋体"/>
          <w:color w:val="auto"/>
          <w:sz w:val="24"/>
          <w:highlight w:val="none"/>
        </w:rPr>
        <w:t>2）对于联合体中由中小企业承担的部分，或者分包给中小企业的部分，必须全部由中小企业制造、承建或者承接。供应商应当在声明函“项目名称/标的名称”部分标明联合体中中小企业承担的具体内容或者中小企业的具体分包内容。</w:t>
      </w:r>
    </w:p>
    <w:p w14:paraId="4DD161E2">
      <w:pPr>
        <w:tabs>
          <w:tab w:val="left" w:pos="5580"/>
        </w:tabs>
        <w:spacing w:line="360" w:lineRule="auto"/>
        <w:rPr>
          <w:rFonts w:ascii="宋体" w:hAnsi="宋体"/>
          <w:color w:val="auto"/>
          <w:sz w:val="24"/>
          <w:highlight w:val="none"/>
        </w:rPr>
      </w:pPr>
      <w:r>
        <w:rPr>
          <w:rFonts w:hint="eastAsia" w:ascii="宋体" w:hAnsi="宋体"/>
          <w:color w:val="auto"/>
          <w:sz w:val="24"/>
          <w:highlight w:val="none"/>
        </w:rPr>
        <w:t>3）对于多标的的采购项目，投标人应充分、准确地了解所投产品制造企业信息。对相关情况了解不清楚的，不建议填报本声明函。</w:t>
      </w:r>
    </w:p>
    <w:p w14:paraId="60251CCA">
      <w:pPr>
        <w:tabs>
          <w:tab w:val="left" w:pos="5580"/>
        </w:tabs>
        <w:spacing w:line="360" w:lineRule="auto"/>
        <w:rPr>
          <w:rFonts w:ascii="宋体" w:hAnsi="宋体"/>
          <w:color w:val="auto"/>
          <w:sz w:val="24"/>
          <w:highlight w:val="none"/>
        </w:rPr>
      </w:pPr>
      <w:r>
        <w:rPr>
          <w:rFonts w:hint="eastAsia" w:ascii="宋体" w:hAnsi="宋体"/>
          <w:color w:val="auto"/>
          <w:sz w:val="24"/>
          <w:highlight w:val="none"/>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68BD3BCC">
      <w:pPr>
        <w:widowControl/>
        <w:jc w:val="left"/>
        <w:rPr>
          <w:rFonts w:ascii="宋体" w:hAnsi="宋体"/>
          <w:color w:val="auto"/>
          <w:sz w:val="24"/>
          <w:highlight w:val="none"/>
        </w:rPr>
      </w:pPr>
      <w:r>
        <w:rPr>
          <w:rFonts w:ascii="宋体" w:hAnsi="宋体"/>
          <w:color w:val="auto"/>
          <w:sz w:val="24"/>
          <w:highlight w:val="none"/>
        </w:rPr>
        <w:br w:type="page"/>
      </w:r>
    </w:p>
    <w:p w14:paraId="6353554E">
      <w:pPr>
        <w:spacing w:before="240" w:beforeLines="100" w:after="240" w:afterLines="100" w:line="360" w:lineRule="auto"/>
        <w:ind w:firstLine="2409" w:firstLineChars="1000"/>
        <w:jc w:val="both"/>
        <w:rPr>
          <w:rFonts w:ascii="宋体" w:hAnsi="宋体"/>
          <w:b/>
          <w:bCs/>
          <w:color w:val="auto"/>
          <w:sz w:val="24"/>
          <w:highlight w:val="none"/>
        </w:rPr>
      </w:pPr>
      <w:r>
        <w:rPr>
          <w:rFonts w:hint="eastAsia" w:ascii="宋体" w:hAnsi="宋体"/>
          <w:b/>
          <w:bCs/>
          <w:color w:val="auto"/>
          <w:sz w:val="24"/>
          <w:highlight w:val="none"/>
        </w:rPr>
        <w:t>中小企业声明函（服务）格式</w:t>
      </w:r>
    </w:p>
    <w:p w14:paraId="73FF4DF5">
      <w:pPr>
        <w:spacing w:line="360" w:lineRule="auto"/>
        <w:ind w:firstLine="504"/>
        <w:rPr>
          <w:rFonts w:ascii="宋体" w:hAnsi="宋体"/>
          <w:color w:val="auto"/>
          <w:spacing w:val="6"/>
          <w:sz w:val="24"/>
          <w:highlight w:val="none"/>
        </w:rPr>
      </w:pPr>
      <w:r>
        <w:rPr>
          <w:rFonts w:ascii="宋体" w:hAnsi="宋体"/>
          <w:color w:val="auto"/>
          <w:spacing w:val="6"/>
          <w:sz w:val="24"/>
          <w:highlight w:val="none"/>
        </w:rPr>
        <w:t>本公司（联合体）郑重声明，根据《政府采购促进中小企业发展管理办法》（财库﹝2020﹞46 号）的规定，本公司（联合体）参加</w:t>
      </w:r>
      <w:r>
        <w:rPr>
          <w:rFonts w:ascii="宋体" w:hAnsi="宋体"/>
          <w:color w:val="auto"/>
          <w:spacing w:val="6"/>
          <w:sz w:val="24"/>
          <w:highlight w:val="none"/>
          <w:u w:val="single"/>
        </w:rPr>
        <w:t>（单位名称）</w:t>
      </w:r>
      <w:r>
        <w:rPr>
          <w:rFonts w:ascii="宋体" w:hAnsi="宋体"/>
          <w:color w:val="auto"/>
          <w:spacing w:val="6"/>
          <w:sz w:val="24"/>
          <w:highlight w:val="none"/>
        </w:rPr>
        <w:t>的</w:t>
      </w:r>
      <w:r>
        <w:rPr>
          <w:rFonts w:ascii="宋体" w:hAnsi="宋体"/>
          <w:color w:val="auto"/>
          <w:spacing w:val="6"/>
          <w:sz w:val="24"/>
          <w:highlight w:val="none"/>
          <w:u w:val="single"/>
        </w:rPr>
        <w:t>（</w:t>
      </w:r>
      <w:r>
        <w:rPr>
          <w:rFonts w:hint="eastAsia" w:ascii="宋体" w:hAnsi="宋体"/>
          <w:color w:val="auto"/>
          <w:spacing w:val="6"/>
          <w:sz w:val="24"/>
          <w:highlight w:val="none"/>
          <w:u w:val="single"/>
        </w:rPr>
        <w:t>项目名称/标的名称</w:t>
      </w:r>
      <w:r>
        <w:rPr>
          <w:rFonts w:ascii="宋体" w:hAnsi="宋体"/>
          <w:color w:val="auto"/>
          <w:spacing w:val="6"/>
          <w:sz w:val="24"/>
          <w:highlight w:val="none"/>
          <w:u w:val="single"/>
        </w:rPr>
        <w:t>）</w:t>
      </w:r>
      <w:r>
        <w:rPr>
          <w:rFonts w:ascii="宋体" w:hAnsi="宋体"/>
          <w:color w:val="auto"/>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E35A10D">
      <w:pPr>
        <w:spacing w:line="360" w:lineRule="auto"/>
        <w:ind w:firstLine="504"/>
        <w:rPr>
          <w:rFonts w:ascii="宋体" w:hAnsi="宋体"/>
          <w:color w:val="auto"/>
          <w:spacing w:val="6"/>
          <w:sz w:val="24"/>
          <w:highlight w:val="none"/>
        </w:rPr>
      </w:pPr>
      <w:r>
        <w:rPr>
          <w:rFonts w:ascii="宋体" w:hAnsi="宋体"/>
          <w:color w:val="auto"/>
          <w:spacing w:val="6"/>
          <w:sz w:val="24"/>
          <w:highlight w:val="none"/>
        </w:rPr>
        <w:t>1.</w:t>
      </w:r>
      <w:r>
        <w:rPr>
          <w:rFonts w:ascii="宋体" w:hAnsi="宋体"/>
          <w:color w:val="auto"/>
          <w:spacing w:val="6"/>
          <w:sz w:val="24"/>
          <w:highlight w:val="none"/>
          <w:u w:val="single"/>
        </w:rPr>
        <w:t>（</w:t>
      </w:r>
      <w:r>
        <w:rPr>
          <w:rFonts w:hint="eastAsia" w:ascii="宋体" w:hAnsi="宋体"/>
          <w:color w:val="auto"/>
          <w:spacing w:val="6"/>
          <w:sz w:val="24"/>
          <w:highlight w:val="none"/>
          <w:u w:val="single"/>
          <w:lang w:val="en-US" w:eastAsia="zh-CN"/>
        </w:rPr>
        <w:t>标的</w:t>
      </w:r>
      <w:r>
        <w:rPr>
          <w:rFonts w:ascii="宋体" w:hAnsi="宋体"/>
          <w:color w:val="auto"/>
          <w:spacing w:val="6"/>
          <w:sz w:val="24"/>
          <w:highlight w:val="none"/>
          <w:u w:val="single"/>
        </w:rPr>
        <w:t>名称）</w:t>
      </w:r>
      <w:r>
        <w:rPr>
          <w:rFonts w:ascii="宋体" w:hAnsi="宋体"/>
          <w:color w:val="auto"/>
          <w:spacing w:val="6"/>
          <w:sz w:val="24"/>
          <w:highlight w:val="none"/>
        </w:rPr>
        <w:t>，属于</w:t>
      </w:r>
      <w:r>
        <w:rPr>
          <w:rFonts w:ascii="宋体" w:hAnsi="宋体"/>
          <w:color w:val="auto"/>
          <w:spacing w:val="6"/>
          <w:sz w:val="24"/>
          <w:highlight w:val="none"/>
          <w:u w:val="single"/>
        </w:rPr>
        <w:t>（采购文件中明确的所属行业）</w:t>
      </w:r>
      <w:r>
        <w:rPr>
          <w:rFonts w:ascii="宋体" w:hAnsi="宋体"/>
          <w:color w:val="auto"/>
          <w:spacing w:val="6"/>
          <w:sz w:val="24"/>
          <w:highlight w:val="none"/>
        </w:rPr>
        <w:t>行业；承建（承接）企业为</w:t>
      </w:r>
      <w:r>
        <w:rPr>
          <w:rFonts w:ascii="宋体" w:hAnsi="宋体"/>
          <w:color w:val="auto"/>
          <w:spacing w:val="6"/>
          <w:sz w:val="24"/>
          <w:highlight w:val="none"/>
          <w:u w:val="single"/>
        </w:rPr>
        <w:t>（企业名称）</w:t>
      </w:r>
      <w:r>
        <w:rPr>
          <w:rFonts w:ascii="宋体" w:hAnsi="宋体"/>
          <w:color w:val="auto"/>
          <w:spacing w:val="6"/>
          <w:sz w:val="24"/>
          <w:highlight w:val="none"/>
        </w:rPr>
        <w:t>，从业人员______人，营业收入为______万元，资产总额为______万元</w:t>
      </w:r>
      <w:r>
        <w:rPr>
          <w:rFonts w:ascii="宋体" w:hAnsi="宋体"/>
          <w:color w:val="auto"/>
          <w:spacing w:val="6"/>
          <w:sz w:val="24"/>
          <w:highlight w:val="none"/>
          <w:vertAlign w:val="superscript"/>
        </w:rPr>
        <w:t>1</w:t>
      </w:r>
      <w:r>
        <w:rPr>
          <w:rFonts w:ascii="宋体" w:hAnsi="宋体"/>
          <w:color w:val="auto"/>
          <w:spacing w:val="6"/>
          <w:sz w:val="24"/>
          <w:highlight w:val="none"/>
        </w:rPr>
        <w:t>，属于（中型企业、小型企业、微型企业）；</w:t>
      </w:r>
    </w:p>
    <w:p w14:paraId="05022820">
      <w:pPr>
        <w:spacing w:line="360" w:lineRule="auto"/>
        <w:ind w:firstLine="504"/>
        <w:rPr>
          <w:rFonts w:ascii="宋体" w:hAnsi="宋体"/>
          <w:color w:val="auto"/>
          <w:spacing w:val="6"/>
          <w:sz w:val="24"/>
          <w:highlight w:val="none"/>
        </w:rPr>
      </w:pPr>
      <w:r>
        <w:rPr>
          <w:rFonts w:ascii="宋体" w:hAnsi="宋体"/>
          <w:color w:val="auto"/>
          <w:spacing w:val="6"/>
          <w:sz w:val="24"/>
          <w:highlight w:val="none"/>
        </w:rPr>
        <w:t>2.</w:t>
      </w:r>
      <w:r>
        <w:rPr>
          <w:rFonts w:ascii="宋体" w:hAnsi="宋体"/>
          <w:color w:val="auto"/>
          <w:spacing w:val="6"/>
          <w:sz w:val="24"/>
          <w:highlight w:val="none"/>
          <w:u w:val="single"/>
        </w:rPr>
        <w:t>（</w:t>
      </w:r>
      <w:r>
        <w:rPr>
          <w:rFonts w:hint="eastAsia" w:ascii="宋体" w:hAnsi="宋体"/>
          <w:color w:val="auto"/>
          <w:spacing w:val="6"/>
          <w:sz w:val="24"/>
          <w:highlight w:val="none"/>
          <w:u w:val="single"/>
          <w:lang w:val="en-US" w:eastAsia="zh-CN"/>
        </w:rPr>
        <w:t>标的</w:t>
      </w:r>
      <w:r>
        <w:rPr>
          <w:rFonts w:ascii="宋体" w:hAnsi="宋体"/>
          <w:color w:val="auto"/>
          <w:spacing w:val="6"/>
          <w:sz w:val="24"/>
          <w:highlight w:val="none"/>
          <w:u w:val="single"/>
        </w:rPr>
        <w:t>名称）</w:t>
      </w:r>
      <w:r>
        <w:rPr>
          <w:rFonts w:ascii="宋体" w:hAnsi="宋体"/>
          <w:color w:val="auto"/>
          <w:spacing w:val="6"/>
          <w:sz w:val="24"/>
          <w:highlight w:val="none"/>
        </w:rPr>
        <w:t>，属于</w:t>
      </w:r>
      <w:r>
        <w:rPr>
          <w:rFonts w:ascii="宋体" w:hAnsi="宋体"/>
          <w:color w:val="auto"/>
          <w:spacing w:val="6"/>
          <w:sz w:val="24"/>
          <w:highlight w:val="none"/>
          <w:u w:val="single"/>
        </w:rPr>
        <w:t>（采购文件中明确的所属行业）</w:t>
      </w:r>
      <w:r>
        <w:rPr>
          <w:rFonts w:ascii="宋体" w:hAnsi="宋体"/>
          <w:color w:val="auto"/>
          <w:spacing w:val="6"/>
          <w:sz w:val="24"/>
          <w:highlight w:val="none"/>
        </w:rPr>
        <w:t>行业；承建（承接）企业为</w:t>
      </w:r>
      <w:r>
        <w:rPr>
          <w:rFonts w:ascii="宋体" w:hAnsi="宋体"/>
          <w:color w:val="auto"/>
          <w:spacing w:val="6"/>
          <w:sz w:val="24"/>
          <w:highlight w:val="none"/>
          <w:u w:val="single"/>
        </w:rPr>
        <w:t>（企业名称）</w:t>
      </w:r>
      <w:r>
        <w:rPr>
          <w:rFonts w:ascii="宋体" w:hAnsi="宋体"/>
          <w:color w:val="auto"/>
          <w:spacing w:val="6"/>
          <w:sz w:val="24"/>
          <w:highlight w:val="none"/>
        </w:rPr>
        <w:t>，从业人员______人，营业收入为______万元，资产总额为______万元，属于</w:t>
      </w:r>
      <w:r>
        <w:rPr>
          <w:rFonts w:ascii="宋体" w:hAnsi="宋体"/>
          <w:color w:val="auto"/>
          <w:spacing w:val="6"/>
          <w:sz w:val="24"/>
          <w:highlight w:val="none"/>
          <w:u w:val="single"/>
        </w:rPr>
        <w:t>（中型企业、小型企业、微型企业）</w:t>
      </w:r>
      <w:r>
        <w:rPr>
          <w:rFonts w:ascii="宋体" w:hAnsi="宋体"/>
          <w:color w:val="auto"/>
          <w:spacing w:val="6"/>
          <w:sz w:val="24"/>
          <w:highlight w:val="none"/>
        </w:rPr>
        <w:t>；</w:t>
      </w:r>
    </w:p>
    <w:p w14:paraId="748FECD5">
      <w:pPr>
        <w:spacing w:line="360" w:lineRule="auto"/>
        <w:ind w:firstLine="504"/>
        <w:rPr>
          <w:rFonts w:ascii="宋体" w:hAnsi="宋体"/>
          <w:color w:val="auto"/>
          <w:spacing w:val="6"/>
          <w:sz w:val="24"/>
          <w:highlight w:val="none"/>
        </w:rPr>
      </w:pPr>
    </w:p>
    <w:p w14:paraId="5C7570F8">
      <w:pPr>
        <w:spacing w:line="360" w:lineRule="auto"/>
        <w:ind w:firstLine="504"/>
        <w:rPr>
          <w:rFonts w:ascii="宋体" w:hAnsi="宋体"/>
          <w:color w:val="auto"/>
          <w:spacing w:val="6"/>
          <w:sz w:val="24"/>
          <w:highlight w:val="none"/>
        </w:rPr>
      </w:pPr>
      <w:r>
        <w:rPr>
          <w:rFonts w:ascii="宋体" w:hAnsi="宋体"/>
          <w:color w:val="auto"/>
          <w:spacing w:val="6"/>
          <w:sz w:val="24"/>
          <w:highlight w:val="none"/>
        </w:rPr>
        <w:t>……</w:t>
      </w:r>
    </w:p>
    <w:p w14:paraId="3B7E3425">
      <w:pPr>
        <w:spacing w:line="360" w:lineRule="auto"/>
        <w:ind w:firstLine="504"/>
        <w:rPr>
          <w:rFonts w:ascii="宋体" w:hAnsi="宋体"/>
          <w:color w:val="auto"/>
          <w:spacing w:val="6"/>
          <w:sz w:val="24"/>
          <w:highlight w:val="none"/>
        </w:rPr>
      </w:pPr>
      <w:r>
        <w:rPr>
          <w:rFonts w:ascii="宋体" w:hAnsi="宋体"/>
          <w:color w:val="auto"/>
          <w:spacing w:val="6"/>
          <w:sz w:val="24"/>
          <w:highlight w:val="none"/>
        </w:rPr>
        <w:t>以上企业，不属于大企业的分支机构，不存在控股股东为大企业的情形，也不存在与大企业的负责人为同一人的情形。</w:t>
      </w:r>
    </w:p>
    <w:p w14:paraId="7553A037">
      <w:pPr>
        <w:spacing w:line="360" w:lineRule="auto"/>
        <w:ind w:firstLine="504"/>
        <w:rPr>
          <w:rFonts w:ascii="宋体" w:hAnsi="宋体"/>
          <w:color w:val="auto"/>
          <w:spacing w:val="6"/>
          <w:sz w:val="24"/>
          <w:highlight w:val="none"/>
        </w:rPr>
      </w:pPr>
      <w:r>
        <w:rPr>
          <w:rFonts w:ascii="宋体" w:hAnsi="宋体"/>
          <w:color w:val="auto"/>
          <w:spacing w:val="6"/>
          <w:sz w:val="24"/>
          <w:highlight w:val="none"/>
        </w:rPr>
        <w:t>本企业对上述声明内容的真实性负责。如有虚假，将依法承担相应责任。</w:t>
      </w:r>
    </w:p>
    <w:p w14:paraId="2CDA4E1D">
      <w:pPr>
        <w:spacing w:line="360" w:lineRule="auto"/>
        <w:ind w:right="360" w:firstLine="480"/>
        <w:jc w:val="right"/>
        <w:rPr>
          <w:rFonts w:ascii="宋体" w:hAnsi="宋体"/>
          <w:color w:val="auto"/>
          <w:sz w:val="24"/>
          <w:highlight w:val="none"/>
        </w:rPr>
      </w:pPr>
    </w:p>
    <w:p w14:paraId="464765D9">
      <w:pPr>
        <w:spacing w:line="360" w:lineRule="auto"/>
        <w:ind w:right="360" w:firstLine="480"/>
        <w:jc w:val="right"/>
        <w:rPr>
          <w:rFonts w:ascii="宋体" w:hAnsi="宋体"/>
          <w:color w:val="auto"/>
          <w:sz w:val="24"/>
          <w:highlight w:val="none"/>
        </w:rPr>
      </w:pPr>
      <w:r>
        <w:rPr>
          <w:rFonts w:ascii="宋体" w:hAnsi="宋体"/>
          <w:color w:val="auto"/>
          <w:sz w:val="24"/>
          <w:highlight w:val="none"/>
        </w:rPr>
        <w:t>企业名称（盖章）：________</w:t>
      </w:r>
    </w:p>
    <w:p w14:paraId="2FA3ACB4">
      <w:pPr>
        <w:spacing w:line="360" w:lineRule="auto"/>
        <w:ind w:right="360" w:firstLine="480"/>
        <w:jc w:val="right"/>
        <w:rPr>
          <w:rFonts w:ascii="宋体" w:hAnsi="宋体"/>
          <w:color w:val="auto"/>
          <w:sz w:val="24"/>
          <w:highlight w:val="none"/>
        </w:rPr>
      </w:pPr>
      <w:r>
        <w:rPr>
          <w:rFonts w:ascii="宋体" w:hAnsi="宋体"/>
          <w:color w:val="auto"/>
          <w:sz w:val="24"/>
          <w:highlight w:val="none"/>
        </w:rPr>
        <w:t>日 期：________</w:t>
      </w:r>
    </w:p>
    <w:p w14:paraId="2754E737">
      <w:pPr>
        <w:adjustRightInd w:val="0"/>
        <w:snapToGrid w:val="0"/>
        <w:jc w:val="left"/>
        <w:rPr>
          <w:rFonts w:ascii="宋体" w:hAnsi="宋体"/>
          <w:color w:val="auto"/>
          <w:sz w:val="24"/>
          <w:highlight w:val="none"/>
        </w:rPr>
      </w:pPr>
    </w:p>
    <w:p w14:paraId="45625C49">
      <w:pPr>
        <w:adjustRightInd w:val="0"/>
        <w:snapToGrid w:val="0"/>
        <w:jc w:val="left"/>
        <w:rPr>
          <w:rFonts w:ascii="宋体" w:hAnsi="宋体"/>
          <w:color w:val="auto"/>
          <w:sz w:val="24"/>
          <w:highlight w:val="none"/>
        </w:rPr>
      </w:pPr>
    </w:p>
    <w:tbl>
      <w:tblPr>
        <w:tblStyle w:val="4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B863C2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D025BD5">
            <w:pPr>
              <w:adjustRightInd w:val="0"/>
              <w:snapToGrid w:val="0"/>
              <w:jc w:val="left"/>
              <w:rPr>
                <w:rFonts w:ascii="宋体" w:hAnsi="宋体"/>
                <w:color w:val="auto"/>
                <w:sz w:val="24"/>
                <w:highlight w:val="none"/>
              </w:rPr>
            </w:pPr>
            <w:r>
              <w:rPr>
                <w:rFonts w:ascii="宋体" w:hAnsi="宋体"/>
                <w:color w:val="auto"/>
                <w:sz w:val="24"/>
                <w:highlight w:val="none"/>
                <w:vertAlign w:val="superscript"/>
              </w:rPr>
              <w:t>1</w:t>
            </w:r>
            <w:r>
              <w:rPr>
                <w:rFonts w:ascii="宋体" w:hAnsi="宋体"/>
                <w:color w:val="auto"/>
                <w:sz w:val="24"/>
                <w:highlight w:val="none"/>
              </w:rPr>
              <w:t>从业人员、营业收入、资产总额填报上一年度数据，无上一年度数据的新成立企业可不填报。</w:t>
            </w:r>
          </w:p>
        </w:tc>
      </w:tr>
    </w:tbl>
    <w:p w14:paraId="59981FB3">
      <w:pPr>
        <w:adjustRightInd w:val="0"/>
        <w:snapToGrid w:val="0"/>
        <w:jc w:val="left"/>
        <w:rPr>
          <w:rFonts w:ascii="宋体" w:hAnsi="宋体"/>
          <w:color w:val="auto"/>
          <w:sz w:val="24"/>
          <w:highlight w:val="none"/>
          <w:vertAlign w:val="superscript"/>
        </w:rPr>
      </w:pPr>
    </w:p>
    <w:p w14:paraId="6EEA6648">
      <w:pPr>
        <w:spacing w:line="360" w:lineRule="auto"/>
        <w:ind w:right="360" w:firstLine="480"/>
        <w:jc w:val="right"/>
        <w:rPr>
          <w:rFonts w:ascii="宋体" w:hAnsi="宋体"/>
          <w:color w:val="auto"/>
          <w:sz w:val="24"/>
          <w:highlight w:val="none"/>
        </w:rPr>
      </w:pPr>
    </w:p>
    <w:p w14:paraId="2FBEC2B1">
      <w:pPr>
        <w:spacing w:line="360" w:lineRule="auto"/>
        <w:ind w:right="360" w:firstLine="480"/>
        <w:jc w:val="right"/>
        <w:rPr>
          <w:rFonts w:ascii="宋体" w:hAnsi="宋体"/>
          <w:color w:val="auto"/>
          <w:sz w:val="24"/>
          <w:highlight w:val="none"/>
        </w:rPr>
      </w:pPr>
    </w:p>
    <w:p w14:paraId="727AA61D">
      <w:pPr>
        <w:spacing w:line="360" w:lineRule="auto"/>
        <w:outlineLvl w:val="9"/>
        <w:rPr>
          <w:rFonts w:ascii="宋体" w:hAnsi="宋体"/>
          <w:color w:val="auto"/>
          <w:sz w:val="24"/>
          <w:highlight w:val="none"/>
        </w:rPr>
      </w:pPr>
      <w:r>
        <w:rPr>
          <w:rFonts w:ascii="宋体" w:hAnsi="宋体"/>
          <w:color w:val="auto"/>
          <w:sz w:val="24"/>
          <w:highlight w:val="none"/>
        </w:rPr>
        <w:br w:type="page"/>
      </w:r>
    </w:p>
    <w:p w14:paraId="27C342AF">
      <w:pPr>
        <w:spacing w:before="240" w:beforeLines="100" w:after="240" w:afterLines="100" w:line="360" w:lineRule="auto"/>
        <w:jc w:val="center"/>
        <w:rPr>
          <w:rFonts w:ascii="宋体" w:hAnsi="宋体"/>
          <w:b/>
          <w:color w:val="auto"/>
          <w:sz w:val="24"/>
          <w:highlight w:val="none"/>
        </w:rPr>
      </w:pPr>
      <w:r>
        <w:rPr>
          <w:rFonts w:hint="eastAsia" w:ascii="宋体" w:hAnsi="宋体"/>
          <w:b/>
          <w:bCs/>
          <w:color w:val="auto"/>
          <w:sz w:val="24"/>
          <w:highlight w:val="none"/>
        </w:rPr>
        <w:t>残疾人福利性单位声明函格式</w:t>
      </w:r>
      <w:r>
        <w:rPr>
          <w:rFonts w:ascii="宋体" w:hAnsi="宋体"/>
          <w:b/>
          <w:color w:val="auto"/>
          <w:sz w:val="24"/>
          <w:highlight w:val="none"/>
        </w:rPr>
        <w:t xml:space="preserve">       </w:t>
      </w:r>
    </w:p>
    <w:p w14:paraId="67A48E7A">
      <w:pPr>
        <w:spacing w:line="588" w:lineRule="exact"/>
        <w:ind w:firstLine="504"/>
        <w:rPr>
          <w:rFonts w:ascii="宋体" w:hAnsi="宋体"/>
          <w:color w:val="auto"/>
          <w:spacing w:val="6"/>
          <w:sz w:val="24"/>
          <w:highlight w:val="none"/>
        </w:rPr>
      </w:pPr>
      <w:r>
        <w:rPr>
          <w:rFonts w:ascii="宋体" w:hAnsi="宋体"/>
          <w:color w:val="auto"/>
          <w:spacing w:val="6"/>
          <w:sz w:val="24"/>
          <w:highlight w:val="none"/>
        </w:rPr>
        <w:t>本单位郑重声明，根据《财政部 民政部 中国残疾人联合会关于促进残疾人就业政府采购政策的通知》（财库</w:t>
      </w:r>
      <w:r>
        <w:rPr>
          <w:rFonts w:ascii="宋体" w:hAnsi="宋体"/>
          <w:color w:val="auto"/>
          <w:sz w:val="24"/>
          <w:highlight w:val="none"/>
        </w:rPr>
        <w:t>〔2017〕 141</w:t>
      </w:r>
      <w:r>
        <w:rPr>
          <w:rFonts w:ascii="宋体" w:hAnsi="宋体"/>
          <w:color w:val="auto"/>
          <w:spacing w:val="6"/>
          <w:sz w:val="24"/>
          <w:highlight w:val="none"/>
        </w:rPr>
        <w:t>号）的规定，本单位</w:t>
      </w:r>
      <w:r>
        <w:rPr>
          <w:rFonts w:ascii="宋体" w:hAnsi="宋体"/>
          <w:b/>
          <w:color w:val="auto"/>
          <w:sz w:val="24"/>
          <w:highlight w:val="none"/>
        </w:rPr>
        <w:t>（请进行勾选）</w:t>
      </w:r>
      <w:r>
        <w:rPr>
          <w:rFonts w:ascii="宋体" w:hAnsi="宋体"/>
          <w:color w:val="auto"/>
          <w:spacing w:val="6"/>
          <w:sz w:val="24"/>
          <w:highlight w:val="none"/>
        </w:rPr>
        <w:t>：</w:t>
      </w:r>
    </w:p>
    <w:p w14:paraId="5F98C688">
      <w:pPr>
        <w:spacing w:line="588" w:lineRule="exact"/>
        <w:ind w:firstLine="482"/>
        <w:rPr>
          <w:rFonts w:ascii="宋体" w:hAnsi="宋体"/>
          <w:b/>
          <w:color w:val="auto"/>
          <w:spacing w:val="6"/>
          <w:sz w:val="24"/>
          <w:highlight w:val="none"/>
        </w:rPr>
      </w:pPr>
      <w:r>
        <w:rPr>
          <w:rFonts w:ascii="宋体" w:hAnsi="宋体"/>
          <w:b/>
          <w:color w:val="auto"/>
          <w:sz w:val="24"/>
          <w:highlight w:val="none"/>
        </w:rPr>
        <w:t>□</w:t>
      </w:r>
      <w:r>
        <w:rPr>
          <w:rFonts w:ascii="宋体" w:hAnsi="宋体"/>
          <w:b/>
          <w:color w:val="auto"/>
          <w:spacing w:val="6"/>
          <w:sz w:val="24"/>
          <w:highlight w:val="none"/>
        </w:rPr>
        <w:t>不属于符合条件的残疾人福利性单位。</w:t>
      </w:r>
    </w:p>
    <w:p w14:paraId="231E618A">
      <w:pPr>
        <w:spacing w:line="588" w:lineRule="exact"/>
        <w:ind w:firstLine="482"/>
        <w:rPr>
          <w:rFonts w:ascii="宋体" w:hAnsi="宋体"/>
          <w:color w:val="auto"/>
          <w:spacing w:val="6"/>
          <w:sz w:val="24"/>
          <w:highlight w:val="none"/>
        </w:rPr>
      </w:pPr>
      <w:r>
        <w:rPr>
          <w:rFonts w:ascii="宋体" w:hAnsi="宋体"/>
          <w:b/>
          <w:color w:val="auto"/>
          <w:sz w:val="24"/>
          <w:highlight w:val="none"/>
        </w:rPr>
        <w:t>□</w:t>
      </w:r>
      <w:r>
        <w:rPr>
          <w:rFonts w:ascii="宋体" w:hAnsi="宋体"/>
          <w:b/>
          <w:color w:val="auto"/>
          <w:spacing w:val="6"/>
          <w:sz w:val="24"/>
          <w:highlight w:val="none"/>
        </w:rPr>
        <w:t>属于符合条件的残疾人福利性单位，</w:t>
      </w:r>
      <w:r>
        <w:rPr>
          <w:rFonts w:ascii="宋体" w:hAnsi="宋体"/>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71CA3A8A">
      <w:pPr>
        <w:spacing w:line="588" w:lineRule="exact"/>
        <w:ind w:firstLine="506" w:firstLineChars="200"/>
        <w:rPr>
          <w:rFonts w:ascii="宋体" w:hAnsi="宋体"/>
          <w:color w:val="auto"/>
          <w:spacing w:val="6"/>
          <w:sz w:val="24"/>
          <w:highlight w:val="none"/>
        </w:rPr>
      </w:pPr>
      <w:r>
        <w:rPr>
          <w:rFonts w:ascii="宋体" w:hAnsi="宋体"/>
          <w:b/>
          <w:color w:val="auto"/>
          <w:spacing w:val="6"/>
          <w:sz w:val="24"/>
          <w:highlight w:val="none"/>
        </w:rPr>
        <w:t>本单位对上述声明的真实性负责。如有虚假，将依法承担相应责任。</w:t>
      </w:r>
    </w:p>
    <w:p w14:paraId="04DC9B33">
      <w:pPr>
        <w:spacing w:line="588" w:lineRule="exact"/>
        <w:ind w:firstLine="504" w:firstLineChars="200"/>
        <w:rPr>
          <w:rFonts w:ascii="宋体" w:hAnsi="宋体"/>
          <w:color w:val="auto"/>
          <w:spacing w:val="6"/>
          <w:sz w:val="24"/>
          <w:highlight w:val="none"/>
        </w:rPr>
      </w:pPr>
    </w:p>
    <w:p w14:paraId="76F400A3">
      <w:pPr>
        <w:spacing w:line="588" w:lineRule="exact"/>
        <w:ind w:firstLine="504" w:firstLineChars="200"/>
        <w:rPr>
          <w:rFonts w:ascii="宋体" w:hAnsi="宋体"/>
          <w:color w:val="auto"/>
          <w:spacing w:val="6"/>
          <w:sz w:val="24"/>
          <w:highlight w:val="none"/>
        </w:rPr>
      </w:pPr>
    </w:p>
    <w:p w14:paraId="4C8C8B08">
      <w:pPr>
        <w:tabs>
          <w:tab w:val="left" w:pos="4860"/>
        </w:tabs>
        <w:spacing w:line="588" w:lineRule="exact"/>
        <w:ind w:right="1560" w:firstLine="504" w:firstLineChars="200"/>
        <w:jc w:val="center"/>
        <w:rPr>
          <w:rFonts w:ascii="宋体" w:hAnsi="宋体"/>
          <w:color w:val="auto"/>
          <w:spacing w:val="6"/>
          <w:sz w:val="24"/>
          <w:highlight w:val="none"/>
        </w:rPr>
      </w:pPr>
      <w:r>
        <w:rPr>
          <w:rFonts w:ascii="宋体" w:hAnsi="宋体"/>
          <w:color w:val="auto"/>
          <w:spacing w:val="6"/>
          <w:sz w:val="24"/>
          <w:highlight w:val="none"/>
        </w:rPr>
        <w:t xml:space="preserve">               单位名称（盖章）：</w:t>
      </w:r>
    </w:p>
    <w:p w14:paraId="66FD8BE5">
      <w:pPr>
        <w:tabs>
          <w:tab w:val="left" w:pos="4860"/>
        </w:tabs>
        <w:spacing w:line="588" w:lineRule="exact"/>
        <w:ind w:right="1560" w:firstLine="504" w:firstLineChars="200"/>
        <w:jc w:val="center"/>
        <w:rPr>
          <w:rFonts w:ascii="宋体" w:hAnsi="宋体"/>
          <w:color w:val="auto"/>
          <w:spacing w:val="6"/>
          <w:sz w:val="24"/>
          <w:highlight w:val="none"/>
        </w:rPr>
      </w:pPr>
      <w:r>
        <w:rPr>
          <w:rFonts w:ascii="宋体" w:hAnsi="宋体"/>
          <w:color w:val="auto"/>
          <w:spacing w:val="6"/>
          <w:sz w:val="24"/>
          <w:highlight w:val="none"/>
        </w:rPr>
        <w:t xml:space="preserve">       日  期：</w:t>
      </w:r>
    </w:p>
    <w:p w14:paraId="6EC269DF">
      <w:pPr>
        <w:widowControl/>
        <w:jc w:val="left"/>
        <w:rPr>
          <w:rFonts w:ascii="宋体" w:hAnsi="宋体"/>
          <w:color w:val="auto"/>
          <w:sz w:val="24"/>
          <w:highlight w:val="none"/>
        </w:rPr>
      </w:pPr>
      <w:r>
        <w:rPr>
          <w:rFonts w:ascii="宋体" w:hAnsi="宋体"/>
          <w:color w:val="auto"/>
          <w:sz w:val="24"/>
          <w:highlight w:val="none"/>
        </w:rPr>
        <w:br w:type="page"/>
      </w:r>
    </w:p>
    <w:p w14:paraId="0959FECC">
      <w:pPr>
        <w:spacing w:line="360" w:lineRule="auto"/>
        <w:outlineLvl w:val="2"/>
        <w:rPr>
          <w:rFonts w:ascii="宋体" w:hAnsi="宋体"/>
          <w:color w:val="auto"/>
          <w:sz w:val="24"/>
          <w:highlight w:val="none"/>
        </w:rPr>
      </w:pPr>
      <w:r>
        <w:rPr>
          <w:rFonts w:ascii="宋体" w:hAnsi="宋体"/>
          <w:color w:val="auto"/>
          <w:sz w:val="24"/>
          <w:highlight w:val="none"/>
        </w:rPr>
        <w:t>2-2拟分包情况说明及分包意向协议（类型一）（实质性格式）</w:t>
      </w:r>
      <w:r>
        <w:rPr>
          <w:rFonts w:hint="eastAsia" w:ascii="宋体" w:hAnsi="宋体"/>
          <w:color w:val="auto"/>
          <w:sz w:val="24"/>
          <w:highlight w:val="none"/>
        </w:rPr>
        <w:t>（本项目不适用）</w:t>
      </w:r>
    </w:p>
    <w:p w14:paraId="4FCF9264">
      <w:pPr>
        <w:autoSpaceDE w:val="0"/>
        <w:autoSpaceDN w:val="0"/>
        <w:adjustRightInd w:val="0"/>
        <w:jc w:val="center"/>
        <w:rPr>
          <w:rFonts w:ascii="宋体" w:hAnsi="宋体"/>
          <w:color w:val="auto"/>
          <w:sz w:val="24"/>
          <w:highlight w:val="none"/>
        </w:rPr>
      </w:pPr>
    </w:p>
    <w:p w14:paraId="69F908A5">
      <w:pPr>
        <w:autoSpaceDE w:val="0"/>
        <w:autoSpaceDN w:val="0"/>
        <w:adjustRightInd w:val="0"/>
        <w:spacing w:line="360" w:lineRule="auto"/>
        <w:jc w:val="center"/>
        <w:rPr>
          <w:rFonts w:ascii="宋体" w:hAnsi="宋体"/>
          <w:b/>
          <w:color w:val="auto"/>
          <w:sz w:val="24"/>
          <w:highlight w:val="none"/>
        </w:rPr>
      </w:pPr>
      <w:r>
        <w:rPr>
          <w:rFonts w:hint="eastAsia" w:ascii="宋体" w:hAnsi="宋体"/>
          <w:b/>
          <w:color w:val="auto"/>
          <w:sz w:val="24"/>
          <w:highlight w:val="none"/>
        </w:rPr>
        <w:t>拟分包情况说明</w:t>
      </w:r>
    </w:p>
    <w:p w14:paraId="7E0BACDB">
      <w:pPr>
        <w:tabs>
          <w:tab w:val="left" w:pos="5580"/>
        </w:tabs>
        <w:spacing w:line="360" w:lineRule="auto"/>
        <w:rPr>
          <w:rFonts w:ascii="宋体" w:hAnsi="宋体"/>
          <w:color w:val="auto"/>
          <w:sz w:val="24"/>
          <w:highlight w:val="none"/>
        </w:rPr>
      </w:pPr>
      <w:r>
        <w:rPr>
          <w:rFonts w:ascii="宋体" w:hAnsi="宋体"/>
          <w:color w:val="auto"/>
          <w:sz w:val="24"/>
          <w:highlight w:val="none"/>
        </w:rPr>
        <w:t>致：</w:t>
      </w:r>
      <w:r>
        <w:rPr>
          <w:rFonts w:ascii="宋体" w:hAnsi="宋体"/>
          <w:color w:val="auto"/>
          <w:sz w:val="24"/>
          <w:highlight w:val="none"/>
          <w:u w:val="single"/>
        </w:rPr>
        <w:t>（采购人或采购代理机构）</w:t>
      </w:r>
    </w:p>
    <w:p w14:paraId="17362496">
      <w:pPr>
        <w:adjustRightInd w:val="0"/>
        <w:snapToGrid w:val="0"/>
        <w:spacing w:line="360" w:lineRule="auto"/>
        <w:ind w:firstLine="480" w:firstLineChars="200"/>
        <w:jc w:val="left"/>
        <w:rPr>
          <w:rFonts w:ascii="宋体" w:hAnsi="宋体"/>
          <w:color w:val="auto"/>
          <w:sz w:val="24"/>
          <w:highlight w:val="none"/>
        </w:rPr>
      </w:pPr>
      <w:r>
        <w:rPr>
          <w:rFonts w:ascii="宋体" w:hAnsi="宋体"/>
          <w:color w:val="auto"/>
          <w:sz w:val="24"/>
          <w:highlight w:val="none"/>
        </w:rPr>
        <w:t>我单位参加贵单位组织采购的项目编号为_______的_________项目（填写采购</w:t>
      </w:r>
      <w:r>
        <w:rPr>
          <w:rFonts w:hint="eastAsia" w:ascii="宋体" w:hAnsi="宋体"/>
          <w:color w:val="auto"/>
          <w:sz w:val="24"/>
          <w:highlight w:val="none"/>
        </w:rPr>
        <w:t>项目名称/标的名称</w:t>
      </w:r>
      <w:r>
        <w:rPr>
          <w:rFonts w:ascii="宋体" w:hAnsi="宋体"/>
          <w:color w:val="auto"/>
          <w:sz w:val="24"/>
          <w:highlight w:val="none"/>
        </w:rPr>
        <w:t>）中___包（填写包号）的投标。拟签订分包合同的单位情况如下表所示，我单位承诺一旦在该项目中获得采购合同将按下表所列情况进行分包，同时承诺分包承担主体不再次分包。</w:t>
      </w:r>
    </w:p>
    <w:tbl>
      <w:tblPr>
        <w:tblStyle w:val="25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1A27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700F7C61">
            <w:pPr>
              <w:pStyle w:val="251"/>
              <w:jc w:val="center"/>
              <w:rPr>
                <w:color w:val="auto"/>
                <w:sz w:val="24"/>
                <w:szCs w:val="24"/>
                <w:highlight w:val="none"/>
              </w:rPr>
            </w:pPr>
            <w:r>
              <w:rPr>
                <w:color w:val="auto"/>
                <w:sz w:val="24"/>
                <w:szCs w:val="24"/>
                <w:highlight w:val="none"/>
              </w:rPr>
              <w:t>序号</w:t>
            </w:r>
          </w:p>
        </w:tc>
        <w:tc>
          <w:tcPr>
            <w:tcW w:w="1287" w:type="dxa"/>
            <w:vAlign w:val="center"/>
          </w:tcPr>
          <w:p w14:paraId="237D215C">
            <w:pPr>
              <w:pStyle w:val="251"/>
              <w:jc w:val="center"/>
              <w:rPr>
                <w:color w:val="auto"/>
                <w:sz w:val="24"/>
                <w:szCs w:val="24"/>
                <w:highlight w:val="none"/>
              </w:rPr>
            </w:pPr>
            <w:r>
              <w:rPr>
                <w:color w:val="auto"/>
                <w:sz w:val="24"/>
                <w:szCs w:val="24"/>
                <w:highlight w:val="none"/>
              </w:rPr>
              <w:t>分包承担</w:t>
            </w:r>
          </w:p>
          <w:p w14:paraId="578146CA">
            <w:pPr>
              <w:pStyle w:val="251"/>
              <w:jc w:val="center"/>
              <w:rPr>
                <w:color w:val="auto"/>
                <w:sz w:val="24"/>
                <w:szCs w:val="24"/>
                <w:highlight w:val="none"/>
              </w:rPr>
            </w:pPr>
            <w:r>
              <w:rPr>
                <w:color w:val="auto"/>
                <w:sz w:val="24"/>
                <w:szCs w:val="24"/>
                <w:highlight w:val="none"/>
              </w:rPr>
              <w:t>主体名称</w:t>
            </w:r>
          </w:p>
        </w:tc>
        <w:tc>
          <w:tcPr>
            <w:tcW w:w="1513" w:type="dxa"/>
            <w:vAlign w:val="center"/>
          </w:tcPr>
          <w:p w14:paraId="5BD9ADBD">
            <w:pPr>
              <w:pStyle w:val="251"/>
              <w:jc w:val="center"/>
              <w:rPr>
                <w:color w:val="auto"/>
                <w:sz w:val="24"/>
                <w:szCs w:val="24"/>
                <w:highlight w:val="none"/>
                <w:lang w:eastAsia="zh-CN"/>
              </w:rPr>
            </w:pPr>
            <w:r>
              <w:rPr>
                <w:color w:val="auto"/>
                <w:sz w:val="24"/>
                <w:szCs w:val="24"/>
                <w:highlight w:val="none"/>
                <w:lang w:eastAsia="zh-CN"/>
              </w:rPr>
              <w:t>分包承担</w:t>
            </w:r>
          </w:p>
          <w:p w14:paraId="129F525E">
            <w:pPr>
              <w:pStyle w:val="251"/>
              <w:jc w:val="center"/>
              <w:rPr>
                <w:color w:val="auto"/>
                <w:sz w:val="24"/>
                <w:szCs w:val="24"/>
                <w:highlight w:val="none"/>
                <w:lang w:eastAsia="zh-CN"/>
              </w:rPr>
            </w:pPr>
            <w:r>
              <w:rPr>
                <w:color w:val="auto"/>
                <w:sz w:val="24"/>
                <w:szCs w:val="24"/>
                <w:highlight w:val="none"/>
                <w:lang w:eastAsia="zh-CN"/>
              </w:rPr>
              <w:t>主体类型</w:t>
            </w:r>
          </w:p>
          <w:p w14:paraId="31868215">
            <w:pPr>
              <w:pStyle w:val="251"/>
              <w:jc w:val="center"/>
              <w:rPr>
                <w:color w:val="auto"/>
                <w:sz w:val="24"/>
                <w:szCs w:val="24"/>
                <w:highlight w:val="none"/>
                <w:lang w:eastAsia="zh-CN"/>
              </w:rPr>
            </w:pPr>
            <w:r>
              <w:rPr>
                <w:rFonts w:hint="eastAsia"/>
                <w:color w:val="auto"/>
                <w:sz w:val="24"/>
                <w:szCs w:val="24"/>
                <w:highlight w:val="none"/>
                <w:lang w:eastAsia="zh-CN"/>
              </w:rPr>
              <w:t>（勾选）</w:t>
            </w:r>
          </w:p>
        </w:tc>
        <w:tc>
          <w:tcPr>
            <w:tcW w:w="1125" w:type="dxa"/>
            <w:vAlign w:val="center"/>
          </w:tcPr>
          <w:p w14:paraId="515E09BD">
            <w:pPr>
              <w:pStyle w:val="251"/>
              <w:jc w:val="center"/>
              <w:rPr>
                <w:color w:val="auto"/>
                <w:sz w:val="24"/>
                <w:szCs w:val="24"/>
                <w:highlight w:val="none"/>
              </w:rPr>
            </w:pPr>
            <w:r>
              <w:rPr>
                <w:color w:val="auto"/>
                <w:sz w:val="24"/>
                <w:szCs w:val="24"/>
                <w:highlight w:val="none"/>
              </w:rPr>
              <w:t>资质等级</w:t>
            </w:r>
          </w:p>
        </w:tc>
        <w:tc>
          <w:tcPr>
            <w:tcW w:w="1558" w:type="dxa"/>
            <w:vAlign w:val="center"/>
          </w:tcPr>
          <w:p w14:paraId="1BA16EE6">
            <w:pPr>
              <w:pStyle w:val="251"/>
              <w:jc w:val="center"/>
              <w:rPr>
                <w:color w:val="auto"/>
                <w:sz w:val="24"/>
                <w:szCs w:val="24"/>
                <w:highlight w:val="none"/>
              </w:rPr>
            </w:pPr>
            <w:r>
              <w:rPr>
                <w:color w:val="auto"/>
                <w:sz w:val="24"/>
                <w:szCs w:val="24"/>
                <w:highlight w:val="none"/>
              </w:rPr>
              <w:t>拟分包</w:t>
            </w:r>
          </w:p>
          <w:p w14:paraId="7AFF02B3">
            <w:pPr>
              <w:pStyle w:val="251"/>
              <w:jc w:val="center"/>
              <w:rPr>
                <w:color w:val="auto"/>
                <w:sz w:val="24"/>
                <w:szCs w:val="24"/>
                <w:highlight w:val="none"/>
              </w:rPr>
            </w:pPr>
            <w:r>
              <w:rPr>
                <w:color w:val="auto"/>
                <w:sz w:val="24"/>
                <w:szCs w:val="24"/>
                <w:highlight w:val="none"/>
              </w:rPr>
              <w:t>合同内容</w:t>
            </w:r>
          </w:p>
        </w:tc>
        <w:tc>
          <w:tcPr>
            <w:tcW w:w="1498" w:type="dxa"/>
            <w:vAlign w:val="center"/>
          </w:tcPr>
          <w:p w14:paraId="3D030522">
            <w:pPr>
              <w:pStyle w:val="251"/>
              <w:jc w:val="center"/>
              <w:rPr>
                <w:color w:val="auto"/>
                <w:sz w:val="24"/>
                <w:szCs w:val="24"/>
                <w:highlight w:val="none"/>
                <w:lang w:eastAsia="zh-CN"/>
              </w:rPr>
            </w:pPr>
            <w:r>
              <w:rPr>
                <w:color w:val="auto"/>
                <w:sz w:val="24"/>
                <w:szCs w:val="24"/>
                <w:highlight w:val="none"/>
                <w:lang w:eastAsia="zh-CN"/>
              </w:rPr>
              <w:t>拟分包</w:t>
            </w:r>
          </w:p>
          <w:p w14:paraId="30440460">
            <w:pPr>
              <w:pStyle w:val="251"/>
              <w:jc w:val="center"/>
              <w:rPr>
                <w:color w:val="auto"/>
                <w:sz w:val="24"/>
                <w:szCs w:val="24"/>
                <w:highlight w:val="none"/>
                <w:lang w:eastAsia="zh-CN"/>
              </w:rPr>
            </w:pPr>
            <w:r>
              <w:rPr>
                <w:color w:val="auto"/>
                <w:sz w:val="24"/>
                <w:szCs w:val="24"/>
                <w:highlight w:val="none"/>
                <w:lang w:eastAsia="zh-CN"/>
              </w:rPr>
              <w:t>合同金额</w:t>
            </w:r>
          </w:p>
          <w:p w14:paraId="694E2F33">
            <w:pPr>
              <w:pStyle w:val="251"/>
              <w:jc w:val="center"/>
              <w:rPr>
                <w:color w:val="auto"/>
                <w:sz w:val="24"/>
                <w:szCs w:val="24"/>
                <w:highlight w:val="none"/>
                <w:lang w:eastAsia="zh-CN"/>
              </w:rPr>
            </w:pPr>
            <w:r>
              <w:rPr>
                <w:color w:val="auto"/>
                <w:sz w:val="24"/>
                <w:szCs w:val="24"/>
                <w:highlight w:val="none"/>
                <w:lang w:eastAsia="zh-CN"/>
              </w:rPr>
              <w:t>（人民币元）</w:t>
            </w:r>
          </w:p>
        </w:tc>
        <w:tc>
          <w:tcPr>
            <w:tcW w:w="1564" w:type="dxa"/>
            <w:vAlign w:val="center"/>
          </w:tcPr>
          <w:p w14:paraId="460835A2">
            <w:pPr>
              <w:pStyle w:val="251"/>
              <w:jc w:val="center"/>
              <w:rPr>
                <w:color w:val="auto"/>
                <w:sz w:val="24"/>
                <w:szCs w:val="24"/>
                <w:highlight w:val="none"/>
                <w:lang w:eastAsia="zh-CN"/>
              </w:rPr>
            </w:pPr>
            <w:r>
              <w:rPr>
                <w:color w:val="auto"/>
                <w:sz w:val="24"/>
                <w:szCs w:val="24"/>
                <w:highlight w:val="none"/>
                <w:lang w:eastAsia="zh-CN"/>
              </w:rPr>
              <w:t>占该采购包</w:t>
            </w:r>
          </w:p>
          <w:p w14:paraId="08F9D2F4">
            <w:pPr>
              <w:pStyle w:val="251"/>
              <w:jc w:val="center"/>
              <w:rPr>
                <w:b/>
                <w:color w:val="auto"/>
                <w:sz w:val="24"/>
                <w:szCs w:val="24"/>
                <w:highlight w:val="none"/>
                <w:lang w:eastAsia="zh-CN"/>
              </w:rPr>
            </w:pPr>
            <w:r>
              <w:rPr>
                <w:rFonts w:hint="eastAsia"/>
                <w:b/>
                <w:color w:val="auto"/>
                <w:sz w:val="24"/>
                <w:szCs w:val="24"/>
                <w:highlight w:val="none"/>
                <w:lang w:eastAsia="zh-CN"/>
              </w:rPr>
              <w:t>预算</w:t>
            </w:r>
            <w:r>
              <w:rPr>
                <w:b/>
                <w:color w:val="auto"/>
                <w:sz w:val="24"/>
                <w:szCs w:val="24"/>
                <w:highlight w:val="none"/>
                <w:lang w:eastAsia="zh-CN"/>
              </w:rPr>
              <w:t>金额的</w:t>
            </w:r>
          </w:p>
          <w:p w14:paraId="07C5BA83">
            <w:pPr>
              <w:pStyle w:val="251"/>
              <w:jc w:val="center"/>
              <w:rPr>
                <w:color w:val="auto"/>
                <w:sz w:val="24"/>
                <w:szCs w:val="24"/>
                <w:highlight w:val="none"/>
                <w:lang w:eastAsia="zh-CN"/>
              </w:rPr>
            </w:pPr>
            <w:r>
              <w:rPr>
                <w:color w:val="auto"/>
                <w:sz w:val="24"/>
                <w:szCs w:val="24"/>
                <w:highlight w:val="none"/>
                <w:lang w:eastAsia="zh-CN"/>
              </w:rPr>
              <w:t>比例</w:t>
            </w:r>
            <w:r>
              <w:rPr>
                <w:rFonts w:hint="eastAsia"/>
                <w:color w:val="auto"/>
                <w:sz w:val="24"/>
                <w:szCs w:val="24"/>
                <w:highlight w:val="none"/>
                <w:lang w:eastAsia="zh-CN"/>
              </w:rPr>
              <w:t>（</w:t>
            </w:r>
            <w:r>
              <w:rPr>
                <w:color w:val="auto"/>
                <w:sz w:val="24"/>
                <w:szCs w:val="24"/>
                <w:highlight w:val="none"/>
                <w:lang w:eastAsia="zh-CN"/>
              </w:rPr>
              <w:t>%</w:t>
            </w:r>
            <w:r>
              <w:rPr>
                <w:rFonts w:hint="eastAsia"/>
                <w:color w:val="auto"/>
                <w:sz w:val="24"/>
                <w:szCs w:val="24"/>
                <w:highlight w:val="none"/>
                <w:lang w:eastAsia="zh-CN"/>
              </w:rPr>
              <w:t>）</w:t>
            </w:r>
          </w:p>
        </w:tc>
      </w:tr>
      <w:tr w14:paraId="4808D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7BFC6C4">
            <w:pPr>
              <w:pStyle w:val="251"/>
              <w:jc w:val="center"/>
              <w:rPr>
                <w:color w:val="auto"/>
                <w:sz w:val="24"/>
                <w:szCs w:val="24"/>
                <w:highlight w:val="none"/>
              </w:rPr>
            </w:pPr>
            <w:r>
              <w:rPr>
                <w:color w:val="auto"/>
                <w:sz w:val="24"/>
                <w:szCs w:val="24"/>
                <w:highlight w:val="none"/>
              </w:rPr>
              <w:t>1</w:t>
            </w:r>
          </w:p>
        </w:tc>
        <w:tc>
          <w:tcPr>
            <w:tcW w:w="1287" w:type="dxa"/>
            <w:vAlign w:val="center"/>
          </w:tcPr>
          <w:p w14:paraId="6EE7E6A1">
            <w:pPr>
              <w:pStyle w:val="251"/>
              <w:jc w:val="center"/>
              <w:rPr>
                <w:rFonts w:cs="Times New Roman"/>
                <w:color w:val="auto"/>
                <w:sz w:val="24"/>
                <w:szCs w:val="24"/>
                <w:highlight w:val="none"/>
              </w:rPr>
            </w:pPr>
          </w:p>
        </w:tc>
        <w:tc>
          <w:tcPr>
            <w:tcW w:w="1513" w:type="dxa"/>
            <w:vAlign w:val="center"/>
          </w:tcPr>
          <w:p w14:paraId="2A423A5A">
            <w:pPr>
              <w:pStyle w:val="251"/>
              <w:tabs>
                <w:tab w:val="left" w:pos="235"/>
              </w:tabs>
              <w:ind w:left="1" w:leftChars="-43" w:hanging="91" w:hangingChars="38"/>
              <w:jc w:val="center"/>
              <w:rPr>
                <w:rFonts w:cs="Times New Roman"/>
                <w:color w:val="auto"/>
                <w:sz w:val="24"/>
                <w:szCs w:val="24"/>
                <w:highlight w:val="none"/>
                <w:lang w:eastAsia="zh-CN"/>
              </w:rPr>
            </w:pPr>
            <w:r>
              <w:rPr>
                <w:rFonts w:cs="Times New Roman"/>
                <w:color w:val="auto"/>
                <w:sz w:val="24"/>
                <w:szCs w:val="24"/>
                <w:highlight w:val="none"/>
                <w:lang w:eastAsia="zh-CN"/>
              </w:rPr>
              <w:t>□中型企业</w:t>
            </w:r>
          </w:p>
          <w:p w14:paraId="4A49AF7A">
            <w:pPr>
              <w:pStyle w:val="251"/>
              <w:tabs>
                <w:tab w:val="left" w:pos="235"/>
              </w:tabs>
              <w:ind w:left="1" w:leftChars="-43" w:hanging="91" w:hangingChars="38"/>
              <w:jc w:val="center"/>
              <w:rPr>
                <w:rFonts w:cs="Times New Roman"/>
                <w:color w:val="auto"/>
                <w:sz w:val="24"/>
                <w:szCs w:val="24"/>
                <w:highlight w:val="none"/>
                <w:lang w:eastAsia="zh-CN"/>
              </w:rPr>
            </w:pPr>
            <w:r>
              <w:rPr>
                <w:rFonts w:cs="Times New Roman"/>
                <w:color w:val="auto"/>
                <w:sz w:val="24"/>
                <w:szCs w:val="24"/>
                <w:highlight w:val="none"/>
                <w:lang w:eastAsia="zh-CN"/>
              </w:rPr>
              <w:t>□小微企业</w:t>
            </w:r>
          </w:p>
        </w:tc>
        <w:tc>
          <w:tcPr>
            <w:tcW w:w="1125" w:type="dxa"/>
            <w:vAlign w:val="center"/>
          </w:tcPr>
          <w:p w14:paraId="052F5493">
            <w:pPr>
              <w:pStyle w:val="251"/>
              <w:jc w:val="center"/>
              <w:rPr>
                <w:color w:val="auto"/>
                <w:sz w:val="24"/>
                <w:szCs w:val="24"/>
                <w:highlight w:val="none"/>
                <w:lang w:eastAsia="zh-CN"/>
              </w:rPr>
            </w:pPr>
          </w:p>
        </w:tc>
        <w:tc>
          <w:tcPr>
            <w:tcW w:w="1558" w:type="dxa"/>
            <w:vAlign w:val="center"/>
          </w:tcPr>
          <w:p w14:paraId="4EDE453D">
            <w:pPr>
              <w:pStyle w:val="251"/>
              <w:jc w:val="center"/>
              <w:rPr>
                <w:color w:val="auto"/>
                <w:sz w:val="24"/>
                <w:szCs w:val="24"/>
                <w:highlight w:val="none"/>
                <w:lang w:eastAsia="zh-CN"/>
              </w:rPr>
            </w:pPr>
          </w:p>
        </w:tc>
        <w:tc>
          <w:tcPr>
            <w:tcW w:w="1498" w:type="dxa"/>
            <w:vAlign w:val="center"/>
          </w:tcPr>
          <w:p w14:paraId="433180FF">
            <w:pPr>
              <w:pStyle w:val="251"/>
              <w:jc w:val="center"/>
              <w:rPr>
                <w:color w:val="auto"/>
                <w:sz w:val="24"/>
                <w:szCs w:val="24"/>
                <w:highlight w:val="none"/>
                <w:lang w:eastAsia="zh-CN"/>
              </w:rPr>
            </w:pPr>
          </w:p>
        </w:tc>
        <w:tc>
          <w:tcPr>
            <w:tcW w:w="1564" w:type="dxa"/>
            <w:vAlign w:val="center"/>
          </w:tcPr>
          <w:p w14:paraId="2F265EBD">
            <w:pPr>
              <w:pStyle w:val="251"/>
              <w:jc w:val="center"/>
              <w:rPr>
                <w:color w:val="auto"/>
                <w:sz w:val="24"/>
                <w:szCs w:val="24"/>
                <w:highlight w:val="none"/>
                <w:lang w:eastAsia="zh-CN"/>
              </w:rPr>
            </w:pPr>
          </w:p>
        </w:tc>
      </w:tr>
      <w:tr w14:paraId="426E7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2AD59F3">
            <w:pPr>
              <w:pStyle w:val="251"/>
              <w:jc w:val="center"/>
              <w:rPr>
                <w:color w:val="auto"/>
                <w:sz w:val="24"/>
                <w:szCs w:val="24"/>
                <w:highlight w:val="none"/>
                <w:lang w:eastAsia="zh-CN"/>
              </w:rPr>
            </w:pPr>
            <w:r>
              <w:rPr>
                <w:rFonts w:hint="eastAsia"/>
                <w:color w:val="auto"/>
                <w:sz w:val="24"/>
                <w:szCs w:val="24"/>
                <w:highlight w:val="none"/>
                <w:lang w:eastAsia="zh-CN"/>
              </w:rPr>
              <w:t>2</w:t>
            </w:r>
          </w:p>
        </w:tc>
        <w:tc>
          <w:tcPr>
            <w:tcW w:w="1287" w:type="dxa"/>
            <w:vAlign w:val="center"/>
          </w:tcPr>
          <w:p w14:paraId="3F803FEC">
            <w:pPr>
              <w:pStyle w:val="251"/>
              <w:jc w:val="center"/>
              <w:rPr>
                <w:color w:val="auto"/>
                <w:sz w:val="24"/>
                <w:szCs w:val="24"/>
                <w:highlight w:val="none"/>
              </w:rPr>
            </w:pPr>
          </w:p>
        </w:tc>
        <w:tc>
          <w:tcPr>
            <w:tcW w:w="1513" w:type="dxa"/>
            <w:vAlign w:val="center"/>
          </w:tcPr>
          <w:p w14:paraId="409D9694">
            <w:pPr>
              <w:pStyle w:val="251"/>
              <w:tabs>
                <w:tab w:val="left" w:pos="235"/>
              </w:tabs>
              <w:ind w:left="1" w:leftChars="-43" w:hanging="91" w:hangingChars="38"/>
              <w:jc w:val="center"/>
              <w:rPr>
                <w:rFonts w:cs="Times New Roman"/>
                <w:color w:val="auto"/>
                <w:sz w:val="24"/>
                <w:szCs w:val="24"/>
                <w:highlight w:val="none"/>
                <w:lang w:eastAsia="zh-CN"/>
              </w:rPr>
            </w:pPr>
            <w:r>
              <w:rPr>
                <w:rFonts w:cs="Times New Roman"/>
                <w:color w:val="auto"/>
                <w:sz w:val="24"/>
                <w:szCs w:val="24"/>
                <w:highlight w:val="none"/>
                <w:lang w:eastAsia="zh-CN"/>
              </w:rPr>
              <w:t>□中型企业</w:t>
            </w:r>
          </w:p>
          <w:p w14:paraId="74A5E9AF">
            <w:pPr>
              <w:pStyle w:val="251"/>
              <w:tabs>
                <w:tab w:val="left" w:pos="235"/>
              </w:tabs>
              <w:ind w:left="1" w:leftChars="-43" w:hanging="91" w:hangingChars="38"/>
              <w:jc w:val="center"/>
              <w:rPr>
                <w:rFonts w:cs="Times New Roman"/>
                <w:color w:val="auto"/>
                <w:sz w:val="24"/>
                <w:szCs w:val="24"/>
                <w:highlight w:val="none"/>
                <w:lang w:eastAsia="zh-CN"/>
              </w:rPr>
            </w:pPr>
            <w:r>
              <w:rPr>
                <w:rFonts w:cs="Times New Roman"/>
                <w:color w:val="auto"/>
                <w:sz w:val="24"/>
                <w:szCs w:val="24"/>
                <w:highlight w:val="none"/>
                <w:lang w:eastAsia="zh-CN"/>
              </w:rPr>
              <w:t>□小微企业</w:t>
            </w:r>
          </w:p>
        </w:tc>
        <w:tc>
          <w:tcPr>
            <w:tcW w:w="1125" w:type="dxa"/>
            <w:vAlign w:val="center"/>
          </w:tcPr>
          <w:p w14:paraId="49618136">
            <w:pPr>
              <w:pStyle w:val="251"/>
              <w:jc w:val="center"/>
              <w:rPr>
                <w:color w:val="auto"/>
                <w:sz w:val="24"/>
                <w:szCs w:val="24"/>
                <w:highlight w:val="none"/>
                <w:lang w:eastAsia="zh-CN"/>
              </w:rPr>
            </w:pPr>
          </w:p>
        </w:tc>
        <w:tc>
          <w:tcPr>
            <w:tcW w:w="1558" w:type="dxa"/>
            <w:vAlign w:val="center"/>
          </w:tcPr>
          <w:p w14:paraId="327FEADA">
            <w:pPr>
              <w:pStyle w:val="251"/>
              <w:jc w:val="center"/>
              <w:rPr>
                <w:color w:val="auto"/>
                <w:sz w:val="24"/>
                <w:szCs w:val="24"/>
                <w:highlight w:val="none"/>
                <w:lang w:eastAsia="zh-CN"/>
              </w:rPr>
            </w:pPr>
          </w:p>
        </w:tc>
        <w:tc>
          <w:tcPr>
            <w:tcW w:w="1498" w:type="dxa"/>
            <w:vAlign w:val="center"/>
          </w:tcPr>
          <w:p w14:paraId="63B26CF2">
            <w:pPr>
              <w:pStyle w:val="251"/>
              <w:jc w:val="center"/>
              <w:rPr>
                <w:color w:val="auto"/>
                <w:sz w:val="24"/>
                <w:szCs w:val="24"/>
                <w:highlight w:val="none"/>
                <w:lang w:eastAsia="zh-CN"/>
              </w:rPr>
            </w:pPr>
          </w:p>
        </w:tc>
        <w:tc>
          <w:tcPr>
            <w:tcW w:w="1564" w:type="dxa"/>
            <w:vAlign w:val="center"/>
          </w:tcPr>
          <w:p w14:paraId="2FAA7C66">
            <w:pPr>
              <w:pStyle w:val="251"/>
              <w:jc w:val="center"/>
              <w:rPr>
                <w:color w:val="auto"/>
                <w:sz w:val="24"/>
                <w:szCs w:val="24"/>
                <w:highlight w:val="none"/>
                <w:lang w:eastAsia="zh-CN"/>
              </w:rPr>
            </w:pPr>
          </w:p>
        </w:tc>
      </w:tr>
      <w:tr w14:paraId="471FA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7CBF811">
            <w:pPr>
              <w:pStyle w:val="251"/>
              <w:jc w:val="center"/>
              <w:rPr>
                <w:color w:val="auto"/>
                <w:sz w:val="24"/>
                <w:szCs w:val="24"/>
                <w:highlight w:val="none"/>
                <w:lang w:eastAsia="zh-CN"/>
              </w:rPr>
            </w:pPr>
            <w:r>
              <w:rPr>
                <w:color w:val="auto"/>
                <w:sz w:val="24"/>
                <w:szCs w:val="24"/>
                <w:highlight w:val="none"/>
                <w:lang w:eastAsia="zh-CN"/>
              </w:rPr>
              <w:t>…</w:t>
            </w:r>
          </w:p>
        </w:tc>
        <w:tc>
          <w:tcPr>
            <w:tcW w:w="1287" w:type="dxa"/>
            <w:vAlign w:val="center"/>
          </w:tcPr>
          <w:p w14:paraId="24D1979B">
            <w:pPr>
              <w:pStyle w:val="251"/>
              <w:jc w:val="center"/>
              <w:rPr>
                <w:color w:val="auto"/>
                <w:sz w:val="24"/>
                <w:szCs w:val="24"/>
                <w:highlight w:val="none"/>
              </w:rPr>
            </w:pPr>
          </w:p>
        </w:tc>
        <w:tc>
          <w:tcPr>
            <w:tcW w:w="1513" w:type="dxa"/>
            <w:vAlign w:val="center"/>
          </w:tcPr>
          <w:p w14:paraId="2E30CF78">
            <w:pPr>
              <w:pStyle w:val="251"/>
              <w:tabs>
                <w:tab w:val="left" w:pos="235"/>
              </w:tabs>
              <w:jc w:val="center"/>
              <w:rPr>
                <w:color w:val="auto"/>
                <w:sz w:val="24"/>
                <w:szCs w:val="24"/>
                <w:highlight w:val="none"/>
              </w:rPr>
            </w:pPr>
          </w:p>
        </w:tc>
        <w:tc>
          <w:tcPr>
            <w:tcW w:w="1125" w:type="dxa"/>
            <w:vAlign w:val="center"/>
          </w:tcPr>
          <w:p w14:paraId="34177B8C">
            <w:pPr>
              <w:pStyle w:val="251"/>
              <w:jc w:val="center"/>
              <w:rPr>
                <w:color w:val="auto"/>
                <w:sz w:val="24"/>
                <w:szCs w:val="24"/>
                <w:highlight w:val="none"/>
              </w:rPr>
            </w:pPr>
          </w:p>
        </w:tc>
        <w:tc>
          <w:tcPr>
            <w:tcW w:w="1558" w:type="dxa"/>
            <w:vAlign w:val="center"/>
          </w:tcPr>
          <w:p w14:paraId="6A9129CD">
            <w:pPr>
              <w:pStyle w:val="251"/>
              <w:jc w:val="center"/>
              <w:rPr>
                <w:color w:val="auto"/>
                <w:sz w:val="24"/>
                <w:szCs w:val="24"/>
                <w:highlight w:val="none"/>
              </w:rPr>
            </w:pPr>
          </w:p>
        </w:tc>
        <w:tc>
          <w:tcPr>
            <w:tcW w:w="1498" w:type="dxa"/>
            <w:vAlign w:val="center"/>
          </w:tcPr>
          <w:p w14:paraId="65A3F17F">
            <w:pPr>
              <w:pStyle w:val="251"/>
              <w:jc w:val="center"/>
              <w:rPr>
                <w:color w:val="auto"/>
                <w:sz w:val="24"/>
                <w:szCs w:val="24"/>
                <w:highlight w:val="none"/>
              </w:rPr>
            </w:pPr>
          </w:p>
        </w:tc>
        <w:tc>
          <w:tcPr>
            <w:tcW w:w="1564" w:type="dxa"/>
            <w:vAlign w:val="center"/>
          </w:tcPr>
          <w:p w14:paraId="0F8FD93D">
            <w:pPr>
              <w:pStyle w:val="251"/>
              <w:jc w:val="center"/>
              <w:rPr>
                <w:color w:val="auto"/>
                <w:sz w:val="24"/>
                <w:szCs w:val="24"/>
                <w:highlight w:val="none"/>
              </w:rPr>
            </w:pPr>
          </w:p>
        </w:tc>
      </w:tr>
      <w:tr w14:paraId="2C2AB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72B21F93">
            <w:pPr>
              <w:pStyle w:val="251"/>
              <w:ind w:right="57" w:rightChars="27"/>
              <w:jc w:val="right"/>
              <w:rPr>
                <w:color w:val="auto"/>
                <w:sz w:val="24"/>
                <w:szCs w:val="24"/>
                <w:highlight w:val="none"/>
                <w:lang w:eastAsia="zh-CN"/>
              </w:rPr>
            </w:pPr>
            <w:r>
              <w:rPr>
                <w:rFonts w:hint="eastAsia"/>
                <w:color w:val="auto"/>
                <w:sz w:val="24"/>
                <w:szCs w:val="24"/>
                <w:highlight w:val="none"/>
                <w:lang w:eastAsia="zh-CN"/>
              </w:rPr>
              <w:t>合计：</w:t>
            </w:r>
          </w:p>
        </w:tc>
        <w:tc>
          <w:tcPr>
            <w:tcW w:w="1498" w:type="dxa"/>
            <w:vAlign w:val="center"/>
          </w:tcPr>
          <w:p w14:paraId="08A782E1">
            <w:pPr>
              <w:pStyle w:val="251"/>
              <w:jc w:val="center"/>
              <w:rPr>
                <w:color w:val="auto"/>
                <w:sz w:val="24"/>
                <w:szCs w:val="24"/>
                <w:highlight w:val="none"/>
              </w:rPr>
            </w:pPr>
          </w:p>
        </w:tc>
        <w:tc>
          <w:tcPr>
            <w:tcW w:w="1564" w:type="dxa"/>
            <w:vAlign w:val="center"/>
          </w:tcPr>
          <w:p w14:paraId="28855A3B">
            <w:pPr>
              <w:pStyle w:val="251"/>
              <w:jc w:val="center"/>
              <w:rPr>
                <w:color w:val="auto"/>
                <w:sz w:val="24"/>
                <w:szCs w:val="24"/>
                <w:highlight w:val="none"/>
              </w:rPr>
            </w:pPr>
          </w:p>
        </w:tc>
      </w:tr>
    </w:tbl>
    <w:p w14:paraId="229F5CEC">
      <w:pPr>
        <w:adjustRightInd w:val="0"/>
        <w:snapToGrid w:val="0"/>
        <w:spacing w:line="360" w:lineRule="auto"/>
        <w:ind w:firstLine="480" w:firstLineChars="200"/>
        <w:jc w:val="left"/>
        <w:rPr>
          <w:rFonts w:ascii="宋体" w:hAnsi="宋体"/>
          <w:color w:val="auto"/>
          <w:sz w:val="24"/>
          <w:highlight w:val="none"/>
        </w:rPr>
      </w:pPr>
    </w:p>
    <w:p w14:paraId="10783F69">
      <w:pPr>
        <w:adjustRightInd w:val="0"/>
        <w:snapToGrid w:val="0"/>
        <w:spacing w:line="360" w:lineRule="auto"/>
        <w:jc w:val="left"/>
        <w:rPr>
          <w:rFonts w:ascii="宋体" w:hAnsi="宋体"/>
          <w:color w:val="auto"/>
          <w:sz w:val="24"/>
          <w:highlight w:val="none"/>
        </w:rPr>
      </w:pPr>
    </w:p>
    <w:p w14:paraId="0ED30677">
      <w:pPr>
        <w:autoSpaceDE w:val="0"/>
        <w:autoSpaceDN w:val="0"/>
        <w:adjustRightInd w:val="0"/>
        <w:snapToGrid w:val="0"/>
        <w:spacing w:before="25" w:after="25" w:line="360" w:lineRule="auto"/>
        <w:jc w:val="right"/>
        <w:rPr>
          <w:rFonts w:ascii="宋体" w:hAnsi="宋体"/>
          <w:color w:val="auto"/>
          <w:sz w:val="24"/>
          <w:highlight w:val="none"/>
          <w:lang w:val="zh-CN"/>
        </w:rPr>
      </w:pPr>
      <w:r>
        <w:rPr>
          <w:rFonts w:ascii="宋体" w:hAnsi="宋体"/>
          <w:color w:val="auto"/>
          <w:sz w:val="24"/>
          <w:highlight w:val="none"/>
        </w:rPr>
        <w:t>投标人名称（加盖公章）</w:t>
      </w:r>
      <w:r>
        <w:rPr>
          <w:rFonts w:ascii="宋体" w:hAnsi="宋体"/>
          <w:color w:val="auto"/>
          <w:sz w:val="24"/>
          <w:highlight w:val="none"/>
          <w:lang w:val="zh-CN"/>
        </w:rPr>
        <w:t>：____________</w:t>
      </w:r>
    </w:p>
    <w:p w14:paraId="0D83362A">
      <w:pPr>
        <w:spacing w:line="360" w:lineRule="auto"/>
        <w:ind w:right="-57" w:firstLine="480"/>
        <w:jc w:val="right"/>
        <w:rPr>
          <w:rFonts w:ascii="宋体" w:hAnsi="宋体"/>
          <w:color w:val="auto"/>
          <w:sz w:val="24"/>
          <w:highlight w:val="none"/>
        </w:rPr>
      </w:pPr>
      <w:r>
        <w:rPr>
          <w:rFonts w:ascii="宋体" w:hAnsi="宋体"/>
          <w:color w:val="auto"/>
          <w:sz w:val="24"/>
          <w:highlight w:val="none"/>
        </w:rPr>
        <w:t>日期：_____年______月______日</w:t>
      </w:r>
    </w:p>
    <w:p w14:paraId="4D4D5604">
      <w:pPr>
        <w:adjustRightInd w:val="0"/>
        <w:snapToGrid w:val="0"/>
        <w:spacing w:line="360" w:lineRule="auto"/>
        <w:jc w:val="left"/>
        <w:rPr>
          <w:rFonts w:ascii="宋体" w:hAnsi="宋体"/>
          <w:color w:val="auto"/>
          <w:sz w:val="24"/>
          <w:highlight w:val="none"/>
        </w:rPr>
      </w:pPr>
    </w:p>
    <w:p w14:paraId="1078C9B0">
      <w:pPr>
        <w:adjustRightInd w:val="0"/>
        <w:snapToGrid w:val="0"/>
        <w:spacing w:line="360" w:lineRule="auto"/>
        <w:jc w:val="left"/>
        <w:rPr>
          <w:rFonts w:ascii="宋体" w:hAnsi="宋体"/>
          <w:color w:val="auto"/>
          <w:sz w:val="24"/>
          <w:highlight w:val="none"/>
        </w:rPr>
      </w:pPr>
      <w:r>
        <w:rPr>
          <w:rFonts w:ascii="宋体" w:hAnsi="宋体"/>
          <w:color w:val="auto"/>
          <w:sz w:val="24"/>
          <w:highlight w:val="none"/>
        </w:rPr>
        <w:t>说明：</w:t>
      </w:r>
    </w:p>
    <w:p w14:paraId="0C1D3BE6">
      <w:pPr>
        <w:adjustRightInd w:val="0"/>
        <w:snapToGrid w:val="0"/>
        <w:spacing w:line="360" w:lineRule="auto"/>
        <w:jc w:val="left"/>
        <w:rPr>
          <w:rFonts w:ascii="宋体" w:hAnsi="宋体"/>
          <w:color w:val="auto"/>
          <w:sz w:val="24"/>
          <w:highlight w:val="none"/>
        </w:rPr>
      </w:pPr>
      <w:r>
        <w:rPr>
          <w:rFonts w:ascii="宋体" w:hAnsi="宋体"/>
          <w:color w:val="auto"/>
          <w:sz w:val="24"/>
          <w:highlight w:val="none"/>
        </w:rPr>
        <w:t>（1）本表仅在投标人“为落实政府采购政策”而向中小企业分包时填写，非因“为落实政府采购政策”而进行的分包请按照《拟分包情况说明（类型二）》要求填写。</w:t>
      </w:r>
    </w:p>
    <w:p w14:paraId="78E06595">
      <w:pPr>
        <w:adjustRightInd w:val="0"/>
        <w:snapToGrid w:val="0"/>
        <w:spacing w:line="360" w:lineRule="auto"/>
        <w:jc w:val="left"/>
        <w:rPr>
          <w:rFonts w:ascii="宋体" w:hAnsi="宋体"/>
          <w:color w:val="auto"/>
          <w:sz w:val="24"/>
          <w:highlight w:val="none"/>
        </w:rPr>
      </w:pPr>
      <w:r>
        <w:rPr>
          <w:rFonts w:ascii="宋体" w:hAnsi="宋体"/>
          <w:color w:val="auto"/>
          <w:sz w:val="24"/>
          <w:highlight w:val="none"/>
        </w:rPr>
        <w:t>（2）如本招标文件《投标人须知资料表》载明本项目分包承担主体应具备的相应资质条件，则投标人须在本表中列明分包承担主体的资质等级，并后附资质证书电子件，否则</w:t>
      </w:r>
      <w:r>
        <w:rPr>
          <w:rFonts w:ascii="宋体" w:hAnsi="宋体"/>
          <w:b/>
          <w:color w:val="auto"/>
          <w:sz w:val="24"/>
          <w:highlight w:val="none"/>
        </w:rPr>
        <w:t>投标无效</w:t>
      </w:r>
      <w:r>
        <w:rPr>
          <w:rFonts w:ascii="宋体" w:hAnsi="宋体"/>
          <w:color w:val="auto"/>
          <w:sz w:val="24"/>
          <w:highlight w:val="none"/>
        </w:rPr>
        <w:t>。</w:t>
      </w:r>
    </w:p>
    <w:p w14:paraId="1E18D205">
      <w:pPr>
        <w:adjustRightInd w:val="0"/>
        <w:snapToGrid w:val="0"/>
        <w:spacing w:line="360" w:lineRule="auto"/>
        <w:jc w:val="left"/>
        <w:rPr>
          <w:rFonts w:ascii="宋体" w:hAnsi="宋体"/>
          <w:color w:val="auto"/>
          <w:sz w:val="24"/>
          <w:highlight w:val="none"/>
        </w:rPr>
      </w:pPr>
      <w:r>
        <w:rPr>
          <w:rFonts w:ascii="宋体" w:hAnsi="宋体"/>
          <w:color w:val="auto"/>
          <w:sz w:val="24"/>
          <w:highlight w:val="none"/>
        </w:rPr>
        <w:t>（3）投标人与上述拟分包承担主体签署的《分包意向协议》后附。</w:t>
      </w:r>
    </w:p>
    <w:p w14:paraId="19992719">
      <w:pPr>
        <w:spacing w:line="360" w:lineRule="auto"/>
        <w:outlineLvl w:val="2"/>
        <w:rPr>
          <w:rFonts w:ascii="宋体" w:hAnsi="宋体"/>
          <w:color w:val="auto"/>
          <w:sz w:val="24"/>
          <w:highlight w:val="none"/>
        </w:rPr>
      </w:pPr>
      <w:r>
        <w:rPr>
          <w:rFonts w:ascii="宋体" w:hAnsi="宋体"/>
          <w:color w:val="auto"/>
          <w:sz w:val="24"/>
          <w:highlight w:val="none"/>
        </w:rPr>
        <w:br w:type="page"/>
      </w:r>
      <w:r>
        <w:rPr>
          <w:rFonts w:hint="eastAsia" w:ascii="宋体" w:hAnsi="宋体"/>
          <w:b/>
          <w:color w:val="auto"/>
          <w:sz w:val="24"/>
          <w:highlight w:val="none"/>
        </w:rPr>
        <w:t>附：分包意向协议（实质性格式）</w:t>
      </w:r>
      <w:r>
        <w:rPr>
          <w:rFonts w:hint="eastAsia" w:ascii="宋体" w:hAnsi="宋体"/>
          <w:color w:val="auto"/>
          <w:sz w:val="24"/>
          <w:highlight w:val="none"/>
        </w:rPr>
        <w:t>（本项目不适用）</w:t>
      </w:r>
    </w:p>
    <w:p w14:paraId="0C322FE4">
      <w:pPr>
        <w:autoSpaceDE w:val="0"/>
        <w:autoSpaceDN w:val="0"/>
        <w:adjustRightInd w:val="0"/>
        <w:spacing w:line="360" w:lineRule="auto"/>
        <w:jc w:val="center"/>
        <w:rPr>
          <w:rFonts w:ascii="宋体" w:hAnsi="宋体"/>
          <w:b/>
          <w:color w:val="auto"/>
          <w:sz w:val="24"/>
          <w:highlight w:val="none"/>
        </w:rPr>
      </w:pPr>
    </w:p>
    <w:p w14:paraId="0866192C">
      <w:pPr>
        <w:adjustRightInd w:val="0"/>
        <w:snapToGrid w:val="0"/>
        <w:spacing w:line="360" w:lineRule="auto"/>
        <w:ind w:firstLine="480" w:firstLineChars="200"/>
        <w:jc w:val="left"/>
        <w:rPr>
          <w:rFonts w:ascii="宋体" w:hAnsi="宋体"/>
          <w:color w:val="auto"/>
          <w:sz w:val="24"/>
          <w:highlight w:val="none"/>
        </w:rPr>
      </w:pPr>
      <w:r>
        <w:rPr>
          <w:rFonts w:ascii="宋体" w:hAnsi="宋体"/>
          <w:color w:val="auto"/>
          <w:sz w:val="24"/>
          <w:highlight w:val="none"/>
        </w:rPr>
        <w:t>甲方（投标人）：________</w:t>
      </w:r>
    </w:p>
    <w:p w14:paraId="45178CAA">
      <w:pPr>
        <w:adjustRightInd w:val="0"/>
        <w:snapToGrid w:val="0"/>
        <w:spacing w:line="360" w:lineRule="auto"/>
        <w:ind w:firstLine="480" w:firstLineChars="200"/>
        <w:jc w:val="left"/>
        <w:rPr>
          <w:rFonts w:ascii="宋体" w:hAnsi="宋体"/>
          <w:color w:val="auto"/>
          <w:sz w:val="24"/>
          <w:highlight w:val="none"/>
        </w:rPr>
      </w:pPr>
      <w:r>
        <w:rPr>
          <w:rFonts w:ascii="宋体" w:hAnsi="宋体"/>
          <w:color w:val="auto"/>
          <w:sz w:val="24"/>
          <w:highlight w:val="none"/>
        </w:rPr>
        <w:t>乙方（拟分包单位）：________</w:t>
      </w:r>
    </w:p>
    <w:p w14:paraId="76BF975E">
      <w:pPr>
        <w:adjustRightInd w:val="0"/>
        <w:snapToGrid w:val="0"/>
        <w:spacing w:line="360" w:lineRule="auto"/>
        <w:ind w:firstLine="480" w:firstLineChars="200"/>
        <w:jc w:val="left"/>
        <w:rPr>
          <w:rFonts w:ascii="宋体" w:hAnsi="宋体"/>
          <w:color w:val="auto"/>
          <w:sz w:val="24"/>
          <w:highlight w:val="none"/>
        </w:rPr>
      </w:pPr>
      <w:r>
        <w:rPr>
          <w:rFonts w:ascii="宋体" w:hAnsi="宋体"/>
          <w:color w:val="auto"/>
          <w:sz w:val="24"/>
          <w:highlight w:val="none"/>
        </w:rPr>
        <w:t>甲方承诺，一旦在_________（采购</w:t>
      </w:r>
      <w:r>
        <w:rPr>
          <w:rFonts w:hint="eastAsia" w:ascii="宋体" w:hAnsi="宋体"/>
          <w:color w:val="auto"/>
          <w:sz w:val="24"/>
          <w:highlight w:val="none"/>
        </w:rPr>
        <w:t>项目名称/标的名称</w:t>
      </w:r>
      <w:r>
        <w:rPr>
          <w:rFonts w:ascii="宋体" w:hAnsi="宋体"/>
          <w:color w:val="auto"/>
          <w:sz w:val="24"/>
          <w:highlight w:val="none"/>
        </w:rPr>
        <w:t>）（项目编号/包号为：_______）招标采购项目中获得采购合同，将按照下述约定将合同项下部分内容分包给乙方：</w:t>
      </w:r>
    </w:p>
    <w:p w14:paraId="5ACC273C">
      <w:pPr>
        <w:adjustRightInd w:val="0"/>
        <w:snapToGrid w:val="0"/>
        <w:spacing w:line="360" w:lineRule="auto"/>
        <w:ind w:firstLine="480" w:firstLineChars="200"/>
        <w:jc w:val="left"/>
        <w:rPr>
          <w:rFonts w:ascii="宋体" w:hAnsi="宋体"/>
          <w:color w:val="auto"/>
          <w:sz w:val="24"/>
          <w:highlight w:val="none"/>
        </w:rPr>
      </w:pPr>
      <w:r>
        <w:rPr>
          <w:rFonts w:ascii="宋体" w:hAnsi="宋体"/>
          <w:color w:val="auto"/>
          <w:sz w:val="24"/>
          <w:highlight w:val="none"/>
        </w:rPr>
        <w:t>1.分包内容：_____。</w:t>
      </w:r>
    </w:p>
    <w:p w14:paraId="5A36E63D">
      <w:pPr>
        <w:adjustRightInd w:val="0"/>
        <w:snapToGrid w:val="0"/>
        <w:spacing w:line="360" w:lineRule="auto"/>
        <w:ind w:firstLine="480" w:firstLineChars="200"/>
        <w:jc w:val="left"/>
        <w:rPr>
          <w:rFonts w:ascii="宋体" w:hAnsi="宋体"/>
          <w:color w:val="auto"/>
          <w:sz w:val="24"/>
          <w:highlight w:val="none"/>
        </w:rPr>
      </w:pPr>
      <w:r>
        <w:rPr>
          <w:rFonts w:ascii="宋体" w:hAnsi="宋体"/>
          <w:color w:val="auto"/>
          <w:sz w:val="24"/>
          <w:highlight w:val="none"/>
        </w:rPr>
        <w:t>2.分包金额：_____，该金额占该采购包预算总金额的比例为___%。</w:t>
      </w:r>
    </w:p>
    <w:p w14:paraId="4F4A8FDF">
      <w:pPr>
        <w:adjustRightInd w:val="0"/>
        <w:snapToGrid w:val="0"/>
        <w:spacing w:line="360" w:lineRule="auto"/>
        <w:ind w:firstLine="480" w:firstLineChars="200"/>
        <w:jc w:val="left"/>
        <w:rPr>
          <w:rFonts w:ascii="宋体" w:hAnsi="宋体"/>
          <w:bCs/>
          <w:color w:val="auto"/>
          <w:sz w:val="24"/>
          <w:highlight w:val="none"/>
        </w:rPr>
      </w:pPr>
      <w:r>
        <w:rPr>
          <w:rFonts w:ascii="宋体" w:hAnsi="宋体"/>
          <w:color w:val="auto"/>
          <w:sz w:val="24"/>
          <w:highlight w:val="none"/>
        </w:rPr>
        <w:t>乙方承诺将在上述情况下与甲方签订分包合同。</w:t>
      </w:r>
    </w:p>
    <w:p w14:paraId="2BD5732F">
      <w:pPr>
        <w:adjustRightInd w:val="0"/>
        <w:snapToGrid w:val="0"/>
        <w:spacing w:line="360" w:lineRule="auto"/>
        <w:ind w:firstLine="480" w:firstLineChars="200"/>
        <w:jc w:val="left"/>
        <w:rPr>
          <w:rFonts w:ascii="宋体" w:hAnsi="宋体"/>
          <w:color w:val="auto"/>
          <w:sz w:val="24"/>
          <w:highlight w:val="none"/>
        </w:rPr>
      </w:pPr>
      <w:r>
        <w:rPr>
          <w:rFonts w:ascii="宋体" w:hAnsi="宋体"/>
          <w:color w:val="auto"/>
          <w:sz w:val="24"/>
          <w:highlight w:val="none"/>
        </w:rPr>
        <w:t>本协议自各方盖章之日起生效，如甲方未在该项目（采购包）中标，本协议自动终止。</w:t>
      </w:r>
    </w:p>
    <w:p w14:paraId="4B11E3FB">
      <w:pPr>
        <w:spacing w:line="360" w:lineRule="auto"/>
        <w:ind w:firstLine="471"/>
        <w:rPr>
          <w:rFonts w:ascii="宋体" w:hAnsi="宋体"/>
          <w:b/>
          <w:color w:val="auto"/>
          <w:sz w:val="24"/>
          <w:highlight w:val="none"/>
        </w:rPr>
      </w:pPr>
    </w:p>
    <w:p w14:paraId="119FD6F7">
      <w:pPr>
        <w:spacing w:line="360" w:lineRule="auto"/>
        <w:ind w:firstLine="471"/>
        <w:rPr>
          <w:rFonts w:ascii="宋体" w:hAnsi="宋体"/>
          <w:b/>
          <w:color w:val="auto"/>
          <w:sz w:val="24"/>
          <w:highlight w:val="none"/>
        </w:rPr>
      </w:pPr>
      <w:r>
        <w:rPr>
          <w:rFonts w:ascii="宋体" w:hAnsi="宋体"/>
          <w:color w:val="auto"/>
          <w:sz w:val="24"/>
          <w:highlight w:val="none"/>
        </w:rPr>
        <w:t>甲方（盖章）：_________                 乙方（盖章）：_________</w:t>
      </w:r>
    </w:p>
    <w:p w14:paraId="31B13CDB">
      <w:pPr>
        <w:spacing w:line="360" w:lineRule="auto"/>
        <w:ind w:left="480"/>
        <w:jc w:val="right"/>
        <w:rPr>
          <w:rFonts w:ascii="宋体" w:hAnsi="宋体"/>
          <w:color w:val="auto"/>
          <w:sz w:val="24"/>
          <w:highlight w:val="none"/>
        </w:rPr>
      </w:pPr>
    </w:p>
    <w:p w14:paraId="2CDB44B2">
      <w:pPr>
        <w:wordWrap w:val="0"/>
        <w:spacing w:line="360" w:lineRule="auto"/>
        <w:ind w:left="480"/>
        <w:jc w:val="right"/>
        <w:rPr>
          <w:rFonts w:ascii="宋体" w:hAnsi="宋体"/>
          <w:b/>
          <w:color w:val="auto"/>
          <w:sz w:val="24"/>
          <w:highlight w:val="none"/>
        </w:rPr>
      </w:pPr>
      <w:r>
        <w:rPr>
          <w:rFonts w:ascii="宋体" w:hAnsi="宋体"/>
          <w:color w:val="auto"/>
          <w:sz w:val="24"/>
          <w:highlight w:val="none"/>
        </w:rPr>
        <w:t xml:space="preserve">日期：_____年______月______日   </w:t>
      </w:r>
    </w:p>
    <w:p w14:paraId="36A4D887">
      <w:pPr>
        <w:tabs>
          <w:tab w:val="left" w:pos="8280"/>
        </w:tabs>
        <w:spacing w:line="360" w:lineRule="auto"/>
        <w:ind w:firstLine="480"/>
        <w:rPr>
          <w:rFonts w:ascii="宋体" w:hAnsi="宋体"/>
          <w:color w:val="auto"/>
          <w:sz w:val="24"/>
          <w:highlight w:val="none"/>
        </w:rPr>
      </w:pPr>
    </w:p>
    <w:p w14:paraId="5A9448B0">
      <w:pPr>
        <w:tabs>
          <w:tab w:val="left" w:pos="8280"/>
        </w:tabs>
        <w:spacing w:line="360" w:lineRule="auto"/>
        <w:rPr>
          <w:rFonts w:ascii="宋体" w:hAnsi="宋体"/>
          <w:color w:val="auto"/>
          <w:sz w:val="24"/>
          <w:highlight w:val="none"/>
        </w:rPr>
        <w:sectPr>
          <w:headerReference r:id="rId27" w:type="default"/>
          <w:footerReference r:id="rId28" w:type="default"/>
          <w:pgSz w:w="11907" w:h="16840"/>
          <w:pgMar w:top="1418" w:right="1134" w:bottom="1418" w:left="1701" w:header="851" w:footer="851" w:gutter="0"/>
          <w:pgNumType w:fmt="decimal"/>
          <w:cols w:space="720" w:num="1"/>
          <w:docGrid w:linePitch="462" w:charSpace="0"/>
        </w:sectPr>
      </w:pPr>
      <w:r>
        <w:rPr>
          <w:rFonts w:ascii="宋体" w:hAnsi="宋体"/>
          <w:color w:val="auto"/>
          <w:sz w:val="24"/>
          <w:highlight w:val="none"/>
        </w:rPr>
        <w:t>说明：投标人须与所有拟分包单位分别签订《分包意向协议》，每单位签订一份，并在投标文件中提交全部协议原件的电子件，否则</w:t>
      </w:r>
      <w:r>
        <w:rPr>
          <w:rFonts w:ascii="宋体" w:hAnsi="宋体"/>
          <w:b/>
          <w:color w:val="auto"/>
          <w:sz w:val="24"/>
          <w:highlight w:val="none"/>
        </w:rPr>
        <w:t>投标无效</w:t>
      </w:r>
      <w:r>
        <w:rPr>
          <w:rFonts w:ascii="宋体" w:hAnsi="宋体"/>
          <w:color w:val="auto"/>
          <w:sz w:val="24"/>
          <w:highlight w:val="none"/>
        </w:rPr>
        <w:t>。</w:t>
      </w:r>
    </w:p>
    <w:p w14:paraId="1E545A31">
      <w:pPr>
        <w:spacing w:line="360" w:lineRule="auto"/>
        <w:outlineLvl w:val="2"/>
        <w:rPr>
          <w:rFonts w:ascii="宋体" w:hAnsi="宋体"/>
          <w:color w:val="auto"/>
          <w:sz w:val="24"/>
          <w:highlight w:val="none"/>
        </w:rPr>
      </w:pPr>
      <w:r>
        <w:rPr>
          <w:rFonts w:ascii="宋体" w:hAnsi="宋体"/>
          <w:color w:val="auto"/>
          <w:sz w:val="24"/>
          <w:highlight w:val="none"/>
        </w:rPr>
        <w:t>2-3 其它落实政府采购政策的资格要求</w:t>
      </w:r>
    </w:p>
    <w:p w14:paraId="3F157E5D">
      <w:pPr>
        <w:widowControl/>
        <w:jc w:val="left"/>
        <w:rPr>
          <w:rFonts w:ascii="宋体" w:hAnsi="宋体"/>
          <w:color w:val="auto"/>
          <w:sz w:val="24"/>
          <w:highlight w:val="none"/>
        </w:rPr>
      </w:pPr>
    </w:p>
    <w:p w14:paraId="5638E100">
      <w:pPr>
        <w:widowControl/>
        <w:jc w:val="left"/>
        <w:rPr>
          <w:rFonts w:ascii="宋体" w:hAnsi="宋体"/>
          <w:color w:val="auto"/>
          <w:sz w:val="24"/>
          <w:highlight w:val="none"/>
        </w:rPr>
      </w:pPr>
      <w:r>
        <w:rPr>
          <w:rFonts w:ascii="宋体" w:hAnsi="宋体"/>
          <w:color w:val="auto"/>
          <w:sz w:val="24"/>
          <w:highlight w:val="none"/>
        </w:rPr>
        <w:br w:type="page"/>
      </w:r>
    </w:p>
    <w:p w14:paraId="1AA6D044">
      <w:pPr>
        <w:spacing w:line="360" w:lineRule="auto"/>
        <w:outlineLvl w:val="2"/>
        <w:rPr>
          <w:rFonts w:ascii="宋体" w:hAnsi="宋体"/>
          <w:color w:val="auto"/>
          <w:sz w:val="24"/>
          <w:highlight w:val="none"/>
        </w:rPr>
      </w:pPr>
      <w:r>
        <w:rPr>
          <w:rFonts w:ascii="宋体" w:hAnsi="宋体"/>
          <w:color w:val="auto"/>
          <w:sz w:val="24"/>
          <w:highlight w:val="none"/>
        </w:rPr>
        <w:t>3 本项目的特定资格要求</w:t>
      </w:r>
    </w:p>
    <w:p w14:paraId="09DDB11F">
      <w:pPr>
        <w:spacing w:line="360" w:lineRule="auto"/>
        <w:outlineLvl w:val="2"/>
        <w:rPr>
          <w:rFonts w:ascii="宋体" w:hAnsi="宋体"/>
          <w:color w:val="auto"/>
          <w:sz w:val="24"/>
          <w:highlight w:val="none"/>
        </w:rPr>
      </w:pPr>
      <w:r>
        <w:rPr>
          <w:rFonts w:ascii="宋体" w:hAnsi="宋体"/>
          <w:color w:val="auto"/>
          <w:sz w:val="24"/>
          <w:highlight w:val="none"/>
        </w:rPr>
        <w:t>3-1联合协议（如有）（实质性格式）</w:t>
      </w:r>
      <w:r>
        <w:rPr>
          <w:rFonts w:hint="eastAsia" w:ascii="宋体" w:hAnsi="宋体"/>
          <w:color w:val="auto"/>
          <w:sz w:val="24"/>
          <w:highlight w:val="none"/>
        </w:rPr>
        <w:t>（本项目不适用）</w:t>
      </w:r>
    </w:p>
    <w:p w14:paraId="266D1EF7">
      <w:pPr>
        <w:autoSpaceDE w:val="0"/>
        <w:autoSpaceDN w:val="0"/>
        <w:adjustRightInd w:val="0"/>
        <w:spacing w:line="360" w:lineRule="auto"/>
        <w:jc w:val="center"/>
        <w:rPr>
          <w:rFonts w:ascii="宋体" w:hAnsi="宋体"/>
          <w:b/>
          <w:color w:val="auto"/>
          <w:sz w:val="24"/>
          <w:highlight w:val="none"/>
        </w:rPr>
      </w:pPr>
      <w:r>
        <w:rPr>
          <w:rFonts w:hint="eastAsia" w:ascii="宋体" w:hAnsi="宋体"/>
          <w:b/>
          <w:color w:val="auto"/>
          <w:sz w:val="24"/>
          <w:highlight w:val="none"/>
        </w:rPr>
        <w:t>联合协议</w:t>
      </w:r>
    </w:p>
    <w:p w14:paraId="24C81F26">
      <w:pPr>
        <w:spacing w:line="360" w:lineRule="auto"/>
        <w:ind w:firstLine="828" w:firstLineChars="345"/>
        <w:rPr>
          <w:rFonts w:ascii="宋体" w:hAnsi="宋体"/>
          <w:bCs/>
          <w:color w:val="auto"/>
          <w:sz w:val="24"/>
          <w:highlight w:val="none"/>
        </w:rPr>
      </w:pPr>
      <w:r>
        <w:rPr>
          <w:rFonts w:ascii="宋体" w:hAnsi="宋体"/>
          <w:bCs/>
          <w:color w:val="auto"/>
          <w:sz w:val="24"/>
          <w:highlight w:val="none"/>
        </w:rPr>
        <w:t>______ 、 _____ 及 _____就“________（</w:t>
      </w:r>
      <w:r>
        <w:rPr>
          <w:rFonts w:hint="eastAsia" w:ascii="宋体" w:hAnsi="宋体"/>
          <w:bCs/>
          <w:color w:val="auto"/>
          <w:sz w:val="24"/>
          <w:highlight w:val="none"/>
        </w:rPr>
        <w:t>项目名称/标的名称</w:t>
      </w:r>
      <w:r>
        <w:rPr>
          <w:rFonts w:ascii="宋体" w:hAnsi="宋体"/>
          <w:bCs/>
          <w:color w:val="auto"/>
          <w:sz w:val="24"/>
          <w:highlight w:val="none"/>
        </w:rPr>
        <w:t>）</w:t>
      </w:r>
      <w:r>
        <w:rPr>
          <w:rFonts w:ascii="宋体" w:hAnsi="宋体"/>
          <w:color w:val="auto"/>
          <w:sz w:val="24"/>
          <w:highlight w:val="none"/>
        </w:rPr>
        <w:t>”____包</w:t>
      </w:r>
      <w:r>
        <w:rPr>
          <w:rFonts w:ascii="宋体" w:hAnsi="宋体"/>
          <w:bCs/>
          <w:color w:val="auto"/>
          <w:sz w:val="24"/>
          <w:highlight w:val="none"/>
        </w:rPr>
        <w:t>招标项目的投标事宜，经各方充分协商一致，达成如下协议：</w:t>
      </w:r>
    </w:p>
    <w:p w14:paraId="7BA08A3A">
      <w:pPr>
        <w:numPr>
          <w:ilvl w:val="0"/>
          <w:numId w:val="32"/>
        </w:numPr>
        <w:spacing w:line="360" w:lineRule="auto"/>
        <w:rPr>
          <w:rFonts w:ascii="宋体" w:hAnsi="宋体"/>
          <w:bCs/>
          <w:color w:val="auto"/>
          <w:sz w:val="24"/>
          <w:highlight w:val="none"/>
        </w:rPr>
      </w:pPr>
      <w:r>
        <w:rPr>
          <w:rFonts w:ascii="宋体" w:hAnsi="宋体"/>
          <w:bCs/>
          <w:color w:val="auto"/>
          <w:sz w:val="24"/>
          <w:highlight w:val="none"/>
        </w:rPr>
        <w:t>由_________牵头，_________、__________参加，组成联合体共同进行招标项目的投标工作。</w:t>
      </w:r>
    </w:p>
    <w:p w14:paraId="3989E186">
      <w:pPr>
        <w:numPr>
          <w:ilvl w:val="0"/>
          <w:numId w:val="32"/>
        </w:numPr>
        <w:spacing w:line="360" w:lineRule="auto"/>
        <w:rPr>
          <w:rFonts w:ascii="宋体" w:hAnsi="宋体"/>
          <w:bCs/>
          <w:color w:val="auto"/>
          <w:sz w:val="24"/>
          <w:highlight w:val="none"/>
        </w:rPr>
      </w:pPr>
      <w:r>
        <w:rPr>
          <w:rFonts w:ascii="宋体" w:hAnsi="宋体"/>
          <w:bCs/>
          <w:color w:val="auto"/>
          <w:sz w:val="24"/>
          <w:highlight w:val="none"/>
        </w:rPr>
        <w:t>______为本次投标的牵头人，联合体以牵头人的名义参加投标，联合体中标后，联合体各方共同与采购人签订合同，就</w:t>
      </w:r>
      <w:r>
        <w:rPr>
          <w:rFonts w:hint="eastAsia" w:ascii="宋体" w:hAnsi="宋体"/>
          <w:bCs/>
          <w:color w:val="auto"/>
          <w:sz w:val="24"/>
          <w:highlight w:val="none"/>
        </w:rPr>
        <w:t>采购合同约定的事项</w:t>
      </w:r>
      <w:r>
        <w:rPr>
          <w:rFonts w:ascii="宋体" w:hAnsi="宋体"/>
          <w:bCs/>
          <w:color w:val="auto"/>
          <w:sz w:val="24"/>
          <w:highlight w:val="none"/>
        </w:rPr>
        <w:t>对采购人承担连带责任。</w:t>
      </w:r>
    </w:p>
    <w:p w14:paraId="6A993FBD">
      <w:pPr>
        <w:numPr>
          <w:ilvl w:val="0"/>
          <w:numId w:val="32"/>
        </w:numPr>
        <w:spacing w:line="360" w:lineRule="auto"/>
        <w:rPr>
          <w:rFonts w:ascii="宋体" w:hAnsi="宋体"/>
          <w:bCs/>
          <w:color w:val="auto"/>
          <w:sz w:val="24"/>
          <w:highlight w:val="none"/>
        </w:rPr>
      </w:pPr>
      <w:r>
        <w:rPr>
          <w:rFonts w:ascii="宋体" w:hAnsi="宋体"/>
          <w:bCs/>
          <w:color w:val="auto"/>
          <w:sz w:val="24"/>
          <w:highlight w:val="none"/>
        </w:rPr>
        <w:t>联合体各方均同意由牵头人代表其他联合体成员单位按招标文件要求出具《授权委托书》。</w:t>
      </w:r>
    </w:p>
    <w:p w14:paraId="113FE39B">
      <w:pPr>
        <w:numPr>
          <w:ilvl w:val="0"/>
          <w:numId w:val="32"/>
        </w:numPr>
        <w:spacing w:line="360" w:lineRule="auto"/>
        <w:rPr>
          <w:rFonts w:ascii="宋体" w:hAnsi="宋体"/>
          <w:bCs/>
          <w:color w:val="auto"/>
          <w:sz w:val="24"/>
          <w:highlight w:val="none"/>
        </w:rPr>
      </w:pPr>
      <w:r>
        <w:rPr>
          <w:rFonts w:ascii="宋体" w:hAnsi="宋体"/>
          <w:bCs/>
          <w:color w:val="auto"/>
          <w:sz w:val="24"/>
          <w:highlight w:val="none"/>
        </w:rPr>
        <w:t>牵头人为项目的总负责单位；组织各参加方进行项目实施工作。</w:t>
      </w:r>
    </w:p>
    <w:p w14:paraId="1FF9CDF8">
      <w:pPr>
        <w:numPr>
          <w:ilvl w:val="0"/>
          <w:numId w:val="32"/>
        </w:numPr>
        <w:spacing w:line="360" w:lineRule="auto"/>
        <w:rPr>
          <w:rFonts w:ascii="宋体" w:hAnsi="宋体"/>
          <w:bCs/>
          <w:color w:val="auto"/>
          <w:sz w:val="24"/>
          <w:highlight w:val="none"/>
        </w:rPr>
      </w:pPr>
      <w:r>
        <w:rPr>
          <w:rFonts w:ascii="宋体" w:hAnsi="宋体"/>
          <w:bCs/>
          <w:color w:val="auto"/>
          <w:sz w:val="24"/>
          <w:highlight w:val="none"/>
        </w:rPr>
        <w:t>______负责_____，具体工作范围、内容以投标文件及合同为准。</w:t>
      </w:r>
    </w:p>
    <w:p w14:paraId="1947E457">
      <w:pPr>
        <w:numPr>
          <w:ilvl w:val="0"/>
          <w:numId w:val="32"/>
        </w:numPr>
        <w:spacing w:line="360" w:lineRule="auto"/>
        <w:rPr>
          <w:rFonts w:ascii="宋体" w:hAnsi="宋体"/>
          <w:bCs/>
          <w:color w:val="auto"/>
          <w:sz w:val="24"/>
          <w:highlight w:val="none"/>
        </w:rPr>
      </w:pPr>
      <w:r>
        <w:rPr>
          <w:rFonts w:ascii="宋体" w:hAnsi="宋体"/>
          <w:bCs/>
          <w:color w:val="auto"/>
          <w:sz w:val="24"/>
          <w:highlight w:val="none"/>
        </w:rPr>
        <w:t>______负责_____，具体工作范围、内容以投标文件及合同为准。</w:t>
      </w:r>
    </w:p>
    <w:p w14:paraId="509EB498">
      <w:pPr>
        <w:numPr>
          <w:ilvl w:val="0"/>
          <w:numId w:val="32"/>
        </w:numPr>
        <w:spacing w:line="360" w:lineRule="auto"/>
        <w:rPr>
          <w:rFonts w:ascii="宋体" w:hAnsi="宋体"/>
          <w:bCs/>
          <w:color w:val="auto"/>
          <w:sz w:val="24"/>
          <w:highlight w:val="none"/>
        </w:rPr>
      </w:pPr>
      <w:r>
        <w:rPr>
          <w:rFonts w:ascii="宋体" w:hAnsi="宋体"/>
          <w:bCs/>
          <w:color w:val="auto"/>
          <w:sz w:val="24"/>
          <w:highlight w:val="none"/>
        </w:rPr>
        <w:t>______负责_____（如有），具体工作范围、内容以投标文件及合同为准。</w:t>
      </w:r>
    </w:p>
    <w:p w14:paraId="737BE663">
      <w:pPr>
        <w:numPr>
          <w:ilvl w:val="0"/>
          <w:numId w:val="32"/>
        </w:numPr>
        <w:spacing w:line="360" w:lineRule="auto"/>
        <w:rPr>
          <w:rFonts w:ascii="宋体" w:hAnsi="宋体"/>
          <w:color w:val="auto"/>
          <w:sz w:val="24"/>
          <w:highlight w:val="none"/>
        </w:rPr>
      </w:pPr>
      <w:r>
        <w:rPr>
          <w:rFonts w:ascii="宋体" w:hAnsi="宋体"/>
          <w:color w:val="auto"/>
          <w:sz w:val="24"/>
          <w:highlight w:val="none"/>
        </w:rPr>
        <w:t>本项目联合协议合同总额为________元，联合体各成员按照如下比例分摊（按联合体成员分别列明）：</w:t>
      </w:r>
    </w:p>
    <w:p w14:paraId="533E605A">
      <w:pPr>
        <w:tabs>
          <w:tab w:val="left" w:pos="720"/>
          <w:tab w:val="left" w:pos="900"/>
        </w:tabs>
        <w:spacing w:line="360" w:lineRule="auto"/>
        <w:ind w:left="851"/>
        <w:rPr>
          <w:rFonts w:ascii="宋体" w:hAnsi="宋体"/>
          <w:color w:val="auto"/>
          <w:sz w:val="24"/>
          <w:highlight w:val="none"/>
        </w:rPr>
      </w:pPr>
      <w:r>
        <w:rPr>
          <w:rFonts w:ascii="宋体" w:hAnsi="宋体"/>
          <w:color w:val="auto"/>
          <w:sz w:val="24"/>
          <w:highlight w:val="none"/>
        </w:rPr>
        <w:t>（1）</w:t>
      </w:r>
      <w:r>
        <w:rPr>
          <w:rFonts w:ascii="宋体" w:hAnsi="宋体"/>
          <w:bCs/>
          <w:color w:val="auto"/>
          <w:sz w:val="24"/>
          <w:highlight w:val="none"/>
        </w:rPr>
        <w:t>______</w:t>
      </w:r>
      <w:r>
        <w:rPr>
          <w:rFonts w:ascii="宋体" w:hAnsi="宋体"/>
          <w:color w:val="auto"/>
          <w:sz w:val="24"/>
          <w:highlight w:val="none"/>
        </w:rPr>
        <w:t>为□大型企业□中型企业、□小微企业（包含监狱企业、残疾人福利性单位）、□其他，合同金额为_____元；</w:t>
      </w:r>
    </w:p>
    <w:p w14:paraId="7C7FC0DF">
      <w:pPr>
        <w:tabs>
          <w:tab w:val="left" w:pos="720"/>
          <w:tab w:val="left" w:pos="900"/>
        </w:tabs>
        <w:spacing w:line="360" w:lineRule="auto"/>
        <w:ind w:left="851"/>
        <w:rPr>
          <w:rFonts w:ascii="宋体" w:hAnsi="宋体"/>
          <w:color w:val="auto"/>
          <w:sz w:val="24"/>
          <w:highlight w:val="none"/>
        </w:rPr>
      </w:pPr>
      <w:r>
        <w:rPr>
          <w:rFonts w:ascii="宋体" w:hAnsi="宋体"/>
          <w:color w:val="auto"/>
          <w:sz w:val="24"/>
          <w:highlight w:val="none"/>
        </w:rPr>
        <w:t>（2）</w:t>
      </w:r>
      <w:r>
        <w:rPr>
          <w:rFonts w:ascii="宋体" w:hAnsi="宋体"/>
          <w:bCs/>
          <w:color w:val="auto"/>
          <w:sz w:val="24"/>
          <w:highlight w:val="none"/>
        </w:rPr>
        <w:t>______</w:t>
      </w:r>
      <w:r>
        <w:rPr>
          <w:rFonts w:ascii="宋体" w:hAnsi="宋体"/>
          <w:color w:val="auto"/>
          <w:sz w:val="24"/>
          <w:highlight w:val="none"/>
        </w:rPr>
        <w:t>为□大型企业□中型企业、□小微企业（包含监狱企业、残疾人福利性单位）、□其他，合同金额为_____元；</w:t>
      </w:r>
    </w:p>
    <w:p w14:paraId="6241168D">
      <w:pPr>
        <w:tabs>
          <w:tab w:val="left" w:pos="720"/>
          <w:tab w:val="left" w:pos="900"/>
        </w:tabs>
        <w:spacing w:line="360" w:lineRule="auto"/>
        <w:ind w:left="851"/>
        <w:rPr>
          <w:rFonts w:ascii="宋体" w:hAnsi="宋体"/>
          <w:color w:val="auto"/>
          <w:sz w:val="24"/>
          <w:highlight w:val="none"/>
        </w:rPr>
      </w:pPr>
      <w:r>
        <w:rPr>
          <w:rFonts w:ascii="宋体" w:hAnsi="宋体"/>
          <w:color w:val="auto"/>
          <w:sz w:val="24"/>
          <w:highlight w:val="none"/>
        </w:rPr>
        <w:t>（…）</w:t>
      </w:r>
      <w:r>
        <w:rPr>
          <w:rFonts w:ascii="宋体" w:hAnsi="宋体"/>
          <w:bCs/>
          <w:color w:val="auto"/>
          <w:sz w:val="24"/>
          <w:highlight w:val="none"/>
        </w:rPr>
        <w:t>______</w:t>
      </w:r>
      <w:r>
        <w:rPr>
          <w:rFonts w:ascii="宋体" w:hAnsi="宋体"/>
          <w:color w:val="auto"/>
          <w:sz w:val="24"/>
          <w:highlight w:val="none"/>
        </w:rPr>
        <w:t>为□大型企业□中型企业、□小微企业（包含监狱企业、残疾人福利性单位）、□其他，合同金额为_____元。</w:t>
      </w:r>
    </w:p>
    <w:p w14:paraId="4D32425A">
      <w:pPr>
        <w:numPr>
          <w:ilvl w:val="0"/>
          <w:numId w:val="32"/>
        </w:numPr>
        <w:tabs>
          <w:tab w:val="left" w:pos="993"/>
        </w:tabs>
        <w:spacing w:line="360" w:lineRule="auto"/>
        <w:rPr>
          <w:rFonts w:ascii="宋体" w:hAnsi="宋体"/>
          <w:bCs/>
          <w:color w:val="auto"/>
          <w:sz w:val="24"/>
          <w:highlight w:val="none"/>
        </w:rPr>
      </w:pPr>
      <w:r>
        <w:rPr>
          <w:rFonts w:hint="eastAsia" w:ascii="宋体" w:hAnsi="宋体"/>
          <w:bCs/>
          <w:color w:val="auto"/>
          <w:sz w:val="24"/>
          <w:highlight w:val="none"/>
        </w:rPr>
        <w:t>以联合体形式参加政府采购活动的，联合体各方不得再单独参加或者与其他供应商另外组成联合体参加同一合同项下的政府采购活动</w:t>
      </w:r>
      <w:r>
        <w:rPr>
          <w:rFonts w:ascii="宋体" w:hAnsi="宋体"/>
          <w:bCs/>
          <w:color w:val="auto"/>
          <w:sz w:val="24"/>
          <w:highlight w:val="none"/>
        </w:rPr>
        <w:t>。</w:t>
      </w:r>
    </w:p>
    <w:p w14:paraId="112A8B43">
      <w:pPr>
        <w:numPr>
          <w:ilvl w:val="0"/>
          <w:numId w:val="32"/>
        </w:numPr>
        <w:spacing w:line="360" w:lineRule="auto"/>
        <w:rPr>
          <w:rFonts w:ascii="宋体" w:hAnsi="宋体"/>
          <w:bCs/>
          <w:color w:val="auto"/>
          <w:sz w:val="24"/>
          <w:highlight w:val="none"/>
        </w:rPr>
      </w:pPr>
      <w:r>
        <w:rPr>
          <w:rFonts w:ascii="宋体" w:hAnsi="宋体"/>
          <w:bCs/>
          <w:color w:val="auto"/>
          <w:sz w:val="24"/>
          <w:highlight w:val="none"/>
        </w:rPr>
        <w:t>其他约定（如有）：_______</w:t>
      </w:r>
      <w:r>
        <w:rPr>
          <w:rFonts w:hint="eastAsia" w:ascii="宋体" w:hAnsi="宋体"/>
          <w:bCs/>
          <w:color w:val="auto"/>
          <w:sz w:val="24"/>
          <w:highlight w:val="none"/>
        </w:rPr>
        <w:t>。</w:t>
      </w:r>
    </w:p>
    <w:p w14:paraId="3E5D65A3">
      <w:pPr>
        <w:tabs>
          <w:tab w:val="left" w:pos="780"/>
        </w:tabs>
        <w:spacing w:line="360" w:lineRule="auto"/>
        <w:ind w:firstLine="480" w:firstLineChars="200"/>
        <w:rPr>
          <w:rFonts w:ascii="宋体" w:hAnsi="宋体"/>
          <w:color w:val="auto"/>
          <w:sz w:val="24"/>
          <w:highlight w:val="none"/>
        </w:rPr>
      </w:pPr>
      <w:r>
        <w:rPr>
          <w:rFonts w:ascii="宋体" w:hAnsi="宋体"/>
          <w:bCs/>
          <w:color w:val="auto"/>
          <w:sz w:val="24"/>
          <w:highlight w:val="none"/>
        </w:rPr>
        <w:t>本协议自各方盖章后生效，</w:t>
      </w:r>
      <w:r>
        <w:rPr>
          <w:rFonts w:hint="eastAsia" w:ascii="宋体" w:hAnsi="宋体"/>
          <w:bCs/>
          <w:color w:val="auto"/>
          <w:sz w:val="24"/>
          <w:highlight w:val="none"/>
        </w:rPr>
        <w:t>采购合同履行完毕后自动失效。</w:t>
      </w:r>
      <w:r>
        <w:rPr>
          <w:rFonts w:ascii="宋体" w:hAnsi="宋体"/>
          <w:bCs/>
          <w:color w:val="auto"/>
          <w:sz w:val="24"/>
          <w:highlight w:val="none"/>
        </w:rPr>
        <w:t>如未中标，本协议自动终止。</w:t>
      </w:r>
      <w:r>
        <w:rPr>
          <w:rFonts w:ascii="宋体" w:hAnsi="宋体"/>
          <w:color w:val="auto"/>
          <w:sz w:val="24"/>
          <w:highlight w:val="none"/>
        </w:rPr>
        <w:br w:type="page"/>
      </w:r>
    </w:p>
    <w:p w14:paraId="281491FA">
      <w:pPr>
        <w:spacing w:line="360" w:lineRule="auto"/>
        <w:ind w:firstLine="471"/>
        <w:rPr>
          <w:rFonts w:ascii="宋体" w:hAnsi="宋体"/>
          <w:color w:val="auto"/>
          <w:sz w:val="24"/>
          <w:highlight w:val="none"/>
        </w:rPr>
      </w:pPr>
      <w:r>
        <w:rPr>
          <w:rFonts w:hint="eastAsia" w:ascii="宋体" w:hAnsi="宋体"/>
          <w:color w:val="auto"/>
          <w:sz w:val="24"/>
          <w:highlight w:val="none"/>
        </w:rPr>
        <w:t>联合体</w:t>
      </w:r>
      <w:r>
        <w:rPr>
          <w:rFonts w:ascii="宋体" w:hAnsi="宋体"/>
          <w:color w:val="auto"/>
          <w:sz w:val="24"/>
          <w:highlight w:val="none"/>
        </w:rPr>
        <w:t>牵头人</w:t>
      </w:r>
      <w:r>
        <w:rPr>
          <w:rFonts w:hint="eastAsia" w:ascii="宋体" w:hAnsi="宋体"/>
          <w:color w:val="auto"/>
          <w:sz w:val="24"/>
          <w:highlight w:val="none"/>
        </w:rPr>
        <w:t>名称：</w:t>
      </w:r>
      <w:r>
        <w:rPr>
          <w:rFonts w:ascii="宋体" w:hAnsi="宋体"/>
          <w:color w:val="auto"/>
          <w:sz w:val="24"/>
          <w:highlight w:val="none"/>
        </w:rPr>
        <w:t>______</w:t>
      </w:r>
      <w:r>
        <w:rPr>
          <w:rFonts w:ascii="宋体" w:hAnsi="宋体"/>
          <w:color w:val="auto"/>
          <w:sz w:val="24"/>
          <w:highlight w:val="none"/>
        </w:rPr>
        <w:tab/>
      </w:r>
      <w:r>
        <w:rPr>
          <w:rFonts w:ascii="宋体" w:hAnsi="宋体"/>
          <w:color w:val="auto"/>
          <w:sz w:val="24"/>
          <w:highlight w:val="none"/>
        </w:rPr>
        <w:tab/>
      </w:r>
      <w:r>
        <w:rPr>
          <w:rFonts w:ascii="宋体" w:hAnsi="宋体"/>
          <w:color w:val="auto"/>
          <w:sz w:val="24"/>
          <w:highlight w:val="none"/>
        </w:rPr>
        <w:tab/>
      </w:r>
      <w:r>
        <w:rPr>
          <w:rFonts w:ascii="宋体" w:hAnsi="宋体"/>
          <w:color w:val="auto"/>
          <w:sz w:val="24"/>
          <w:highlight w:val="none"/>
        </w:rPr>
        <w:tab/>
      </w:r>
      <w:r>
        <w:rPr>
          <w:rFonts w:ascii="宋体" w:hAnsi="宋体"/>
          <w:color w:val="auto"/>
          <w:sz w:val="24"/>
          <w:highlight w:val="none"/>
        </w:rPr>
        <w:tab/>
      </w:r>
      <w:r>
        <w:rPr>
          <w:rFonts w:ascii="宋体" w:hAnsi="宋体"/>
          <w:color w:val="auto"/>
          <w:sz w:val="24"/>
          <w:highlight w:val="none"/>
        </w:rPr>
        <w:t xml:space="preserve"> </w:t>
      </w:r>
      <w:r>
        <w:rPr>
          <w:rFonts w:hint="eastAsia" w:ascii="宋体" w:hAnsi="宋体"/>
          <w:color w:val="auto"/>
          <w:sz w:val="24"/>
          <w:highlight w:val="none"/>
        </w:rPr>
        <w:t>联合体成员名称</w:t>
      </w:r>
      <w:r>
        <w:rPr>
          <w:rFonts w:ascii="宋体" w:hAnsi="宋体"/>
          <w:color w:val="auto"/>
          <w:sz w:val="24"/>
          <w:highlight w:val="none"/>
        </w:rPr>
        <w:t>：______</w:t>
      </w:r>
    </w:p>
    <w:p w14:paraId="0866038A">
      <w:pPr>
        <w:spacing w:line="360" w:lineRule="auto"/>
        <w:ind w:firstLine="471"/>
        <w:rPr>
          <w:rFonts w:ascii="宋体" w:hAnsi="宋体"/>
          <w:color w:val="auto"/>
          <w:sz w:val="24"/>
          <w:highlight w:val="none"/>
        </w:rPr>
      </w:pPr>
      <w:r>
        <w:rPr>
          <w:rFonts w:ascii="宋体" w:hAnsi="宋体"/>
          <w:color w:val="auto"/>
          <w:sz w:val="24"/>
          <w:highlight w:val="none"/>
        </w:rPr>
        <w:t>盖章：______                           盖章：______</w:t>
      </w:r>
    </w:p>
    <w:p w14:paraId="7C0A2328">
      <w:pPr>
        <w:spacing w:line="360" w:lineRule="auto"/>
        <w:ind w:firstLine="471"/>
        <w:rPr>
          <w:rFonts w:ascii="宋体" w:hAnsi="宋体"/>
          <w:color w:val="auto"/>
          <w:sz w:val="24"/>
          <w:highlight w:val="none"/>
        </w:rPr>
      </w:pPr>
    </w:p>
    <w:p w14:paraId="5665E199">
      <w:pPr>
        <w:spacing w:line="360" w:lineRule="auto"/>
        <w:ind w:firstLine="471"/>
        <w:rPr>
          <w:rFonts w:ascii="宋体" w:hAnsi="宋体"/>
          <w:color w:val="auto"/>
          <w:sz w:val="24"/>
          <w:highlight w:val="none"/>
        </w:rPr>
      </w:pPr>
    </w:p>
    <w:p w14:paraId="34691863">
      <w:pPr>
        <w:spacing w:line="360" w:lineRule="auto"/>
        <w:ind w:firstLine="471"/>
        <w:rPr>
          <w:rFonts w:ascii="宋体" w:hAnsi="宋体"/>
          <w:color w:val="auto"/>
          <w:sz w:val="24"/>
          <w:highlight w:val="none"/>
        </w:rPr>
      </w:pPr>
      <w:r>
        <w:rPr>
          <w:rFonts w:hint="eastAsia" w:ascii="宋体" w:hAnsi="宋体"/>
          <w:color w:val="auto"/>
          <w:sz w:val="24"/>
          <w:highlight w:val="none"/>
        </w:rPr>
        <w:t>联合体成员名称</w:t>
      </w:r>
      <w:r>
        <w:rPr>
          <w:rFonts w:ascii="宋体" w:hAnsi="宋体"/>
          <w:color w:val="auto"/>
          <w:sz w:val="24"/>
          <w:highlight w:val="none"/>
        </w:rPr>
        <w:t>：______</w:t>
      </w:r>
    </w:p>
    <w:p w14:paraId="00D4DE21">
      <w:pPr>
        <w:spacing w:line="360" w:lineRule="auto"/>
        <w:ind w:firstLine="471"/>
        <w:rPr>
          <w:rFonts w:ascii="宋体" w:hAnsi="宋体"/>
          <w:color w:val="auto"/>
          <w:sz w:val="24"/>
          <w:highlight w:val="none"/>
        </w:rPr>
      </w:pPr>
      <w:r>
        <w:rPr>
          <w:rFonts w:ascii="宋体" w:hAnsi="宋体"/>
          <w:color w:val="auto"/>
          <w:sz w:val="24"/>
          <w:highlight w:val="none"/>
        </w:rPr>
        <w:t xml:space="preserve">盖章：______                                </w:t>
      </w:r>
    </w:p>
    <w:p w14:paraId="566B2748">
      <w:pPr>
        <w:spacing w:line="360" w:lineRule="auto"/>
        <w:ind w:firstLine="471"/>
        <w:rPr>
          <w:rFonts w:ascii="宋体" w:hAnsi="宋体"/>
          <w:color w:val="auto"/>
          <w:sz w:val="24"/>
          <w:highlight w:val="none"/>
        </w:rPr>
      </w:pPr>
    </w:p>
    <w:p w14:paraId="3A08F9D6">
      <w:pPr>
        <w:spacing w:line="360" w:lineRule="auto"/>
        <w:ind w:firstLine="471"/>
        <w:rPr>
          <w:rFonts w:ascii="宋体" w:hAnsi="宋体"/>
          <w:color w:val="auto"/>
          <w:sz w:val="24"/>
          <w:highlight w:val="none"/>
        </w:rPr>
      </w:pPr>
    </w:p>
    <w:p w14:paraId="2ED37B65">
      <w:pPr>
        <w:spacing w:line="360" w:lineRule="auto"/>
        <w:ind w:left="480"/>
        <w:jc w:val="right"/>
        <w:rPr>
          <w:rFonts w:ascii="宋体" w:hAnsi="宋体"/>
          <w:color w:val="auto"/>
          <w:sz w:val="24"/>
          <w:highlight w:val="none"/>
        </w:rPr>
      </w:pPr>
    </w:p>
    <w:p w14:paraId="3E15F614">
      <w:pPr>
        <w:spacing w:line="360" w:lineRule="auto"/>
        <w:ind w:left="480"/>
        <w:jc w:val="right"/>
        <w:rPr>
          <w:rFonts w:ascii="宋体" w:hAnsi="宋体"/>
          <w:color w:val="auto"/>
          <w:sz w:val="24"/>
          <w:highlight w:val="none"/>
        </w:rPr>
      </w:pPr>
      <w:r>
        <w:rPr>
          <w:rFonts w:ascii="宋体" w:hAnsi="宋体"/>
          <w:color w:val="auto"/>
          <w:sz w:val="24"/>
          <w:highlight w:val="none"/>
        </w:rPr>
        <w:t>日期：_____年______月______日</w:t>
      </w:r>
    </w:p>
    <w:p w14:paraId="22ED4AA8">
      <w:pPr>
        <w:spacing w:line="360" w:lineRule="auto"/>
        <w:ind w:left="480"/>
        <w:jc w:val="right"/>
        <w:rPr>
          <w:rFonts w:ascii="宋体" w:hAnsi="宋体"/>
          <w:b/>
          <w:color w:val="auto"/>
          <w:sz w:val="24"/>
          <w:highlight w:val="none"/>
        </w:rPr>
      </w:pPr>
    </w:p>
    <w:p w14:paraId="721AC0E7">
      <w:pPr>
        <w:tabs>
          <w:tab w:val="left" w:pos="8280"/>
        </w:tabs>
        <w:spacing w:line="360" w:lineRule="auto"/>
        <w:ind w:firstLine="480"/>
        <w:rPr>
          <w:rFonts w:ascii="宋体" w:hAnsi="宋体"/>
          <w:color w:val="auto"/>
          <w:sz w:val="24"/>
          <w:highlight w:val="none"/>
        </w:rPr>
      </w:pPr>
    </w:p>
    <w:p w14:paraId="36A8A132">
      <w:pPr>
        <w:tabs>
          <w:tab w:val="left" w:pos="8280"/>
        </w:tabs>
        <w:spacing w:line="360" w:lineRule="auto"/>
        <w:ind w:firstLine="480"/>
        <w:rPr>
          <w:rFonts w:ascii="宋体" w:hAnsi="宋体"/>
          <w:color w:val="auto"/>
          <w:sz w:val="24"/>
          <w:highlight w:val="none"/>
        </w:rPr>
      </w:pPr>
    </w:p>
    <w:p w14:paraId="67138420">
      <w:pPr>
        <w:spacing w:line="360" w:lineRule="auto"/>
        <w:ind w:left="719" w:leftChars="228" w:hanging="240" w:hangingChars="100"/>
        <w:rPr>
          <w:rFonts w:ascii="宋体" w:hAnsi="宋体"/>
          <w:color w:val="auto"/>
          <w:sz w:val="24"/>
          <w:highlight w:val="none"/>
        </w:rPr>
      </w:pPr>
      <w:r>
        <w:rPr>
          <w:rFonts w:ascii="宋体" w:hAnsi="宋体"/>
          <w:color w:val="auto"/>
          <w:sz w:val="24"/>
          <w:highlight w:val="none"/>
        </w:rPr>
        <w:t>注：联合体各方成员应在本协议上共同盖章，不得分别签署协议书。</w:t>
      </w:r>
    </w:p>
    <w:p w14:paraId="682CE30E">
      <w:pPr>
        <w:spacing w:line="360" w:lineRule="auto"/>
        <w:ind w:left="719" w:leftChars="228" w:hanging="240" w:hangingChars="100"/>
        <w:rPr>
          <w:rFonts w:ascii="宋体" w:hAnsi="宋体"/>
          <w:color w:val="auto"/>
          <w:sz w:val="24"/>
          <w:highlight w:val="none"/>
        </w:rPr>
      </w:pPr>
      <w:r>
        <w:rPr>
          <w:rFonts w:ascii="宋体" w:hAnsi="宋体"/>
          <w:color w:val="auto"/>
          <w:sz w:val="24"/>
          <w:highlight w:val="none"/>
        </w:rPr>
        <w:br w:type="page"/>
      </w:r>
    </w:p>
    <w:p w14:paraId="25D18902">
      <w:pPr>
        <w:spacing w:line="360" w:lineRule="auto"/>
        <w:rPr>
          <w:rFonts w:ascii="宋体" w:hAnsi="宋体"/>
          <w:color w:val="auto"/>
          <w:sz w:val="24"/>
          <w:highlight w:val="none"/>
        </w:rPr>
      </w:pPr>
      <w:r>
        <w:rPr>
          <w:rFonts w:ascii="宋体" w:hAnsi="宋体"/>
          <w:color w:val="auto"/>
          <w:sz w:val="24"/>
          <w:highlight w:val="none"/>
        </w:rPr>
        <w:t>3-2其他特定资格要求</w:t>
      </w:r>
      <w:r>
        <w:rPr>
          <w:rFonts w:hint="eastAsia" w:ascii="宋体" w:hAnsi="宋体"/>
          <w:color w:val="auto"/>
          <w:sz w:val="24"/>
          <w:highlight w:val="none"/>
        </w:rPr>
        <w:t>（</w:t>
      </w:r>
      <w:r>
        <w:rPr>
          <w:rFonts w:hint="eastAsia" w:ascii="宋体" w:hAnsi="宋体"/>
          <w:bCs/>
          <w:color w:val="auto"/>
          <w:sz w:val="24"/>
          <w:highlight w:val="none"/>
        </w:rPr>
        <w:t>格式自拟）</w:t>
      </w:r>
    </w:p>
    <w:p w14:paraId="43F6B90A">
      <w:pPr>
        <w:widowControl/>
        <w:jc w:val="left"/>
        <w:rPr>
          <w:rFonts w:ascii="宋体" w:hAnsi="宋体"/>
          <w:color w:val="auto"/>
          <w:sz w:val="24"/>
          <w:highlight w:val="none"/>
        </w:rPr>
      </w:pPr>
      <w:r>
        <w:rPr>
          <w:rFonts w:ascii="宋体" w:hAnsi="宋体"/>
          <w:color w:val="auto"/>
          <w:sz w:val="24"/>
          <w:highlight w:val="none"/>
        </w:rPr>
        <w:br w:type="page"/>
      </w:r>
    </w:p>
    <w:p w14:paraId="1A681E64">
      <w:pPr>
        <w:shd w:val="clear"/>
        <w:spacing w:line="360" w:lineRule="auto"/>
        <w:outlineLvl w:val="2"/>
        <w:rPr>
          <w:rFonts w:hint="eastAsia" w:ascii="宋体" w:hAnsi="宋体" w:eastAsia="宋体"/>
          <w:color w:val="auto"/>
          <w:sz w:val="24"/>
          <w:highlight w:val="none"/>
          <w:lang w:eastAsia="zh-CN"/>
        </w:rPr>
      </w:pPr>
      <w:r>
        <w:rPr>
          <w:rFonts w:ascii="宋体" w:hAnsi="宋体"/>
          <w:color w:val="auto"/>
          <w:sz w:val="24"/>
          <w:highlight w:val="none"/>
        </w:rPr>
        <w:t>4 投标保证金</w:t>
      </w:r>
      <w:r>
        <w:rPr>
          <w:rFonts w:hint="eastAsia" w:ascii="宋体" w:hAnsi="宋体"/>
          <w:color w:val="auto"/>
          <w:sz w:val="24"/>
          <w:highlight w:val="none"/>
        </w:rPr>
        <w:t>凭证/</w:t>
      </w:r>
      <w:r>
        <w:rPr>
          <w:rFonts w:ascii="宋体" w:hAnsi="宋体"/>
          <w:color w:val="auto"/>
          <w:sz w:val="24"/>
          <w:highlight w:val="none"/>
        </w:rPr>
        <w:t>交款单据电子件</w:t>
      </w:r>
    </w:p>
    <w:p w14:paraId="7A0791DA">
      <w:pPr>
        <w:spacing w:line="360" w:lineRule="auto"/>
        <w:rPr>
          <w:rFonts w:ascii="宋体" w:hAnsi="宋体"/>
          <w:color w:val="auto"/>
          <w:sz w:val="24"/>
          <w:highlight w:val="none"/>
        </w:rPr>
      </w:pPr>
    </w:p>
    <w:p w14:paraId="52763DE9">
      <w:pPr>
        <w:spacing w:line="360" w:lineRule="auto"/>
        <w:rPr>
          <w:rFonts w:ascii="宋体" w:hAnsi="宋体"/>
          <w:color w:val="auto"/>
          <w:sz w:val="24"/>
          <w:highlight w:val="none"/>
        </w:rPr>
      </w:pPr>
    </w:p>
    <w:p w14:paraId="49E0C733">
      <w:pPr>
        <w:widowControl/>
        <w:jc w:val="left"/>
        <w:rPr>
          <w:rFonts w:ascii="宋体" w:hAnsi="宋体"/>
          <w:color w:val="auto"/>
          <w:kern w:val="0"/>
          <w:sz w:val="24"/>
          <w:highlight w:val="none"/>
        </w:rPr>
      </w:pPr>
      <w:r>
        <w:rPr>
          <w:rFonts w:ascii="宋体" w:hAnsi="宋体"/>
          <w:color w:val="auto"/>
          <w:sz w:val="24"/>
          <w:highlight w:val="none"/>
        </w:rPr>
        <w:br w:type="page"/>
      </w:r>
    </w:p>
    <w:p w14:paraId="7BA39D46">
      <w:pPr>
        <w:keepNext/>
        <w:keepLines/>
        <w:autoSpaceDE w:val="0"/>
        <w:autoSpaceDN w:val="0"/>
        <w:adjustRightInd w:val="0"/>
        <w:spacing w:before="120" w:line="300" w:lineRule="auto"/>
        <w:jc w:val="left"/>
        <w:outlineLvl w:val="1"/>
        <w:rPr>
          <w:rFonts w:ascii="宋体" w:hAnsi="宋体"/>
          <w:b/>
          <w:color w:val="auto"/>
          <w:spacing w:val="20"/>
          <w:sz w:val="24"/>
          <w:highlight w:val="none"/>
        </w:rPr>
      </w:pPr>
      <w:r>
        <w:rPr>
          <w:rFonts w:ascii="宋体" w:hAnsi="宋体"/>
          <w:b/>
          <w:color w:val="auto"/>
          <w:spacing w:val="20"/>
          <w:sz w:val="24"/>
          <w:highlight w:val="none"/>
        </w:rPr>
        <w:t>二、商务技术文件格式</w:t>
      </w:r>
    </w:p>
    <w:p w14:paraId="23C3E495">
      <w:pPr>
        <w:rPr>
          <w:rFonts w:ascii="宋体" w:hAnsi="宋体"/>
          <w:b/>
          <w:color w:val="auto"/>
          <w:spacing w:val="20"/>
          <w:sz w:val="24"/>
          <w:highlight w:val="none"/>
        </w:rPr>
      </w:pPr>
    </w:p>
    <w:p w14:paraId="25729D23">
      <w:pPr>
        <w:rPr>
          <w:rFonts w:ascii="宋体" w:hAnsi="宋体"/>
          <w:b/>
          <w:color w:val="auto"/>
          <w:sz w:val="24"/>
          <w:highlight w:val="none"/>
        </w:rPr>
      </w:pPr>
      <w:r>
        <w:rPr>
          <w:rFonts w:ascii="宋体" w:hAnsi="宋体"/>
          <w:b/>
          <w:color w:val="auto"/>
          <w:spacing w:val="20"/>
          <w:sz w:val="24"/>
          <w:highlight w:val="none"/>
        </w:rPr>
        <w:t>投标文件（商务技术文件）</w:t>
      </w:r>
      <w:r>
        <w:rPr>
          <w:rFonts w:ascii="宋体" w:hAnsi="宋体"/>
          <w:b/>
          <w:color w:val="auto"/>
          <w:sz w:val="24"/>
          <w:highlight w:val="none"/>
        </w:rPr>
        <w:t>封面（非实质性格式）</w:t>
      </w:r>
    </w:p>
    <w:p w14:paraId="58120E51">
      <w:pPr>
        <w:jc w:val="center"/>
        <w:rPr>
          <w:rFonts w:ascii="宋体" w:hAnsi="宋体"/>
          <w:color w:val="auto"/>
          <w:sz w:val="24"/>
          <w:highlight w:val="none"/>
        </w:rPr>
      </w:pPr>
    </w:p>
    <w:p w14:paraId="5437CA68">
      <w:pPr>
        <w:jc w:val="center"/>
        <w:rPr>
          <w:rFonts w:ascii="宋体" w:hAnsi="宋体"/>
          <w:b/>
          <w:color w:val="auto"/>
          <w:spacing w:val="60"/>
          <w:sz w:val="24"/>
          <w:highlight w:val="none"/>
        </w:rPr>
      </w:pPr>
      <w:r>
        <w:rPr>
          <w:rFonts w:ascii="宋体" w:hAnsi="宋体"/>
          <w:b/>
          <w:color w:val="auto"/>
          <w:spacing w:val="60"/>
          <w:sz w:val="24"/>
          <w:highlight w:val="none"/>
        </w:rPr>
        <w:t>投 标 文 件</w:t>
      </w:r>
    </w:p>
    <w:p w14:paraId="624548CC">
      <w:pPr>
        <w:jc w:val="center"/>
        <w:rPr>
          <w:rFonts w:ascii="宋体" w:hAnsi="宋体"/>
          <w:b/>
          <w:color w:val="auto"/>
          <w:spacing w:val="60"/>
          <w:sz w:val="24"/>
          <w:highlight w:val="none"/>
        </w:rPr>
      </w:pPr>
      <w:r>
        <w:rPr>
          <w:rFonts w:ascii="宋体" w:hAnsi="宋体"/>
          <w:b/>
          <w:color w:val="auto"/>
          <w:spacing w:val="60"/>
          <w:sz w:val="24"/>
          <w:highlight w:val="none"/>
        </w:rPr>
        <w:t>（商务技术文件）</w:t>
      </w:r>
    </w:p>
    <w:p w14:paraId="2A27328B">
      <w:pPr>
        <w:ind w:firstLine="421" w:firstLineChars="150"/>
        <w:rPr>
          <w:rFonts w:ascii="宋体" w:hAnsi="宋体"/>
          <w:b/>
          <w:color w:val="auto"/>
          <w:spacing w:val="20"/>
          <w:sz w:val="24"/>
          <w:highlight w:val="none"/>
        </w:rPr>
      </w:pPr>
    </w:p>
    <w:p w14:paraId="14AB905F">
      <w:pPr>
        <w:ind w:firstLine="421" w:firstLineChars="150"/>
        <w:rPr>
          <w:rFonts w:ascii="宋体" w:hAnsi="宋体"/>
          <w:b/>
          <w:color w:val="auto"/>
          <w:spacing w:val="20"/>
          <w:sz w:val="24"/>
          <w:highlight w:val="none"/>
        </w:rPr>
      </w:pPr>
    </w:p>
    <w:p w14:paraId="3ED13A09">
      <w:pPr>
        <w:rPr>
          <w:rFonts w:asciiTheme="minorEastAsia" w:hAnsiTheme="minorEastAsia" w:eastAsiaTheme="minorEastAsia"/>
          <w:b/>
          <w:bCs/>
          <w:i w:val="0"/>
          <w:iCs w:val="0"/>
          <w:color w:val="auto"/>
          <w:sz w:val="24"/>
          <w:szCs w:val="24"/>
          <w:highlight w:val="none"/>
        </w:rPr>
      </w:pPr>
      <w:r>
        <w:rPr>
          <w:rFonts w:hint="eastAsia" w:asciiTheme="minorEastAsia" w:hAnsiTheme="minorEastAsia" w:eastAsiaTheme="minorEastAsia"/>
          <w:b/>
          <w:bCs/>
          <w:i w:val="0"/>
          <w:iCs w:val="0"/>
          <w:color w:val="auto"/>
          <w:sz w:val="24"/>
          <w:szCs w:val="24"/>
          <w:highlight w:val="none"/>
        </w:rPr>
        <w:t>项目名称/标的名称</w:t>
      </w:r>
      <w:r>
        <w:rPr>
          <w:rFonts w:asciiTheme="minorEastAsia" w:hAnsiTheme="minorEastAsia" w:eastAsiaTheme="minorEastAsia"/>
          <w:b/>
          <w:bCs/>
          <w:i w:val="0"/>
          <w:iCs w:val="0"/>
          <w:color w:val="auto"/>
          <w:sz w:val="24"/>
          <w:szCs w:val="24"/>
          <w:highlight w:val="none"/>
        </w:rPr>
        <w:t>:</w:t>
      </w:r>
    </w:p>
    <w:p w14:paraId="0E9AE9F2">
      <w:pP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项目编号/包号</w:t>
      </w:r>
      <w:r>
        <w:rPr>
          <w:rFonts w:asciiTheme="minorEastAsia" w:hAnsiTheme="minorEastAsia" w:eastAsiaTheme="minorEastAsia"/>
          <w:b/>
          <w:bCs/>
          <w:color w:val="auto"/>
          <w:sz w:val="24"/>
          <w:highlight w:val="none"/>
        </w:rPr>
        <w:t>：</w:t>
      </w:r>
    </w:p>
    <w:p w14:paraId="3395DA68">
      <w:pPr>
        <w:rPr>
          <w:rFonts w:asciiTheme="minorEastAsia" w:hAnsiTheme="minorEastAsia" w:eastAsiaTheme="minorEastAsia"/>
          <w:b/>
          <w:bCs/>
          <w:color w:val="auto"/>
          <w:sz w:val="16"/>
          <w:szCs w:val="16"/>
          <w:highlight w:val="none"/>
        </w:rPr>
      </w:pPr>
      <w:r>
        <w:rPr>
          <w:rFonts w:asciiTheme="minorEastAsia" w:hAnsiTheme="minorEastAsia" w:eastAsiaTheme="minorEastAsia"/>
          <w:b/>
          <w:bCs/>
          <w:color w:val="auto"/>
          <w:sz w:val="24"/>
          <w:highlight w:val="none"/>
        </w:rPr>
        <w:t>投标人名称</w:t>
      </w:r>
      <w:r>
        <w:rPr>
          <w:rFonts w:asciiTheme="minorEastAsia" w:hAnsiTheme="minorEastAsia" w:eastAsiaTheme="minorEastAsia"/>
          <w:b/>
          <w:bCs/>
          <w:color w:val="auto"/>
          <w:sz w:val="16"/>
          <w:szCs w:val="16"/>
          <w:highlight w:val="none"/>
        </w:rPr>
        <w:t>：</w:t>
      </w:r>
    </w:p>
    <w:p w14:paraId="7449186F">
      <w:pP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法定代表人或授权代表人（签字或盖章）：</w:t>
      </w:r>
    </w:p>
    <w:p w14:paraId="63BA0808">
      <w:pP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日期：</w:t>
      </w:r>
    </w:p>
    <w:p w14:paraId="03A6438F">
      <w:pPr>
        <w:jc w:val="center"/>
        <w:rPr>
          <w:rFonts w:ascii="宋体" w:hAnsi="宋体"/>
          <w:b/>
          <w:color w:val="auto"/>
          <w:sz w:val="24"/>
          <w:highlight w:val="none"/>
        </w:rPr>
      </w:pPr>
    </w:p>
    <w:p w14:paraId="6C857C27">
      <w:pPr>
        <w:widowControl/>
        <w:jc w:val="left"/>
        <w:rPr>
          <w:rFonts w:ascii="宋体" w:hAnsi="宋体"/>
          <w:b/>
          <w:color w:val="auto"/>
          <w:sz w:val="24"/>
          <w:highlight w:val="none"/>
        </w:rPr>
      </w:pPr>
      <w:r>
        <w:rPr>
          <w:rFonts w:ascii="宋体" w:hAnsi="宋体"/>
          <w:b/>
          <w:color w:val="auto"/>
          <w:sz w:val="24"/>
          <w:highlight w:val="none"/>
        </w:rPr>
        <w:br w:type="page"/>
      </w:r>
    </w:p>
    <w:p w14:paraId="1C1805C0">
      <w:pPr>
        <w:spacing w:line="360" w:lineRule="auto"/>
        <w:outlineLvl w:val="2"/>
        <w:rPr>
          <w:rFonts w:ascii="宋体" w:hAnsi="宋体"/>
          <w:color w:val="auto"/>
          <w:sz w:val="24"/>
          <w:highlight w:val="none"/>
        </w:rPr>
      </w:pPr>
      <w:bookmarkStart w:id="1096" w:name="_Hlt520271212"/>
      <w:bookmarkEnd w:id="1096"/>
      <w:bookmarkStart w:id="1097" w:name="_Hlt520350918"/>
      <w:bookmarkEnd w:id="1097"/>
      <w:bookmarkStart w:id="1098" w:name="_Hlt520343392"/>
      <w:bookmarkEnd w:id="1098"/>
      <w:bookmarkStart w:id="1099" w:name="_Hlt520274407"/>
      <w:bookmarkEnd w:id="1099"/>
      <w:bookmarkStart w:id="1100" w:name="_Hlt520274121"/>
      <w:bookmarkEnd w:id="1100"/>
      <w:bookmarkStart w:id="1101" w:name="_Hlt520355504"/>
      <w:bookmarkEnd w:id="1101"/>
      <w:bookmarkStart w:id="1102" w:name="_Hlt520343000"/>
      <w:bookmarkEnd w:id="1102"/>
      <w:bookmarkStart w:id="1103" w:name="_Hlt520274393"/>
      <w:bookmarkEnd w:id="1103"/>
      <w:bookmarkStart w:id="1104" w:name="_Hlt520274065"/>
      <w:bookmarkEnd w:id="1104"/>
      <w:bookmarkStart w:id="1105" w:name="_Hlt520273711"/>
      <w:bookmarkEnd w:id="1105"/>
      <w:bookmarkStart w:id="1106" w:name="_Ref467988698"/>
      <w:bookmarkStart w:id="1107" w:name="_Toc480942349"/>
      <w:bookmarkStart w:id="1108" w:name="_Toc226965829"/>
      <w:bookmarkStart w:id="1109" w:name="_Toc226337252"/>
      <w:bookmarkStart w:id="1110" w:name="_Toc226965746"/>
      <w:bookmarkStart w:id="1111" w:name="_Toc127151556"/>
      <w:bookmarkStart w:id="1112" w:name="_Toc195842921"/>
      <w:bookmarkStart w:id="1113" w:name="_Toc142311058"/>
      <w:bookmarkStart w:id="1114" w:name="_Toc150774761"/>
      <w:bookmarkStart w:id="1115" w:name="_Toc520356217"/>
      <w:bookmarkStart w:id="1116" w:name="_Toc226309800"/>
      <w:bookmarkStart w:id="1117" w:name="_Toc150480794"/>
      <w:r>
        <w:rPr>
          <w:rFonts w:ascii="宋体" w:hAnsi="宋体"/>
          <w:color w:val="auto"/>
          <w:sz w:val="24"/>
          <w:highlight w:val="none"/>
        </w:rPr>
        <w:t>1  投标</w:t>
      </w:r>
      <w:bookmarkEnd w:id="1106"/>
      <w:bookmarkEnd w:id="1107"/>
      <w:r>
        <w:rPr>
          <w:rFonts w:ascii="宋体" w:hAnsi="宋体"/>
          <w:color w:val="auto"/>
          <w:sz w:val="24"/>
          <w:highlight w:val="none"/>
        </w:rPr>
        <w:t>书</w:t>
      </w:r>
      <w:bookmarkEnd w:id="1108"/>
      <w:bookmarkEnd w:id="1109"/>
      <w:bookmarkEnd w:id="1110"/>
      <w:bookmarkEnd w:id="1111"/>
      <w:bookmarkEnd w:id="1112"/>
      <w:bookmarkEnd w:id="1113"/>
      <w:bookmarkEnd w:id="1114"/>
      <w:bookmarkEnd w:id="1115"/>
      <w:bookmarkEnd w:id="1116"/>
      <w:bookmarkEnd w:id="1117"/>
      <w:r>
        <w:rPr>
          <w:rFonts w:ascii="宋体" w:hAnsi="宋体"/>
          <w:color w:val="auto"/>
          <w:sz w:val="24"/>
          <w:highlight w:val="none"/>
        </w:rPr>
        <w:t>（实质性格式）</w:t>
      </w:r>
    </w:p>
    <w:p w14:paraId="3820F8E5">
      <w:pPr>
        <w:tabs>
          <w:tab w:val="left" w:pos="5580"/>
        </w:tabs>
        <w:spacing w:line="360" w:lineRule="auto"/>
        <w:rPr>
          <w:rFonts w:ascii="宋体" w:hAnsi="宋体"/>
          <w:color w:val="auto"/>
          <w:sz w:val="24"/>
          <w:highlight w:val="none"/>
        </w:rPr>
      </w:pPr>
    </w:p>
    <w:p w14:paraId="2E6FB5F6">
      <w:pPr>
        <w:spacing w:line="360" w:lineRule="auto"/>
        <w:jc w:val="center"/>
        <w:rPr>
          <w:rFonts w:ascii="宋体" w:hAnsi="宋体"/>
          <w:b/>
          <w:color w:val="auto"/>
          <w:sz w:val="24"/>
          <w:highlight w:val="none"/>
        </w:rPr>
      </w:pPr>
      <w:r>
        <w:rPr>
          <w:rFonts w:hint="eastAsia" w:ascii="宋体" w:hAnsi="宋体"/>
          <w:b/>
          <w:color w:val="auto"/>
          <w:sz w:val="24"/>
          <w:highlight w:val="none"/>
        </w:rPr>
        <w:t>投标书</w:t>
      </w:r>
    </w:p>
    <w:p w14:paraId="7C53310E">
      <w:pPr>
        <w:tabs>
          <w:tab w:val="left" w:pos="5580"/>
        </w:tabs>
        <w:spacing w:line="360" w:lineRule="auto"/>
        <w:rPr>
          <w:rFonts w:ascii="宋体" w:hAnsi="宋体"/>
          <w:color w:val="auto"/>
          <w:sz w:val="24"/>
          <w:highlight w:val="none"/>
        </w:rPr>
      </w:pPr>
      <w:r>
        <w:rPr>
          <w:rFonts w:ascii="宋体" w:hAnsi="宋体"/>
          <w:color w:val="auto"/>
          <w:sz w:val="24"/>
          <w:highlight w:val="none"/>
        </w:rPr>
        <w:t>致：</w:t>
      </w:r>
      <w:r>
        <w:rPr>
          <w:rFonts w:ascii="宋体" w:hAnsi="宋体"/>
          <w:color w:val="auto"/>
          <w:sz w:val="24"/>
          <w:highlight w:val="none"/>
          <w:u w:val="single"/>
        </w:rPr>
        <w:t>（采购人或采购代理机构）</w:t>
      </w:r>
    </w:p>
    <w:p w14:paraId="660B78E7">
      <w:pPr>
        <w:tabs>
          <w:tab w:val="left" w:pos="5580"/>
        </w:tabs>
        <w:spacing w:line="360" w:lineRule="auto"/>
        <w:rPr>
          <w:rFonts w:ascii="宋体" w:hAnsi="宋体"/>
          <w:color w:val="auto"/>
          <w:sz w:val="24"/>
          <w:highlight w:val="none"/>
        </w:rPr>
      </w:pPr>
    </w:p>
    <w:p w14:paraId="11002905">
      <w:pPr>
        <w:tabs>
          <w:tab w:val="left" w:pos="5580"/>
        </w:tabs>
        <w:spacing w:line="360" w:lineRule="auto"/>
        <w:ind w:firstLine="408"/>
        <w:rPr>
          <w:rFonts w:ascii="宋体" w:hAnsi="宋体"/>
          <w:color w:val="auto"/>
          <w:sz w:val="24"/>
          <w:highlight w:val="none"/>
        </w:rPr>
      </w:pPr>
      <w:r>
        <w:rPr>
          <w:rFonts w:ascii="宋体" w:hAnsi="宋体"/>
          <w:color w:val="auto"/>
          <w:sz w:val="24"/>
          <w:highlight w:val="none"/>
        </w:rPr>
        <w:t>我方参加你方就___________（</w:t>
      </w:r>
      <w:r>
        <w:rPr>
          <w:rFonts w:hint="eastAsia" w:ascii="宋体" w:hAnsi="宋体"/>
          <w:color w:val="auto"/>
          <w:sz w:val="24"/>
          <w:highlight w:val="none"/>
        </w:rPr>
        <w:t>项目名称/标的名称</w:t>
      </w:r>
      <w:r>
        <w:rPr>
          <w:rFonts w:ascii="宋体" w:hAnsi="宋体"/>
          <w:color w:val="auto"/>
          <w:sz w:val="24"/>
          <w:highlight w:val="none"/>
        </w:rPr>
        <w:t>，项目编号/包号）组织的招标活动，并对此项目进行投标。</w:t>
      </w:r>
    </w:p>
    <w:p w14:paraId="402FD69B">
      <w:pPr>
        <w:tabs>
          <w:tab w:val="left" w:pos="5580"/>
        </w:tabs>
        <w:spacing w:line="360" w:lineRule="auto"/>
        <w:ind w:firstLine="408"/>
        <w:rPr>
          <w:rFonts w:ascii="宋体" w:hAnsi="宋体"/>
          <w:color w:val="auto"/>
          <w:sz w:val="24"/>
          <w:highlight w:val="none"/>
        </w:rPr>
      </w:pPr>
      <w:r>
        <w:rPr>
          <w:rFonts w:ascii="宋体" w:hAnsi="宋体"/>
          <w:color w:val="auto"/>
          <w:sz w:val="24"/>
          <w:highlight w:val="none"/>
        </w:rPr>
        <w:t>1. 我方已详细审查全部招标文件，自愿参与投标并承诺如下：</w:t>
      </w:r>
    </w:p>
    <w:p w14:paraId="53EB6D6F">
      <w:pPr>
        <w:tabs>
          <w:tab w:val="left" w:pos="720"/>
          <w:tab w:val="left" w:pos="900"/>
        </w:tabs>
        <w:spacing w:line="360" w:lineRule="auto"/>
        <w:ind w:left="360" w:firstLine="72" w:firstLineChars="30"/>
        <w:rPr>
          <w:rFonts w:ascii="宋体" w:hAnsi="宋体"/>
          <w:color w:val="auto"/>
          <w:sz w:val="24"/>
          <w:highlight w:val="none"/>
        </w:rPr>
      </w:pPr>
      <w:r>
        <w:rPr>
          <w:rFonts w:ascii="宋体" w:hAnsi="宋体"/>
          <w:color w:val="auto"/>
          <w:sz w:val="24"/>
          <w:highlight w:val="none"/>
        </w:rPr>
        <w:t>（1）本投标有效期为自提交投标文件的截止之日起_____个日历日。</w:t>
      </w:r>
    </w:p>
    <w:p w14:paraId="635299A5">
      <w:pPr>
        <w:tabs>
          <w:tab w:val="left" w:pos="720"/>
          <w:tab w:val="left" w:pos="900"/>
        </w:tabs>
        <w:spacing w:line="360" w:lineRule="auto"/>
        <w:ind w:left="360" w:firstLine="72" w:firstLineChars="30"/>
        <w:rPr>
          <w:rFonts w:ascii="宋体" w:hAnsi="宋体"/>
          <w:color w:val="auto"/>
          <w:sz w:val="24"/>
          <w:highlight w:val="none"/>
        </w:rPr>
      </w:pPr>
      <w:r>
        <w:rPr>
          <w:rFonts w:ascii="宋体" w:hAnsi="宋体"/>
          <w:color w:val="auto"/>
          <w:sz w:val="24"/>
          <w:highlight w:val="none"/>
        </w:rPr>
        <w:t>（2）除合同条款及采购需求偏离表列出的偏离外，我方响应招标文件的全部要求。</w:t>
      </w:r>
    </w:p>
    <w:p w14:paraId="3596B07C">
      <w:pPr>
        <w:tabs>
          <w:tab w:val="left" w:pos="5580"/>
        </w:tabs>
        <w:spacing w:line="360" w:lineRule="auto"/>
        <w:ind w:firstLine="420" w:firstLineChars="175"/>
        <w:rPr>
          <w:rFonts w:ascii="宋体" w:hAnsi="宋体"/>
          <w:color w:val="auto"/>
          <w:sz w:val="24"/>
          <w:highlight w:val="none"/>
        </w:rPr>
      </w:pPr>
      <w:r>
        <w:rPr>
          <w:rFonts w:ascii="宋体" w:hAnsi="宋体"/>
          <w:color w:val="auto"/>
          <w:sz w:val="24"/>
          <w:highlight w:val="none"/>
        </w:rPr>
        <w:t>（3）我方已提供的全部文件资料是真实、准确的，并对此承担一切法律后果。</w:t>
      </w:r>
    </w:p>
    <w:p w14:paraId="58B96132">
      <w:pPr>
        <w:tabs>
          <w:tab w:val="left" w:pos="5580"/>
        </w:tabs>
        <w:spacing w:line="360" w:lineRule="auto"/>
        <w:ind w:firstLine="420" w:firstLineChars="175"/>
        <w:rPr>
          <w:rFonts w:ascii="宋体" w:hAnsi="宋体"/>
          <w:color w:val="auto"/>
          <w:sz w:val="24"/>
          <w:highlight w:val="none"/>
        </w:rPr>
      </w:pPr>
      <w:r>
        <w:rPr>
          <w:rFonts w:ascii="宋体" w:hAnsi="宋体"/>
          <w:color w:val="auto"/>
          <w:sz w:val="24"/>
          <w:highlight w:val="none"/>
        </w:rPr>
        <w:t>（4）如我方中标，我方将在法律规定的期限内与你方签订合同，按照招标文件要求提交履约保证金，并在合同约定的期限内完成合同规定的全部义务。</w:t>
      </w:r>
    </w:p>
    <w:p w14:paraId="59B58F11">
      <w:pPr>
        <w:spacing w:line="360" w:lineRule="auto"/>
        <w:ind w:left="420"/>
        <w:rPr>
          <w:rFonts w:ascii="宋体" w:hAnsi="宋体"/>
          <w:color w:val="auto"/>
          <w:sz w:val="24"/>
          <w:highlight w:val="none"/>
        </w:rPr>
      </w:pPr>
      <w:r>
        <w:rPr>
          <w:rFonts w:ascii="宋体" w:hAnsi="宋体"/>
          <w:color w:val="auto"/>
          <w:sz w:val="24"/>
          <w:highlight w:val="none"/>
        </w:rPr>
        <w:t>2. 其他补充条款（如有）：___________。</w:t>
      </w:r>
    </w:p>
    <w:p w14:paraId="05268A50">
      <w:pPr>
        <w:spacing w:line="360" w:lineRule="auto"/>
        <w:ind w:firstLine="480" w:firstLineChars="200"/>
        <w:rPr>
          <w:rFonts w:ascii="宋体" w:hAnsi="宋体"/>
          <w:color w:val="auto"/>
          <w:sz w:val="24"/>
          <w:highlight w:val="none"/>
        </w:rPr>
      </w:pPr>
      <w:r>
        <w:rPr>
          <w:rFonts w:ascii="宋体" w:hAnsi="宋体"/>
          <w:color w:val="auto"/>
          <w:sz w:val="24"/>
          <w:highlight w:val="none"/>
        </w:rPr>
        <w:t>与本投标有关的一切正式往来信函请寄：</w:t>
      </w:r>
    </w:p>
    <w:p w14:paraId="076D94E3">
      <w:pPr>
        <w:tabs>
          <w:tab w:val="left" w:pos="5580"/>
        </w:tabs>
        <w:spacing w:line="360" w:lineRule="auto"/>
        <w:ind w:left="420"/>
        <w:rPr>
          <w:rFonts w:ascii="宋体" w:hAnsi="宋体"/>
          <w:color w:val="auto"/>
          <w:sz w:val="24"/>
          <w:highlight w:val="none"/>
        </w:rPr>
      </w:pPr>
    </w:p>
    <w:p w14:paraId="537CAD13">
      <w:pPr>
        <w:tabs>
          <w:tab w:val="left" w:pos="5580"/>
        </w:tabs>
        <w:spacing w:line="360" w:lineRule="auto"/>
        <w:ind w:left="420"/>
        <w:rPr>
          <w:rFonts w:ascii="宋体" w:hAnsi="宋体"/>
          <w:color w:val="auto"/>
          <w:sz w:val="24"/>
          <w:highlight w:val="none"/>
        </w:rPr>
      </w:pPr>
      <w:r>
        <w:rPr>
          <w:rFonts w:ascii="宋体" w:hAnsi="宋体"/>
          <w:color w:val="auto"/>
          <w:sz w:val="24"/>
          <w:highlight w:val="none"/>
        </w:rPr>
        <w:t>地址_________________________     传真____________________________</w:t>
      </w:r>
    </w:p>
    <w:p w14:paraId="07429B39">
      <w:pPr>
        <w:tabs>
          <w:tab w:val="left" w:pos="5580"/>
        </w:tabs>
        <w:spacing w:line="360" w:lineRule="auto"/>
        <w:ind w:left="420"/>
        <w:rPr>
          <w:rFonts w:ascii="宋体" w:hAnsi="宋体"/>
          <w:color w:val="auto"/>
          <w:sz w:val="24"/>
          <w:highlight w:val="none"/>
        </w:rPr>
      </w:pPr>
      <w:r>
        <w:rPr>
          <w:rFonts w:ascii="宋体" w:hAnsi="宋体"/>
          <w:color w:val="auto"/>
          <w:sz w:val="24"/>
          <w:highlight w:val="none"/>
        </w:rPr>
        <w:t>电话_________________________     电子函件________________________</w:t>
      </w:r>
    </w:p>
    <w:p w14:paraId="0A483424">
      <w:pPr>
        <w:tabs>
          <w:tab w:val="left" w:pos="5580"/>
        </w:tabs>
        <w:spacing w:line="360" w:lineRule="auto"/>
        <w:ind w:left="420"/>
        <w:rPr>
          <w:rFonts w:ascii="宋体" w:hAnsi="宋体"/>
          <w:color w:val="auto"/>
          <w:sz w:val="24"/>
          <w:highlight w:val="none"/>
        </w:rPr>
      </w:pPr>
    </w:p>
    <w:p w14:paraId="08EE2CD6">
      <w:pPr>
        <w:tabs>
          <w:tab w:val="left" w:pos="5580"/>
        </w:tabs>
        <w:spacing w:line="360" w:lineRule="auto"/>
        <w:ind w:left="420"/>
        <w:rPr>
          <w:rFonts w:ascii="宋体" w:hAnsi="宋体"/>
          <w:color w:val="auto"/>
          <w:sz w:val="24"/>
          <w:highlight w:val="none"/>
        </w:rPr>
      </w:pPr>
      <w:r>
        <w:rPr>
          <w:rFonts w:ascii="宋体" w:hAnsi="宋体"/>
          <w:color w:val="auto"/>
          <w:sz w:val="24"/>
          <w:highlight w:val="none"/>
        </w:rPr>
        <w:t>投标人名称（加盖公章） ___________</w:t>
      </w:r>
    </w:p>
    <w:p w14:paraId="1DD47714">
      <w:pPr>
        <w:tabs>
          <w:tab w:val="left" w:pos="5580"/>
        </w:tabs>
        <w:spacing w:line="360" w:lineRule="auto"/>
        <w:ind w:left="420"/>
        <w:rPr>
          <w:rFonts w:ascii="宋体" w:hAnsi="宋体"/>
          <w:color w:val="auto"/>
          <w:sz w:val="24"/>
          <w:highlight w:val="none"/>
        </w:rPr>
      </w:pPr>
      <w:r>
        <w:rPr>
          <w:rFonts w:ascii="宋体" w:hAnsi="宋体"/>
          <w:color w:val="auto"/>
          <w:sz w:val="24"/>
          <w:highlight w:val="none"/>
        </w:rPr>
        <w:t xml:space="preserve">日期：_____年______月______日    </w:t>
      </w:r>
    </w:p>
    <w:p w14:paraId="26233C62">
      <w:pPr>
        <w:tabs>
          <w:tab w:val="left" w:pos="5580"/>
        </w:tabs>
        <w:spacing w:line="360" w:lineRule="auto"/>
        <w:ind w:left="420"/>
        <w:rPr>
          <w:rFonts w:ascii="宋体" w:hAnsi="宋体"/>
          <w:color w:val="auto"/>
          <w:sz w:val="24"/>
          <w:highlight w:val="none"/>
          <w:u w:val="single"/>
        </w:rPr>
      </w:pPr>
    </w:p>
    <w:p w14:paraId="7DC11FD0">
      <w:pPr>
        <w:widowControl/>
        <w:jc w:val="left"/>
        <w:rPr>
          <w:rFonts w:ascii="宋体" w:hAnsi="宋体"/>
          <w:color w:val="auto"/>
          <w:sz w:val="24"/>
          <w:highlight w:val="none"/>
        </w:rPr>
      </w:pPr>
      <w:bookmarkStart w:id="1118" w:name="_Hlt520355938"/>
      <w:bookmarkEnd w:id="1118"/>
      <w:bookmarkStart w:id="1119" w:name="_Hlt520356243"/>
      <w:bookmarkEnd w:id="1119"/>
      <w:bookmarkStart w:id="1120" w:name="_Toc305158825"/>
      <w:bookmarkStart w:id="1121" w:name="_Toc150774762"/>
      <w:bookmarkStart w:id="1122" w:name="_Toc226337253"/>
      <w:bookmarkStart w:id="1123" w:name="_Ref467988705"/>
      <w:bookmarkStart w:id="1124" w:name="_Toc264969247"/>
      <w:bookmarkStart w:id="1125" w:name="_Toc480942350"/>
      <w:bookmarkStart w:id="1126" w:name="_Toc520356218"/>
      <w:bookmarkStart w:id="1127" w:name="_Toc142311059"/>
      <w:bookmarkStart w:id="1128" w:name="_Toc305158899"/>
      <w:bookmarkStart w:id="1129" w:name="_Toc226965747"/>
      <w:bookmarkStart w:id="1130" w:name="_Toc150480795"/>
      <w:bookmarkStart w:id="1131" w:name="_Toc127151557"/>
      <w:bookmarkStart w:id="1132" w:name="_Toc226309801"/>
      <w:bookmarkStart w:id="1133" w:name="_Toc265228395"/>
      <w:bookmarkStart w:id="1134" w:name="_Toc226965830"/>
      <w:bookmarkStart w:id="1135" w:name="_Toc195842922"/>
      <w:r>
        <w:rPr>
          <w:rFonts w:ascii="宋体" w:hAnsi="宋体"/>
          <w:color w:val="auto"/>
          <w:sz w:val="24"/>
          <w:highlight w:val="none"/>
        </w:rPr>
        <w:br w:type="page"/>
      </w:r>
    </w:p>
    <w:p w14:paraId="24F425E6">
      <w:pPr>
        <w:spacing w:line="360" w:lineRule="auto"/>
        <w:outlineLvl w:val="2"/>
        <w:rPr>
          <w:rFonts w:ascii="宋体" w:hAnsi="宋体"/>
          <w:color w:val="auto"/>
          <w:sz w:val="24"/>
          <w:highlight w:val="none"/>
        </w:rPr>
      </w:pPr>
      <w:r>
        <w:rPr>
          <w:rFonts w:ascii="宋体" w:hAnsi="宋体"/>
          <w:color w:val="auto"/>
          <w:sz w:val="24"/>
          <w:highlight w:val="none"/>
        </w:rPr>
        <w:t>2  授权委托书（实质性格式）</w:t>
      </w:r>
    </w:p>
    <w:p w14:paraId="720CD925">
      <w:pPr>
        <w:spacing w:line="360" w:lineRule="exact"/>
        <w:jc w:val="center"/>
        <w:rPr>
          <w:rFonts w:ascii="宋体" w:hAnsi="宋体"/>
          <w:b/>
          <w:color w:val="auto"/>
          <w:sz w:val="24"/>
          <w:highlight w:val="none"/>
        </w:rPr>
      </w:pPr>
      <w:r>
        <w:rPr>
          <w:rFonts w:hint="eastAsia" w:ascii="宋体" w:hAnsi="宋体"/>
          <w:b/>
          <w:color w:val="auto"/>
          <w:sz w:val="24"/>
          <w:highlight w:val="none"/>
        </w:rPr>
        <w:t>授权委托书</w:t>
      </w:r>
    </w:p>
    <w:p w14:paraId="608B23FB">
      <w:pPr>
        <w:spacing w:line="360" w:lineRule="auto"/>
        <w:ind w:firstLine="420"/>
        <w:rPr>
          <w:rFonts w:ascii="宋体" w:hAnsi="宋体"/>
          <w:color w:val="auto"/>
          <w:sz w:val="24"/>
          <w:highlight w:val="none"/>
        </w:rPr>
      </w:pPr>
    </w:p>
    <w:p w14:paraId="2B1CAB8B">
      <w:pPr>
        <w:spacing w:line="360" w:lineRule="auto"/>
        <w:ind w:firstLine="420"/>
        <w:rPr>
          <w:rFonts w:ascii="宋体" w:hAnsi="宋体"/>
          <w:color w:val="auto"/>
          <w:sz w:val="24"/>
          <w:highlight w:val="none"/>
        </w:rPr>
      </w:pPr>
      <w:r>
        <w:rPr>
          <w:rFonts w:hint="eastAsia" w:ascii="宋体" w:hAnsi="宋体"/>
          <w:color w:val="auto"/>
          <w:sz w:val="24"/>
          <w:highlight w:val="none"/>
        </w:rPr>
        <w:t>本人</w:t>
      </w:r>
      <w:r>
        <w:rPr>
          <w:rFonts w:ascii="宋体" w:hAnsi="宋体"/>
          <w:color w:val="auto"/>
          <w:sz w:val="24"/>
          <w:highlight w:val="none"/>
          <w:lang w:val="zh-CN"/>
        </w:rPr>
        <w:t>_______</w:t>
      </w:r>
      <w:r>
        <w:rPr>
          <w:rFonts w:ascii="宋体" w:hAnsi="宋体"/>
          <w:color w:val="auto"/>
          <w:sz w:val="24"/>
          <w:highlight w:val="none"/>
        </w:rPr>
        <w:t>（</w:t>
      </w:r>
      <w:r>
        <w:rPr>
          <w:rFonts w:hint="eastAsia" w:ascii="宋体" w:hAnsi="宋体"/>
          <w:color w:val="auto"/>
          <w:sz w:val="24"/>
          <w:highlight w:val="none"/>
        </w:rPr>
        <w:t>姓名</w:t>
      </w:r>
      <w:r>
        <w:rPr>
          <w:rFonts w:ascii="宋体" w:hAnsi="宋体"/>
          <w:color w:val="auto"/>
          <w:sz w:val="24"/>
          <w:highlight w:val="none"/>
        </w:rPr>
        <w:t>）</w:t>
      </w:r>
      <w:r>
        <w:rPr>
          <w:rFonts w:hint="eastAsia" w:ascii="宋体" w:hAnsi="宋体"/>
          <w:color w:val="auto"/>
          <w:sz w:val="24"/>
          <w:highlight w:val="none"/>
        </w:rPr>
        <w:t>系</w:t>
      </w:r>
      <w:r>
        <w:rPr>
          <w:rFonts w:ascii="宋体" w:hAnsi="宋体"/>
          <w:color w:val="auto"/>
          <w:sz w:val="24"/>
          <w:highlight w:val="none"/>
          <w:lang w:val="zh-CN"/>
        </w:rPr>
        <w:t>________________</w:t>
      </w:r>
      <w:r>
        <w:rPr>
          <w:rFonts w:ascii="宋体" w:hAnsi="宋体"/>
          <w:color w:val="auto"/>
          <w:sz w:val="24"/>
          <w:highlight w:val="none"/>
        </w:rPr>
        <w:t>（</w:t>
      </w:r>
      <w:r>
        <w:rPr>
          <w:rFonts w:hint="eastAsia" w:ascii="宋体" w:hAnsi="宋体"/>
          <w:color w:val="auto"/>
          <w:sz w:val="24"/>
          <w:highlight w:val="none"/>
        </w:rPr>
        <w:t>投标人</w:t>
      </w:r>
      <w:r>
        <w:rPr>
          <w:rFonts w:ascii="宋体" w:hAnsi="宋体"/>
          <w:color w:val="auto"/>
          <w:sz w:val="24"/>
          <w:highlight w:val="none"/>
        </w:rPr>
        <w:t>名称）</w:t>
      </w:r>
      <w:r>
        <w:rPr>
          <w:rFonts w:hint="eastAsia" w:ascii="宋体" w:hAnsi="宋体"/>
          <w:color w:val="auto"/>
          <w:sz w:val="24"/>
          <w:highlight w:val="none"/>
        </w:rPr>
        <w:t>的</w:t>
      </w:r>
      <w:r>
        <w:rPr>
          <w:rFonts w:ascii="宋体" w:hAnsi="宋体"/>
          <w:color w:val="auto"/>
          <w:sz w:val="24"/>
          <w:highlight w:val="none"/>
        </w:rPr>
        <w:t>法定代表人（</w:t>
      </w:r>
      <w:r>
        <w:rPr>
          <w:rFonts w:hint="eastAsia" w:ascii="宋体" w:hAnsi="宋体"/>
          <w:color w:val="auto"/>
          <w:sz w:val="24"/>
          <w:highlight w:val="none"/>
        </w:rPr>
        <w:t>单位</w:t>
      </w:r>
      <w:r>
        <w:rPr>
          <w:rFonts w:ascii="宋体" w:hAnsi="宋体"/>
          <w:color w:val="auto"/>
          <w:sz w:val="24"/>
          <w:highlight w:val="none"/>
        </w:rPr>
        <w:t>负责人）</w:t>
      </w:r>
      <w:r>
        <w:rPr>
          <w:rFonts w:hint="eastAsia" w:ascii="宋体" w:hAnsi="宋体"/>
          <w:color w:val="auto"/>
          <w:sz w:val="24"/>
          <w:highlight w:val="none"/>
        </w:rPr>
        <w:t>，</w:t>
      </w:r>
      <w:r>
        <w:rPr>
          <w:rFonts w:ascii="宋体" w:hAnsi="宋体"/>
          <w:color w:val="auto"/>
          <w:sz w:val="24"/>
          <w:highlight w:val="none"/>
        </w:rPr>
        <w:t>现委托</w:t>
      </w:r>
      <w:r>
        <w:rPr>
          <w:rFonts w:ascii="宋体" w:hAnsi="宋体"/>
          <w:color w:val="auto"/>
          <w:sz w:val="24"/>
          <w:highlight w:val="none"/>
          <w:lang w:val="zh-CN"/>
        </w:rPr>
        <w:t>_______</w:t>
      </w:r>
      <w:r>
        <w:rPr>
          <w:rFonts w:ascii="宋体" w:hAnsi="宋体"/>
          <w:color w:val="auto"/>
          <w:sz w:val="24"/>
          <w:highlight w:val="none"/>
        </w:rPr>
        <w:t>（</w:t>
      </w:r>
      <w:r>
        <w:rPr>
          <w:rFonts w:hint="eastAsia" w:ascii="宋体" w:hAnsi="宋体"/>
          <w:color w:val="auto"/>
          <w:sz w:val="24"/>
          <w:highlight w:val="none"/>
        </w:rPr>
        <w:t>姓名</w:t>
      </w:r>
      <w:r>
        <w:rPr>
          <w:rFonts w:ascii="宋体" w:hAnsi="宋体"/>
          <w:color w:val="auto"/>
          <w:sz w:val="24"/>
          <w:highlight w:val="none"/>
        </w:rPr>
        <w:t>）</w:t>
      </w:r>
      <w:r>
        <w:rPr>
          <w:rFonts w:hint="eastAsia" w:ascii="宋体" w:hAnsi="宋体"/>
          <w:color w:val="auto"/>
          <w:sz w:val="24"/>
          <w:highlight w:val="none"/>
        </w:rPr>
        <w:t>为</w:t>
      </w:r>
      <w:r>
        <w:rPr>
          <w:rFonts w:ascii="宋体" w:hAnsi="宋体"/>
          <w:color w:val="auto"/>
          <w:sz w:val="24"/>
          <w:highlight w:val="none"/>
        </w:rPr>
        <w:t>我方代理人。</w:t>
      </w:r>
      <w:r>
        <w:rPr>
          <w:rFonts w:hint="eastAsia" w:ascii="宋体" w:hAnsi="宋体"/>
          <w:color w:val="auto"/>
          <w:sz w:val="24"/>
          <w:highlight w:val="none"/>
        </w:rPr>
        <w:t>代理人根据</w:t>
      </w:r>
      <w:r>
        <w:rPr>
          <w:rFonts w:ascii="宋体" w:hAnsi="宋体"/>
          <w:color w:val="auto"/>
          <w:sz w:val="24"/>
          <w:highlight w:val="none"/>
        </w:rPr>
        <w:t>授权，以我方名义签署、澄清确认、递交、撤回、修改</w:t>
      </w:r>
      <w:r>
        <w:rPr>
          <w:rFonts w:ascii="宋体" w:hAnsi="宋体"/>
          <w:color w:val="auto"/>
          <w:sz w:val="24"/>
          <w:highlight w:val="none"/>
          <w:lang w:val="zh-CN"/>
        </w:rPr>
        <w:t>________________</w:t>
      </w:r>
      <w:r>
        <w:rPr>
          <w:rFonts w:ascii="宋体" w:hAnsi="宋体"/>
          <w:color w:val="auto"/>
          <w:sz w:val="24"/>
          <w:highlight w:val="none"/>
        </w:rPr>
        <w:t>（</w:t>
      </w:r>
      <w:r>
        <w:rPr>
          <w:rFonts w:hint="eastAsia" w:ascii="宋体" w:hAnsi="宋体"/>
          <w:color w:val="auto"/>
          <w:sz w:val="24"/>
          <w:highlight w:val="none"/>
        </w:rPr>
        <w:t>项目名称/标的名称</w:t>
      </w:r>
      <w:r>
        <w:rPr>
          <w:rFonts w:ascii="宋体" w:hAnsi="宋体"/>
          <w:color w:val="auto"/>
          <w:sz w:val="24"/>
          <w:highlight w:val="none"/>
        </w:rPr>
        <w:t>）</w:t>
      </w:r>
      <w:r>
        <w:rPr>
          <w:rFonts w:hint="eastAsia" w:ascii="宋体" w:hAnsi="宋体"/>
          <w:color w:val="auto"/>
          <w:sz w:val="24"/>
          <w:highlight w:val="none"/>
        </w:rPr>
        <w:t>响应</w:t>
      </w:r>
      <w:r>
        <w:rPr>
          <w:rFonts w:ascii="宋体" w:hAnsi="宋体"/>
          <w:color w:val="auto"/>
          <w:sz w:val="24"/>
          <w:highlight w:val="none"/>
        </w:rPr>
        <w:t>文件</w:t>
      </w:r>
      <w:r>
        <w:rPr>
          <w:rFonts w:hint="eastAsia" w:ascii="宋体" w:hAnsi="宋体"/>
          <w:color w:val="auto"/>
          <w:sz w:val="24"/>
          <w:highlight w:val="none"/>
        </w:rPr>
        <w:t>和</w:t>
      </w:r>
      <w:r>
        <w:rPr>
          <w:rFonts w:ascii="宋体" w:hAnsi="宋体"/>
          <w:color w:val="auto"/>
          <w:sz w:val="24"/>
          <w:highlight w:val="none"/>
        </w:rPr>
        <w:t>处理有关事宜，其法律后果由我方承担。</w:t>
      </w:r>
    </w:p>
    <w:p w14:paraId="65F9CA20">
      <w:pPr>
        <w:spacing w:line="360" w:lineRule="auto"/>
        <w:ind w:firstLine="420"/>
        <w:rPr>
          <w:rFonts w:ascii="宋体" w:hAnsi="宋体"/>
          <w:color w:val="auto"/>
          <w:sz w:val="24"/>
          <w:highlight w:val="none"/>
        </w:rPr>
      </w:pPr>
      <w:r>
        <w:rPr>
          <w:rFonts w:hint="eastAsia" w:ascii="宋体" w:hAnsi="宋体"/>
          <w:color w:val="auto"/>
          <w:sz w:val="24"/>
          <w:highlight w:val="none"/>
        </w:rPr>
        <w:t>委托</w:t>
      </w:r>
      <w:r>
        <w:rPr>
          <w:rFonts w:ascii="宋体" w:hAnsi="宋体"/>
          <w:color w:val="auto"/>
          <w:sz w:val="24"/>
          <w:highlight w:val="none"/>
        </w:rPr>
        <w:t>期限：自本</w:t>
      </w:r>
      <w:r>
        <w:rPr>
          <w:rFonts w:hint="eastAsia" w:ascii="宋体" w:hAnsi="宋体"/>
          <w:color w:val="auto"/>
          <w:sz w:val="24"/>
          <w:highlight w:val="none"/>
        </w:rPr>
        <w:t>授权</w:t>
      </w:r>
      <w:r>
        <w:rPr>
          <w:rFonts w:ascii="宋体" w:hAnsi="宋体"/>
          <w:color w:val="auto"/>
          <w:sz w:val="24"/>
          <w:highlight w:val="none"/>
        </w:rPr>
        <w:t>委托书签署之日起至</w:t>
      </w:r>
      <w:r>
        <w:rPr>
          <w:rFonts w:hint="eastAsia" w:ascii="宋体" w:hAnsi="宋体"/>
          <w:color w:val="auto"/>
          <w:sz w:val="24"/>
          <w:highlight w:val="none"/>
        </w:rPr>
        <w:t>响应</w:t>
      </w:r>
      <w:r>
        <w:rPr>
          <w:rFonts w:ascii="宋体" w:hAnsi="宋体"/>
          <w:color w:val="auto"/>
          <w:sz w:val="24"/>
          <w:highlight w:val="none"/>
        </w:rPr>
        <w:t>有效期</w:t>
      </w:r>
      <w:r>
        <w:rPr>
          <w:rFonts w:hint="eastAsia" w:ascii="宋体" w:hAnsi="宋体"/>
          <w:color w:val="auto"/>
          <w:sz w:val="24"/>
          <w:highlight w:val="none"/>
        </w:rPr>
        <w:t>届满</w:t>
      </w:r>
      <w:r>
        <w:rPr>
          <w:rFonts w:ascii="宋体" w:hAnsi="宋体"/>
          <w:color w:val="auto"/>
          <w:sz w:val="24"/>
          <w:highlight w:val="none"/>
        </w:rPr>
        <w:t>之日止。</w:t>
      </w:r>
    </w:p>
    <w:p w14:paraId="13729229">
      <w:pPr>
        <w:spacing w:line="360" w:lineRule="auto"/>
        <w:ind w:firstLine="420"/>
        <w:rPr>
          <w:rFonts w:ascii="宋体" w:hAnsi="宋体"/>
          <w:color w:val="auto"/>
          <w:sz w:val="24"/>
          <w:highlight w:val="none"/>
        </w:rPr>
      </w:pPr>
      <w:r>
        <w:rPr>
          <w:rFonts w:hint="eastAsia" w:ascii="宋体" w:hAnsi="宋体"/>
          <w:color w:val="auto"/>
          <w:sz w:val="24"/>
          <w:highlight w:val="none"/>
        </w:rPr>
        <w:t>代理人</w:t>
      </w:r>
      <w:r>
        <w:rPr>
          <w:rFonts w:ascii="宋体" w:hAnsi="宋体"/>
          <w:color w:val="auto"/>
          <w:sz w:val="24"/>
          <w:highlight w:val="none"/>
        </w:rPr>
        <w:t>无转委托权。</w:t>
      </w:r>
      <w:r>
        <w:rPr>
          <w:rFonts w:ascii="宋体" w:hAnsi="宋体"/>
          <w:color w:val="auto"/>
          <w:sz w:val="24"/>
          <w:highlight w:val="none"/>
        </w:rPr>
        <w:cr/>
      </w:r>
    </w:p>
    <w:p w14:paraId="5B3FD33B">
      <w:pPr>
        <w:spacing w:line="360" w:lineRule="auto"/>
        <w:rPr>
          <w:rFonts w:ascii="宋体" w:hAnsi="宋体"/>
          <w:color w:val="auto"/>
          <w:sz w:val="24"/>
          <w:highlight w:val="none"/>
          <w:lang w:val="zh-CN"/>
        </w:rPr>
      </w:pPr>
      <w:r>
        <w:rPr>
          <w:rFonts w:hint="eastAsia" w:ascii="宋体" w:hAnsi="宋体"/>
          <w:color w:val="auto"/>
          <w:sz w:val="24"/>
          <w:highlight w:val="none"/>
        </w:rPr>
        <w:t>投标人</w:t>
      </w:r>
      <w:r>
        <w:rPr>
          <w:rFonts w:ascii="宋体" w:hAnsi="宋体"/>
          <w:color w:val="auto"/>
          <w:sz w:val="24"/>
          <w:highlight w:val="none"/>
        </w:rPr>
        <w:t>名称（加盖公章）</w:t>
      </w:r>
      <w:r>
        <w:rPr>
          <w:rFonts w:ascii="宋体" w:hAnsi="宋体"/>
          <w:color w:val="auto"/>
          <w:sz w:val="24"/>
          <w:highlight w:val="none"/>
          <w:lang w:val="zh-CN"/>
        </w:rPr>
        <w:t>：________________</w:t>
      </w:r>
    </w:p>
    <w:p w14:paraId="5BA11547">
      <w:pPr>
        <w:spacing w:line="360" w:lineRule="auto"/>
        <w:rPr>
          <w:rFonts w:ascii="宋体" w:hAnsi="宋体"/>
          <w:color w:val="auto"/>
          <w:sz w:val="24"/>
          <w:highlight w:val="none"/>
        </w:rPr>
      </w:pPr>
      <w:r>
        <w:rPr>
          <w:rFonts w:ascii="宋体" w:hAnsi="宋体"/>
          <w:color w:val="auto"/>
          <w:sz w:val="24"/>
          <w:highlight w:val="none"/>
        </w:rPr>
        <w:t>法定代表人（单位负责人）（签字或</w:t>
      </w:r>
      <w:r>
        <w:rPr>
          <w:rFonts w:hint="eastAsia" w:ascii="宋体" w:hAnsi="宋体"/>
          <w:color w:val="auto"/>
          <w:sz w:val="24"/>
          <w:highlight w:val="none"/>
        </w:rPr>
        <w:t>盖章）</w:t>
      </w:r>
      <w:r>
        <w:rPr>
          <w:rFonts w:ascii="宋体" w:hAnsi="宋体"/>
          <w:color w:val="auto"/>
          <w:sz w:val="24"/>
          <w:highlight w:val="none"/>
        </w:rPr>
        <w:t>：</w:t>
      </w:r>
      <w:r>
        <w:rPr>
          <w:rFonts w:ascii="宋体" w:hAnsi="宋体"/>
          <w:color w:val="auto"/>
          <w:sz w:val="24"/>
          <w:highlight w:val="none"/>
          <w:lang w:val="zh-CN"/>
        </w:rPr>
        <w:t>________________</w:t>
      </w:r>
    </w:p>
    <w:p w14:paraId="41491BB7">
      <w:pPr>
        <w:autoSpaceDE w:val="0"/>
        <w:autoSpaceDN w:val="0"/>
        <w:adjustRightInd w:val="0"/>
        <w:snapToGrid w:val="0"/>
        <w:spacing w:line="360" w:lineRule="auto"/>
        <w:rPr>
          <w:rFonts w:ascii="宋体" w:hAnsi="宋体"/>
          <w:color w:val="auto"/>
          <w:sz w:val="24"/>
          <w:highlight w:val="none"/>
          <w:lang w:val="zh-CN"/>
        </w:rPr>
      </w:pPr>
      <w:r>
        <w:rPr>
          <w:rFonts w:hint="eastAsia" w:ascii="宋体" w:hAnsi="宋体"/>
          <w:color w:val="auto"/>
          <w:sz w:val="24"/>
          <w:highlight w:val="none"/>
        </w:rPr>
        <w:t>委托代理</w:t>
      </w:r>
      <w:r>
        <w:rPr>
          <w:rFonts w:ascii="宋体" w:hAnsi="宋体"/>
          <w:color w:val="auto"/>
          <w:sz w:val="24"/>
          <w:highlight w:val="none"/>
        </w:rPr>
        <w:t>人（签字</w:t>
      </w:r>
      <w:r>
        <w:rPr>
          <w:rFonts w:hint="eastAsia" w:ascii="宋体" w:hAnsi="宋体"/>
          <w:color w:val="auto"/>
          <w:sz w:val="24"/>
          <w:highlight w:val="none"/>
        </w:rPr>
        <w:t>/签章</w:t>
      </w:r>
      <w:r>
        <w:rPr>
          <w:rFonts w:ascii="宋体" w:hAnsi="宋体"/>
          <w:color w:val="auto"/>
          <w:sz w:val="24"/>
          <w:highlight w:val="none"/>
        </w:rPr>
        <w:t>）：</w:t>
      </w:r>
      <w:r>
        <w:rPr>
          <w:rFonts w:ascii="宋体" w:hAnsi="宋体"/>
          <w:color w:val="auto"/>
          <w:sz w:val="24"/>
          <w:highlight w:val="none"/>
          <w:lang w:val="zh-CN"/>
        </w:rPr>
        <w:t>________________</w:t>
      </w:r>
      <w:r>
        <w:rPr>
          <w:rFonts w:ascii="宋体" w:hAnsi="宋体"/>
          <w:color w:val="auto"/>
          <w:sz w:val="24"/>
          <w:highlight w:val="none"/>
        </w:rPr>
        <w:t xml:space="preserve">    </w:t>
      </w:r>
      <w:r>
        <w:rPr>
          <w:rFonts w:ascii="宋体" w:hAnsi="宋体"/>
          <w:color w:val="auto"/>
          <w:sz w:val="24"/>
          <w:highlight w:val="none"/>
          <w:lang w:val="zh-CN"/>
        </w:rPr>
        <w:t xml:space="preserve">                      </w:t>
      </w:r>
    </w:p>
    <w:p w14:paraId="1CEAABFB">
      <w:pPr>
        <w:autoSpaceDE w:val="0"/>
        <w:autoSpaceDN w:val="0"/>
        <w:adjustRightInd w:val="0"/>
        <w:snapToGrid w:val="0"/>
        <w:spacing w:line="360" w:lineRule="auto"/>
        <w:rPr>
          <w:rFonts w:ascii="宋体" w:hAnsi="宋体"/>
          <w:color w:val="auto"/>
          <w:sz w:val="24"/>
          <w:highlight w:val="none"/>
          <w:lang w:val="zh-CN"/>
        </w:rPr>
      </w:pPr>
      <w:r>
        <w:rPr>
          <w:rFonts w:ascii="宋体" w:hAnsi="宋体"/>
          <w:color w:val="auto"/>
          <w:sz w:val="24"/>
          <w:highlight w:val="none"/>
        </w:rPr>
        <w:t>日期：_____年______月______日</w:t>
      </w:r>
    </w:p>
    <w:p w14:paraId="1FD6F45E">
      <w:pPr>
        <w:tabs>
          <w:tab w:val="left" w:pos="5580"/>
        </w:tabs>
        <w:spacing w:line="360" w:lineRule="auto"/>
        <w:ind w:firstLine="480" w:firstLineChars="200"/>
        <w:rPr>
          <w:rFonts w:ascii="宋体" w:hAnsi="宋体"/>
          <w:color w:val="auto"/>
          <w:sz w:val="24"/>
          <w:highlight w:val="none"/>
        </w:rPr>
      </w:pPr>
    </w:p>
    <w:p w14:paraId="614A3A0F">
      <w:pPr>
        <w:tabs>
          <w:tab w:val="left" w:pos="5580"/>
        </w:tabs>
        <w:spacing w:line="360" w:lineRule="auto"/>
        <w:jc w:val="left"/>
        <w:rPr>
          <w:rFonts w:ascii="宋体" w:hAnsi="宋体"/>
          <w:color w:val="auto"/>
          <w:sz w:val="24"/>
          <w:highlight w:val="none"/>
        </w:rPr>
      </w:pPr>
      <w:r>
        <w:rPr>
          <w:rFonts w:ascii="宋体" w:hAnsi="宋体"/>
          <w:color w:val="auto"/>
          <w:sz w:val="24"/>
          <w:highlight w:val="none"/>
        </w:rPr>
        <w:t>法定代表人（单位负责人）有效期内的身份证</w:t>
      </w:r>
      <w:r>
        <w:rPr>
          <w:rFonts w:ascii="宋体" w:hAnsi="宋体"/>
          <w:b/>
          <w:color w:val="auto"/>
          <w:sz w:val="24"/>
          <w:highlight w:val="none"/>
        </w:rPr>
        <w:t>正反面</w:t>
      </w:r>
      <w:r>
        <w:rPr>
          <w:rFonts w:ascii="宋体" w:hAnsi="宋体"/>
          <w:color w:val="auto"/>
          <w:sz w:val="24"/>
          <w:highlight w:val="none"/>
        </w:rPr>
        <w:t>电子件：</w:t>
      </w:r>
    </w:p>
    <w:tbl>
      <w:tblPr>
        <w:tblStyle w:val="46"/>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322A6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9A939D0">
            <w:pPr>
              <w:tabs>
                <w:tab w:val="left" w:pos="5580"/>
              </w:tabs>
              <w:spacing w:line="360" w:lineRule="auto"/>
              <w:jc w:val="left"/>
              <w:rPr>
                <w:rFonts w:ascii="宋体" w:hAnsi="宋体"/>
                <w:color w:val="auto"/>
                <w:sz w:val="24"/>
                <w:highlight w:val="none"/>
              </w:rPr>
            </w:pPr>
          </w:p>
          <w:p w14:paraId="45F8AE92">
            <w:pPr>
              <w:tabs>
                <w:tab w:val="left" w:pos="5580"/>
              </w:tabs>
              <w:spacing w:line="360" w:lineRule="auto"/>
              <w:jc w:val="left"/>
              <w:rPr>
                <w:rFonts w:ascii="宋体" w:hAnsi="宋体"/>
                <w:color w:val="auto"/>
                <w:sz w:val="24"/>
                <w:highlight w:val="none"/>
              </w:rPr>
            </w:pPr>
          </w:p>
          <w:p w14:paraId="6B973FBD">
            <w:pPr>
              <w:tabs>
                <w:tab w:val="left" w:pos="5580"/>
              </w:tabs>
              <w:spacing w:line="360" w:lineRule="auto"/>
              <w:jc w:val="left"/>
              <w:rPr>
                <w:rFonts w:ascii="宋体" w:hAnsi="宋体"/>
                <w:color w:val="auto"/>
                <w:sz w:val="24"/>
                <w:highlight w:val="none"/>
              </w:rPr>
            </w:pPr>
          </w:p>
        </w:tc>
        <w:tc>
          <w:tcPr>
            <w:tcW w:w="4536" w:type="dxa"/>
          </w:tcPr>
          <w:p w14:paraId="02FCAAD2">
            <w:pPr>
              <w:tabs>
                <w:tab w:val="left" w:pos="5580"/>
              </w:tabs>
              <w:spacing w:line="360" w:lineRule="auto"/>
              <w:jc w:val="left"/>
              <w:rPr>
                <w:rFonts w:ascii="宋体" w:hAnsi="宋体"/>
                <w:color w:val="auto"/>
                <w:sz w:val="24"/>
                <w:highlight w:val="none"/>
              </w:rPr>
            </w:pPr>
          </w:p>
          <w:p w14:paraId="4BECAAB9">
            <w:pPr>
              <w:tabs>
                <w:tab w:val="left" w:pos="5580"/>
              </w:tabs>
              <w:spacing w:line="360" w:lineRule="auto"/>
              <w:jc w:val="left"/>
              <w:rPr>
                <w:rFonts w:ascii="宋体" w:hAnsi="宋体"/>
                <w:color w:val="auto"/>
                <w:sz w:val="24"/>
                <w:highlight w:val="none"/>
              </w:rPr>
            </w:pPr>
          </w:p>
          <w:p w14:paraId="295B1E70">
            <w:pPr>
              <w:tabs>
                <w:tab w:val="left" w:pos="5580"/>
              </w:tabs>
              <w:spacing w:line="360" w:lineRule="auto"/>
              <w:jc w:val="left"/>
              <w:rPr>
                <w:rFonts w:ascii="宋体" w:hAnsi="宋体"/>
                <w:color w:val="auto"/>
                <w:sz w:val="24"/>
                <w:highlight w:val="none"/>
              </w:rPr>
            </w:pPr>
          </w:p>
        </w:tc>
      </w:tr>
    </w:tbl>
    <w:p w14:paraId="0160F035">
      <w:pPr>
        <w:tabs>
          <w:tab w:val="left" w:pos="5580"/>
        </w:tabs>
        <w:spacing w:line="360" w:lineRule="auto"/>
        <w:jc w:val="left"/>
        <w:rPr>
          <w:rFonts w:ascii="宋体" w:hAnsi="宋体"/>
          <w:color w:val="auto"/>
          <w:sz w:val="24"/>
          <w:highlight w:val="none"/>
        </w:rPr>
      </w:pPr>
      <w:r>
        <w:rPr>
          <w:rFonts w:hint="eastAsia" w:ascii="宋体" w:hAnsi="宋体"/>
          <w:color w:val="auto"/>
          <w:sz w:val="24"/>
          <w:highlight w:val="none"/>
        </w:rPr>
        <w:t>委托代理人</w:t>
      </w:r>
      <w:r>
        <w:rPr>
          <w:rFonts w:ascii="宋体" w:hAnsi="宋体"/>
          <w:color w:val="auto"/>
          <w:sz w:val="24"/>
          <w:highlight w:val="none"/>
        </w:rPr>
        <w:t>有效期内的身份证</w:t>
      </w:r>
      <w:r>
        <w:rPr>
          <w:rFonts w:ascii="宋体" w:hAnsi="宋体"/>
          <w:b/>
          <w:color w:val="auto"/>
          <w:sz w:val="24"/>
          <w:highlight w:val="none"/>
        </w:rPr>
        <w:t>正反面</w:t>
      </w:r>
      <w:r>
        <w:rPr>
          <w:rFonts w:ascii="宋体" w:hAnsi="宋体"/>
          <w:color w:val="auto"/>
          <w:sz w:val="24"/>
          <w:highlight w:val="none"/>
        </w:rPr>
        <w:t>电子件：</w:t>
      </w:r>
    </w:p>
    <w:tbl>
      <w:tblPr>
        <w:tblStyle w:val="46"/>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17A0B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10CE21E3">
            <w:pPr>
              <w:tabs>
                <w:tab w:val="left" w:pos="5580"/>
              </w:tabs>
              <w:spacing w:line="360" w:lineRule="auto"/>
              <w:jc w:val="left"/>
              <w:rPr>
                <w:rFonts w:ascii="宋体" w:hAnsi="宋体"/>
                <w:color w:val="auto"/>
                <w:sz w:val="24"/>
                <w:highlight w:val="none"/>
              </w:rPr>
            </w:pPr>
          </w:p>
          <w:p w14:paraId="7AAFADC6">
            <w:pPr>
              <w:tabs>
                <w:tab w:val="left" w:pos="5580"/>
              </w:tabs>
              <w:spacing w:line="360" w:lineRule="auto"/>
              <w:jc w:val="left"/>
              <w:rPr>
                <w:rFonts w:ascii="宋体" w:hAnsi="宋体"/>
                <w:color w:val="auto"/>
                <w:sz w:val="24"/>
                <w:highlight w:val="none"/>
              </w:rPr>
            </w:pPr>
          </w:p>
          <w:p w14:paraId="0B77B669">
            <w:pPr>
              <w:tabs>
                <w:tab w:val="left" w:pos="5580"/>
              </w:tabs>
              <w:spacing w:line="360" w:lineRule="auto"/>
              <w:jc w:val="left"/>
              <w:rPr>
                <w:rFonts w:ascii="宋体" w:hAnsi="宋体"/>
                <w:color w:val="auto"/>
                <w:sz w:val="24"/>
                <w:highlight w:val="none"/>
              </w:rPr>
            </w:pPr>
          </w:p>
        </w:tc>
        <w:tc>
          <w:tcPr>
            <w:tcW w:w="4536" w:type="dxa"/>
          </w:tcPr>
          <w:p w14:paraId="2BA8684D">
            <w:pPr>
              <w:tabs>
                <w:tab w:val="left" w:pos="5580"/>
              </w:tabs>
              <w:spacing w:line="360" w:lineRule="auto"/>
              <w:jc w:val="left"/>
              <w:rPr>
                <w:rFonts w:ascii="宋体" w:hAnsi="宋体"/>
                <w:color w:val="auto"/>
                <w:sz w:val="24"/>
                <w:highlight w:val="none"/>
              </w:rPr>
            </w:pPr>
          </w:p>
          <w:p w14:paraId="34B80CEB">
            <w:pPr>
              <w:tabs>
                <w:tab w:val="left" w:pos="5580"/>
              </w:tabs>
              <w:spacing w:line="360" w:lineRule="auto"/>
              <w:jc w:val="left"/>
              <w:rPr>
                <w:rFonts w:ascii="宋体" w:hAnsi="宋体"/>
                <w:color w:val="auto"/>
                <w:sz w:val="24"/>
                <w:highlight w:val="none"/>
              </w:rPr>
            </w:pPr>
          </w:p>
          <w:p w14:paraId="45CC3E0D">
            <w:pPr>
              <w:tabs>
                <w:tab w:val="left" w:pos="5580"/>
              </w:tabs>
              <w:spacing w:line="360" w:lineRule="auto"/>
              <w:jc w:val="left"/>
              <w:rPr>
                <w:rFonts w:ascii="宋体" w:hAnsi="宋体"/>
                <w:color w:val="auto"/>
                <w:sz w:val="24"/>
                <w:highlight w:val="none"/>
              </w:rPr>
            </w:pPr>
          </w:p>
        </w:tc>
      </w:tr>
    </w:tbl>
    <w:p w14:paraId="0ABCAEC2">
      <w:pPr>
        <w:tabs>
          <w:tab w:val="left" w:pos="5580"/>
        </w:tabs>
        <w:spacing w:line="360" w:lineRule="auto"/>
        <w:jc w:val="left"/>
        <w:rPr>
          <w:rFonts w:ascii="宋体" w:hAnsi="宋体"/>
          <w:color w:val="auto"/>
          <w:sz w:val="24"/>
          <w:highlight w:val="none"/>
        </w:rPr>
      </w:pPr>
      <w:r>
        <w:rPr>
          <w:rFonts w:hint="eastAsia" w:ascii="宋体" w:hAnsi="宋体"/>
          <w:color w:val="auto"/>
          <w:sz w:val="24"/>
          <w:highlight w:val="none"/>
        </w:rPr>
        <w:t>说明</w:t>
      </w:r>
      <w:r>
        <w:rPr>
          <w:rFonts w:ascii="宋体" w:hAnsi="宋体"/>
          <w:color w:val="auto"/>
          <w:sz w:val="24"/>
          <w:highlight w:val="none"/>
        </w:rPr>
        <w:t>：</w:t>
      </w:r>
    </w:p>
    <w:p w14:paraId="114814D2">
      <w:pPr>
        <w:tabs>
          <w:tab w:val="left" w:pos="5580"/>
        </w:tabs>
        <w:spacing w:line="360" w:lineRule="auto"/>
        <w:jc w:val="left"/>
        <w:rPr>
          <w:rFonts w:ascii="宋体" w:hAnsi="宋体"/>
          <w:color w:val="auto"/>
          <w:sz w:val="24"/>
          <w:highlight w:val="none"/>
        </w:rPr>
      </w:pPr>
      <w:r>
        <w:rPr>
          <w:rFonts w:ascii="宋体" w:hAnsi="宋体"/>
          <w:color w:val="auto"/>
          <w:sz w:val="24"/>
          <w:highlight w:val="none"/>
        </w:rPr>
        <w:t>1.若供应商为事业单位或其他组织或分支机构（仅当</w:t>
      </w:r>
      <w:r>
        <w:rPr>
          <w:rFonts w:hint="eastAsia" w:ascii="宋体" w:hAnsi="宋体"/>
          <w:color w:val="auto"/>
          <w:sz w:val="24"/>
          <w:highlight w:val="none"/>
        </w:rPr>
        <w:t>招标</w:t>
      </w:r>
      <w:r>
        <w:rPr>
          <w:rFonts w:ascii="宋体" w:hAnsi="宋体"/>
          <w:color w:val="auto"/>
          <w:sz w:val="24"/>
          <w:highlight w:val="none"/>
        </w:rPr>
        <w:t>文件注明允许分支机构</w:t>
      </w:r>
      <w:r>
        <w:rPr>
          <w:rFonts w:hint="eastAsia" w:ascii="宋体" w:hAnsi="宋体"/>
          <w:color w:val="auto"/>
          <w:sz w:val="24"/>
          <w:highlight w:val="none"/>
        </w:rPr>
        <w:t>投标</w:t>
      </w:r>
      <w:r>
        <w:rPr>
          <w:rFonts w:ascii="宋体" w:hAnsi="宋体"/>
          <w:color w:val="auto"/>
          <w:sz w:val="24"/>
          <w:highlight w:val="none"/>
        </w:rPr>
        <w:t>的），则法定代表人（单位负责人）</w:t>
      </w:r>
      <w:r>
        <w:rPr>
          <w:rFonts w:hint="eastAsia" w:ascii="宋体" w:hAnsi="宋体"/>
          <w:color w:val="auto"/>
          <w:sz w:val="24"/>
          <w:highlight w:val="none"/>
        </w:rPr>
        <w:t>处</w:t>
      </w:r>
      <w:r>
        <w:rPr>
          <w:rFonts w:ascii="宋体" w:hAnsi="宋体"/>
          <w:color w:val="auto"/>
          <w:sz w:val="24"/>
          <w:highlight w:val="none"/>
        </w:rPr>
        <w:t>的签署人可为单位负责人</w:t>
      </w:r>
      <w:r>
        <w:rPr>
          <w:rFonts w:hint="eastAsia" w:ascii="宋体" w:hAnsi="宋体"/>
          <w:color w:val="auto"/>
          <w:sz w:val="24"/>
          <w:highlight w:val="none"/>
        </w:rPr>
        <w:t>。</w:t>
      </w:r>
    </w:p>
    <w:p w14:paraId="0734FEF5">
      <w:pPr>
        <w:tabs>
          <w:tab w:val="left" w:pos="5580"/>
        </w:tabs>
        <w:spacing w:line="360" w:lineRule="auto"/>
        <w:jc w:val="left"/>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若</w:t>
      </w:r>
      <w:r>
        <w:rPr>
          <w:rFonts w:hint="eastAsia" w:ascii="宋体" w:hAnsi="宋体"/>
          <w:color w:val="auto"/>
          <w:sz w:val="24"/>
          <w:highlight w:val="none"/>
        </w:rPr>
        <w:t>投标</w:t>
      </w:r>
      <w:r>
        <w:rPr>
          <w:rFonts w:ascii="宋体" w:hAnsi="宋体"/>
          <w:color w:val="auto"/>
          <w:sz w:val="24"/>
          <w:highlight w:val="none"/>
        </w:rPr>
        <w:t>文件中签字之处均为法定代表人（单位负责人）本人签署，则可不提供本《</w:t>
      </w:r>
      <w:r>
        <w:rPr>
          <w:rFonts w:hint="eastAsia" w:ascii="宋体" w:hAnsi="宋体"/>
          <w:color w:val="auto"/>
          <w:sz w:val="24"/>
          <w:highlight w:val="none"/>
        </w:rPr>
        <w:t>授权委托书</w:t>
      </w:r>
      <w:r>
        <w:rPr>
          <w:rFonts w:ascii="宋体" w:hAnsi="宋体"/>
          <w:color w:val="auto"/>
          <w:sz w:val="24"/>
          <w:highlight w:val="none"/>
        </w:rPr>
        <w:t>》，但须提供</w:t>
      </w:r>
      <w:r>
        <w:rPr>
          <w:rFonts w:hint="eastAsia" w:ascii="宋体" w:hAnsi="宋体"/>
          <w:color w:val="auto"/>
          <w:sz w:val="24"/>
          <w:highlight w:val="none"/>
        </w:rPr>
        <w:t>《</w:t>
      </w:r>
      <w:r>
        <w:rPr>
          <w:rFonts w:ascii="宋体" w:hAnsi="宋体"/>
          <w:color w:val="auto"/>
          <w:sz w:val="24"/>
          <w:highlight w:val="none"/>
        </w:rPr>
        <w:t>法定代表人（单位负责人）身份证</w:t>
      </w:r>
      <w:r>
        <w:rPr>
          <w:rFonts w:hint="eastAsia" w:ascii="宋体" w:hAnsi="宋体"/>
          <w:color w:val="auto"/>
          <w:sz w:val="24"/>
          <w:highlight w:val="none"/>
        </w:rPr>
        <w:t>明》</w:t>
      </w:r>
      <w:r>
        <w:rPr>
          <w:rFonts w:ascii="宋体" w:hAnsi="宋体"/>
          <w:color w:val="auto"/>
          <w:sz w:val="24"/>
          <w:highlight w:val="none"/>
        </w:rPr>
        <w:t>（实质性格式）。</w:t>
      </w:r>
    </w:p>
    <w:p w14:paraId="4DAACE5D">
      <w:pPr>
        <w:tabs>
          <w:tab w:val="left" w:pos="5580"/>
        </w:tabs>
        <w:spacing w:line="360" w:lineRule="auto"/>
        <w:jc w:val="left"/>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供应商为自然人的情形，可不提供本</w:t>
      </w:r>
      <w:r>
        <w:rPr>
          <w:rFonts w:ascii="宋体" w:hAnsi="宋体"/>
          <w:color w:val="auto"/>
          <w:sz w:val="24"/>
          <w:highlight w:val="none"/>
        </w:rPr>
        <w:t>《</w:t>
      </w:r>
      <w:r>
        <w:rPr>
          <w:rFonts w:hint="eastAsia" w:ascii="宋体" w:hAnsi="宋体"/>
          <w:color w:val="auto"/>
          <w:sz w:val="24"/>
          <w:highlight w:val="none"/>
        </w:rPr>
        <w:t>授权委托书</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br w:type="page"/>
      </w:r>
    </w:p>
    <w:p w14:paraId="7206AA5E">
      <w:pPr>
        <w:spacing w:line="360" w:lineRule="exact"/>
        <w:jc w:val="center"/>
        <w:rPr>
          <w:rFonts w:ascii="宋体" w:hAnsi="宋体"/>
          <w:b/>
          <w:color w:val="auto"/>
          <w:sz w:val="24"/>
          <w:highlight w:val="none"/>
        </w:rPr>
      </w:pPr>
      <w:r>
        <w:rPr>
          <w:rFonts w:hint="eastAsia" w:ascii="宋体" w:hAnsi="宋体"/>
          <w:b/>
          <w:color w:val="auto"/>
          <w:sz w:val="24"/>
          <w:highlight w:val="none"/>
        </w:rPr>
        <w:t>附：</w:t>
      </w:r>
      <w:r>
        <w:rPr>
          <w:rFonts w:ascii="宋体" w:hAnsi="宋体"/>
          <w:b/>
          <w:color w:val="auto"/>
          <w:sz w:val="24"/>
          <w:highlight w:val="none"/>
        </w:rPr>
        <w:t>法定代表人（单位负责人）身份证明</w:t>
      </w:r>
    </w:p>
    <w:p w14:paraId="75F7388D">
      <w:pPr>
        <w:kinsoku w:val="0"/>
        <w:overflowPunct w:val="0"/>
        <w:spacing w:line="200" w:lineRule="exact"/>
        <w:rPr>
          <w:rFonts w:ascii="宋体" w:hAnsi="宋体"/>
          <w:color w:val="auto"/>
          <w:sz w:val="24"/>
          <w:highlight w:val="none"/>
        </w:rPr>
      </w:pPr>
    </w:p>
    <w:p w14:paraId="5B7EE24D">
      <w:pPr>
        <w:tabs>
          <w:tab w:val="left" w:pos="5580"/>
        </w:tabs>
        <w:spacing w:line="360" w:lineRule="auto"/>
        <w:rPr>
          <w:rFonts w:ascii="宋体" w:hAnsi="宋体"/>
          <w:color w:val="auto"/>
          <w:sz w:val="24"/>
          <w:highlight w:val="none"/>
        </w:rPr>
      </w:pPr>
      <w:r>
        <w:rPr>
          <w:rFonts w:ascii="宋体" w:hAnsi="宋体"/>
          <w:color w:val="auto"/>
          <w:sz w:val="24"/>
          <w:highlight w:val="none"/>
        </w:rPr>
        <w:t>致：</w:t>
      </w:r>
      <w:r>
        <w:rPr>
          <w:rFonts w:ascii="宋体" w:hAnsi="宋体"/>
          <w:color w:val="auto"/>
          <w:sz w:val="24"/>
          <w:highlight w:val="none"/>
          <w:u w:val="single"/>
        </w:rPr>
        <w:t>（</w:t>
      </w:r>
      <w:r>
        <w:rPr>
          <w:rFonts w:hint="eastAsia" w:ascii="宋体" w:hAnsi="宋体"/>
          <w:color w:val="auto"/>
          <w:sz w:val="24"/>
          <w:highlight w:val="none"/>
          <w:u w:val="single"/>
        </w:rPr>
        <w:t>采购人或</w:t>
      </w:r>
      <w:r>
        <w:rPr>
          <w:rFonts w:ascii="宋体" w:hAnsi="宋体"/>
          <w:color w:val="auto"/>
          <w:sz w:val="24"/>
          <w:highlight w:val="none"/>
          <w:u w:val="single"/>
        </w:rPr>
        <w:t>采购代理机构）</w:t>
      </w:r>
    </w:p>
    <w:p w14:paraId="22B365B3">
      <w:pPr>
        <w:pStyle w:val="17"/>
        <w:tabs>
          <w:tab w:val="left" w:pos="2412"/>
          <w:tab w:val="left" w:pos="3883"/>
          <w:tab w:val="left" w:pos="5352"/>
          <w:tab w:val="left" w:pos="6821"/>
        </w:tabs>
        <w:kinsoku w:val="0"/>
        <w:overflowPunct w:val="0"/>
        <w:spacing w:line="335" w:lineRule="exact"/>
        <w:ind w:firstLine="480" w:firstLineChars="200"/>
        <w:rPr>
          <w:color w:val="auto"/>
          <w:highlight w:val="none"/>
        </w:rPr>
      </w:pPr>
      <w:r>
        <w:rPr>
          <w:rFonts w:hint="eastAsia"/>
          <w:color w:val="auto"/>
          <w:highlight w:val="none"/>
        </w:rPr>
        <w:t>兹证明，</w:t>
      </w:r>
    </w:p>
    <w:p w14:paraId="4B393D70">
      <w:pPr>
        <w:pStyle w:val="17"/>
        <w:tabs>
          <w:tab w:val="left" w:pos="1690"/>
          <w:tab w:val="left" w:pos="3400"/>
          <w:tab w:val="left" w:pos="5110"/>
          <w:tab w:val="left" w:pos="6821"/>
        </w:tabs>
        <w:kinsoku w:val="0"/>
        <w:overflowPunct w:val="0"/>
        <w:spacing w:line="335" w:lineRule="exact"/>
        <w:rPr>
          <w:color w:val="auto"/>
          <w:highlight w:val="none"/>
        </w:rPr>
      </w:pPr>
      <w:r>
        <w:rPr>
          <w:color w:val="auto"/>
          <w:highlight w:val="none"/>
        </w:rPr>
        <w:t>姓名</w:t>
      </w:r>
      <w:r>
        <w:rPr>
          <w:rFonts w:hint="eastAsia"/>
          <w:color w:val="auto"/>
          <w:highlight w:val="none"/>
        </w:rPr>
        <w:t>：</w:t>
      </w:r>
      <w:r>
        <w:rPr>
          <w:color w:val="auto"/>
          <w:highlight w:val="none"/>
        </w:rPr>
        <w:t>____性别：____年龄：____职务：____</w:t>
      </w:r>
    </w:p>
    <w:p w14:paraId="1874FE6F">
      <w:pPr>
        <w:pStyle w:val="17"/>
        <w:tabs>
          <w:tab w:val="left" w:pos="2412"/>
          <w:tab w:val="left" w:pos="3883"/>
          <w:tab w:val="left" w:pos="5352"/>
          <w:tab w:val="left" w:pos="6821"/>
        </w:tabs>
        <w:kinsoku w:val="0"/>
        <w:overflowPunct w:val="0"/>
        <w:spacing w:line="335" w:lineRule="exact"/>
        <w:rPr>
          <w:color w:val="auto"/>
          <w:highlight w:val="none"/>
        </w:rPr>
      </w:pPr>
    </w:p>
    <w:p w14:paraId="53384F8E">
      <w:pPr>
        <w:pStyle w:val="17"/>
        <w:tabs>
          <w:tab w:val="left" w:pos="2250"/>
          <w:tab w:val="left" w:pos="2412"/>
          <w:tab w:val="left" w:pos="3883"/>
          <w:tab w:val="left" w:pos="5352"/>
          <w:tab w:val="left" w:pos="6821"/>
          <w:tab w:val="clear" w:pos="567"/>
        </w:tabs>
        <w:kinsoku w:val="0"/>
        <w:overflowPunct w:val="0"/>
        <w:spacing w:line="335" w:lineRule="exact"/>
        <w:rPr>
          <w:color w:val="auto"/>
          <w:highlight w:val="none"/>
        </w:rPr>
      </w:pPr>
      <w:r>
        <w:rPr>
          <w:color w:val="auto"/>
          <w:highlight w:val="none"/>
        </w:rPr>
        <w:t>系</w:t>
      </w:r>
      <w:r>
        <w:rPr>
          <w:color w:val="auto"/>
          <w:highlight w:val="none"/>
          <w:u w:val="single"/>
        </w:rPr>
        <w:tab/>
      </w:r>
      <w:r>
        <w:rPr>
          <w:color w:val="auto"/>
          <w:highlight w:val="none"/>
        </w:rPr>
        <w:t>（</w:t>
      </w:r>
      <w:r>
        <w:rPr>
          <w:rFonts w:hint="eastAsia"/>
          <w:color w:val="auto"/>
          <w:highlight w:val="none"/>
        </w:rPr>
        <w:t>投标人</w:t>
      </w:r>
      <w:r>
        <w:rPr>
          <w:color w:val="auto"/>
          <w:highlight w:val="none"/>
        </w:rPr>
        <w:t>名称）的法定代表人（单位负责人）。</w:t>
      </w:r>
    </w:p>
    <w:p w14:paraId="617D1B8F">
      <w:pPr>
        <w:pStyle w:val="17"/>
        <w:tabs>
          <w:tab w:val="left" w:pos="2412"/>
          <w:tab w:val="left" w:pos="3883"/>
          <w:tab w:val="left" w:pos="5352"/>
          <w:tab w:val="left" w:pos="6821"/>
        </w:tabs>
        <w:kinsoku w:val="0"/>
        <w:overflowPunct w:val="0"/>
        <w:spacing w:line="335" w:lineRule="exact"/>
        <w:rPr>
          <w:color w:val="auto"/>
          <w:highlight w:val="none"/>
        </w:rPr>
      </w:pPr>
    </w:p>
    <w:p w14:paraId="2855DF91">
      <w:pPr>
        <w:pStyle w:val="17"/>
        <w:tabs>
          <w:tab w:val="left" w:pos="2412"/>
          <w:tab w:val="left" w:pos="3883"/>
          <w:tab w:val="left" w:pos="5352"/>
          <w:tab w:val="left" w:pos="6821"/>
        </w:tabs>
        <w:kinsoku w:val="0"/>
        <w:overflowPunct w:val="0"/>
        <w:spacing w:line="335" w:lineRule="exact"/>
        <w:rPr>
          <w:color w:val="auto"/>
          <w:highlight w:val="none"/>
        </w:rPr>
      </w:pPr>
    </w:p>
    <w:p w14:paraId="7FA56FCE">
      <w:pPr>
        <w:pStyle w:val="17"/>
        <w:tabs>
          <w:tab w:val="left" w:pos="2412"/>
          <w:tab w:val="left" w:pos="3883"/>
          <w:tab w:val="left" w:pos="5352"/>
          <w:tab w:val="left" w:pos="6821"/>
        </w:tabs>
        <w:kinsoku w:val="0"/>
        <w:overflowPunct w:val="0"/>
        <w:spacing w:line="335" w:lineRule="exact"/>
        <w:rPr>
          <w:color w:val="auto"/>
          <w:highlight w:val="none"/>
        </w:rPr>
      </w:pPr>
    </w:p>
    <w:p w14:paraId="72D588CB">
      <w:pPr>
        <w:pStyle w:val="17"/>
        <w:kinsoku w:val="0"/>
        <w:overflowPunct w:val="0"/>
        <w:spacing w:line="583" w:lineRule="auto"/>
        <w:ind w:right="-46"/>
        <w:rPr>
          <w:color w:val="auto"/>
          <w:spacing w:val="-3"/>
          <w:highlight w:val="none"/>
        </w:rPr>
      </w:pPr>
      <w:r>
        <w:rPr>
          <w:color w:val="auto"/>
          <w:highlight w:val="none"/>
        </w:rPr>
        <w:t>附：</w:t>
      </w:r>
      <w:r>
        <w:rPr>
          <w:color w:val="auto"/>
          <w:spacing w:val="-3"/>
          <w:highlight w:val="none"/>
        </w:rPr>
        <w:t>法</w:t>
      </w:r>
      <w:r>
        <w:rPr>
          <w:color w:val="auto"/>
          <w:highlight w:val="none"/>
        </w:rPr>
        <w:t>定</w:t>
      </w:r>
      <w:r>
        <w:rPr>
          <w:color w:val="auto"/>
          <w:spacing w:val="-3"/>
          <w:highlight w:val="none"/>
        </w:rPr>
        <w:t>代</w:t>
      </w:r>
      <w:r>
        <w:rPr>
          <w:color w:val="auto"/>
          <w:highlight w:val="none"/>
        </w:rPr>
        <w:t>表</w:t>
      </w:r>
      <w:r>
        <w:rPr>
          <w:color w:val="auto"/>
          <w:spacing w:val="-3"/>
          <w:highlight w:val="none"/>
        </w:rPr>
        <w:t>人</w:t>
      </w:r>
      <w:r>
        <w:rPr>
          <w:color w:val="auto"/>
          <w:highlight w:val="none"/>
        </w:rPr>
        <w:t>（</w:t>
      </w:r>
      <w:r>
        <w:rPr>
          <w:color w:val="auto"/>
          <w:spacing w:val="-3"/>
          <w:highlight w:val="none"/>
        </w:rPr>
        <w:t>单</w:t>
      </w:r>
      <w:r>
        <w:rPr>
          <w:color w:val="auto"/>
          <w:highlight w:val="none"/>
        </w:rPr>
        <w:t>位</w:t>
      </w:r>
      <w:r>
        <w:rPr>
          <w:color w:val="auto"/>
          <w:spacing w:val="-3"/>
          <w:highlight w:val="none"/>
        </w:rPr>
        <w:t>负</w:t>
      </w:r>
      <w:r>
        <w:rPr>
          <w:color w:val="auto"/>
          <w:highlight w:val="none"/>
        </w:rPr>
        <w:t>责人</w:t>
      </w:r>
      <w:r>
        <w:rPr>
          <w:color w:val="auto"/>
          <w:spacing w:val="-3"/>
          <w:highlight w:val="none"/>
        </w:rPr>
        <w:t>）有效期内的身</w:t>
      </w:r>
      <w:r>
        <w:rPr>
          <w:rFonts w:hint="eastAsia"/>
          <w:color w:val="auto"/>
          <w:spacing w:val="-3"/>
          <w:highlight w:val="none"/>
        </w:rPr>
        <w:t>份</w:t>
      </w:r>
      <w:r>
        <w:rPr>
          <w:color w:val="auto"/>
          <w:spacing w:val="-3"/>
          <w:highlight w:val="none"/>
        </w:rPr>
        <w:t>证正反面</w:t>
      </w:r>
      <w:r>
        <w:rPr>
          <w:rFonts w:hint="eastAsia"/>
          <w:color w:val="auto"/>
          <w:spacing w:val="-3"/>
          <w:highlight w:val="none"/>
        </w:rPr>
        <w:t>电子</w:t>
      </w:r>
      <w:r>
        <w:rPr>
          <w:color w:val="auto"/>
          <w:spacing w:val="-3"/>
          <w:highlight w:val="none"/>
        </w:rPr>
        <w:t>件</w:t>
      </w:r>
      <w:r>
        <w:rPr>
          <w:rFonts w:hint="eastAsia"/>
          <w:color w:val="auto"/>
          <w:spacing w:val="-3"/>
          <w:highlight w:val="none"/>
        </w:rPr>
        <w:t>。</w:t>
      </w:r>
    </w:p>
    <w:tbl>
      <w:tblPr>
        <w:tblStyle w:val="46"/>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5CB9C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27C4B3BD">
            <w:pPr>
              <w:tabs>
                <w:tab w:val="left" w:pos="5580"/>
              </w:tabs>
              <w:spacing w:line="360" w:lineRule="auto"/>
              <w:jc w:val="left"/>
              <w:rPr>
                <w:rFonts w:ascii="宋体" w:hAnsi="宋体"/>
                <w:color w:val="auto"/>
                <w:sz w:val="24"/>
                <w:highlight w:val="none"/>
              </w:rPr>
            </w:pPr>
          </w:p>
          <w:p w14:paraId="3BDBC4E7">
            <w:pPr>
              <w:tabs>
                <w:tab w:val="left" w:pos="5580"/>
              </w:tabs>
              <w:spacing w:line="360" w:lineRule="auto"/>
              <w:jc w:val="left"/>
              <w:rPr>
                <w:rFonts w:ascii="宋体" w:hAnsi="宋体"/>
                <w:color w:val="auto"/>
                <w:sz w:val="24"/>
                <w:highlight w:val="none"/>
              </w:rPr>
            </w:pPr>
          </w:p>
          <w:p w14:paraId="5CA7C7A8">
            <w:pPr>
              <w:tabs>
                <w:tab w:val="left" w:pos="5580"/>
              </w:tabs>
              <w:spacing w:line="360" w:lineRule="auto"/>
              <w:jc w:val="left"/>
              <w:rPr>
                <w:rFonts w:ascii="宋体" w:hAnsi="宋体"/>
                <w:color w:val="auto"/>
                <w:sz w:val="24"/>
                <w:highlight w:val="none"/>
              </w:rPr>
            </w:pPr>
          </w:p>
        </w:tc>
        <w:tc>
          <w:tcPr>
            <w:tcW w:w="4536" w:type="dxa"/>
          </w:tcPr>
          <w:p w14:paraId="2E77FBFA">
            <w:pPr>
              <w:tabs>
                <w:tab w:val="left" w:pos="5580"/>
              </w:tabs>
              <w:spacing w:line="360" w:lineRule="auto"/>
              <w:jc w:val="left"/>
              <w:rPr>
                <w:rFonts w:ascii="宋体" w:hAnsi="宋体"/>
                <w:color w:val="auto"/>
                <w:sz w:val="24"/>
                <w:highlight w:val="none"/>
              </w:rPr>
            </w:pPr>
          </w:p>
          <w:p w14:paraId="23FEBB12">
            <w:pPr>
              <w:tabs>
                <w:tab w:val="left" w:pos="5580"/>
              </w:tabs>
              <w:spacing w:line="360" w:lineRule="auto"/>
              <w:jc w:val="left"/>
              <w:rPr>
                <w:rFonts w:ascii="宋体" w:hAnsi="宋体"/>
                <w:color w:val="auto"/>
                <w:sz w:val="24"/>
                <w:highlight w:val="none"/>
              </w:rPr>
            </w:pPr>
          </w:p>
          <w:p w14:paraId="0226D8ED">
            <w:pPr>
              <w:tabs>
                <w:tab w:val="left" w:pos="5580"/>
              </w:tabs>
              <w:spacing w:line="360" w:lineRule="auto"/>
              <w:jc w:val="left"/>
              <w:rPr>
                <w:rFonts w:ascii="宋体" w:hAnsi="宋体"/>
                <w:color w:val="auto"/>
                <w:sz w:val="24"/>
                <w:highlight w:val="none"/>
              </w:rPr>
            </w:pPr>
          </w:p>
        </w:tc>
      </w:tr>
    </w:tbl>
    <w:p w14:paraId="61319DE1">
      <w:pPr>
        <w:pStyle w:val="17"/>
        <w:kinsoku w:val="0"/>
        <w:overflowPunct w:val="0"/>
        <w:spacing w:line="583" w:lineRule="auto"/>
        <w:ind w:right="4305"/>
        <w:rPr>
          <w:color w:val="auto"/>
          <w:spacing w:val="-3"/>
          <w:highlight w:val="none"/>
        </w:rPr>
      </w:pPr>
    </w:p>
    <w:p w14:paraId="697F3DCD">
      <w:pPr>
        <w:pStyle w:val="17"/>
        <w:kinsoku w:val="0"/>
        <w:overflowPunct w:val="0"/>
        <w:spacing w:line="583" w:lineRule="auto"/>
        <w:ind w:right="4305"/>
        <w:rPr>
          <w:color w:val="auto"/>
          <w:spacing w:val="-3"/>
          <w:highlight w:val="none"/>
        </w:rPr>
      </w:pPr>
    </w:p>
    <w:p w14:paraId="75BB1883">
      <w:pPr>
        <w:autoSpaceDE w:val="0"/>
        <w:autoSpaceDN w:val="0"/>
        <w:adjustRightInd w:val="0"/>
        <w:snapToGrid w:val="0"/>
        <w:spacing w:line="360" w:lineRule="auto"/>
        <w:rPr>
          <w:rFonts w:ascii="宋体" w:hAnsi="宋体"/>
          <w:color w:val="auto"/>
          <w:sz w:val="24"/>
          <w:highlight w:val="none"/>
          <w:lang w:val="zh-CN"/>
        </w:rPr>
      </w:pPr>
      <w:r>
        <w:rPr>
          <w:rFonts w:hint="eastAsia" w:ascii="宋体" w:hAnsi="宋体"/>
          <w:color w:val="auto"/>
          <w:sz w:val="24"/>
          <w:highlight w:val="none"/>
        </w:rPr>
        <w:t>投标人</w:t>
      </w:r>
      <w:r>
        <w:rPr>
          <w:rFonts w:ascii="宋体" w:hAnsi="宋体"/>
          <w:color w:val="auto"/>
          <w:sz w:val="24"/>
          <w:highlight w:val="none"/>
        </w:rPr>
        <w:t>名称（加盖公章）</w:t>
      </w:r>
      <w:r>
        <w:rPr>
          <w:rFonts w:ascii="宋体" w:hAnsi="宋体"/>
          <w:color w:val="auto"/>
          <w:sz w:val="24"/>
          <w:highlight w:val="none"/>
          <w:lang w:val="zh-CN"/>
        </w:rPr>
        <w:t>：________________</w:t>
      </w:r>
    </w:p>
    <w:p w14:paraId="3025C7B0">
      <w:pPr>
        <w:pStyle w:val="17"/>
        <w:kinsoku w:val="0"/>
        <w:overflowPunct w:val="0"/>
        <w:spacing w:line="583" w:lineRule="auto"/>
        <w:ind w:right="95"/>
        <w:rPr>
          <w:color w:val="auto"/>
          <w:spacing w:val="-3"/>
          <w:highlight w:val="none"/>
        </w:rPr>
      </w:pPr>
      <w:r>
        <w:rPr>
          <w:rFonts w:hint="eastAsia"/>
          <w:color w:val="auto"/>
          <w:spacing w:val="-3"/>
          <w:highlight w:val="none"/>
        </w:rPr>
        <w:t>法定代表人（</w:t>
      </w:r>
      <w:r>
        <w:rPr>
          <w:color w:val="auto"/>
          <w:highlight w:val="none"/>
        </w:rPr>
        <w:t>单位负责人</w:t>
      </w:r>
      <w:r>
        <w:rPr>
          <w:rFonts w:hint="eastAsia"/>
          <w:color w:val="auto"/>
          <w:spacing w:val="-3"/>
          <w:highlight w:val="none"/>
        </w:rPr>
        <w:t>）（</w:t>
      </w:r>
      <w:r>
        <w:rPr>
          <w:color w:val="auto"/>
          <w:highlight w:val="none"/>
        </w:rPr>
        <w:t>签字或</w:t>
      </w:r>
      <w:r>
        <w:rPr>
          <w:rFonts w:hint="eastAsia"/>
          <w:color w:val="auto"/>
          <w:highlight w:val="none"/>
        </w:rPr>
        <w:t>盖章</w:t>
      </w:r>
      <w:r>
        <w:rPr>
          <w:rFonts w:hint="eastAsia"/>
          <w:color w:val="auto"/>
          <w:spacing w:val="-3"/>
          <w:highlight w:val="none"/>
        </w:rPr>
        <w:t>）：_</w:t>
      </w:r>
      <w:r>
        <w:rPr>
          <w:color w:val="auto"/>
          <w:spacing w:val="-3"/>
          <w:highlight w:val="none"/>
        </w:rPr>
        <w:t>______</w:t>
      </w:r>
    </w:p>
    <w:p w14:paraId="22872119">
      <w:pPr>
        <w:autoSpaceDE w:val="0"/>
        <w:autoSpaceDN w:val="0"/>
        <w:adjustRightInd w:val="0"/>
        <w:snapToGrid w:val="0"/>
        <w:spacing w:line="360" w:lineRule="auto"/>
        <w:rPr>
          <w:rFonts w:ascii="宋体" w:hAnsi="宋体"/>
          <w:color w:val="auto"/>
          <w:sz w:val="24"/>
          <w:highlight w:val="none"/>
        </w:rPr>
      </w:pPr>
    </w:p>
    <w:p w14:paraId="4F3CD1F6">
      <w:pPr>
        <w:autoSpaceDE w:val="0"/>
        <w:autoSpaceDN w:val="0"/>
        <w:adjustRightInd w:val="0"/>
        <w:snapToGrid w:val="0"/>
        <w:spacing w:line="360" w:lineRule="auto"/>
        <w:rPr>
          <w:rFonts w:ascii="宋体" w:hAnsi="宋体"/>
          <w:color w:val="auto"/>
          <w:sz w:val="24"/>
          <w:highlight w:val="none"/>
          <w:lang w:val="zh-CN"/>
        </w:rPr>
      </w:pPr>
      <w:r>
        <w:rPr>
          <w:rFonts w:ascii="宋体" w:hAnsi="宋体"/>
          <w:color w:val="auto"/>
          <w:sz w:val="24"/>
          <w:highlight w:val="none"/>
        </w:rPr>
        <w:t>日期：_____年______月______日</w:t>
      </w:r>
    </w:p>
    <w:p w14:paraId="15570D87">
      <w:pPr>
        <w:widowControl/>
        <w:jc w:val="left"/>
        <w:rPr>
          <w:rFonts w:ascii="宋体" w:hAnsi="宋体"/>
          <w:i/>
          <w:color w:val="auto"/>
          <w:sz w:val="24"/>
          <w:highlight w:val="none"/>
          <w:u w:val="single"/>
        </w:rPr>
      </w:pPr>
    </w:p>
    <w:p w14:paraId="6A879B31">
      <w:pPr>
        <w:widowControl/>
        <w:jc w:val="left"/>
        <w:rPr>
          <w:rFonts w:ascii="宋体" w:hAnsi="宋体"/>
          <w:color w:val="auto"/>
          <w:sz w:val="24"/>
          <w:highlight w:val="none"/>
        </w:rPr>
      </w:pPr>
      <w:r>
        <w:rPr>
          <w:rFonts w:ascii="宋体" w:hAnsi="宋体"/>
          <w:color w:val="auto"/>
          <w:sz w:val="24"/>
          <w:highlight w:val="none"/>
        </w:rPr>
        <w:br w:type="page"/>
      </w:r>
    </w:p>
    <w:p w14:paraId="37326D31">
      <w:pPr>
        <w:spacing w:line="360" w:lineRule="auto"/>
        <w:outlineLvl w:val="2"/>
        <w:rPr>
          <w:rFonts w:ascii="宋体" w:hAnsi="宋体"/>
          <w:color w:val="auto"/>
          <w:sz w:val="24"/>
          <w:highlight w:val="none"/>
        </w:rPr>
      </w:pPr>
      <w:r>
        <w:rPr>
          <w:rFonts w:ascii="宋体" w:hAnsi="宋体"/>
          <w:color w:val="auto"/>
          <w:sz w:val="24"/>
          <w:highlight w:val="none"/>
        </w:rPr>
        <w:t>3  开标一览表</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r>
        <w:rPr>
          <w:rFonts w:ascii="宋体" w:hAnsi="宋体"/>
          <w:color w:val="auto"/>
          <w:sz w:val="24"/>
          <w:highlight w:val="none"/>
        </w:rPr>
        <w:t>（实质性格式）</w:t>
      </w:r>
    </w:p>
    <w:p w14:paraId="770CFCED">
      <w:pPr>
        <w:tabs>
          <w:tab w:val="left" w:pos="5580"/>
        </w:tabs>
        <w:jc w:val="center"/>
        <w:rPr>
          <w:rFonts w:ascii="宋体" w:hAnsi="宋体"/>
          <w:b/>
          <w:color w:val="auto"/>
          <w:sz w:val="24"/>
          <w:highlight w:val="none"/>
        </w:rPr>
      </w:pPr>
      <w:bookmarkStart w:id="1136" w:name="_Toc265228396"/>
      <w:bookmarkStart w:id="1137" w:name="_Toc164608827"/>
      <w:bookmarkStart w:id="1138" w:name="_Toc226965748"/>
      <w:bookmarkStart w:id="1139" w:name="_Toc164608672"/>
      <w:bookmarkStart w:id="1140" w:name="_Toc195842923"/>
      <w:bookmarkStart w:id="1141" w:name="_Toc264969248"/>
      <w:bookmarkStart w:id="1142" w:name="_Toc305158826"/>
      <w:bookmarkStart w:id="1143" w:name="_Toc226309802"/>
      <w:bookmarkStart w:id="1144" w:name="_Toc305158900"/>
      <w:bookmarkStart w:id="1145" w:name="_Toc226337254"/>
      <w:bookmarkStart w:id="1146" w:name="_Toc226965831"/>
    </w:p>
    <w:p w14:paraId="79A18D18">
      <w:pPr>
        <w:tabs>
          <w:tab w:val="left" w:pos="5580"/>
        </w:tabs>
        <w:jc w:val="center"/>
        <w:rPr>
          <w:rFonts w:ascii="宋体" w:hAnsi="宋体"/>
          <w:b/>
          <w:color w:val="auto"/>
          <w:sz w:val="24"/>
          <w:highlight w:val="none"/>
        </w:rPr>
      </w:pPr>
      <w:r>
        <w:rPr>
          <w:rFonts w:hint="eastAsia" w:ascii="宋体" w:hAnsi="宋体"/>
          <w:b/>
          <w:color w:val="auto"/>
          <w:sz w:val="24"/>
          <w:highlight w:val="none"/>
        </w:rPr>
        <w:t>开标一览表</w:t>
      </w:r>
      <w:bookmarkEnd w:id="1136"/>
      <w:bookmarkEnd w:id="1137"/>
      <w:bookmarkEnd w:id="1138"/>
      <w:bookmarkEnd w:id="1139"/>
      <w:bookmarkEnd w:id="1140"/>
      <w:bookmarkEnd w:id="1141"/>
      <w:bookmarkEnd w:id="1142"/>
      <w:bookmarkEnd w:id="1143"/>
      <w:bookmarkEnd w:id="1144"/>
      <w:bookmarkEnd w:id="1145"/>
      <w:bookmarkEnd w:id="1146"/>
    </w:p>
    <w:p w14:paraId="4EBFA812">
      <w:pPr>
        <w:tabs>
          <w:tab w:val="left" w:pos="1800"/>
          <w:tab w:val="left" w:pos="5580"/>
        </w:tabs>
        <w:spacing w:line="360" w:lineRule="auto"/>
        <w:jc w:val="left"/>
        <w:rPr>
          <w:rFonts w:ascii="宋体" w:hAnsi="宋体"/>
          <w:i/>
          <w:color w:val="auto"/>
          <w:sz w:val="24"/>
          <w:highlight w:val="none"/>
        </w:rPr>
      </w:pPr>
    </w:p>
    <w:p w14:paraId="5C3311A7">
      <w:pPr>
        <w:tabs>
          <w:tab w:val="left" w:pos="1800"/>
          <w:tab w:val="left" w:pos="5580"/>
        </w:tabs>
        <w:spacing w:line="360" w:lineRule="auto"/>
        <w:jc w:val="left"/>
        <w:rPr>
          <w:rFonts w:ascii="宋体" w:hAnsi="宋体"/>
          <w:i/>
          <w:color w:val="auto"/>
          <w:sz w:val="24"/>
          <w:highlight w:val="none"/>
        </w:rPr>
      </w:pPr>
    </w:p>
    <w:p w14:paraId="1F279137">
      <w:pPr>
        <w:tabs>
          <w:tab w:val="left" w:pos="1800"/>
          <w:tab w:val="left" w:pos="5580"/>
        </w:tabs>
        <w:spacing w:line="360" w:lineRule="auto"/>
        <w:ind w:firstLine="240" w:firstLineChars="100"/>
        <w:jc w:val="left"/>
        <w:rPr>
          <w:rFonts w:ascii="宋体" w:hAnsi="宋体"/>
          <w:color w:val="auto"/>
          <w:sz w:val="24"/>
          <w:highlight w:val="none"/>
          <w:u w:val="single"/>
        </w:rPr>
      </w:pPr>
      <w:r>
        <w:rPr>
          <w:rFonts w:ascii="宋体" w:hAnsi="宋体"/>
          <w:color w:val="auto"/>
          <w:sz w:val="24"/>
          <w:highlight w:val="none"/>
        </w:rPr>
        <w:t xml:space="preserve">项目编号/包号：_____________________     </w:t>
      </w:r>
      <w:r>
        <w:rPr>
          <w:rFonts w:hint="eastAsia" w:ascii="宋体" w:hAnsi="宋体"/>
          <w:color w:val="auto"/>
          <w:sz w:val="24"/>
          <w:highlight w:val="none"/>
        </w:rPr>
        <w:t>项目名称/标的名称</w:t>
      </w:r>
      <w:r>
        <w:rPr>
          <w:rFonts w:ascii="宋体" w:hAnsi="宋体"/>
          <w:color w:val="auto"/>
          <w:sz w:val="24"/>
          <w:highlight w:val="none"/>
        </w:rPr>
        <w:t>：____________</w:t>
      </w:r>
    </w:p>
    <w:tbl>
      <w:tblPr>
        <w:tblStyle w:val="46"/>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16E7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1C6D6782">
            <w:pPr>
              <w:tabs>
                <w:tab w:val="left" w:pos="5580"/>
              </w:tabs>
              <w:jc w:val="center"/>
              <w:rPr>
                <w:rFonts w:ascii="宋体" w:hAnsi="宋体"/>
                <w:b/>
                <w:color w:val="auto"/>
                <w:sz w:val="24"/>
                <w:highlight w:val="none"/>
              </w:rPr>
            </w:pPr>
            <w:r>
              <w:rPr>
                <w:rFonts w:ascii="宋体" w:hAnsi="宋体"/>
                <w:b/>
                <w:color w:val="auto"/>
                <w:sz w:val="24"/>
                <w:highlight w:val="none"/>
              </w:rPr>
              <w:t>序号</w:t>
            </w:r>
          </w:p>
        </w:tc>
        <w:tc>
          <w:tcPr>
            <w:tcW w:w="2215" w:type="pct"/>
            <w:vMerge w:val="restart"/>
            <w:vAlign w:val="center"/>
          </w:tcPr>
          <w:p w14:paraId="74E8EE4A">
            <w:pPr>
              <w:tabs>
                <w:tab w:val="left" w:pos="5580"/>
              </w:tabs>
              <w:jc w:val="center"/>
              <w:rPr>
                <w:rFonts w:ascii="宋体" w:hAnsi="宋体"/>
                <w:b/>
                <w:color w:val="auto"/>
                <w:sz w:val="24"/>
                <w:highlight w:val="none"/>
              </w:rPr>
            </w:pPr>
            <w:r>
              <w:rPr>
                <w:rFonts w:ascii="宋体" w:hAnsi="宋体"/>
                <w:b/>
                <w:color w:val="auto"/>
                <w:sz w:val="24"/>
                <w:highlight w:val="none"/>
              </w:rPr>
              <w:t>投标人名称</w:t>
            </w:r>
          </w:p>
        </w:tc>
        <w:tc>
          <w:tcPr>
            <w:tcW w:w="2373" w:type="pct"/>
            <w:gridSpan w:val="2"/>
            <w:vAlign w:val="center"/>
          </w:tcPr>
          <w:p w14:paraId="436E42C9">
            <w:pPr>
              <w:tabs>
                <w:tab w:val="left" w:pos="5580"/>
              </w:tabs>
              <w:jc w:val="center"/>
              <w:rPr>
                <w:rFonts w:ascii="宋体" w:hAnsi="宋体"/>
                <w:b/>
                <w:color w:val="auto"/>
                <w:sz w:val="24"/>
                <w:highlight w:val="none"/>
              </w:rPr>
            </w:pPr>
            <w:r>
              <w:rPr>
                <w:rFonts w:ascii="宋体" w:hAnsi="宋体"/>
                <w:b/>
                <w:color w:val="auto"/>
                <w:sz w:val="24"/>
                <w:highlight w:val="none"/>
              </w:rPr>
              <w:t>投标报价</w:t>
            </w:r>
          </w:p>
        </w:tc>
      </w:tr>
      <w:tr w14:paraId="31378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05D5080B">
            <w:pPr>
              <w:tabs>
                <w:tab w:val="left" w:pos="5580"/>
              </w:tabs>
              <w:jc w:val="center"/>
              <w:rPr>
                <w:rFonts w:ascii="宋体" w:hAnsi="宋体"/>
                <w:color w:val="auto"/>
                <w:sz w:val="24"/>
                <w:highlight w:val="none"/>
              </w:rPr>
            </w:pPr>
          </w:p>
        </w:tc>
        <w:tc>
          <w:tcPr>
            <w:tcW w:w="2215" w:type="pct"/>
            <w:vMerge w:val="continue"/>
            <w:vAlign w:val="center"/>
          </w:tcPr>
          <w:p w14:paraId="2B589AFA">
            <w:pPr>
              <w:tabs>
                <w:tab w:val="left" w:pos="5580"/>
              </w:tabs>
              <w:jc w:val="center"/>
              <w:rPr>
                <w:rFonts w:ascii="宋体" w:hAnsi="宋体"/>
                <w:color w:val="auto"/>
                <w:sz w:val="24"/>
                <w:highlight w:val="none"/>
              </w:rPr>
            </w:pPr>
          </w:p>
        </w:tc>
        <w:tc>
          <w:tcPr>
            <w:tcW w:w="1188" w:type="pct"/>
            <w:vAlign w:val="center"/>
          </w:tcPr>
          <w:p w14:paraId="2D8293CA">
            <w:pPr>
              <w:tabs>
                <w:tab w:val="left" w:pos="5580"/>
              </w:tabs>
              <w:jc w:val="center"/>
              <w:rPr>
                <w:rFonts w:ascii="宋体" w:hAnsi="宋体"/>
                <w:b/>
                <w:color w:val="auto"/>
                <w:sz w:val="24"/>
                <w:highlight w:val="none"/>
              </w:rPr>
            </w:pPr>
            <w:r>
              <w:rPr>
                <w:rFonts w:ascii="宋体" w:hAnsi="宋体"/>
                <w:b/>
                <w:color w:val="auto"/>
                <w:sz w:val="24"/>
                <w:highlight w:val="none"/>
              </w:rPr>
              <w:t>大写</w:t>
            </w:r>
          </w:p>
        </w:tc>
        <w:tc>
          <w:tcPr>
            <w:tcW w:w="1182" w:type="pct"/>
            <w:vAlign w:val="center"/>
          </w:tcPr>
          <w:p w14:paraId="3DC54AEB">
            <w:pPr>
              <w:tabs>
                <w:tab w:val="left" w:pos="5580"/>
              </w:tabs>
              <w:jc w:val="center"/>
              <w:rPr>
                <w:rFonts w:ascii="宋体" w:hAnsi="宋体"/>
                <w:b/>
                <w:color w:val="auto"/>
                <w:sz w:val="24"/>
                <w:highlight w:val="none"/>
              </w:rPr>
            </w:pPr>
            <w:r>
              <w:rPr>
                <w:rFonts w:ascii="宋体" w:hAnsi="宋体"/>
                <w:b/>
                <w:color w:val="auto"/>
                <w:sz w:val="24"/>
                <w:highlight w:val="none"/>
              </w:rPr>
              <w:t>小写</w:t>
            </w:r>
          </w:p>
        </w:tc>
      </w:tr>
      <w:tr w14:paraId="156D5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7B63708E">
            <w:pPr>
              <w:tabs>
                <w:tab w:val="left" w:pos="5580"/>
              </w:tabs>
              <w:jc w:val="center"/>
              <w:rPr>
                <w:rFonts w:ascii="宋体" w:hAnsi="宋体"/>
                <w:color w:val="auto"/>
                <w:sz w:val="24"/>
                <w:highlight w:val="none"/>
              </w:rPr>
            </w:pPr>
          </w:p>
        </w:tc>
        <w:tc>
          <w:tcPr>
            <w:tcW w:w="2215" w:type="pct"/>
            <w:vAlign w:val="center"/>
          </w:tcPr>
          <w:p w14:paraId="50D1A026">
            <w:pPr>
              <w:tabs>
                <w:tab w:val="left" w:pos="5580"/>
              </w:tabs>
              <w:jc w:val="center"/>
              <w:rPr>
                <w:rFonts w:ascii="宋体" w:hAnsi="宋体"/>
                <w:color w:val="auto"/>
                <w:sz w:val="24"/>
                <w:highlight w:val="none"/>
              </w:rPr>
            </w:pPr>
          </w:p>
        </w:tc>
        <w:tc>
          <w:tcPr>
            <w:tcW w:w="1188" w:type="pct"/>
            <w:vAlign w:val="center"/>
          </w:tcPr>
          <w:p w14:paraId="157BFA09">
            <w:pPr>
              <w:tabs>
                <w:tab w:val="left" w:pos="5580"/>
              </w:tabs>
              <w:jc w:val="center"/>
              <w:rPr>
                <w:rFonts w:ascii="宋体" w:hAnsi="宋体"/>
                <w:color w:val="auto"/>
                <w:sz w:val="24"/>
                <w:highlight w:val="none"/>
              </w:rPr>
            </w:pPr>
          </w:p>
        </w:tc>
        <w:tc>
          <w:tcPr>
            <w:tcW w:w="1182" w:type="pct"/>
            <w:vAlign w:val="center"/>
          </w:tcPr>
          <w:p w14:paraId="1C06424C">
            <w:pPr>
              <w:tabs>
                <w:tab w:val="left" w:pos="5580"/>
              </w:tabs>
              <w:jc w:val="center"/>
              <w:rPr>
                <w:rFonts w:ascii="宋体" w:hAnsi="宋体"/>
                <w:color w:val="auto"/>
                <w:sz w:val="24"/>
                <w:highlight w:val="none"/>
              </w:rPr>
            </w:pPr>
          </w:p>
        </w:tc>
      </w:tr>
    </w:tbl>
    <w:p w14:paraId="5D7985E8">
      <w:pPr>
        <w:autoSpaceDE w:val="0"/>
        <w:autoSpaceDN w:val="0"/>
        <w:adjustRightInd w:val="0"/>
        <w:jc w:val="left"/>
        <w:rPr>
          <w:rFonts w:ascii="宋体" w:hAnsi="宋体"/>
          <w:color w:val="auto"/>
          <w:kern w:val="0"/>
          <w:sz w:val="24"/>
          <w:highlight w:val="none"/>
        </w:rPr>
      </w:pPr>
    </w:p>
    <w:p w14:paraId="17EC3C1D">
      <w:pPr>
        <w:autoSpaceDE w:val="0"/>
        <w:autoSpaceDN w:val="0"/>
        <w:adjustRightInd w:val="0"/>
        <w:jc w:val="left"/>
        <w:rPr>
          <w:rFonts w:ascii="宋体" w:hAnsi="宋体"/>
          <w:color w:val="auto"/>
          <w:sz w:val="24"/>
          <w:highlight w:val="none"/>
        </w:rPr>
      </w:pPr>
      <w:r>
        <w:rPr>
          <w:rFonts w:ascii="宋体" w:hAnsi="宋体"/>
          <w:color w:val="auto"/>
          <w:kern w:val="0"/>
          <w:sz w:val="24"/>
          <w:highlight w:val="none"/>
        </w:rPr>
        <w:t>注：1</w:t>
      </w:r>
      <w:r>
        <w:rPr>
          <w:rFonts w:ascii="宋体" w:hAnsi="宋体"/>
          <w:color w:val="auto"/>
          <w:sz w:val="24"/>
          <w:highlight w:val="none"/>
        </w:rPr>
        <w:t>.此表中，每包的投标报价应和《投标分项报价表》中的总价相一致。</w:t>
      </w:r>
    </w:p>
    <w:p w14:paraId="544E9546">
      <w:pPr>
        <w:tabs>
          <w:tab w:val="left" w:pos="5580"/>
        </w:tabs>
        <w:ind w:firstLine="480" w:firstLineChars="200"/>
        <w:rPr>
          <w:rFonts w:ascii="宋体" w:hAnsi="宋体"/>
          <w:color w:val="auto"/>
          <w:sz w:val="24"/>
          <w:highlight w:val="none"/>
        </w:rPr>
      </w:pPr>
      <w:r>
        <w:rPr>
          <w:rFonts w:ascii="宋体" w:hAnsi="宋体"/>
          <w:color w:val="auto"/>
          <w:sz w:val="24"/>
          <w:highlight w:val="none"/>
        </w:rPr>
        <w:t>2.本表必须按包分别填写。</w:t>
      </w:r>
    </w:p>
    <w:p w14:paraId="05D881DA">
      <w:pPr>
        <w:autoSpaceDE w:val="0"/>
        <w:autoSpaceDN w:val="0"/>
        <w:adjustRightInd w:val="0"/>
        <w:snapToGrid w:val="0"/>
        <w:spacing w:before="25" w:after="25" w:line="360" w:lineRule="auto"/>
        <w:rPr>
          <w:rFonts w:ascii="宋体" w:hAnsi="宋体"/>
          <w:color w:val="auto"/>
          <w:sz w:val="24"/>
          <w:highlight w:val="none"/>
          <w:lang w:val="zh-CN"/>
        </w:rPr>
      </w:pPr>
    </w:p>
    <w:p w14:paraId="64AA5514">
      <w:pPr>
        <w:autoSpaceDE w:val="0"/>
        <w:autoSpaceDN w:val="0"/>
        <w:adjustRightInd w:val="0"/>
        <w:snapToGrid w:val="0"/>
        <w:spacing w:before="25" w:after="25" w:line="360" w:lineRule="auto"/>
        <w:rPr>
          <w:rFonts w:ascii="宋体" w:hAnsi="宋体"/>
          <w:color w:val="auto"/>
          <w:sz w:val="24"/>
          <w:highlight w:val="none"/>
          <w:lang w:val="zh-CN"/>
        </w:rPr>
      </w:pPr>
      <w:r>
        <w:rPr>
          <w:rFonts w:ascii="宋体" w:hAnsi="宋体"/>
          <w:color w:val="auto"/>
          <w:sz w:val="24"/>
          <w:highlight w:val="none"/>
          <w:lang w:val="zh-CN"/>
        </w:rPr>
        <w:t xml:space="preserve">                         </w:t>
      </w:r>
    </w:p>
    <w:p w14:paraId="495957CB">
      <w:pPr>
        <w:autoSpaceDE w:val="0"/>
        <w:autoSpaceDN w:val="0"/>
        <w:adjustRightInd w:val="0"/>
        <w:snapToGrid w:val="0"/>
        <w:spacing w:before="25" w:after="25" w:line="360" w:lineRule="auto"/>
        <w:rPr>
          <w:rFonts w:ascii="宋体" w:hAnsi="宋体"/>
          <w:color w:val="auto"/>
          <w:sz w:val="24"/>
          <w:highlight w:val="none"/>
          <w:lang w:val="zh-CN"/>
        </w:rPr>
      </w:pPr>
      <w:r>
        <w:rPr>
          <w:rFonts w:ascii="宋体" w:hAnsi="宋体"/>
          <w:color w:val="auto"/>
          <w:sz w:val="24"/>
          <w:highlight w:val="none"/>
        </w:rPr>
        <w:t>投标人名称（加盖公章）</w:t>
      </w:r>
      <w:r>
        <w:rPr>
          <w:rFonts w:ascii="宋体" w:hAnsi="宋体"/>
          <w:color w:val="auto"/>
          <w:sz w:val="24"/>
          <w:highlight w:val="none"/>
          <w:lang w:val="zh-CN"/>
        </w:rPr>
        <w:t>：____________</w:t>
      </w:r>
    </w:p>
    <w:p w14:paraId="057A09E1">
      <w:pPr>
        <w:autoSpaceDE w:val="0"/>
        <w:autoSpaceDN w:val="0"/>
        <w:adjustRightInd w:val="0"/>
        <w:snapToGrid w:val="0"/>
        <w:spacing w:before="25" w:after="25" w:line="360" w:lineRule="auto"/>
        <w:rPr>
          <w:rFonts w:ascii="宋体" w:hAnsi="宋体"/>
          <w:color w:val="auto"/>
          <w:sz w:val="24"/>
          <w:highlight w:val="none"/>
          <w:lang w:val="zh-CN"/>
        </w:rPr>
      </w:pPr>
      <w:r>
        <w:rPr>
          <w:rFonts w:ascii="宋体" w:hAnsi="宋体"/>
          <w:color w:val="auto"/>
          <w:sz w:val="24"/>
          <w:highlight w:val="none"/>
        </w:rPr>
        <w:t xml:space="preserve">日期：_____年______月______日   </w:t>
      </w:r>
    </w:p>
    <w:p w14:paraId="5792EE93">
      <w:pPr>
        <w:widowControl/>
        <w:jc w:val="left"/>
        <w:rPr>
          <w:rFonts w:ascii="宋体" w:hAnsi="宋体"/>
          <w:color w:val="auto"/>
          <w:sz w:val="24"/>
          <w:highlight w:val="none"/>
        </w:rPr>
      </w:pPr>
      <w:bookmarkStart w:id="1147" w:name="_Toc305158901"/>
      <w:bookmarkStart w:id="1148" w:name="_Toc150774763"/>
      <w:bookmarkStart w:id="1149" w:name="_Toc226337255"/>
      <w:bookmarkStart w:id="1150" w:name="_Toc127151558"/>
      <w:bookmarkStart w:id="1151" w:name="_Toc150480796"/>
      <w:bookmarkStart w:id="1152" w:name="_Toc226965832"/>
      <w:bookmarkStart w:id="1153" w:name="_Toc265228397"/>
      <w:bookmarkStart w:id="1154" w:name="_Toc226965749"/>
      <w:bookmarkStart w:id="1155" w:name="_Toc142311060"/>
      <w:bookmarkStart w:id="1156" w:name="_Toc305158827"/>
      <w:bookmarkStart w:id="1157" w:name="_Toc195842924"/>
      <w:bookmarkStart w:id="1158" w:name="_Toc226309803"/>
      <w:bookmarkStart w:id="1159" w:name="_Toc264969249"/>
      <w:r>
        <w:rPr>
          <w:rFonts w:ascii="宋体" w:hAnsi="宋体"/>
          <w:color w:val="auto"/>
          <w:sz w:val="24"/>
          <w:highlight w:val="none"/>
        </w:rPr>
        <w:br w:type="page"/>
      </w:r>
    </w:p>
    <w:p w14:paraId="2DDB936A">
      <w:pPr>
        <w:spacing w:line="360" w:lineRule="auto"/>
        <w:outlineLvl w:val="2"/>
        <w:rPr>
          <w:rFonts w:ascii="宋体" w:hAnsi="宋体"/>
          <w:color w:val="auto"/>
          <w:sz w:val="24"/>
          <w:highlight w:val="none"/>
        </w:rPr>
      </w:pPr>
      <w:r>
        <w:rPr>
          <w:rFonts w:ascii="宋体" w:hAnsi="宋体"/>
          <w:color w:val="auto"/>
          <w:sz w:val="24"/>
          <w:highlight w:val="none"/>
        </w:rPr>
        <w:t>4  投标分项报价表</w:t>
      </w:r>
      <w:bookmarkEnd w:id="1147"/>
      <w:bookmarkEnd w:id="1148"/>
      <w:bookmarkEnd w:id="1149"/>
      <w:bookmarkEnd w:id="1150"/>
      <w:bookmarkEnd w:id="1151"/>
      <w:bookmarkEnd w:id="1152"/>
      <w:bookmarkEnd w:id="1153"/>
      <w:bookmarkEnd w:id="1154"/>
      <w:bookmarkEnd w:id="1155"/>
      <w:bookmarkEnd w:id="1156"/>
      <w:bookmarkEnd w:id="1157"/>
      <w:bookmarkEnd w:id="1158"/>
      <w:bookmarkEnd w:id="1159"/>
      <w:r>
        <w:rPr>
          <w:rFonts w:ascii="宋体" w:hAnsi="宋体"/>
          <w:color w:val="auto"/>
          <w:sz w:val="24"/>
          <w:highlight w:val="none"/>
        </w:rPr>
        <w:t>（实质性格式）</w:t>
      </w:r>
    </w:p>
    <w:p w14:paraId="38A3C1E7">
      <w:pPr>
        <w:spacing w:line="360" w:lineRule="exact"/>
        <w:jc w:val="center"/>
        <w:rPr>
          <w:rFonts w:ascii="宋体" w:hAnsi="宋体"/>
          <w:color w:val="auto"/>
          <w:sz w:val="24"/>
          <w:highlight w:val="none"/>
        </w:rPr>
      </w:pPr>
    </w:p>
    <w:p w14:paraId="1C60FD52">
      <w:pPr>
        <w:spacing w:line="360" w:lineRule="exact"/>
        <w:jc w:val="center"/>
        <w:rPr>
          <w:rFonts w:ascii="宋体" w:hAnsi="宋体"/>
          <w:b/>
          <w:color w:val="auto"/>
          <w:sz w:val="24"/>
          <w:highlight w:val="none"/>
        </w:rPr>
      </w:pPr>
      <w:r>
        <w:rPr>
          <w:rFonts w:hint="eastAsia" w:ascii="宋体" w:hAnsi="宋体"/>
          <w:b/>
          <w:color w:val="auto"/>
          <w:sz w:val="24"/>
          <w:highlight w:val="none"/>
        </w:rPr>
        <w:t>投标分项报价表</w:t>
      </w:r>
    </w:p>
    <w:p w14:paraId="43A0DFC9">
      <w:pPr>
        <w:spacing w:line="260" w:lineRule="exact"/>
        <w:jc w:val="center"/>
        <w:rPr>
          <w:rFonts w:ascii="宋体" w:hAnsi="宋体"/>
          <w:color w:val="auto"/>
          <w:sz w:val="24"/>
          <w:highlight w:val="none"/>
        </w:rPr>
      </w:pPr>
    </w:p>
    <w:p w14:paraId="3897BE7D">
      <w:pPr>
        <w:tabs>
          <w:tab w:val="left" w:pos="1800"/>
          <w:tab w:val="left" w:pos="5580"/>
        </w:tabs>
        <w:rPr>
          <w:rFonts w:ascii="宋体" w:hAnsi="宋体"/>
          <w:color w:val="auto"/>
          <w:sz w:val="24"/>
          <w:highlight w:val="none"/>
        </w:rPr>
      </w:pPr>
      <w:r>
        <w:rPr>
          <w:rFonts w:ascii="宋体" w:hAnsi="宋体"/>
          <w:color w:val="auto"/>
          <w:sz w:val="24"/>
          <w:highlight w:val="none"/>
        </w:rPr>
        <w:t xml:space="preserve">项目编号/包号：___________ </w:t>
      </w:r>
      <w:r>
        <w:rPr>
          <w:rFonts w:hint="eastAsia" w:ascii="宋体" w:hAnsi="宋体"/>
          <w:color w:val="auto"/>
          <w:sz w:val="24"/>
          <w:highlight w:val="none"/>
        </w:rPr>
        <w:t>项目名称/标的名称</w:t>
      </w:r>
      <w:r>
        <w:rPr>
          <w:rFonts w:ascii="宋体" w:hAnsi="宋体"/>
          <w:color w:val="auto"/>
          <w:sz w:val="24"/>
          <w:highlight w:val="none"/>
        </w:rPr>
        <w:t>：__________报价单位：人民币元</w:t>
      </w:r>
    </w:p>
    <w:tbl>
      <w:tblPr>
        <w:tblStyle w:val="46"/>
        <w:tblW w:w="49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3401"/>
        <w:gridCol w:w="1562"/>
        <w:gridCol w:w="1560"/>
        <w:gridCol w:w="1982"/>
      </w:tblGrid>
      <w:tr w14:paraId="5E3A6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2" w:type="pct"/>
            <w:vAlign w:val="center"/>
          </w:tcPr>
          <w:p w14:paraId="60D0EE11">
            <w:pPr>
              <w:adjustRightInd w:val="0"/>
              <w:snapToGrid w:val="0"/>
              <w:jc w:val="left"/>
              <w:rPr>
                <w:rFonts w:ascii="宋体" w:hAnsi="宋体"/>
                <w:b/>
                <w:color w:val="auto"/>
                <w:sz w:val="24"/>
                <w:highlight w:val="none"/>
              </w:rPr>
            </w:pPr>
            <w:r>
              <w:rPr>
                <w:rFonts w:ascii="宋体" w:hAnsi="宋体"/>
                <w:b/>
                <w:color w:val="auto"/>
                <w:sz w:val="24"/>
                <w:highlight w:val="none"/>
              </w:rPr>
              <w:t>序号</w:t>
            </w:r>
          </w:p>
        </w:tc>
        <w:tc>
          <w:tcPr>
            <w:tcW w:w="1847" w:type="pct"/>
            <w:vAlign w:val="center"/>
          </w:tcPr>
          <w:p w14:paraId="6C83F3FD">
            <w:pPr>
              <w:adjustRightInd w:val="0"/>
              <w:snapToGrid w:val="0"/>
              <w:jc w:val="left"/>
              <w:rPr>
                <w:rFonts w:ascii="宋体" w:hAnsi="宋体"/>
                <w:b/>
                <w:color w:val="auto"/>
                <w:sz w:val="24"/>
                <w:highlight w:val="none"/>
              </w:rPr>
            </w:pPr>
            <w:r>
              <w:rPr>
                <w:rFonts w:ascii="宋体" w:hAnsi="宋体"/>
                <w:b/>
                <w:color w:val="auto"/>
                <w:sz w:val="24"/>
                <w:highlight w:val="none"/>
              </w:rPr>
              <w:t>分项名称</w:t>
            </w:r>
          </w:p>
        </w:tc>
        <w:tc>
          <w:tcPr>
            <w:tcW w:w="848" w:type="pct"/>
            <w:vAlign w:val="center"/>
          </w:tcPr>
          <w:p w14:paraId="6007F007">
            <w:pPr>
              <w:adjustRightInd w:val="0"/>
              <w:snapToGrid w:val="0"/>
              <w:jc w:val="left"/>
              <w:rPr>
                <w:rFonts w:ascii="宋体" w:hAnsi="宋体"/>
                <w:b/>
                <w:color w:val="auto"/>
                <w:sz w:val="24"/>
                <w:highlight w:val="none"/>
              </w:rPr>
            </w:pPr>
            <w:r>
              <w:rPr>
                <w:rFonts w:ascii="宋体" w:hAnsi="宋体"/>
                <w:b/>
                <w:color w:val="auto"/>
                <w:sz w:val="24"/>
                <w:highlight w:val="none"/>
              </w:rPr>
              <w:t>单价（元）</w:t>
            </w:r>
          </w:p>
        </w:tc>
        <w:tc>
          <w:tcPr>
            <w:tcW w:w="847" w:type="pct"/>
            <w:vAlign w:val="center"/>
          </w:tcPr>
          <w:p w14:paraId="1D0F89B2">
            <w:pPr>
              <w:adjustRightInd w:val="0"/>
              <w:snapToGrid w:val="0"/>
              <w:jc w:val="left"/>
              <w:rPr>
                <w:rFonts w:ascii="宋体" w:hAnsi="宋体"/>
                <w:b/>
                <w:color w:val="auto"/>
                <w:sz w:val="24"/>
                <w:highlight w:val="none"/>
              </w:rPr>
            </w:pPr>
            <w:r>
              <w:rPr>
                <w:rFonts w:ascii="宋体" w:hAnsi="宋体"/>
                <w:b/>
                <w:color w:val="auto"/>
                <w:sz w:val="24"/>
                <w:highlight w:val="none"/>
              </w:rPr>
              <w:t>合价（元）</w:t>
            </w:r>
          </w:p>
        </w:tc>
        <w:tc>
          <w:tcPr>
            <w:tcW w:w="1076" w:type="pct"/>
            <w:vAlign w:val="center"/>
          </w:tcPr>
          <w:p w14:paraId="37603535">
            <w:pPr>
              <w:adjustRightInd w:val="0"/>
              <w:snapToGrid w:val="0"/>
              <w:jc w:val="left"/>
              <w:rPr>
                <w:rFonts w:ascii="宋体" w:hAnsi="宋体"/>
                <w:b/>
                <w:color w:val="auto"/>
                <w:sz w:val="24"/>
                <w:highlight w:val="none"/>
              </w:rPr>
            </w:pPr>
            <w:r>
              <w:rPr>
                <w:rFonts w:ascii="宋体" w:hAnsi="宋体"/>
                <w:b/>
                <w:color w:val="auto"/>
                <w:sz w:val="24"/>
                <w:highlight w:val="none"/>
              </w:rPr>
              <w:t>备注/说明</w:t>
            </w:r>
          </w:p>
        </w:tc>
      </w:tr>
      <w:tr w14:paraId="790B5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82" w:type="pct"/>
            <w:vAlign w:val="center"/>
          </w:tcPr>
          <w:p w14:paraId="195358E1">
            <w:pPr>
              <w:adjustRightInd w:val="0"/>
              <w:snapToGrid w:val="0"/>
              <w:jc w:val="center"/>
              <w:rPr>
                <w:rFonts w:ascii="宋体" w:hAnsi="宋体"/>
                <w:color w:val="auto"/>
                <w:sz w:val="24"/>
                <w:highlight w:val="none"/>
              </w:rPr>
            </w:pPr>
            <w:r>
              <w:rPr>
                <w:rFonts w:ascii="宋体" w:hAnsi="宋体"/>
                <w:color w:val="auto"/>
                <w:sz w:val="24"/>
                <w:highlight w:val="none"/>
              </w:rPr>
              <w:t>1</w:t>
            </w:r>
          </w:p>
        </w:tc>
        <w:tc>
          <w:tcPr>
            <w:tcW w:w="1847" w:type="pct"/>
            <w:vAlign w:val="center"/>
          </w:tcPr>
          <w:p w14:paraId="339A4A28">
            <w:pPr>
              <w:adjustRightInd w:val="0"/>
              <w:snapToGrid w:val="0"/>
              <w:jc w:val="left"/>
              <w:rPr>
                <w:rFonts w:ascii="宋体" w:hAnsi="宋体"/>
                <w:color w:val="auto"/>
                <w:sz w:val="24"/>
                <w:highlight w:val="none"/>
              </w:rPr>
            </w:pPr>
          </w:p>
        </w:tc>
        <w:tc>
          <w:tcPr>
            <w:tcW w:w="848" w:type="pct"/>
            <w:vAlign w:val="center"/>
          </w:tcPr>
          <w:p w14:paraId="1C1EF4FC">
            <w:pPr>
              <w:adjustRightInd w:val="0"/>
              <w:snapToGrid w:val="0"/>
              <w:jc w:val="left"/>
              <w:rPr>
                <w:rFonts w:ascii="宋体" w:hAnsi="宋体"/>
                <w:color w:val="auto"/>
                <w:sz w:val="24"/>
                <w:highlight w:val="none"/>
              </w:rPr>
            </w:pPr>
          </w:p>
        </w:tc>
        <w:tc>
          <w:tcPr>
            <w:tcW w:w="847" w:type="pct"/>
            <w:vAlign w:val="center"/>
          </w:tcPr>
          <w:p w14:paraId="1FDA065A">
            <w:pPr>
              <w:adjustRightInd w:val="0"/>
              <w:snapToGrid w:val="0"/>
              <w:jc w:val="left"/>
              <w:rPr>
                <w:rFonts w:ascii="宋体" w:hAnsi="宋体"/>
                <w:color w:val="auto"/>
                <w:sz w:val="24"/>
                <w:highlight w:val="none"/>
              </w:rPr>
            </w:pPr>
          </w:p>
        </w:tc>
        <w:tc>
          <w:tcPr>
            <w:tcW w:w="1076" w:type="pct"/>
            <w:vAlign w:val="center"/>
          </w:tcPr>
          <w:p w14:paraId="4E385BC6">
            <w:pPr>
              <w:adjustRightInd w:val="0"/>
              <w:snapToGrid w:val="0"/>
              <w:jc w:val="left"/>
              <w:rPr>
                <w:rFonts w:ascii="宋体" w:hAnsi="宋体"/>
                <w:color w:val="auto"/>
                <w:sz w:val="24"/>
                <w:highlight w:val="none"/>
              </w:rPr>
            </w:pPr>
          </w:p>
        </w:tc>
      </w:tr>
      <w:tr w14:paraId="5344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2" w:type="pct"/>
            <w:vAlign w:val="center"/>
          </w:tcPr>
          <w:p w14:paraId="67CF8961">
            <w:pPr>
              <w:adjustRightInd w:val="0"/>
              <w:snapToGrid w:val="0"/>
              <w:jc w:val="center"/>
              <w:rPr>
                <w:rFonts w:ascii="宋体" w:hAnsi="宋体"/>
                <w:color w:val="auto"/>
                <w:sz w:val="24"/>
                <w:highlight w:val="none"/>
              </w:rPr>
            </w:pPr>
            <w:r>
              <w:rPr>
                <w:rFonts w:ascii="宋体" w:hAnsi="宋体"/>
                <w:color w:val="auto"/>
                <w:sz w:val="24"/>
                <w:highlight w:val="none"/>
              </w:rPr>
              <w:t>2</w:t>
            </w:r>
          </w:p>
        </w:tc>
        <w:tc>
          <w:tcPr>
            <w:tcW w:w="1847" w:type="pct"/>
            <w:vAlign w:val="center"/>
          </w:tcPr>
          <w:p w14:paraId="6CC4410D">
            <w:pPr>
              <w:adjustRightInd w:val="0"/>
              <w:snapToGrid w:val="0"/>
              <w:jc w:val="left"/>
              <w:rPr>
                <w:rFonts w:ascii="宋体" w:hAnsi="宋体"/>
                <w:color w:val="auto"/>
                <w:sz w:val="24"/>
                <w:highlight w:val="none"/>
              </w:rPr>
            </w:pPr>
          </w:p>
        </w:tc>
        <w:tc>
          <w:tcPr>
            <w:tcW w:w="848" w:type="pct"/>
            <w:vAlign w:val="center"/>
          </w:tcPr>
          <w:p w14:paraId="47F2F7DA">
            <w:pPr>
              <w:adjustRightInd w:val="0"/>
              <w:snapToGrid w:val="0"/>
              <w:jc w:val="left"/>
              <w:rPr>
                <w:rFonts w:ascii="宋体" w:hAnsi="宋体"/>
                <w:color w:val="auto"/>
                <w:sz w:val="24"/>
                <w:highlight w:val="none"/>
              </w:rPr>
            </w:pPr>
          </w:p>
        </w:tc>
        <w:tc>
          <w:tcPr>
            <w:tcW w:w="847" w:type="pct"/>
            <w:vAlign w:val="center"/>
          </w:tcPr>
          <w:p w14:paraId="7C8061BE">
            <w:pPr>
              <w:adjustRightInd w:val="0"/>
              <w:snapToGrid w:val="0"/>
              <w:jc w:val="left"/>
              <w:rPr>
                <w:rFonts w:ascii="宋体" w:hAnsi="宋体"/>
                <w:color w:val="auto"/>
                <w:sz w:val="24"/>
                <w:highlight w:val="none"/>
              </w:rPr>
            </w:pPr>
          </w:p>
        </w:tc>
        <w:tc>
          <w:tcPr>
            <w:tcW w:w="1076" w:type="pct"/>
            <w:vAlign w:val="center"/>
          </w:tcPr>
          <w:p w14:paraId="466997CF">
            <w:pPr>
              <w:adjustRightInd w:val="0"/>
              <w:snapToGrid w:val="0"/>
              <w:jc w:val="left"/>
              <w:rPr>
                <w:rFonts w:ascii="宋体" w:hAnsi="宋体"/>
                <w:color w:val="auto"/>
                <w:sz w:val="24"/>
                <w:highlight w:val="none"/>
              </w:rPr>
            </w:pPr>
          </w:p>
        </w:tc>
      </w:tr>
      <w:tr w14:paraId="7AD61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82" w:type="pct"/>
            <w:vAlign w:val="center"/>
          </w:tcPr>
          <w:p w14:paraId="46036F78">
            <w:pPr>
              <w:adjustRightInd w:val="0"/>
              <w:snapToGrid w:val="0"/>
              <w:jc w:val="center"/>
              <w:rPr>
                <w:rFonts w:ascii="宋体" w:hAnsi="宋体"/>
                <w:color w:val="auto"/>
                <w:sz w:val="24"/>
                <w:highlight w:val="none"/>
              </w:rPr>
            </w:pPr>
            <w:r>
              <w:rPr>
                <w:rFonts w:ascii="宋体" w:hAnsi="宋体"/>
                <w:color w:val="auto"/>
                <w:sz w:val="24"/>
                <w:highlight w:val="none"/>
              </w:rPr>
              <w:t>3</w:t>
            </w:r>
          </w:p>
        </w:tc>
        <w:tc>
          <w:tcPr>
            <w:tcW w:w="1847" w:type="pct"/>
            <w:vAlign w:val="center"/>
          </w:tcPr>
          <w:p w14:paraId="6910E011">
            <w:pPr>
              <w:adjustRightInd w:val="0"/>
              <w:snapToGrid w:val="0"/>
              <w:jc w:val="left"/>
              <w:rPr>
                <w:rFonts w:ascii="宋体" w:hAnsi="宋体"/>
                <w:color w:val="auto"/>
                <w:sz w:val="24"/>
                <w:highlight w:val="none"/>
              </w:rPr>
            </w:pPr>
            <w:r>
              <w:rPr>
                <w:rFonts w:ascii="宋体" w:hAnsi="宋体"/>
                <w:color w:val="auto"/>
                <w:sz w:val="24"/>
                <w:highlight w:val="none"/>
              </w:rPr>
              <w:t>…</w:t>
            </w:r>
          </w:p>
        </w:tc>
        <w:tc>
          <w:tcPr>
            <w:tcW w:w="848" w:type="pct"/>
            <w:vAlign w:val="center"/>
          </w:tcPr>
          <w:p w14:paraId="373726E3">
            <w:pPr>
              <w:adjustRightInd w:val="0"/>
              <w:snapToGrid w:val="0"/>
              <w:jc w:val="left"/>
              <w:rPr>
                <w:rFonts w:ascii="宋体" w:hAnsi="宋体"/>
                <w:color w:val="auto"/>
                <w:sz w:val="24"/>
                <w:highlight w:val="none"/>
              </w:rPr>
            </w:pPr>
          </w:p>
        </w:tc>
        <w:tc>
          <w:tcPr>
            <w:tcW w:w="847" w:type="pct"/>
            <w:vAlign w:val="center"/>
          </w:tcPr>
          <w:p w14:paraId="53B6C474">
            <w:pPr>
              <w:adjustRightInd w:val="0"/>
              <w:snapToGrid w:val="0"/>
              <w:jc w:val="left"/>
              <w:rPr>
                <w:rFonts w:ascii="宋体" w:hAnsi="宋体"/>
                <w:color w:val="auto"/>
                <w:sz w:val="24"/>
                <w:highlight w:val="none"/>
              </w:rPr>
            </w:pPr>
          </w:p>
        </w:tc>
        <w:tc>
          <w:tcPr>
            <w:tcW w:w="1076" w:type="pct"/>
            <w:vAlign w:val="center"/>
          </w:tcPr>
          <w:p w14:paraId="6FFC68A7">
            <w:pPr>
              <w:adjustRightInd w:val="0"/>
              <w:snapToGrid w:val="0"/>
              <w:jc w:val="left"/>
              <w:rPr>
                <w:rFonts w:ascii="宋体" w:hAnsi="宋体"/>
                <w:color w:val="auto"/>
                <w:sz w:val="24"/>
                <w:highlight w:val="none"/>
              </w:rPr>
            </w:pPr>
          </w:p>
        </w:tc>
      </w:tr>
      <w:tr w14:paraId="3E53D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077" w:type="pct"/>
            <w:gridSpan w:val="3"/>
            <w:vAlign w:val="center"/>
          </w:tcPr>
          <w:p w14:paraId="7C02B4CB">
            <w:pPr>
              <w:adjustRightInd w:val="0"/>
              <w:snapToGrid w:val="0"/>
              <w:jc w:val="right"/>
              <w:rPr>
                <w:rFonts w:ascii="宋体" w:hAnsi="宋体"/>
                <w:b/>
                <w:color w:val="auto"/>
                <w:sz w:val="24"/>
                <w:highlight w:val="none"/>
              </w:rPr>
            </w:pPr>
            <w:r>
              <w:rPr>
                <w:rFonts w:ascii="宋体" w:hAnsi="宋体"/>
                <w:b/>
                <w:color w:val="auto"/>
                <w:sz w:val="24"/>
                <w:highlight w:val="none"/>
              </w:rPr>
              <w:t>总价（元）</w:t>
            </w:r>
          </w:p>
        </w:tc>
        <w:tc>
          <w:tcPr>
            <w:tcW w:w="847" w:type="pct"/>
            <w:vAlign w:val="center"/>
          </w:tcPr>
          <w:p w14:paraId="5DC16405">
            <w:pPr>
              <w:adjustRightInd w:val="0"/>
              <w:snapToGrid w:val="0"/>
              <w:jc w:val="left"/>
              <w:rPr>
                <w:rFonts w:ascii="宋体" w:hAnsi="宋体"/>
                <w:color w:val="auto"/>
                <w:sz w:val="24"/>
                <w:highlight w:val="none"/>
              </w:rPr>
            </w:pPr>
          </w:p>
        </w:tc>
        <w:tc>
          <w:tcPr>
            <w:tcW w:w="1076" w:type="pct"/>
            <w:vAlign w:val="center"/>
          </w:tcPr>
          <w:p w14:paraId="2DC10D3B">
            <w:pPr>
              <w:adjustRightInd w:val="0"/>
              <w:snapToGrid w:val="0"/>
              <w:jc w:val="left"/>
              <w:rPr>
                <w:rFonts w:ascii="宋体" w:hAnsi="宋体"/>
                <w:color w:val="auto"/>
                <w:sz w:val="24"/>
                <w:highlight w:val="none"/>
              </w:rPr>
            </w:pPr>
          </w:p>
        </w:tc>
      </w:tr>
    </w:tbl>
    <w:p w14:paraId="38D3FB5F">
      <w:pPr>
        <w:tabs>
          <w:tab w:val="left" w:pos="1800"/>
          <w:tab w:val="left" w:pos="5580"/>
        </w:tabs>
        <w:jc w:val="left"/>
        <w:rPr>
          <w:rFonts w:ascii="宋体" w:hAnsi="宋体"/>
          <w:color w:val="auto"/>
          <w:sz w:val="24"/>
          <w:highlight w:val="none"/>
        </w:rPr>
      </w:pPr>
    </w:p>
    <w:p w14:paraId="7EE4B0A4">
      <w:pPr>
        <w:tabs>
          <w:tab w:val="left" w:pos="1800"/>
          <w:tab w:val="left" w:pos="5580"/>
        </w:tabs>
        <w:jc w:val="left"/>
        <w:rPr>
          <w:rFonts w:ascii="宋体" w:hAnsi="宋体"/>
          <w:color w:val="auto"/>
          <w:sz w:val="24"/>
          <w:highlight w:val="none"/>
        </w:rPr>
      </w:pPr>
    </w:p>
    <w:p w14:paraId="4713C8E6">
      <w:pPr>
        <w:tabs>
          <w:tab w:val="left" w:pos="1800"/>
          <w:tab w:val="left" w:pos="5580"/>
        </w:tabs>
        <w:jc w:val="left"/>
        <w:rPr>
          <w:rFonts w:ascii="宋体" w:hAnsi="宋体"/>
          <w:color w:val="auto"/>
          <w:sz w:val="24"/>
          <w:highlight w:val="none"/>
        </w:rPr>
      </w:pPr>
    </w:p>
    <w:p w14:paraId="1D7BE2C1">
      <w:pPr>
        <w:tabs>
          <w:tab w:val="left" w:pos="1800"/>
          <w:tab w:val="left" w:pos="5580"/>
        </w:tabs>
        <w:jc w:val="left"/>
        <w:rPr>
          <w:rFonts w:ascii="宋体" w:hAnsi="宋体"/>
          <w:color w:val="auto"/>
          <w:sz w:val="24"/>
          <w:highlight w:val="none"/>
        </w:rPr>
      </w:pPr>
    </w:p>
    <w:p w14:paraId="77B05A31">
      <w:pPr>
        <w:tabs>
          <w:tab w:val="left" w:pos="1800"/>
          <w:tab w:val="left" w:pos="5580"/>
        </w:tabs>
        <w:jc w:val="left"/>
        <w:rPr>
          <w:rFonts w:ascii="宋体" w:hAnsi="宋体"/>
          <w:color w:val="auto"/>
          <w:sz w:val="24"/>
          <w:highlight w:val="none"/>
        </w:rPr>
      </w:pPr>
      <w:r>
        <w:rPr>
          <w:rFonts w:ascii="宋体" w:hAnsi="宋体"/>
          <w:color w:val="auto"/>
          <w:sz w:val="24"/>
          <w:highlight w:val="none"/>
        </w:rPr>
        <w:t>注：1.本表应按包分别填写</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内容</w:t>
      </w:r>
      <w:r>
        <w:rPr>
          <w:rFonts w:hint="default" w:ascii="宋体" w:hAnsi="宋体"/>
          <w:color w:val="auto"/>
          <w:sz w:val="24"/>
          <w:highlight w:val="none"/>
          <w:lang w:val="en-US" w:eastAsia="zh-CN"/>
        </w:rPr>
        <w:t>投标人</w:t>
      </w:r>
      <w:r>
        <w:rPr>
          <w:rFonts w:hint="default" w:ascii="宋体" w:hAnsi="宋体"/>
          <w:color w:val="auto"/>
          <w:sz w:val="24"/>
          <w:highlight w:val="none"/>
        </w:rPr>
        <w:t>自拟</w:t>
      </w:r>
      <w:r>
        <w:rPr>
          <w:rFonts w:ascii="宋体" w:hAnsi="宋体"/>
          <w:color w:val="auto"/>
          <w:sz w:val="24"/>
          <w:highlight w:val="none"/>
        </w:rPr>
        <w:t>。</w:t>
      </w:r>
    </w:p>
    <w:p w14:paraId="373AEBAB">
      <w:pPr>
        <w:tabs>
          <w:tab w:val="left" w:pos="1800"/>
          <w:tab w:val="left" w:pos="5580"/>
        </w:tabs>
        <w:ind w:firstLine="480" w:firstLineChars="200"/>
        <w:jc w:val="left"/>
        <w:rPr>
          <w:rFonts w:ascii="宋体" w:hAnsi="宋体"/>
          <w:color w:val="auto"/>
          <w:sz w:val="24"/>
          <w:highlight w:val="none"/>
        </w:rPr>
      </w:pPr>
      <w:r>
        <w:rPr>
          <w:rFonts w:ascii="宋体" w:hAnsi="宋体"/>
          <w:color w:val="auto"/>
          <w:sz w:val="24"/>
          <w:highlight w:val="none"/>
        </w:rPr>
        <w:t>2.如果不提供分项报价将视为没有实质性响应招标文件。</w:t>
      </w:r>
    </w:p>
    <w:p w14:paraId="206DC3FD">
      <w:pPr>
        <w:tabs>
          <w:tab w:val="left" w:pos="1800"/>
          <w:tab w:val="left" w:pos="5580"/>
        </w:tabs>
        <w:ind w:firstLine="480" w:firstLineChars="200"/>
        <w:jc w:val="left"/>
        <w:rPr>
          <w:rFonts w:ascii="宋体" w:hAnsi="宋体"/>
          <w:color w:val="auto"/>
          <w:sz w:val="24"/>
          <w:highlight w:val="none"/>
        </w:rPr>
      </w:pPr>
      <w:r>
        <w:rPr>
          <w:rFonts w:ascii="宋体" w:hAnsi="宋体"/>
          <w:color w:val="auto"/>
          <w:sz w:val="24"/>
          <w:highlight w:val="none"/>
        </w:rPr>
        <w:t>3.上述各项的详细规格（如有），可另页描述。</w:t>
      </w:r>
    </w:p>
    <w:p w14:paraId="593FA382">
      <w:pPr>
        <w:autoSpaceDE w:val="0"/>
        <w:autoSpaceDN w:val="0"/>
        <w:adjustRightInd w:val="0"/>
        <w:snapToGrid w:val="0"/>
        <w:spacing w:before="25" w:after="25" w:line="360" w:lineRule="auto"/>
        <w:rPr>
          <w:rFonts w:ascii="宋体" w:hAnsi="宋体"/>
          <w:color w:val="auto"/>
          <w:sz w:val="24"/>
          <w:highlight w:val="none"/>
          <w:lang w:val="zh-CN"/>
        </w:rPr>
      </w:pPr>
      <w:r>
        <w:rPr>
          <w:rFonts w:ascii="宋体" w:hAnsi="宋体"/>
          <w:color w:val="auto"/>
          <w:sz w:val="24"/>
          <w:highlight w:val="none"/>
          <w:lang w:val="zh-CN"/>
        </w:rPr>
        <w:t xml:space="preserve">                  </w:t>
      </w:r>
    </w:p>
    <w:p w14:paraId="27E1BD3C">
      <w:pPr>
        <w:autoSpaceDE w:val="0"/>
        <w:autoSpaceDN w:val="0"/>
        <w:adjustRightInd w:val="0"/>
        <w:snapToGrid w:val="0"/>
        <w:spacing w:before="25" w:after="25" w:line="360" w:lineRule="auto"/>
        <w:rPr>
          <w:rFonts w:ascii="宋体" w:hAnsi="宋体"/>
          <w:color w:val="auto"/>
          <w:sz w:val="24"/>
          <w:highlight w:val="none"/>
          <w:lang w:val="zh-CN"/>
        </w:rPr>
      </w:pPr>
      <w:r>
        <w:rPr>
          <w:rFonts w:ascii="宋体" w:hAnsi="宋体"/>
          <w:color w:val="auto"/>
          <w:sz w:val="24"/>
          <w:highlight w:val="none"/>
        </w:rPr>
        <w:t>投标人名称（加盖公章）</w:t>
      </w:r>
      <w:r>
        <w:rPr>
          <w:rFonts w:ascii="宋体" w:hAnsi="宋体"/>
          <w:color w:val="auto"/>
          <w:sz w:val="24"/>
          <w:highlight w:val="none"/>
          <w:lang w:val="zh-CN"/>
        </w:rPr>
        <w:t>：____________</w:t>
      </w:r>
    </w:p>
    <w:p w14:paraId="6961827F">
      <w:pPr>
        <w:autoSpaceDE w:val="0"/>
        <w:autoSpaceDN w:val="0"/>
        <w:adjustRightInd w:val="0"/>
        <w:snapToGrid w:val="0"/>
        <w:spacing w:before="25" w:after="25" w:line="360" w:lineRule="auto"/>
        <w:rPr>
          <w:rFonts w:ascii="宋体" w:hAnsi="宋体"/>
          <w:color w:val="auto"/>
          <w:sz w:val="24"/>
          <w:highlight w:val="none"/>
          <w:lang w:val="zh-CN"/>
        </w:rPr>
      </w:pPr>
      <w:r>
        <w:rPr>
          <w:rFonts w:ascii="宋体" w:hAnsi="宋体"/>
          <w:color w:val="auto"/>
          <w:sz w:val="24"/>
          <w:highlight w:val="none"/>
        </w:rPr>
        <w:t xml:space="preserve">日期：_____年______月______日   </w:t>
      </w:r>
    </w:p>
    <w:p w14:paraId="34815039">
      <w:pPr>
        <w:spacing w:line="360" w:lineRule="auto"/>
        <w:outlineLvl w:val="2"/>
        <w:rPr>
          <w:rFonts w:ascii="宋体" w:hAnsi="宋体"/>
          <w:color w:val="auto"/>
          <w:sz w:val="24"/>
          <w:highlight w:val="none"/>
        </w:rPr>
      </w:pPr>
      <w:bookmarkStart w:id="1160" w:name="_Toc226309806"/>
      <w:bookmarkStart w:id="1161" w:name="_Toc226965835"/>
      <w:bookmarkStart w:id="1162" w:name="_Toc150480798"/>
      <w:bookmarkStart w:id="1163" w:name="_Toc226965752"/>
      <w:bookmarkStart w:id="1164" w:name="_Toc305158830"/>
      <w:bookmarkStart w:id="1165" w:name="_Toc142311062"/>
      <w:bookmarkStart w:id="1166" w:name="_Toc265228400"/>
      <w:bookmarkStart w:id="1167" w:name="_Toc195842927"/>
      <w:bookmarkStart w:id="1168" w:name="_Toc305158904"/>
      <w:bookmarkStart w:id="1169" w:name="_Toc264969252"/>
      <w:bookmarkStart w:id="1170" w:name="_Toc150774765"/>
      <w:bookmarkStart w:id="1171" w:name="_Toc226337258"/>
      <w:bookmarkStart w:id="1172" w:name="_Toc127151562"/>
      <w:bookmarkStart w:id="1173" w:name="_Toc150480797"/>
      <w:bookmarkStart w:id="1174" w:name="_Toc305158903"/>
      <w:bookmarkStart w:id="1175" w:name="_Toc195842926"/>
      <w:bookmarkStart w:id="1176" w:name="_Toc265228399"/>
      <w:bookmarkStart w:id="1177" w:name="_Toc226337257"/>
      <w:bookmarkStart w:id="1178" w:name="_Toc264969251"/>
      <w:bookmarkStart w:id="1179" w:name="_Toc226309805"/>
      <w:bookmarkStart w:id="1180" w:name="_Toc305158829"/>
      <w:bookmarkStart w:id="1181" w:name="_Toc127151561"/>
      <w:bookmarkStart w:id="1182" w:name="_Toc142311061"/>
      <w:bookmarkStart w:id="1183" w:name="_Toc226965834"/>
      <w:bookmarkStart w:id="1184" w:name="_Toc150774764"/>
      <w:bookmarkStart w:id="1185" w:name="_Toc226965751"/>
      <w:r>
        <w:rPr>
          <w:rFonts w:ascii="宋体" w:hAnsi="宋体"/>
          <w:color w:val="auto"/>
          <w:sz w:val="24"/>
          <w:highlight w:val="none"/>
        </w:rPr>
        <w:br w:type="page"/>
      </w:r>
      <w:r>
        <w:rPr>
          <w:rFonts w:ascii="宋体" w:hAnsi="宋体"/>
          <w:color w:val="auto"/>
          <w:sz w:val="24"/>
          <w:highlight w:val="none"/>
        </w:rPr>
        <w:t>5  合同条款偏离表</w:t>
      </w:r>
      <w:bookmarkEnd w:id="1160"/>
      <w:bookmarkEnd w:id="1161"/>
      <w:bookmarkEnd w:id="1162"/>
      <w:bookmarkEnd w:id="1163"/>
      <w:bookmarkEnd w:id="1164"/>
      <w:bookmarkEnd w:id="1165"/>
      <w:bookmarkEnd w:id="1166"/>
      <w:bookmarkEnd w:id="1167"/>
      <w:bookmarkEnd w:id="1168"/>
      <w:bookmarkEnd w:id="1169"/>
      <w:bookmarkEnd w:id="1170"/>
      <w:bookmarkEnd w:id="1171"/>
      <w:bookmarkEnd w:id="1172"/>
      <w:r>
        <w:rPr>
          <w:rFonts w:ascii="宋体" w:hAnsi="宋体"/>
          <w:color w:val="auto"/>
          <w:sz w:val="24"/>
          <w:highlight w:val="none"/>
        </w:rPr>
        <w:t>（实质性格式）</w:t>
      </w:r>
    </w:p>
    <w:p w14:paraId="776D0548">
      <w:pPr>
        <w:spacing w:line="360" w:lineRule="auto"/>
        <w:rPr>
          <w:rFonts w:ascii="宋体" w:hAnsi="宋体"/>
          <w:color w:val="auto"/>
          <w:sz w:val="24"/>
          <w:highlight w:val="none"/>
        </w:rPr>
      </w:pPr>
    </w:p>
    <w:p w14:paraId="39294497">
      <w:pPr>
        <w:tabs>
          <w:tab w:val="left" w:pos="2775"/>
          <w:tab w:val="center" w:pos="4153"/>
        </w:tabs>
        <w:autoSpaceDE w:val="0"/>
        <w:autoSpaceDN w:val="0"/>
        <w:adjustRightInd w:val="0"/>
        <w:spacing w:line="360" w:lineRule="auto"/>
        <w:jc w:val="center"/>
        <w:rPr>
          <w:rFonts w:ascii="宋体" w:hAnsi="宋体"/>
          <w:b/>
          <w:color w:val="auto"/>
          <w:sz w:val="24"/>
          <w:highlight w:val="none"/>
        </w:rPr>
      </w:pPr>
      <w:r>
        <w:rPr>
          <w:rFonts w:hint="eastAsia" w:ascii="宋体" w:hAnsi="宋体"/>
          <w:b/>
          <w:color w:val="auto"/>
          <w:sz w:val="24"/>
          <w:highlight w:val="none"/>
        </w:rPr>
        <w:t>合同条款偏离表</w:t>
      </w:r>
    </w:p>
    <w:p w14:paraId="0DCB3E82">
      <w:pPr>
        <w:spacing w:line="360" w:lineRule="auto"/>
        <w:rPr>
          <w:rFonts w:ascii="宋体" w:hAnsi="宋体"/>
          <w:color w:val="auto"/>
          <w:sz w:val="24"/>
          <w:highlight w:val="none"/>
        </w:rPr>
      </w:pPr>
    </w:p>
    <w:p w14:paraId="5822122F">
      <w:pPr>
        <w:tabs>
          <w:tab w:val="left" w:pos="1800"/>
          <w:tab w:val="left" w:pos="5580"/>
        </w:tabs>
        <w:spacing w:line="360" w:lineRule="auto"/>
        <w:ind w:firstLine="360" w:firstLineChars="150"/>
        <w:jc w:val="left"/>
        <w:rPr>
          <w:rFonts w:ascii="宋体" w:hAnsi="宋体"/>
          <w:color w:val="auto"/>
          <w:sz w:val="24"/>
          <w:highlight w:val="none"/>
        </w:rPr>
      </w:pPr>
      <w:r>
        <w:rPr>
          <w:rFonts w:ascii="宋体" w:hAnsi="宋体"/>
          <w:color w:val="auto"/>
          <w:sz w:val="24"/>
          <w:highlight w:val="none"/>
        </w:rPr>
        <w:t xml:space="preserve">项目编号/包号：_____________________     </w:t>
      </w:r>
      <w:r>
        <w:rPr>
          <w:rFonts w:hint="eastAsia" w:ascii="宋体" w:hAnsi="宋体"/>
          <w:color w:val="auto"/>
          <w:sz w:val="24"/>
          <w:highlight w:val="none"/>
        </w:rPr>
        <w:t>项目名称/标的名称</w:t>
      </w:r>
      <w:r>
        <w:rPr>
          <w:rFonts w:ascii="宋体" w:hAnsi="宋体"/>
          <w:color w:val="auto"/>
          <w:sz w:val="24"/>
          <w:highlight w:val="none"/>
        </w:rPr>
        <w:t>：_____________</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291"/>
        <w:gridCol w:w="1981"/>
        <w:gridCol w:w="1982"/>
        <w:gridCol w:w="2424"/>
        <w:gridCol w:w="782"/>
      </w:tblGrid>
      <w:tr w14:paraId="361E7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6240B290">
            <w:pPr>
              <w:adjustRightInd w:val="0"/>
              <w:snapToGrid w:val="0"/>
              <w:jc w:val="left"/>
              <w:rPr>
                <w:rFonts w:ascii="宋体" w:hAnsi="宋体"/>
                <w:b/>
                <w:color w:val="auto"/>
                <w:sz w:val="24"/>
                <w:highlight w:val="none"/>
              </w:rPr>
            </w:pPr>
            <w:r>
              <w:rPr>
                <w:rFonts w:ascii="宋体" w:hAnsi="宋体"/>
                <w:b/>
                <w:color w:val="auto"/>
                <w:sz w:val="24"/>
                <w:highlight w:val="none"/>
              </w:rPr>
              <w:t>对本</w:t>
            </w:r>
            <w:r>
              <w:rPr>
                <w:rFonts w:hint="eastAsia" w:ascii="宋体" w:hAnsi="宋体"/>
                <w:b/>
                <w:color w:val="auto"/>
                <w:sz w:val="24"/>
                <w:highlight w:val="none"/>
              </w:rPr>
              <w:t>项目</w:t>
            </w:r>
            <w:r>
              <w:rPr>
                <w:rFonts w:ascii="宋体" w:hAnsi="宋体"/>
                <w:b/>
                <w:color w:val="auto"/>
                <w:sz w:val="24"/>
                <w:highlight w:val="none"/>
              </w:rPr>
              <w:t>合同条款的偏离情况（请进行勾选）：</w:t>
            </w:r>
          </w:p>
          <w:p w14:paraId="6AE5A4C8">
            <w:pPr>
              <w:adjustRightInd w:val="0"/>
              <w:snapToGrid w:val="0"/>
              <w:jc w:val="left"/>
              <w:rPr>
                <w:rFonts w:ascii="宋体" w:hAnsi="宋体"/>
                <w:b/>
                <w:color w:val="auto"/>
                <w:sz w:val="24"/>
                <w:highlight w:val="none"/>
              </w:rPr>
            </w:pPr>
            <w:r>
              <w:rPr>
                <w:rFonts w:ascii="宋体" w:hAnsi="宋体"/>
                <w:b/>
                <w:color w:val="auto"/>
                <w:sz w:val="24"/>
                <w:highlight w:val="none"/>
              </w:rPr>
              <w:t>□无偏离</w:t>
            </w:r>
            <w:r>
              <w:rPr>
                <w:rFonts w:ascii="宋体" w:hAnsi="宋体"/>
                <w:color w:val="auto"/>
                <w:sz w:val="24"/>
                <w:highlight w:val="none"/>
              </w:rPr>
              <w:t>（如无偏离，仅勾选无偏离即可）</w:t>
            </w:r>
          </w:p>
          <w:p w14:paraId="2372E864">
            <w:pPr>
              <w:adjustRightInd w:val="0"/>
              <w:snapToGrid w:val="0"/>
              <w:jc w:val="left"/>
              <w:rPr>
                <w:rFonts w:ascii="宋体" w:hAnsi="宋体"/>
                <w:color w:val="auto"/>
                <w:sz w:val="24"/>
                <w:highlight w:val="none"/>
              </w:rPr>
            </w:pPr>
            <w:r>
              <w:rPr>
                <w:rFonts w:ascii="宋体" w:hAnsi="宋体"/>
                <w:b/>
                <w:color w:val="auto"/>
                <w:sz w:val="24"/>
                <w:highlight w:val="none"/>
              </w:rPr>
              <w:t>□有偏离</w:t>
            </w:r>
            <w:r>
              <w:rPr>
                <w:rFonts w:ascii="宋体" w:hAnsi="宋体"/>
                <w:color w:val="auto"/>
                <w:sz w:val="24"/>
                <w:highlight w:val="none"/>
              </w:rPr>
              <w:t>（如有偏离，则</w:t>
            </w:r>
            <w:r>
              <w:rPr>
                <w:rFonts w:hint="eastAsia" w:ascii="宋体" w:hAnsi="宋体"/>
                <w:color w:val="auto"/>
                <w:sz w:val="24"/>
                <w:highlight w:val="none"/>
              </w:rPr>
              <w:t>应</w:t>
            </w:r>
            <w:r>
              <w:rPr>
                <w:rFonts w:ascii="宋体" w:hAnsi="宋体"/>
                <w:color w:val="auto"/>
                <w:sz w:val="24"/>
                <w:highlight w:val="none"/>
              </w:rPr>
              <w:t>在本表中对偏离项逐一列明）</w:t>
            </w:r>
          </w:p>
        </w:tc>
      </w:tr>
      <w:tr w14:paraId="1A466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02D23F1B">
            <w:pPr>
              <w:adjustRightInd w:val="0"/>
              <w:snapToGrid w:val="0"/>
              <w:jc w:val="center"/>
              <w:rPr>
                <w:rFonts w:ascii="宋体" w:hAnsi="宋体"/>
                <w:color w:val="auto"/>
                <w:sz w:val="24"/>
                <w:highlight w:val="none"/>
              </w:rPr>
            </w:pPr>
            <w:r>
              <w:rPr>
                <w:rFonts w:ascii="宋体" w:hAnsi="宋体"/>
                <w:color w:val="auto"/>
                <w:sz w:val="24"/>
                <w:highlight w:val="none"/>
              </w:rPr>
              <w:t>序号</w:t>
            </w:r>
          </w:p>
        </w:tc>
        <w:tc>
          <w:tcPr>
            <w:tcW w:w="1301" w:type="dxa"/>
            <w:vAlign w:val="center"/>
          </w:tcPr>
          <w:p w14:paraId="259D57A0">
            <w:pPr>
              <w:adjustRightInd w:val="0"/>
              <w:snapToGrid w:val="0"/>
              <w:jc w:val="center"/>
              <w:rPr>
                <w:rFonts w:ascii="宋体" w:hAnsi="宋体"/>
                <w:color w:val="auto"/>
                <w:sz w:val="24"/>
                <w:highlight w:val="none"/>
              </w:rPr>
            </w:pPr>
            <w:r>
              <w:rPr>
                <w:rFonts w:ascii="宋体" w:hAnsi="宋体"/>
                <w:color w:val="auto"/>
                <w:sz w:val="24"/>
                <w:highlight w:val="none"/>
              </w:rPr>
              <w:t>招标文件条目号（页码）</w:t>
            </w:r>
          </w:p>
        </w:tc>
        <w:tc>
          <w:tcPr>
            <w:tcW w:w="2007" w:type="dxa"/>
            <w:vAlign w:val="center"/>
          </w:tcPr>
          <w:p w14:paraId="58153156">
            <w:pPr>
              <w:adjustRightInd w:val="0"/>
              <w:snapToGrid w:val="0"/>
              <w:jc w:val="center"/>
              <w:rPr>
                <w:rFonts w:ascii="宋体" w:hAnsi="宋体"/>
                <w:color w:val="auto"/>
                <w:sz w:val="24"/>
                <w:highlight w:val="none"/>
              </w:rPr>
            </w:pPr>
            <w:r>
              <w:rPr>
                <w:rFonts w:ascii="宋体" w:hAnsi="宋体"/>
                <w:color w:val="auto"/>
                <w:sz w:val="24"/>
                <w:highlight w:val="none"/>
              </w:rPr>
              <w:t>招标文件要求</w:t>
            </w:r>
          </w:p>
        </w:tc>
        <w:tc>
          <w:tcPr>
            <w:tcW w:w="2008" w:type="dxa"/>
            <w:vAlign w:val="center"/>
          </w:tcPr>
          <w:p w14:paraId="7EFC6420">
            <w:pPr>
              <w:adjustRightInd w:val="0"/>
              <w:snapToGrid w:val="0"/>
              <w:jc w:val="center"/>
              <w:rPr>
                <w:rFonts w:ascii="宋体" w:hAnsi="宋体"/>
                <w:color w:val="auto"/>
                <w:sz w:val="24"/>
                <w:highlight w:val="none"/>
              </w:rPr>
            </w:pPr>
            <w:r>
              <w:rPr>
                <w:rFonts w:ascii="宋体" w:hAnsi="宋体"/>
                <w:color w:val="auto"/>
                <w:sz w:val="24"/>
                <w:highlight w:val="none"/>
              </w:rPr>
              <w:t>投标文件内容</w:t>
            </w:r>
          </w:p>
        </w:tc>
        <w:tc>
          <w:tcPr>
            <w:tcW w:w="2458" w:type="dxa"/>
            <w:vAlign w:val="center"/>
          </w:tcPr>
          <w:p w14:paraId="1C88B10C">
            <w:pPr>
              <w:adjustRightInd w:val="0"/>
              <w:snapToGrid w:val="0"/>
              <w:jc w:val="center"/>
              <w:rPr>
                <w:rFonts w:ascii="宋体" w:hAnsi="宋体"/>
                <w:color w:val="auto"/>
                <w:sz w:val="24"/>
                <w:highlight w:val="none"/>
              </w:rPr>
            </w:pPr>
            <w:r>
              <w:rPr>
                <w:rFonts w:ascii="宋体" w:hAnsi="宋体"/>
                <w:color w:val="auto"/>
                <w:sz w:val="24"/>
                <w:highlight w:val="none"/>
              </w:rPr>
              <w:t>偏离情况</w:t>
            </w:r>
          </w:p>
        </w:tc>
        <w:tc>
          <w:tcPr>
            <w:tcW w:w="788" w:type="dxa"/>
            <w:vAlign w:val="center"/>
          </w:tcPr>
          <w:p w14:paraId="61282146">
            <w:pPr>
              <w:adjustRightInd w:val="0"/>
              <w:snapToGrid w:val="0"/>
              <w:jc w:val="center"/>
              <w:rPr>
                <w:rFonts w:ascii="宋体" w:hAnsi="宋体"/>
                <w:color w:val="auto"/>
                <w:sz w:val="24"/>
                <w:highlight w:val="none"/>
              </w:rPr>
            </w:pPr>
            <w:r>
              <w:rPr>
                <w:rFonts w:ascii="宋体" w:hAnsi="宋体"/>
                <w:color w:val="auto"/>
                <w:sz w:val="24"/>
                <w:highlight w:val="none"/>
              </w:rPr>
              <w:t>说明</w:t>
            </w:r>
          </w:p>
        </w:tc>
      </w:tr>
      <w:tr w14:paraId="15117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6273B3CF">
            <w:pPr>
              <w:adjustRightInd w:val="0"/>
              <w:snapToGrid w:val="0"/>
              <w:jc w:val="center"/>
              <w:rPr>
                <w:rFonts w:ascii="宋体" w:hAnsi="宋体"/>
                <w:color w:val="auto"/>
                <w:sz w:val="24"/>
                <w:highlight w:val="none"/>
              </w:rPr>
            </w:pPr>
          </w:p>
        </w:tc>
        <w:tc>
          <w:tcPr>
            <w:tcW w:w="1301" w:type="dxa"/>
            <w:vAlign w:val="center"/>
          </w:tcPr>
          <w:p w14:paraId="3D52A62E">
            <w:pPr>
              <w:adjustRightInd w:val="0"/>
              <w:snapToGrid w:val="0"/>
              <w:jc w:val="center"/>
              <w:rPr>
                <w:rFonts w:ascii="宋体" w:hAnsi="宋体"/>
                <w:color w:val="auto"/>
                <w:sz w:val="24"/>
                <w:highlight w:val="none"/>
              </w:rPr>
            </w:pPr>
          </w:p>
        </w:tc>
        <w:tc>
          <w:tcPr>
            <w:tcW w:w="2007" w:type="dxa"/>
            <w:vAlign w:val="center"/>
          </w:tcPr>
          <w:p w14:paraId="204B2752">
            <w:pPr>
              <w:adjustRightInd w:val="0"/>
              <w:snapToGrid w:val="0"/>
              <w:jc w:val="center"/>
              <w:rPr>
                <w:rFonts w:ascii="宋体" w:hAnsi="宋体"/>
                <w:color w:val="auto"/>
                <w:sz w:val="24"/>
                <w:highlight w:val="none"/>
              </w:rPr>
            </w:pPr>
          </w:p>
        </w:tc>
        <w:tc>
          <w:tcPr>
            <w:tcW w:w="2008" w:type="dxa"/>
            <w:vAlign w:val="center"/>
          </w:tcPr>
          <w:p w14:paraId="511800A9">
            <w:pPr>
              <w:adjustRightInd w:val="0"/>
              <w:snapToGrid w:val="0"/>
              <w:jc w:val="center"/>
              <w:rPr>
                <w:rFonts w:ascii="宋体" w:hAnsi="宋体"/>
                <w:color w:val="auto"/>
                <w:sz w:val="24"/>
                <w:highlight w:val="none"/>
              </w:rPr>
            </w:pPr>
          </w:p>
        </w:tc>
        <w:tc>
          <w:tcPr>
            <w:tcW w:w="2458" w:type="dxa"/>
            <w:vAlign w:val="center"/>
          </w:tcPr>
          <w:p w14:paraId="236FCE40">
            <w:pPr>
              <w:adjustRightInd w:val="0"/>
              <w:snapToGrid w:val="0"/>
              <w:jc w:val="center"/>
              <w:rPr>
                <w:rFonts w:ascii="宋体" w:hAnsi="宋体"/>
                <w:color w:val="auto"/>
                <w:sz w:val="24"/>
                <w:highlight w:val="none"/>
              </w:rPr>
            </w:pPr>
          </w:p>
        </w:tc>
        <w:tc>
          <w:tcPr>
            <w:tcW w:w="788" w:type="dxa"/>
            <w:vAlign w:val="center"/>
          </w:tcPr>
          <w:p w14:paraId="1CF0A4A9">
            <w:pPr>
              <w:adjustRightInd w:val="0"/>
              <w:snapToGrid w:val="0"/>
              <w:jc w:val="center"/>
              <w:rPr>
                <w:rFonts w:ascii="宋体" w:hAnsi="宋体"/>
                <w:color w:val="auto"/>
                <w:sz w:val="24"/>
                <w:highlight w:val="none"/>
              </w:rPr>
            </w:pPr>
          </w:p>
        </w:tc>
      </w:tr>
      <w:tr w14:paraId="22DDE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5354B392">
            <w:pPr>
              <w:adjustRightInd w:val="0"/>
              <w:snapToGrid w:val="0"/>
              <w:jc w:val="center"/>
              <w:rPr>
                <w:rFonts w:ascii="宋体" w:hAnsi="宋体"/>
                <w:color w:val="auto"/>
                <w:sz w:val="24"/>
                <w:highlight w:val="none"/>
              </w:rPr>
            </w:pPr>
          </w:p>
        </w:tc>
        <w:tc>
          <w:tcPr>
            <w:tcW w:w="1301" w:type="dxa"/>
            <w:vAlign w:val="center"/>
          </w:tcPr>
          <w:p w14:paraId="65C2A10D">
            <w:pPr>
              <w:adjustRightInd w:val="0"/>
              <w:snapToGrid w:val="0"/>
              <w:jc w:val="center"/>
              <w:rPr>
                <w:rFonts w:ascii="宋体" w:hAnsi="宋体"/>
                <w:color w:val="auto"/>
                <w:sz w:val="24"/>
                <w:highlight w:val="none"/>
              </w:rPr>
            </w:pPr>
          </w:p>
        </w:tc>
        <w:tc>
          <w:tcPr>
            <w:tcW w:w="2007" w:type="dxa"/>
            <w:vAlign w:val="center"/>
          </w:tcPr>
          <w:p w14:paraId="60284EFD">
            <w:pPr>
              <w:adjustRightInd w:val="0"/>
              <w:snapToGrid w:val="0"/>
              <w:jc w:val="center"/>
              <w:rPr>
                <w:rFonts w:ascii="宋体" w:hAnsi="宋体"/>
                <w:color w:val="auto"/>
                <w:sz w:val="24"/>
                <w:highlight w:val="none"/>
              </w:rPr>
            </w:pPr>
          </w:p>
        </w:tc>
        <w:tc>
          <w:tcPr>
            <w:tcW w:w="2008" w:type="dxa"/>
            <w:vAlign w:val="center"/>
          </w:tcPr>
          <w:p w14:paraId="1AF8A36F">
            <w:pPr>
              <w:adjustRightInd w:val="0"/>
              <w:snapToGrid w:val="0"/>
              <w:jc w:val="center"/>
              <w:rPr>
                <w:rFonts w:ascii="宋体" w:hAnsi="宋体"/>
                <w:color w:val="auto"/>
                <w:sz w:val="24"/>
                <w:highlight w:val="none"/>
              </w:rPr>
            </w:pPr>
          </w:p>
        </w:tc>
        <w:tc>
          <w:tcPr>
            <w:tcW w:w="2458" w:type="dxa"/>
            <w:vAlign w:val="center"/>
          </w:tcPr>
          <w:p w14:paraId="0DB7B956">
            <w:pPr>
              <w:adjustRightInd w:val="0"/>
              <w:snapToGrid w:val="0"/>
              <w:jc w:val="center"/>
              <w:rPr>
                <w:rFonts w:ascii="宋体" w:hAnsi="宋体"/>
                <w:color w:val="auto"/>
                <w:sz w:val="24"/>
                <w:highlight w:val="none"/>
              </w:rPr>
            </w:pPr>
          </w:p>
        </w:tc>
        <w:tc>
          <w:tcPr>
            <w:tcW w:w="788" w:type="dxa"/>
            <w:vAlign w:val="center"/>
          </w:tcPr>
          <w:p w14:paraId="5B19D0A0">
            <w:pPr>
              <w:adjustRightInd w:val="0"/>
              <w:snapToGrid w:val="0"/>
              <w:jc w:val="center"/>
              <w:rPr>
                <w:rFonts w:ascii="宋体" w:hAnsi="宋体"/>
                <w:color w:val="auto"/>
                <w:sz w:val="24"/>
                <w:highlight w:val="none"/>
              </w:rPr>
            </w:pPr>
          </w:p>
        </w:tc>
      </w:tr>
      <w:tr w14:paraId="592A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0F301A73">
            <w:pPr>
              <w:adjustRightInd w:val="0"/>
              <w:snapToGrid w:val="0"/>
              <w:jc w:val="center"/>
              <w:rPr>
                <w:rFonts w:ascii="宋体" w:hAnsi="宋体"/>
                <w:color w:val="auto"/>
                <w:sz w:val="24"/>
                <w:highlight w:val="none"/>
              </w:rPr>
            </w:pPr>
          </w:p>
        </w:tc>
        <w:tc>
          <w:tcPr>
            <w:tcW w:w="1301" w:type="dxa"/>
            <w:vAlign w:val="center"/>
          </w:tcPr>
          <w:p w14:paraId="272C926B">
            <w:pPr>
              <w:adjustRightInd w:val="0"/>
              <w:snapToGrid w:val="0"/>
              <w:jc w:val="center"/>
              <w:rPr>
                <w:rFonts w:ascii="宋体" w:hAnsi="宋体"/>
                <w:color w:val="auto"/>
                <w:sz w:val="24"/>
                <w:highlight w:val="none"/>
              </w:rPr>
            </w:pPr>
          </w:p>
        </w:tc>
        <w:tc>
          <w:tcPr>
            <w:tcW w:w="2007" w:type="dxa"/>
            <w:vAlign w:val="center"/>
          </w:tcPr>
          <w:p w14:paraId="609600EB">
            <w:pPr>
              <w:adjustRightInd w:val="0"/>
              <w:snapToGrid w:val="0"/>
              <w:jc w:val="center"/>
              <w:rPr>
                <w:rFonts w:ascii="宋体" w:hAnsi="宋体"/>
                <w:color w:val="auto"/>
                <w:sz w:val="24"/>
                <w:highlight w:val="none"/>
              </w:rPr>
            </w:pPr>
          </w:p>
        </w:tc>
        <w:tc>
          <w:tcPr>
            <w:tcW w:w="2008" w:type="dxa"/>
            <w:vAlign w:val="center"/>
          </w:tcPr>
          <w:p w14:paraId="1243E153">
            <w:pPr>
              <w:adjustRightInd w:val="0"/>
              <w:snapToGrid w:val="0"/>
              <w:jc w:val="center"/>
              <w:rPr>
                <w:rFonts w:ascii="宋体" w:hAnsi="宋体"/>
                <w:color w:val="auto"/>
                <w:sz w:val="24"/>
                <w:highlight w:val="none"/>
              </w:rPr>
            </w:pPr>
          </w:p>
        </w:tc>
        <w:tc>
          <w:tcPr>
            <w:tcW w:w="2458" w:type="dxa"/>
            <w:vAlign w:val="center"/>
          </w:tcPr>
          <w:p w14:paraId="6B76905D">
            <w:pPr>
              <w:adjustRightInd w:val="0"/>
              <w:snapToGrid w:val="0"/>
              <w:jc w:val="center"/>
              <w:rPr>
                <w:rFonts w:ascii="宋体" w:hAnsi="宋体"/>
                <w:color w:val="auto"/>
                <w:sz w:val="24"/>
                <w:highlight w:val="none"/>
              </w:rPr>
            </w:pPr>
          </w:p>
        </w:tc>
        <w:tc>
          <w:tcPr>
            <w:tcW w:w="788" w:type="dxa"/>
            <w:vAlign w:val="center"/>
          </w:tcPr>
          <w:p w14:paraId="0A87DD47">
            <w:pPr>
              <w:adjustRightInd w:val="0"/>
              <w:snapToGrid w:val="0"/>
              <w:jc w:val="center"/>
              <w:rPr>
                <w:rFonts w:ascii="宋体" w:hAnsi="宋体"/>
                <w:color w:val="auto"/>
                <w:sz w:val="24"/>
                <w:highlight w:val="none"/>
              </w:rPr>
            </w:pPr>
          </w:p>
        </w:tc>
      </w:tr>
      <w:tr w14:paraId="33DA7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34" w:type="dxa"/>
            <w:vAlign w:val="center"/>
          </w:tcPr>
          <w:p w14:paraId="0C296A81">
            <w:pPr>
              <w:adjustRightInd w:val="0"/>
              <w:snapToGrid w:val="0"/>
              <w:jc w:val="center"/>
              <w:rPr>
                <w:rFonts w:ascii="宋体" w:hAnsi="宋体"/>
                <w:color w:val="auto"/>
                <w:sz w:val="24"/>
                <w:highlight w:val="none"/>
              </w:rPr>
            </w:pPr>
          </w:p>
        </w:tc>
        <w:tc>
          <w:tcPr>
            <w:tcW w:w="1301" w:type="dxa"/>
            <w:vAlign w:val="center"/>
          </w:tcPr>
          <w:p w14:paraId="1BE1679B">
            <w:pPr>
              <w:adjustRightInd w:val="0"/>
              <w:snapToGrid w:val="0"/>
              <w:jc w:val="center"/>
              <w:rPr>
                <w:rFonts w:ascii="宋体" w:hAnsi="宋体"/>
                <w:color w:val="auto"/>
                <w:sz w:val="24"/>
                <w:highlight w:val="none"/>
              </w:rPr>
            </w:pPr>
          </w:p>
        </w:tc>
        <w:tc>
          <w:tcPr>
            <w:tcW w:w="2007" w:type="dxa"/>
            <w:vAlign w:val="center"/>
          </w:tcPr>
          <w:p w14:paraId="0833E9B8">
            <w:pPr>
              <w:adjustRightInd w:val="0"/>
              <w:snapToGrid w:val="0"/>
              <w:jc w:val="center"/>
              <w:rPr>
                <w:rFonts w:ascii="宋体" w:hAnsi="宋体"/>
                <w:color w:val="auto"/>
                <w:sz w:val="24"/>
                <w:highlight w:val="none"/>
              </w:rPr>
            </w:pPr>
          </w:p>
        </w:tc>
        <w:tc>
          <w:tcPr>
            <w:tcW w:w="2008" w:type="dxa"/>
            <w:vAlign w:val="center"/>
          </w:tcPr>
          <w:p w14:paraId="08EBECB1">
            <w:pPr>
              <w:adjustRightInd w:val="0"/>
              <w:snapToGrid w:val="0"/>
              <w:jc w:val="center"/>
              <w:rPr>
                <w:rFonts w:ascii="宋体" w:hAnsi="宋体"/>
                <w:color w:val="auto"/>
                <w:sz w:val="24"/>
                <w:highlight w:val="none"/>
              </w:rPr>
            </w:pPr>
          </w:p>
        </w:tc>
        <w:tc>
          <w:tcPr>
            <w:tcW w:w="2458" w:type="dxa"/>
            <w:vAlign w:val="center"/>
          </w:tcPr>
          <w:p w14:paraId="5468D628">
            <w:pPr>
              <w:adjustRightInd w:val="0"/>
              <w:snapToGrid w:val="0"/>
              <w:jc w:val="center"/>
              <w:rPr>
                <w:rFonts w:ascii="宋体" w:hAnsi="宋体"/>
                <w:color w:val="auto"/>
                <w:sz w:val="24"/>
                <w:highlight w:val="none"/>
              </w:rPr>
            </w:pPr>
          </w:p>
        </w:tc>
        <w:tc>
          <w:tcPr>
            <w:tcW w:w="788" w:type="dxa"/>
            <w:vAlign w:val="center"/>
          </w:tcPr>
          <w:p w14:paraId="382BFFC4">
            <w:pPr>
              <w:adjustRightInd w:val="0"/>
              <w:snapToGrid w:val="0"/>
              <w:jc w:val="center"/>
              <w:rPr>
                <w:rFonts w:ascii="宋体" w:hAnsi="宋体"/>
                <w:color w:val="auto"/>
                <w:sz w:val="24"/>
                <w:highlight w:val="none"/>
              </w:rPr>
            </w:pPr>
          </w:p>
        </w:tc>
      </w:tr>
    </w:tbl>
    <w:p w14:paraId="5BBD9D09">
      <w:pPr>
        <w:tabs>
          <w:tab w:val="left" w:pos="1800"/>
          <w:tab w:val="left" w:pos="5580"/>
        </w:tabs>
        <w:jc w:val="left"/>
        <w:rPr>
          <w:rFonts w:ascii="宋体" w:hAnsi="宋体"/>
          <w:color w:val="auto"/>
          <w:sz w:val="24"/>
          <w:highlight w:val="none"/>
        </w:rPr>
      </w:pPr>
    </w:p>
    <w:p w14:paraId="69125BB5">
      <w:pPr>
        <w:tabs>
          <w:tab w:val="left" w:pos="1800"/>
          <w:tab w:val="left" w:pos="5580"/>
        </w:tabs>
        <w:jc w:val="left"/>
        <w:rPr>
          <w:rFonts w:ascii="宋体" w:hAnsi="宋体"/>
          <w:color w:val="auto"/>
          <w:sz w:val="24"/>
          <w:highlight w:val="none"/>
        </w:rPr>
      </w:pPr>
      <w:r>
        <w:rPr>
          <w:rFonts w:ascii="宋体" w:hAnsi="宋体"/>
          <w:color w:val="auto"/>
          <w:sz w:val="24"/>
          <w:highlight w:val="none"/>
        </w:rPr>
        <w:t>注：</w:t>
      </w:r>
    </w:p>
    <w:p w14:paraId="73092A2F">
      <w:pPr>
        <w:tabs>
          <w:tab w:val="left" w:pos="1800"/>
          <w:tab w:val="left" w:pos="5580"/>
        </w:tabs>
        <w:jc w:val="left"/>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对合同条款中的所有要求，除本表所列明的所有偏离外，均视作供应商已对之理解和</w:t>
      </w:r>
      <w:r>
        <w:rPr>
          <w:rFonts w:hint="eastAsia" w:ascii="宋体" w:hAnsi="宋体"/>
          <w:color w:val="auto"/>
          <w:sz w:val="24"/>
          <w:highlight w:val="none"/>
        </w:rPr>
        <w:t>响应</w:t>
      </w:r>
      <w:r>
        <w:rPr>
          <w:rFonts w:ascii="宋体" w:hAnsi="宋体"/>
          <w:color w:val="auto"/>
          <w:sz w:val="24"/>
          <w:highlight w:val="none"/>
        </w:rPr>
        <w:t>。</w:t>
      </w:r>
    </w:p>
    <w:p w14:paraId="07C5876D">
      <w:pPr>
        <w:tabs>
          <w:tab w:val="left" w:pos="1800"/>
          <w:tab w:val="left" w:pos="5580"/>
        </w:tabs>
        <w:jc w:val="left"/>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“偏离情况”列应</w:t>
      </w:r>
      <w:r>
        <w:rPr>
          <w:rFonts w:ascii="宋体" w:hAnsi="宋体"/>
          <w:color w:val="auto"/>
          <w:sz w:val="24"/>
          <w:highlight w:val="none"/>
        </w:rPr>
        <w:t>据实</w:t>
      </w:r>
      <w:r>
        <w:rPr>
          <w:rFonts w:hint="eastAsia" w:ascii="宋体" w:hAnsi="宋体"/>
          <w:color w:val="auto"/>
          <w:sz w:val="24"/>
          <w:highlight w:val="none"/>
        </w:rPr>
        <w:t>填写“正偏离”或“负偏离”。</w:t>
      </w:r>
    </w:p>
    <w:p w14:paraId="55AD7553">
      <w:pPr>
        <w:spacing w:line="360" w:lineRule="auto"/>
        <w:rPr>
          <w:rFonts w:ascii="宋体" w:hAnsi="宋体"/>
          <w:color w:val="auto"/>
          <w:sz w:val="24"/>
          <w:highlight w:val="none"/>
        </w:rPr>
      </w:pPr>
    </w:p>
    <w:p w14:paraId="0B4B7232">
      <w:pPr>
        <w:autoSpaceDE w:val="0"/>
        <w:autoSpaceDN w:val="0"/>
        <w:adjustRightInd w:val="0"/>
        <w:snapToGrid w:val="0"/>
        <w:spacing w:before="25" w:after="25" w:line="360" w:lineRule="auto"/>
        <w:rPr>
          <w:rFonts w:ascii="宋体" w:hAnsi="宋体"/>
          <w:color w:val="auto"/>
          <w:sz w:val="24"/>
          <w:highlight w:val="none"/>
          <w:lang w:val="zh-CN"/>
        </w:rPr>
      </w:pPr>
      <w:r>
        <w:rPr>
          <w:rFonts w:ascii="宋体" w:hAnsi="宋体"/>
          <w:color w:val="auto"/>
          <w:sz w:val="24"/>
          <w:highlight w:val="none"/>
          <w:lang w:val="zh-CN"/>
        </w:rPr>
        <w:t xml:space="preserve">                      </w:t>
      </w:r>
    </w:p>
    <w:p w14:paraId="7B71C1DC">
      <w:pPr>
        <w:autoSpaceDE w:val="0"/>
        <w:autoSpaceDN w:val="0"/>
        <w:adjustRightInd w:val="0"/>
        <w:snapToGrid w:val="0"/>
        <w:spacing w:before="25" w:after="25" w:line="360" w:lineRule="auto"/>
        <w:rPr>
          <w:rFonts w:ascii="宋体" w:hAnsi="宋体"/>
          <w:color w:val="auto"/>
          <w:sz w:val="24"/>
          <w:highlight w:val="none"/>
          <w:lang w:val="zh-CN"/>
        </w:rPr>
      </w:pPr>
      <w:r>
        <w:rPr>
          <w:rFonts w:ascii="宋体" w:hAnsi="宋体"/>
          <w:color w:val="auto"/>
          <w:sz w:val="24"/>
          <w:highlight w:val="none"/>
        </w:rPr>
        <w:t>投标人名称（加盖公章）</w:t>
      </w:r>
      <w:r>
        <w:rPr>
          <w:rFonts w:ascii="宋体" w:hAnsi="宋体"/>
          <w:color w:val="auto"/>
          <w:sz w:val="24"/>
          <w:highlight w:val="none"/>
          <w:lang w:val="zh-CN"/>
        </w:rPr>
        <w:t>：    ____________</w:t>
      </w:r>
    </w:p>
    <w:p w14:paraId="3AB74315">
      <w:pPr>
        <w:autoSpaceDE w:val="0"/>
        <w:autoSpaceDN w:val="0"/>
        <w:adjustRightInd w:val="0"/>
        <w:snapToGrid w:val="0"/>
        <w:spacing w:before="25" w:after="25" w:line="360" w:lineRule="auto"/>
        <w:rPr>
          <w:rFonts w:ascii="宋体" w:hAnsi="宋体"/>
          <w:color w:val="auto"/>
          <w:sz w:val="24"/>
          <w:highlight w:val="none"/>
          <w:lang w:val="zh-CN"/>
        </w:rPr>
      </w:pPr>
      <w:r>
        <w:rPr>
          <w:rFonts w:ascii="宋体" w:hAnsi="宋体"/>
          <w:color w:val="auto"/>
          <w:sz w:val="24"/>
          <w:highlight w:val="none"/>
        </w:rPr>
        <w:t xml:space="preserve">日期：_____年______月______日   </w:t>
      </w:r>
    </w:p>
    <w:p w14:paraId="10BD93CF">
      <w:pPr>
        <w:spacing w:line="360" w:lineRule="auto"/>
        <w:outlineLvl w:val="2"/>
        <w:rPr>
          <w:rFonts w:ascii="宋体" w:hAnsi="宋体"/>
          <w:color w:val="auto"/>
          <w:sz w:val="24"/>
          <w:highlight w:val="none"/>
        </w:rPr>
      </w:pPr>
      <w:r>
        <w:rPr>
          <w:rFonts w:ascii="宋体" w:hAnsi="宋体"/>
          <w:color w:val="auto"/>
          <w:sz w:val="24"/>
          <w:highlight w:val="none"/>
        </w:rPr>
        <w:br w:type="page"/>
      </w:r>
      <w:r>
        <w:rPr>
          <w:rFonts w:ascii="宋体" w:hAnsi="宋体"/>
          <w:color w:val="auto"/>
          <w:sz w:val="24"/>
          <w:highlight w:val="none"/>
        </w:rPr>
        <w:t xml:space="preserve">6  </w:t>
      </w:r>
      <w:bookmarkEnd w:id="1173"/>
      <w:bookmarkEnd w:id="1174"/>
      <w:bookmarkEnd w:id="1175"/>
      <w:bookmarkEnd w:id="1176"/>
      <w:bookmarkEnd w:id="1177"/>
      <w:bookmarkEnd w:id="1178"/>
      <w:bookmarkEnd w:id="1179"/>
      <w:bookmarkEnd w:id="1180"/>
      <w:bookmarkEnd w:id="1181"/>
      <w:bookmarkEnd w:id="1182"/>
      <w:bookmarkEnd w:id="1183"/>
      <w:bookmarkEnd w:id="1184"/>
      <w:bookmarkEnd w:id="1185"/>
      <w:r>
        <w:rPr>
          <w:rFonts w:ascii="宋体" w:hAnsi="宋体"/>
          <w:color w:val="auto"/>
          <w:sz w:val="24"/>
          <w:highlight w:val="none"/>
        </w:rPr>
        <w:t>采购需求偏离表（实质性格式）</w:t>
      </w:r>
    </w:p>
    <w:p w14:paraId="07A8714C">
      <w:pPr>
        <w:autoSpaceDE w:val="0"/>
        <w:autoSpaceDN w:val="0"/>
        <w:adjustRightInd w:val="0"/>
        <w:spacing w:line="360" w:lineRule="auto"/>
        <w:jc w:val="center"/>
        <w:rPr>
          <w:rFonts w:ascii="宋体" w:hAnsi="宋体"/>
          <w:b/>
          <w:color w:val="auto"/>
          <w:sz w:val="24"/>
          <w:highlight w:val="none"/>
        </w:rPr>
      </w:pPr>
      <w:r>
        <w:rPr>
          <w:rFonts w:hint="eastAsia" w:ascii="宋体" w:hAnsi="宋体"/>
          <w:b/>
          <w:color w:val="auto"/>
          <w:sz w:val="24"/>
          <w:highlight w:val="none"/>
        </w:rPr>
        <w:t>采购需求偏离表</w:t>
      </w:r>
    </w:p>
    <w:p w14:paraId="0CBCE543">
      <w:pPr>
        <w:tabs>
          <w:tab w:val="left" w:pos="1800"/>
          <w:tab w:val="left" w:pos="5580"/>
        </w:tabs>
        <w:spacing w:line="360" w:lineRule="auto"/>
        <w:ind w:firstLine="360" w:firstLineChars="150"/>
        <w:jc w:val="left"/>
        <w:rPr>
          <w:rFonts w:ascii="宋体" w:hAnsi="宋体"/>
          <w:color w:val="auto"/>
          <w:sz w:val="24"/>
          <w:highlight w:val="none"/>
          <w:u w:val="single"/>
        </w:rPr>
      </w:pPr>
      <w:r>
        <w:rPr>
          <w:rFonts w:ascii="宋体" w:hAnsi="宋体"/>
          <w:color w:val="auto"/>
          <w:sz w:val="24"/>
          <w:highlight w:val="none"/>
        </w:rPr>
        <w:t xml:space="preserve">项目编号/包号：_____________________     </w:t>
      </w:r>
      <w:r>
        <w:rPr>
          <w:rFonts w:hint="eastAsia" w:ascii="宋体" w:hAnsi="宋体"/>
          <w:color w:val="auto"/>
          <w:sz w:val="24"/>
          <w:highlight w:val="none"/>
        </w:rPr>
        <w:t>项目名称/标的名称</w:t>
      </w:r>
      <w:r>
        <w:rPr>
          <w:rFonts w:ascii="宋体" w:hAnsi="宋体"/>
          <w:color w:val="auto"/>
          <w:sz w:val="24"/>
          <w:highlight w:val="none"/>
        </w:rPr>
        <w:t>：____________</w:t>
      </w:r>
    </w:p>
    <w:tbl>
      <w:tblPr>
        <w:tblStyle w:val="46"/>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CC6E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23193F4">
            <w:pPr>
              <w:adjustRightInd w:val="0"/>
              <w:snapToGrid w:val="0"/>
              <w:jc w:val="center"/>
              <w:rPr>
                <w:rFonts w:ascii="宋体" w:hAnsi="宋体"/>
                <w:color w:val="auto"/>
                <w:sz w:val="24"/>
                <w:highlight w:val="none"/>
              </w:rPr>
            </w:pPr>
            <w:r>
              <w:rPr>
                <w:rFonts w:ascii="宋体" w:hAnsi="宋体"/>
                <w:color w:val="auto"/>
                <w:sz w:val="24"/>
                <w:highlight w:val="none"/>
              </w:rPr>
              <w:t>序号</w:t>
            </w:r>
          </w:p>
        </w:tc>
        <w:tc>
          <w:tcPr>
            <w:tcW w:w="1482" w:type="dxa"/>
            <w:vAlign w:val="center"/>
          </w:tcPr>
          <w:p w14:paraId="7129EBEA">
            <w:pPr>
              <w:adjustRightInd w:val="0"/>
              <w:snapToGrid w:val="0"/>
              <w:jc w:val="center"/>
              <w:rPr>
                <w:rFonts w:ascii="宋体" w:hAnsi="宋体"/>
                <w:color w:val="auto"/>
                <w:sz w:val="24"/>
                <w:highlight w:val="none"/>
              </w:rPr>
            </w:pPr>
            <w:r>
              <w:rPr>
                <w:rFonts w:ascii="宋体" w:hAnsi="宋体"/>
                <w:color w:val="auto"/>
                <w:sz w:val="24"/>
                <w:highlight w:val="none"/>
              </w:rPr>
              <w:t>招标文件条目号(页码)</w:t>
            </w:r>
          </w:p>
        </w:tc>
        <w:tc>
          <w:tcPr>
            <w:tcW w:w="2384" w:type="dxa"/>
            <w:vAlign w:val="center"/>
          </w:tcPr>
          <w:p w14:paraId="2232FB27">
            <w:pPr>
              <w:adjustRightInd w:val="0"/>
              <w:snapToGrid w:val="0"/>
              <w:jc w:val="center"/>
              <w:rPr>
                <w:rFonts w:ascii="宋体" w:hAnsi="宋体"/>
                <w:color w:val="auto"/>
                <w:sz w:val="24"/>
                <w:highlight w:val="none"/>
              </w:rPr>
            </w:pPr>
            <w:r>
              <w:rPr>
                <w:rFonts w:ascii="宋体" w:hAnsi="宋体"/>
                <w:color w:val="auto"/>
                <w:sz w:val="24"/>
                <w:highlight w:val="none"/>
              </w:rPr>
              <w:t>招标文件要求</w:t>
            </w:r>
          </w:p>
        </w:tc>
        <w:tc>
          <w:tcPr>
            <w:tcW w:w="2126" w:type="dxa"/>
            <w:vAlign w:val="center"/>
          </w:tcPr>
          <w:p w14:paraId="6163ADD5">
            <w:pPr>
              <w:adjustRightInd w:val="0"/>
              <w:snapToGrid w:val="0"/>
              <w:jc w:val="center"/>
              <w:rPr>
                <w:rFonts w:ascii="宋体" w:hAnsi="宋体"/>
                <w:color w:val="auto"/>
                <w:sz w:val="24"/>
                <w:highlight w:val="none"/>
              </w:rPr>
            </w:pPr>
            <w:r>
              <w:rPr>
                <w:rFonts w:ascii="宋体" w:hAnsi="宋体"/>
                <w:color w:val="auto"/>
                <w:sz w:val="24"/>
                <w:highlight w:val="none"/>
              </w:rPr>
              <w:t>投标响应内容</w:t>
            </w:r>
          </w:p>
        </w:tc>
        <w:tc>
          <w:tcPr>
            <w:tcW w:w="1875" w:type="dxa"/>
            <w:vAlign w:val="center"/>
          </w:tcPr>
          <w:p w14:paraId="47BA9B80">
            <w:pPr>
              <w:adjustRightInd w:val="0"/>
              <w:snapToGrid w:val="0"/>
              <w:jc w:val="center"/>
              <w:rPr>
                <w:rFonts w:ascii="宋体" w:hAnsi="宋体"/>
                <w:color w:val="auto"/>
                <w:sz w:val="24"/>
                <w:highlight w:val="none"/>
              </w:rPr>
            </w:pPr>
            <w:r>
              <w:rPr>
                <w:rFonts w:ascii="宋体" w:hAnsi="宋体"/>
                <w:color w:val="auto"/>
                <w:sz w:val="24"/>
                <w:highlight w:val="none"/>
              </w:rPr>
              <w:t>偏离情况</w:t>
            </w:r>
          </w:p>
        </w:tc>
        <w:tc>
          <w:tcPr>
            <w:tcW w:w="1009" w:type="dxa"/>
            <w:vAlign w:val="center"/>
          </w:tcPr>
          <w:p w14:paraId="3489DBBC">
            <w:pPr>
              <w:adjustRightInd w:val="0"/>
              <w:snapToGrid w:val="0"/>
              <w:jc w:val="center"/>
              <w:rPr>
                <w:rFonts w:ascii="宋体" w:hAnsi="宋体"/>
                <w:color w:val="auto"/>
                <w:sz w:val="24"/>
                <w:highlight w:val="none"/>
              </w:rPr>
            </w:pPr>
            <w:r>
              <w:rPr>
                <w:rFonts w:ascii="宋体" w:hAnsi="宋体"/>
                <w:color w:val="auto"/>
                <w:sz w:val="24"/>
                <w:highlight w:val="none"/>
              </w:rPr>
              <w:t>说明</w:t>
            </w:r>
          </w:p>
        </w:tc>
      </w:tr>
      <w:tr w14:paraId="793C7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9D892E0">
            <w:pPr>
              <w:adjustRightInd w:val="0"/>
              <w:snapToGrid w:val="0"/>
              <w:jc w:val="center"/>
              <w:rPr>
                <w:rFonts w:ascii="宋体" w:hAnsi="宋体"/>
                <w:color w:val="auto"/>
                <w:sz w:val="24"/>
                <w:highlight w:val="none"/>
              </w:rPr>
            </w:pPr>
          </w:p>
        </w:tc>
        <w:tc>
          <w:tcPr>
            <w:tcW w:w="1482" w:type="dxa"/>
            <w:vAlign w:val="center"/>
          </w:tcPr>
          <w:p w14:paraId="364C9902">
            <w:pPr>
              <w:adjustRightInd w:val="0"/>
              <w:snapToGrid w:val="0"/>
              <w:jc w:val="center"/>
              <w:rPr>
                <w:rFonts w:ascii="宋体" w:hAnsi="宋体"/>
                <w:color w:val="auto"/>
                <w:sz w:val="24"/>
                <w:highlight w:val="none"/>
              </w:rPr>
            </w:pPr>
          </w:p>
        </w:tc>
        <w:tc>
          <w:tcPr>
            <w:tcW w:w="2384" w:type="dxa"/>
            <w:vAlign w:val="center"/>
          </w:tcPr>
          <w:p w14:paraId="7D66793E">
            <w:pPr>
              <w:adjustRightInd w:val="0"/>
              <w:snapToGrid w:val="0"/>
              <w:jc w:val="center"/>
              <w:rPr>
                <w:rFonts w:ascii="宋体" w:hAnsi="宋体"/>
                <w:color w:val="auto"/>
                <w:sz w:val="24"/>
                <w:highlight w:val="none"/>
              </w:rPr>
            </w:pPr>
          </w:p>
        </w:tc>
        <w:tc>
          <w:tcPr>
            <w:tcW w:w="2126" w:type="dxa"/>
            <w:vAlign w:val="center"/>
          </w:tcPr>
          <w:p w14:paraId="0CD0FC9F">
            <w:pPr>
              <w:adjustRightInd w:val="0"/>
              <w:snapToGrid w:val="0"/>
              <w:jc w:val="center"/>
              <w:rPr>
                <w:rFonts w:ascii="宋体" w:hAnsi="宋体"/>
                <w:color w:val="auto"/>
                <w:sz w:val="24"/>
                <w:highlight w:val="none"/>
              </w:rPr>
            </w:pPr>
          </w:p>
        </w:tc>
        <w:tc>
          <w:tcPr>
            <w:tcW w:w="1875" w:type="dxa"/>
            <w:vAlign w:val="center"/>
          </w:tcPr>
          <w:p w14:paraId="026E2FB9">
            <w:pPr>
              <w:adjustRightInd w:val="0"/>
              <w:snapToGrid w:val="0"/>
              <w:jc w:val="center"/>
              <w:rPr>
                <w:rFonts w:ascii="宋体" w:hAnsi="宋体"/>
                <w:color w:val="auto"/>
                <w:sz w:val="24"/>
                <w:highlight w:val="none"/>
              </w:rPr>
            </w:pPr>
          </w:p>
        </w:tc>
        <w:tc>
          <w:tcPr>
            <w:tcW w:w="1009" w:type="dxa"/>
            <w:vAlign w:val="center"/>
          </w:tcPr>
          <w:p w14:paraId="414DE13C">
            <w:pPr>
              <w:adjustRightInd w:val="0"/>
              <w:snapToGrid w:val="0"/>
              <w:jc w:val="center"/>
              <w:rPr>
                <w:rFonts w:ascii="宋体" w:hAnsi="宋体"/>
                <w:color w:val="auto"/>
                <w:sz w:val="24"/>
                <w:highlight w:val="none"/>
              </w:rPr>
            </w:pPr>
          </w:p>
        </w:tc>
      </w:tr>
      <w:tr w14:paraId="500C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3741B58">
            <w:pPr>
              <w:adjustRightInd w:val="0"/>
              <w:snapToGrid w:val="0"/>
              <w:jc w:val="center"/>
              <w:rPr>
                <w:rFonts w:ascii="宋体" w:hAnsi="宋体"/>
                <w:color w:val="auto"/>
                <w:sz w:val="24"/>
                <w:highlight w:val="none"/>
              </w:rPr>
            </w:pPr>
          </w:p>
        </w:tc>
        <w:tc>
          <w:tcPr>
            <w:tcW w:w="1482" w:type="dxa"/>
            <w:vAlign w:val="center"/>
          </w:tcPr>
          <w:p w14:paraId="5B5783AD">
            <w:pPr>
              <w:adjustRightInd w:val="0"/>
              <w:snapToGrid w:val="0"/>
              <w:jc w:val="center"/>
              <w:rPr>
                <w:rFonts w:ascii="宋体" w:hAnsi="宋体"/>
                <w:color w:val="auto"/>
                <w:sz w:val="24"/>
                <w:highlight w:val="none"/>
              </w:rPr>
            </w:pPr>
          </w:p>
        </w:tc>
        <w:tc>
          <w:tcPr>
            <w:tcW w:w="2384" w:type="dxa"/>
            <w:vAlign w:val="center"/>
          </w:tcPr>
          <w:p w14:paraId="482AC625">
            <w:pPr>
              <w:adjustRightInd w:val="0"/>
              <w:snapToGrid w:val="0"/>
              <w:jc w:val="center"/>
              <w:rPr>
                <w:rFonts w:ascii="宋体" w:hAnsi="宋体"/>
                <w:color w:val="auto"/>
                <w:sz w:val="24"/>
                <w:highlight w:val="none"/>
              </w:rPr>
            </w:pPr>
          </w:p>
        </w:tc>
        <w:tc>
          <w:tcPr>
            <w:tcW w:w="2126" w:type="dxa"/>
            <w:vAlign w:val="center"/>
          </w:tcPr>
          <w:p w14:paraId="03C4C7CA">
            <w:pPr>
              <w:adjustRightInd w:val="0"/>
              <w:snapToGrid w:val="0"/>
              <w:jc w:val="center"/>
              <w:rPr>
                <w:rFonts w:ascii="宋体" w:hAnsi="宋体"/>
                <w:color w:val="auto"/>
                <w:sz w:val="24"/>
                <w:highlight w:val="none"/>
              </w:rPr>
            </w:pPr>
          </w:p>
        </w:tc>
        <w:tc>
          <w:tcPr>
            <w:tcW w:w="1875" w:type="dxa"/>
            <w:vAlign w:val="center"/>
          </w:tcPr>
          <w:p w14:paraId="226EE280">
            <w:pPr>
              <w:adjustRightInd w:val="0"/>
              <w:snapToGrid w:val="0"/>
              <w:jc w:val="center"/>
              <w:rPr>
                <w:rFonts w:ascii="宋体" w:hAnsi="宋体"/>
                <w:color w:val="auto"/>
                <w:sz w:val="24"/>
                <w:highlight w:val="none"/>
              </w:rPr>
            </w:pPr>
          </w:p>
        </w:tc>
        <w:tc>
          <w:tcPr>
            <w:tcW w:w="1009" w:type="dxa"/>
            <w:vAlign w:val="center"/>
          </w:tcPr>
          <w:p w14:paraId="4DABCE4B">
            <w:pPr>
              <w:adjustRightInd w:val="0"/>
              <w:snapToGrid w:val="0"/>
              <w:jc w:val="center"/>
              <w:rPr>
                <w:rFonts w:ascii="宋体" w:hAnsi="宋体"/>
                <w:color w:val="auto"/>
                <w:sz w:val="24"/>
                <w:highlight w:val="none"/>
              </w:rPr>
            </w:pPr>
          </w:p>
        </w:tc>
      </w:tr>
      <w:tr w14:paraId="2D3F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068A9C8">
            <w:pPr>
              <w:adjustRightInd w:val="0"/>
              <w:snapToGrid w:val="0"/>
              <w:jc w:val="center"/>
              <w:rPr>
                <w:rFonts w:ascii="宋体" w:hAnsi="宋体"/>
                <w:color w:val="auto"/>
                <w:sz w:val="24"/>
                <w:highlight w:val="none"/>
              </w:rPr>
            </w:pPr>
          </w:p>
        </w:tc>
        <w:tc>
          <w:tcPr>
            <w:tcW w:w="1482" w:type="dxa"/>
            <w:vAlign w:val="center"/>
          </w:tcPr>
          <w:p w14:paraId="7F5E6CBA">
            <w:pPr>
              <w:adjustRightInd w:val="0"/>
              <w:snapToGrid w:val="0"/>
              <w:jc w:val="center"/>
              <w:rPr>
                <w:rFonts w:ascii="宋体" w:hAnsi="宋体"/>
                <w:color w:val="auto"/>
                <w:sz w:val="24"/>
                <w:highlight w:val="none"/>
              </w:rPr>
            </w:pPr>
          </w:p>
        </w:tc>
        <w:tc>
          <w:tcPr>
            <w:tcW w:w="2384" w:type="dxa"/>
            <w:vAlign w:val="center"/>
          </w:tcPr>
          <w:p w14:paraId="030B28D0">
            <w:pPr>
              <w:adjustRightInd w:val="0"/>
              <w:snapToGrid w:val="0"/>
              <w:jc w:val="center"/>
              <w:rPr>
                <w:rFonts w:ascii="宋体" w:hAnsi="宋体"/>
                <w:color w:val="auto"/>
                <w:sz w:val="24"/>
                <w:highlight w:val="none"/>
              </w:rPr>
            </w:pPr>
          </w:p>
        </w:tc>
        <w:tc>
          <w:tcPr>
            <w:tcW w:w="2126" w:type="dxa"/>
            <w:vAlign w:val="center"/>
          </w:tcPr>
          <w:p w14:paraId="668F30DF">
            <w:pPr>
              <w:adjustRightInd w:val="0"/>
              <w:snapToGrid w:val="0"/>
              <w:jc w:val="center"/>
              <w:rPr>
                <w:rFonts w:ascii="宋体" w:hAnsi="宋体"/>
                <w:color w:val="auto"/>
                <w:sz w:val="24"/>
                <w:highlight w:val="none"/>
              </w:rPr>
            </w:pPr>
          </w:p>
        </w:tc>
        <w:tc>
          <w:tcPr>
            <w:tcW w:w="1875" w:type="dxa"/>
            <w:vAlign w:val="center"/>
          </w:tcPr>
          <w:p w14:paraId="2EA2AFC3">
            <w:pPr>
              <w:adjustRightInd w:val="0"/>
              <w:snapToGrid w:val="0"/>
              <w:jc w:val="center"/>
              <w:rPr>
                <w:rFonts w:ascii="宋体" w:hAnsi="宋体"/>
                <w:color w:val="auto"/>
                <w:sz w:val="24"/>
                <w:highlight w:val="none"/>
              </w:rPr>
            </w:pPr>
          </w:p>
        </w:tc>
        <w:tc>
          <w:tcPr>
            <w:tcW w:w="1009" w:type="dxa"/>
            <w:vAlign w:val="center"/>
          </w:tcPr>
          <w:p w14:paraId="5D198448">
            <w:pPr>
              <w:adjustRightInd w:val="0"/>
              <w:snapToGrid w:val="0"/>
              <w:jc w:val="center"/>
              <w:rPr>
                <w:rFonts w:ascii="宋体" w:hAnsi="宋体"/>
                <w:color w:val="auto"/>
                <w:sz w:val="24"/>
                <w:highlight w:val="none"/>
              </w:rPr>
            </w:pPr>
          </w:p>
        </w:tc>
      </w:tr>
      <w:tr w14:paraId="2DF5C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351EFB8">
            <w:pPr>
              <w:adjustRightInd w:val="0"/>
              <w:snapToGrid w:val="0"/>
              <w:jc w:val="center"/>
              <w:rPr>
                <w:rFonts w:ascii="宋体" w:hAnsi="宋体"/>
                <w:color w:val="auto"/>
                <w:sz w:val="24"/>
                <w:highlight w:val="none"/>
              </w:rPr>
            </w:pPr>
          </w:p>
        </w:tc>
        <w:tc>
          <w:tcPr>
            <w:tcW w:w="1482" w:type="dxa"/>
            <w:vAlign w:val="center"/>
          </w:tcPr>
          <w:p w14:paraId="799A9EAF">
            <w:pPr>
              <w:adjustRightInd w:val="0"/>
              <w:snapToGrid w:val="0"/>
              <w:jc w:val="center"/>
              <w:rPr>
                <w:rFonts w:ascii="宋体" w:hAnsi="宋体"/>
                <w:color w:val="auto"/>
                <w:sz w:val="24"/>
                <w:highlight w:val="none"/>
              </w:rPr>
            </w:pPr>
          </w:p>
        </w:tc>
        <w:tc>
          <w:tcPr>
            <w:tcW w:w="2384" w:type="dxa"/>
            <w:vAlign w:val="center"/>
          </w:tcPr>
          <w:p w14:paraId="2331821D">
            <w:pPr>
              <w:adjustRightInd w:val="0"/>
              <w:snapToGrid w:val="0"/>
              <w:jc w:val="center"/>
              <w:rPr>
                <w:rFonts w:ascii="宋体" w:hAnsi="宋体"/>
                <w:color w:val="auto"/>
                <w:sz w:val="24"/>
                <w:highlight w:val="none"/>
              </w:rPr>
            </w:pPr>
          </w:p>
        </w:tc>
        <w:tc>
          <w:tcPr>
            <w:tcW w:w="2126" w:type="dxa"/>
            <w:vAlign w:val="center"/>
          </w:tcPr>
          <w:p w14:paraId="10C36A68">
            <w:pPr>
              <w:adjustRightInd w:val="0"/>
              <w:snapToGrid w:val="0"/>
              <w:jc w:val="center"/>
              <w:rPr>
                <w:rFonts w:ascii="宋体" w:hAnsi="宋体"/>
                <w:color w:val="auto"/>
                <w:sz w:val="24"/>
                <w:highlight w:val="none"/>
              </w:rPr>
            </w:pPr>
          </w:p>
        </w:tc>
        <w:tc>
          <w:tcPr>
            <w:tcW w:w="1875" w:type="dxa"/>
            <w:vAlign w:val="center"/>
          </w:tcPr>
          <w:p w14:paraId="0A458322">
            <w:pPr>
              <w:adjustRightInd w:val="0"/>
              <w:snapToGrid w:val="0"/>
              <w:jc w:val="center"/>
              <w:rPr>
                <w:rFonts w:ascii="宋体" w:hAnsi="宋体"/>
                <w:color w:val="auto"/>
                <w:sz w:val="24"/>
                <w:highlight w:val="none"/>
              </w:rPr>
            </w:pPr>
          </w:p>
        </w:tc>
        <w:tc>
          <w:tcPr>
            <w:tcW w:w="1009" w:type="dxa"/>
            <w:vAlign w:val="center"/>
          </w:tcPr>
          <w:p w14:paraId="33EEAA69">
            <w:pPr>
              <w:adjustRightInd w:val="0"/>
              <w:snapToGrid w:val="0"/>
              <w:jc w:val="center"/>
              <w:rPr>
                <w:rFonts w:ascii="宋体" w:hAnsi="宋体"/>
                <w:color w:val="auto"/>
                <w:sz w:val="24"/>
                <w:highlight w:val="none"/>
              </w:rPr>
            </w:pPr>
          </w:p>
        </w:tc>
      </w:tr>
      <w:tr w14:paraId="1308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2D17596">
            <w:pPr>
              <w:adjustRightInd w:val="0"/>
              <w:snapToGrid w:val="0"/>
              <w:jc w:val="center"/>
              <w:rPr>
                <w:rFonts w:ascii="宋体" w:hAnsi="宋体"/>
                <w:color w:val="auto"/>
                <w:sz w:val="24"/>
                <w:highlight w:val="none"/>
              </w:rPr>
            </w:pPr>
          </w:p>
        </w:tc>
        <w:tc>
          <w:tcPr>
            <w:tcW w:w="1482" w:type="dxa"/>
            <w:vAlign w:val="center"/>
          </w:tcPr>
          <w:p w14:paraId="04AEB605">
            <w:pPr>
              <w:adjustRightInd w:val="0"/>
              <w:snapToGrid w:val="0"/>
              <w:jc w:val="center"/>
              <w:rPr>
                <w:rFonts w:ascii="宋体" w:hAnsi="宋体"/>
                <w:color w:val="auto"/>
                <w:sz w:val="24"/>
                <w:highlight w:val="none"/>
              </w:rPr>
            </w:pPr>
          </w:p>
        </w:tc>
        <w:tc>
          <w:tcPr>
            <w:tcW w:w="2384" w:type="dxa"/>
            <w:vAlign w:val="center"/>
          </w:tcPr>
          <w:p w14:paraId="5B5CA02A">
            <w:pPr>
              <w:adjustRightInd w:val="0"/>
              <w:snapToGrid w:val="0"/>
              <w:jc w:val="center"/>
              <w:rPr>
                <w:rFonts w:ascii="宋体" w:hAnsi="宋体"/>
                <w:color w:val="auto"/>
                <w:sz w:val="24"/>
                <w:highlight w:val="none"/>
              </w:rPr>
            </w:pPr>
          </w:p>
        </w:tc>
        <w:tc>
          <w:tcPr>
            <w:tcW w:w="2126" w:type="dxa"/>
            <w:vAlign w:val="center"/>
          </w:tcPr>
          <w:p w14:paraId="0F83A96E">
            <w:pPr>
              <w:adjustRightInd w:val="0"/>
              <w:snapToGrid w:val="0"/>
              <w:jc w:val="center"/>
              <w:rPr>
                <w:rFonts w:ascii="宋体" w:hAnsi="宋体"/>
                <w:color w:val="auto"/>
                <w:sz w:val="24"/>
                <w:highlight w:val="none"/>
              </w:rPr>
            </w:pPr>
          </w:p>
        </w:tc>
        <w:tc>
          <w:tcPr>
            <w:tcW w:w="1875" w:type="dxa"/>
            <w:vAlign w:val="center"/>
          </w:tcPr>
          <w:p w14:paraId="323DEB6F">
            <w:pPr>
              <w:adjustRightInd w:val="0"/>
              <w:snapToGrid w:val="0"/>
              <w:jc w:val="center"/>
              <w:rPr>
                <w:rFonts w:ascii="宋体" w:hAnsi="宋体"/>
                <w:color w:val="auto"/>
                <w:sz w:val="24"/>
                <w:highlight w:val="none"/>
              </w:rPr>
            </w:pPr>
          </w:p>
        </w:tc>
        <w:tc>
          <w:tcPr>
            <w:tcW w:w="1009" w:type="dxa"/>
            <w:vAlign w:val="center"/>
          </w:tcPr>
          <w:p w14:paraId="764597DC">
            <w:pPr>
              <w:adjustRightInd w:val="0"/>
              <w:snapToGrid w:val="0"/>
              <w:jc w:val="center"/>
              <w:rPr>
                <w:rFonts w:ascii="宋体" w:hAnsi="宋体"/>
                <w:color w:val="auto"/>
                <w:sz w:val="24"/>
                <w:highlight w:val="none"/>
              </w:rPr>
            </w:pPr>
          </w:p>
        </w:tc>
      </w:tr>
      <w:tr w14:paraId="5AD86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43DD23C">
            <w:pPr>
              <w:adjustRightInd w:val="0"/>
              <w:snapToGrid w:val="0"/>
              <w:jc w:val="center"/>
              <w:rPr>
                <w:rFonts w:ascii="宋体" w:hAnsi="宋体"/>
                <w:color w:val="auto"/>
                <w:sz w:val="24"/>
                <w:highlight w:val="none"/>
              </w:rPr>
            </w:pPr>
          </w:p>
        </w:tc>
        <w:tc>
          <w:tcPr>
            <w:tcW w:w="1482" w:type="dxa"/>
            <w:vAlign w:val="center"/>
          </w:tcPr>
          <w:p w14:paraId="4C8D0D15">
            <w:pPr>
              <w:adjustRightInd w:val="0"/>
              <w:snapToGrid w:val="0"/>
              <w:jc w:val="center"/>
              <w:rPr>
                <w:rFonts w:ascii="宋体" w:hAnsi="宋体"/>
                <w:color w:val="auto"/>
                <w:sz w:val="24"/>
                <w:highlight w:val="none"/>
              </w:rPr>
            </w:pPr>
          </w:p>
        </w:tc>
        <w:tc>
          <w:tcPr>
            <w:tcW w:w="2384" w:type="dxa"/>
            <w:vAlign w:val="center"/>
          </w:tcPr>
          <w:p w14:paraId="49110E8E">
            <w:pPr>
              <w:adjustRightInd w:val="0"/>
              <w:snapToGrid w:val="0"/>
              <w:jc w:val="center"/>
              <w:rPr>
                <w:rFonts w:ascii="宋体" w:hAnsi="宋体"/>
                <w:color w:val="auto"/>
                <w:sz w:val="24"/>
                <w:highlight w:val="none"/>
              </w:rPr>
            </w:pPr>
          </w:p>
        </w:tc>
        <w:tc>
          <w:tcPr>
            <w:tcW w:w="2126" w:type="dxa"/>
            <w:vAlign w:val="center"/>
          </w:tcPr>
          <w:p w14:paraId="23833EB8">
            <w:pPr>
              <w:adjustRightInd w:val="0"/>
              <w:snapToGrid w:val="0"/>
              <w:jc w:val="center"/>
              <w:rPr>
                <w:rFonts w:ascii="宋体" w:hAnsi="宋体"/>
                <w:color w:val="auto"/>
                <w:sz w:val="24"/>
                <w:highlight w:val="none"/>
              </w:rPr>
            </w:pPr>
          </w:p>
        </w:tc>
        <w:tc>
          <w:tcPr>
            <w:tcW w:w="1875" w:type="dxa"/>
            <w:vAlign w:val="center"/>
          </w:tcPr>
          <w:p w14:paraId="79D5C1E9">
            <w:pPr>
              <w:adjustRightInd w:val="0"/>
              <w:snapToGrid w:val="0"/>
              <w:jc w:val="center"/>
              <w:rPr>
                <w:rFonts w:ascii="宋体" w:hAnsi="宋体"/>
                <w:color w:val="auto"/>
                <w:sz w:val="24"/>
                <w:highlight w:val="none"/>
              </w:rPr>
            </w:pPr>
          </w:p>
        </w:tc>
        <w:tc>
          <w:tcPr>
            <w:tcW w:w="1009" w:type="dxa"/>
            <w:vAlign w:val="center"/>
          </w:tcPr>
          <w:p w14:paraId="267D9598">
            <w:pPr>
              <w:adjustRightInd w:val="0"/>
              <w:snapToGrid w:val="0"/>
              <w:jc w:val="center"/>
              <w:rPr>
                <w:rFonts w:ascii="宋体" w:hAnsi="宋体"/>
                <w:color w:val="auto"/>
                <w:sz w:val="24"/>
                <w:highlight w:val="none"/>
              </w:rPr>
            </w:pPr>
          </w:p>
        </w:tc>
      </w:tr>
    </w:tbl>
    <w:p w14:paraId="4A217882">
      <w:pPr>
        <w:tabs>
          <w:tab w:val="left" w:pos="1800"/>
          <w:tab w:val="left" w:pos="5580"/>
        </w:tabs>
        <w:spacing w:line="360" w:lineRule="auto"/>
        <w:ind w:firstLine="360" w:firstLineChars="150"/>
        <w:jc w:val="left"/>
        <w:rPr>
          <w:rFonts w:ascii="宋体" w:hAnsi="宋体"/>
          <w:color w:val="auto"/>
          <w:sz w:val="24"/>
          <w:highlight w:val="none"/>
          <w:u w:val="single"/>
        </w:rPr>
      </w:pPr>
    </w:p>
    <w:p w14:paraId="3C677039">
      <w:pPr>
        <w:tabs>
          <w:tab w:val="left" w:pos="1800"/>
          <w:tab w:val="left" w:pos="5580"/>
        </w:tabs>
        <w:spacing w:line="360" w:lineRule="auto"/>
        <w:ind w:firstLine="360" w:firstLineChars="150"/>
        <w:jc w:val="left"/>
        <w:rPr>
          <w:rFonts w:ascii="宋体" w:hAnsi="宋体"/>
          <w:color w:val="auto"/>
          <w:sz w:val="24"/>
          <w:highlight w:val="none"/>
          <w:u w:val="single"/>
        </w:rPr>
      </w:pPr>
    </w:p>
    <w:p w14:paraId="2E8E7DBB">
      <w:pPr>
        <w:tabs>
          <w:tab w:val="left" w:pos="1800"/>
          <w:tab w:val="left" w:pos="5580"/>
        </w:tabs>
        <w:jc w:val="left"/>
        <w:rPr>
          <w:rFonts w:ascii="宋体" w:hAnsi="宋体"/>
          <w:color w:val="auto"/>
          <w:sz w:val="24"/>
          <w:highlight w:val="none"/>
        </w:rPr>
      </w:pPr>
      <w:r>
        <w:rPr>
          <w:rFonts w:ascii="宋体" w:hAnsi="宋体"/>
          <w:color w:val="auto"/>
          <w:sz w:val="24"/>
          <w:highlight w:val="none"/>
        </w:rPr>
        <w:t>注：</w:t>
      </w:r>
    </w:p>
    <w:p w14:paraId="21AF3B4B">
      <w:pPr>
        <w:tabs>
          <w:tab w:val="left" w:pos="1800"/>
          <w:tab w:val="left" w:pos="5580"/>
        </w:tabs>
        <w:jc w:val="left"/>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对招标文件中的所有商务、技术要求，除本表所列明的所有偏离外，均视作供应商已对之理解和</w:t>
      </w:r>
      <w:r>
        <w:rPr>
          <w:rFonts w:hint="eastAsia" w:ascii="宋体" w:hAnsi="宋体"/>
          <w:color w:val="auto"/>
          <w:sz w:val="24"/>
          <w:highlight w:val="none"/>
        </w:rPr>
        <w:t>响应</w:t>
      </w:r>
      <w:r>
        <w:rPr>
          <w:rFonts w:ascii="宋体" w:hAnsi="宋体"/>
          <w:color w:val="auto"/>
          <w:sz w:val="24"/>
          <w:highlight w:val="none"/>
        </w:rPr>
        <w:t>。</w:t>
      </w:r>
      <w:r>
        <w:rPr>
          <w:rFonts w:hint="eastAsia" w:ascii="宋体" w:hAnsi="宋体"/>
          <w:color w:val="auto"/>
          <w:sz w:val="24"/>
          <w:highlight w:val="none"/>
        </w:rPr>
        <w:t>此表中若无任何文字说明，内容为空白，</w:t>
      </w:r>
      <w:r>
        <w:rPr>
          <w:rFonts w:hint="eastAsia" w:ascii="宋体" w:hAnsi="宋体"/>
          <w:b/>
          <w:color w:val="auto"/>
          <w:sz w:val="24"/>
          <w:highlight w:val="none"/>
        </w:rPr>
        <w:t>投标无效。</w:t>
      </w:r>
    </w:p>
    <w:p w14:paraId="6F3368A7">
      <w:pPr>
        <w:tabs>
          <w:tab w:val="left" w:pos="1800"/>
          <w:tab w:val="left" w:pos="5580"/>
        </w:tabs>
        <w:jc w:val="left"/>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“偏离情况”列应</w:t>
      </w:r>
      <w:r>
        <w:rPr>
          <w:rFonts w:ascii="宋体" w:hAnsi="宋体"/>
          <w:color w:val="auto"/>
          <w:sz w:val="24"/>
          <w:highlight w:val="none"/>
        </w:rPr>
        <w:t>据实</w:t>
      </w:r>
      <w:r>
        <w:rPr>
          <w:rFonts w:hint="eastAsia" w:ascii="宋体" w:hAnsi="宋体"/>
          <w:color w:val="auto"/>
          <w:sz w:val="24"/>
          <w:highlight w:val="none"/>
        </w:rPr>
        <w:t>填写“正偏离”、“负偏离”或“无偏离”。</w:t>
      </w:r>
    </w:p>
    <w:p w14:paraId="5E0A4E03">
      <w:pPr>
        <w:tabs>
          <w:tab w:val="left" w:pos="1800"/>
          <w:tab w:val="left" w:pos="5580"/>
        </w:tabs>
        <w:jc w:val="left"/>
        <w:rPr>
          <w:rFonts w:ascii="宋体" w:hAnsi="宋体"/>
          <w:color w:val="auto"/>
          <w:sz w:val="24"/>
          <w:highlight w:val="none"/>
        </w:rPr>
      </w:pPr>
    </w:p>
    <w:p w14:paraId="5F272F21">
      <w:pPr>
        <w:tabs>
          <w:tab w:val="left" w:pos="1800"/>
          <w:tab w:val="left" w:pos="5580"/>
        </w:tabs>
        <w:jc w:val="left"/>
        <w:rPr>
          <w:rFonts w:ascii="宋体" w:hAnsi="宋体"/>
          <w:color w:val="auto"/>
          <w:sz w:val="24"/>
          <w:highlight w:val="none"/>
        </w:rPr>
      </w:pPr>
    </w:p>
    <w:p w14:paraId="32888775">
      <w:pPr>
        <w:rPr>
          <w:rFonts w:ascii="宋体" w:hAnsi="宋体"/>
          <w:color w:val="auto"/>
          <w:sz w:val="24"/>
          <w:highlight w:val="none"/>
        </w:rPr>
      </w:pPr>
    </w:p>
    <w:p w14:paraId="30E84DFF">
      <w:pPr>
        <w:autoSpaceDE w:val="0"/>
        <w:autoSpaceDN w:val="0"/>
        <w:adjustRightInd w:val="0"/>
        <w:snapToGrid w:val="0"/>
        <w:spacing w:before="25" w:after="25" w:line="360" w:lineRule="auto"/>
        <w:rPr>
          <w:rFonts w:ascii="宋体" w:hAnsi="宋体"/>
          <w:color w:val="auto"/>
          <w:sz w:val="24"/>
          <w:highlight w:val="none"/>
          <w:lang w:val="zh-CN"/>
        </w:rPr>
      </w:pPr>
      <w:r>
        <w:rPr>
          <w:rFonts w:ascii="宋体" w:hAnsi="宋体"/>
          <w:color w:val="auto"/>
          <w:sz w:val="24"/>
          <w:highlight w:val="none"/>
          <w:lang w:val="zh-CN"/>
        </w:rPr>
        <w:t xml:space="preserve">                  </w:t>
      </w:r>
    </w:p>
    <w:p w14:paraId="14659A1E">
      <w:pPr>
        <w:autoSpaceDE w:val="0"/>
        <w:autoSpaceDN w:val="0"/>
        <w:adjustRightInd w:val="0"/>
        <w:snapToGrid w:val="0"/>
        <w:spacing w:before="25" w:after="25" w:line="360" w:lineRule="auto"/>
        <w:rPr>
          <w:rFonts w:ascii="宋体" w:hAnsi="宋体"/>
          <w:color w:val="auto"/>
          <w:sz w:val="24"/>
          <w:highlight w:val="none"/>
          <w:u w:val="single"/>
          <w:lang w:val="zh-CN"/>
        </w:rPr>
      </w:pPr>
      <w:r>
        <w:rPr>
          <w:rFonts w:ascii="宋体" w:hAnsi="宋体"/>
          <w:color w:val="auto"/>
          <w:sz w:val="24"/>
          <w:highlight w:val="none"/>
        </w:rPr>
        <w:t>投标人名称（加盖公章）</w:t>
      </w:r>
      <w:r>
        <w:rPr>
          <w:rFonts w:ascii="宋体" w:hAnsi="宋体"/>
          <w:color w:val="auto"/>
          <w:sz w:val="24"/>
          <w:highlight w:val="none"/>
          <w:lang w:val="zh-CN"/>
        </w:rPr>
        <w:t>：</w:t>
      </w:r>
      <w:r>
        <w:rPr>
          <w:rFonts w:hint="eastAsia" w:ascii="宋体" w:hAnsi="宋体"/>
          <w:color w:val="auto"/>
          <w:sz w:val="24"/>
          <w:highlight w:val="none"/>
          <w:u w:val="single"/>
        </w:rPr>
        <w:t xml:space="preserve">              </w:t>
      </w:r>
      <w:r>
        <w:rPr>
          <w:rFonts w:ascii="宋体" w:hAnsi="宋体"/>
          <w:color w:val="auto"/>
          <w:sz w:val="24"/>
          <w:highlight w:val="none"/>
          <w:u w:val="single"/>
          <w:lang w:val="zh-CN"/>
        </w:rPr>
        <w:t xml:space="preserve"> </w:t>
      </w:r>
    </w:p>
    <w:p w14:paraId="5F3901E1">
      <w:pPr>
        <w:autoSpaceDE w:val="0"/>
        <w:autoSpaceDN w:val="0"/>
        <w:adjustRightInd w:val="0"/>
        <w:snapToGrid w:val="0"/>
        <w:spacing w:before="25" w:after="25" w:line="360" w:lineRule="auto"/>
        <w:rPr>
          <w:rFonts w:ascii="宋体" w:hAnsi="宋体"/>
          <w:color w:val="auto"/>
          <w:sz w:val="24"/>
          <w:highlight w:val="none"/>
          <w:lang w:val="zh-CN"/>
        </w:rPr>
      </w:pPr>
      <w:r>
        <w:rPr>
          <w:rFonts w:ascii="宋体" w:hAnsi="宋体"/>
          <w:color w:val="auto"/>
          <w:sz w:val="24"/>
          <w:highlight w:val="none"/>
        </w:rPr>
        <w:t xml:space="preserve">日期：_____年______月______日   </w:t>
      </w:r>
    </w:p>
    <w:p w14:paraId="0FD2DFEC">
      <w:pPr>
        <w:spacing w:line="360" w:lineRule="auto"/>
        <w:outlineLvl w:val="2"/>
        <w:rPr>
          <w:rFonts w:ascii="宋体" w:hAnsi="宋体"/>
          <w:color w:val="auto"/>
          <w:sz w:val="24"/>
          <w:highlight w:val="none"/>
        </w:rPr>
      </w:pPr>
      <w:r>
        <w:rPr>
          <w:rFonts w:ascii="宋体" w:hAnsi="宋体"/>
          <w:color w:val="auto"/>
          <w:sz w:val="24"/>
          <w:highlight w:val="none"/>
        </w:rPr>
        <w:br w:type="page"/>
      </w:r>
      <w:r>
        <w:rPr>
          <w:rFonts w:ascii="宋体" w:hAnsi="宋体"/>
          <w:color w:val="auto"/>
          <w:sz w:val="24"/>
          <w:highlight w:val="none"/>
        </w:rPr>
        <w:t>7  中小企业声明函</w:t>
      </w:r>
    </w:p>
    <w:p w14:paraId="6A1887FC">
      <w:pPr>
        <w:tabs>
          <w:tab w:val="left" w:pos="5580"/>
        </w:tabs>
        <w:spacing w:line="360" w:lineRule="auto"/>
        <w:rPr>
          <w:rFonts w:ascii="宋体" w:hAnsi="宋体"/>
          <w:color w:val="auto"/>
          <w:sz w:val="24"/>
          <w:highlight w:val="none"/>
        </w:rPr>
      </w:pPr>
      <w:r>
        <w:rPr>
          <w:rFonts w:hint="eastAsia" w:ascii="宋体" w:hAnsi="宋体"/>
          <w:color w:val="auto"/>
          <w:sz w:val="24"/>
          <w:highlight w:val="none"/>
        </w:rPr>
        <w:t>说明：</w:t>
      </w:r>
    </w:p>
    <w:p w14:paraId="1EBFC614">
      <w:pPr>
        <w:tabs>
          <w:tab w:val="left" w:pos="5580"/>
        </w:tabs>
        <w:spacing w:line="360" w:lineRule="auto"/>
        <w:rPr>
          <w:rFonts w:ascii="宋体" w:hAnsi="宋体"/>
          <w:color w:val="auto"/>
          <w:sz w:val="24"/>
          <w:highlight w:val="none"/>
        </w:rPr>
      </w:pPr>
      <w:r>
        <w:rPr>
          <w:rFonts w:hint="eastAsia" w:ascii="宋体" w:hAnsi="宋体"/>
          <w:color w:val="auto"/>
          <w:sz w:val="24"/>
          <w:highlight w:val="none"/>
        </w:rPr>
        <w:t>1）中小企业参加政府采购活动，应当出具此格式文件。《中小企业声明函》由参加政府采购活动的投标人出具。联合体投标的，《中小企业声明函》由牵头人出具。</w:t>
      </w:r>
    </w:p>
    <w:p w14:paraId="282E671F">
      <w:pPr>
        <w:tabs>
          <w:tab w:val="left" w:pos="5580"/>
        </w:tabs>
        <w:spacing w:line="360" w:lineRule="auto"/>
        <w:rPr>
          <w:rFonts w:ascii="宋体" w:hAnsi="宋体"/>
          <w:color w:val="auto"/>
          <w:sz w:val="24"/>
          <w:highlight w:val="none"/>
        </w:rPr>
      </w:pPr>
      <w:r>
        <w:rPr>
          <w:rFonts w:hint="eastAsia" w:ascii="宋体" w:hAnsi="宋体"/>
          <w:color w:val="auto"/>
          <w:sz w:val="24"/>
          <w:highlight w:val="none"/>
        </w:rPr>
        <w:t>2）对于联合体中由中小企业承担的部分，或者分包给中小企业的部分，必须全部由中小企业制造、承建或者承接。供应商应当在声明函“项目名称/标的名称”部分标明联合体中中小企业承担的具体内容或者中小企业的具体分包内容。</w:t>
      </w:r>
    </w:p>
    <w:p w14:paraId="62FCA229">
      <w:pPr>
        <w:tabs>
          <w:tab w:val="left" w:pos="5580"/>
        </w:tabs>
        <w:spacing w:line="360" w:lineRule="auto"/>
        <w:rPr>
          <w:rFonts w:ascii="宋体" w:hAnsi="宋体"/>
          <w:color w:val="auto"/>
          <w:sz w:val="24"/>
          <w:highlight w:val="none"/>
        </w:rPr>
      </w:pPr>
      <w:r>
        <w:rPr>
          <w:rFonts w:hint="eastAsia" w:ascii="宋体" w:hAnsi="宋体"/>
          <w:color w:val="auto"/>
          <w:sz w:val="24"/>
          <w:highlight w:val="none"/>
        </w:rPr>
        <w:t>3）对于多标的的采购项目，投标人应充分、准确地了解所投产品制造企业信息。对相关情况了解不清楚的，不建议填报本声明函。</w:t>
      </w:r>
    </w:p>
    <w:p w14:paraId="6AFBFCE0">
      <w:pPr>
        <w:tabs>
          <w:tab w:val="left" w:pos="5580"/>
        </w:tabs>
        <w:spacing w:line="360" w:lineRule="auto"/>
        <w:rPr>
          <w:rFonts w:ascii="宋体" w:hAnsi="宋体"/>
          <w:color w:val="auto"/>
          <w:sz w:val="24"/>
          <w:highlight w:val="none"/>
        </w:rPr>
      </w:pPr>
      <w:r>
        <w:rPr>
          <w:rFonts w:hint="eastAsia" w:ascii="宋体" w:hAnsi="宋体"/>
          <w:color w:val="auto"/>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522D6E4C">
      <w:pPr>
        <w:autoSpaceDE w:val="0"/>
        <w:autoSpaceDN w:val="0"/>
        <w:adjustRightInd w:val="0"/>
        <w:ind w:firstLine="420"/>
        <w:jc w:val="left"/>
        <w:rPr>
          <w:rFonts w:ascii="宋体" w:hAnsi="宋体"/>
          <w:color w:val="auto"/>
          <w:sz w:val="24"/>
          <w:highlight w:val="none"/>
        </w:rPr>
      </w:pPr>
      <w:r>
        <w:rPr>
          <w:rFonts w:ascii="宋体" w:hAnsi="宋体"/>
          <w:b/>
          <w:bCs/>
          <w:color w:val="auto"/>
          <w:sz w:val="24"/>
          <w:highlight w:val="none"/>
        </w:rPr>
        <w:br w:type="page"/>
      </w:r>
    </w:p>
    <w:p w14:paraId="78F8658A">
      <w:pPr>
        <w:spacing w:before="240" w:beforeLines="100" w:after="240" w:afterLines="100" w:line="360" w:lineRule="auto"/>
        <w:ind w:firstLine="2409" w:firstLineChars="1000"/>
        <w:jc w:val="both"/>
        <w:rPr>
          <w:rFonts w:ascii="宋体" w:hAnsi="宋体"/>
          <w:b/>
          <w:bCs/>
          <w:color w:val="auto"/>
          <w:sz w:val="24"/>
          <w:highlight w:val="none"/>
        </w:rPr>
      </w:pPr>
      <w:r>
        <w:rPr>
          <w:rFonts w:ascii="宋体" w:hAnsi="宋体"/>
          <w:b/>
          <w:bCs/>
          <w:color w:val="auto"/>
          <w:sz w:val="24"/>
          <w:highlight w:val="none"/>
        </w:rPr>
        <w:t>中小企业声明函（服务）格式</w:t>
      </w:r>
    </w:p>
    <w:p w14:paraId="61E65ABE">
      <w:pPr>
        <w:autoSpaceDE w:val="0"/>
        <w:autoSpaceDN w:val="0"/>
        <w:spacing w:line="360" w:lineRule="auto"/>
        <w:ind w:left="220" w:right="415" w:firstLine="640"/>
        <w:jc w:val="left"/>
        <w:rPr>
          <w:rFonts w:ascii="宋体" w:hAnsi="宋体"/>
          <w:color w:val="auto"/>
          <w:kern w:val="0"/>
          <w:sz w:val="24"/>
          <w:highlight w:val="none"/>
        </w:rPr>
      </w:pPr>
      <w:r>
        <w:rPr>
          <w:rFonts w:ascii="宋体" w:hAnsi="宋体"/>
          <w:color w:val="auto"/>
          <w:kern w:val="0"/>
          <w:sz w:val="24"/>
          <w:highlight w:val="none"/>
        </w:rPr>
        <w:t>本公司（联合体）郑重声明，根据《政府采购促进中小企业发展管理办法》（财库﹝2020﹞46号）的规定，本公司（联合体）参加</w:t>
      </w:r>
      <w:r>
        <w:rPr>
          <w:rFonts w:ascii="宋体" w:hAnsi="宋体"/>
          <w:i w:val="0"/>
          <w:iCs/>
          <w:color w:val="auto"/>
          <w:kern w:val="0"/>
          <w:sz w:val="24"/>
          <w:highlight w:val="none"/>
          <w:u w:val="single"/>
        </w:rPr>
        <w:t>（单位名称）</w:t>
      </w:r>
      <w:r>
        <w:rPr>
          <w:rFonts w:ascii="宋体" w:hAnsi="宋体"/>
          <w:iCs/>
          <w:color w:val="auto"/>
          <w:kern w:val="0"/>
          <w:sz w:val="24"/>
          <w:highlight w:val="none"/>
        </w:rPr>
        <w:t>的</w:t>
      </w:r>
      <w:r>
        <w:rPr>
          <w:rFonts w:ascii="宋体" w:hAnsi="宋体"/>
          <w:i w:val="0"/>
          <w:iCs/>
          <w:color w:val="auto"/>
          <w:kern w:val="0"/>
          <w:sz w:val="24"/>
          <w:highlight w:val="none"/>
          <w:u w:val="single"/>
        </w:rPr>
        <w:t>（</w:t>
      </w:r>
      <w:r>
        <w:rPr>
          <w:rFonts w:hint="eastAsia" w:ascii="宋体" w:hAnsi="宋体"/>
          <w:i w:val="0"/>
          <w:iCs/>
          <w:color w:val="auto"/>
          <w:kern w:val="0"/>
          <w:sz w:val="24"/>
          <w:highlight w:val="none"/>
          <w:u w:val="single"/>
        </w:rPr>
        <w:t>项目名称/标的名称</w:t>
      </w:r>
      <w:r>
        <w:rPr>
          <w:rFonts w:ascii="宋体" w:hAnsi="宋体"/>
          <w:i w:val="0"/>
          <w:iCs/>
          <w:color w:val="auto"/>
          <w:kern w:val="0"/>
          <w:sz w:val="24"/>
          <w:highlight w:val="none"/>
          <w:u w:val="single"/>
        </w:rPr>
        <w:t>）</w:t>
      </w:r>
      <w:r>
        <w:rPr>
          <w:rFonts w:ascii="宋体" w:hAnsi="宋体"/>
          <w:iCs/>
          <w:color w:val="auto"/>
          <w:kern w:val="0"/>
          <w:sz w:val="24"/>
          <w:highlight w:val="none"/>
        </w:rPr>
        <w:t>采购活动，工程的施工单位全部为符合政策要求</w:t>
      </w:r>
      <w:r>
        <w:rPr>
          <w:rFonts w:ascii="宋体" w:hAnsi="宋体"/>
          <w:color w:val="auto"/>
          <w:kern w:val="0"/>
          <w:sz w:val="24"/>
          <w:highlight w:val="none"/>
        </w:rPr>
        <w:t>的中小企业（或者：服务全部由符合政策要求的中小企业承接）。相关企业（含联合体中的中小企业、签订分包意向协议的中小企业）的具体情况如下：</w:t>
      </w:r>
    </w:p>
    <w:p w14:paraId="1009D346">
      <w:pPr>
        <w:numPr>
          <w:ilvl w:val="0"/>
          <w:numId w:val="33"/>
        </w:numPr>
        <w:tabs>
          <w:tab w:val="left" w:pos="1276"/>
          <w:tab w:val="left" w:pos="5005"/>
          <w:tab w:val="left" w:pos="7227"/>
        </w:tabs>
        <w:autoSpaceDE w:val="0"/>
        <w:autoSpaceDN w:val="0"/>
        <w:spacing w:line="360" w:lineRule="auto"/>
        <w:ind w:left="284" w:right="236" w:firstLine="576"/>
        <w:jc w:val="left"/>
        <w:rPr>
          <w:rFonts w:ascii="宋体" w:hAnsi="宋体"/>
          <w:iCs/>
          <w:color w:val="auto"/>
          <w:kern w:val="0"/>
          <w:sz w:val="24"/>
          <w:highlight w:val="none"/>
        </w:rPr>
      </w:pPr>
      <w:r>
        <w:rPr>
          <w:rFonts w:ascii="宋体" w:hAnsi="宋体"/>
          <w:i w:val="0"/>
          <w:iCs/>
          <w:color w:val="auto"/>
          <w:kern w:val="0"/>
          <w:sz w:val="24"/>
          <w:highlight w:val="none"/>
          <w:u w:val="single" w:color="000000"/>
        </w:rPr>
        <w:t>（</w:t>
      </w:r>
      <w:r>
        <w:rPr>
          <w:rFonts w:hint="eastAsia" w:ascii="宋体" w:hAnsi="宋体"/>
          <w:i w:val="0"/>
          <w:iCs/>
          <w:color w:val="auto"/>
          <w:kern w:val="0"/>
          <w:sz w:val="24"/>
          <w:highlight w:val="none"/>
          <w:u w:val="single" w:color="000000"/>
          <w:lang w:val="en-US" w:eastAsia="zh-CN"/>
        </w:rPr>
        <w:t>标的</w:t>
      </w:r>
      <w:r>
        <w:rPr>
          <w:rFonts w:ascii="宋体" w:hAnsi="宋体"/>
          <w:i w:val="0"/>
          <w:iCs/>
          <w:color w:val="auto"/>
          <w:kern w:val="0"/>
          <w:sz w:val="24"/>
          <w:highlight w:val="none"/>
          <w:u w:val="single" w:color="000000"/>
        </w:rPr>
        <w:t>名称）</w:t>
      </w:r>
      <w:r>
        <w:rPr>
          <w:rFonts w:ascii="宋体" w:hAnsi="宋体"/>
          <w:iCs/>
          <w:color w:val="auto"/>
          <w:kern w:val="0"/>
          <w:sz w:val="24"/>
          <w:highlight w:val="none"/>
        </w:rPr>
        <w:t>，属于</w:t>
      </w:r>
      <w:r>
        <w:rPr>
          <w:rFonts w:ascii="宋体" w:hAnsi="宋体"/>
          <w:i w:val="0"/>
          <w:iCs/>
          <w:color w:val="auto"/>
          <w:kern w:val="0"/>
          <w:sz w:val="24"/>
          <w:highlight w:val="none"/>
        </w:rPr>
        <w:t>（</w:t>
      </w:r>
      <w:r>
        <w:rPr>
          <w:rFonts w:ascii="宋体" w:hAnsi="宋体"/>
          <w:i w:val="0"/>
          <w:iCs/>
          <w:color w:val="auto"/>
          <w:kern w:val="0"/>
          <w:sz w:val="24"/>
          <w:highlight w:val="none"/>
          <w:u w:val="single" w:color="000000"/>
        </w:rPr>
        <w:t>采购文件中明确的所属行业）</w:t>
      </w:r>
      <w:r>
        <w:rPr>
          <w:rFonts w:ascii="宋体" w:hAnsi="宋体"/>
          <w:iCs/>
          <w:color w:val="auto"/>
          <w:kern w:val="0"/>
          <w:sz w:val="24"/>
          <w:highlight w:val="none"/>
        </w:rPr>
        <w:t>；承建（承接）企业为</w:t>
      </w:r>
      <w:r>
        <w:rPr>
          <w:rFonts w:ascii="宋体" w:hAnsi="宋体"/>
          <w:i w:val="0"/>
          <w:iCs/>
          <w:color w:val="auto"/>
          <w:kern w:val="0"/>
          <w:sz w:val="24"/>
          <w:highlight w:val="none"/>
          <w:u w:val="single"/>
        </w:rPr>
        <w:t>（企业名称）</w:t>
      </w:r>
      <w:r>
        <w:rPr>
          <w:rFonts w:ascii="宋体" w:hAnsi="宋体"/>
          <w:iCs/>
          <w:color w:val="auto"/>
          <w:kern w:val="0"/>
          <w:sz w:val="24"/>
          <w:highlight w:val="none"/>
        </w:rPr>
        <w:t>，从业人员</w:t>
      </w:r>
      <w:r>
        <w:rPr>
          <w:rFonts w:ascii="宋体" w:hAnsi="宋体"/>
          <w:iCs/>
          <w:color w:val="auto"/>
          <w:kern w:val="0"/>
          <w:sz w:val="24"/>
          <w:highlight w:val="none"/>
          <w:u w:val="single"/>
        </w:rPr>
        <w:tab/>
      </w:r>
      <w:r>
        <w:rPr>
          <w:rFonts w:ascii="宋体" w:hAnsi="宋体"/>
          <w:iCs/>
          <w:color w:val="auto"/>
          <w:kern w:val="0"/>
          <w:sz w:val="24"/>
          <w:highlight w:val="none"/>
        </w:rPr>
        <w:t>人，营业收入为</w:t>
      </w:r>
      <w:r>
        <w:rPr>
          <w:rFonts w:ascii="宋体" w:hAnsi="宋体"/>
          <w:iCs/>
          <w:color w:val="auto"/>
          <w:kern w:val="0"/>
          <w:sz w:val="24"/>
          <w:highlight w:val="none"/>
          <w:u w:val="single"/>
        </w:rPr>
        <w:tab/>
      </w:r>
      <w:r>
        <w:rPr>
          <w:rFonts w:ascii="宋体" w:hAnsi="宋体"/>
          <w:iCs/>
          <w:color w:val="auto"/>
          <w:kern w:val="0"/>
          <w:sz w:val="24"/>
          <w:highlight w:val="none"/>
        </w:rPr>
        <w:t>万元，资产总额为</w:t>
      </w:r>
      <w:r>
        <w:rPr>
          <w:rFonts w:ascii="宋体" w:hAnsi="宋体"/>
          <w:iCs/>
          <w:color w:val="auto"/>
          <w:kern w:val="0"/>
          <w:sz w:val="24"/>
          <w:highlight w:val="none"/>
          <w:u w:val="single"/>
        </w:rPr>
        <w:tab/>
      </w:r>
      <w:r>
        <w:rPr>
          <w:rFonts w:ascii="宋体" w:hAnsi="宋体"/>
          <w:iCs/>
          <w:color w:val="auto"/>
          <w:kern w:val="0"/>
          <w:sz w:val="24"/>
          <w:highlight w:val="none"/>
        </w:rPr>
        <w:t>万元</w:t>
      </w:r>
      <w:r>
        <w:rPr>
          <w:color w:val="auto"/>
          <w:highlight w:val="none"/>
        </w:rPr>
        <w:fldChar w:fldCharType="begin"/>
      </w:r>
      <w:r>
        <w:rPr>
          <w:color w:val="auto"/>
          <w:highlight w:val="none"/>
        </w:rPr>
        <w:instrText xml:space="preserve"> HYPERLINK \l "_bookmark1" </w:instrText>
      </w:r>
      <w:r>
        <w:rPr>
          <w:color w:val="auto"/>
          <w:highlight w:val="none"/>
        </w:rPr>
        <w:fldChar w:fldCharType="separate"/>
      </w:r>
      <w:r>
        <w:rPr>
          <w:rFonts w:ascii="宋体" w:hAnsi="宋体"/>
          <w:iCs/>
          <w:color w:val="auto"/>
          <w:kern w:val="0"/>
          <w:position w:val="16"/>
          <w:sz w:val="24"/>
          <w:highlight w:val="none"/>
        </w:rPr>
        <w:t>1</w:t>
      </w:r>
      <w:r>
        <w:rPr>
          <w:rFonts w:ascii="宋体" w:hAnsi="宋体"/>
          <w:iCs/>
          <w:color w:val="auto"/>
          <w:kern w:val="0"/>
          <w:position w:val="16"/>
          <w:sz w:val="24"/>
          <w:highlight w:val="none"/>
        </w:rPr>
        <w:fldChar w:fldCharType="end"/>
      </w:r>
      <w:r>
        <w:rPr>
          <w:rFonts w:ascii="宋体" w:hAnsi="宋体"/>
          <w:iCs/>
          <w:color w:val="auto"/>
          <w:kern w:val="0"/>
          <w:sz w:val="24"/>
          <w:highlight w:val="none"/>
        </w:rPr>
        <w:t>，属于</w:t>
      </w:r>
      <w:r>
        <w:rPr>
          <w:rFonts w:ascii="宋体" w:hAnsi="宋体"/>
          <w:i w:val="0"/>
          <w:iCs/>
          <w:color w:val="auto"/>
          <w:kern w:val="0"/>
          <w:sz w:val="24"/>
          <w:highlight w:val="none"/>
          <w:u w:val="single"/>
        </w:rPr>
        <w:t>（中型企业、小型企业、微型企业）</w:t>
      </w:r>
      <w:r>
        <w:rPr>
          <w:rFonts w:ascii="宋体" w:hAnsi="宋体"/>
          <w:iCs/>
          <w:color w:val="auto"/>
          <w:kern w:val="0"/>
          <w:sz w:val="24"/>
          <w:highlight w:val="none"/>
        </w:rPr>
        <w:t>；</w:t>
      </w:r>
    </w:p>
    <w:p w14:paraId="2191CA86">
      <w:pPr>
        <w:numPr>
          <w:ilvl w:val="0"/>
          <w:numId w:val="33"/>
        </w:numPr>
        <w:tabs>
          <w:tab w:val="left" w:pos="1243"/>
          <w:tab w:val="left" w:pos="1806"/>
          <w:tab w:val="left" w:pos="5005"/>
          <w:tab w:val="left" w:pos="7213"/>
        </w:tabs>
        <w:autoSpaceDE w:val="0"/>
        <w:autoSpaceDN w:val="0"/>
        <w:spacing w:line="360" w:lineRule="auto"/>
        <w:ind w:left="205" w:right="258" w:firstLine="655"/>
        <w:jc w:val="left"/>
        <w:rPr>
          <w:rFonts w:ascii="宋体" w:hAnsi="宋体"/>
          <w:iCs/>
          <w:color w:val="auto"/>
          <w:kern w:val="0"/>
          <w:sz w:val="24"/>
          <w:highlight w:val="none"/>
        </w:rPr>
      </w:pPr>
      <w:r>
        <w:rPr>
          <w:rFonts w:ascii="宋体" w:hAnsi="宋体"/>
          <w:i w:val="0"/>
          <w:iCs/>
          <w:color w:val="auto"/>
          <w:kern w:val="0"/>
          <w:sz w:val="24"/>
          <w:highlight w:val="none"/>
          <w:u w:val="single" w:color="000000"/>
        </w:rPr>
        <w:t>（</w:t>
      </w:r>
      <w:r>
        <w:rPr>
          <w:rFonts w:hint="eastAsia" w:ascii="宋体" w:hAnsi="宋体"/>
          <w:i w:val="0"/>
          <w:iCs/>
          <w:color w:val="auto"/>
          <w:kern w:val="0"/>
          <w:sz w:val="24"/>
          <w:highlight w:val="none"/>
          <w:u w:val="single" w:color="000000"/>
          <w:lang w:val="en-US" w:eastAsia="zh-CN"/>
        </w:rPr>
        <w:t>标的</w:t>
      </w:r>
      <w:r>
        <w:rPr>
          <w:rFonts w:ascii="宋体" w:hAnsi="宋体"/>
          <w:i w:val="0"/>
          <w:iCs/>
          <w:color w:val="auto"/>
          <w:kern w:val="0"/>
          <w:sz w:val="24"/>
          <w:highlight w:val="none"/>
          <w:u w:val="single" w:color="000000"/>
        </w:rPr>
        <w:t>名称）</w:t>
      </w:r>
      <w:r>
        <w:rPr>
          <w:rFonts w:ascii="宋体" w:hAnsi="宋体"/>
          <w:iCs/>
          <w:color w:val="auto"/>
          <w:kern w:val="0"/>
          <w:sz w:val="24"/>
          <w:highlight w:val="none"/>
        </w:rPr>
        <w:t>，属于</w:t>
      </w:r>
      <w:r>
        <w:rPr>
          <w:rFonts w:ascii="宋体" w:hAnsi="宋体"/>
          <w:i w:val="0"/>
          <w:iCs/>
          <w:color w:val="auto"/>
          <w:kern w:val="0"/>
          <w:sz w:val="24"/>
          <w:highlight w:val="none"/>
        </w:rPr>
        <w:t>（</w:t>
      </w:r>
      <w:r>
        <w:rPr>
          <w:rFonts w:ascii="宋体" w:hAnsi="宋体"/>
          <w:i w:val="0"/>
          <w:iCs/>
          <w:color w:val="auto"/>
          <w:kern w:val="0"/>
          <w:sz w:val="24"/>
          <w:highlight w:val="none"/>
          <w:u w:val="single" w:color="000000"/>
        </w:rPr>
        <w:t>采购文件中明确的所属行业）</w:t>
      </w:r>
      <w:r>
        <w:rPr>
          <w:rFonts w:ascii="宋体" w:hAnsi="宋体"/>
          <w:iCs/>
          <w:color w:val="auto"/>
          <w:kern w:val="0"/>
          <w:sz w:val="24"/>
          <w:highlight w:val="none"/>
        </w:rPr>
        <w:t>；承建（承接）企业为</w:t>
      </w:r>
      <w:r>
        <w:rPr>
          <w:rFonts w:ascii="宋体" w:hAnsi="宋体"/>
          <w:i w:val="0"/>
          <w:iCs/>
          <w:color w:val="auto"/>
          <w:kern w:val="0"/>
          <w:sz w:val="24"/>
          <w:highlight w:val="none"/>
          <w:u w:val="single" w:color="000000"/>
        </w:rPr>
        <w:t>（企业名称）</w:t>
      </w:r>
      <w:r>
        <w:rPr>
          <w:rFonts w:ascii="宋体" w:hAnsi="宋体"/>
          <w:iCs/>
          <w:color w:val="auto"/>
          <w:kern w:val="0"/>
          <w:sz w:val="24"/>
          <w:highlight w:val="none"/>
        </w:rPr>
        <w:t>，从业人员</w:t>
      </w:r>
      <w:r>
        <w:rPr>
          <w:rFonts w:ascii="宋体" w:hAnsi="宋体"/>
          <w:iCs/>
          <w:color w:val="auto"/>
          <w:kern w:val="0"/>
          <w:sz w:val="24"/>
          <w:highlight w:val="none"/>
          <w:u w:val="single" w:color="000000"/>
        </w:rPr>
        <w:tab/>
      </w:r>
      <w:r>
        <w:rPr>
          <w:rFonts w:ascii="宋体" w:hAnsi="宋体"/>
          <w:iCs/>
          <w:color w:val="auto"/>
          <w:kern w:val="0"/>
          <w:sz w:val="24"/>
          <w:highlight w:val="none"/>
        </w:rPr>
        <w:t>人，营业收入为</w:t>
      </w:r>
      <w:r>
        <w:rPr>
          <w:rFonts w:ascii="宋体" w:hAnsi="宋体"/>
          <w:iCs/>
          <w:color w:val="auto"/>
          <w:kern w:val="0"/>
          <w:sz w:val="24"/>
          <w:highlight w:val="none"/>
          <w:u w:val="single" w:color="000000"/>
        </w:rPr>
        <w:tab/>
      </w:r>
      <w:r>
        <w:rPr>
          <w:rFonts w:ascii="宋体" w:hAnsi="宋体"/>
          <w:iCs/>
          <w:color w:val="auto"/>
          <w:kern w:val="0"/>
          <w:sz w:val="24"/>
          <w:highlight w:val="none"/>
        </w:rPr>
        <w:t>万元，资产总额为</w:t>
      </w:r>
      <w:r>
        <w:rPr>
          <w:rFonts w:ascii="宋体" w:hAnsi="宋体"/>
          <w:iCs/>
          <w:color w:val="auto"/>
          <w:kern w:val="0"/>
          <w:sz w:val="24"/>
          <w:highlight w:val="none"/>
          <w:u w:val="single" w:color="000000"/>
        </w:rPr>
        <w:tab/>
      </w:r>
      <w:r>
        <w:rPr>
          <w:rFonts w:ascii="宋体" w:hAnsi="宋体"/>
          <w:iCs/>
          <w:color w:val="auto"/>
          <w:kern w:val="0"/>
          <w:sz w:val="24"/>
          <w:highlight w:val="none"/>
        </w:rPr>
        <w:t>万元，属于</w:t>
      </w:r>
      <w:r>
        <w:rPr>
          <w:rFonts w:ascii="宋体" w:hAnsi="宋体"/>
          <w:i w:val="0"/>
          <w:iCs/>
          <w:color w:val="auto"/>
          <w:kern w:val="0"/>
          <w:sz w:val="24"/>
          <w:highlight w:val="none"/>
          <w:u w:val="single" w:color="000000"/>
        </w:rPr>
        <w:t>（中型企业、小型企业、微型企业）</w:t>
      </w:r>
      <w:r>
        <w:rPr>
          <w:rFonts w:ascii="宋体" w:hAnsi="宋体"/>
          <w:iCs/>
          <w:color w:val="auto"/>
          <w:kern w:val="0"/>
          <w:sz w:val="24"/>
          <w:highlight w:val="none"/>
        </w:rPr>
        <w:t>；</w:t>
      </w:r>
    </w:p>
    <w:p w14:paraId="29DE1CAE">
      <w:pPr>
        <w:autoSpaceDE w:val="0"/>
        <w:autoSpaceDN w:val="0"/>
        <w:spacing w:line="360" w:lineRule="auto"/>
        <w:ind w:left="860"/>
        <w:jc w:val="left"/>
        <w:rPr>
          <w:rFonts w:ascii="宋体" w:hAnsi="宋体"/>
          <w:color w:val="auto"/>
          <w:kern w:val="0"/>
          <w:sz w:val="24"/>
          <w:highlight w:val="none"/>
        </w:rPr>
      </w:pPr>
      <w:r>
        <w:rPr>
          <w:rFonts w:ascii="宋体" w:hAnsi="宋体"/>
          <w:color w:val="auto"/>
          <w:kern w:val="0"/>
          <w:sz w:val="24"/>
          <w:highlight w:val="none"/>
        </w:rPr>
        <w:t>……</w:t>
      </w:r>
    </w:p>
    <w:p w14:paraId="04283F39">
      <w:pPr>
        <w:autoSpaceDE w:val="0"/>
        <w:autoSpaceDN w:val="0"/>
        <w:spacing w:line="360" w:lineRule="auto"/>
        <w:ind w:left="220" w:right="417" w:firstLine="645"/>
        <w:rPr>
          <w:rFonts w:ascii="宋体" w:hAnsi="宋体"/>
          <w:color w:val="auto"/>
          <w:kern w:val="0"/>
          <w:sz w:val="24"/>
          <w:highlight w:val="none"/>
        </w:rPr>
      </w:pPr>
      <w:r>
        <w:rPr>
          <w:rFonts w:ascii="宋体" w:hAnsi="宋体"/>
          <w:color w:val="auto"/>
          <w:kern w:val="0"/>
          <w:sz w:val="24"/>
          <w:highlight w:val="none"/>
        </w:rPr>
        <w:t>以上企业，不属于大企业的分支机构，不存在控股股东为大企业的情形，也不存在与大企业的负责人为同一人的情形。</w:t>
      </w:r>
    </w:p>
    <w:p w14:paraId="11FEC074">
      <w:pPr>
        <w:spacing w:line="360" w:lineRule="auto"/>
        <w:ind w:firstLine="504"/>
        <w:rPr>
          <w:rFonts w:ascii="宋体" w:hAnsi="宋体"/>
          <w:color w:val="auto"/>
          <w:spacing w:val="6"/>
          <w:sz w:val="24"/>
          <w:highlight w:val="none"/>
        </w:rPr>
      </w:pPr>
      <w:r>
        <w:rPr>
          <w:rFonts w:ascii="宋体" w:hAnsi="宋体"/>
          <w:color w:val="auto"/>
          <w:kern w:val="0"/>
          <w:sz w:val="24"/>
          <w:highlight w:val="none"/>
        </w:rPr>
        <w:t>本企业对上述声明内容的真实性负责。如有虚假，将依法承担相应责任。</w:t>
      </w:r>
    </w:p>
    <w:p w14:paraId="748CB5F5">
      <w:pPr>
        <w:spacing w:line="360" w:lineRule="auto"/>
        <w:ind w:firstLine="504"/>
        <w:rPr>
          <w:rFonts w:ascii="宋体" w:hAnsi="宋体"/>
          <w:color w:val="auto"/>
          <w:spacing w:val="6"/>
          <w:sz w:val="24"/>
          <w:highlight w:val="none"/>
        </w:rPr>
      </w:pPr>
    </w:p>
    <w:p w14:paraId="3D556CF4">
      <w:pPr>
        <w:spacing w:line="360" w:lineRule="auto"/>
        <w:ind w:right="360" w:firstLine="480"/>
        <w:jc w:val="right"/>
        <w:rPr>
          <w:rFonts w:ascii="宋体" w:hAnsi="宋体"/>
          <w:color w:val="auto"/>
          <w:sz w:val="24"/>
          <w:highlight w:val="none"/>
        </w:rPr>
      </w:pPr>
    </w:p>
    <w:p w14:paraId="23E5E583">
      <w:pPr>
        <w:spacing w:line="360" w:lineRule="auto"/>
        <w:ind w:right="360" w:firstLine="480"/>
        <w:jc w:val="right"/>
        <w:rPr>
          <w:rFonts w:ascii="宋体" w:hAnsi="宋体"/>
          <w:color w:val="auto"/>
          <w:sz w:val="24"/>
          <w:highlight w:val="none"/>
        </w:rPr>
      </w:pPr>
      <w:r>
        <w:rPr>
          <w:rFonts w:ascii="宋体" w:hAnsi="宋体"/>
          <w:color w:val="auto"/>
          <w:sz w:val="24"/>
          <w:highlight w:val="none"/>
        </w:rPr>
        <w:t>企业名称（盖章）：________</w:t>
      </w:r>
    </w:p>
    <w:p w14:paraId="76B44275">
      <w:pPr>
        <w:spacing w:line="360" w:lineRule="auto"/>
        <w:ind w:right="360" w:firstLine="480"/>
        <w:jc w:val="right"/>
        <w:rPr>
          <w:rFonts w:ascii="宋体" w:hAnsi="宋体"/>
          <w:color w:val="auto"/>
          <w:sz w:val="24"/>
          <w:highlight w:val="none"/>
        </w:rPr>
      </w:pPr>
      <w:r>
        <w:rPr>
          <w:rFonts w:ascii="宋体" w:hAnsi="宋体"/>
          <w:color w:val="auto"/>
          <w:sz w:val="24"/>
          <w:highlight w:val="none"/>
        </w:rPr>
        <w:t>日 期：________</w:t>
      </w:r>
    </w:p>
    <w:p w14:paraId="21218CBE">
      <w:pPr>
        <w:spacing w:line="360" w:lineRule="auto"/>
        <w:ind w:right="360" w:firstLine="480"/>
        <w:jc w:val="right"/>
        <w:rPr>
          <w:rFonts w:ascii="宋体" w:hAnsi="宋体"/>
          <w:color w:val="auto"/>
          <w:sz w:val="24"/>
          <w:highlight w:val="none"/>
        </w:rPr>
      </w:pPr>
    </w:p>
    <w:p w14:paraId="71AC58F7">
      <w:pPr>
        <w:adjustRightInd w:val="0"/>
        <w:snapToGrid w:val="0"/>
        <w:jc w:val="left"/>
        <w:rPr>
          <w:rFonts w:ascii="宋体" w:hAnsi="宋体"/>
          <w:color w:val="auto"/>
          <w:sz w:val="24"/>
          <w:highlight w:val="none"/>
        </w:rPr>
      </w:pPr>
    </w:p>
    <w:tbl>
      <w:tblPr>
        <w:tblStyle w:val="4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5A7946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178F8A01">
            <w:pPr>
              <w:adjustRightInd w:val="0"/>
              <w:snapToGrid w:val="0"/>
              <w:jc w:val="left"/>
              <w:rPr>
                <w:rFonts w:ascii="宋体" w:hAnsi="宋体"/>
                <w:color w:val="auto"/>
                <w:sz w:val="24"/>
                <w:highlight w:val="none"/>
              </w:rPr>
            </w:pPr>
            <w:r>
              <w:rPr>
                <w:rFonts w:ascii="宋体" w:hAnsi="宋体"/>
                <w:color w:val="auto"/>
                <w:sz w:val="24"/>
                <w:highlight w:val="none"/>
                <w:vertAlign w:val="superscript"/>
              </w:rPr>
              <w:t>1</w:t>
            </w:r>
            <w:r>
              <w:rPr>
                <w:rFonts w:ascii="宋体" w:hAnsi="宋体"/>
                <w:color w:val="auto"/>
                <w:sz w:val="24"/>
                <w:highlight w:val="none"/>
              </w:rPr>
              <w:t>从业人员、营业收入、资产总额填报上一年度数据，无上一年度数据的新成立企业可不填报。</w:t>
            </w:r>
          </w:p>
        </w:tc>
      </w:tr>
    </w:tbl>
    <w:p w14:paraId="64A04868">
      <w:pPr>
        <w:adjustRightInd w:val="0"/>
        <w:snapToGrid w:val="0"/>
        <w:jc w:val="left"/>
        <w:rPr>
          <w:rFonts w:ascii="宋体" w:hAnsi="宋体"/>
          <w:color w:val="auto"/>
          <w:sz w:val="24"/>
          <w:highlight w:val="none"/>
          <w:vertAlign w:val="superscript"/>
        </w:rPr>
      </w:pPr>
    </w:p>
    <w:p w14:paraId="344AE3F7">
      <w:pPr>
        <w:spacing w:line="360" w:lineRule="auto"/>
        <w:ind w:right="360" w:firstLine="480"/>
        <w:jc w:val="right"/>
        <w:rPr>
          <w:rFonts w:ascii="宋体" w:hAnsi="宋体"/>
          <w:color w:val="auto"/>
          <w:sz w:val="24"/>
          <w:highlight w:val="none"/>
        </w:rPr>
      </w:pPr>
    </w:p>
    <w:p w14:paraId="12E8CE47">
      <w:pPr>
        <w:spacing w:line="360" w:lineRule="auto"/>
        <w:ind w:right="360" w:firstLine="480"/>
        <w:jc w:val="right"/>
        <w:rPr>
          <w:rFonts w:ascii="宋体" w:hAnsi="宋体"/>
          <w:color w:val="auto"/>
          <w:sz w:val="24"/>
          <w:highlight w:val="none"/>
        </w:rPr>
      </w:pPr>
    </w:p>
    <w:p w14:paraId="37BE04BF">
      <w:pPr>
        <w:spacing w:line="360" w:lineRule="auto"/>
        <w:outlineLvl w:val="9"/>
        <w:rPr>
          <w:rFonts w:ascii="宋体" w:hAnsi="宋体"/>
          <w:color w:val="auto"/>
          <w:sz w:val="24"/>
          <w:highlight w:val="none"/>
        </w:rPr>
      </w:pPr>
      <w:r>
        <w:rPr>
          <w:rFonts w:ascii="宋体" w:hAnsi="宋体"/>
          <w:color w:val="auto"/>
          <w:sz w:val="24"/>
          <w:highlight w:val="none"/>
        </w:rPr>
        <w:br w:type="page"/>
      </w:r>
    </w:p>
    <w:p w14:paraId="241A8584">
      <w:pPr>
        <w:spacing w:before="240" w:beforeLines="100" w:after="240" w:afterLines="100" w:line="360" w:lineRule="auto"/>
        <w:jc w:val="center"/>
        <w:rPr>
          <w:rFonts w:ascii="宋体" w:hAnsi="宋体"/>
          <w:color w:val="auto"/>
          <w:sz w:val="24"/>
          <w:highlight w:val="none"/>
        </w:rPr>
      </w:pPr>
      <w:r>
        <w:rPr>
          <w:rFonts w:ascii="宋体" w:hAnsi="宋体"/>
          <w:b/>
          <w:bCs/>
          <w:color w:val="auto"/>
          <w:sz w:val="24"/>
          <w:highlight w:val="none"/>
        </w:rPr>
        <w:t>残疾人福利性单位声明函格式</w:t>
      </w:r>
      <w:r>
        <w:rPr>
          <w:rFonts w:ascii="宋体" w:hAnsi="宋体"/>
          <w:color w:val="auto"/>
          <w:sz w:val="24"/>
          <w:highlight w:val="none"/>
        </w:rPr>
        <w:t xml:space="preserve"> </w:t>
      </w:r>
    </w:p>
    <w:p w14:paraId="10BB1949">
      <w:pPr>
        <w:spacing w:line="588" w:lineRule="exact"/>
        <w:ind w:firstLine="504"/>
        <w:rPr>
          <w:rFonts w:ascii="宋体" w:hAnsi="宋体"/>
          <w:color w:val="auto"/>
          <w:spacing w:val="6"/>
          <w:sz w:val="24"/>
          <w:highlight w:val="none"/>
        </w:rPr>
      </w:pPr>
      <w:r>
        <w:rPr>
          <w:rFonts w:ascii="宋体" w:hAnsi="宋体"/>
          <w:color w:val="auto"/>
          <w:spacing w:val="6"/>
          <w:sz w:val="24"/>
          <w:highlight w:val="none"/>
        </w:rPr>
        <w:t>本单位郑重声明，根据《财政部 民政部 中国残疾人联合会关于促进残疾人就业政府采购政策的通知》（财库</w:t>
      </w:r>
      <w:r>
        <w:rPr>
          <w:rFonts w:ascii="宋体" w:hAnsi="宋体"/>
          <w:color w:val="auto"/>
          <w:sz w:val="24"/>
          <w:highlight w:val="none"/>
        </w:rPr>
        <w:t>〔2017〕141</w:t>
      </w:r>
      <w:r>
        <w:rPr>
          <w:rFonts w:ascii="宋体" w:hAnsi="宋体"/>
          <w:color w:val="auto"/>
          <w:spacing w:val="6"/>
          <w:sz w:val="24"/>
          <w:highlight w:val="none"/>
        </w:rPr>
        <w:t>号）的规定，本单位</w:t>
      </w:r>
      <w:r>
        <w:rPr>
          <w:rFonts w:ascii="宋体" w:hAnsi="宋体"/>
          <w:b/>
          <w:color w:val="auto"/>
          <w:sz w:val="24"/>
          <w:highlight w:val="none"/>
        </w:rPr>
        <w:t>（请进行勾选）</w:t>
      </w:r>
      <w:r>
        <w:rPr>
          <w:rFonts w:ascii="宋体" w:hAnsi="宋体"/>
          <w:color w:val="auto"/>
          <w:spacing w:val="6"/>
          <w:sz w:val="24"/>
          <w:highlight w:val="none"/>
        </w:rPr>
        <w:t>：</w:t>
      </w:r>
    </w:p>
    <w:p w14:paraId="18664D98">
      <w:pPr>
        <w:spacing w:line="588" w:lineRule="exact"/>
        <w:ind w:firstLine="482"/>
        <w:rPr>
          <w:rFonts w:ascii="宋体" w:hAnsi="宋体"/>
          <w:b/>
          <w:color w:val="auto"/>
          <w:spacing w:val="6"/>
          <w:sz w:val="24"/>
          <w:highlight w:val="none"/>
        </w:rPr>
      </w:pPr>
      <w:r>
        <w:rPr>
          <w:rFonts w:ascii="宋体" w:hAnsi="宋体"/>
          <w:b/>
          <w:color w:val="auto"/>
          <w:sz w:val="24"/>
          <w:highlight w:val="none"/>
        </w:rPr>
        <w:t>□</w:t>
      </w:r>
      <w:r>
        <w:rPr>
          <w:rFonts w:ascii="宋体" w:hAnsi="宋体"/>
          <w:b/>
          <w:color w:val="auto"/>
          <w:spacing w:val="6"/>
          <w:sz w:val="24"/>
          <w:highlight w:val="none"/>
        </w:rPr>
        <w:t>不属于符合条件的残疾人福利性单位。</w:t>
      </w:r>
    </w:p>
    <w:p w14:paraId="19922311">
      <w:pPr>
        <w:spacing w:line="588" w:lineRule="exact"/>
        <w:ind w:firstLine="482"/>
        <w:rPr>
          <w:rFonts w:ascii="宋体" w:hAnsi="宋体"/>
          <w:color w:val="auto"/>
          <w:spacing w:val="6"/>
          <w:sz w:val="24"/>
          <w:highlight w:val="none"/>
        </w:rPr>
      </w:pPr>
      <w:r>
        <w:rPr>
          <w:rFonts w:ascii="宋体" w:hAnsi="宋体"/>
          <w:b/>
          <w:color w:val="auto"/>
          <w:sz w:val="24"/>
          <w:highlight w:val="none"/>
        </w:rPr>
        <w:t>□</w:t>
      </w:r>
      <w:r>
        <w:rPr>
          <w:rFonts w:ascii="宋体" w:hAnsi="宋体"/>
          <w:b/>
          <w:color w:val="auto"/>
          <w:spacing w:val="6"/>
          <w:sz w:val="24"/>
          <w:highlight w:val="none"/>
        </w:rPr>
        <w:t>属于符合条件的残疾人福利性单位，</w:t>
      </w:r>
      <w:r>
        <w:rPr>
          <w:rFonts w:ascii="宋体" w:hAnsi="宋体"/>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6059CC47">
      <w:pPr>
        <w:spacing w:line="588" w:lineRule="exact"/>
        <w:ind w:firstLine="506" w:firstLineChars="200"/>
        <w:rPr>
          <w:rFonts w:ascii="宋体" w:hAnsi="宋体"/>
          <w:color w:val="auto"/>
          <w:spacing w:val="6"/>
          <w:sz w:val="24"/>
          <w:highlight w:val="none"/>
        </w:rPr>
      </w:pPr>
      <w:r>
        <w:rPr>
          <w:rFonts w:ascii="宋体" w:hAnsi="宋体"/>
          <w:b/>
          <w:color w:val="auto"/>
          <w:spacing w:val="6"/>
          <w:sz w:val="24"/>
          <w:highlight w:val="none"/>
        </w:rPr>
        <w:t>本单位对上述声明的真实性负责。如有虚假，将依法承担相应责任。</w:t>
      </w:r>
    </w:p>
    <w:p w14:paraId="49796B23">
      <w:pPr>
        <w:spacing w:line="588" w:lineRule="exact"/>
        <w:ind w:firstLine="504" w:firstLineChars="200"/>
        <w:rPr>
          <w:rFonts w:ascii="宋体" w:hAnsi="宋体"/>
          <w:color w:val="auto"/>
          <w:spacing w:val="6"/>
          <w:sz w:val="24"/>
          <w:highlight w:val="none"/>
        </w:rPr>
      </w:pPr>
    </w:p>
    <w:p w14:paraId="3FAC7D9C">
      <w:pPr>
        <w:spacing w:line="588" w:lineRule="exact"/>
        <w:ind w:firstLine="504" w:firstLineChars="200"/>
        <w:rPr>
          <w:rFonts w:ascii="宋体" w:hAnsi="宋体"/>
          <w:color w:val="auto"/>
          <w:spacing w:val="6"/>
          <w:sz w:val="24"/>
          <w:highlight w:val="none"/>
        </w:rPr>
      </w:pPr>
    </w:p>
    <w:p w14:paraId="5D598E0D">
      <w:pPr>
        <w:tabs>
          <w:tab w:val="left" w:pos="4860"/>
        </w:tabs>
        <w:spacing w:line="588" w:lineRule="exact"/>
        <w:ind w:right="1560" w:firstLine="504" w:firstLineChars="200"/>
        <w:jc w:val="center"/>
        <w:rPr>
          <w:rFonts w:ascii="宋体" w:hAnsi="宋体"/>
          <w:color w:val="auto"/>
          <w:spacing w:val="6"/>
          <w:sz w:val="24"/>
          <w:highlight w:val="none"/>
        </w:rPr>
      </w:pPr>
      <w:r>
        <w:rPr>
          <w:rFonts w:ascii="宋体" w:hAnsi="宋体"/>
          <w:color w:val="auto"/>
          <w:spacing w:val="6"/>
          <w:sz w:val="24"/>
          <w:highlight w:val="none"/>
        </w:rPr>
        <w:t xml:space="preserve">               单位名称（盖章）：</w:t>
      </w:r>
    </w:p>
    <w:p w14:paraId="773E3BE2">
      <w:pPr>
        <w:tabs>
          <w:tab w:val="left" w:pos="4860"/>
        </w:tabs>
        <w:spacing w:line="588" w:lineRule="exact"/>
        <w:ind w:right="1560" w:firstLine="504" w:firstLineChars="200"/>
        <w:jc w:val="center"/>
        <w:rPr>
          <w:rFonts w:ascii="宋体" w:hAnsi="宋体"/>
          <w:color w:val="auto"/>
          <w:spacing w:val="6"/>
          <w:sz w:val="24"/>
          <w:highlight w:val="none"/>
        </w:rPr>
      </w:pPr>
      <w:r>
        <w:rPr>
          <w:rFonts w:ascii="宋体" w:hAnsi="宋体"/>
          <w:color w:val="auto"/>
          <w:spacing w:val="6"/>
          <w:sz w:val="24"/>
          <w:highlight w:val="none"/>
        </w:rPr>
        <w:t xml:space="preserve">       日  期：</w:t>
      </w:r>
    </w:p>
    <w:p w14:paraId="6C566524">
      <w:pPr>
        <w:spacing w:line="360" w:lineRule="auto"/>
        <w:outlineLvl w:val="2"/>
        <w:rPr>
          <w:rFonts w:ascii="宋体" w:hAnsi="宋体"/>
          <w:color w:val="auto"/>
          <w:sz w:val="24"/>
          <w:highlight w:val="none"/>
        </w:rPr>
      </w:pPr>
      <w:r>
        <w:rPr>
          <w:rFonts w:ascii="宋体" w:hAnsi="宋体"/>
          <w:color w:val="auto"/>
          <w:sz w:val="24"/>
          <w:highlight w:val="none"/>
        </w:rPr>
        <w:br w:type="page"/>
      </w:r>
      <w:r>
        <w:rPr>
          <w:rFonts w:ascii="宋体" w:hAnsi="宋体"/>
          <w:color w:val="auto"/>
          <w:sz w:val="24"/>
          <w:highlight w:val="none"/>
        </w:rPr>
        <w:t>8  拟分包情况说明（类型二）（实质性格式）</w:t>
      </w:r>
      <w:r>
        <w:rPr>
          <w:rFonts w:hint="eastAsia" w:ascii="宋体" w:hAnsi="宋体"/>
          <w:color w:val="auto"/>
          <w:sz w:val="24"/>
          <w:highlight w:val="none"/>
        </w:rPr>
        <w:t>（本项目不适用）</w:t>
      </w:r>
    </w:p>
    <w:p w14:paraId="78A49BE9">
      <w:pPr>
        <w:autoSpaceDE w:val="0"/>
        <w:autoSpaceDN w:val="0"/>
        <w:adjustRightInd w:val="0"/>
        <w:jc w:val="center"/>
        <w:rPr>
          <w:rFonts w:ascii="宋体" w:hAnsi="宋体"/>
          <w:color w:val="auto"/>
          <w:sz w:val="24"/>
          <w:highlight w:val="none"/>
        </w:rPr>
      </w:pPr>
    </w:p>
    <w:p w14:paraId="03A83729">
      <w:pPr>
        <w:autoSpaceDE w:val="0"/>
        <w:autoSpaceDN w:val="0"/>
        <w:adjustRightInd w:val="0"/>
        <w:spacing w:line="360" w:lineRule="auto"/>
        <w:jc w:val="center"/>
        <w:rPr>
          <w:rFonts w:ascii="宋体" w:hAnsi="宋体"/>
          <w:b/>
          <w:color w:val="auto"/>
          <w:sz w:val="24"/>
          <w:highlight w:val="none"/>
        </w:rPr>
      </w:pPr>
      <w:r>
        <w:rPr>
          <w:rFonts w:hint="eastAsia" w:ascii="宋体" w:hAnsi="宋体"/>
          <w:b/>
          <w:color w:val="auto"/>
          <w:sz w:val="24"/>
          <w:highlight w:val="none"/>
        </w:rPr>
        <w:t>拟分包情况说明</w:t>
      </w:r>
    </w:p>
    <w:p w14:paraId="374D4C09">
      <w:pPr>
        <w:tabs>
          <w:tab w:val="left" w:pos="5580"/>
        </w:tabs>
        <w:spacing w:line="360" w:lineRule="auto"/>
        <w:rPr>
          <w:rFonts w:ascii="宋体" w:hAnsi="宋体"/>
          <w:color w:val="auto"/>
          <w:sz w:val="24"/>
          <w:highlight w:val="none"/>
        </w:rPr>
      </w:pPr>
      <w:r>
        <w:rPr>
          <w:rFonts w:ascii="宋体" w:hAnsi="宋体"/>
          <w:color w:val="auto"/>
          <w:sz w:val="24"/>
          <w:highlight w:val="none"/>
        </w:rPr>
        <w:t>致：</w:t>
      </w:r>
      <w:r>
        <w:rPr>
          <w:rFonts w:ascii="宋体" w:hAnsi="宋体"/>
          <w:color w:val="auto"/>
          <w:sz w:val="24"/>
          <w:highlight w:val="none"/>
          <w:u w:val="single"/>
        </w:rPr>
        <w:t>（采购人或采购代理机构）</w:t>
      </w:r>
    </w:p>
    <w:p w14:paraId="6A3BC7A6">
      <w:pPr>
        <w:adjustRightInd w:val="0"/>
        <w:snapToGrid w:val="0"/>
        <w:spacing w:line="360" w:lineRule="auto"/>
        <w:ind w:firstLine="480" w:firstLineChars="200"/>
        <w:jc w:val="left"/>
        <w:rPr>
          <w:rFonts w:ascii="宋体" w:hAnsi="宋体"/>
          <w:color w:val="auto"/>
          <w:sz w:val="24"/>
          <w:highlight w:val="none"/>
        </w:rPr>
      </w:pPr>
      <w:r>
        <w:rPr>
          <w:rFonts w:ascii="宋体" w:hAnsi="宋体"/>
          <w:color w:val="auto"/>
          <w:sz w:val="24"/>
          <w:highlight w:val="none"/>
        </w:rPr>
        <w:t>我单位参加贵单位组织采购的项目编号为_______的_________项目（填写采购</w:t>
      </w:r>
      <w:r>
        <w:rPr>
          <w:rFonts w:hint="eastAsia" w:ascii="宋体" w:hAnsi="宋体"/>
          <w:color w:val="auto"/>
          <w:sz w:val="24"/>
          <w:highlight w:val="none"/>
        </w:rPr>
        <w:t>项目名称/标的名称</w:t>
      </w:r>
      <w:r>
        <w:rPr>
          <w:rFonts w:ascii="宋体" w:hAnsi="宋体"/>
          <w:color w:val="auto"/>
          <w:sz w:val="24"/>
          <w:highlight w:val="none"/>
        </w:rPr>
        <w:t>）中___包（填写包号）的投标。拟签订分包合同的单位情况如下表所示，我单位承诺一旦在该项目中获得采购合同将按下表所列情况进行分包，同时承诺分包承担主体不再次分包。</w:t>
      </w:r>
    </w:p>
    <w:tbl>
      <w:tblPr>
        <w:tblStyle w:val="25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3C79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767592E1">
            <w:pPr>
              <w:pStyle w:val="251"/>
              <w:jc w:val="center"/>
              <w:rPr>
                <w:color w:val="auto"/>
                <w:sz w:val="24"/>
                <w:szCs w:val="24"/>
                <w:highlight w:val="none"/>
              </w:rPr>
            </w:pPr>
            <w:r>
              <w:rPr>
                <w:color w:val="auto"/>
                <w:sz w:val="24"/>
                <w:szCs w:val="24"/>
                <w:highlight w:val="none"/>
              </w:rPr>
              <w:t>序号</w:t>
            </w:r>
          </w:p>
        </w:tc>
        <w:tc>
          <w:tcPr>
            <w:tcW w:w="1287" w:type="dxa"/>
            <w:vAlign w:val="center"/>
          </w:tcPr>
          <w:p w14:paraId="674258F2">
            <w:pPr>
              <w:pStyle w:val="251"/>
              <w:jc w:val="center"/>
              <w:rPr>
                <w:color w:val="auto"/>
                <w:sz w:val="24"/>
                <w:szCs w:val="24"/>
                <w:highlight w:val="none"/>
              </w:rPr>
            </w:pPr>
            <w:r>
              <w:rPr>
                <w:color w:val="auto"/>
                <w:sz w:val="24"/>
                <w:szCs w:val="24"/>
                <w:highlight w:val="none"/>
              </w:rPr>
              <w:t>分包承担</w:t>
            </w:r>
          </w:p>
          <w:p w14:paraId="7C347D67">
            <w:pPr>
              <w:pStyle w:val="251"/>
              <w:jc w:val="center"/>
              <w:rPr>
                <w:color w:val="auto"/>
                <w:sz w:val="24"/>
                <w:szCs w:val="24"/>
                <w:highlight w:val="none"/>
              </w:rPr>
            </w:pPr>
            <w:r>
              <w:rPr>
                <w:color w:val="auto"/>
                <w:sz w:val="24"/>
                <w:szCs w:val="24"/>
                <w:highlight w:val="none"/>
              </w:rPr>
              <w:t>主体名称</w:t>
            </w:r>
          </w:p>
        </w:tc>
        <w:tc>
          <w:tcPr>
            <w:tcW w:w="1513" w:type="dxa"/>
            <w:vAlign w:val="center"/>
          </w:tcPr>
          <w:p w14:paraId="706CA26A">
            <w:pPr>
              <w:pStyle w:val="251"/>
              <w:jc w:val="center"/>
              <w:rPr>
                <w:color w:val="auto"/>
                <w:sz w:val="24"/>
                <w:szCs w:val="24"/>
                <w:highlight w:val="none"/>
                <w:lang w:eastAsia="zh-CN"/>
              </w:rPr>
            </w:pPr>
            <w:r>
              <w:rPr>
                <w:color w:val="auto"/>
                <w:sz w:val="24"/>
                <w:szCs w:val="24"/>
                <w:highlight w:val="none"/>
                <w:lang w:eastAsia="zh-CN"/>
              </w:rPr>
              <w:t>分包承担</w:t>
            </w:r>
          </w:p>
          <w:p w14:paraId="49E1A246">
            <w:pPr>
              <w:pStyle w:val="251"/>
              <w:jc w:val="center"/>
              <w:rPr>
                <w:color w:val="auto"/>
                <w:sz w:val="24"/>
                <w:szCs w:val="24"/>
                <w:highlight w:val="none"/>
                <w:lang w:eastAsia="zh-CN"/>
              </w:rPr>
            </w:pPr>
            <w:r>
              <w:rPr>
                <w:color w:val="auto"/>
                <w:sz w:val="24"/>
                <w:szCs w:val="24"/>
                <w:highlight w:val="none"/>
                <w:lang w:eastAsia="zh-CN"/>
              </w:rPr>
              <w:t>主体类型</w:t>
            </w:r>
          </w:p>
          <w:p w14:paraId="224430FB">
            <w:pPr>
              <w:pStyle w:val="251"/>
              <w:jc w:val="center"/>
              <w:rPr>
                <w:color w:val="auto"/>
                <w:sz w:val="24"/>
                <w:szCs w:val="24"/>
                <w:highlight w:val="none"/>
                <w:lang w:eastAsia="zh-CN"/>
              </w:rPr>
            </w:pPr>
            <w:r>
              <w:rPr>
                <w:rFonts w:hint="eastAsia"/>
                <w:color w:val="auto"/>
                <w:sz w:val="24"/>
                <w:szCs w:val="24"/>
                <w:highlight w:val="none"/>
                <w:lang w:eastAsia="zh-CN"/>
              </w:rPr>
              <w:t>（勾选）</w:t>
            </w:r>
          </w:p>
        </w:tc>
        <w:tc>
          <w:tcPr>
            <w:tcW w:w="1125" w:type="dxa"/>
            <w:vAlign w:val="center"/>
          </w:tcPr>
          <w:p w14:paraId="0D190A91">
            <w:pPr>
              <w:pStyle w:val="251"/>
              <w:jc w:val="center"/>
              <w:rPr>
                <w:color w:val="auto"/>
                <w:sz w:val="24"/>
                <w:szCs w:val="24"/>
                <w:highlight w:val="none"/>
              </w:rPr>
            </w:pPr>
            <w:r>
              <w:rPr>
                <w:color w:val="auto"/>
                <w:sz w:val="24"/>
                <w:szCs w:val="24"/>
                <w:highlight w:val="none"/>
              </w:rPr>
              <w:t>资质等级</w:t>
            </w:r>
          </w:p>
        </w:tc>
        <w:tc>
          <w:tcPr>
            <w:tcW w:w="1558" w:type="dxa"/>
            <w:vAlign w:val="center"/>
          </w:tcPr>
          <w:p w14:paraId="3A1DFD77">
            <w:pPr>
              <w:pStyle w:val="251"/>
              <w:jc w:val="center"/>
              <w:rPr>
                <w:color w:val="auto"/>
                <w:sz w:val="24"/>
                <w:szCs w:val="24"/>
                <w:highlight w:val="none"/>
              </w:rPr>
            </w:pPr>
            <w:r>
              <w:rPr>
                <w:color w:val="auto"/>
                <w:sz w:val="24"/>
                <w:szCs w:val="24"/>
                <w:highlight w:val="none"/>
              </w:rPr>
              <w:t>拟分包</w:t>
            </w:r>
          </w:p>
          <w:p w14:paraId="315976CA">
            <w:pPr>
              <w:pStyle w:val="251"/>
              <w:jc w:val="center"/>
              <w:rPr>
                <w:color w:val="auto"/>
                <w:sz w:val="24"/>
                <w:szCs w:val="24"/>
                <w:highlight w:val="none"/>
              </w:rPr>
            </w:pPr>
            <w:r>
              <w:rPr>
                <w:color w:val="auto"/>
                <w:sz w:val="24"/>
                <w:szCs w:val="24"/>
                <w:highlight w:val="none"/>
              </w:rPr>
              <w:t>合同内容</w:t>
            </w:r>
          </w:p>
        </w:tc>
        <w:tc>
          <w:tcPr>
            <w:tcW w:w="1498" w:type="dxa"/>
            <w:vAlign w:val="center"/>
          </w:tcPr>
          <w:p w14:paraId="04E436D8">
            <w:pPr>
              <w:pStyle w:val="251"/>
              <w:jc w:val="center"/>
              <w:rPr>
                <w:color w:val="auto"/>
                <w:sz w:val="24"/>
                <w:szCs w:val="24"/>
                <w:highlight w:val="none"/>
                <w:lang w:eastAsia="zh-CN"/>
              </w:rPr>
            </w:pPr>
            <w:r>
              <w:rPr>
                <w:color w:val="auto"/>
                <w:sz w:val="24"/>
                <w:szCs w:val="24"/>
                <w:highlight w:val="none"/>
                <w:lang w:eastAsia="zh-CN"/>
              </w:rPr>
              <w:t>拟分包</w:t>
            </w:r>
          </w:p>
          <w:p w14:paraId="1006FEE7">
            <w:pPr>
              <w:pStyle w:val="251"/>
              <w:jc w:val="center"/>
              <w:rPr>
                <w:color w:val="auto"/>
                <w:sz w:val="24"/>
                <w:szCs w:val="24"/>
                <w:highlight w:val="none"/>
                <w:lang w:eastAsia="zh-CN"/>
              </w:rPr>
            </w:pPr>
            <w:r>
              <w:rPr>
                <w:color w:val="auto"/>
                <w:sz w:val="24"/>
                <w:szCs w:val="24"/>
                <w:highlight w:val="none"/>
                <w:lang w:eastAsia="zh-CN"/>
              </w:rPr>
              <w:t>合同金额</w:t>
            </w:r>
          </w:p>
          <w:p w14:paraId="215635E4">
            <w:pPr>
              <w:pStyle w:val="251"/>
              <w:jc w:val="center"/>
              <w:rPr>
                <w:color w:val="auto"/>
                <w:sz w:val="24"/>
                <w:szCs w:val="24"/>
                <w:highlight w:val="none"/>
                <w:lang w:eastAsia="zh-CN"/>
              </w:rPr>
            </w:pPr>
            <w:r>
              <w:rPr>
                <w:color w:val="auto"/>
                <w:sz w:val="24"/>
                <w:szCs w:val="24"/>
                <w:highlight w:val="none"/>
                <w:lang w:eastAsia="zh-CN"/>
              </w:rPr>
              <w:t>（人民币元）</w:t>
            </w:r>
          </w:p>
        </w:tc>
        <w:tc>
          <w:tcPr>
            <w:tcW w:w="1564" w:type="dxa"/>
            <w:vAlign w:val="center"/>
          </w:tcPr>
          <w:p w14:paraId="23132A5F">
            <w:pPr>
              <w:pStyle w:val="251"/>
              <w:jc w:val="center"/>
              <w:rPr>
                <w:b/>
                <w:color w:val="auto"/>
                <w:sz w:val="24"/>
                <w:szCs w:val="24"/>
                <w:highlight w:val="none"/>
                <w:lang w:eastAsia="zh-CN"/>
              </w:rPr>
            </w:pPr>
            <w:r>
              <w:rPr>
                <w:b/>
                <w:color w:val="auto"/>
                <w:sz w:val="24"/>
                <w:szCs w:val="24"/>
                <w:highlight w:val="none"/>
                <w:lang w:eastAsia="zh-CN"/>
              </w:rPr>
              <w:t>占</w:t>
            </w:r>
            <w:r>
              <w:rPr>
                <w:rFonts w:hint="eastAsia"/>
                <w:b/>
                <w:color w:val="auto"/>
                <w:sz w:val="24"/>
                <w:szCs w:val="24"/>
                <w:highlight w:val="none"/>
                <w:lang w:eastAsia="zh-CN"/>
              </w:rPr>
              <w:t>投标报价</w:t>
            </w:r>
          </w:p>
          <w:p w14:paraId="6FD4C159">
            <w:pPr>
              <w:pStyle w:val="251"/>
              <w:jc w:val="center"/>
              <w:rPr>
                <w:color w:val="auto"/>
                <w:sz w:val="24"/>
                <w:szCs w:val="24"/>
                <w:highlight w:val="none"/>
                <w:lang w:eastAsia="zh-CN"/>
              </w:rPr>
            </w:pPr>
            <w:r>
              <w:rPr>
                <w:b/>
                <w:color w:val="auto"/>
                <w:sz w:val="24"/>
                <w:szCs w:val="24"/>
                <w:highlight w:val="none"/>
                <w:lang w:eastAsia="zh-CN"/>
              </w:rPr>
              <w:t>的比例</w:t>
            </w:r>
            <w:r>
              <w:rPr>
                <w:rFonts w:hint="eastAsia"/>
                <w:b/>
                <w:color w:val="auto"/>
                <w:sz w:val="24"/>
                <w:szCs w:val="24"/>
                <w:highlight w:val="none"/>
                <w:lang w:eastAsia="zh-CN"/>
              </w:rPr>
              <w:t>（</w:t>
            </w:r>
            <w:r>
              <w:rPr>
                <w:b/>
                <w:color w:val="auto"/>
                <w:sz w:val="24"/>
                <w:szCs w:val="24"/>
                <w:highlight w:val="none"/>
                <w:lang w:eastAsia="zh-CN"/>
              </w:rPr>
              <w:t>%</w:t>
            </w:r>
            <w:r>
              <w:rPr>
                <w:rFonts w:hint="eastAsia"/>
                <w:b/>
                <w:color w:val="auto"/>
                <w:sz w:val="24"/>
                <w:szCs w:val="24"/>
                <w:highlight w:val="none"/>
                <w:lang w:eastAsia="zh-CN"/>
              </w:rPr>
              <w:t>）</w:t>
            </w:r>
          </w:p>
        </w:tc>
      </w:tr>
      <w:tr w14:paraId="454EE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164D854">
            <w:pPr>
              <w:pStyle w:val="251"/>
              <w:jc w:val="center"/>
              <w:rPr>
                <w:color w:val="auto"/>
                <w:sz w:val="24"/>
                <w:szCs w:val="24"/>
                <w:highlight w:val="none"/>
              </w:rPr>
            </w:pPr>
            <w:r>
              <w:rPr>
                <w:color w:val="auto"/>
                <w:sz w:val="24"/>
                <w:szCs w:val="24"/>
                <w:highlight w:val="none"/>
              </w:rPr>
              <w:t>1</w:t>
            </w:r>
          </w:p>
        </w:tc>
        <w:tc>
          <w:tcPr>
            <w:tcW w:w="1287" w:type="dxa"/>
            <w:vAlign w:val="center"/>
          </w:tcPr>
          <w:p w14:paraId="504A87F0">
            <w:pPr>
              <w:pStyle w:val="251"/>
              <w:jc w:val="center"/>
              <w:rPr>
                <w:rFonts w:cs="Times New Roman"/>
                <w:color w:val="auto"/>
                <w:sz w:val="24"/>
                <w:szCs w:val="24"/>
                <w:highlight w:val="none"/>
              </w:rPr>
            </w:pPr>
          </w:p>
        </w:tc>
        <w:tc>
          <w:tcPr>
            <w:tcW w:w="1513" w:type="dxa"/>
            <w:vAlign w:val="center"/>
          </w:tcPr>
          <w:p w14:paraId="076963A5">
            <w:pPr>
              <w:pStyle w:val="251"/>
              <w:tabs>
                <w:tab w:val="left" w:pos="235"/>
              </w:tabs>
              <w:ind w:left="1" w:leftChars="-43" w:hanging="91" w:hangingChars="38"/>
              <w:jc w:val="center"/>
              <w:rPr>
                <w:rFonts w:cs="Times New Roman"/>
                <w:color w:val="auto"/>
                <w:sz w:val="24"/>
                <w:szCs w:val="24"/>
                <w:highlight w:val="none"/>
                <w:lang w:eastAsia="zh-CN"/>
              </w:rPr>
            </w:pPr>
            <w:r>
              <w:rPr>
                <w:rFonts w:cs="Times New Roman"/>
                <w:color w:val="auto"/>
                <w:sz w:val="24"/>
                <w:szCs w:val="24"/>
                <w:highlight w:val="none"/>
                <w:lang w:eastAsia="zh-CN"/>
              </w:rPr>
              <w:t>□小微企业</w:t>
            </w:r>
          </w:p>
          <w:p w14:paraId="53B2EEE3">
            <w:pPr>
              <w:pStyle w:val="251"/>
              <w:tabs>
                <w:tab w:val="left" w:pos="235"/>
              </w:tabs>
              <w:ind w:left="1" w:leftChars="-43" w:hanging="91" w:hangingChars="38"/>
              <w:jc w:val="center"/>
              <w:rPr>
                <w:rFonts w:cs="Times New Roman"/>
                <w:color w:val="auto"/>
                <w:sz w:val="24"/>
                <w:szCs w:val="24"/>
                <w:highlight w:val="none"/>
                <w:lang w:eastAsia="zh-CN"/>
              </w:rPr>
            </w:pPr>
            <w:r>
              <w:rPr>
                <w:rFonts w:cs="Times New Roman"/>
                <w:color w:val="auto"/>
                <w:sz w:val="24"/>
                <w:szCs w:val="24"/>
                <w:highlight w:val="none"/>
                <w:lang w:eastAsia="zh-CN"/>
              </w:rPr>
              <w:t>□</w:t>
            </w:r>
            <w:r>
              <w:rPr>
                <w:rFonts w:hint="eastAsia" w:cs="Times New Roman"/>
                <w:color w:val="auto"/>
                <w:sz w:val="24"/>
                <w:szCs w:val="24"/>
                <w:highlight w:val="none"/>
                <w:lang w:eastAsia="zh-CN"/>
              </w:rPr>
              <w:t>其他类型</w:t>
            </w:r>
          </w:p>
        </w:tc>
        <w:tc>
          <w:tcPr>
            <w:tcW w:w="1125" w:type="dxa"/>
            <w:vAlign w:val="center"/>
          </w:tcPr>
          <w:p w14:paraId="43E6C69A">
            <w:pPr>
              <w:pStyle w:val="251"/>
              <w:jc w:val="center"/>
              <w:rPr>
                <w:color w:val="auto"/>
                <w:sz w:val="24"/>
                <w:szCs w:val="24"/>
                <w:highlight w:val="none"/>
                <w:lang w:eastAsia="zh-CN"/>
              </w:rPr>
            </w:pPr>
          </w:p>
        </w:tc>
        <w:tc>
          <w:tcPr>
            <w:tcW w:w="1558" w:type="dxa"/>
            <w:vAlign w:val="center"/>
          </w:tcPr>
          <w:p w14:paraId="4D171326">
            <w:pPr>
              <w:pStyle w:val="251"/>
              <w:jc w:val="center"/>
              <w:rPr>
                <w:color w:val="auto"/>
                <w:sz w:val="24"/>
                <w:szCs w:val="24"/>
                <w:highlight w:val="none"/>
                <w:lang w:eastAsia="zh-CN"/>
              </w:rPr>
            </w:pPr>
          </w:p>
        </w:tc>
        <w:tc>
          <w:tcPr>
            <w:tcW w:w="1498" w:type="dxa"/>
            <w:vAlign w:val="center"/>
          </w:tcPr>
          <w:p w14:paraId="61098EF9">
            <w:pPr>
              <w:pStyle w:val="251"/>
              <w:jc w:val="center"/>
              <w:rPr>
                <w:color w:val="auto"/>
                <w:sz w:val="24"/>
                <w:szCs w:val="24"/>
                <w:highlight w:val="none"/>
                <w:lang w:eastAsia="zh-CN"/>
              </w:rPr>
            </w:pPr>
          </w:p>
        </w:tc>
        <w:tc>
          <w:tcPr>
            <w:tcW w:w="1564" w:type="dxa"/>
            <w:vAlign w:val="center"/>
          </w:tcPr>
          <w:p w14:paraId="1D99DCA2">
            <w:pPr>
              <w:pStyle w:val="251"/>
              <w:jc w:val="center"/>
              <w:rPr>
                <w:color w:val="auto"/>
                <w:sz w:val="24"/>
                <w:szCs w:val="24"/>
                <w:highlight w:val="none"/>
                <w:lang w:eastAsia="zh-CN"/>
              </w:rPr>
            </w:pPr>
          </w:p>
        </w:tc>
      </w:tr>
      <w:tr w14:paraId="47640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9070256">
            <w:pPr>
              <w:pStyle w:val="251"/>
              <w:jc w:val="center"/>
              <w:rPr>
                <w:color w:val="auto"/>
                <w:sz w:val="24"/>
                <w:szCs w:val="24"/>
                <w:highlight w:val="none"/>
                <w:lang w:eastAsia="zh-CN"/>
              </w:rPr>
            </w:pPr>
            <w:r>
              <w:rPr>
                <w:rFonts w:hint="eastAsia"/>
                <w:color w:val="auto"/>
                <w:sz w:val="24"/>
                <w:szCs w:val="24"/>
                <w:highlight w:val="none"/>
                <w:lang w:eastAsia="zh-CN"/>
              </w:rPr>
              <w:t>2</w:t>
            </w:r>
          </w:p>
        </w:tc>
        <w:tc>
          <w:tcPr>
            <w:tcW w:w="1287" w:type="dxa"/>
            <w:vAlign w:val="center"/>
          </w:tcPr>
          <w:p w14:paraId="4A12B6DB">
            <w:pPr>
              <w:pStyle w:val="251"/>
              <w:jc w:val="center"/>
              <w:rPr>
                <w:color w:val="auto"/>
                <w:sz w:val="24"/>
                <w:szCs w:val="24"/>
                <w:highlight w:val="none"/>
              </w:rPr>
            </w:pPr>
          </w:p>
        </w:tc>
        <w:tc>
          <w:tcPr>
            <w:tcW w:w="1513" w:type="dxa"/>
            <w:vAlign w:val="center"/>
          </w:tcPr>
          <w:p w14:paraId="28F17CD8">
            <w:pPr>
              <w:pStyle w:val="251"/>
              <w:tabs>
                <w:tab w:val="left" w:pos="235"/>
              </w:tabs>
              <w:ind w:left="1" w:leftChars="-43" w:hanging="91" w:hangingChars="38"/>
              <w:jc w:val="center"/>
              <w:rPr>
                <w:rFonts w:cs="Times New Roman"/>
                <w:color w:val="auto"/>
                <w:sz w:val="24"/>
                <w:szCs w:val="24"/>
                <w:highlight w:val="none"/>
                <w:lang w:eastAsia="zh-CN"/>
              </w:rPr>
            </w:pPr>
            <w:r>
              <w:rPr>
                <w:rFonts w:cs="Times New Roman"/>
                <w:color w:val="auto"/>
                <w:sz w:val="24"/>
                <w:szCs w:val="24"/>
                <w:highlight w:val="none"/>
                <w:lang w:eastAsia="zh-CN"/>
              </w:rPr>
              <w:t>□小微企业</w:t>
            </w:r>
          </w:p>
          <w:p w14:paraId="35B0AF11">
            <w:pPr>
              <w:pStyle w:val="251"/>
              <w:tabs>
                <w:tab w:val="left" w:pos="235"/>
              </w:tabs>
              <w:ind w:left="1" w:leftChars="-43" w:hanging="91" w:hangingChars="38"/>
              <w:jc w:val="center"/>
              <w:rPr>
                <w:rFonts w:cs="Times New Roman"/>
                <w:color w:val="auto"/>
                <w:sz w:val="24"/>
                <w:szCs w:val="24"/>
                <w:highlight w:val="none"/>
                <w:lang w:eastAsia="zh-CN"/>
              </w:rPr>
            </w:pPr>
            <w:r>
              <w:rPr>
                <w:rFonts w:cs="Times New Roman"/>
                <w:color w:val="auto"/>
                <w:sz w:val="24"/>
                <w:szCs w:val="24"/>
                <w:highlight w:val="none"/>
                <w:lang w:eastAsia="zh-CN"/>
              </w:rPr>
              <w:t>□</w:t>
            </w:r>
            <w:r>
              <w:rPr>
                <w:rFonts w:hint="eastAsia" w:cs="Times New Roman"/>
                <w:color w:val="auto"/>
                <w:sz w:val="24"/>
                <w:szCs w:val="24"/>
                <w:highlight w:val="none"/>
                <w:lang w:eastAsia="zh-CN"/>
              </w:rPr>
              <w:t>其他类型</w:t>
            </w:r>
          </w:p>
        </w:tc>
        <w:tc>
          <w:tcPr>
            <w:tcW w:w="1125" w:type="dxa"/>
            <w:vAlign w:val="center"/>
          </w:tcPr>
          <w:p w14:paraId="2E1A85C1">
            <w:pPr>
              <w:pStyle w:val="251"/>
              <w:jc w:val="center"/>
              <w:rPr>
                <w:color w:val="auto"/>
                <w:sz w:val="24"/>
                <w:szCs w:val="24"/>
                <w:highlight w:val="none"/>
                <w:lang w:eastAsia="zh-CN"/>
              </w:rPr>
            </w:pPr>
          </w:p>
        </w:tc>
        <w:tc>
          <w:tcPr>
            <w:tcW w:w="1558" w:type="dxa"/>
            <w:vAlign w:val="center"/>
          </w:tcPr>
          <w:p w14:paraId="6E08D5F8">
            <w:pPr>
              <w:pStyle w:val="251"/>
              <w:jc w:val="center"/>
              <w:rPr>
                <w:color w:val="auto"/>
                <w:sz w:val="24"/>
                <w:szCs w:val="24"/>
                <w:highlight w:val="none"/>
                <w:lang w:eastAsia="zh-CN"/>
              </w:rPr>
            </w:pPr>
          </w:p>
        </w:tc>
        <w:tc>
          <w:tcPr>
            <w:tcW w:w="1498" w:type="dxa"/>
            <w:vAlign w:val="center"/>
          </w:tcPr>
          <w:p w14:paraId="6BEF1EB0">
            <w:pPr>
              <w:pStyle w:val="251"/>
              <w:jc w:val="center"/>
              <w:rPr>
                <w:color w:val="auto"/>
                <w:sz w:val="24"/>
                <w:szCs w:val="24"/>
                <w:highlight w:val="none"/>
                <w:lang w:eastAsia="zh-CN"/>
              </w:rPr>
            </w:pPr>
          </w:p>
        </w:tc>
        <w:tc>
          <w:tcPr>
            <w:tcW w:w="1564" w:type="dxa"/>
            <w:vAlign w:val="center"/>
          </w:tcPr>
          <w:p w14:paraId="7AB1979B">
            <w:pPr>
              <w:pStyle w:val="251"/>
              <w:jc w:val="center"/>
              <w:rPr>
                <w:color w:val="auto"/>
                <w:sz w:val="24"/>
                <w:szCs w:val="24"/>
                <w:highlight w:val="none"/>
                <w:lang w:eastAsia="zh-CN"/>
              </w:rPr>
            </w:pPr>
          </w:p>
        </w:tc>
      </w:tr>
      <w:tr w14:paraId="16D0B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094DB50">
            <w:pPr>
              <w:pStyle w:val="251"/>
              <w:jc w:val="center"/>
              <w:rPr>
                <w:color w:val="auto"/>
                <w:sz w:val="24"/>
                <w:szCs w:val="24"/>
                <w:highlight w:val="none"/>
                <w:lang w:eastAsia="zh-CN"/>
              </w:rPr>
            </w:pPr>
            <w:r>
              <w:rPr>
                <w:color w:val="auto"/>
                <w:sz w:val="24"/>
                <w:szCs w:val="24"/>
                <w:highlight w:val="none"/>
                <w:lang w:eastAsia="zh-CN"/>
              </w:rPr>
              <w:t>…</w:t>
            </w:r>
          </w:p>
        </w:tc>
        <w:tc>
          <w:tcPr>
            <w:tcW w:w="1287" w:type="dxa"/>
            <w:vAlign w:val="center"/>
          </w:tcPr>
          <w:p w14:paraId="7C83C7D2">
            <w:pPr>
              <w:pStyle w:val="251"/>
              <w:jc w:val="center"/>
              <w:rPr>
                <w:color w:val="auto"/>
                <w:sz w:val="24"/>
                <w:szCs w:val="24"/>
                <w:highlight w:val="none"/>
              </w:rPr>
            </w:pPr>
          </w:p>
        </w:tc>
        <w:tc>
          <w:tcPr>
            <w:tcW w:w="1513" w:type="dxa"/>
            <w:vAlign w:val="center"/>
          </w:tcPr>
          <w:p w14:paraId="4F55BCD7">
            <w:pPr>
              <w:pStyle w:val="251"/>
              <w:tabs>
                <w:tab w:val="left" w:pos="235"/>
              </w:tabs>
              <w:jc w:val="center"/>
              <w:rPr>
                <w:color w:val="auto"/>
                <w:sz w:val="24"/>
                <w:szCs w:val="24"/>
                <w:highlight w:val="none"/>
              </w:rPr>
            </w:pPr>
          </w:p>
        </w:tc>
        <w:tc>
          <w:tcPr>
            <w:tcW w:w="1125" w:type="dxa"/>
            <w:vAlign w:val="center"/>
          </w:tcPr>
          <w:p w14:paraId="2E58D35D">
            <w:pPr>
              <w:pStyle w:val="251"/>
              <w:jc w:val="center"/>
              <w:rPr>
                <w:color w:val="auto"/>
                <w:sz w:val="24"/>
                <w:szCs w:val="24"/>
                <w:highlight w:val="none"/>
              </w:rPr>
            </w:pPr>
          </w:p>
        </w:tc>
        <w:tc>
          <w:tcPr>
            <w:tcW w:w="1558" w:type="dxa"/>
            <w:vAlign w:val="center"/>
          </w:tcPr>
          <w:p w14:paraId="0C7E97E9">
            <w:pPr>
              <w:pStyle w:val="251"/>
              <w:jc w:val="center"/>
              <w:rPr>
                <w:color w:val="auto"/>
                <w:sz w:val="24"/>
                <w:szCs w:val="24"/>
                <w:highlight w:val="none"/>
              </w:rPr>
            </w:pPr>
          </w:p>
        </w:tc>
        <w:tc>
          <w:tcPr>
            <w:tcW w:w="1498" w:type="dxa"/>
            <w:vAlign w:val="center"/>
          </w:tcPr>
          <w:p w14:paraId="62210843">
            <w:pPr>
              <w:pStyle w:val="251"/>
              <w:jc w:val="center"/>
              <w:rPr>
                <w:color w:val="auto"/>
                <w:sz w:val="24"/>
                <w:szCs w:val="24"/>
                <w:highlight w:val="none"/>
              </w:rPr>
            </w:pPr>
          </w:p>
        </w:tc>
        <w:tc>
          <w:tcPr>
            <w:tcW w:w="1564" w:type="dxa"/>
            <w:vAlign w:val="center"/>
          </w:tcPr>
          <w:p w14:paraId="12853664">
            <w:pPr>
              <w:pStyle w:val="251"/>
              <w:jc w:val="center"/>
              <w:rPr>
                <w:color w:val="auto"/>
                <w:sz w:val="24"/>
                <w:szCs w:val="24"/>
                <w:highlight w:val="none"/>
              </w:rPr>
            </w:pPr>
          </w:p>
        </w:tc>
      </w:tr>
      <w:tr w14:paraId="15FEC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B0A89AD">
            <w:pPr>
              <w:pStyle w:val="251"/>
              <w:ind w:right="57" w:rightChars="27"/>
              <w:jc w:val="right"/>
              <w:rPr>
                <w:color w:val="auto"/>
                <w:sz w:val="24"/>
                <w:szCs w:val="24"/>
                <w:highlight w:val="none"/>
                <w:lang w:eastAsia="zh-CN"/>
              </w:rPr>
            </w:pPr>
            <w:r>
              <w:rPr>
                <w:rFonts w:hint="eastAsia"/>
                <w:color w:val="auto"/>
                <w:sz w:val="24"/>
                <w:szCs w:val="24"/>
                <w:highlight w:val="none"/>
                <w:lang w:eastAsia="zh-CN"/>
              </w:rPr>
              <w:t>合计：</w:t>
            </w:r>
          </w:p>
        </w:tc>
        <w:tc>
          <w:tcPr>
            <w:tcW w:w="1498" w:type="dxa"/>
            <w:vAlign w:val="center"/>
          </w:tcPr>
          <w:p w14:paraId="5BC8953C">
            <w:pPr>
              <w:pStyle w:val="251"/>
              <w:jc w:val="center"/>
              <w:rPr>
                <w:color w:val="auto"/>
                <w:sz w:val="24"/>
                <w:szCs w:val="24"/>
                <w:highlight w:val="none"/>
              </w:rPr>
            </w:pPr>
          </w:p>
        </w:tc>
        <w:tc>
          <w:tcPr>
            <w:tcW w:w="1564" w:type="dxa"/>
            <w:vAlign w:val="center"/>
          </w:tcPr>
          <w:p w14:paraId="41745DAF">
            <w:pPr>
              <w:pStyle w:val="251"/>
              <w:jc w:val="center"/>
              <w:rPr>
                <w:color w:val="auto"/>
                <w:sz w:val="24"/>
                <w:szCs w:val="24"/>
                <w:highlight w:val="none"/>
              </w:rPr>
            </w:pPr>
          </w:p>
        </w:tc>
      </w:tr>
    </w:tbl>
    <w:p w14:paraId="230FEE63">
      <w:pPr>
        <w:adjustRightInd w:val="0"/>
        <w:snapToGrid w:val="0"/>
        <w:spacing w:line="360" w:lineRule="auto"/>
        <w:ind w:firstLine="480" w:firstLineChars="200"/>
        <w:jc w:val="left"/>
        <w:rPr>
          <w:rFonts w:ascii="宋体" w:hAnsi="宋体"/>
          <w:color w:val="auto"/>
          <w:sz w:val="24"/>
          <w:highlight w:val="none"/>
        </w:rPr>
      </w:pPr>
    </w:p>
    <w:p w14:paraId="21BA1DD7">
      <w:pPr>
        <w:adjustRightInd w:val="0"/>
        <w:snapToGrid w:val="0"/>
        <w:spacing w:line="360" w:lineRule="auto"/>
        <w:jc w:val="left"/>
        <w:rPr>
          <w:rFonts w:ascii="宋体" w:hAnsi="宋体"/>
          <w:color w:val="auto"/>
          <w:sz w:val="24"/>
          <w:highlight w:val="none"/>
        </w:rPr>
      </w:pPr>
      <w:r>
        <w:rPr>
          <w:rFonts w:ascii="宋体" w:hAnsi="宋体"/>
          <w:color w:val="auto"/>
          <w:sz w:val="24"/>
          <w:highlight w:val="none"/>
        </w:rPr>
        <w:t xml:space="preserve">注： </w:t>
      </w:r>
    </w:p>
    <w:p w14:paraId="3030D7B3">
      <w:pPr>
        <w:adjustRightInd w:val="0"/>
        <w:snapToGrid w:val="0"/>
        <w:spacing w:line="360" w:lineRule="auto"/>
        <w:jc w:val="left"/>
        <w:rPr>
          <w:rFonts w:ascii="宋体" w:hAnsi="宋体"/>
          <w:color w:val="auto"/>
          <w:sz w:val="24"/>
          <w:highlight w:val="none"/>
        </w:rPr>
      </w:pPr>
      <w:r>
        <w:rPr>
          <w:rFonts w:ascii="宋体" w:hAnsi="宋体"/>
          <w:color w:val="auto"/>
          <w:sz w:val="24"/>
          <w:highlight w:val="none"/>
        </w:rPr>
        <w:t>1.本表仅在投标人非因“为落实政府采购政策”而分包时填写；投标人“为落实政府采购政策”而向中小企业分包时请按照《拟分包情况说明及分包意向协议》（类型一）要求填写。</w:t>
      </w:r>
    </w:p>
    <w:p w14:paraId="23E3F7F0">
      <w:pPr>
        <w:adjustRightInd w:val="0"/>
        <w:snapToGrid w:val="0"/>
        <w:spacing w:line="360" w:lineRule="auto"/>
        <w:jc w:val="left"/>
        <w:rPr>
          <w:rFonts w:ascii="宋体" w:hAnsi="宋体"/>
          <w:color w:val="auto"/>
          <w:sz w:val="24"/>
          <w:highlight w:val="none"/>
        </w:rPr>
      </w:pPr>
      <w:r>
        <w:rPr>
          <w:rFonts w:ascii="宋体" w:hAnsi="宋体"/>
          <w:color w:val="auto"/>
          <w:sz w:val="24"/>
          <w:highlight w:val="none"/>
        </w:rPr>
        <w:t>2.如本招标文件《投标人须知资料表》载明本项目分包承担主体应具备的相应资质条件，则投标人须在本表中列明分包承担主体的资质等级，并后附资质证书</w:t>
      </w:r>
      <w:r>
        <w:rPr>
          <w:rFonts w:hint="eastAsia" w:ascii="宋体" w:hAnsi="宋体"/>
          <w:color w:val="auto"/>
          <w:sz w:val="24"/>
          <w:highlight w:val="none"/>
        </w:rPr>
        <w:t>电子件，</w:t>
      </w:r>
      <w:r>
        <w:rPr>
          <w:rFonts w:ascii="宋体" w:hAnsi="宋体"/>
          <w:color w:val="auto"/>
          <w:sz w:val="24"/>
          <w:highlight w:val="none"/>
        </w:rPr>
        <w:t>否则</w:t>
      </w:r>
      <w:r>
        <w:rPr>
          <w:rFonts w:ascii="宋体" w:hAnsi="宋体"/>
          <w:b/>
          <w:color w:val="auto"/>
          <w:sz w:val="24"/>
          <w:highlight w:val="none"/>
        </w:rPr>
        <w:t>投标无效</w:t>
      </w:r>
      <w:r>
        <w:rPr>
          <w:rFonts w:ascii="宋体" w:hAnsi="宋体"/>
          <w:color w:val="auto"/>
          <w:sz w:val="24"/>
          <w:highlight w:val="none"/>
        </w:rPr>
        <w:t>。</w:t>
      </w:r>
    </w:p>
    <w:p w14:paraId="09EB15E8">
      <w:pPr>
        <w:adjustRightInd w:val="0"/>
        <w:snapToGrid w:val="0"/>
        <w:spacing w:line="360" w:lineRule="auto"/>
        <w:jc w:val="left"/>
        <w:rPr>
          <w:rFonts w:ascii="宋体" w:hAnsi="宋体"/>
          <w:color w:val="auto"/>
          <w:sz w:val="24"/>
          <w:highlight w:val="none"/>
        </w:rPr>
      </w:pPr>
    </w:p>
    <w:p w14:paraId="71C41F63">
      <w:pPr>
        <w:adjustRightInd w:val="0"/>
        <w:snapToGrid w:val="0"/>
        <w:spacing w:line="360" w:lineRule="auto"/>
        <w:jc w:val="left"/>
        <w:rPr>
          <w:rFonts w:ascii="宋体" w:hAnsi="宋体"/>
          <w:color w:val="auto"/>
          <w:sz w:val="24"/>
          <w:highlight w:val="none"/>
        </w:rPr>
      </w:pPr>
    </w:p>
    <w:p w14:paraId="70DE5B15">
      <w:pPr>
        <w:adjustRightInd w:val="0"/>
        <w:snapToGrid w:val="0"/>
        <w:spacing w:line="360" w:lineRule="auto"/>
        <w:ind w:firstLine="480" w:firstLineChars="200"/>
        <w:jc w:val="right"/>
        <w:rPr>
          <w:rFonts w:ascii="宋体" w:hAnsi="宋体"/>
          <w:color w:val="auto"/>
          <w:sz w:val="24"/>
          <w:highlight w:val="none"/>
        </w:rPr>
      </w:pPr>
      <w:r>
        <w:rPr>
          <w:rFonts w:ascii="宋体" w:hAnsi="宋体"/>
          <w:color w:val="auto"/>
          <w:sz w:val="24"/>
          <w:highlight w:val="none"/>
        </w:rPr>
        <w:t>投标人名称（盖章）：______</w:t>
      </w:r>
    </w:p>
    <w:p w14:paraId="2BF7A3F3">
      <w:pPr>
        <w:adjustRightInd w:val="0"/>
        <w:snapToGrid w:val="0"/>
        <w:spacing w:line="360" w:lineRule="auto"/>
        <w:ind w:firstLine="480" w:firstLineChars="200"/>
        <w:jc w:val="right"/>
        <w:rPr>
          <w:rFonts w:ascii="宋体" w:hAnsi="宋体"/>
          <w:color w:val="auto"/>
          <w:sz w:val="24"/>
          <w:highlight w:val="none"/>
        </w:rPr>
      </w:pPr>
      <w:r>
        <w:rPr>
          <w:rFonts w:ascii="宋体" w:hAnsi="宋体"/>
          <w:color w:val="auto"/>
          <w:sz w:val="24"/>
          <w:highlight w:val="none"/>
        </w:rPr>
        <w:t>日期：_____年______月______日</w:t>
      </w:r>
    </w:p>
    <w:p w14:paraId="5F1CB5FE">
      <w:pPr>
        <w:spacing w:line="360" w:lineRule="auto"/>
        <w:rPr>
          <w:rFonts w:ascii="宋体" w:hAnsi="宋体"/>
          <w:b/>
          <w:color w:val="auto"/>
          <w:sz w:val="24"/>
          <w:highlight w:val="none"/>
        </w:rPr>
      </w:pPr>
    </w:p>
    <w:p w14:paraId="5C81C390">
      <w:pPr>
        <w:spacing w:line="360" w:lineRule="auto"/>
        <w:outlineLvl w:val="2"/>
        <w:rPr>
          <w:rFonts w:ascii="宋体" w:hAnsi="宋体"/>
          <w:b/>
          <w:color w:val="auto"/>
          <w:sz w:val="24"/>
          <w:highlight w:val="none"/>
        </w:rPr>
      </w:pPr>
      <w:r>
        <w:rPr>
          <w:rFonts w:ascii="宋体" w:hAnsi="宋体"/>
          <w:color w:val="auto"/>
          <w:sz w:val="24"/>
          <w:highlight w:val="none"/>
        </w:rPr>
        <w:br w:type="page"/>
      </w:r>
      <w:r>
        <w:rPr>
          <w:rFonts w:ascii="宋体" w:hAnsi="宋体"/>
          <w:color w:val="auto"/>
          <w:sz w:val="24"/>
          <w:highlight w:val="none"/>
        </w:rPr>
        <w:t>9  招标文件要求提供或投标人认为应附的其他材料</w:t>
      </w:r>
    </w:p>
    <w:p w14:paraId="73878096">
      <w:pPr>
        <w:pStyle w:val="5"/>
        <w:jc w:val="center"/>
        <w:rPr>
          <w:rFonts w:ascii="宋体" w:hAnsi="宋体" w:eastAsia="宋体"/>
          <w:color w:val="auto"/>
          <w:sz w:val="24"/>
          <w:szCs w:val="24"/>
          <w:highlight w:val="none"/>
        </w:rPr>
      </w:pPr>
      <w:bookmarkStart w:id="1186" w:name="_Toc2623"/>
      <w:bookmarkStart w:id="1187" w:name="_Toc434831571"/>
      <w:bookmarkStart w:id="1188" w:name="_Toc4266"/>
      <w:r>
        <w:rPr>
          <w:rFonts w:hint="eastAsia" w:ascii="宋体" w:hAnsi="宋体"/>
          <w:color w:val="auto"/>
          <w:sz w:val="24"/>
          <w:highlight w:val="none"/>
        </w:rPr>
        <w:t>9</w:t>
      </w:r>
      <w:r>
        <w:rPr>
          <w:rFonts w:ascii="宋体" w:hAnsi="宋体"/>
          <w:color w:val="auto"/>
          <w:sz w:val="24"/>
          <w:highlight w:val="none"/>
        </w:rPr>
        <w:t>.1</w:t>
      </w:r>
      <w:r>
        <w:rPr>
          <w:rFonts w:ascii="宋体" w:hAnsi="宋体" w:eastAsia="宋体"/>
          <w:color w:val="auto"/>
          <w:sz w:val="24"/>
          <w:szCs w:val="24"/>
          <w:highlight w:val="none"/>
        </w:rPr>
        <w:t>供应商基本情况表</w:t>
      </w:r>
      <w:bookmarkEnd w:id="1186"/>
      <w:bookmarkEnd w:id="1187"/>
      <w:bookmarkEnd w:id="1188"/>
    </w:p>
    <w:p w14:paraId="2D6EB7E9">
      <w:pPr>
        <w:rPr>
          <w:rFonts w:ascii="宋体" w:hAnsi="宋体"/>
          <w:color w:val="auto"/>
          <w:sz w:val="24"/>
          <w:highlight w:val="none"/>
        </w:rPr>
      </w:pPr>
    </w:p>
    <w:tbl>
      <w:tblPr>
        <w:tblStyle w:val="46"/>
        <w:tblW w:w="86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8"/>
        <w:gridCol w:w="898"/>
        <w:gridCol w:w="1247"/>
        <w:gridCol w:w="544"/>
        <w:gridCol w:w="223"/>
        <w:gridCol w:w="1873"/>
        <w:gridCol w:w="203"/>
        <w:gridCol w:w="860"/>
        <w:gridCol w:w="992"/>
      </w:tblGrid>
      <w:tr w14:paraId="0CD286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88" w:type="dxa"/>
            <w:tcBorders>
              <w:top w:val="single" w:color="auto" w:sz="4" w:space="0"/>
              <w:left w:val="single" w:color="auto" w:sz="4" w:space="0"/>
              <w:bottom w:val="single" w:color="auto" w:sz="4" w:space="0"/>
              <w:right w:val="single" w:color="auto" w:sz="4" w:space="0"/>
            </w:tcBorders>
            <w:vAlign w:val="center"/>
          </w:tcPr>
          <w:p w14:paraId="29CBDF85">
            <w:pPr>
              <w:topLinePunct/>
              <w:spacing w:line="44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3FB06964">
            <w:pPr>
              <w:topLinePunct/>
              <w:spacing w:line="440" w:lineRule="exact"/>
              <w:jc w:val="center"/>
              <w:rPr>
                <w:rFonts w:ascii="宋体" w:hAnsi="宋体" w:cs="宋体"/>
                <w:color w:val="auto"/>
                <w:sz w:val="24"/>
                <w:highlight w:val="none"/>
                <w:shd w:val="clear" w:color="auto" w:fill="FFFFFF"/>
              </w:rPr>
            </w:pPr>
          </w:p>
        </w:tc>
      </w:tr>
      <w:tr w14:paraId="6B1F5D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88" w:type="dxa"/>
            <w:tcBorders>
              <w:top w:val="single" w:color="auto" w:sz="4" w:space="0"/>
              <w:left w:val="single" w:color="auto" w:sz="4" w:space="0"/>
              <w:bottom w:val="single" w:color="auto" w:sz="4" w:space="0"/>
              <w:right w:val="single" w:color="auto" w:sz="4" w:space="0"/>
            </w:tcBorders>
            <w:vAlign w:val="center"/>
          </w:tcPr>
          <w:p w14:paraId="71BC37D2">
            <w:pPr>
              <w:topLinePunct/>
              <w:spacing w:line="44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注册地址</w:t>
            </w:r>
          </w:p>
        </w:tc>
        <w:tc>
          <w:tcPr>
            <w:tcW w:w="2912" w:type="dxa"/>
            <w:gridSpan w:val="4"/>
            <w:tcBorders>
              <w:top w:val="single" w:color="auto" w:sz="4" w:space="0"/>
              <w:left w:val="single" w:color="auto" w:sz="4" w:space="0"/>
              <w:bottom w:val="single" w:color="auto" w:sz="4" w:space="0"/>
              <w:right w:val="single" w:color="auto" w:sz="4" w:space="0"/>
            </w:tcBorders>
            <w:vAlign w:val="center"/>
          </w:tcPr>
          <w:p w14:paraId="2D4235CC">
            <w:pPr>
              <w:topLinePunct/>
              <w:spacing w:line="440" w:lineRule="exact"/>
              <w:jc w:val="center"/>
              <w:rPr>
                <w:rFonts w:ascii="宋体" w:hAnsi="宋体" w:cs="宋体"/>
                <w:color w:val="auto"/>
                <w:sz w:val="24"/>
                <w:highlight w:val="none"/>
                <w:shd w:val="clear" w:color="auto" w:fill="FFFFFF"/>
              </w:rPr>
            </w:pPr>
          </w:p>
        </w:tc>
        <w:tc>
          <w:tcPr>
            <w:tcW w:w="1873" w:type="dxa"/>
            <w:tcBorders>
              <w:top w:val="single" w:color="auto" w:sz="4" w:space="0"/>
              <w:left w:val="single" w:color="auto" w:sz="4" w:space="0"/>
              <w:bottom w:val="single" w:color="auto" w:sz="4" w:space="0"/>
              <w:right w:val="single" w:color="auto" w:sz="4" w:space="0"/>
            </w:tcBorders>
            <w:vAlign w:val="center"/>
          </w:tcPr>
          <w:p w14:paraId="3D09A607">
            <w:pPr>
              <w:topLinePunct/>
              <w:spacing w:line="44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邮政编码</w:t>
            </w:r>
          </w:p>
        </w:tc>
        <w:tc>
          <w:tcPr>
            <w:tcW w:w="2055" w:type="dxa"/>
            <w:gridSpan w:val="3"/>
            <w:tcBorders>
              <w:top w:val="single" w:color="auto" w:sz="4" w:space="0"/>
              <w:left w:val="single" w:color="auto" w:sz="4" w:space="0"/>
              <w:bottom w:val="single" w:color="auto" w:sz="4" w:space="0"/>
              <w:right w:val="single" w:color="auto" w:sz="4" w:space="0"/>
            </w:tcBorders>
            <w:vAlign w:val="center"/>
          </w:tcPr>
          <w:p w14:paraId="06E36C11">
            <w:pPr>
              <w:topLinePunct/>
              <w:spacing w:line="440" w:lineRule="exact"/>
              <w:jc w:val="center"/>
              <w:rPr>
                <w:rFonts w:ascii="宋体" w:hAnsi="宋体" w:cs="宋体"/>
                <w:color w:val="auto"/>
                <w:sz w:val="24"/>
                <w:highlight w:val="none"/>
                <w:shd w:val="clear" w:color="auto" w:fill="FFFFFF"/>
              </w:rPr>
            </w:pPr>
          </w:p>
        </w:tc>
      </w:tr>
      <w:tr w14:paraId="2EF866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88" w:type="dxa"/>
            <w:tcBorders>
              <w:top w:val="single" w:color="auto" w:sz="4" w:space="0"/>
              <w:left w:val="single" w:color="auto" w:sz="4" w:space="0"/>
              <w:bottom w:val="single" w:color="auto" w:sz="4" w:space="0"/>
              <w:right w:val="single" w:color="auto" w:sz="4" w:space="0"/>
            </w:tcBorders>
            <w:vAlign w:val="center"/>
          </w:tcPr>
          <w:p w14:paraId="06F4E3DF">
            <w:pPr>
              <w:topLinePunct/>
              <w:spacing w:line="440" w:lineRule="exact"/>
              <w:jc w:val="center"/>
              <w:rPr>
                <w:rFonts w:hint="default" w:ascii="宋体" w:hAnsi="宋体" w:eastAsia="宋体" w:cs="宋体"/>
                <w:color w:val="auto"/>
                <w:sz w:val="24"/>
                <w:highlight w:val="none"/>
                <w:shd w:val="clear" w:color="auto" w:fill="FFFFFF"/>
                <w:lang w:val="en-US" w:eastAsia="zh-CN"/>
              </w:rPr>
            </w:pPr>
            <w:r>
              <w:rPr>
                <w:rFonts w:hint="eastAsia" w:ascii="宋体" w:hAnsi="宋体" w:cs="宋体"/>
                <w:color w:val="auto"/>
                <w:sz w:val="24"/>
                <w:highlight w:val="none"/>
                <w:shd w:val="clear" w:color="auto" w:fill="FFFFFF"/>
                <w:lang w:val="en-US" w:eastAsia="zh-CN"/>
              </w:rPr>
              <w:t>供应商所属性别</w:t>
            </w:r>
          </w:p>
        </w:tc>
        <w:tc>
          <w:tcPr>
            <w:tcW w:w="2912" w:type="dxa"/>
            <w:gridSpan w:val="4"/>
            <w:tcBorders>
              <w:top w:val="single" w:color="auto" w:sz="4" w:space="0"/>
              <w:left w:val="single" w:color="auto" w:sz="4" w:space="0"/>
              <w:bottom w:val="single" w:color="auto" w:sz="4" w:space="0"/>
              <w:right w:val="single" w:color="auto" w:sz="4" w:space="0"/>
            </w:tcBorders>
            <w:vAlign w:val="center"/>
          </w:tcPr>
          <w:p w14:paraId="34350AF2">
            <w:pPr>
              <w:topLinePunct/>
              <w:spacing w:line="440" w:lineRule="exact"/>
              <w:jc w:val="center"/>
              <w:rPr>
                <w:rFonts w:ascii="宋体" w:hAnsi="宋体" w:cs="宋体"/>
                <w:color w:val="auto"/>
                <w:sz w:val="24"/>
                <w:highlight w:val="none"/>
                <w:shd w:val="clear" w:color="auto" w:fill="FFFFFF"/>
              </w:rPr>
            </w:pPr>
          </w:p>
        </w:tc>
        <w:tc>
          <w:tcPr>
            <w:tcW w:w="1873" w:type="dxa"/>
            <w:tcBorders>
              <w:top w:val="single" w:color="auto" w:sz="4" w:space="0"/>
              <w:left w:val="single" w:color="auto" w:sz="4" w:space="0"/>
              <w:bottom w:val="single" w:color="auto" w:sz="4" w:space="0"/>
              <w:right w:val="single" w:color="auto" w:sz="4" w:space="0"/>
            </w:tcBorders>
            <w:vAlign w:val="center"/>
          </w:tcPr>
          <w:p w14:paraId="7FA05DFE">
            <w:pPr>
              <w:keepNext w:val="0"/>
              <w:keepLines w:val="0"/>
              <w:widowControl/>
              <w:suppressLineNumbers w:val="0"/>
              <w:jc w:val="left"/>
              <w:rPr>
                <w:rFonts w:hint="eastAsia" w:ascii="宋体" w:hAnsi="宋体" w:cs="宋体"/>
                <w:color w:val="auto"/>
                <w:sz w:val="24"/>
                <w:highlight w:val="none"/>
                <w:shd w:val="clear" w:color="auto" w:fill="FFFFFF"/>
              </w:rPr>
            </w:pPr>
            <w:r>
              <w:rPr>
                <w:rFonts w:ascii="FZShuSong-Z01" w:hAnsi="FZShuSong-Z01" w:eastAsia="FZShuSong-Z01" w:cs="FZShuSong-Z01"/>
                <w:color w:val="auto"/>
                <w:kern w:val="0"/>
                <w:sz w:val="24"/>
                <w:szCs w:val="24"/>
                <w:highlight w:val="none"/>
                <w:lang w:val="en-US" w:eastAsia="zh-CN" w:bidi="ar"/>
              </w:rPr>
              <w:t>外商投资类型</w:t>
            </w:r>
          </w:p>
        </w:tc>
        <w:tc>
          <w:tcPr>
            <w:tcW w:w="2055" w:type="dxa"/>
            <w:gridSpan w:val="3"/>
            <w:tcBorders>
              <w:top w:val="single" w:color="auto" w:sz="4" w:space="0"/>
              <w:left w:val="single" w:color="auto" w:sz="4" w:space="0"/>
              <w:bottom w:val="single" w:color="auto" w:sz="4" w:space="0"/>
              <w:right w:val="single" w:color="auto" w:sz="4" w:space="0"/>
            </w:tcBorders>
            <w:vAlign w:val="center"/>
          </w:tcPr>
          <w:p w14:paraId="1CD2F717">
            <w:pPr>
              <w:topLinePunct/>
              <w:spacing w:line="440" w:lineRule="exact"/>
              <w:jc w:val="center"/>
              <w:rPr>
                <w:rFonts w:ascii="宋体" w:hAnsi="宋体" w:cs="宋体"/>
                <w:color w:val="auto"/>
                <w:sz w:val="24"/>
                <w:highlight w:val="none"/>
                <w:shd w:val="clear" w:color="auto" w:fill="FFFFFF"/>
              </w:rPr>
            </w:pPr>
          </w:p>
        </w:tc>
      </w:tr>
      <w:tr w14:paraId="08894E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88" w:type="dxa"/>
            <w:vMerge w:val="restart"/>
            <w:tcBorders>
              <w:top w:val="single" w:color="auto" w:sz="4" w:space="0"/>
              <w:left w:val="single" w:color="auto" w:sz="4" w:space="0"/>
              <w:bottom w:val="single" w:color="auto" w:sz="4" w:space="0"/>
              <w:right w:val="single" w:color="auto" w:sz="4" w:space="0"/>
            </w:tcBorders>
            <w:vAlign w:val="center"/>
          </w:tcPr>
          <w:p w14:paraId="7FBD2DB3">
            <w:pPr>
              <w:topLinePunct/>
              <w:spacing w:line="44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587E12F4">
            <w:pPr>
              <w:topLinePunct/>
              <w:spacing w:line="44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联系人</w:t>
            </w:r>
          </w:p>
        </w:tc>
        <w:tc>
          <w:tcPr>
            <w:tcW w:w="2014" w:type="dxa"/>
            <w:gridSpan w:val="3"/>
            <w:tcBorders>
              <w:top w:val="single" w:color="auto" w:sz="4" w:space="0"/>
              <w:left w:val="single" w:color="auto" w:sz="4" w:space="0"/>
              <w:bottom w:val="single" w:color="auto" w:sz="4" w:space="0"/>
              <w:right w:val="single" w:color="auto" w:sz="4" w:space="0"/>
            </w:tcBorders>
            <w:vAlign w:val="center"/>
          </w:tcPr>
          <w:p w14:paraId="3F0CE198">
            <w:pPr>
              <w:topLinePunct/>
              <w:spacing w:line="440" w:lineRule="exact"/>
              <w:jc w:val="center"/>
              <w:rPr>
                <w:rFonts w:ascii="宋体" w:hAnsi="宋体" w:cs="宋体"/>
                <w:color w:val="auto"/>
                <w:sz w:val="24"/>
                <w:highlight w:val="none"/>
                <w:shd w:val="clear" w:color="auto" w:fill="FFFFFF"/>
              </w:rPr>
            </w:pPr>
          </w:p>
        </w:tc>
        <w:tc>
          <w:tcPr>
            <w:tcW w:w="1873" w:type="dxa"/>
            <w:tcBorders>
              <w:top w:val="single" w:color="auto" w:sz="4" w:space="0"/>
              <w:left w:val="single" w:color="auto" w:sz="4" w:space="0"/>
              <w:bottom w:val="single" w:color="auto" w:sz="4" w:space="0"/>
              <w:right w:val="single" w:color="auto" w:sz="4" w:space="0"/>
            </w:tcBorders>
            <w:vAlign w:val="center"/>
          </w:tcPr>
          <w:p w14:paraId="7C63FAFB">
            <w:pPr>
              <w:topLinePunct/>
              <w:spacing w:line="44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电 话</w:t>
            </w:r>
          </w:p>
        </w:tc>
        <w:tc>
          <w:tcPr>
            <w:tcW w:w="2055" w:type="dxa"/>
            <w:gridSpan w:val="3"/>
            <w:tcBorders>
              <w:top w:val="single" w:color="auto" w:sz="4" w:space="0"/>
              <w:left w:val="single" w:color="auto" w:sz="4" w:space="0"/>
              <w:bottom w:val="single" w:color="auto" w:sz="4" w:space="0"/>
              <w:right w:val="single" w:color="auto" w:sz="4" w:space="0"/>
            </w:tcBorders>
            <w:vAlign w:val="center"/>
          </w:tcPr>
          <w:p w14:paraId="4852F10B">
            <w:pPr>
              <w:topLinePunct/>
              <w:spacing w:line="440" w:lineRule="exact"/>
              <w:jc w:val="center"/>
              <w:rPr>
                <w:rFonts w:ascii="宋体" w:hAnsi="宋体" w:cs="宋体"/>
                <w:color w:val="auto"/>
                <w:sz w:val="24"/>
                <w:highlight w:val="none"/>
                <w:shd w:val="clear" w:color="auto" w:fill="FFFFFF"/>
              </w:rPr>
            </w:pPr>
          </w:p>
        </w:tc>
      </w:tr>
      <w:tr w14:paraId="632813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88" w:type="dxa"/>
            <w:vMerge w:val="continue"/>
            <w:tcBorders>
              <w:top w:val="single" w:color="auto" w:sz="4" w:space="0"/>
              <w:left w:val="single" w:color="auto" w:sz="4" w:space="0"/>
              <w:bottom w:val="single" w:color="auto" w:sz="4" w:space="0"/>
              <w:right w:val="single" w:color="auto" w:sz="4" w:space="0"/>
            </w:tcBorders>
            <w:vAlign w:val="center"/>
          </w:tcPr>
          <w:p w14:paraId="1C00B43B">
            <w:pPr>
              <w:topLinePunct/>
              <w:spacing w:line="440" w:lineRule="exact"/>
              <w:jc w:val="center"/>
              <w:rPr>
                <w:rFonts w:ascii="宋体" w:hAnsi="宋体" w:cs="宋体"/>
                <w:color w:val="auto"/>
                <w:sz w:val="24"/>
                <w:highlight w:val="none"/>
                <w:shd w:val="clear" w:color="auto" w:fill="FFFFFF"/>
              </w:rPr>
            </w:pPr>
          </w:p>
        </w:tc>
        <w:tc>
          <w:tcPr>
            <w:tcW w:w="898" w:type="dxa"/>
            <w:tcBorders>
              <w:top w:val="single" w:color="auto" w:sz="4" w:space="0"/>
              <w:left w:val="single" w:color="auto" w:sz="4" w:space="0"/>
              <w:bottom w:val="single" w:color="auto" w:sz="4" w:space="0"/>
              <w:right w:val="single" w:color="auto" w:sz="4" w:space="0"/>
            </w:tcBorders>
            <w:vAlign w:val="center"/>
          </w:tcPr>
          <w:p w14:paraId="5D8C06F1">
            <w:pPr>
              <w:topLinePunct/>
              <w:spacing w:line="44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传  真</w:t>
            </w:r>
          </w:p>
        </w:tc>
        <w:tc>
          <w:tcPr>
            <w:tcW w:w="2014" w:type="dxa"/>
            <w:gridSpan w:val="3"/>
            <w:tcBorders>
              <w:top w:val="single" w:color="auto" w:sz="4" w:space="0"/>
              <w:left w:val="single" w:color="auto" w:sz="4" w:space="0"/>
              <w:bottom w:val="single" w:color="auto" w:sz="4" w:space="0"/>
              <w:right w:val="single" w:color="auto" w:sz="4" w:space="0"/>
            </w:tcBorders>
            <w:vAlign w:val="center"/>
          </w:tcPr>
          <w:p w14:paraId="65D27582">
            <w:pPr>
              <w:topLinePunct/>
              <w:spacing w:line="440" w:lineRule="exact"/>
              <w:jc w:val="center"/>
              <w:rPr>
                <w:rFonts w:ascii="宋体" w:hAnsi="宋体" w:cs="宋体"/>
                <w:color w:val="auto"/>
                <w:sz w:val="24"/>
                <w:highlight w:val="none"/>
                <w:shd w:val="clear" w:color="auto" w:fill="FFFFFF"/>
              </w:rPr>
            </w:pPr>
          </w:p>
        </w:tc>
        <w:tc>
          <w:tcPr>
            <w:tcW w:w="1873" w:type="dxa"/>
            <w:tcBorders>
              <w:top w:val="single" w:color="auto" w:sz="4" w:space="0"/>
              <w:left w:val="single" w:color="auto" w:sz="4" w:space="0"/>
              <w:bottom w:val="single" w:color="auto" w:sz="4" w:space="0"/>
              <w:right w:val="single" w:color="auto" w:sz="4" w:space="0"/>
            </w:tcBorders>
            <w:vAlign w:val="center"/>
          </w:tcPr>
          <w:p w14:paraId="38F6C770">
            <w:pPr>
              <w:topLinePunct/>
              <w:spacing w:line="44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网 址</w:t>
            </w:r>
          </w:p>
        </w:tc>
        <w:tc>
          <w:tcPr>
            <w:tcW w:w="2055" w:type="dxa"/>
            <w:gridSpan w:val="3"/>
            <w:tcBorders>
              <w:top w:val="single" w:color="auto" w:sz="4" w:space="0"/>
              <w:left w:val="single" w:color="auto" w:sz="4" w:space="0"/>
              <w:bottom w:val="single" w:color="auto" w:sz="4" w:space="0"/>
              <w:right w:val="single" w:color="auto" w:sz="4" w:space="0"/>
            </w:tcBorders>
            <w:vAlign w:val="center"/>
          </w:tcPr>
          <w:p w14:paraId="70F6E88C">
            <w:pPr>
              <w:topLinePunct/>
              <w:spacing w:line="440" w:lineRule="exact"/>
              <w:jc w:val="center"/>
              <w:rPr>
                <w:rFonts w:ascii="宋体" w:hAnsi="宋体" w:cs="宋体"/>
                <w:color w:val="auto"/>
                <w:sz w:val="24"/>
                <w:highlight w:val="none"/>
                <w:shd w:val="clear" w:color="auto" w:fill="FFFFFF"/>
              </w:rPr>
            </w:pPr>
          </w:p>
        </w:tc>
      </w:tr>
      <w:tr w14:paraId="12303F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88" w:type="dxa"/>
            <w:tcBorders>
              <w:top w:val="single" w:color="auto" w:sz="4" w:space="0"/>
              <w:left w:val="single" w:color="auto" w:sz="4" w:space="0"/>
              <w:bottom w:val="single" w:color="auto" w:sz="4" w:space="0"/>
              <w:right w:val="single" w:color="auto" w:sz="4" w:space="0"/>
            </w:tcBorders>
            <w:vAlign w:val="center"/>
          </w:tcPr>
          <w:p w14:paraId="1536C2BE">
            <w:pPr>
              <w:topLinePunct/>
              <w:spacing w:line="44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组织结构</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5BCE284A">
            <w:pPr>
              <w:topLinePunct/>
              <w:spacing w:line="440" w:lineRule="exact"/>
              <w:jc w:val="center"/>
              <w:rPr>
                <w:rFonts w:ascii="宋体" w:hAnsi="宋体" w:cs="宋体"/>
                <w:color w:val="auto"/>
                <w:sz w:val="24"/>
                <w:highlight w:val="none"/>
                <w:shd w:val="clear" w:color="auto" w:fill="FFFFFF"/>
              </w:rPr>
            </w:pPr>
          </w:p>
        </w:tc>
      </w:tr>
      <w:tr w14:paraId="3619CE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88" w:type="dxa"/>
            <w:tcBorders>
              <w:top w:val="single" w:color="auto" w:sz="4" w:space="0"/>
              <w:left w:val="single" w:color="auto" w:sz="4" w:space="0"/>
              <w:bottom w:val="single" w:color="auto" w:sz="4" w:space="0"/>
              <w:right w:val="single" w:color="auto" w:sz="4" w:space="0"/>
            </w:tcBorders>
            <w:vAlign w:val="center"/>
          </w:tcPr>
          <w:p w14:paraId="0A216530">
            <w:pPr>
              <w:topLinePunct/>
              <w:spacing w:line="44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054F13ED">
            <w:pPr>
              <w:topLinePunct/>
              <w:spacing w:line="44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姓名</w:t>
            </w:r>
          </w:p>
        </w:tc>
        <w:tc>
          <w:tcPr>
            <w:tcW w:w="1247" w:type="dxa"/>
            <w:tcBorders>
              <w:top w:val="single" w:color="auto" w:sz="4" w:space="0"/>
              <w:left w:val="single" w:color="auto" w:sz="4" w:space="0"/>
              <w:bottom w:val="single" w:color="auto" w:sz="4" w:space="0"/>
              <w:right w:val="single" w:color="auto" w:sz="4" w:space="0"/>
            </w:tcBorders>
            <w:vAlign w:val="center"/>
          </w:tcPr>
          <w:p w14:paraId="08DD6467">
            <w:pPr>
              <w:topLinePunct/>
              <w:spacing w:line="440" w:lineRule="exact"/>
              <w:jc w:val="center"/>
              <w:rPr>
                <w:rFonts w:ascii="宋体" w:hAnsi="宋体" w:cs="宋体"/>
                <w:color w:val="auto"/>
                <w:sz w:val="24"/>
                <w:highlight w:val="none"/>
                <w:shd w:val="clear" w:color="auto" w:fill="FFFFFF"/>
              </w:rPr>
            </w:pPr>
          </w:p>
        </w:tc>
        <w:tc>
          <w:tcPr>
            <w:tcW w:w="767" w:type="dxa"/>
            <w:gridSpan w:val="2"/>
            <w:tcBorders>
              <w:top w:val="single" w:color="auto" w:sz="4" w:space="0"/>
              <w:left w:val="single" w:color="auto" w:sz="4" w:space="0"/>
              <w:bottom w:val="single" w:color="auto" w:sz="4" w:space="0"/>
              <w:right w:val="single" w:color="auto" w:sz="4" w:space="0"/>
            </w:tcBorders>
            <w:vAlign w:val="center"/>
          </w:tcPr>
          <w:p w14:paraId="6B80FFD4">
            <w:pPr>
              <w:topLinePunct/>
              <w:spacing w:line="44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技术职称</w:t>
            </w:r>
          </w:p>
        </w:tc>
        <w:tc>
          <w:tcPr>
            <w:tcW w:w="1873" w:type="dxa"/>
            <w:tcBorders>
              <w:top w:val="single" w:color="auto" w:sz="4" w:space="0"/>
              <w:left w:val="single" w:color="auto" w:sz="4" w:space="0"/>
              <w:bottom w:val="single" w:color="auto" w:sz="4" w:space="0"/>
              <w:right w:val="single" w:color="auto" w:sz="4" w:space="0"/>
            </w:tcBorders>
            <w:vAlign w:val="center"/>
          </w:tcPr>
          <w:p w14:paraId="2CA25EDB">
            <w:pPr>
              <w:topLinePunct/>
              <w:spacing w:line="440" w:lineRule="exact"/>
              <w:jc w:val="center"/>
              <w:rPr>
                <w:rFonts w:ascii="宋体" w:hAnsi="宋体" w:cs="宋体"/>
                <w:color w:val="auto"/>
                <w:sz w:val="24"/>
                <w:highlight w:val="none"/>
                <w:shd w:val="clear" w:color="auto" w:fill="FFFFFF"/>
              </w:rPr>
            </w:pPr>
          </w:p>
        </w:tc>
        <w:tc>
          <w:tcPr>
            <w:tcW w:w="1063" w:type="dxa"/>
            <w:gridSpan w:val="2"/>
            <w:tcBorders>
              <w:top w:val="single" w:color="auto" w:sz="4" w:space="0"/>
              <w:left w:val="single" w:color="auto" w:sz="4" w:space="0"/>
              <w:bottom w:val="single" w:color="auto" w:sz="4" w:space="0"/>
              <w:right w:val="single" w:color="auto" w:sz="4" w:space="0"/>
            </w:tcBorders>
            <w:vAlign w:val="center"/>
          </w:tcPr>
          <w:p w14:paraId="4EDAAC9F">
            <w:pPr>
              <w:topLinePunct/>
              <w:spacing w:line="44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0E81A1F9">
            <w:pPr>
              <w:topLinePunct/>
              <w:spacing w:line="440" w:lineRule="exact"/>
              <w:jc w:val="center"/>
              <w:rPr>
                <w:rFonts w:ascii="宋体" w:hAnsi="宋体" w:cs="宋体"/>
                <w:color w:val="auto"/>
                <w:sz w:val="24"/>
                <w:highlight w:val="none"/>
                <w:shd w:val="clear" w:color="auto" w:fill="FFFFFF"/>
              </w:rPr>
            </w:pPr>
          </w:p>
        </w:tc>
      </w:tr>
      <w:tr w14:paraId="16FE68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88" w:type="dxa"/>
            <w:tcBorders>
              <w:top w:val="single" w:color="auto" w:sz="4" w:space="0"/>
              <w:left w:val="single" w:color="auto" w:sz="4" w:space="0"/>
              <w:bottom w:val="single" w:color="auto" w:sz="4" w:space="0"/>
              <w:right w:val="single" w:color="auto" w:sz="4" w:space="0"/>
            </w:tcBorders>
            <w:vAlign w:val="center"/>
          </w:tcPr>
          <w:p w14:paraId="0E8A26A3">
            <w:pPr>
              <w:topLinePunct/>
              <w:spacing w:line="44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成立时间</w:t>
            </w:r>
          </w:p>
        </w:tc>
        <w:tc>
          <w:tcPr>
            <w:tcW w:w="2145" w:type="dxa"/>
            <w:gridSpan w:val="2"/>
            <w:tcBorders>
              <w:top w:val="single" w:color="auto" w:sz="4" w:space="0"/>
              <w:left w:val="single" w:color="auto" w:sz="4" w:space="0"/>
              <w:bottom w:val="single" w:color="auto" w:sz="4" w:space="0"/>
              <w:right w:val="single" w:color="auto" w:sz="4" w:space="0"/>
            </w:tcBorders>
            <w:vAlign w:val="center"/>
          </w:tcPr>
          <w:p w14:paraId="5A8AC0D3">
            <w:pPr>
              <w:topLinePunct/>
              <w:spacing w:line="440" w:lineRule="exact"/>
              <w:jc w:val="center"/>
              <w:rPr>
                <w:rFonts w:ascii="宋体" w:hAnsi="宋体" w:cs="宋体"/>
                <w:color w:val="auto"/>
                <w:sz w:val="24"/>
                <w:highlight w:val="none"/>
                <w:shd w:val="clear" w:color="auto" w:fill="FFFFFF"/>
              </w:rPr>
            </w:pPr>
          </w:p>
        </w:tc>
        <w:tc>
          <w:tcPr>
            <w:tcW w:w="4695" w:type="dxa"/>
            <w:gridSpan w:val="6"/>
            <w:tcBorders>
              <w:top w:val="single" w:color="auto" w:sz="4" w:space="0"/>
              <w:left w:val="single" w:color="auto" w:sz="4" w:space="0"/>
              <w:bottom w:val="single" w:color="auto" w:sz="4" w:space="0"/>
              <w:right w:val="single" w:color="auto" w:sz="4" w:space="0"/>
            </w:tcBorders>
            <w:vAlign w:val="center"/>
          </w:tcPr>
          <w:p w14:paraId="03E55504">
            <w:pPr>
              <w:topLinePunct/>
              <w:spacing w:line="440" w:lineRule="exact"/>
              <w:ind w:firstLine="120" w:firstLineChars="50"/>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员工总人数：</w:t>
            </w:r>
          </w:p>
        </w:tc>
      </w:tr>
      <w:tr w14:paraId="4F5D2A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88" w:type="dxa"/>
            <w:tcBorders>
              <w:top w:val="single" w:color="auto" w:sz="4" w:space="0"/>
              <w:left w:val="single" w:color="auto" w:sz="4" w:space="0"/>
              <w:bottom w:val="single" w:color="auto" w:sz="4" w:space="0"/>
              <w:right w:val="single" w:color="auto" w:sz="4" w:space="0"/>
            </w:tcBorders>
            <w:vAlign w:val="center"/>
          </w:tcPr>
          <w:p w14:paraId="4D196E95">
            <w:pPr>
              <w:topLinePunct/>
              <w:spacing w:line="44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企业资质</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4B227290">
            <w:pPr>
              <w:topLinePunct/>
              <w:spacing w:line="440" w:lineRule="exact"/>
              <w:jc w:val="center"/>
              <w:rPr>
                <w:rFonts w:ascii="宋体" w:hAnsi="宋体" w:cs="宋体"/>
                <w:color w:val="auto"/>
                <w:sz w:val="24"/>
                <w:highlight w:val="none"/>
                <w:shd w:val="clear" w:color="auto" w:fill="FFFFFF"/>
              </w:rPr>
            </w:pPr>
          </w:p>
        </w:tc>
      </w:tr>
      <w:tr w14:paraId="58D7F4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88" w:type="dxa"/>
            <w:tcBorders>
              <w:top w:val="single" w:color="auto" w:sz="4" w:space="0"/>
              <w:left w:val="single" w:color="auto" w:sz="4" w:space="0"/>
              <w:bottom w:val="single" w:color="auto" w:sz="4" w:space="0"/>
              <w:right w:val="single" w:color="auto" w:sz="4" w:space="0"/>
            </w:tcBorders>
            <w:vAlign w:val="center"/>
          </w:tcPr>
          <w:p w14:paraId="0D4E95B8">
            <w:pPr>
              <w:topLinePunct/>
              <w:spacing w:line="44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统一社会</w:t>
            </w:r>
          </w:p>
          <w:p w14:paraId="4E98A59F">
            <w:pPr>
              <w:topLinePunct/>
              <w:spacing w:line="44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信用代码</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3C9BE260">
            <w:pPr>
              <w:topLinePunct/>
              <w:spacing w:line="440" w:lineRule="exact"/>
              <w:jc w:val="center"/>
              <w:rPr>
                <w:rFonts w:ascii="宋体" w:hAnsi="宋体" w:cs="宋体"/>
                <w:color w:val="auto"/>
                <w:sz w:val="24"/>
                <w:highlight w:val="none"/>
                <w:shd w:val="clear" w:color="auto" w:fill="FFFFFF"/>
              </w:rPr>
            </w:pPr>
          </w:p>
        </w:tc>
      </w:tr>
      <w:tr w14:paraId="2DC497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788" w:type="dxa"/>
            <w:tcBorders>
              <w:top w:val="single" w:color="auto" w:sz="4" w:space="0"/>
              <w:left w:val="single" w:color="auto" w:sz="4" w:space="0"/>
              <w:bottom w:val="single" w:color="auto" w:sz="4" w:space="0"/>
              <w:right w:val="single" w:color="auto" w:sz="4" w:space="0"/>
            </w:tcBorders>
            <w:vAlign w:val="center"/>
          </w:tcPr>
          <w:p w14:paraId="563B5E2F">
            <w:pPr>
              <w:topLinePunct/>
              <w:spacing w:line="44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注册资金</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3F18266D">
            <w:pPr>
              <w:topLinePunct/>
              <w:spacing w:line="440" w:lineRule="exact"/>
              <w:jc w:val="center"/>
              <w:rPr>
                <w:rFonts w:ascii="宋体" w:hAnsi="宋体" w:cs="宋体"/>
                <w:color w:val="auto"/>
                <w:sz w:val="24"/>
                <w:highlight w:val="none"/>
                <w:shd w:val="clear" w:color="auto" w:fill="FFFFFF"/>
              </w:rPr>
            </w:pPr>
          </w:p>
        </w:tc>
      </w:tr>
      <w:tr w14:paraId="2CCF3C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88" w:type="dxa"/>
            <w:tcBorders>
              <w:top w:val="single" w:color="auto" w:sz="4" w:space="0"/>
              <w:left w:val="single" w:color="auto" w:sz="4" w:space="0"/>
              <w:bottom w:val="single" w:color="auto" w:sz="4" w:space="0"/>
              <w:right w:val="single" w:color="auto" w:sz="4" w:space="0"/>
            </w:tcBorders>
            <w:vAlign w:val="center"/>
          </w:tcPr>
          <w:p w14:paraId="3830B876">
            <w:pPr>
              <w:topLinePunct/>
              <w:spacing w:line="44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开户银行</w:t>
            </w:r>
          </w:p>
        </w:tc>
        <w:tc>
          <w:tcPr>
            <w:tcW w:w="2689" w:type="dxa"/>
            <w:gridSpan w:val="3"/>
            <w:tcBorders>
              <w:top w:val="single" w:color="auto" w:sz="4" w:space="0"/>
              <w:left w:val="single" w:color="auto" w:sz="4" w:space="0"/>
              <w:bottom w:val="single" w:color="auto" w:sz="4" w:space="0"/>
              <w:right w:val="single" w:color="auto" w:sz="4" w:space="0"/>
            </w:tcBorders>
            <w:vAlign w:val="center"/>
          </w:tcPr>
          <w:p w14:paraId="34E0AA5D">
            <w:pPr>
              <w:topLinePunct/>
              <w:spacing w:line="440" w:lineRule="exact"/>
              <w:jc w:val="center"/>
              <w:rPr>
                <w:rFonts w:ascii="宋体" w:hAnsi="宋体" w:cs="宋体"/>
                <w:color w:val="auto"/>
                <w:sz w:val="24"/>
                <w:highlight w:val="none"/>
                <w:shd w:val="clear" w:color="auto" w:fill="FFFFFF"/>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73EA5E0B">
            <w:pPr>
              <w:topLinePunct/>
              <w:spacing w:line="44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账号</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76D1E11">
            <w:pPr>
              <w:topLinePunct/>
              <w:spacing w:line="440" w:lineRule="exact"/>
              <w:jc w:val="center"/>
              <w:rPr>
                <w:rFonts w:ascii="宋体" w:hAnsi="宋体" w:cs="宋体"/>
                <w:color w:val="auto"/>
                <w:sz w:val="24"/>
                <w:highlight w:val="none"/>
                <w:shd w:val="clear" w:color="auto" w:fill="FFFFFF"/>
              </w:rPr>
            </w:pPr>
          </w:p>
        </w:tc>
      </w:tr>
      <w:tr w14:paraId="2EE688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3" w:hRule="atLeast"/>
        </w:trPr>
        <w:tc>
          <w:tcPr>
            <w:tcW w:w="1788" w:type="dxa"/>
            <w:tcBorders>
              <w:top w:val="single" w:color="auto" w:sz="4" w:space="0"/>
              <w:left w:val="single" w:color="auto" w:sz="4" w:space="0"/>
              <w:right w:val="single" w:color="auto" w:sz="4" w:space="0"/>
            </w:tcBorders>
            <w:vAlign w:val="center"/>
          </w:tcPr>
          <w:p w14:paraId="11906804">
            <w:pPr>
              <w:topLinePunct/>
              <w:spacing w:line="440" w:lineRule="exact"/>
              <w:ind w:firstLine="240" w:firstLineChars="100"/>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经营范围</w:t>
            </w:r>
          </w:p>
        </w:tc>
        <w:tc>
          <w:tcPr>
            <w:tcW w:w="6840" w:type="dxa"/>
            <w:gridSpan w:val="8"/>
            <w:tcBorders>
              <w:top w:val="single" w:color="auto" w:sz="4" w:space="0"/>
              <w:left w:val="single" w:color="auto" w:sz="4" w:space="0"/>
              <w:right w:val="single" w:color="auto" w:sz="4" w:space="0"/>
            </w:tcBorders>
            <w:vAlign w:val="center"/>
          </w:tcPr>
          <w:p w14:paraId="419A28A8">
            <w:pPr>
              <w:topLinePunct/>
              <w:spacing w:line="440" w:lineRule="exact"/>
              <w:jc w:val="center"/>
              <w:rPr>
                <w:rFonts w:ascii="宋体" w:hAnsi="宋体" w:cs="宋体"/>
                <w:color w:val="auto"/>
                <w:sz w:val="24"/>
                <w:highlight w:val="none"/>
                <w:shd w:val="clear" w:color="auto" w:fill="FFFFFF"/>
              </w:rPr>
            </w:pPr>
          </w:p>
          <w:p w14:paraId="43706450">
            <w:pPr>
              <w:topLinePunct/>
              <w:spacing w:line="440" w:lineRule="exact"/>
              <w:jc w:val="center"/>
              <w:rPr>
                <w:rFonts w:ascii="宋体" w:hAnsi="宋体" w:cs="宋体"/>
                <w:color w:val="auto"/>
                <w:sz w:val="24"/>
                <w:highlight w:val="none"/>
                <w:shd w:val="clear" w:color="auto" w:fill="FFFFFF"/>
              </w:rPr>
            </w:pPr>
          </w:p>
          <w:p w14:paraId="72A319E5">
            <w:pPr>
              <w:topLinePunct/>
              <w:spacing w:line="440" w:lineRule="exact"/>
              <w:rPr>
                <w:rFonts w:ascii="宋体" w:hAnsi="宋体" w:cs="宋体"/>
                <w:color w:val="auto"/>
                <w:sz w:val="24"/>
                <w:highlight w:val="none"/>
                <w:shd w:val="clear" w:color="auto" w:fill="FFFFFF"/>
              </w:rPr>
            </w:pPr>
          </w:p>
        </w:tc>
      </w:tr>
      <w:tr w14:paraId="0EF54C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88" w:type="dxa"/>
            <w:tcBorders>
              <w:top w:val="single" w:color="auto" w:sz="4" w:space="0"/>
              <w:left w:val="single" w:color="auto" w:sz="4" w:space="0"/>
              <w:bottom w:val="single" w:color="auto" w:sz="4" w:space="0"/>
              <w:right w:val="single" w:color="auto" w:sz="4" w:space="0"/>
            </w:tcBorders>
            <w:vAlign w:val="center"/>
          </w:tcPr>
          <w:p w14:paraId="0E6AAC25">
            <w:pPr>
              <w:topLinePunct/>
              <w:spacing w:line="440" w:lineRule="exact"/>
              <w:ind w:firstLine="240" w:firstLineChars="100"/>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管理体系</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0221C7F4">
            <w:pPr>
              <w:topLinePunct/>
              <w:spacing w:line="440" w:lineRule="exact"/>
              <w:ind w:firstLine="240" w:firstLineChars="100"/>
              <w:jc w:val="center"/>
              <w:rPr>
                <w:rFonts w:ascii="宋体" w:hAnsi="宋体" w:cs="宋体"/>
                <w:color w:val="auto"/>
                <w:sz w:val="24"/>
                <w:highlight w:val="none"/>
                <w:shd w:val="clear" w:color="auto" w:fill="FFFFFF"/>
              </w:rPr>
            </w:pPr>
          </w:p>
        </w:tc>
      </w:tr>
      <w:tr w14:paraId="47252B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88" w:type="dxa"/>
            <w:tcBorders>
              <w:top w:val="single" w:color="auto" w:sz="4" w:space="0"/>
              <w:left w:val="single" w:color="auto" w:sz="4" w:space="0"/>
              <w:bottom w:val="single" w:color="auto" w:sz="4" w:space="0"/>
              <w:right w:val="single" w:color="auto" w:sz="4" w:space="0"/>
            </w:tcBorders>
            <w:vAlign w:val="center"/>
          </w:tcPr>
          <w:p w14:paraId="7844B117">
            <w:pPr>
              <w:topLinePunct/>
              <w:spacing w:line="44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4FE1228B">
            <w:pPr>
              <w:topLinePunct/>
              <w:spacing w:line="440" w:lineRule="exact"/>
              <w:jc w:val="center"/>
              <w:rPr>
                <w:rFonts w:ascii="宋体" w:hAnsi="宋体" w:cs="宋体"/>
                <w:color w:val="auto"/>
                <w:sz w:val="24"/>
                <w:highlight w:val="none"/>
                <w:shd w:val="clear" w:color="auto" w:fill="FFFFFF"/>
              </w:rPr>
            </w:pPr>
          </w:p>
        </w:tc>
      </w:tr>
    </w:tbl>
    <w:p w14:paraId="04296738">
      <w:pPr>
        <w:spacing w:line="440" w:lineRule="exact"/>
        <w:ind w:left="601" w:leftChars="50" w:hanging="496" w:hangingChars="207"/>
        <w:rPr>
          <w:rFonts w:ascii="宋体" w:hAnsi="宋体"/>
          <w:color w:val="auto"/>
          <w:sz w:val="24"/>
          <w:highlight w:val="none"/>
        </w:rPr>
      </w:pPr>
      <w:r>
        <w:rPr>
          <w:rFonts w:ascii="宋体" w:hAnsi="宋体"/>
          <w:color w:val="auto"/>
          <w:sz w:val="24"/>
          <w:highlight w:val="none"/>
        </w:rPr>
        <w:t>注：</w:t>
      </w:r>
      <w:r>
        <w:rPr>
          <w:rFonts w:hint="eastAsia" w:ascii="宋体" w:hAnsi="宋体"/>
          <w:color w:val="auto"/>
          <w:sz w:val="24"/>
          <w:highlight w:val="none"/>
          <w:lang w:val="en-US" w:eastAsia="zh-CN"/>
        </w:rPr>
        <w:t>1.</w:t>
      </w:r>
      <w:r>
        <w:rPr>
          <w:rFonts w:ascii="宋体" w:hAnsi="宋体"/>
          <w:color w:val="auto"/>
          <w:sz w:val="24"/>
          <w:highlight w:val="none"/>
        </w:rPr>
        <w:t>对于法人发生重组或变更的供应商</w:t>
      </w:r>
      <w:r>
        <w:rPr>
          <w:rFonts w:hint="eastAsia" w:ascii="宋体" w:hAnsi="宋体"/>
          <w:color w:val="auto"/>
          <w:sz w:val="24"/>
          <w:highlight w:val="none"/>
        </w:rPr>
        <w:t>，</w:t>
      </w:r>
      <w:r>
        <w:rPr>
          <w:rFonts w:ascii="宋体" w:hAnsi="宋体"/>
          <w:color w:val="auto"/>
          <w:sz w:val="24"/>
          <w:highlight w:val="none"/>
        </w:rPr>
        <w:t>应在本表后附有法人重组或变更时相关部门的合法批件、变更时的企业法人营业执照的副本变更记录扫描件</w:t>
      </w:r>
      <w:r>
        <w:rPr>
          <w:rFonts w:hint="eastAsia" w:ascii="宋体" w:hAnsi="宋体"/>
          <w:color w:val="auto"/>
          <w:sz w:val="24"/>
          <w:highlight w:val="none"/>
        </w:rPr>
        <w:t>、提供</w:t>
      </w:r>
      <w:r>
        <w:rPr>
          <w:rFonts w:hint="eastAsia" w:ascii="宋体" w:hAnsi="宋体" w:cs="宋体"/>
          <w:color w:val="auto"/>
          <w:sz w:val="24"/>
          <w:highlight w:val="none"/>
          <w:shd w:val="clear" w:color="auto" w:fill="FFFFFF"/>
        </w:rPr>
        <w:t>管理体系</w:t>
      </w:r>
      <w:r>
        <w:rPr>
          <w:rFonts w:ascii="宋体" w:hAnsi="宋体"/>
          <w:color w:val="auto"/>
          <w:sz w:val="24"/>
          <w:highlight w:val="none"/>
        </w:rPr>
        <w:t>证书复印件加盖公章。</w:t>
      </w:r>
    </w:p>
    <w:p w14:paraId="28039F5A">
      <w:pPr>
        <w:spacing w:line="440" w:lineRule="exact"/>
        <w:ind w:left="601" w:leftChars="50" w:hanging="496" w:hangingChars="207"/>
        <w:rPr>
          <w:rFonts w:ascii="宋体" w:hAnsi="宋体"/>
          <w:color w:val="auto"/>
          <w:sz w:val="24"/>
          <w:highlight w:val="none"/>
        </w:rPr>
      </w:pPr>
      <w:r>
        <w:rPr>
          <w:rFonts w:hint="eastAsia" w:ascii="宋体" w:hAnsi="宋体"/>
          <w:color w:val="auto"/>
          <w:sz w:val="24"/>
          <w:highlight w:val="none"/>
          <w:lang w:val="en-US" w:eastAsia="zh-CN"/>
        </w:rPr>
        <w:t>2</w:t>
      </w:r>
      <w:r>
        <w:rPr>
          <w:rFonts w:ascii="宋体" w:hAnsi="宋体"/>
          <w:color w:val="auto"/>
          <w:sz w:val="24"/>
          <w:highlight w:val="none"/>
          <w:lang w:val="en-US" w:eastAsia="zh-CN"/>
        </w:rPr>
        <w:t>.</w:t>
      </w:r>
      <w:r>
        <w:rPr>
          <w:rFonts w:hint="default" w:ascii="宋体" w:hAnsi="宋体"/>
          <w:color w:val="auto"/>
          <w:sz w:val="24"/>
          <w:highlight w:val="none"/>
          <w:lang w:val="en-US" w:eastAsia="zh-CN"/>
        </w:rPr>
        <w:t xml:space="preserve">供应商如为联合体，则应填写联合体各成员信息。 </w:t>
      </w:r>
    </w:p>
    <w:p w14:paraId="6FE3800D">
      <w:pPr>
        <w:spacing w:line="440" w:lineRule="exact"/>
        <w:ind w:left="601" w:leftChars="50" w:hanging="496" w:hangingChars="207"/>
        <w:rPr>
          <w:rFonts w:ascii="宋体" w:hAnsi="宋体"/>
          <w:color w:val="auto"/>
          <w:sz w:val="24"/>
          <w:highlight w:val="none"/>
        </w:rPr>
      </w:pPr>
      <w:r>
        <w:rPr>
          <w:rFonts w:hint="eastAsia" w:ascii="宋体" w:hAnsi="宋体"/>
          <w:color w:val="auto"/>
          <w:sz w:val="24"/>
          <w:highlight w:val="none"/>
          <w:lang w:val="en-US" w:eastAsia="zh-CN"/>
        </w:rPr>
        <w:t>3</w:t>
      </w:r>
      <w:r>
        <w:rPr>
          <w:rFonts w:hint="default" w:ascii="宋体" w:hAnsi="宋体"/>
          <w:color w:val="auto"/>
          <w:sz w:val="24"/>
          <w:highlight w:val="none"/>
          <w:lang w:val="en-US" w:eastAsia="zh-CN"/>
        </w:rPr>
        <w:t xml:space="preserve">.供应商所属性别请填写“男”或“女”，指拥有供应商 51%以上绝对所有权的性别； </w:t>
      </w:r>
    </w:p>
    <w:p w14:paraId="7C0D0E1A">
      <w:pPr>
        <w:spacing w:line="440" w:lineRule="exact"/>
        <w:ind w:left="601" w:leftChars="50" w:hanging="496" w:hangingChars="207"/>
        <w:rPr>
          <w:rFonts w:ascii="宋体" w:hAnsi="宋体"/>
          <w:color w:val="auto"/>
          <w:sz w:val="24"/>
          <w:highlight w:val="none"/>
        </w:rPr>
      </w:pPr>
      <w:r>
        <w:rPr>
          <w:rFonts w:hint="default" w:ascii="宋体" w:hAnsi="宋体"/>
          <w:color w:val="auto"/>
          <w:sz w:val="24"/>
          <w:highlight w:val="none"/>
          <w:lang w:val="en-US" w:eastAsia="zh-CN"/>
        </w:rPr>
        <w:t xml:space="preserve">绝对所有权拥有者可以是一个人，也可以是多人合计计算。 </w:t>
      </w:r>
    </w:p>
    <w:p w14:paraId="0E809542">
      <w:pPr>
        <w:spacing w:line="440" w:lineRule="exact"/>
        <w:ind w:left="601" w:leftChars="50" w:hanging="496" w:hangingChars="207"/>
        <w:rPr>
          <w:rFonts w:ascii="宋体" w:hAnsi="宋体"/>
          <w:color w:val="auto"/>
          <w:sz w:val="24"/>
          <w:highlight w:val="none"/>
        </w:rPr>
      </w:pPr>
      <w:r>
        <w:rPr>
          <w:rFonts w:hint="eastAsia" w:ascii="宋体" w:hAnsi="宋体"/>
          <w:color w:val="auto"/>
          <w:sz w:val="24"/>
          <w:highlight w:val="none"/>
          <w:lang w:val="en-US" w:eastAsia="zh-CN"/>
        </w:rPr>
        <w:t>4</w:t>
      </w:r>
      <w:r>
        <w:rPr>
          <w:rFonts w:hint="default" w:ascii="宋体" w:hAnsi="宋体"/>
          <w:color w:val="auto"/>
          <w:sz w:val="24"/>
          <w:highlight w:val="none"/>
          <w:lang w:val="en-US" w:eastAsia="zh-CN"/>
        </w:rPr>
        <w:t>.外商投资类型请填写“外商单独投资”、“外商部分投资”或“内资”。</w:t>
      </w:r>
    </w:p>
    <w:p w14:paraId="71F8D5FD">
      <w:pPr>
        <w:pStyle w:val="5"/>
        <w:jc w:val="center"/>
        <w:rPr>
          <w:rFonts w:hint="eastAsia" w:ascii="宋体" w:hAnsi="宋体"/>
          <w:color w:val="auto"/>
          <w:sz w:val="24"/>
          <w:highlight w:val="none"/>
        </w:rPr>
        <w:sectPr>
          <w:headerReference r:id="rId30" w:type="first"/>
          <w:footerReference r:id="rId32" w:type="first"/>
          <w:headerReference r:id="rId29" w:type="even"/>
          <w:footerReference r:id="rId31" w:type="even"/>
          <w:pgSz w:w="11907" w:h="16840"/>
          <w:pgMar w:top="1418" w:right="1134" w:bottom="1418" w:left="1701" w:header="851" w:footer="851" w:gutter="0"/>
          <w:pgNumType w:fmt="decimal"/>
          <w:cols w:space="720" w:num="1"/>
          <w:docGrid w:linePitch="462" w:charSpace="0"/>
        </w:sectPr>
      </w:pPr>
    </w:p>
    <w:p w14:paraId="3B896B3B">
      <w:pPr>
        <w:pStyle w:val="5"/>
        <w:jc w:val="center"/>
        <w:rPr>
          <w:rFonts w:ascii="宋体" w:hAnsi="宋体"/>
          <w:color w:val="auto"/>
          <w:sz w:val="24"/>
          <w:highlight w:val="none"/>
        </w:rPr>
      </w:pPr>
      <w:r>
        <w:rPr>
          <w:rFonts w:hint="eastAsia" w:ascii="宋体" w:hAnsi="宋体"/>
          <w:color w:val="auto"/>
          <w:sz w:val="24"/>
          <w:highlight w:val="none"/>
        </w:rPr>
        <w:t>9</w:t>
      </w:r>
      <w:r>
        <w:rPr>
          <w:rFonts w:ascii="宋体" w:hAnsi="宋体"/>
          <w:color w:val="auto"/>
          <w:sz w:val="24"/>
          <w:highlight w:val="none"/>
        </w:rPr>
        <w:t>.2</w:t>
      </w:r>
      <w:r>
        <w:rPr>
          <w:rFonts w:hint="eastAsia" w:ascii="宋体" w:hAnsi="宋体" w:eastAsia="宋体"/>
          <w:color w:val="auto"/>
          <w:sz w:val="24"/>
          <w:szCs w:val="24"/>
          <w:highlight w:val="none"/>
        </w:rPr>
        <w:t>近年完成的类似项目情况表</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2"/>
        <w:gridCol w:w="6208"/>
      </w:tblGrid>
      <w:tr w14:paraId="42BB7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252" w:type="dxa"/>
            <w:vAlign w:val="center"/>
          </w:tcPr>
          <w:p w14:paraId="0B8B904D">
            <w:pPr>
              <w:topLinePunct/>
              <w:spacing w:line="440" w:lineRule="exact"/>
              <w:jc w:val="center"/>
              <w:rPr>
                <w:rFonts w:ascii="宋体" w:hAnsi="宋体"/>
                <w:color w:val="auto"/>
                <w:sz w:val="24"/>
                <w:highlight w:val="none"/>
              </w:rPr>
            </w:pPr>
            <w:r>
              <w:rPr>
                <w:rFonts w:ascii="宋体" w:hAnsi="宋体"/>
                <w:color w:val="auto"/>
                <w:sz w:val="24"/>
                <w:highlight w:val="none"/>
              </w:rPr>
              <w:t>项目名称</w:t>
            </w:r>
          </w:p>
        </w:tc>
        <w:tc>
          <w:tcPr>
            <w:tcW w:w="6208" w:type="dxa"/>
          </w:tcPr>
          <w:p w14:paraId="0B6A6B6C">
            <w:pPr>
              <w:topLinePunct/>
              <w:spacing w:line="440" w:lineRule="exact"/>
              <w:rPr>
                <w:rFonts w:ascii="宋体" w:hAnsi="宋体"/>
                <w:color w:val="auto"/>
                <w:sz w:val="24"/>
                <w:highlight w:val="none"/>
              </w:rPr>
            </w:pPr>
          </w:p>
        </w:tc>
      </w:tr>
      <w:tr w14:paraId="29F1F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252" w:type="dxa"/>
            <w:vAlign w:val="center"/>
          </w:tcPr>
          <w:p w14:paraId="3C4C82DF">
            <w:pPr>
              <w:topLinePunct/>
              <w:spacing w:line="440" w:lineRule="exact"/>
              <w:jc w:val="center"/>
              <w:rPr>
                <w:rFonts w:ascii="宋体" w:hAnsi="宋体"/>
                <w:color w:val="auto"/>
                <w:sz w:val="24"/>
                <w:highlight w:val="none"/>
              </w:rPr>
            </w:pPr>
            <w:r>
              <w:rPr>
                <w:rFonts w:ascii="宋体" w:hAnsi="宋体"/>
                <w:color w:val="auto"/>
                <w:sz w:val="24"/>
                <w:highlight w:val="none"/>
              </w:rPr>
              <w:t>项目内容</w:t>
            </w:r>
          </w:p>
        </w:tc>
        <w:tc>
          <w:tcPr>
            <w:tcW w:w="6208" w:type="dxa"/>
          </w:tcPr>
          <w:p w14:paraId="092EDCAA">
            <w:pPr>
              <w:topLinePunct/>
              <w:spacing w:line="440" w:lineRule="exact"/>
              <w:rPr>
                <w:rFonts w:ascii="宋体" w:hAnsi="宋体"/>
                <w:color w:val="auto"/>
                <w:sz w:val="24"/>
                <w:highlight w:val="none"/>
              </w:rPr>
            </w:pPr>
          </w:p>
        </w:tc>
      </w:tr>
      <w:tr w14:paraId="4AED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252" w:type="dxa"/>
            <w:vAlign w:val="center"/>
          </w:tcPr>
          <w:p w14:paraId="2C09DE85">
            <w:pPr>
              <w:topLinePunct/>
              <w:spacing w:line="440" w:lineRule="exact"/>
              <w:jc w:val="center"/>
              <w:rPr>
                <w:rFonts w:ascii="宋体" w:hAnsi="宋体"/>
                <w:color w:val="auto"/>
                <w:sz w:val="24"/>
                <w:highlight w:val="none"/>
              </w:rPr>
            </w:pPr>
            <w:r>
              <w:rPr>
                <w:rFonts w:hint="eastAsia" w:ascii="宋体" w:hAnsi="宋体"/>
                <w:color w:val="auto"/>
                <w:sz w:val="24"/>
                <w:highlight w:val="none"/>
              </w:rPr>
              <w:t>采购</w:t>
            </w:r>
            <w:r>
              <w:rPr>
                <w:rFonts w:ascii="宋体" w:hAnsi="宋体"/>
                <w:color w:val="auto"/>
                <w:sz w:val="24"/>
                <w:highlight w:val="none"/>
              </w:rPr>
              <w:t>人名称</w:t>
            </w:r>
          </w:p>
        </w:tc>
        <w:tc>
          <w:tcPr>
            <w:tcW w:w="6208" w:type="dxa"/>
          </w:tcPr>
          <w:p w14:paraId="31F305F0">
            <w:pPr>
              <w:topLinePunct/>
              <w:spacing w:line="440" w:lineRule="exact"/>
              <w:rPr>
                <w:rFonts w:ascii="宋体" w:hAnsi="宋体"/>
                <w:color w:val="auto"/>
                <w:sz w:val="24"/>
                <w:highlight w:val="none"/>
              </w:rPr>
            </w:pPr>
          </w:p>
        </w:tc>
      </w:tr>
      <w:tr w14:paraId="581B2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252" w:type="dxa"/>
            <w:vAlign w:val="center"/>
          </w:tcPr>
          <w:p w14:paraId="617185FD">
            <w:pPr>
              <w:topLinePunct/>
              <w:spacing w:line="440" w:lineRule="exact"/>
              <w:jc w:val="center"/>
              <w:rPr>
                <w:rFonts w:ascii="宋体" w:hAnsi="宋体"/>
                <w:color w:val="auto"/>
                <w:sz w:val="24"/>
                <w:highlight w:val="none"/>
              </w:rPr>
            </w:pPr>
            <w:r>
              <w:rPr>
                <w:rFonts w:ascii="宋体" w:hAnsi="宋体"/>
                <w:color w:val="auto"/>
                <w:sz w:val="24"/>
                <w:highlight w:val="none"/>
              </w:rPr>
              <w:t>合同价格</w:t>
            </w:r>
          </w:p>
        </w:tc>
        <w:tc>
          <w:tcPr>
            <w:tcW w:w="6208" w:type="dxa"/>
          </w:tcPr>
          <w:p w14:paraId="289153D6">
            <w:pPr>
              <w:topLinePunct/>
              <w:spacing w:line="440" w:lineRule="exact"/>
              <w:rPr>
                <w:rFonts w:ascii="宋体" w:hAnsi="宋体"/>
                <w:color w:val="auto"/>
                <w:sz w:val="24"/>
                <w:highlight w:val="none"/>
              </w:rPr>
            </w:pPr>
          </w:p>
        </w:tc>
      </w:tr>
      <w:tr w14:paraId="21CCF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252" w:type="dxa"/>
            <w:vAlign w:val="center"/>
          </w:tcPr>
          <w:p w14:paraId="5F23F181">
            <w:pPr>
              <w:topLinePunct/>
              <w:spacing w:line="440" w:lineRule="exact"/>
              <w:jc w:val="center"/>
              <w:rPr>
                <w:rFonts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期</w:t>
            </w:r>
          </w:p>
        </w:tc>
        <w:tc>
          <w:tcPr>
            <w:tcW w:w="6208" w:type="dxa"/>
          </w:tcPr>
          <w:p w14:paraId="0E13BCC4">
            <w:pPr>
              <w:topLinePunct/>
              <w:spacing w:line="440" w:lineRule="exact"/>
              <w:rPr>
                <w:rFonts w:ascii="宋体" w:hAnsi="宋体"/>
                <w:color w:val="auto"/>
                <w:sz w:val="24"/>
                <w:highlight w:val="none"/>
              </w:rPr>
            </w:pPr>
          </w:p>
        </w:tc>
      </w:tr>
      <w:tr w14:paraId="54A79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252" w:type="dxa"/>
            <w:vAlign w:val="center"/>
          </w:tcPr>
          <w:p w14:paraId="1DF33412">
            <w:pPr>
              <w:topLinePunct/>
              <w:spacing w:line="440" w:lineRule="exact"/>
              <w:jc w:val="center"/>
              <w:rPr>
                <w:rFonts w:ascii="宋体" w:hAnsi="宋体"/>
                <w:color w:val="auto"/>
                <w:sz w:val="24"/>
                <w:highlight w:val="none"/>
              </w:rPr>
            </w:pPr>
            <w:r>
              <w:rPr>
                <w:rFonts w:ascii="宋体" w:hAnsi="宋体"/>
                <w:color w:val="auto"/>
                <w:sz w:val="24"/>
                <w:highlight w:val="none"/>
              </w:rPr>
              <w:t>项目负责人</w:t>
            </w:r>
          </w:p>
        </w:tc>
        <w:tc>
          <w:tcPr>
            <w:tcW w:w="6208" w:type="dxa"/>
          </w:tcPr>
          <w:p w14:paraId="592E1451">
            <w:pPr>
              <w:topLinePunct/>
              <w:spacing w:line="440" w:lineRule="exact"/>
              <w:rPr>
                <w:rFonts w:ascii="宋体" w:hAnsi="宋体"/>
                <w:color w:val="auto"/>
                <w:sz w:val="24"/>
                <w:highlight w:val="none"/>
              </w:rPr>
            </w:pPr>
          </w:p>
        </w:tc>
      </w:tr>
      <w:tr w14:paraId="04467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252" w:type="dxa"/>
            <w:vAlign w:val="center"/>
          </w:tcPr>
          <w:p w14:paraId="5B2E55AD">
            <w:pPr>
              <w:topLinePunct/>
              <w:spacing w:line="440" w:lineRule="exact"/>
              <w:jc w:val="center"/>
              <w:rPr>
                <w:rFonts w:ascii="宋体" w:hAnsi="宋体"/>
                <w:color w:val="auto"/>
                <w:sz w:val="24"/>
                <w:highlight w:val="none"/>
              </w:rPr>
            </w:pPr>
            <w:r>
              <w:rPr>
                <w:rFonts w:ascii="宋体" w:hAnsi="宋体"/>
                <w:color w:val="auto"/>
                <w:sz w:val="24"/>
                <w:highlight w:val="none"/>
              </w:rPr>
              <w:t>备注</w:t>
            </w:r>
          </w:p>
        </w:tc>
        <w:tc>
          <w:tcPr>
            <w:tcW w:w="6208" w:type="dxa"/>
          </w:tcPr>
          <w:p w14:paraId="2D2A828B">
            <w:pPr>
              <w:topLinePunct/>
              <w:spacing w:line="440" w:lineRule="exact"/>
              <w:rPr>
                <w:rFonts w:ascii="宋体" w:hAnsi="宋体"/>
                <w:color w:val="auto"/>
                <w:sz w:val="24"/>
                <w:highlight w:val="none"/>
              </w:rPr>
            </w:pPr>
          </w:p>
          <w:p w14:paraId="6AAE2B72">
            <w:pPr>
              <w:topLinePunct/>
              <w:spacing w:line="440" w:lineRule="exact"/>
              <w:rPr>
                <w:rFonts w:ascii="宋体" w:hAnsi="宋体"/>
                <w:color w:val="auto"/>
                <w:sz w:val="24"/>
                <w:highlight w:val="none"/>
              </w:rPr>
            </w:pPr>
          </w:p>
        </w:tc>
      </w:tr>
    </w:tbl>
    <w:p w14:paraId="1AD56D1E">
      <w:pPr>
        <w:pStyle w:val="18"/>
        <w:spacing w:line="440" w:lineRule="exact"/>
        <w:ind w:left="601" w:leftChars="50" w:hanging="496" w:hangingChars="207"/>
        <w:rPr>
          <w:rFonts w:ascii="宋体" w:hAnsi="宋体"/>
          <w:color w:val="auto"/>
          <w:highlight w:val="none"/>
        </w:rPr>
      </w:pPr>
      <w:r>
        <w:rPr>
          <w:rFonts w:ascii="宋体" w:hAnsi="宋体"/>
          <w:color w:val="auto"/>
          <w:highlight w:val="none"/>
        </w:rPr>
        <w:t>注：1、每张表格只填写一个项目</w:t>
      </w:r>
      <w:r>
        <w:rPr>
          <w:rFonts w:hint="eastAsia" w:ascii="宋体" w:hAnsi="宋体"/>
          <w:color w:val="auto"/>
          <w:highlight w:val="none"/>
        </w:rPr>
        <w:t>，</w:t>
      </w:r>
      <w:r>
        <w:rPr>
          <w:rFonts w:ascii="宋体" w:hAnsi="宋体"/>
          <w:color w:val="auto"/>
          <w:highlight w:val="none"/>
        </w:rPr>
        <w:t>并标明序号。</w:t>
      </w:r>
    </w:p>
    <w:p w14:paraId="2470161E">
      <w:pPr>
        <w:pStyle w:val="18"/>
        <w:numPr>
          <w:ilvl w:val="0"/>
          <w:numId w:val="34"/>
        </w:numPr>
        <w:spacing w:line="440" w:lineRule="exact"/>
        <w:ind w:firstLine="480" w:firstLineChars="200"/>
        <w:rPr>
          <w:rFonts w:ascii="宋体" w:hAnsi="宋体"/>
          <w:color w:val="auto"/>
          <w:highlight w:val="none"/>
        </w:rPr>
      </w:pPr>
      <w:r>
        <w:rPr>
          <w:rFonts w:ascii="宋体" w:hAnsi="宋体"/>
          <w:color w:val="auto"/>
          <w:highlight w:val="none"/>
        </w:rPr>
        <w:t>本表后须附业绩需提供</w:t>
      </w:r>
      <w:r>
        <w:rPr>
          <w:rFonts w:hint="eastAsia" w:ascii="宋体" w:hAnsi="宋体" w:cs="宋体"/>
          <w:color w:val="auto"/>
          <w:sz w:val="24"/>
          <w:highlight w:val="none"/>
        </w:rPr>
        <w:t>合同关键页和盖章页复印件</w:t>
      </w:r>
      <w:r>
        <w:rPr>
          <w:rFonts w:ascii="宋体" w:hAnsi="宋体"/>
          <w:color w:val="auto"/>
          <w:highlight w:val="none"/>
        </w:rPr>
        <w:t>作为证明材料</w:t>
      </w:r>
      <w:r>
        <w:rPr>
          <w:rFonts w:hint="eastAsia" w:ascii="宋体" w:hAnsi="宋体"/>
          <w:color w:val="auto"/>
          <w:highlight w:val="none"/>
        </w:rPr>
        <w:t>，</w:t>
      </w:r>
      <w:r>
        <w:rPr>
          <w:rFonts w:ascii="宋体" w:hAnsi="宋体"/>
          <w:color w:val="auto"/>
          <w:highlight w:val="none"/>
        </w:rPr>
        <w:t>复印件加盖公章。</w:t>
      </w:r>
    </w:p>
    <w:p w14:paraId="390D0EE4">
      <w:pPr>
        <w:pStyle w:val="18"/>
        <w:numPr>
          <w:ilvl w:val="0"/>
          <w:numId w:val="34"/>
        </w:numPr>
        <w:spacing w:line="440" w:lineRule="exact"/>
        <w:ind w:firstLine="480" w:firstLineChars="200"/>
        <w:rPr>
          <w:rFonts w:ascii="宋体" w:hAnsi="宋体"/>
          <w:color w:val="auto"/>
          <w:highlight w:val="none"/>
        </w:rPr>
      </w:pPr>
      <w:r>
        <w:rPr>
          <w:rFonts w:ascii="宋体" w:hAnsi="宋体"/>
          <w:color w:val="auto"/>
          <w:highlight w:val="none"/>
        </w:rPr>
        <w:t>如近年来</w:t>
      </w:r>
      <w:r>
        <w:rPr>
          <w:rFonts w:hint="eastAsia" w:ascii="宋体" w:hAnsi="宋体"/>
          <w:color w:val="auto"/>
          <w:highlight w:val="none"/>
        </w:rPr>
        <w:t>，</w:t>
      </w:r>
      <w:r>
        <w:rPr>
          <w:rFonts w:ascii="宋体" w:hAnsi="宋体"/>
          <w:color w:val="auto"/>
          <w:highlight w:val="none"/>
        </w:rPr>
        <w:t>服务商法人机构发生合法变更或重组或法人名称变更时</w:t>
      </w:r>
      <w:r>
        <w:rPr>
          <w:rFonts w:hint="eastAsia" w:ascii="宋体" w:hAnsi="宋体"/>
          <w:color w:val="auto"/>
          <w:highlight w:val="none"/>
        </w:rPr>
        <w:t>，</w:t>
      </w:r>
      <w:r>
        <w:rPr>
          <w:rFonts w:ascii="宋体" w:hAnsi="宋体"/>
          <w:color w:val="auto"/>
          <w:highlight w:val="none"/>
        </w:rPr>
        <w:t>应提供相关部门的合法批件或其他相关证明材料来证明其所附业绩的继承性。</w:t>
      </w:r>
    </w:p>
    <w:p w14:paraId="7D8A92B4">
      <w:pPr>
        <w:ind w:firstLine="480" w:firstLineChars="200"/>
        <w:rPr>
          <w:rFonts w:ascii="宋体" w:hAnsi="宋体" w:eastAsia="宋体"/>
          <w:color w:val="auto"/>
          <w:sz w:val="24"/>
          <w:highlight w:val="none"/>
        </w:rPr>
      </w:pPr>
      <w:r>
        <w:rPr>
          <w:rFonts w:hint="default" w:ascii="宋体" w:hAnsi="宋体" w:eastAsia="宋体"/>
          <w:color w:val="auto"/>
          <w:sz w:val="24"/>
          <w:highlight w:val="none"/>
          <w:lang w:val="en-US" w:eastAsia="zh-CN"/>
        </w:rPr>
        <w:t>4、</w:t>
      </w:r>
      <w:r>
        <w:rPr>
          <w:rFonts w:hint="default" w:ascii="宋体" w:hAnsi="宋体" w:eastAsia="宋体" w:cs="Times New Roman"/>
          <w:color w:val="auto"/>
          <w:sz w:val="24"/>
          <w:szCs w:val="24"/>
          <w:highlight w:val="none"/>
        </w:rPr>
        <w:t>近三年</w:t>
      </w:r>
      <w:r>
        <w:rPr>
          <w:rFonts w:hint="default" w:ascii="宋体" w:hAnsi="宋体" w:eastAsia="宋体" w:cs="Times New Roman"/>
          <w:color w:val="auto"/>
          <w:sz w:val="24"/>
          <w:szCs w:val="24"/>
          <w:highlight w:val="none"/>
          <w:lang w:eastAsia="zh-CN"/>
        </w:rPr>
        <w:t>（</w:t>
      </w:r>
      <w:r>
        <w:rPr>
          <w:rFonts w:hint="default" w:ascii="宋体" w:hAnsi="宋体" w:eastAsia="宋体" w:cs="Times New Roman"/>
          <w:color w:val="auto"/>
          <w:sz w:val="24"/>
          <w:szCs w:val="24"/>
          <w:highlight w:val="none"/>
          <w:lang w:val="en-US" w:eastAsia="zh-CN"/>
        </w:rPr>
        <w:t>指的从</w:t>
      </w:r>
      <w:r>
        <w:rPr>
          <w:rFonts w:hint="eastAsia" w:ascii="宋体" w:hAnsi="宋体" w:cs="Times New Roman"/>
          <w:color w:val="auto"/>
          <w:sz w:val="24"/>
          <w:szCs w:val="24"/>
          <w:highlight w:val="none"/>
          <w:lang w:val="en-US" w:eastAsia="zh-CN"/>
        </w:rPr>
        <w:t>2023年1月1日</w:t>
      </w:r>
      <w:r>
        <w:rPr>
          <w:rFonts w:hint="default" w:ascii="宋体" w:hAnsi="宋体" w:eastAsia="宋体" w:cs="Times New Roman"/>
          <w:color w:val="auto"/>
          <w:sz w:val="24"/>
          <w:szCs w:val="24"/>
          <w:highlight w:val="none"/>
          <w:lang w:val="en-US" w:eastAsia="zh-CN"/>
        </w:rPr>
        <w:t>至今</w:t>
      </w:r>
      <w:r>
        <w:rPr>
          <w:rFonts w:hint="default" w:ascii="宋体" w:hAnsi="宋体" w:eastAsia="宋体" w:cs="Times New Roman"/>
          <w:color w:val="auto"/>
          <w:sz w:val="24"/>
          <w:szCs w:val="24"/>
          <w:highlight w:val="none"/>
          <w:lang w:eastAsia="zh-CN"/>
        </w:rPr>
        <w:t>）</w:t>
      </w:r>
      <w:r>
        <w:rPr>
          <w:rFonts w:hint="default" w:ascii="宋体" w:hAnsi="宋体" w:eastAsia="宋体" w:cs="Times New Roman"/>
          <w:color w:val="auto"/>
          <w:sz w:val="24"/>
          <w:szCs w:val="24"/>
          <w:highlight w:val="none"/>
        </w:rPr>
        <w:t>已完成或正在履约的</w:t>
      </w:r>
      <w:r>
        <w:rPr>
          <w:rFonts w:hint="default" w:ascii="宋体" w:hAnsi="宋体" w:eastAsia="宋体" w:cs="Times New Roman"/>
          <w:color w:val="auto"/>
          <w:sz w:val="24"/>
          <w:szCs w:val="24"/>
          <w:highlight w:val="none"/>
          <w:lang w:val="en-US" w:eastAsia="zh-CN"/>
        </w:rPr>
        <w:t>同类项目。</w:t>
      </w:r>
    </w:p>
    <w:p w14:paraId="24423D16">
      <w:pPr>
        <w:rPr>
          <w:rFonts w:ascii="宋体" w:hAnsi="宋体"/>
          <w:b/>
          <w:color w:val="auto"/>
          <w:sz w:val="24"/>
          <w:highlight w:val="none"/>
        </w:rPr>
      </w:pPr>
    </w:p>
    <w:p w14:paraId="5070454F">
      <w:pPr>
        <w:rPr>
          <w:rFonts w:ascii="宋体" w:hAnsi="宋体"/>
          <w:color w:val="auto"/>
          <w:sz w:val="24"/>
          <w:highlight w:val="none"/>
        </w:rPr>
      </w:pPr>
    </w:p>
    <w:p w14:paraId="2BEC15CA">
      <w:pPr>
        <w:rPr>
          <w:rFonts w:ascii="宋体" w:hAnsi="宋体"/>
          <w:b/>
          <w:color w:val="auto"/>
          <w:sz w:val="24"/>
          <w:highlight w:val="none"/>
        </w:rPr>
      </w:pPr>
    </w:p>
    <w:p w14:paraId="222630B7">
      <w:pPr>
        <w:rPr>
          <w:rFonts w:ascii="宋体" w:hAnsi="宋体"/>
          <w:color w:val="auto"/>
          <w:sz w:val="24"/>
          <w:highlight w:val="none"/>
        </w:rPr>
      </w:pPr>
    </w:p>
    <w:p w14:paraId="7354B568">
      <w:pPr>
        <w:rPr>
          <w:rFonts w:ascii="宋体" w:hAnsi="宋体"/>
          <w:b/>
          <w:color w:val="auto"/>
          <w:sz w:val="24"/>
          <w:highlight w:val="none"/>
        </w:rPr>
      </w:pPr>
    </w:p>
    <w:p w14:paraId="59ADCDD5">
      <w:pPr>
        <w:rPr>
          <w:rFonts w:ascii="宋体" w:hAnsi="宋体"/>
          <w:color w:val="auto"/>
          <w:sz w:val="24"/>
          <w:highlight w:val="none"/>
        </w:rPr>
      </w:pPr>
    </w:p>
    <w:p w14:paraId="1DE2B4DF">
      <w:pPr>
        <w:rPr>
          <w:rFonts w:ascii="宋体" w:hAnsi="宋体"/>
          <w:b/>
          <w:color w:val="auto"/>
          <w:sz w:val="24"/>
          <w:highlight w:val="none"/>
        </w:rPr>
      </w:pPr>
    </w:p>
    <w:p w14:paraId="25686017">
      <w:pPr>
        <w:rPr>
          <w:rFonts w:ascii="宋体" w:hAnsi="宋体"/>
          <w:b/>
          <w:color w:val="auto"/>
          <w:sz w:val="24"/>
          <w:highlight w:val="none"/>
        </w:rPr>
      </w:pPr>
    </w:p>
    <w:p w14:paraId="4AE8435D">
      <w:pPr>
        <w:widowControl/>
        <w:jc w:val="left"/>
        <w:rPr>
          <w:rFonts w:ascii="宋体" w:hAnsi="宋体" w:eastAsia="黑体"/>
          <w:b/>
          <w:color w:val="auto"/>
          <w:kern w:val="0"/>
          <w:sz w:val="24"/>
          <w:szCs w:val="20"/>
          <w:highlight w:val="none"/>
        </w:rPr>
      </w:pPr>
      <w:r>
        <w:rPr>
          <w:rFonts w:ascii="宋体" w:hAnsi="宋体"/>
          <w:color w:val="auto"/>
          <w:sz w:val="24"/>
          <w:highlight w:val="none"/>
        </w:rPr>
        <w:br w:type="page"/>
      </w:r>
    </w:p>
    <w:p w14:paraId="4166FCA3">
      <w:pPr>
        <w:pStyle w:val="5"/>
        <w:jc w:val="center"/>
        <w:rPr>
          <w:rFonts w:ascii="宋体" w:hAnsi="宋体"/>
          <w:color w:val="auto"/>
          <w:sz w:val="24"/>
          <w:highlight w:val="none"/>
        </w:rPr>
      </w:pPr>
      <w:r>
        <w:rPr>
          <w:rFonts w:hint="eastAsia" w:ascii="宋体" w:hAnsi="宋体" w:cs="宋体"/>
          <w:b/>
          <w:bCs/>
          <w:color w:val="auto"/>
          <w:kern w:val="0"/>
          <w:sz w:val="24"/>
          <w:highlight w:val="none"/>
          <w:lang w:bidi="ar"/>
        </w:rPr>
        <w:t>9</w:t>
      </w:r>
      <w:r>
        <w:rPr>
          <w:rFonts w:ascii="宋体" w:hAnsi="宋体" w:cs="宋体"/>
          <w:b/>
          <w:bCs/>
          <w:color w:val="auto"/>
          <w:kern w:val="0"/>
          <w:sz w:val="24"/>
          <w:highlight w:val="none"/>
          <w:lang w:bidi="ar"/>
        </w:rPr>
        <w:t>.3</w:t>
      </w:r>
      <w:r>
        <w:rPr>
          <w:rFonts w:hint="eastAsia" w:ascii="宋体" w:hAnsi="宋体" w:cs="宋体"/>
          <w:b/>
          <w:bCs/>
          <w:color w:val="auto"/>
          <w:kern w:val="0"/>
          <w:sz w:val="24"/>
          <w:highlight w:val="none"/>
          <w:lang w:bidi="ar"/>
        </w:rPr>
        <w:t>技术文件</w:t>
      </w:r>
      <w:r>
        <w:rPr>
          <w:rFonts w:hint="eastAsia" w:ascii="宋体" w:hAnsi="宋体"/>
          <w:color w:val="auto"/>
          <w:sz w:val="24"/>
          <w:highlight w:val="none"/>
        </w:rPr>
        <w:t>（格式自拟）</w:t>
      </w:r>
    </w:p>
    <w:p w14:paraId="75A885E4">
      <w:pPr>
        <w:ind w:firstLine="480" w:firstLineChars="200"/>
        <w:rPr>
          <w:rFonts w:ascii="宋体" w:hAnsi="宋体"/>
          <w:color w:val="auto"/>
          <w:sz w:val="24"/>
          <w:highlight w:val="none"/>
        </w:rPr>
      </w:pPr>
      <w:r>
        <w:rPr>
          <w:rFonts w:hint="eastAsia" w:ascii="宋体" w:hAnsi="宋体" w:cs="宋体"/>
          <w:color w:val="auto"/>
          <w:sz w:val="24"/>
          <w:highlight w:val="none"/>
        </w:rPr>
        <w:t>不限定格式，由投标人根据第四章评标方法中的要求，自拟格式编撰。</w:t>
      </w:r>
    </w:p>
    <w:p w14:paraId="0E35F55F">
      <w:pPr>
        <w:widowControl/>
        <w:jc w:val="left"/>
        <w:rPr>
          <w:rFonts w:ascii="宋体" w:hAnsi="宋体"/>
          <w:b/>
          <w:color w:val="auto"/>
          <w:sz w:val="24"/>
          <w:highlight w:val="none"/>
        </w:rPr>
      </w:pPr>
    </w:p>
    <w:p w14:paraId="7A1EF141">
      <w:pPr>
        <w:rPr>
          <w:color w:val="auto"/>
          <w:highlight w:val="none"/>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宋体"/>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7F" w:usb3="00000000" w:csb0="203F01FF" w:csb1="D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 w:name="FZShuSong-Z0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DejaVu Sans">
    <w:altName w:val="Segoe Print"/>
    <w:panose1 w:val="00000000000000000000"/>
    <w:charset w:val="00"/>
    <w:family w:val="auto"/>
    <w:pitch w:val="default"/>
    <w:sig w:usb0="00000000" w:usb1="00000000" w:usb2="00000000" w:usb3="00000000" w:csb0="0000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591BC">
    <w:pPr>
      <w:pStyle w:val="29"/>
      <w:ind w:right="360"/>
      <w:rPr>
        <w:rStyle w:val="51"/>
      </w:rPr>
    </w:pPr>
  </w:p>
  <w:p w14:paraId="7C94B46D">
    <w:pPr>
      <w:pStyle w:val="29"/>
      <w:ind w:right="360" w:firstLine="36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03E49">
    <w:pPr>
      <w:pStyle w:val="2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6D1803">
                          <w:pPr>
                            <w:pStyle w:val="29"/>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86D1803">
                    <w:pPr>
                      <w:pStyle w:val="29"/>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96524">
    <w:pPr>
      <w:spacing w:line="173" w:lineRule="auto"/>
      <w:ind w:left="4456"/>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BA6849">
                          <w:pPr>
                            <w:pStyle w:val="29"/>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1BA6849">
                    <w:pPr>
                      <w:pStyle w:val="29"/>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5D246">
    <w:pPr>
      <w:pStyle w:val="2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09D5FC">
                          <w:pPr>
                            <w:pStyle w:val="29"/>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809D5FC">
                    <w:pPr>
                      <w:pStyle w:val="29"/>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B5069">
    <w:pPr>
      <w:pStyle w:val="29"/>
      <w:framePr w:wrap="around" w:vAnchor="text" w:hAnchor="margin" w:xAlign="outside" w:y="1"/>
      <w:rPr>
        <w:rStyle w:val="51"/>
      </w:rPr>
    </w:pPr>
    <w:r>
      <w:rPr>
        <w:rStyle w:val="51"/>
      </w:rPr>
      <w:fldChar w:fldCharType="begin"/>
    </w:r>
    <w:r>
      <w:rPr>
        <w:rStyle w:val="51"/>
      </w:rPr>
      <w:instrText xml:space="preserve">PAGE  </w:instrText>
    </w:r>
    <w:r>
      <w:rPr>
        <w:rStyle w:val="51"/>
      </w:rPr>
      <w:fldChar w:fldCharType="separate"/>
    </w:r>
    <w:r>
      <w:rPr>
        <w:rStyle w:val="51"/>
      </w:rPr>
      <w:t>- 0 -</w:t>
    </w:r>
    <w:r>
      <w:rPr>
        <w:rStyle w:val="51"/>
      </w:rPr>
      <w:fldChar w:fldCharType="end"/>
    </w:r>
  </w:p>
  <w:p w14:paraId="7AD83DA8">
    <w:pPr>
      <w:pStyle w:val="29"/>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49345">
    <w:pPr>
      <w:pStyle w:val="2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E2FB81">
                          <w:pPr>
                            <w:pStyle w:val="29"/>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4E2FB81">
                    <w:pPr>
                      <w:pStyle w:val="29"/>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A5559">
    <w:pPr>
      <w:pStyle w:val="29"/>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14:paraId="051E00C4">
    <w:pPr>
      <w:pStyle w:val="29"/>
      <w:ind w:right="360"/>
    </w:pPr>
  </w:p>
  <w:p w14:paraId="77C17830"/>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99DF6">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E8523">
    <w:pPr>
      <w:pStyle w:val="29"/>
      <w:ind w:right="360"/>
      <w:rPr>
        <w:rStyle w:val="51"/>
      </w:rPr>
    </w:pPr>
  </w:p>
  <w:p w14:paraId="407935F4">
    <w:pPr>
      <w:pStyle w:val="29"/>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8886D">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2FB2A9">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D2FB2A9">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14BAB">
    <w:pPr>
      <w:pStyle w:val="2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576D1">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576D1">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1452B">
    <w:pPr>
      <w:pStyle w:val="29"/>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14:paraId="65A2B7E9">
    <w:pPr>
      <w:pStyle w:val="2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93274">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07F62">
    <w:pPr>
      <w:pStyle w:val="2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5EEC86">
                          <w:pPr>
                            <w:pStyle w:val="29"/>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85EEC86">
                    <w:pPr>
                      <w:pStyle w:val="29"/>
                    </w:pPr>
                    <w:r>
                      <w:fldChar w:fldCharType="begin"/>
                    </w:r>
                    <w:r>
                      <w:instrText xml:space="preserve"> PAGE  \* MERGEFORMAT </w:instrText>
                    </w:r>
                    <w:r>
                      <w:fldChar w:fldCharType="separate"/>
                    </w:r>
                    <w:r>
                      <w:t>38</w:t>
                    </w:r>
                    <w:r>
                      <w:fldChar w:fldCharType="end"/>
                    </w:r>
                  </w:p>
                </w:txbxContent>
              </v:textbox>
            </v:shape>
          </w:pict>
        </mc:Fallback>
      </mc:AlternateContent>
    </w:r>
  </w:p>
  <w:p w14:paraId="72143635">
    <w:pPr>
      <w:pStyle w:val="29"/>
      <w:rPr>
        <w:rFonts w:ascii="华文细黑" w:hAnsi="华文细黑" w:eastAsia="华文细黑"/>
        <w:sz w:val="21"/>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CA44D">
    <w:pPr>
      <w:pStyle w:val="17"/>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63BD72">
                          <w:pPr>
                            <w:pStyle w:val="29"/>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763BD72">
                    <w:pPr>
                      <w:pStyle w:val="29"/>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7CFC">
    <w:pPr>
      <w:pStyle w:val="2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44DFBB">
                          <w:pPr>
                            <w:pStyle w:val="29"/>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E44DFBB">
                    <w:pPr>
                      <w:pStyle w:val="29"/>
                    </w:pPr>
                    <w:r>
                      <w:fldChar w:fldCharType="begin"/>
                    </w:r>
                    <w:r>
                      <w:instrText xml:space="preserve"> PAGE  \* MERGEFORMAT </w:instrText>
                    </w:r>
                    <w:r>
                      <w:fldChar w:fldCharType="separate"/>
                    </w:r>
                    <w:r>
                      <w:t>88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36F85">
    <w:pPr>
      <w:pStyle w:val="30"/>
      <w:pBdr>
        <w:bottom w:val="none" w:color="auto" w:sz="0" w:space="1"/>
      </w:pBd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C752D">
    <w:pPr>
      <w:pStyle w:val="30"/>
      <w:pBdr>
        <w:bottom w:val="none" w:color="auto" w:sz="0" w:space="0"/>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FF088">
    <w:pPr>
      <w:pStyle w:val="30"/>
      <w:pBdr>
        <w:bottom w:val="none" w:color="auto" w:sz="0" w:space="0"/>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3EFA9">
    <w:pPr>
      <w:pStyle w:val="30"/>
      <w:pBdr>
        <w:bottom w:val="none" w:color="auto" w:sz="0" w:space="0"/>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31AC6">
    <w:pPr>
      <w:pStyle w:val="30"/>
    </w:pPr>
  </w:p>
  <w:p w14:paraId="6BF79A8F"/>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8405E">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50591">
    <w:pPr>
      <w:pStyle w:val="3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9F6CB">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CFC55">
    <w:pPr>
      <w:pStyle w:val="30"/>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24176">
    <w:pPr>
      <w:pStyle w:val="30"/>
      <w:pBdr>
        <w:bottom w:val="none" w:color="auto" w:sz="0" w:space="1"/>
      </w:pBdr>
      <w:ind w:right="-92"/>
      <w:jc w:val="right"/>
      <w:rPr>
        <w:rFonts w:ascii="华文细黑" w:hAnsi="华文细黑" w:eastAsia="华文细黑"/>
        <w:sz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C2238">
    <w:pPr>
      <w:pStyle w:val="30"/>
      <w:pBdr>
        <w:bottom w:val="none" w:color="auto" w:sz="0" w:space="1"/>
      </w:pBdr>
      <w:ind w:right="-92"/>
      <w:jc w:val="right"/>
      <w:rPr>
        <w:rFonts w:ascii="华文细黑" w:hAnsi="华文细黑" w:eastAsia="华文细黑"/>
        <w:sz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02987">
    <w:pPr>
      <w:pStyle w:val="30"/>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410C6">
    <w:pPr>
      <w:pStyle w:val="30"/>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932A1">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A5FA4"/>
    <w:multiLevelType w:val="singleLevel"/>
    <w:tmpl w:val="841A5FA4"/>
    <w:lvl w:ilvl="0" w:tentative="0">
      <w:start w:val="6"/>
      <w:numFmt w:val="chineseCounting"/>
      <w:suff w:val="nothing"/>
      <w:lvlText w:val="%1、"/>
      <w:lvlJc w:val="left"/>
      <w:rPr>
        <w:rFonts w:hint="eastAsia"/>
      </w:rPr>
    </w:lvl>
  </w:abstractNum>
  <w:abstractNum w:abstractNumId="1">
    <w:nsid w:val="8BEB66D6"/>
    <w:multiLevelType w:val="singleLevel"/>
    <w:tmpl w:val="8BEB66D6"/>
    <w:lvl w:ilvl="0" w:tentative="0">
      <w:start w:val="4"/>
      <w:numFmt w:val="chineseCounting"/>
      <w:suff w:val="nothing"/>
      <w:lvlText w:val="%1、"/>
      <w:lvlJc w:val="left"/>
      <w:rPr>
        <w:rFonts w:hint="eastAsia"/>
      </w:rPr>
    </w:lvl>
  </w:abstractNum>
  <w:abstractNum w:abstractNumId="2">
    <w:nsid w:val="A9720635"/>
    <w:multiLevelType w:val="singleLevel"/>
    <w:tmpl w:val="A9720635"/>
    <w:lvl w:ilvl="0" w:tentative="0">
      <w:start w:val="3"/>
      <w:numFmt w:val="decimal"/>
      <w:lvlText w:val="%1."/>
      <w:lvlJc w:val="left"/>
      <w:pPr>
        <w:tabs>
          <w:tab w:val="left" w:pos="312"/>
        </w:tabs>
      </w:pPr>
    </w:lvl>
  </w:abstractNum>
  <w:abstractNum w:abstractNumId="3">
    <w:nsid w:val="BD7F9F17"/>
    <w:multiLevelType w:val="singleLevel"/>
    <w:tmpl w:val="BD7F9F17"/>
    <w:lvl w:ilvl="0" w:tentative="0">
      <w:start w:val="15"/>
      <w:numFmt w:val="chineseCounting"/>
      <w:suff w:val="space"/>
      <w:lvlText w:val="第%1条"/>
      <w:lvlJc w:val="left"/>
      <w:rPr>
        <w:rFonts w:hint="eastAsia"/>
      </w:rPr>
    </w:lvl>
  </w:abstractNum>
  <w:abstractNum w:abstractNumId="4">
    <w:nsid w:val="D1B54404"/>
    <w:multiLevelType w:val="singleLevel"/>
    <w:tmpl w:val="D1B54404"/>
    <w:lvl w:ilvl="0" w:tentative="0">
      <w:start w:val="1"/>
      <w:numFmt w:val="chineseCounting"/>
      <w:suff w:val="space"/>
      <w:lvlText w:val="第%1章"/>
      <w:lvlJc w:val="left"/>
      <w:rPr>
        <w:rFonts w:hint="eastAsia"/>
      </w:rPr>
    </w:lvl>
  </w:abstractNum>
  <w:abstractNum w:abstractNumId="5">
    <w:nsid w:val="DFD75AAE"/>
    <w:multiLevelType w:val="singleLevel"/>
    <w:tmpl w:val="DFD75AAE"/>
    <w:lvl w:ilvl="0" w:tentative="0">
      <w:start w:val="1"/>
      <w:numFmt w:val="decimal"/>
      <w:suff w:val="nothing"/>
      <w:lvlText w:val="（%1）"/>
      <w:lvlJc w:val="left"/>
    </w:lvl>
  </w:abstractNum>
  <w:abstractNum w:abstractNumId="6">
    <w:nsid w:val="F5FBFC1B"/>
    <w:multiLevelType w:val="singleLevel"/>
    <w:tmpl w:val="F5FBFC1B"/>
    <w:lvl w:ilvl="0" w:tentative="0">
      <w:start w:val="1"/>
      <w:numFmt w:val="decimal"/>
      <w:suff w:val="nothing"/>
      <w:lvlText w:val="（%1）"/>
      <w:lvlJc w:val="left"/>
    </w:lvl>
  </w:abstractNum>
  <w:abstractNum w:abstractNumId="7">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8">
    <w:nsid w:val="0000000A"/>
    <w:multiLevelType w:val="multilevel"/>
    <w:tmpl w:val="0000000A"/>
    <w:lvl w:ilvl="0" w:tentative="0">
      <w:start w:val="1"/>
      <w:numFmt w:val="decimal"/>
      <w:pStyle w:val="114"/>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D"/>
    <w:multiLevelType w:val="multilevel"/>
    <w:tmpl w:val="0000000D"/>
    <w:lvl w:ilvl="0" w:tentative="0">
      <w:start w:val="1"/>
      <w:numFmt w:val="lowerLetter"/>
      <w:pStyle w:val="189"/>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0">
    <w:nsid w:val="00000013"/>
    <w:multiLevelType w:val="singleLevel"/>
    <w:tmpl w:val="00000013"/>
    <w:lvl w:ilvl="0" w:tentative="0">
      <w:start w:val="1"/>
      <w:numFmt w:val="decimal"/>
      <w:pStyle w:val="159"/>
      <w:lvlText w:val="%1."/>
      <w:lvlJc w:val="left"/>
      <w:pPr>
        <w:tabs>
          <w:tab w:val="left" w:pos="360"/>
        </w:tabs>
        <w:ind w:left="360" w:hanging="360"/>
      </w:pPr>
      <w:rPr>
        <w:rFonts w:hint="default"/>
      </w:rPr>
    </w:lvl>
  </w:abstractNum>
  <w:abstractNum w:abstractNumId="11">
    <w:nsid w:val="00000026"/>
    <w:multiLevelType w:val="multilevel"/>
    <w:tmpl w:val="00000026"/>
    <w:lvl w:ilvl="0" w:tentative="0">
      <w:start w:val="1"/>
      <w:numFmt w:val="decimal"/>
      <w:pStyle w:val="108"/>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2"/>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5"/>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8"/>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2">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6"/>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3">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0000002F"/>
    <w:multiLevelType w:val="multilevel"/>
    <w:tmpl w:val="0000002F"/>
    <w:lvl w:ilvl="0" w:tentative="0">
      <w:start w:val="1"/>
      <w:numFmt w:val="decimal"/>
      <w:pStyle w:val="11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6">
    <w:nsid w:val="0C891CAF"/>
    <w:multiLevelType w:val="multilevel"/>
    <w:tmpl w:val="0C891CAF"/>
    <w:lvl w:ilvl="0" w:tentative="0">
      <w:start w:val="1"/>
      <w:numFmt w:val="decimal"/>
      <w:lvlText w:val="%1."/>
      <w:lvlJc w:val="left"/>
      <w:pPr>
        <w:ind w:left="915" w:hanging="264"/>
      </w:pPr>
      <w:rPr>
        <w:rFonts w:hint="default" w:ascii="Times New Roman" w:hAnsi="Times New Roman" w:eastAsia="Times New Roman" w:cs="Times New Roman"/>
        <w:w w:val="100"/>
        <w:sz w:val="21"/>
        <w:szCs w:val="21"/>
      </w:rPr>
    </w:lvl>
    <w:lvl w:ilvl="1" w:tentative="0">
      <w:start w:val="0"/>
      <w:numFmt w:val="bullet"/>
      <w:lvlText w:val="•"/>
      <w:lvlJc w:val="left"/>
      <w:pPr>
        <w:ind w:left="1728" w:hanging="264"/>
      </w:pPr>
      <w:rPr>
        <w:rFonts w:hint="default"/>
      </w:rPr>
    </w:lvl>
    <w:lvl w:ilvl="2" w:tentative="0">
      <w:start w:val="0"/>
      <w:numFmt w:val="bullet"/>
      <w:lvlText w:val="•"/>
      <w:lvlJc w:val="left"/>
      <w:pPr>
        <w:ind w:left="2537" w:hanging="264"/>
      </w:pPr>
      <w:rPr>
        <w:rFonts w:hint="default"/>
      </w:rPr>
    </w:lvl>
    <w:lvl w:ilvl="3" w:tentative="0">
      <w:start w:val="0"/>
      <w:numFmt w:val="bullet"/>
      <w:lvlText w:val="•"/>
      <w:lvlJc w:val="left"/>
      <w:pPr>
        <w:ind w:left="3345" w:hanging="264"/>
      </w:pPr>
      <w:rPr>
        <w:rFonts w:hint="default"/>
      </w:rPr>
    </w:lvl>
    <w:lvl w:ilvl="4" w:tentative="0">
      <w:start w:val="0"/>
      <w:numFmt w:val="bullet"/>
      <w:lvlText w:val="•"/>
      <w:lvlJc w:val="left"/>
      <w:pPr>
        <w:ind w:left="4154" w:hanging="264"/>
      </w:pPr>
      <w:rPr>
        <w:rFonts w:hint="default"/>
      </w:rPr>
    </w:lvl>
    <w:lvl w:ilvl="5" w:tentative="0">
      <w:start w:val="0"/>
      <w:numFmt w:val="bullet"/>
      <w:lvlText w:val="•"/>
      <w:lvlJc w:val="left"/>
      <w:pPr>
        <w:ind w:left="4963" w:hanging="264"/>
      </w:pPr>
      <w:rPr>
        <w:rFonts w:hint="default"/>
      </w:rPr>
    </w:lvl>
    <w:lvl w:ilvl="6" w:tentative="0">
      <w:start w:val="0"/>
      <w:numFmt w:val="bullet"/>
      <w:lvlText w:val="•"/>
      <w:lvlJc w:val="left"/>
      <w:pPr>
        <w:ind w:left="5771" w:hanging="264"/>
      </w:pPr>
      <w:rPr>
        <w:rFonts w:hint="default"/>
      </w:rPr>
    </w:lvl>
    <w:lvl w:ilvl="7" w:tentative="0">
      <w:start w:val="0"/>
      <w:numFmt w:val="bullet"/>
      <w:lvlText w:val="•"/>
      <w:lvlJc w:val="left"/>
      <w:pPr>
        <w:ind w:left="6580" w:hanging="264"/>
      </w:pPr>
      <w:rPr>
        <w:rFonts w:hint="default"/>
      </w:rPr>
    </w:lvl>
    <w:lvl w:ilvl="8" w:tentative="0">
      <w:start w:val="0"/>
      <w:numFmt w:val="bullet"/>
      <w:lvlText w:val="•"/>
      <w:lvlJc w:val="left"/>
      <w:pPr>
        <w:ind w:left="7389" w:hanging="264"/>
      </w:pPr>
      <w:rPr>
        <w:rFonts w:hint="default"/>
      </w:rPr>
    </w:lvl>
  </w:abstractNum>
  <w:abstractNum w:abstractNumId="17">
    <w:nsid w:val="0E230849"/>
    <w:multiLevelType w:val="multilevel"/>
    <w:tmpl w:val="0E230849"/>
    <w:lvl w:ilvl="0" w:tentative="0">
      <w:start w:val="1"/>
      <w:numFmt w:val="decimal"/>
      <w:pStyle w:val="214"/>
      <w:lvlText w:val="%1"/>
      <w:lvlJc w:val="left"/>
      <w:pPr>
        <w:ind w:left="680" w:hanging="680"/>
      </w:pPr>
      <w:rPr>
        <w:rFonts w:hint="eastAsia" w:ascii="宋体" w:hAnsi="宋体" w:eastAsia="宋体"/>
      </w:rPr>
    </w:lvl>
    <w:lvl w:ilvl="1" w:tentative="0">
      <w:start w:val="1"/>
      <w:numFmt w:val="decimal"/>
      <w:pStyle w:val="215"/>
      <w:lvlText w:val="%1.%2"/>
      <w:lvlJc w:val="left"/>
      <w:pPr>
        <w:ind w:left="851" w:hanging="851"/>
      </w:pPr>
      <w:rPr>
        <w:rFonts w:hint="eastAsia" w:ascii="宋体" w:hAnsi="宋体" w:eastAsia="宋体"/>
        <w:color w:val="auto"/>
      </w:rPr>
    </w:lvl>
    <w:lvl w:ilvl="2" w:tentative="0">
      <w:start w:val="1"/>
      <w:numFmt w:val="decimal"/>
      <w:pStyle w:val="21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8">
    <w:nsid w:val="0E5F01B7"/>
    <w:multiLevelType w:val="multilevel"/>
    <w:tmpl w:val="0E5F01B7"/>
    <w:lvl w:ilvl="0" w:tentative="0">
      <w:start w:val="1"/>
      <w:numFmt w:val="decimal"/>
      <w:lvlText w:val="%1."/>
      <w:lvlJc w:val="left"/>
      <w:pPr>
        <w:ind w:left="967" w:hanging="264"/>
      </w:pPr>
      <w:rPr>
        <w:rFonts w:hint="default" w:ascii="Times New Roman" w:hAnsi="Times New Roman" w:eastAsia="Times New Roman" w:cs="Times New Roman"/>
        <w:w w:val="100"/>
        <w:sz w:val="21"/>
        <w:szCs w:val="21"/>
      </w:rPr>
    </w:lvl>
    <w:lvl w:ilvl="1" w:tentative="0">
      <w:start w:val="0"/>
      <w:numFmt w:val="bullet"/>
      <w:lvlText w:val="•"/>
      <w:lvlJc w:val="left"/>
      <w:pPr>
        <w:ind w:left="1764" w:hanging="264"/>
      </w:pPr>
      <w:rPr>
        <w:rFonts w:hint="default"/>
      </w:rPr>
    </w:lvl>
    <w:lvl w:ilvl="2" w:tentative="0">
      <w:start w:val="0"/>
      <w:numFmt w:val="bullet"/>
      <w:lvlText w:val="•"/>
      <w:lvlJc w:val="left"/>
      <w:pPr>
        <w:ind w:left="2569" w:hanging="264"/>
      </w:pPr>
      <w:rPr>
        <w:rFonts w:hint="default"/>
      </w:rPr>
    </w:lvl>
    <w:lvl w:ilvl="3" w:tentative="0">
      <w:start w:val="0"/>
      <w:numFmt w:val="bullet"/>
      <w:lvlText w:val="•"/>
      <w:lvlJc w:val="left"/>
      <w:pPr>
        <w:ind w:left="3373" w:hanging="264"/>
      </w:pPr>
      <w:rPr>
        <w:rFonts w:hint="default"/>
      </w:rPr>
    </w:lvl>
    <w:lvl w:ilvl="4" w:tentative="0">
      <w:start w:val="0"/>
      <w:numFmt w:val="bullet"/>
      <w:lvlText w:val="•"/>
      <w:lvlJc w:val="left"/>
      <w:pPr>
        <w:ind w:left="4178" w:hanging="264"/>
      </w:pPr>
      <w:rPr>
        <w:rFonts w:hint="default"/>
      </w:rPr>
    </w:lvl>
    <w:lvl w:ilvl="5" w:tentative="0">
      <w:start w:val="0"/>
      <w:numFmt w:val="bullet"/>
      <w:lvlText w:val="•"/>
      <w:lvlJc w:val="left"/>
      <w:pPr>
        <w:ind w:left="4983" w:hanging="264"/>
      </w:pPr>
      <w:rPr>
        <w:rFonts w:hint="default"/>
      </w:rPr>
    </w:lvl>
    <w:lvl w:ilvl="6" w:tentative="0">
      <w:start w:val="0"/>
      <w:numFmt w:val="bullet"/>
      <w:lvlText w:val="•"/>
      <w:lvlJc w:val="left"/>
      <w:pPr>
        <w:ind w:left="5787" w:hanging="264"/>
      </w:pPr>
      <w:rPr>
        <w:rFonts w:hint="default"/>
      </w:rPr>
    </w:lvl>
    <w:lvl w:ilvl="7" w:tentative="0">
      <w:start w:val="0"/>
      <w:numFmt w:val="bullet"/>
      <w:lvlText w:val="•"/>
      <w:lvlJc w:val="left"/>
      <w:pPr>
        <w:ind w:left="6592" w:hanging="264"/>
      </w:pPr>
      <w:rPr>
        <w:rFonts w:hint="default"/>
      </w:rPr>
    </w:lvl>
    <w:lvl w:ilvl="8" w:tentative="0">
      <w:start w:val="0"/>
      <w:numFmt w:val="bullet"/>
      <w:lvlText w:val="•"/>
      <w:lvlJc w:val="left"/>
      <w:pPr>
        <w:ind w:left="7397" w:hanging="264"/>
      </w:pPr>
      <w:rPr>
        <w:rFonts w:hint="default"/>
      </w:rPr>
    </w:lvl>
  </w:abstractNum>
  <w:abstractNum w:abstractNumId="1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14582523"/>
    <w:multiLevelType w:val="multilevel"/>
    <w:tmpl w:val="14582523"/>
    <w:lvl w:ilvl="0" w:tentative="0">
      <w:start w:val="1"/>
      <w:numFmt w:val="decimal"/>
      <w:lvlText w:val="%1."/>
      <w:lvlJc w:val="left"/>
      <w:pPr>
        <w:ind w:left="914" w:hanging="264"/>
      </w:pPr>
      <w:rPr>
        <w:rFonts w:hint="default" w:ascii="Times New Roman" w:hAnsi="Times New Roman" w:eastAsia="Times New Roman" w:cs="Times New Roman"/>
        <w:w w:val="100"/>
        <w:sz w:val="21"/>
        <w:szCs w:val="21"/>
      </w:rPr>
    </w:lvl>
    <w:lvl w:ilvl="1" w:tentative="0">
      <w:start w:val="0"/>
      <w:numFmt w:val="bullet"/>
      <w:lvlText w:val="•"/>
      <w:lvlJc w:val="left"/>
      <w:pPr>
        <w:ind w:left="1728" w:hanging="264"/>
      </w:pPr>
      <w:rPr>
        <w:rFonts w:hint="default"/>
      </w:rPr>
    </w:lvl>
    <w:lvl w:ilvl="2" w:tentative="0">
      <w:start w:val="0"/>
      <w:numFmt w:val="bullet"/>
      <w:lvlText w:val="•"/>
      <w:lvlJc w:val="left"/>
      <w:pPr>
        <w:ind w:left="2537" w:hanging="264"/>
      </w:pPr>
      <w:rPr>
        <w:rFonts w:hint="default"/>
      </w:rPr>
    </w:lvl>
    <w:lvl w:ilvl="3" w:tentative="0">
      <w:start w:val="0"/>
      <w:numFmt w:val="bullet"/>
      <w:lvlText w:val="•"/>
      <w:lvlJc w:val="left"/>
      <w:pPr>
        <w:ind w:left="3345" w:hanging="264"/>
      </w:pPr>
      <w:rPr>
        <w:rFonts w:hint="default"/>
      </w:rPr>
    </w:lvl>
    <w:lvl w:ilvl="4" w:tentative="0">
      <w:start w:val="0"/>
      <w:numFmt w:val="bullet"/>
      <w:lvlText w:val="•"/>
      <w:lvlJc w:val="left"/>
      <w:pPr>
        <w:ind w:left="4154" w:hanging="264"/>
      </w:pPr>
      <w:rPr>
        <w:rFonts w:hint="default"/>
      </w:rPr>
    </w:lvl>
    <w:lvl w:ilvl="5" w:tentative="0">
      <w:start w:val="0"/>
      <w:numFmt w:val="bullet"/>
      <w:lvlText w:val="•"/>
      <w:lvlJc w:val="left"/>
      <w:pPr>
        <w:ind w:left="4963" w:hanging="264"/>
      </w:pPr>
      <w:rPr>
        <w:rFonts w:hint="default"/>
      </w:rPr>
    </w:lvl>
    <w:lvl w:ilvl="6" w:tentative="0">
      <w:start w:val="0"/>
      <w:numFmt w:val="bullet"/>
      <w:lvlText w:val="•"/>
      <w:lvlJc w:val="left"/>
      <w:pPr>
        <w:ind w:left="5771" w:hanging="264"/>
      </w:pPr>
      <w:rPr>
        <w:rFonts w:hint="default"/>
      </w:rPr>
    </w:lvl>
    <w:lvl w:ilvl="7" w:tentative="0">
      <w:start w:val="0"/>
      <w:numFmt w:val="bullet"/>
      <w:lvlText w:val="•"/>
      <w:lvlJc w:val="left"/>
      <w:pPr>
        <w:ind w:left="6580" w:hanging="264"/>
      </w:pPr>
      <w:rPr>
        <w:rFonts w:hint="default"/>
      </w:rPr>
    </w:lvl>
    <w:lvl w:ilvl="8" w:tentative="0">
      <w:start w:val="0"/>
      <w:numFmt w:val="bullet"/>
      <w:lvlText w:val="•"/>
      <w:lvlJc w:val="left"/>
      <w:pPr>
        <w:ind w:left="7389" w:hanging="264"/>
      </w:pPr>
      <w:rPr>
        <w:rFonts w:hint="default"/>
      </w:rPr>
    </w:lvl>
  </w:abstractNum>
  <w:abstractNum w:abstractNumId="21">
    <w:nsid w:val="215BC845"/>
    <w:multiLevelType w:val="singleLevel"/>
    <w:tmpl w:val="215BC845"/>
    <w:lvl w:ilvl="0" w:tentative="0">
      <w:start w:val="2"/>
      <w:numFmt w:val="chineseCounting"/>
      <w:suff w:val="nothing"/>
      <w:lvlText w:val="%1、"/>
      <w:lvlJc w:val="left"/>
      <w:rPr>
        <w:rFonts w:hint="eastAsia"/>
      </w:rPr>
    </w:lvl>
  </w:abstractNum>
  <w:abstractNum w:abstractNumId="22">
    <w:nsid w:val="217B14E8"/>
    <w:multiLevelType w:val="multilevel"/>
    <w:tmpl w:val="217B14E8"/>
    <w:lvl w:ilvl="0" w:tentative="0">
      <w:start w:val="1"/>
      <w:numFmt w:val="decimal"/>
      <w:lvlText w:val="%1."/>
      <w:lvlJc w:val="left"/>
      <w:pPr>
        <w:ind w:left="914" w:hanging="264"/>
      </w:pPr>
      <w:rPr>
        <w:rFonts w:hint="default" w:ascii="Times New Roman" w:hAnsi="Times New Roman" w:eastAsia="Times New Roman" w:cs="Times New Roman"/>
        <w:w w:val="100"/>
        <w:sz w:val="21"/>
        <w:szCs w:val="21"/>
      </w:rPr>
    </w:lvl>
    <w:lvl w:ilvl="1" w:tentative="0">
      <w:start w:val="0"/>
      <w:numFmt w:val="bullet"/>
      <w:lvlText w:val="•"/>
      <w:lvlJc w:val="left"/>
      <w:pPr>
        <w:ind w:left="1728" w:hanging="264"/>
      </w:pPr>
      <w:rPr>
        <w:rFonts w:hint="default"/>
      </w:rPr>
    </w:lvl>
    <w:lvl w:ilvl="2" w:tentative="0">
      <w:start w:val="0"/>
      <w:numFmt w:val="bullet"/>
      <w:lvlText w:val="•"/>
      <w:lvlJc w:val="left"/>
      <w:pPr>
        <w:ind w:left="2537" w:hanging="264"/>
      </w:pPr>
      <w:rPr>
        <w:rFonts w:hint="default"/>
      </w:rPr>
    </w:lvl>
    <w:lvl w:ilvl="3" w:tentative="0">
      <w:start w:val="0"/>
      <w:numFmt w:val="bullet"/>
      <w:lvlText w:val="•"/>
      <w:lvlJc w:val="left"/>
      <w:pPr>
        <w:ind w:left="3345" w:hanging="264"/>
      </w:pPr>
      <w:rPr>
        <w:rFonts w:hint="default"/>
      </w:rPr>
    </w:lvl>
    <w:lvl w:ilvl="4" w:tentative="0">
      <w:start w:val="0"/>
      <w:numFmt w:val="bullet"/>
      <w:lvlText w:val="•"/>
      <w:lvlJc w:val="left"/>
      <w:pPr>
        <w:ind w:left="4154" w:hanging="264"/>
      </w:pPr>
      <w:rPr>
        <w:rFonts w:hint="default"/>
      </w:rPr>
    </w:lvl>
    <w:lvl w:ilvl="5" w:tentative="0">
      <w:start w:val="0"/>
      <w:numFmt w:val="bullet"/>
      <w:lvlText w:val="•"/>
      <w:lvlJc w:val="left"/>
      <w:pPr>
        <w:ind w:left="4963" w:hanging="264"/>
      </w:pPr>
      <w:rPr>
        <w:rFonts w:hint="default"/>
      </w:rPr>
    </w:lvl>
    <w:lvl w:ilvl="6" w:tentative="0">
      <w:start w:val="0"/>
      <w:numFmt w:val="bullet"/>
      <w:lvlText w:val="•"/>
      <w:lvlJc w:val="left"/>
      <w:pPr>
        <w:ind w:left="5771" w:hanging="264"/>
      </w:pPr>
      <w:rPr>
        <w:rFonts w:hint="default"/>
      </w:rPr>
    </w:lvl>
    <w:lvl w:ilvl="7" w:tentative="0">
      <w:start w:val="0"/>
      <w:numFmt w:val="bullet"/>
      <w:lvlText w:val="•"/>
      <w:lvlJc w:val="left"/>
      <w:pPr>
        <w:ind w:left="6580" w:hanging="264"/>
      </w:pPr>
      <w:rPr>
        <w:rFonts w:hint="default"/>
      </w:rPr>
    </w:lvl>
    <w:lvl w:ilvl="8" w:tentative="0">
      <w:start w:val="0"/>
      <w:numFmt w:val="bullet"/>
      <w:lvlText w:val="•"/>
      <w:lvlJc w:val="left"/>
      <w:pPr>
        <w:ind w:left="7389" w:hanging="264"/>
      </w:pPr>
      <w:rPr>
        <w:rFonts w:hint="default"/>
      </w:rPr>
    </w:lvl>
  </w:abstractNum>
  <w:abstractNum w:abstractNumId="2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4">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5">
    <w:nsid w:val="427E1C14"/>
    <w:multiLevelType w:val="singleLevel"/>
    <w:tmpl w:val="427E1C14"/>
    <w:lvl w:ilvl="0" w:tentative="0">
      <w:start w:val="2"/>
      <w:numFmt w:val="decimal"/>
      <w:suff w:val="nothing"/>
      <w:lvlText w:val="%1、"/>
      <w:lvlJc w:val="left"/>
    </w:lvl>
  </w:abstractNum>
  <w:abstractNum w:abstractNumId="2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7">
    <w:nsid w:val="4D2F4B30"/>
    <w:multiLevelType w:val="multilevel"/>
    <w:tmpl w:val="4D2F4B30"/>
    <w:lvl w:ilvl="0" w:tentative="0">
      <w:start w:val="1"/>
      <w:numFmt w:val="decimal"/>
      <w:lvlText w:val="%1."/>
      <w:lvlJc w:val="left"/>
      <w:pPr>
        <w:ind w:left="223" w:hanging="267"/>
      </w:pPr>
      <w:rPr>
        <w:rFonts w:hint="default" w:ascii="Times New Roman" w:hAnsi="Times New Roman" w:eastAsia="Times New Roman" w:cs="Times New Roman"/>
        <w:w w:val="100"/>
        <w:sz w:val="21"/>
        <w:szCs w:val="21"/>
      </w:rPr>
    </w:lvl>
    <w:lvl w:ilvl="1" w:tentative="0">
      <w:start w:val="0"/>
      <w:numFmt w:val="bullet"/>
      <w:lvlText w:val="•"/>
      <w:lvlJc w:val="left"/>
      <w:pPr>
        <w:ind w:left="1098" w:hanging="267"/>
      </w:pPr>
      <w:rPr>
        <w:rFonts w:hint="default"/>
      </w:rPr>
    </w:lvl>
    <w:lvl w:ilvl="2" w:tentative="0">
      <w:start w:val="0"/>
      <w:numFmt w:val="bullet"/>
      <w:lvlText w:val="•"/>
      <w:lvlJc w:val="left"/>
      <w:pPr>
        <w:ind w:left="1977" w:hanging="267"/>
      </w:pPr>
      <w:rPr>
        <w:rFonts w:hint="default"/>
      </w:rPr>
    </w:lvl>
    <w:lvl w:ilvl="3" w:tentative="0">
      <w:start w:val="0"/>
      <w:numFmt w:val="bullet"/>
      <w:lvlText w:val="•"/>
      <w:lvlJc w:val="left"/>
      <w:pPr>
        <w:ind w:left="2855" w:hanging="267"/>
      </w:pPr>
      <w:rPr>
        <w:rFonts w:hint="default"/>
      </w:rPr>
    </w:lvl>
    <w:lvl w:ilvl="4" w:tentative="0">
      <w:start w:val="0"/>
      <w:numFmt w:val="bullet"/>
      <w:lvlText w:val="•"/>
      <w:lvlJc w:val="left"/>
      <w:pPr>
        <w:ind w:left="3734" w:hanging="267"/>
      </w:pPr>
      <w:rPr>
        <w:rFonts w:hint="default"/>
      </w:rPr>
    </w:lvl>
    <w:lvl w:ilvl="5" w:tentative="0">
      <w:start w:val="0"/>
      <w:numFmt w:val="bullet"/>
      <w:lvlText w:val="•"/>
      <w:lvlJc w:val="left"/>
      <w:pPr>
        <w:ind w:left="4613" w:hanging="267"/>
      </w:pPr>
      <w:rPr>
        <w:rFonts w:hint="default"/>
      </w:rPr>
    </w:lvl>
    <w:lvl w:ilvl="6" w:tentative="0">
      <w:start w:val="0"/>
      <w:numFmt w:val="bullet"/>
      <w:lvlText w:val="•"/>
      <w:lvlJc w:val="left"/>
      <w:pPr>
        <w:ind w:left="5491" w:hanging="267"/>
      </w:pPr>
      <w:rPr>
        <w:rFonts w:hint="default"/>
      </w:rPr>
    </w:lvl>
    <w:lvl w:ilvl="7" w:tentative="0">
      <w:start w:val="0"/>
      <w:numFmt w:val="bullet"/>
      <w:lvlText w:val="•"/>
      <w:lvlJc w:val="left"/>
      <w:pPr>
        <w:ind w:left="6370" w:hanging="267"/>
      </w:pPr>
      <w:rPr>
        <w:rFonts w:hint="default"/>
      </w:rPr>
    </w:lvl>
    <w:lvl w:ilvl="8" w:tentative="0">
      <w:start w:val="0"/>
      <w:numFmt w:val="bullet"/>
      <w:lvlText w:val="•"/>
      <w:lvlJc w:val="left"/>
      <w:pPr>
        <w:ind w:left="7249" w:hanging="267"/>
      </w:pPr>
      <w:rPr>
        <w:rFonts w:hint="default"/>
      </w:rPr>
    </w:lvl>
  </w:abstractNum>
  <w:abstractNum w:abstractNumId="28">
    <w:nsid w:val="4E6B1545"/>
    <w:multiLevelType w:val="multilevel"/>
    <w:tmpl w:val="4E6B1545"/>
    <w:lvl w:ilvl="0" w:tentative="0">
      <w:start w:val="1"/>
      <w:numFmt w:val="decimal"/>
      <w:lvlText w:val="%1."/>
      <w:lvlJc w:val="left"/>
      <w:pPr>
        <w:ind w:left="223" w:hanging="264"/>
      </w:pPr>
      <w:rPr>
        <w:rFonts w:hint="default" w:ascii="Times New Roman" w:hAnsi="Times New Roman" w:eastAsia="Times New Roman" w:cs="Times New Roman"/>
        <w:w w:val="100"/>
        <w:sz w:val="21"/>
        <w:szCs w:val="21"/>
      </w:rPr>
    </w:lvl>
    <w:lvl w:ilvl="1" w:tentative="0">
      <w:start w:val="0"/>
      <w:numFmt w:val="bullet"/>
      <w:lvlText w:val="•"/>
      <w:lvlJc w:val="left"/>
      <w:pPr>
        <w:ind w:left="1098" w:hanging="264"/>
      </w:pPr>
      <w:rPr>
        <w:rFonts w:hint="default"/>
      </w:rPr>
    </w:lvl>
    <w:lvl w:ilvl="2" w:tentative="0">
      <w:start w:val="0"/>
      <w:numFmt w:val="bullet"/>
      <w:lvlText w:val="•"/>
      <w:lvlJc w:val="left"/>
      <w:pPr>
        <w:ind w:left="1977" w:hanging="264"/>
      </w:pPr>
      <w:rPr>
        <w:rFonts w:hint="default"/>
      </w:rPr>
    </w:lvl>
    <w:lvl w:ilvl="3" w:tentative="0">
      <w:start w:val="0"/>
      <w:numFmt w:val="bullet"/>
      <w:lvlText w:val="•"/>
      <w:lvlJc w:val="left"/>
      <w:pPr>
        <w:ind w:left="2855" w:hanging="264"/>
      </w:pPr>
      <w:rPr>
        <w:rFonts w:hint="default"/>
      </w:rPr>
    </w:lvl>
    <w:lvl w:ilvl="4" w:tentative="0">
      <w:start w:val="0"/>
      <w:numFmt w:val="bullet"/>
      <w:lvlText w:val="•"/>
      <w:lvlJc w:val="left"/>
      <w:pPr>
        <w:ind w:left="3734" w:hanging="264"/>
      </w:pPr>
      <w:rPr>
        <w:rFonts w:hint="default"/>
      </w:rPr>
    </w:lvl>
    <w:lvl w:ilvl="5" w:tentative="0">
      <w:start w:val="0"/>
      <w:numFmt w:val="bullet"/>
      <w:lvlText w:val="•"/>
      <w:lvlJc w:val="left"/>
      <w:pPr>
        <w:ind w:left="4613" w:hanging="264"/>
      </w:pPr>
      <w:rPr>
        <w:rFonts w:hint="default"/>
      </w:rPr>
    </w:lvl>
    <w:lvl w:ilvl="6" w:tentative="0">
      <w:start w:val="0"/>
      <w:numFmt w:val="bullet"/>
      <w:lvlText w:val="•"/>
      <w:lvlJc w:val="left"/>
      <w:pPr>
        <w:ind w:left="5491" w:hanging="264"/>
      </w:pPr>
      <w:rPr>
        <w:rFonts w:hint="default"/>
      </w:rPr>
    </w:lvl>
    <w:lvl w:ilvl="7" w:tentative="0">
      <w:start w:val="0"/>
      <w:numFmt w:val="bullet"/>
      <w:lvlText w:val="•"/>
      <w:lvlJc w:val="left"/>
      <w:pPr>
        <w:ind w:left="6370" w:hanging="264"/>
      </w:pPr>
      <w:rPr>
        <w:rFonts w:hint="default"/>
      </w:rPr>
    </w:lvl>
    <w:lvl w:ilvl="8" w:tentative="0">
      <w:start w:val="0"/>
      <w:numFmt w:val="bullet"/>
      <w:lvlText w:val="•"/>
      <w:lvlJc w:val="left"/>
      <w:pPr>
        <w:ind w:left="7249" w:hanging="264"/>
      </w:pPr>
      <w:rPr>
        <w:rFonts w:hint="default"/>
      </w:rPr>
    </w:lvl>
  </w:abstractNum>
  <w:abstractNum w:abstractNumId="29">
    <w:nsid w:val="504075CB"/>
    <w:multiLevelType w:val="multilevel"/>
    <w:tmpl w:val="504075CB"/>
    <w:lvl w:ilvl="0" w:tentative="0">
      <w:start w:val="1"/>
      <w:numFmt w:val="decimal"/>
      <w:lvlText w:val="%1."/>
      <w:lvlJc w:val="left"/>
      <w:pPr>
        <w:ind w:left="915" w:hanging="264"/>
      </w:pPr>
      <w:rPr>
        <w:rFonts w:hint="default" w:ascii="Times New Roman" w:hAnsi="Times New Roman" w:eastAsia="Times New Roman" w:cs="Times New Roman"/>
        <w:w w:val="100"/>
        <w:sz w:val="21"/>
        <w:szCs w:val="21"/>
      </w:rPr>
    </w:lvl>
    <w:lvl w:ilvl="1" w:tentative="0">
      <w:start w:val="0"/>
      <w:numFmt w:val="bullet"/>
      <w:lvlText w:val="•"/>
      <w:lvlJc w:val="left"/>
      <w:pPr>
        <w:ind w:left="1728" w:hanging="264"/>
      </w:pPr>
      <w:rPr>
        <w:rFonts w:hint="default"/>
      </w:rPr>
    </w:lvl>
    <w:lvl w:ilvl="2" w:tentative="0">
      <w:start w:val="0"/>
      <w:numFmt w:val="bullet"/>
      <w:lvlText w:val="•"/>
      <w:lvlJc w:val="left"/>
      <w:pPr>
        <w:ind w:left="2537" w:hanging="264"/>
      </w:pPr>
      <w:rPr>
        <w:rFonts w:hint="default"/>
      </w:rPr>
    </w:lvl>
    <w:lvl w:ilvl="3" w:tentative="0">
      <w:start w:val="0"/>
      <w:numFmt w:val="bullet"/>
      <w:lvlText w:val="•"/>
      <w:lvlJc w:val="left"/>
      <w:pPr>
        <w:ind w:left="3345" w:hanging="264"/>
      </w:pPr>
      <w:rPr>
        <w:rFonts w:hint="default"/>
      </w:rPr>
    </w:lvl>
    <w:lvl w:ilvl="4" w:tentative="0">
      <w:start w:val="0"/>
      <w:numFmt w:val="bullet"/>
      <w:lvlText w:val="•"/>
      <w:lvlJc w:val="left"/>
      <w:pPr>
        <w:ind w:left="4154" w:hanging="264"/>
      </w:pPr>
      <w:rPr>
        <w:rFonts w:hint="default"/>
      </w:rPr>
    </w:lvl>
    <w:lvl w:ilvl="5" w:tentative="0">
      <w:start w:val="0"/>
      <w:numFmt w:val="bullet"/>
      <w:lvlText w:val="•"/>
      <w:lvlJc w:val="left"/>
      <w:pPr>
        <w:ind w:left="4963" w:hanging="264"/>
      </w:pPr>
      <w:rPr>
        <w:rFonts w:hint="default"/>
      </w:rPr>
    </w:lvl>
    <w:lvl w:ilvl="6" w:tentative="0">
      <w:start w:val="0"/>
      <w:numFmt w:val="bullet"/>
      <w:lvlText w:val="•"/>
      <w:lvlJc w:val="left"/>
      <w:pPr>
        <w:ind w:left="5771" w:hanging="264"/>
      </w:pPr>
      <w:rPr>
        <w:rFonts w:hint="default"/>
      </w:rPr>
    </w:lvl>
    <w:lvl w:ilvl="7" w:tentative="0">
      <w:start w:val="0"/>
      <w:numFmt w:val="bullet"/>
      <w:lvlText w:val="•"/>
      <w:lvlJc w:val="left"/>
      <w:pPr>
        <w:ind w:left="6580" w:hanging="264"/>
      </w:pPr>
      <w:rPr>
        <w:rFonts w:hint="default"/>
      </w:rPr>
    </w:lvl>
    <w:lvl w:ilvl="8" w:tentative="0">
      <w:start w:val="0"/>
      <w:numFmt w:val="bullet"/>
      <w:lvlText w:val="•"/>
      <w:lvlJc w:val="left"/>
      <w:pPr>
        <w:ind w:left="7389" w:hanging="264"/>
      </w:pPr>
      <w:rPr>
        <w:rFonts w:hint="default"/>
      </w:rPr>
    </w:lvl>
  </w:abstractNum>
  <w:abstractNum w:abstractNumId="30">
    <w:nsid w:val="520463E4"/>
    <w:multiLevelType w:val="singleLevel"/>
    <w:tmpl w:val="520463E4"/>
    <w:lvl w:ilvl="0" w:tentative="0">
      <w:start w:val="2"/>
      <w:numFmt w:val="decimal"/>
      <w:suff w:val="space"/>
      <w:lvlText w:val="%1."/>
      <w:lvlJc w:val="left"/>
    </w:lvl>
  </w:abstractNum>
  <w:abstractNum w:abstractNumId="31">
    <w:nsid w:val="5911182D"/>
    <w:multiLevelType w:val="multilevel"/>
    <w:tmpl w:val="5911182D"/>
    <w:lvl w:ilvl="0" w:tentative="0">
      <w:start w:val="1"/>
      <w:numFmt w:val="decimal"/>
      <w:lvlText w:val="%1."/>
      <w:lvlJc w:val="left"/>
      <w:pPr>
        <w:ind w:left="223" w:hanging="267"/>
      </w:pPr>
      <w:rPr>
        <w:rFonts w:hint="default" w:ascii="Times New Roman" w:hAnsi="Times New Roman" w:eastAsia="Times New Roman" w:cs="Times New Roman"/>
        <w:w w:val="100"/>
        <w:sz w:val="21"/>
        <w:szCs w:val="21"/>
      </w:rPr>
    </w:lvl>
    <w:lvl w:ilvl="1" w:tentative="0">
      <w:start w:val="0"/>
      <w:numFmt w:val="bullet"/>
      <w:lvlText w:val="•"/>
      <w:lvlJc w:val="left"/>
      <w:pPr>
        <w:ind w:left="1098" w:hanging="267"/>
      </w:pPr>
      <w:rPr>
        <w:rFonts w:hint="default"/>
      </w:rPr>
    </w:lvl>
    <w:lvl w:ilvl="2" w:tentative="0">
      <w:start w:val="0"/>
      <w:numFmt w:val="bullet"/>
      <w:lvlText w:val="•"/>
      <w:lvlJc w:val="left"/>
      <w:pPr>
        <w:ind w:left="1977" w:hanging="267"/>
      </w:pPr>
      <w:rPr>
        <w:rFonts w:hint="default"/>
      </w:rPr>
    </w:lvl>
    <w:lvl w:ilvl="3" w:tentative="0">
      <w:start w:val="0"/>
      <w:numFmt w:val="bullet"/>
      <w:lvlText w:val="•"/>
      <w:lvlJc w:val="left"/>
      <w:pPr>
        <w:ind w:left="2855" w:hanging="267"/>
      </w:pPr>
      <w:rPr>
        <w:rFonts w:hint="default"/>
      </w:rPr>
    </w:lvl>
    <w:lvl w:ilvl="4" w:tentative="0">
      <w:start w:val="0"/>
      <w:numFmt w:val="bullet"/>
      <w:lvlText w:val="•"/>
      <w:lvlJc w:val="left"/>
      <w:pPr>
        <w:ind w:left="3734" w:hanging="267"/>
      </w:pPr>
      <w:rPr>
        <w:rFonts w:hint="default"/>
      </w:rPr>
    </w:lvl>
    <w:lvl w:ilvl="5" w:tentative="0">
      <w:start w:val="0"/>
      <w:numFmt w:val="bullet"/>
      <w:lvlText w:val="•"/>
      <w:lvlJc w:val="left"/>
      <w:pPr>
        <w:ind w:left="4613" w:hanging="267"/>
      </w:pPr>
      <w:rPr>
        <w:rFonts w:hint="default"/>
      </w:rPr>
    </w:lvl>
    <w:lvl w:ilvl="6" w:tentative="0">
      <w:start w:val="0"/>
      <w:numFmt w:val="bullet"/>
      <w:lvlText w:val="•"/>
      <w:lvlJc w:val="left"/>
      <w:pPr>
        <w:ind w:left="5491" w:hanging="267"/>
      </w:pPr>
      <w:rPr>
        <w:rFonts w:hint="default"/>
      </w:rPr>
    </w:lvl>
    <w:lvl w:ilvl="7" w:tentative="0">
      <w:start w:val="0"/>
      <w:numFmt w:val="bullet"/>
      <w:lvlText w:val="•"/>
      <w:lvlJc w:val="left"/>
      <w:pPr>
        <w:ind w:left="6370" w:hanging="267"/>
      </w:pPr>
      <w:rPr>
        <w:rFonts w:hint="default"/>
      </w:rPr>
    </w:lvl>
    <w:lvl w:ilvl="8" w:tentative="0">
      <w:start w:val="0"/>
      <w:numFmt w:val="bullet"/>
      <w:lvlText w:val="•"/>
      <w:lvlJc w:val="left"/>
      <w:pPr>
        <w:ind w:left="7249" w:hanging="267"/>
      </w:pPr>
      <w:rPr>
        <w:rFonts w:hint="default"/>
      </w:rPr>
    </w:lvl>
  </w:abstractNum>
  <w:abstractNum w:abstractNumId="32">
    <w:nsid w:val="66021B69"/>
    <w:multiLevelType w:val="multilevel"/>
    <w:tmpl w:val="66021B69"/>
    <w:lvl w:ilvl="0" w:tentative="0">
      <w:start w:val="1"/>
      <w:numFmt w:val="decimal"/>
      <w:lvlText w:val="%1."/>
      <w:lvlJc w:val="left"/>
      <w:pPr>
        <w:ind w:left="914" w:hanging="264"/>
      </w:pPr>
      <w:rPr>
        <w:rFonts w:hint="default" w:ascii="Times New Roman" w:hAnsi="Times New Roman" w:eastAsia="Times New Roman" w:cs="Times New Roman"/>
        <w:w w:val="100"/>
        <w:sz w:val="21"/>
        <w:szCs w:val="21"/>
      </w:rPr>
    </w:lvl>
    <w:lvl w:ilvl="1" w:tentative="0">
      <w:start w:val="0"/>
      <w:numFmt w:val="bullet"/>
      <w:lvlText w:val="•"/>
      <w:lvlJc w:val="left"/>
      <w:pPr>
        <w:ind w:left="1728" w:hanging="264"/>
      </w:pPr>
      <w:rPr>
        <w:rFonts w:hint="default"/>
      </w:rPr>
    </w:lvl>
    <w:lvl w:ilvl="2" w:tentative="0">
      <w:start w:val="0"/>
      <w:numFmt w:val="bullet"/>
      <w:lvlText w:val="•"/>
      <w:lvlJc w:val="left"/>
      <w:pPr>
        <w:ind w:left="2537" w:hanging="264"/>
      </w:pPr>
      <w:rPr>
        <w:rFonts w:hint="default"/>
      </w:rPr>
    </w:lvl>
    <w:lvl w:ilvl="3" w:tentative="0">
      <w:start w:val="0"/>
      <w:numFmt w:val="bullet"/>
      <w:lvlText w:val="•"/>
      <w:lvlJc w:val="left"/>
      <w:pPr>
        <w:ind w:left="3345" w:hanging="264"/>
      </w:pPr>
      <w:rPr>
        <w:rFonts w:hint="default"/>
      </w:rPr>
    </w:lvl>
    <w:lvl w:ilvl="4" w:tentative="0">
      <w:start w:val="0"/>
      <w:numFmt w:val="bullet"/>
      <w:lvlText w:val="•"/>
      <w:lvlJc w:val="left"/>
      <w:pPr>
        <w:ind w:left="4154" w:hanging="264"/>
      </w:pPr>
      <w:rPr>
        <w:rFonts w:hint="default"/>
      </w:rPr>
    </w:lvl>
    <w:lvl w:ilvl="5" w:tentative="0">
      <w:start w:val="0"/>
      <w:numFmt w:val="bullet"/>
      <w:lvlText w:val="•"/>
      <w:lvlJc w:val="left"/>
      <w:pPr>
        <w:ind w:left="4963" w:hanging="264"/>
      </w:pPr>
      <w:rPr>
        <w:rFonts w:hint="default"/>
      </w:rPr>
    </w:lvl>
    <w:lvl w:ilvl="6" w:tentative="0">
      <w:start w:val="0"/>
      <w:numFmt w:val="bullet"/>
      <w:lvlText w:val="•"/>
      <w:lvlJc w:val="left"/>
      <w:pPr>
        <w:ind w:left="5771" w:hanging="264"/>
      </w:pPr>
      <w:rPr>
        <w:rFonts w:hint="default"/>
      </w:rPr>
    </w:lvl>
    <w:lvl w:ilvl="7" w:tentative="0">
      <w:start w:val="0"/>
      <w:numFmt w:val="bullet"/>
      <w:lvlText w:val="•"/>
      <w:lvlJc w:val="left"/>
      <w:pPr>
        <w:ind w:left="6580" w:hanging="264"/>
      </w:pPr>
      <w:rPr>
        <w:rFonts w:hint="default"/>
      </w:rPr>
    </w:lvl>
    <w:lvl w:ilvl="8" w:tentative="0">
      <w:start w:val="0"/>
      <w:numFmt w:val="bullet"/>
      <w:lvlText w:val="•"/>
      <w:lvlJc w:val="left"/>
      <w:pPr>
        <w:ind w:left="7389" w:hanging="264"/>
      </w:pPr>
      <w:rPr>
        <w:rFonts w:hint="default"/>
      </w:rPr>
    </w:lvl>
  </w:abstractNum>
  <w:abstractNum w:abstractNumId="33">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11"/>
  </w:num>
  <w:num w:numId="2">
    <w:abstractNumId w:val="14"/>
  </w:num>
  <w:num w:numId="3">
    <w:abstractNumId w:val="8"/>
  </w:num>
  <w:num w:numId="4">
    <w:abstractNumId w:val="12"/>
  </w:num>
  <w:num w:numId="5">
    <w:abstractNumId w:val="10"/>
  </w:num>
  <w:num w:numId="6">
    <w:abstractNumId w:val="9"/>
  </w:num>
  <w:num w:numId="7">
    <w:abstractNumId w:val="17"/>
  </w:num>
  <w:num w:numId="8">
    <w:abstractNumId w:val="4"/>
  </w:num>
  <w:num w:numId="9">
    <w:abstractNumId w:val="2"/>
  </w:num>
  <w:num w:numId="10">
    <w:abstractNumId w:val="1"/>
  </w:num>
  <w:num w:numId="11">
    <w:abstractNumId w:val="0"/>
  </w:num>
  <w:num w:numId="12">
    <w:abstractNumId w:val="5"/>
  </w:num>
  <w:num w:numId="13">
    <w:abstractNumId w:val="13"/>
  </w:num>
  <w:num w:numId="14">
    <w:abstractNumId w:val="7"/>
  </w:num>
  <w:num w:numId="15">
    <w:abstractNumId w:val="24"/>
  </w:num>
  <w:num w:numId="16">
    <w:abstractNumId w:val="19"/>
  </w:num>
  <w:num w:numId="17">
    <w:abstractNumId w:val="33"/>
  </w:num>
  <w:num w:numId="18">
    <w:abstractNumId w:val="21"/>
  </w:num>
  <w:num w:numId="19">
    <w:abstractNumId w:val="30"/>
  </w:num>
  <w:num w:numId="20">
    <w:abstractNumId w:val="3"/>
  </w:num>
  <w:num w:numId="21">
    <w:abstractNumId w:val="6"/>
  </w:num>
  <w:num w:numId="22">
    <w:abstractNumId w:val="29"/>
  </w:num>
  <w:num w:numId="23">
    <w:abstractNumId w:val="18"/>
  </w:num>
  <w:num w:numId="24">
    <w:abstractNumId w:val="20"/>
  </w:num>
  <w:num w:numId="25">
    <w:abstractNumId w:val="32"/>
  </w:num>
  <w:num w:numId="26">
    <w:abstractNumId w:val="31"/>
  </w:num>
  <w:num w:numId="27">
    <w:abstractNumId w:val="27"/>
  </w:num>
  <w:num w:numId="28">
    <w:abstractNumId w:val="16"/>
  </w:num>
  <w:num w:numId="29">
    <w:abstractNumId w:val="22"/>
  </w:num>
  <w:num w:numId="30">
    <w:abstractNumId w:val="28"/>
  </w:num>
  <w:num w:numId="31">
    <w:abstractNumId w:val="23"/>
  </w:num>
  <w:num w:numId="32">
    <w:abstractNumId w:val="26"/>
  </w:num>
  <w:num w:numId="33">
    <w:abstractNumId w:val="15"/>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MTBiMDc2YjYwYzMwMzkxMzNkZmEzNTEyZGEzYTNiN2Q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03"/>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5ED"/>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866"/>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1DD"/>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5"/>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33"/>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933"/>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144"/>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31"/>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3A"/>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CAD"/>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609E6"/>
    <w:rsid w:val="017D7944"/>
    <w:rsid w:val="01934780"/>
    <w:rsid w:val="01F4007C"/>
    <w:rsid w:val="0206437E"/>
    <w:rsid w:val="02D23086"/>
    <w:rsid w:val="02EB4148"/>
    <w:rsid w:val="031C69F7"/>
    <w:rsid w:val="03425C39"/>
    <w:rsid w:val="034B4BE6"/>
    <w:rsid w:val="035A307B"/>
    <w:rsid w:val="043D3538"/>
    <w:rsid w:val="04642403"/>
    <w:rsid w:val="04712DBD"/>
    <w:rsid w:val="04BA2023"/>
    <w:rsid w:val="05663F59"/>
    <w:rsid w:val="05A403FA"/>
    <w:rsid w:val="05DB15F2"/>
    <w:rsid w:val="061F321E"/>
    <w:rsid w:val="066E6536"/>
    <w:rsid w:val="0785786D"/>
    <w:rsid w:val="07E850FA"/>
    <w:rsid w:val="07F40332"/>
    <w:rsid w:val="08534C69"/>
    <w:rsid w:val="087F5A5E"/>
    <w:rsid w:val="08D44EE3"/>
    <w:rsid w:val="09517549"/>
    <w:rsid w:val="097A7FD3"/>
    <w:rsid w:val="0A454A85"/>
    <w:rsid w:val="0A6A26DF"/>
    <w:rsid w:val="0A7035A0"/>
    <w:rsid w:val="0ACC2AB1"/>
    <w:rsid w:val="0B660C1A"/>
    <w:rsid w:val="0B9E444D"/>
    <w:rsid w:val="0BAC167D"/>
    <w:rsid w:val="0BC67500"/>
    <w:rsid w:val="0BDF2A32"/>
    <w:rsid w:val="0C395387"/>
    <w:rsid w:val="0C686809"/>
    <w:rsid w:val="0C794EB2"/>
    <w:rsid w:val="0C8C0026"/>
    <w:rsid w:val="0C922E43"/>
    <w:rsid w:val="0D356267"/>
    <w:rsid w:val="0D471FF6"/>
    <w:rsid w:val="0D6B035F"/>
    <w:rsid w:val="0D8B27AF"/>
    <w:rsid w:val="0DF03979"/>
    <w:rsid w:val="0DF3480C"/>
    <w:rsid w:val="0E115A80"/>
    <w:rsid w:val="0E6D0107"/>
    <w:rsid w:val="0EE329C1"/>
    <w:rsid w:val="0F604556"/>
    <w:rsid w:val="0F9C29B1"/>
    <w:rsid w:val="100D77A5"/>
    <w:rsid w:val="101271B8"/>
    <w:rsid w:val="103D5DA2"/>
    <w:rsid w:val="10790FE5"/>
    <w:rsid w:val="108D7ADF"/>
    <w:rsid w:val="11130052"/>
    <w:rsid w:val="114C04A7"/>
    <w:rsid w:val="11823EC9"/>
    <w:rsid w:val="119E773C"/>
    <w:rsid w:val="11A55E09"/>
    <w:rsid w:val="12541D09"/>
    <w:rsid w:val="12742E5A"/>
    <w:rsid w:val="12AC38F3"/>
    <w:rsid w:val="12BB2799"/>
    <w:rsid w:val="130D2D9A"/>
    <w:rsid w:val="1316302A"/>
    <w:rsid w:val="13235E29"/>
    <w:rsid w:val="13243B42"/>
    <w:rsid w:val="13531FC1"/>
    <w:rsid w:val="139220F4"/>
    <w:rsid w:val="141259D8"/>
    <w:rsid w:val="145D29FB"/>
    <w:rsid w:val="14852F53"/>
    <w:rsid w:val="14EB3FC1"/>
    <w:rsid w:val="15712BD2"/>
    <w:rsid w:val="15BC2AF1"/>
    <w:rsid w:val="16692350"/>
    <w:rsid w:val="16BA34FF"/>
    <w:rsid w:val="16F05D79"/>
    <w:rsid w:val="16FC64CC"/>
    <w:rsid w:val="179D7CAF"/>
    <w:rsid w:val="17A96653"/>
    <w:rsid w:val="17DE3E23"/>
    <w:rsid w:val="17F93E0B"/>
    <w:rsid w:val="180910F8"/>
    <w:rsid w:val="18F74850"/>
    <w:rsid w:val="19143FA0"/>
    <w:rsid w:val="19280074"/>
    <w:rsid w:val="19B86B69"/>
    <w:rsid w:val="19FE255B"/>
    <w:rsid w:val="1A2A67F3"/>
    <w:rsid w:val="1A580BB8"/>
    <w:rsid w:val="1A683BFC"/>
    <w:rsid w:val="1A96604E"/>
    <w:rsid w:val="1AAE3F81"/>
    <w:rsid w:val="1B1B3361"/>
    <w:rsid w:val="1B324BB2"/>
    <w:rsid w:val="1B80591D"/>
    <w:rsid w:val="1B813443"/>
    <w:rsid w:val="1C455CA5"/>
    <w:rsid w:val="1C5B1EE6"/>
    <w:rsid w:val="1D2C69D2"/>
    <w:rsid w:val="1D6B6A72"/>
    <w:rsid w:val="1D9D14BD"/>
    <w:rsid w:val="1D9E652E"/>
    <w:rsid w:val="1DA87977"/>
    <w:rsid w:val="1E1F09F2"/>
    <w:rsid w:val="1E502C95"/>
    <w:rsid w:val="1E9F255E"/>
    <w:rsid w:val="1F397990"/>
    <w:rsid w:val="1FED6CF6"/>
    <w:rsid w:val="20321B47"/>
    <w:rsid w:val="20D5741D"/>
    <w:rsid w:val="20FB76C1"/>
    <w:rsid w:val="214967B1"/>
    <w:rsid w:val="21774099"/>
    <w:rsid w:val="21863464"/>
    <w:rsid w:val="219E7E95"/>
    <w:rsid w:val="21D00C81"/>
    <w:rsid w:val="21F35619"/>
    <w:rsid w:val="22387D8C"/>
    <w:rsid w:val="223B3D5F"/>
    <w:rsid w:val="22B40A7B"/>
    <w:rsid w:val="22CC31F6"/>
    <w:rsid w:val="22F15352"/>
    <w:rsid w:val="230B75CD"/>
    <w:rsid w:val="239E00B4"/>
    <w:rsid w:val="23C2284B"/>
    <w:rsid w:val="23EB5A33"/>
    <w:rsid w:val="23FB7503"/>
    <w:rsid w:val="24164E4D"/>
    <w:rsid w:val="24375135"/>
    <w:rsid w:val="24546734"/>
    <w:rsid w:val="24DB5770"/>
    <w:rsid w:val="251D5F8B"/>
    <w:rsid w:val="251E74A4"/>
    <w:rsid w:val="25207829"/>
    <w:rsid w:val="25253091"/>
    <w:rsid w:val="258A5081"/>
    <w:rsid w:val="267A6508"/>
    <w:rsid w:val="26B81261"/>
    <w:rsid w:val="26D66D39"/>
    <w:rsid w:val="27155AE7"/>
    <w:rsid w:val="27545982"/>
    <w:rsid w:val="275C2927"/>
    <w:rsid w:val="27615893"/>
    <w:rsid w:val="277A4DB8"/>
    <w:rsid w:val="27843CE5"/>
    <w:rsid w:val="27914877"/>
    <w:rsid w:val="27CF7A19"/>
    <w:rsid w:val="28164F13"/>
    <w:rsid w:val="28A10C81"/>
    <w:rsid w:val="28A33EF2"/>
    <w:rsid w:val="29730ACA"/>
    <w:rsid w:val="298874A0"/>
    <w:rsid w:val="2A160A04"/>
    <w:rsid w:val="2A7E571E"/>
    <w:rsid w:val="2AC85B58"/>
    <w:rsid w:val="2AD43590"/>
    <w:rsid w:val="2ADB2B70"/>
    <w:rsid w:val="2AE00186"/>
    <w:rsid w:val="2AEF2177"/>
    <w:rsid w:val="2B1E4D54"/>
    <w:rsid w:val="2B6C5576"/>
    <w:rsid w:val="2B96499B"/>
    <w:rsid w:val="2C3167C0"/>
    <w:rsid w:val="2CC41AE9"/>
    <w:rsid w:val="2CD07D87"/>
    <w:rsid w:val="2CE6596E"/>
    <w:rsid w:val="2DC86CB0"/>
    <w:rsid w:val="2E3031D3"/>
    <w:rsid w:val="2E386EB8"/>
    <w:rsid w:val="2E4B0F5C"/>
    <w:rsid w:val="2E625356"/>
    <w:rsid w:val="2EAF62E1"/>
    <w:rsid w:val="2ECD11A7"/>
    <w:rsid w:val="2F7401D4"/>
    <w:rsid w:val="2F9333D5"/>
    <w:rsid w:val="2FA63021"/>
    <w:rsid w:val="30E04669"/>
    <w:rsid w:val="311A7BD5"/>
    <w:rsid w:val="31FC3C8C"/>
    <w:rsid w:val="32180206"/>
    <w:rsid w:val="328D7C62"/>
    <w:rsid w:val="32A45F3D"/>
    <w:rsid w:val="32EB653A"/>
    <w:rsid w:val="331D184C"/>
    <w:rsid w:val="33540A40"/>
    <w:rsid w:val="338B22AA"/>
    <w:rsid w:val="33FC76B3"/>
    <w:rsid w:val="348A3241"/>
    <w:rsid w:val="34E24AFB"/>
    <w:rsid w:val="36030592"/>
    <w:rsid w:val="361F010B"/>
    <w:rsid w:val="364C5CFB"/>
    <w:rsid w:val="369672B2"/>
    <w:rsid w:val="371D1E1A"/>
    <w:rsid w:val="37272C99"/>
    <w:rsid w:val="378849BA"/>
    <w:rsid w:val="37B24C58"/>
    <w:rsid w:val="388365F5"/>
    <w:rsid w:val="38841C4D"/>
    <w:rsid w:val="38C5276A"/>
    <w:rsid w:val="38EF77E6"/>
    <w:rsid w:val="39152F35"/>
    <w:rsid w:val="39541302"/>
    <w:rsid w:val="39821E90"/>
    <w:rsid w:val="39C47E8D"/>
    <w:rsid w:val="39F107F1"/>
    <w:rsid w:val="3A306308"/>
    <w:rsid w:val="3A6F0BDF"/>
    <w:rsid w:val="3A920D71"/>
    <w:rsid w:val="3AF345E7"/>
    <w:rsid w:val="3B444C94"/>
    <w:rsid w:val="3BAA2675"/>
    <w:rsid w:val="3BCB6780"/>
    <w:rsid w:val="3C2F54FE"/>
    <w:rsid w:val="3C97394A"/>
    <w:rsid w:val="3D3B56F0"/>
    <w:rsid w:val="3D873086"/>
    <w:rsid w:val="3DB336C4"/>
    <w:rsid w:val="3E0A24EF"/>
    <w:rsid w:val="3E102DD6"/>
    <w:rsid w:val="3E6622F9"/>
    <w:rsid w:val="3EBE3EE3"/>
    <w:rsid w:val="3ECF2BC4"/>
    <w:rsid w:val="3EE70AED"/>
    <w:rsid w:val="3F201DA4"/>
    <w:rsid w:val="3F41404F"/>
    <w:rsid w:val="3FD15D8C"/>
    <w:rsid w:val="405769DA"/>
    <w:rsid w:val="409A44DC"/>
    <w:rsid w:val="412344D1"/>
    <w:rsid w:val="413B26CC"/>
    <w:rsid w:val="419B49AF"/>
    <w:rsid w:val="41AE17BB"/>
    <w:rsid w:val="41B82E6B"/>
    <w:rsid w:val="42847993"/>
    <w:rsid w:val="42CD0A98"/>
    <w:rsid w:val="431A0C09"/>
    <w:rsid w:val="436A2F46"/>
    <w:rsid w:val="43770B04"/>
    <w:rsid w:val="445A645C"/>
    <w:rsid w:val="44BF2763"/>
    <w:rsid w:val="457B3806"/>
    <w:rsid w:val="45B63B66"/>
    <w:rsid w:val="45C73FC5"/>
    <w:rsid w:val="45D93CF8"/>
    <w:rsid w:val="461421F0"/>
    <w:rsid w:val="46465D0C"/>
    <w:rsid w:val="46B53D11"/>
    <w:rsid w:val="47282841"/>
    <w:rsid w:val="474433F3"/>
    <w:rsid w:val="480E2158"/>
    <w:rsid w:val="49023D0E"/>
    <w:rsid w:val="4932670E"/>
    <w:rsid w:val="497D499A"/>
    <w:rsid w:val="49B327AB"/>
    <w:rsid w:val="49B605D8"/>
    <w:rsid w:val="4A3E4415"/>
    <w:rsid w:val="4A926CD5"/>
    <w:rsid w:val="4AAE5753"/>
    <w:rsid w:val="4B65373A"/>
    <w:rsid w:val="4C0F3FD0"/>
    <w:rsid w:val="4C60274C"/>
    <w:rsid w:val="4CB674C6"/>
    <w:rsid w:val="4CF03E01"/>
    <w:rsid w:val="4D00163A"/>
    <w:rsid w:val="4D0C050F"/>
    <w:rsid w:val="4DAC584E"/>
    <w:rsid w:val="4DFB1C76"/>
    <w:rsid w:val="4F0F5BE3"/>
    <w:rsid w:val="4F196F13"/>
    <w:rsid w:val="4F5C1D7C"/>
    <w:rsid w:val="505A77E4"/>
    <w:rsid w:val="50642410"/>
    <w:rsid w:val="508C2A5F"/>
    <w:rsid w:val="50BE5FC4"/>
    <w:rsid w:val="50CA4969"/>
    <w:rsid w:val="515C792B"/>
    <w:rsid w:val="52422029"/>
    <w:rsid w:val="532077EA"/>
    <w:rsid w:val="53590226"/>
    <w:rsid w:val="53656BCB"/>
    <w:rsid w:val="53745F79"/>
    <w:rsid w:val="537A05BE"/>
    <w:rsid w:val="539605FB"/>
    <w:rsid w:val="53A5521A"/>
    <w:rsid w:val="53C46F3B"/>
    <w:rsid w:val="542A1C14"/>
    <w:rsid w:val="542D58D7"/>
    <w:rsid w:val="54413194"/>
    <w:rsid w:val="547B7D5C"/>
    <w:rsid w:val="549612F9"/>
    <w:rsid w:val="54CF5C32"/>
    <w:rsid w:val="54FA14E3"/>
    <w:rsid w:val="55040901"/>
    <w:rsid w:val="55A51D72"/>
    <w:rsid w:val="55F61D5C"/>
    <w:rsid w:val="567B7329"/>
    <w:rsid w:val="56937FC9"/>
    <w:rsid w:val="56C500AD"/>
    <w:rsid w:val="56DF05DE"/>
    <w:rsid w:val="56E50C8E"/>
    <w:rsid w:val="56F70118"/>
    <w:rsid w:val="570606C5"/>
    <w:rsid w:val="570A1FEC"/>
    <w:rsid w:val="572C64C7"/>
    <w:rsid w:val="57FC6189"/>
    <w:rsid w:val="580734B0"/>
    <w:rsid w:val="581D1822"/>
    <w:rsid w:val="587D72AF"/>
    <w:rsid w:val="58931AE5"/>
    <w:rsid w:val="598246AC"/>
    <w:rsid w:val="5A171CE7"/>
    <w:rsid w:val="5A423206"/>
    <w:rsid w:val="5BD27450"/>
    <w:rsid w:val="5BF0219B"/>
    <w:rsid w:val="5C0F5717"/>
    <w:rsid w:val="5C1B4497"/>
    <w:rsid w:val="5C3C46CC"/>
    <w:rsid w:val="5C6B755C"/>
    <w:rsid w:val="5C9D16DC"/>
    <w:rsid w:val="5CFE60C6"/>
    <w:rsid w:val="5D610403"/>
    <w:rsid w:val="5DFB7B4A"/>
    <w:rsid w:val="5E0A0EA9"/>
    <w:rsid w:val="5EFD415C"/>
    <w:rsid w:val="5F073306"/>
    <w:rsid w:val="5F092BBD"/>
    <w:rsid w:val="5F5F73B9"/>
    <w:rsid w:val="5F6A3D47"/>
    <w:rsid w:val="5F9678A6"/>
    <w:rsid w:val="5FD749AD"/>
    <w:rsid w:val="600F4147"/>
    <w:rsid w:val="60145C01"/>
    <w:rsid w:val="60732F4D"/>
    <w:rsid w:val="60FB46CB"/>
    <w:rsid w:val="61665FE8"/>
    <w:rsid w:val="61750921"/>
    <w:rsid w:val="61F25ACE"/>
    <w:rsid w:val="61F375D0"/>
    <w:rsid w:val="62015D11"/>
    <w:rsid w:val="62145601"/>
    <w:rsid w:val="62DF1CAC"/>
    <w:rsid w:val="632B65DF"/>
    <w:rsid w:val="63461ABD"/>
    <w:rsid w:val="63892CD6"/>
    <w:rsid w:val="63F47255"/>
    <w:rsid w:val="64974DD0"/>
    <w:rsid w:val="65585F5F"/>
    <w:rsid w:val="65917D7D"/>
    <w:rsid w:val="65B3280B"/>
    <w:rsid w:val="65BD2897"/>
    <w:rsid w:val="65BD63F3"/>
    <w:rsid w:val="65BE20CE"/>
    <w:rsid w:val="65CD2ADA"/>
    <w:rsid w:val="65D57BE0"/>
    <w:rsid w:val="65FA7647"/>
    <w:rsid w:val="661A4B5C"/>
    <w:rsid w:val="66824D4B"/>
    <w:rsid w:val="6704066B"/>
    <w:rsid w:val="67675300"/>
    <w:rsid w:val="676E3E49"/>
    <w:rsid w:val="678138D6"/>
    <w:rsid w:val="678B49FB"/>
    <w:rsid w:val="67987117"/>
    <w:rsid w:val="6838144E"/>
    <w:rsid w:val="683A0C71"/>
    <w:rsid w:val="684A04CC"/>
    <w:rsid w:val="688202CA"/>
    <w:rsid w:val="689E075E"/>
    <w:rsid w:val="68AA7398"/>
    <w:rsid w:val="6911740B"/>
    <w:rsid w:val="696A4AE4"/>
    <w:rsid w:val="697028E1"/>
    <w:rsid w:val="69E21D66"/>
    <w:rsid w:val="69EC2A30"/>
    <w:rsid w:val="6A1E5147"/>
    <w:rsid w:val="6A4D6295"/>
    <w:rsid w:val="6ABA0F41"/>
    <w:rsid w:val="6ABB3713"/>
    <w:rsid w:val="6B32518D"/>
    <w:rsid w:val="6C066517"/>
    <w:rsid w:val="6C2B5CFA"/>
    <w:rsid w:val="6C5F306A"/>
    <w:rsid w:val="6C836885"/>
    <w:rsid w:val="6CE95852"/>
    <w:rsid w:val="6CFD7007"/>
    <w:rsid w:val="6D1D29E8"/>
    <w:rsid w:val="6D8536C2"/>
    <w:rsid w:val="6E0B11D7"/>
    <w:rsid w:val="6EBA700A"/>
    <w:rsid w:val="6EC521C1"/>
    <w:rsid w:val="6F410095"/>
    <w:rsid w:val="6F5C4ECE"/>
    <w:rsid w:val="6F97D24A"/>
    <w:rsid w:val="6F9C659C"/>
    <w:rsid w:val="6FC54822"/>
    <w:rsid w:val="7004359C"/>
    <w:rsid w:val="705F6A24"/>
    <w:rsid w:val="70627164"/>
    <w:rsid w:val="70C80A99"/>
    <w:rsid w:val="70CC1BE0"/>
    <w:rsid w:val="70ED4030"/>
    <w:rsid w:val="70FD6430"/>
    <w:rsid w:val="71381023"/>
    <w:rsid w:val="71E909FE"/>
    <w:rsid w:val="71EA4A14"/>
    <w:rsid w:val="71FF6F8F"/>
    <w:rsid w:val="7214383E"/>
    <w:rsid w:val="73CC7D67"/>
    <w:rsid w:val="742C597A"/>
    <w:rsid w:val="744378C5"/>
    <w:rsid w:val="74D536DD"/>
    <w:rsid w:val="74E31AB7"/>
    <w:rsid w:val="75425306"/>
    <w:rsid w:val="75DD3483"/>
    <w:rsid w:val="765608C9"/>
    <w:rsid w:val="76621A08"/>
    <w:rsid w:val="766A7ED1"/>
    <w:rsid w:val="769F0492"/>
    <w:rsid w:val="77004391"/>
    <w:rsid w:val="7705602E"/>
    <w:rsid w:val="77386487"/>
    <w:rsid w:val="77975BED"/>
    <w:rsid w:val="77C35AEB"/>
    <w:rsid w:val="77C43611"/>
    <w:rsid w:val="77E31119"/>
    <w:rsid w:val="77E37423"/>
    <w:rsid w:val="781520BE"/>
    <w:rsid w:val="78CD2936"/>
    <w:rsid w:val="79792748"/>
    <w:rsid w:val="7BC506FF"/>
    <w:rsid w:val="7BE75B20"/>
    <w:rsid w:val="7C143B8B"/>
    <w:rsid w:val="7C2B6FA4"/>
    <w:rsid w:val="7C61572E"/>
    <w:rsid w:val="7C9A6307"/>
    <w:rsid w:val="7D5D078F"/>
    <w:rsid w:val="7D87580C"/>
    <w:rsid w:val="7DFD787D"/>
    <w:rsid w:val="7E384246"/>
    <w:rsid w:val="7E775881"/>
    <w:rsid w:val="7E961A7A"/>
    <w:rsid w:val="7E9C0E44"/>
    <w:rsid w:val="7EA00100"/>
    <w:rsid w:val="7EC77F12"/>
    <w:rsid w:val="7EF7251E"/>
    <w:rsid w:val="7F15557D"/>
    <w:rsid w:val="7F594F87"/>
    <w:rsid w:val="7F97D7F2"/>
    <w:rsid w:val="7FBB1D0A"/>
    <w:rsid w:val="7FD36AE7"/>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1"/>
    <w:next w:val="1"/>
    <w:link w:val="5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60"/>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62"/>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63"/>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6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65"/>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6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6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9">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Normal Indent"/>
    <w:basedOn w:val="1"/>
    <w:link w:val="61"/>
    <w:qFormat/>
    <w:uiPriority w:val="0"/>
    <w:pPr>
      <w:autoSpaceDE w:val="0"/>
      <w:autoSpaceDN w:val="0"/>
      <w:adjustRightInd w:val="0"/>
      <w:ind w:firstLine="420"/>
      <w:jc w:val="left"/>
    </w:pPr>
    <w:rPr>
      <w:rFonts w:ascii="宋体"/>
      <w:sz w:val="24"/>
    </w:r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8"/>
    <w:qFormat/>
    <w:uiPriority w:val="0"/>
    <w:pPr>
      <w:shd w:val="clear" w:color="auto" w:fill="000080"/>
    </w:pPr>
  </w:style>
  <w:style w:type="paragraph" w:styleId="15">
    <w:name w:val="annotation text"/>
    <w:basedOn w:val="1"/>
    <w:link w:val="69"/>
    <w:qFormat/>
    <w:uiPriority w:val="99"/>
    <w:pPr>
      <w:jc w:val="left"/>
    </w:pPr>
  </w:style>
  <w:style w:type="paragraph" w:styleId="16">
    <w:name w:val="Body Text 3"/>
    <w:basedOn w:val="1"/>
    <w:link w:val="70"/>
    <w:qFormat/>
    <w:uiPriority w:val="0"/>
    <w:pPr>
      <w:spacing w:after="120"/>
    </w:pPr>
    <w:rPr>
      <w:sz w:val="16"/>
      <w:szCs w:val="16"/>
    </w:rPr>
  </w:style>
  <w:style w:type="paragraph" w:styleId="17">
    <w:name w:val="Body Text"/>
    <w:basedOn w:val="1"/>
    <w:link w:val="71"/>
    <w:qFormat/>
    <w:uiPriority w:val="0"/>
    <w:pPr>
      <w:tabs>
        <w:tab w:val="left" w:pos="567"/>
      </w:tabs>
      <w:spacing w:before="120" w:line="22" w:lineRule="atLeast"/>
    </w:pPr>
    <w:rPr>
      <w:rFonts w:ascii="宋体" w:hAnsi="宋体"/>
      <w:sz w:val="24"/>
    </w:rPr>
  </w:style>
  <w:style w:type="paragraph" w:styleId="18">
    <w:name w:val="Body Text Indent"/>
    <w:basedOn w:val="1"/>
    <w:next w:val="19"/>
    <w:link w:val="72"/>
    <w:qFormat/>
    <w:uiPriority w:val="0"/>
    <w:pPr>
      <w:spacing w:line="360" w:lineRule="auto"/>
      <w:ind w:firstLine="570"/>
    </w:pPr>
    <w:rPr>
      <w:sz w:val="24"/>
    </w:rPr>
  </w:style>
  <w:style w:type="paragraph" w:styleId="19">
    <w:name w:val="envelope return"/>
    <w:basedOn w:val="1"/>
    <w:unhideWhenUsed/>
    <w:qFormat/>
    <w:uiPriority w:val="99"/>
    <w:pPr>
      <w:snapToGrid w:val="0"/>
    </w:pPr>
    <w:rPr>
      <w:rFonts w:ascii="Arial" w:hAnsi="Arial"/>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3"/>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4"/>
    <w:qFormat/>
    <w:uiPriority w:val="0"/>
    <w:pPr>
      <w:ind w:left="100" w:leftChars="2500"/>
    </w:pPr>
    <w:rPr>
      <w:rFonts w:ascii="仿宋_GB2312" w:hAnsi="宋体" w:eastAsia="仿宋_GB2312"/>
      <w:color w:val="000000"/>
      <w:sz w:val="24"/>
    </w:rPr>
  </w:style>
  <w:style w:type="paragraph" w:styleId="27">
    <w:name w:val="Body Text Indent 2"/>
    <w:basedOn w:val="1"/>
    <w:link w:val="75"/>
    <w:qFormat/>
    <w:uiPriority w:val="0"/>
    <w:pPr>
      <w:ind w:firstLine="480" w:firstLineChars="200"/>
    </w:pPr>
    <w:rPr>
      <w:rFonts w:ascii="仿宋_GB2312" w:eastAsia="仿宋_GB2312"/>
      <w:sz w:val="24"/>
    </w:rPr>
  </w:style>
  <w:style w:type="paragraph" w:styleId="28">
    <w:name w:val="Balloon Text"/>
    <w:basedOn w:val="1"/>
    <w:link w:val="76"/>
    <w:qFormat/>
    <w:uiPriority w:val="0"/>
    <w:rPr>
      <w:sz w:val="18"/>
      <w:szCs w:val="18"/>
    </w:rPr>
  </w:style>
  <w:style w:type="paragraph" w:styleId="29">
    <w:name w:val="footer"/>
    <w:basedOn w:val="1"/>
    <w:link w:val="77"/>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footnote text"/>
    <w:basedOn w:val="1"/>
    <w:qFormat/>
    <w:uiPriority w:val="0"/>
    <w:pPr>
      <w:snapToGrid w:val="0"/>
    </w:pPr>
    <w:rPr>
      <w:sz w:val="18"/>
      <w:szCs w:val="18"/>
    </w:rPr>
  </w:style>
  <w:style w:type="paragraph" w:styleId="34">
    <w:name w:val="toc 6"/>
    <w:basedOn w:val="1"/>
    <w:next w:val="1"/>
    <w:qFormat/>
    <w:uiPriority w:val="0"/>
    <w:pPr>
      <w:ind w:left="2100" w:leftChars="1000"/>
    </w:pPr>
  </w:style>
  <w:style w:type="paragraph" w:styleId="35">
    <w:name w:val="Body Text Indent 3"/>
    <w:basedOn w:val="1"/>
    <w:link w:val="79"/>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Body Text 2"/>
    <w:basedOn w:val="1"/>
    <w:qFormat/>
    <w:uiPriority w:val="0"/>
    <w:pPr>
      <w:jc w:val="center"/>
    </w:pPr>
    <w:rPr>
      <w:rFonts w:asciiTheme="minorHAnsi" w:hAnsiTheme="minorHAnsi" w:eastAsiaTheme="minorEastAsia" w:cstheme="minorBidi"/>
      <w:b/>
      <w:bCs/>
      <w:sz w:val="72"/>
      <w:szCs w:val="22"/>
    </w:rPr>
  </w:style>
  <w:style w:type="paragraph" w:styleId="39">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rPr>
      <w:szCs w:val="20"/>
    </w:rPr>
  </w:style>
  <w:style w:type="paragraph" w:styleId="42">
    <w:name w:val="Title"/>
    <w:basedOn w:val="1"/>
    <w:link w:val="81"/>
    <w:qFormat/>
    <w:uiPriority w:val="0"/>
    <w:pPr>
      <w:jc w:val="center"/>
      <w:outlineLvl w:val="0"/>
    </w:pPr>
    <w:rPr>
      <w:b/>
      <w:sz w:val="32"/>
      <w:szCs w:val="20"/>
    </w:rPr>
  </w:style>
  <w:style w:type="paragraph" w:styleId="43">
    <w:name w:val="annotation subject"/>
    <w:basedOn w:val="15"/>
    <w:next w:val="15"/>
    <w:link w:val="82"/>
    <w:qFormat/>
    <w:uiPriority w:val="0"/>
    <w:rPr>
      <w:b/>
      <w:bCs/>
    </w:rPr>
  </w:style>
  <w:style w:type="paragraph" w:styleId="44">
    <w:name w:val="Body Text First Indent 2"/>
    <w:basedOn w:val="18"/>
    <w:next w:val="45"/>
    <w:link w:val="84"/>
    <w:qFormat/>
    <w:uiPriority w:val="0"/>
    <w:pPr>
      <w:spacing w:after="120" w:line="480" w:lineRule="exact"/>
      <w:ind w:left="420" w:leftChars="200" w:firstLine="420" w:firstLineChars="200"/>
    </w:pPr>
    <w:rPr>
      <w:szCs w:val="20"/>
    </w:rPr>
  </w:style>
  <w:style w:type="paragraph" w:customStyle="1" w:styleId="45">
    <w:name w:val="样式 标题 2 + Times New Roman 四号 非加粗 段前: 5 磅 段后: 0 磅 行距: 固定值 20..."/>
    <w:basedOn w:val="2"/>
    <w:next w:val="33"/>
    <w:qFormat/>
    <w:uiPriority w:val="99"/>
    <w:pPr>
      <w:autoSpaceDE/>
      <w:autoSpaceDN/>
      <w:adjustRightInd/>
      <w:spacing w:beforeLines="50" w:afterLines="50" w:line="360" w:lineRule="auto"/>
      <w:jc w:val="both"/>
    </w:pPr>
    <w:rPr>
      <w:rFonts w:ascii="宋体" w:hAnsi="Times New Roman" w:eastAsia="宋体" w:cs="宋体"/>
      <w:b w:val="0"/>
      <w:kern w:val="2"/>
      <w:sz w:val="28"/>
    </w:rPr>
  </w:style>
  <w:style w:type="table" w:styleId="47">
    <w:name w:val="Table Grid"/>
    <w:basedOn w:val="46"/>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8">
    <w:name w:val="Medium Grid 1 Accent 2"/>
    <w:basedOn w:val="46"/>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0">
    <w:name w:val="Strong"/>
    <w:qFormat/>
    <w:uiPriority w:val="0"/>
    <w:rPr>
      <w:b/>
      <w:bCs/>
    </w:rPr>
  </w:style>
  <w:style w:type="character" w:styleId="51">
    <w:name w:val="page number"/>
    <w:basedOn w:val="49"/>
    <w:qFormat/>
    <w:uiPriority w:val="0"/>
  </w:style>
  <w:style w:type="character" w:styleId="52">
    <w:name w:val="FollowedHyperlink"/>
    <w:qFormat/>
    <w:uiPriority w:val="0"/>
    <w:rPr>
      <w:color w:val="800080"/>
      <w:u w:val="single"/>
    </w:rPr>
  </w:style>
  <w:style w:type="character" w:styleId="53">
    <w:name w:val="Emphasis"/>
    <w:qFormat/>
    <w:uiPriority w:val="0"/>
    <w:rPr>
      <w:color w:val="CC0033"/>
    </w:rPr>
  </w:style>
  <w:style w:type="character" w:styleId="54">
    <w:name w:val="Hyperlink"/>
    <w:basedOn w:val="49"/>
    <w:qFormat/>
    <w:uiPriority w:val="99"/>
    <w:rPr>
      <w:color w:val="0000FF"/>
      <w:u w:val="single"/>
    </w:rPr>
  </w:style>
  <w:style w:type="character" w:styleId="55">
    <w:name w:val="annotation reference"/>
    <w:basedOn w:val="49"/>
    <w:qFormat/>
    <w:uiPriority w:val="99"/>
    <w:rPr>
      <w:sz w:val="21"/>
      <w:szCs w:val="21"/>
    </w:rPr>
  </w:style>
  <w:style w:type="character" w:styleId="56">
    <w:name w:val="HTML Cite"/>
    <w:qFormat/>
    <w:uiPriority w:val="0"/>
    <w:rPr>
      <w:i/>
      <w:iCs/>
    </w:rPr>
  </w:style>
  <w:style w:type="character" w:customStyle="1" w:styleId="57">
    <w:name w:val="标题 3 Char"/>
    <w:qFormat/>
    <w:uiPriority w:val="0"/>
    <w:rPr>
      <w:rFonts w:ascii="宋体" w:eastAsia="宋体"/>
      <w:b/>
      <w:sz w:val="24"/>
      <w:u w:val="single"/>
      <w:lang w:val="en-US" w:eastAsia="zh-CN" w:bidi="ar-SA"/>
    </w:rPr>
  </w:style>
  <w:style w:type="character" w:customStyle="1" w:styleId="58">
    <w:name w:val="标题 2 字符"/>
    <w:link w:val="2"/>
    <w:qFormat/>
    <w:uiPriority w:val="0"/>
    <w:rPr>
      <w:rFonts w:ascii="Arial" w:hAnsi="Arial" w:eastAsia="黑体"/>
      <w:b/>
      <w:sz w:val="30"/>
      <w:lang w:val="en-US" w:eastAsia="zh-CN" w:bidi="ar-SA"/>
    </w:rPr>
  </w:style>
  <w:style w:type="character" w:customStyle="1" w:styleId="59">
    <w:name w:val="标题 1 字符"/>
    <w:basedOn w:val="49"/>
    <w:link w:val="3"/>
    <w:qFormat/>
    <w:uiPriority w:val="0"/>
    <w:rPr>
      <w:rFonts w:ascii="宋体"/>
      <w:b/>
      <w:kern w:val="44"/>
      <w:sz w:val="32"/>
    </w:rPr>
  </w:style>
  <w:style w:type="character" w:customStyle="1" w:styleId="60">
    <w:name w:val="标题 3 字符"/>
    <w:link w:val="4"/>
    <w:qFormat/>
    <w:uiPriority w:val="0"/>
    <w:rPr>
      <w:rFonts w:ascii="宋体" w:eastAsia="宋体"/>
      <w:b/>
      <w:sz w:val="24"/>
      <w:u w:val="single"/>
      <w:lang w:val="en-US" w:eastAsia="zh-CN" w:bidi="ar-SA"/>
    </w:rPr>
  </w:style>
  <w:style w:type="character" w:customStyle="1" w:styleId="61">
    <w:name w:val="正文缩进 字符"/>
    <w:link w:val="12"/>
    <w:qFormat/>
    <w:uiPriority w:val="0"/>
    <w:rPr>
      <w:rFonts w:ascii="宋体" w:eastAsia="宋体"/>
      <w:kern w:val="2"/>
      <w:sz w:val="24"/>
      <w:szCs w:val="24"/>
      <w:lang w:val="en-US" w:eastAsia="zh-CN" w:bidi="ar-SA"/>
    </w:rPr>
  </w:style>
  <w:style w:type="character" w:customStyle="1" w:styleId="62">
    <w:name w:val="标题 4 字符"/>
    <w:basedOn w:val="49"/>
    <w:link w:val="5"/>
    <w:qFormat/>
    <w:uiPriority w:val="0"/>
    <w:rPr>
      <w:rFonts w:ascii="Arial" w:hAnsi="Arial" w:eastAsia="黑体"/>
      <w:b/>
      <w:sz w:val="28"/>
    </w:rPr>
  </w:style>
  <w:style w:type="character" w:customStyle="1" w:styleId="63">
    <w:name w:val="标题 5 字符"/>
    <w:basedOn w:val="49"/>
    <w:link w:val="6"/>
    <w:qFormat/>
    <w:uiPriority w:val="0"/>
    <w:rPr>
      <w:b/>
      <w:sz w:val="28"/>
    </w:rPr>
  </w:style>
  <w:style w:type="character" w:customStyle="1" w:styleId="64">
    <w:name w:val="标题 6 字符"/>
    <w:basedOn w:val="49"/>
    <w:link w:val="7"/>
    <w:qFormat/>
    <w:uiPriority w:val="0"/>
    <w:rPr>
      <w:rFonts w:ascii="Arial" w:hAnsi="Arial" w:eastAsia="黑体"/>
      <w:b/>
      <w:sz w:val="24"/>
    </w:rPr>
  </w:style>
  <w:style w:type="character" w:customStyle="1" w:styleId="65">
    <w:name w:val="标题 7 字符"/>
    <w:basedOn w:val="49"/>
    <w:link w:val="8"/>
    <w:qFormat/>
    <w:uiPriority w:val="0"/>
    <w:rPr>
      <w:b/>
      <w:sz w:val="24"/>
    </w:rPr>
  </w:style>
  <w:style w:type="character" w:customStyle="1" w:styleId="66">
    <w:name w:val="标题 8 字符"/>
    <w:basedOn w:val="49"/>
    <w:link w:val="9"/>
    <w:qFormat/>
    <w:uiPriority w:val="0"/>
    <w:rPr>
      <w:rFonts w:ascii="Arial" w:hAnsi="Arial" w:eastAsia="黑体"/>
      <w:sz w:val="24"/>
    </w:rPr>
  </w:style>
  <w:style w:type="character" w:customStyle="1" w:styleId="67">
    <w:name w:val="标题 9 字符"/>
    <w:basedOn w:val="49"/>
    <w:link w:val="10"/>
    <w:qFormat/>
    <w:uiPriority w:val="0"/>
    <w:rPr>
      <w:rFonts w:ascii="Arial" w:hAnsi="Arial" w:eastAsia="黑体"/>
      <w:sz w:val="21"/>
    </w:rPr>
  </w:style>
  <w:style w:type="character" w:customStyle="1" w:styleId="68">
    <w:name w:val="文档结构图 字符"/>
    <w:basedOn w:val="49"/>
    <w:link w:val="14"/>
    <w:qFormat/>
    <w:uiPriority w:val="0"/>
    <w:rPr>
      <w:kern w:val="2"/>
      <w:sz w:val="21"/>
      <w:szCs w:val="24"/>
      <w:shd w:val="clear" w:color="auto" w:fill="000080"/>
    </w:rPr>
  </w:style>
  <w:style w:type="character" w:customStyle="1" w:styleId="69">
    <w:name w:val="批注文字 字符1"/>
    <w:link w:val="15"/>
    <w:qFormat/>
    <w:uiPriority w:val="99"/>
    <w:rPr>
      <w:kern w:val="2"/>
      <w:sz w:val="21"/>
      <w:szCs w:val="24"/>
    </w:rPr>
  </w:style>
  <w:style w:type="character" w:customStyle="1" w:styleId="70">
    <w:name w:val="正文文本 3 字符"/>
    <w:basedOn w:val="49"/>
    <w:link w:val="16"/>
    <w:qFormat/>
    <w:uiPriority w:val="0"/>
    <w:rPr>
      <w:kern w:val="2"/>
      <w:sz w:val="16"/>
      <w:szCs w:val="16"/>
    </w:rPr>
  </w:style>
  <w:style w:type="character" w:customStyle="1" w:styleId="71">
    <w:name w:val="正文文本 字符"/>
    <w:basedOn w:val="49"/>
    <w:link w:val="17"/>
    <w:qFormat/>
    <w:uiPriority w:val="0"/>
    <w:rPr>
      <w:rFonts w:ascii="宋体" w:hAnsi="宋体"/>
      <w:kern w:val="2"/>
      <w:sz w:val="24"/>
      <w:szCs w:val="24"/>
    </w:rPr>
  </w:style>
  <w:style w:type="character" w:customStyle="1" w:styleId="72">
    <w:name w:val="正文文本缩进 字符"/>
    <w:link w:val="18"/>
    <w:qFormat/>
    <w:uiPriority w:val="0"/>
    <w:rPr>
      <w:rFonts w:eastAsia="宋体"/>
      <w:kern w:val="2"/>
      <w:sz w:val="24"/>
      <w:szCs w:val="24"/>
      <w:lang w:val="en-US" w:eastAsia="zh-CN" w:bidi="ar-SA"/>
    </w:rPr>
  </w:style>
  <w:style w:type="character" w:customStyle="1" w:styleId="73">
    <w:name w:val="纯文本 字符2"/>
    <w:basedOn w:val="49"/>
    <w:link w:val="24"/>
    <w:qFormat/>
    <w:uiPriority w:val="0"/>
    <w:rPr>
      <w:rFonts w:hint="eastAsia" w:ascii="宋体" w:hAnsi="Courier New" w:eastAsia="宋体" w:cs="宋体"/>
      <w:kern w:val="2"/>
      <w:sz w:val="21"/>
    </w:rPr>
  </w:style>
  <w:style w:type="character" w:customStyle="1" w:styleId="74">
    <w:name w:val="日期 字符"/>
    <w:basedOn w:val="49"/>
    <w:link w:val="26"/>
    <w:qFormat/>
    <w:uiPriority w:val="0"/>
    <w:rPr>
      <w:rFonts w:ascii="仿宋_GB2312" w:hAnsi="宋体" w:eastAsia="仿宋_GB2312"/>
      <w:color w:val="000000"/>
      <w:kern w:val="2"/>
      <w:sz w:val="24"/>
      <w:szCs w:val="24"/>
    </w:rPr>
  </w:style>
  <w:style w:type="character" w:customStyle="1" w:styleId="75">
    <w:name w:val="正文文本缩进 2 字符"/>
    <w:basedOn w:val="49"/>
    <w:link w:val="27"/>
    <w:qFormat/>
    <w:uiPriority w:val="0"/>
    <w:rPr>
      <w:rFonts w:ascii="仿宋_GB2312" w:eastAsia="仿宋_GB2312"/>
      <w:kern w:val="2"/>
      <w:sz w:val="24"/>
      <w:szCs w:val="24"/>
    </w:rPr>
  </w:style>
  <w:style w:type="character" w:customStyle="1" w:styleId="76">
    <w:name w:val="批注框文本 字符"/>
    <w:basedOn w:val="49"/>
    <w:link w:val="28"/>
    <w:qFormat/>
    <w:uiPriority w:val="0"/>
    <w:rPr>
      <w:kern w:val="2"/>
      <w:sz w:val="18"/>
      <w:szCs w:val="18"/>
    </w:rPr>
  </w:style>
  <w:style w:type="character" w:customStyle="1" w:styleId="77">
    <w:name w:val="页脚 字符"/>
    <w:link w:val="29"/>
    <w:qFormat/>
    <w:uiPriority w:val="99"/>
    <w:rPr>
      <w:rFonts w:ascii="宋体" w:eastAsia="宋体"/>
      <w:sz w:val="18"/>
      <w:lang w:val="en-US" w:eastAsia="zh-CN" w:bidi="ar-SA"/>
    </w:rPr>
  </w:style>
  <w:style w:type="character" w:customStyle="1" w:styleId="78">
    <w:name w:val="页眉 字符"/>
    <w:link w:val="30"/>
    <w:qFormat/>
    <w:uiPriority w:val="0"/>
    <w:rPr>
      <w:rFonts w:eastAsia="宋体"/>
      <w:kern w:val="2"/>
      <w:sz w:val="18"/>
      <w:szCs w:val="18"/>
      <w:lang w:val="en-US" w:eastAsia="zh-CN" w:bidi="ar-SA"/>
    </w:rPr>
  </w:style>
  <w:style w:type="character" w:customStyle="1" w:styleId="79">
    <w:name w:val="正文文本缩进 3 字符"/>
    <w:basedOn w:val="49"/>
    <w:link w:val="35"/>
    <w:qFormat/>
    <w:uiPriority w:val="0"/>
    <w:rPr>
      <w:rFonts w:ascii="宋体"/>
      <w:sz w:val="24"/>
    </w:rPr>
  </w:style>
  <w:style w:type="character" w:customStyle="1" w:styleId="80">
    <w:name w:val="HTML 预设格式 字符"/>
    <w:basedOn w:val="49"/>
    <w:link w:val="39"/>
    <w:qFormat/>
    <w:uiPriority w:val="0"/>
    <w:rPr>
      <w:rFonts w:ascii="宋体" w:hAnsi="宋体" w:cs="宋体"/>
      <w:sz w:val="24"/>
      <w:szCs w:val="24"/>
    </w:rPr>
  </w:style>
  <w:style w:type="character" w:customStyle="1" w:styleId="81">
    <w:name w:val="标题 字符"/>
    <w:link w:val="42"/>
    <w:qFormat/>
    <w:uiPriority w:val="0"/>
    <w:rPr>
      <w:b/>
      <w:kern w:val="2"/>
      <w:sz w:val="32"/>
    </w:rPr>
  </w:style>
  <w:style w:type="character" w:customStyle="1" w:styleId="82">
    <w:name w:val="批注主题 字符"/>
    <w:basedOn w:val="83"/>
    <w:link w:val="43"/>
    <w:qFormat/>
    <w:uiPriority w:val="0"/>
    <w:rPr>
      <w:rFonts w:ascii="Times New Roman" w:hAnsi="Times New Roman" w:eastAsia="宋体" w:cs="Times New Roman"/>
      <w:b/>
      <w:bCs/>
      <w:kern w:val="2"/>
      <w:sz w:val="21"/>
      <w:szCs w:val="24"/>
      <w:lang w:val="en-US" w:eastAsia="zh-CN" w:bidi="ar-SA"/>
    </w:rPr>
  </w:style>
  <w:style w:type="character" w:customStyle="1" w:styleId="83">
    <w:name w:val="批注文字 字符"/>
    <w:qFormat/>
    <w:uiPriority w:val="99"/>
    <w:rPr>
      <w:rFonts w:ascii="Times New Roman" w:hAnsi="Times New Roman" w:eastAsia="宋体" w:cs="Times New Roman"/>
      <w:sz w:val="24"/>
      <w:lang w:val="en-US" w:eastAsia="zh-CN" w:bidi="ar-SA"/>
    </w:rPr>
  </w:style>
  <w:style w:type="character" w:customStyle="1" w:styleId="84">
    <w:name w:val="正文文本首行缩进 2 字符"/>
    <w:basedOn w:val="72"/>
    <w:link w:val="44"/>
    <w:qFormat/>
    <w:uiPriority w:val="0"/>
    <w:rPr>
      <w:rFonts w:eastAsia="宋体"/>
      <w:kern w:val="2"/>
      <w:sz w:val="24"/>
      <w:szCs w:val="24"/>
      <w:lang w:val="en-US" w:eastAsia="zh-CN" w:bidi="ar-SA"/>
    </w:rPr>
  </w:style>
  <w:style w:type="character" w:customStyle="1" w:styleId="85">
    <w:name w:val="c21"/>
    <w:qFormat/>
    <w:uiPriority w:val="0"/>
    <w:rPr>
      <w:rFonts w:hint="default" w:ascii="ˎ̥" w:hAnsi="ˎ̥"/>
      <w:color w:val="000000"/>
      <w:sz w:val="20"/>
      <w:szCs w:val="20"/>
      <w:u w:val="none"/>
    </w:rPr>
  </w:style>
  <w:style w:type="character" w:customStyle="1" w:styleId="86">
    <w:name w:val="title4"/>
    <w:qFormat/>
    <w:uiPriority w:val="0"/>
    <w:rPr>
      <w:b/>
      <w:bCs/>
      <w:color w:val="1D87B3"/>
      <w:sz w:val="15"/>
      <w:szCs w:val="15"/>
    </w:rPr>
  </w:style>
  <w:style w:type="character" w:customStyle="1" w:styleId="87">
    <w:name w:val="标题 2 Char Char"/>
    <w:qFormat/>
    <w:uiPriority w:val="0"/>
    <w:rPr>
      <w:rFonts w:ascii="Arial" w:hAnsi="Arial" w:eastAsia="黑体"/>
      <w:b/>
      <w:bCs/>
      <w:kern w:val="2"/>
      <w:sz w:val="32"/>
      <w:szCs w:val="32"/>
      <w:lang w:val="en-US" w:eastAsia="zh-CN" w:bidi="ar-SA"/>
    </w:rPr>
  </w:style>
  <w:style w:type="character" w:customStyle="1" w:styleId="88">
    <w:name w:val="black1"/>
    <w:qFormat/>
    <w:uiPriority w:val="0"/>
    <w:rPr>
      <w:color w:val="000000"/>
    </w:rPr>
  </w:style>
  <w:style w:type="character" w:customStyle="1" w:styleId="89">
    <w:name w:val="street-address"/>
    <w:basedOn w:val="49"/>
    <w:qFormat/>
    <w:uiPriority w:val="0"/>
  </w:style>
  <w:style w:type="character" w:customStyle="1" w:styleId="90">
    <w:name w:val="locality"/>
    <w:basedOn w:val="49"/>
    <w:qFormat/>
    <w:uiPriority w:val="0"/>
  </w:style>
  <w:style w:type="character" w:customStyle="1" w:styleId="91">
    <w:name w:val="正文文本缩进 Char1"/>
    <w:link w:val="92"/>
    <w:qFormat/>
    <w:uiPriority w:val="0"/>
    <w:rPr>
      <w:rFonts w:ascii="宋体" w:hAnsi="宋体" w:eastAsia="宋体"/>
      <w:sz w:val="24"/>
      <w:szCs w:val="24"/>
      <w:lang w:bidi="ar-SA"/>
    </w:rPr>
  </w:style>
  <w:style w:type="paragraph" w:customStyle="1" w:styleId="92">
    <w:name w:val="正文文本缩进1"/>
    <w:basedOn w:val="1"/>
    <w:link w:val="91"/>
    <w:qFormat/>
    <w:uiPriority w:val="0"/>
    <w:pPr>
      <w:spacing w:line="480" w:lineRule="exact"/>
      <w:ind w:firstLine="480" w:firstLineChars="200"/>
    </w:pPr>
    <w:rPr>
      <w:rFonts w:ascii="宋体" w:hAnsi="宋体"/>
      <w:kern w:val="0"/>
      <w:sz w:val="24"/>
    </w:rPr>
  </w:style>
  <w:style w:type="character" w:customStyle="1" w:styleId="93">
    <w:name w:val="Char Char11"/>
    <w:qFormat/>
    <w:uiPriority w:val="0"/>
    <w:rPr>
      <w:rFonts w:ascii="宋体" w:eastAsia="宋体"/>
      <w:b/>
      <w:sz w:val="24"/>
      <w:u w:val="single"/>
      <w:lang w:val="en-US" w:eastAsia="zh-CN" w:bidi="ar-SA"/>
    </w:rPr>
  </w:style>
  <w:style w:type="character" w:customStyle="1" w:styleId="94">
    <w:name w:val="txt"/>
    <w:basedOn w:val="49"/>
    <w:qFormat/>
    <w:uiPriority w:val="0"/>
  </w:style>
  <w:style w:type="character" w:customStyle="1" w:styleId="95">
    <w:name w:val="正文缩进 Char Char"/>
    <w:link w:val="96"/>
    <w:qFormat/>
    <w:uiPriority w:val="0"/>
    <w:rPr>
      <w:rFonts w:ascii="宋体" w:eastAsia="宋体"/>
      <w:snapToGrid w:val="0"/>
      <w:color w:val="000000"/>
      <w:kern w:val="28"/>
      <w:sz w:val="28"/>
      <w:lang w:bidi="ar-SA"/>
    </w:rPr>
  </w:style>
  <w:style w:type="paragraph" w:customStyle="1" w:styleId="96">
    <w:name w:val="正文缩进1"/>
    <w:basedOn w:val="1"/>
    <w:link w:val="95"/>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7">
    <w:name w:val="普通文字1 Char1"/>
    <w:qFormat/>
    <w:uiPriority w:val="0"/>
    <w:rPr>
      <w:rFonts w:ascii="宋体" w:hAnsi="Courier New" w:eastAsia="宋体"/>
      <w:kern w:val="2"/>
      <w:sz w:val="21"/>
      <w:lang w:val="en-US" w:eastAsia="zh-CN" w:bidi="ar-SA"/>
    </w:rPr>
  </w:style>
  <w:style w:type="character" w:customStyle="1" w:styleId="98">
    <w:name w:val="chanpin1"/>
    <w:qFormat/>
    <w:uiPriority w:val="0"/>
    <w:rPr>
      <w:rFonts w:hint="default" w:ascii="ˎ̥" w:hAnsi="ˎ̥"/>
      <w:color w:val="000000"/>
      <w:sz w:val="20"/>
      <w:szCs w:val="20"/>
      <w:u w:val="none"/>
    </w:rPr>
  </w:style>
  <w:style w:type="character" w:customStyle="1" w:styleId="99">
    <w:name w:val="列表段落 字符"/>
    <w:link w:val="100"/>
    <w:qFormat/>
    <w:uiPriority w:val="34"/>
    <w:rPr>
      <w:rFonts w:ascii="Calibri" w:hAnsi="Calibri" w:eastAsia="宋体"/>
      <w:kern w:val="2"/>
      <w:sz w:val="21"/>
      <w:szCs w:val="22"/>
      <w:lang w:val="en-US" w:eastAsia="zh-CN" w:bidi="ar-SA"/>
    </w:rPr>
  </w:style>
  <w:style w:type="paragraph" w:styleId="100">
    <w:name w:val="List Paragraph"/>
    <w:basedOn w:val="1"/>
    <w:link w:val="99"/>
    <w:qFormat/>
    <w:uiPriority w:val="34"/>
    <w:pPr>
      <w:ind w:firstLine="420" w:firstLineChars="200"/>
    </w:pPr>
    <w:rPr>
      <w:rFonts w:ascii="Calibri" w:hAnsi="Calibri"/>
      <w:szCs w:val="22"/>
    </w:rPr>
  </w:style>
  <w:style w:type="character" w:customStyle="1" w:styleId="101">
    <w:name w:val="标题 3 Char Char"/>
    <w:qFormat/>
    <w:uiPriority w:val="0"/>
    <w:rPr>
      <w:rFonts w:eastAsia="宋体"/>
      <w:b/>
      <w:bCs/>
      <w:kern w:val="2"/>
      <w:sz w:val="32"/>
      <w:szCs w:val="32"/>
      <w:lang w:val="en-US" w:eastAsia="zh-CN" w:bidi="ar-SA"/>
    </w:rPr>
  </w:style>
  <w:style w:type="character" w:customStyle="1" w:styleId="102">
    <w:name w:val="段1 Char"/>
    <w:qFormat/>
    <w:uiPriority w:val="0"/>
    <w:rPr>
      <w:rFonts w:ascii="宋体" w:eastAsia="宋体"/>
      <w:sz w:val="24"/>
      <w:lang w:val="en-US" w:eastAsia="zh-CN" w:bidi="ar-SA"/>
    </w:rPr>
  </w:style>
  <w:style w:type="character" w:customStyle="1" w:styleId="103">
    <w:name w:val="chanpin拷贝"/>
    <w:basedOn w:val="49"/>
    <w:qFormat/>
    <w:uiPriority w:val="0"/>
  </w:style>
  <w:style w:type="character" w:customStyle="1" w:styleId="104">
    <w:name w:val="纯文本 Char1"/>
    <w:qFormat/>
    <w:uiPriority w:val="0"/>
    <w:rPr>
      <w:rFonts w:ascii="宋体" w:hAnsi="Courier New" w:eastAsia="宋体"/>
      <w:kern w:val="2"/>
      <w:sz w:val="21"/>
      <w:lang w:val="en-US" w:eastAsia="zh-CN" w:bidi="ar-SA"/>
    </w:rPr>
  </w:style>
  <w:style w:type="character" w:customStyle="1" w:styleId="105">
    <w:name w:val="apple-style-span"/>
    <w:qFormat/>
    <w:uiPriority w:val="0"/>
    <w:rPr>
      <w:rFonts w:cs="Times New Roman"/>
    </w:rPr>
  </w:style>
  <w:style w:type="paragraph" w:customStyle="1" w:styleId="106">
    <w:name w:val="二级条标题"/>
    <w:basedOn w:val="107"/>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7">
    <w:name w:val="一级条标题"/>
    <w:basedOn w:val="108"/>
    <w:next w:val="1"/>
    <w:qFormat/>
    <w:uiPriority w:val="0"/>
    <w:pPr>
      <w:numPr>
        <w:ilvl w:val="1"/>
      </w:numPr>
      <w:tabs>
        <w:tab w:val="left" w:pos="360"/>
        <w:tab w:val="left" w:pos="840"/>
      </w:tabs>
      <w:ind w:left="0" w:hanging="840"/>
      <w:outlineLvl w:val="1"/>
    </w:pPr>
  </w:style>
  <w:style w:type="paragraph" w:customStyle="1" w:styleId="108">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9">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0">
    <w:name w:val="字元 字元"/>
    <w:basedOn w:val="1"/>
    <w:qFormat/>
    <w:uiPriority w:val="0"/>
    <w:rPr>
      <w:rFonts w:ascii="Tahoma" w:hAnsi="Tahoma"/>
      <w:sz w:val="24"/>
      <w:szCs w:val="20"/>
    </w:rPr>
  </w:style>
  <w:style w:type="paragraph" w:customStyle="1" w:styleId="111">
    <w:name w:val="Char3 Char Char Char"/>
    <w:basedOn w:val="1"/>
    <w:qFormat/>
    <w:uiPriority w:val="0"/>
    <w:rPr>
      <w:rFonts w:ascii="Tahoma" w:hAnsi="Tahoma"/>
      <w:sz w:val="24"/>
      <w:szCs w:val="20"/>
    </w:rPr>
  </w:style>
  <w:style w:type="paragraph" w:customStyle="1" w:styleId="112">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3">
    <w:name w:val="项目编号2"/>
    <w:basedOn w:val="114"/>
    <w:qFormat/>
    <w:uiPriority w:val="0"/>
    <w:pPr>
      <w:numPr>
        <w:numId w:val="2"/>
      </w:numPr>
    </w:pPr>
  </w:style>
  <w:style w:type="paragraph" w:customStyle="1" w:styleId="114">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5">
    <w:name w:val="图中文字"/>
    <w:basedOn w:val="1"/>
    <w:qFormat/>
    <w:uiPriority w:val="0"/>
    <w:pPr>
      <w:adjustRightInd w:val="0"/>
      <w:snapToGrid w:val="0"/>
      <w:spacing w:line="0" w:lineRule="atLeast"/>
      <w:jc w:val="center"/>
    </w:pPr>
    <w:rPr>
      <w:sz w:val="24"/>
      <w:szCs w:val="20"/>
    </w:rPr>
  </w:style>
  <w:style w:type="paragraph" w:customStyle="1" w:styleId="11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8">
    <w:name w:val="Char2"/>
    <w:basedOn w:val="1"/>
    <w:qFormat/>
    <w:uiPriority w:val="0"/>
    <w:rPr>
      <w:rFonts w:ascii="Tahoma" w:hAnsi="Tahoma"/>
      <w:sz w:val="24"/>
      <w:szCs w:val="20"/>
    </w:rPr>
  </w:style>
  <w:style w:type="paragraph" w:customStyle="1" w:styleId="119">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6">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7">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8">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0">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2">
    <w:name w:val="font8"/>
    <w:basedOn w:val="1"/>
    <w:qFormat/>
    <w:uiPriority w:val="0"/>
    <w:pPr>
      <w:widowControl/>
      <w:spacing w:before="100" w:beforeAutospacing="1" w:after="100" w:afterAutospacing="1"/>
      <w:jc w:val="left"/>
    </w:pPr>
    <w:rPr>
      <w:kern w:val="0"/>
      <w:sz w:val="36"/>
      <w:szCs w:val="36"/>
    </w:rPr>
  </w:style>
  <w:style w:type="paragraph" w:customStyle="1" w:styleId="133">
    <w:name w:val="Char"/>
    <w:basedOn w:val="1"/>
    <w:qFormat/>
    <w:uiPriority w:val="0"/>
    <w:pPr>
      <w:tabs>
        <w:tab w:val="left" w:pos="360"/>
      </w:tabs>
    </w:pPr>
    <w:rPr>
      <w:sz w:val="24"/>
    </w:rPr>
  </w:style>
  <w:style w:type="paragraph" w:customStyle="1" w:styleId="134">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5">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6">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7">
    <w:name w:val="Char Char1"/>
    <w:basedOn w:val="14"/>
    <w:qFormat/>
    <w:uiPriority w:val="0"/>
    <w:rPr>
      <w:rFonts w:ascii="Tahoma" w:hAnsi="Tahoma"/>
      <w:sz w:val="24"/>
    </w:rPr>
  </w:style>
  <w:style w:type="paragraph" w:customStyle="1" w:styleId="13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0">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2">
    <w:name w:val="Char1 Char Char Char1"/>
    <w:basedOn w:val="1"/>
    <w:qFormat/>
    <w:uiPriority w:val="0"/>
    <w:rPr>
      <w:rFonts w:ascii="Tahoma" w:hAnsi="Tahoma" w:cs="仿宋_GB2312"/>
      <w:sz w:val="24"/>
      <w:szCs w:val="28"/>
    </w:rPr>
  </w:style>
  <w:style w:type="paragraph" w:customStyle="1" w:styleId="143">
    <w:name w:val="四级条标题"/>
    <w:basedOn w:val="144"/>
    <w:next w:val="1"/>
    <w:qFormat/>
    <w:uiPriority w:val="0"/>
    <w:pPr>
      <w:numPr>
        <w:ilvl w:val="4"/>
      </w:numPr>
      <w:tabs>
        <w:tab w:val="left" w:pos="360"/>
        <w:tab w:val="left" w:pos="840"/>
      </w:tabs>
      <w:ind w:left="0" w:hanging="840"/>
      <w:outlineLvl w:val="4"/>
    </w:pPr>
  </w:style>
  <w:style w:type="paragraph" w:customStyle="1" w:styleId="144">
    <w:name w:val="三级条标题"/>
    <w:basedOn w:val="106"/>
    <w:next w:val="1"/>
    <w:qFormat/>
    <w:uiPriority w:val="0"/>
    <w:pPr>
      <w:numPr>
        <w:ilvl w:val="3"/>
        <w:numId w:val="1"/>
      </w:numPr>
      <w:ind w:left="0" w:hanging="840"/>
      <w:outlineLvl w:val="3"/>
    </w:pPr>
  </w:style>
  <w:style w:type="paragraph" w:customStyle="1" w:styleId="145">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6">
    <w:name w:val="样式 标题 2 + 宋体 五号 行距: 单倍行距"/>
    <w:basedOn w:val="2"/>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7">
    <w:name w:val="List Paragraph1"/>
    <w:basedOn w:val="1"/>
    <w:qFormat/>
    <w:uiPriority w:val="0"/>
    <w:pPr>
      <w:ind w:firstLine="420" w:firstLineChars="200"/>
    </w:pPr>
    <w:rPr>
      <w:rFonts w:ascii="Calibri" w:hAnsi="Calibri"/>
      <w:szCs w:val="22"/>
    </w:rPr>
  </w:style>
  <w:style w:type="paragraph" w:customStyle="1" w:styleId="148">
    <w:name w:val="项目符号1"/>
    <w:basedOn w:val="149"/>
    <w:qFormat/>
    <w:uiPriority w:val="0"/>
    <w:pPr>
      <w:ind w:left="-25" w:firstLine="0"/>
    </w:pPr>
  </w:style>
  <w:style w:type="paragraph" w:customStyle="1" w:styleId="149">
    <w:name w:val="正文文本样式"/>
    <w:basedOn w:val="1"/>
    <w:qFormat/>
    <w:uiPriority w:val="0"/>
    <w:pPr>
      <w:spacing w:line="360" w:lineRule="auto"/>
      <w:ind w:firstLine="482"/>
    </w:pPr>
    <w:rPr>
      <w:rFonts w:cs="宋体"/>
      <w:sz w:val="24"/>
      <w:szCs w:val="20"/>
    </w:rPr>
  </w:style>
  <w:style w:type="paragraph" w:customStyle="1" w:styleId="15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2">
    <w:name w:val="五级条标题"/>
    <w:basedOn w:val="143"/>
    <w:next w:val="1"/>
    <w:qFormat/>
    <w:uiPriority w:val="0"/>
    <w:pPr>
      <w:numPr>
        <w:ilvl w:val="5"/>
      </w:numPr>
      <w:ind w:left="0" w:hanging="840"/>
      <w:outlineLvl w:val="5"/>
    </w:pPr>
  </w:style>
  <w:style w:type="paragraph" w:customStyle="1" w:styleId="153">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4">
    <w:name w:val="文档正文"/>
    <w:basedOn w:val="1"/>
    <w:qFormat/>
    <w:uiPriority w:val="0"/>
    <w:pPr>
      <w:snapToGrid w:val="0"/>
      <w:spacing w:before="120" w:after="120" w:line="180" w:lineRule="auto"/>
    </w:pPr>
    <w:rPr>
      <w:rFonts w:ascii="Arial" w:hAnsi="Arial"/>
      <w:szCs w:val="20"/>
    </w:rPr>
  </w:style>
  <w:style w:type="paragraph" w:customStyle="1" w:styleId="15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7">
    <w:name w:val="Char Char Char1 Char"/>
    <w:basedOn w:val="1"/>
    <w:qFormat/>
    <w:uiPriority w:val="0"/>
    <w:rPr>
      <w:rFonts w:ascii="Tahoma" w:hAnsi="Tahoma"/>
      <w:sz w:val="24"/>
      <w:szCs w:val="20"/>
    </w:rPr>
  </w:style>
  <w:style w:type="paragraph" w:customStyle="1" w:styleId="158">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9">
    <w:name w:val="1名"/>
    <w:basedOn w:val="1"/>
    <w:qFormat/>
    <w:uiPriority w:val="0"/>
    <w:pPr>
      <w:numPr>
        <w:ilvl w:val="0"/>
        <w:numId w:val="5"/>
      </w:numPr>
      <w:spacing w:before="120"/>
    </w:pPr>
    <w:rPr>
      <w:rFonts w:ascii="宋体"/>
      <w:sz w:val="28"/>
      <w:szCs w:val="20"/>
    </w:rPr>
  </w:style>
  <w:style w:type="paragraph" w:customStyle="1" w:styleId="160">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1">
    <w:name w:val="Char Char Char1 Char1"/>
    <w:basedOn w:val="1"/>
    <w:qFormat/>
    <w:uiPriority w:val="0"/>
    <w:rPr>
      <w:rFonts w:ascii="Tahoma" w:hAnsi="Tahoma"/>
      <w:sz w:val="24"/>
      <w:szCs w:val="20"/>
    </w:rPr>
  </w:style>
  <w:style w:type="paragraph" w:customStyle="1" w:styleId="162">
    <w:name w:val="Char Char Char Char Char Char Char Char Char Char"/>
    <w:basedOn w:val="1"/>
    <w:qFormat/>
    <w:uiPriority w:val="0"/>
  </w:style>
  <w:style w:type="paragraph" w:customStyle="1" w:styleId="163">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4">
    <w:name w:val="Char1"/>
    <w:basedOn w:val="1"/>
    <w:qFormat/>
    <w:uiPriority w:val="0"/>
    <w:pPr>
      <w:tabs>
        <w:tab w:val="left" w:pos="360"/>
      </w:tabs>
    </w:pPr>
    <w:rPr>
      <w:sz w:val="24"/>
    </w:rPr>
  </w:style>
  <w:style w:type="paragraph" w:customStyle="1" w:styleId="165">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7">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8">
    <w:name w:val="默认段落字体 Para Char Char Char Char"/>
    <w:basedOn w:val="1"/>
    <w:qFormat/>
    <w:uiPriority w:val="0"/>
    <w:rPr>
      <w:rFonts w:ascii="Arial" w:hAnsi="Arial" w:cs="Arial"/>
      <w:szCs w:val="21"/>
    </w:rPr>
  </w:style>
  <w:style w:type="paragraph" w:customStyle="1" w:styleId="169">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2">
    <w:name w:val="Char Char Char"/>
    <w:basedOn w:val="1"/>
    <w:qFormat/>
    <w:uiPriority w:val="0"/>
    <w:rPr>
      <w:rFonts w:ascii="Tahoma" w:hAnsi="Tahoma"/>
      <w:sz w:val="24"/>
      <w:szCs w:val="20"/>
    </w:rPr>
  </w:style>
  <w:style w:type="paragraph" w:customStyle="1" w:styleId="173">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4">
    <w:name w:val="缺省文本"/>
    <w:basedOn w:val="1"/>
    <w:qFormat/>
    <w:uiPriority w:val="0"/>
    <w:pPr>
      <w:autoSpaceDE w:val="0"/>
      <w:autoSpaceDN w:val="0"/>
      <w:adjustRightInd w:val="0"/>
      <w:jc w:val="left"/>
    </w:pPr>
    <w:rPr>
      <w:kern w:val="0"/>
      <w:sz w:val="24"/>
    </w:rPr>
  </w:style>
  <w:style w:type="paragraph" w:customStyle="1" w:styleId="175">
    <w:name w:val="Char Char Char1"/>
    <w:basedOn w:val="1"/>
    <w:qFormat/>
    <w:uiPriority w:val="0"/>
    <w:rPr>
      <w:rFonts w:ascii="Tahoma" w:hAnsi="Tahoma"/>
      <w:sz w:val="24"/>
      <w:szCs w:val="20"/>
    </w:rPr>
  </w:style>
  <w:style w:type="paragraph" w:customStyle="1" w:styleId="17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7">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8">
    <w:name w:val="样式2"/>
    <w:basedOn w:val="41"/>
    <w:qFormat/>
    <w:uiPriority w:val="0"/>
    <w:pPr>
      <w:spacing w:line="360" w:lineRule="auto"/>
      <w:jc w:val="center"/>
    </w:pPr>
    <w:rPr>
      <w:sz w:val="24"/>
    </w:rPr>
  </w:style>
  <w:style w:type="paragraph" w:customStyle="1" w:styleId="17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1">
    <w:name w:val="正文 + 楷体_GB2312"/>
    <w:basedOn w:val="1"/>
    <w:qFormat/>
    <w:uiPriority w:val="0"/>
    <w:pPr>
      <w:widowControl/>
      <w:jc w:val="left"/>
    </w:pPr>
    <w:rPr>
      <w:rFonts w:ascii="楷体_GB2312" w:eastAsia="楷体_GB2312" w:cs="Arial"/>
      <w:kern w:val="0"/>
      <w:sz w:val="24"/>
    </w:rPr>
  </w:style>
  <w:style w:type="paragraph" w:customStyle="1" w:styleId="18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3">
    <w:name w:val="1 Char Char Char Char"/>
    <w:basedOn w:val="1"/>
    <w:qFormat/>
    <w:uiPriority w:val="0"/>
    <w:rPr>
      <w:rFonts w:ascii="Tahoma" w:hAnsi="Tahoma"/>
      <w:sz w:val="24"/>
      <w:szCs w:val="20"/>
    </w:rPr>
  </w:style>
  <w:style w:type="paragraph" w:customStyle="1" w:styleId="184">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5">
    <w:name w:val="列出段落1"/>
    <w:basedOn w:val="1"/>
    <w:qFormat/>
    <w:uiPriority w:val="0"/>
    <w:pPr>
      <w:ind w:firstLine="420" w:firstLineChars="200"/>
    </w:pPr>
    <w:rPr>
      <w:rFonts w:ascii="Calibri" w:hAnsi="Calibri"/>
      <w:szCs w:val="22"/>
    </w:rPr>
  </w:style>
  <w:style w:type="paragraph" w:customStyle="1" w:styleId="186">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7">
    <w:name w:val="字元 字元1"/>
    <w:basedOn w:val="1"/>
    <w:qFormat/>
    <w:uiPriority w:val="0"/>
    <w:rPr>
      <w:rFonts w:ascii="Tahoma" w:hAnsi="Tahoma"/>
      <w:sz w:val="24"/>
      <w:szCs w:val="20"/>
    </w:rPr>
  </w:style>
  <w:style w:type="paragraph" w:customStyle="1" w:styleId="188">
    <w:name w:val="_Style 160"/>
    <w:qFormat/>
    <w:uiPriority w:val="0"/>
    <w:rPr>
      <w:rFonts w:ascii="Times New Roman" w:hAnsi="Times New Roman" w:eastAsia="宋体" w:cs="Times New Roman"/>
      <w:kern w:val="2"/>
      <w:sz w:val="21"/>
      <w:szCs w:val="24"/>
      <w:lang w:val="en-US" w:eastAsia="zh-CN" w:bidi="ar-SA"/>
    </w:rPr>
  </w:style>
  <w:style w:type="paragraph" w:customStyle="1" w:styleId="189">
    <w:name w:val="项目编号3"/>
    <w:basedOn w:val="149"/>
    <w:qFormat/>
    <w:uiPriority w:val="0"/>
    <w:pPr>
      <w:numPr>
        <w:ilvl w:val="0"/>
        <w:numId w:val="6"/>
      </w:numPr>
    </w:pPr>
  </w:style>
  <w:style w:type="paragraph" w:customStyle="1" w:styleId="190">
    <w:name w:val="Char21"/>
    <w:basedOn w:val="1"/>
    <w:qFormat/>
    <w:uiPriority w:val="0"/>
    <w:rPr>
      <w:rFonts w:ascii="Tahoma" w:hAnsi="Tahoma"/>
      <w:sz w:val="24"/>
      <w:szCs w:val="20"/>
    </w:rPr>
  </w:style>
  <w:style w:type="paragraph" w:customStyle="1" w:styleId="191">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92">
    <w:name w:val="Char Char Char Char Char Char Char Char Char Char1"/>
    <w:basedOn w:val="1"/>
    <w:qFormat/>
    <w:uiPriority w:val="0"/>
    <w:rPr>
      <w:rFonts w:ascii="宋体" w:hAnsi="宋体" w:cs="Courier New"/>
      <w:sz w:val="32"/>
      <w:szCs w:val="32"/>
    </w:rPr>
  </w:style>
  <w:style w:type="paragraph" w:customStyle="1" w:styleId="193">
    <w:name w:val="正文文本样式 加粗"/>
    <w:basedOn w:val="149"/>
    <w:qFormat/>
    <w:uiPriority w:val="0"/>
    <w:rPr>
      <w:b/>
    </w:rPr>
  </w:style>
  <w:style w:type="paragraph" w:customStyle="1" w:styleId="194">
    <w:name w:val="Char2 Char Char Char Char Char Char"/>
    <w:basedOn w:val="1"/>
    <w:qFormat/>
    <w:uiPriority w:val="0"/>
    <w:pPr>
      <w:widowControl/>
      <w:spacing w:line="400" w:lineRule="exact"/>
      <w:jc w:val="center"/>
    </w:pPr>
  </w:style>
  <w:style w:type="paragraph" w:customStyle="1" w:styleId="195">
    <w:name w:val="Char Char4"/>
    <w:basedOn w:val="1"/>
    <w:qFormat/>
    <w:uiPriority w:val="0"/>
    <w:pPr>
      <w:widowControl/>
      <w:spacing w:line="400" w:lineRule="exact"/>
      <w:jc w:val="center"/>
    </w:pPr>
  </w:style>
  <w:style w:type="paragraph" w:customStyle="1" w:styleId="196">
    <w:name w:val="Char3 Char Char Char1"/>
    <w:basedOn w:val="1"/>
    <w:qFormat/>
    <w:uiPriority w:val="0"/>
    <w:rPr>
      <w:rFonts w:ascii="Tahoma" w:hAnsi="Tahoma"/>
      <w:sz w:val="24"/>
      <w:szCs w:val="20"/>
    </w:rPr>
  </w:style>
  <w:style w:type="paragraph" w:styleId="19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8">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9">
    <w:name w:val="中等深浅网格 1 - 强调文字颜色 2 Char"/>
    <w:link w:val="200"/>
    <w:qFormat/>
    <w:uiPriority w:val="0"/>
    <w:rPr>
      <w:kern w:val="2"/>
      <w:sz w:val="21"/>
      <w:szCs w:val="24"/>
      <w:lang w:val="zh-CN" w:eastAsia="zh-CN"/>
    </w:rPr>
  </w:style>
  <w:style w:type="paragraph" w:customStyle="1" w:styleId="200">
    <w:name w:val="1"/>
    <w:link w:val="199"/>
    <w:qFormat/>
    <w:uiPriority w:val="0"/>
    <w:rPr>
      <w:rFonts w:ascii="Times New Roman" w:hAnsi="Times New Roman" w:eastAsia="宋体" w:cs="Times New Roman"/>
      <w:kern w:val="2"/>
      <w:sz w:val="21"/>
      <w:szCs w:val="24"/>
      <w:lang w:val="zh-CN" w:eastAsia="zh-CN" w:bidi="ar-SA"/>
    </w:rPr>
  </w:style>
  <w:style w:type="paragraph" w:customStyle="1" w:styleId="201">
    <w:name w:val="图文"/>
    <w:basedOn w:val="1"/>
    <w:qFormat/>
    <w:uiPriority w:val="0"/>
    <w:pPr>
      <w:adjustRightInd w:val="0"/>
      <w:snapToGrid w:val="0"/>
      <w:spacing w:after="50" w:line="360" w:lineRule="auto"/>
    </w:pPr>
    <w:rPr>
      <w:sz w:val="24"/>
    </w:rPr>
  </w:style>
  <w:style w:type="paragraph" w:customStyle="1" w:styleId="202">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3">
    <w:name w:val="正文表格"/>
    <w:basedOn w:val="1"/>
    <w:link w:val="204"/>
    <w:qFormat/>
    <w:uiPriority w:val="0"/>
    <w:pPr>
      <w:adjustRightInd w:val="0"/>
      <w:snapToGrid w:val="0"/>
      <w:jc w:val="left"/>
    </w:pPr>
    <w:rPr>
      <w:rFonts w:ascii="宋体" w:hAnsi="宋体"/>
      <w:color w:val="000000"/>
      <w:szCs w:val="21"/>
    </w:rPr>
  </w:style>
  <w:style w:type="character" w:customStyle="1" w:styleId="204">
    <w:name w:val="正文表格 Char"/>
    <w:link w:val="203"/>
    <w:qFormat/>
    <w:uiPriority w:val="0"/>
    <w:rPr>
      <w:rFonts w:ascii="宋体" w:hAnsi="宋体"/>
      <w:color w:val="000000"/>
      <w:kern w:val="2"/>
      <w:sz w:val="21"/>
      <w:szCs w:val="21"/>
    </w:rPr>
  </w:style>
  <w:style w:type="paragraph" w:customStyle="1" w:styleId="205">
    <w:name w:val="正文重点"/>
    <w:basedOn w:val="1"/>
    <w:link w:val="206"/>
    <w:qFormat/>
    <w:uiPriority w:val="0"/>
    <w:pPr>
      <w:adjustRightInd w:val="0"/>
      <w:spacing w:line="360" w:lineRule="auto"/>
      <w:ind w:firstLine="482" w:firstLineChars="200"/>
      <w:jc w:val="left"/>
      <w:textAlignment w:val="baseline"/>
    </w:pPr>
    <w:rPr>
      <w:b/>
      <w:kern w:val="0"/>
      <w:sz w:val="24"/>
      <w:szCs w:val="20"/>
    </w:rPr>
  </w:style>
  <w:style w:type="character" w:customStyle="1" w:styleId="206">
    <w:name w:val="正文重点 Char"/>
    <w:link w:val="205"/>
    <w:qFormat/>
    <w:uiPriority w:val="0"/>
    <w:rPr>
      <w:b/>
      <w:sz w:val="24"/>
    </w:rPr>
  </w:style>
  <w:style w:type="paragraph" w:customStyle="1" w:styleId="207">
    <w:name w:val="标题1-附件"/>
    <w:basedOn w:val="3"/>
    <w:qFormat/>
    <w:uiPriority w:val="0"/>
    <w:pPr>
      <w:jc w:val="left"/>
    </w:pPr>
    <w:rPr>
      <w:sz w:val="24"/>
      <w:szCs w:val="24"/>
    </w:rPr>
  </w:style>
  <w:style w:type="paragraph" w:customStyle="1" w:styleId="208">
    <w:name w:val="正文小标题"/>
    <w:basedOn w:val="1"/>
    <w:next w:val="12"/>
    <w:link w:val="209"/>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9">
    <w:name w:val="正文小标题 Char"/>
    <w:link w:val="208"/>
    <w:qFormat/>
    <w:uiPriority w:val="0"/>
    <w:rPr>
      <w:rFonts w:ascii="宋体" w:hAnsi="宋体"/>
      <w:b/>
      <w:i/>
      <w:color w:val="FF0000"/>
      <w:kern w:val="2"/>
      <w:sz w:val="24"/>
    </w:rPr>
  </w:style>
  <w:style w:type="paragraph" w:customStyle="1" w:styleId="210">
    <w:name w:val="正文大标题"/>
    <w:basedOn w:val="208"/>
    <w:next w:val="12"/>
    <w:link w:val="211"/>
    <w:qFormat/>
    <w:uiPriority w:val="0"/>
    <w:pPr>
      <w:jc w:val="center"/>
    </w:pPr>
    <w:rPr>
      <w:i w:val="0"/>
      <w:color w:val="000000"/>
      <w:sz w:val="28"/>
      <w:szCs w:val="21"/>
    </w:rPr>
  </w:style>
  <w:style w:type="character" w:customStyle="1" w:styleId="211">
    <w:name w:val="正文大标题 Char"/>
    <w:link w:val="210"/>
    <w:qFormat/>
    <w:uiPriority w:val="0"/>
    <w:rPr>
      <w:rFonts w:ascii="宋体" w:hAnsi="宋体"/>
      <w:b/>
      <w:color w:val="000000"/>
      <w:kern w:val="2"/>
      <w:sz w:val="28"/>
      <w:szCs w:val="21"/>
    </w:rPr>
  </w:style>
  <w:style w:type="paragraph" w:customStyle="1" w:styleId="212">
    <w:name w:val="注释"/>
    <w:basedOn w:val="1"/>
    <w:link w:val="213"/>
    <w:qFormat/>
    <w:uiPriority w:val="0"/>
    <w:pPr>
      <w:adjustRightInd w:val="0"/>
      <w:snapToGrid w:val="0"/>
      <w:ind w:left="420" w:hanging="420" w:hangingChars="200"/>
      <w:jc w:val="left"/>
    </w:pPr>
    <w:rPr>
      <w:rFonts w:ascii="宋体" w:hAnsi="宋体"/>
      <w:szCs w:val="21"/>
    </w:rPr>
  </w:style>
  <w:style w:type="character" w:customStyle="1" w:styleId="213">
    <w:name w:val="注释 Char"/>
    <w:link w:val="212"/>
    <w:qFormat/>
    <w:uiPriority w:val="0"/>
    <w:rPr>
      <w:rFonts w:ascii="宋体" w:hAnsi="宋体"/>
      <w:kern w:val="2"/>
      <w:sz w:val="21"/>
      <w:szCs w:val="21"/>
    </w:rPr>
  </w:style>
  <w:style w:type="paragraph" w:customStyle="1" w:styleId="214">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5">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6">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7">
    <w:name w:val="纯文本 字符"/>
    <w:qFormat/>
    <w:uiPriority w:val="99"/>
    <w:rPr>
      <w:rFonts w:ascii="宋体" w:hAnsi="Courier New" w:eastAsia="宋体" w:cs="Times New Roman"/>
      <w:kern w:val="2"/>
      <w:sz w:val="21"/>
      <w:szCs w:val="21"/>
      <w:lang w:val="en-US" w:eastAsia="zh-CN" w:bidi="ar-SA"/>
    </w:rPr>
  </w:style>
  <w:style w:type="paragraph" w:customStyle="1" w:styleId="218">
    <w:name w:val="表格1"/>
    <w:basedOn w:val="1"/>
    <w:qFormat/>
    <w:uiPriority w:val="0"/>
    <w:pPr>
      <w:ind w:firstLine="480" w:firstLineChars="200"/>
      <w:jc w:val="center"/>
    </w:pPr>
    <w:rPr>
      <w:sz w:val="24"/>
      <w:szCs w:val="20"/>
    </w:rPr>
  </w:style>
  <w:style w:type="character" w:customStyle="1" w:styleId="219">
    <w:name w:val="纯文本 字符1"/>
    <w:qFormat/>
    <w:uiPriority w:val="0"/>
    <w:rPr>
      <w:rFonts w:ascii="宋体" w:hAnsi="Courier New"/>
    </w:rPr>
  </w:style>
  <w:style w:type="character" w:customStyle="1" w:styleId="220">
    <w:name w:val="bjh-p"/>
    <w:qFormat/>
    <w:uiPriority w:val="0"/>
  </w:style>
  <w:style w:type="paragraph" w:customStyle="1" w:styleId="22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2">
    <w:name w:val="正文格式 Char"/>
    <w:link w:val="223"/>
    <w:qFormat/>
    <w:locked/>
    <w:uiPriority w:val="0"/>
    <w:rPr>
      <w:rFonts w:ascii="宋体" w:hAnsi="宋体"/>
      <w:sz w:val="24"/>
      <w:szCs w:val="24"/>
      <w:lang w:val="en-GB"/>
    </w:rPr>
  </w:style>
  <w:style w:type="paragraph" w:customStyle="1" w:styleId="223">
    <w:name w:val="正文格式"/>
    <w:basedOn w:val="1"/>
    <w:link w:val="222"/>
    <w:qFormat/>
    <w:uiPriority w:val="0"/>
    <w:pPr>
      <w:spacing w:beforeLines="50" w:line="360" w:lineRule="auto"/>
      <w:ind w:firstLine="480" w:firstLineChars="200"/>
    </w:pPr>
    <w:rPr>
      <w:rFonts w:ascii="宋体" w:hAnsi="宋体"/>
      <w:kern w:val="0"/>
      <w:sz w:val="24"/>
      <w:lang w:val="en-GB"/>
    </w:rPr>
  </w:style>
  <w:style w:type="character" w:customStyle="1" w:styleId="224">
    <w:name w:val="正文缩进 Char"/>
    <w:qFormat/>
    <w:uiPriority w:val="0"/>
    <w:rPr>
      <w:rFonts w:ascii="宋体" w:eastAsia="宋体"/>
      <w:kern w:val="2"/>
      <w:sz w:val="24"/>
      <w:szCs w:val="24"/>
      <w:lang w:val="en-US" w:eastAsia="zh-CN" w:bidi="ar-SA"/>
    </w:rPr>
  </w:style>
  <w:style w:type="character" w:customStyle="1" w:styleId="225">
    <w:name w:val="Char Char111"/>
    <w:qFormat/>
    <w:uiPriority w:val="0"/>
    <w:rPr>
      <w:rFonts w:ascii="宋体" w:eastAsia="宋体"/>
      <w:b/>
      <w:sz w:val="24"/>
      <w:u w:val="single"/>
      <w:lang w:val="en-US" w:eastAsia="zh-CN" w:bidi="ar-SA"/>
    </w:rPr>
  </w:style>
  <w:style w:type="character" w:customStyle="1" w:styleId="226">
    <w:name w:val="正文文本缩进 Char"/>
    <w:qFormat/>
    <w:uiPriority w:val="0"/>
    <w:rPr>
      <w:rFonts w:eastAsia="宋体"/>
      <w:kern w:val="2"/>
      <w:sz w:val="24"/>
      <w:szCs w:val="24"/>
      <w:lang w:val="en-US" w:eastAsia="zh-CN" w:bidi="ar-SA"/>
    </w:rPr>
  </w:style>
  <w:style w:type="character" w:customStyle="1" w:styleId="227">
    <w:name w:val="列出段落 Char"/>
    <w:qFormat/>
    <w:uiPriority w:val="0"/>
    <w:rPr>
      <w:rFonts w:ascii="Calibri" w:hAnsi="Calibri" w:eastAsia="宋体"/>
      <w:kern w:val="2"/>
      <w:sz w:val="21"/>
      <w:szCs w:val="22"/>
      <w:lang w:val="en-US" w:eastAsia="zh-CN" w:bidi="ar-SA"/>
    </w:rPr>
  </w:style>
  <w:style w:type="character" w:customStyle="1" w:styleId="228">
    <w:name w:val="页眉 Char"/>
    <w:qFormat/>
    <w:uiPriority w:val="0"/>
    <w:rPr>
      <w:rFonts w:eastAsia="宋体"/>
      <w:kern w:val="2"/>
      <w:sz w:val="18"/>
      <w:szCs w:val="18"/>
      <w:lang w:val="en-US" w:eastAsia="zh-CN" w:bidi="ar-SA"/>
    </w:rPr>
  </w:style>
  <w:style w:type="character" w:customStyle="1" w:styleId="229">
    <w:name w:val="标题 2 Char"/>
    <w:qFormat/>
    <w:uiPriority w:val="0"/>
    <w:rPr>
      <w:rFonts w:ascii="Arial" w:hAnsi="Arial" w:eastAsia="黑体"/>
      <w:b/>
      <w:sz w:val="30"/>
      <w:lang w:val="en-US" w:eastAsia="zh-CN" w:bidi="ar-SA"/>
    </w:rPr>
  </w:style>
  <w:style w:type="paragraph" w:customStyle="1" w:styleId="230">
    <w:name w:val="字元 字元2"/>
    <w:basedOn w:val="1"/>
    <w:qFormat/>
    <w:uiPriority w:val="0"/>
    <w:rPr>
      <w:rFonts w:ascii="Tahoma" w:hAnsi="Tahoma"/>
      <w:sz w:val="24"/>
      <w:szCs w:val="20"/>
    </w:rPr>
  </w:style>
  <w:style w:type="paragraph" w:customStyle="1" w:styleId="231">
    <w:name w:val="Char3 Char Char Char2"/>
    <w:basedOn w:val="1"/>
    <w:qFormat/>
    <w:uiPriority w:val="0"/>
    <w:rPr>
      <w:rFonts w:ascii="Tahoma" w:hAnsi="Tahoma"/>
      <w:sz w:val="24"/>
      <w:szCs w:val="20"/>
    </w:rPr>
  </w:style>
  <w:style w:type="paragraph" w:customStyle="1" w:styleId="23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3">
    <w:name w:val="Char3"/>
    <w:basedOn w:val="1"/>
    <w:qFormat/>
    <w:uiPriority w:val="0"/>
    <w:pPr>
      <w:tabs>
        <w:tab w:val="left" w:pos="360"/>
      </w:tabs>
    </w:pPr>
    <w:rPr>
      <w:sz w:val="24"/>
    </w:rPr>
  </w:style>
  <w:style w:type="paragraph" w:customStyle="1" w:styleId="23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6">
    <w:name w:val="列出段落2"/>
    <w:basedOn w:val="1"/>
    <w:qFormat/>
    <w:uiPriority w:val="0"/>
    <w:pPr>
      <w:ind w:firstLine="420" w:firstLineChars="200"/>
    </w:pPr>
    <w:rPr>
      <w:rFonts w:ascii="Calibri" w:hAnsi="Calibri"/>
      <w:szCs w:val="22"/>
    </w:rPr>
  </w:style>
  <w:style w:type="paragraph" w:customStyle="1" w:styleId="237">
    <w:name w:val="Char Char Char1 Char2"/>
    <w:basedOn w:val="1"/>
    <w:qFormat/>
    <w:uiPriority w:val="0"/>
    <w:rPr>
      <w:rFonts w:ascii="Tahoma" w:hAnsi="Tahoma"/>
      <w:sz w:val="24"/>
      <w:szCs w:val="20"/>
    </w:rPr>
  </w:style>
  <w:style w:type="paragraph" w:customStyle="1" w:styleId="238">
    <w:name w:val="Char Char Char2"/>
    <w:basedOn w:val="1"/>
    <w:qFormat/>
    <w:uiPriority w:val="0"/>
    <w:rPr>
      <w:rFonts w:ascii="Tahoma" w:hAnsi="Tahoma"/>
      <w:sz w:val="24"/>
      <w:szCs w:val="20"/>
    </w:rPr>
  </w:style>
  <w:style w:type="paragraph" w:customStyle="1" w:styleId="23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1">
    <w:name w:val="修订1"/>
    <w:qFormat/>
    <w:uiPriority w:val="0"/>
    <w:rPr>
      <w:rFonts w:ascii="Times New Roman" w:hAnsi="Times New Roman" w:eastAsia="宋体" w:cs="Times New Roman"/>
      <w:kern w:val="2"/>
      <w:sz w:val="21"/>
      <w:szCs w:val="24"/>
      <w:lang w:val="en-US" w:eastAsia="zh-CN" w:bidi="ar-SA"/>
    </w:rPr>
  </w:style>
  <w:style w:type="paragraph" w:customStyle="1" w:styleId="242">
    <w:name w:val="Char22"/>
    <w:basedOn w:val="1"/>
    <w:qFormat/>
    <w:uiPriority w:val="0"/>
    <w:rPr>
      <w:rFonts w:ascii="Tahoma" w:hAnsi="Tahoma"/>
      <w:sz w:val="24"/>
      <w:szCs w:val="20"/>
    </w:rPr>
  </w:style>
  <w:style w:type="paragraph" w:customStyle="1" w:styleId="243">
    <w:name w:val="Char Char Char Char Char Char Char Char Char Char2"/>
    <w:basedOn w:val="1"/>
    <w:qFormat/>
    <w:uiPriority w:val="0"/>
    <w:rPr>
      <w:rFonts w:ascii="宋体" w:hAnsi="宋体" w:cs="Courier New"/>
      <w:sz w:val="32"/>
      <w:szCs w:val="32"/>
    </w:rPr>
  </w:style>
  <w:style w:type="paragraph" w:customStyle="1" w:styleId="244">
    <w:name w:val="Char2 Char Char Char Char Char Char1"/>
    <w:basedOn w:val="1"/>
    <w:qFormat/>
    <w:uiPriority w:val="0"/>
    <w:pPr>
      <w:widowControl/>
      <w:spacing w:line="400" w:lineRule="exact"/>
      <w:jc w:val="center"/>
    </w:pPr>
  </w:style>
  <w:style w:type="character" w:customStyle="1" w:styleId="245">
    <w:name w:val="页脚 Char"/>
    <w:qFormat/>
    <w:uiPriority w:val="0"/>
    <w:rPr>
      <w:rFonts w:ascii="宋体" w:eastAsia="宋体"/>
      <w:sz w:val="18"/>
      <w:lang w:val="en-US" w:eastAsia="zh-CN" w:bidi="ar-SA"/>
    </w:rPr>
  </w:style>
  <w:style w:type="paragraph" w:customStyle="1" w:styleId="246">
    <w:name w:val="Char Char41"/>
    <w:basedOn w:val="1"/>
    <w:qFormat/>
    <w:uiPriority w:val="0"/>
    <w:pPr>
      <w:widowControl/>
      <w:spacing w:line="400" w:lineRule="exact"/>
      <w:jc w:val="center"/>
    </w:pPr>
  </w:style>
  <w:style w:type="character" w:customStyle="1" w:styleId="247">
    <w:name w:val="批注文字 Char"/>
    <w:qFormat/>
    <w:uiPriority w:val="99"/>
    <w:rPr>
      <w:kern w:val="2"/>
      <w:sz w:val="21"/>
      <w:szCs w:val="24"/>
    </w:rPr>
  </w:style>
  <w:style w:type="character" w:customStyle="1" w:styleId="248">
    <w:name w:val="标题 Char"/>
    <w:qFormat/>
    <w:uiPriority w:val="0"/>
    <w:rPr>
      <w:b/>
      <w:kern w:val="2"/>
      <w:sz w:val="32"/>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table" w:customStyle="1" w:styleId="250">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2">
    <w:name w:val="样式 标题 1 + 四号 居中 段前: 12 磅 段后: 12 磅 行距: 单倍行距"/>
    <w:basedOn w:val="3"/>
    <w:qFormat/>
    <w:uiPriority w:val="0"/>
    <w:pPr>
      <w:spacing w:after="240" w:line="240" w:lineRule="auto"/>
    </w:pPr>
    <w:rPr>
      <w:rFonts w:cs="宋体"/>
      <w:bCs/>
      <w:sz w:val="28"/>
    </w:rPr>
  </w:style>
  <w:style w:type="paragraph" w:customStyle="1" w:styleId="253">
    <w:name w:val="Blockquote"/>
    <w:basedOn w:val="1"/>
    <w:qFormat/>
    <w:uiPriority w:val="0"/>
    <w:pPr>
      <w:widowControl/>
      <w:spacing w:before="102" w:after="102" w:line="566" w:lineRule="atLeast"/>
      <w:ind w:left="357" w:right="357" w:firstLine="419"/>
      <w:textAlignment w:val="baseline"/>
    </w:pPr>
    <w:rPr>
      <w:color w:val="000000"/>
      <w:kern w:val="0"/>
      <w:u w:color="000000"/>
    </w:rPr>
  </w:style>
  <w:style w:type="paragraph" w:customStyle="1" w:styleId="254">
    <w:name w:val="a一"/>
    <w:basedOn w:val="1"/>
    <w:qFormat/>
    <w:uiPriority w:val="0"/>
    <w:pPr>
      <w:spacing w:line="300" w:lineRule="auto"/>
    </w:pPr>
    <w:rPr>
      <w:rFonts w:ascii="Calibri" w:hAnsi="Calibri"/>
      <w:b/>
      <w:color w:val="000000"/>
      <w:sz w:val="28"/>
    </w:rPr>
  </w:style>
  <w:style w:type="paragraph" w:customStyle="1" w:styleId="255">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256">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theme" Target="theme/theme1.xml"/><Relationship Id="rId32" Type="http://schemas.openxmlformats.org/officeDocument/2006/relationships/footer" Target="footer16.xml"/><Relationship Id="rId31" Type="http://schemas.openxmlformats.org/officeDocument/2006/relationships/footer" Target="footer15.xml"/><Relationship Id="rId30" Type="http://schemas.openxmlformats.org/officeDocument/2006/relationships/header" Target="header14.xml"/><Relationship Id="rId3" Type="http://schemas.openxmlformats.org/officeDocument/2006/relationships/header" Target="header1.xml"/><Relationship Id="rId29" Type="http://schemas.openxmlformats.org/officeDocument/2006/relationships/header" Target="header13.xml"/><Relationship Id="rId28" Type="http://schemas.openxmlformats.org/officeDocument/2006/relationships/footer" Target="footer14.xml"/><Relationship Id="rId27" Type="http://schemas.openxmlformats.org/officeDocument/2006/relationships/header" Target="header12.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145</Pages>
  <Words>73028</Words>
  <Characters>76540</Characters>
  <Lines>292</Lines>
  <Paragraphs>82</Paragraphs>
  <TotalTime>62</TotalTime>
  <ScaleCrop>false</ScaleCrop>
  <LinksUpToDate>false</LinksUpToDate>
  <CharactersWithSpaces>80208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2023-11-24T17:01:00Z</dcterms:created>
  <dc:creator>尹皓</dc:creator>
  <cp:lastModifiedBy>Administrator</cp:lastModifiedBy>
  <cp:lastPrinted>2023-03-08T08:57:00Z</cp:lastPrinted>
  <dcterms:modified xsi:type="dcterms:W3CDTF">2025-12-09T07:22:46Z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D2A499B746234F01A83E15B48C694824_13</vt:lpwstr>
  </property>
  <property fmtid="{D5CDD505-2E9C-101B-9397-08002B2CF9AE}" pid="4" name="KSOTemplateDocerSaveRecord">
    <vt:lpwstr>eyJoZGlkIjoiYmVmNGU5YTc2NjEzMTUzZmRiZDhkMjk1YmZlMzMxYmIiLCJ1c2VySWQiOiI3NTU4MDczNTQifQ==</vt:lpwstr>
  </property>
</Properties>
</file>