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AFE19F">
      <w:pPr>
        <w:spacing w:before="195" w:after="0" w:line="219" w:lineRule="auto"/>
        <w:ind w:left="1775"/>
        <w:rPr>
          <w:rFonts w:hint="eastAsia" w:ascii="宋体" w:hAnsi="宋体" w:eastAsia="宋体" w:cs="宋体"/>
          <w:color w:val="auto"/>
          <w:spacing w:val="-2"/>
          <w:sz w:val="60"/>
          <w:szCs w:val="60"/>
          <w:highlight w:val="none"/>
          <w14:textOutline w14:w="3844">
            <w14:solidFill>
              <w14:srgbClr w14:val="000000"/>
            </w14:solidFill>
            <w14:prstDash w14:val="solid"/>
            <w14:miter w14:val="0"/>
          </w14:textOutline>
        </w:rPr>
      </w:pPr>
    </w:p>
    <w:p w14:paraId="15795843">
      <w:pPr>
        <w:spacing w:before="195" w:after="0" w:line="219" w:lineRule="auto"/>
        <w:ind w:left="1775"/>
        <w:rPr>
          <w:rFonts w:hint="eastAsia" w:ascii="宋体" w:hAnsi="宋体" w:eastAsia="宋体" w:cs="宋体"/>
          <w:color w:val="auto"/>
          <w:spacing w:val="-2"/>
          <w:sz w:val="60"/>
          <w:szCs w:val="60"/>
          <w:highlight w:val="none"/>
          <w14:textOutline w14:w="3844">
            <w14:solidFill>
              <w14:srgbClr w14:val="000000"/>
            </w14:solidFill>
            <w14:prstDash w14:val="solid"/>
            <w14:miter w14:val="0"/>
          </w14:textOutline>
        </w:rPr>
      </w:pPr>
    </w:p>
    <w:p w14:paraId="428F35CE">
      <w:pPr>
        <w:spacing w:before="195" w:after="0" w:line="219" w:lineRule="auto"/>
        <w:ind w:left="1775"/>
        <w:rPr>
          <w:rFonts w:hint="eastAsia" w:ascii="宋体" w:hAnsi="宋体" w:eastAsia="宋体" w:cs="宋体"/>
          <w:color w:val="auto"/>
          <w:sz w:val="60"/>
          <w:szCs w:val="60"/>
          <w:highlight w:val="none"/>
        </w:rPr>
      </w:pPr>
      <w:r>
        <w:rPr>
          <w:rFonts w:hint="eastAsia" w:ascii="宋体" w:hAnsi="宋体" w:eastAsia="宋体" w:cs="宋体"/>
          <w:color w:val="auto"/>
          <w:spacing w:val="-2"/>
          <w:sz w:val="60"/>
          <w:szCs w:val="60"/>
          <w:highlight w:val="none"/>
          <w14:textOutline w14:w="3844">
            <w14:solidFill>
              <w14:srgbClr w14:val="000000"/>
            </w14:solidFill>
            <w14:prstDash w14:val="solid"/>
            <w14:miter w14:val="0"/>
          </w14:textOutline>
        </w:rPr>
        <w:t>北京市政府</w:t>
      </w:r>
      <w:r>
        <w:rPr>
          <w:rFonts w:hint="eastAsia" w:ascii="宋体" w:hAnsi="宋体" w:eastAsia="宋体" w:cs="宋体"/>
          <w:color w:val="auto"/>
          <w:spacing w:val="-1"/>
          <w:sz w:val="60"/>
          <w:szCs w:val="60"/>
          <w:highlight w:val="none"/>
          <w14:textOutline w14:w="3844">
            <w14:solidFill>
              <w14:srgbClr w14:val="000000"/>
            </w14:solidFill>
            <w14:prstDash w14:val="solid"/>
            <w14:miter w14:val="0"/>
          </w14:textOutline>
        </w:rPr>
        <w:t>采购项目</w:t>
      </w:r>
    </w:p>
    <w:p w14:paraId="581A62B7">
      <w:pPr>
        <w:spacing w:before="68" w:after="0" w:line="220" w:lineRule="auto"/>
        <w:ind w:left="2376"/>
        <w:rPr>
          <w:rFonts w:hint="eastAsia" w:ascii="宋体" w:hAnsi="宋体" w:eastAsia="宋体" w:cs="宋体"/>
          <w:color w:val="auto"/>
          <w:sz w:val="60"/>
          <w:szCs w:val="60"/>
          <w:highlight w:val="none"/>
        </w:rPr>
      </w:pPr>
      <w:r>
        <w:rPr>
          <w:rFonts w:hint="eastAsia" w:ascii="宋体" w:hAnsi="宋体" w:eastAsia="宋体" w:cs="宋体"/>
          <w:color w:val="auto"/>
          <w:spacing w:val="-1"/>
          <w:sz w:val="60"/>
          <w:szCs w:val="60"/>
          <w:highlight w:val="none"/>
          <w14:textOutline w14:w="3844">
            <w14:solidFill>
              <w14:srgbClr w14:val="000000"/>
            </w14:solidFill>
            <w14:prstDash w14:val="solid"/>
            <w14:miter w14:val="0"/>
          </w14:textOutline>
        </w:rPr>
        <w:t>竞争性磋商文件</w:t>
      </w:r>
    </w:p>
    <w:p w14:paraId="127FDF39">
      <w:pPr>
        <w:spacing w:after="0" w:line="248" w:lineRule="auto"/>
        <w:rPr>
          <w:rFonts w:hint="eastAsia" w:ascii="宋体" w:hAnsi="宋体" w:eastAsia="宋体" w:cs="宋体"/>
          <w:color w:val="auto"/>
          <w:sz w:val="21"/>
          <w:highlight w:val="none"/>
        </w:rPr>
      </w:pPr>
    </w:p>
    <w:p w14:paraId="4D5B2CC4">
      <w:pPr>
        <w:spacing w:after="0" w:line="249" w:lineRule="auto"/>
        <w:rPr>
          <w:rFonts w:hint="eastAsia" w:ascii="宋体" w:hAnsi="宋体" w:eastAsia="宋体" w:cs="宋体"/>
          <w:color w:val="auto"/>
          <w:sz w:val="21"/>
          <w:highlight w:val="none"/>
        </w:rPr>
      </w:pPr>
    </w:p>
    <w:p w14:paraId="1B9FA55F">
      <w:pPr>
        <w:spacing w:after="0" w:line="249" w:lineRule="auto"/>
        <w:rPr>
          <w:rFonts w:hint="eastAsia" w:ascii="宋体" w:hAnsi="宋体" w:eastAsia="宋体" w:cs="宋体"/>
          <w:color w:val="auto"/>
          <w:sz w:val="21"/>
          <w:highlight w:val="none"/>
        </w:rPr>
      </w:pPr>
    </w:p>
    <w:p w14:paraId="18AF5482">
      <w:pPr>
        <w:spacing w:after="0" w:line="249" w:lineRule="auto"/>
        <w:rPr>
          <w:rFonts w:hint="eastAsia" w:ascii="宋体" w:hAnsi="宋体" w:eastAsia="宋体" w:cs="宋体"/>
          <w:color w:val="auto"/>
          <w:sz w:val="21"/>
          <w:highlight w:val="none"/>
        </w:rPr>
      </w:pPr>
    </w:p>
    <w:p w14:paraId="7D1B5346">
      <w:pPr>
        <w:spacing w:after="0" w:line="249" w:lineRule="auto"/>
        <w:rPr>
          <w:rFonts w:hint="default" w:ascii="宋体" w:hAnsi="宋体" w:eastAsia="宋体" w:cs="宋体"/>
          <w:color w:val="auto"/>
          <w:sz w:val="21"/>
          <w:highlight w:val="none"/>
          <w:lang w:val="en-US" w:eastAsia="zh-CN"/>
        </w:rPr>
      </w:pPr>
      <w:r>
        <w:rPr>
          <w:rFonts w:hint="eastAsia" w:ascii="宋体" w:hAnsi="宋体" w:cs="宋体"/>
          <w:color w:val="auto"/>
          <w:sz w:val="21"/>
          <w:highlight w:val="none"/>
          <w:lang w:val="en-US" w:eastAsia="zh-CN"/>
        </w:rPr>
        <w:t xml:space="preserve">     </w:t>
      </w:r>
    </w:p>
    <w:p w14:paraId="339A2457">
      <w:pPr>
        <w:spacing w:after="0" w:line="249" w:lineRule="auto"/>
        <w:rPr>
          <w:rFonts w:hint="eastAsia" w:ascii="宋体" w:hAnsi="宋体" w:eastAsia="宋体" w:cs="宋体"/>
          <w:color w:val="auto"/>
          <w:sz w:val="21"/>
          <w:highlight w:val="none"/>
        </w:rPr>
      </w:pPr>
    </w:p>
    <w:p w14:paraId="17538A59">
      <w:pPr>
        <w:spacing w:after="0" w:line="249" w:lineRule="auto"/>
        <w:rPr>
          <w:rFonts w:hint="eastAsia" w:ascii="宋体" w:hAnsi="宋体" w:eastAsia="宋体" w:cs="宋体"/>
          <w:color w:val="auto"/>
          <w:sz w:val="21"/>
          <w:highlight w:val="none"/>
        </w:rPr>
      </w:pPr>
    </w:p>
    <w:p w14:paraId="16D04214">
      <w:pPr>
        <w:spacing w:after="0" w:line="249" w:lineRule="auto"/>
        <w:rPr>
          <w:rFonts w:hint="eastAsia" w:ascii="宋体" w:hAnsi="宋体" w:eastAsia="宋体" w:cs="宋体"/>
          <w:color w:val="auto"/>
          <w:sz w:val="21"/>
          <w:highlight w:val="none"/>
        </w:rPr>
      </w:pPr>
    </w:p>
    <w:p w14:paraId="1F50415D">
      <w:pPr>
        <w:spacing w:after="0" w:line="249" w:lineRule="auto"/>
        <w:rPr>
          <w:rFonts w:hint="eastAsia" w:ascii="宋体" w:hAnsi="宋体" w:eastAsia="宋体" w:cs="宋体"/>
          <w:color w:val="auto"/>
          <w:sz w:val="21"/>
          <w:highlight w:val="none"/>
        </w:rPr>
      </w:pPr>
    </w:p>
    <w:p w14:paraId="4E4DBF30">
      <w:pPr>
        <w:spacing w:after="0" w:line="249" w:lineRule="auto"/>
        <w:rPr>
          <w:rFonts w:hint="eastAsia" w:ascii="宋体" w:hAnsi="宋体" w:eastAsia="宋体" w:cs="宋体"/>
          <w:color w:val="auto"/>
          <w:sz w:val="21"/>
          <w:highlight w:val="none"/>
        </w:rPr>
      </w:pPr>
    </w:p>
    <w:p w14:paraId="1ACAEC1E">
      <w:pPr>
        <w:spacing w:after="0" w:line="249" w:lineRule="auto"/>
        <w:rPr>
          <w:rFonts w:hint="eastAsia" w:ascii="宋体" w:hAnsi="宋体" w:eastAsia="宋体" w:cs="宋体"/>
          <w:color w:val="auto"/>
          <w:sz w:val="21"/>
          <w:highlight w:val="none"/>
        </w:rPr>
      </w:pPr>
    </w:p>
    <w:p w14:paraId="3CD01F09">
      <w:pPr>
        <w:spacing w:after="0" w:line="249" w:lineRule="auto"/>
        <w:rPr>
          <w:rFonts w:hint="eastAsia" w:ascii="宋体" w:hAnsi="宋体" w:eastAsia="宋体" w:cs="宋体"/>
          <w:color w:val="auto"/>
          <w:sz w:val="21"/>
          <w:highlight w:val="none"/>
        </w:rPr>
      </w:pPr>
    </w:p>
    <w:p w14:paraId="36E22440">
      <w:pPr>
        <w:spacing w:after="0" w:line="249" w:lineRule="auto"/>
        <w:rPr>
          <w:rFonts w:hint="eastAsia" w:ascii="宋体" w:hAnsi="宋体" w:eastAsia="宋体" w:cs="宋体"/>
          <w:color w:val="auto"/>
          <w:sz w:val="21"/>
          <w:highlight w:val="none"/>
        </w:rPr>
      </w:pPr>
    </w:p>
    <w:p w14:paraId="56685FCD">
      <w:pPr>
        <w:spacing w:after="0" w:line="249" w:lineRule="auto"/>
        <w:rPr>
          <w:rFonts w:hint="eastAsia" w:ascii="宋体" w:hAnsi="宋体" w:eastAsia="宋体" w:cs="宋体"/>
          <w:color w:val="auto"/>
          <w:sz w:val="21"/>
          <w:highlight w:val="none"/>
        </w:rPr>
      </w:pPr>
    </w:p>
    <w:p w14:paraId="740FADEF">
      <w:pPr>
        <w:spacing w:after="0" w:line="249" w:lineRule="auto"/>
        <w:rPr>
          <w:rFonts w:hint="eastAsia" w:ascii="宋体" w:hAnsi="宋体" w:eastAsia="宋体" w:cs="宋体"/>
          <w:color w:val="auto"/>
          <w:sz w:val="21"/>
          <w:highlight w:val="none"/>
        </w:rPr>
      </w:pPr>
    </w:p>
    <w:p w14:paraId="5F6F168B">
      <w:pPr>
        <w:spacing w:after="0" w:line="249" w:lineRule="auto"/>
        <w:rPr>
          <w:rFonts w:hint="eastAsia" w:ascii="宋体" w:hAnsi="宋体" w:eastAsia="宋体" w:cs="宋体"/>
          <w:color w:val="auto"/>
          <w:sz w:val="21"/>
          <w:highlight w:val="none"/>
        </w:rPr>
      </w:pPr>
    </w:p>
    <w:p w14:paraId="6DFE6EAA">
      <w:pPr>
        <w:spacing w:after="0" w:line="249" w:lineRule="auto"/>
        <w:rPr>
          <w:rFonts w:hint="eastAsia" w:ascii="宋体" w:hAnsi="宋体" w:eastAsia="宋体" w:cs="宋体"/>
          <w:color w:val="auto"/>
          <w:sz w:val="21"/>
          <w:highlight w:val="none"/>
        </w:rPr>
      </w:pPr>
    </w:p>
    <w:p w14:paraId="5A1655E3">
      <w:pPr>
        <w:spacing w:after="0" w:line="249" w:lineRule="auto"/>
        <w:rPr>
          <w:rFonts w:hint="eastAsia" w:ascii="宋体" w:hAnsi="宋体" w:eastAsia="宋体" w:cs="宋体"/>
          <w:color w:val="auto"/>
          <w:sz w:val="21"/>
          <w:highlight w:val="none"/>
        </w:rPr>
      </w:pPr>
    </w:p>
    <w:p w14:paraId="6D65493F">
      <w:pPr>
        <w:spacing w:after="0" w:line="249" w:lineRule="auto"/>
        <w:rPr>
          <w:rFonts w:hint="eastAsia" w:ascii="宋体" w:hAnsi="宋体" w:eastAsia="宋体" w:cs="宋体"/>
          <w:color w:val="auto"/>
          <w:sz w:val="21"/>
          <w:highlight w:val="none"/>
        </w:rPr>
      </w:pPr>
    </w:p>
    <w:p w14:paraId="79DF31E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11"/>
          <w:sz w:val="36"/>
          <w:szCs w:val="36"/>
          <w:highlight w:val="none"/>
          <w:lang w:eastAsia="zh-CN"/>
        </w:rPr>
      </w:pPr>
      <w:r>
        <w:rPr>
          <w:rFonts w:hint="eastAsia" w:ascii="宋体" w:hAnsi="宋体" w:eastAsia="宋体" w:cs="宋体"/>
          <w:color w:val="auto"/>
          <w:spacing w:val="-11"/>
          <w:sz w:val="36"/>
          <w:szCs w:val="36"/>
          <w:highlight w:val="none"/>
        </w:rPr>
        <w:t>项目名称：</w:t>
      </w:r>
      <w:r>
        <w:rPr>
          <w:rFonts w:hint="eastAsia" w:ascii="宋体" w:hAnsi="宋体" w:cs="宋体"/>
          <w:color w:val="auto"/>
          <w:spacing w:val="-11"/>
          <w:sz w:val="36"/>
          <w:szCs w:val="36"/>
          <w:highlight w:val="none"/>
          <w:lang w:eastAsia="zh-CN"/>
        </w:rPr>
        <w:t>报告厅室内安全改造工程其他建筑工程采购项目</w:t>
      </w:r>
    </w:p>
    <w:p w14:paraId="1D8BAB4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宋体" w:hAnsi="宋体" w:eastAsia="宋体" w:cs="宋体"/>
          <w:color w:val="auto"/>
          <w:spacing w:val="-11"/>
          <w:sz w:val="36"/>
          <w:szCs w:val="36"/>
          <w:highlight w:val="none"/>
          <w:lang w:val="en-US" w:eastAsia="zh-CN"/>
        </w:rPr>
      </w:pPr>
      <w:r>
        <w:rPr>
          <w:rFonts w:hint="eastAsia" w:ascii="宋体" w:hAnsi="宋体" w:eastAsia="宋体" w:cs="宋体"/>
          <w:color w:val="auto"/>
          <w:spacing w:val="-11"/>
          <w:sz w:val="36"/>
          <w:szCs w:val="36"/>
          <w:highlight w:val="none"/>
        </w:rPr>
        <w:t>项目编号：11000025210200150346-XM001</w:t>
      </w:r>
    </w:p>
    <w:p w14:paraId="046528F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宋体"/>
          <w:color w:val="auto"/>
          <w:spacing w:val="-7"/>
          <w:sz w:val="36"/>
          <w:szCs w:val="36"/>
          <w:highlight w:val="none"/>
          <w:lang w:eastAsia="zh-CN"/>
        </w:rPr>
      </w:pPr>
      <w:r>
        <w:rPr>
          <w:rFonts w:hint="eastAsia" w:ascii="宋体" w:hAnsi="宋体" w:eastAsia="宋体" w:cs="宋体"/>
          <w:color w:val="auto"/>
          <w:spacing w:val="-11"/>
          <w:sz w:val="36"/>
          <w:szCs w:val="36"/>
          <w:highlight w:val="none"/>
        </w:rPr>
        <w:t>采</w:t>
      </w:r>
      <w:r>
        <w:rPr>
          <w:rFonts w:hint="eastAsia" w:ascii="宋体" w:hAnsi="宋体" w:eastAsia="宋体" w:cs="宋体"/>
          <w:color w:val="auto"/>
          <w:spacing w:val="-7"/>
          <w:sz w:val="36"/>
          <w:szCs w:val="36"/>
          <w:highlight w:val="none"/>
        </w:rPr>
        <w:t xml:space="preserve"> 购 人：</w:t>
      </w:r>
      <w:r>
        <w:rPr>
          <w:rFonts w:hint="eastAsia" w:ascii="宋体" w:hAnsi="宋体" w:cs="宋体"/>
          <w:color w:val="auto"/>
          <w:spacing w:val="-7"/>
          <w:sz w:val="36"/>
          <w:szCs w:val="36"/>
          <w:highlight w:val="none"/>
          <w:lang w:eastAsia="zh-CN"/>
        </w:rPr>
        <w:t>中共北京市卫生健康委员会党校</w:t>
      </w:r>
    </w:p>
    <w:p w14:paraId="0F73B76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6"/>
          <w:sz w:val="36"/>
          <w:szCs w:val="36"/>
          <w:highlight w:val="none"/>
        </w:rPr>
        <w:t>采</w:t>
      </w:r>
      <w:r>
        <w:rPr>
          <w:rFonts w:hint="eastAsia" w:ascii="宋体" w:hAnsi="宋体" w:eastAsia="宋体" w:cs="宋体"/>
          <w:color w:val="auto"/>
          <w:spacing w:val="-11"/>
          <w:sz w:val="36"/>
          <w:szCs w:val="36"/>
          <w:highlight w:val="none"/>
        </w:rPr>
        <w:t>购代理机构：</w:t>
      </w:r>
      <w:r>
        <w:rPr>
          <w:rFonts w:hint="eastAsia" w:ascii="宋体" w:hAnsi="宋体" w:cs="宋体"/>
          <w:color w:val="auto"/>
          <w:spacing w:val="-11"/>
          <w:sz w:val="36"/>
          <w:szCs w:val="36"/>
          <w:highlight w:val="none"/>
          <w:lang w:eastAsia="zh-CN"/>
        </w:rPr>
        <w:t>北京华审金建国际工程项目管理有限公司</w:t>
      </w:r>
    </w:p>
    <w:p w14:paraId="2338A654">
      <w:pPr>
        <w:widowControl/>
        <w:spacing w:after="0"/>
        <w:jc w:val="left"/>
        <w:rPr>
          <w:color w:val="auto"/>
          <w:kern w:val="0"/>
          <w:sz w:val="24"/>
          <w:highlight w:val="none"/>
        </w:rPr>
      </w:pPr>
      <w:r>
        <w:rPr>
          <w:b/>
          <w:bCs/>
          <w:color w:val="auto"/>
          <w:sz w:val="44"/>
          <w:highlight w:val="none"/>
        </w:rPr>
        <w:br w:type="page"/>
      </w:r>
    </w:p>
    <w:p w14:paraId="71498E2B">
      <w:pPr>
        <w:pStyle w:val="183"/>
        <w:spacing w:after="0" w:line="360" w:lineRule="auto"/>
        <w:rPr>
          <w:rFonts w:ascii="Times New Roman" w:hAnsi="Times New Roman" w:cs="Times New Roman"/>
          <w:color w:val="auto"/>
          <w:highlight w:val="none"/>
        </w:rPr>
      </w:pPr>
    </w:p>
    <w:p w14:paraId="2D24BA8C">
      <w:pPr>
        <w:spacing w:after="0" w:line="360" w:lineRule="auto"/>
        <w:jc w:val="center"/>
        <w:outlineLvl w:val="0"/>
        <w:rPr>
          <w:b/>
          <w:color w:val="auto"/>
          <w:sz w:val="36"/>
          <w:szCs w:val="36"/>
          <w:highlight w:val="none"/>
        </w:rPr>
      </w:pPr>
      <w:bookmarkStart w:id="0" w:name="_Toc409"/>
      <w:bookmarkStart w:id="1" w:name="_Toc127364528"/>
      <w:bookmarkStart w:id="2" w:name="_Toc8799"/>
      <w:r>
        <w:rPr>
          <w:rFonts w:hint="eastAsia"/>
          <w:b/>
          <w:color w:val="auto"/>
          <w:sz w:val="36"/>
          <w:szCs w:val="36"/>
          <w:highlight w:val="none"/>
        </w:rPr>
        <w:t>目</w:t>
      </w:r>
      <w:r>
        <w:rPr>
          <w:b/>
          <w:color w:val="auto"/>
          <w:sz w:val="36"/>
          <w:szCs w:val="36"/>
          <w:highlight w:val="none"/>
        </w:rPr>
        <w:t xml:space="preserve">      </w:t>
      </w:r>
      <w:r>
        <w:rPr>
          <w:rFonts w:hint="eastAsia"/>
          <w:b/>
          <w:color w:val="auto"/>
          <w:sz w:val="36"/>
          <w:szCs w:val="36"/>
          <w:highlight w:val="none"/>
        </w:rPr>
        <w:t>录</w:t>
      </w:r>
      <w:bookmarkEnd w:id="0"/>
      <w:bookmarkEnd w:id="1"/>
      <w:bookmarkEnd w:id="2"/>
    </w:p>
    <w:p w14:paraId="686BC776">
      <w:pPr>
        <w:spacing w:after="0"/>
        <w:rPr>
          <w:color w:val="auto"/>
          <w:highlight w:val="none"/>
        </w:rPr>
      </w:pPr>
    </w:p>
    <w:p w14:paraId="1DD5F2C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_Toc11187 </w:instrText>
      </w:r>
      <w:r>
        <w:rPr>
          <w:rFonts w:ascii="Times New Roman" w:hAnsi="Times New Roman"/>
          <w:highlight w:val="none"/>
        </w:rPr>
        <w:fldChar w:fldCharType="separate"/>
      </w:r>
      <w:r>
        <w:rPr>
          <w:szCs w:val="36"/>
          <w:highlight w:val="none"/>
        </w:rPr>
        <w:t>第一章   采购邀请</w:t>
      </w:r>
      <w:r>
        <w:tab/>
      </w:r>
      <w:r>
        <w:fldChar w:fldCharType="begin"/>
      </w:r>
      <w:r>
        <w:instrText xml:space="preserve"> PAGEREF _Toc11187 \h </w:instrText>
      </w:r>
      <w:r>
        <w:fldChar w:fldCharType="separate"/>
      </w:r>
      <w:r>
        <w:t>2</w:t>
      </w:r>
      <w:r>
        <w:fldChar w:fldCharType="end"/>
      </w:r>
      <w:r>
        <w:rPr>
          <w:rFonts w:ascii="Times New Roman" w:hAnsi="Times New Roman"/>
          <w:color w:val="auto"/>
          <w:highlight w:val="none"/>
        </w:rPr>
        <w:fldChar w:fldCharType="end"/>
      </w:r>
    </w:p>
    <w:p w14:paraId="4D6D75C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color w:val="auto"/>
          <w:highlight w:val="none"/>
        </w:rPr>
        <w:fldChar w:fldCharType="begin"/>
      </w:r>
      <w:r>
        <w:rPr>
          <w:rFonts w:ascii="Times New Roman" w:hAnsi="Times New Roman"/>
          <w:highlight w:val="none"/>
        </w:rPr>
        <w:instrText xml:space="preserve"> HYPERLINK \l _Toc12319 </w:instrText>
      </w:r>
      <w:r>
        <w:rPr>
          <w:rFonts w:ascii="Times New Roman" w:hAnsi="Times New Roman"/>
          <w:highlight w:val="none"/>
        </w:rPr>
        <w:fldChar w:fldCharType="separate"/>
      </w:r>
      <w:r>
        <w:rPr>
          <w:szCs w:val="36"/>
          <w:highlight w:val="none"/>
        </w:rPr>
        <w:t>第二章   供应商须知</w:t>
      </w:r>
      <w:r>
        <w:tab/>
      </w:r>
      <w:r>
        <w:fldChar w:fldCharType="begin"/>
      </w:r>
      <w:r>
        <w:instrText xml:space="preserve"> PAGEREF _Toc12319 \h </w:instrText>
      </w:r>
      <w:r>
        <w:fldChar w:fldCharType="separate"/>
      </w:r>
      <w:r>
        <w:t>7</w:t>
      </w:r>
      <w:r>
        <w:fldChar w:fldCharType="end"/>
      </w:r>
      <w:r>
        <w:rPr>
          <w:rFonts w:ascii="Times New Roman" w:hAnsi="Times New Roman"/>
          <w:color w:val="auto"/>
          <w:highlight w:val="none"/>
        </w:rPr>
        <w:fldChar w:fldCharType="end"/>
      </w:r>
    </w:p>
    <w:p w14:paraId="7740FE8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color w:val="auto"/>
          <w:highlight w:val="none"/>
        </w:rPr>
        <w:fldChar w:fldCharType="begin"/>
      </w:r>
      <w:r>
        <w:rPr>
          <w:rFonts w:ascii="Times New Roman" w:hAnsi="Times New Roman"/>
          <w:highlight w:val="none"/>
        </w:rPr>
        <w:instrText xml:space="preserve"> HYPERLINK \l _Toc31054 </w:instrText>
      </w:r>
      <w:r>
        <w:rPr>
          <w:rFonts w:ascii="Times New Roman" w:hAnsi="Times New Roman"/>
          <w:highlight w:val="none"/>
        </w:rPr>
        <w:fldChar w:fldCharType="separate"/>
      </w:r>
      <w:r>
        <w:rPr>
          <w:rFonts w:ascii="Times New Roman" w:hAnsi="Times New Roman" w:eastAsia="宋体" w:cs="Times New Roman"/>
          <w:szCs w:val="36"/>
          <w:highlight w:val="none"/>
        </w:rPr>
        <w:t>第三章   评审方法和评审标准</w:t>
      </w:r>
      <w:r>
        <w:tab/>
      </w:r>
      <w:r>
        <w:fldChar w:fldCharType="begin"/>
      </w:r>
      <w:r>
        <w:instrText xml:space="preserve"> PAGEREF _Toc31054 \h </w:instrText>
      </w:r>
      <w:r>
        <w:fldChar w:fldCharType="separate"/>
      </w:r>
      <w:r>
        <w:t>24</w:t>
      </w:r>
      <w:r>
        <w:fldChar w:fldCharType="end"/>
      </w:r>
      <w:r>
        <w:rPr>
          <w:rFonts w:ascii="Times New Roman" w:hAnsi="Times New Roman"/>
          <w:color w:val="auto"/>
          <w:highlight w:val="none"/>
        </w:rPr>
        <w:fldChar w:fldCharType="end"/>
      </w:r>
    </w:p>
    <w:p w14:paraId="3B1A551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color w:val="auto"/>
          <w:highlight w:val="none"/>
        </w:rPr>
        <w:fldChar w:fldCharType="begin"/>
      </w:r>
      <w:r>
        <w:rPr>
          <w:rFonts w:ascii="Times New Roman" w:hAnsi="Times New Roman"/>
          <w:highlight w:val="none"/>
        </w:rPr>
        <w:instrText xml:space="preserve"> HYPERLINK \l _Toc13149 </w:instrText>
      </w:r>
      <w:r>
        <w:rPr>
          <w:rFonts w:ascii="Times New Roman" w:hAnsi="Times New Roman"/>
          <w:highlight w:val="none"/>
        </w:rPr>
        <w:fldChar w:fldCharType="separate"/>
      </w:r>
      <w:r>
        <w:rPr>
          <w:szCs w:val="36"/>
          <w:highlight w:val="none"/>
        </w:rPr>
        <w:t>第四章   采购需求</w:t>
      </w:r>
      <w:r>
        <w:rPr>
          <w:highlight w:val="none"/>
        </w:rPr>
        <w:tab/>
      </w:r>
      <w:r>
        <w:rPr>
          <w:highlight w:val="none"/>
        </w:rPr>
        <w:fldChar w:fldCharType="begin"/>
      </w:r>
      <w:r>
        <w:rPr>
          <w:highlight w:val="none"/>
        </w:rPr>
        <w:instrText xml:space="preserve"> PAGEREF _Toc13149 \h </w:instrText>
      </w:r>
      <w:r>
        <w:rPr>
          <w:highlight w:val="none"/>
        </w:rPr>
        <w:fldChar w:fldCharType="separate"/>
      </w:r>
      <w:r>
        <w:rPr>
          <w:highlight w:val="none"/>
        </w:rPr>
        <w:t>35</w:t>
      </w:r>
      <w:r>
        <w:rPr>
          <w:highlight w:val="none"/>
        </w:rPr>
        <w:fldChar w:fldCharType="end"/>
      </w:r>
      <w:r>
        <w:rPr>
          <w:rFonts w:ascii="Times New Roman" w:hAnsi="Times New Roman"/>
          <w:color w:val="auto"/>
          <w:highlight w:val="none"/>
        </w:rPr>
        <w:fldChar w:fldCharType="end"/>
      </w:r>
    </w:p>
    <w:p w14:paraId="1C760F6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color w:val="auto"/>
          <w:highlight w:val="none"/>
        </w:rPr>
        <w:fldChar w:fldCharType="begin"/>
      </w:r>
      <w:r>
        <w:rPr>
          <w:rFonts w:ascii="Times New Roman" w:hAnsi="Times New Roman"/>
          <w:highlight w:val="none"/>
        </w:rPr>
        <w:instrText xml:space="preserve"> HYPERLINK \l _Toc14732 </w:instrText>
      </w:r>
      <w:r>
        <w:rPr>
          <w:rFonts w:ascii="Times New Roman" w:hAnsi="Times New Roman"/>
          <w:highlight w:val="none"/>
        </w:rPr>
        <w:fldChar w:fldCharType="separate"/>
      </w:r>
      <w:r>
        <w:rPr>
          <w:szCs w:val="36"/>
          <w:highlight w:val="none"/>
        </w:rPr>
        <w:t>第</w:t>
      </w:r>
      <w:r>
        <w:rPr>
          <w:rFonts w:hint="eastAsia"/>
          <w:szCs w:val="36"/>
          <w:highlight w:val="none"/>
          <w:lang w:val="en-US" w:eastAsia="zh-CN"/>
        </w:rPr>
        <w:t>五</w:t>
      </w:r>
      <w:r>
        <w:rPr>
          <w:szCs w:val="36"/>
          <w:highlight w:val="none"/>
        </w:rPr>
        <w:t xml:space="preserve">章   </w:t>
      </w:r>
      <w:r>
        <w:rPr>
          <w:rFonts w:hint="eastAsia"/>
          <w:szCs w:val="36"/>
          <w:highlight w:val="none"/>
        </w:rPr>
        <w:t>合同草案条款</w:t>
      </w:r>
      <w:r>
        <w:tab/>
      </w:r>
      <w:r>
        <w:fldChar w:fldCharType="begin"/>
      </w:r>
      <w:r>
        <w:instrText xml:space="preserve"> PAGEREF _Toc14732 \h </w:instrText>
      </w:r>
      <w:r>
        <w:fldChar w:fldCharType="separate"/>
      </w:r>
      <w:r>
        <w:t>37</w:t>
      </w:r>
      <w:r>
        <w:fldChar w:fldCharType="end"/>
      </w:r>
      <w:r>
        <w:rPr>
          <w:rFonts w:ascii="Times New Roman" w:hAnsi="Times New Roman"/>
          <w:color w:val="auto"/>
          <w:highlight w:val="none"/>
        </w:rPr>
        <w:fldChar w:fldCharType="end"/>
      </w:r>
    </w:p>
    <w:p w14:paraId="61AFAD38">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color w:val="auto"/>
          <w:highlight w:val="none"/>
        </w:rPr>
        <w:fldChar w:fldCharType="begin"/>
      </w:r>
      <w:r>
        <w:rPr>
          <w:rFonts w:ascii="Times New Roman" w:hAnsi="Times New Roman"/>
          <w:highlight w:val="none"/>
        </w:rPr>
        <w:instrText xml:space="preserve"> HYPERLINK \l _Toc19387 </w:instrText>
      </w:r>
      <w:r>
        <w:rPr>
          <w:rFonts w:ascii="Times New Roman" w:hAnsi="Times New Roman"/>
          <w:highlight w:val="none"/>
        </w:rPr>
        <w:fldChar w:fldCharType="separate"/>
      </w:r>
      <w:r>
        <w:rPr>
          <w:rFonts w:ascii="Times New Roman" w:hAnsi="Times New Roman" w:eastAsia="宋体" w:cs="Times New Roman"/>
          <w:szCs w:val="36"/>
          <w:highlight w:val="none"/>
        </w:rPr>
        <w:t>第</w:t>
      </w:r>
      <w:r>
        <w:rPr>
          <w:rFonts w:hint="eastAsia" w:cs="Times New Roman"/>
          <w:szCs w:val="36"/>
          <w:highlight w:val="none"/>
          <w:lang w:val="en-US" w:eastAsia="zh-CN"/>
        </w:rPr>
        <w:t>六</w:t>
      </w:r>
      <w:r>
        <w:rPr>
          <w:rFonts w:ascii="Times New Roman" w:hAnsi="Times New Roman" w:eastAsia="宋体" w:cs="Times New Roman"/>
          <w:szCs w:val="36"/>
          <w:highlight w:val="none"/>
        </w:rPr>
        <w:t>章   响应文件格式</w:t>
      </w:r>
      <w:r>
        <w:tab/>
      </w:r>
      <w:r>
        <w:fldChar w:fldCharType="begin"/>
      </w:r>
      <w:r>
        <w:instrText xml:space="preserve"> PAGEREF _Toc19387 \h </w:instrText>
      </w:r>
      <w:r>
        <w:fldChar w:fldCharType="separate"/>
      </w:r>
      <w:r>
        <w:t>139</w:t>
      </w:r>
      <w:r>
        <w:fldChar w:fldCharType="end"/>
      </w:r>
      <w:r>
        <w:rPr>
          <w:rFonts w:ascii="Times New Roman" w:hAnsi="Times New Roman"/>
          <w:color w:val="auto"/>
          <w:highlight w:val="none"/>
        </w:rPr>
        <w:fldChar w:fldCharType="end"/>
      </w:r>
    </w:p>
    <w:p w14:paraId="72B36D21">
      <w:pPr>
        <w:pStyle w:val="30"/>
        <w:keepNext w:val="0"/>
        <w:keepLines w:val="0"/>
        <w:pageBreakBefore w:val="0"/>
        <w:widowControl w:val="0"/>
        <w:kinsoku/>
        <w:wordWrap/>
        <w:overflowPunct/>
        <w:topLinePunct w:val="0"/>
        <w:autoSpaceDE/>
        <w:autoSpaceDN/>
        <w:bidi w:val="0"/>
        <w:adjustRightInd/>
        <w:snapToGrid/>
        <w:spacing w:after="0" w:line="480" w:lineRule="auto"/>
        <w:textAlignment w:val="auto"/>
        <w:rPr>
          <w:rFonts w:ascii="Times New Roman" w:hAnsi="Times New Roman"/>
          <w:b w:val="0"/>
          <w:color w:val="auto"/>
          <w:highlight w:val="none"/>
        </w:rPr>
      </w:pPr>
      <w:r>
        <w:rPr>
          <w:rFonts w:ascii="Times New Roman" w:hAnsi="Times New Roman"/>
          <w:color w:val="auto"/>
          <w:highlight w:val="none"/>
        </w:rPr>
        <w:fldChar w:fldCharType="end"/>
      </w:r>
    </w:p>
    <w:p w14:paraId="014B1BD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b w:val="0"/>
          <w:color w:val="auto"/>
          <w:sz w:val="36"/>
          <w:szCs w:val="36"/>
          <w:highlight w:val="none"/>
        </w:rPr>
      </w:pPr>
    </w:p>
    <w:p w14:paraId="3399179B">
      <w:pPr>
        <w:spacing w:after="0" w:line="360" w:lineRule="auto"/>
        <w:jc w:val="center"/>
        <w:outlineLvl w:val="0"/>
        <w:rPr>
          <w:rFonts w:hint="eastAsia"/>
          <w:b/>
          <w:color w:val="auto"/>
          <w:sz w:val="36"/>
          <w:szCs w:val="36"/>
          <w:highlight w:val="none"/>
          <w:lang w:eastAsia="zh-CN"/>
        </w:rPr>
      </w:pPr>
      <w:bookmarkStart w:id="3" w:name="_Toc11187"/>
      <w:r>
        <w:rPr>
          <w:rFonts w:hint="eastAsia"/>
          <w:b/>
          <w:color w:val="auto"/>
          <w:sz w:val="36"/>
          <w:szCs w:val="36"/>
          <w:highlight w:val="none"/>
          <w:lang w:eastAsia="zh-CN"/>
        </w:rPr>
        <w:t xml:space="preserve"> </w:t>
      </w:r>
    </w:p>
    <w:p w14:paraId="737965B3">
      <w:pPr>
        <w:rPr>
          <w:rFonts w:hint="eastAsia"/>
          <w:b/>
          <w:color w:val="auto"/>
          <w:sz w:val="36"/>
          <w:szCs w:val="36"/>
          <w:highlight w:val="none"/>
          <w:lang w:eastAsia="zh-CN"/>
        </w:rPr>
      </w:pPr>
      <w:r>
        <w:rPr>
          <w:rFonts w:hint="eastAsia"/>
          <w:b/>
          <w:color w:val="auto"/>
          <w:sz w:val="36"/>
          <w:szCs w:val="36"/>
          <w:highlight w:val="none"/>
          <w:lang w:eastAsia="zh-CN"/>
        </w:rPr>
        <w:br w:type="page"/>
      </w:r>
    </w:p>
    <w:p w14:paraId="4FBAB369">
      <w:pPr>
        <w:spacing w:after="0" w:line="360" w:lineRule="auto"/>
        <w:jc w:val="center"/>
        <w:outlineLvl w:val="0"/>
        <w:rPr>
          <w:b/>
          <w:color w:val="auto"/>
          <w:sz w:val="36"/>
          <w:szCs w:val="36"/>
          <w:highlight w:val="none"/>
        </w:rPr>
      </w:pPr>
      <w:r>
        <w:rPr>
          <w:b/>
          <w:color w:val="auto"/>
          <w:sz w:val="36"/>
          <w:szCs w:val="36"/>
          <w:highlight w:val="none"/>
        </w:rPr>
        <w:t>第一章   采购邀请</w:t>
      </w:r>
      <w:bookmarkEnd w:id="3"/>
      <w:bookmarkStart w:id="4" w:name="_Toc35393790"/>
      <w:bookmarkStart w:id="5" w:name="_Toc35393621"/>
      <w:bookmarkStart w:id="6" w:name="_Toc28359002"/>
      <w:bookmarkStart w:id="7" w:name="_Toc28359079"/>
      <w:bookmarkStart w:id="8" w:name="_Hlk24379207"/>
    </w:p>
    <w:p w14:paraId="0CCA218F">
      <w:pPr>
        <w:pStyle w:val="4"/>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4"/>
      <w:bookmarkEnd w:id="5"/>
      <w:bookmarkEnd w:id="6"/>
      <w:bookmarkEnd w:id="7"/>
    </w:p>
    <w:p w14:paraId="25325D6C">
      <w:pPr>
        <w:spacing w:after="0"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rPr>
        <w:t>11000025210200150346-XM001</w:t>
      </w:r>
    </w:p>
    <w:p w14:paraId="43D6864F">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u w:val="single"/>
          <w:lang w:eastAsia="zh-CN"/>
        </w:rPr>
        <w:t>报告厅室内安全改造工程其他建筑工程采购项目</w:t>
      </w:r>
    </w:p>
    <w:p w14:paraId="4C7302B3">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w:t>
      </w:r>
      <w:r>
        <w:rPr>
          <w:rFonts w:hint="eastAsia" w:ascii="宋体" w:hAnsi="宋体" w:eastAsia="宋体" w:cs="宋体"/>
          <w:color w:val="auto"/>
          <w:sz w:val="24"/>
          <w:highlight w:val="none"/>
          <w:u w:val="single"/>
        </w:rPr>
        <w:t>竞争性磋商</w:t>
      </w:r>
    </w:p>
    <w:bookmarkEnd w:id="8"/>
    <w:p w14:paraId="70B24C19">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cs="宋体"/>
          <w:color w:val="auto"/>
          <w:sz w:val="24"/>
          <w:highlight w:val="none"/>
          <w:u w:val="single"/>
          <w:lang w:val="en-US" w:eastAsia="zh-CN"/>
        </w:rPr>
        <w:t>412.07908</w:t>
      </w:r>
      <w:r>
        <w:rPr>
          <w:rFonts w:hint="eastAsia" w:ascii="宋体" w:hAnsi="宋体" w:eastAsia="宋体" w:cs="宋体"/>
          <w:color w:val="auto"/>
          <w:sz w:val="24"/>
          <w:highlight w:val="none"/>
        </w:rPr>
        <w:t>万元、项目最高限价（如有）：</w:t>
      </w:r>
      <w:r>
        <w:rPr>
          <w:rFonts w:hint="eastAsia" w:ascii="宋体" w:hAnsi="宋体" w:cs="宋体"/>
          <w:color w:val="auto"/>
          <w:sz w:val="24"/>
          <w:highlight w:val="none"/>
          <w:u w:val="single"/>
          <w:lang w:val="en-US" w:eastAsia="zh-CN"/>
        </w:rPr>
        <w:t xml:space="preserve"> 412.04162 </w:t>
      </w:r>
      <w:r>
        <w:rPr>
          <w:rFonts w:hint="eastAsia" w:ascii="宋体" w:hAnsi="宋体" w:eastAsia="宋体" w:cs="宋体"/>
          <w:color w:val="auto"/>
          <w:sz w:val="24"/>
          <w:highlight w:val="none"/>
        </w:rPr>
        <w:t>万元</w:t>
      </w:r>
    </w:p>
    <w:p w14:paraId="4F8DD712">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566"/>
        <w:gridCol w:w="918"/>
        <w:gridCol w:w="3936"/>
      </w:tblGrid>
      <w:tr w14:paraId="076B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pct"/>
            <w:noWrap w:val="0"/>
            <w:vAlign w:val="center"/>
          </w:tcPr>
          <w:p w14:paraId="50A47014">
            <w:pPr>
              <w:spacing w:after="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包号</w:t>
            </w:r>
          </w:p>
        </w:tc>
        <w:tc>
          <w:tcPr>
            <w:tcW w:w="771" w:type="pct"/>
            <w:noWrap w:val="0"/>
            <w:vAlign w:val="center"/>
          </w:tcPr>
          <w:p w14:paraId="2FBF78AA">
            <w:pPr>
              <w:spacing w:after="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843" w:type="pct"/>
            <w:noWrap w:val="0"/>
            <w:vAlign w:val="center"/>
          </w:tcPr>
          <w:p w14:paraId="03A4E9C3">
            <w:pPr>
              <w:spacing w:after="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w:t>
            </w:r>
          </w:p>
          <w:p w14:paraId="471CA2F6">
            <w:pPr>
              <w:spacing w:after="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494" w:type="pct"/>
            <w:noWrap w:val="0"/>
            <w:vAlign w:val="center"/>
          </w:tcPr>
          <w:p w14:paraId="3B1157AB">
            <w:pPr>
              <w:spacing w:after="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119" w:type="pct"/>
            <w:noWrap w:val="0"/>
            <w:vAlign w:val="center"/>
          </w:tcPr>
          <w:p w14:paraId="721EF407">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r>
      <w:tr w14:paraId="08F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pct"/>
            <w:noWrap w:val="0"/>
            <w:vAlign w:val="center"/>
          </w:tcPr>
          <w:p w14:paraId="2705F8B0">
            <w:pPr>
              <w:spacing w:after="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771" w:type="pct"/>
            <w:noWrap w:val="0"/>
            <w:vAlign w:val="center"/>
          </w:tcPr>
          <w:p w14:paraId="169E8CDF">
            <w:pPr>
              <w:spacing w:after="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报告厅室内安全改造工程其他建筑工程采购项目</w:t>
            </w:r>
          </w:p>
        </w:tc>
        <w:tc>
          <w:tcPr>
            <w:tcW w:w="843" w:type="pct"/>
            <w:noWrap w:val="0"/>
            <w:vAlign w:val="center"/>
          </w:tcPr>
          <w:p w14:paraId="221AA4F4">
            <w:pPr>
              <w:spacing w:after="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412.07908</w:t>
            </w:r>
          </w:p>
        </w:tc>
        <w:tc>
          <w:tcPr>
            <w:tcW w:w="494" w:type="pct"/>
            <w:noWrap w:val="0"/>
            <w:vAlign w:val="center"/>
          </w:tcPr>
          <w:p w14:paraId="30F4D101">
            <w:pPr>
              <w:spacing w:after="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119" w:type="pct"/>
            <w:noWrap w:val="0"/>
            <w:vAlign w:val="center"/>
          </w:tcPr>
          <w:p w14:paraId="3AC22768">
            <w:pPr>
              <w:spacing w:after="0"/>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shd w:val="clear" w:color="auto" w:fill="FFFFFF"/>
                <w:lang w:val="en-US" w:eastAsia="zh-CN"/>
              </w:rPr>
              <w:t>本工程范围包含施工图范围内的钢屋架加固及屋顶更新；会议音视屏等相关专项由专业厂家进行深化，本次设计仅为预留厂家所需要的设计条件，原会议室相关保留设备拆移，待改造完成后重新安装，增设会议录播系统；建筑内装修改造，包括地面、墙面、顶棚改造，内门窗全部更换；报告厅、配电室、控制间、等待区等区域地面、墙体增设防潮层等，水电管线改造，消防安全改造，详细工作内容，详见施工图纸。</w:t>
            </w:r>
            <w:r>
              <w:rPr>
                <w:rFonts w:hint="eastAsia" w:ascii="宋体" w:hAnsi="宋体" w:eastAsia="宋体" w:cs="宋体"/>
                <w:color w:val="auto"/>
                <w:sz w:val="24"/>
                <w:szCs w:val="24"/>
                <w:highlight w:val="none"/>
                <w:shd w:val="clear" w:color="auto" w:fill="FFFFFF"/>
                <w:lang w:val="en-US" w:eastAsia="zh-CN"/>
              </w:rPr>
              <w:t>具体详见第四章《采购需求》</w:t>
            </w:r>
            <w:r>
              <w:rPr>
                <w:rFonts w:hint="eastAsia" w:ascii="宋体" w:hAnsi="宋体" w:eastAsia="宋体" w:cs="宋体"/>
                <w:color w:val="auto"/>
                <w:sz w:val="24"/>
                <w:szCs w:val="24"/>
                <w:highlight w:val="none"/>
                <w:shd w:val="clear" w:color="auto" w:fill="FFFFFF"/>
              </w:rPr>
              <w:t>。</w:t>
            </w:r>
          </w:p>
        </w:tc>
      </w:tr>
    </w:tbl>
    <w:p w14:paraId="7B2C2D35">
      <w:pPr>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6.合同履行期限：</w:t>
      </w:r>
      <w:r>
        <w:rPr>
          <w:rFonts w:hint="eastAsia" w:ascii="宋体" w:hAnsi="宋体" w:cs="宋体"/>
          <w:color w:val="auto"/>
          <w:sz w:val="24"/>
          <w:highlight w:val="none"/>
          <w:u w:val="single"/>
          <w:lang w:val="en-US" w:eastAsia="zh-CN"/>
        </w:rPr>
        <w:t xml:space="preserve"> 197日历天，计划开工日期：2025年12月15日，计划竣工日期：2026年6月30日</w:t>
      </w:r>
      <w:r>
        <w:rPr>
          <w:rFonts w:hint="eastAsia" w:ascii="宋体" w:hAnsi="宋体" w:eastAsia="宋体" w:cs="宋体"/>
          <w:color w:val="auto"/>
          <w:sz w:val="24"/>
          <w:highlight w:val="none"/>
          <w:u w:val="single"/>
          <w:lang w:eastAsia="zh-CN"/>
        </w:rPr>
        <w:t>。</w:t>
      </w:r>
    </w:p>
    <w:p w14:paraId="6EE41B28">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bookmarkStart w:id="893" w:name="_GoBack"/>
      <w:bookmarkEnd w:id="893"/>
      <w:r>
        <w:rPr>
          <w:rFonts w:hint="eastAsia" w:ascii="宋体" w:hAnsi="宋体" w:eastAsia="宋体" w:cs="宋体"/>
          <w:color w:val="auto"/>
          <w:sz w:val="24"/>
          <w:highlight w:val="none"/>
        </w:rPr>
        <w:t>本项目是否接受联合体：</w:t>
      </w:r>
      <w:r>
        <w:rPr>
          <w:rFonts w:ascii="Wingdings 2" w:hAnsi="Wingdings 2" w:eastAsia="宋体" w:cs="宋体"/>
          <w:color w:val="auto"/>
          <w:highlight w:val="none"/>
        </w:rPr>
        <w:sym w:font="Wingdings 2" w:char="F0A3"/>
      </w:r>
      <w:r>
        <w:rPr>
          <w:rFonts w:hint="eastAsia" w:ascii="宋体" w:hAnsi="宋体" w:eastAsia="宋体" w:cs="宋体"/>
          <w:color w:val="auto"/>
          <w:sz w:val="24"/>
          <w:highlight w:val="none"/>
        </w:rPr>
        <w:t xml:space="preserve">是  </w:t>
      </w:r>
      <w:r>
        <w:rPr>
          <w:rFonts w:hint="eastAsia" w:ascii="宋体" w:hAnsi="宋体" w:eastAsia="宋体" w:cs="宋体"/>
          <w:color w:val="auto"/>
          <w:highlight w:val="none"/>
        </w:rPr>
        <w:t>▇</w:t>
      </w:r>
      <w:r>
        <w:rPr>
          <w:rFonts w:hint="eastAsia" w:ascii="宋体" w:hAnsi="宋体" w:eastAsia="宋体" w:cs="宋体"/>
          <w:color w:val="auto"/>
          <w:sz w:val="24"/>
          <w:highlight w:val="none"/>
        </w:rPr>
        <w:t>否。</w:t>
      </w:r>
    </w:p>
    <w:p w14:paraId="4747D928">
      <w:pPr>
        <w:pStyle w:val="4"/>
        <w:spacing w:before="0" w:after="0" w:line="360" w:lineRule="auto"/>
        <w:jc w:val="left"/>
        <w:rPr>
          <w:rFonts w:hint="eastAsia" w:ascii="宋体" w:hAnsi="宋体" w:eastAsia="宋体" w:cs="宋体"/>
          <w:color w:val="auto"/>
          <w:sz w:val="24"/>
          <w:szCs w:val="24"/>
          <w:highlight w:val="none"/>
        </w:rPr>
      </w:pPr>
      <w:bookmarkStart w:id="9" w:name="_Toc28359003"/>
      <w:bookmarkStart w:id="10" w:name="_Toc35393791"/>
      <w:bookmarkStart w:id="11" w:name="_Toc28359080"/>
      <w:bookmarkStart w:id="12" w:name="_Toc35393622"/>
      <w:bookmarkStart w:id="13" w:name="_Toc28359004"/>
      <w:bookmarkStart w:id="14" w:name="_Toc28359081"/>
      <w:r>
        <w:rPr>
          <w:rFonts w:hint="eastAsia" w:ascii="宋体" w:hAnsi="宋体" w:eastAsia="宋体" w:cs="宋体"/>
          <w:color w:val="auto"/>
          <w:sz w:val="24"/>
          <w:szCs w:val="24"/>
          <w:highlight w:val="none"/>
        </w:rPr>
        <w:t>二、申请人的资格要求（须同时满足）</w:t>
      </w:r>
      <w:bookmarkEnd w:id="9"/>
      <w:bookmarkEnd w:id="10"/>
      <w:bookmarkEnd w:id="11"/>
      <w:bookmarkEnd w:id="12"/>
    </w:p>
    <w:p w14:paraId="00B9C51D">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76EB85AA">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5E8962D0">
      <w:pPr>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1C5DBCEC">
      <w:pPr>
        <w:spacing w:after="0" w:line="360" w:lineRule="auto"/>
        <w:ind w:firstLine="420" w:firstLineChars="200"/>
        <w:rPr>
          <w:rFonts w:hint="eastAsia" w:ascii="宋体" w:hAnsi="宋体" w:eastAsia="宋体" w:cs="宋体"/>
          <w:color w:val="auto"/>
          <w:sz w:val="24"/>
          <w:highlight w:val="none"/>
        </w:rPr>
      </w:pPr>
      <w:r>
        <w:rPr>
          <w:rFonts w:ascii="Wingdings 2" w:hAnsi="Wingdings 2" w:eastAsia="宋体" w:cs="宋体"/>
          <w:color w:val="auto"/>
          <w:highlight w:val="none"/>
        </w:rPr>
        <w:sym w:font="Wingdings 2" w:char="F0A3"/>
      </w:r>
      <w:r>
        <w:rPr>
          <w:rFonts w:hint="eastAsia" w:ascii="宋体" w:hAnsi="宋体" w:eastAsia="宋体" w:cs="宋体"/>
          <w:color w:val="auto"/>
          <w:sz w:val="24"/>
          <w:highlight w:val="none"/>
        </w:rPr>
        <w:t>本项目不专门面向中小企业预留采购份额。</w:t>
      </w:r>
    </w:p>
    <w:p w14:paraId="7F3FDD44">
      <w:pPr>
        <w:spacing w:after="0"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highlight w:val="none"/>
        </w:rPr>
        <w:t>▇</w:t>
      </w:r>
      <w:r>
        <w:rPr>
          <w:rFonts w:hint="eastAsia" w:ascii="宋体" w:hAnsi="宋体" w:eastAsia="宋体" w:cs="宋体"/>
          <w:color w:val="auto"/>
          <w:sz w:val="24"/>
          <w:highlight w:val="none"/>
        </w:rPr>
        <w:t xml:space="preserve">中小 </w:t>
      </w:r>
      <w:r>
        <w:rPr>
          <w:rFonts w:ascii="Wingdings 2" w:hAnsi="Wingdings 2" w:eastAsia="宋体" w:cs="宋体"/>
          <w:color w:val="auto"/>
          <w:highlight w:val="none"/>
        </w:rPr>
        <w:sym w:font="Wingdings 2" w:char="F0A3"/>
      </w:r>
      <w:r>
        <w:rPr>
          <w:rFonts w:hint="eastAsia" w:ascii="宋体" w:hAnsi="宋体" w:eastAsia="宋体" w:cs="宋体"/>
          <w:color w:val="auto"/>
          <w:sz w:val="24"/>
          <w:highlight w:val="none"/>
        </w:rPr>
        <w:t>小微企业  采购。即：提供的货物全部由符合政策要求的中小企业制造、服务全部由符合政策要求的中小企业承接。</w:t>
      </w:r>
    </w:p>
    <w:p w14:paraId="08945C8A">
      <w:pPr>
        <w:spacing w:after="0" w:line="360" w:lineRule="auto"/>
        <w:ind w:firstLine="420" w:firstLineChars="200"/>
        <w:rPr>
          <w:rFonts w:hint="eastAsia" w:ascii="宋体" w:hAnsi="宋体" w:eastAsia="宋体" w:cs="宋体"/>
          <w:color w:val="auto"/>
          <w:sz w:val="24"/>
          <w:highlight w:val="none"/>
        </w:rPr>
      </w:pPr>
      <w:r>
        <w:rPr>
          <w:rFonts w:ascii="Wingdings 2" w:hAnsi="Wingdings 2" w:eastAsia="宋体" w:cs="宋体"/>
          <w:color w:val="auto"/>
          <w:highlight w:val="none"/>
        </w:rPr>
        <w:sym w:font="Wingdings 2" w:char="F0A3"/>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7C7ED4DD">
      <w:pPr>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 其它落实政府采购政策的资格要求：</w:t>
      </w:r>
      <w:r>
        <w:rPr>
          <w:rFonts w:hint="eastAsia" w:ascii="宋体" w:hAnsi="宋体" w:eastAsia="宋体" w:cs="宋体"/>
          <w:color w:val="auto"/>
          <w:sz w:val="24"/>
          <w:highlight w:val="none"/>
          <w:u w:val="single"/>
          <w:lang w:val="en-US" w:eastAsia="zh-CN"/>
        </w:rPr>
        <w:t>无</w:t>
      </w:r>
      <w:r>
        <w:rPr>
          <w:rFonts w:hint="eastAsia" w:ascii="宋体" w:hAnsi="宋体" w:eastAsia="宋体" w:cs="宋体"/>
          <w:color w:val="auto"/>
          <w:sz w:val="24"/>
          <w:highlight w:val="none"/>
          <w:u w:val="single"/>
          <w:lang w:eastAsia="zh-CN"/>
        </w:rPr>
        <w:t>。</w:t>
      </w:r>
    </w:p>
    <w:p w14:paraId="18FD5811">
      <w:pPr>
        <w:spacing w:after="0"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3.本项目的特定资格要求：</w:t>
      </w:r>
    </w:p>
    <w:p w14:paraId="024FBF89">
      <w:pPr>
        <w:tabs>
          <w:tab w:val="left" w:pos="900"/>
          <w:tab w:val="left" w:pos="1134"/>
          <w:tab w:val="left" w:pos="1589"/>
          <w:tab w:val="left" w:pos="5521"/>
        </w:tabs>
        <w:snapToGrid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本项目是否属于政府购买服务：</w:t>
      </w:r>
    </w:p>
    <w:p w14:paraId="642E8BF1">
      <w:pPr>
        <w:tabs>
          <w:tab w:val="left" w:pos="900"/>
          <w:tab w:val="left" w:pos="1134"/>
          <w:tab w:val="left" w:pos="1589"/>
          <w:tab w:val="left" w:pos="5521"/>
        </w:tabs>
        <w:snapToGrid w:val="0"/>
        <w:spacing w:after="0"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4ECD2E55">
      <w:pPr>
        <w:tabs>
          <w:tab w:val="left" w:pos="900"/>
          <w:tab w:val="left" w:pos="1134"/>
          <w:tab w:val="left" w:pos="1589"/>
          <w:tab w:val="left" w:pos="5521"/>
        </w:tabs>
        <w:snapToGrid w:val="0"/>
        <w:spacing w:after="0" w:line="360" w:lineRule="auto"/>
        <w:ind w:left="991" w:leftChars="472" w:firstLine="2"/>
        <w:rPr>
          <w:rFonts w:hint="eastAsia" w:ascii="宋体" w:hAnsi="宋体" w:eastAsia="宋体" w:cs="宋体"/>
          <w:color w:val="auto"/>
          <w:sz w:val="24"/>
          <w:highlight w:val="none"/>
        </w:rPr>
      </w:pPr>
      <w:r>
        <w:rPr>
          <w:rFonts w:ascii="Wingdings 2" w:hAnsi="Wingdings 2" w:eastAsia="宋体" w:cs="宋体"/>
          <w:color w:val="auto"/>
          <w:highlight w:val="none"/>
        </w:rPr>
        <w:sym w:font="Wingdings 2" w:char="F0A3"/>
      </w:r>
      <w:r>
        <w:rPr>
          <w:rFonts w:hint="eastAsia" w:ascii="宋体" w:hAnsi="宋体" w:eastAsia="宋体" w:cs="宋体"/>
          <w:color w:val="auto"/>
          <w:sz w:val="24"/>
          <w:highlight w:val="none"/>
        </w:rPr>
        <w:t>是，公益一类事业单位、使用事业编制且由财政拨款保障的群团组织，不得作为承接主体；</w:t>
      </w:r>
    </w:p>
    <w:p w14:paraId="0ED08A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sz w:val="21"/>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其他特定资格要求：</w:t>
      </w:r>
      <w:r>
        <w:rPr>
          <w:rFonts w:hint="eastAsia" w:ascii="宋体" w:hAnsi="宋体" w:eastAsia="宋体" w:cs="宋体"/>
          <w:color w:val="auto"/>
          <w:spacing w:val="0"/>
          <w:sz w:val="24"/>
          <w:szCs w:val="24"/>
          <w:highlight w:val="none"/>
          <w:u w:val="single"/>
        </w:rPr>
        <w:t>（1）供应商应具有</w:t>
      </w:r>
      <w:r>
        <w:rPr>
          <w:rFonts w:hint="eastAsia" w:ascii="宋体" w:hAnsi="宋体" w:cs="宋体"/>
          <w:color w:val="auto"/>
          <w:spacing w:val="0"/>
          <w:sz w:val="24"/>
          <w:szCs w:val="24"/>
          <w:highlight w:val="none"/>
          <w:u w:val="single"/>
          <w:lang w:val="en-US" w:eastAsia="zh-CN"/>
        </w:rPr>
        <w:t>建筑工程施工总承包三级</w:t>
      </w:r>
      <w:r>
        <w:rPr>
          <w:rFonts w:hint="eastAsia" w:ascii="宋体" w:hAnsi="宋体" w:eastAsia="宋体" w:cs="宋体"/>
          <w:color w:val="auto"/>
          <w:spacing w:val="0"/>
          <w:sz w:val="24"/>
          <w:szCs w:val="24"/>
          <w:highlight w:val="none"/>
          <w:u w:val="single"/>
          <w:lang w:val="en-US" w:eastAsia="zh-CN"/>
        </w:rPr>
        <w:t>（含）以上资质</w:t>
      </w:r>
      <w:r>
        <w:rPr>
          <w:rFonts w:hint="eastAsia" w:ascii="宋体" w:hAnsi="宋体" w:eastAsia="宋体" w:cs="宋体"/>
          <w:color w:val="auto"/>
          <w:spacing w:val="0"/>
          <w:sz w:val="24"/>
          <w:szCs w:val="24"/>
          <w:highlight w:val="none"/>
          <w:u w:val="single"/>
        </w:rPr>
        <w:t>，具有建设行政主管部门核发的安全生产许可证，项目经理具有</w:t>
      </w:r>
      <w:r>
        <w:rPr>
          <w:rFonts w:hint="eastAsia" w:ascii="宋体" w:hAnsi="宋体" w:cs="宋体"/>
          <w:color w:val="auto"/>
          <w:spacing w:val="0"/>
          <w:sz w:val="24"/>
          <w:szCs w:val="24"/>
          <w:highlight w:val="none"/>
          <w:u w:val="single"/>
          <w:lang w:val="en-US" w:eastAsia="zh-CN"/>
        </w:rPr>
        <w:t>建筑工程</w:t>
      </w:r>
      <w:r>
        <w:rPr>
          <w:rFonts w:hint="eastAsia" w:ascii="宋体" w:hAnsi="宋体" w:eastAsia="宋体" w:cs="宋体"/>
          <w:color w:val="auto"/>
          <w:spacing w:val="0"/>
          <w:sz w:val="24"/>
          <w:szCs w:val="24"/>
          <w:highlight w:val="none"/>
          <w:u w:val="single"/>
        </w:rPr>
        <w:t>专业</w:t>
      </w:r>
      <w:r>
        <w:rPr>
          <w:rFonts w:hint="eastAsia" w:ascii="宋体" w:hAnsi="宋体" w:eastAsia="宋体" w:cs="宋体"/>
          <w:color w:val="auto"/>
          <w:spacing w:val="0"/>
          <w:sz w:val="24"/>
          <w:szCs w:val="24"/>
          <w:highlight w:val="none"/>
          <w:u w:val="single"/>
          <w:lang w:val="en-US" w:eastAsia="zh-CN"/>
        </w:rPr>
        <w:t>二</w:t>
      </w:r>
      <w:r>
        <w:rPr>
          <w:rFonts w:hint="eastAsia" w:ascii="宋体" w:hAnsi="宋体" w:eastAsia="宋体" w:cs="宋体"/>
          <w:color w:val="auto"/>
          <w:spacing w:val="0"/>
          <w:sz w:val="24"/>
          <w:szCs w:val="24"/>
          <w:highlight w:val="none"/>
          <w:u w:val="single"/>
        </w:rPr>
        <w:t>级（含以上级）注册建造师执业资格</w:t>
      </w:r>
      <w:r>
        <w:rPr>
          <w:rFonts w:hint="eastAsia" w:ascii="宋体" w:hAnsi="宋体" w:eastAsia="宋体" w:cs="宋体"/>
          <w:color w:val="auto"/>
          <w:spacing w:val="0"/>
          <w:sz w:val="24"/>
          <w:szCs w:val="24"/>
          <w:highlight w:val="none"/>
          <w:u w:val="single"/>
          <w:lang w:val="en-US" w:eastAsia="zh-CN"/>
        </w:rPr>
        <w:t>证书</w:t>
      </w:r>
      <w:r>
        <w:rPr>
          <w:rFonts w:hint="eastAsia" w:ascii="宋体" w:hAnsi="宋体" w:eastAsia="宋体" w:cs="宋体"/>
          <w:color w:val="auto"/>
          <w:spacing w:val="0"/>
          <w:sz w:val="24"/>
          <w:szCs w:val="24"/>
          <w:highlight w:val="none"/>
          <w:u w:val="single"/>
        </w:rPr>
        <w:t>、安全生产考核证书（B本）；（</w:t>
      </w:r>
      <w:r>
        <w:rPr>
          <w:rFonts w:hint="eastAsia" w:ascii="宋体" w:hAnsi="宋体" w:cs="宋体"/>
          <w:color w:val="auto"/>
          <w:spacing w:val="0"/>
          <w:sz w:val="24"/>
          <w:szCs w:val="24"/>
          <w:highlight w:val="none"/>
          <w:u w:val="single"/>
          <w:lang w:val="en-US" w:eastAsia="zh-CN"/>
        </w:rPr>
        <w:t>2</w:t>
      </w:r>
      <w:r>
        <w:rPr>
          <w:rFonts w:hint="eastAsia" w:ascii="宋体" w:hAnsi="宋体" w:eastAsia="宋体" w:cs="宋体"/>
          <w:color w:val="auto"/>
          <w:spacing w:val="0"/>
          <w:sz w:val="24"/>
          <w:szCs w:val="24"/>
          <w:highlight w:val="none"/>
          <w:u w:val="single"/>
        </w:rPr>
        <w:t>）外地来京建筑企业在办理进京备案时，应当一并办理注册建造师备案手续，已办理备案的外地来京建筑企业注册建造师方可在本市行政区域内开展执业活动。（3）供应商不得被信用中国网站（www.creditchina.gov.cn）列入失信被执行人</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重大税收违法案件当事人名单，也不得被中国政府采购网 （www.ccgp.gov.cn）列入政府采购严重违法失信行为记录名单；（4）单位负责人为同一人或者存在直接控股、管理关系的不同供应商，不得同时参加本项目的投标。</w:t>
      </w:r>
    </w:p>
    <w:p w14:paraId="137F25F1">
      <w:pPr>
        <w:tabs>
          <w:tab w:val="left" w:pos="900"/>
          <w:tab w:val="left" w:pos="1134"/>
          <w:tab w:val="left" w:pos="1589"/>
          <w:tab w:val="left" w:pos="5521"/>
        </w:tabs>
        <w:snapToGrid w:val="0"/>
        <w:spacing w:after="0" w:line="360" w:lineRule="auto"/>
        <w:ind w:firstLine="480" w:firstLineChars="200"/>
        <w:rPr>
          <w:rFonts w:hint="eastAsia" w:ascii="宋体" w:hAnsi="宋体" w:eastAsia="宋体" w:cs="宋体"/>
          <w:color w:val="auto"/>
          <w:sz w:val="24"/>
          <w:highlight w:val="none"/>
          <w:u w:val="single"/>
        </w:rPr>
      </w:pPr>
    </w:p>
    <w:bookmarkEnd w:id="13"/>
    <w:bookmarkEnd w:id="14"/>
    <w:p w14:paraId="01ADEFD7">
      <w:pPr>
        <w:pStyle w:val="4"/>
        <w:widowControl/>
        <w:spacing w:before="0" w:after="0" w:line="360" w:lineRule="auto"/>
        <w:jc w:val="left"/>
        <w:rPr>
          <w:rFonts w:hint="eastAsia" w:ascii="宋体" w:hAnsi="宋体" w:eastAsia="宋体" w:cs="宋体"/>
          <w:color w:val="auto"/>
          <w:sz w:val="24"/>
          <w:szCs w:val="24"/>
          <w:highlight w:val="none"/>
        </w:rPr>
      </w:pPr>
      <w:bookmarkStart w:id="15" w:name="_Toc35393792"/>
      <w:bookmarkStart w:id="16" w:name="_Toc35393623"/>
      <w:r>
        <w:rPr>
          <w:rFonts w:hint="eastAsia" w:ascii="宋体" w:hAnsi="宋体" w:eastAsia="宋体" w:cs="宋体"/>
          <w:color w:val="auto"/>
          <w:sz w:val="24"/>
          <w:szCs w:val="24"/>
          <w:highlight w:val="none"/>
        </w:rPr>
        <w:t>三、获取采购文件</w:t>
      </w:r>
      <w:bookmarkEnd w:id="15"/>
      <w:bookmarkEnd w:id="16"/>
    </w:p>
    <w:p w14:paraId="15307925">
      <w:pPr>
        <w:adjustRightInd w:val="0"/>
        <w:snapToGrid w:val="0"/>
        <w:spacing w:after="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u w:val="single"/>
          <w:lang w:eastAsia="zh-CN"/>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u w:val="single"/>
          <w:lang w:eastAsia="zh-CN"/>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lang w:bidi="ar"/>
        </w:rPr>
        <w:t>日，每天上午</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rPr>
        <w:t>1</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rPr>
        <w:t>1</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rPr>
        <w:t>17：00</w:t>
      </w:r>
      <w:r>
        <w:rPr>
          <w:rFonts w:hint="eastAsia" w:ascii="宋体" w:hAnsi="宋体" w:eastAsia="宋体" w:cs="宋体"/>
          <w:color w:val="auto"/>
          <w:sz w:val="24"/>
          <w:highlight w:val="none"/>
          <w:lang w:bidi="ar"/>
        </w:rPr>
        <w:t>（北京时间，法定节假日除外）。</w:t>
      </w:r>
    </w:p>
    <w:p w14:paraId="101B2D33">
      <w:pPr>
        <w:adjustRightInd w:val="0"/>
        <w:snapToGrid w:val="0"/>
        <w:spacing w:line="360" w:lineRule="auto"/>
        <w:ind w:firstLine="480" w:firstLineChars="200"/>
        <w:rPr>
          <w:rFonts w:ascii="宋体" w:hAnsi="宋体" w:cs="宋体"/>
          <w:color w:val="auto"/>
          <w:sz w:val="24"/>
          <w:highlight w:val="none"/>
        </w:rPr>
      </w:pPr>
      <w:bookmarkStart w:id="17" w:name="_Toc35393793"/>
      <w:bookmarkStart w:id="18" w:name="_Toc28359005"/>
      <w:bookmarkStart w:id="19" w:name="_Toc35393624"/>
      <w:bookmarkStart w:id="20" w:name="_Toc28359082"/>
      <w:r>
        <w:rPr>
          <w:rFonts w:hint="eastAsia" w:ascii="宋体" w:hAnsi="宋体" w:cs="宋体"/>
          <w:color w:val="auto"/>
          <w:sz w:val="24"/>
          <w:highlight w:val="none"/>
        </w:rPr>
        <w:t>2.地点：</w:t>
      </w:r>
      <w:r>
        <w:rPr>
          <w:rFonts w:ascii="宋体" w:hAnsi="宋体" w:cs="宋体"/>
          <w:color w:val="auto"/>
          <w:sz w:val="24"/>
          <w:highlight w:val="none"/>
        </w:rPr>
        <w:t>北京市政府采购电子交易平台</w:t>
      </w:r>
    </w:p>
    <w:p w14:paraId="412B069A">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3.方式：</w:t>
      </w:r>
      <w:r>
        <w:rPr>
          <w:rFonts w:hint="eastAsia" w:ascii="宋体" w:hAnsi="宋体" w:cs="宋体"/>
          <w:color w:val="auto"/>
          <w:sz w:val="24"/>
          <w:highlight w:val="none"/>
          <w:lang w:eastAsia="zh-CN"/>
        </w:rPr>
        <w:t>供应商</w:t>
      </w:r>
      <w:r>
        <w:rPr>
          <w:rFonts w:ascii="宋体" w:hAnsi="宋体" w:cs="宋体"/>
          <w:color w:val="auto"/>
          <w:sz w:val="24"/>
          <w:highlight w:val="none"/>
        </w:rPr>
        <w:t>持 CA 数字认证证书登录北京市政府采购电子交易平台 （http://zbcg-bjzc.zhongcy.com/bjczj-portal-site/index.html#/home）获取电子版</w:t>
      </w:r>
      <w:r>
        <w:rPr>
          <w:rFonts w:hint="eastAsia" w:ascii="宋体" w:hAnsi="宋体" w:cs="宋体"/>
          <w:color w:val="auto"/>
          <w:sz w:val="24"/>
          <w:highlight w:val="none"/>
          <w:lang w:eastAsia="zh-CN"/>
        </w:rPr>
        <w:t>竞争性磋商文件</w:t>
      </w:r>
      <w:r>
        <w:rPr>
          <w:rFonts w:ascii="宋体" w:hAnsi="宋体" w:cs="宋体"/>
          <w:color w:val="auto"/>
          <w:sz w:val="24"/>
          <w:highlight w:val="none"/>
        </w:rPr>
        <w:t>。</w:t>
      </w:r>
    </w:p>
    <w:p w14:paraId="02DC3E1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4.售价：0</w:t>
      </w:r>
      <w:r>
        <w:rPr>
          <w:rFonts w:hint="eastAsia" w:ascii="宋体" w:hAnsi="宋体" w:cs="宋体"/>
          <w:color w:val="auto"/>
          <w:sz w:val="24"/>
          <w:highlight w:val="none"/>
          <w:lang w:val="zh-CN"/>
        </w:rPr>
        <w:t>元</w:t>
      </w:r>
      <w:r>
        <w:rPr>
          <w:rFonts w:hint="eastAsia" w:ascii="宋体" w:hAnsi="宋体" w:cs="宋体"/>
          <w:color w:val="auto"/>
          <w:sz w:val="24"/>
          <w:highlight w:val="none"/>
        </w:rPr>
        <w:t>。</w:t>
      </w:r>
    </w:p>
    <w:p w14:paraId="7F577C9C">
      <w:pPr>
        <w:pStyle w:val="4"/>
        <w:widowControl/>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bookmarkEnd w:id="17"/>
      <w:bookmarkEnd w:id="18"/>
      <w:bookmarkEnd w:id="19"/>
      <w:bookmarkEnd w:id="20"/>
      <w:r>
        <w:rPr>
          <w:rFonts w:hint="eastAsia" w:ascii="宋体" w:hAnsi="宋体" w:eastAsia="宋体" w:cs="宋体"/>
          <w:color w:val="auto"/>
          <w:sz w:val="24"/>
          <w:szCs w:val="24"/>
          <w:highlight w:val="none"/>
        </w:rPr>
        <w:t>响应文件提交</w:t>
      </w:r>
    </w:p>
    <w:p w14:paraId="775C8838">
      <w:pPr>
        <w:spacing w:after="0"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bookmarkStart w:id="21" w:name="OLE_LINK3"/>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lang w:bidi="ar"/>
        </w:rPr>
        <w:t>日</w:t>
      </w:r>
      <w:bookmarkEnd w:id="21"/>
      <w:r>
        <w:rPr>
          <w:rFonts w:hint="eastAsia" w:ascii="宋体" w:hAnsi="宋体" w:cs="宋体"/>
          <w:color w:val="auto"/>
          <w:sz w:val="24"/>
          <w:highlight w:val="none"/>
          <w:u w:val="single"/>
          <w:lang w:val="en-US" w:eastAsia="zh-CN" w:bidi="ar"/>
        </w:rPr>
        <w:t>09</w:t>
      </w:r>
      <w:r>
        <w:rPr>
          <w:rFonts w:hint="eastAsia" w:ascii="宋体" w:hAnsi="宋体" w:eastAsia="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21CC8E74">
      <w:pPr>
        <w:spacing w:after="0" w:line="360" w:lineRule="auto"/>
        <w:ind w:firstLine="480" w:firstLineChars="200"/>
        <w:rPr>
          <w:rFonts w:hint="eastAsia" w:ascii="宋体" w:hAnsi="宋体" w:eastAsia="宋体" w:cs="宋体"/>
          <w:color w:val="auto"/>
          <w:sz w:val="24"/>
          <w:highlight w:val="none"/>
          <w:lang w:val="zh-TW" w:eastAsia="zh-CN" w:bidi="ar"/>
        </w:rPr>
      </w:pPr>
      <w:r>
        <w:rPr>
          <w:rFonts w:hint="eastAsia" w:ascii="宋体" w:hAnsi="宋体" w:eastAsia="宋体" w:cs="宋体"/>
          <w:color w:val="auto"/>
          <w:sz w:val="24"/>
          <w:highlight w:val="none"/>
          <w:lang w:bidi="ar"/>
        </w:rPr>
        <w:t>地点：北京市西城区新街口外大街8号金丰和商务苑C座518第三会议室</w:t>
      </w:r>
      <w:r>
        <w:rPr>
          <w:rFonts w:hint="eastAsia" w:ascii="宋体" w:hAnsi="宋体" w:cs="宋体"/>
          <w:color w:val="auto"/>
          <w:sz w:val="24"/>
          <w:highlight w:val="none"/>
          <w:lang w:eastAsia="zh-CN" w:bidi="ar"/>
        </w:rPr>
        <w:t>。</w:t>
      </w:r>
    </w:p>
    <w:p w14:paraId="4BFAC042">
      <w:pPr>
        <w:pStyle w:val="4"/>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65514EA9">
      <w:pPr>
        <w:spacing w:after="0"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lang w:bidi="ar"/>
        </w:rPr>
        <w:t>日</w:t>
      </w:r>
      <w:r>
        <w:rPr>
          <w:rFonts w:hint="eastAsia" w:ascii="宋体" w:hAnsi="宋体" w:cs="宋体"/>
          <w:color w:val="auto"/>
          <w:sz w:val="24"/>
          <w:highlight w:val="none"/>
          <w:u w:val="single"/>
          <w:lang w:val="en-US" w:eastAsia="zh-CN" w:bidi="ar"/>
        </w:rPr>
        <w:t>09</w:t>
      </w:r>
      <w:r>
        <w:rPr>
          <w:rFonts w:hint="eastAsia" w:ascii="宋体" w:hAnsi="宋体" w:eastAsia="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11953CDA">
      <w:pPr>
        <w:spacing w:after="0" w:line="360" w:lineRule="auto"/>
        <w:ind w:firstLine="480" w:firstLineChars="200"/>
        <w:rPr>
          <w:rFonts w:hint="eastAsia" w:ascii="宋体" w:hAnsi="宋体" w:eastAsia="宋体" w:cs="宋体"/>
          <w:color w:val="auto"/>
          <w:sz w:val="24"/>
          <w:highlight w:val="none"/>
          <w:lang w:val="zh-TW" w:eastAsia="zh-CN" w:bidi="ar"/>
        </w:rPr>
      </w:pPr>
      <w:r>
        <w:rPr>
          <w:rFonts w:hint="eastAsia" w:ascii="宋体" w:hAnsi="宋体" w:eastAsia="宋体" w:cs="宋体"/>
          <w:color w:val="auto"/>
          <w:sz w:val="24"/>
          <w:highlight w:val="none"/>
          <w:lang w:bidi="ar"/>
        </w:rPr>
        <w:t>地点：北京市西城区新街口外大街8号金丰和商务苑C座518第三会议室</w:t>
      </w:r>
    </w:p>
    <w:p w14:paraId="3FD3E602">
      <w:pPr>
        <w:pStyle w:val="4"/>
        <w:spacing w:before="0" w:after="0" w:line="360" w:lineRule="auto"/>
        <w:jc w:val="left"/>
        <w:rPr>
          <w:rFonts w:hint="eastAsia" w:ascii="宋体" w:hAnsi="宋体" w:eastAsia="宋体" w:cs="宋体"/>
          <w:color w:val="auto"/>
          <w:sz w:val="24"/>
          <w:szCs w:val="24"/>
          <w:highlight w:val="none"/>
        </w:rPr>
      </w:pPr>
      <w:bookmarkStart w:id="22" w:name="_Toc28359084"/>
      <w:bookmarkStart w:id="23" w:name="_Toc35393794"/>
      <w:bookmarkStart w:id="24" w:name="_Toc35393625"/>
      <w:bookmarkStart w:id="25" w:name="_Toc28359007"/>
      <w:r>
        <w:rPr>
          <w:rFonts w:hint="eastAsia" w:ascii="宋体" w:hAnsi="宋体" w:eastAsia="宋体" w:cs="宋体"/>
          <w:color w:val="auto"/>
          <w:sz w:val="24"/>
          <w:szCs w:val="24"/>
          <w:highlight w:val="none"/>
        </w:rPr>
        <w:t>六、公告期限</w:t>
      </w:r>
      <w:bookmarkEnd w:id="22"/>
      <w:bookmarkEnd w:id="23"/>
      <w:bookmarkEnd w:id="24"/>
      <w:bookmarkEnd w:id="25"/>
    </w:p>
    <w:p w14:paraId="41097740">
      <w:pPr>
        <w:spacing w:after="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个工作日。</w:t>
      </w:r>
    </w:p>
    <w:p w14:paraId="33C1364D">
      <w:pPr>
        <w:pStyle w:val="4"/>
        <w:spacing w:before="0" w:after="0" w:line="360" w:lineRule="auto"/>
        <w:jc w:val="left"/>
        <w:rPr>
          <w:rFonts w:hint="eastAsia" w:ascii="宋体" w:hAnsi="宋体" w:eastAsia="宋体" w:cs="宋体"/>
          <w:color w:val="auto"/>
          <w:sz w:val="24"/>
          <w:szCs w:val="24"/>
          <w:highlight w:val="none"/>
        </w:rPr>
      </w:pPr>
      <w:bookmarkStart w:id="26" w:name="_Toc35393795"/>
      <w:bookmarkStart w:id="27" w:name="_Toc35393626"/>
      <w:r>
        <w:rPr>
          <w:rFonts w:hint="eastAsia" w:ascii="宋体" w:hAnsi="宋体" w:eastAsia="宋体" w:cs="宋体"/>
          <w:color w:val="auto"/>
          <w:sz w:val="24"/>
          <w:szCs w:val="24"/>
          <w:highlight w:val="none"/>
        </w:rPr>
        <w:t>七、其他补充事宜</w:t>
      </w:r>
      <w:bookmarkEnd w:id="26"/>
      <w:bookmarkEnd w:id="27"/>
    </w:p>
    <w:p w14:paraId="444E0319">
      <w:pPr>
        <w:adjustRightInd w:val="0"/>
        <w:snapToGrid w:val="0"/>
        <w:spacing w:after="0" w:line="360" w:lineRule="auto"/>
        <w:ind w:firstLine="480" w:firstLineChars="200"/>
        <w:rPr>
          <w:rFonts w:hint="eastAsia" w:ascii="宋体" w:hAnsi="宋体" w:eastAsia="宋体" w:cs="宋体"/>
          <w:color w:val="auto"/>
          <w:sz w:val="24"/>
          <w:highlight w:val="none"/>
          <w:lang w:val="en-US" w:eastAsia="zh-CN" w:bidi="ar"/>
        </w:rPr>
      </w:pPr>
      <w:bookmarkStart w:id="28" w:name="_Toc35393796"/>
      <w:bookmarkStart w:id="29" w:name="_Toc28359085"/>
      <w:bookmarkStart w:id="30" w:name="_Toc28359008"/>
      <w:bookmarkStart w:id="31" w:name="_Toc35393627"/>
      <w:r>
        <w:rPr>
          <w:rFonts w:hint="eastAsia" w:ascii="宋体" w:hAnsi="宋体" w:eastAsia="宋体" w:cs="宋体"/>
          <w:color w:val="auto"/>
          <w:sz w:val="24"/>
          <w:highlight w:val="none"/>
          <w:lang w:val="en-US" w:eastAsia="zh-CN" w:bidi="ar"/>
        </w:rPr>
        <w:t>1.本项目需要落实的政府采购政策：</w:t>
      </w:r>
    </w:p>
    <w:p w14:paraId="4B7270D6">
      <w:pPr>
        <w:adjustRightInd w:val="0"/>
        <w:snapToGrid w:val="0"/>
        <w:spacing w:after="0"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《政府采购促进中小企业发展管理办法》(财库〔2020〕46号)、《关于开展政府采购信用担保试点工作的通知》(财库〔2011〕124 号)、《财政部关于在政府采购活动中查询及使用信用记录有关问题的通知》(财库〔2016〕125号)、《财政部、司法部关于政府采购支持监狱企业发展有关问题的通知》(财库〔2014〕68号)、《三部门联合发布关于促进残疾人就业政府采购政策的通知》(财库〔2017〕141号)、《财政部关于进一步加大政府采购支持中小企业力度的通知》(财库〔2022〕19号)、《北京市财政局关于落实好政府采购支持中小企业发展的通知》(京财采购〔2022〕1143号)、《北京市财政局关于持续深化政府采购营商环境改革的通知》(京财采购〔2022〕672 号)。</w:t>
      </w:r>
    </w:p>
    <w:p w14:paraId="529C119A">
      <w:pPr>
        <w:pStyle w:val="17"/>
        <w:spacing w:before="0" w:line="360" w:lineRule="auto"/>
        <w:ind w:firstLine="480" w:firstLineChars="200"/>
        <w:rPr>
          <w:color w:val="auto"/>
          <w:highlight w:val="none"/>
        </w:rPr>
      </w:pPr>
      <w:r>
        <w:rPr>
          <w:rFonts w:hint="eastAsia" w:cs="宋体"/>
          <w:color w:val="auto"/>
          <w:highlight w:val="none"/>
        </w:rPr>
        <w:t>2.本项目采取电子化与线下流程结合的招标方式（线上获取</w:t>
      </w:r>
      <w:r>
        <w:rPr>
          <w:rFonts w:hint="eastAsia" w:cs="宋体"/>
          <w:color w:val="auto"/>
          <w:highlight w:val="none"/>
          <w:lang w:eastAsia="zh-CN"/>
        </w:rPr>
        <w:t>竞争性磋商文件</w:t>
      </w:r>
      <w:r>
        <w:rPr>
          <w:rFonts w:hint="eastAsia" w:cs="宋体"/>
          <w:color w:val="auto"/>
          <w:highlight w:val="none"/>
        </w:rPr>
        <w:t>线下纸</w:t>
      </w:r>
      <w:r>
        <w:rPr>
          <w:rFonts w:hint="eastAsia"/>
          <w:color w:val="auto"/>
          <w:highlight w:val="none"/>
        </w:rPr>
        <w:t>质投标），请各个供应商务必在该平台上获取电子</w:t>
      </w:r>
      <w:r>
        <w:rPr>
          <w:rFonts w:hint="eastAsia"/>
          <w:color w:val="auto"/>
          <w:highlight w:val="none"/>
          <w:lang w:eastAsia="zh-CN"/>
        </w:rPr>
        <w:t>竞争性磋商文件</w:t>
      </w:r>
      <w:r>
        <w:rPr>
          <w:rFonts w:hint="eastAsia"/>
          <w:color w:val="auto"/>
          <w:highlight w:val="none"/>
        </w:rPr>
        <w:t>，否则线下开标结束后无法确定中标人，其后果由</w:t>
      </w:r>
      <w:r>
        <w:rPr>
          <w:rFonts w:hint="eastAsia"/>
          <w:color w:val="auto"/>
          <w:highlight w:val="none"/>
          <w:lang w:eastAsia="zh-CN"/>
        </w:rPr>
        <w:t>供应商</w:t>
      </w:r>
      <w:r>
        <w:rPr>
          <w:rFonts w:hint="eastAsia"/>
          <w:color w:val="auto"/>
          <w:highlight w:val="none"/>
        </w:rPr>
        <w:t>自行承担。请供应商认真学习北京市政府采购电子交易平台发布的相关操作手册（供应商可在交易平台下载相关手册），办理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CA数字证书或电子营业执照情况确认是否符合本项目采购流程要求。</w:t>
      </w:r>
    </w:p>
    <w:p w14:paraId="243F39E1">
      <w:pPr>
        <w:pStyle w:val="17"/>
        <w:spacing w:before="0" w:line="360" w:lineRule="auto"/>
        <w:ind w:firstLine="480" w:firstLineChars="200"/>
        <w:rPr>
          <w:color w:val="auto"/>
          <w:highlight w:val="none"/>
        </w:rPr>
      </w:pPr>
      <w:r>
        <w:rPr>
          <w:rFonts w:hint="eastAsia"/>
          <w:color w:val="auto"/>
          <w:highlight w:val="none"/>
        </w:rPr>
        <w:t>CA 数字证书服务热线 010-58511086</w:t>
      </w:r>
    </w:p>
    <w:p w14:paraId="5CE7AE7A">
      <w:pPr>
        <w:pStyle w:val="17"/>
        <w:spacing w:before="0" w:line="360" w:lineRule="auto"/>
        <w:ind w:firstLine="480" w:firstLineChars="200"/>
        <w:rPr>
          <w:color w:val="auto"/>
          <w:highlight w:val="none"/>
        </w:rPr>
      </w:pPr>
      <w:r>
        <w:rPr>
          <w:rFonts w:hint="eastAsia"/>
          <w:color w:val="auto"/>
          <w:highlight w:val="none"/>
        </w:rPr>
        <w:t>电子营业执照服务热线 400-699-7000</w:t>
      </w:r>
    </w:p>
    <w:p w14:paraId="0D10C5FA">
      <w:pPr>
        <w:pStyle w:val="17"/>
        <w:spacing w:before="0" w:line="360" w:lineRule="auto"/>
        <w:ind w:firstLine="480" w:firstLineChars="200"/>
        <w:rPr>
          <w:color w:val="auto"/>
          <w:highlight w:val="none"/>
        </w:rPr>
      </w:pPr>
      <w:r>
        <w:rPr>
          <w:rFonts w:hint="eastAsia"/>
          <w:color w:val="auto"/>
          <w:highlight w:val="none"/>
        </w:rPr>
        <w:t>技术支持服务热线010-86483801</w:t>
      </w:r>
    </w:p>
    <w:p w14:paraId="7115422F">
      <w:pPr>
        <w:pStyle w:val="17"/>
        <w:spacing w:before="0" w:line="360" w:lineRule="auto"/>
        <w:ind w:firstLine="480" w:firstLineChars="200"/>
        <w:rPr>
          <w:color w:val="auto"/>
          <w:highlight w:val="none"/>
        </w:rPr>
      </w:pPr>
      <w:r>
        <w:rPr>
          <w:rFonts w:hint="eastAsia"/>
          <w:color w:val="auto"/>
          <w:highlight w:val="none"/>
        </w:rPr>
        <w:t>2.1 办理 CA 数字证书或电子营业执照</w:t>
      </w:r>
    </w:p>
    <w:p w14:paraId="3F222A79">
      <w:pPr>
        <w:pStyle w:val="17"/>
        <w:spacing w:before="0" w:line="360" w:lineRule="auto"/>
        <w:ind w:firstLine="480" w:firstLineChars="200"/>
        <w:rPr>
          <w:color w:val="auto"/>
          <w:highlight w:val="none"/>
        </w:rPr>
      </w:pPr>
      <w:r>
        <w:rPr>
          <w:rFonts w:hint="eastAsia"/>
          <w:color w:val="auto"/>
          <w:highlight w:val="none"/>
        </w:rPr>
        <w:t>供应商登录北京市政府采购电子交易平台查阅“用户指南”—“操作指南”—“市场主体 CA办理操作流程指引”/“电子营业执照使用指南”，按照程序要求办理。</w:t>
      </w:r>
    </w:p>
    <w:p w14:paraId="5FEC3B79">
      <w:pPr>
        <w:pStyle w:val="17"/>
        <w:spacing w:before="0" w:line="360" w:lineRule="auto"/>
        <w:ind w:firstLine="480" w:firstLineChars="200"/>
        <w:rPr>
          <w:color w:val="auto"/>
          <w:highlight w:val="none"/>
        </w:rPr>
      </w:pPr>
      <w:r>
        <w:rPr>
          <w:rFonts w:hint="eastAsia"/>
          <w:color w:val="auto"/>
          <w:highlight w:val="none"/>
        </w:rPr>
        <w:t>2.2 注册</w:t>
      </w:r>
    </w:p>
    <w:p w14:paraId="098DCAAD">
      <w:pPr>
        <w:pStyle w:val="17"/>
        <w:spacing w:before="0" w:line="360" w:lineRule="auto"/>
        <w:ind w:firstLine="480" w:firstLineChars="200"/>
        <w:rPr>
          <w:color w:val="auto"/>
          <w:highlight w:val="none"/>
        </w:rPr>
      </w:pPr>
      <w:r>
        <w:rPr>
          <w:rFonts w:hint="eastAsia"/>
          <w:color w:val="auto"/>
          <w:highlight w:val="none"/>
        </w:rPr>
        <w:t>供应商登录北京市政府采购电子交易平台“用户指南”—“操作指南”—“市场主体注册入库操作流程指引”进行自助注册绑定。</w:t>
      </w:r>
    </w:p>
    <w:p w14:paraId="5B5729C5">
      <w:pPr>
        <w:pStyle w:val="17"/>
        <w:spacing w:before="0" w:line="360" w:lineRule="auto"/>
        <w:ind w:firstLine="480" w:firstLineChars="200"/>
        <w:rPr>
          <w:color w:val="auto"/>
          <w:highlight w:val="none"/>
        </w:rPr>
      </w:pPr>
      <w:r>
        <w:rPr>
          <w:rFonts w:hint="eastAsia"/>
          <w:color w:val="auto"/>
          <w:highlight w:val="none"/>
        </w:rPr>
        <w:t>2.3 驱动、客户端下载</w:t>
      </w:r>
    </w:p>
    <w:p w14:paraId="0FCCEF42">
      <w:pPr>
        <w:pStyle w:val="17"/>
        <w:spacing w:before="0" w:line="360" w:lineRule="auto"/>
        <w:ind w:firstLine="480" w:firstLineChars="200"/>
        <w:rPr>
          <w:color w:val="auto"/>
          <w:highlight w:val="none"/>
        </w:rPr>
      </w:pPr>
      <w:r>
        <w:rPr>
          <w:rFonts w:hint="eastAsia"/>
          <w:color w:val="auto"/>
          <w:highlight w:val="none"/>
        </w:rPr>
        <w:t>供应商登录北京市政府采购电子交易平台“用户指南”—“工具下载”—“招标采购系统文件驱动安装包”下载相关驱动。供应商登录北京市政府采购电子交易平台“用户指南”—“工具下载”—“</w:t>
      </w:r>
      <w:r>
        <w:rPr>
          <w:rFonts w:hint="eastAsia"/>
          <w:color w:val="auto"/>
          <w:highlight w:val="none"/>
          <w:lang w:eastAsia="zh-CN"/>
        </w:rPr>
        <w:t>响应文件</w:t>
      </w:r>
      <w:r>
        <w:rPr>
          <w:rFonts w:hint="eastAsia"/>
          <w:color w:val="auto"/>
          <w:highlight w:val="none"/>
        </w:rPr>
        <w:t>编制工具”下载相关客户端。</w:t>
      </w:r>
    </w:p>
    <w:p w14:paraId="2039F8B6">
      <w:pPr>
        <w:pStyle w:val="17"/>
        <w:spacing w:before="0" w:line="360" w:lineRule="auto"/>
        <w:ind w:firstLine="480" w:firstLineChars="200"/>
        <w:rPr>
          <w:rFonts w:hint="eastAsia" w:eastAsia="宋体"/>
          <w:color w:val="auto"/>
          <w:highlight w:val="none"/>
          <w:lang w:eastAsia="zh-CN"/>
        </w:rPr>
      </w:pPr>
      <w:r>
        <w:rPr>
          <w:rFonts w:hint="eastAsia"/>
          <w:color w:val="auto"/>
          <w:highlight w:val="none"/>
        </w:rPr>
        <w:t>2.4 获取电子</w:t>
      </w:r>
      <w:r>
        <w:rPr>
          <w:rFonts w:hint="eastAsia"/>
          <w:color w:val="auto"/>
          <w:highlight w:val="none"/>
          <w:lang w:eastAsia="zh-CN"/>
        </w:rPr>
        <w:t>竞争性磋商文件</w:t>
      </w:r>
    </w:p>
    <w:p w14:paraId="14BD652A">
      <w:pPr>
        <w:pStyle w:val="17"/>
        <w:spacing w:before="0" w:line="360" w:lineRule="auto"/>
        <w:ind w:firstLine="480" w:firstLineChars="200"/>
        <w:rPr>
          <w:color w:val="auto"/>
          <w:highlight w:val="none"/>
        </w:rPr>
      </w:pPr>
      <w:r>
        <w:rPr>
          <w:rFonts w:hint="eastAsia"/>
          <w:color w:val="auto"/>
          <w:highlight w:val="none"/>
        </w:rPr>
        <w:t>供应商使用 CA数字证书或电子营业执照登录北京市政府采购电子交易平台获取电子</w:t>
      </w:r>
      <w:r>
        <w:rPr>
          <w:rFonts w:hint="eastAsia"/>
          <w:color w:val="auto"/>
          <w:highlight w:val="none"/>
          <w:lang w:eastAsia="zh-CN"/>
        </w:rPr>
        <w:t>竞争性磋商文件</w:t>
      </w:r>
      <w:r>
        <w:rPr>
          <w:rFonts w:hint="eastAsia"/>
          <w:color w:val="auto"/>
          <w:highlight w:val="none"/>
        </w:rPr>
        <w:t>。</w:t>
      </w:r>
    </w:p>
    <w:p w14:paraId="471A48AB">
      <w:pPr>
        <w:pStyle w:val="17"/>
        <w:spacing w:before="0" w:line="360" w:lineRule="auto"/>
        <w:ind w:firstLine="480" w:firstLineChars="200"/>
        <w:rPr>
          <w:color w:val="auto"/>
          <w:highlight w:val="none"/>
        </w:rPr>
      </w:pPr>
      <w:r>
        <w:rPr>
          <w:rFonts w:hint="eastAsia"/>
          <w:color w:val="auto"/>
          <w:highlight w:val="none"/>
        </w:rPr>
        <w:t>供应商如计划参与多个采购包的投标，应在登录北京市政府采购电子交易平台后，在【我的项目】栏目依次选择对应采购包，进入项目工作台招标/采购文件环节分别按采购包下载</w:t>
      </w:r>
      <w:r>
        <w:rPr>
          <w:rFonts w:hint="eastAsia"/>
          <w:color w:val="auto"/>
          <w:highlight w:val="none"/>
          <w:lang w:eastAsia="zh-CN"/>
        </w:rPr>
        <w:t>竞争性磋商文件</w:t>
      </w:r>
      <w:r>
        <w:rPr>
          <w:rFonts w:hint="eastAsia"/>
          <w:color w:val="auto"/>
          <w:highlight w:val="none"/>
        </w:rPr>
        <w:t>电子版。</w:t>
      </w:r>
    </w:p>
    <w:p w14:paraId="33139B66">
      <w:pPr>
        <w:pStyle w:val="17"/>
        <w:spacing w:before="0" w:line="360" w:lineRule="auto"/>
        <w:ind w:firstLine="480" w:firstLineChars="200"/>
        <w:rPr>
          <w:color w:val="auto"/>
          <w:highlight w:val="none"/>
        </w:rPr>
      </w:pPr>
      <w:r>
        <w:rPr>
          <w:rFonts w:hint="eastAsia"/>
          <w:color w:val="auto"/>
          <w:highlight w:val="none"/>
        </w:rPr>
        <w:t>3.本项目的</w:t>
      </w:r>
      <w:r>
        <w:rPr>
          <w:rFonts w:hint="eastAsia"/>
          <w:color w:val="auto"/>
          <w:highlight w:val="none"/>
          <w:lang w:val="en-US" w:eastAsia="zh-CN"/>
        </w:rPr>
        <w:t>竞争性磋商</w:t>
      </w:r>
      <w:r>
        <w:rPr>
          <w:rFonts w:hint="eastAsia"/>
          <w:color w:val="auto"/>
          <w:highlight w:val="none"/>
        </w:rPr>
        <w:t>公告在中国政府采购网(www.ccgp.gov.cn)、北京市政府采购网(www.ccgp-beijing.gov.cn)上发布。未经采购人授权的任何转载，采购人不对其承担任何法律责任。</w:t>
      </w:r>
    </w:p>
    <w:p w14:paraId="662D23FF">
      <w:pPr>
        <w:pStyle w:val="4"/>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八、对本项目提出询问，请按以下方式联系。</w:t>
      </w:r>
      <w:bookmarkEnd w:id="28"/>
      <w:bookmarkEnd w:id="29"/>
      <w:bookmarkEnd w:id="30"/>
      <w:bookmarkEnd w:id="31"/>
    </w:p>
    <w:p w14:paraId="64BF6E0A">
      <w:pPr>
        <w:widowControl/>
        <w:spacing w:after="0"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14:paraId="49870FA4">
      <w:pPr>
        <w:spacing w:after="0" w:line="360" w:lineRule="auto"/>
        <w:ind w:left="1076" w:leftChars="371" w:hanging="297" w:hangingChars="124"/>
        <w:jc w:val="left"/>
        <w:rPr>
          <w:rFonts w:hint="eastAsia" w:ascii="宋体" w:hAnsi="宋体" w:eastAsia="宋体" w:cs="宋体"/>
          <w:color w:val="auto"/>
          <w:sz w:val="24"/>
          <w:highlight w:val="none"/>
          <w:u w:val="single"/>
          <w:lang w:eastAsia="zh-CN"/>
        </w:rPr>
      </w:pPr>
      <w:bookmarkStart w:id="32" w:name="_Toc28359086"/>
      <w:bookmarkStart w:id="33" w:name="_Toc28359009"/>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中共北京市卫生健康委员会党校</w:t>
      </w:r>
    </w:p>
    <w:p w14:paraId="02AF6D07">
      <w:pPr>
        <w:spacing w:after="0" w:line="360" w:lineRule="auto"/>
        <w:ind w:left="1076" w:leftChars="371" w:hanging="297" w:hangingChars="124"/>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eastAsia="zh-CN"/>
        </w:rPr>
        <w:t>北京市海淀区温泉路15号</w:t>
      </w:r>
    </w:p>
    <w:p w14:paraId="44A194C2">
      <w:pPr>
        <w:spacing w:after="0" w:line="360" w:lineRule="auto"/>
        <w:ind w:left="1076" w:leftChars="371" w:hanging="297" w:hangingChars="124"/>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val="en-US" w:eastAsia="zh-CN"/>
        </w:rPr>
        <w:t>范老师</w:t>
      </w:r>
    </w:p>
    <w:p w14:paraId="5AEB910E">
      <w:pPr>
        <w:spacing w:after="0" w:line="360" w:lineRule="auto"/>
        <w:ind w:left="1078" w:leftChars="371" w:hanging="299" w:hangingChars="124"/>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14:paraId="61DDD95E">
      <w:pPr>
        <w:spacing w:after="0" w:line="360" w:lineRule="auto"/>
        <w:ind w:left="1076" w:leftChars="371" w:hanging="297" w:hangingChars="124"/>
        <w:jc w:val="left"/>
        <w:rPr>
          <w:rFonts w:hint="eastAsia" w:ascii="宋体" w:hAnsi="宋体" w:eastAsia="宋体" w:cs="宋体"/>
          <w:color w:val="auto"/>
          <w:sz w:val="24"/>
          <w:highlight w:val="none"/>
          <w:lang w:eastAsia="zh-CN"/>
        </w:rPr>
      </w:pPr>
      <w:bookmarkStart w:id="34" w:name="_Toc28359010"/>
      <w:bookmarkStart w:id="35" w:name="_Toc28359087"/>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北京华审金建国际工程项目管理有限公司</w:t>
      </w:r>
    </w:p>
    <w:p w14:paraId="467CD5FE">
      <w:pPr>
        <w:spacing w:after="0" w:line="360" w:lineRule="auto"/>
        <w:ind w:left="1076" w:leftChars="371" w:hanging="297" w:hangingChars="124"/>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eastAsia="zh-CN"/>
        </w:rPr>
        <w:t>北京市西城区新街口外大街8号金丰和C座518室</w:t>
      </w:r>
    </w:p>
    <w:p w14:paraId="12CB09C0">
      <w:pPr>
        <w:spacing w:after="0" w:line="360" w:lineRule="auto"/>
        <w:ind w:left="1076" w:leftChars="371" w:hanging="297" w:hangingChars="12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val="en-US" w:eastAsia="zh-CN"/>
        </w:rPr>
        <w:t>张工、马工， 15243037816</w:t>
      </w:r>
    </w:p>
    <w:p w14:paraId="1ACA0A79">
      <w:pPr>
        <w:spacing w:after="0" w:line="360" w:lineRule="auto"/>
        <w:ind w:left="1078" w:leftChars="371" w:hanging="299" w:hangingChars="124"/>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4"/>
      <w:bookmarkEnd w:id="35"/>
    </w:p>
    <w:p w14:paraId="6E7D3ACA">
      <w:pPr>
        <w:pStyle w:val="23"/>
        <w:spacing w:after="0" w:line="360" w:lineRule="auto"/>
        <w:ind w:left="1076" w:leftChars="371" w:hanging="297" w:hangingChars="1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szCs w:val="24"/>
          <w:highlight w:val="none"/>
        </w:rPr>
        <w:t>项目联系人：</w:t>
      </w:r>
      <w:r>
        <w:rPr>
          <w:rFonts w:hint="eastAsia" w:hAnsi="宋体" w:cs="宋体"/>
          <w:color w:val="auto"/>
          <w:sz w:val="24"/>
          <w:highlight w:val="none"/>
          <w:u w:val="single"/>
          <w:lang w:val="en-US" w:eastAsia="zh-CN"/>
        </w:rPr>
        <w:t>张工、马工</w:t>
      </w:r>
    </w:p>
    <w:p w14:paraId="60689FDF">
      <w:pPr>
        <w:pStyle w:val="23"/>
        <w:spacing w:after="0" w:line="360" w:lineRule="auto"/>
        <w:ind w:left="1076" w:leftChars="371" w:hanging="297" w:hangingChars="124"/>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电      话：</w:t>
      </w:r>
      <w:r>
        <w:rPr>
          <w:rFonts w:hint="eastAsia" w:hAnsi="宋体" w:cs="宋体"/>
          <w:color w:val="auto"/>
          <w:sz w:val="24"/>
          <w:highlight w:val="none"/>
          <w:u w:val="single"/>
          <w:lang w:val="en-US" w:eastAsia="zh-CN"/>
        </w:rPr>
        <w:t xml:space="preserve"> 15243037816</w:t>
      </w:r>
      <w:r>
        <w:rPr>
          <w:rFonts w:hint="eastAsia" w:ascii="宋体" w:hAnsi="宋体" w:eastAsia="宋体" w:cs="宋体"/>
          <w:color w:val="auto"/>
          <w:sz w:val="24"/>
          <w:highlight w:val="none"/>
        </w:rPr>
        <w:t>　</w:t>
      </w:r>
    </w:p>
    <w:p w14:paraId="239E9312">
      <w:pPr>
        <w:spacing w:after="0" w:line="360" w:lineRule="auto"/>
        <w:jc w:val="center"/>
        <w:outlineLvl w:val="0"/>
        <w:rPr>
          <w:b/>
          <w:color w:val="auto"/>
          <w:sz w:val="32"/>
          <w:szCs w:val="32"/>
          <w:highlight w:val="none"/>
        </w:rPr>
      </w:pPr>
      <w:r>
        <w:rPr>
          <w:color w:val="auto"/>
          <w:sz w:val="24"/>
          <w:highlight w:val="none"/>
        </w:rPr>
        <w:br w:type="page"/>
      </w:r>
      <w:bookmarkStart w:id="36" w:name="_Toc305158854"/>
      <w:bookmarkStart w:id="37" w:name="_Toc264969275"/>
      <w:bookmarkStart w:id="38" w:name="_Toc12319"/>
      <w:bookmarkStart w:id="39" w:name="_Toc127161488"/>
      <w:bookmarkStart w:id="40" w:name="_Toc353873938"/>
      <w:bookmarkStart w:id="41" w:name="_Toc150774783"/>
      <w:bookmarkStart w:id="42" w:name="_Toc305158928"/>
      <w:bookmarkStart w:id="43" w:name="_Toc226965856"/>
      <w:bookmarkStart w:id="44" w:name="_Toc127151777"/>
      <w:bookmarkStart w:id="45" w:name="_Toc512937850"/>
      <w:bookmarkStart w:id="46" w:name="_Toc195842950"/>
      <w:bookmarkStart w:id="47" w:name="_Toc353825548"/>
      <w:bookmarkStart w:id="48" w:name="_Toc265228423"/>
      <w:r>
        <w:rPr>
          <w:b/>
          <w:color w:val="auto"/>
          <w:sz w:val="36"/>
          <w:szCs w:val="36"/>
          <w:highlight w:val="none"/>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501BAB0E">
      <w:pPr>
        <w:pStyle w:val="4"/>
        <w:tabs>
          <w:tab w:val="center" w:pos="4592"/>
          <w:tab w:val="left" w:pos="7860"/>
        </w:tabs>
        <w:spacing w:before="0" w:after="0" w:line="360" w:lineRule="auto"/>
        <w:rPr>
          <w:rFonts w:ascii="Times New Roman" w:hAnsi="Times New Roman" w:eastAsia="宋体"/>
          <w:b w:val="0"/>
          <w:color w:val="auto"/>
          <w:sz w:val="28"/>
          <w:highlight w:val="none"/>
        </w:rPr>
      </w:pPr>
      <w:bookmarkStart w:id="49" w:name="_Toc150774619"/>
      <w:bookmarkStart w:id="50" w:name="_Toc195842884"/>
      <w:bookmarkStart w:id="51" w:name="_Toc164229214"/>
      <w:bookmarkStart w:id="52" w:name="_Toc226309763"/>
      <w:bookmarkStart w:id="53" w:name="_Toc151193833"/>
      <w:bookmarkStart w:id="54" w:name="_Toc151193907"/>
      <w:bookmarkStart w:id="55" w:name="_Toc127151519"/>
      <w:bookmarkStart w:id="56" w:name="_Toc127151720"/>
      <w:bookmarkStart w:id="57" w:name="_Toc149720812"/>
      <w:bookmarkStart w:id="58" w:name="_Toc164608633"/>
      <w:bookmarkStart w:id="59" w:name="_Toc151193617"/>
      <w:bookmarkStart w:id="60" w:name="_Toc164351613"/>
      <w:bookmarkStart w:id="61" w:name="_Toc226965709"/>
      <w:bookmarkStart w:id="62" w:name="_Toc151190146"/>
      <w:bookmarkStart w:id="63" w:name="_Toc142311021"/>
      <w:bookmarkStart w:id="64" w:name="_Toc150774724"/>
      <w:bookmarkStart w:id="65" w:name="_Toc520356144"/>
      <w:bookmarkStart w:id="66" w:name="_Toc151193689"/>
      <w:bookmarkStart w:id="67" w:name="_Toc150480757"/>
      <w:bookmarkStart w:id="68" w:name="_Toc226965792"/>
      <w:bookmarkStart w:id="69" w:name="_Toc150509270"/>
      <w:bookmarkStart w:id="70" w:name="_Toc164229360"/>
      <w:bookmarkStart w:id="71" w:name="_Toc164608788"/>
      <w:bookmarkStart w:id="72" w:name="_Toc151193761"/>
      <w:bookmarkStart w:id="73" w:name="_Toc226337215"/>
      <w:bookmarkStart w:id="74" w:name="_Toc127161433"/>
      <w:r>
        <w:rPr>
          <w:rFonts w:ascii="Times New Roman" w:hAnsi="Times New Roman" w:eastAsia="宋体"/>
          <w:color w:val="auto"/>
          <w:sz w:val="28"/>
          <w:highlight w:val="none"/>
        </w:rPr>
        <w:t>供应商须知资料表</w:t>
      </w:r>
    </w:p>
    <w:p w14:paraId="796AB201">
      <w:pPr>
        <w:spacing w:after="0"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color w:val="auto"/>
          <w:sz w:val="24"/>
          <w:highlight w:val="none"/>
        </w:rPr>
        <w:t>▇</w:t>
      </w:r>
      <w:r>
        <w:rPr>
          <w:color w:val="auto"/>
          <w:sz w:val="24"/>
          <w:highlight w:val="none"/>
        </w:rPr>
        <w:t>”的选项意为适用于本项目，标记“</w:t>
      </w:r>
      <w:r>
        <w:rPr>
          <w:rFonts w:ascii="Wingdings 2" w:hAnsi="Wingdings 2"/>
          <w:color w:val="auto"/>
          <w:highlight w:val="none"/>
        </w:rPr>
        <w:sym w:font="Wingdings 2" w:char="F0A3"/>
      </w:r>
      <w:r>
        <w:rPr>
          <w:color w:val="auto"/>
          <w:sz w:val="24"/>
          <w:highlight w:val="none"/>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96E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4A54DF70">
            <w:pPr>
              <w:spacing w:after="0"/>
              <w:jc w:val="center"/>
              <w:rPr>
                <w:b/>
                <w:bCs/>
                <w:color w:val="auto"/>
                <w:sz w:val="24"/>
                <w:highlight w:val="none"/>
              </w:rPr>
            </w:pPr>
            <w:r>
              <w:rPr>
                <w:b/>
                <w:color w:val="auto"/>
                <w:sz w:val="24"/>
                <w:highlight w:val="none"/>
              </w:rPr>
              <w:t>条款号</w:t>
            </w:r>
          </w:p>
        </w:tc>
        <w:tc>
          <w:tcPr>
            <w:tcW w:w="1701" w:type="dxa"/>
            <w:noWrap w:val="0"/>
            <w:vAlign w:val="center"/>
          </w:tcPr>
          <w:p w14:paraId="32956C12">
            <w:pPr>
              <w:spacing w:after="0"/>
              <w:jc w:val="center"/>
              <w:rPr>
                <w:b/>
                <w:bCs/>
                <w:color w:val="auto"/>
                <w:sz w:val="24"/>
                <w:highlight w:val="none"/>
              </w:rPr>
            </w:pPr>
            <w:r>
              <w:rPr>
                <w:b/>
                <w:bCs/>
                <w:color w:val="auto"/>
                <w:sz w:val="24"/>
                <w:highlight w:val="none"/>
              </w:rPr>
              <w:t>条目</w:t>
            </w:r>
          </w:p>
        </w:tc>
        <w:tc>
          <w:tcPr>
            <w:tcW w:w="7253" w:type="dxa"/>
            <w:noWrap w:val="0"/>
            <w:vAlign w:val="center"/>
          </w:tcPr>
          <w:p w14:paraId="2B35F6CC">
            <w:pPr>
              <w:spacing w:after="0"/>
              <w:jc w:val="center"/>
              <w:rPr>
                <w:b/>
                <w:bCs/>
                <w:color w:val="auto"/>
                <w:sz w:val="24"/>
                <w:highlight w:val="none"/>
              </w:rPr>
            </w:pPr>
            <w:r>
              <w:rPr>
                <w:b/>
                <w:bCs/>
                <w:color w:val="auto"/>
                <w:sz w:val="24"/>
                <w:highlight w:val="none"/>
              </w:rPr>
              <w:t>内容</w:t>
            </w:r>
          </w:p>
        </w:tc>
      </w:tr>
      <w:tr w14:paraId="4E98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B3AAE69">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noWrap w:val="0"/>
            <w:vAlign w:val="center"/>
          </w:tcPr>
          <w:p w14:paraId="50963F71">
            <w:pPr>
              <w:spacing w:after="0"/>
              <w:jc w:val="center"/>
              <w:rPr>
                <w:color w:val="auto"/>
                <w:sz w:val="24"/>
                <w:highlight w:val="none"/>
              </w:rPr>
            </w:pPr>
            <w:r>
              <w:rPr>
                <w:color w:val="auto"/>
                <w:sz w:val="24"/>
                <w:highlight w:val="none"/>
              </w:rPr>
              <w:t>项目属性</w:t>
            </w:r>
          </w:p>
        </w:tc>
        <w:tc>
          <w:tcPr>
            <w:tcW w:w="7253" w:type="dxa"/>
            <w:noWrap w:val="0"/>
            <w:vAlign w:val="center"/>
          </w:tcPr>
          <w:p w14:paraId="7DDB55B6">
            <w:pPr>
              <w:spacing w:after="0"/>
              <w:jc w:val="left"/>
              <w:rPr>
                <w:color w:val="auto"/>
                <w:sz w:val="24"/>
                <w:highlight w:val="none"/>
              </w:rPr>
            </w:pPr>
            <w:r>
              <w:rPr>
                <w:color w:val="auto"/>
                <w:sz w:val="24"/>
                <w:highlight w:val="none"/>
              </w:rPr>
              <w:t>项目属性：</w:t>
            </w:r>
          </w:p>
          <w:p w14:paraId="1031E769">
            <w:pPr>
              <w:spacing w:after="0"/>
              <w:jc w:val="left"/>
              <w:rPr>
                <w:color w:val="auto"/>
                <w:sz w:val="24"/>
                <w:highlight w:val="none"/>
              </w:rPr>
            </w:pPr>
            <w:r>
              <w:rPr>
                <w:rFonts w:ascii="Wingdings 2" w:hAnsi="Wingdings 2"/>
                <w:color w:val="auto"/>
                <w:highlight w:val="none"/>
              </w:rPr>
              <w:sym w:font="Wingdings 2" w:char="00A3"/>
            </w:r>
            <w:r>
              <w:rPr>
                <w:color w:val="auto"/>
                <w:sz w:val="24"/>
                <w:highlight w:val="none"/>
              </w:rPr>
              <w:t>服务</w:t>
            </w:r>
          </w:p>
          <w:p w14:paraId="19A50DEB">
            <w:pPr>
              <w:spacing w:after="0"/>
              <w:jc w:val="left"/>
              <w:rPr>
                <w:color w:val="auto"/>
                <w:sz w:val="24"/>
                <w:highlight w:val="none"/>
              </w:rPr>
            </w:pPr>
            <w:r>
              <w:rPr>
                <w:rFonts w:ascii="Wingdings 2" w:hAnsi="Wingdings 2"/>
                <w:color w:val="auto"/>
                <w:highlight w:val="none"/>
              </w:rPr>
              <w:sym w:font="Wingdings 2" w:char="00A3"/>
            </w:r>
            <w:r>
              <w:rPr>
                <w:color w:val="auto"/>
                <w:sz w:val="24"/>
                <w:highlight w:val="none"/>
              </w:rPr>
              <w:t>货物</w:t>
            </w:r>
          </w:p>
          <w:p w14:paraId="31DE190F">
            <w:pPr>
              <w:spacing w:after="0"/>
              <w:jc w:val="left"/>
              <w:rPr>
                <w:color w:val="auto"/>
                <w:sz w:val="24"/>
                <w:highlight w:val="none"/>
                <w:u w:val="single"/>
              </w:rPr>
            </w:pPr>
            <w:r>
              <w:rPr>
                <w:rFonts w:hint="eastAsia"/>
                <w:color w:val="auto"/>
                <w:sz w:val="24"/>
                <w:highlight w:val="none"/>
              </w:rPr>
              <w:t>▇工程</w:t>
            </w:r>
          </w:p>
        </w:tc>
      </w:tr>
      <w:tr w14:paraId="445F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DE3D909">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noWrap w:val="0"/>
            <w:vAlign w:val="center"/>
          </w:tcPr>
          <w:p w14:paraId="4F6F4180">
            <w:pPr>
              <w:spacing w:after="0"/>
              <w:jc w:val="center"/>
              <w:rPr>
                <w:color w:val="auto"/>
                <w:sz w:val="24"/>
                <w:highlight w:val="none"/>
              </w:rPr>
            </w:pPr>
            <w:r>
              <w:rPr>
                <w:color w:val="auto"/>
                <w:sz w:val="24"/>
                <w:highlight w:val="none"/>
              </w:rPr>
              <w:t>科研仪器设备</w:t>
            </w:r>
          </w:p>
        </w:tc>
        <w:tc>
          <w:tcPr>
            <w:tcW w:w="7253" w:type="dxa"/>
            <w:noWrap w:val="0"/>
            <w:vAlign w:val="center"/>
          </w:tcPr>
          <w:p w14:paraId="51BD36A6">
            <w:pPr>
              <w:spacing w:after="0"/>
              <w:jc w:val="left"/>
              <w:rPr>
                <w:color w:val="auto"/>
                <w:sz w:val="24"/>
                <w:highlight w:val="none"/>
              </w:rPr>
            </w:pPr>
            <w:r>
              <w:rPr>
                <w:color w:val="auto"/>
                <w:sz w:val="24"/>
                <w:highlight w:val="none"/>
              </w:rPr>
              <w:t>是否属于科研仪器设备采购项目：</w:t>
            </w:r>
          </w:p>
          <w:p w14:paraId="754E116A">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是</w:t>
            </w:r>
          </w:p>
          <w:p w14:paraId="04C7DEDE">
            <w:pPr>
              <w:spacing w:after="0"/>
              <w:jc w:val="left"/>
              <w:rPr>
                <w:color w:val="auto"/>
                <w:sz w:val="24"/>
                <w:highlight w:val="none"/>
              </w:rPr>
            </w:pPr>
            <w:r>
              <w:rPr>
                <w:rFonts w:hint="eastAsia"/>
                <w:color w:val="auto"/>
                <w:sz w:val="24"/>
                <w:highlight w:val="none"/>
              </w:rPr>
              <w:t>▇</w:t>
            </w:r>
            <w:r>
              <w:rPr>
                <w:color w:val="auto"/>
                <w:sz w:val="24"/>
                <w:highlight w:val="none"/>
              </w:rPr>
              <w:t>否</w:t>
            </w:r>
          </w:p>
        </w:tc>
      </w:tr>
      <w:tr w14:paraId="45D1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3D22D7F6">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noWrap w:val="0"/>
            <w:vAlign w:val="center"/>
          </w:tcPr>
          <w:p w14:paraId="619AC117">
            <w:pPr>
              <w:spacing w:after="0"/>
              <w:jc w:val="center"/>
              <w:rPr>
                <w:color w:val="auto"/>
                <w:sz w:val="24"/>
                <w:highlight w:val="none"/>
              </w:rPr>
            </w:pPr>
            <w:r>
              <w:rPr>
                <w:color w:val="auto"/>
                <w:sz w:val="24"/>
                <w:highlight w:val="none"/>
              </w:rPr>
              <w:t>现场考察</w:t>
            </w:r>
          </w:p>
        </w:tc>
        <w:tc>
          <w:tcPr>
            <w:tcW w:w="7253" w:type="dxa"/>
            <w:noWrap w:val="0"/>
            <w:vAlign w:val="center"/>
          </w:tcPr>
          <w:p w14:paraId="0C9DA41B">
            <w:pPr>
              <w:spacing w:after="0"/>
              <w:jc w:val="left"/>
              <w:rPr>
                <w:color w:val="auto"/>
                <w:sz w:val="24"/>
                <w:highlight w:val="none"/>
              </w:rPr>
            </w:pPr>
            <w:r>
              <w:rPr>
                <w:rFonts w:hint="eastAsia"/>
                <w:color w:val="auto"/>
                <w:sz w:val="24"/>
                <w:highlight w:val="none"/>
              </w:rPr>
              <w:t>▇</w:t>
            </w:r>
            <w:r>
              <w:rPr>
                <w:color w:val="auto"/>
                <w:sz w:val="24"/>
                <w:highlight w:val="none"/>
              </w:rPr>
              <w:t>不组织</w:t>
            </w:r>
          </w:p>
          <w:p w14:paraId="60276BF1">
            <w:pPr>
              <w:spacing w:after="0"/>
              <w:jc w:val="left"/>
              <w:rPr>
                <w:bCs/>
                <w:color w:val="auto"/>
                <w:sz w:val="24"/>
                <w:highlight w:val="none"/>
              </w:rPr>
            </w:pPr>
            <w:r>
              <w:rPr>
                <w:rFonts w:ascii="Wingdings 2" w:hAnsi="Wingdings 2"/>
                <w:color w:val="auto"/>
                <w:highlight w:val="none"/>
              </w:rPr>
              <w:sym w:font="Wingdings 2" w:char="F0A3"/>
            </w:r>
            <w:r>
              <w:rPr>
                <w:color w:val="auto"/>
                <w:sz w:val="24"/>
                <w:highlight w:val="none"/>
              </w:rPr>
              <w:t>组织，考察时间：___</w:t>
            </w:r>
            <w:r>
              <w:rPr>
                <w:color w:val="auto"/>
                <w:sz w:val="24"/>
                <w:highlight w:val="none"/>
                <w:lang w:bidi="ar"/>
              </w:rPr>
              <w:t>年</w:t>
            </w:r>
            <w:r>
              <w:rPr>
                <w:color w:val="auto"/>
                <w:sz w:val="24"/>
                <w:highlight w:val="none"/>
              </w:rPr>
              <w:t>___</w:t>
            </w:r>
            <w:r>
              <w:rPr>
                <w:color w:val="auto"/>
                <w:sz w:val="24"/>
                <w:highlight w:val="none"/>
                <w:lang w:bidi="ar"/>
              </w:rPr>
              <w:t>月</w:t>
            </w:r>
            <w:r>
              <w:rPr>
                <w:color w:val="auto"/>
                <w:sz w:val="24"/>
                <w:highlight w:val="none"/>
              </w:rPr>
              <w:t>___</w:t>
            </w:r>
            <w:r>
              <w:rPr>
                <w:color w:val="auto"/>
                <w:sz w:val="24"/>
                <w:highlight w:val="none"/>
                <w:lang w:bidi="ar"/>
              </w:rPr>
              <w:t>日</w:t>
            </w:r>
            <w:r>
              <w:rPr>
                <w:color w:val="auto"/>
                <w:sz w:val="24"/>
                <w:highlight w:val="none"/>
              </w:rPr>
              <w:t>___</w:t>
            </w:r>
            <w:r>
              <w:rPr>
                <w:color w:val="auto"/>
                <w:sz w:val="24"/>
                <w:highlight w:val="none"/>
                <w:lang w:bidi="ar"/>
              </w:rPr>
              <w:t>点</w:t>
            </w:r>
            <w:r>
              <w:rPr>
                <w:color w:val="auto"/>
                <w:sz w:val="24"/>
                <w:highlight w:val="none"/>
              </w:rPr>
              <w:t>___</w:t>
            </w:r>
            <w:r>
              <w:rPr>
                <w:color w:val="auto"/>
                <w:sz w:val="24"/>
                <w:highlight w:val="none"/>
                <w:lang w:bidi="ar"/>
              </w:rPr>
              <w:t>分</w:t>
            </w:r>
          </w:p>
          <w:p w14:paraId="2DECCF3D">
            <w:pPr>
              <w:pStyle w:val="23"/>
              <w:adjustRightInd w:val="0"/>
              <w:snapToGrid w:val="0"/>
              <w:spacing w:after="0"/>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考察地点：___</w:t>
            </w:r>
            <w:r>
              <w:rPr>
                <w:rFonts w:ascii="Times New Roman" w:hAnsi="Times New Roman"/>
                <w:color w:val="auto"/>
                <w:sz w:val="24"/>
                <w:highlight w:val="none"/>
              </w:rPr>
              <w:t>/</w:t>
            </w:r>
            <w:r>
              <w:rPr>
                <w:rFonts w:hint="default" w:ascii="Times New Roman" w:hAnsi="Times New Roman"/>
                <w:color w:val="auto"/>
                <w:sz w:val="24"/>
                <w:highlight w:val="none"/>
              </w:rPr>
              <w:t>___</w:t>
            </w:r>
            <w:r>
              <w:rPr>
                <w:rFonts w:ascii="Times New Roman" w:hAnsi="Times New Roman"/>
                <w:color w:val="auto"/>
                <w:sz w:val="24"/>
                <w:highlight w:val="none"/>
              </w:rPr>
              <w:t>。</w:t>
            </w:r>
          </w:p>
        </w:tc>
      </w:tr>
      <w:tr w14:paraId="7EA8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AA546B4">
            <w:pPr>
              <w:pStyle w:val="23"/>
              <w:adjustRightInd w:val="0"/>
              <w:snapToGrid w:val="0"/>
              <w:spacing w:after="0"/>
              <w:jc w:val="center"/>
              <w:rPr>
                <w:rFonts w:hint="default" w:ascii="Times New Roman" w:hAnsi="Times New Roman"/>
                <w:color w:val="auto"/>
                <w:sz w:val="24"/>
                <w:szCs w:val="24"/>
                <w:highlight w:val="none"/>
              </w:rPr>
            </w:pPr>
          </w:p>
        </w:tc>
        <w:tc>
          <w:tcPr>
            <w:tcW w:w="1701" w:type="dxa"/>
            <w:noWrap w:val="0"/>
            <w:vAlign w:val="center"/>
          </w:tcPr>
          <w:p w14:paraId="0F2CBB67">
            <w:pPr>
              <w:spacing w:after="0"/>
              <w:jc w:val="center"/>
              <w:rPr>
                <w:color w:val="auto"/>
                <w:sz w:val="24"/>
                <w:highlight w:val="none"/>
              </w:rPr>
            </w:pPr>
            <w:r>
              <w:rPr>
                <w:color w:val="auto"/>
                <w:sz w:val="24"/>
                <w:highlight w:val="none"/>
              </w:rPr>
              <w:t>磋商前答疑会</w:t>
            </w:r>
          </w:p>
        </w:tc>
        <w:tc>
          <w:tcPr>
            <w:tcW w:w="7253" w:type="dxa"/>
            <w:noWrap w:val="0"/>
            <w:vAlign w:val="center"/>
          </w:tcPr>
          <w:p w14:paraId="319CB8DC">
            <w:pPr>
              <w:spacing w:after="0"/>
              <w:jc w:val="left"/>
              <w:rPr>
                <w:color w:val="auto"/>
                <w:sz w:val="24"/>
                <w:highlight w:val="none"/>
              </w:rPr>
            </w:pPr>
            <w:r>
              <w:rPr>
                <w:rFonts w:hint="eastAsia"/>
                <w:color w:val="auto"/>
                <w:sz w:val="24"/>
                <w:highlight w:val="none"/>
              </w:rPr>
              <w:t>▇</w:t>
            </w:r>
            <w:r>
              <w:rPr>
                <w:color w:val="auto"/>
                <w:sz w:val="24"/>
                <w:highlight w:val="none"/>
              </w:rPr>
              <w:t>不召开</w:t>
            </w:r>
          </w:p>
          <w:p w14:paraId="59E0C458">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召开，召开时间：___</w:t>
            </w:r>
            <w:r>
              <w:rPr>
                <w:color w:val="auto"/>
                <w:sz w:val="24"/>
                <w:highlight w:val="none"/>
                <w:lang w:bidi="ar"/>
              </w:rPr>
              <w:t>年</w:t>
            </w:r>
            <w:r>
              <w:rPr>
                <w:color w:val="auto"/>
                <w:sz w:val="24"/>
                <w:highlight w:val="none"/>
              </w:rPr>
              <w:t>___</w:t>
            </w:r>
            <w:r>
              <w:rPr>
                <w:color w:val="auto"/>
                <w:sz w:val="24"/>
                <w:highlight w:val="none"/>
                <w:lang w:bidi="ar"/>
              </w:rPr>
              <w:t>月</w:t>
            </w:r>
            <w:r>
              <w:rPr>
                <w:color w:val="auto"/>
                <w:sz w:val="24"/>
                <w:highlight w:val="none"/>
              </w:rPr>
              <w:t>___</w:t>
            </w:r>
            <w:r>
              <w:rPr>
                <w:color w:val="auto"/>
                <w:sz w:val="24"/>
                <w:highlight w:val="none"/>
                <w:lang w:bidi="ar"/>
              </w:rPr>
              <w:t>日</w:t>
            </w:r>
            <w:r>
              <w:rPr>
                <w:color w:val="auto"/>
                <w:sz w:val="24"/>
                <w:highlight w:val="none"/>
              </w:rPr>
              <w:t>___</w:t>
            </w:r>
            <w:r>
              <w:rPr>
                <w:color w:val="auto"/>
                <w:sz w:val="24"/>
                <w:highlight w:val="none"/>
                <w:lang w:bidi="ar"/>
              </w:rPr>
              <w:t>点</w:t>
            </w:r>
            <w:r>
              <w:rPr>
                <w:color w:val="auto"/>
                <w:sz w:val="24"/>
                <w:highlight w:val="none"/>
              </w:rPr>
              <w:t>___</w:t>
            </w:r>
            <w:r>
              <w:rPr>
                <w:color w:val="auto"/>
                <w:sz w:val="24"/>
                <w:highlight w:val="none"/>
                <w:lang w:bidi="ar"/>
              </w:rPr>
              <w:t>分</w:t>
            </w:r>
          </w:p>
          <w:p w14:paraId="22AC9907">
            <w:pPr>
              <w:spacing w:after="0"/>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w:t>
            </w:r>
            <w:r>
              <w:rPr>
                <w:rFonts w:hint="eastAsia"/>
                <w:color w:val="auto"/>
                <w:sz w:val="24"/>
                <w:highlight w:val="none"/>
              </w:rPr>
              <w:t>。</w:t>
            </w:r>
          </w:p>
        </w:tc>
      </w:tr>
      <w:tr w14:paraId="190C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1347F60">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4.2.5</w:t>
            </w:r>
          </w:p>
        </w:tc>
        <w:tc>
          <w:tcPr>
            <w:tcW w:w="1701" w:type="dxa"/>
            <w:noWrap w:val="0"/>
            <w:vAlign w:val="center"/>
          </w:tcPr>
          <w:p w14:paraId="12E2763D">
            <w:pPr>
              <w:spacing w:after="0"/>
              <w:jc w:val="center"/>
              <w:rPr>
                <w:color w:val="auto"/>
                <w:sz w:val="24"/>
                <w:highlight w:val="none"/>
              </w:rPr>
            </w:pPr>
            <w:r>
              <w:rPr>
                <w:color w:val="auto"/>
                <w:sz w:val="24"/>
                <w:highlight w:val="none"/>
              </w:rPr>
              <w:t>标的所属行业</w:t>
            </w:r>
          </w:p>
        </w:tc>
        <w:tc>
          <w:tcPr>
            <w:tcW w:w="7253" w:type="dxa"/>
            <w:noWrap w:val="0"/>
            <w:vAlign w:val="center"/>
          </w:tcPr>
          <w:p w14:paraId="1EC9BE7E">
            <w:pPr>
              <w:spacing w:after="0"/>
              <w:jc w:val="left"/>
              <w:rPr>
                <w:color w:val="auto"/>
                <w:sz w:val="24"/>
                <w:highlight w:val="none"/>
              </w:rPr>
            </w:pPr>
            <w:r>
              <w:rPr>
                <w:color w:val="auto"/>
                <w:sz w:val="24"/>
                <w:highlight w:val="none"/>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5D42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14:paraId="1EB6BC23">
                  <w:pPr>
                    <w:jc w:val="center"/>
                    <w:rPr>
                      <w:bCs/>
                      <w:color w:val="auto"/>
                      <w:sz w:val="24"/>
                      <w:highlight w:val="none"/>
                    </w:rPr>
                  </w:pPr>
                  <w:r>
                    <w:rPr>
                      <w:bCs/>
                      <w:color w:val="auto"/>
                      <w:sz w:val="24"/>
                      <w:highlight w:val="none"/>
                    </w:rPr>
                    <w:t>标的名称</w:t>
                  </w:r>
                </w:p>
              </w:tc>
              <w:tc>
                <w:tcPr>
                  <w:tcW w:w="2505" w:type="pct"/>
                  <w:tcBorders>
                    <w:top w:val="single" w:color="auto" w:sz="4" w:space="0"/>
                    <w:left w:val="single" w:color="auto" w:sz="4" w:space="0"/>
                    <w:bottom w:val="single" w:color="auto" w:sz="4" w:space="0"/>
                    <w:right w:val="single" w:color="auto" w:sz="4" w:space="0"/>
                  </w:tcBorders>
                  <w:noWrap w:val="0"/>
                  <w:vAlign w:val="center"/>
                </w:tcPr>
                <w:p w14:paraId="2E6CD373">
                  <w:pPr>
                    <w:jc w:val="center"/>
                    <w:rPr>
                      <w:color w:val="auto"/>
                      <w:sz w:val="24"/>
                      <w:highlight w:val="none"/>
                    </w:rPr>
                  </w:pPr>
                  <w:r>
                    <w:rPr>
                      <w:color w:val="auto"/>
                      <w:sz w:val="24"/>
                      <w:highlight w:val="none"/>
                    </w:rPr>
                    <w:t>中小企业划分标准所属行业</w:t>
                  </w:r>
                </w:p>
              </w:tc>
            </w:tr>
            <w:tr w14:paraId="052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14:paraId="7BCFBD19">
                  <w:pPr>
                    <w:jc w:val="center"/>
                    <w:rPr>
                      <w:rFonts w:hint="eastAsia" w:eastAsia="宋体"/>
                      <w:bCs/>
                      <w:color w:val="auto"/>
                      <w:sz w:val="24"/>
                      <w:highlight w:val="none"/>
                      <w:lang w:eastAsia="zh-CN"/>
                    </w:rPr>
                  </w:pPr>
                  <w:r>
                    <w:rPr>
                      <w:rFonts w:hint="eastAsia"/>
                      <w:bCs/>
                      <w:color w:val="auto"/>
                      <w:sz w:val="24"/>
                      <w:highlight w:val="none"/>
                      <w:lang w:eastAsia="zh-CN"/>
                    </w:rPr>
                    <w:t>报告厅室内安全改造工程其他建筑工程采购项目</w:t>
                  </w:r>
                </w:p>
              </w:tc>
              <w:tc>
                <w:tcPr>
                  <w:tcW w:w="2505" w:type="pct"/>
                  <w:tcBorders>
                    <w:top w:val="single" w:color="auto" w:sz="4" w:space="0"/>
                    <w:left w:val="single" w:color="auto" w:sz="4" w:space="0"/>
                    <w:bottom w:val="single" w:color="auto" w:sz="4" w:space="0"/>
                    <w:right w:val="single" w:color="auto" w:sz="4" w:space="0"/>
                  </w:tcBorders>
                  <w:noWrap w:val="0"/>
                  <w:vAlign w:val="center"/>
                </w:tcPr>
                <w:p w14:paraId="798B3EF9">
                  <w:pPr>
                    <w:jc w:val="center"/>
                    <w:rPr>
                      <w:color w:val="auto"/>
                      <w:kern w:val="0"/>
                      <w:sz w:val="24"/>
                      <w:highlight w:val="none"/>
                    </w:rPr>
                  </w:pPr>
                  <w:r>
                    <w:rPr>
                      <w:rFonts w:hint="eastAsia"/>
                      <w:color w:val="auto"/>
                      <w:kern w:val="0"/>
                      <w:sz w:val="24"/>
                      <w:highlight w:val="none"/>
                    </w:rPr>
                    <w:t>建筑业</w:t>
                  </w:r>
                </w:p>
              </w:tc>
            </w:tr>
          </w:tbl>
          <w:p w14:paraId="5DAD2579">
            <w:pPr>
              <w:spacing w:after="0"/>
              <w:jc w:val="left"/>
              <w:rPr>
                <w:color w:val="auto"/>
                <w:sz w:val="24"/>
                <w:highlight w:val="none"/>
              </w:rPr>
            </w:pPr>
          </w:p>
        </w:tc>
      </w:tr>
      <w:tr w14:paraId="554C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88" w:type="dxa"/>
            <w:noWrap w:val="0"/>
            <w:vAlign w:val="center"/>
          </w:tcPr>
          <w:p w14:paraId="283103DD">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10.2</w:t>
            </w:r>
          </w:p>
        </w:tc>
        <w:tc>
          <w:tcPr>
            <w:tcW w:w="1701" w:type="dxa"/>
            <w:noWrap w:val="0"/>
            <w:vAlign w:val="center"/>
          </w:tcPr>
          <w:p w14:paraId="0E056300">
            <w:pPr>
              <w:spacing w:after="0"/>
              <w:jc w:val="center"/>
              <w:rPr>
                <w:color w:val="auto"/>
                <w:sz w:val="24"/>
                <w:highlight w:val="none"/>
              </w:rPr>
            </w:pPr>
            <w:r>
              <w:rPr>
                <w:color w:val="auto"/>
                <w:sz w:val="24"/>
                <w:highlight w:val="none"/>
              </w:rPr>
              <w:t>报价</w:t>
            </w:r>
          </w:p>
        </w:tc>
        <w:tc>
          <w:tcPr>
            <w:tcW w:w="7253" w:type="dxa"/>
            <w:noWrap w:val="0"/>
            <w:vAlign w:val="center"/>
          </w:tcPr>
          <w:p w14:paraId="4BA69819">
            <w:pPr>
              <w:spacing w:after="0"/>
              <w:jc w:val="left"/>
              <w:rPr>
                <w:color w:val="auto"/>
                <w:sz w:val="24"/>
                <w:highlight w:val="none"/>
              </w:rPr>
            </w:pPr>
            <w:r>
              <w:rPr>
                <w:color w:val="auto"/>
                <w:sz w:val="24"/>
                <w:highlight w:val="none"/>
              </w:rPr>
              <w:t>报价的特殊规定：</w:t>
            </w:r>
          </w:p>
          <w:p w14:paraId="1EBC794C">
            <w:pPr>
              <w:spacing w:after="0"/>
              <w:jc w:val="left"/>
              <w:rPr>
                <w:color w:val="auto"/>
                <w:sz w:val="24"/>
                <w:highlight w:val="none"/>
              </w:rPr>
            </w:pPr>
            <w:r>
              <w:rPr>
                <w:rFonts w:hint="eastAsia"/>
                <w:color w:val="auto"/>
                <w:sz w:val="24"/>
                <w:highlight w:val="none"/>
              </w:rPr>
              <w:t>▇</w:t>
            </w:r>
            <w:r>
              <w:rPr>
                <w:color w:val="auto"/>
                <w:sz w:val="24"/>
                <w:highlight w:val="none"/>
              </w:rPr>
              <w:t>无</w:t>
            </w:r>
          </w:p>
          <w:p w14:paraId="151F730F">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有，具体情形：</w:t>
            </w:r>
            <w:r>
              <w:rPr>
                <w:rFonts w:hint="eastAsia"/>
                <w:color w:val="auto"/>
                <w:sz w:val="24"/>
                <w:highlight w:val="none"/>
                <w:u w:val="single"/>
              </w:rPr>
              <w:t xml:space="preserve"> / </w:t>
            </w:r>
          </w:p>
        </w:tc>
      </w:tr>
      <w:tr w14:paraId="5CA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3445B4B">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11.1</w:t>
            </w:r>
          </w:p>
        </w:tc>
        <w:tc>
          <w:tcPr>
            <w:tcW w:w="1701" w:type="dxa"/>
            <w:vMerge w:val="restart"/>
            <w:noWrap w:val="0"/>
            <w:vAlign w:val="center"/>
          </w:tcPr>
          <w:p w14:paraId="51880A45">
            <w:pPr>
              <w:spacing w:after="0"/>
              <w:jc w:val="center"/>
              <w:rPr>
                <w:color w:val="auto"/>
                <w:sz w:val="24"/>
                <w:highlight w:val="none"/>
              </w:rPr>
            </w:pPr>
            <w:r>
              <w:rPr>
                <w:color w:val="auto"/>
                <w:sz w:val="24"/>
                <w:highlight w:val="none"/>
              </w:rPr>
              <w:t>磋商保证金</w:t>
            </w:r>
          </w:p>
        </w:tc>
        <w:tc>
          <w:tcPr>
            <w:tcW w:w="7253" w:type="dxa"/>
            <w:noWrap w:val="0"/>
            <w:vAlign w:val="center"/>
          </w:tcPr>
          <w:p w14:paraId="76484983">
            <w:pPr>
              <w:pStyle w:val="23"/>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szCs w:val="24"/>
                <w:highlight w:val="none"/>
              </w:rPr>
              <w:t>磋商保证金金额：</w:t>
            </w:r>
            <w:r>
              <w:rPr>
                <w:rFonts w:hint="eastAsia" w:ascii="Times New Roman" w:hAnsi="Times New Roman"/>
                <w:color w:val="auto"/>
                <w:sz w:val="24"/>
                <w:szCs w:val="24"/>
                <w:highlight w:val="none"/>
                <w:lang w:val="en-US" w:eastAsia="zh-CN"/>
              </w:rPr>
              <w:t>80000.00元</w:t>
            </w:r>
          </w:p>
          <w:p w14:paraId="0512010C">
            <w:pPr>
              <w:keepNext w:val="0"/>
              <w:keepLines w:val="0"/>
              <w:pageBreakBefore w:val="0"/>
              <w:widowControl w:val="0"/>
              <w:kinsoku/>
              <w:wordWrap/>
              <w:overflowPunct/>
              <w:topLinePunct w:val="0"/>
              <w:autoSpaceDE/>
              <w:autoSpaceDN/>
              <w:bidi w:val="0"/>
              <w:spacing w:after="0" w:line="360" w:lineRule="auto"/>
              <w:jc w:val="left"/>
              <w:textAlignment w:val="auto"/>
              <w:rPr>
                <w:rFonts w:hint="eastAsia"/>
                <w:color w:val="auto"/>
                <w:sz w:val="24"/>
                <w:highlight w:val="none"/>
              </w:rPr>
            </w:pPr>
            <w:r>
              <w:rPr>
                <w:color w:val="auto"/>
                <w:sz w:val="24"/>
                <w:highlight w:val="none"/>
              </w:rPr>
              <w:t>磋商保证金收受人信息：</w:t>
            </w:r>
          </w:p>
          <w:p w14:paraId="29D5DA63">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保证金为响应政策要求，需以非现金的形式缴纳，可以电汇或转账等形式提交保证金。保证金交纳单位必须与供应商单位名称保持一致，供应商应在响应文件提交截止时间前按磋商文件规定的金额、形式交纳磋商保证金。</w:t>
            </w:r>
          </w:p>
          <w:p w14:paraId="45EF58EE">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采购代理机构账号信息：</w:t>
            </w:r>
          </w:p>
          <w:p w14:paraId="6E5FBB10">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r>
              <w:rPr>
                <w:rFonts w:hint="eastAsia" w:ascii="宋体" w:hAnsi="宋体" w:cs="宋体"/>
                <w:color w:val="auto"/>
                <w:sz w:val="24"/>
                <w:szCs w:val="24"/>
                <w:highlight w:val="none"/>
                <w:u w:val="single"/>
                <w:lang w:eastAsia="zh-CN"/>
              </w:rPr>
              <w:t>北京华审金建国际工程项目管理有限公司</w:t>
            </w:r>
          </w:p>
          <w:p w14:paraId="6786A603">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cs="宋体"/>
                <w:color w:val="auto"/>
                <w:sz w:val="24"/>
                <w:szCs w:val="24"/>
                <w:highlight w:val="none"/>
                <w:lang w:val="en-US" w:eastAsia="zh-CN"/>
              </w:rPr>
              <w:t>中国工商银行股份有限公司北京新街口积水潭支行</w:t>
            </w:r>
          </w:p>
          <w:p w14:paraId="69D4D5AE">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银行账号：</w:t>
            </w:r>
            <w:r>
              <w:rPr>
                <w:rFonts w:hint="eastAsia" w:ascii="宋体" w:hAnsi="宋体" w:cs="宋体"/>
                <w:color w:val="auto"/>
                <w:sz w:val="24"/>
                <w:szCs w:val="24"/>
                <w:highlight w:val="none"/>
                <w:lang w:val="en-US" w:eastAsia="zh-CN"/>
              </w:rPr>
              <w:t>0200238419200008376</w:t>
            </w:r>
          </w:p>
          <w:p w14:paraId="2B44419F">
            <w:pPr>
              <w:pStyle w:val="2"/>
              <w:ind w:left="0" w:leftChars="0" w:firstLine="0" w:firstLineChars="0"/>
              <w:rPr>
                <w:rFonts w:hint="eastAsia"/>
                <w:highlight w:val="none"/>
                <w:lang w:eastAsia="zh-CN"/>
              </w:rPr>
            </w:pPr>
            <w:r>
              <w:rPr>
                <w:rFonts w:hint="eastAsia"/>
                <w:highlight w:val="none"/>
                <w:lang w:eastAsia="zh-CN"/>
              </w:rPr>
              <w:t>开户银行代码：102100000290</w:t>
            </w:r>
          </w:p>
          <w:p w14:paraId="0FF24CFE">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备注：项目名称</w:t>
            </w:r>
            <w:r>
              <w:rPr>
                <w:rFonts w:hint="eastAsia" w:ascii="宋体" w:hAnsi="宋体" w:cs="宋体"/>
                <w:color w:val="auto"/>
                <w:sz w:val="24"/>
                <w:szCs w:val="24"/>
                <w:highlight w:val="none"/>
                <w:u w:val="none"/>
                <w:lang w:val="en-US" w:eastAsia="zh-CN"/>
              </w:rPr>
              <w:t>（可简写）</w:t>
            </w:r>
            <w:r>
              <w:rPr>
                <w:rFonts w:hint="eastAsia" w:ascii="宋体" w:hAnsi="宋体" w:eastAsia="宋体" w:cs="宋体"/>
                <w:color w:val="auto"/>
                <w:sz w:val="24"/>
                <w:szCs w:val="24"/>
                <w:highlight w:val="none"/>
                <w:u w:val="none"/>
                <w:lang w:val="en-US" w:eastAsia="zh-CN"/>
              </w:rPr>
              <w:t>+磋商保证金</w:t>
            </w:r>
          </w:p>
          <w:p w14:paraId="07A463A1">
            <w:pPr>
              <w:keepNext w:val="0"/>
              <w:keepLines w:val="0"/>
              <w:pageBreakBefore w:val="0"/>
              <w:widowControl w:val="0"/>
              <w:kinsoku/>
              <w:wordWrap/>
              <w:overflowPunct/>
              <w:topLinePunct w:val="0"/>
              <w:autoSpaceDE/>
              <w:autoSpaceDN/>
              <w:bidi w:val="0"/>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1.磋商保证金应当从供应商基本账户转出</w:t>
            </w:r>
            <w:r>
              <w:rPr>
                <w:rFonts w:hint="eastAsia" w:ascii="宋体" w:hAnsi="宋体" w:eastAsia="宋体" w:cs="宋体"/>
                <w:color w:val="auto"/>
                <w:sz w:val="24"/>
                <w:szCs w:val="24"/>
                <w:highlight w:val="none"/>
              </w:rPr>
              <w:t>。</w:t>
            </w:r>
          </w:p>
          <w:p w14:paraId="1ABF67D4">
            <w:pPr>
              <w:keepNext w:val="0"/>
              <w:keepLines w:val="0"/>
              <w:pageBreakBefore w:val="0"/>
              <w:widowControl w:val="0"/>
              <w:kinsoku/>
              <w:wordWrap/>
              <w:overflowPunct/>
              <w:topLinePunct w:val="0"/>
              <w:autoSpaceDE/>
              <w:autoSpaceDN/>
              <w:bidi w:val="0"/>
              <w:spacing w:after="0" w:line="360" w:lineRule="auto"/>
              <w:jc w:val="left"/>
              <w:textAlignment w:val="auto"/>
              <w:rPr>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供应商在响应文件递交截止时间前未按照竞争性磋商文件要求提交保证金的，其响应无效。</w:t>
            </w:r>
          </w:p>
        </w:tc>
      </w:tr>
      <w:tr w14:paraId="4A26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CC3CB9B">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11.7.5</w:t>
            </w:r>
          </w:p>
        </w:tc>
        <w:tc>
          <w:tcPr>
            <w:tcW w:w="1701" w:type="dxa"/>
            <w:vMerge w:val="continue"/>
            <w:noWrap w:val="0"/>
            <w:vAlign w:val="center"/>
          </w:tcPr>
          <w:p w14:paraId="5B22C7BE">
            <w:pPr>
              <w:spacing w:after="0"/>
              <w:jc w:val="center"/>
              <w:rPr>
                <w:color w:val="auto"/>
                <w:sz w:val="24"/>
                <w:highlight w:val="none"/>
              </w:rPr>
            </w:pPr>
          </w:p>
        </w:tc>
        <w:tc>
          <w:tcPr>
            <w:tcW w:w="7253" w:type="dxa"/>
            <w:noWrap w:val="0"/>
            <w:vAlign w:val="center"/>
          </w:tcPr>
          <w:p w14:paraId="7AC6ABA1">
            <w:pPr>
              <w:spacing w:after="0"/>
              <w:jc w:val="left"/>
              <w:rPr>
                <w:color w:val="auto"/>
                <w:sz w:val="24"/>
                <w:highlight w:val="none"/>
              </w:rPr>
            </w:pPr>
            <w:r>
              <w:rPr>
                <w:color w:val="auto"/>
                <w:sz w:val="24"/>
                <w:highlight w:val="none"/>
              </w:rPr>
              <w:t>磋商保证金不予退还的其他情形：</w:t>
            </w:r>
          </w:p>
          <w:p w14:paraId="4D5B0B15">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无</w:t>
            </w:r>
          </w:p>
          <w:p w14:paraId="2E31B2AB">
            <w:pPr>
              <w:pStyle w:val="23"/>
              <w:adjustRightInd w:val="0"/>
              <w:snapToGrid w:val="0"/>
              <w:spacing w:after="0"/>
              <w:rPr>
                <w:rFonts w:hint="eastAsia" w:ascii="Times New Roman" w:hAnsi="Times New Roman" w:eastAsia="宋体"/>
                <w:color w:val="auto"/>
                <w:sz w:val="24"/>
                <w:szCs w:val="24"/>
                <w:highlight w:val="none"/>
                <w:lang w:eastAsia="zh-CN"/>
              </w:rPr>
            </w:pPr>
            <w:r>
              <w:rPr>
                <w:rFonts w:hint="eastAsia" w:ascii="宋体" w:hAnsi="宋体" w:eastAsia="宋体" w:cs="宋体"/>
                <w:b/>
                <w:bCs/>
                <w:color w:val="auto"/>
                <w:spacing w:val="1"/>
                <w:position w:val="3"/>
                <w:sz w:val="24"/>
                <w:szCs w:val="24"/>
                <w:highlight w:val="none"/>
              </w:rPr>
              <w:t>■</w:t>
            </w:r>
            <w:r>
              <w:rPr>
                <w:rFonts w:hint="eastAsia" w:ascii="宋体" w:hAnsi="宋体" w:eastAsia="宋体" w:cs="宋体"/>
                <w:color w:val="auto"/>
                <w:spacing w:val="-8"/>
                <w:sz w:val="24"/>
                <w:szCs w:val="24"/>
                <w:highlight w:val="none"/>
              </w:rPr>
              <w:t>有，</w:t>
            </w:r>
            <w:r>
              <w:rPr>
                <w:rFonts w:hint="eastAsia" w:ascii="宋体" w:hAnsi="宋体" w:eastAsia="宋体" w:cs="宋体"/>
                <w:color w:val="auto"/>
                <w:spacing w:val="-4"/>
                <w:sz w:val="24"/>
                <w:szCs w:val="24"/>
                <w:highlight w:val="none"/>
              </w:rPr>
              <w:t>具体情形：</w:t>
            </w:r>
            <w:r>
              <w:rPr>
                <w:rFonts w:hint="eastAsia" w:ascii="宋体" w:hAnsi="宋体" w:eastAsia="宋体" w:cs="宋体"/>
                <w:b w:val="0"/>
                <w:bCs w:val="0"/>
                <w:color w:val="auto"/>
                <w:sz w:val="24"/>
                <w:highlight w:val="none"/>
                <w:u w:val="single"/>
              </w:rPr>
              <w:t>（1）</w:t>
            </w:r>
            <w:r>
              <w:rPr>
                <w:rFonts w:hint="eastAsia" w:hAnsi="宋体" w:eastAsia="宋体" w:cs="宋体"/>
                <w:b w:val="0"/>
                <w:bCs w:val="0"/>
                <w:color w:val="auto"/>
                <w:sz w:val="24"/>
                <w:highlight w:val="none"/>
                <w:u w:val="single"/>
                <w:lang w:eastAsia="zh-CN"/>
              </w:rPr>
              <w:t>供应商</w:t>
            </w:r>
            <w:r>
              <w:rPr>
                <w:rFonts w:hint="eastAsia" w:ascii="宋体" w:hAnsi="宋体" w:eastAsia="宋体" w:cs="宋体"/>
                <w:b w:val="0"/>
                <w:bCs w:val="0"/>
                <w:color w:val="auto"/>
                <w:sz w:val="24"/>
                <w:highlight w:val="none"/>
                <w:u w:val="single"/>
              </w:rPr>
              <w:t>不按规定与</w:t>
            </w:r>
            <w:r>
              <w:rPr>
                <w:rFonts w:hint="eastAsia" w:ascii="宋体" w:hAnsi="宋体" w:eastAsia="宋体" w:cs="宋体"/>
                <w:b w:val="0"/>
                <w:bCs w:val="0"/>
                <w:color w:val="auto"/>
                <w:sz w:val="24"/>
                <w:highlight w:val="none"/>
                <w:u w:val="single"/>
                <w:lang w:eastAsia="zh-CN"/>
              </w:rPr>
              <w:t>采购人</w:t>
            </w:r>
            <w:r>
              <w:rPr>
                <w:rFonts w:hint="eastAsia" w:ascii="宋体" w:hAnsi="宋体" w:eastAsia="宋体" w:cs="宋体"/>
                <w:b w:val="0"/>
                <w:bCs w:val="0"/>
                <w:color w:val="auto"/>
                <w:sz w:val="24"/>
                <w:highlight w:val="none"/>
                <w:u w:val="single"/>
              </w:rPr>
              <w:t>签订合同的；（2）</w:t>
            </w:r>
            <w:r>
              <w:rPr>
                <w:rFonts w:hint="eastAsia" w:hAnsi="宋体" w:eastAsia="宋体" w:cs="宋体"/>
                <w:b w:val="0"/>
                <w:bCs w:val="0"/>
                <w:color w:val="auto"/>
                <w:sz w:val="24"/>
                <w:highlight w:val="none"/>
                <w:u w:val="single"/>
                <w:lang w:eastAsia="zh-CN"/>
              </w:rPr>
              <w:t>供应商</w:t>
            </w:r>
            <w:r>
              <w:rPr>
                <w:rFonts w:hint="eastAsia" w:ascii="宋体" w:hAnsi="宋体" w:eastAsia="宋体" w:cs="宋体"/>
                <w:b w:val="0"/>
                <w:bCs w:val="0"/>
                <w:color w:val="auto"/>
                <w:sz w:val="24"/>
                <w:highlight w:val="none"/>
                <w:u w:val="single"/>
              </w:rPr>
              <w:t>不按</w:t>
            </w:r>
            <w:r>
              <w:rPr>
                <w:rFonts w:hint="eastAsia" w:hAnsi="宋体" w:eastAsia="宋体" w:cs="宋体"/>
                <w:b w:val="0"/>
                <w:bCs w:val="0"/>
                <w:color w:val="auto"/>
                <w:sz w:val="24"/>
                <w:highlight w:val="none"/>
                <w:u w:val="single"/>
                <w:lang w:val="en-US" w:eastAsia="zh-CN"/>
              </w:rPr>
              <w:t>竞争性磋商文件</w:t>
            </w:r>
            <w:r>
              <w:rPr>
                <w:rFonts w:hint="eastAsia" w:ascii="宋体" w:hAnsi="宋体" w:eastAsia="宋体" w:cs="宋体"/>
                <w:b w:val="0"/>
                <w:bCs w:val="0"/>
                <w:color w:val="auto"/>
                <w:sz w:val="24"/>
                <w:highlight w:val="none"/>
                <w:u w:val="single"/>
              </w:rPr>
              <w:t>要求提交履约保证金的。（3）</w:t>
            </w:r>
            <w:r>
              <w:rPr>
                <w:rFonts w:hint="eastAsia" w:ascii="宋体" w:hAnsi="宋体" w:eastAsia="宋体" w:cs="宋体"/>
                <w:b w:val="0"/>
                <w:bCs w:val="0"/>
                <w:color w:val="auto"/>
                <w:sz w:val="24"/>
                <w:highlight w:val="none"/>
                <w:u w:val="single"/>
                <w:lang w:val="en-US" w:eastAsia="zh-CN"/>
              </w:rPr>
              <w:t>竞争性磋商文件</w:t>
            </w:r>
            <w:r>
              <w:rPr>
                <w:rFonts w:hint="eastAsia" w:ascii="宋体" w:hAnsi="宋体" w:eastAsia="宋体" w:cs="宋体"/>
                <w:b w:val="0"/>
                <w:bCs w:val="0"/>
                <w:color w:val="auto"/>
                <w:sz w:val="24"/>
                <w:highlight w:val="none"/>
                <w:u w:val="single"/>
              </w:rPr>
              <w:t>、法律、法规规定的其它不予退还的情形</w:t>
            </w:r>
            <w:r>
              <w:rPr>
                <w:rFonts w:hint="eastAsia" w:hAnsi="宋体" w:cs="宋体"/>
                <w:b w:val="0"/>
                <w:bCs w:val="0"/>
                <w:color w:val="auto"/>
                <w:sz w:val="24"/>
                <w:highlight w:val="none"/>
                <w:u w:val="single"/>
                <w:lang w:eastAsia="zh-CN"/>
              </w:rPr>
              <w:t>。</w:t>
            </w:r>
          </w:p>
        </w:tc>
      </w:tr>
      <w:tr w14:paraId="794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88" w:type="dxa"/>
            <w:noWrap w:val="0"/>
            <w:vAlign w:val="center"/>
          </w:tcPr>
          <w:p w14:paraId="48EDEBA8">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noWrap w:val="0"/>
            <w:vAlign w:val="center"/>
          </w:tcPr>
          <w:p w14:paraId="3CD2E799">
            <w:pPr>
              <w:spacing w:after="0"/>
              <w:jc w:val="center"/>
              <w:rPr>
                <w:color w:val="auto"/>
                <w:sz w:val="24"/>
                <w:highlight w:val="none"/>
              </w:rPr>
            </w:pPr>
            <w:r>
              <w:rPr>
                <w:color w:val="auto"/>
                <w:sz w:val="24"/>
                <w:highlight w:val="none"/>
              </w:rPr>
              <w:t>响应有效期</w:t>
            </w:r>
          </w:p>
        </w:tc>
        <w:tc>
          <w:tcPr>
            <w:tcW w:w="7253" w:type="dxa"/>
            <w:noWrap w:val="0"/>
            <w:vAlign w:val="center"/>
          </w:tcPr>
          <w:p w14:paraId="0E00B8C4">
            <w:pPr>
              <w:spacing w:after="0"/>
              <w:jc w:val="left"/>
              <w:rPr>
                <w:color w:val="auto"/>
                <w:sz w:val="24"/>
                <w:highlight w:val="none"/>
              </w:rPr>
            </w:pPr>
            <w:r>
              <w:rPr>
                <w:color w:val="auto"/>
                <w:sz w:val="24"/>
                <w:highlight w:val="none"/>
              </w:rPr>
              <w:t>自提交响应文件的截止之日起算</w:t>
            </w:r>
            <w:r>
              <w:rPr>
                <w:rFonts w:hint="eastAsia"/>
                <w:color w:val="auto"/>
                <w:sz w:val="24"/>
                <w:highlight w:val="none"/>
                <w:u w:val="single"/>
              </w:rPr>
              <w:t>90</w:t>
            </w:r>
            <w:r>
              <w:rPr>
                <w:color w:val="auto"/>
                <w:sz w:val="24"/>
                <w:highlight w:val="none"/>
              </w:rPr>
              <w:t>日历天。</w:t>
            </w:r>
          </w:p>
        </w:tc>
      </w:tr>
      <w:tr w14:paraId="43F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88" w:type="dxa"/>
            <w:noWrap w:val="0"/>
            <w:vAlign w:val="center"/>
          </w:tcPr>
          <w:p w14:paraId="4331031C">
            <w:pPr>
              <w:pStyle w:val="23"/>
              <w:adjustRightInd w:val="0"/>
              <w:snapToGrid w:val="0"/>
              <w:spacing w:after="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14.1</w:t>
            </w:r>
          </w:p>
        </w:tc>
        <w:tc>
          <w:tcPr>
            <w:tcW w:w="1701" w:type="dxa"/>
            <w:noWrap w:val="0"/>
            <w:vAlign w:val="center"/>
          </w:tcPr>
          <w:p w14:paraId="7B49E23E">
            <w:pPr>
              <w:spacing w:after="0"/>
              <w:jc w:val="center"/>
              <w:rPr>
                <w:color w:val="auto"/>
                <w:sz w:val="24"/>
                <w:highlight w:val="none"/>
              </w:rPr>
            </w:pP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份数</w:t>
            </w:r>
          </w:p>
        </w:tc>
        <w:tc>
          <w:tcPr>
            <w:tcW w:w="7253" w:type="dxa"/>
            <w:noWrap w:val="0"/>
            <w:vAlign w:val="center"/>
          </w:tcPr>
          <w:p w14:paraId="3E72F86D">
            <w:pPr>
              <w:spacing w:after="0"/>
              <w:jc w:val="left"/>
              <w:rPr>
                <w:rFonts w:hint="default" w:eastAsia="宋体"/>
                <w:color w:val="auto"/>
                <w:sz w:val="24"/>
                <w:highlight w:val="none"/>
                <w:lang w:val="en-US" w:eastAsia="zh-CN"/>
              </w:rPr>
            </w:pPr>
            <w:r>
              <w:rPr>
                <w:rFonts w:hint="eastAsia"/>
                <w:color w:val="auto"/>
                <w:sz w:val="24"/>
                <w:highlight w:val="none"/>
                <w:lang w:val="en-US" w:eastAsia="zh-CN"/>
              </w:rPr>
              <w:t>正本一份，副本二份，电子版一份。</w:t>
            </w:r>
          </w:p>
        </w:tc>
      </w:tr>
      <w:tr w14:paraId="2F6B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88" w:type="dxa"/>
            <w:noWrap w:val="0"/>
            <w:vAlign w:val="center"/>
          </w:tcPr>
          <w:p w14:paraId="12787889">
            <w:pPr>
              <w:pStyle w:val="23"/>
              <w:adjustRightInd w:val="0"/>
              <w:snapToGrid w:val="0"/>
              <w:spacing w:after="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16.1</w:t>
            </w:r>
          </w:p>
        </w:tc>
        <w:tc>
          <w:tcPr>
            <w:tcW w:w="1701" w:type="dxa"/>
            <w:shd w:val="clear" w:color="auto" w:fill="auto"/>
            <w:noWrap w:val="0"/>
            <w:vAlign w:val="center"/>
          </w:tcPr>
          <w:p w14:paraId="57E606E6">
            <w:pPr>
              <w:jc w:val="center"/>
              <w:rPr>
                <w:rFonts w:ascii="Times New Roman" w:hAnsi="Times New Roman" w:eastAsia="宋体" w:cs="Times New Roman"/>
                <w:kern w:val="2"/>
                <w:sz w:val="24"/>
                <w:szCs w:val="24"/>
                <w:highlight w:val="none"/>
                <w:lang w:val="en-US" w:eastAsia="zh-CN" w:bidi="ar-SA"/>
              </w:rPr>
            </w:pPr>
            <w:r>
              <w:rPr>
                <w:sz w:val="24"/>
                <w:highlight w:val="none"/>
              </w:rPr>
              <w:t>响应文件截止时间</w:t>
            </w:r>
          </w:p>
        </w:tc>
        <w:tc>
          <w:tcPr>
            <w:tcW w:w="7253" w:type="dxa"/>
            <w:shd w:val="clear" w:color="auto" w:fill="auto"/>
            <w:noWrap w:val="0"/>
            <w:vAlign w:val="center"/>
          </w:tcPr>
          <w:p w14:paraId="5F355038">
            <w:pPr>
              <w:jc w:val="left"/>
              <w:rPr>
                <w:rFonts w:ascii="Times New Roman" w:hAnsi="Times New Roman" w:eastAsia="宋体" w:cs="Times New Roman"/>
                <w:kern w:val="2"/>
                <w:sz w:val="24"/>
                <w:szCs w:val="24"/>
                <w:highlight w:val="none"/>
                <w:lang w:val="en-US" w:eastAsia="zh-CN" w:bidi="ar-SA"/>
              </w:rPr>
            </w:pPr>
            <w:r>
              <w:rPr>
                <w:rFonts w:hint="eastAsia"/>
                <w:sz w:val="24"/>
                <w:highlight w:val="none"/>
              </w:rPr>
              <w:t>截止时间：</w:t>
            </w:r>
            <w:r>
              <w:rPr>
                <w:rFonts w:hint="eastAsia"/>
                <w:sz w:val="24"/>
                <w:highlight w:val="none"/>
                <w:u w:val="single"/>
              </w:rPr>
              <w:t>202</w:t>
            </w:r>
            <w:r>
              <w:rPr>
                <w:rFonts w:hint="eastAsia"/>
                <w:sz w:val="24"/>
                <w:highlight w:val="none"/>
                <w:u w:val="single"/>
                <w:lang w:val="en-US" w:eastAsia="zh-CN"/>
              </w:rPr>
              <w:t>5</w:t>
            </w:r>
            <w:r>
              <w:rPr>
                <w:rFonts w:hint="eastAsia"/>
                <w:sz w:val="24"/>
                <w:highlight w:val="none"/>
              </w:rPr>
              <w:t>年</w:t>
            </w:r>
            <w:r>
              <w:rPr>
                <w:rFonts w:hint="eastAsia"/>
                <w:sz w:val="24"/>
                <w:highlight w:val="none"/>
                <w:u w:val="single"/>
                <w:lang w:val="en-US" w:eastAsia="zh-CN"/>
              </w:rPr>
              <w:t>12</w:t>
            </w:r>
            <w:r>
              <w:rPr>
                <w:rFonts w:hint="eastAsia"/>
                <w:sz w:val="24"/>
                <w:highlight w:val="none"/>
              </w:rPr>
              <w:t>月</w:t>
            </w:r>
            <w:r>
              <w:rPr>
                <w:rFonts w:hint="eastAsia"/>
                <w:sz w:val="24"/>
                <w:highlight w:val="none"/>
                <w:u w:val="single"/>
                <w:lang w:val="en-US" w:eastAsia="zh-CN"/>
              </w:rPr>
              <w:t>15</w:t>
            </w:r>
            <w:r>
              <w:rPr>
                <w:rFonts w:hint="eastAsia"/>
                <w:sz w:val="24"/>
                <w:highlight w:val="none"/>
              </w:rPr>
              <w:t>日</w:t>
            </w:r>
            <w:r>
              <w:rPr>
                <w:rFonts w:hint="eastAsia" w:ascii="宋体" w:hAnsi="宋体" w:cs="宋体"/>
                <w:color w:val="auto"/>
                <w:sz w:val="24"/>
                <w:highlight w:val="none"/>
                <w:u w:val="single"/>
                <w:lang w:val="en-US" w:eastAsia="zh-CN" w:bidi="ar"/>
              </w:rPr>
              <w:t>09</w:t>
            </w:r>
            <w:r>
              <w:rPr>
                <w:rFonts w:hint="eastAsia" w:ascii="宋体" w:hAnsi="宋体" w:eastAsia="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lang w:bidi="ar"/>
              </w:rPr>
              <w:t>分</w:t>
            </w:r>
          </w:p>
        </w:tc>
      </w:tr>
      <w:tr w14:paraId="449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88" w:type="dxa"/>
            <w:noWrap w:val="0"/>
            <w:vAlign w:val="center"/>
          </w:tcPr>
          <w:p w14:paraId="2E3D3FFD">
            <w:pPr>
              <w:pStyle w:val="23"/>
              <w:adjustRightInd w:val="0"/>
              <w:snapToGrid w:val="0"/>
              <w:spacing w:after="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18.6</w:t>
            </w:r>
          </w:p>
        </w:tc>
        <w:tc>
          <w:tcPr>
            <w:tcW w:w="1701" w:type="dxa"/>
            <w:noWrap w:val="0"/>
            <w:vAlign w:val="center"/>
          </w:tcPr>
          <w:p w14:paraId="72063C82">
            <w:pPr>
              <w:spacing w:after="0"/>
              <w:jc w:val="center"/>
              <w:rPr>
                <w:color w:val="auto"/>
                <w:sz w:val="24"/>
                <w:highlight w:val="none"/>
              </w:rPr>
            </w:pPr>
            <w:r>
              <w:rPr>
                <w:rFonts w:hint="eastAsia" w:ascii="宋体" w:hAnsi="宋体" w:cs="宋体"/>
                <w:color w:val="auto"/>
                <w:sz w:val="24"/>
                <w:highlight w:val="none"/>
              </w:rPr>
              <w:t>开标注意事项</w:t>
            </w:r>
          </w:p>
        </w:tc>
        <w:tc>
          <w:tcPr>
            <w:tcW w:w="7253" w:type="dxa"/>
            <w:noWrap w:val="0"/>
            <w:vAlign w:val="center"/>
          </w:tcPr>
          <w:p w14:paraId="72963A8E">
            <w:pPr>
              <w:spacing w:after="0"/>
              <w:jc w:val="left"/>
              <w:rPr>
                <w:rFonts w:hint="eastAsia" w:eastAsia="宋体"/>
                <w:color w:val="auto"/>
                <w:sz w:val="24"/>
                <w:highlight w:val="none"/>
                <w:lang w:val="en-US" w:eastAsia="zh-CN"/>
              </w:rPr>
            </w:pPr>
            <w:r>
              <w:rPr>
                <w:rFonts w:hint="eastAsia"/>
                <w:color w:val="auto"/>
                <w:sz w:val="24"/>
                <w:highlight w:val="none"/>
                <w:lang w:val="en-US" w:eastAsia="zh-CN"/>
              </w:rPr>
              <w:t>/</w:t>
            </w:r>
          </w:p>
        </w:tc>
      </w:tr>
      <w:tr w14:paraId="0DC8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F46E120">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20.1</w:t>
            </w:r>
          </w:p>
        </w:tc>
        <w:tc>
          <w:tcPr>
            <w:tcW w:w="1701" w:type="dxa"/>
            <w:noWrap w:val="0"/>
            <w:vAlign w:val="center"/>
          </w:tcPr>
          <w:p w14:paraId="1A6F1A3B">
            <w:pPr>
              <w:spacing w:after="0"/>
              <w:jc w:val="center"/>
              <w:rPr>
                <w:color w:val="auto"/>
                <w:sz w:val="24"/>
                <w:highlight w:val="none"/>
              </w:rPr>
            </w:pPr>
            <w:r>
              <w:rPr>
                <w:color w:val="auto"/>
                <w:sz w:val="24"/>
                <w:highlight w:val="none"/>
              </w:rPr>
              <w:t>成交供应商的确认</w:t>
            </w:r>
          </w:p>
        </w:tc>
        <w:tc>
          <w:tcPr>
            <w:tcW w:w="7253" w:type="dxa"/>
            <w:noWrap w:val="0"/>
            <w:vAlign w:val="center"/>
          </w:tcPr>
          <w:p w14:paraId="18C10F94">
            <w:pPr>
              <w:pStyle w:val="23"/>
              <w:adjustRightInd w:val="0"/>
              <w:snapToGrid w:val="0"/>
              <w:spacing w:after="0"/>
              <w:rPr>
                <w:rFonts w:hint="default" w:ascii="Times New Roman" w:hAnsi="Times New Roman"/>
                <w:color w:val="auto"/>
                <w:sz w:val="24"/>
                <w:highlight w:val="none"/>
              </w:rPr>
            </w:pPr>
            <w:r>
              <w:rPr>
                <w:rFonts w:hint="default" w:ascii="Times New Roman" w:hAnsi="Times New Roman"/>
                <w:color w:val="auto"/>
                <w:sz w:val="24"/>
                <w:highlight w:val="none"/>
              </w:rPr>
              <w:t>采购人是否授权磋商小组直接确定成交供应商：</w:t>
            </w:r>
          </w:p>
          <w:p w14:paraId="36842A64">
            <w:pPr>
              <w:pStyle w:val="23"/>
              <w:adjustRightInd w:val="0"/>
              <w:snapToGrid w:val="0"/>
              <w:spacing w:after="0"/>
              <w:rPr>
                <w:rFonts w:hint="default" w:ascii="Times New Roman" w:hAnsi="Times New Roman"/>
                <w:color w:val="auto"/>
                <w:sz w:val="24"/>
                <w:highlight w:val="none"/>
              </w:rPr>
            </w:pPr>
            <w:r>
              <w:rPr>
                <w:color w:val="auto"/>
                <w:sz w:val="24"/>
                <w:highlight w:val="none"/>
              </w:rPr>
              <w:t>▇</w:t>
            </w:r>
            <w:r>
              <w:rPr>
                <w:rFonts w:hint="default" w:ascii="Times New Roman" w:hAnsi="Times New Roman"/>
                <w:color w:val="auto"/>
                <w:sz w:val="24"/>
                <w:highlight w:val="none"/>
              </w:rPr>
              <w:t>否</w:t>
            </w:r>
          </w:p>
          <w:p w14:paraId="3C4413A4">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是</w:t>
            </w:r>
          </w:p>
          <w:p w14:paraId="308324AE">
            <w:pPr>
              <w:spacing w:after="0"/>
              <w:jc w:val="left"/>
              <w:rPr>
                <w:color w:val="auto"/>
                <w:sz w:val="24"/>
                <w:highlight w:val="none"/>
                <w:u w:val="single"/>
              </w:rPr>
            </w:pPr>
            <w:r>
              <w:rPr>
                <w:color w:val="auto"/>
                <w:sz w:val="24"/>
                <w:highlight w:val="none"/>
              </w:rPr>
              <w:t>成交候选人并列的，按照以下方式确定成交供应商：</w:t>
            </w:r>
            <w:r>
              <w:rPr>
                <w:rFonts w:hint="eastAsia" w:ascii="宋体" w:hAnsi="宋体" w:eastAsia="宋体" w:cs="宋体"/>
                <w:color w:val="auto"/>
                <w:sz w:val="24"/>
                <w:highlight w:val="none"/>
                <w:u w:val="single"/>
              </w:rPr>
              <w:t>评审得分相同的，按照最后报价由低到高的顺序推荐。评审得分且最后报价相同的，按照技术指标优劣顺序推荐。</w:t>
            </w:r>
          </w:p>
        </w:tc>
      </w:tr>
      <w:tr w14:paraId="2850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C4D511E">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23.5</w:t>
            </w:r>
          </w:p>
        </w:tc>
        <w:tc>
          <w:tcPr>
            <w:tcW w:w="1701" w:type="dxa"/>
            <w:noWrap w:val="0"/>
            <w:vAlign w:val="center"/>
          </w:tcPr>
          <w:p w14:paraId="411CD371">
            <w:pPr>
              <w:spacing w:after="0"/>
              <w:jc w:val="center"/>
              <w:rPr>
                <w:color w:val="auto"/>
                <w:sz w:val="24"/>
                <w:highlight w:val="none"/>
              </w:rPr>
            </w:pPr>
            <w:r>
              <w:rPr>
                <w:color w:val="auto"/>
                <w:sz w:val="24"/>
                <w:highlight w:val="none"/>
              </w:rPr>
              <w:t>分包</w:t>
            </w:r>
          </w:p>
        </w:tc>
        <w:tc>
          <w:tcPr>
            <w:tcW w:w="7253" w:type="dxa"/>
            <w:noWrap w:val="0"/>
            <w:vAlign w:val="center"/>
          </w:tcPr>
          <w:p w14:paraId="652458FE">
            <w:pPr>
              <w:spacing w:after="0"/>
              <w:jc w:val="left"/>
              <w:rPr>
                <w:color w:val="auto"/>
                <w:sz w:val="24"/>
                <w:highlight w:val="none"/>
              </w:rPr>
            </w:pPr>
            <w:r>
              <w:rPr>
                <w:color w:val="auto"/>
                <w:sz w:val="24"/>
                <w:highlight w:val="none"/>
              </w:rPr>
              <w:t xml:space="preserve">本项目是否允许分包： </w:t>
            </w:r>
          </w:p>
          <w:p w14:paraId="52754612">
            <w:pPr>
              <w:spacing w:after="0"/>
              <w:jc w:val="left"/>
              <w:rPr>
                <w:color w:val="auto"/>
                <w:sz w:val="24"/>
                <w:highlight w:val="none"/>
              </w:rPr>
            </w:pPr>
            <w:r>
              <w:rPr>
                <w:rFonts w:hint="eastAsia"/>
                <w:color w:val="auto"/>
                <w:sz w:val="24"/>
                <w:highlight w:val="none"/>
              </w:rPr>
              <w:t>▇</w:t>
            </w:r>
            <w:r>
              <w:rPr>
                <w:color w:val="auto"/>
                <w:sz w:val="24"/>
                <w:highlight w:val="none"/>
              </w:rPr>
              <w:t>不允许</w:t>
            </w:r>
          </w:p>
          <w:p w14:paraId="1D5AFD6E">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允许，具体要求：_______。</w:t>
            </w:r>
          </w:p>
          <w:p w14:paraId="5E7642AD">
            <w:pPr>
              <w:spacing w:after="0"/>
              <w:jc w:val="left"/>
              <w:rPr>
                <w:color w:val="auto"/>
                <w:sz w:val="24"/>
                <w:highlight w:val="none"/>
              </w:rPr>
            </w:pPr>
            <w:r>
              <w:rPr>
                <w:color w:val="auto"/>
                <w:sz w:val="24"/>
                <w:highlight w:val="none"/>
              </w:rPr>
              <w:t>（1）可以分包履行的具体内容：_______；</w:t>
            </w:r>
          </w:p>
          <w:p w14:paraId="109C240E">
            <w:pPr>
              <w:spacing w:after="0"/>
              <w:jc w:val="left"/>
              <w:rPr>
                <w:color w:val="auto"/>
                <w:sz w:val="24"/>
                <w:highlight w:val="none"/>
              </w:rPr>
            </w:pPr>
            <w:r>
              <w:rPr>
                <w:color w:val="auto"/>
                <w:sz w:val="24"/>
                <w:highlight w:val="none"/>
              </w:rPr>
              <w:t>（2）允许分包的金额或者比例：_______；</w:t>
            </w:r>
          </w:p>
          <w:p w14:paraId="796727E5">
            <w:pPr>
              <w:spacing w:after="0"/>
              <w:jc w:val="left"/>
              <w:rPr>
                <w:color w:val="auto"/>
                <w:sz w:val="24"/>
                <w:highlight w:val="none"/>
                <w:u w:val="single"/>
              </w:rPr>
            </w:pPr>
            <w:r>
              <w:rPr>
                <w:color w:val="auto"/>
                <w:sz w:val="24"/>
                <w:highlight w:val="none"/>
              </w:rPr>
              <w:t>（3）其他要求：_______。</w:t>
            </w:r>
          </w:p>
        </w:tc>
      </w:tr>
      <w:tr w14:paraId="6E2A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CAFA29">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24.1.1</w:t>
            </w:r>
          </w:p>
        </w:tc>
        <w:tc>
          <w:tcPr>
            <w:tcW w:w="1701" w:type="dxa"/>
            <w:noWrap w:val="0"/>
            <w:vAlign w:val="center"/>
          </w:tcPr>
          <w:p w14:paraId="35F478F6">
            <w:pPr>
              <w:spacing w:after="0"/>
              <w:jc w:val="center"/>
              <w:rPr>
                <w:color w:val="auto"/>
                <w:sz w:val="24"/>
                <w:highlight w:val="none"/>
              </w:rPr>
            </w:pPr>
            <w:r>
              <w:rPr>
                <w:color w:val="auto"/>
                <w:sz w:val="24"/>
                <w:highlight w:val="none"/>
              </w:rPr>
              <w:t>询问</w:t>
            </w:r>
          </w:p>
        </w:tc>
        <w:tc>
          <w:tcPr>
            <w:tcW w:w="7253" w:type="dxa"/>
            <w:noWrap w:val="0"/>
            <w:vAlign w:val="center"/>
          </w:tcPr>
          <w:p w14:paraId="4D804152">
            <w:pPr>
              <w:spacing w:after="0"/>
              <w:jc w:val="left"/>
              <w:rPr>
                <w:color w:val="auto"/>
                <w:sz w:val="24"/>
                <w:highlight w:val="none"/>
              </w:rPr>
            </w:pPr>
            <w:r>
              <w:rPr>
                <w:color w:val="auto"/>
                <w:sz w:val="24"/>
                <w:highlight w:val="none"/>
              </w:rPr>
              <w:t>询问送达形式：</w:t>
            </w:r>
            <w:r>
              <w:rPr>
                <w:rFonts w:hint="eastAsia"/>
                <w:color w:val="auto"/>
                <w:sz w:val="24"/>
                <w:highlight w:val="none"/>
                <w:u w:val="single"/>
              </w:rPr>
              <w:t>应以书面形式向招标采购单位提交询问函或质疑书（原件）并进行登记。询问函或质疑书应包括：(1)询问人/质疑人和被询问人/被质疑人的名称、地址、电话等；(2)具体事项及事实依据；(3)相关证明材料；(4)提起询问/质疑的日期。询问函或质疑书应当由法定代表人或 授权人签字盖章并加盖单位公章，由授权人签字的需出具法定代表人授权书、身份证原件及身份证复印件加盖单位公章。以上资料须在规定时间内递交至</w:t>
            </w:r>
            <w:r>
              <w:rPr>
                <w:rFonts w:hint="eastAsia"/>
                <w:color w:val="auto"/>
                <w:sz w:val="24"/>
                <w:highlight w:val="none"/>
                <w:u w:val="single"/>
                <w:lang w:eastAsia="zh-CN"/>
              </w:rPr>
              <w:t>北京市西城区新街口外大街8号金丰和C座518室</w:t>
            </w:r>
            <w:r>
              <w:rPr>
                <w:color w:val="auto"/>
                <w:sz w:val="24"/>
                <w:highlight w:val="none"/>
              </w:rPr>
              <w:t>。</w:t>
            </w:r>
          </w:p>
        </w:tc>
      </w:tr>
      <w:tr w14:paraId="1E8F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4A776A9">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24.3</w:t>
            </w:r>
          </w:p>
        </w:tc>
        <w:tc>
          <w:tcPr>
            <w:tcW w:w="1701" w:type="dxa"/>
            <w:noWrap w:val="0"/>
            <w:vAlign w:val="center"/>
          </w:tcPr>
          <w:p w14:paraId="4712E8A7">
            <w:pPr>
              <w:spacing w:after="0"/>
              <w:jc w:val="center"/>
              <w:rPr>
                <w:color w:val="auto"/>
                <w:sz w:val="24"/>
                <w:highlight w:val="none"/>
              </w:rPr>
            </w:pPr>
            <w:r>
              <w:rPr>
                <w:color w:val="auto"/>
                <w:sz w:val="24"/>
                <w:highlight w:val="none"/>
              </w:rPr>
              <w:t>联系方式</w:t>
            </w:r>
          </w:p>
        </w:tc>
        <w:tc>
          <w:tcPr>
            <w:tcW w:w="7253" w:type="dxa"/>
            <w:noWrap w:val="0"/>
            <w:vAlign w:val="center"/>
          </w:tcPr>
          <w:p w14:paraId="46B5E662">
            <w:pPr>
              <w:spacing w:after="0"/>
              <w:jc w:val="left"/>
              <w:rPr>
                <w:color w:val="auto"/>
                <w:sz w:val="24"/>
                <w:highlight w:val="none"/>
              </w:rPr>
            </w:pPr>
            <w:r>
              <w:rPr>
                <w:color w:val="auto"/>
                <w:sz w:val="24"/>
                <w:highlight w:val="none"/>
              </w:rPr>
              <w:t>接收询问和质疑的联系方式</w:t>
            </w:r>
          </w:p>
          <w:p w14:paraId="7B15264B">
            <w:pPr>
              <w:spacing w:after="0"/>
              <w:jc w:val="left"/>
              <w:rPr>
                <w:color w:val="auto"/>
                <w:sz w:val="24"/>
                <w:highlight w:val="none"/>
              </w:rPr>
            </w:pPr>
            <w:r>
              <w:rPr>
                <w:color w:val="auto"/>
                <w:sz w:val="24"/>
                <w:highlight w:val="none"/>
              </w:rPr>
              <w:t>联系部门：</w:t>
            </w:r>
            <w:r>
              <w:rPr>
                <w:rFonts w:hint="eastAsia"/>
                <w:color w:val="auto"/>
                <w:sz w:val="24"/>
                <w:highlight w:val="none"/>
                <w:u w:val="single"/>
                <w:lang w:eastAsia="zh-CN"/>
              </w:rPr>
              <w:t>北京华审金建国际工程项目管理有限公司</w:t>
            </w:r>
            <w:r>
              <w:rPr>
                <w:rFonts w:hint="eastAsia"/>
                <w:color w:val="auto"/>
                <w:sz w:val="24"/>
                <w:highlight w:val="none"/>
                <w:u w:val="single"/>
              </w:rPr>
              <w:t xml:space="preserve">  </w:t>
            </w:r>
            <w:r>
              <w:rPr>
                <w:color w:val="auto"/>
                <w:sz w:val="24"/>
                <w:highlight w:val="none"/>
              </w:rPr>
              <w:t>；</w:t>
            </w:r>
          </w:p>
          <w:p w14:paraId="77C4DD50">
            <w:pPr>
              <w:spacing w:after="0"/>
              <w:jc w:val="left"/>
              <w:rPr>
                <w:color w:val="auto"/>
                <w:sz w:val="24"/>
                <w:highlight w:val="none"/>
              </w:rPr>
            </w:pPr>
            <w:r>
              <w:rPr>
                <w:color w:val="auto"/>
                <w:sz w:val="24"/>
                <w:highlight w:val="none"/>
              </w:rPr>
              <w:t>联系电话：</w:t>
            </w:r>
            <w:r>
              <w:rPr>
                <w:rFonts w:hint="eastAsia"/>
                <w:color w:val="auto"/>
                <w:sz w:val="24"/>
                <w:highlight w:val="none"/>
                <w:u w:val="single"/>
                <w:lang w:val="en-US" w:eastAsia="zh-CN"/>
              </w:rPr>
              <w:t>张工、马工，</w:t>
            </w:r>
            <w:r>
              <w:rPr>
                <w:rFonts w:hint="eastAsia" w:hAnsi="宋体" w:cs="宋体"/>
                <w:color w:val="auto"/>
                <w:sz w:val="24"/>
                <w:highlight w:val="none"/>
                <w:u w:val="single"/>
                <w:lang w:val="en-US" w:eastAsia="zh-CN"/>
              </w:rPr>
              <w:t xml:space="preserve"> 15243037816</w:t>
            </w:r>
            <w:r>
              <w:rPr>
                <w:rFonts w:hint="eastAsia"/>
                <w:color w:val="auto"/>
                <w:sz w:val="24"/>
                <w:highlight w:val="none"/>
                <w:u w:val="single"/>
              </w:rPr>
              <w:t>；</w:t>
            </w:r>
          </w:p>
          <w:p w14:paraId="40DFC9E4">
            <w:pPr>
              <w:spacing w:after="0"/>
              <w:jc w:val="left"/>
              <w:rPr>
                <w:color w:val="auto"/>
                <w:sz w:val="24"/>
                <w:highlight w:val="none"/>
              </w:rPr>
            </w:pPr>
            <w:r>
              <w:rPr>
                <w:color w:val="auto"/>
                <w:sz w:val="24"/>
                <w:highlight w:val="none"/>
              </w:rPr>
              <w:t>通讯地址：</w:t>
            </w:r>
            <w:r>
              <w:rPr>
                <w:rFonts w:hint="eastAsia"/>
                <w:color w:val="auto"/>
                <w:sz w:val="24"/>
                <w:highlight w:val="none"/>
                <w:u w:val="single"/>
                <w:lang w:eastAsia="zh-CN"/>
              </w:rPr>
              <w:t>北京市西城区新街口外大街8号金丰和C座518室</w:t>
            </w:r>
            <w:r>
              <w:rPr>
                <w:color w:val="auto"/>
                <w:sz w:val="24"/>
                <w:highlight w:val="none"/>
              </w:rPr>
              <w:t>。</w:t>
            </w:r>
          </w:p>
        </w:tc>
      </w:tr>
      <w:tr w14:paraId="0574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3CF67B">
            <w:pPr>
              <w:pStyle w:val="23"/>
              <w:adjustRightInd w:val="0"/>
              <w:snapToGrid w:val="0"/>
              <w:spacing w:after="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w:t>
            </w:r>
          </w:p>
        </w:tc>
        <w:tc>
          <w:tcPr>
            <w:tcW w:w="1701" w:type="dxa"/>
            <w:noWrap w:val="0"/>
            <w:vAlign w:val="center"/>
          </w:tcPr>
          <w:p w14:paraId="5AA6B951">
            <w:pPr>
              <w:spacing w:after="0"/>
              <w:jc w:val="center"/>
              <w:rPr>
                <w:color w:val="auto"/>
                <w:sz w:val="24"/>
                <w:highlight w:val="none"/>
              </w:rPr>
            </w:pPr>
            <w:r>
              <w:rPr>
                <w:color w:val="auto"/>
                <w:sz w:val="24"/>
                <w:highlight w:val="none"/>
              </w:rPr>
              <w:t>代理费</w:t>
            </w:r>
          </w:p>
        </w:tc>
        <w:tc>
          <w:tcPr>
            <w:tcW w:w="7253" w:type="dxa"/>
            <w:noWrap w:val="0"/>
            <w:vAlign w:val="center"/>
          </w:tcPr>
          <w:p w14:paraId="25B1D669">
            <w:pPr>
              <w:spacing w:after="0"/>
              <w:jc w:val="left"/>
              <w:rPr>
                <w:rFonts w:hint="eastAsia"/>
                <w:color w:val="auto"/>
                <w:sz w:val="24"/>
                <w:highlight w:val="none"/>
              </w:rPr>
            </w:pPr>
            <w:r>
              <w:rPr>
                <w:color w:val="auto"/>
                <w:sz w:val="24"/>
                <w:highlight w:val="none"/>
              </w:rPr>
              <w:t>收费对象</w:t>
            </w:r>
            <w:r>
              <w:rPr>
                <w:rFonts w:hint="eastAsia"/>
                <w:color w:val="auto"/>
                <w:sz w:val="24"/>
                <w:highlight w:val="none"/>
              </w:rPr>
              <w:t>：</w:t>
            </w:r>
          </w:p>
          <w:p w14:paraId="1985D5C3">
            <w:pPr>
              <w:spacing w:after="0"/>
              <w:jc w:val="left"/>
              <w:rPr>
                <w:color w:val="auto"/>
                <w:sz w:val="24"/>
                <w:highlight w:val="none"/>
              </w:rPr>
            </w:pPr>
            <w:r>
              <w:rPr>
                <w:rFonts w:ascii="Wingdings 2" w:hAnsi="Wingdings 2"/>
                <w:color w:val="auto"/>
                <w:highlight w:val="none"/>
              </w:rPr>
              <w:sym w:font="Wingdings 2" w:char="F0A3"/>
            </w:r>
            <w:r>
              <w:rPr>
                <w:color w:val="auto"/>
                <w:sz w:val="24"/>
                <w:highlight w:val="none"/>
              </w:rPr>
              <w:t>采购人</w:t>
            </w:r>
          </w:p>
          <w:p w14:paraId="74A9A635">
            <w:pPr>
              <w:spacing w:after="0"/>
              <w:jc w:val="left"/>
              <w:rPr>
                <w:color w:val="auto"/>
                <w:sz w:val="24"/>
                <w:highlight w:val="none"/>
              </w:rPr>
            </w:pPr>
            <w:r>
              <w:rPr>
                <w:rFonts w:hint="eastAsia"/>
                <w:color w:val="auto"/>
                <w:sz w:val="24"/>
                <w:highlight w:val="none"/>
              </w:rPr>
              <w:t>▇</w:t>
            </w:r>
            <w:r>
              <w:rPr>
                <w:color w:val="auto"/>
                <w:sz w:val="24"/>
                <w:highlight w:val="none"/>
              </w:rPr>
              <w:t>成交供应商</w:t>
            </w:r>
          </w:p>
          <w:p w14:paraId="1BE841D7">
            <w:pPr>
              <w:spacing w:after="0"/>
              <w:jc w:val="left"/>
              <w:rPr>
                <w:rFonts w:hint="eastAsia"/>
                <w:color w:val="auto"/>
                <w:sz w:val="24"/>
                <w:highlight w:val="none"/>
                <w:u w:val="single"/>
              </w:rPr>
            </w:pPr>
            <w:r>
              <w:rPr>
                <w:color w:val="auto"/>
                <w:sz w:val="24"/>
                <w:highlight w:val="none"/>
              </w:rPr>
              <w:t>收费标准：</w:t>
            </w:r>
            <w:r>
              <w:rPr>
                <w:rFonts w:hint="eastAsia"/>
                <w:color w:val="auto"/>
                <w:sz w:val="24"/>
                <w:highlight w:val="none"/>
                <w:u w:val="single"/>
              </w:rPr>
              <w:t>依据“《招标代理服务收费管理暂行办法》计价格[2002]1980号计费标准 100%</w:t>
            </w:r>
            <w:r>
              <w:rPr>
                <w:rFonts w:hint="eastAsia"/>
                <w:color w:val="auto"/>
                <w:sz w:val="24"/>
                <w:highlight w:val="none"/>
                <w:u w:val="single"/>
                <w:lang w:val="en-US" w:eastAsia="zh-CN"/>
              </w:rPr>
              <w:t xml:space="preserve"> </w:t>
            </w:r>
            <w:r>
              <w:rPr>
                <w:rFonts w:hint="eastAsia"/>
                <w:color w:val="auto"/>
                <w:sz w:val="24"/>
                <w:highlight w:val="none"/>
                <w:u w:val="single"/>
              </w:rPr>
              <w:t>计取，由</w:t>
            </w:r>
            <w:r>
              <w:rPr>
                <w:rFonts w:hint="eastAsia"/>
                <w:color w:val="auto"/>
                <w:sz w:val="24"/>
                <w:highlight w:val="none"/>
                <w:u w:val="single"/>
                <w:lang w:eastAsia="zh-CN"/>
              </w:rPr>
              <w:t>成交人</w:t>
            </w:r>
            <w:r>
              <w:rPr>
                <w:rFonts w:hint="eastAsia"/>
                <w:color w:val="auto"/>
                <w:sz w:val="24"/>
                <w:highlight w:val="none"/>
                <w:u w:val="single"/>
              </w:rPr>
              <w:t>支付本次采购代理服务费。</w:t>
            </w:r>
          </w:p>
          <w:p w14:paraId="7124F0E2">
            <w:pPr>
              <w:spacing w:after="0"/>
              <w:jc w:val="left"/>
              <w:rPr>
                <w:rFonts w:hint="default" w:eastAsia="宋体"/>
                <w:color w:val="auto"/>
                <w:sz w:val="24"/>
                <w:highlight w:val="none"/>
                <w:u w:val="single"/>
                <w:lang w:val="en-US" w:eastAsia="zh-CN"/>
              </w:rPr>
            </w:pPr>
            <w:r>
              <w:rPr>
                <w:color w:val="auto"/>
                <w:sz w:val="24"/>
                <w:highlight w:val="none"/>
              </w:rPr>
              <w:t>缴纳时间：</w:t>
            </w:r>
            <w:r>
              <w:rPr>
                <w:rFonts w:hint="eastAsia"/>
                <w:color w:val="auto"/>
                <w:sz w:val="24"/>
                <w:highlight w:val="none"/>
                <w:u w:val="single"/>
                <w:lang w:val="en-US" w:eastAsia="zh-CN"/>
              </w:rPr>
              <w:t>依据代理协议执行。</w:t>
            </w:r>
            <w:r>
              <w:rPr>
                <w:rFonts w:hint="eastAsia"/>
                <w:color w:val="auto"/>
                <w:sz w:val="24"/>
                <w:highlight w:val="none"/>
                <w:u w:val="single"/>
              </w:rPr>
              <w:t>领取成交通知书</w:t>
            </w:r>
            <w:r>
              <w:rPr>
                <w:rFonts w:hint="eastAsia"/>
                <w:color w:val="auto"/>
                <w:sz w:val="24"/>
                <w:highlight w:val="none"/>
                <w:u w:val="single"/>
                <w:lang w:val="en-US" w:eastAsia="zh-CN"/>
              </w:rPr>
              <w:t>前</w:t>
            </w:r>
            <w:r>
              <w:rPr>
                <w:rFonts w:hint="eastAsia"/>
                <w:color w:val="auto"/>
                <w:sz w:val="24"/>
                <w:highlight w:val="none"/>
                <w:u w:val="single"/>
              </w:rPr>
              <w:t>完成代理费的缴纳。</w:t>
            </w:r>
          </w:p>
        </w:tc>
      </w:tr>
      <w:tr w14:paraId="41A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6CA11B6">
            <w:pPr>
              <w:pStyle w:val="23"/>
              <w:adjustRightInd w:val="0"/>
              <w:snapToGrid w:val="0"/>
              <w:spacing w:after="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w:t>
            </w:r>
          </w:p>
        </w:tc>
        <w:tc>
          <w:tcPr>
            <w:tcW w:w="1701" w:type="dxa"/>
            <w:noWrap w:val="0"/>
            <w:vAlign w:val="center"/>
          </w:tcPr>
          <w:p w14:paraId="217E85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磋商控制价</w:t>
            </w:r>
          </w:p>
        </w:tc>
        <w:tc>
          <w:tcPr>
            <w:tcW w:w="7253" w:type="dxa"/>
            <w:noWrap w:val="0"/>
            <w:vAlign w:val="center"/>
          </w:tcPr>
          <w:p w14:paraId="1F27E8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本项目磋商控制价总价为</w:t>
            </w:r>
            <w:r>
              <w:rPr>
                <w:rFonts w:hint="eastAsia" w:ascii="宋体" w:hAnsi="宋体" w:cs="宋体"/>
                <w:color w:val="auto"/>
                <w:sz w:val="24"/>
                <w:highlight w:val="none"/>
                <w:u w:val="single"/>
                <w:lang w:val="en-US" w:eastAsia="zh-CN"/>
              </w:rPr>
              <w:t xml:space="preserve"> 412.04162 万</w:t>
            </w:r>
            <w:r>
              <w:rPr>
                <w:rFonts w:hint="eastAsia" w:ascii="宋体" w:hAnsi="宋体" w:eastAsia="宋体" w:cs="宋体"/>
                <w:color w:val="auto"/>
                <w:sz w:val="24"/>
                <w:highlight w:val="none"/>
                <w:lang w:val="zh-CN"/>
              </w:rPr>
              <w:t>元，首轮报价</w:t>
            </w:r>
            <w:r>
              <w:rPr>
                <w:rFonts w:hint="eastAsia" w:ascii="宋体" w:hAnsi="宋体" w:eastAsia="宋体" w:cs="宋体"/>
                <w:color w:val="auto"/>
                <w:sz w:val="24"/>
                <w:highlight w:val="none"/>
                <w:lang w:val="en-US" w:eastAsia="zh-CN"/>
              </w:rPr>
              <w:t>不得</w:t>
            </w:r>
            <w:r>
              <w:rPr>
                <w:rFonts w:hint="eastAsia" w:ascii="宋体" w:hAnsi="宋体" w:eastAsia="宋体" w:cs="宋体"/>
                <w:color w:val="auto"/>
                <w:sz w:val="24"/>
                <w:highlight w:val="none"/>
                <w:lang w:val="zh-CN"/>
              </w:rPr>
              <w:t>高于磋商控制价，否则其报价无效。</w:t>
            </w:r>
          </w:p>
          <w:p w14:paraId="067B6E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本工程最高限价为：</w:t>
            </w:r>
            <w:r>
              <w:rPr>
                <w:rFonts w:hint="eastAsia" w:ascii="宋体" w:hAnsi="宋体" w:cs="宋体"/>
                <w:color w:val="auto"/>
                <w:sz w:val="24"/>
                <w:highlight w:val="none"/>
                <w:u w:val="single"/>
                <w:lang w:val="en-US" w:eastAsia="zh-CN"/>
              </w:rPr>
              <w:t xml:space="preserve"> 4,120,416.2 </w:t>
            </w:r>
            <w:r>
              <w:rPr>
                <w:rFonts w:hint="eastAsia" w:ascii="宋体" w:hAnsi="宋体" w:eastAsia="宋体" w:cs="宋体"/>
                <w:color w:val="auto"/>
                <w:sz w:val="24"/>
                <w:highlight w:val="none"/>
                <w:lang w:val="zh-CN"/>
              </w:rPr>
              <w:t>元。</w:t>
            </w:r>
          </w:p>
          <w:p w14:paraId="7A44A1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其中：分部分项工程合价为：</w:t>
            </w:r>
            <w:r>
              <w:rPr>
                <w:rFonts w:hint="eastAsia" w:ascii="宋体" w:hAnsi="宋体" w:cs="宋体"/>
                <w:color w:val="auto"/>
                <w:sz w:val="24"/>
                <w:highlight w:val="none"/>
                <w:u w:val="single"/>
                <w:lang w:val="en-US" w:eastAsia="zh-CN"/>
              </w:rPr>
              <w:t xml:space="preserve"> 3190949.71 </w:t>
            </w:r>
            <w:r>
              <w:rPr>
                <w:rFonts w:hint="eastAsia" w:ascii="宋体" w:hAnsi="宋体" w:eastAsia="宋体" w:cs="宋体"/>
                <w:color w:val="auto"/>
                <w:sz w:val="24"/>
                <w:highlight w:val="none"/>
                <w:lang w:val="zh-CN"/>
              </w:rPr>
              <w:t>元；</w:t>
            </w:r>
          </w:p>
          <w:p w14:paraId="299171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措施项目合价为：</w:t>
            </w:r>
            <w:r>
              <w:rPr>
                <w:rFonts w:hint="eastAsia" w:ascii="宋体" w:hAnsi="宋体" w:cs="宋体"/>
                <w:color w:val="auto"/>
                <w:sz w:val="24"/>
                <w:highlight w:val="none"/>
                <w:u w:val="single"/>
                <w:lang w:val="en-US" w:eastAsia="zh-CN"/>
              </w:rPr>
              <w:t xml:space="preserve"> 482551.39 </w:t>
            </w:r>
            <w:r>
              <w:rPr>
                <w:rFonts w:hint="eastAsia" w:ascii="宋体" w:hAnsi="宋体" w:eastAsia="宋体" w:cs="宋体"/>
                <w:color w:val="auto"/>
                <w:sz w:val="24"/>
                <w:highlight w:val="none"/>
                <w:u w:val="none"/>
                <w:lang w:val="zh-CN"/>
              </w:rPr>
              <w:t>元</w:t>
            </w:r>
            <w:r>
              <w:rPr>
                <w:rFonts w:hint="eastAsia" w:ascii="宋体" w:hAnsi="宋体" w:eastAsia="宋体" w:cs="宋体"/>
                <w:color w:val="auto"/>
                <w:sz w:val="24"/>
                <w:highlight w:val="none"/>
                <w:lang w:val="zh-CN"/>
              </w:rPr>
              <w:t>；</w:t>
            </w:r>
          </w:p>
          <w:p w14:paraId="50269C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其他项目合价为：</w:t>
            </w:r>
            <w:r>
              <w:rPr>
                <w:rFonts w:hint="eastAsia" w:ascii="宋体" w:hAnsi="宋体" w:eastAsia="宋体" w:cs="宋体"/>
                <w:color w:val="auto"/>
                <w:sz w:val="24"/>
                <w:highlight w:val="none"/>
                <w:u w:val="single"/>
                <w:lang w:val="en-US" w:eastAsia="zh-CN"/>
              </w:rPr>
              <w:t xml:space="preserve"> 106697.25 </w:t>
            </w:r>
            <w:r>
              <w:rPr>
                <w:rFonts w:hint="eastAsia" w:ascii="宋体" w:hAnsi="宋体" w:eastAsia="宋体" w:cs="宋体"/>
                <w:color w:val="auto"/>
                <w:sz w:val="24"/>
                <w:highlight w:val="none"/>
                <w:lang w:val="zh-CN"/>
              </w:rPr>
              <w:t>元；</w:t>
            </w:r>
          </w:p>
          <w:p w14:paraId="7BDA42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税金</w:t>
            </w:r>
            <w:r>
              <w:rPr>
                <w:rFonts w:hint="eastAsia" w:ascii="宋体" w:hAnsi="宋体" w:eastAsia="宋体" w:cs="宋体"/>
                <w:color w:val="auto"/>
                <w:sz w:val="24"/>
                <w:highlight w:val="none"/>
                <w:lang w:val="zh-CN"/>
              </w:rPr>
              <w:t>的合价为：</w:t>
            </w:r>
            <w:r>
              <w:rPr>
                <w:rFonts w:hint="eastAsia" w:ascii="宋体" w:hAnsi="宋体" w:cs="宋体"/>
                <w:color w:val="auto"/>
                <w:sz w:val="24"/>
                <w:highlight w:val="none"/>
                <w:u w:val="single"/>
                <w:lang w:val="en-US" w:eastAsia="zh-CN"/>
              </w:rPr>
              <w:t xml:space="preserve"> 340217.85 </w:t>
            </w:r>
            <w:r>
              <w:rPr>
                <w:rFonts w:hint="eastAsia" w:ascii="宋体" w:hAnsi="宋体" w:eastAsia="宋体" w:cs="宋体"/>
                <w:color w:val="auto"/>
                <w:sz w:val="24"/>
                <w:highlight w:val="none"/>
                <w:lang w:val="zh-CN"/>
              </w:rPr>
              <w:t>元。</w:t>
            </w:r>
          </w:p>
          <w:p w14:paraId="677E4A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其他说明：专业工程暂估价（含税）合计金额：</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w:t>
            </w:r>
          </w:p>
          <w:p w14:paraId="2BA1E4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暂列金额（不含计日工）（含税）合计金额：</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116300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w:t>
            </w:r>
          </w:p>
          <w:p w14:paraId="1E3049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安全文明施工</w:t>
            </w:r>
            <w:r>
              <w:rPr>
                <w:rFonts w:hint="eastAsia" w:ascii="宋体" w:hAnsi="宋体" w:eastAsia="宋体" w:cs="宋体"/>
                <w:color w:val="auto"/>
                <w:sz w:val="24"/>
                <w:highlight w:val="none"/>
                <w:lang w:val="en-US" w:eastAsia="zh-CN"/>
              </w:rPr>
              <w:t>费</w:t>
            </w:r>
            <w:r>
              <w:rPr>
                <w:rFonts w:hint="eastAsia" w:ascii="宋体" w:hAnsi="宋体" w:eastAsia="宋体" w:cs="宋体"/>
                <w:color w:val="auto"/>
                <w:sz w:val="24"/>
                <w:highlight w:val="none"/>
                <w:lang w:val="zh-CN"/>
              </w:rPr>
              <w:t>（含税）合计金额：</w:t>
            </w:r>
            <w:r>
              <w:rPr>
                <w:rFonts w:hint="eastAsia" w:ascii="宋体" w:hAnsi="宋体" w:eastAsia="宋体" w:cs="宋体"/>
                <w:color w:val="auto"/>
                <w:sz w:val="24"/>
                <w:highlight w:val="none"/>
                <w:u w:val="single"/>
                <w:lang w:val="en-US" w:eastAsia="zh-CN"/>
              </w:rPr>
              <w:t xml:space="preserve"> 214345.06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元；</w:t>
            </w:r>
          </w:p>
          <w:p w14:paraId="7FF9A7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施工垃圾场外运输和消纳费（</w:t>
            </w:r>
            <w:r>
              <w:rPr>
                <w:rFonts w:hint="eastAsia" w:ascii="宋体" w:hAnsi="宋体" w:cs="宋体"/>
                <w:color w:val="auto"/>
                <w:sz w:val="24"/>
                <w:highlight w:val="none"/>
                <w:lang w:val="en-US" w:eastAsia="zh-CN"/>
              </w:rPr>
              <w:t>不</w:t>
            </w:r>
            <w:r>
              <w:rPr>
                <w:rFonts w:hint="eastAsia" w:ascii="宋体" w:hAnsi="宋体" w:eastAsia="宋体" w:cs="宋体"/>
                <w:color w:val="auto"/>
                <w:sz w:val="24"/>
                <w:highlight w:val="none"/>
                <w:lang w:val="zh-CN"/>
              </w:rPr>
              <w:t>含税）</w:t>
            </w:r>
            <w:r>
              <w:rPr>
                <w:rFonts w:hint="eastAsia" w:ascii="宋体" w:hAnsi="宋体" w:cs="宋体"/>
                <w:color w:val="auto"/>
                <w:sz w:val="24"/>
                <w:highlight w:val="none"/>
                <w:lang w:val="zh-CN"/>
              </w:rPr>
              <w:t>：</w:t>
            </w:r>
            <w:r>
              <w:rPr>
                <w:rFonts w:hint="eastAsia" w:ascii="宋体" w:hAnsi="宋体" w:cs="宋体"/>
                <w:color w:val="auto"/>
                <w:sz w:val="24"/>
                <w:highlight w:val="none"/>
                <w:u w:val="single"/>
                <w:lang w:val="en-US" w:eastAsia="zh-CN"/>
              </w:rPr>
              <w:t xml:space="preserve"> 11882.88 </w:t>
            </w:r>
            <w:r>
              <w:rPr>
                <w:rFonts w:hint="eastAsia" w:ascii="宋体" w:hAnsi="宋体" w:cs="宋体"/>
                <w:color w:val="auto"/>
                <w:sz w:val="24"/>
                <w:highlight w:val="none"/>
                <w:u w:val="none"/>
                <w:lang w:val="en-US" w:eastAsia="zh-CN"/>
              </w:rPr>
              <w:t>元</w:t>
            </w:r>
            <w:r>
              <w:rPr>
                <w:rFonts w:hint="eastAsia" w:ascii="宋体" w:hAnsi="宋体" w:cs="宋体"/>
                <w:color w:val="auto"/>
                <w:sz w:val="24"/>
                <w:highlight w:val="none"/>
                <w:lang w:val="en-US" w:eastAsia="zh-CN"/>
              </w:rPr>
              <w:t>;</w:t>
            </w:r>
          </w:p>
          <w:p w14:paraId="5BDEE2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赶工增加费（含税）合计金额（如有）：</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w:t>
            </w:r>
          </w:p>
        </w:tc>
      </w:tr>
    </w:tbl>
    <w:p w14:paraId="5DABB16B">
      <w:pPr>
        <w:spacing w:after="0"/>
        <w:rPr>
          <w:b/>
          <w:color w:val="auto"/>
          <w:sz w:val="28"/>
          <w:szCs w:val="28"/>
          <w:highlight w:val="none"/>
        </w:rPr>
      </w:pPr>
      <w:r>
        <w:rPr>
          <w:b/>
          <w:color w:val="auto"/>
          <w:sz w:val="28"/>
          <w:szCs w:val="28"/>
          <w:highlight w:val="none"/>
        </w:rPr>
        <w:br w:type="page"/>
      </w:r>
    </w:p>
    <w:p w14:paraId="13AE2D88">
      <w:pPr>
        <w:spacing w:before="240" w:beforeLines="100" w:after="0"/>
        <w:jc w:val="center"/>
        <w:rPr>
          <w:b/>
          <w:color w:val="auto"/>
          <w:sz w:val="28"/>
          <w:szCs w:val="28"/>
          <w:highlight w:val="none"/>
        </w:rPr>
      </w:pPr>
      <w:r>
        <w:rPr>
          <w:b/>
          <w:color w:val="auto"/>
          <w:sz w:val="28"/>
          <w:szCs w:val="28"/>
          <w:highlight w:val="none"/>
        </w:rPr>
        <w:t>供应商须知</w:t>
      </w:r>
    </w:p>
    <w:p w14:paraId="571A90F8">
      <w:pPr>
        <w:pStyle w:val="4"/>
        <w:tabs>
          <w:tab w:val="center" w:pos="4592"/>
          <w:tab w:val="left" w:pos="7860"/>
        </w:tabs>
        <w:spacing w:before="0" w:after="0" w:line="360" w:lineRule="auto"/>
        <w:jc w:val="left"/>
        <w:rPr>
          <w:rFonts w:ascii="Times New Roman" w:hAnsi="Times New Roman" w:eastAsia="宋体"/>
          <w:color w:val="auto"/>
          <w:sz w:val="28"/>
          <w:highlight w:val="none"/>
        </w:rPr>
      </w:pPr>
      <w:bookmarkStart w:id="75" w:name="_Toc520356143"/>
      <w:bookmarkStart w:id="76" w:name="_Toc127151518"/>
      <w:r>
        <w:rPr>
          <w:rFonts w:ascii="Times New Roman" w:hAnsi="Times New Roman" w:eastAsia="宋体"/>
          <w:color w:val="auto"/>
          <w:sz w:val="28"/>
          <w:highlight w:val="none"/>
        </w:rPr>
        <w:tab/>
      </w:r>
      <w:bookmarkStart w:id="77" w:name="_Toc142311020"/>
      <w:bookmarkStart w:id="78" w:name="_Toc265228356"/>
      <w:bookmarkStart w:id="79" w:name="_Toc226337214"/>
      <w:bookmarkStart w:id="80" w:name="_Toc150480756"/>
      <w:bookmarkStart w:id="81" w:name="_Toc305158860"/>
      <w:bookmarkStart w:id="82" w:name="_Toc150774723"/>
      <w:bookmarkStart w:id="83" w:name="_Toc226965791"/>
      <w:bookmarkStart w:id="84" w:name="_Toc195842883"/>
      <w:bookmarkStart w:id="85" w:name="_Toc151193688"/>
      <w:bookmarkStart w:id="86" w:name="_Toc151193616"/>
      <w:bookmarkStart w:id="87" w:name="_Toc264969208"/>
      <w:bookmarkStart w:id="88" w:name="_Toc226309762"/>
      <w:bookmarkStart w:id="89" w:name="_Toc150509269"/>
      <w:bookmarkStart w:id="90" w:name="_Toc151190145"/>
      <w:bookmarkStart w:id="91" w:name="_Toc226965708"/>
      <w:bookmarkStart w:id="92" w:name="_Toc151193832"/>
      <w:bookmarkStart w:id="93" w:name="_Toc151193906"/>
      <w:bookmarkStart w:id="94" w:name="_Toc150774618"/>
      <w:bookmarkStart w:id="95" w:name="_Toc305158786"/>
      <w:bookmarkStart w:id="96" w:name="_Toc151193760"/>
      <w:r>
        <w:rPr>
          <w:rFonts w:ascii="Times New Roman" w:hAnsi="Times New Roman" w:eastAsia="宋体"/>
          <w:color w:val="auto"/>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宋体"/>
          <w:color w:val="auto"/>
          <w:sz w:val="28"/>
          <w:highlight w:val="none"/>
        </w:rPr>
        <w:tab/>
      </w:r>
    </w:p>
    <w:p w14:paraId="49D93DFC">
      <w:pPr>
        <w:numPr>
          <w:ilvl w:val="0"/>
          <w:numId w:val="8"/>
        </w:numPr>
        <w:tabs>
          <w:tab w:val="left" w:pos="360"/>
          <w:tab w:val="clear" w:pos="900"/>
        </w:tabs>
        <w:snapToGrid w:val="0"/>
        <w:spacing w:after="0" w:line="360" w:lineRule="auto"/>
        <w:ind w:left="357" w:hanging="357"/>
        <w:outlineLvl w:val="1"/>
        <w:rPr>
          <w:color w:val="auto"/>
          <w:sz w:val="24"/>
          <w:highlight w:val="none"/>
        </w:rPr>
      </w:pPr>
      <w:bookmarkStart w:id="97" w:name="_Toc264969209"/>
      <w:bookmarkStart w:id="98" w:name="_Toc305158861"/>
      <w:bookmarkStart w:id="99" w:name="_Toc305158787"/>
      <w:bookmarkStart w:id="100" w:name="_Toc265228357"/>
      <w:r>
        <w:rPr>
          <w:color w:val="auto"/>
          <w:sz w:val="24"/>
          <w:highlight w:val="none"/>
        </w:rPr>
        <w:t>采购人、采购代理机构、供应商</w:t>
      </w:r>
      <w:bookmarkEnd w:id="97"/>
      <w:bookmarkEnd w:id="98"/>
      <w:bookmarkEnd w:id="99"/>
      <w:bookmarkEnd w:id="100"/>
      <w:r>
        <w:rPr>
          <w:color w:val="auto"/>
          <w:sz w:val="24"/>
          <w:highlight w:val="none"/>
        </w:rPr>
        <w:t>、联合体</w:t>
      </w:r>
    </w:p>
    <w:p w14:paraId="4BF7F7D6">
      <w:pPr>
        <w:numPr>
          <w:ilvl w:val="1"/>
          <w:numId w:val="8"/>
        </w:numPr>
        <w:tabs>
          <w:tab w:val="left" w:pos="1080"/>
          <w:tab w:val="left" w:pos="2014"/>
          <w:tab w:val="left" w:pos="5521"/>
        </w:tabs>
        <w:snapToGrid w:val="0"/>
        <w:spacing w:after="0"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57620AFD">
      <w:pPr>
        <w:numPr>
          <w:ilvl w:val="1"/>
          <w:numId w:val="8"/>
        </w:numPr>
        <w:tabs>
          <w:tab w:val="left" w:pos="1080"/>
          <w:tab w:val="left" w:pos="2014"/>
          <w:tab w:val="left" w:pos="5521"/>
        </w:tabs>
        <w:snapToGrid w:val="0"/>
        <w:spacing w:after="0"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74633C95">
      <w:pPr>
        <w:numPr>
          <w:ilvl w:val="1"/>
          <w:numId w:val="8"/>
        </w:numPr>
        <w:tabs>
          <w:tab w:val="left" w:pos="1080"/>
          <w:tab w:val="left" w:pos="2014"/>
          <w:tab w:val="left" w:pos="5521"/>
        </w:tabs>
        <w:snapToGrid w:val="0"/>
        <w:spacing w:after="0"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334B2BCF">
      <w:pPr>
        <w:numPr>
          <w:ilvl w:val="0"/>
          <w:numId w:val="8"/>
        </w:numPr>
        <w:tabs>
          <w:tab w:val="left" w:pos="360"/>
          <w:tab w:val="clear" w:pos="900"/>
        </w:tabs>
        <w:snapToGrid w:val="0"/>
        <w:spacing w:after="0" w:line="360" w:lineRule="auto"/>
        <w:ind w:left="357" w:hanging="357"/>
        <w:outlineLvl w:val="1"/>
        <w:rPr>
          <w:color w:val="auto"/>
          <w:sz w:val="24"/>
          <w:highlight w:val="none"/>
        </w:rPr>
      </w:pPr>
      <w:bookmarkStart w:id="101" w:name="_Toc265228358"/>
      <w:bookmarkStart w:id="102" w:name="_Toc226965710"/>
      <w:bookmarkStart w:id="103" w:name="_Toc164608789"/>
      <w:bookmarkStart w:id="104" w:name="_Toc127151721"/>
      <w:bookmarkStart w:id="105" w:name="_Toc305158862"/>
      <w:bookmarkStart w:id="106" w:name="_Toc149720813"/>
      <w:bookmarkStart w:id="107" w:name="_Toc127151520"/>
      <w:bookmarkStart w:id="108" w:name="_Toc151193618"/>
      <w:bookmarkStart w:id="109" w:name="_Toc226309764"/>
      <w:bookmarkStart w:id="110" w:name="_Toc264969210"/>
      <w:bookmarkStart w:id="111" w:name="_Toc142311022"/>
      <w:bookmarkStart w:id="112" w:name="_Toc226965793"/>
      <w:bookmarkStart w:id="113" w:name="_Toc226337216"/>
      <w:bookmarkStart w:id="114" w:name="_Toc164351614"/>
      <w:bookmarkStart w:id="115" w:name="_Toc305158788"/>
      <w:bookmarkStart w:id="116" w:name="_Toc151190147"/>
      <w:bookmarkStart w:id="117" w:name="_Toc150480758"/>
      <w:bookmarkStart w:id="118" w:name="_Toc164229361"/>
      <w:bookmarkStart w:id="119" w:name="_Toc151193908"/>
      <w:bookmarkStart w:id="120" w:name="_Toc164229215"/>
      <w:bookmarkStart w:id="121" w:name="_Toc195842885"/>
      <w:bookmarkStart w:id="122" w:name="_Toc150774725"/>
      <w:bookmarkStart w:id="123" w:name="_Toc151193690"/>
      <w:bookmarkStart w:id="124" w:name="_Toc151193834"/>
      <w:bookmarkStart w:id="125" w:name="_Toc164608634"/>
      <w:bookmarkStart w:id="126" w:name="_Toc150509271"/>
      <w:bookmarkStart w:id="127" w:name="_Toc151193762"/>
      <w:bookmarkStart w:id="128" w:name="_Toc150774620"/>
      <w:bookmarkStart w:id="129" w:name="_Toc127161434"/>
      <w:r>
        <w:rPr>
          <w:color w:val="auto"/>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color w:val="auto"/>
          <w:sz w:val="24"/>
          <w:highlight w:val="none"/>
        </w:rPr>
        <w:t>、项目属性、科研仪器设备采购</w:t>
      </w:r>
    </w:p>
    <w:p w14:paraId="6F2A2479">
      <w:pPr>
        <w:numPr>
          <w:ilvl w:val="1"/>
          <w:numId w:val="8"/>
        </w:numPr>
        <w:tabs>
          <w:tab w:val="left" w:pos="1080"/>
          <w:tab w:val="left" w:pos="2014"/>
        </w:tabs>
        <w:snapToGrid w:val="0"/>
        <w:spacing w:after="0"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1E7BCBCA">
      <w:pPr>
        <w:numPr>
          <w:ilvl w:val="1"/>
          <w:numId w:val="8"/>
        </w:numPr>
        <w:tabs>
          <w:tab w:val="left" w:pos="1080"/>
          <w:tab w:val="left" w:pos="2014"/>
        </w:tabs>
        <w:snapToGrid w:val="0"/>
        <w:spacing w:after="0" w:line="360" w:lineRule="auto"/>
        <w:ind w:left="1080" w:hanging="720"/>
        <w:rPr>
          <w:color w:val="auto"/>
          <w:sz w:val="24"/>
          <w:highlight w:val="none"/>
        </w:rPr>
      </w:pPr>
      <w:r>
        <w:rPr>
          <w:color w:val="auto"/>
          <w:sz w:val="24"/>
          <w:highlight w:val="none"/>
        </w:rPr>
        <w:t>项目属性见《供应商须知资料表》。</w:t>
      </w:r>
    </w:p>
    <w:p w14:paraId="598B3952">
      <w:pPr>
        <w:numPr>
          <w:ilvl w:val="1"/>
          <w:numId w:val="8"/>
        </w:numPr>
        <w:tabs>
          <w:tab w:val="left" w:pos="1080"/>
          <w:tab w:val="left" w:pos="2014"/>
        </w:tabs>
        <w:snapToGrid w:val="0"/>
        <w:spacing w:after="0" w:line="360" w:lineRule="auto"/>
        <w:ind w:left="1080" w:hanging="720"/>
        <w:rPr>
          <w:color w:val="auto"/>
          <w:sz w:val="24"/>
          <w:highlight w:val="none"/>
        </w:rPr>
      </w:pPr>
      <w:r>
        <w:rPr>
          <w:color w:val="auto"/>
          <w:sz w:val="24"/>
          <w:highlight w:val="none"/>
        </w:rPr>
        <w:t>是否属于科研仪器设备采购见《供应商须知资料表》。</w:t>
      </w:r>
    </w:p>
    <w:p w14:paraId="34C61B17">
      <w:pPr>
        <w:numPr>
          <w:ilvl w:val="0"/>
          <w:numId w:val="8"/>
        </w:numPr>
        <w:tabs>
          <w:tab w:val="left" w:pos="360"/>
        </w:tabs>
        <w:snapToGrid w:val="0"/>
        <w:spacing w:after="0" w:line="360" w:lineRule="auto"/>
        <w:ind w:left="357" w:hanging="357"/>
        <w:outlineLvl w:val="1"/>
        <w:rPr>
          <w:color w:val="auto"/>
          <w:sz w:val="24"/>
          <w:highlight w:val="none"/>
        </w:rPr>
      </w:pPr>
      <w:r>
        <w:rPr>
          <w:color w:val="auto"/>
          <w:sz w:val="24"/>
          <w:highlight w:val="none"/>
        </w:rPr>
        <w:t>现场考察、磋商前答疑会</w:t>
      </w:r>
    </w:p>
    <w:p w14:paraId="25ED1DAC">
      <w:pPr>
        <w:numPr>
          <w:ilvl w:val="1"/>
          <w:numId w:val="8"/>
        </w:numPr>
        <w:tabs>
          <w:tab w:val="left" w:pos="1080"/>
          <w:tab w:val="left" w:pos="2014"/>
        </w:tabs>
        <w:snapToGrid w:val="0"/>
        <w:spacing w:after="0"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130" w:name="_Toc142311024"/>
      <w:bookmarkStart w:id="131" w:name="_Toc151193836"/>
      <w:bookmarkStart w:id="132" w:name="_Toc150774622"/>
      <w:bookmarkStart w:id="133" w:name="_Toc226337218"/>
      <w:bookmarkStart w:id="134" w:name="_Toc151190149"/>
      <w:bookmarkStart w:id="135" w:name="_Toc150774727"/>
      <w:bookmarkStart w:id="136" w:name="_Toc520356146"/>
      <w:bookmarkStart w:id="137" w:name="_Toc226309766"/>
      <w:bookmarkStart w:id="138" w:name="_Toc151193620"/>
      <w:bookmarkStart w:id="139" w:name="_Toc151193910"/>
      <w:bookmarkStart w:id="140" w:name="_Toc305158864"/>
      <w:bookmarkStart w:id="141" w:name="_Toc226965712"/>
      <w:bookmarkStart w:id="142" w:name="_Toc151193764"/>
      <w:bookmarkStart w:id="143" w:name="_Toc264969212"/>
      <w:bookmarkStart w:id="144" w:name="_Toc226965795"/>
      <w:bookmarkStart w:id="145" w:name="_Toc151193692"/>
      <w:bookmarkStart w:id="146" w:name="_Toc265228360"/>
      <w:bookmarkStart w:id="147" w:name="_Toc305158790"/>
      <w:bookmarkStart w:id="148" w:name="_Toc150480760"/>
      <w:bookmarkStart w:id="149" w:name="_Toc150509273"/>
      <w:bookmarkStart w:id="150" w:name="_Toc127151522"/>
      <w:bookmarkStart w:id="151" w:name="_Toc195842887"/>
    </w:p>
    <w:p w14:paraId="0BD65F10">
      <w:pPr>
        <w:numPr>
          <w:ilvl w:val="1"/>
          <w:numId w:val="8"/>
        </w:numPr>
        <w:tabs>
          <w:tab w:val="left" w:pos="1080"/>
          <w:tab w:val="left" w:pos="2014"/>
        </w:tabs>
        <w:snapToGrid w:val="0"/>
        <w:spacing w:after="0"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1BA8E3C8">
      <w:pPr>
        <w:numPr>
          <w:ilvl w:val="0"/>
          <w:numId w:val="8"/>
        </w:numPr>
        <w:tabs>
          <w:tab w:val="left" w:pos="360"/>
          <w:tab w:val="clear" w:pos="900"/>
        </w:tabs>
        <w:snapToGrid w:val="0"/>
        <w:spacing w:after="0" w:line="360" w:lineRule="auto"/>
        <w:ind w:left="357" w:hanging="357"/>
        <w:outlineLvl w:val="1"/>
        <w:rPr>
          <w:color w:val="auto"/>
          <w:sz w:val="24"/>
          <w:highlight w:val="none"/>
        </w:rPr>
      </w:pPr>
      <w:r>
        <w:rPr>
          <w:color w:val="auto"/>
          <w:sz w:val="24"/>
          <w:highlight w:val="none"/>
        </w:rPr>
        <w:t>政府采购政策（包括但不限于下列具体政策要求）</w:t>
      </w:r>
    </w:p>
    <w:p w14:paraId="03788EA2">
      <w:pPr>
        <w:numPr>
          <w:ilvl w:val="1"/>
          <w:numId w:val="8"/>
        </w:numPr>
        <w:tabs>
          <w:tab w:val="left" w:pos="1080"/>
          <w:tab w:val="left" w:pos="2014"/>
        </w:tabs>
        <w:snapToGrid w:val="0"/>
        <w:spacing w:after="0" w:line="360" w:lineRule="auto"/>
        <w:ind w:left="1080" w:hanging="720"/>
        <w:rPr>
          <w:color w:val="auto"/>
          <w:sz w:val="24"/>
          <w:highlight w:val="none"/>
        </w:rPr>
      </w:pPr>
      <w:r>
        <w:rPr>
          <w:rFonts w:hint="eastAsia"/>
          <w:color w:val="auto"/>
          <w:sz w:val="24"/>
          <w:highlight w:val="none"/>
        </w:rPr>
        <w:t>采购本国货物、工程和服务</w:t>
      </w:r>
    </w:p>
    <w:p w14:paraId="6AF1A3DC">
      <w:pPr>
        <w:numPr>
          <w:ilvl w:val="2"/>
          <w:numId w:val="8"/>
        </w:numPr>
        <w:tabs>
          <w:tab w:val="left" w:pos="2014"/>
        </w:tabs>
        <w:snapToGrid w:val="0"/>
        <w:spacing w:after="0" w:line="360" w:lineRule="auto"/>
        <w:rPr>
          <w:color w:val="auto"/>
          <w:sz w:val="24"/>
          <w:highlight w:val="none"/>
        </w:rPr>
      </w:pPr>
      <w:r>
        <w:rPr>
          <w:rFonts w:hint="eastAsia"/>
          <w:color w:val="auto"/>
          <w:sz w:val="24"/>
          <w:highlight w:val="none"/>
        </w:rPr>
        <w:t>政府采购应当采购本国货物、工程和服务。但有《中华人民共和国政 府采购法》第十条规定情形的除外。</w:t>
      </w:r>
    </w:p>
    <w:p w14:paraId="0629415D">
      <w:pPr>
        <w:numPr>
          <w:ilvl w:val="2"/>
          <w:numId w:val="8"/>
        </w:numPr>
        <w:tabs>
          <w:tab w:val="left" w:pos="2014"/>
        </w:tabs>
        <w:snapToGrid w:val="0"/>
        <w:spacing w:after="0" w:line="360" w:lineRule="auto"/>
        <w:rPr>
          <w:color w:val="auto"/>
          <w:sz w:val="24"/>
          <w:highlight w:val="none"/>
        </w:rPr>
      </w:pPr>
      <w:r>
        <w:rPr>
          <w:rFonts w:hint="eastAsia"/>
          <w:color w:val="auto"/>
          <w:sz w:val="24"/>
          <w:highlight w:val="none"/>
        </w:rPr>
        <w:t>本项目如接受非本国货物、工程、服务参与响应，则具体要求见第四章《采购需求》。</w:t>
      </w:r>
    </w:p>
    <w:p w14:paraId="65BBA4A3">
      <w:pPr>
        <w:numPr>
          <w:ilvl w:val="2"/>
          <w:numId w:val="8"/>
        </w:numPr>
        <w:tabs>
          <w:tab w:val="left" w:pos="2014"/>
        </w:tabs>
        <w:snapToGrid w:val="0"/>
        <w:spacing w:after="0" w:line="360" w:lineRule="auto"/>
        <w:rPr>
          <w:color w:val="auto"/>
          <w:sz w:val="24"/>
          <w:highlight w:val="none"/>
        </w:rPr>
      </w:pPr>
      <w:r>
        <w:rPr>
          <w:rFonts w:hint="eastAsia"/>
          <w:color w:val="auto"/>
          <w:sz w:val="24"/>
          <w:highlight w:val="none"/>
        </w:rPr>
        <w:t>进口产品指通过中国海关报关验放进入中国境内且产自关境外的产 品，包括已经进入中国境内的进口产品。关于进口产品的相关规定依 据《政府采购进口产品管理办法》（财库〔2007〕 119 号文）、《关 于政府采购进口产品管理有关问题的通知》（财办库〔2008〕 248 号文）。</w:t>
      </w:r>
    </w:p>
    <w:p w14:paraId="54EBD515">
      <w:pPr>
        <w:numPr>
          <w:ilvl w:val="1"/>
          <w:numId w:val="8"/>
        </w:numPr>
        <w:tabs>
          <w:tab w:val="left" w:pos="1080"/>
          <w:tab w:val="left" w:pos="2014"/>
        </w:tabs>
        <w:snapToGrid w:val="0"/>
        <w:spacing w:after="0" w:line="360" w:lineRule="auto"/>
        <w:ind w:left="1080" w:hanging="720"/>
        <w:rPr>
          <w:color w:val="auto"/>
          <w:sz w:val="24"/>
          <w:highlight w:val="none"/>
        </w:rPr>
      </w:pPr>
      <w:r>
        <w:rPr>
          <w:color w:val="auto"/>
          <w:sz w:val="24"/>
          <w:highlight w:val="none"/>
        </w:rPr>
        <w:t>中小企业、监狱企业及残疾人福利性单位</w:t>
      </w:r>
    </w:p>
    <w:p w14:paraId="6AF66E86">
      <w:pPr>
        <w:numPr>
          <w:ilvl w:val="2"/>
          <w:numId w:val="8"/>
        </w:numPr>
        <w:snapToGrid w:val="0"/>
        <w:spacing w:after="0" w:line="360" w:lineRule="auto"/>
        <w:rPr>
          <w:color w:val="auto"/>
          <w:sz w:val="24"/>
          <w:highlight w:val="none"/>
        </w:rPr>
      </w:pPr>
      <w:r>
        <w:rPr>
          <w:color w:val="auto"/>
          <w:sz w:val="24"/>
          <w:highlight w:val="none"/>
        </w:rPr>
        <w:t>中小企业定义</w:t>
      </w:r>
      <w:r>
        <w:rPr>
          <w:rFonts w:hint="eastAsia"/>
          <w:color w:val="auto"/>
          <w:sz w:val="24"/>
          <w:highlight w:val="none"/>
          <w:lang w:eastAsia="zh-CN"/>
        </w:rPr>
        <w:t>：</w:t>
      </w:r>
    </w:p>
    <w:p w14:paraId="39CADA6C">
      <w:pPr>
        <w:tabs>
          <w:tab w:val="left" w:pos="1980"/>
          <w:tab w:val="left" w:pos="2035"/>
          <w:tab w:val="left" w:pos="2885"/>
          <w:tab w:val="left" w:pos="2977"/>
        </w:tabs>
        <w:snapToGrid w:val="0"/>
        <w:spacing w:after="0" w:line="360" w:lineRule="auto"/>
        <w:ind w:left="1985"/>
        <w:rPr>
          <w:color w:val="auto"/>
          <w:sz w:val="24"/>
          <w:highlight w:val="none"/>
        </w:rPr>
      </w:pPr>
      <w:r>
        <w:rPr>
          <w:rFonts w:hint="eastAsia"/>
          <w:color w:val="auto"/>
          <w:sz w:val="24"/>
          <w:highlight w:val="none"/>
          <w:lang w:val="en-US" w:eastAsia="zh-CN"/>
        </w:rPr>
        <w:t xml:space="preserve">4.2.1.1 </w:t>
      </w:r>
      <w:r>
        <w:rPr>
          <w:rFonts w:hint="eastAsia"/>
          <w:color w:val="auto"/>
          <w:sz w:val="24"/>
          <w:highlight w:val="none"/>
        </w:rPr>
        <w:t>中小企业是指在中华人民共和国境内依法设立，依据国务院   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 号）、《政府采购促进中小企业发展管理办法》（财库〔2020〕46 号）、《关于印发中小企业划型标准规定的通知》（工信部联企业〔 2011 〕300  号 ）、《金融业企业划型标准规定》 （〔2015〕309 号）等国务院批准的中小企业划分标准执行。</w:t>
      </w:r>
    </w:p>
    <w:p w14:paraId="43B7B9F5">
      <w:pPr>
        <w:tabs>
          <w:tab w:val="left" w:pos="1980"/>
          <w:tab w:val="left" w:pos="2035"/>
          <w:tab w:val="left" w:pos="2885"/>
          <w:tab w:val="left" w:pos="2977"/>
        </w:tabs>
        <w:snapToGrid w:val="0"/>
        <w:spacing w:after="0" w:line="360" w:lineRule="auto"/>
        <w:ind w:left="1915" w:leftChars="912" w:firstLine="0" w:firstLineChars="0"/>
        <w:rPr>
          <w:color w:val="auto"/>
          <w:sz w:val="24"/>
          <w:highlight w:val="none"/>
        </w:rPr>
      </w:pPr>
      <w:r>
        <w:rPr>
          <w:rFonts w:hint="eastAsia"/>
          <w:color w:val="auto"/>
          <w:sz w:val="24"/>
          <w:highlight w:val="none"/>
        </w:rPr>
        <w:t>4.2.1.</w:t>
      </w:r>
      <w:r>
        <w:rPr>
          <w:rFonts w:hint="eastAsia"/>
          <w:color w:val="auto"/>
          <w:sz w:val="24"/>
          <w:highlight w:val="none"/>
          <w:lang w:val="en-US" w:eastAsia="zh-CN"/>
        </w:rPr>
        <w:t>2</w:t>
      </w:r>
      <w:r>
        <w:rPr>
          <w:rFonts w:hint="eastAsia"/>
          <w:color w:val="auto"/>
          <w:sz w:val="24"/>
          <w:highlight w:val="none"/>
        </w:rPr>
        <w:t xml:space="preserve">  </w:t>
      </w:r>
      <w:r>
        <w:rPr>
          <w:color w:val="auto"/>
          <w:sz w:val="24"/>
          <w:highlight w:val="none"/>
        </w:rPr>
        <w:t>供应商提供的货物、工程或者服务符合下列情形的，享受中小企业扶持政策：</w:t>
      </w:r>
    </w:p>
    <w:p w14:paraId="5451B771">
      <w:pPr>
        <w:tabs>
          <w:tab w:val="left" w:pos="1980"/>
        </w:tabs>
        <w:snapToGrid w:val="0"/>
        <w:spacing w:after="0" w:line="360" w:lineRule="auto"/>
        <w:ind w:left="1676" w:leftChars="798" w:firstLine="240" w:firstLineChars="100"/>
        <w:rPr>
          <w:color w:val="auto"/>
          <w:sz w:val="24"/>
          <w:highlight w:val="none"/>
        </w:rPr>
      </w:pPr>
      <w:r>
        <w:rPr>
          <w:color w:val="auto"/>
          <w:sz w:val="24"/>
          <w:highlight w:val="none"/>
        </w:rPr>
        <w:t>（1）在货物采购项目中，货物由中小企业制造，即货物由中小企业生产且使用该中小企业商号或者注册商标；</w:t>
      </w:r>
    </w:p>
    <w:p w14:paraId="592F3BEB">
      <w:pPr>
        <w:tabs>
          <w:tab w:val="left" w:pos="1980"/>
        </w:tabs>
        <w:snapToGrid w:val="0"/>
        <w:spacing w:after="0" w:line="360" w:lineRule="auto"/>
        <w:ind w:left="1676" w:leftChars="798" w:firstLine="240" w:firstLineChars="100"/>
        <w:rPr>
          <w:color w:val="auto"/>
          <w:sz w:val="24"/>
          <w:highlight w:val="none"/>
        </w:rPr>
      </w:pPr>
      <w:r>
        <w:rPr>
          <w:color w:val="auto"/>
          <w:sz w:val="24"/>
          <w:highlight w:val="none"/>
        </w:rPr>
        <w:t>（2）在工程采购项目中，工程由中小企业承建，即工程施工单位为中小企业；</w:t>
      </w:r>
    </w:p>
    <w:p w14:paraId="121AB34C">
      <w:pPr>
        <w:tabs>
          <w:tab w:val="left" w:pos="1980"/>
        </w:tabs>
        <w:snapToGrid w:val="0"/>
        <w:spacing w:after="0" w:line="360" w:lineRule="auto"/>
        <w:ind w:left="1676" w:leftChars="798" w:firstLine="240" w:firstLineChars="10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6948A082">
      <w:pPr>
        <w:tabs>
          <w:tab w:val="left" w:pos="1980"/>
          <w:tab w:val="left" w:pos="2035"/>
          <w:tab w:val="left" w:pos="2885"/>
          <w:tab w:val="left" w:pos="2977"/>
        </w:tabs>
        <w:snapToGrid w:val="0"/>
        <w:spacing w:after="0" w:line="360" w:lineRule="auto"/>
        <w:ind w:left="1676" w:leftChars="798" w:firstLine="240" w:firstLineChars="100"/>
        <w:rPr>
          <w:color w:val="auto"/>
          <w:sz w:val="24"/>
          <w:highlight w:val="none"/>
        </w:rPr>
      </w:pPr>
      <w:r>
        <w:rPr>
          <w:rFonts w:hint="eastAsia"/>
          <w:color w:val="auto"/>
          <w:sz w:val="24"/>
          <w:highlight w:val="none"/>
        </w:rPr>
        <w:t>4.2.1.</w:t>
      </w:r>
      <w:r>
        <w:rPr>
          <w:rFonts w:hint="eastAsia"/>
          <w:color w:val="auto"/>
          <w:sz w:val="24"/>
          <w:highlight w:val="none"/>
          <w:lang w:val="en-US" w:eastAsia="zh-CN"/>
        </w:rPr>
        <w:t>3</w:t>
      </w:r>
      <w:r>
        <w:rPr>
          <w:color w:val="auto"/>
          <w:sz w:val="24"/>
          <w:highlight w:val="none"/>
        </w:rPr>
        <w:t>在货物采购项目中，供应商提供的货物既有中小企业制造货物，也有大型企业制造货物的，不享受中小企业扶持政策。</w:t>
      </w:r>
    </w:p>
    <w:p w14:paraId="098AF54F">
      <w:pPr>
        <w:tabs>
          <w:tab w:val="left" w:pos="1980"/>
          <w:tab w:val="left" w:pos="2035"/>
          <w:tab w:val="left" w:pos="2885"/>
          <w:tab w:val="left" w:pos="2977"/>
        </w:tabs>
        <w:snapToGrid w:val="0"/>
        <w:spacing w:after="0" w:line="360" w:lineRule="auto"/>
        <w:ind w:left="1676" w:leftChars="798" w:firstLine="240" w:firstLineChars="100"/>
        <w:rPr>
          <w:color w:val="auto"/>
          <w:sz w:val="24"/>
          <w:highlight w:val="none"/>
        </w:rPr>
      </w:pPr>
      <w:r>
        <w:rPr>
          <w:rFonts w:hint="eastAsia"/>
          <w:color w:val="auto"/>
          <w:sz w:val="24"/>
          <w:highlight w:val="none"/>
        </w:rPr>
        <w:t>4.2.1.</w:t>
      </w:r>
      <w:r>
        <w:rPr>
          <w:rFonts w:hint="eastAsia"/>
          <w:color w:val="auto"/>
          <w:sz w:val="24"/>
          <w:highlight w:val="none"/>
          <w:lang w:val="en-US" w:eastAsia="zh-CN"/>
        </w:rPr>
        <w:t>4</w:t>
      </w:r>
      <w:r>
        <w:rPr>
          <w:color w:val="auto"/>
          <w:sz w:val="24"/>
          <w:highlight w:val="none"/>
        </w:rPr>
        <w:t>以联合体形式参加政府采购活动，联合体各方均为中小企业的，联合体视同中小企业。其中，联合体各方均为小微企业的，联合体视同小微企业。</w:t>
      </w:r>
    </w:p>
    <w:p w14:paraId="00D9F1DF">
      <w:pPr>
        <w:snapToGrid w:val="0"/>
        <w:spacing w:after="0" w:line="360" w:lineRule="auto"/>
        <w:ind w:left="1080"/>
        <w:rPr>
          <w:color w:val="auto"/>
          <w:sz w:val="24"/>
          <w:highlight w:val="none"/>
        </w:rPr>
      </w:pPr>
      <w:r>
        <w:rPr>
          <w:rFonts w:hint="eastAsia"/>
          <w:color w:val="auto"/>
          <w:sz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A88047">
      <w:pPr>
        <w:snapToGrid w:val="0"/>
        <w:spacing w:after="0" w:line="360" w:lineRule="auto"/>
        <w:ind w:left="1080"/>
        <w:rPr>
          <w:color w:val="auto"/>
          <w:sz w:val="24"/>
          <w:highlight w:val="none"/>
        </w:rPr>
      </w:pPr>
      <w:r>
        <w:rPr>
          <w:rFonts w:hint="eastAsia"/>
          <w:color w:val="auto"/>
          <w:sz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9F42458">
      <w:pPr>
        <w:snapToGrid w:val="0"/>
        <w:spacing w:after="0" w:line="360" w:lineRule="auto"/>
        <w:ind w:left="1080" w:firstLine="480" w:firstLineChars="200"/>
        <w:rPr>
          <w:rFonts w:hint="eastAsia"/>
          <w:color w:val="auto"/>
          <w:sz w:val="24"/>
          <w:highlight w:val="none"/>
        </w:rPr>
      </w:pPr>
      <w:r>
        <w:rPr>
          <w:rFonts w:hint="eastAsia"/>
          <w:color w:val="auto"/>
          <w:sz w:val="24"/>
          <w:highlight w:val="none"/>
        </w:rPr>
        <w:t>4.2.3.1 安置的残疾人占本单位在职职工人数的比例不低于 25%（含 25%），并且安置的残疾人人数不少于 10 人（含 10</w:t>
      </w:r>
      <w:r>
        <w:rPr>
          <w:rFonts w:hint="eastAsia"/>
          <w:color w:val="auto"/>
          <w:sz w:val="24"/>
          <w:highlight w:val="none"/>
          <w:lang w:val="en-US" w:eastAsia="zh-CN"/>
        </w:rPr>
        <w:t>人</w:t>
      </w:r>
      <w:r>
        <w:rPr>
          <w:rFonts w:hint="eastAsia"/>
          <w:color w:val="auto"/>
          <w:sz w:val="24"/>
          <w:highlight w:val="none"/>
        </w:rPr>
        <w:t>）；</w:t>
      </w:r>
    </w:p>
    <w:p w14:paraId="1E37AB1C">
      <w:pPr>
        <w:snapToGrid w:val="0"/>
        <w:spacing w:after="0" w:line="360" w:lineRule="auto"/>
        <w:ind w:left="1080" w:firstLine="480" w:firstLineChars="200"/>
        <w:rPr>
          <w:rFonts w:hint="eastAsia"/>
          <w:color w:val="auto"/>
          <w:sz w:val="24"/>
          <w:highlight w:val="none"/>
        </w:rPr>
      </w:pPr>
      <w:r>
        <w:rPr>
          <w:rFonts w:hint="eastAsia"/>
          <w:color w:val="auto"/>
          <w:sz w:val="24"/>
          <w:highlight w:val="none"/>
        </w:rPr>
        <w:t>4.2.3.2 依法与安置的每位残疾人签订了一年以上（含一年）的劳动合同或服务协议；</w:t>
      </w:r>
    </w:p>
    <w:p w14:paraId="741BE162">
      <w:pPr>
        <w:snapToGrid w:val="0"/>
        <w:spacing w:after="0" w:line="360" w:lineRule="auto"/>
        <w:ind w:left="1080" w:firstLine="480" w:firstLineChars="200"/>
        <w:rPr>
          <w:rFonts w:hint="eastAsia"/>
          <w:color w:val="auto"/>
          <w:sz w:val="24"/>
          <w:highlight w:val="none"/>
        </w:rPr>
      </w:pPr>
      <w:r>
        <w:rPr>
          <w:rFonts w:hint="eastAsia"/>
          <w:color w:val="auto"/>
          <w:sz w:val="24"/>
          <w:highlight w:val="none"/>
        </w:rPr>
        <w:t>4.2.3.3 为安置的每位残疾人按月足额缴纳了基本养老保险、基本医疗保险、失业保险、工伤保险和生育保险等社会保险费；</w:t>
      </w:r>
    </w:p>
    <w:p w14:paraId="2AF36C55">
      <w:pPr>
        <w:snapToGrid w:val="0"/>
        <w:spacing w:after="0" w:line="360" w:lineRule="auto"/>
        <w:ind w:left="1080" w:firstLine="480" w:firstLineChars="200"/>
        <w:rPr>
          <w:rFonts w:hint="eastAsia"/>
          <w:color w:val="auto"/>
          <w:sz w:val="24"/>
          <w:highlight w:val="none"/>
        </w:rPr>
      </w:pPr>
      <w:r>
        <w:rPr>
          <w:rFonts w:hint="eastAsia"/>
          <w:color w:val="auto"/>
          <w:sz w:val="24"/>
          <w:highlight w:val="none"/>
        </w:rPr>
        <w:t>4.2.3.4 通过银行等金融机构向安置的每位残疾人，按月支付了不低于单位所在区县适用的经省级人民政府批准的月最低工资标准的工资；</w:t>
      </w:r>
    </w:p>
    <w:p w14:paraId="2035EB52">
      <w:pPr>
        <w:snapToGrid w:val="0"/>
        <w:spacing w:after="0" w:line="360" w:lineRule="auto"/>
        <w:ind w:left="1080" w:firstLine="480" w:firstLineChars="200"/>
        <w:rPr>
          <w:rFonts w:hint="eastAsia"/>
          <w:color w:val="auto"/>
          <w:sz w:val="24"/>
          <w:highlight w:val="none"/>
        </w:rPr>
      </w:pPr>
      <w:r>
        <w:rPr>
          <w:rFonts w:hint="eastAsia"/>
          <w:color w:val="auto"/>
          <w:sz w:val="24"/>
          <w:highlight w:val="none"/>
        </w:rPr>
        <w:t>4.2.3.5 提供本单位制造的货物、承担的工程或者服务（以下简称产品 ），或者提供其他残疾人福利性单位制造的货物（不包括使用非残疾人福利性单位注册商标的货物）；</w:t>
      </w:r>
    </w:p>
    <w:p w14:paraId="6CD17035">
      <w:pPr>
        <w:snapToGrid w:val="0"/>
        <w:spacing w:after="0" w:line="360" w:lineRule="auto"/>
        <w:ind w:left="1080" w:firstLine="480" w:firstLineChars="200"/>
        <w:rPr>
          <w:rFonts w:hint="eastAsia"/>
          <w:color w:val="auto"/>
          <w:sz w:val="24"/>
          <w:highlight w:val="none"/>
        </w:rPr>
      </w:pPr>
      <w:r>
        <w:rPr>
          <w:rFonts w:hint="eastAsia"/>
          <w:color w:val="auto"/>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的自然人，包括具有劳动条件和劳动意愿的精神残疾人。在职职工人数是指与残疾人福利性单位建立劳动关系并依法签订劳动合同或服务协议的雇员人数。</w:t>
      </w:r>
    </w:p>
    <w:p w14:paraId="6CD9F49C">
      <w:pPr>
        <w:snapToGrid w:val="0"/>
        <w:spacing w:after="0" w:line="360" w:lineRule="auto"/>
        <w:ind w:firstLine="1200" w:firstLineChars="500"/>
        <w:rPr>
          <w:color w:val="auto"/>
          <w:sz w:val="24"/>
          <w:highlight w:val="none"/>
        </w:rPr>
      </w:pPr>
      <w:r>
        <w:rPr>
          <w:rFonts w:hint="eastAsia"/>
          <w:color w:val="auto"/>
          <w:sz w:val="24"/>
          <w:highlight w:val="none"/>
        </w:rPr>
        <w:t>4.2.4本</w:t>
      </w:r>
      <w:r>
        <w:rPr>
          <w:color w:val="auto"/>
          <w:sz w:val="24"/>
          <w:highlight w:val="none"/>
        </w:rPr>
        <w:t>项目是否专门面向中小企业预留采购份额见第一章《采购邀请》。</w:t>
      </w:r>
    </w:p>
    <w:p w14:paraId="2D30F492">
      <w:pPr>
        <w:snapToGrid w:val="0"/>
        <w:spacing w:after="0" w:line="360" w:lineRule="auto"/>
        <w:ind w:left="1080"/>
        <w:rPr>
          <w:color w:val="auto"/>
          <w:sz w:val="24"/>
          <w:highlight w:val="none"/>
        </w:rPr>
      </w:pPr>
      <w:r>
        <w:rPr>
          <w:rFonts w:hint="eastAsia"/>
          <w:color w:val="auto"/>
          <w:sz w:val="24"/>
          <w:highlight w:val="none"/>
        </w:rPr>
        <w:t>4.2.5</w:t>
      </w:r>
      <w:r>
        <w:rPr>
          <w:color w:val="auto"/>
          <w:sz w:val="24"/>
          <w:highlight w:val="none"/>
        </w:rPr>
        <w:t>采购标的对应的中小企业划分标准所属行业见《供应商须知资料表》。</w:t>
      </w:r>
    </w:p>
    <w:p w14:paraId="1E2EEB94">
      <w:pPr>
        <w:snapToGrid w:val="0"/>
        <w:spacing w:after="0" w:line="360" w:lineRule="auto"/>
        <w:ind w:left="1080"/>
        <w:rPr>
          <w:color w:val="auto"/>
          <w:sz w:val="24"/>
          <w:highlight w:val="none"/>
        </w:rPr>
      </w:pPr>
      <w:r>
        <w:rPr>
          <w:rFonts w:hint="eastAsia"/>
          <w:color w:val="auto"/>
          <w:sz w:val="24"/>
          <w:highlight w:val="none"/>
        </w:rPr>
        <w:t>4.2.6</w:t>
      </w:r>
      <w:r>
        <w:rPr>
          <w:color w:val="auto"/>
          <w:sz w:val="24"/>
          <w:highlight w:val="none"/>
        </w:rPr>
        <w:t>小微企业价格评审优惠的政策调整：见第三章《评审方法和评审标准》。</w:t>
      </w:r>
    </w:p>
    <w:p w14:paraId="0C761955">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4.3  </w:t>
      </w:r>
      <w:r>
        <w:rPr>
          <w:rFonts w:hint="eastAsia" w:ascii="宋体" w:hAnsi="宋体" w:eastAsia="宋体" w:cs="宋体"/>
          <w:color w:val="auto"/>
          <w:sz w:val="24"/>
          <w:highlight w:val="none"/>
        </w:rPr>
        <w:t>政府采购节能产品、环境标志产品</w:t>
      </w:r>
    </w:p>
    <w:p w14:paraId="6FD110E2">
      <w:pPr>
        <w:keepNext w:val="0"/>
        <w:keepLines w:val="0"/>
        <w:pageBreakBefore w:val="0"/>
        <w:widowControl w:val="0"/>
        <w:numPr>
          <w:ilvl w:val="2"/>
          <w:numId w:val="0"/>
        </w:numPr>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4.3.1</w:t>
      </w:r>
      <w:r>
        <w:rPr>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0FB22F">
      <w:pPr>
        <w:keepNext w:val="0"/>
        <w:keepLines w:val="0"/>
        <w:pageBreakBefore w:val="0"/>
        <w:widowControl w:val="0"/>
        <w:numPr>
          <w:ilvl w:val="2"/>
          <w:numId w:val="0"/>
        </w:numPr>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4.3.2</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拟采购的产品属于品目清单范围的，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 xml:space="preserve">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176D21">
      <w:pPr>
        <w:keepNext w:val="0"/>
        <w:keepLines w:val="0"/>
        <w:pageBreakBefore w:val="0"/>
        <w:widowControl w:val="0"/>
        <w:numPr>
          <w:ilvl w:val="2"/>
          <w:numId w:val="0"/>
        </w:numPr>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4.3.3</w:t>
      </w:r>
      <w:r>
        <w:rPr>
          <w:rFonts w:hint="eastAsia" w:ascii="宋体" w:hAnsi="宋体" w:eastAsia="宋体" w:cs="宋体"/>
          <w:color w:val="auto"/>
          <w:sz w:val="24"/>
          <w:highlight w:val="none"/>
        </w:rPr>
        <w:t>如本项目采购产品属于实施政府强制采购品目清单范围的节能产品，则</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所报产品必须获得国家确定的认证机构出具的、处于有效期之内的节能产品认证证书，</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lang w:val="en-US" w:eastAsia="zh-CN"/>
        </w:rPr>
        <w:t>响应</w:t>
      </w:r>
      <w:r>
        <w:rPr>
          <w:rFonts w:hint="eastAsia" w:ascii="宋体" w:hAnsi="宋体" w:eastAsia="宋体" w:cs="宋体"/>
          <w:b/>
          <w:color w:val="auto"/>
          <w:kern w:val="0"/>
          <w:sz w:val="24"/>
          <w:highlight w:val="none"/>
        </w:rPr>
        <w:t>无效</w:t>
      </w:r>
      <w:r>
        <w:rPr>
          <w:rFonts w:hint="eastAsia" w:ascii="宋体" w:hAnsi="宋体" w:eastAsia="宋体" w:cs="宋体"/>
          <w:color w:val="auto"/>
          <w:sz w:val="24"/>
          <w:highlight w:val="none"/>
        </w:rPr>
        <w:t>；</w:t>
      </w:r>
    </w:p>
    <w:p w14:paraId="437D32DF">
      <w:pPr>
        <w:keepNext w:val="0"/>
        <w:keepLines w:val="0"/>
        <w:pageBreakBefore w:val="0"/>
        <w:widowControl w:val="0"/>
        <w:numPr>
          <w:ilvl w:val="2"/>
          <w:numId w:val="0"/>
        </w:numPr>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4.3.4</w:t>
      </w:r>
      <w:r>
        <w:rPr>
          <w:rFonts w:hint="eastAsia" w:ascii="宋体" w:hAnsi="宋体" w:eastAsia="宋体" w:cs="宋体"/>
          <w:color w:val="auto"/>
          <w:sz w:val="24"/>
          <w:highlight w:val="none"/>
        </w:rPr>
        <w:t>非政府强制采购的节能产品或环境标志产品，依据品目清单和认证证书实施政府优先采购。优先采购的具体规定见</w:t>
      </w:r>
      <w:r>
        <w:rPr>
          <w:rFonts w:hint="eastAsia" w:ascii="宋体" w:hAnsi="宋体" w:eastAsia="宋体" w:cs="宋体"/>
          <w:color w:val="auto"/>
          <w:sz w:val="24"/>
          <w:highlight w:val="none"/>
          <w:lang w:eastAsia="zh-CN"/>
        </w:rPr>
        <w:t>第三章《评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lang w:eastAsia="zh-CN"/>
        </w:rPr>
        <w:t>方法和评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（如涉及）。</w:t>
      </w:r>
    </w:p>
    <w:p w14:paraId="3955C2ED">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4.4  </w:t>
      </w:r>
      <w:r>
        <w:rPr>
          <w:rFonts w:hint="eastAsia" w:ascii="宋体" w:hAnsi="宋体" w:eastAsia="宋体" w:cs="宋体"/>
          <w:color w:val="auto"/>
          <w:sz w:val="24"/>
          <w:highlight w:val="none"/>
        </w:rPr>
        <w:t>正版软件</w:t>
      </w:r>
    </w:p>
    <w:p w14:paraId="754388CD">
      <w:pPr>
        <w:keepNext w:val="0"/>
        <w:keepLines w:val="0"/>
        <w:pageBreakBefore w:val="0"/>
        <w:widowControl w:val="0"/>
        <w:numPr>
          <w:ilvl w:val="2"/>
          <w:numId w:val="0"/>
        </w:numPr>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4.4.1</w:t>
      </w:r>
      <w:r>
        <w:rPr>
          <w:rFonts w:hint="eastAsia" w:ascii="宋体" w:hAnsi="宋体" w:eastAsia="宋体" w:cs="宋体"/>
          <w:color w:val="auto"/>
          <w:sz w:val="24"/>
          <w:highlight w:val="none"/>
        </w:rPr>
        <w:t>各级政府部门在购置计算机办公设备时，必须采购预装正版操作系统   软件的计算机产品，相关规定依据《国家版权局、信息产业部、财政部、国务院机关事务管理局关于政府部门购置计算机办公设备必须采购已预装正版操作系统软件产品的通知》（ 国权联〔2006〕 1  号）、《国务院办公厅关于进一步做好政府机关使用正版软件工作的通知》（国办发〔2010〕47  号）、《财政部关于进一步做好政府机关使用正版软件工作的通知》（财预〔2010〕536 号）。</w:t>
      </w:r>
    </w:p>
    <w:p w14:paraId="1CD53F2B">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4.5  </w:t>
      </w:r>
      <w:r>
        <w:rPr>
          <w:rFonts w:hint="eastAsia" w:ascii="宋体" w:hAnsi="宋体" w:eastAsia="宋体" w:cs="宋体"/>
          <w:color w:val="auto"/>
          <w:sz w:val="24"/>
          <w:highlight w:val="none"/>
        </w:rPr>
        <w:t>网络安全专用产品</w:t>
      </w:r>
    </w:p>
    <w:p w14:paraId="0E8E8B45">
      <w:pPr>
        <w:keepNext w:val="0"/>
        <w:keepLines w:val="0"/>
        <w:pageBreakBefore w:val="0"/>
        <w:widowControl w:val="0"/>
        <w:numPr>
          <w:ilvl w:val="2"/>
          <w:numId w:val="0"/>
        </w:numPr>
        <w:tabs>
          <w:tab w:val="left" w:pos="2014"/>
        </w:tabs>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877D3CE">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4.6  </w:t>
      </w:r>
      <w:r>
        <w:rPr>
          <w:rFonts w:hint="eastAsia" w:ascii="宋体" w:hAnsi="宋体" w:eastAsia="宋体" w:cs="宋体"/>
          <w:color w:val="auto"/>
          <w:sz w:val="24"/>
          <w:highlight w:val="none"/>
        </w:rPr>
        <w:t>推广使用低挥发性有机化合物（VOCs）</w:t>
      </w:r>
    </w:p>
    <w:p w14:paraId="6B0D177C">
      <w:pPr>
        <w:keepNext w:val="0"/>
        <w:keepLines w:val="0"/>
        <w:pageBreakBefore w:val="0"/>
        <w:widowControl w:val="0"/>
        <w:numPr>
          <w:ilvl w:val="2"/>
          <w:numId w:val="0"/>
        </w:numPr>
        <w:tabs>
          <w:tab w:val="left" w:pos="2014"/>
        </w:tabs>
        <w:kinsoku/>
        <w:wordWrap/>
        <w:overflowPunct/>
        <w:topLinePunct w:val="0"/>
        <w:autoSpaceDE/>
        <w:autoSpaceDN/>
        <w:bidi w:val="0"/>
        <w:adjustRightInd/>
        <w:snapToGrid w:val="0"/>
        <w:spacing w:after="0" w:line="360" w:lineRule="auto"/>
        <w:ind w:left="1678" w:leftChars="456"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4.6.1</w:t>
      </w:r>
      <w:r>
        <w:rPr>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应执行符合本市和国家的VOCs 含量限制标准（具体标准见第五章《采购需求》），</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lang w:eastAsia="zh-CN"/>
        </w:rPr>
        <w:t>响应无效</w:t>
      </w:r>
      <w:r>
        <w:rPr>
          <w:rFonts w:hint="eastAsia" w:ascii="宋体" w:hAnsi="宋体" w:eastAsia="宋体" w:cs="宋体"/>
          <w:color w:val="auto"/>
          <w:sz w:val="24"/>
          <w:highlight w:val="none"/>
        </w:rPr>
        <w:t>；属于推荐性标准的，优先采购，具体见</w:t>
      </w:r>
      <w:r>
        <w:rPr>
          <w:rFonts w:hint="eastAsia" w:ascii="宋体" w:hAnsi="宋体" w:eastAsia="宋体" w:cs="宋体"/>
          <w:color w:val="auto"/>
          <w:sz w:val="24"/>
          <w:highlight w:val="none"/>
          <w:lang w:eastAsia="zh-CN"/>
        </w:rPr>
        <w:t>第三章《评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lang w:eastAsia="zh-CN"/>
        </w:rPr>
        <w:t>方法和评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14:paraId="22418330">
      <w:pPr>
        <w:numPr>
          <w:ilvl w:val="2"/>
          <w:numId w:val="0"/>
        </w:numPr>
        <w:tabs>
          <w:tab w:val="left" w:pos="2014"/>
        </w:tabs>
        <w:snapToGrid w:val="0"/>
        <w:spacing w:after="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4.7 采购需求标准 </w:t>
      </w:r>
    </w:p>
    <w:p w14:paraId="1F4513E0">
      <w:pPr>
        <w:keepNext w:val="0"/>
        <w:keepLines w:val="0"/>
        <w:pageBreakBefore w:val="0"/>
        <w:widowControl w:val="0"/>
        <w:numPr>
          <w:ilvl w:val="2"/>
          <w:numId w:val="0"/>
        </w:numPr>
        <w:tabs>
          <w:tab w:val="left" w:pos="2014"/>
        </w:tabs>
        <w:kinsoku/>
        <w:wordWrap/>
        <w:overflowPunct/>
        <w:topLinePunct w:val="0"/>
        <w:autoSpaceDE/>
        <w:autoSpaceDN/>
        <w:bidi w:val="0"/>
        <w:adjustRightInd/>
        <w:snapToGrid w:val="0"/>
        <w:spacing w:after="0" w:line="360" w:lineRule="auto"/>
        <w:ind w:left="1438" w:leftChars="342"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4.7.1 商品包装、快递包装政府采购需求标准（试行） </w:t>
      </w:r>
    </w:p>
    <w:p w14:paraId="7719B932">
      <w:pPr>
        <w:keepNext w:val="0"/>
        <w:keepLines w:val="0"/>
        <w:pageBreakBefore w:val="0"/>
        <w:widowControl w:val="0"/>
        <w:numPr>
          <w:ilvl w:val="2"/>
          <w:numId w:val="0"/>
        </w:numPr>
        <w:tabs>
          <w:tab w:val="left" w:pos="2014"/>
        </w:tabs>
        <w:kinsoku/>
        <w:wordWrap/>
        <w:overflowPunct/>
        <w:topLinePunct w:val="0"/>
        <w:autoSpaceDE/>
        <w:autoSpaceDN/>
        <w:bidi w:val="0"/>
        <w:adjustRightInd/>
        <w:snapToGrid w:val="0"/>
        <w:spacing w:after="0" w:line="360" w:lineRule="auto"/>
        <w:ind w:left="1436" w:leftChars="684"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为助力打好污染防治攻坚战，推广使用绿色包装，根据财政部关于印 发《商品包装政府采购需求标准（试行）》、《快递包装政府采购需求标准（试行）》的通知（财办库〔2020〕123 号），本项目如涉及商品包装和快递包装的，则其具体要求见第五章《采购需求》。 </w:t>
      </w:r>
    </w:p>
    <w:p w14:paraId="0474B9F9">
      <w:pPr>
        <w:keepNext w:val="0"/>
        <w:keepLines w:val="0"/>
        <w:pageBreakBefore w:val="0"/>
        <w:widowControl w:val="0"/>
        <w:numPr>
          <w:ilvl w:val="2"/>
          <w:numId w:val="0"/>
        </w:numPr>
        <w:tabs>
          <w:tab w:val="left" w:pos="2014"/>
        </w:tabs>
        <w:kinsoku/>
        <w:wordWrap/>
        <w:overflowPunct/>
        <w:topLinePunct w:val="0"/>
        <w:autoSpaceDE/>
        <w:autoSpaceDN/>
        <w:bidi w:val="0"/>
        <w:adjustRightInd/>
        <w:snapToGrid w:val="0"/>
        <w:spacing w:after="0" w:line="360" w:lineRule="auto"/>
        <w:ind w:left="1438" w:leftChars="342"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4.7.2 绿色数据中心政府采购需求标准（试行） </w:t>
      </w:r>
    </w:p>
    <w:p w14:paraId="189B2B2E">
      <w:pPr>
        <w:keepNext w:val="0"/>
        <w:keepLines w:val="0"/>
        <w:pageBreakBefore w:val="0"/>
        <w:widowControl w:val="0"/>
        <w:numPr>
          <w:ilvl w:val="2"/>
          <w:numId w:val="0"/>
        </w:numPr>
        <w:tabs>
          <w:tab w:val="left" w:pos="2014"/>
        </w:tabs>
        <w:kinsoku/>
        <w:wordWrap/>
        <w:overflowPunct/>
        <w:topLinePunct w:val="0"/>
        <w:autoSpaceDE/>
        <w:autoSpaceDN/>
        <w:bidi w:val="0"/>
        <w:adjustRightInd/>
        <w:snapToGrid w:val="0"/>
        <w:spacing w:after="0" w:line="360" w:lineRule="auto"/>
        <w:ind w:left="1436" w:leftChars="684" w:firstLine="0" w:firstLineChars="0"/>
        <w:textAlignment w:val="auto"/>
        <w:rPr>
          <w:color w:val="auto"/>
          <w:sz w:val="24"/>
          <w:highlight w:val="none"/>
        </w:rPr>
      </w:pPr>
      <w:r>
        <w:rPr>
          <w:rFonts w:hint="eastAsia" w:ascii="宋体" w:hAnsi="宋体" w:eastAsia="宋体" w:cs="宋体"/>
          <w:color w:val="auto"/>
          <w:sz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号），本项目如涉及绿色数据中心，则具体要求见第五章《采购需求》。</w:t>
      </w:r>
    </w:p>
    <w:p w14:paraId="67317896">
      <w:pPr>
        <w:numPr>
          <w:ilvl w:val="0"/>
          <w:numId w:val="8"/>
        </w:numPr>
        <w:tabs>
          <w:tab w:val="left" w:pos="360"/>
        </w:tabs>
        <w:snapToGrid w:val="0"/>
        <w:spacing w:after="0" w:line="360" w:lineRule="auto"/>
        <w:ind w:left="357" w:hanging="357"/>
        <w:outlineLvl w:val="1"/>
        <w:rPr>
          <w:color w:val="auto"/>
          <w:sz w:val="24"/>
          <w:highlight w:val="none"/>
        </w:rPr>
      </w:pPr>
      <w:r>
        <w:rPr>
          <w:color w:val="auto"/>
          <w:sz w:val="24"/>
          <w:highlight w:val="none"/>
        </w:rPr>
        <w:t>响应费用</w:t>
      </w:r>
    </w:p>
    <w:p w14:paraId="2F1D03A5">
      <w:pPr>
        <w:numPr>
          <w:ilvl w:val="1"/>
          <w:numId w:val="8"/>
        </w:numPr>
        <w:tabs>
          <w:tab w:val="left" w:pos="1080"/>
          <w:tab w:val="left" w:pos="2014"/>
        </w:tabs>
        <w:snapToGrid w:val="0"/>
        <w:spacing w:after="0"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3125D46D">
      <w:pPr>
        <w:tabs>
          <w:tab w:val="left" w:pos="1080"/>
        </w:tabs>
        <w:snapToGrid w:val="0"/>
        <w:spacing w:after="0" w:line="360" w:lineRule="auto"/>
        <w:ind w:left="1080"/>
        <w:rPr>
          <w:color w:val="auto"/>
          <w:sz w:val="28"/>
          <w:highlight w:val="none"/>
        </w:rPr>
      </w:pPr>
      <w:bookmarkStart w:id="152" w:name="_1.8_计量单位"/>
      <w:bookmarkEnd w:id="152"/>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7B21502A">
      <w:pPr>
        <w:pStyle w:val="4"/>
        <w:spacing w:before="0" w:after="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二   竞争性磋商文件</w:t>
      </w:r>
    </w:p>
    <w:p w14:paraId="5938700C">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153" w:name="_Toc164608637"/>
      <w:bookmarkStart w:id="154" w:name="_Toc142311025"/>
      <w:bookmarkStart w:id="155" w:name="_Toc150480761"/>
      <w:bookmarkStart w:id="156" w:name="_Toc149720816"/>
      <w:bookmarkStart w:id="157" w:name="_Toc226965796"/>
      <w:bookmarkStart w:id="158" w:name="_Toc265228361"/>
      <w:bookmarkStart w:id="159" w:name="_Toc164229364"/>
      <w:bookmarkStart w:id="160" w:name="_Toc150774623"/>
      <w:bookmarkStart w:id="161" w:name="_Toc164608792"/>
      <w:bookmarkStart w:id="162" w:name="_Toc150509274"/>
      <w:bookmarkStart w:id="163" w:name="_Toc127151724"/>
      <w:bookmarkStart w:id="164" w:name="_Toc264969213"/>
      <w:bookmarkStart w:id="165" w:name="_Toc164229218"/>
      <w:bookmarkStart w:id="166" w:name="_Toc226309767"/>
      <w:bookmarkStart w:id="167" w:name="_Toc520356147"/>
      <w:bookmarkStart w:id="168" w:name="_Toc127161437"/>
      <w:bookmarkStart w:id="169" w:name="_Toc195842888"/>
      <w:bookmarkStart w:id="170" w:name="_Toc226965713"/>
      <w:bookmarkStart w:id="171" w:name="_Toc305158865"/>
      <w:bookmarkStart w:id="172" w:name="_Toc151193837"/>
      <w:bookmarkStart w:id="173" w:name="_Toc151193621"/>
      <w:bookmarkStart w:id="174" w:name="_Toc151193693"/>
      <w:bookmarkStart w:id="175" w:name="_Toc226337219"/>
      <w:bookmarkStart w:id="176" w:name="_Toc151190150"/>
      <w:bookmarkStart w:id="177" w:name="_Toc164351617"/>
      <w:bookmarkStart w:id="178" w:name="_Toc127151523"/>
      <w:bookmarkStart w:id="179" w:name="_Toc150774728"/>
      <w:bookmarkStart w:id="180" w:name="_Toc151193765"/>
      <w:bookmarkStart w:id="181" w:name="_Toc151193911"/>
      <w:bookmarkStart w:id="182" w:name="_Toc305158791"/>
      <w:r>
        <w:rPr>
          <w:rFonts w:hint="eastAsia" w:ascii="宋体" w:hAnsi="宋体" w:eastAsia="宋体" w:cs="宋体"/>
          <w:snapToGrid w:val="0"/>
          <w:color w:val="auto"/>
          <w:kern w:val="0"/>
          <w:sz w:val="24"/>
          <w:szCs w:val="21"/>
          <w:highlight w:val="none"/>
          <w:lang w:val="en-US" w:eastAsia="zh-CN"/>
        </w:rPr>
        <w:t xml:space="preserve">6  </w:t>
      </w:r>
      <w:r>
        <w:rPr>
          <w:rFonts w:hint="eastAsia" w:ascii="宋体" w:hAnsi="宋体" w:eastAsia="宋体" w:cs="宋体"/>
          <w:color w:val="auto"/>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eastAsia="宋体" w:cs="宋体"/>
          <w:color w:val="auto"/>
          <w:sz w:val="24"/>
          <w:highlight w:val="none"/>
        </w:rPr>
        <w:t>成</w:t>
      </w:r>
    </w:p>
    <w:p w14:paraId="05ECAE0C">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竞争性磋商文件包括以下部分：</w:t>
      </w:r>
    </w:p>
    <w:p w14:paraId="7A721D2B">
      <w:pPr>
        <w:numPr>
          <w:ilvl w:val="0"/>
          <w:numId w:val="9"/>
        </w:numPr>
        <w:tabs>
          <w:tab w:val="left" w:pos="1980"/>
          <w:tab w:val="left" w:pos="2520"/>
        </w:tabs>
        <w:snapToGrid w:val="0"/>
        <w:spacing w:after="0"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采购邀请</w:t>
      </w:r>
    </w:p>
    <w:p w14:paraId="4CD08F98">
      <w:pPr>
        <w:numPr>
          <w:ilvl w:val="0"/>
          <w:numId w:val="9"/>
        </w:numPr>
        <w:tabs>
          <w:tab w:val="left" w:pos="1980"/>
          <w:tab w:val="left" w:pos="2520"/>
        </w:tabs>
        <w:snapToGrid w:val="0"/>
        <w:spacing w:after="0"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w:t>
      </w:r>
    </w:p>
    <w:p w14:paraId="74EA1E1C">
      <w:pPr>
        <w:numPr>
          <w:ilvl w:val="0"/>
          <w:numId w:val="9"/>
        </w:numPr>
        <w:tabs>
          <w:tab w:val="left" w:pos="1980"/>
          <w:tab w:val="left" w:pos="2520"/>
        </w:tabs>
        <w:snapToGrid w:val="0"/>
        <w:spacing w:after="0"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14:paraId="29AFAAF0">
      <w:pPr>
        <w:numPr>
          <w:ilvl w:val="0"/>
          <w:numId w:val="9"/>
        </w:numPr>
        <w:tabs>
          <w:tab w:val="left" w:pos="1980"/>
          <w:tab w:val="left" w:pos="2520"/>
        </w:tabs>
        <w:snapToGrid w:val="0"/>
        <w:spacing w:after="0"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14:paraId="0A2B4857">
      <w:pPr>
        <w:numPr>
          <w:ilvl w:val="0"/>
          <w:numId w:val="9"/>
        </w:numPr>
        <w:tabs>
          <w:tab w:val="left" w:pos="1980"/>
          <w:tab w:val="left" w:pos="2520"/>
        </w:tabs>
        <w:snapToGrid w:val="0"/>
        <w:spacing w:after="0"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合同草案条款</w:t>
      </w:r>
    </w:p>
    <w:p w14:paraId="38D0D718">
      <w:pPr>
        <w:numPr>
          <w:ilvl w:val="0"/>
          <w:numId w:val="9"/>
        </w:numPr>
        <w:tabs>
          <w:tab w:val="left" w:pos="1980"/>
          <w:tab w:val="left" w:pos="2520"/>
        </w:tabs>
        <w:snapToGrid w:val="0"/>
        <w:spacing w:after="0" w:line="360" w:lineRule="auto"/>
        <w:ind w:left="1440" w:firstLine="5"/>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响应文件格式</w:t>
      </w:r>
    </w:p>
    <w:p w14:paraId="1B844EE9">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3C299C75">
      <w:pPr>
        <w:numPr>
          <w:ilvl w:val="0"/>
          <w:numId w:val="0"/>
        </w:numPr>
        <w:tabs>
          <w:tab w:val="left" w:pos="1080"/>
          <w:tab w:val="left" w:pos="2014"/>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zh-CN"/>
        </w:rPr>
        <w:t xml:space="preserve">7  </w:t>
      </w:r>
      <w:r>
        <w:rPr>
          <w:rFonts w:hint="eastAsia" w:ascii="宋体" w:hAnsi="宋体" w:eastAsia="宋体" w:cs="宋体"/>
          <w:color w:val="auto"/>
          <w:sz w:val="24"/>
          <w:highlight w:val="none"/>
        </w:rPr>
        <w:t>对竞争性磋商文件的澄清或修改</w:t>
      </w:r>
    </w:p>
    <w:p w14:paraId="53A3EFB4">
      <w:pPr>
        <w:numPr>
          <w:ilvl w:val="1"/>
          <w:numId w:val="0"/>
        </w:numPr>
        <w:tabs>
          <w:tab w:val="left" w:pos="1080"/>
          <w:tab w:val="left" w:pos="1561"/>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0D7E77FD">
      <w:pPr>
        <w:numPr>
          <w:ilvl w:val="1"/>
          <w:numId w:val="0"/>
        </w:numPr>
        <w:tabs>
          <w:tab w:val="left" w:pos="1080"/>
          <w:tab w:val="left" w:pos="1561"/>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1A32AA76">
      <w:pPr>
        <w:numPr>
          <w:ilvl w:val="1"/>
          <w:numId w:val="0"/>
        </w:numPr>
        <w:tabs>
          <w:tab w:val="left" w:pos="1080"/>
          <w:tab w:val="left" w:pos="1561"/>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6AEF3232">
      <w:pPr>
        <w:tabs>
          <w:tab w:val="left" w:pos="1080"/>
          <w:tab w:val="left" w:pos="1561"/>
        </w:tabs>
        <w:snapToGrid w:val="0"/>
        <w:spacing w:after="0" w:line="360" w:lineRule="auto"/>
        <w:ind w:left="1080"/>
        <w:rPr>
          <w:rFonts w:hint="eastAsia" w:ascii="宋体" w:hAnsi="宋体" w:eastAsia="宋体" w:cs="宋体"/>
          <w:color w:val="auto"/>
          <w:sz w:val="28"/>
          <w:highlight w:val="none"/>
        </w:rPr>
      </w:pPr>
      <w:bookmarkStart w:id="183" w:name="_Toc516367020"/>
      <w:bookmarkStart w:id="184" w:name="_Toc151190153"/>
      <w:bookmarkStart w:id="185" w:name="_Toc265228364"/>
      <w:bookmarkStart w:id="186" w:name="_Toc151193914"/>
      <w:bookmarkStart w:id="187" w:name="_Toc151193696"/>
      <w:bookmarkStart w:id="188" w:name="_Toc150774731"/>
      <w:bookmarkStart w:id="189" w:name="_Toc150509277"/>
      <w:bookmarkStart w:id="190" w:name="_Toc226337222"/>
      <w:bookmarkStart w:id="191" w:name="_Toc305158868"/>
      <w:bookmarkStart w:id="192" w:name="_Toc150774626"/>
      <w:bookmarkStart w:id="193" w:name="_Toc151193840"/>
      <w:bookmarkStart w:id="194" w:name="_Toc142311028"/>
      <w:bookmarkStart w:id="195" w:name="_Toc226965799"/>
      <w:bookmarkStart w:id="196" w:name="_Toc264969216"/>
      <w:bookmarkStart w:id="197" w:name="_Toc127151526"/>
      <w:bookmarkStart w:id="198" w:name="_Toc195842891"/>
      <w:bookmarkStart w:id="199" w:name="_Toc151193624"/>
      <w:bookmarkStart w:id="200" w:name="_Toc150480764"/>
      <w:bookmarkStart w:id="201" w:name="_Toc226965716"/>
      <w:bookmarkStart w:id="202" w:name="_Toc226309770"/>
      <w:bookmarkStart w:id="203" w:name="_Toc520356150"/>
      <w:bookmarkStart w:id="204" w:name="_Toc151193768"/>
      <w:bookmarkStart w:id="205" w:name="_Toc305158794"/>
    </w:p>
    <w:p w14:paraId="4366334F">
      <w:pPr>
        <w:pStyle w:val="4"/>
        <w:spacing w:before="0" w:after="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83"/>
      <w:r>
        <w:rPr>
          <w:rFonts w:hint="eastAsia" w:ascii="宋体" w:hAnsi="宋体" w:eastAsia="宋体" w:cs="宋体"/>
          <w:color w:val="auto"/>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2E02622">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206" w:name="_Toc516367021"/>
      <w:bookmarkStart w:id="207" w:name="_Toc151193841"/>
      <w:bookmarkStart w:id="208" w:name="_Toc151193915"/>
      <w:bookmarkStart w:id="209" w:name="_Toc520356151"/>
      <w:bookmarkStart w:id="210" w:name="_Toc264969217"/>
      <w:bookmarkStart w:id="211" w:name="_Toc151193769"/>
      <w:bookmarkStart w:id="212" w:name="_Toc142311029"/>
      <w:bookmarkStart w:id="213" w:name="_Toc265228365"/>
      <w:bookmarkStart w:id="214" w:name="_Toc150509278"/>
      <w:bookmarkStart w:id="215" w:name="_Toc164608796"/>
      <w:bookmarkStart w:id="216" w:name="_Toc226309771"/>
      <w:bookmarkStart w:id="217" w:name="_Toc226965717"/>
      <w:bookmarkStart w:id="218" w:name="_Toc305158869"/>
      <w:bookmarkStart w:id="219" w:name="_Toc305158795"/>
      <w:bookmarkStart w:id="220" w:name="_Toc226965800"/>
      <w:bookmarkStart w:id="221" w:name="_Toc164229222"/>
      <w:bookmarkStart w:id="222" w:name="_Toc150774627"/>
      <w:bookmarkStart w:id="223" w:name="_Toc150774732"/>
      <w:bookmarkStart w:id="224" w:name="_Toc195842892"/>
      <w:bookmarkStart w:id="225" w:name="_Toc164229368"/>
      <w:bookmarkStart w:id="226" w:name="_Toc226337223"/>
      <w:bookmarkStart w:id="227" w:name="_Toc127161441"/>
      <w:bookmarkStart w:id="228" w:name="_Toc150480765"/>
      <w:bookmarkStart w:id="229" w:name="_Toc151193697"/>
      <w:bookmarkStart w:id="230" w:name="_Toc127151527"/>
      <w:bookmarkStart w:id="231" w:name="_Toc151190154"/>
      <w:bookmarkStart w:id="232" w:name="_Toc149720820"/>
      <w:bookmarkStart w:id="233" w:name="_Toc151193625"/>
      <w:bookmarkStart w:id="234" w:name="_Toc127151728"/>
      <w:bookmarkStart w:id="235" w:name="_Toc164608641"/>
      <w:bookmarkStart w:id="236" w:name="_Toc164351621"/>
      <w:r>
        <w:rPr>
          <w:rFonts w:hint="eastAsia" w:ascii="宋体" w:hAnsi="宋体" w:eastAsia="宋体" w:cs="宋体"/>
          <w:snapToGrid w:val="0"/>
          <w:color w:val="auto"/>
          <w:kern w:val="0"/>
          <w:sz w:val="24"/>
          <w:szCs w:val="21"/>
          <w:highlight w:val="none"/>
          <w:lang w:val="en-US" w:eastAsia="zh-CN"/>
        </w:rPr>
        <w:t xml:space="preserve">8   </w:t>
      </w:r>
      <w:r>
        <w:rPr>
          <w:rFonts w:hint="eastAsia" w:ascii="宋体" w:hAnsi="宋体" w:eastAsia="宋体" w:cs="宋体"/>
          <w:color w:val="auto"/>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eastAsia="宋体" w:cs="宋体"/>
          <w:color w:val="auto"/>
          <w:sz w:val="24"/>
          <w:highlight w:val="none"/>
        </w:rPr>
        <w:t>及磋商语言</w:t>
      </w:r>
    </w:p>
    <w:p w14:paraId="59827B0E">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14:paraId="390D63B7">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14:paraId="3FD4EBD6">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1F4BEA">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237" w:name="_Ref467306195"/>
      <w:bookmarkStart w:id="238" w:name="_Toc516367022"/>
      <w:bookmarkStart w:id="239" w:name="_Ref467306676"/>
      <w:bookmarkStart w:id="240" w:name="_Toc151193916"/>
      <w:bookmarkStart w:id="241" w:name="_Toc226965801"/>
      <w:bookmarkStart w:id="242" w:name="_Toc305158796"/>
      <w:bookmarkStart w:id="243" w:name="_Toc305158870"/>
      <w:bookmarkStart w:id="244" w:name="_Toc151193626"/>
      <w:bookmarkStart w:id="245" w:name="_Toc150509279"/>
      <w:bookmarkStart w:id="246" w:name="_Toc226309772"/>
      <w:bookmarkStart w:id="247" w:name="_Toc520356152"/>
      <w:bookmarkStart w:id="248" w:name="_Toc150774733"/>
      <w:bookmarkStart w:id="249" w:name="_Toc142311030"/>
      <w:bookmarkStart w:id="250" w:name="_Toc264969218"/>
      <w:bookmarkStart w:id="251" w:name="_Toc149720821"/>
      <w:bookmarkStart w:id="252" w:name="_Toc127151729"/>
      <w:bookmarkStart w:id="253" w:name="_Toc151190155"/>
      <w:bookmarkStart w:id="254" w:name="_Toc150480766"/>
      <w:bookmarkStart w:id="255" w:name="_Toc151193842"/>
      <w:bookmarkStart w:id="256" w:name="_Toc164229369"/>
      <w:bookmarkStart w:id="257" w:name="_Toc151193770"/>
      <w:bookmarkStart w:id="258" w:name="_Toc127151528"/>
      <w:bookmarkStart w:id="259" w:name="_Toc164229223"/>
      <w:bookmarkStart w:id="260" w:name="_Toc151193698"/>
      <w:bookmarkStart w:id="261" w:name="_Toc127161442"/>
      <w:bookmarkStart w:id="262" w:name="_Toc195842893"/>
      <w:bookmarkStart w:id="263" w:name="_Toc164608642"/>
      <w:bookmarkStart w:id="264" w:name="_Toc226965718"/>
      <w:bookmarkStart w:id="265" w:name="_Toc164351622"/>
      <w:bookmarkStart w:id="266" w:name="_Toc164608797"/>
      <w:bookmarkStart w:id="267" w:name="_Toc150774628"/>
      <w:bookmarkStart w:id="268" w:name="_Toc265228366"/>
      <w:bookmarkStart w:id="269" w:name="_Toc226337224"/>
      <w:r>
        <w:rPr>
          <w:rFonts w:hint="eastAsia" w:ascii="宋体" w:hAnsi="宋体" w:eastAsia="宋体" w:cs="宋体"/>
          <w:snapToGrid w:val="0"/>
          <w:color w:val="auto"/>
          <w:kern w:val="0"/>
          <w:sz w:val="24"/>
          <w:szCs w:val="21"/>
          <w:highlight w:val="none"/>
          <w:lang w:val="en-US" w:eastAsia="zh-CN"/>
        </w:rPr>
        <w:t xml:space="preserve">9    </w:t>
      </w:r>
      <w:r>
        <w:rPr>
          <w:rFonts w:hint="eastAsia" w:ascii="宋体" w:hAnsi="宋体" w:eastAsia="宋体" w:cs="宋体"/>
          <w:color w:val="auto"/>
          <w:sz w:val="24"/>
          <w:highlight w:val="none"/>
        </w:rPr>
        <w:t>响应文件</w:t>
      </w:r>
      <w:bookmarkEnd w:id="237"/>
      <w:bookmarkEnd w:id="238"/>
      <w:bookmarkEnd w:id="239"/>
      <w:r>
        <w:rPr>
          <w:rFonts w:hint="eastAsia" w:ascii="宋体" w:hAnsi="宋体" w:eastAsia="宋体" w:cs="宋体"/>
          <w:color w:val="auto"/>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6CECC42">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bookmarkStart w:id="270" w:name="_Ref467052588"/>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供应商应当按照竞争性磋商文件的要求编制响应文件，</w:t>
      </w:r>
      <w:r>
        <w:rPr>
          <w:rFonts w:hint="eastAsia" w:ascii="宋体" w:hAnsi="宋体" w:eastAsia="宋体" w:cs="宋体"/>
          <w:color w:val="auto"/>
          <w:kern w:val="0"/>
          <w:sz w:val="24"/>
          <w:highlight w:val="none"/>
        </w:rPr>
        <w:t>并对其提交的响应文件的真实性、合法性承担法律责任</w:t>
      </w:r>
      <w:r>
        <w:rPr>
          <w:rFonts w:hint="eastAsia" w:ascii="宋体" w:hAnsi="宋体" w:eastAsia="宋体" w:cs="宋体"/>
          <w:color w:val="auto"/>
          <w:sz w:val="24"/>
          <w:highlight w:val="none"/>
        </w:rPr>
        <w:t>。响应文件的部分格式要求，见第六章《响应文件格式》。</w:t>
      </w:r>
    </w:p>
    <w:p w14:paraId="5594852A">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kern w:val="0"/>
          <w:sz w:val="24"/>
          <w:highlight w:val="none"/>
        </w:rPr>
        <w:t>对于竞争性磋商文件</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记了“实质性格式”文件的，</w:t>
      </w:r>
      <w:r>
        <w:rPr>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14:paraId="2A3FA4D7">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第三章《评审方法和评审标准》中涉及的证明文件。</w:t>
      </w:r>
    </w:p>
    <w:p w14:paraId="092EF30A">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FC042C2">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供应商认为应附的其他材料。</w:t>
      </w:r>
      <w:bookmarkEnd w:id="270"/>
    </w:p>
    <w:p w14:paraId="43713B99">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271" w:name="_Toc151193844"/>
      <w:bookmarkStart w:id="272" w:name="_Toc150774735"/>
      <w:bookmarkStart w:id="273" w:name="_Toc142311032"/>
      <w:bookmarkStart w:id="274" w:name="_Toc151193918"/>
      <w:bookmarkStart w:id="275" w:name="_Toc151193700"/>
      <w:bookmarkStart w:id="276" w:name="_Toc151190157"/>
      <w:bookmarkStart w:id="277" w:name="_Toc149720823"/>
      <w:bookmarkStart w:id="278" w:name="_Toc164608799"/>
      <w:bookmarkStart w:id="279" w:name="_Toc520356155"/>
      <w:bookmarkStart w:id="280" w:name="_Toc150509281"/>
      <w:bookmarkStart w:id="281" w:name="_Toc127161444"/>
      <w:bookmarkStart w:id="282" w:name="_Toc195842895"/>
      <w:bookmarkStart w:id="283" w:name="_Toc164229225"/>
      <w:bookmarkStart w:id="284" w:name="_Toc151193772"/>
      <w:bookmarkStart w:id="285" w:name="_Toc164351624"/>
      <w:bookmarkStart w:id="286" w:name="_Toc150774630"/>
      <w:bookmarkStart w:id="287" w:name="_Toc151193628"/>
      <w:bookmarkStart w:id="288" w:name="_Toc164229371"/>
      <w:bookmarkStart w:id="289" w:name="_Toc127151731"/>
      <w:bookmarkStart w:id="290" w:name="_Toc164608644"/>
      <w:bookmarkStart w:id="291" w:name="_Toc127151530"/>
      <w:bookmarkStart w:id="292" w:name="_Toc150480768"/>
      <w:r>
        <w:rPr>
          <w:rFonts w:hint="eastAsia" w:ascii="宋体" w:hAnsi="宋体" w:eastAsia="宋体" w:cs="宋体"/>
          <w:snapToGrid w:val="0"/>
          <w:color w:val="auto"/>
          <w:kern w:val="0"/>
          <w:sz w:val="24"/>
          <w:szCs w:val="21"/>
          <w:highlight w:val="none"/>
          <w:lang w:val="en-US" w:eastAsia="zh-CN"/>
        </w:rPr>
        <w:t xml:space="preserve">10  </w:t>
      </w:r>
      <w:r>
        <w:rPr>
          <w:rFonts w:hint="eastAsia" w:ascii="宋体" w:hAnsi="宋体" w:eastAsia="宋体" w:cs="宋体"/>
          <w:color w:val="auto"/>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E37E6F6">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所有响应均以人民币报价。</w:t>
      </w:r>
    </w:p>
    <w:p w14:paraId="0DFFE2FC">
      <w:pPr>
        <w:numPr>
          <w:ilvl w:val="1"/>
          <w:numId w:val="0"/>
        </w:numPr>
        <w:tabs>
          <w:tab w:val="left" w:pos="1080"/>
        </w:tabs>
        <w:snapToGrid w:val="0"/>
        <w:spacing w:after="0" w:line="360" w:lineRule="auto"/>
        <w:ind w:left="1468"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6F90945A">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zh-CN"/>
        </w:rPr>
        <w:t>10</w:t>
      </w:r>
      <w:r>
        <w:rPr>
          <w:rFonts w:hint="eastAsia" w:ascii="宋体" w:hAnsi="宋体" w:eastAsia="宋体" w:cs="宋体"/>
          <w:snapToGrid w:val="0"/>
          <w:color w:val="auto"/>
          <w:kern w:val="0"/>
          <w:sz w:val="24"/>
          <w:szCs w:val="21"/>
          <w:highlight w:val="none"/>
        </w:rPr>
        <w:t>.2.1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 xml:space="preserve">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310E646C">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zh-CN"/>
        </w:rPr>
        <w:t>10</w:t>
      </w:r>
      <w:r>
        <w:rPr>
          <w:rFonts w:hint="eastAsia" w:ascii="宋体" w:hAnsi="宋体" w:eastAsia="宋体" w:cs="宋体"/>
          <w:snapToGrid w:val="0"/>
          <w:color w:val="auto"/>
          <w:kern w:val="0"/>
          <w:sz w:val="24"/>
          <w:szCs w:val="21"/>
          <w:highlight w:val="none"/>
        </w:rPr>
        <w:t>.2.2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按照竞争性磋商文件要求完成本项目的全部相关工程或服务费用。</w:t>
      </w:r>
    </w:p>
    <w:p w14:paraId="4894C891">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采购人不得向供应商索要或者接受其给予的赠品、回扣或者与采购无关的其他商品、服务。</w:t>
      </w:r>
    </w:p>
    <w:p w14:paraId="5DAD0101">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供应商不能提供任何有选择性或可调整的最后报价（</w:t>
      </w:r>
      <w:r>
        <w:rPr>
          <w:rFonts w:hint="eastAsia" w:ascii="宋体" w:hAnsi="宋体" w:eastAsia="宋体" w:cs="宋体"/>
          <w:color w:val="auto"/>
          <w:kern w:val="0"/>
          <w:sz w:val="24"/>
          <w:highlight w:val="none"/>
        </w:rPr>
        <w:t>竞争性磋商文件</w:t>
      </w:r>
      <w:r>
        <w:rPr>
          <w:rFonts w:hint="eastAsia" w:ascii="宋体" w:hAnsi="宋体" w:eastAsia="宋体" w:cs="宋体"/>
          <w:color w:val="auto"/>
          <w:sz w:val="24"/>
          <w:highlight w:val="none"/>
        </w:rPr>
        <w:t>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FBF96FA">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zh-CN"/>
        </w:rPr>
        <w:t xml:space="preserve">11   </w:t>
      </w:r>
      <w:r>
        <w:rPr>
          <w:rFonts w:hint="eastAsia" w:ascii="宋体" w:hAnsi="宋体" w:eastAsia="宋体" w:cs="宋体"/>
          <w:color w:val="auto"/>
          <w:sz w:val="24"/>
          <w:highlight w:val="none"/>
        </w:rPr>
        <w:t>磋商保证金</w:t>
      </w:r>
    </w:p>
    <w:p w14:paraId="287FB7D3">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bookmarkStart w:id="293" w:name="_Ref467306302"/>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供应商应按《供应商须知资料表》中规定的金额及要求交纳磋商保证金</w:t>
      </w:r>
      <w:bookmarkEnd w:id="293"/>
      <w:r>
        <w:rPr>
          <w:rFonts w:hint="eastAsia" w:ascii="宋体" w:hAnsi="宋体" w:eastAsia="宋体" w:cs="宋体"/>
          <w:color w:val="auto"/>
          <w:sz w:val="24"/>
          <w:highlight w:val="none"/>
        </w:rPr>
        <w:t>。</w:t>
      </w:r>
    </w:p>
    <w:p w14:paraId="647E28AE">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交纳磋商保证金可采用的形式：政府采购法律法规接受的支票、汇票、本票、网上银行支付或者金融机构、担保机构出具的保函等非现金形式。</w:t>
      </w:r>
    </w:p>
    <w:p w14:paraId="59619617">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5F06CED">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磋商保证金（保函）有效期同响应有效期。</w:t>
      </w:r>
    </w:p>
    <w:p w14:paraId="7E7F0D70">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14:paraId="1CDF8938">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.6</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4BD52CE">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11.6</w:t>
      </w:r>
      <w:r>
        <w:rPr>
          <w:rFonts w:hint="eastAsia" w:ascii="宋体" w:hAnsi="宋体" w:eastAsia="宋体" w:cs="宋体"/>
          <w:snapToGrid w:val="0"/>
          <w:color w:val="auto"/>
          <w:kern w:val="0"/>
          <w:sz w:val="24"/>
          <w:szCs w:val="21"/>
          <w:highlight w:val="none"/>
        </w:rPr>
        <w:t>.1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4CB257B3">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11.6</w:t>
      </w:r>
      <w:r>
        <w:rPr>
          <w:rFonts w:hint="eastAsia" w:ascii="宋体" w:hAnsi="宋体" w:eastAsia="宋体" w:cs="宋体"/>
          <w:snapToGrid w:val="0"/>
          <w:color w:val="auto"/>
          <w:kern w:val="0"/>
          <w:sz w:val="24"/>
          <w:szCs w:val="21"/>
          <w:highlight w:val="none"/>
        </w:rPr>
        <w:t>.2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成交供应商的磋商保证金，在采购合同签订后5个工作日内退还成交供应商；</w:t>
      </w:r>
    </w:p>
    <w:p w14:paraId="7D5D2E99">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11.6</w:t>
      </w:r>
      <w:r>
        <w:rPr>
          <w:rFonts w:hint="eastAsia" w:ascii="宋体" w:hAnsi="宋体" w:eastAsia="宋体" w:cs="宋体"/>
          <w:snapToGrid w:val="0"/>
          <w:color w:val="auto"/>
          <w:kern w:val="0"/>
          <w:sz w:val="24"/>
          <w:szCs w:val="21"/>
          <w:highlight w:val="none"/>
        </w:rPr>
        <w:t>.3</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未成交供应商的磋商保证金，在成交通知书发出后5个工作日内退还。</w:t>
      </w:r>
    </w:p>
    <w:p w14:paraId="498A0610">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eastAsia="zh-CN"/>
        </w:rPr>
        <w:t>11.7</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有下列情形之一的，采购人或采购代理机构不予退还磋商保证金：</w:t>
      </w:r>
    </w:p>
    <w:p w14:paraId="0F870DB8">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11.7</w:t>
      </w:r>
      <w:r>
        <w:rPr>
          <w:rFonts w:hint="eastAsia" w:ascii="宋体" w:hAnsi="宋体" w:eastAsia="宋体" w:cs="宋体"/>
          <w:snapToGrid w:val="0"/>
          <w:color w:val="auto"/>
          <w:kern w:val="0"/>
          <w:sz w:val="24"/>
          <w:szCs w:val="21"/>
          <w:highlight w:val="none"/>
        </w:rPr>
        <w:t>.1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供应商在提交响应文件截止时间后撤回响应文件的；</w:t>
      </w:r>
    </w:p>
    <w:p w14:paraId="30446F6A">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11.7</w:t>
      </w:r>
      <w:r>
        <w:rPr>
          <w:rFonts w:hint="eastAsia" w:ascii="宋体" w:hAnsi="宋体" w:eastAsia="宋体" w:cs="宋体"/>
          <w:snapToGrid w:val="0"/>
          <w:color w:val="auto"/>
          <w:kern w:val="0"/>
          <w:sz w:val="24"/>
          <w:szCs w:val="21"/>
          <w:highlight w:val="none"/>
        </w:rPr>
        <w:t>.2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供应商在响应文件中提供虚假材料的；</w:t>
      </w:r>
    </w:p>
    <w:p w14:paraId="10E8092C">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11.7</w:t>
      </w:r>
      <w:r>
        <w:rPr>
          <w:rFonts w:hint="eastAsia" w:ascii="宋体" w:hAnsi="宋体" w:eastAsia="宋体" w:cs="宋体"/>
          <w:snapToGrid w:val="0"/>
          <w:color w:val="auto"/>
          <w:kern w:val="0"/>
          <w:sz w:val="24"/>
          <w:szCs w:val="21"/>
          <w:highlight w:val="none"/>
        </w:rPr>
        <w:t>.3</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除因不可抗力或磋商文件认可的情形以外，成交供应商不与采购人签订合同的；</w:t>
      </w:r>
    </w:p>
    <w:p w14:paraId="4701B461">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11.7</w:t>
      </w:r>
      <w:r>
        <w:rPr>
          <w:rFonts w:hint="eastAsia" w:ascii="宋体" w:hAnsi="宋体" w:eastAsia="宋体" w:cs="宋体"/>
          <w:snapToGrid w:val="0"/>
          <w:color w:val="auto"/>
          <w:kern w:val="0"/>
          <w:sz w:val="24"/>
          <w:szCs w:val="21"/>
          <w:highlight w:val="none"/>
        </w:rPr>
        <w:t>.4</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供应商与采购人、其他供应商或者采购代理机构恶意串通的；</w:t>
      </w:r>
    </w:p>
    <w:p w14:paraId="012E55E8">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eastAsia="zh-CN"/>
        </w:rPr>
        <w:t>11.7</w:t>
      </w:r>
      <w:r>
        <w:rPr>
          <w:rFonts w:hint="eastAsia" w:ascii="宋体" w:hAnsi="宋体" w:eastAsia="宋体" w:cs="宋体"/>
          <w:snapToGrid w:val="0"/>
          <w:color w:val="auto"/>
          <w:kern w:val="0"/>
          <w:sz w:val="24"/>
          <w:szCs w:val="21"/>
          <w:highlight w:val="none"/>
        </w:rPr>
        <w:t>.5</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《供应商须知资料表》规定的其他情形。</w:t>
      </w:r>
    </w:p>
    <w:p w14:paraId="53633F2D">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eastAsia="宋体" w:cs="宋体"/>
          <w:snapToGrid w:val="0"/>
          <w:color w:val="auto"/>
          <w:kern w:val="0"/>
          <w:sz w:val="24"/>
          <w:szCs w:val="21"/>
          <w:highlight w:val="none"/>
          <w:lang w:val="en-US" w:eastAsia="zh-CN"/>
        </w:rPr>
        <w:t xml:space="preserve">2  </w:t>
      </w:r>
      <w:r>
        <w:rPr>
          <w:rFonts w:hint="eastAsia" w:ascii="宋体" w:hAnsi="宋体" w:eastAsia="宋体" w:cs="宋体"/>
          <w:color w:val="auto"/>
          <w:sz w:val="24"/>
          <w:highlight w:val="none"/>
        </w:rPr>
        <w:t>响应有效期</w:t>
      </w:r>
    </w:p>
    <w:p w14:paraId="7280E8A8">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00DC958">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eastAsia="宋体" w:cs="宋体"/>
          <w:snapToGrid w:val="0"/>
          <w:color w:val="auto"/>
          <w:kern w:val="0"/>
          <w:sz w:val="24"/>
          <w:szCs w:val="21"/>
          <w:highlight w:val="none"/>
          <w:lang w:val="en-US" w:eastAsia="zh-CN"/>
        </w:rPr>
        <w:t xml:space="preserve">3  </w:t>
      </w:r>
      <w:r>
        <w:rPr>
          <w:rFonts w:hint="eastAsia" w:ascii="宋体" w:hAnsi="宋体" w:eastAsia="宋体" w:cs="宋体"/>
          <w:color w:val="auto"/>
          <w:sz w:val="24"/>
          <w:highlight w:val="none"/>
        </w:rPr>
        <w:t>响应文件的份数和签署</w:t>
      </w:r>
    </w:p>
    <w:p w14:paraId="57A3356B">
      <w:pPr>
        <w:numPr>
          <w:ilvl w:val="1"/>
          <w:numId w:val="0"/>
        </w:numPr>
        <w:tabs>
          <w:tab w:val="left" w:pos="1080"/>
          <w:tab w:val="left" w:pos="2014"/>
        </w:tabs>
        <w:snapToGrid w:val="0"/>
        <w:spacing w:line="360" w:lineRule="auto"/>
        <w:ind w:left="1077" w:leftChars="0" w:hanging="720" w:firstLineChars="0"/>
        <w:rPr>
          <w:rFonts w:hint="eastAsia"/>
          <w:sz w:val="24"/>
        </w:rPr>
      </w:pPr>
      <w:bookmarkStart w:id="294" w:name="_Toc151193776"/>
      <w:bookmarkStart w:id="295" w:name="_Toc150774634"/>
      <w:bookmarkStart w:id="296" w:name="_Toc151190161"/>
      <w:bookmarkStart w:id="297" w:name="_Toc151193848"/>
      <w:bookmarkStart w:id="298" w:name="_Toc226965807"/>
      <w:bookmarkStart w:id="299" w:name="_Toc150774739"/>
      <w:bookmarkStart w:id="300" w:name="_Toc226965724"/>
      <w:bookmarkStart w:id="301" w:name="_Toc226337230"/>
      <w:bookmarkStart w:id="302" w:name="_Toc151193922"/>
      <w:bookmarkStart w:id="303" w:name="_Toc151193704"/>
      <w:bookmarkStart w:id="304" w:name="_Toc265228372"/>
      <w:bookmarkStart w:id="305" w:name="_Toc226309778"/>
      <w:bookmarkStart w:id="306" w:name="_Toc127151534"/>
      <w:bookmarkStart w:id="307" w:name="_Toc150509285"/>
      <w:bookmarkStart w:id="308" w:name="_Toc195842899"/>
      <w:bookmarkStart w:id="309" w:name="_Toc151193632"/>
      <w:bookmarkStart w:id="310" w:name="_Toc150480772"/>
      <w:bookmarkStart w:id="311" w:name="_Toc264969224"/>
      <w:bookmarkStart w:id="312" w:name="_Toc520356159"/>
      <w:bookmarkStart w:id="313" w:name="_Toc305158876"/>
      <w:bookmarkStart w:id="314" w:name="_Toc305158802"/>
      <w:bookmarkStart w:id="315" w:name="_Toc142311036"/>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 xml:space="preserve">  </w:t>
      </w:r>
      <w:r>
        <w:rPr>
          <w:rFonts w:hint="eastAsia"/>
          <w:sz w:val="24"/>
        </w:rPr>
        <w:t>供应商应递交响应文件正本壹份、副本贰份，U盘壹份。每份响应文件封面的右上角须清楚地标明“正本”或“副本”。若正本和副本不符，以正本为准。</w:t>
      </w:r>
    </w:p>
    <w:p w14:paraId="24EAF22F">
      <w:pPr>
        <w:numPr>
          <w:ilvl w:val="1"/>
          <w:numId w:val="0"/>
        </w:numPr>
        <w:tabs>
          <w:tab w:val="left" w:pos="1080"/>
          <w:tab w:val="left" w:pos="2014"/>
        </w:tabs>
        <w:snapToGrid w:val="0"/>
        <w:spacing w:line="360" w:lineRule="auto"/>
        <w:ind w:left="1077" w:leftChars="0" w:hanging="720" w:firstLineChars="0"/>
        <w:rPr>
          <w:rFonts w:hint="eastAsia"/>
          <w:sz w:val="24"/>
        </w:rPr>
      </w:pP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 xml:space="preserve">  </w:t>
      </w:r>
      <w:r>
        <w:rPr>
          <w:rFonts w:hint="eastAsia"/>
          <w:sz w:val="24"/>
        </w:rPr>
        <w:t>响应文件的正本和副本均需打印或使用不褪色的蓝、黑墨水笔书写，字迹应清晰易于辨认，副本可为正本的复印件，正本和副本如有不一致之处，以正本为准。响应文件及修改文件一律使用A4号纸（有特殊规定的图纸及其他文件资料除外）。</w:t>
      </w:r>
    </w:p>
    <w:p w14:paraId="6E7689BA">
      <w:pPr>
        <w:numPr>
          <w:ilvl w:val="1"/>
          <w:numId w:val="0"/>
        </w:numPr>
        <w:tabs>
          <w:tab w:val="left" w:pos="1080"/>
          <w:tab w:val="left" w:pos="2014"/>
        </w:tabs>
        <w:snapToGrid w:val="0"/>
        <w:spacing w:line="360" w:lineRule="auto"/>
        <w:ind w:left="1077" w:leftChars="0" w:hanging="720" w:firstLineChars="0"/>
        <w:rPr>
          <w:rFonts w:hint="eastAsia"/>
          <w:sz w:val="24"/>
        </w:rPr>
      </w:pP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.3</w:t>
      </w:r>
      <w:r>
        <w:rPr>
          <w:rFonts w:hint="eastAsia" w:cs="Times New Roman"/>
          <w:kern w:val="2"/>
          <w:sz w:val="24"/>
          <w:szCs w:val="24"/>
          <w:lang w:val="en-US" w:eastAsia="zh-CN" w:bidi="ar-SA"/>
        </w:rPr>
        <w:t xml:space="preserve">  </w:t>
      </w:r>
      <w:r>
        <w:rPr>
          <w:rFonts w:hint="eastAsia"/>
          <w:sz w:val="24"/>
        </w:rPr>
        <w:t>响应文件正本、副本封面均应加盖投标人公章并经法定代表人或其委托代理人签字或盖章。由委托代理人签字或盖章的在响应文件中须同时提交响应文件签署授权委托书。响应文件签署授权委托书格式、签字、盖章及内容均应符合要求，否则响应文件签署授权委托书无效。</w:t>
      </w:r>
    </w:p>
    <w:p w14:paraId="63FA718B">
      <w:pPr>
        <w:numPr>
          <w:ilvl w:val="1"/>
          <w:numId w:val="0"/>
        </w:numPr>
        <w:tabs>
          <w:tab w:val="left" w:pos="1080"/>
          <w:tab w:val="left" w:pos="2014"/>
        </w:tabs>
        <w:snapToGrid w:val="0"/>
        <w:spacing w:line="360" w:lineRule="auto"/>
        <w:ind w:left="1077" w:leftChars="0" w:hanging="720" w:firstLineChars="0"/>
        <w:rPr>
          <w:rFonts w:hint="eastAsia"/>
          <w:sz w:val="24"/>
        </w:rPr>
      </w:pP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.4</w:t>
      </w:r>
      <w:r>
        <w:rPr>
          <w:rFonts w:hint="eastAsia" w:cs="Times New Roman"/>
          <w:kern w:val="2"/>
          <w:sz w:val="24"/>
          <w:szCs w:val="24"/>
          <w:lang w:val="en-US" w:eastAsia="zh-CN" w:bidi="ar-SA"/>
        </w:rPr>
        <w:t xml:space="preserve">  </w:t>
      </w:r>
      <w:r>
        <w:rPr>
          <w:rFonts w:hint="eastAsia"/>
          <w:sz w:val="24"/>
        </w:rPr>
        <w:t>响应文件正本的响应函部分应严格按照本须知13条款内容签字、盖章。</w:t>
      </w:r>
    </w:p>
    <w:p w14:paraId="11AF1B53">
      <w:pPr>
        <w:numPr>
          <w:ilvl w:val="1"/>
          <w:numId w:val="0"/>
        </w:numPr>
        <w:tabs>
          <w:tab w:val="left" w:pos="1080"/>
          <w:tab w:val="left" w:pos="2014"/>
        </w:tabs>
        <w:snapToGrid w:val="0"/>
        <w:spacing w:line="360" w:lineRule="auto"/>
        <w:ind w:left="1077" w:leftChars="0" w:hanging="720" w:firstLineChars="0"/>
        <w:rPr>
          <w:rFonts w:hint="eastAsia"/>
          <w:sz w:val="24"/>
        </w:rPr>
      </w:pP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eastAsia"/>
          <w:sz w:val="24"/>
        </w:rPr>
        <w:t>电子文件规定存储载体U盘形式，并标注单位名称。</w:t>
      </w:r>
    </w:p>
    <w:p w14:paraId="265092AD">
      <w:pPr>
        <w:tabs>
          <w:tab w:val="left" w:pos="900"/>
          <w:tab w:val="left" w:pos="1080"/>
        </w:tabs>
        <w:snapToGrid w:val="0"/>
        <w:spacing w:line="360" w:lineRule="auto"/>
        <w:ind w:left="850" w:leftChars="405" w:firstLine="225" w:firstLineChars="94"/>
        <w:rPr>
          <w:rFonts w:hint="eastAsia"/>
          <w:sz w:val="24"/>
        </w:rPr>
      </w:pPr>
      <w:r>
        <w:rPr>
          <w:rFonts w:hint="eastAsia"/>
          <w:sz w:val="24"/>
        </w:rPr>
        <w:t>供应商递交的电子文件应包含纸质响应文件全部内容，电子文件规定格式为：</w:t>
      </w:r>
    </w:p>
    <w:p w14:paraId="7CED484A">
      <w:pPr>
        <w:tabs>
          <w:tab w:val="left" w:pos="900"/>
          <w:tab w:val="left" w:pos="1080"/>
        </w:tabs>
        <w:snapToGrid w:val="0"/>
        <w:spacing w:line="360" w:lineRule="auto"/>
        <w:ind w:left="708" w:leftChars="337" w:firstLine="604" w:firstLineChars="252"/>
        <w:rPr>
          <w:rFonts w:hint="eastAsia"/>
          <w:sz w:val="24"/>
        </w:rPr>
      </w:pPr>
      <w:r>
        <w:rPr>
          <w:rFonts w:hint="eastAsia"/>
          <w:sz w:val="24"/>
        </w:rPr>
        <w:t>①文本文件采用DOC、DOCX、RTF、TXT、PDF格式；</w:t>
      </w:r>
    </w:p>
    <w:p w14:paraId="2A9DDC98">
      <w:pPr>
        <w:tabs>
          <w:tab w:val="left" w:pos="900"/>
          <w:tab w:val="left" w:pos="1080"/>
        </w:tabs>
        <w:snapToGrid w:val="0"/>
        <w:spacing w:line="360" w:lineRule="auto"/>
        <w:ind w:left="708" w:leftChars="337" w:firstLine="127" w:firstLineChars="53"/>
        <w:rPr>
          <w:rFonts w:hint="eastAsia"/>
          <w:sz w:val="24"/>
        </w:rPr>
      </w:pPr>
      <w:r>
        <w:rPr>
          <w:rFonts w:hint="eastAsia"/>
          <w:sz w:val="24"/>
        </w:rPr>
        <w:t xml:space="preserve">    ②图像文件采用JPEG、TIFF格式；</w:t>
      </w:r>
    </w:p>
    <w:p w14:paraId="34D97CE0">
      <w:pPr>
        <w:tabs>
          <w:tab w:val="left" w:pos="900"/>
          <w:tab w:val="left" w:pos="1080"/>
        </w:tabs>
        <w:snapToGrid w:val="0"/>
        <w:spacing w:line="360" w:lineRule="auto"/>
        <w:ind w:left="708" w:leftChars="337" w:firstLine="127" w:firstLineChars="53"/>
        <w:rPr>
          <w:rFonts w:hint="eastAsia"/>
          <w:sz w:val="24"/>
        </w:rPr>
      </w:pPr>
      <w:r>
        <w:rPr>
          <w:rFonts w:hint="eastAsia"/>
          <w:sz w:val="24"/>
        </w:rPr>
        <w:t xml:space="preserve">    ③影像文件采用MPEG、AVI、MP4格式；</w:t>
      </w:r>
    </w:p>
    <w:p w14:paraId="37B3931E">
      <w:pPr>
        <w:tabs>
          <w:tab w:val="left" w:pos="1276"/>
          <w:tab w:val="left" w:pos="1589"/>
          <w:tab w:val="left" w:pos="2014"/>
        </w:tabs>
        <w:snapToGrid w:val="0"/>
        <w:spacing w:line="360" w:lineRule="auto"/>
        <w:ind w:left="0" w:leftChars="-67" w:hanging="141" w:hangingChars="59"/>
        <w:rPr>
          <w:rFonts w:hint="eastAsia"/>
          <w:sz w:val="24"/>
        </w:rPr>
      </w:pPr>
      <w:r>
        <w:rPr>
          <w:rFonts w:hint="eastAsia"/>
          <w:sz w:val="24"/>
        </w:rPr>
        <w:t xml:space="preserve">            ④声音文件采用WAV、MP3格式。</w:t>
      </w:r>
    </w:p>
    <w:p w14:paraId="28C3B399">
      <w:pPr>
        <w:numPr>
          <w:ilvl w:val="1"/>
          <w:numId w:val="0"/>
        </w:numPr>
        <w:tabs>
          <w:tab w:val="left" w:pos="1080"/>
          <w:tab w:val="left" w:pos="2014"/>
        </w:tabs>
        <w:snapToGrid w:val="0"/>
        <w:spacing w:line="360" w:lineRule="auto"/>
        <w:ind w:left="1077" w:leftChars="0" w:hanging="720" w:firstLineChars="0"/>
        <w:rPr>
          <w:rFonts w:hint="eastAsia"/>
          <w:sz w:val="24"/>
        </w:rPr>
      </w:pP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.6</w:t>
      </w:r>
      <w:r>
        <w:rPr>
          <w:rFonts w:hint="eastAsia" w:cs="Times New Roman"/>
          <w:kern w:val="2"/>
          <w:sz w:val="24"/>
          <w:szCs w:val="24"/>
          <w:lang w:val="en-US" w:eastAsia="zh-CN" w:bidi="ar-SA"/>
        </w:rPr>
        <w:t xml:space="preserve">  </w:t>
      </w:r>
      <w:r>
        <w:rPr>
          <w:rFonts w:hint="eastAsia"/>
          <w:sz w:val="24"/>
        </w:rPr>
        <w:t>除供应商对错误处须修改外，全套响应文件应无涂改或行间插字和增删。如有修改，修改处应由供应商加盖供应商的公章并由法定代表人或其委托代理人签字或盖章，响应文件技术部分不允许有修改。</w:t>
      </w:r>
    </w:p>
    <w:p w14:paraId="4D84284F">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sz w:val="24"/>
          <w:lang w:val="en-US" w:eastAsia="zh-CN"/>
        </w:rPr>
        <w:t xml:space="preserve">13.7  </w:t>
      </w:r>
      <w:r>
        <w:rPr>
          <w:rFonts w:hint="eastAsia"/>
          <w:sz w:val="24"/>
        </w:rPr>
        <w:t>响应文件因字迹潦草或表达不清所引起的后果由供应商负责。</w:t>
      </w:r>
    </w:p>
    <w:p w14:paraId="679FB244">
      <w:pPr>
        <w:numPr>
          <w:ilvl w:val="0"/>
          <w:numId w:val="0"/>
        </w:numPr>
        <w:tabs>
          <w:tab w:val="left" w:pos="360"/>
        </w:tabs>
        <w:snapToGrid w:val="0"/>
        <w:spacing w:line="360" w:lineRule="auto"/>
        <w:ind w:leftChars="0"/>
        <w:outlineLvl w:val="1"/>
        <w:rPr>
          <w:rFonts w:ascii="宋体" w:hAnsi="宋体" w:cs="宋体"/>
          <w:color w:val="auto"/>
          <w:sz w:val="24"/>
          <w:highlight w:val="none"/>
        </w:rPr>
      </w:pPr>
      <w:bookmarkStart w:id="316" w:name="_Toc127161447"/>
      <w:bookmarkStart w:id="317" w:name="_Toc226965806"/>
      <w:bookmarkStart w:id="318" w:name="_Toc164608647"/>
      <w:bookmarkStart w:id="319" w:name="_Toc150774633"/>
      <w:bookmarkStart w:id="320" w:name="_Toc195842898"/>
      <w:bookmarkStart w:id="321" w:name="_Toc150509284"/>
      <w:bookmarkStart w:id="322" w:name="_Toc164351627"/>
      <w:bookmarkStart w:id="323" w:name="_Toc151193631"/>
      <w:bookmarkStart w:id="324" w:name="_Toc151193921"/>
      <w:bookmarkStart w:id="325" w:name="_Toc164229374"/>
      <w:bookmarkStart w:id="326" w:name="_Toc151193703"/>
      <w:bookmarkStart w:id="327" w:name="_Toc520356158"/>
      <w:bookmarkStart w:id="328" w:name="_Toc127151734"/>
      <w:bookmarkStart w:id="329" w:name="_Toc305158875"/>
      <w:bookmarkStart w:id="330" w:name="_Toc149720826"/>
      <w:bookmarkStart w:id="331" w:name="_Toc164608802"/>
      <w:bookmarkStart w:id="332" w:name="_Toc226337229"/>
      <w:bookmarkStart w:id="333" w:name="_Toc150774738"/>
      <w:bookmarkStart w:id="334" w:name="_Toc164229228"/>
      <w:bookmarkStart w:id="335" w:name="_Toc151190160"/>
      <w:bookmarkStart w:id="336" w:name="_Toc127151533"/>
      <w:bookmarkStart w:id="337" w:name="_Toc226309777"/>
      <w:bookmarkStart w:id="338" w:name="_Toc142311035"/>
      <w:bookmarkStart w:id="339" w:name="_Toc151193847"/>
      <w:bookmarkStart w:id="340" w:name="_Toc305158801"/>
      <w:bookmarkStart w:id="341" w:name="_Toc264969223"/>
      <w:bookmarkStart w:id="342" w:name="_Toc150480771"/>
      <w:bookmarkStart w:id="343" w:name="_Toc151193775"/>
      <w:bookmarkStart w:id="344" w:name="_Toc226965723"/>
      <w:bookmarkStart w:id="345" w:name="_Toc265228371"/>
      <w:r>
        <w:rPr>
          <w:rFonts w:hint="eastAsia" w:ascii="宋体" w:hAnsi="宋体" w:cs="宋体"/>
          <w:color w:val="auto"/>
          <w:sz w:val="24"/>
          <w:highlight w:val="none"/>
          <w:lang w:val="en-US" w:eastAsia="zh-CN"/>
        </w:rPr>
        <w:t>14  响应</w:t>
      </w:r>
      <w:r>
        <w:rPr>
          <w:rFonts w:hint="eastAsia" w:ascii="宋体" w:hAnsi="宋体" w:cs="宋体"/>
          <w:color w:val="auto"/>
          <w:sz w:val="24"/>
          <w:highlight w:val="none"/>
        </w:rPr>
        <w:t>文件的签署</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cs="宋体"/>
          <w:color w:val="auto"/>
          <w:sz w:val="24"/>
          <w:highlight w:val="none"/>
        </w:rPr>
        <w:t>、盖章</w:t>
      </w:r>
    </w:p>
    <w:p w14:paraId="59B1D759">
      <w:pPr>
        <w:tabs>
          <w:tab w:val="left" w:pos="900"/>
          <w:tab w:val="left" w:pos="1080"/>
        </w:tabs>
        <w:snapToGrid w:val="0"/>
        <w:spacing w:line="360" w:lineRule="auto"/>
        <w:ind w:left="357"/>
        <w:rPr>
          <w:rFonts w:ascii="宋体" w:hAnsi="宋体" w:cs="宋体"/>
          <w:b w:val="0"/>
          <w:bCs w:val="0"/>
          <w:color w:val="auto"/>
          <w:sz w:val="24"/>
          <w:highlight w:val="none"/>
        </w:rPr>
      </w:pPr>
      <w:bookmarkStart w:id="346" w:name="_Hlk143784918"/>
      <w:r>
        <w:rPr>
          <w:rFonts w:hint="eastAsia" w:ascii="宋体" w:hAnsi="宋体" w:cs="宋体"/>
          <w:b w:val="0"/>
          <w:bCs w:val="0"/>
          <w:color w:val="auto"/>
          <w:sz w:val="24"/>
          <w:highlight w:val="none"/>
        </w:rPr>
        <w:t>14.1</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份数应按</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须知资料表的规定准备</w:t>
      </w: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w:t>
      </w:r>
    </w:p>
    <w:p w14:paraId="54F188D4">
      <w:pPr>
        <w:tabs>
          <w:tab w:val="left" w:pos="900"/>
          <w:tab w:val="left" w:pos="1080"/>
        </w:tabs>
        <w:snapToGrid w:val="0"/>
        <w:spacing w:line="360" w:lineRule="auto"/>
        <w:ind w:left="357"/>
        <w:rPr>
          <w:rFonts w:ascii="宋体" w:hAnsi="宋体" w:cs="宋体"/>
          <w:b w:val="0"/>
          <w:bCs w:val="0"/>
          <w:color w:val="auto"/>
          <w:sz w:val="24"/>
          <w:highlight w:val="none"/>
        </w:rPr>
      </w:pPr>
      <w:r>
        <w:rPr>
          <w:rFonts w:hint="eastAsia" w:ascii="宋体" w:hAnsi="宋体" w:cs="宋体"/>
          <w:b w:val="0"/>
          <w:bCs w:val="0"/>
          <w:color w:val="auto"/>
          <w:sz w:val="24"/>
          <w:highlight w:val="none"/>
        </w:rPr>
        <w:t xml:space="preserve">14.2 </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要求签字的内容（如授权委托书等），由相关人员亲笔签名，不得代签。（纸版</w:t>
      </w: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w:t>
      </w:r>
    </w:p>
    <w:p w14:paraId="0DF2F0F8">
      <w:pPr>
        <w:tabs>
          <w:tab w:val="left" w:pos="900"/>
          <w:tab w:val="left" w:pos="1080"/>
        </w:tabs>
        <w:snapToGrid w:val="0"/>
        <w:spacing w:line="360" w:lineRule="auto"/>
        <w:ind w:left="357"/>
        <w:rPr>
          <w:rFonts w:ascii="宋体" w:hAnsi="宋体" w:cs="宋体"/>
          <w:b w:val="0"/>
          <w:bCs w:val="0"/>
          <w:color w:val="auto"/>
          <w:sz w:val="24"/>
          <w:highlight w:val="none"/>
        </w:rPr>
      </w:pPr>
      <w:r>
        <w:rPr>
          <w:rFonts w:hint="eastAsia" w:ascii="宋体" w:hAnsi="宋体" w:cs="宋体"/>
          <w:b w:val="0"/>
          <w:bCs w:val="0"/>
          <w:color w:val="auto"/>
          <w:sz w:val="24"/>
          <w:highlight w:val="none"/>
        </w:rPr>
        <w:t>14.3</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要求盖章的内容，使用单位公章，合同章及其他专用章无效。</w:t>
      </w:r>
    </w:p>
    <w:p w14:paraId="6ED16145">
      <w:pPr>
        <w:tabs>
          <w:tab w:val="left" w:pos="900"/>
          <w:tab w:val="left" w:pos="1080"/>
        </w:tabs>
        <w:snapToGrid w:val="0"/>
        <w:spacing w:line="360" w:lineRule="auto"/>
        <w:ind w:left="357"/>
        <w:rPr>
          <w:rFonts w:ascii="宋体" w:hAnsi="宋体" w:cs="宋体"/>
          <w:b w:val="0"/>
          <w:bCs w:val="0"/>
          <w:color w:val="auto"/>
          <w:sz w:val="24"/>
          <w:highlight w:val="none"/>
        </w:rPr>
      </w:pPr>
      <w:r>
        <w:rPr>
          <w:rFonts w:hint="eastAsia" w:ascii="宋体" w:hAnsi="宋体" w:cs="宋体"/>
          <w:b w:val="0"/>
          <w:bCs w:val="0"/>
          <w:color w:val="auto"/>
          <w:sz w:val="24"/>
          <w:highlight w:val="none"/>
        </w:rPr>
        <w:t>14.4任何行间插字、涂改和增删，必须由法定代表人或被授权的供应商代表在旁边签字才有效，因</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字迹潦草或表达不清所引起的不利后果由</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承担。</w:t>
      </w:r>
    </w:p>
    <w:p w14:paraId="23B21152">
      <w:pPr>
        <w:tabs>
          <w:tab w:val="left" w:pos="900"/>
          <w:tab w:val="left" w:pos="1080"/>
        </w:tabs>
        <w:snapToGrid w:val="0"/>
        <w:spacing w:line="360" w:lineRule="auto"/>
        <w:ind w:left="357"/>
        <w:rPr>
          <w:rFonts w:ascii="宋体" w:hAnsi="宋体" w:cs="宋体"/>
          <w:b w:val="0"/>
          <w:bCs w:val="0"/>
          <w:color w:val="auto"/>
          <w:sz w:val="24"/>
          <w:highlight w:val="none"/>
        </w:rPr>
      </w:pPr>
      <w:r>
        <w:rPr>
          <w:rFonts w:hint="eastAsia" w:ascii="宋体" w:hAnsi="宋体" w:cs="宋体"/>
          <w:b w:val="0"/>
          <w:bCs w:val="0"/>
          <w:color w:val="auto"/>
          <w:sz w:val="24"/>
          <w:highlight w:val="none"/>
        </w:rPr>
        <w:t>14.5没有按</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实质性和符合性规定签字和盖章的响应，将被视为无效</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件。</w:t>
      </w:r>
    </w:p>
    <w:p w14:paraId="4CA2D4F5">
      <w:pPr>
        <w:tabs>
          <w:tab w:val="left" w:pos="900"/>
          <w:tab w:val="left" w:pos="1080"/>
        </w:tabs>
        <w:snapToGrid w:val="0"/>
        <w:spacing w:line="360" w:lineRule="auto"/>
        <w:ind w:left="357"/>
        <w:rPr>
          <w:rFonts w:ascii="宋体" w:hAnsi="宋体" w:cs="宋体"/>
          <w:b w:val="0"/>
          <w:bCs w:val="0"/>
          <w:color w:val="auto"/>
          <w:highlight w:val="none"/>
        </w:rPr>
      </w:pPr>
      <w:r>
        <w:rPr>
          <w:rFonts w:hint="eastAsia" w:ascii="宋体" w:hAnsi="宋体" w:cs="宋体"/>
          <w:b w:val="0"/>
          <w:bCs w:val="0"/>
          <w:color w:val="auto"/>
          <w:sz w:val="24"/>
          <w:highlight w:val="none"/>
        </w:rPr>
        <w:t>14.6本项目不接受以传真、电子邮件形式递交的</w:t>
      </w:r>
      <w:r>
        <w:rPr>
          <w:rFonts w:hint="eastAsia" w:ascii="宋体" w:hAnsi="宋体" w:cs="宋体"/>
          <w:b w:val="0"/>
          <w:bCs w:val="0"/>
          <w:color w:val="auto"/>
          <w:sz w:val="24"/>
          <w:highlight w:val="none"/>
          <w:lang w:val="en-US" w:eastAsia="zh-CN"/>
        </w:rPr>
        <w:t>响应文件</w:t>
      </w:r>
      <w:r>
        <w:rPr>
          <w:rFonts w:hint="eastAsia" w:ascii="宋体" w:hAnsi="宋体" w:cs="宋体"/>
          <w:b w:val="0"/>
          <w:bCs w:val="0"/>
          <w:color w:val="auto"/>
          <w:sz w:val="24"/>
          <w:highlight w:val="none"/>
        </w:rPr>
        <w:t>，须以纸质版文件递交。</w:t>
      </w:r>
    </w:p>
    <w:bookmarkEnd w:id="346"/>
    <w:p w14:paraId="5215389B">
      <w:pPr>
        <w:tabs>
          <w:tab w:val="left" w:pos="900"/>
          <w:tab w:val="left" w:pos="1080"/>
        </w:tabs>
        <w:snapToGrid w:val="0"/>
        <w:spacing w:after="0" w:line="360" w:lineRule="auto"/>
        <w:ind w:left="357"/>
        <w:rPr>
          <w:rFonts w:hint="eastAsia" w:ascii="宋体" w:hAnsi="宋体" w:eastAsia="宋体" w:cs="宋体"/>
          <w:color w:val="auto"/>
          <w:highlight w:val="none"/>
        </w:rPr>
      </w:pPr>
    </w:p>
    <w:p w14:paraId="64C218D3">
      <w:pPr>
        <w:pStyle w:val="4"/>
        <w:spacing w:before="0" w:after="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CBE77A2">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b/>
          <w:bCs/>
          <w:color w:val="auto"/>
          <w:sz w:val="24"/>
          <w:highlight w:val="none"/>
        </w:rPr>
        <w:t>响应文件的提交</w:t>
      </w:r>
    </w:p>
    <w:p w14:paraId="5E258CA4">
      <w:pPr>
        <w:spacing w:line="360" w:lineRule="auto"/>
        <w:ind w:left="479" w:leftChars="228"/>
        <w:rPr>
          <w:rFonts w:ascii="宋体" w:hAnsi="宋体" w:eastAsia="宋体" w:cs="宋体"/>
          <w:color w:val="auto"/>
          <w:sz w:val="24"/>
          <w:highlight w:val="none"/>
        </w:rPr>
      </w:pPr>
      <w:bookmarkStart w:id="347" w:name="_Toc12992"/>
      <w:bookmarkStart w:id="348" w:name="_Toc2548"/>
      <w:bookmarkStart w:id="349" w:name="_Toc447223741"/>
      <w:bookmarkStart w:id="350" w:name="_Toc16528"/>
      <w:bookmarkStart w:id="351" w:name="_Toc445903407"/>
      <w:bookmarkStart w:id="352" w:name="_Toc445845740"/>
      <w:bookmarkStart w:id="353" w:name="_Toc445916570"/>
      <w:bookmarkStart w:id="354" w:name="_Toc445984940"/>
      <w:r>
        <w:rPr>
          <w:rFonts w:hint="eastAsia" w:ascii="宋体" w:hAnsi="宋体" w:eastAsia="宋体" w:cs="宋体"/>
          <w:color w:val="auto"/>
          <w:sz w:val="24"/>
          <w:highlight w:val="none"/>
        </w:rPr>
        <w:t>15.1投标时，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需将</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分以下几部分进行包装、标记及提交： </w:t>
      </w:r>
    </w:p>
    <w:p w14:paraId="5DFB3D6C">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：将该正本、所有的副本包装在标记为“</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文件正本、副本”的包装袋/箱中进行提交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并尽量减少包装袋/箱的使用数量； </w:t>
      </w:r>
    </w:p>
    <w:p w14:paraId="1903FABF">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电子文档：将</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电子文档单独包装在标记为“</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 </w:t>
      </w:r>
    </w:p>
    <w:p w14:paraId="15D3E197">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电子文档”的包装袋中；若</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要求提交其他电子介质文档（如演示视频电子文档等），则该文档与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电子文档一并封装在同一包装袋中）； </w:t>
      </w:r>
    </w:p>
    <w:p w14:paraId="65EA5760">
      <w:pPr>
        <w:spacing w:line="360" w:lineRule="auto"/>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开标一览表：为方便开标唱标，除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中的《开标一览表》以外，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还需另行准备一份相同的《开标一览表》，单独包装提交，在信封上标明“开标一览表”字样。</w:t>
      </w:r>
    </w:p>
    <w:p w14:paraId="53E7ED58">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 xml:space="preserve">15.2 所有包装袋/箱上均需： </w:t>
      </w:r>
    </w:p>
    <w:p w14:paraId="5DBEA6CA">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 xml:space="preserve">（1）清楚标明递交至投标邀请中指明的地址； </w:t>
      </w:r>
    </w:p>
    <w:p w14:paraId="53A5606E">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 xml:space="preserve">（2）注明投标邀请中指明的项目名称、项目编号和“在 （开标日期、时间） </w:t>
      </w:r>
    </w:p>
    <w:p w14:paraId="1C13A39F">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 xml:space="preserve">之前不得启封”的字样； </w:t>
      </w:r>
    </w:p>
    <w:p w14:paraId="21131B47">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（3）写明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名称和地址。</w:t>
      </w:r>
    </w:p>
    <w:p w14:paraId="13DCA030">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15.3 如果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未按上述要求包装及加写标记，采购人或采购代理机构对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的误投或过早启封概不负责。 </w:t>
      </w:r>
    </w:p>
    <w:p w14:paraId="57B3E450">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15.4 未密封的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，采购人、采购代理机构予以拒收。 </w:t>
      </w:r>
    </w:p>
    <w:p w14:paraId="0843A4AF">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15.5 采购人拒绝接受以电报、电话、传真、电子邮件形式递交的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 </w:t>
      </w:r>
    </w:p>
    <w:p w14:paraId="48DFD0E4">
      <w:pPr>
        <w:spacing w:line="360" w:lineRule="auto"/>
        <w:ind w:left="479" w:leftChars="228"/>
        <w:rPr>
          <w:rFonts w:ascii="宋体" w:hAnsi="宋体" w:eastAsia="宋体" w:cs="宋体"/>
          <w:color w:val="auto"/>
          <w:sz w:val="24"/>
          <w:highlight w:val="none"/>
        </w:rPr>
      </w:pPr>
      <w:r>
        <w:rPr>
          <w:rFonts w:hint="eastAsia" w:ascii="宋体" w:hAnsi="宋体" w:eastAsia="宋体" w:cs="宋体"/>
          <w:color w:val="auto"/>
          <w:sz w:val="24"/>
          <w:highlight w:val="none"/>
        </w:rPr>
        <w:t>15.6</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的密封和标记要求以《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须知资料表》中的规定为准。</w:t>
      </w:r>
    </w:p>
    <w:p w14:paraId="1FAEFB9A">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cs="宋体"/>
          <w:snapToGrid w:val="0"/>
          <w:color w:val="auto"/>
          <w:kern w:val="0"/>
          <w:sz w:val="24"/>
          <w:szCs w:val="21"/>
          <w:highlight w:val="none"/>
          <w:lang w:val="en-US" w:eastAsia="zh-CN"/>
        </w:rPr>
        <w:t>6</w:t>
      </w:r>
      <w:r>
        <w:rPr>
          <w:rFonts w:hint="eastAsia" w:ascii="宋体" w:hAnsi="宋体" w:eastAsia="宋体" w:cs="宋体"/>
          <w:snapToGrid w:val="0"/>
          <w:color w:val="auto"/>
          <w:kern w:val="0"/>
          <w:sz w:val="24"/>
          <w:szCs w:val="21"/>
          <w:highlight w:val="none"/>
          <w:lang w:val="en-US" w:eastAsia="zh-CN"/>
        </w:rPr>
        <w:t xml:space="preserve">  </w:t>
      </w:r>
      <w:bookmarkEnd w:id="347"/>
      <w:bookmarkEnd w:id="348"/>
      <w:bookmarkEnd w:id="349"/>
      <w:bookmarkEnd w:id="350"/>
      <w:bookmarkEnd w:id="351"/>
      <w:bookmarkEnd w:id="352"/>
      <w:bookmarkEnd w:id="353"/>
      <w:bookmarkEnd w:id="354"/>
      <w:r>
        <w:rPr>
          <w:rFonts w:hint="eastAsia" w:ascii="宋体" w:hAnsi="宋体" w:eastAsia="宋体" w:cs="宋体"/>
          <w:b/>
          <w:bCs/>
          <w:color w:val="auto"/>
          <w:sz w:val="24"/>
          <w:highlight w:val="none"/>
          <w:lang w:val="en-US" w:eastAsia="zh-CN"/>
        </w:rPr>
        <w:t>响应文件提交截止时间</w:t>
      </w:r>
    </w:p>
    <w:p w14:paraId="476C1AB5">
      <w:pPr>
        <w:tabs>
          <w:tab w:val="left" w:pos="360"/>
        </w:tabs>
        <w:snapToGrid w:val="0"/>
        <w:spacing w:after="0" w:line="360" w:lineRule="auto"/>
        <w:ind w:left="357"/>
        <w:outlineLvl w:val="1"/>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ascii="宋体" w:hAnsi="宋体" w:eastAsia="宋体" w:cs="宋体"/>
          <w:b w:val="0"/>
          <w:bCs w:val="0"/>
          <w:color w:val="000000"/>
          <w:sz w:val="24"/>
          <w:szCs w:val="24"/>
        </w:rPr>
        <w:t>供应商应按供应商须知资料表所规定的截止时间前，提交响应文件</w:t>
      </w:r>
      <w:r>
        <w:rPr>
          <w:rFonts w:hint="eastAsia" w:ascii="宋体" w:hAnsi="宋体" w:eastAsia="宋体" w:cs="宋体"/>
          <w:color w:val="auto"/>
          <w:sz w:val="24"/>
          <w:highlight w:val="none"/>
        </w:rPr>
        <w:t>。</w:t>
      </w:r>
    </w:p>
    <w:p w14:paraId="44F5BCF3">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cs="宋体"/>
          <w:snapToGrid w:val="0"/>
          <w:color w:val="auto"/>
          <w:kern w:val="0"/>
          <w:sz w:val="24"/>
          <w:szCs w:val="21"/>
          <w:highlight w:val="none"/>
          <w:lang w:val="en-US" w:eastAsia="zh-CN"/>
        </w:rPr>
        <w:t>7</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b/>
          <w:bCs/>
          <w:color w:val="auto"/>
          <w:sz w:val="24"/>
          <w:highlight w:val="none"/>
          <w:lang w:val="en-US" w:eastAsia="zh-CN"/>
        </w:rPr>
        <w:t>响应文件的修改与撤回</w:t>
      </w:r>
    </w:p>
    <w:p w14:paraId="62447E65">
      <w:pPr>
        <w:tabs>
          <w:tab w:val="left" w:pos="1080"/>
          <w:tab w:val="left" w:pos="2014"/>
        </w:tabs>
        <w:snapToGrid w:val="0"/>
        <w:spacing w:line="360" w:lineRule="auto"/>
        <w:ind w:left="357"/>
        <w:rPr>
          <w:rFonts w:ascii="宋体" w:hAnsi="宋体" w:cs="宋体"/>
          <w:color w:val="auto"/>
          <w:sz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cs="宋体"/>
          <w:color w:val="auto"/>
          <w:sz w:val="24"/>
          <w:highlight w:val="none"/>
        </w:rPr>
        <w:t>投标截止时间前，</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可以对所提交的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 xml:space="preserve">文件进行补充、修改或者撤回，并书面通知采购人或采购代理机构。 </w:t>
      </w:r>
    </w:p>
    <w:p w14:paraId="4C7D962E">
      <w:pPr>
        <w:tabs>
          <w:tab w:val="left" w:pos="1080"/>
          <w:tab w:val="left" w:pos="2014"/>
        </w:tabs>
        <w:snapToGrid w:val="0"/>
        <w:spacing w:line="360" w:lineRule="auto"/>
        <w:ind w:left="357"/>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17.2供应商对响应文件的补充、修改的内容应当按照竞争性磋商文件要求签署、盖章，作为响应文件的组成部分。补充、修改的内容与响应文件不一致的，以补充、修改的内容为准。</w:t>
      </w:r>
    </w:p>
    <w:p w14:paraId="7641407D">
      <w:pPr>
        <w:bidi w:val="0"/>
        <w:spacing w:after="0"/>
        <w:rPr>
          <w:rFonts w:hint="eastAsia"/>
          <w:color w:val="auto"/>
          <w:highlight w:val="none"/>
        </w:rPr>
      </w:pPr>
    </w:p>
    <w:p w14:paraId="5CC8203E">
      <w:pPr>
        <w:pStyle w:val="4"/>
        <w:spacing w:before="0" w:after="0" w:line="360" w:lineRule="auto"/>
        <w:rPr>
          <w:rFonts w:hint="eastAsia" w:ascii="宋体" w:hAnsi="宋体" w:eastAsia="宋体" w:cs="宋体"/>
          <w:color w:val="auto"/>
          <w:sz w:val="28"/>
          <w:highlight w:val="none"/>
        </w:rPr>
      </w:pPr>
      <w:bookmarkStart w:id="355" w:name="_Toc150774743"/>
      <w:bookmarkStart w:id="356" w:name="_Toc226965728"/>
      <w:bookmarkStart w:id="357" w:name="_Toc151193926"/>
      <w:bookmarkStart w:id="358" w:name="_Toc264969228"/>
      <w:bookmarkStart w:id="359" w:name="_Toc127151538"/>
      <w:bookmarkStart w:id="360" w:name="_Toc151190165"/>
      <w:bookmarkStart w:id="361" w:name="_Toc150509289"/>
      <w:bookmarkStart w:id="362" w:name="_Toc151193636"/>
      <w:bookmarkStart w:id="363" w:name="_Toc265228376"/>
      <w:bookmarkStart w:id="364" w:name="_Toc520356163"/>
      <w:bookmarkStart w:id="365" w:name="_Toc151193780"/>
      <w:bookmarkStart w:id="366" w:name="_Toc142311040"/>
      <w:bookmarkStart w:id="367" w:name="_Toc226965811"/>
      <w:bookmarkStart w:id="368" w:name="_Toc226309782"/>
      <w:bookmarkStart w:id="369" w:name="_Toc150480776"/>
      <w:bookmarkStart w:id="370" w:name="_Toc305158806"/>
      <w:bookmarkStart w:id="371" w:name="_Toc305158880"/>
      <w:bookmarkStart w:id="372" w:name="_Toc150774638"/>
      <w:bookmarkStart w:id="373" w:name="_Toc151193708"/>
      <w:bookmarkStart w:id="374" w:name="_Toc151193852"/>
      <w:bookmarkStart w:id="375" w:name="_Toc226337234"/>
      <w:bookmarkStart w:id="376" w:name="_Toc195842903"/>
      <w:r>
        <w:rPr>
          <w:rFonts w:hint="eastAsia" w:ascii="宋体" w:hAnsi="宋体" w:eastAsia="宋体" w:cs="宋体"/>
          <w:color w:val="auto"/>
          <w:sz w:val="28"/>
          <w:highlight w:val="none"/>
        </w:rPr>
        <w:t xml:space="preserve">五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ascii="宋体" w:hAnsi="宋体" w:eastAsia="宋体" w:cs="宋体"/>
          <w:color w:val="auto"/>
          <w:sz w:val="28"/>
          <w:highlight w:val="none"/>
        </w:rPr>
        <w:t>开标、资格审查及评标</w:t>
      </w:r>
    </w:p>
    <w:p w14:paraId="768C136E">
      <w:pPr>
        <w:tabs>
          <w:tab w:val="left" w:pos="360"/>
        </w:tabs>
        <w:snapToGrid w:val="0"/>
        <w:spacing w:line="360" w:lineRule="auto"/>
        <w:outlineLvl w:val="1"/>
        <w:rPr>
          <w:rFonts w:ascii="宋体" w:hAnsi="宋体" w:cs="宋体"/>
          <w:color w:val="auto"/>
          <w:sz w:val="24"/>
          <w:highlight w:val="none"/>
        </w:rPr>
      </w:pPr>
      <w:bookmarkStart w:id="377" w:name="_Toc127151539"/>
      <w:bookmarkStart w:id="378" w:name="_Toc164351633"/>
      <w:bookmarkStart w:id="379" w:name="_Toc226965729"/>
      <w:bookmarkStart w:id="380" w:name="_Toc150509290"/>
      <w:bookmarkStart w:id="381" w:name="_Toc226309783"/>
      <w:bookmarkStart w:id="382" w:name="_Toc226965812"/>
      <w:bookmarkStart w:id="383" w:name="_Toc195842904"/>
      <w:bookmarkStart w:id="384" w:name="_Toc151190166"/>
      <w:bookmarkStart w:id="385" w:name="_Toc151193853"/>
      <w:bookmarkStart w:id="386" w:name="_Toc149720832"/>
      <w:bookmarkStart w:id="387" w:name="_Toc150774639"/>
      <w:bookmarkStart w:id="388" w:name="_Toc127161453"/>
      <w:bookmarkStart w:id="389" w:name="_Toc151193927"/>
      <w:bookmarkStart w:id="390" w:name="_Toc264969229"/>
      <w:bookmarkStart w:id="391" w:name="_Toc150480777"/>
      <w:bookmarkStart w:id="392" w:name="_Toc151193781"/>
      <w:bookmarkStart w:id="393" w:name="_Toc164229380"/>
      <w:bookmarkStart w:id="394" w:name="_Toc305158881"/>
      <w:bookmarkStart w:id="395" w:name="_Toc520356164"/>
      <w:bookmarkStart w:id="396" w:name="_Toc150774744"/>
      <w:bookmarkStart w:id="397" w:name="_Toc164608653"/>
      <w:bookmarkStart w:id="398" w:name="_Toc265228377"/>
      <w:bookmarkStart w:id="399" w:name="_Toc164608808"/>
      <w:bookmarkStart w:id="400" w:name="_Toc305158807"/>
      <w:bookmarkStart w:id="401" w:name="_Toc164229234"/>
      <w:bookmarkStart w:id="402" w:name="_Toc151193637"/>
      <w:bookmarkStart w:id="403" w:name="_Toc226337235"/>
      <w:bookmarkStart w:id="404" w:name="_Toc127151740"/>
      <w:bookmarkStart w:id="405" w:name="_Toc151193709"/>
      <w:bookmarkStart w:id="406" w:name="_Toc142311041"/>
      <w:r>
        <w:rPr>
          <w:rFonts w:hint="eastAsia" w:ascii="宋体" w:hAnsi="宋体" w:cs="宋体"/>
          <w:color w:val="auto"/>
          <w:sz w:val="24"/>
          <w:highlight w:val="none"/>
        </w:rPr>
        <w:t>18 开标</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4D390ED">
      <w:pPr>
        <w:pStyle w:val="17"/>
        <w:spacing w:line="360" w:lineRule="auto"/>
        <w:rPr>
          <w:rFonts w:cs="宋体"/>
          <w:color w:val="auto"/>
          <w:highlight w:val="none"/>
        </w:rPr>
      </w:pPr>
      <w:r>
        <w:rPr>
          <w:rFonts w:hint="eastAsia" w:cs="宋体"/>
          <w:color w:val="auto"/>
          <w:highlight w:val="none"/>
        </w:rPr>
        <w:t xml:space="preserve">  18.1 采购人或采购代理机构将按</w:t>
      </w:r>
      <w:r>
        <w:rPr>
          <w:rFonts w:hint="eastAsia" w:cs="宋体"/>
          <w:color w:val="auto"/>
          <w:highlight w:val="none"/>
          <w:lang w:val="en-US" w:eastAsia="zh-CN"/>
        </w:rPr>
        <w:t>竞争性磋商文件</w:t>
      </w:r>
      <w:r>
        <w:rPr>
          <w:rFonts w:hint="eastAsia" w:cs="宋体"/>
          <w:color w:val="auto"/>
          <w:highlight w:val="none"/>
        </w:rPr>
        <w:t>的规定，在</w:t>
      </w:r>
      <w:r>
        <w:rPr>
          <w:rFonts w:hint="eastAsia" w:cs="宋体"/>
          <w:color w:val="auto"/>
          <w:highlight w:val="none"/>
          <w:lang w:val="en-US" w:eastAsia="zh-CN"/>
        </w:rPr>
        <w:t>响应</w:t>
      </w:r>
      <w:r>
        <w:rPr>
          <w:rFonts w:hint="eastAsia" w:cs="宋体"/>
          <w:color w:val="auto"/>
          <w:highlight w:val="none"/>
        </w:rPr>
        <w:t xml:space="preserve">截止时间的同一时间和 </w:t>
      </w:r>
      <w:r>
        <w:rPr>
          <w:rFonts w:hint="eastAsia" w:cs="宋体"/>
          <w:color w:val="auto"/>
          <w:highlight w:val="none"/>
          <w:lang w:eastAsia="zh-CN"/>
        </w:rPr>
        <w:t>竞争性磋商文件</w:t>
      </w:r>
      <w:r>
        <w:rPr>
          <w:rFonts w:hint="eastAsia" w:cs="宋体"/>
          <w:color w:val="auto"/>
          <w:highlight w:val="none"/>
        </w:rPr>
        <w:t>预先确定的地点组织开标。开标时邀请所有</w:t>
      </w:r>
      <w:r>
        <w:rPr>
          <w:rFonts w:hint="eastAsia" w:cs="宋体"/>
          <w:color w:val="auto"/>
          <w:highlight w:val="none"/>
          <w:lang w:eastAsia="zh-CN"/>
        </w:rPr>
        <w:t>供应商</w:t>
      </w:r>
      <w:r>
        <w:rPr>
          <w:rFonts w:hint="eastAsia" w:cs="宋体"/>
          <w:color w:val="auto"/>
          <w:highlight w:val="none"/>
        </w:rPr>
        <w:t xml:space="preserve">代表参加，参加开标的代表应签名报到以证明其出席。 </w:t>
      </w:r>
    </w:p>
    <w:p w14:paraId="7F3F9DB7">
      <w:pPr>
        <w:pStyle w:val="17"/>
        <w:spacing w:line="360" w:lineRule="auto"/>
        <w:ind w:firstLine="240" w:firstLineChars="100"/>
        <w:rPr>
          <w:rFonts w:cs="宋体"/>
          <w:color w:val="auto"/>
          <w:highlight w:val="none"/>
        </w:rPr>
      </w:pPr>
      <w:r>
        <w:rPr>
          <w:rFonts w:hint="eastAsia" w:cs="宋体"/>
          <w:color w:val="auto"/>
          <w:highlight w:val="none"/>
        </w:rPr>
        <w:t>18.2 开标时，由</w:t>
      </w:r>
      <w:r>
        <w:rPr>
          <w:rFonts w:hint="eastAsia" w:cs="宋体"/>
          <w:color w:val="auto"/>
          <w:highlight w:val="none"/>
          <w:lang w:eastAsia="zh-CN"/>
        </w:rPr>
        <w:t>供应商</w:t>
      </w:r>
      <w:r>
        <w:rPr>
          <w:rFonts w:hint="eastAsia" w:cs="宋体"/>
          <w:color w:val="auto"/>
          <w:highlight w:val="none"/>
        </w:rPr>
        <w:t>或其推选的代表检查</w:t>
      </w:r>
      <w:r>
        <w:rPr>
          <w:rFonts w:hint="eastAsia" w:cs="宋体"/>
          <w:color w:val="auto"/>
          <w:highlight w:val="none"/>
          <w:lang w:eastAsia="zh-CN"/>
        </w:rPr>
        <w:t>响应文件</w:t>
      </w:r>
      <w:r>
        <w:rPr>
          <w:rFonts w:hint="eastAsia" w:cs="宋体"/>
          <w:color w:val="auto"/>
          <w:highlight w:val="none"/>
        </w:rPr>
        <w:t>的密封情况；经确认无误后，由采购人或采购代理机构工作人员当众拆封，宣布</w:t>
      </w:r>
      <w:r>
        <w:rPr>
          <w:rFonts w:hint="eastAsia" w:cs="宋体"/>
          <w:color w:val="auto"/>
          <w:highlight w:val="none"/>
          <w:lang w:eastAsia="zh-CN"/>
        </w:rPr>
        <w:t>供应商</w:t>
      </w:r>
      <w:r>
        <w:rPr>
          <w:rFonts w:hint="eastAsia" w:cs="宋体"/>
          <w:color w:val="auto"/>
          <w:highlight w:val="none"/>
        </w:rPr>
        <w:t>名称、投标价格和</w:t>
      </w:r>
      <w:r>
        <w:rPr>
          <w:rFonts w:hint="eastAsia" w:cs="宋体"/>
          <w:color w:val="auto"/>
          <w:highlight w:val="none"/>
          <w:lang w:eastAsia="zh-CN"/>
        </w:rPr>
        <w:t>竞争性磋商文件</w:t>
      </w:r>
      <w:r>
        <w:rPr>
          <w:rFonts w:hint="eastAsia" w:cs="宋体"/>
          <w:color w:val="auto"/>
          <w:highlight w:val="none"/>
        </w:rPr>
        <w:t xml:space="preserve">规定的需要宣布的其他内容。 </w:t>
      </w:r>
    </w:p>
    <w:p w14:paraId="1E0B9330">
      <w:pPr>
        <w:pStyle w:val="17"/>
        <w:spacing w:line="360" w:lineRule="auto"/>
        <w:ind w:firstLine="240" w:firstLineChars="100"/>
        <w:rPr>
          <w:rFonts w:cs="宋体"/>
          <w:color w:val="auto"/>
          <w:highlight w:val="none"/>
        </w:rPr>
      </w:pPr>
      <w:r>
        <w:rPr>
          <w:rFonts w:hint="eastAsia" w:cs="宋体"/>
          <w:color w:val="auto"/>
          <w:highlight w:val="none"/>
        </w:rPr>
        <w:t>18.3 开标过程将由采购人或者采购代理机构负责记录，由参加开标的各</w:t>
      </w:r>
      <w:r>
        <w:rPr>
          <w:rFonts w:hint="eastAsia" w:cs="宋体"/>
          <w:color w:val="auto"/>
          <w:highlight w:val="none"/>
          <w:lang w:eastAsia="zh-CN"/>
        </w:rPr>
        <w:t>供应商</w:t>
      </w:r>
      <w:r>
        <w:rPr>
          <w:rFonts w:hint="eastAsia" w:cs="宋体"/>
          <w:color w:val="auto"/>
          <w:highlight w:val="none"/>
        </w:rPr>
        <w:t>代表和相关工作人员签字确认后随采购文件一并存档。</w:t>
      </w:r>
      <w:r>
        <w:rPr>
          <w:rFonts w:hint="eastAsia" w:cs="宋体"/>
          <w:color w:val="auto"/>
          <w:highlight w:val="none"/>
          <w:lang w:eastAsia="zh-CN"/>
        </w:rPr>
        <w:t>供应商</w:t>
      </w:r>
      <w:r>
        <w:rPr>
          <w:rFonts w:hint="eastAsia" w:cs="宋体"/>
          <w:color w:val="auto"/>
          <w:highlight w:val="none"/>
        </w:rPr>
        <w:t xml:space="preserve">未参加开标的，视同认可开标结果。 </w:t>
      </w:r>
    </w:p>
    <w:p w14:paraId="3D341E15">
      <w:pPr>
        <w:pStyle w:val="17"/>
        <w:spacing w:line="360" w:lineRule="auto"/>
        <w:ind w:firstLine="240" w:firstLineChars="100"/>
        <w:rPr>
          <w:rFonts w:cs="宋体"/>
          <w:color w:val="auto"/>
          <w:highlight w:val="none"/>
        </w:rPr>
      </w:pPr>
      <w:r>
        <w:rPr>
          <w:rFonts w:hint="eastAsia" w:cs="宋体"/>
          <w:color w:val="auto"/>
          <w:highlight w:val="none"/>
        </w:rPr>
        <w:t xml:space="preserve">18.4 </w:t>
      </w:r>
      <w:r>
        <w:rPr>
          <w:rFonts w:hint="eastAsia" w:cs="宋体"/>
          <w:color w:val="auto"/>
          <w:highlight w:val="none"/>
          <w:lang w:eastAsia="zh-CN"/>
        </w:rPr>
        <w:t>供应商</w:t>
      </w:r>
      <w:r>
        <w:rPr>
          <w:rFonts w:hint="eastAsia" w:cs="宋体"/>
          <w:color w:val="auto"/>
          <w:highlight w:val="none"/>
        </w:rPr>
        <w:t>代表对开标过程和开标记录有疑义，以及认为采购人、采购代理机构相关工作人员有需要回避的情形的，应当场提出询问或者回避申请。采购人、采购代理机构对</w:t>
      </w:r>
      <w:r>
        <w:rPr>
          <w:rFonts w:hint="eastAsia" w:cs="宋体"/>
          <w:color w:val="auto"/>
          <w:highlight w:val="none"/>
          <w:lang w:eastAsia="zh-CN"/>
        </w:rPr>
        <w:t>供应商</w:t>
      </w:r>
      <w:r>
        <w:rPr>
          <w:rFonts w:hint="eastAsia" w:cs="宋体"/>
          <w:color w:val="auto"/>
          <w:highlight w:val="none"/>
        </w:rPr>
        <w:t xml:space="preserve">代表提出的询问或者回避申请将及时处理。 </w:t>
      </w:r>
    </w:p>
    <w:p w14:paraId="1AF488D6">
      <w:pPr>
        <w:pStyle w:val="17"/>
        <w:spacing w:line="360" w:lineRule="auto"/>
        <w:ind w:firstLine="240" w:firstLineChars="100"/>
        <w:rPr>
          <w:rFonts w:cs="宋体"/>
          <w:color w:val="auto"/>
          <w:highlight w:val="none"/>
        </w:rPr>
      </w:pPr>
      <w:r>
        <w:rPr>
          <w:rFonts w:hint="eastAsia" w:cs="宋体"/>
          <w:color w:val="auto"/>
          <w:highlight w:val="none"/>
        </w:rPr>
        <w:t xml:space="preserve">18.5 </w:t>
      </w:r>
      <w:r>
        <w:rPr>
          <w:rFonts w:hint="eastAsia" w:cs="宋体"/>
          <w:color w:val="auto"/>
          <w:highlight w:val="none"/>
          <w:lang w:eastAsia="zh-CN"/>
        </w:rPr>
        <w:t>供应商</w:t>
      </w:r>
      <w:r>
        <w:rPr>
          <w:rFonts w:hint="eastAsia" w:cs="宋体"/>
          <w:color w:val="auto"/>
          <w:highlight w:val="none"/>
        </w:rPr>
        <w:t xml:space="preserve">不足 3 家的，不予开标。 </w:t>
      </w:r>
    </w:p>
    <w:p w14:paraId="5C6391EB">
      <w:pPr>
        <w:tabs>
          <w:tab w:val="left" w:pos="1080"/>
          <w:tab w:val="left" w:pos="2014"/>
        </w:tabs>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18.6 开标注意事项其他要求以《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 xml:space="preserve">须知资料表》中的规定为准。 </w:t>
      </w:r>
    </w:p>
    <w:p w14:paraId="5C6538F3">
      <w:pPr>
        <w:rPr>
          <w:color w:val="auto"/>
          <w:highlight w:val="none"/>
        </w:rPr>
      </w:pPr>
    </w:p>
    <w:p w14:paraId="18514DCF">
      <w:pPr>
        <w:tabs>
          <w:tab w:val="left" w:pos="360"/>
        </w:tabs>
        <w:snapToGrid w:val="0"/>
        <w:spacing w:line="360" w:lineRule="auto"/>
        <w:outlineLvl w:val="1"/>
        <w:rPr>
          <w:rFonts w:ascii="宋体" w:hAnsi="宋体" w:cs="宋体"/>
          <w:color w:val="auto"/>
          <w:sz w:val="24"/>
          <w:highlight w:val="none"/>
        </w:rPr>
      </w:pPr>
      <w:bookmarkStart w:id="407" w:name="_Toc520356165"/>
      <w:r>
        <w:rPr>
          <w:rFonts w:hint="eastAsia" w:ascii="宋体" w:hAnsi="宋体" w:cs="宋体"/>
          <w:color w:val="auto"/>
          <w:sz w:val="24"/>
          <w:highlight w:val="none"/>
        </w:rPr>
        <w:t>19  资格审查</w:t>
      </w:r>
    </w:p>
    <w:p w14:paraId="71D0E5C1">
      <w:pPr>
        <w:tabs>
          <w:tab w:val="left" w:pos="1080"/>
          <w:tab w:val="left" w:pos="2014"/>
        </w:tabs>
        <w:snapToGrid w:val="0"/>
        <w:spacing w:line="360" w:lineRule="auto"/>
        <w:ind w:left="357"/>
        <w:rPr>
          <w:rFonts w:ascii="宋体" w:hAnsi="宋体" w:cs="宋体"/>
          <w:color w:val="auto"/>
          <w:sz w:val="24"/>
          <w:highlight w:val="none"/>
        </w:rPr>
      </w:pPr>
      <w:r>
        <w:rPr>
          <w:rFonts w:hint="eastAsia" w:ascii="宋体" w:hAnsi="宋体" w:cs="宋体"/>
          <w:color w:val="auto"/>
          <w:sz w:val="24"/>
          <w:highlight w:val="none"/>
        </w:rPr>
        <w:t>19.1 见第三章《</w:t>
      </w:r>
      <w:r>
        <w:rPr>
          <w:rFonts w:hint="eastAsia" w:ascii="宋体" w:hAnsi="宋体" w:eastAsia="宋体" w:cs="宋体"/>
          <w:color w:val="auto"/>
          <w:sz w:val="24"/>
          <w:highlight w:val="none"/>
        </w:rPr>
        <w:t>评审方法和评审标准</w:t>
      </w:r>
      <w:r>
        <w:rPr>
          <w:rFonts w:hint="eastAsia" w:ascii="宋体" w:hAnsi="宋体" w:cs="宋体"/>
          <w:color w:val="auto"/>
          <w:sz w:val="24"/>
          <w:highlight w:val="none"/>
        </w:rPr>
        <w:t>》。</w:t>
      </w:r>
    </w:p>
    <w:bookmarkEnd w:id="407"/>
    <w:p w14:paraId="2B0AEB5D">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408" w:name="_Toc164608654"/>
      <w:bookmarkStart w:id="409" w:name="_Toc127151741"/>
      <w:bookmarkStart w:id="410" w:name="_Toc151193928"/>
      <w:bookmarkStart w:id="411" w:name="_Toc226965813"/>
      <w:bookmarkStart w:id="412" w:name="_Toc150774745"/>
      <w:bookmarkStart w:id="413" w:name="_Toc150480778"/>
      <w:bookmarkStart w:id="414" w:name="_Toc127151540"/>
      <w:bookmarkStart w:id="415" w:name="_Toc226337236"/>
      <w:bookmarkStart w:id="416" w:name="_Toc151193638"/>
      <w:bookmarkStart w:id="417" w:name="_Toc226309784"/>
      <w:bookmarkStart w:id="418" w:name="_Toc195842905"/>
      <w:bookmarkStart w:id="419" w:name="_Toc149720833"/>
      <w:bookmarkStart w:id="420" w:name="_Toc127161454"/>
      <w:bookmarkStart w:id="421" w:name="_Toc264969230"/>
      <w:bookmarkStart w:id="422" w:name="_Toc151193710"/>
      <w:bookmarkStart w:id="423" w:name="_Toc150774640"/>
      <w:bookmarkStart w:id="424" w:name="_Toc305158808"/>
      <w:bookmarkStart w:id="425" w:name="_Toc150509291"/>
      <w:bookmarkStart w:id="426" w:name="_Toc151190167"/>
      <w:bookmarkStart w:id="427" w:name="_Toc226965730"/>
      <w:bookmarkStart w:id="428" w:name="_Toc164229381"/>
      <w:bookmarkStart w:id="429" w:name="_Toc151193782"/>
      <w:bookmarkStart w:id="430" w:name="_Toc164351634"/>
      <w:bookmarkStart w:id="431" w:name="_Toc305158882"/>
      <w:bookmarkStart w:id="432" w:name="_Toc164229235"/>
      <w:bookmarkStart w:id="433" w:name="_Toc142311042"/>
      <w:bookmarkStart w:id="434" w:name="_Toc164608809"/>
      <w:bookmarkStart w:id="435" w:name="_Toc151193854"/>
      <w:bookmarkStart w:id="436" w:name="_Toc265228378"/>
      <w:r>
        <w:rPr>
          <w:rFonts w:hint="eastAsia" w:ascii="宋体" w:hAnsi="宋体" w:cs="宋体"/>
          <w:color w:val="auto"/>
          <w:sz w:val="24"/>
          <w:highlight w:val="none"/>
        </w:rPr>
        <w:t xml:space="preserve">20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Start w:id="437" w:name="_Toc520356169"/>
      <w:r>
        <w:rPr>
          <w:rFonts w:hint="eastAsia" w:ascii="宋体" w:hAnsi="宋体" w:eastAsia="宋体" w:cs="宋体"/>
          <w:color w:val="auto"/>
          <w:sz w:val="24"/>
          <w:highlight w:val="none"/>
        </w:rPr>
        <w:t>磋商小组</w:t>
      </w:r>
    </w:p>
    <w:p w14:paraId="403E8507">
      <w:pPr>
        <w:numPr>
          <w:ilvl w:val="1"/>
          <w:numId w:val="0"/>
        </w:numPr>
        <w:tabs>
          <w:tab w:val="left" w:pos="1080"/>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b w:val="0"/>
          <w:snapToGrid w:val="0"/>
          <w:color w:val="auto"/>
          <w:kern w:val="0"/>
          <w:sz w:val="24"/>
          <w:szCs w:val="24"/>
          <w:highlight w:val="none"/>
          <w:lang w:val="en-US" w:eastAsia="zh-CN"/>
        </w:rPr>
        <w:t xml:space="preserve">20.1  </w:t>
      </w:r>
      <w:r>
        <w:rPr>
          <w:rFonts w:hint="eastAsia" w:ascii="宋体" w:hAnsi="宋体" w:eastAsia="宋体" w:cs="宋体"/>
          <w:color w:val="auto"/>
          <w:sz w:val="24"/>
          <w:highlight w:val="none"/>
        </w:rPr>
        <w:t>磋商小组根据政府采购有关规定和本次采购项目的特点进行组建，并负责具体评审事务，独立履行职责。</w:t>
      </w:r>
      <w:bookmarkStart w:id="438" w:name="_Toc520356166"/>
      <w:r>
        <w:rPr>
          <w:rFonts w:hint="eastAsia" w:ascii="宋体" w:hAnsi="宋体" w:eastAsia="宋体" w:cs="宋体"/>
          <w:color w:val="auto"/>
          <w:sz w:val="24"/>
          <w:highlight w:val="none"/>
        </w:rPr>
        <w:t>本项目（各采购包）</w:t>
      </w:r>
      <w:r>
        <w:rPr>
          <w:rFonts w:hint="eastAsia" w:ascii="宋体" w:hAnsi="宋体" w:cs="宋体"/>
          <w:color w:val="auto"/>
          <w:sz w:val="24"/>
          <w:highlight w:val="none"/>
          <w:lang w:eastAsia="zh-CN"/>
        </w:rPr>
        <w:t>评审委员会</w:t>
      </w: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rPr>
        <w:t>人；其中，</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人代表</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人（限招标人在职人员，且应当具备评标专家相应或者类似的条件）；技术、经济方面的专家</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rPr>
        <w:t>人；其中，技术专家</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rPr>
        <w:t>人，经济专家</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1 </w:t>
      </w:r>
      <w:r>
        <w:rPr>
          <w:rFonts w:hint="eastAsia" w:ascii="宋体" w:hAnsi="宋体" w:eastAsia="宋体" w:cs="宋体"/>
          <w:color w:val="auto"/>
          <w:sz w:val="24"/>
          <w:highlight w:val="none"/>
        </w:rPr>
        <w:t>人。推荐</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名</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候选人。</w:t>
      </w:r>
    </w:p>
    <w:p w14:paraId="6C538ECE">
      <w:pPr>
        <w:numPr>
          <w:ilvl w:val="1"/>
          <w:numId w:val="0"/>
        </w:numPr>
        <w:tabs>
          <w:tab w:val="left" w:pos="1080"/>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b w:val="0"/>
          <w:snapToGrid w:val="0"/>
          <w:color w:val="auto"/>
          <w:kern w:val="0"/>
          <w:sz w:val="24"/>
          <w:szCs w:val="24"/>
          <w:highlight w:val="none"/>
          <w:lang w:val="en-US" w:eastAsia="zh-CN"/>
        </w:rPr>
        <w:t>20.2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r>
        <w:rPr>
          <w:rFonts w:hint="eastAsia" w:ascii="宋体" w:hAnsi="宋体" w:eastAsia="宋体" w:cs="宋体"/>
          <w:color w:val="auto"/>
          <w:sz w:val="24"/>
          <w:highlight w:val="none"/>
        </w:rPr>
        <w:t>。</w:t>
      </w:r>
    </w:p>
    <w:bookmarkEnd w:id="438"/>
    <w:p w14:paraId="2A5EA03F">
      <w:pPr>
        <w:tabs>
          <w:tab w:val="left" w:pos="360"/>
          <w:tab w:val="left" w:pos="1080"/>
        </w:tabs>
        <w:snapToGrid w:val="0"/>
        <w:spacing w:after="0" w:line="360" w:lineRule="auto"/>
        <w:ind w:left="1080"/>
        <w:rPr>
          <w:rFonts w:hint="eastAsia" w:ascii="宋体" w:hAnsi="宋体" w:eastAsia="宋体" w:cs="宋体"/>
          <w:color w:val="auto"/>
          <w:sz w:val="24"/>
          <w:highlight w:val="none"/>
        </w:rPr>
      </w:pPr>
    </w:p>
    <w:p w14:paraId="0341E614">
      <w:pPr>
        <w:pStyle w:val="4"/>
        <w:spacing w:before="0" w:after="0" w:line="360" w:lineRule="auto"/>
        <w:rPr>
          <w:rFonts w:hint="eastAsia" w:ascii="宋体" w:hAnsi="宋体" w:eastAsia="宋体" w:cs="宋体"/>
          <w:color w:val="auto"/>
          <w:sz w:val="28"/>
          <w:highlight w:val="none"/>
        </w:rPr>
      </w:pPr>
      <w:bookmarkStart w:id="439" w:name="_Toc127151545"/>
      <w:bookmarkStart w:id="440" w:name="_Toc226965735"/>
      <w:bookmarkStart w:id="441" w:name="_Toc264969235"/>
      <w:bookmarkStart w:id="442" w:name="_Toc151193859"/>
      <w:bookmarkStart w:id="443" w:name="_Toc151193787"/>
      <w:bookmarkStart w:id="444" w:name="_Toc150774750"/>
      <w:bookmarkStart w:id="445" w:name="_Toc305158887"/>
      <w:bookmarkStart w:id="446" w:name="_Toc150774645"/>
      <w:bookmarkStart w:id="447" w:name="_Toc226337241"/>
      <w:bookmarkStart w:id="448" w:name="_Toc305158813"/>
      <w:bookmarkStart w:id="449" w:name="_Toc150509296"/>
      <w:bookmarkStart w:id="450" w:name="_Toc226309789"/>
      <w:bookmarkStart w:id="451" w:name="_Toc151193715"/>
      <w:bookmarkStart w:id="452" w:name="_Toc151193933"/>
      <w:bookmarkStart w:id="453" w:name="_Toc151190172"/>
      <w:bookmarkStart w:id="454" w:name="_Toc226965818"/>
      <w:bookmarkStart w:id="455" w:name="_Toc151193643"/>
      <w:bookmarkStart w:id="456" w:name="_Toc150480783"/>
      <w:bookmarkStart w:id="457" w:name="_Toc195842910"/>
      <w:bookmarkStart w:id="458" w:name="_Toc265228383"/>
      <w:bookmarkStart w:id="459" w:name="_Toc142311047"/>
      <w:r>
        <w:rPr>
          <w:rFonts w:hint="eastAsia" w:ascii="宋体" w:hAnsi="宋体" w:eastAsia="宋体" w:cs="宋体"/>
          <w:color w:val="auto"/>
          <w:sz w:val="28"/>
          <w:highlight w:val="none"/>
        </w:rPr>
        <w:t xml:space="preserve">六   </w:t>
      </w:r>
      <w:bookmarkEnd w:id="437"/>
      <w:r>
        <w:rPr>
          <w:rFonts w:hint="eastAsia" w:ascii="宋体" w:hAnsi="宋体" w:eastAsia="宋体" w:cs="宋体"/>
          <w:color w:val="auto"/>
          <w:sz w:val="28"/>
          <w:highlight w:val="none"/>
        </w:rPr>
        <w:t>确定</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eastAsia="宋体" w:cs="宋体"/>
          <w:color w:val="auto"/>
          <w:sz w:val="28"/>
          <w:highlight w:val="none"/>
        </w:rPr>
        <w:t>成交</w:t>
      </w:r>
    </w:p>
    <w:p w14:paraId="1E612F3A">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460" w:name="_Toc151193717"/>
      <w:bookmarkStart w:id="461" w:name="_Toc149720840"/>
      <w:bookmarkStart w:id="462" w:name="_Toc164608816"/>
      <w:bookmarkStart w:id="463" w:name="_Toc151193789"/>
      <w:bookmarkStart w:id="464" w:name="_Toc305158889"/>
      <w:bookmarkStart w:id="465" w:name="_Toc127161461"/>
      <w:bookmarkStart w:id="466" w:name="_Toc151193935"/>
      <w:bookmarkStart w:id="467" w:name="_Toc150509298"/>
      <w:bookmarkStart w:id="468" w:name="_Toc150774752"/>
      <w:bookmarkStart w:id="469" w:name="_Toc305158815"/>
      <w:bookmarkStart w:id="470" w:name="_Toc164229388"/>
      <w:bookmarkStart w:id="471" w:name="_Toc164608661"/>
      <w:bookmarkStart w:id="472" w:name="_Toc265228385"/>
      <w:bookmarkStart w:id="473" w:name="_Toc226965820"/>
      <w:bookmarkStart w:id="474" w:name="_Toc151193645"/>
      <w:bookmarkStart w:id="475" w:name="_Toc164351641"/>
      <w:bookmarkStart w:id="476" w:name="_Toc226309791"/>
      <w:bookmarkStart w:id="477" w:name="_Toc151190174"/>
      <w:bookmarkStart w:id="478" w:name="_Toc127151547"/>
      <w:bookmarkStart w:id="479" w:name="_Toc127151748"/>
      <w:bookmarkStart w:id="480" w:name="_Toc264969237"/>
      <w:bookmarkStart w:id="481" w:name="_Toc226337243"/>
      <w:bookmarkStart w:id="482" w:name="_Toc164229242"/>
      <w:bookmarkStart w:id="483" w:name="_Toc142311049"/>
      <w:bookmarkStart w:id="484" w:name="_Toc195842912"/>
      <w:bookmarkStart w:id="485" w:name="_Toc150480785"/>
      <w:bookmarkStart w:id="486" w:name="_Toc150774647"/>
      <w:bookmarkStart w:id="487" w:name="_Toc226965737"/>
      <w:bookmarkStart w:id="488" w:name="_Toc151193861"/>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确定成交供应商</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042D2F76">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EDFA0CE">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489" w:name="_Toc305158817"/>
      <w:bookmarkStart w:id="490" w:name="_Toc305158891"/>
      <w:bookmarkStart w:id="491" w:name="_Toc264969239"/>
      <w:bookmarkStart w:id="492" w:name="_Toc127151750"/>
      <w:bookmarkStart w:id="493" w:name="_Toc164608663"/>
      <w:bookmarkStart w:id="494" w:name="_Toc195842914"/>
      <w:bookmarkStart w:id="495" w:name="_Toc149720842"/>
      <w:bookmarkStart w:id="496" w:name="_Toc226309793"/>
      <w:bookmarkStart w:id="497" w:name="_Toc226965822"/>
      <w:bookmarkStart w:id="498" w:name="_Toc151193791"/>
      <w:bookmarkStart w:id="499" w:name="_Toc127151549"/>
      <w:bookmarkStart w:id="500" w:name="_Toc150509300"/>
      <w:bookmarkStart w:id="501" w:name="_Toc164608818"/>
      <w:bookmarkStart w:id="502" w:name="_Toc142311051"/>
      <w:bookmarkStart w:id="503" w:name="_Toc226337245"/>
      <w:bookmarkStart w:id="504" w:name="_Toc164229244"/>
      <w:bookmarkStart w:id="505" w:name="_Toc127161463"/>
      <w:bookmarkStart w:id="506" w:name="_Toc226965739"/>
      <w:bookmarkStart w:id="507" w:name="_Toc151190176"/>
      <w:bookmarkStart w:id="508" w:name="_Toc151193863"/>
      <w:bookmarkStart w:id="509" w:name="_Toc151193647"/>
      <w:bookmarkStart w:id="510" w:name="_Toc150774754"/>
      <w:bookmarkStart w:id="511" w:name="_Toc150774649"/>
      <w:bookmarkStart w:id="512" w:name="_Toc164229390"/>
      <w:bookmarkStart w:id="513" w:name="_Toc151193937"/>
      <w:bookmarkStart w:id="514" w:name="_Toc151193719"/>
      <w:bookmarkStart w:id="515" w:name="_Toc164351643"/>
      <w:bookmarkStart w:id="516" w:name="_Toc265228387"/>
      <w:bookmarkStart w:id="517" w:name="_Toc150480787"/>
      <w:bookmarkStart w:id="518" w:name="_Ref467306425"/>
      <w:bookmarkStart w:id="519" w:name="_Toc520356176"/>
      <w:bookmarkStart w:id="520" w:name="_Ref467307090"/>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成交公告与成交通知书</w:t>
      </w:r>
      <w:bookmarkEnd w:id="489"/>
      <w:bookmarkEnd w:id="490"/>
    </w:p>
    <w:p w14:paraId="0859AEDD">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采购人或采购代理机构将</w:t>
      </w:r>
      <w:r>
        <w:rPr>
          <w:rFonts w:hint="eastAsia" w:ascii="宋体" w:hAnsi="宋体" w:eastAsia="宋体" w:cs="宋体"/>
          <w:color w:val="auto"/>
          <w:kern w:val="0"/>
          <w:sz w:val="24"/>
          <w:highlight w:val="none"/>
        </w:rPr>
        <w:t>在成交供应商确定后2个工作日内，在</w:t>
      </w:r>
      <w:r>
        <w:rPr>
          <w:rFonts w:hint="eastAsia" w:ascii="宋体" w:hAnsi="宋体" w:cs="宋体"/>
          <w:color w:val="auto"/>
          <w:kern w:val="0"/>
          <w:sz w:val="24"/>
          <w:highlight w:val="none"/>
          <w:lang w:val="en-US" w:eastAsia="zh-CN"/>
        </w:rPr>
        <w:t>中国政府采购网、</w:t>
      </w:r>
      <w:r>
        <w:rPr>
          <w:rFonts w:hint="eastAsia" w:ascii="宋体" w:hAnsi="宋体" w:eastAsia="宋体" w:cs="宋体"/>
          <w:color w:val="auto"/>
          <w:sz w:val="24"/>
          <w:highlight w:val="none"/>
        </w:rPr>
        <w:t>北京市政府采购网</w:t>
      </w:r>
      <w:r>
        <w:rPr>
          <w:rFonts w:hint="eastAsia" w:ascii="宋体" w:hAnsi="宋体" w:eastAsia="宋体" w:cs="宋体"/>
          <w:color w:val="auto"/>
          <w:kern w:val="0"/>
          <w:sz w:val="24"/>
          <w:highlight w:val="none"/>
        </w:rPr>
        <w:t>公告成交结果，同时向成交供应商发出成交通知书，</w:t>
      </w:r>
      <w:r>
        <w:rPr>
          <w:rFonts w:hint="eastAsia" w:ascii="宋体" w:hAnsi="宋体" w:eastAsia="宋体" w:cs="宋体"/>
          <w:color w:val="auto"/>
          <w:sz w:val="24"/>
          <w:highlight w:val="none"/>
        </w:rPr>
        <w:t>成交公告期限为1个工作日。</w:t>
      </w:r>
    </w:p>
    <w:p w14:paraId="138ADB54">
      <w:pPr>
        <w:numPr>
          <w:ilvl w:val="1"/>
          <w:numId w:val="0"/>
        </w:numPr>
        <w:tabs>
          <w:tab w:val="left" w:pos="1080"/>
          <w:tab w:val="left" w:pos="2014"/>
        </w:tabs>
        <w:snapToGrid w:val="0"/>
        <w:spacing w:after="0" w:line="360" w:lineRule="auto"/>
        <w:ind w:left="1080"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成交通知书是合同的组成部分，对采购人和成交供应商具有同等法律效力。成交通知书发出后，采购人改变成交结果的，或者成交供应商放弃成交项目的，将依法承担法律责任。</w:t>
      </w:r>
    </w:p>
    <w:p w14:paraId="6FCE3DAA">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3</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终止</w:t>
      </w:r>
    </w:p>
    <w:p w14:paraId="58E71057">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在采购中，出现下列情形之一的，采购人或采购代理机构将终止竞争性磋商采购活动，发布项目终止公告并说明原因，重新开展采购活动：</w:t>
      </w:r>
    </w:p>
    <w:p w14:paraId="5469A82C">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3</w:t>
      </w:r>
      <w:r>
        <w:rPr>
          <w:rFonts w:hint="eastAsia" w:ascii="宋体" w:hAnsi="宋体" w:eastAsia="宋体" w:cs="宋体"/>
          <w:snapToGrid w:val="0"/>
          <w:color w:val="auto"/>
          <w:kern w:val="0"/>
          <w:sz w:val="24"/>
          <w:szCs w:val="21"/>
          <w:highlight w:val="none"/>
        </w:rPr>
        <w:t>.1.1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因情况变化，不再符合规定的竞争性磋商采购方式适用情形的；</w:t>
      </w:r>
    </w:p>
    <w:p w14:paraId="6206A9D1">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3</w:t>
      </w:r>
      <w:r>
        <w:rPr>
          <w:rFonts w:hint="eastAsia" w:ascii="宋体" w:hAnsi="宋体" w:eastAsia="宋体" w:cs="宋体"/>
          <w:snapToGrid w:val="0"/>
          <w:color w:val="auto"/>
          <w:kern w:val="0"/>
          <w:sz w:val="24"/>
          <w:szCs w:val="21"/>
          <w:highlight w:val="none"/>
        </w:rPr>
        <w:t>.1.2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出现影响采购公正的违法、违规行为的；</w:t>
      </w:r>
    </w:p>
    <w:p w14:paraId="567EE487">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3</w:t>
      </w:r>
      <w:r>
        <w:rPr>
          <w:rFonts w:hint="eastAsia" w:ascii="宋体" w:hAnsi="宋体" w:eastAsia="宋体" w:cs="宋体"/>
          <w:snapToGrid w:val="0"/>
          <w:color w:val="auto"/>
          <w:kern w:val="0"/>
          <w:sz w:val="24"/>
          <w:szCs w:val="21"/>
          <w:highlight w:val="none"/>
        </w:rPr>
        <w:t>.1.3</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14:paraId="7FFA13EE">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bookmarkStart w:id="521" w:name="_Toc226309794"/>
      <w:bookmarkStart w:id="522" w:name="_Toc127161464"/>
      <w:bookmarkStart w:id="523" w:name="_Toc150774755"/>
      <w:bookmarkStart w:id="524" w:name="_Ref467306377"/>
      <w:bookmarkStart w:id="525" w:name="_Ref467307204"/>
      <w:bookmarkStart w:id="526" w:name="_Toc265228388"/>
      <w:bookmarkStart w:id="527" w:name="_Toc164351644"/>
      <w:bookmarkStart w:id="528" w:name="_Toc142311052"/>
      <w:bookmarkStart w:id="529" w:name="_Toc151193792"/>
      <w:bookmarkStart w:id="530" w:name="_Toc151193864"/>
      <w:bookmarkStart w:id="531" w:name="_Toc520356175"/>
      <w:bookmarkStart w:id="532" w:name="_Toc164608664"/>
      <w:bookmarkStart w:id="533" w:name="_Toc149720843"/>
      <w:bookmarkStart w:id="534" w:name="_Toc226965740"/>
      <w:bookmarkStart w:id="535" w:name="_Toc264969240"/>
      <w:bookmarkStart w:id="536" w:name="_Toc195842915"/>
      <w:bookmarkStart w:id="537" w:name="_Toc305158818"/>
      <w:bookmarkStart w:id="538" w:name="_Toc151190177"/>
      <w:bookmarkStart w:id="539" w:name="_Toc164229245"/>
      <w:bookmarkStart w:id="540" w:name="_Toc150480788"/>
      <w:bookmarkStart w:id="541" w:name="_Toc151193648"/>
      <w:bookmarkStart w:id="542" w:name="_Toc226965823"/>
      <w:bookmarkStart w:id="543" w:name="_Toc226337246"/>
      <w:bookmarkStart w:id="544" w:name="_Toc305158892"/>
      <w:bookmarkStart w:id="545" w:name="_Toc164608819"/>
      <w:bookmarkStart w:id="546" w:name="_Toc127151751"/>
      <w:bookmarkStart w:id="547" w:name="_Toc164229391"/>
      <w:bookmarkStart w:id="548" w:name="_Toc150509301"/>
      <w:bookmarkStart w:id="549" w:name="_Toc150774650"/>
      <w:bookmarkStart w:id="550" w:name="_Ref467307062"/>
      <w:bookmarkStart w:id="551" w:name="_Toc151193938"/>
      <w:bookmarkStart w:id="552" w:name="_Toc151193720"/>
      <w:bookmarkStart w:id="553" w:name="_Toc127151550"/>
      <w:bookmarkStart w:id="554" w:name="_Ref467306978"/>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4</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签订合同</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5867EE4">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210DCCC5">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76FCE2E">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联合体获得成交资格的，联合体各方应当共同与采购人签订合同，就成交项目向采购人承担连带责任。</w:t>
      </w:r>
    </w:p>
    <w:p w14:paraId="2FCED26B">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政府采购合同不能转包。</w:t>
      </w:r>
    </w:p>
    <w:p w14:paraId="00880027">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。成交供应商就采购项目和分包项目向采购人负责，分包供应商就分包项目承担责任。</w:t>
      </w:r>
    </w:p>
    <w:bookmarkEnd w:id="518"/>
    <w:bookmarkEnd w:id="519"/>
    <w:bookmarkEnd w:id="520"/>
    <w:p w14:paraId="64AE9843">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询问与质疑</w:t>
      </w:r>
    </w:p>
    <w:p w14:paraId="344EED18">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询问</w:t>
      </w:r>
    </w:p>
    <w:p w14:paraId="49304D6C">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rPr>
        <w:t>.1.1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供应商对政府采购活动事项有疑问的，可依法提出询问，并按《供应商须知资料表》载明的形式送达采购人或采购代理机构。</w:t>
      </w:r>
    </w:p>
    <w:p w14:paraId="2414766A">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rPr>
        <w:t>.1.2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采购人或采购代理机构对供应商依法提出的询问，在3个工作日内作出答复，但答复的内容不得涉及商业秘密。</w:t>
      </w:r>
    </w:p>
    <w:p w14:paraId="3ED75649">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质疑</w:t>
      </w:r>
    </w:p>
    <w:p w14:paraId="2960AE4A">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rPr>
        <w:t>.2.1</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3F3509A4">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rPr>
        <w:t>.2.2</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1D3E0CC0">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rPr>
        <w:t>.2.3</w:t>
      </w:r>
      <w:r>
        <w:rPr>
          <w:rFonts w:hint="eastAsia" w:ascii="宋体" w:hAnsi="宋体" w:eastAsia="宋体" w:cs="宋体"/>
          <w:snapToGrid w:val="0"/>
          <w:color w:val="auto"/>
          <w:kern w:val="0"/>
          <w:sz w:val="24"/>
          <w:szCs w:val="21"/>
          <w:highlight w:val="none"/>
          <w:lang w:val="en-US" w:eastAsia="zh-CN"/>
        </w:rPr>
        <w:t xml:space="preserve"> 供应商委托代理人进行质疑的，应当随质疑函同时</w:t>
      </w:r>
      <w:r>
        <w:rPr>
          <w:rFonts w:hint="eastAsia" w:ascii="宋体" w:hAnsi="宋体" w:cs="宋体"/>
          <w:snapToGrid w:val="0"/>
          <w:color w:val="auto"/>
          <w:kern w:val="0"/>
          <w:sz w:val="24"/>
          <w:szCs w:val="21"/>
          <w:highlight w:val="none"/>
          <w:lang w:val="en-US" w:eastAsia="zh-CN"/>
        </w:rPr>
        <w:t>提</w:t>
      </w:r>
      <w:r>
        <w:rPr>
          <w:rFonts w:hint="eastAsia" w:ascii="宋体" w:hAnsi="宋体" w:eastAsia="宋体" w:cs="宋体"/>
          <w:snapToGrid w:val="0"/>
          <w:color w:val="auto"/>
          <w:kern w:val="0"/>
          <w:sz w:val="24"/>
          <w:szCs w:val="21"/>
          <w:highlight w:val="none"/>
          <w:lang w:val="en-US" w:eastAsia="zh-CN"/>
        </w:rPr>
        <w:t>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D0DCBE4">
      <w:pPr>
        <w:numPr>
          <w:ilvl w:val="2"/>
          <w:numId w:val="0"/>
        </w:numPr>
        <w:snapToGrid w:val="0"/>
        <w:spacing w:after="0" w:line="360" w:lineRule="auto"/>
        <w:ind w:left="1980" w:leftChars="0" w:hanging="90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5</w:t>
      </w:r>
      <w:r>
        <w:rPr>
          <w:rFonts w:hint="eastAsia" w:ascii="宋体" w:hAnsi="宋体" w:eastAsia="宋体" w:cs="宋体"/>
          <w:snapToGrid w:val="0"/>
          <w:color w:val="auto"/>
          <w:kern w:val="0"/>
          <w:sz w:val="24"/>
          <w:szCs w:val="21"/>
          <w:highlight w:val="none"/>
        </w:rPr>
        <w:t>.2.4</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079404CE">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接收询问和质疑的联系部门、联系电话和通讯地址见《供应商须知资料表》。</w:t>
      </w:r>
    </w:p>
    <w:p w14:paraId="20505799">
      <w:pPr>
        <w:numPr>
          <w:ilvl w:val="0"/>
          <w:numId w:val="0"/>
        </w:numPr>
        <w:tabs>
          <w:tab w:val="left" w:pos="360"/>
        </w:tabs>
        <w:snapToGrid w:val="0"/>
        <w:spacing w:after="0" w:line="360" w:lineRule="auto"/>
        <w:ind w:left="357" w:leftChars="0" w:hanging="357" w:firstLineChars="0"/>
        <w:outlineLvl w:val="1"/>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rPr>
        <w:t>2</w:t>
      </w:r>
      <w:r>
        <w:rPr>
          <w:rFonts w:hint="eastAsia" w:ascii="宋体" w:hAnsi="宋体" w:cs="宋体"/>
          <w:snapToGrid w:val="0"/>
          <w:color w:val="auto"/>
          <w:kern w:val="0"/>
          <w:sz w:val="24"/>
          <w:szCs w:val="21"/>
          <w:highlight w:val="none"/>
          <w:lang w:val="en-US" w:eastAsia="zh-CN"/>
        </w:rPr>
        <w:t>6</w:t>
      </w:r>
      <w:r>
        <w:rPr>
          <w:rFonts w:hint="eastAsia" w:ascii="宋体" w:hAnsi="宋体" w:eastAsia="宋体" w:cs="宋体"/>
          <w:snapToGrid w:val="0"/>
          <w:color w:val="auto"/>
          <w:kern w:val="0"/>
          <w:sz w:val="24"/>
          <w:szCs w:val="21"/>
          <w:highlight w:val="none"/>
          <w:lang w:val="en-US" w:eastAsia="zh-CN"/>
        </w:rPr>
        <w:t xml:space="preserve">  </w:t>
      </w:r>
      <w:r>
        <w:rPr>
          <w:rFonts w:hint="eastAsia" w:ascii="宋体" w:hAnsi="宋体" w:eastAsia="宋体" w:cs="宋体"/>
          <w:color w:val="auto"/>
          <w:sz w:val="24"/>
          <w:highlight w:val="none"/>
        </w:rPr>
        <w:t>代理费</w:t>
      </w:r>
    </w:p>
    <w:p w14:paraId="269680AB">
      <w:pPr>
        <w:numPr>
          <w:ilvl w:val="1"/>
          <w:numId w:val="0"/>
        </w:numPr>
        <w:tabs>
          <w:tab w:val="left" w:pos="1080"/>
          <w:tab w:val="left" w:pos="2014"/>
        </w:tabs>
        <w:snapToGrid w:val="0"/>
        <w:spacing w:after="0" w:line="360" w:lineRule="auto"/>
        <w:ind w:left="1077" w:leftChars="0" w:hanging="72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r>
        <w:rPr>
          <w:rFonts w:hint="eastAsia" w:ascii="宋体" w:hAnsi="宋体" w:eastAsia="宋体" w:cs="宋体"/>
          <w:color w:val="auto"/>
          <w:sz w:val="24"/>
          <w:highlight w:val="none"/>
          <w:lang w:eastAsia="zh-CN"/>
        </w:rPr>
        <w:t>。</w:t>
      </w:r>
    </w:p>
    <w:p w14:paraId="023177F2">
      <w:pPr>
        <w:spacing w:after="0"/>
        <w:rPr>
          <w:rFonts w:ascii="Times New Roman" w:hAnsi="Times New Roman" w:eastAsia="宋体" w:cs="Times New Roman"/>
          <w:b/>
          <w:color w:val="auto"/>
          <w:sz w:val="36"/>
          <w:szCs w:val="36"/>
          <w:highlight w:val="none"/>
        </w:rPr>
      </w:pPr>
      <w:bookmarkStart w:id="555" w:name="_Toc142311056"/>
      <w:bookmarkStart w:id="556" w:name="_Toc127151554"/>
      <w:bookmarkStart w:id="557" w:name="_Toc264969244"/>
      <w:bookmarkStart w:id="558" w:name="_Toc305158822"/>
      <w:bookmarkStart w:id="559" w:name="_Toc353825544"/>
      <w:bookmarkStart w:id="560" w:name="_Toc226965827"/>
      <w:bookmarkStart w:id="561" w:name="_Toc265228392"/>
      <w:bookmarkStart w:id="562" w:name="_Toc353873934"/>
      <w:bookmarkStart w:id="563" w:name="_Toc305158896"/>
      <w:bookmarkStart w:id="564" w:name="_Toc353873664"/>
      <w:bookmarkStart w:id="565" w:name="_Toc150774759"/>
      <w:bookmarkStart w:id="566" w:name="_Toc150480792"/>
      <w:bookmarkStart w:id="567" w:name="_Toc226337250"/>
      <w:r>
        <w:rPr>
          <w:rFonts w:ascii="Times New Roman" w:hAnsi="Times New Roman" w:eastAsia="宋体" w:cs="Times New Roman"/>
          <w:b/>
          <w:color w:val="auto"/>
          <w:sz w:val="36"/>
          <w:szCs w:val="36"/>
          <w:highlight w:val="none"/>
        </w:rPr>
        <w:br w:type="page"/>
      </w:r>
    </w:p>
    <w:p w14:paraId="2FD51F33">
      <w:pPr>
        <w:spacing w:after="0" w:line="360" w:lineRule="auto"/>
        <w:jc w:val="center"/>
        <w:outlineLvl w:val="0"/>
        <w:rPr>
          <w:b/>
          <w:color w:val="auto"/>
          <w:sz w:val="36"/>
          <w:szCs w:val="36"/>
          <w:highlight w:val="none"/>
        </w:rPr>
      </w:pPr>
      <w:bookmarkStart w:id="568" w:name="_Toc31054"/>
      <w:r>
        <w:rPr>
          <w:rFonts w:ascii="Times New Roman" w:hAnsi="Times New Roman" w:eastAsia="宋体" w:cs="Times New Roman"/>
          <w:b/>
          <w:color w:val="auto"/>
          <w:sz w:val="36"/>
          <w:szCs w:val="36"/>
          <w:highlight w:val="none"/>
        </w:rPr>
        <w:t xml:space="preserve">第三章   </w:t>
      </w:r>
      <w:bookmarkEnd w:id="555"/>
      <w:bookmarkEnd w:id="556"/>
      <w:bookmarkEnd w:id="557"/>
      <w:bookmarkEnd w:id="558"/>
      <w:bookmarkEnd w:id="559"/>
      <w:bookmarkEnd w:id="560"/>
      <w:bookmarkEnd w:id="561"/>
      <w:bookmarkEnd w:id="562"/>
      <w:bookmarkEnd w:id="563"/>
      <w:bookmarkEnd w:id="564"/>
      <w:bookmarkEnd w:id="565"/>
      <w:bookmarkEnd w:id="566"/>
      <w:bookmarkEnd w:id="567"/>
      <w:r>
        <w:rPr>
          <w:rFonts w:ascii="Times New Roman" w:hAnsi="Times New Roman" w:eastAsia="宋体" w:cs="Times New Roman"/>
          <w:b/>
          <w:color w:val="auto"/>
          <w:sz w:val="36"/>
          <w:szCs w:val="36"/>
          <w:highlight w:val="none"/>
        </w:rPr>
        <w:t>评审方法和评审标准</w:t>
      </w:r>
      <w:bookmarkEnd w:id="568"/>
      <w:bookmarkStart w:id="569" w:name="_Toc487900382"/>
    </w:p>
    <w:p w14:paraId="5ED4F0EF">
      <w:pPr>
        <w:pStyle w:val="4"/>
        <w:spacing w:before="0" w:after="0" w:line="360" w:lineRule="auto"/>
        <w:rPr>
          <w:b w:val="0"/>
          <w:color w:val="auto"/>
          <w:sz w:val="24"/>
          <w:highlight w:val="none"/>
        </w:rPr>
      </w:pPr>
      <w:r>
        <w:rPr>
          <w:rFonts w:ascii="Times New Roman" w:hAnsi="Times New Roman" w:eastAsia="宋体"/>
          <w:color w:val="auto"/>
          <w:sz w:val="24"/>
          <w:szCs w:val="24"/>
          <w:highlight w:val="none"/>
        </w:rPr>
        <w:t>一、资格审查程序</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69"/>
    <w:p w14:paraId="2FD9D3D1">
      <w:pPr>
        <w:numPr>
          <w:ilvl w:val="0"/>
          <w:numId w:val="10"/>
        </w:numPr>
        <w:tabs>
          <w:tab w:val="left" w:pos="360"/>
        </w:tabs>
        <w:snapToGrid w:val="0"/>
        <w:spacing w:after="0" w:line="360" w:lineRule="auto"/>
        <w:outlineLvl w:val="1"/>
        <w:rPr>
          <w:color w:val="auto"/>
          <w:sz w:val="24"/>
          <w:highlight w:val="none"/>
        </w:rPr>
      </w:pPr>
      <w:bookmarkStart w:id="570" w:name="_Toc151193639"/>
      <w:bookmarkStart w:id="571" w:name="_Toc265228379"/>
      <w:bookmarkStart w:id="572" w:name="_Toc305158809"/>
      <w:bookmarkStart w:id="573" w:name="_Toc226965731"/>
      <w:bookmarkStart w:id="574" w:name="_Toc264969231"/>
      <w:bookmarkStart w:id="575" w:name="_Toc127161455"/>
      <w:bookmarkStart w:id="576" w:name="_Toc151193929"/>
      <w:bookmarkStart w:id="577" w:name="_Toc164608655"/>
      <w:bookmarkStart w:id="578" w:name="_Toc149720834"/>
      <w:bookmarkStart w:id="579" w:name="_Toc151190168"/>
      <w:bookmarkStart w:id="580" w:name="_Toc164608810"/>
      <w:bookmarkStart w:id="581" w:name="_Toc150774641"/>
      <w:bookmarkStart w:id="582" w:name="_Toc164229382"/>
      <w:bookmarkStart w:id="583" w:name="_Toc150509292"/>
      <w:bookmarkStart w:id="584" w:name="_Toc164351635"/>
      <w:bookmarkStart w:id="585" w:name="_Toc226337237"/>
      <w:bookmarkStart w:id="586" w:name="_Toc151193855"/>
      <w:bookmarkStart w:id="587" w:name="_Toc226309785"/>
      <w:bookmarkStart w:id="588" w:name="_Toc150774746"/>
      <w:bookmarkStart w:id="589" w:name="_Toc150480779"/>
      <w:bookmarkStart w:id="590" w:name="_Toc151193783"/>
      <w:bookmarkStart w:id="591" w:name="_Toc305158883"/>
      <w:bookmarkStart w:id="592" w:name="_Toc164229236"/>
      <w:bookmarkStart w:id="593" w:name="_Toc226965814"/>
      <w:bookmarkStart w:id="594" w:name="_Toc151193711"/>
      <w:bookmarkStart w:id="595" w:name="_Toc195842906"/>
      <w:bookmarkStart w:id="596" w:name="_Toc127151742"/>
      <w:bookmarkStart w:id="597" w:name="_Toc142311043"/>
      <w:bookmarkStart w:id="598" w:name="_Toc127151541"/>
      <w:bookmarkStart w:id="599" w:name="_Toc353825551"/>
      <w:bookmarkStart w:id="600" w:name="_Toc353873941"/>
      <w:bookmarkStart w:id="601" w:name="_Toc265228393"/>
      <w:bookmarkStart w:id="602" w:name="_Toc226337251"/>
      <w:bookmarkStart w:id="603" w:name="_Toc305158897"/>
      <w:bookmarkStart w:id="604" w:name="_Toc226965828"/>
      <w:bookmarkStart w:id="605" w:name="_Toc353873935"/>
      <w:bookmarkStart w:id="606" w:name="_Toc142311057"/>
      <w:bookmarkStart w:id="607" w:name="_Toc127151555"/>
      <w:bookmarkStart w:id="608" w:name="_Toc264969245"/>
      <w:bookmarkStart w:id="609" w:name="_Toc195842920"/>
      <w:bookmarkStart w:id="610" w:name="_Toc150480793"/>
      <w:bookmarkStart w:id="611" w:name="_Toc353873665"/>
      <w:bookmarkStart w:id="612" w:name="_Toc150774760"/>
      <w:bookmarkStart w:id="613" w:name="_Toc353825545"/>
      <w:bookmarkStart w:id="614" w:name="_Toc305158823"/>
      <w:r>
        <w:rPr>
          <w:color w:val="auto"/>
          <w:sz w:val="24"/>
          <w:highlight w:val="none"/>
        </w:rPr>
        <w:t>响应文件的</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color w:val="auto"/>
          <w:sz w:val="24"/>
          <w:highlight w:val="none"/>
        </w:rPr>
        <w:t>资格性检查和符合性审查</w:t>
      </w:r>
    </w:p>
    <w:p w14:paraId="0B3B702F">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5AB81B79">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《资格性检查要求》中对格式有要求的，除竞争性磋商文件另有规定外，均为“实质性格式”文件。</w:t>
      </w:r>
    </w:p>
    <w:p w14:paraId="7A5C7843">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《资格性检查要求》见下表：</w:t>
      </w:r>
    </w:p>
    <w:p w14:paraId="6C401D9C">
      <w:pPr>
        <w:tabs>
          <w:tab w:val="left" w:pos="900"/>
          <w:tab w:val="left" w:pos="1080"/>
        </w:tabs>
        <w:snapToGrid w:val="0"/>
        <w:spacing w:after="0" w:line="360" w:lineRule="auto"/>
        <w:ind w:left="1077" w:firstLine="2650" w:firstLineChars="1100"/>
        <w:rPr>
          <w:b/>
          <w:color w:val="auto"/>
          <w:sz w:val="24"/>
          <w:highlight w:val="none"/>
        </w:rPr>
      </w:pPr>
      <w:r>
        <w:rPr>
          <w:b/>
          <w:color w:val="auto"/>
          <w:sz w:val="24"/>
          <w:highlight w:val="none"/>
        </w:rPr>
        <w:t>资格性检查要求</w:t>
      </w:r>
    </w:p>
    <w:tbl>
      <w:tblPr>
        <w:tblStyle w:val="42"/>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68"/>
        <w:gridCol w:w="4660"/>
        <w:gridCol w:w="2015"/>
      </w:tblGrid>
      <w:tr w14:paraId="3AD4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45" w:type="dxa"/>
            <w:vAlign w:val="center"/>
          </w:tcPr>
          <w:p w14:paraId="6A762914">
            <w:pPr>
              <w:tabs>
                <w:tab w:val="left" w:pos="1080"/>
              </w:tabs>
              <w:snapToGrid w:val="0"/>
              <w:spacing w:after="0"/>
              <w:jc w:val="center"/>
              <w:rPr>
                <w:rFonts w:hint="eastAsia" w:ascii="宋体" w:hAnsi="宋体" w:eastAsia="宋体" w:cs="宋体"/>
                <w:b/>
                <w:color w:val="auto"/>
                <w:sz w:val="24"/>
                <w:highlight w:val="none"/>
              </w:rPr>
            </w:pPr>
            <w:bookmarkStart w:id="615" w:name="_Hlt487972895"/>
            <w:bookmarkEnd w:id="615"/>
            <w:r>
              <w:rPr>
                <w:rFonts w:hint="eastAsia" w:ascii="宋体" w:hAnsi="宋体" w:eastAsia="宋体" w:cs="宋体"/>
                <w:b/>
                <w:color w:val="auto"/>
                <w:sz w:val="24"/>
                <w:highlight w:val="none"/>
              </w:rPr>
              <w:t>序号</w:t>
            </w:r>
          </w:p>
        </w:tc>
        <w:tc>
          <w:tcPr>
            <w:tcW w:w="1768" w:type="dxa"/>
            <w:vAlign w:val="center"/>
          </w:tcPr>
          <w:p w14:paraId="6F5D3F48">
            <w:pPr>
              <w:tabs>
                <w:tab w:val="left" w:pos="1080"/>
              </w:tabs>
              <w:snapToGrid w:val="0"/>
              <w:spacing w:after="0"/>
              <w:jc w:val="center"/>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检查</w:t>
            </w:r>
            <w:r>
              <w:rPr>
                <w:rFonts w:hint="eastAsia" w:ascii="宋体" w:hAnsi="宋体" w:eastAsia="宋体" w:cs="宋体"/>
                <w:b/>
                <w:color w:val="auto"/>
                <w:sz w:val="24"/>
                <w:highlight w:val="none"/>
              </w:rPr>
              <w:t>因素</w:t>
            </w:r>
          </w:p>
        </w:tc>
        <w:tc>
          <w:tcPr>
            <w:tcW w:w="4660" w:type="dxa"/>
            <w:vAlign w:val="center"/>
          </w:tcPr>
          <w:p w14:paraId="789A0FEB">
            <w:pPr>
              <w:tabs>
                <w:tab w:val="left" w:pos="1080"/>
              </w:tabs>
              <w:snapToGrid w:val="0"/>
              <w:spacing w:after="0"/>
              <w:jc w:val="center"/>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检查</w:t>
            </w:r>
            <w:r>
              <w:rPr>
                <w:rFonts w:hint="eastAsia" w:ascii="宋体" w:hAnsi="宋体" w:eastAsia="宋体" w:cs="宋体"/>
                <w:b/>
                <w:color w:val="auto"/>
                <w:sz w:val="24"/>
                <w:highlight w:val="none"/>
              </w:rPr>
              <w:t>内容</w:t>
            </w:r>
          </w:p>
        </w:tc>
        <w:tc>
          <w:tcPr>
            <w:tcW w:w="2015" w:type="dxa"/>
            <w:vAlign w:val="center"/>
          </w:tcPr>
          <w:p w14:paraId="2D43CF79">
            <w:pPr>
              <w:tabs>
                <w:tab w:val="left" w:pos="1080"/>
              </w:tabs>
              <w:snapToGrid w:val="0"/>
              <w:spacing w:after="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04DF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167ABE9C">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68" w:type="dxa"/>
            <w:vAlign w:val="center"/>
          </w:tcPr>
          <w:p w14:paraId="05BB87EF">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60" w:type="dxa"/>
            <w:vAlign w:val="center"/>
          </w:tcPr>
          <w:p w14:paraId="438366D3">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邀请》</w:t>
            </w:r>
          </w:p>
        </w:tc>
        <w:tc>
          <w:tcPr>
            <w:tcW w:w="2015" w:type="dxa"/>
            <w:vAlign w:val="center"/>
          </w:tcPr>
          <w:p w14:paraId="23050009">
            <w:pPr>
              <w:tabs>
                <w:tab w:val="left" w:pos="1080"/>
              </w:tabs>
              <w:snapToGrid w:val="0"/>
              <w:spacing w:after="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44CBC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1ACA6070">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68" w:type="dxa"/>
            <w:vAlign w:val="center"/>
          </w:tcPr>
          <w:p w14:paraId="4BEC479B">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60" w:type="dxa"/>
            <w:vAlign w:val="center"/>
          </w:tcPr>
          <w:p w14:paraId="751910B1">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为企业（包括合伙企业）的，应提供有效的“营业执照”；</w:t>
            </w:r>
          </w:p>
          <w:p w14:paraId="40DC90E0">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为事业单位的，应提供有效的“事业单位法人证书”；</w:t>
            </w:r>
          </w:p>
          <w:p w14:paraId="1253729A">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是非企业机构的，应提供有效的“执业许可证”、“登记证书”等证明文件；</w:t>
            </w:r>
          </w:p>
          <w:p w14:paraId="26FEB07B">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是个体工商户的，应提供有效的“个体工商户营业执照”；</w:t>
            </w:r>
          </w:p>
          <w:p w14:paraId="42520CE8">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是自然人的，应提供有效的自然人身份证明。</w:t>
            </w:r>
          </w:p>
          <w:p w14:paraId="759FF12B">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若本项目允许分支机构参加投标，则分支机构参加投标的，此处可提供该分支机构或其所属法人或其他组织的相应证明文件。</w:t>
            </w:r>
          </w:p>
        </w:tc>
        <w:tc>
          <w:tcPr>
            <w:tcW w:w="2015" w:type="dxa"/>
            <w:vAlign w:val="center"/>
          </w:tcPr>
          <w:p w14:paraId="1426687E">
            <w:pPr>
              <w:tabs>
                <w:tab w:val="left" w:pos="1080"/>
              </w:tabs>
              <w:snapToGrid w:val="0"/>
              <w:spacing w:after="0"/>
              <w:rPr>
                <w:rFonts w:hint="eastAsia" w:ascii="宋体" w:hAnsi="宋体" w:eastAsia="宋体" w:cs="宋体"/>
                <w:color w:val="auto"/>
                <w:sz w:val="24"/>
                <w:highlight w:val="none"/>
              </w:rPr>
            </w:pPr>
            <w:r>
              <w:rPr>
                <w:rFonts w:hint="eastAsia" w:ascii="宋体" w:hAnsi="宋体" w:cs="宋体"/>
                <w:color w:val="auto"/>
                <w:spacing w:val="18"/>
                <w:sz w:val="24"/>
                <w:szCs w:val="24"/>
                <w:highlight w:val="none"/>
                <w:lang w:val="en-US" w:eastAsia="zh-CN"/>
              </w:rPr>
              <w:t>提</w:t>
            </w:r>
            <w:r>
              <w:rPr>
                <w:rFonts w:hint="eastAsia" w:ascii="宋体" w:hAnsi="宋体" w:eastAsia="宋体" w:cs="宋体"/>
                <w:color w:val="auto"/>
                <w:spacing w:val="18"/>
                <w:sz w:val="24"/>
                <w:szCs w:val="24"/>
                <w:highlight w:val="none"/>
                <w:lang w:val="en-US" w:eastAsia="zh-CN"/>
              </w:rPr>
              <w:t>供证明文件的</w:t>
            </w:r>
            <w:r>
              <w:rPr>
                <w:rFonts w:hint="eastAsia" w:ascii="宋体" w:hAnsi="宋体" w:cs="宋体"/>
                <w:color w:val="auto"/>
                <w:spacing w:val="18"/>
                <w:sz w:val="24"/>
                <w:szCs w:val="24"/>
                <w:highlight w:val="none"/>
                <w:lang w:val="en-US" w:eastAsia="zh-CN"/>
              </w:rPr>
              <w:t>复印件</w:t>
            </w:r>
            <w:r>
              <w:rPr>
                <w:rFonts w:hint="eastAsia" w:ascii="宋体" w:hAnsi="宋体" w:eastAsia="宋体" w:cs="宋体"/>
                <w:color w:val="auto"/>
                <w:spacing w:val="18"/>
                <w:sz w:val="24"/>
                <w:szCs w:val="24"/>
                <w:highlight w:val="none"/>
                <w:lang w:val="en-US" w:eastAsia="zh-CN"/>
              </w:rPr>
              <w:t>或电子证照</w:t>
            </w:r>
          </w:p>
        </w:tc>
      </w:tr>
      <w:tr w14:paraId="466D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368940C4">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68" w:type="dxa"/>
            <w:vAlign w:val="center"/>
          </w:tcPr>
          <w:p w14:paraId="222BBF6D">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资格声明书</w:t>
            </w:r>
          </w:p>
        </w:tc>
        <w:tc>
          <w:tcPr>
            <w:tcW w:w="4660" w:type="dxa"/>
            <w:vAlign w:val="center"/>
          </w:tcPr>
          <w:p w14:paraId="55C44351">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提供了符合竞争性磋商文件要求的《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资格声明书》。</w:t>
            </w:r>
          </w:p>
        </w:tc>
        <w:tc>
          <w:tcPr>
            <w:tcW w:w="2015" w:type="dxa"/>
            <w:vAlign w:val="center"/>
          </w:tcPr>
          <w:p w14:paraId="544D4CB3">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文件格式》</w:t>
            </w:r>
          </w:p>
        </w:tc>
      </w:tr>
      <w:tr w14:paraId="38CD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50D50ADB">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768" w:type="dxa"/>
            <w:vAlign w:val="center"/>
          </w:tcPr>
          <w:p w14:paraId="0BE5B3C0">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信用记录</w:t>
            </w:r>
          </w:p>
        </w:tc>
        <w:tc>
          <w:tcPr>
            <w:tcW w:w="4660" w:type="dxa"/>
            <w:vAlign w:val="center"/>
          </w:tcPr>
          <w:p w14:paraId="4C7EA71F">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14:paraId="6BFD9AE4">
            <w:pPr>
              <w:tabs>
                <w:tab w:val="left" w:pos="900"/>
                <w:tab w:val="left" w:pos="19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或采购代理机构的实际查询时间；</w:t>
            </w:r>
          </w:p>
          <w:p w14:paraId="1D0B3D46">
            <w:pPr>
              <w:tabs>
                <w:tab w:val="left" w:pos="900"/>
                <w:tab w:val="left" w:pos="19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信用信息查询记录和证据留存具体方式：查询结果网页打印页作为查询记录和证据，与其他采购文件一并保存；</w:t>
            </w:r>
          </w:p>
          <w:p w14:paraId="48CF36F8">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，其</w:t>
            </w:r>
            <w:r>
              <w:rPr>
                <w:rFonts w:hint="eastAsia" w:ascii="宋体" w:hAnsi="宋体" w:eastAsia="宋体" w:cs="宋体"/>
                <w:b/>
                <w:color w:val="auto"/>
                <w:sz w:val="24"/>
                <w:highlight w:val="none"/>
                <w:lang w:eastAsia="zh-CN"/>
              </w:rPr>
              <w:t>响应无效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2015" w:type="dxa"/>
            <w:vAlign w:val="center"/>
          </w:tcPr>
          <w:p w14:paraId="52B9F605">
            <w:pPr>
              <w:tabs>
                <w:tab w:val="left" w:pos="1080"/>
              </w:tabs>
              <w:snapToGrid w:val="0"/>
              <w:spacing w:after="0"/>
              <w:rPr>
                <w:rFonts w:hint="eastAsia" w:ascii="宋体" w:hAnsi="宋体" w:eastAsia="宋体" w:cs="宋体"/>
                <w:color w:val="auto"/>
                <w:sz w:val="24"/>
                <w:highlight w:val="none"/>
              </w:rPr>
            </w:pPr>
            <w:r>
              <w:rPr>
                <w:rFonts w:hint="eastAsia" w:ascii="宋体" w:hAnsi="宋体" w:eastAsia="宋体" w:cs="宋体"/>
                <w:color w:val="auto"/>
                <w:sz w:val="24"/>
                <w:highlight w:val="none"/>
              </w:rPr>
              <w:t>无须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或采购代理机构查询。</w:t>
            </w:r>
          </w:p>
        </w:tc>
      </w:tr>
      <w:tr w14:paraId="6D44B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5BEB6ABA">
            <w:pPr>
              <w:tabs>
                <w:tab w:val="left" w:pos="1080"/>
              </w:tabs>
              <w:snapToGrid w:val="0"/>
              <w:spacing w:after="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768" w:type="dxa"/>
            <w:vAlign w:val="top"/>
          </w:tcPr>
          <w:p w14:paraId="5D1D0219">
            <w:pPr>
              <w:pStyle w:val="250"/>
              <w:spacing w:before="4" w:after="0" w:line="242" w:lineRule="auto"/>
              <w:ind w:left="107" w:leftChars="0" w:right="97" w:rightChars="0"/>
              <w:jc w:val="center"/>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法律、行政法规</w:t>
            </w:r>
            <w:r>
              <w:rPr>
                <w:rFonts w:hint="eastAsia" w:ascii="宋体" w:hAnsi="宋体" w:eastAsia="宋体" w:cs="宋体"/>
                <w:color w:val="auto"/>
                <w:spacing w:val="36"/>
                <w:sz w:val="24"/>
                <w:highlight w:val="none"/>
              </w:rPr>
              <w:t>规定的其他条</w:t>
            </w:r>
            <w:r>
              <w:rPr>
                <w:rFonts w:hint="eastAsia" w:ascii="宋体" w:hAnsi="宋体" w:eastAsia="宋体" w:cs="宋体"/>
                <w:color w:val="auto"/>
                <w:sz w:val="24"/>
                <w:highlight w:val="none"/>
              </w:rPr>
              <w:t>件</w:t>
            </w:r>
          </w:p>
        </w:tc>
        <w:tc>
          <w:tcPr>
            <w:tcW w:w="4660" w:type="dxa"/>
            <w:vAlign w:val="center"/>
          </w:tcPr>
          <w:p w14:paraId="34AA4F7C">
            <w:pPr>
              <w:pStyle w:val="250"/>
              <w:spacing w:after="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法律、行政法规规定的其他条件</w:t>
            </w:r>
          </w:p>
        </w:tc>
        <w:tc>
          <w:tcPr>
            <w:tcW w:w="2015" w:type="dxa"/>
            <w:vAlign w:val="top"/>
          </w:tcPr>
          <w:p w14:paraId="6A630A8A">
            <w:pPr>
              <w:pStyle w:val="250"/>
              <w:spacing w:before="1" w:after="0"/>
              <w:rPr>
                <w:rFonts w:hint="eastAsia" w:ascii="宋体" w:hAnsi="宋体" w:eastAsia="宋体" w:cs="宋体"/>
                <w:color w:val="auto"/>
                <w:sz w:val="24"/>
                <w:highlight w:val="none"/>
              </w:rPr>
            </w:pPr>
          </w:p>
          <w:p w14:paraId="359EE55B">
            <w:pPr>
              <w:pStyle w:val="250"/>
              <w:spacing w:after="0"/>
              <w:ind w:left="9" w:leftChars="0"/>
              <w:jc w:val="center"/>
              <w:rPr>
                <w:rFonts w:hint="eastAsia" w:ascii="宋体" w:hAnsi="宋体" w:eastAsia="宋体" w:cs="宋体"/>
                <w:color w:val="auto"/>
                <w:sz w:val="24"/>
                <w:highlight w:val="none"/>
              </w:rPr>
            </w:pPr>
            <w:r>
              <w:rPr>
                <w:rFonts w:hint="eastAsia" w:ascii="宋体" w:hAnsi="宋体" w:eastAsia="宋体" w:cs="宋体"/>
                <w:color w:val="auto"/>
                <w:w w:val="88"/>
                <w:sz w:val="24"/>
                <w:highlight w:val="none"/>
              </w:rPr>
              <w:t>/</w:t>
            </w:r>
          </w:p>
        </w:tc>
      </w:tr>
      <w:tr w14:paraId="68F95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7E366DA7">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768" w:type="dxa"/>
            <w:vAlign w:val="center"/>
          </w:tcPr>
          <w:p w14:paraId="5DF865ED">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落实政府采购政策需满足的资格要求</w:t>
            </w:r>
          </w:p>
        </w:tc>
        <w:tc>
          <w:tcPr>
            <w:tcW w:w="4660" w:type="dxa"/>
            <w:vAlign w:val="center"/>
          </w:tcPr>
          <w:p w14:paraId="2AC23C30">
            <w:pPr>
              <w:keepNext w:val="0"/>
              <w:keepLines w:val="0"/>
              <w:widowControl/>
              <w:suppressLineNumbers w:val="0"/>
              <w:spacing w:after="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具体要求见第一章《</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邀请》</w:t>
            </w:r>
          </w:p>
        </w:tc>
        <w:tc>
          <w:tcPr>
            <w:tcW w:w="2015" w:type="dxa"/>
            <w:vAlign w:val="top"/>
          </w:tcPr>
          <w:p w14:paraId="10289E33">
            <w:pPr>
              <w:pStyle w:val="250"/>
              <w:spacing w:after="0"/>
              <w:ind w:left="9" w:leftChars="0"/>
              <w:jc w:val="center"/>
              <w:rPr>
                <w:rFonts w:hint="eastAsia" w:ascii="宋体" w:hAnsi="宋体" w:eastAsia="宋体" w:cs="宋体"/>
                <w:color w:val="auto"/>
                <w:w w:val="88"/>
                <w:sz w:val="24"/>
                <w:highlight w:val="none"/>
              </w:rPr>
            </w:pPr>
          </w:p>
        </w:tc>
      </w:tr>
      <w:tr w14:paraId="5B18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6A4C96B0">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768" w:type="dxa"/>
            <w:vAlign w:val="center"/>
          </w:tcPr>
          <w:p w14:paraId="12252F29">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中小企业政策</w:t>
            </w:r>
          </w:p>
        </w:tc>
        <w:tc>
          <w:tcPr>
            <w:tcW w:w="4660" w:type="dxa"/>
            <w:vAlign w:val="center"/>
          </w:tcPr>
          <w:p w14:paraId="772EB56E">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具体要求见第一章《</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 xml:space="preserve">邀请》 </w:t>
            </w:r>
          </w:p>
        </w:tc>
        <w:tc>
          <w:tcPr>
            <w:tcW w:w="2015" w:type="dxa"/>
            <w:vAlign w:val="center"/>
          </w:tcPr>
          <w:p w14:paraId="0D8B63CA">
            <w:pPr>
              <w:tabs>
                <w:tab w:val="left" w:pos="1080"/>
              </w:tabs>
              <w:snapToGrid w:val="0"/>
              <w:spacing w:after="0"/>
              <w:rPr>
                <w:rFonts w:hint="eastAsia" w:ascii="宋体" w:hAnsi="宋体" w:eastAsia="宋体" w:cs="宋体"/>
                <w:color w:val="auto"/>
                <w:kern w:val="2"/>
                <w:sz w:val="24"/>
                <w:szCs w:val="24"/>
                <w:highlight w:val="none"/>
                <w:lang w:val="en-US" w:eastAsia="zh-CN" w:bidi="ar-SA"/>
              </w:rPr>
            </w:pPr>
          </w:p>
        </w:tc>
      </w:tr>
      <w:tr w14:paraId="77FD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24A7D0D5">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2-1-1</w:t>
            </w:r>
          </w:p>
        </w:tc>
        <w:tc>
          <w:tcPr>
            <w:tcW w:w="1768" w:type="dxa"/>
            <w:vAlign w:val="center"/>
          </w:tcPr>
          <w:p w14:paraId="192458E4">
            <w:pPr>
              <w:keepNext w:val="0"/>
              <w:keepLines w:val="0"/>
              <w:widowControl/>
              <w:suppressLineNumbers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中小企业证明文件</w:t>
            </w:r>
          </w:p>
        </w:tc>
        <w:tc>
          <w:tcPr>
            <w:tcW w:w="4660" w:type="dxa"/>
            <w:vAlign w:val="center"/>
          </w:tcPr>
          <w:p w14:paraId="0DB8AF0A">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当本项目（包）涉及预留份额专门面向中小</w:t>
            </w:r>
          </w:p>
          <w:p w14:paraId="6B2E4E57">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企业采购，此时建议在《资格证明文件》中</w:t>
            </w:r>
          </w:p>
          <w:p w14:paraId="7AB6306C">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w:t>
            </w:r>
          </w:p>
          <w:p w14:paraId="31DCC456">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单独投标的，应提供《中小企业声</w:t>
            </w:r>
          </w:p>
          <w:p w14:paraId="029F5DE2">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明函》或《残疾人福利性单位声明函》或由</w:t>
            </w:r>
          </w:p>
          <w:p w14:paraId="1AF0631B">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省级以上监狱管理局、戒毒管理局（含新疆</w:t>
            </w:r>
          </w:p>
          <w:p w14:paraId="42DC2719">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生产建设兵团）出具的属于监狱企业的证明</w:t>
            </w:r>
          </w:p>
          <w:p w14:paraId="23700413">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文件。</w:t>
            </w:r>
          </w:p>
        </w:tc>
        <w:tc>
          <w:tcPr>
            <w:tcW w:w="2015" w:type="dxa"/>
            <w:vAlign w:val="center"/>
          </w:tcPr>
          <w:p w14:paraId="2318FED5">
            <w:pPr>
              <w:tabs>
                <w:tab w:val="left" w:pos="1080"/>
              </w:tabs>
              <w:snapToGrid w:val="0"/>
              <w:spacing w:after="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格式见《</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文件格式》</w:t>
            </w:r>
          </w:p>
        </w:tc>
      </w:tr>
      <w:tr w14:paraId="14CA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3492EDA6">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2-1-2</w:t>
            </w:r>
          </w:p>
        </w:tc>
        <w:tc>
          <w:tcPr>
            <w:tcW w:w="1768" w:type="dxa"/>
            <w:vAlign w:val="center"/>
          </w:tcPr>
          <w:p w14:paraId="12CAA340">
            <w:pPr>
              <w:keepNext w:val="0"/>
              <w:keepLines w:val="0"/>
              <w:widowControl/>
              <w:suppressLineNumbers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拟分包情况说明</w:t>
            </w:r>
          </w:p>
        </w:tc>
        <w:tc>
          <w:tcPr>
            <w:tcW w:w="4660" w:type="dxa"/>
            <w:vAlign w:val="center"/>
          </w:tcPr>
          <w:p w14:paraId="2EE783F3">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本项目不允许分包</w:t>
            </w:r>
          </w:p>
        </w:tc>
        <w:tc>
          <w:tcPr>
            <w:tcW w:w="2015" w:type="dxa"/>
            <w:vAlign w:val="center"/>
          </w:tcPr>
          <w:p w14:paraId="1A9EC6FF">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037D0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14:paraId="10B07384">
            <w:pPr>
              <w:tabs>
                <w:tab w:val="left" w:pos="1080"/>
              </w:tabs>
              <w:snapToGrid w:val="0"/>
              <w:spacing w:after="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768" w:type="dxa"/>
            <w:vAlign w:val="center"/>
          </w:tcPr>
          <w:p w14:paraId="3BFCBFC4">
            <w:pPr>
              <w:keepNext w:val="0"/>
              <w:keepLines w:val="0"/>
              <w:widowControl/>
              <w:suppressLineNumbers w:val="0"/>
              <w:spacing w:after="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其它落实政府采购政策的资格要求</w:t>
            </w:r>
          </w:p>
        </w:tc>
        <w:tc>
          <w:tcPr>
            <w:tcW w:w="4660" w:type="dxa"/>
            <w:vAlign w:val="center"/>
          </w:tcPr>
          <w:p w14:paraId="0F12DE84">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如有，见第一章《采购邀请》</w:t>
            </w:r>
          </w:p>
        </w:tc>
        <w:tc>
          <w:tcPr>
            <w:tcW w:w="2015" w:type="dxa"/>
            <w:vAlign w:val="center"/>
          </w:tcPr>
          <w:p w14:paraId="43189839">
            <w:pPr>
              <w:tabs>
                <w:tab w:val="left" w:pos="1080"/>
              </w:tabs>
              <w:snapToGrid w:val="0"/>
              <w:spacing w:after="0"/>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w:t>
            </w:r>
          </w:p>
        </w:tc>
      </w:tr>
      <w:tr w14:paraId="6DD53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5" w:type="dxa"/>
            <w:vAlign w:val="center"/>
          </w:tcPr>
          <w:p w14:paraId="34D46571">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768" w:type="dxa"/>
            <w:vAlign w:val="center"/>
          </w:tcPr>
          <w:p w14:paraId="4598BEDC">
            <w:pPr>
              <w:keepNext w:val="0"/>
              <w:keepLines w:val="0"/>
              <w:widowControl/>
              <w:suppressLineNumbers w:val="0"/>
              <w:spacing w:after="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4660" w:type="dxa"/>
            <w:vAlign w:val="center"/>
          </w:tcPr>
          <w:p w14:paraId="44CD2786">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如有，见第一章《</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 xml:space="preserve">邀请》 </w:t>
            </w:r>
          </w:p>
        </w:tc>
        <w:tc>
          <w:tcPr>
            <w:tcW w:w="2015" w:type="dxa"/>
            <w:vAlign w:val="center"/>
          </w:tcPr>
          <w:p w14:paraId="3537FBB9">
            <w:pPr>
              <w:tabs>
                <w:tab w:val="left" w:pos="1080"/>
              </w:tabs>
              <w:snapToGrid w:val="0"/>
              <w:spacing w:after="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r>
      <w:tr w14:paraId="237E0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45" w:type="dxa"/>
            <w:vAlign w:val="center"/>
          </w:tcPr>
          <w:p w14:paraId="5C680E9C">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1768" w:type="dxa"/>
            <w:vAlign w:val="center"/>
          </w:tcPr>
          <w:p w14:paraId="3BD34A53">
            <w:pPr>
              <w:keepNext w:val="0"/>
              <w:keepLines w:val="0"/>
              <w:widowControl/>
              <w:suppressLineNumbers w:val="0"/>
              <w:spacing w:after="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本项目对于联合体的要求</w:t>
            </w:r>
          </w:p>
        </w:tc>
        <w:tc>
          <w:tcPr>
            <w:tcW w:w="4660" w:type="dxa"/>
            <w:vAlign w:val="center"/>
          </w:tcPr>
          <w:p w14:paraId="5910E5EC">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本项目不允许联合体投标</w:t>
            </w:r>
          </w:p>
        </w:tc>
        <w:tc>
          <w:tcPr>
            <w:tcW w:w="2015" w:type="dxa"/>
            <w:vAlign w:val="center"/>
          </w:tcPr>
          <w:p w14:paraId="20045918">
            <w:pPr>
              <w:tabs>
                <w:tab w:val="left" w:pos="1080"/>
              </w:tabs>
              <w:snapToGrid w:val="0"/>
              <w:spacing w:after="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r>
      <w:tr w14:paraId="2786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0" w:hRule="atLeast"/>
          <w:jc w:val="center"/>
        </w:trPr>
        <w:tc>
          <w:tcPr>
            <w:tcW w:w="845" w:type="dxa"/>
            <w:vAlign w:val="center"/>
          </w:tcPr>
          <w:p w14:paraId="74A7AB47">
            <w:pPr>
              <w:tabs>
                <w:tab w:val="left" w:pos="1080"/>
              </w:tabs>
              <w:snapToGrid w:val="0"/>
              <w:spacing w:after="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w:t>
            </w:r>
          </w:p>
        </w:tc>
        <w:tc>
          <w:tcPr>
            <w:tcW w:w="1768" w:type="dxa"/>
            <w:vAlign w:val="center"/>
          </w:tcPr>
          <w:p w14:paraId="0A59C5DC">
            <w:pPr>
              <w:keepNext w:val="0"/>
              <w:keepLines w:val="0"/>
              <w:widowControl/>
              <w:suppressLineNumbers w:val="0"/>
              <w:spacing w:after="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政府购买服务承接主体的要求</w:t>
            </w:r>
          </w:p>
        </w:tc>
        <w:tc>
          <w:tcPr>
            <w:tcW w:w="4660" w:type="dxa"/>
            <w:vAlign w:val="center"/>
          </w:tcPr>
          <w:p w14:paraId="01353DD7">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如本项目属于政府购买服务，</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不属于公益一类事业单位、使用事业编制且由财政拨款保障的群团组织。</w:t>
            </w:r>
          </w:p>
        </w:tc>
        <w:tc>
          <w:tcPr>
            <w:tcW w:w="2015" w:type="dxa"/>
            <w:vAlign w:val="center"/>
          </w:tcPr>
          <w:p w14:paraId="762E4BAC">
            <w:pPr>
              <w:keepNext w:val="0"/>
              <w:keepLines w:val="0"/>
              <w:widowControl/>
              <w:suppressLineNumbers w:val="0"/>
              <w:spacing w:after="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格式见《</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文件格式》</w:t>
            </w:r>
          </w:p>
        </w:tc>
        <w:bookmarkStart w:id="616" w:name="_Hlt487900425"/>
        <w:bookmarkStart w:id="617" w:name="_Hlt522424701"/>
      </w:tr>
      <w:tr w14:paraId="032E1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845" w:type="dxa"/>
            <w:vAlign w:val="center"/>
          </w:tcPr>
          <w:p w14:paraId="3C500269">
            <w:pPr>
              <w:tabs>
                <w:tab w:val="left" w:pos="1080"/>
              </w:tabs>
              <w:snapToGrid w:val="0"/>
              <w:spacing w:after="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3-3</w:t>
            </w:r>
          </w:p>
        </w:tc>
        <w:tc>
          <w:tcPr>
            <w:tcW w:w="1768" w:type="dxa"/>
            <w:vAlign w:val="center"/>
          </w:tcPr>
          <w:p w14:paraId="1F514D32">
            <w:pPr>
              <w:keepNext w:val="0"/>
              <w:keepLines w:val="0"/>
              <w:widowControl/>
              <w:suppressLineNumbers w:val="0"/>
              <w:spacing w:after="0"/>
              <w:jc w:val="center"/>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
              </w:rPr>
              <w:t>其他特定资格要求</w:t>
            </w:r>
          </w:p>
        </w:tc>
        <w:tc>
          <w:tcPr>
            <w:tcW w:w="4660" w:type="dxa"/>
            <w:vAlign w:val="center"/>
          </w:tcPr>
          <w:p w14:paraId="59D74B87">
            <w:pPr>
              <w:keepNext w:val="0"/>
              <w:keepLines w:val="0"/>
              <w:widowControl/>
              <w:suppressLineNumbers w:val="0"/>
              <w:spacing w:after="0"/>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lang w:val="en-US" w:eastAsia="zh-CN" w:bidi="ar"/>
              </w:rPr>
              <w:t>如有，见第一章《</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邀请》</w:t>
            </w:r>
          </w:p>
        </w:tc>
        <w:tc>
          <w:tcPr>
            <w:tcW w:w="2015" w:type="dxa"/>
            <w:vAlign w:val="center"/>
          </w:tcPr>
          <w:p w14:paraId="511F2ABF">
            <w:pPr>
              <w:keepNext w:val="0"/>
              <w:keepLines w:val="0"/>
              <w:widowControl/>
              <w:suppressLineNumbers w:val="0"/>
              <w:spacing w:after="0"/>
              <w:jc w:val="left"/>
              <w:rPr>
                <w:rFonts w:hint="eastAsia" w:ascii="宋体" w:hAnsi="宋体" w:eastAsia="宋体" w:cs="宋体"/>
                <w:color w:val="auto"/>
                <w:sz w:val="24"/>
                <w:highlight w:val="none"/>
                <w:lang w:val="en-US" w:eastAsia="zh-CN"/>
              </w:rPr>
            </w:pPr>
          </w:p>
        </w:tc>
      </w:tr>
      <w:tr w14:paraId="60E92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3" w:hRule="atLeast"/>
          <w:jc w:val="center"/>
        </w:trPr>
        <w:tc>
          <w:tcPr>
            <w:tcW w:w="845" w:type="dxa"/>
            <w:vAlign w:val="center"/>
          </w:tcPr>
          <w:p w14:paraId="0471D425">
            <w:pPr>
              <w:tabs>
                <w:tab w:val="left" w:pos="1080"/>
              </w:tabs>
              <w:snapToGrid w:val="0"/>
              <w:spacing w:after="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r>
              <w:rPr>
                <w:rFonts w:hint="eastAsia" w:ascii="宋体" w:hAnsi="宋体" w:cs="宋体"/>
                <w:color w:val="auto"/>
                <w:sz w:val="24"/>
                <w:szCs w:val="24"/>
                <w:highlight w:val="none"/>
                <w:lang w:val="en-US" w:eastAsia="zh-CN"/>
              </w:rPr>
              <w:t>1</w:t>
            </w:r>
          </w:p>
        </w:tc>
        <w:tc>
          <w:tcPr>
            <w:tcW w:w="1768" w:type="dxa"/>
            <w:vAlign w:val="center"/>
          </w:tcPr>
          <w:p w14:paraId="3B9ABBAF">
            <w:pPr>
              <w:tabs>
                <w:tab w:val="left" w:pos="1080"/>
              </w:tabs>
              <w:snapToGrid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rPr>
              <w:t>其他特定资格要求</w:t>
            </w:r>
          </w:p>
        </w:tc>
        <w:tc>
          <w:tcPr>
            <w:tcW w:w="4660" w:type="dxa"/>
            <w:vAlign w:val="center"/>
          </w:tcPr>
          <w:p w14:paraId="056EFDF3">
            <w:pPr>
              <w:tabs>
                <w:tab w:val="left" w:pos="1080"/>
              </w:tabs>
              <w:snapToGrid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供应商须具备建设行政主管部门核发的</w:t>
            </w:r>
            <w:r>
              <w:rPr>
                <w:rFonts w:hint="eastAsia" w:ascii="宋体" w:hAnsi="宋体" w:cs="宋体"/>
                <w:color w:val="auto"/>
                <w:sz w:val="24"/>
                <w:highlight w:val="none"/>
                <w:lang w:val="en-US" w:eastAsia="zh-CN"/>
              </w:rPr>
              <w:t>建筑工程</w:t>
            </w:r>
            <w:r>
              <w:rPr>
                <w:rFonts w:hint="eastAsia" w:ascii="宋体" w:hAnsi="宋体" w:eastAsia="宋体" w:cs="宋体"/>
                <w:color w:val="auto"/>
                <w:sz w:val="24"/>
                <w:highlight w:val="none"/>
                <w:lang w:val="en-US" w:eastAsia="zh-CN"/>
              </w:rPr>
              <w:t>施工总承包三级（含）以上资质，且具有有效的安全生产许可证书。</w:t>
            </w:r>
          </w:p>
        </w:tc>
        <w:tc>
          <w:tcPr>
            <w:tcW w:w="2015" w:type="dxa"/>
            <w:vAlign w:val="center"/>
          </w:tcPr>
          <w:p w14:paraId="7B6899E4">
            <w:pPr>
              <w:tabs>
                <w:tab w:val="left" w:pos="1080"/>
              </w:tabs>
              <w:snapToGrid w:val="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提供有效证明文件的</w:t>
            </w:r>
            <w:r>
              <w:rPr>
                <w:rFonts w:hint="eastAsia" w:ascii="宋体" w:hAnsi="宋体" w:cs="宋体"/>
                <w:color w:val="auto"/>
                <w:sz w:val="24"/>
                <w:highlight w:val="none"/>
                <w:lang w:val="en-US" w:eastAsia="zh-CN"/>
              </w:rPr>
              <w:t>复印件</w:t>
            </w:r>
            <w:r>
              <w:rPr>
                <w:rFonts w:hint="eastAsia" w:ascii="宋体" w:hAnsi="宋体" w:eastAsia="宋体" w:cs="宋体"/>
                <w:color w:val="auto"/>
                <w:sz w:val="24"/>
                <w:highlight w:val="none"/>
                <w:lang w:val="en-US" w:eastAsia="zh-CN"/>
              </w:rPr>
              <w:t>（须加盖公章），使用期及有效期应都应在有效期内</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有效的外省市建筑企业来京施工备案证明文件(仅外省市来京施工的建筑企业需要)</w:t>
            </w:r>
          </w:p>
        </w:tc>
      </w:tr>
      <w:tr w14:paraId="63F1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3" w:hRule="atLeast"/>
          <w:jc w:val="center"/>
        </w:trPr>
        <w:tc>
          <w:tcPr>
            <w:tcW w:w="845" w:type="dxa"/>
            <w:vAlign w:val="center"/>
          </w:tcPr>
          <w:p w14:paraId="46B36238">
            <w:pPr>
              <w:tabs>
                <w:tab w:val="left" w:pos="1080"/>
              </w:tabs>
              <w:snapToGrid w:val="0"/>
              <w:spacing w:after="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3-3-2</w:t>
            </w:r>
          </w:p>
        </w:tc>
        <w:tc>
          <w:tcPr>
            <w:tcW w:w="1768" w:type="dxa"/>
            <w:vAlign w:val="center"/>
          </w:tcPr>
          <w:p w14:paraId="36E271D1">
            <w:pPr>
              <w:tabs>
                <w:tab w:val="left" w:pos="1080"/>
              </w:tabs>
              <w:snapToGrid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rPr>
              <w:t>其他特定资格要求</w:t>
            </w:r>
          </w:p>
        </w:tc>
        <w:tc>
          <w:tcPr>
            <w:tcW w:w="4660" w:type="dxa"/>
            <w:vAlign w:val="center"/>
          </w:tcPr>
          <w:p w14:paraId="70EF2441">
            <w:pPr>
              <w:tabs>
                <w:tab w:val="left" w:pos="1080"/>
              </w:tabs>
              <w:snapToGrid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供应商拟派项目经理须具备</w:t>
            </w:r>
            <w:r>
              <w:rPr>
                <w:rFonts w:hint="eastAsia" w:ascii="宋体" w:hAnsi="宋体" w:cs="宋体"/>
                <w:color w:val="auto"/>
                <w:sz w:val="24"/>
                <w:highlight w:val="none"/>
                <w:lang w:val="en-US" w:eastAsia="zh-CN"/>
              </w:rPr>
              <w:t>建筑工程</w:t>
            </w:r>
            <w:r>
              <w:rPr>
                <w:rFonts w:hint="eastAsia" w:ascii="宋体" w:hAnsi="宋体" w:eastAsia="宋体" w:cs="宋体"/>
                <w:color w:val="auto"/>
                <w:sz w:val="24"/>
                <w:highlight w:val="none"/>
                <w:lang w:val="en-US" w:eastAsia="zh-CN"/>
              </w:rPr>
              <w:t>专业二级（含以上级）注册建造师执业资格，具备有效的安全生产考核合格证书（B本），且在确定成交人时不得担任其他在施建设工程项目的项目经理；外地来京建筑企业在办理进京备案时，应当一并办理注册建造师备案手续，已办理备案的外地来京建筑企业注册建造师方可在本市行政区域内开展执业活动。</w:t>
            </w:r>
          </w:p>
        </w:tc>
        <w:tc>
          <w:tcPr>
            <w:tcW w:w="2015" w:type="dxa"/>
            <w:vAlign w:val="center"/>
          </w:tcPr>
          <w:p w14:paraId="14C2D10B">
            <w:pPr>
              <w:tabs>
                <w:tab w:val="left" w:pos="1080"/>
              </w:tabs>
              <w:snapToGrid w:val="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提供有效证明文件的</w:t>
            </w:r>
            <w:r>
              <w:rPr>
                <w:rFonts w:hint="eastAsia" w:ascii="宋体" w:hAnsi="宋体" w:cs="宋体"/>
                <w:color w:val="auto"/>
                <w:sz w:val="24"/>
                <w:highlight w:val="none"/>
                <w:lang w:val="en-US" w:eastAsia="zh-CN"/>
              </w:rPr>
              <w:t>复印件</w:t>
            </w:r>
            <w:r>
              <w:rPr>
                <w:rFonts w:hint="eastAsia" w:ascii="宋体" w:hAnsi="宋体" w:eastAsia="宋体" w:cs="宋体"/>
                <w:color w:val="auto"/>
                <w:sz w:val="24"/>
                <w:highlight w:val="none"/>
                <w:lang w:val="en-US" w:eastAsia="zh-CN"/>
              </w:rPr>
              <w:t>（须加盖公章）及项目经理无在施建设工程项目承诺书</w:t>
            </w:r>
            <w:r>
              <w:rPr>
                <w:rFonts w:hint="eastAsia" w:ascii="宋体" w:hAnsi="宋体" w:cs="宋体"/>
                <w:color w:val="auto"/>
                <w:sz w:val="24"/>
                <w:highlight w:val="none"/>
                <w:lang w:val="en-US" w:eastAsia="zh-CN"/>
              </w:rPr>
              <w:t>复印件</w:t>
            </w:r>
            <w:r>
              <w:rPr>
                <w:rFonts w:hint="eastAsia" w:ascii="宋体" w:hAnsi="宋体" w:eastAsia="宋体" w:cs="宋体"/>
                <w:color w:val="auto"/>
                <w:sz w:val="24"/>
                <w:highlight w:val="none"/>
                <w:lang w:val="en-US" w:eastAsia="zh-CN"/>
              </w:rPr>
              <w:t>（须加盖公章）</w:t>
            </w:r>
          </w:p>
        </w:tc>
      </w:tr>
      <w:tr w14:paraId="3928E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3" w:hRule="atLeast"/>
          <w:jc w:val="center"/>
        </w:trPr>
        <w:tc>
          <w:tcPr>
            <w:tcW w:w="845" w:type="dxa"/>
            <w:vAlign w:val="center"/>
          </w:tcPr>
          <w:p w14:paraId="1BCB72E8">
            <w:pPr>
              <w:tabs>
                <w:tab w:val="left" w:pos="1080"/>
              </w:tabs>
              <w:snapToGrid w:val="0"/>
              <w:spacing w:after="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3-3-3</w:t>
            </w:r>
          </w:p>
        </w:tc>
        <w:tc>
          <w:tcPr>
            <w:tcW w:w="1768" w:type="dxa"/>
            <w:vAlign w:val="center"/>
          </w:tcPr>
          <w:p w14:paraId="71AE4735">
            <w:pPr>
              <w:tabs>
                <w:tab w:val="left" w:pos="1080"/>
              </w:tabs>
              <w:snapToGrid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rPr>
              <w:t>其他特定资格要求</w:t>
            </w:r>
          </w:p>
        </w:tc>
        <w:tc>
          <w:tcPr>
            <w:tcW w:w="4660" w:type="dxa"/>
            <w:vAlign w:val="center"/>
          </w:tcPr>
          <w:p w14:paraId="1F036CAA">
            <w:pPr>
              <w:tabs>
                <w:tab w:val="left" w:pos="1080"/>
              </w:tabs>
              <w:snapToGrid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单位负责人为同一人或者存在直接控股、管理关系的不同供应商，不得同时参加本项目的投标。</w:t>
            </w:r>
          </w:p>
        </w:tc>
        <w:tc>
          <w:tcPr>
            <w:tcW w:w="2015" w:type="dxa"/>
            <w:vAlign w:val="center"/>
          </w:tcPr>
          <w:p w14:paraId="187AC80E">
            <w:pPr>
              <w:tabs>
                <w:tab w:val="left" w:pos="1080"/>
              </w:tabs>
              <w:snapToGrid w:val="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提供承诺书</w:t>
            </w:r>
            <w:r>
              <w:rPr>
                <w:rFonts w:hint="eastAsia" w:ascii="宋体" w:hAnsi="宋体" w:cs="宋体"/>
                <w:color w:val="auto"/>
                <w:sz w:val="24"/>
                <w:highlight w:val="none"/>
                <w:lang w:val="en-US" w:eastAsia="zh-CN"/>
              </w:rPr>
              <w:t>复印件</w:t>
            </w:r>
            <w:r>
              <w:rPr>
                <w:rFonts w:hint="eastAsia" w:ascii="宋体" w:hAnsi="宋体" w:eastAsia="宋体" w:cs="宋体"/>
                <w:color w:val="auto"/>
                <w:sz w:val="24"/>
                <w:highlight w:val="none"/>
                <w:lang w:val="en-US" w:eastAsia="zh-CN"/>
              </w:rPr>
              <w:t>（须加盖公章）</w:t>
            </w:r>
          </w:p>
        </w:tc>
      </w:tr>
      <w:tr w14:paraId="27B2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3" w:hRule="atLeast"/>
          <w:jc w:val="center"/>
        </w:trPr>
        <w:tc>
          <w:tcPr>
            <w:tcW w:w="845" w:type="dxa"/>
            <w:vAlign w:val="center"/>
          </w:tcPr>
          <w:p w14:paraId="1C3CBB42">
            <w:pPr>
              <w:tabs>
                <w:tab w:val="left" w:pos="1080"/>
              </w:tabs>
              <w:snapToGrid w:val="0"/>
              <w:spacing w:after="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768" w:type="dxa"/>
            <w:vAlign w:val="center"/>
          </w:tcPr>
          <w:p w14:paraId="0A23D31A">
            <w:pPr>
              <w:keepNext w:val="0"/>
              <w:keepLines w:val="0"/>
              <w:widowControl/>
              <w:suppressLineNumbers w:val="0"/>
              <w:spacing w:after="0"/>
              <w:jc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磋商保证金</w:t>
            </w:r>
          </w:p>
        </w:tc>
        <w:tc>
          <w:tcPr>
            <w:tcW w:w="4660" w:type="dxa"/>
            <w:vAlign w:val="center"/>
          </w:tcPr>
          <w:p w14:paraId="2EBEE09E">
            <w:pPr>
              <w:tabs>
                <w:tab w:val="left" w:pos="1080"/>
              </w:tabs>
              <w:snapToGrid w:val="0"/>
              <w:spacing w:after="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政府采购法律法规接受的支票、汇票、本票、网上银行支付或者金融机构、担保机构出具的保函等非现金形式。</w:t>
            </w:r>
          </w:p>
        </w:tc>
        <w:tc>
          <w:tcPr>
            <w:tcW w:w="2015" w:type="dxa"/>
            <w:vAlign w:val="center"/>
          </w:tcPr>
          <w:p w14:paraId="0016850C">
            <w:pPr>
              <w:pStyle w:val="15"/>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提供磋商保证金凭证/交款单据、</w:t>
            </w:r>
            <w:r>
              <w:rPr>
                <w:rFonts w:hint="default" w:ascii="宋体" w:hAnsi="宋体" w:eastAsia="宋体" w:cs="宋体"/>
                <w:color w:val="auto"/>
                <w:sz w:val="24"/>
                <w:highlight w:val="none"/>
                <w:lang w:val="en-US" w:eastAsia="zh-CN"/>
              </w:rPr>
              <w:t>开户许可证或基本账户存款信息</w:t>
            </w:r>
            <w:r>
              <w:rPr>
                <w:rFonts w:hint="eastAsia" w:ascii="宋体" w:hAnsi="宋体" w:cs="宋体"/>
                <w:color w:val="auto"/>
                <w:sz w:val="24"/>
                <w:highlight w:val="none"/>
                <w:lang w:val="en-US" w:eastAsia="zh-CN"/>
              </w:rPr>
              <w:t>复印件</w:t>
            </w:r>
          </w:p>
        </w:tc>
      </w:tr>
      <w:tr w14:paraId="3D1F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3" w:hRule="atLeast"/>
          <w:jc w:val="center"/>
        </w:trPr>
        <w:tc>
          <w:tcPr>
            <w:tcW w:w="845" w:type="dxa"/>
            <w:vAlign w:val="center"/>
          </w:tcPr>
          <w:p w14:paraId="161ED8B7">
            <w:pPr>
              <w:tabs>
                <w:tab w:val="left" w:pos="1080"/>
              </w:tabs>
              <w:snapToGrid w:val="0"/>
              <w:spacing w:after="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768" w:type="dxa"/>
            <w:vAlign w:val="center"/>
          </w:tcPr>
          <w:p w14:paraId="383AC72A">
            <w:pPr>
              <w:keepNext w:val="0"/>
              <w:keepLines w:val="0"/>
              <w:widowControl/>
              <w:suppressLineNumbers w:val="0"/>
              <w:spacing w:after="0"/>
              <w:jc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获取磋商文件</w:t>
            </w:r>
          </w:p>
        </w:tc>
        <w:tc>
          <w:tcPr>
            <w:tcW w:w="4660" w:type="dxa"/>
            <w:vAlign w:val="center"/>
          </w:tcPr>
          <w:p w14:paraId="01875735">
            <w:pPr>
              <w:tabs>
                <w:tab w:val="left" w:pos="1080"/>
              </w:tabs>
              <w:snapToGrid w:val="0"/>
              <w:spacing w:after="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在规定期限内通过北京市政府采购电子交易平台获取所参与包的磋商文件。</w:t>
            </w:r>
          </w:p>
          <w:p w14:paraId="13AA465C">
            <w:pPr>
              <w:tabs>
                <w:tab w:val="left" w:pos="1080"/>
              </w:tabs>
              <w:snapToGrid w:val="0"/>
              <w:spacing w:after="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注：如本项目接受联合体，且供应商为联合</w:t>
            </w:r>
          </w:p>
          <w:p w14:paraId="32E45827">
            <w:pPr>
              <w:tabs>
                <w:tab w:val="left" w:pos="1080"/>
              </w:tabs>
              <w:snapToGrid w:val="0"/>
              <w:spacing w:after="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体时，联合体中任一成员获取文件即视为满</w:t>
            </w:r>
          </w:p>
          <w:p w14:paraId="4E8CC725">
            <w:pPr>
              <w:tabs>
                <w:tab w:val="left" w:pos="1080"/>
              </w:tabs>
              <w:snapToGrid w:val="0"/>
              <w:spacing w:after="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足要求。</w:t>
            </w:r>
          </w:p>
        </w:tc>
        <w:tc>
          <w:tcPr>
            <w:tcW w:w="2015" w:type="dxa"/>
            <w:vAlign w:val="center"/>
          </w:tcPr>
          <w:p w14:paraId="1F38AE66">
            <w:pPr>
              <w:tabs>
                <w:tab w:val="left" w:pos="1080"/>
              </w:tabs>
              <w:snapToGrid w:val="0"/>
              <w:spacing w:after="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6B4E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jc w:val="center"/>
        </w:trPr>
        <w:tc>
          <w:tcPr>
            <w:tcW w:w="9288" w:type="dxa"/>
            <w:gridSpan w:val="4"/>
            <w:vAlign w:val="center"/>
          </w:tcPr>
          <w:p w14:paraId="514ADA5A">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资格评审结论：</w:t>
            </w:r>
          </w:p>
          <w:p w14:paraId="7285023D">
            <w:pPr>
              <w:spacing w:after="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通过资格评审标注为√；未通过资格评审标注为×</w:t>
            </w:r>
          </w:p>
        </w:tc>
      </w:tr>
      <w:bookmarkEnd w:id="616"/>
      <w:bookmarkEnd w:id="617"/>
    </w:tbl>
    <w:p w14:paraId="1084FFC9">
      <w:pPr>
        <w:widowControl/>
        <w:spacing w:after="0"/>
        <w:jc w:val="left"/>
        <w:rPr>
          <w:color w:val="auto"/>
          <w:sz w:val="24"/>
          <w:highlight w:val="none"/>
        </w:rPr>
      </w:pPr>
      <w:r>
        <w:rPr>
          <w:color w:val="auto"/>
          <w:sz w:val="24"/>
          <w:highlight w:val="none"/>
        </w:rPr>
        <w:br w:type="page"/>
      </w:r>
    </w:p>
    <w:p w14:paraId="42D58A3B">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《符合性审查要求》见下表：</w:t>
      </w:r>
    </w:p>
    <w:p w14:paraId="6078830C">
      <w:pPr>
        <w:widowControl/>
        <w:spacing w:after="0" w:line="360" w:lineRule="auto"/>
        <w:jc w:val="center"/>
        <w:rPr>
          <w:b/>
          <w:color w:val="auto"/>
          <w:kern w:val="0"/>
          <w:sz w:val="24"/>
          <w:highlight w:val="none"/>
        </w:rPr>
      </w:pPr>
      <w:r>
        <w:rPr>
          <w:b/>
          <w:color w:val="auto"/>
          <w:kern w:val="0"/>
          <w:sz w:val="24"/>
          <w:highlight w:val="none"/>
        </w:rPr>
        <w:t>符合性审查要求</w:t>
      </w:r>
    </w:p>
    <w:tbl>
      <w:tblPr>
        <w:tblStyle w:val="260"/>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9"/>
        <w:gridCol w:w="2083"/>
        <w:gridCol w:w="4140"/>
        <w:gridCol w:w="2138"/>
      </w:tblGrid>
      <w:tr w14:paraId="225A7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96" w:type="pct"/>
            <w:vAlign w:val="center"/>
          </w:tcPr>
          <w:p w14:paraId="26C6D078">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b/>
                <w:bCs/>
                <w:color w:val="auto"/>
                <w:spacing w:val="-7"/>
                <w:sz w:val="24"/>
                <w:szCs w:val="24"/>
              </w:rPr>
              <w:t>序号</w:t>
            </w:r>
          </w:p>
        </w:tc>
        <w:tc>
          <w:tcPr>
            <w:tcW w:w="1147" w:type="pct"/>
            <w:vAlign w:val="center"/>
          </w:tcPr>
          <w:p w14:paraId="101C7D6A">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b/>
                <w:bCs/>
                <w:color w:val="auto"/>
                <w:spacing w:val="-5"/>
                <w:sz w:val="24"/>
                <w:szCs w:val="24"/>
              </w:rPr>
              <w:t>检查因素</w:t>
            </w:r>
          </w:p>
        </w:tc>
        <w:tc>
          <w:tcPr>
            <w:tcW w:w="2279" w:type="pct"/>
            <w:vAlign w:val="center"/>
          </w:tcPr>
          <w:p w14:paraId="63EB5E3F">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b/>
                <w:bCs/>
                <w:color w:val="auto"/>
                <w:spacing w:val="-5"/>
                <w:sz w:val="24"/>
                <w:szCs w:val="24"/>
              </w:rPr>
              <w:t>检查内容</w:t>
            </w:r>
          </w:p>
        </w:tc>
        <w:tc>
          <w:tcPr>
            <w:tcW w:w="1177" w:type="pct"/>
            <w:vAlign w:val="center"/>
          </w:tcPr>
          <w:p w14:paraId="77E84BA9">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b/>
                <w:bCs/>
                <w:color w:val="auto"/>
                <w:spacing w:val="-4"/>
                <w:sz w:val="24"/>
                <w:szCs w:val="24"/>
              </w:rPr>
              <w:t>是否允许澄清、说</w:t>
            </w:r>
            <w:r>
              <w:rPr>
                <w:color w:val="auto"/>
                <w:spacing w:val="4"/>
                <w:sz w:val="24"/>
                <w:szCs w:val="24"/>
              </w:rPr>
              <w:t xml:space="preserve"> </w:t>
            </w:r>
            <w:r>
              <w:rPr>
                <w:b/>
                <w:bCs/>
                <w:color w:val="auto"/>
                <w:spacing w:val="-8"/>
                <w:sz w:val="24"/>
                <w:szCs w:val="24"/>
              </w:rPr>
              <w:t>明或者更正</w:t>
            </w:r>
          </w:p>
        </w:tc>
      </w:tr>
      <w:tr w14:paraId="2716C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396" w:type="pct"/>
            <w:vAlign w:val="center"/>
          </w:tcPr>
          <w:p w14:paraId="10F68AFB">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c>
          <w:tcPr>
            <w:tcW w:w="1147" w:type="pct"/>
            <w:vAlign w:val="center"/>
          </w:tcPr>
          <w:p w14:paraId="6F093697">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授权委托书</w:t>
            </w:r>
          </w:p>
        </w:tc>
        <w:tc>
          <w:tcPr>
            <w:tcW w:w="2279" w:type="pct"/>
            <w:vAlign w:val="center"/>
          </w:tcPr>
          <w:p w14:paraId="2A75321C">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1"/>
                <w:sz w:val="24"/>
                <w:szCs w:val="24"/>
              </w:rPr>
              <w:t>按竞争性磋商文件要求提供；</w:t>
            </w:r>
          </w:p>
        </w:tc>
        <w:tc>
          <w:tcPr>
            <w:tcW w:w="1177" w:type="pct"/>
            <w:vAlign w:val="center"/>
          </w:tcPr>
          <w:p w14:paraId="1E56FB29">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hint="eastAsia" w:eastAsia="宋体"/>
                <w:color w:val="auto"/>
                <w:sz w:val="24"/>
                <w:szCs w:val="24"/>
                <w:lang w:eastAsia="zh-CN"/>
              </w:rPr>
            </w:pPr>
            <w:r>
              <w:rPr>
                <w:rFonts w:hint="eastAsia"/>
                <w:color w:val="auto"/>
                <w:sz w:val="24"/>
                <w:szCs w:val="24"/>
                <w:lang w:val="en-US" w:eastAsia="zh-CN"/>
              </w:rPr>
              <w:t>不允许</w:t>
            </w:r>
          </w:p>
        </w:tc>
      </w:tr>
      <w:tr w14:paraId="5454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96" w:type="pct"/>
            <w:vAlign w:val="center"/>
          </w:tcPr>
          <w:p w14:paraId="5F4DEC62">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c>
          <w:tcPr>
            <w:tcW w:w="1147" w:type="pct"/>
            <w:vAlign w:val="center"/>
          </w:tcPr>
          <w:p w14:paraId="33B39B0A">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合同履行期限</w:t>
            </w:r>
          </w:p>
        </w:tc>
        <w:tc>
          <w:tcPr>
            <w:tcW w:w="2279" w:type="pct"/>
            <w:vAlign w:val="center"/>
          </w:tcPr>
          <w:p w14:paraId="406D6C6D">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1"/>
                <w:sz w:val="24"/>
                <w:szCs w:val="24"/>
              </w:rPr>
              <w:t>符合竞争性磋商文件要求；</w:t>
            </w:r>
          </w:p>
        </w:tc>
        <w:tc>
          <w:tcPr>
            <w:tcW w:w="1177" w:type="pct"/>
            <w:vAlign w:val="center"/>
          </w:tcPr>
          <w:p w14:paraId="77C03AE8">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r w14:paraId="0EBF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96" w:type="pct"/>
            <w:vAlign w:val="center"/>
          </w:tcPr>
          <w:p w14:paraId="5AD12ABF">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1147" w:type="pct"/>
            <w:vAlign w:val="center"/>
          </w:tcPr>
          <w:p w14:paraId="0B9A567B">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5"/>
                <w:sz w:val="24"/>
                <w:szCs w:val="24"/>
              </w:rPr>
              <w:t>响应有效期</w:t>
            </w:r>
          </w:p>
        </w:tc>
        <w:tc>
          <w:tcPr>
            <w:tcW w:w="2279" w:type="pct"/>
            <w:vAlign w:val="center"/>
          </w:tcPr>
          <w:p w14:paraId="1D628163">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2"/>
                <w:sz w:val="24"/>
                <w:szCs w:val="24"/>
              </w:rPr>
              <w:t>响应文件中承诺的响应有效期满足竞</w:t>
            </w:r>
            <w:r>
              <w:rPr>
                <w:color w:val="auto"/>
                <w:spacing w:val="-5"/>
                <w:sz w:val="24"/>
                <w:szCs w:val="24"/>
              </w:rPr>
              <w:t>争性磋商文件中载明的响应有效期的；</w:t>
            </w:r>
          </w:p>
        </w:tc>
        <w:tc>
          <w:tcPr>
            <w:tcW w:w="1177" w:type="pct"/>
            <w:vAlign w:val="center"/>
          </w:tcPr>
          <w:p w14:paraId="368F1430">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r w14:paraId="6F1A5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96" w:type="pct"/>
            <w:vAlign w:val="center"/>
          </w:tcPr>
          <w:p w14:paraId="2FC28A72">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1147" w:type="pct"/>
            <w:vAlign w:val="center"/>
          </w:tcPr>
          <w:p w14:paraId="7877854A">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签署、盖章</w:t>
            </w:r>
          </w:p>
        </w:tc>
        <w:tc>
          <w:tcPr>
            <w:tcW w:w="2279" w:type="pct"/>
            <w:vAlign w:val="center"/>
          </w:tcPr>
          <w:p w14:paraId="73A621DC">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1"/>
                <w:sz w:val="24"/>
                <w:szCs w:val="24"/>
              </w:rPr>
              <w:t>按照竞争性磋商文件要求签署、盖章</w:t>
            </w:r>
            <w:r>
              <w:rPr>
                <w:color w:val="auto"/>
                <w:spacing w:val="-15"/>
                <w:sz w:val="24"/>
                <w:szCs w:val="24"/>
              </w:rPr>
              <w:t>的；</w:t>
            </w:r>
          </w:p>
        </w:tc>
        <w:tc>
          <w:tcPr>
            <w:tcW w:w="1177" w:type="pct"/>
            <w:vAlign w:val="center"/>
          </w:tcPr>
          <w:p w14:paraId="62D06FEC">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r w14:paraId="33AB8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96" w:type="pct"/>
            <w:vAlign w:val="center"/>
          </w:tcPr>
          <w:p w14:paraId="34184049">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1147" w:type="pct"/>
            <w:vAlign w:val="center"/>
          </w:tcPr>
          <w:p w14:paraId="4135C99F">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4"/>
                <w:sz w:val="24"/>
                <w:szCs w:val="24"/>
              </w:rPr>
              <w:t>实质性格式</w:t>
            </w:r>
          </w:p>
        </w:tc>
        <w:tc>
          <w:tcPr>
            <w:tcW w:w="2279" w:type="pct"/>
            <w:vAlign w:val="center"/>
          </w:tcPr>
          <w:p w14:paraId="5F02F76C">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7"/>
                <w:sz w:val="24"/>
                <w:szCs w:val="24"/>
              </w:rPr>
              <w:t>标记为“实质性格式</w:t>
            </w:r>
            <w:r>
              <w:rPr>
                <w:color w:val="auto"/>
                <w:spacing w:val="-73"/>
                <w:sz w:val="24"/>
                <w:szCs w:val="24"/>
              </w:rPr>
              <w:t xml:space="preserve"> </w:t>
            </w:r>
            <w:r>
              <w:rPr>
                <w:color w:val="auto"/>
                <w:spacing w:val="-7"/>
                <w:sz w:val="24"/>
                <w:szCs w:val="24"/>
              </w:rPr>
              <w:t>”的文件均按竞争</w:t>
            </w:r>
            <w:r>
              <w:rPr>
                <w:color w:val="auto"/>
                <w:spacing w:val="-2"/>
                <w:sz w:val="24"/>
                <w:szCs w:val="24"/>
              </w:rPr>
              <w:t>性磋商文件要求提供；</w:t>
            </w:r>
          </w:p>
        </w:tc>
        <w:tc>
          <w:tcPr>
            <w:tcW w:w="1177" w:type="pct"/>
            <w:vAlign w:val="center"/>
          </w:tcPr>
          <w:p w14:paraId="35E27494">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r w14:paraId="726E5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396" w:type="pct"/>
            <w:vAlign w:val="center"/>
          </w:tcPr>
          <w:p w14:paraId="24B85F9F">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1147" w:type="pct"/>
            <w:vAlign w:val="center"/>
          </w:tcPr>
          <w:p w14:paraId="1341C894">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报价合理性</w:t>
            </w:r>
          </w:p>
        </w:tc>
        <w:tc>
          <w:tcPr>
            <w:tcW w:w="2279" w:type="pct"/>
            <w:vAlign w:val="center"/>
          </w:tcPr>
          <w:p w14:paraId="20E793D3">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4"/>
                <w:sz w:val="24"/>
                <w:szCs w:val="24"/>
              </w:rPr>
              <w:t>报价合理，供应商的报价明显低于其他</w:t>
            </w:r>
            <w:r>
              <w:rPr>
                <w:color w:val="auto"/>
                <w:spacing w:val="-5"/>
                <w:sz w:val="24"/>
                <w:szCs w:val="24"/>
              </w:rPr>
              <w:t>通过符合性审查供应商的报价，有可能影响产品质量或者不能诚信履约的，应</w:t>
            </w:r>
            <w:r>
              <w:rPr>
                <w:color w:val="auto"/>
                <w:spacing w:val="-1"/>
                <w:sz w:val="24"/>
                <w:szCs w:val="24"/>
              </w:rPr>
              <w:t>磋商小组要求在规定时间内证明其报</w:t>
            </w:r>
            <w:r>
              <w:rPr>
                <w:color w:val="auto"/>
                <w:spacing w:val="-2"/>
                <w:sz w:val="24"/>
                <w:szCs w:val="24"/>
              </w:rPr>
              <w:t>价合理性的；</w:t>
            </w:r>
          </w:p>
        </w:tc>
        <w:tc>
          <w:tcPr>
            <w:tcW w:w="1177" w:type="pct"/>
            <w:vAlign w:val="center"/>
          </w:tcPr>
          <w:p w14:paraId="32184561">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应磋商小组要求在</w:t>
            </w:r>
          </w:p>
          <w:p w14:paraId="07519BD6">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规定时间内证明其报价合理性。</w:t>
            </w:r>
          </w:p>
        </w:tc>
      </w:tr>
      <w:tr w14:paraId="712E1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396" w:type="pct"/>
            <w:vAlign w:val="center"/>
          </w:tcPr>
          <w:p w14:paraId="77D53A79">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7</w:t>
            </w:r>
          </w:p>
        </w:tc>
        <w:tc>
          <w:tcPr>
            <w:tcW w:w="1147" w:type="pct"/>
            <w:vAlign w:val="center"/>
          </w:tcPr>
          <w:p w14:paraId="3E3B1767">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5"/>
                <w:sz w:val="24"/>
                <w:szCs w:val="24"/>
              </w:rPr>
              <w:t>公平竞争</w:t>
            </w:r>
          </w:p>
        </w:tc>
        <w:tc>
          <w:tcPr>
            <w:tcW w:w="2279" w:type="pct"/>
            <w:vAlign w:val="center"/>
          </w:tcPr>
          <w:p w14:paraId="00C66E42">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5"/>
                <w:sz w:val="24"/>
                <w:szCs w:val="24"/>
              </w:rPr>
              <w:t>供应商遵循公平竞争的原则，不存在恶</w:t>
            </w:r>
            <w:r>
              <w:rPr>
                <w:color w:val="auto"/>
                <w:spacing w:val="14"/>
                <w:sz w:val="24"/>
                <w:szCs w:val="24"/>
              </w:rPr>
              <w:t xml:space="preserve"> </w:t>
            </w:r>
            <w:r>
              <w:rPr>
                <w:color w:val="auto"/>
                <w:spacing w:val="-5"/>
                <w:sz w:val="24"/>
                <w:szCs w:val="24"/>
              </w:rPr>
              <w:t>意串通，妨碍其他供应商的竞争行为，</w:t>
            </w:r>
            <w:r>
              <w:rPr>
                <w:color w:val="auto"/>
                <w:spacing w:val="-1"/>
                <w:sz w:val="24"/>
                <w:szCs w:val="24"/>
              </w:rPr>
              <w:t>不存在损害采购人或者其他供应商的</w:t>
            </w:r>
            <w:r>
              <w:rPr>
                <w:color w:val="auto"/>
                <w:spacing w:val="-2"/>
                <w:sz w:val="24"/>
                <w:szCs w:val="24"/>
              </w:rPr>
              <w:t>合法权益情形的；</w:t>
            </w:r>
          </w:p>
        </w:tc>
        <w:tc>
          <w:tcPr>
            <w:tcW w:w="1177" w:type="pct"/>
            <w:vAlign w:val="center"/>
          </w:tcPr>
          <w:p w14:paraId="371FBA03">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r w14:paraId="440C1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396" w:type="pct"/>
            <w:vAlign w:val="center"/>
          </w:tcPr>
          <w:p w14:paraId="5811C7C7">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1147" w:type="pct"/>
            <w:vAlign w:val="center"/>
          </w:tcPr>
          <w:p w14:paraId="09CC1F73">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ascii="Segoe UI Symbol" w:hAnsi="Segoe UI Symbol" w:eastAsia="Segoe UI Symbol" w:cs="Segoe UI Symbol"/>
                <w:color w:val="auto"/>
                <w:spacing w:val="14"/>
                <w:sz w:val="24"/>
                <w:szCs w:val="24"/>
              </w:rPr>
              <w:t>*</w:t>
            </w:r>
            <w:r>
              <w:rPr>
                <w:color w:val="auto"/>
                <w:spacing w:val="14"/>
                <w:sz w:val="24"/>
                <w:szCs w:val="24"/>
              </w:rPr>
              <w:t>号条款响应</w:t>
            </w:r>
          </w:p>
        </w:tc>
        <w:tc>
          <w:tcPr>
            <w:tcW w:w="2279" w:type="pct"/>
            <w:vAlign w:val="center"/>
          </w:tcPr>
          <w:p w14:paraId="1DAE6676">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2"/>
                <w:sz w:val="24"/>
                <w:szCs w:val="24"/>
              </w:rPr>
              <w:t>响应文件满足竞争性磋商文件第四章</w:t>
            </w:r>
            <w:r>
              <w:rPr>
                <w:color w:val="auto"/>
                <w:spacing w:val="5"/>
                <w:sz w:val="24"/>
                <w:szCs w:val="24"/>
              </w:rPr>
              <w:t>《采购需求》中</w:t>
            </w:r>
            <w:r>
              <w:rPr>
                <w:rFonts w:ascii="Segoe UI Symbol" w:hAnsi="Segoe UI Symbol" w:eastAsia="Segoe UI Symbol" w:cs="Segoe UI Symbol"/>
                <w:color w:val="auto"/>
                <w:spacing w:val="5"/>
                <w:sz w:val="24"/>
                <w:szCs w:val="24"/>
              </w:rPr>
              <w:t>*</w:t>
            </w:r>
            <w:r>
              <w:rPr>
                <w:color w:val="auto"/>
                <w:spacing w:val="5"/>
                <w:sz w:val="24"/>
                <w:szCs w:val="24"/>
              </w:rPr>
              <w:t>号条款要求的（如</w:t>
            </w:r>
            <w:r>
              <w:rPr>
                <w:color w:val="auto"/>
                <w:spacing w:val="7"/>
                <w:sz w:val="24"/>
                <w:szCs w:val="24"/>
              </w:rPr>
              <w:t xml:space="preserve"> </w:t>
            </w:r>
            <w:r>
              <w:rPr>
                <w:color w:val="auto"/>
                <w:spacing w:val="-11"/>
                <w:sz w:val="24"/>
                <w:szCs w:val="24"/>
              </w:rPr>
              <w:t>有</w:t>
            </w:r>
            <w:r>
              <w:rPr>
                <w:color w:val="auto"/>
                <w:sz w:val="24"/>
                <w:szCs w:val="24"/>
              </w:rPr>
              <w:t>）；</w:t>
            </w:r>
          </w:p>
        </w:tc>
        <w:tc>
          <w:tcPr>
            <w:tcW w:w="1177" w:type="pct"/>
            <w:vAlign w:val="center"/>
          </w:tcPr>
          <w:p w14:paraId="362EC404">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r w14:paraId="63DA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396" w:type="pct"/>
            <w:vAlign w:val="center"/>
          </w:tcPr>
          <w:p w14:paraId="6B2C231C">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rFonts w:hint="eastAsia" w:ascii="Times New Roman" w:hAnsi="Times New Roman" w:eastAsia="宋体" w:cs="Times New Roman"/>
                <w:color w:val="auto"/>
                <w:sz w:val="24"/>
                <w:szCs w:val="24"/>
                <w:lang w:eastAsia="zh-CN"/>
              </w:rPr>
            </w:pPr>
            <w:r>
              <w:rPr>
                <w:rFonts w:hint="eastAsia" w:eastAsia="宋体" w:cs="Times New Roman"/>
                <w:color w:val="auto"/>
                <w:spacing w:val="-15"/>
                <w:sz w:val="24"/>
                <w:szCs w:val="24"/>
                <w:lang w:val="en-US" w:eastAsia="zh-CN"/>
              </w:rPr>
              <w:t>9</w:t>
            </w:r>
          </w:p>
        </w:tc>
        <w:tc>
          <w:tcPr>
            <w:tcW w:w="1147" w:type="pct"/>
            <w:vAlign w:val="center"/>
          </w:tcPr>
          <w:p w14:paraId="545DEA8D">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color w:val="auto"/>
                <w:spacing w:val="-2"/>
                <w:sz w:val="24"/>
                <w:szCs w:val="24"/>
              </w:rPr>
              <w:t>其他无效情形</w:t>
            </w:r>
          </w:p>
        </w:tc>
        <w:tc>
          <w:tcPr>
            <w:tcW w:w="2279" w:type="pct"/>
            <w:vAlign w:val="center"/>
          </w:tcPr>
          <w:p w14:paraId="63ABDE94">
            <w:pPr>
              <w:pStyle w:val="255"/>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left"/>
              <w:textAlignment w:val="auto"/>
              <w:rPr>
                <w:color w:val="auto"/>
                <w:sz w:val="24"/>
                <w:szCs w:val="24"/>
              </w:rPr>
            </w:pPr>
            <w:r>
              <w:rPr>
                <w:color w:val="auto"/>
                <w:spacing w:val="-3"/>
                <w:sz w:val="24"/>
                <w:szCs w:val="24"/>
              </w:rPr>
              <w:t>供应商、响应文件不存在不符合法律、</w:t>
            </w:r>
            <w:r>
              <w:rPr>
                <w:color w:val="auto"/>
                <w:spacing w:val="-1"/>
                <w:sz w:val="24"/>
                <w:szCs w:val="24"/>
              </w:rPr>
              <w:t>法规和竞争性磋商文件规定的其他无</w:t>
            </w:r>
            <w:r>
              <w:rPr>
                <w:color w:val="auto"/>
                <w:spacing w:val="-3"/>
                <w:sz w:val="24"/>
                <w:szCs w:val="24"/>
              </w:rPr>
              <w:t>效情形。</w:t>
            </w:r>
          </w:p>
        </w:tc>
        <w:tc>
          <w:tcPr>
            <w:tcW w:w="1177" w:type="pct"/>
            <w:vAlign w:val="center"/>
          </w:tcPr>
          <w:p w14:paraId="0AF71E25">
            <w:pPr>
              <w:keepNext w:val="0"/>
              <w:keepLines w:val="0"/>
              <w:pageBreakBefore w:val="0"/>
              <w:widowControl w:val="0"/>
              <w:kinsoku/>
              <w:wordWrap/>
              <w:overflowPunct/>
              <w:topLinePunct w:val="0"/>
              <w:autoSpaceDE w:val="0"/>
              <w:autoSpaceDN w:val="0"/>
              <w:bidi w:val="0"/>
              <w:adjustRightInd/>
              <w:snapToGrid/>
              <w:spacing w:line="288" w:lineRule="auto"/>
              <w:ind w:left="0" w:right="0" w:firstLine="0"/>
              <w:jc w:val="center"/>
              <w:textAlignment w:val="auto"/>
              <w:rPr>
                <w:color w:val="auto"/>
                <w:sz w:val="24"/>
                <w:szCs w:val="24"/>
              </w:rPr>
            </w:pPr>
            <w:r>
              <w:rPr>
                <w:rFonts w:hint="eastAsia"/>
                <w:color w:val="auto"/>
                <w:sz w:val="24"/>
                <w:szCs w:val="24"/>
                <w:lang w:val="en-US" w:eastAsia="zh-CN"/>
              </w:rPr>
              <w:t>不允许</w:t>
            </w:r>
          </w:p>
        </w:tc>
      </w:tr>
    </w:tbl>
    <w:p w14:paraId="5092177E">
      <w:pPr>
        <w:tabs>
          <w:tab w:val="left" w:pos="900"/>
          <w:tab w:val="left" w:pos="1080"/>
          <w:tab w:val="left" w:pos="1589"/>
        </w:tabs>
        <w:snapToGrid w:val="0"/>
        <w:spacing w:after="0" w:line="360" w:lineRule="auto"/>
        <w:rPr>
          <w:color w:val="auto"/>
          <w:sz w:val="24"/>
          <w:highlight w:val="none"/>
        </w:rPr>
      </w:pPr>
    </w:p>
    <w:p w14:paraId="115DC050">
      <w:pPr>
        <w:numPr>
          <w:ilvl w:val="0"/>
          <w:numId w:val="10"/>
        </w:numPr>
        <w:tabs>
          <w:tab w:val="left" w:pos="360"/>
        </w:tabs>
        <w:snapToGrid w:val="0"/>
        <w:spacing w:after="0" w:line="360" w:lineRule="auto"/>
        <w:outlineLvl w:val="1"/>
        <w:rPr>
          <w:color w:val="auto"/>
          <w:sz w:val="24"/>
          <w:highlight w:val="none"/>
        </w:rPr>
      </w:pPr>
      <w:r>
        <w:rPr>
          <w:color w:val="auto"/>
          <w:sz w:val="24"/>
          <w:highlight w:val="none"/>
        </w:rPr>
        <w:t>磋商、响应文件有关事项的澄清、说明或者更正和最后报价</w:t>
      </w:r>
    </w:p>
    <w:p w14:paraId="3808DCAC">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433D678E">
      <w:pPr>
        <w:numPr>
          <w:ilvl w:val="1"/>
          <w:numId w:val="10"/>
        </w:numPr>
        <w:tabs>
          <w:tab w:val="left" w:pos="1080"/>
          <w:tab w:val="left" w:pos="1872"/>
        </w:tabs>
        <w:snapToGrid w:val="0"/>
        <w:spacing w:after="0" w:line="360" w:lineRule="auto"/>
        <w:ind w:left="1077" w:hanging="720"/>
        <w:rPr>
          <w:color w:val="auto"/>
          <w:sz w:val="24"/>
          <w:highlight w:val="none"/>
        </w:rPr>
      </w:pPr>
      <w:r>
        <w:rPr>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8744C2B">
      <w:pPr>
        <w:numPr>
          <w:ilvl w:val="1"/>
          <w:numId w:val="10"/>
        </w:numPr>
        <w:tabs>
          <w:tab w:val="left" w:pos="1080"/>
          <w:tab w:val="left" w:pos="1872"/>
        </w:tabs>
        <w:snapToGrid w:val="0"/>
        <w:spacing w:after="0" w:line="360" w:lineRule="auto"/>
        <w:ind w:left="1077" w:hanging="720"/>
        <w:rPr>
          <w:color w:val="auto"/>
          <w:kern w:val="0"/>
          <w:sz w:val="24"/>
          <w:highlight w:val="none"/>
        </w:rPr>
      </w:pPr>
      <w:r>
        <w:rPr>
          <w:color w:val="auto"/>
          <w:kern w:val="0"/>
          <w:sz w:val="24"/>
          <w:highlight w:val="none"/>
        </w:rPr>
        <w:t>对磋商文件作出的实质性变动是磋商文件的有效组成部分，磋商小组应当及时以书面形式同时通知所有参加磋商的供应商。</w:t>
      </w:r>
    </w:p>
    <w:p w14:paraId="21393786">
      <w:pPr>
        <w:numPr>
          <w:ilvl w:val="1"/>
          <w:numId w:val="10"/>
        </w:numPr>
        <w:tabs>
          <w:tab w:val="left" w:pos="1080"/>
          <w:tab w:val="left" w:pos="1872"/>
        </w:tabs>
        <w:snapToGrid w:val="0"/>
        <w:spacing w:after="0" w:line="360" w:lineRule="auto"/>
        <w:ind w:left="1077" w:hanging="720"/>
        <w:rPr>
          <w:color w:val="auto"/>
          <w:kern w:val="0"/>
          <w:sz w:val="24"/>
          <w:highlight w:val="none"/>
        </w:rPr>
      </w:pPr>
      <w:r>
        <w:rPr>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1DE3677">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48D5029A">
      <w:pPr>
        <w:numPr>
          <w:ilvl w:val="2"/>
          <w:numId w:val="10"/>
        </w:numPr>
        <w:snapToGrid w:val="0"/>
        <w:spacing w:after="0" w:line="360" w:lineRule="auto"/>
        <w:rPr>
          <w:color w:val="auto"/>
          <w:sz w:val="24"/>
          <w:highlight w:val="none"/>
        </w:rPr>
      </w:pPr>
      <w:r>
        <w:rPr>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5C0A3DDA">
      <w:pPr>
        <w:numPr>
          <w:ilvl w:val="2"/>
          <w:numId w:val="10"/>
        </w:numPr>
        <w:snapToGrid w:val="0"/>
        <w:spacing w:after="0" w:line="360" w:lineRule="auto"/>
        <w:rPr>
          <w:color w:val="auto"/>
          <w:sz w:val="24"/>
          <w:highlight w:val="none"/>
        </w:rPr>
      </w:pPr>
      <w:r>
        <w:rPr>
          <w:color w:val="auto"/>
          <w:sz w:val="24"/>
          <w:highlight w:val="none"/>
        </w:rPr>
        <w:t>磋商小组对响应文件进行审查，如发现供应商提交的响应文件存在不满足《符合性审查要求》的内容，如属于表中“不允许”澄清、说明或者更正的内容，则供应商响应文件按</w:t>
      </w:r>
      <w:r>
        <w:rPr>
          <w:b/>
          <w:color w:val="auto"/>
          <w:sz w:val="24"/>
          <w:highlight w:val="none"/>
        </w:rPr>
        <w:t>无效处理</w:t>
      </w:r>
      <w:r>
        <w:rPr>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color w:val="auto"/>
          <w:sz w:val="24"/>
          <w:highlight w:val="none"/>
        </w:rPr>
        <w:t>无效处理</w:t>
      </w:r>
      <w:r>
        <w:rPr>
          <w:color w:val="auto"/>
          <w:sz w:val="24"/>
          <w:highlight w:val="none"/>
        </w:rPr>
        <w:t>。</w:t>
      </w:r>
    </w:p>
    <w:p w14:paraId="1287B142">
      <w:pPr>
        <w:numPr>
          <w:ilvl w:val="2"/>
          <w:numId w:val="10"/>
        </w:numPr>
        <w:snapToGrid w:val="0"/>
        <w:spacing w:after="0" w:line="360" w:lineRule="auto"/>
        <w:rPr>
          <w:color w:val="auto"/>
          <w:sz w:val="24"/>
          <w:highlight w:val="none"/>
        </w:rPr>
      </w:pPr>
      <w:r>
        <w:rPr>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3AD329D">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磋商结束后，磋商小组将要求所有实质性响应的供应商在规定时间内提交最后报价。最后报价时间为磋商小组指定的时间，具体时间根据磋商进度另行通知。</w:t>
      </w:r>
    </w:p>
    <w:p w14:paraId="5586B121">
      <w:pPr>
        <w:numPr>
          <w:ilvl w:val="1"/>
          <w:numId w:val="10"/>
        </w:numPr>
        <w:tabs>
          <w:tab w:val="left" w:pos="1080"/>
          <w:tab w:val="left" w:pos="1872"/>
        </w:tabs>
        <w:snapToGrid w:val="0"/>
        <w:spacing w:after="0" w:line="360" w:lineRule="auto"/>
        <w:ind w:left="1077" w:hanging="720"/>
        <w:rPr>
          <w:color w:val="auto"/>
          <w:sz w:val="24"/>
          <w:highlight w:val="none"/>
        </w:rPr>
      </w:pPr>
      <w:r>
        <w:rPr>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08FE4F5">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最后报价是供应商响应文件的有效组成部分。</w:t>
      </w:r>
    </w:p>
    <w:p w14:paraId="47574E18">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已提交响应文件的供应商，在提交最后报价之前，可以根据磋商情况退出磋商。</w:t>
      </w:r>
    </w:p>
    <w:p w14:paraId="7FAEE1C3">
      <w:pPr>
        <w:pStyle w:val="41"/>
        <w:keepNext w:val="0"/>
        <w:keepLines w:val="0"/>
        <w:pageBreakBefore w:val="0"/>
        <w:widowControl w:val="0"/>
        <w:kinsoku/>
        <w:wordWrap/>
        <w:overflowPunct/>
        <w:topLinePunct w:val="0"/>
        <w:autoSpaceDE/>
        <w:autoSpaceDN/>
        <w:bidi w:val="0"/>
        <w:adjustRightInd/>
        <w:snapToGrid/>
        <w:spacing w:after="0"/>
        <w:ind w:left="1138" w:leftChars="542" w:firstLine="0" w:firstLineChars="0"/>
        <w:textAlignment w:val="auto"/>
        <w:rPr>
          <w:color w:val="auto"/>
          <w:szCs w:val="24"/>
          <w:highlight w:val="none"/>
        </w:rPr>
      </w:pPr>
      <w:r>
        <w:rPr>
          <w:rFonts w:hint="eastAsia"/>
          <w:color w:val="auto"/>
          <w:szCs w:val="24"/>
          <w:highlight w:val="none"/>
          <w:lang w:val="zh-CN"/>
        </w:rPr>
        <w:t>本次磋商实行 2 轮报价法，第 2 轮报价为最终报价。供应商递交文件的报价为第一轮报价（即首轮报价）。参加磋商的供应商后一轮报价不得高于其前一轮报价，否则磋商小组有权据此确定其为无效报价。</w:t>
      </w:r>
    </w:p>
    <w:p w14:paraId="74FAC48D">
      <w:pPr>
        <w:numPr>
          <w:ilvl w:val="0"/>
          <w:numId w:val="10"/>
        </w:numPr>
        <w:tabs>
          <w:tab w:val="left" w:pos="360"/>
        </w:tabs>
        <w:snapToGrid w:val="0"/>
        <w:spacing w:after="0" w:line="360" w:lineRule="auto"/>
        <w:outlineLvl w:val="1"/>
        <w:rPr>
          <w:color w:val="auto"/>
          <w:sz w:val="24"/>
          <w:highlight w:val="none"/>
        </w:rPr>
      </w:pPr>
      <w:r>
        <w:rPr>
          <w:color w:val="auto"/>
          <w:sz w:val="24"/>
          <w:highlight w:val="none"/>
        </w:rPr>
        <w:t>最后报价的算术修正及政策调整</w:t>
      </w:r>
    </w:p>
    <w:p w14:paraId="7CB18FA6">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最后报价须包含竞争性磋商文件全部内容，如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1C201AB3">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最后报价出现前后不一致的，按照下列规定修正：</w:t>
      </w:r>
    </w:p>
    <w:p w14:paraId="03E5CBEC">
      <w:pPr>
        <w:numPr>
          <w:ilvl w:val="2"/>
          <w:numId w:val="10"/>
        </w:numPr>
        <w:tabs>
          <w:tab w:val="left" w:pos="1080"/>
          <w:tab w:val="left" w:pos="1589"/>
          <w:tab w:val="left" w:pos="2035"/>
          <w:tab w:val="left" w:pos="2114"/>
        </w:tabs>
        <w:snapToGrid w:val="0"/>
        <w:spacing w:after="0" w:line="360" w:lineRule="auto"/>
        <w:ind w:left="2035"/>
        <w:rPr>
          <w:color w:val="auto"/>
          <w:sz w:val="24"/>
          <w:highlight w:val="none"/>
        </w:rPr>
      </w:pPr>
      <w:r>
        <w:rPr>
          <w:color w:val="auto"/>
          <w:sz w:val="24"/>
          <w:highlight w:val="none"/>
        </w:rPr>
        <w:t>竞争性磋商文件对于报价修正是否另有规定：</w:t>
      </w:r>
    </w:p>
    <w:p w14:paraId="69D85656">
      <w:pPr>
        <w:tabs>
          <w:tab w:val="left" w:pos="1080"/>
          <w:tab w:val="left" w:pos="1589"/>
          <w:tab w:val="left" w:pos="2035"/>
          <w:tab w:val="left" w:pos="2114"/>
        </w:tabs>
        <w:snapToGrid w:val="0"/>
        <w:spacing w:after="0" w:line="360" w:lineRule="auto"/>
        <w:ind w:left="2035"/>
        <w:rPr>
          <w:color w:val="auto"/>
          <w:sz w:val="24"/>
          <w:highlight w:val="none"/>
          <w:u w:val="single"/>
        </w:rPr>
      </w:pPr>
      <w:r>
        <w:rPr>
          <w:rFonts w:ascii="Wingdings 2" w:hAnsi="Wingdings 2"/>
          <w:color w:val="auto"/>
          <w:sz w:val="24"/>
          <w:highlight w:val="none"/>
        </w:rPr>
        <w:sym w:font="Wingdings 2" w:char="F0A3"/>
      </w:r>
      <w:r>
        <w:rPr>
          <w:color w:val="auto"/>
          <w:sz w:val="24"/>
          <w:highlight w:val="none"/>
        </w:rPr>
        <w:t>有，具体规定为：____</w:t>
      </w:r>
      <w:r>
        <w:rPr>
          <w:rFonts w:hint="eastAsia"/>
          <w:color w:val="auto"/>
          <w:sz w:val="24"/>
          <w:highlight w:val="none"/>
        </w:rPr>
        <w:t>/</w:t>
      </w:r>
      <w:r>
        <w:rPr>
          <w:color w:val="auto"/>
          <w:sz w:val="24"/>
          <w:highlight w:val="none"/>
        </w:rPr>
        <w:t>_______</w:t>
      </w:r>
    </w:p>
    <w:p w14:paraId="5E029B9D">
      <w:pPr>
        <w:tabs>
          <w:tab w:val="left" w:pos="1080"/>
          <w:tab w:val="left" w:pos="1589"/>
          <w:tab w:val="left" w:pos="2035"/>
          <w:tab w:val="left" w:pos="2114"/>
        </w:tabs>
        <w:snapToGrid w:val="0"/>
        <w:spacing w:after="0" w:line="360" w:lineRule="auto"/>
        <w:ind w:left="2035"/>
        <w:rPr>
          <w:color w:val="auto"/>
          <w:sz w:val="24"/>
          <w:highlight w:val="none"/>
        </w:rPr>
      </w:pPr>
      <w:r>
        <w:rPr>
          <w:rFonts w:hint="eastAsia" w:ascii="宋体" w:hAnsi="宋体"/>
          <w:color w:val="auto"/>
          <w:highlight w:val="none"/>
        </w:rPr>
        <w:t>▇</w:t>
      </w:r>
      <w:r>
        <w:rPr>
          <w:color w:val="auto"/>
          <w:sz w:val="24"/>
          <w:highlight w:val="none"/>
        </w:rPr>
        <w:t>无，按下述3.2.2-3.2.5项规定修正。</w:t>
      </w:r>
    </w:p>
    <w:p w14:paraId="553DE7BB">
      <w:pPr>
        <w:numPr>
          <w:ilvl w:val="2"/>
          <w:numId w:val="10"/>
        </w:numPr>
        <w:tabs>
          <w:tab w:val="left" w:pos="2035"/>
          <w:tab w:val="left" w:pos="2114"/>
          <w:tab w:val="left" w:pos="2977"/>
        </w:tabs>
        <w:snapToGrid w:val="0"/>
        <w:spacing w:after="0" w:line="360" w:lineRule="auto"/>
        <w:ind w:left="2035"/>
        <w:rPr>
          <w:color w:val="auto"/>
          <w:sz w:val="24"/>
          <w:highlight w:val="none"/>
        </w:rPr>
      </w:pPr>
      <w:r>
        <w:rPr>
          <w:color w:val="auto"/>
          <w:sz w:val="24"/>
          <w:highlight w:val="none"/>
        </w:rPr>
        <w:t>大写金额和小写金额不一致的，以大写金额为准；</w:t>
      </w:r>
    </w:p>
    <w:p w14:paraId="2DB21FBA">
      <w:pPr>
        <w:numPr>
          <w:ilvl w:val="2"/>
          <w:numId w:val="10"/>
        </w:numPr>
        <w:tabs>
          <w:tab w:val="left" w:pos="2035"/>
          <w:tab w:val="left" w:pos="2114"/>
          <w:tab w:val="left" w:pos="2977"/>
        </w:tabs>
        <w:snapToGrid w:val="0"/>
        <w:spacing w:after="0" w:line="360" w:lineRule="auto"/>
        <w:ind w:left="2035"/>
        <w:rPr>
          <w:color w:val="auto"/>
          <w:sz w:val="24"/>
          <w:highlight w:val="none"/>
        </w:rPr>
      </w:pPr>
      <w:r>
        <w:rPr>
          <w:color w:val="auto"/>
          <w:sz w:val="24"/>
          <w:highlight w:val="none"/>
        </w:rPr>
        <w:t>单价金额小数点或者百分比有明显错位的，以最后报价一览表的总价为准，并修改单价；</w:t>
      </w:r>
    </w:p>
    <w:p w14:paraId="31F56E1D">
      <w:pPr>
        <w:numPr>
          <w:ilvl w:val="2"/>
          <w:numId w:val="10"/>
        </w:numPr>
        <w:tabs>
          <w:tab w:val="left" w:pos="2035"/>
          <w:tab w:val="left" w:pos="2114"/>
          <w:tab w:val="left" w:pos="2977"/>
        </w:tabs>
        <w:snapToGrid w:val="0"/>
        <w:spacing w:after="0" w:line="360" w:lineRule="auto"/>
        <w:ind w:left="2035"/>
        <w:rPr>
          <w:color w:val="auto"/>
          <w:sz w:val="24"/>
          <w:highlight w:val="none"/>
        </w:rPr>
      </w:pPr>
      <w:r>
        <w:rPr>
          <w:color w:val="auto"/>
          <w:sz w:val="24"/>
          <w:highlight w:val="none"/>
        </w:rPr>
        <w:t>总价金额与按单价汇总金额不一致的，以单价金额计算结果为准。</w:t>
      </w:r>
    </w:p>
    <w:p w14:paraId="768C4CE4">
      <w:pPr>
        <w:numPr>
          <w:ilvl w:val="2"/>
          <w:numId w:val="10"/>
        </w:numPr>
        <w:tabs>
          <w:tab w:val="left" w:pos="1080"/>
          <w:tab w:val="left" w:pos="1589"/>
          <w:tab w:val="left" w:pos="2035"/>
          <w:tab w:val="left" w:pos="2114"/>
        </w:tabs>
        <w:snapToGrid w:val="0"/>
        <w:spacing w:after="0" w:line="360" w:lineRule="auto"/>
        <w:ind w:left="2035"/>
        <w:rPr>
          <w:color w:val="auto"/>
          <w:sz w:val="24"/>
          <w:highlight w:val="none"/>
        </w:rPr>
      </w:pPr>
      <w:r>
        <w:rPr>
          <w:color w:val="auto"/>
          <w:sz w:val="24"/>
          <w:highlight w:val="none"/>
        </w:rPr>
        <w:t>同时出现两种以上不一致的，按照前款规定的顺序修正。</w:t>
      </w:r>
    </w:p>
    <w:p w14:paraId="0906AADC">
      <w:pPr>
        <w:numPr>
          <w:ilvl w:val="2"/>
          <w:numId w:val="10"/>
        </w:numPr>
        <w:tabs>
          <w:tab w:val="left" w:pos="1080"/>
          <w:tab w:val="left" w:pos="1589"/>
          <w:tab w:val="left" w:pos="2035"/>
          <w:tab w:val="left" w:pos="2114"/>
        </w:tabs>
        <w:snapToGrid w:val="0"/>
        <w:spacing w:after="0" w:line="360" w:lineRule="auto"/>
        <w:ind w:left="2035"/>
        <w:rPr>
          <w:color w:val="auto"/>
          <w:sz w:val="24"/>
          <w:highlight w:val="none"/>
        </w:rPr>
      </w:pPr>
      <w:r>
        <w:rPr>
          <w:color w:val="auto"/>
          <w:sz w:val="24"/>
          <w:highlight w:val="none"/>
        </w:rPr>
        <w:t>修正后的报价经供应商书面确认后产生约束力，供应商不确认的，</w:t>
      </w:r>
      <w:r>
        <w:rPr>
          <w:b/>
          <w:color w:val="auto"/>
          <w:sz w:val="24"/>
          <w:highlight w:val="none"/>
        </w:rPr>
        <w:t>其响应无效</w:t>
      </w:r>
      <w:r>
        <w:rPr>
          <w:color w:val="auto"/>
          <w:sz w:val="24"/>
          <w:highlight w:val="none"/>
        </w:rPr>
        <w:t>。</w:t>
      </w:r>
    </w:p>
    <w:p w14:paraId="05416062">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2537B487">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w:t>
      </w:r>
      <w:r>
        <w:rPr>
          <w:color w:val="auto"/>
          <w:sz w:val="24"/>
          <w:highlight w:val="none"/>
          <w:u w:val="single"/>
        </w:rPr>
        <w:t>%</w:t>
      </w:r>
      <w:r>
        <w:rPr>
          <w:color w:val="auto"/>
          <w:sz w:val="24"/>
          <w:highlight w:val="none"/>
        </w:rPr>
        <w:t>的扣除，用扣除后的价格参加评审。</w:t>
      </w:r>
    </w:p>
    <w:p w14:paraId="5D5ABE66">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color w:val="auto"/>
          <w:sz w:val="24"/>
          <w:highlight w:val="none"/>
        </w:rPr>
        <w:t>%的扣除，用扣除后的价格参加评审。</w:t>
      </w:r>
    </w:p>
    <w:p w14:paraId="7C8723D9">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5168E6B4">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价格扣除比例对小型企业和微型企业同等对待，不作区分。</w:t>
      </w:r>
    </w:p>
    <w:p w14:paraId="6BBEBE3F">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4063657F">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监狱企业提供了由省级以上监狱管理局（北京市含教育矫治局）、戒毒管理局（含新疆生产建设兵团）出具的属于监狱企业的证明文件的，视同小微企业。</w:t>
      </w:r>
    </w:p>
    <w:p w14:paraId="67C96C8C">
      <w:pPr>
        <w:numPr>
          <w:ilvl w:val="2"/>
          <w:numId w:val="10"/>
        </w:numPr>
        <w:tabs>
          <w:tab w:val="left" w:pos="1080"/>
          <w:tab w:val="left" w:pos="1589"/>
          <w:tab w:val="left" w:pos="2035"/>
        </w:tabs>
        <w:snapToGrid w:val="0"/>
        <w:spacing w:after="0"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5985D9D9">
      <w:pPr>
        <w:numPr>
          <w:ilvl w:val="2"/>
          <w:numId w:val="10"/>
        </w:numPr>
        <w:tabs>
          <w:tab w:val="left" w:pos="1080"/>
          <w:tab w:val="left" w:pos="1589"/>
          <w:tab w:val="left" w:pos="2014"/>
        </w:tabs>
        <w:snapToGrid w:val="0"/>
        <w:spacing w:after="0"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1B8AF475">
      <w:pPr>
        <w:numPr>
          <w:ilvl w:val="2"/>
          <w:numId w:val="10"/>
        </w:numPr>
        <w:tabs>
          <w:tab w:val="left" w:pos="1080"/>
          <w:tab w:val="left" w:pos="1589"/>
          <w:tab w:val="left" w:pos="2014"/>
        </w:tabs>
        <w:snapToGrid w:val="0"/>
        <w:spacing w:after="0"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775310A3">
      <w:pPr>
        <w:numPr>
          <w:ilvl w:val="0"/>
          <w:numId w:val="10"/>
        </w:numPr>
        <w:tabs>
          <w:tab w:val="left" w:pos="360"/>
        </w:tabs>
        <w:snapToGrid w:val="0"/>
        <w:spacing w:after="0" w:line="360" w:lineRule="auto"/>
        <w:outlineLvl w:val="1"/>
        <w:rPr>
          <w:color w:val="auto"/>
          <w:sz w:val="24"/>
          <w:highlight w:val="none"/>
        </w:rPr>
      </w:pPr>
      <w:r>
        <w:rPr>
          <w:color w:val="auto"/>
          <w:sz w:val="24"/>
          <w:highlight w:val="none"/>
        </w:rPr>
        <w:t>磋商环节及提交最后报价后如出现以下情况的，供应商的</w:t>
      </w:r>
      <w:r>
        <w:rPr>
          <w:b/>
          <w:color w:val="auto"/>
          <w:sz w:val="24"/>
          <w:highlight w:val="none"/>
        </w:rPr>
        <w:t>响应文件无效</w:t>
      </w:r>
      <w:r>
        <w:rPr>
          <w:color w:val="auto"/>
          <w:sz w:val="24"/>
          <w:highlight w:val="none"/>
        </w:rPr>
        <w:t>：</w:t>
      </w:r>
    </w:p>
    <w:p w14:paraId="0751FED3">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供应商对实质性变动不予确认的；</w:t>
      </w:r>
    </w:p>
    <w:p w14:paraId="65CF4467">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0CFB56F4">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未按照磋商小组规定的时间、逾期提交最后报价的；</w:t>
      </w:r>
    </w:p>
    <w:p w14:paraId="6DC4B266">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如供应商的最后报价超过竞争性磋商文件中规定的项目/采购包预算金额或者项目/采购包最高限价的；</w:t>
      </w:r>
    </w:p>
    <w:p w14:paraId="0714126D">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响应文件中出现可选择性或可调整的报价的（竞争性磋商文件另有规定的除外）；</w:t>
      </w:r>
    </w:p>
    <w:p w14:paraId="4133F90D">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最后报价出现前后不一致，供应商对修正后的报价不予确认的；</w:t>
      </w:r>
    </w:p>
    <w:p w14:paraId="63B3451E">
      <w:pPr>
        <w:numPr>
          <w:ilvl w:val="1"/>
          <w:numId w:val="10"/>
        </w:numPr>
        <w:tabs>
          <w:tab w:val="left" w:pos="1080"/>
        </w:tabs>
        <w:snapToGrid w:val="0"/>
        <w:spacing w:after="0" w:line="360" w:lineRule="auto"/>
        <w:ind w:left="1077" w:hanging="720"/>
        <w:rPr>
          <w:color w:val="auto"/>
          <w:sz w:val="24"/>
          <w:highlight w:val="none"/>
        </w:rPr>
      </w:pPr>
      <w:r>
        <w:rPr>
          <w:color w:val="auto"/>
          <w:sz w:val="24"/>
          <w:highlight w:val="none"/>
        </w:rPr>
        <w:t>其他：__</w:t>
      </w:r>
      <w:r>
        <w:rPr>
          <w:rFonts w:hint="eastAsia"/>
          <w:color w:val="auto"/>
          <w:sz w:val="24"/>
          <w:highlight w:val="none"/>
        </w:rPr>
        <w:t>/</w:t>
      </w:r>
      <w:r>
        <w:rPr>
          <w:color w:val="auto"/>
          <w:sz w:val="24"/>
          <w:highlight w:val="none"/>
        </w:rPr>
        <w:t>____。</w:t>
      </w:r>
    </w:p>
    <w:bookmarkEnd w:id="599"/>
    <w:bookmarkEnd w:id="600"/>
    <w:p w14:paraId="271D89D2">
      <w:pPr>
        <w:numPr>
          <w:ilvl w:val="0"/>
          <w:numId w:val="10"/>
        </w:numPr>
        <w:tabs>
          <w:tab w:val="left" w:pos="360"/>
        </w:tabs>
        <w:snapToGrid w:val="0"/>
        <w:spacing w:after="0" w:line="360" w:lineRule="auto"/>
        <w:outlineLvl w:val="1"/>
        <w:rPr>
          <w:color w:val="auto"/>
          <w:sz w:val="24"/>
          <w:highlight w:val="none"/>
        </w:rPr>
      </w:pPr>
      <w:r>
        <w:rPr>
          <w:color w:val="auto"/>
          <w:sz w:val="24"/>
          <w:highlight w:val="none"/>
        </w:rPr>
        <w:t>评审方法和评审标准</w:t>
      </w:r>
    </w:p>
    <w:p w14:paraId="42DE3716">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929470F">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竞争性磋商文件中没有规定的评审标准不得作为评审依据。</w:t>
      </w:r>
    </w:p>
    <w:p w14:paraId="3EC0121B">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1F952802">
      <w:pPr>
        <w:numPr>
          <w:ilvl w:val="0"/>
          <w:numId w:val="10"/>
        </w:numPr>
        <w:tabs>
          <w:tab w:val="left" w:pos="360"/>
        </w:tabs>
        <w:snapToGrid w:val="0"/>
        <w:spacing w:after="0" w:line="360" w:lineRule="auto"/>
        <w:outlineLvl w:val="1"/>
        <w:rPr>
          <w:color w:val="auto"/>
          <w:sz w:val="24"/>
          <w:highlight w:val="none"/>
        </w:rPr>
      </w:pPr>
      <w:r>
        <w:rPr>
          <w:color w:val="auto"/>
          <w:sz w:val="24"/>
          <w:highlight w:val="none"/>
        </w:rPr>
        <w:t>确定</w:t>
      </w:r>
      <w:bookmarkStart w:id="618" w:name="_Toc151193644"/>
      <w:bookmarkStart w:id="619" w:name="_Toc150774751"/>
      <w:bookmarkStart w:id="620" w:name="_Toc151193934"/>
      <w:bookmarkStart w:id="621" w:name="_Toc164229241"/>
      <w:bookmarkStart w:id="622" w:name="_Toc150774646"/>
      <w:bookmarkStart w:id="623" w:name="_Toc151193860"/>
      <w:bookmarkStart w:id="624" w:name="_Toc226965736"/>
      <w:bookmarkStart w:id="625" w:name="_Toc127151747"/>
      <w:bookmarkStart w:id="626" w:name="_Toc151190173"/>
      <w:bookmarkStart w:id="627" w:name="_Toc164608660"/>
      <w:bookmarkStart w:id="628" w:name="_Toc151193716"/>
      <w:bookmarkStart w:id="629" w:name="_Toc164608815"/>
      <w:bookmarkStart w:id="630" w:name="_Toc520356170"/>
      <w:bookmarkStart w:id="631" w:name="_Toc151193788"/>
      <w:bookmarkStart w:id="632" w:name="_Toc127151546"/>
      <w:bookmarkStart w:id="633" w:name="_Toc164229387"/>
      <w:bookmarkStart w:id="634" w:name="_Toc149720839"/>
      <w:bookmarkStart w:id="635" w:name="_Toc226337242"/>
      <w:bookmarkStart w:id="636" w:name="_Toc150509297"/>
      <w:bookmarkStart w:id="637" w:name="_Toc305158888"/>
      <w:bookmarkStart w:id="638" w:name="_Toc265228384"/>
      <w:bookmarkStart w:id="639" w:name="_Toc164351640"/>
      <w:bookmarkStart w:id="640" w:name="_Ref467307010"/>
      <w:bookmarkStart w:id="641" w:name="_Toc195842911"/>
      <w:bookmarkStart w:id="642" w:name="_Toc150480784"/>
      <w:bookmarkStart w:id="643" w:name="_Toc305158814"/>
      <w:bookmarkStart w:id="644" w:name="_Toc226965819"/>
      <w:bookmarkStart w:id="645" w:name="_Toc142311048"/>
      <w:bookmarkStart w:id="646" w:name="_Toc127161460"/>
      <w:bookmarkStart w:id="647" w:name="_Toc264969236"/>
      <w:bookmarkStart w:id="648" w:name="_Toc226309790"/>
      <w:r>
        <w:rPr>
          <w:color w:val="auto"/>
          <w:sz w:val="24"/>
          <w:highlight w:val="none"/>
        </w:rPr>
        <w:t>成交候选人名单</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5319A62A">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A8E352E">
      <w:pPr>
        <w:numPr>
          <w:ilvl w:val="1"/>
          <w:numId w:val="10"/>
        </w:numPr>
        <w:tabs>
          <w:tab w:val="left" w:pos="1080"/>
          <w:tab w:val="left" w:pos="1872"/>
        </w:tabs>
        <w:snapToGrid w:val="0"/>
        <w:spacing w:after="0" w:line="360" w:lineRule="auto"/>
        <w:ind w:left="1077" w:hanging="720"/>
        <w:rPr>
          <w:color w:val="auto"/>
          <w:sz w:val="24"/>
          <w:highlight w:val="none"/>
        </w:rPr>
      </w:pPr>
      <w:r>
        <w:rPr>
          <w:color w:val="auto"/>
          <w:kern w:val="0"/>
          <w:sz w:val="24"/>
          <w:szCs w:val="20"/>
          <w:highlight w:val="none"/>
        </w:rPr>
        <w:t>磋商小组根据上述供应商排序，依次推荐排序前</w:t>
      </w:r>
      <w:r>
        <w:rPr>
          <w:color w:val="auto"/>
          <w:sz w:val="24"/>
          <w:highlight w:val="none"/>
        </w:rPr>
        <w:t>___</w:t>
      </w:r>
      <w:r>
        <w:rPr>
          <w:rFonts w:hint="eastAsia"/>
          <w:color w:val="auto"/>
          <w:sz w:val="24"/>
          <w:highlight w:val="none"/>
          <w:u w:val="single"/>
        </w:rPr>
        <w:t>3</w:t>
      </w:r>
      <w:r>
        <w:rPr>
          <w:color w:val="auto"/>
          <w:sz w:val="24"/>
          <w:highlight w:val="none"/>
        </w:rPr>
        <w:t>___名</w:t>
      </w:r>
      <w:r>
        <w:rPr>
          <w:color w:val="auto"/>
          <w:kern w:val="0"/>
          <w:sz w:val="24"/>
          <w:szCs w:val="20"/>
          <w:highlight w:val="none"/>
        </w:rPr>
        <w:t>的供应商为</w:t>
      </w:r>
      <w:r>
        <w:rPr>
          <w:snapToGrid w:val="0"/>
          <w:color w:val="auto"/>
          <w:kern w:val="0"/>
          <w:sz w:val="24"/>
          <w:szCs w:val="21"/>
          <w:highlight w:val="none"/>
        </w:rPr>
        <w:t>成交候选供应商</w:t>
      </w:r>
      <w:r>
        <w:rPr>
          <w:color w:val="auto"/>
          <w:kern w:val="0"/>
          <w:sz w:val="24"/>
          <w:szCs w:val="20"/>
          <w:highlight w:val="none"/>
        </w:rPr>
        <w:t>（若在磋商文件允许的情形下提交最后报价的供应商为二家，则依次推荐二名供应商为成交候选供应商），并编写评审报告。</w:t>
      </w:r>
    </w:p>
    <w:p w14:paraId="1DF5E71F">
      <w:pPr>
        <w:numPr>
          <w:ilvl w:val="1"/>
          <w:numId w:val="10"/>
        </w:numPr>
        <w:tabs>
          <w:tab w:val="left" w:pos="1080"/>
          <w:tab w:val="left" w:pos="1872"/>
        </w:tabs>
        <w:snapToGrid w:val="0"/>
        <w:spacing w:after="0" w:line="360" w:lineRule="auto"/>
        <w:ind w:left="1077"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1393BD02">
      <w:pPr>
        <w:numPr>
          <w:ilvl w:val="0"/>
          <w:numId w:val="10"/>
        </w:numPr>
        <w:tabs>
          <w:tab w:val="left" w:pos="360"/>
        </w:tabs>
        <w:snapToGrid w:val="0"/>
        <w:spacing w:after="0" w:line="360" w:lineRule="auto"/>
        <w:outlineLvl w:val="1"/>
        <w:rPr>
          <w:color w:val="auto"/>
          <w:sz w:val="24"/>
          <w:highlight w:val="none"/>
        </w:rPr>
      </w:pPr>
      <w:r>
        <w:rPr>
          <w:color w:val="auto"/>
          <w:sz w:val="24"/>
          <w:highlight w:val="none"/>
        </w:rPr>
        <w:t>报告违法行为</w:t>
      </w:r>
    </w:p>
    <w:p w14:paraId="2A3B4C74">
      <w:pPr>
        <w:widowControl/>
        <w:numPr>
          <w:ilvl w:val="1"/>
          <w:numId w:val="10"/>
        </w:numPr>
        <w:tabs>
          <w:tab w:val="left" w:pos="1080"/>
          <w:tab w:val="left" w:pos="1872"/>
        </w:tabs>
        <w:snapToGrid w:val="0"/>
        <w:spacing w:after="0" w:line="360" w:lineRule="auto"/>
        <w:ind w:left="1077" w:hanging="720"/>
        <w:jc w:val="left"/>
        <w:rPr>
          <w:b/>
          <w:color w:val="auto"/>
          <w:sz w:val="24"/>
          <w:highlight w:val="none"/>
        </w:rPr>
      </w:pPr>
      <w:r>
        <w:rPr>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b/>
          <w:color w:val="auto"/>
          <w:sz w:val="24"/>
          <w:highlight w:val="none"/>
        </w:rPr>
        <w:br w:type="page"/>
      </w:r>
    </w:p>
    <w:p w14:paraId="64C9E0D9">
      <w:pPr>
        <w:pStyle w:val="4"/>
        <w:spacing w:before="0" w:after="0" w:line="360" w:lineRule="auto"/>
        <w:rPr>
          <w:color w:val="auto"/>
          <w:sz w:val="24"/>
          <w:highlight w:val="none"/>
        </w:rPr>
      </w:pPr>
      <w:r>
        <w:rPr>
          <w:rFonts w:ascii="Times New Roman" w:hAnsi="Times New Roman" w:eastAsia="宋体"/>
          <w:color w:val="auto"/>
          <w:sz w:val="24"/>
          <w:szCs w:val="24"/>
          <w:highlight w:val="none"/>
        </w:rPr>
        <w:t>二、评</w:t>
      </w:r>
      <w:r>
        <w:rPr>
          <w:rFonts w:hint="eastAsia" w:ascii="Times New Roman" w:hAnsi="Times New Roman" w:eastAsia="宋体"/>
          <w:color w:val="auto"/>
          <w:sz w:val="24"/>
          <w:szCs w:val="24"/>
          <w:highlight w:val="none"/>
        </w:rPr>
        <w:t>审</w:t>
      </w:r>
      <w:r>
        <w:rPr>
          <w:rFonts w:ascii="Times New Roman" w:hAnsi="Times New Roman" w:eastAsia="宋体"/>
          <w:color w:val="auto"/>
          <w:sz w:val="24"/>
          <w:szCs w:val="24"/>
          <w:highlight w:val="none"/>
        </w:rPr>
        <w:t>标准</w:t>
      </w:r>
    </w:p>
    <w:tbl>
      <w:tblPr>
        <w:tblStyle w:val="42"/>
        <w:tblpPr w:leftFromText="180" w:rightFromText="180" w:vertAnchor="text" w:horzAnchor="page" w:tblpX="1360" w:tblpY="47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485"/>
        <w:gridCol w:w="898"/>
        <w:gridCol w:w="599"/>
        <w:gridCol w:w="5306"/>
        <w:gridCol w:w="1508"/>
      </w:tblGrid>
      <w:tr w14:paraId="35BE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61" w:type="pct"/>
            <w:noWrap w:val="0"/>
            <w:vAlign w:val="center"/>
          </w:tcPr>
          <w:p w14:paraId="1CFE6F25">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61" w:type="pct"/>
            <w:noWrap w:val="0"/>
            <w:vAlign w:val="center"/>
          </w:tcPr>
          <w:p w14:paraId="165C103A">
            <w:pPr>
              <w:ind w:firstLine="28"/>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评分项</w:t>
            </w:r>
          </w:p>
        </w:tc>
        <w:tc>
          <w:tcPr>
            <w:tcW w:w="483" w:type="pct"/>
            <w:noWrap w:val="0"/>
            <w:vAlign w:val="center"/>
          </w:tcPr>
          <w:p w14:paraId="49259888">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评分因素</w:t>
            </w:r>
          </w:p>
        </w:tc>
        <w:tc>
          <w:tcPr>
            <w:tcW w:w="323" w:type="pct"/>
            <w:noWrap w:val="0"/>
            <w:vAlign w:val="center"/>
          </w:tcPr>
          <w:p w14:paraId="2EBDF088">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2857" w:type="pct"/>
            <w:noWrap w:val="0"/>
            <w:vAlign w:val="center"/>
          </w:tcPr>
          <w:p w14:paraId="30B9AFE4">
            <w:pPr>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812" w:type="pct"/>
            <w:noWrap w:val="0"/>
            <w:vAlign w:val="center"/>
          </w:tcPr>
          <w:p w14:paraId="15DFB23D">
            <w:pPr>
              <w:ind w:firstLine="28"/>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说明</w:t>
            </w:r>
          </w:p>
        </w:tc>
      </w:tr>
      <w:tr w14:paraId="59E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61" w:type="pct"/>
            <w:noWrap w:val="0"/>
            <w:vAlign w:val="center"/>
          </w:tcPr>
          <w:p w14:paraId="5FF240CE">
            <w:pPr>
              <w:ind w:firstLine="28"/>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w:t>
            </w:r>
          </w:p>
        </w:tc>
        <w:tc>
          <w:tcPr>
            <w:tcW w:w="261" w:type="pct"/>
            <w:vMerge w:val="restart"/>
            <w:noWrap w:val="0"/>
            <w:vAlign w:val="center"/>
          </w:tcPr>
          <w:p w14:paraId="77E3BDC1">
            <w:pPr>
              <w:ind w:firstLine="28"/>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商务部分</w:t>
            </w:r>
          </w:p>
        </w:tc>
        <w:tc>
          <w:tcPr>
            <w:tcW w:w="483" w:type="pct"/>
            <w:noWrap w:val="0"/>
            <w:vAlign w:val="center"/>
          </w:tcPr>
          <w:p w14:paraId="7D7C815A">
            <w:pPr>
              <w:snapToGrid w:val="0"/>
              <w:ind w:firstLine="28"/>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项目管理机构</w:t>
            </w:r>
          </w:p>
        </w:tc>
        <w:tc>
          <w:tcPr>
            <w:tcW w:w="323" w:type="pct"/>
            <w:noWrap w:val="0"/>
            <w:vAlign w:val="center"/>
          </w:tcPr>
          <w:p w14:paraId="21B71492">
            <w:pPr>
              <w:snapToGrid w:val="0"/>
              <w:ind w:firstLine="28" w:firstLineChars="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13</w:t>
            </w:r>
          </w:p>
        </w:tc>
        <w:tc>
          <w:tcPr>
            <w:tcW w:w="2857" w:type="pct"/>
            <w:noWrap w:val="0"/>
            <w:vAlign w:val="center"/>
          </w:tcPr>
          <w:p w14:paraId="35965E2E">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供应商针对本项目应提供健全的项目管理机构。</w:t>
            </w:r>
          </w:p>
          <w:p w14:paraId="297BCA37">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组织机构健全，人员配置充足，专业结构合理，得13分；</w:t>
            </w:r>
          </w:p>
          <w:p w14:paraId="71CF2675">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组织机构较健全，人员配置较充足，人员专业结构较合理，得</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分；</w:t>
            </w:r>
          </w:p>
          <w:p w14:paraId="7D9AAE43">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组织机构基本健全，人员配置基本充足，人员专业结构基本合理，得6分；</w:t>
            </w:r>
          </w:p>
          <w:p w14:paraId="559DBFA9">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组织机构不健全，人员配置不充足，人员专业结构不合理，得2分；</w:t>
            </w:r>
          </w:p>
          <w:p w14:paraId="0CC7794C">
            <w:pPr>
              <w:snapToGrid w:val="0"/>
              <w:ind w:firstLine="28" w:firstLineChars="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未提供本项，得0分。</w:t>
            </w:r>
          </w:p>
        </w:tc>
        <w:tc>
          <w:tcPr>
            <w:tcW w:w="812" w:type="pct"/>
            <w:noWrap w:val="0"/>
            <w:vAlign w:val="center"/>
          </w:tcPr>
          <w:p w14:paraId="3DB15F3F">
            <w:pPr>
              <w:ind w:firstLine="28"/>
              <w:jc w:val="center"/>
              <w:rPr>
                <w:rFonts w:hint="eastAsia" w:ascii="宋体" w:hAnsi="宋体" w:eastAsia="宋体" w:cs="宋体"/>
                <w:b/>
                <w:color w:val="auto"/>
                <w:sz w:val="24"/>
                <w:highlight w:val="none"/>
                <w:lang w:val="en-US" w:eastAsia="zh-CN"/>
              </w:rPr>
            </w:pPr>
          </w:p>
        </w:tc>
      </w:tr>
      <w:tr w14:paraId="16DA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61" w:type="pct"/>
            <w:noWrap w:val="0"/>
            <w:vAlign w:val="center"/>
          </w:tcPr>
          <w:p w14:paraId="64F9E5B2">
            <w:pPr>
              <w:ind w:firstLine="28"/>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2</w:t>
            </w:r>
          </w:p>
        </w:tc>
        <w:tc>
          <w:tcPr>
            <w:tcW w:w="261" w:type="pct"/>
            <w:vMerge w:val="continue"/>
            <w:noWrap w:val="0"/>
            <w:vAlign w:val="center"/>
          </w:tcPr>
          <w:p w14:paraId="6F8DB951">
            <w:pPr>
              <w:ind w:firstLine="28"/>
              <w:jc w:val="center"/>
              <w:rPr>
                <w:rFonts w:hint="eastAsia" w:ascii="宋体" w:hAnsi="宋体" w:eastAsia="宋体" w:cs="宋体"/>
                <w:b/>
                <w:color w:val="auto"/>
                <w:sz w:val="24"/>
                <w:highlight w:val="none"/>
                <w:lang w:val="en-US" w:eastAsia="zh-CN"/>
              </w:rPr>
            </w:pPr>
          </w:p>
        </w:tc>
        <w:tc>
          <w:tcPr>
            <w:tcW w:w="483" w:type="pct"/>
            <w:noWrap w:val="0"/>
            <w:vAlign w:val="center"/>
          </w:tcPr>
          <w:p w14:paraId="52932E80">
            <w:pPr>
              <w:snapToGrid w:val="0"/>
              <w:ind w:firstLine="28" w:firstLineChars="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供应商类似业绩</w:t>
            </w:r>
          </w:p>
        </w:tc>
        <w:tc>
          <w:tcPr>
            <w:tcW w:w="323" w:type="pct"/>
            <w:noWrap w:val="0"/>
            <w:vAlign w:val="center"/>
          </w:tcPr>
          <w:p w14:paraId="1900C9E7">
            <w:pPr>
              <w:snapToGrid w:val="0"/>
              <w:ind w:firstLine="28" w:firstLineChars="0"/>
              <w:jc w:val="center"/>
              <w:rPr>
                <w:rFonts w:hint="default" w:ascii="宋体" w:hAnsi="宋体" w:eastAsia="宋体" w:cs="宋体"/>
                <w:b/>
                <w:color w:val="auto"/>
                <w:sz w:val="24"/>
                <w:highlight w:val="none"/>
                <w:lang w:val="en-US"/>
              </w:rPr>
            </w:pPr>
            <w:r>
              <w:rPr>
                <w:rFonts w:hint="eastAsia" w:ascii="宋体" w:hAnsi="宋体" w:cs="宋体"/>
                <w:color w:val="auto"/>
                <w:sz w:val="24"/>
                <w:highlight w:val="none"/>
                <w:lang w:val="en-US" w:eastAsia="zh-CN"/>
              </w:rPr>
              <w:t>12</w:t>
            </w:r>
          </w:p>
        </w:tc>
        <w:tc>
          <w:tcPr>
            <w:tcW w:w="2857" w:type="pct"/>
            <w:noWrap w:val="0"/>
            <w:vAlign w:val="center"/>
          </w:tcPr>
          <w:p w14:paraId="7EB8EEE5">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近三年（2022年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1日</w:t>
            </w:r>
            <w:r>
              <w:rPr>
                <w:rFonts w:hint="eastAsia" w:ascii="宋体" w:hAnsi="宋体" w:eastAsia="宋体" w:cs="宋体"/>
                <w:color w:val="auto"/>
                <w:sz w:val="24"/>
                <w:highlight w:val="none"/>
                <w:lang w:val="en-US" w:eastAsia="zh-CN"/>
              </w:rPr>
              <w:t>至2025年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lang w:val="en-US" w:eastAsia="zh-CN"/>
              </w:rPr>
              <w:t>）具有一项类似项目业绩得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分，每增加1项得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分，最高得</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分。（有效业绩需提供加盖公章的合同及</w:t>
            </w:r>
            <w:r>
              <w:rPr>
                <w:rFonts w:hint="eastAsia" w:ascii="宋体" w:hAnsi="宋体" w:cs="宋体"/>
                <w:color w:val="auto"/>
                <w:sz w:val="24"/>
                <w:highlight w:val="none"/>
                <w:lang w:val="en-US" w:eastAsia="zh-CN"/>
              </w:rPr>
              <w:t>竣工</w:t>
            </w:r>
            <w:r>
              <w:rPr>
                <w:rFonts w:hint="eastAsia" w:ascii="宋体" w:hAnsi="宋体" w:eastAsia="宋体" w:cs="宋体"/>
                <w:color w:val="auto"/>
                <w:sz w:val="24"/>
                <w:highlight w:val="none"/>
                <w:lang w:val="en-US" w:eastAsia="zh-CN"/>
              </w:rPr>
              <w:t>验收证明材料，业绩时间以验收时间为准。）</w:t>
            </w:r>
          </w:p>
          <w:p w14:paraId="23E80D92">
            <w:pPr>
              <w:snapToGrid w:val="0"/>
              <w:ind w:firstLine="28" w:firstLineChars="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类似业绩指：</w:t>
            </w:r>
            <w:r>
              <w:rPr>
                <w:rFonts w:hint="eastAsia" w:ascii="宋体" w:hAnsi="宋体" w:cs="宋体"/>
                <w:color w:val="auto"/>
                <w:sz w:val="24"/>
                <w:highlight w:val="none"/>
                <w:lang w:val="en-US" w:eastAsia="zh-CN"/>
              </w:rPr>
              <w:t>建筑</w:t>
            </w:r>
            <w:r>
              <w:rPr>
                <w:rFonts w:hint="eastAsia" w:ascii="宋体" w:hAnsi="宋体" w:eastAsia="宋体" w:cs="宋体"/>
                <w:color w:val="auto"/>
                <w:sz w:val="24"/>
                <w:highlight w:val="none"/>
                <w:lang w:val="en-US" w:eastAsia="zh-CN"/>
              </w:rPr>
              <w:t>工程。</w:t>
            </w:r>
          </w:p>
        </w:tc>
        <w:tc>
          <w:tcPr>
            <w:tcW w:w="812" w:type="pct"/>
            <w:noWrap w:val="0"/>
            <w:vAlign w:val="center"/>
          </w:tcPr>
          <w:p w14:paraId="344F5F3C">
            <w:pPr>
              <w:ind w:firstLine="28"/>
              <w:jc w:val="center"/>
              <w:rPr>
                <w:rFonts w:hint="eastAsia" w:ascii="宋体" w:hAnsi="宋体" w:eastAsia="宋体" w:cs="宋体"/>
                <w:b/>
                <w:color w:val="auto"/>
                <w:sz w:val="24"/>
                <w:highlight w:val="none"/>
                <w:lang w:val="en-US" w:eastAsia="zh-CN"/>
              </w:rPr>
            </w:pPr>
          </w:p>
        </w:tc>
      </w:tr>
      <w:tr w14:paraId="742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261" w:type="pct"/>
            <w:noWrap w:val="0"/>
            <w:vAlign w:val="center"/>
          </w:tcPr>
          <w:p w14:paraId="03CEDAEC">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3</w:t>
            </w:r>
          </w:p>
        </w:tc>
        <w:tc>
          <w:tcPr>
            <w:tcW w:w="261" w:type="pct"/>
            <w:vMerge w:val="restart"/>
            <w:noWrap w:val="0"/>
            <w:vAlign w:val="center"/>
          </w:tcPr>
          <w:p w14:paraId="769C5607">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技术部分</w:t>
            </w:r>
          </w:p>
        </w:tc>
        <w:tc>
          <w:tcPr>
            <w:tcW w:w="483" w:type="pct"/>
            <w:noWrap w:val="0"/>
            <w:vAlign w:val="center"/>
          </w:tcPr>
          <w:p w14:paraId="68C9B6C8">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整体施工方案与技术措施</w:t>
            </w:r>
          </w:p>
        </w:tc>
        <w:tc>
          <w:tcPr>
            <w:tcW w:w="323" w:type="pct"/>
            <w:noWrap w:val="0"/>
            <w:vAlign w:val="center"/>
          </w:tcPr>
          <w:p w14:paraId="074DB3EA">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p>
        </w:tc>
        <w:tc>
          <w:tcPr>
            <w:tcW w:w="2857" w:type="pct"/>
            <w:noWrap w:val="0"/>
            <w:vAlign w:val="center"/>
          </w:tcPr>
          <w:p w14:paraId="2F3CC0EB">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针对本项目应提供</w:t>
            </w:r>
            <w:r>
              <w:rPr>
                <w:rFonts w:hint="eastAsia" w:ascii="宋体" w:hAnsi="宋体" w:eastAsia="宋体" w:cs="宋体"/>
                <w:color w:val="auto"/>
                <w:sz w:val="24"/>
                <w:highlight w:val="none"/>
                <w:lang w:val="en-US" w:eastAsia="zh-CN"/>
              </w:rPr>
              <w:t>施工方案与技术措施。</w:t>
            </w:r>
          </w:p>
          <w:p w14:paraId="396BA30C">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科学、合理、可行，针对性强，得13分； </w:t>
            </w:r>
          </w:p>
          <w:p w14:paraId="12B7740D">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较科学、较合理、较可行，针对性较强，得</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 xml:space="preserve">分； </w:t>
            </w:r>
          </w:p>
          <w:p w14:paraId="5D51A20E">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基本科学、基本合理、基本可行，基本有针对性，得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分； </w:t>
            </w:r>
          </w:p>
          <w:p w14:paraId="5739EB0B">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不够科学、不够合理、大部分不可行，大部分不够有针对性，得3分；  </w:t>
            </w:r>
          </w:p>
          <w:p w14:paraId="198B5002">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未提供本项，得0分。</w:t>
            </w:r>
          </w:p>
        </w:tc>
        <w:tc>
          <w:tcPr>
            <w:tcW w:w="812" w:type="pct"/>
            <w:noWrap w:val="0"/>
            <w:vAlign w:val="center"/>
          </w:tcPr>
          <w:p w14:paraId="222C05B0">
            <w:pPr>
              <w:snapToGrid w:val="0"/>
              <w:ind w:firstLine="28"/>
              <w:jc w:val="left"/>
              <w:rPr>
                <w:rFonts w:hint="eastAsia" w:ascii="宋体" w:hAnsi="宋体" w:eastAsia="宋体" w:cs="宋体"/>
                <w:color w:val="auto"/>
                <w:sz w:val="24"/>
                <w:highlight w:val="none"/>
                <w:lang w:val="en-US" w:eastAsia="zh-CN"/>
              </w:rPr>
            </w:pPr>
          </w:p>
        </w:tc>
      </w:tr>
      <w:tr w14:paraId="2643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61" w:type="pct"/>
            <w:noWrap w:val="0"/>
            <w:vAlign w:val="center"/>
          </w:tcPr>
          <w:p w14:paraId="0497A00B">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4</w:t>
            </w:r>
          </w:p>
        </w:tc>
        <w:tc>
          <w:tcPr>
            <w:tcW w:w="261" w:type="pct"/>
            <w:vMerge w:val="continue"/>
            <w:noWrap w:val="0"/>
            <w:vAlign w:val="center"/>
          </w:tcPr>
          <w:p w14:paraId="75AD0CA1">
            <w:pPr>
              <w:snapToGrid w:val="0"/>
              <w:ind w:firstLine="28"/>
              <w:jc w:val="center"/>
              <w:rPr>
                <w:rFonts w:hint="eastAsia" w:ascii="宋体" w:hAnsi="宋体" w:eastAsia="宋体" w:cs="宋体"/>
                <w:b/>
                <w:color w:val="auto"/>
                <w:sz w:val="24"/>
                <w:highlight w:val="none"/>
                <w:lang w:val="en-US" w:eastAsia="zh-CN"/>
              </w:rPr>
            </w:pPr>
          </w:p>
        </w:tc>
        <w:tc>
          <w:tcPr>
            <w:tcW w:w="483" w:type="pct"/>
            <w:noWrap w:val="0"/>
            <w:vAlign w:val="center"/>
          </w:tcPr>
          <w:p w14:paraId="5FF9B7B9">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质量目标与保证措施</w:t>
            </w:r>
          </w:p>
        </w:tc>
        <w:tc>
          <w:tcPr>
            <w:tcW w:w="323" w:type="pct"/>
            <w:noWrap w:val="0"/>
            <w:vAlign w:val="center"/>
          </w:tcPr>
          <w:p w14:paraId="15B2B8C0">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2857" w:type="pct"/>
            <w:noWrap w:val="0"/>
            <w:vAlign w:val="center"/>
          </w:tcPr>
          <w:p w14:paraId="3D5FBDF7">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针对本项目应提供</w:t>
            </w:r>
            <w:r>
              <w:rPr>
                <w:rFonts w:hint="eastAsia" w:ascii="宋体" w:hAnsi="宋体" w:eastAsia="宋体" w:cs="宋体"/>
                <w:color w:val="auto"/>
                <w:sz w:val="24"/>
                <w:highlight w:val="none"/>
                <w:lang w:val="en-US" w:eastAsia="zh-CN"/>
              </w:rPr>
              <w:t>质量目标与保证措施</w:t>
            </w:r>
            <w:r>
              <w:rPr>
                <w:rFonts w:hint="eastAsia" w:ascii="宋体" w:hAnsi="宋体" w:eastAsia="宋体" w:cs="宋体"/>
                <w:color w:val="auto"/>
                <w:sz w:val="24"/>
                <w:highlight w:val="none"/>
                <w:lang w:eastAsia="zh-CN"/>
              </w:rPr>
              <w:t>。</w:t>
            </w:r>
          </w:p>
          <w:p w14:paraId="5163123C">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科学、合理、可行，针对性强，得12分； </w:t>
            </w:r>
          </w:p>
          <w:p w14:paraId="6A3E1F95">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较科学、较合理、较可行，针对性较强，得</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 xml:space="preserve">分； </w:t>
            </w:r>
          </w:p>
          <w:p w14:paraId="6057D714">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基本科学、基本合理、基本可行，基本有针对性，得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分； </w:t>
            </w:r>
          </w:p>
          <w:p w14:paraId="2FDEBA79">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不够科学、不够合理、大部分不可行，大部分不够有针对性，得3分；  </w:t>
            </w:r>
          </w:p>
          <w:p w14:paraId="2922F89B">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未提供本项，得0分。 </w:t>
            </w:r>
          </w:p>
        </w:tc>
        <w:tc>
          <w:tcPr>
            <w:tcW w:w="812" w:type="pct"/>
            <w:noWrap w:val="0"/>
            <w:vAlign w:val="center"/>
          </w:tcPr>
          <w:p w14:paraId="5A8E7919">
            <w:pPr>
              <w:snapToGrid w:val="0"/>
              <w:ind w:firstLine="28"/>
              <w:jc w:val="left"/>
              <w:rPr>
                <w:rFonts w:hint="eastAsia" w:ascii="宋体" w:hAnsi="宋体" w:eastAsia="宋体" w:cs="宋体"/>
                <w:color w:val="auto"/>
                <w:sz w:val="24"/>
                <w:highlight w:val="none"/>
                <w:lang w:val="en-US" w:eastAsia="zh-CN"/>
              </w:rPr>
            </w:pPr>
          </w:p>
        </w:tc>
      </w:tr>
      <w:tr w14:paraId="5879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261" w:type="pct"/>
            <w:noWrap w:val="0"/>
            <w:vAlign w:val="center"/>
          </w:tcPr>
          <w:p w14:paraId="1D03F316">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5</w:t>
            </w:r>
          </w:p>
        </w:tc>
        <w:tc>
          <w:tcPr>
            <w:tcW w:w="261" w:type="pct"/>
            <w:vMerge w:val="continue"/>
            <w:noWrap w:val="0"/>
            <w:vAlign w:val="center"/>
          </w:tcPr>
          <w:p w14:paraId="4A8C0B8D">
            <w:pPr>
              <w:snapToGrid w:val="0"/>
              <w:ind w:firstLine="28"/>
              <w:jc w:val="center"/>
              <w:rPr>
                <w:rFonts w:hint="eastAsia" w:ascii="宋体" w:hAnsi="宋体" w:eastAsia="宋体" w:cs="宋体"/>
                <w:b/>
                <w:color w:val="auto"/>
                <w:sz w:val="24"/>
                <w:highlight w:val="none"/>
                <w:lang w:val="en-US" w:eastAsia="zh-CN"/>
              </w:rPr>
            </w:pPr>
          </w:p>
        </w:tc>
        <w:tc>
          <w:tcPr>
            <w:tcW w:w="483" w:type="pct"/>
            <w:noWrap w:val="0"/>
            <w:vAlign w:val="center"/>
          </w:tcPr>
          <w:p w14:paraId="775DFDE7">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安全和文明施工保障措施</w:t>
            </w:r>
          </w:p>
        </w:tc>
        <w:tc>
          <w:tcPr>
            <w:tcW w:w="323" w:type="pct"/>
            <w:noWrap w:val="0"/>
            <w:vAlign w:val="center"/>
          </w:tcPr>
          <w:p w14:paraId="0B8EBB30">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2857" w:type="pct"/>
            <w:noWrap w:val="0"/>
            <w:vAlign w:val="center"/>
          </w:tcPr>
          <w:p w14:paraId="7DF3BCE5">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针对本项目应提供健全的</w:t>
            </w:r>
            <w:r>
              <w:rPr>
                <w:rFonts w:hint="eastAsia" w:ascii="宋体" w:hAnsi="宋体" w:eastAsia="宋体" w:cs="宋体"/>
                <w:color w:val="auto"/>
                <w:sz w:val="24"/>
                <w:highlight w:val="none"/>
                <w:lang w:val="en-US" w:eastAsia="zh-CN"/>
              </w:rPr>
              <w:t>安全和文明施工保障措施。</w:t>
            </w:r>
          </w:p>
          <w:p w14:paraId="2D4331A6">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科学、合理、可行，针对性强，得12分； </w:t>
            </w:r>
          </w:p>
          <w:p w14:paraId="65A009E4">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较科学、较合理、较可行，针对性较强，得</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 xml:space="preserve">分； </w:t>
            </w:r>
          </w:p>
          <w:p w14:paraId="5ADB2818">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基本科学、基本合理、基本可行，基本有针对性，得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w:t>
            </w:r>
          </w:p>
          <w:p w14:paraId="40A2B3A3">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不够科学、不够合理、大部分不可行，大部分不够有针对性，得3分；  </w:t>
            </w:r>
          </w:p>
          <w:p w14:paraId="700181D5">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未提供本项，得0分。 </w:t>
            </w:r>
          </w:p>
        </w:tc>
        <w:tc>
          <w:tcPr>
            <w:tcW w:w="812" w:type="pct"/>
            <w:noWrap w:val="0"/>
            <w:vAlign w:val="center"/>
          </w:tcPr>
          <w:p w14:paraId="00DE26BF">
            <w:pPr>
              <w:snapToGrid w:val="0"/>
              <w:ind w:firstLine="28"/>
              <w:jc w:val="left"/>
              <w:rPr>
                <w:rFonts w:hint="eastAsia" w:ascii="宋体" w:hAnsi="宋体" w:eastAsia="宋体" w:cs="宋体"/>
                <w:color w:val="auto"/>
                <w:sz w:val="24"/>
                <w:highlight w:val="none"/>
                <w:lang w:val="en-US" w:eastAsia="zh-CN"/>
              </w:rPr>
            </w:pPr>
          </w:p>
        </w:tc>
      </w:tr>
      <w:tr w14:paraId="6E40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261" w:type="pct"/>
            <w:noWrap w:val="0"/>
            <w:vAlign w:val="center"/>
          </w:tcPr>
          <w:p w14:paraId="663EB96C">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6</w:t>
            </w:r>
          </w:p>
        </w:tc>
        <w:tc>
          <w:tcPr>
            <w:tcW w:w="261" w:type="pct"/>
            <w:vMerge w:val="continue"/>
            <w:noWrap w:val="0"/>
            <w:vAlign w:val="center"/>
          </w:tcPr>
          <w:p w14:paraId="4A403F33">
            <w:pPr>
              <w:snapToGrid w:val="0"/>
              <w:ind w:firstLine="28"/>
              <w:jc w:val="center"/>
              <w:rPr>
                <w:rFonts w:hint="eastAsia" w:ascii="宋体" w:hAnsi="宋体" w:eastAsia="宋体" w:cs="宋体"/>
                <w:b/>
                <w:color w:val="auto"/>
                <w:sz w:val="24"/>
                <w:highlight w:val="none"/>
                <w:lang w:val="en-US" w:eastAsia="zh-CN"/>
              </w:rPr>
            </w:pPr>
          </w:p>
        </w:tc>
        <w:tc>
          <w:tcPr>
            <w:tcW w:w="483" w:type="pct"/>
            <w:noWrap w:val="0"/>
            <w:vAlign w:val="center"/>
          </w:tcPr>
          <w:p w14:paraId="2924799A">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施工进度计划与保证措施</w:t>
            </w:r>
          </w:p>
        </w:tc>
        <w:tc>
          <w:tcPr>
            <w:tcW w:w="323" w:type="pct"/>
            <w:noWrap w:val="0"/>
            <w:vAlign w:val="center"/>
          </w:tcPr>
          <w:p w14:paraId="63A93DC7">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2857" w:type="pct"/>
            <w:noWrap w:val="0"/>
            <w:vAlign w:val="center"/>
          </w:tcPr>
          <w:p w14:paraId="70637156">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针对本项目应提供健全的</w:t>
            </w:r>
            <w:r>
              <w:rPr>
                <w:rFonts w:hint="eastAsia" w:ascii="宋体" w:hAnsi="宋体" w:eastAsia="宋体" w:cs="宋体"/>
                <w:color w:val="auto"/>
                <w:sz w:val="24"/>
                <w:highlight w:val="none"/>
                <w:lang w:val="en-US" w:eastAsia="zh-CN"/>
              </w:rPr>
              <w:t>施工进度计划与保证措施。</w:t>
            </w:r>
          </w:p>
          <w:p w14:paraId="1E121A2E">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科学、合理、可行，针对性强，得12分； </w:t>
            </w:r>
          </w:p>
          <w:p w14:paraId="1A1C22C5">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较科学、较合理、较可行，针对性较强，得</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 xml:space="preserve">分； </w:t>
            </w:r>
          </w:p>
          <w:p w14:paraId="41482DB9">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基本科学、基本合理、基本可行，基本有针对性，得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分； </w:t>
            </w:r>
          </w:p>
          <w:p w14:paraId="679E1718">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不够科学、不够合理、大部分不可行，大部分不够有针对性，得3分；  </w:t>
            </w:r>
          </w:p>
          <w:p w14:paraId="244EBF9E">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未提供本项，得0分。 </w:t>
            </w:r>
          </w:p>
        </w:tc>
        <w:tc>
          <w:tcPr>
            <w:tcW w:w="812" w:type="pct"/>
            <w:noWrap w:val="0"/>
            <w:vAlign w:val="center"/>
          </w:tcPr>
          <w:p w14:paraId="4B41FF1D">
            <w:pPr>
              <w:snapToGrid w:val="0"/>
              <w:ind w:firstLine="28"/>
              <w:jc w:val="left"/>
              <w:rPr>
                <w:rFonts w:hint="eastAsia" w:ascii="宋体" w:hAnsi="宋体" w:eastAsia="宋体" w:cs="宋体"/>
                <w:color w:val="auto"/>
                <w:sz w:val="24"/>
                <w:highlight w:val="none"/>
                <w:lang w:val="en-US" w:eastAsia="zh-CN"/>
              </w:rPr>
            </w:pPr>
          </w:p>
        </w:tc>
      </w:tr>
      <w:tr w14:paraId="6496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61" w:type="pct"/>
            <w:noWrap w:val="0"/>
            <w:vAlign w:val="center"/>
          </w:tcPr>
          <w:p w14:paraId="63928281">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7</w:t>
            </w:r>
          </w:p>
        </w:tc>
        <w:tc>
          <w:tcPr>
            <w:tcW w:w="261" w:type="pct"/>
            <w:vMerge w:val="continue"/>
            <w:noWrap w:val="0"/>
            <w:vAlign w:val="center"/>
          </w:tcPr>
          <w:p w14:paraId="20EFD620">
            <w:pPr>
              <w:snapToGrid w:val="0"/>
              <w:ind w:firstLine="28"/>
              <w:jc w:val="center"/>
              <w:rPr>
                <w:rFonts w:hint="eastAsia" w:ascii="宋体" w:hAnsi="宋体" w:eastAsia="宋体" w:cs="宋体"/>
                <w:b/>
                <w:color w:val="auto"/>
                <w:sz w:val="24"/>
                <w:highlight w:val="none"/>
                <w:lang w:val="en-US" w:eastAsia="zh-CN"/>
              </w:rPr>
            </w:pPr>
          </w:p>
        </w:tc>
        <w:tc>
          <w:tcPr>
            <w:tcW w:w="483" w:type="pct"/>
            <w:noWrap w:val="0"/>
            <w:vAlign w:val="center"/>
          </w:tcPr>
          <w:p w14:paraId="6210141F">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现场组织机构、劳动力计划保障措施</w:t>
            </w:r>
          </w:p>
        </w:tc>
        <w:tc>
          <w:tcPr>
            <w:tcW w:w="323" w:type="pct"/>
            <w:noWrap w:val="0"/>
            <w:vAlign w:val="center"/>
          </w:tcPr>
          <w:p w14:paraId="48AACAB0">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2857" w:type="pct"/>
            <w:noWrap w:val="0"/>
            <w:vAlign w:val="center"/>
          </w:tcPr>
          <w:p w14:paraId="125586BE">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供应商针对本项目应提供健全的</w:t>
            </w:r>
            <w:r>
              <w:rPr>
                <w:rFonts w:hint="eastAsia" w:ascii="宋体" w:hAnsi="宋体" w:eastAsia="宋体" w:cs="宋体"/>
                <w:color w:val="auto"/>
                <w:sz w:val="24"/>
                <w:highlight w:val="none"/>
                <w:lang w:val="en-US" w:eastAsia="zh-CN"/>
              </w:rPr>
              <w:t>现场组织机构、劳动力计划保障措施。</w:t>
            </w:r>
          </w:p>
          <w:p w14:paraId="00C10904">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科学、合理、可行，针对性强，得8分； </w:t>
            </w:r>
          </w:p>
          <w:p w14:paraId="0270DD74">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较科学、较合理、较可行，针对性较强，得6分； </w:t>
            </w:r>
          </w:p>
          <w:p w14:paraId="59148093">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基本科学、基本合理、基本可行，基本有针对性，得4分； </w:t>
            </w:r>
          </w:p>
          <w:p w14:paraId="6A2826DA">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不够科学、不够合理、大部分不可行，大部分不够有针对性，得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 xml:space="preserve">分；  </w:t>
            </w:r>
          </w:p>
          <w:p w14:paraId="2EF511D6">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未提供本项，得0分。</w:t>
            </w:r>
          </w:p>
        </w:tc>
        <w:tc>
          <w:tcPr>
            <w:tcW w:w="812" w:type="pct"/>
            <w:noWrap w:val="0"/>
            <w:vAlign w:val="center"/>
          </w:tcPr>
          <w:p w14:paraId="55F8FE6E">
            <w:pPr>
              <w:snapToGrid w:val="0"/>
              <w:ind w:firstLine="28"/>
              <w:jc w:val="left"/>
              <w:rPr>
                <w:rFonts w:hint="eastAsia" w:ascii="宋体" w:hAnsi="宋体" w:eastAsia="宋体" w:cs="宋体"/>
                <w:color w:val="auto"/>
                <w:sz w:val="24"/>
                <w:highlight w:val="none"/>
                <w:lang w:val="en-US" w:eastAsia="zh-CN"/>
              </w:rPr>
            </w:pPr>
          </w:p>
        </w:tc>
      </w:tr>
      <w:tr w14:paraId="02EE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261" w:type="pct"/>
            <w:noWrap w:val="0"/>
            <w:vAlign w:val="center"/>
          </w:tcPr>
          <w:p w14:paraId="6DDB90E6">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8</w:t>
            </w:r>
          </w:p>
        </w:tc>
        <w:tc>
          <w:tcPr>
            <w:tcW w:w="261" w:type="pct"/>
            <w:vMerge w:val="continue"/>
            <w:noWrap w:val="0"/>
            <w:vAlign w:val="center"/>
          </w:tcPr>
          <w:p w14:paraId="77AED22E">
            <w:pPr>
              <w:snapToGrid w:val="0"/>
              <w:ind w:firstLine="28"/>
              <w:jc w:val="center"/>
              <w:rPr>
                <w:rFonts w:hint="eastAsia" w:ascii="宋体" w:hAnsi="宋体" w:eastAsia="宋体" w:cs="宋体"/>
                <w:b/>
                <w:color w:val="auto"/>
                <w:sz w:val="24"/>
                <w:highlight w:val="none"/>
                <w:lang w:val="en-US" w:eastAsia="zh-CN"/>
              </w:rPr>
            </w:pPr>
          </w:p>
        </w:tc>
        <w:tc>
          <w:tcPr>
            <w:tcW w:w="483" w:type="pct"/>
            <w:noWrap w:val="0"/>
            <w:vAlign w:val="center"/>
          </w:tcPr>
          <w:p w14:paraId="4BBECFF0">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拟投入施工机械设备配置</w:t>
            </w:r>
          </w:p>
        </w:tc>
        <w:tc>
          <w:tcPr>
            <w:tcW w:w="323" w:type="pct"/>
            <w:noWrap w:val="0"/>
            <w:vAlign w:val="center"/>
          </w:tcPr>
          <w:p w14:paraId="124F0F13">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2857" w:type="pct"/>
            <w:noWrap w:val="0"/>
            <w:vAlign w:val="center"/>
          </w:tcPr>
          <w:p w14:paraId="5DD89187">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供应商针对本项目应提供健全的</w:t>
            </w:r>
            <w:r>
              <w:rPr>
                <w:rFonts w:hint="eastAsia" w:ascii="宋体" w:hAnsi="宋体" w:eastAsia="宋体" w:cs="宋体"/>
                <w:color w:val="auto"/>
                <w:sz w:val="24"/>
                <w:highlight w:val="none"/>
                <w:lang w:val="en-US" w:eastAsia="zh-CN"/>
              </w:rPr>
              <w:t>拟投入施工机械设备配置。</w:t>
            </w:r>
          </w:p>
          <w:p w14:paraId="424730AD">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配置科学、合理、可行，得8分； </w:t>
            </w:r>
          </w:p>
          <w:p w14:paraId="1C47B299">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配置较科学、较合理、较可行，得6分； </w:t>
            </w:r>
          </w:p>
          <w:p w14:paraId="1BA6FD0E">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配置基本科学、基本合理、基本可行，得4分； </w:t>
            </w:r>
          </w:p>
          <w:p w14:paraId="3DF92097">
            <w:pPr>
              <w:snapToGrid w:val="0"/>
              <w:ind w:firstLine="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配置不科学、不合理、不可行，得1分； </w:t>
            </w:r>
          </w:p>
          <w:p w14:paraId="5F29B3B4">
            <w:pPr>
              <w:snapToGrid w:val="0"/>
              <w:ind w:firstLine="28"/>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未提供本项，得0分。 </w:t>
            </w:r>
          </w:p>
        </w:tc>
        <w:tc>
          <w:tcPr>
            <w:tcW w:w="812" w:type="pct"/>
            <w:noWrap w:val="0"/>
            <w:vAlign w:val="center"/>
          </w:tcPr>
          <w:p w14:paraId="6F56F6CE">
            <w:pPr>
              <w:snapToGrid w:val="0"/>
              <w:ind w:firstLine="28"/>
              <w:jc w:val="left"/>
              <w:rPr>
                <w:rFonts w:hint="eastAsia" w:ascii="宋体" w:hAnsi="宋体" w:eastAsia="宋体" w:cs="宋体"/>
                <w:color w:val="auto"/>
                <w:sz w:val="24"/>
                <w:highlight w:val="none"/>
                <w:lang w:val="en-US" w:eastAsia="zh-CN"/>
              </w:rPr>
            </w:pPr>
          </w:p>
        </w:tc>
      </w:tr>
      <w:tr w14:paraId="453C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61" w:type="pct"/>
            <w:noWrap w:val="0"/>
            <w:vAlign w:val="center"/>
          </w:tcPr>
          <w:p w14:paraId="0EF0D392">
            <w:pPr>
              <w:snapToGrid w:val="0"/>
              <w:ind w:firstLine="28"/>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9</w:t>
            </w:r>
          </w:p>
        </w:tc>
        <w:tc>
          <w:tcPr>
            <w:tcW w:w="261" w:type="pct"/>
            <w:noWrap w:val="0"/>
            <w:vAlign w:val="center"/>
          </w:tcPr>
          <w:p w14:paraId="4620217C">
            <w:pPr>
              <w:snapToGrid w:val="0"/>
              <w:ind w:firstLine="28"/>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价格部分</w:t>
            </w:r>
          </w:p>
        </w:tc>
        <w:tc>
          <w:tcPr>
            <w:tcW w:w="483" w:type="pct"/>
            <w:noWrap w:val="0"/>
            <w:vAlign w:val="center"/>
          </w:tcPr>
          <w:p w14:paraId="00BC0530">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投标报价</w:t>
            </w:r>
          </w:p>
        </w:tc>
        <w:tc>
          <w:tcPr>
            <w:tcW w:w="323" w:type="pct"/>
            <w:noWrap w:val="0"/>
            <w:vAlign w:val="center"/>
          </w:tcPr>
          <w:p w14:paraId="1B74FBC9">
            <w:pPr>
              <w:snapToGrid w:val="0"/>
              <w:ind w:firstLine="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2857" w:type="pct"/>
            <w:noWrap w:val="0"/>
            <w:vAlign w:val="top"/>
          </w:tcPr>
          <w:p w14:paraId="4D4457A0">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w:t>
            </w:r>
            <w:r>
              <w:rPr>
                <w:rFonts w:hint="eastAsia" w:ascii="宋体" w:hAnsi="宋体" w:cs="宋体"/>
                <w:color w:val="auto"/>
                <w:sz w:val="24"/>
                <w:highlight w:val="none"/>
                <w:lang w:val="en-US" w:eastAsia="zh-CN"/>
              </w:rPr>
              <w:t>竞争性磋商文件</w:t>
            </w:r>
            <w:r>
              <w:rPr>
                <w:rFonts w:hint="eastAsia" w:ascii="宋体" w:hAnsi="宋体" w:eastAsia="宋体" w:cs="宋体"/>
                <w:color w:val="auto"/>
                <w:sz w:val="24"/>
                <w:highlight w:val="none"/>
              </w:rPr>
              <w:t>要求的</w:t>
            </w:r>
            <w:r>
              <w:rPr>
                <w:rFonts w:hint="eastAsia" w:ascii="宋体" w:hAnsi="宋体" w:eastAsia="宋体" w:cs="宋体"/>
                <w:color w:val="auto"/>
                <w:sz w:val="24"/>
                <w:highlight w:val="none"/>
                <w:lang w:val="en-US" w:eastAsia="zh-CN"/>
              </w:rPr>
              <w:t>且投标</w:t>
            </w:r>
            <w:r>
              <w:rPr>
                <w:rFonts w:hint="eastAsia" w:ascii="宋体" w:hAnsi="宋体" w:eastAsia="宋体" w:cs="宋体"/>
                <w:color w:val="auto"/>
                <w:sz w:val="24"/>
                <w:highlight w:val="none"/>
              </w:rPr>
              <w:t>报价最低的</w:t>
            </w:r>
            <w:r>
              <w:rPr>
                <w:rFonts w:hint="eastAsia" w:ascii="宋体" w:hAnsi="宋体" w:eastAsia="宋体" w:cs="宋体"/>
                <w:color w:val="auto"/>
                <w:sz w:val="24"/>
                <w:highlight w:val="none"/>
                <w:lang w:val="en-US" w:eastAsia="zh-CN"/>
              </w:rPr>
              <w:t>投标报价为评标基准价，</w:t>
            </w:r>
            <w:r>
              <w:rPr>
                <w:rFonts w:hint="eastAsia" w:ascii="宋体" w:hAnsi="宋体" w:eastAsia="宋体" w:cs="宋体"/>
                <w:color w:val="auto"/>
                <w:sz w:val="24"/>
                <w:highlight w:val="none"/>
              </w:rPr>
              <w:t>其价格分为满分。其他</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的价格分统一按照下列公式计算：</w:t>
            </w:r>
          </w:p>
          <w:p w14:paraId="0130FFE7">
            <w:pPr>
              <w:snapToGrid w:val="0"/>
              <w:ind w:firstLine="2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报价得分=（</w:t>
            </w:r>
            <w:r>
              <w:rPr>
                <w:rFonts w:hint="eastAsia" w:ascii="宋体" w:hAnsi="宋体" w:eastAsia="宋体" w:cs="宋体"/>
                <w:color w:val="auto"/>
                <w:sz w:val="24"/>
                <w:highlight w:val="none"/>
                <w:lang w:val="en-US" w:eastAsia="zh-CN"/>
              </w:rPr>
              <w:t>评标</w:t>
            </w:r>
            <w:r>
              <w:rPr>
                <w:rFonts w:hint="eastAsia" w:ascii="宋体" w:hAnsi="宋体" w:eastAsia="宋体" w:cs="宋体"/>
                <w:color w:val="auto"/>
                <w:sz w:val="24"/>
                <w:highlight w:val="none"/>
              </w:rPr>
              <w:t>基准价/</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报价）×分值</w:t>
            </w:r>
          </w:p>
        </w:tc>
        <w:tc>
          <w:tcPr>
            <w:tcW w:w="812" w:type="pct"/>
            <w:noWrap w:val="0"/>
            <w:vAlign w:val="top"/>
          </w:tcPr>
          <w:p w14:paraId="63A33D68">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此处最后报价指经过报价修正，及因落实政府采购政策进行价格调整后的报价，详 </w:t>
            </w:r>
          </w:p>
          <w:p w14:paraId="26EFA1EB">
            <w:pPr>
              <w:keepNext w:val="0"/>
              <w:keepLines w:val="0"/>
              <w:widowControl/>
              <w:suppressLineNumbers w:val="0"/>
              <w:jc w:val="left"/>
              <w:rPr>
                <w:rFonts w:hint="eastAsia" w:ascii="宋体" w:hAnsi="宋体" w:eastAsia="宋体" w:cs="宋体"/>
                <w:color w:val="auto"/>
                <w:sz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见第三章《评审方法和评审标准》3.2、3.3</w:t>
            </w:r>
          </w:p>
        </w:tc>
      </w:tr>
      <w:tr w14:paraId="0FC7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06" w:type="pct"/>
            <w:gridSpan w:val="3"/>
            <w:noWrap w:val="0"/>
            <w:vAlign w:val="center"/>
          </w:tcPr>
          <w:p w14:paraId="293DD3E0">
            <w:pPr>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3181" w:type="pct"/>
            <w:gridSpan w:val="2"/>
            <w:noWrap w:val="0"/>
            <w:vAlign w:val="center"/>
          </w:tcPr>
          <w:p w14:paraId="357F9B4D">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100</w:t>
            </w:r>
            <w:r>
              <w:rPr>
                <w:rFonts w:hint="eastAsia" w:ascii="宋体" w:hAnsi="宋体" w:eastAsia="宋体" w:cs="宋体"/>
                <w:color w:val="auto"/>
                <w:sz w:val="24"/>
                <w:highlight w:val="none"/>
                <w:lang w:val="en-US" w:eastAsia="zh-CN"/>
              </w:rPr>
              <w:t>分</w:t>
            </w:r>
          </w:p>
        </w:tc>
        <w:tc>
          <w:tcPr>
            <w:tcW w:w="812" w:type="pct"/>
            <w:noWrap w:val="0"/>
            <w:vAlign w:val="center"/>
          </w:tcPr>
          <w:p w14:paraId="0FFA809E">
            <w:pPr>
              <w:rPr>
                <w:rFonts w:hint="eastAsia" w:ascii="宋体" w:hAnsi="宋体" w:eastAsia="宋体" w:cs="宋体"/>
                <w:color w:val="auto"/>
                <w:sz w:val="24"/>
                <w:highlight w:val="none"/>
              </w:rPr>
            </w:pPr>
          </w:p>
        </w:tc>
      </w:tr>
    </w:tbl>
    <w:p w14:paraId="0D10E957">
      <w:pPr>
        <w:tabs>
          <w:tab w:val="left" w:pos="360"/>
          <w:tab w:val="left" w:pos="1080"/>
        </w:tabs>
        <w:snapToGrid w:val="0"/>
        <w:spacing w:after="0" w:line="360" w:lineRule="auto"/>
        <w:rPr>
          <w:color w:val="auto"/>
          <w:sz w:val="24"/>
          <w:highlight w:val="none"/>
        </w:rPr>
      </w:pPr>
    </w:p>
    <w:p w14:paraId="70D11BBC">
      <w:pPr>
        <w:spacing w:after="0" w:line="360" w:lineRule="auto"/>
        <w:jc w:val="center"/>
        <w:outlineLvl w:val="0"/>
        <w:rPr>
          <w:color w:val="auto"/>
          <w:sz w:val="24"/>
          <w:highlight w:val="none"/>
        </w:rPr>
      </w:pPr>
      <w:r>
        <w:rPr>
          <w:b/>
          <w:color w:val="auto"/>
          <w:sz w:val="36"/>
          <w:szCs w:val="36"/>
          <w:highlight w:val="none"/>
        </w:rPr>
        <w:br w:type="page"/>
      </w:r>
      <w:bookmarkStart w:id="649" w:name="_Toc13149"/>
      <w:r>
        <w:rPr>
          <w:b/>
          <w:color w:val="auto"/>
          <w:sz w:val="36"/>
          <w:szCs w:val="36"/>
          <w:highlight w:val="none"/>
        </w:rPr>
        <w:t>第四章   采购需求</w:t>
      </w:r>
      <w:bookmarkEnd w:id="649"/>
    </w:p>
    <w:p w14:paraId="0F4C13E7">
      <w:pPr>
        <w:pStyle w:val="99"/>
        <w:numPr>
          <w:ilvl w:val="0"/>
          <w:numId w:val="11"/>
        </w:numPr>
        <w:spacing w:after="0" w:line="360" w:lineRule="auto"/>
        <w:ind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采购标的</w:t>
      </w:r>
    </w:p>
    <w:p w14:paraId="143BE0A6">
      <w:pPr>
        <w:spacing w:after="0" w:line="360" w:lineRule="auto"/>
        <w:ind w:firstLine="420"/>
        <w:outlineLvl w:val="1"/>
        <w:rPr>
          <w:rFonts w:hint="eastAsia" w:ascii="宋体" w:hAnsi="宋体" w:eastAsia="宋体" w:cs="宋体"/>
          <w:bCs/>
          <w:color w:val="auto"/>
          <w:sz w:val="24"/>
          <w:highlight w:val="none"/>
          <w:lang w:eastAsia="zh-CN"/>
        </w:rPr>
      </w:pPr>
      <w:bookmarkStart w:id="650" w:name="_Toc5140"/>
      <w:bookmarkStart w:id="651" w:name="_Toc20306"/>
      <w:bookmarkStart w:id="652" w:name="_Toc27326"/>
      <w:r>
        <w:rPr>
          <w:rFonts w:hint="eastAsia" w:ascii="宋体" w:hAnsi="宋体" w:cs="宋体"/>
          <w:bCs/>
          <w:color w:val="auto"/>
          <w:sz w:val="24"/>
          <w:highlight w:val="none"/>
        </w:rPr>
        <w:t>1.项目名称：</w:t>
      </w:r>
      <w:bookmarkEnd w:id="650"/>
      <w:bookmarkEnd w:id="651"/>
      <w:bookmarkEnd w:id="652"/>
      <w:bookmarkStart w:id="653" w:name="_Toc8816"/>
      <w:bookmarkStart w:id="654" w:name="_Toc17367"/>
      <w:bookmarkStart w:id="655" w:name="_Toc26958"/>
      <w:r>
        <w:rPr>
          <w:rFonts w:hint="eastAsia" w:ascii="宋体" w:hAnsi="宋体" w:cs="宋体"/>
          <w:bCs/>
          <w:color w:val="auto"/>
          <w:sz w:val="24"/>
          <w:highlight w:val="none"/>
          <w:lang w:eastAsia="zh-CN"/>
        </w:rPr>
        <w:t>报告厅室内安全改造工程其他建筑工程采购项目</w:t>
      </w:r>
    </w:p>
    <w:p w14:paraId="26959C68">
      <w:pPr>
        <w:spacing w:after="0" w:line="360" w:lineRule="auto"/>
        <w:ind w:firstLine="420"/>
        <w:outlineLvl w:val="1"/>
        <w:rPr>
          <w:rFonts w:hint="eastAsia" w:ascii="宋体" w:hAnsi="宋体" w:cs="宋体"/>
          <w:bCs/>
          <w:color w:val="auto"/>
          <w:sz w:val="24"/>
          <w:highlight w:val="none"/>
        </w:rPr>
      </w:pPr>
      <w:r>
        <w:rPr>
          <w:rFonts w:hint="eastAsia" w:ascii="宋体" w:hAnsi="宋体" w:cs="宋体"/>
          <w:bCs/>
          <w:color w:val="auto"/>
          <w:sz w:val="24"/>
          <w:highlight w:val="none"/>
        </w:rPr>
        <w:t>2</w:t>
      </w:r>
      <w:bookmarkEnd w:id="653"/>
      <w:bookmarkEnd w:id="654"/>
      <w:bookmarkEnd w:id="655"/>
      <w:r>
        <w:rPr>
          <w:rFonts w:hint="eastAsia" w:ascii="宋体" w:hAnsi="宋体" w:cs="宋体"/>
          <w:bCs/>
          <w:color w:val="auto"/>
          <w:sz w:val="24"/>
          <w:highlight w:val="none"/>
        </w:rPr>
        <w:t>.</w:t>
      </w:r>
      <w:r>
        <w:rPr>
          <w:rFonts w:hint="eastAsia" w:ascii="宋体" w:hAnsi="宋体" w:cs="宋体"/>
          <w:bCs/>
          <w:color w:val="auto"/>
          <w:sz w:val="24"/>
          <w:highlight w:val="none"/>
          <w:lang w:val="zh-CN"/>
        </w:rPr>
        <w:t>项目编号：11000025210200150346-XM001</w:t>
      </w:r>
    </w:p>
    <w:p w14:paraId="2AE04BA5">
      <w:pPr>
        <w:spacing w:after="0" w:line="360" w:lineRule="auto"/>
        <w:ind w:firstLine="420"/>
        <w:outlineLvl w:val="1"/>
        <w:rPr>
          <w:rFonts w:hint="eastAsia" w:ascii="宋体" w:hAnsi="宋体" w:cs="宋体"/>
          <w:bCs/>
          <w:color w:val="auto"/>
          <w:sz w:val="24"/>
          <w:highlight w:val="none"/>
        </w:rPr>
      </w:pPr>
      <w:r>
        <w:rPr>
          <w:rFonts w:hint="eastAsia" w:ascii="宋体" w:hAnsi="宋体" w:cs="宋体"/>
          <w:bCs/>
          <w:color w:val="auto"/>
          <w:sz w:val="24"/>
          <w:highlight w:val="none"/>
        </w:rPr>
        <w:t>3.资金预算</w:t>
      </w:r>
      <w:r>
        <w:rPr>
          <w:rFonts w:hint="eastAsia" w:ascii="宋体" w:hAnsi="宋体" w:cs="宋体"/>
          <w:bCs/>
          <w:color w:val="auto"/>
          <w:sz w:val="24"/>
          <w:highlight w:val="none"/>
          <w:lang w:val="en-US" w:eastAsia="zh-CN"/>
        </w:rPr>
        <w:t>412.07908</w:t>
      </w:r>
      <w:r>
        <w:rPr>
          <w:rFonts w:hint="eastAsia" w:ascii="宋体" w:hAnsi="宋体" w:cs="宋体"/>
          <w:bCs/>
          <w:color w:val="auto"/>
          <w:sz w:val="24"/>
          <w:highlight w:val="none"/>
        </w:rPr>
        <w:t>万元、项目最高限价（如有）：</w:t>
      </w:r>
      <w:r>
        <w:rPr>
          <w:rFonts w:hint="eastAsia" w:ascii="宋体" w:hAnsi="宋体" w:cs="宋体"/>
          <w:bCs/>
          <w:color w:val="auto"/>
          <w:sz w:val="24"/>
          <w:highlight w:val="none"/>
          <w:lang w:val="en-US" w:eastAsia="zh-CN"/>
        </w:rPr>
        <w:t>412.04162</w:t>
      </w:r>
      <w:r>
        <w:rPr>
          <w:rFonts w:hint="eastAsia" w:ascii="宋体" w:hAnsi="宋体" w:cs="宋体"/>
          <w:bCs/>
          <w:color w:val="auto"/>
          <w:sz w:val="24"/>
          <w:highlight w:val="none"/>
        </w:rPr>
        <w:t>万元</w:t>
      </w:r>
    </w:p>
    <w:p w14:paraId="36A0CD3D">
      <w:pPr>
        <w:pStyle w:val="17"/>
        <w:tabs>
          <w:tab w:val="clear" w:pos="567"/>
        </w:tabs>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二、商务要求</w:t>
      </w:r>
    </w:p>
    <w:p w14:paraId="0AE61D09">
      <w:pPr>
        <w:pStyle w:val="99"/>
        <w:spacing w:after="0" w:line="360" w:lineRule="auto"/>
        <w:ind w:firstLine="480" w:firstLineChars="200"/>
        <w:contextualSpacing/>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bCs/>
          <w:color w:val="auto"/>
          <w:kern w:val="2"/>
          <w:sz w:val="24"/>
          <w:szCs w:val="24"/>
          <w:highlight w:val="none"/>
          <w:lang w:val="en-US" w:eastAsia="zh-CN" w:bidi="ar-SA"/>
        </w:rPr>
        <w:t>1.采购范围：</w:t>
      </w:r>
      <w:r>
        <w:rPr>
          <w:rFonts w:hint="eastAsia" w:ascii="宋体" w:hAnsi="宋体" w:cs="宋体"/>
          <w:color w:val="auto"/>
          <w:sz w:val="24"/>
          <w:szCs w:val="24"/>
          <w:highlight w:val="none"/>
          <w:shd w:val="clear" w:color="auto" w:fill="FFFFFF"/>
          <w:lang w:val="en-US" w:eastAsia="zh-CN"/>
        </w:rPr>
        <w:t>本工程范围包含施工图范围内的钢屋架加固及屋顶更新；会议音视屏等相关专项由专业厂家进行深化，本次设计仅为预留厂家所需要的设计条件，原会议室相关保留设备拆移，待改造完成后重新安装，增设会议录播系统；建筑内装修改造，包括地面、墙面、顶棚改造，内门窗全部更换；报告厅、配电室、控制间、等待区等区域地面、墙体增设防潮层等，水电管线改造，消防安全改造，详细工作内容，详见施工图纸。</w:t>
      </w:r>
    </w:p>
    <w:p w14:paraId="7D6A73B5">
      <w:pPr>
        <w:pStyle w:val="99"/>
        <w:spacing w:after="0" w:line="360" w:lineRule="auto"/>
        <w:ind w:firstLine="480" w:firstLineChars="200"/>
        <w:contextualSpacing/>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2.工期</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197日历天，</w:t>
      </w:r>
      <w:r>
        <w:rPr>
          <w:rFonts w:hint="eastAsia" w:ascii="宋体" w:hAnsi="宋体" w:cs="宋体"/>
          <w:b w:val="0"/>
          <w:bCs/>
          <w:color w:val="auto"/>
          <w:sz w:val="24"/>
          <w:szCs w:val="24"/>
          <w:highlight w:val="none"/>
          <w:lang w:eastAsia="zh-CN"/>
        </w:rPr>
        <w:t>2025年12月</w:t>
      </w:r>
      <w:r>
        <w:rPr>
          <w:rFonts w:hint="eastAsia" w:ascii="宋体" w:hAnsi="宋体" w:cs="宋体"/>
          <w:b w:val="0"/>
          <w:bCs/>
          <w:color w:val="auto"/>
          <w:sz w:val="24"/>
          <w:szCs w:val="24"/>
          <w:highlight w:val="none"/>
          <w:lang w:val="en-US" w:eastAsia="zh-CN"/>
        </w:rPr>
        <w:t>15</w:t>
      </w:r>
      <w:r>
        <w:rPr>
          <w:rFonts w:hint="eastAsia" w:ascii="宋体" w:hAnsi="宋体" w:cs="宋体"/>
          <w:b w:val="0"/>
          <w:bCs/>
          <w:color w:val="auto"/>
          <w:sz w:val="24"/>
          <w:szCs w:val="24"/>
          <w:highlight w:val="none"/>
          <w:lang w:eastAsia="zh-CN"/>
        </w:rPr>
        <w:t>日</w:t>
      </w:r>
      <w:r>
        <w:rPr>
          <w:rFonts w:hint="eastAsia" w:ascii="宋体" w:hAnsi="宋体" w:cs="宋体"/>
          <w:b w:val="0"/>
          <w:bCs/>
          <w:color w:val="auto"/>
          <w:sz w:val="24"/>
          <w:szCs w:val="24"/>
          <w:highlight w:val="none"/>
        </w:rPr>
        <w:t>至</w:t>
      </w:r>
      <w:r>
        <w:rPr>
          <w:rFonts w:hint="eastAsia" w:ascii="宋体" w:hAnsi="宋体" w:cs="宋体"/>
          <w:b w:val="0"/>
          <w:bCs/>
          <w:color w:val="auto"/>
          <w:sz w:val="24"/>
          <w:szCs w:val="24"/>
          <w:highlight w:val="none"/>
          <w:lang w:eastAsia="zh-CN"/>
        </w:rPr>
        <w:t>2026年</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30</w:t>
      </w:r>
      <w:r>
        <w:rPr>
          <w:rFonts w:hint="eastAsia" w:ascii="宋体" w:hAnsi="宋体" w:cs="宋体"/>
          <w:b w:val="0"/>
          <w:bCs/>
          <w:color w:val="auto"/>
          <w:sz w:val="24"/>
          <w:szCs w:val="24"/>
          <w:highlight w:val="none"/>
          <w:lang w:eastAsia="zh-CN"/>
        </w:rPr>
        <w:t>日</w:t>
      </w:r>
      <w:r>
        <w:rPr>
          <w:rFonts w:hint="eastAsia" w:ascii="宋体" w:hAnsi="宋体" w:cs="宋体"/>
          <w:b w:val="0"/>
          <w:bCs/>
          <w:color w:val="auto"/>
          <w:sz w:val="24"/>
          <w:szCs w:val="24"/>
          <w:highlight w:val="none"/>
        </w:rPr>
        <w:t>止。</w:t>
      </w:r>
    </w:p>
    <w:p w14:paraId="3E6CAE2E">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3.项目实施位置：</w:t>
      </w:r>
      <w:r>
        <w:rPr>
          <w:rFonts w:hint="eastAsia" w:ascii="宋体" w:hAnsi="宋体" w:cs="宋体"/>
          <w:bCs/>
          <w:color w:val="auto"/>
          <w:kern w:val="2"/>
          <w:sz w:val="24"/>
          <w:szCs w:val="24"/>
          <w:highlight w:val="none"/>
          <w:lang w:val="en-US" w:eastAsia="zh-CN" w:bidi="ar-SA"/>
        </w:rPr>
        <w:t>海淀区温泉路15号院内。</w:t>
      </w:r>
    </w:p>
    <w:p w14:paraId="4CD63652">
      <w:pPr>
        <w:pStyle w:val="17"/>
        <w:tabs>
          <w:tab w:val="clear" w:pos="567"/>
        </w:tabs>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三、质量要求及验收标准</w:t>
      </w:r>
    </w:p>
    <w:p w14:paraId="154AB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1.质量要求：符合现行国家有关工程施工验收规范和标准的要求</w:t>
      </w:r>
      <w:r>
        <w:rPr>
          <w:rFonts w:hint="eastAsia" w:ascii="宋体" w:hAnsi="宋体" w:eastAsia="宋体" w:cs="宋体"/>
          <w:b/>
          <w:bCs w:val="0"/>
          <w:color w:val="auto"/>
          <w:kern w:val="2"/>
          <w:sz w:val="24"/>
          <w:szCs w:val="24"/>
          <w:highlight w:val="none"/>
          <w:lang w:val="en-US" w:eastAsia="zh-CN" w:bidi="ar-SA"/>
        </w:rPr>
        <w:t>（合格）。</w:t>
      </w:r>
    </w:p>
    <w:p w14:paraId="078DA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2.验收标准：工程质量应该符合工程图纸及规范、标准的要求且不低于国家、地方现行施工规范、质量评定标准、验收规范、特殊专业有关规定、采购人要求。</w:t>
      </w:r>
    </w:p>
    <w:p w14:paraId="0AA5F5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四、安全文明施工</w:t>
      </w:r>
    </w:p>
    <w:p w14:paraId="52AEF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1.施工现场安全生产标准化管理目标等级：</w:t>
      </w:r>
      <w:r>
        <w:rPr>
          <w:rFonts w:hint="eastAsia" w:ascii="宋体" w:hAnsi="宋体" w:eastAsia="宋体" w:cs="宋体"/>
          <w:b/>
          <w:bCs w:val="0"/>
          <w:color w:val="auto"/>
          <w:kern w:val="2"/>
          <w:sz w:val="24"/>
          <w:szCs w:val="24"/>
          <w:highlight w:val="none"/>
          <w:lang w:val="en-US" w:eastAsia="zh-CN" w:bidi="ar-SA"/>
        </w:rPr>
        <w:t>达标。</w:t>
      </w:r>
    </w:p>
    <w:p w14:paraId="0A899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承包人应遵守工程建设安全生产和绿色施工有关管理规定，严格按照安全和绿色施工标准组织施工，承担由于自身安全措施不力造成事故的责任和因此发生的费用，并承担政府主管部门因扬尘污染而给予的责令停工等行政处罚所造成的误工、工期拖延造成的损失。</w:t>
      </w:r>
    </w:p>
    <w:p w14:paraId="11040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3.文明施工方面的其他要求：清运建筑垃圾时应采用有效的降尘措施。</w:t>
      </w:r>
    </w:p>
    <w:p w14:paraId="02B61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安全文明施工费的具体要求：安全文明施工费应根据相关施工措施和市场价格测算确定，但不得低于按北京市住房和城乡建设委员会关于实施《北京市住房和城乡建设委员会关于明确安全文明施工费中常态化疫情防控措施费用标准的通知》（京建发[2022]190 号）规定的费用标准（费率）计算的金额，在磋商报价中单独列项，确保专款专用且不得作为让利因素。测算安全文明施工费的施工措施应当符合安全文明施工管理及相关标准规范的规定，且应当与《北京市建设工程施工现场安全生产标准化管理图集》规定的标准化考评验收等级（达标）、发包工程安全生产标准化管理目标等级、特殊措施要求以及工程承包范围等相符。</w:t>
      </w:r>
    </w:p>
    <w:p w14:paraId="699E35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五、安全防护</w:t>
      </w:r>
    </w:p>
    <w:p w14:paraId="05100A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1.在工程施工、竣工、交付及修补任何缺陷的过程中，承包人应当始终遵守国家和 </w:t>
      </w:r>
    </w:p>
    <w:p w14:paraId="43BF1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地方有关安全生产的法律、法规、规范、标准和规程等，按照合同条款的约定履行其安全施工职责。</w:t>
      </w:r>
    </w:p>
    <w:p w14:paraId="5D978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2.承包人应坚持“安全第一，预防为主”的方针，建立、健全安全生产责任制度和安全生产教育培训制度。在整个工程施工期间，承包人应在施工场地（现场）设立、提供和维护并在有关工作完成或竣工后撤除。 </w:t>
      </w:r>
    </w:p>
    <w:p w14:paraId="6347D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3.安全文明施工费用必须专款专用，保证安全文明施工措施的投入，并在财务管理中单独列支安全文明施工费账目备查。承包人应对发生的安全事故承担全部责任。 </w:t>
      </w:r>
    </w:p>
    <w:p w14:paraId="34743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4.承包人应建立专门的施工场地（现场）安全生产管理机构，配备足够数量符合有关规定的专职安全生产管理人员，负责日常安全生产巡查和专项检查，召集和主持现场全体人员参加的安全生产例会，负责安全技术交底和技术方案的安全把关，负责制定或审核安全隐患的整改措施并监督落实，负责安全资料的整理和管理，及时消除安全隐患，做好安全检查记录，确保所有的安全设施都处于良好的运转状态。 </w:t>
      </w:r>
    </w:p>
    <w:p w14:paraId="76A8C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5.承包人还应根据有关法律、法规、规定和条例等的要求，制定一套安全生产应急措施和程序，保证一旦出现任何安全事故，能立即保护好现场，抢救伤员和财产，保证施工生产的正常进行，防止损失扩大。</w:t>
      </w:r>
    </w:p>
    <w:p w14:paraId="3BAB5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七</w:t>
      </w:r>
      <w:r>
        <w:rPr>
          <w:rFonts w:hint="eastAsia" w:ascii="宋体" w:hAnsi="宋体" w:eastAsia="宋体" w:cs="宋体"/>
          <w:b/>
          <w:color w:val="auto"/>
          <w:kern w:val="2"/>
          <w:sz w:val="24"/>
          <w:szCs w:val="24"/>
          <w:highlight w:val="none"/>
          <w:lang w:val="en-US" w:eastAsia="zh-CN" w:bidi="ar-SA"/>
        </w:rPr>
        <w:t>、工程量清单</w:t>
      </w:r>
    </w:p>
    <w:p w14:paraId="69F4D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auto"/>
          <w:sz w:val="36"/>
          <w:szCs w:val="36"/>
          <w:highlight w:val="none"/>
        </w:rPr>
      </w:pPr>
      <w:r>
        <w:rPr>
          <w:rFonts w:hint="eastAsia" w:ascii="宋体" w:hAnsi="宋体" w:eastAsia="宋体" w:cs="宋体"/>
          <w:bCs/>
          <w:color w:val="auto"/>
          <w:kern w:val="2"/>
          <w:sz w:val="24"/>
          <w:szCs w:val="24"/>
          <w:highlight w:val="none"/>
          <w:lang w:val="en-US" w:eastAsia="zh-CN" w:bidi="ar-SA"/>
        </w:rPr>
        <w:t>另附。</w:t>
      </w:r>
      <w:r>
        <w:rPr>
          <w:b/>
          <w:color w:val="auto"/>
          <w:sz w:val="36"/>
          <w:szCs w:val="36"/>
          <w:highlight w:val="none"/>
        </w:rPr>
        <w:br w:type="page"/>
      </w:r>
    </w:p>
    <w:p w14:paraId="2342583E">
      <w:pPr>
        <w:spacing w:after="0" w:line="360" w:lineRule="auto"/>
        <w:jc w:val="center"/>
        <w:outlineLvl w:val="0"/>
        <w:rPr>
          <w:b/>
          <w:color w:val="auto"/>
          <w:sz w:val="36"/>
          <w:szCs w:val="36"/>
          <w:highlight w:val="none"/>
        </w:rPr>
      </w:pPr>
      <w:bookmarkStart w:id="656" w:name="_Toc14732"/>
      <w:r>
        <w:rPr>
          <w:b/>
          <w:color w:val="auto"/>
          <w:sz w:val="36"/>
          <w:szCs w:val="36"/>
          <w:highlight w:val="none"/>
        </w:rPr>
        <w:t>第</w:t>
      </w:r>
      <w:r>
        <w:rPr>
          <w:rFonts w:hint="eastAsia"/>
          <w:b/>
          <w:color w:val="auto"/>
          <w:sz w:val="36"/>
          <w:szCs w:val="36"/>
          <w:highlight w:val="none"/>
          <w:lang w:val="en-US" w:eastAsia="zh-CN"/>
        </w:rPr>
        <w:t>五</w:t>
      </w:r>
      <w:r>
        <w:rPr>
          <w:b/>
          <w:color w:val="auto"/>
          <w:sz w:val="36"/>
          <w:szCs w:val="36"/>
          <w:highlight w:val="none"/>
        </w:rPr>
        <w:t xml:space="preserve">章   </w:t>
      </w:r>
      <w:r>
        <w:rPr>
          <w:rFonts w:hint="eastAsia"/>
          <w:b/>
          <w:color w:val="auto"/>
          <w:sz w:val="36"/>
          <w:szCs w:val="36"/>
          <w:highlight w:val="none"/>
        </w:rPr>
        <w:t>合同草案条款</w:t>
      </w:r>
      <w:bookmarkEnd w:id="656"/>
    </w:p>
    <w:p w14:paraId="36BC6235">
      <w:pPr>
        <w:pStyle w:val="3"/>
        <w:bidi w:val="0"/>
        <w:jc w:val="center"/>
      </w:pPr>
      <w:r>
        <w:t>合同条款通用部分</w:t>
      </w:r>
    </w:p>
    <w:p w14:paraId="06110781">
      <w:pPr>
        <w:spacing w:before="91" w:line="360" w:lineRule="auto"/>
        <w:ind w:left="43"/>
        <w:jc w:val="left"/>
        <w:outlineLvl w:val="1"/>
        <w:rPr>
          <w:rFonts w:hint="eastAsia" w:ascii="宋体" w:hAnsi="宋体" w:eastAsia="宋体" w:cs="宋体"/>
          <w:sz w:val="28"/>
          <w:szCs w:val="28"/>
        </w:rPr>
      </w:pPr>
      <w:r>
        <w:rPr>
          <w:rFonts w:hint="eastAsia" w:ascii="宋体" w:hAnsi="宋体" w:eastAsia="宋体" w:cs="宋体"/>
          <w:spacing w:val="-6"/>
          <w:sz w:val="28"/>
          <w:szCs w:val="28"/>
        </w:rPr>
        <w:t>1.一般约定</w:t>
      </w:r>
    </w:p>
    <w:p w14:paraId="29CC2DD4">
      <w:pPr>
        <w:pStyle w:val="17"/>
        <w:spacing w:line="360" w:lineRule="auto"/>
        <w:jc w:val="left"/>
        <w:rPr>
          <w:rFonts w:hint="eastAsia" w:ascii="宋体" w:hAnsi="宋体" w:eastAsia="宋体" w:cs="宋体"/>
        </w:rPr>
      </w:pPr>
    </w:p>
    <w:p w14:paraId="3275A543">
      <w:pPr>
        <w:spacing w:before="78" w:line="360" w:lineRule="auto"/>
        <w:ind w:left="38"/>
        <w:jc w:val="left"/>
        <w:outlineLvl w:val="2"/>
        <w:rPr>
          <w:rFonts w:hint="eastAsia" w:ascii="宋体" w:hAnsi="宋体" w:eastAsia="宋体" w:cs="宋体"/>
          <w:sz w:val="24"/>
          <w:szCs w:val="24"/>
        </w:rPr>
      </w:pPr>
      <w:r>
        <w:rPr>
          <w:rFonts w:hint="eastAsia" w:ascii="宋体" w:hAnsi="宋体" w:eastAsia="宋体" w:cs="宋体"/>
          <w:spacing w:val="-6"/>
          <w:sz w:val="24"/>
          <w:szCs w:val="24"/>
        </w:rPr>
        <w:t>1.1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词语定义</w:t>
      </w:r>
    </w:p>
    <w:p w14:paraId="73BA388C">
      <w:pPr>
        <w:spacing w:before="296" w:line="360" w:lineRule="auto"/>
        <w:ind w:left="440"/>
        <w:jc w:val="left"/>
        <w:rPr>
          <w:rFonts w:hint="eastAsia" w:ascii="宋体" w:hAnsi="宋体" w:eastAsia="宋体" w:cs="宋体"/>
          <w:sz w:val="20"/>
          <w:szCs w:val="20"/>
        </w:rPr>
      </w:pPr>
      <w:r>
        <w:rPr>
          <w:rFonts w:hint="eastAsia" w:ascii="宋体" w:hAnsi="宋体" w:eastAsia="宋体" w:cs="宋体"/>
          <w:spacing w:val="9"/>
          <w:sz w:val="20"/>
          <w:szCs w:val="20"/>
        </w:rPr>
        <w:t>合同条款通用部分、合同条款专用部分中的下列词语应具有本款所赋予的含义。</w:t>
      </w:r>
    </w:p>
    <w:p w14:paraId="79236C82">
      <w:pPr>
        <w:spacing w:before="163" w:line="360" w:lineRule="auto"/>
        <w:ind w:left="455"/>
        <w:jc w:val="left"/>
        <w:rPr>
          <w:rFonts w:hint="eastAsia" w:ascii="宋体" w:hAnsi="宋体" w:eastAsia="宋体" w:cs="宋体"/>
          <w:sz w:val="20"/>
          <w:szCs w:val="20"/>
        </w:rPr>
      </w:pPr>
      <w:r>
        <w:rPr>
          <w:rFonts w:hint="eastAsia" w:ascii="宋体" w:hAnsi="宋体" w:eastAsia="宋体" w:cs="宋体"/>
          <w:spacing w:val="1"/>
          <w:sz w:val="20"/>
          <w:szCs w:val="20"/>
        </w:rPr>
        <w:t>1.1.1</w:t>
      </w:r>
      <w:r>
        <w:rPr>
          <w:rFonts w:hint="eastAsia" w:ascii="宋体" w:hAnsi="宋体" w:eastAsia="宋体" w:cs="宋体"/>
          <w:spacing w:val="10"/>
          <w:sz w:val="20"/>
          <w:szCs w:val="20"/>
        </w:rPr>
        <w:t xml:space="preserve">  </w:t>
      </w:r>
      <w:r>
        <w:rPr>
          <w:rFonts w:hint="eastAsia" w:ascii="宋体" w:hAnsi="宋体" w:eastAsia="宋体" w:cs="宋体"/>
          <w:spacing w:val="1"/>
          <w:sz w:val="20"/>
          <w:szCs w:val="20"/>
        </w:rPr>
        <w:t>合同</w:t>
      </w:r>
    </w:p>
    <w:p w14:paraId="25D25477">
      <w:pPr>
        <w:spacing w:before="158" w:line="360" w:lineRule="auto"/>
        <w:ind w:left="20" w:right="23" w:firstLine="643"/>
        <w:jc w:val="left"/>
        <w:rPr>
          <w:rFonts w:hint="eastAsia" w:ascii="宋体" w:hAnsi="宋体" w:eastAsia="宋体" w:cs="宋体"/>
          <w:sz w:val="20"/>
          <w:szCs w:val="20"/>
        </w:rPr>
      </w:pPr>
      <w:r>
        <w:rPr>
          <w:rFonts w:hint="eastAsia" w:ascii="宋体" w:hAnsi="宋体" w:eastAsia="宋体" w:cs="宋体"/>
          <w:spacing w:val="4"/>
          <w:sz w:val="20"/>
          <w:szCs w:val="20"/>
        </w:rPr>
        <w:t>1.1.1.1  合同文件（或称合同</w:t>
      </w:r>
      <w:r>
        <w:rPr>
          <w:rFonts w:hint="eastAsia" w:ascii="宋体" w:hAnsi="宋体" w:eastAsia="宋体" w:cs="宋体"/>
          <w:spacing w:val="-51"/>
          <w:w w:val="95"/>
          <w:sz w:val="20"/>
          <w:szCs w:val="20"/>
        </w:rPr>
        <w:t>）：</w:t>
      </w:r>
      <w:r>
        <w:rPr>
          <w:rFonts w:hint="eastAsia" w:ascii="宋体" w:hAnsi="宋体" w:eastAsia="宋体" w:cs="宋体"/>
          <w:spacing w:val="4"/>
          <w:sz w:val="20"/>
          <w:szCs w:val="20"/>
        </w:rPr>
        <w:t>指合同协议书</w:t>
      </w:r>
      <w:r>
        <w:rPr>
          <w:rFonts w:hint="eastAsia" w:ascii="宋体" w:hAnsi="宋体" w:eastAsia="宋体" w:cs="宋体"/>
          <w:spacing w:val="3"/>
          <w:sz w:val="20"/>
          <w:szCs w:val="20"/>
        </w:rPr>
        <w:t>、中标通知书、投标函及投标函附录、</w:t>
      </w:r>
      <w:r>
        <w:rPr>
          <w:rFonts w:hint="eastAsia" w:ascii="宋体" w:hAnsi="宋体" w:eastAsia="宋体" w:cs="宋体"/>
          <w:spacing w:val="7"/>
          <w:sz w:val="20"/>
          <w:szCs w:val="20"/>
        </w:rPr>
        <w:t>合同条款专用部分、合同条款通用部分、技术标准和要求、图纸、合同清单，以及其他合同</w:t>
      </w:r>
      <w:r>
        <w:rPr>
          <w:rFonts w:hint="eastAsia" w:ascii="宋体" w:hAnsi="宋体" w:eastAsia="宋体" w:cs="宋体"/>
          <w:spacing w:val="2"/>
          <w:sz w:val="20"/>
          <w:szCs w:val="20"/>
        </w:rPr>
        <w:t>文件。</w:t>
      </w:r>
    </w:p>
    <w:p w14:paraId="7CE3DD0B">
      <w:pPr>
        <w:spacing w:before="160" w:line="360" w:lineRule="auto"/>
        <w:ind w:left="664"/>
        <w:jc w:val="left"/>
        <w:rPr>
          <w:rFonts w:hint="eastAsia" w:ascii="宋体" w:hAnsi="宋体" w:eastAsia="宋体" w:cs="宋体"/>
          <w:sz w:val="20"/>
          <w:szCs w:val="20"/>
        </w:rPr>
      </w:pPr>
      <w:r>
        <w:rPr>
          <w:rFonts w:hint="eastAsia" w:ascii="宋体" w:hAnsi="宋体" w:eastAsia="宋体" w:cs="宋体"/>
          <w:spacing w:val="6"/>
          <w:sz w:val="20"/>
          <w:szCs w:val="20"/>
        </w:rPr>
        <w:t>1.1.1.2  合同协议书：指第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1.5</w:t>
      </w:r>
      <w:r>
        <w:rPr>
          <w:rFonts w:hint="eastAsia" w:ascii="宋体" w:hAnsi="宋体" w:eastAsia="宋体" w:cs="宋体"/>
          <w:spacing w:val="-40"/>
          <w:sz w:val="20"/>
          <w:szCs w:val="20"/>
        </w:rPr>
        <w:t xml:space="preserve"> </w:t>
      </w:r>
      <w:r>
        <w:rPr>
          <w:rFonts w:hint="eastAsia" w:ascii="宋体" w:hAnsi="宋体" w:eastAsia="宋体" w:cs="宋体"/>
          <w:spacing w:val="5"/>
          <w:sz w:val="20"/>
          <w:szCs w:val="20"/>
        </w:rPr>
        <w:t>款所指的合同协议书。</w:t>
      </w:r>
    </w:p>
    <w:p w14:paraId="32077C9B">
      <w:pPr>
        <w:spacing w:before="161" w:line="360" w:lineRule="auto"/>
        <w:ind w:left="664"/>
        <w:jc w:val="left"/>
        <w:rPr>
          <w:rFonts w:hint="eastAsia" w:ascii="宋体" w:hAnsi="宋体" w:eastAsia="宋体" w:cs="宋体"/>
          <w:sz w:val="20"/>
          <w:szCs w:val="20"/>
        </w:rPr>
      </w:pPr>
      <w:r>
        <w:rPr>
          <w:rFonts w:hint="eastAsia" w:ascii="宋体" w:hAnsi="宋体" w:eastAsia="宋体" w:cs="宋体"/>
          <w:spacing w:val="7"/>
          <w:sz w:val="20"/>
          <w:szCs w:val="20"/>
        </w:rPr>
        <w:t>1.1.1.3  中标通知书：指发包人通知承包人中标的函件。</w:t>
      </w:r>
    </w:p>
    <w:p w14:paraId="44299610">
      <w:pPr>
        <w:spacing w:before="164" w:line="360" w:lineRule="auto"/>
        <w:ind w:left="664"/>
        <w:jc w:val="left"/>
        <w:rPr>
          <w:rFonts w:hint="eastAsia" w:ascii="宋体" w:hAnsi="宋体" w:eastAsia="宋体" w:cs="宋体"/>
          <w:sz w:val="20"/>
          <w:szCs w:val="20"/>
        </w:rPr>
      </w:pPr>
      <w:r>
        <w:rPr>
          <w:rFonts w:hint="eastAsia" w:ascii="宋体" w:hAnsi="宋体" w:eastAsia="宋体" w:cs="宋体"/>
          <w:spacing w:val="8"/>
          <w:sz w:val="20"/>
          <w:szCs w:val="20"/>
        </w:rPr>
        <w:t>1.1.1.4  投标函：指构成合同文件组成部分的由承包人填写并签署的投</w:t>
      </w:r>
      <w:r>
        <w:rPr>
          <w:rFonts w:hint="eastAsia" w:ascii="宋体" w:hAnsi="宋体" w:eastAsia="宋体" w:cs="宋体"/>
          <w:spacing w:val="7"/>
          <w:sz w:val="20"/>
          <w:szCs w:val="20"/>
        </w:rPr>
        <w:t>标函。</w:t>
      </w:r>
    </w:p>
    <w:p w14:paraId="430A2109">
      <w:pPr>
        <w:spacing w:before="160" w:line="360" w:lineRule="auto"/>
        <w:ind w:left="664"/>
        <w:jc w:val="left"/>
        <w:rPr>
          <w:rFonts w:hint="eastAsia" w:ascii="宋体" w:hAnsi="宋体" w:eastAsia="宋体" w:cs="宋体"/>
          <w:sz w:val="20"/>
          <w:szCs w:val="20"/>
        </w:rPr>
      </w:pPr>
      <w:r>
        <w:rPr>
          <w:rFonts w:hint="eastAsia" w:ascii="宋体" w:hAnsi="宋体" w:eastAsia="宋体" w:cs="宋体"/>
          <w:spacing w:val="8"/>
          <w:sz w:val="20"/>
          <w:szCs w:val="20"/>
        </w:rPr>
        <w:t>1.1.1.5  投标函附录：指附在投标函后构成</w:t>
      </w:r>
      <w:r>
        <w:rPr>
          <w:rFonts w:hint="eastAsia" w:ascii="宋体" w:hAnsi="宋体" w:eastAsia="宋体" w:cs="宋体"/>
          <w:spacing w:val="7"/>
          <w:sz w:val="20"/>
          <w:szCs w:val="20"/>
        </w:rPr>
        <w:t>合同文件的投标函附录。</w:t>
      </w:r>
    </w:p>
    <w:p w14:paraId="13A20A4F">
      <w:pPr>
        <w:spacing w:before="161" w:line="360" w:lineRule="auto"/>
        <w:ind w:left="20" w:right="94" w:firstLine="643"/>
        <w:jc w:val="left"/>
        <w:rPr>
          <w:rFonts w:hint="eastAsia" w:ascii="宋体" w:hAnsi="宋体" w:eastAsia="宋体" w:cs="宋体"/>
          <w:sz w:val="20"/>
          <w:szCs w:val="20"/>
        </w:rPr>
      </w:pPr>
      <w:r>
        <w:rPr>
          <w:rFonts w:hint="eastAsia" w:ascii="宋体" w:hAnsi="宋体" w:eastAsia="宋体" w:cs="宋体"/>
          <w:spacing w:val="9"/>
          <w:sz w:val="20"/>
          <w:szCs w:val="20"/>
        </w:rPr>
        <w:t>1.1.1.6  合同条款：指构成合同文件组成部分的合</w:t>
      </w:r>
      <w:r>
        <w:rPr>
          <w:rFonts w:hint="eastAsia" w:ascii="宋体" w:hAnsi="宋体" w:eastAsia="宋体" w:cs="宋体"/>
          <w:spacing w:val="8"/>
          <w:sz w:val="20"/>
          <w:szCs w:val="20"/>
        </w:rPr>
        <w:t>同条款通用部分和（或）合同条</w:t>
      </w:r>
      <w:r>
        <w:rPr>
          <w:rFonts w:hint="eastAsia" w:ascii="宋体" w:hAnsi="宋体" w:eastAsia="宋体" w:cs="宋体"/>
          <w:spacing w:val="6"/>
          <w:sz w:val="20"/>
          <w:szCs w:val="20"/>
        </w:rPr>
        <w:t>款专用部分。</w:t>
      </w:r>
    </w:p>
    <w:p w14:paraId="48479A1A">
      <w:pPr>
        <w:spacing w:before="161" w:line="360" w:lineRule="auto"/>
        <w:ind w:left="19" w:right="38" w:firstLine="644"/>
        <w:jc w:val="left"/>
        <w:rPr>
          <w:rFonts w:hint="eastAsia" w:ascii="宋体" w:hAnsi="宋体" w:eastAsia="宋体" w:cs="宋体"/>
          <w:sz w:val="20"/>
          <w:szCs w:val="20"/>
        </w:rPr>
      </w:pPr>
      <w:r>
        <w:rPr>
          <w:rFonts w:hint="eastAsia" w:ascii="宋体" w:hAnsi="宋体" w:eastAsia="宋体" w:cs="宋体"/>
          <w:spacing w:val="5"/>
          <w:sz w:val="20"/>
          <w:szCs w:val="20"/>
        </w:rPr>
        <w:t>1.1.1.7  技术标准和要求：指构成合同文件组成部分的名为技术标准和要求的文件，</w:t>
      </w:r>
      <w:r>
        <w:rPr>
          <w:rFonts w:hint="eastAsia" w:ascii="宋体" w:hAnsi="宋体" w:eastAsia="宋体" w:cs="宋体"/>
          <w:spacing w:val="9"/>
          <w:sz w:val="20"/>
          <w:szCs w:val="20"/>
        </w:rPr>
        <w:t>包括合同双方当事人约定对其所作的修改或补充。</w:t>
      </w:r>
    </w:p>
    <w:p w14:paraId="115A551E">
      <w:pPr>
        <w:spacing w:before="160" w:line="360" w:lineRule="auto"/>
        <w:ind w:left="19" w:right="94" w:firstLine="644"/>
        <w:jc w:val="left"/>
        <w:rPr>
          <w:rFonts w:hint="eastAsia" w:ascii="宋体" w:hAnsi="宋体" w:eastAsia="宋体" w:cs="宋体"/>
          <w:sz w:val="20"/>
          <w:szCs w:val="20"/>
        </w:rPr>
      </w:pPr>
      <w:r>
        <w:rPr>
          <w:rFonts w:hint="eastAsia" w:ascii="宋体" w:hAnsi="宋体" w:eastAsia="宋体" w:cs="宋体"/>
          <w:spacing w:val="9"/>
          <w:sz w:val="20"/>
          <w:szCs w:val="20"/>
        </w:rPr>
        <w:t>1.1.1.8  图纸：指包含在合同中的工程图纸，以及</w:t>
      </w:r>
      <w:r>
        <w:rPr>
          <w:rFonts w:hint="eastAsia" w:ascii="宋体" w:hAnsi="宋体" w:eastAsia="宋体" w:cs="宋体"/>
          <w:spacing w:val="8"/>
          <w:sz w:val="20"/>
          <w:szCs w:val="20"/>
        </w:rPr>
        <w:t>由发包人按合同约定提供的任何补充和修改的图纸，包括配套的说明。</w:t>
      </w:r>
    </w:p>
    <w:p w14:paraId="4967DCFF">
      <w:pPr>
        <w:spacing w:before="161" w:line="360" w:lineRule="auto"/>
        <w:ind w:left="19" w:right="94" w:firstLine="645"/>
        <w:jc w:val="left"/>
        <w:rPr>
          <w:rFonts w:hint="eastAsia" w:ascii="宋体" w:hAnsi="宋体" w:eastAsia="宋体" w:cs="宋体"/>
          <w:sz w:val="20"/>
          <w:szCs w:val="20"/>
        </w:rPr>
      </w:pPr>
      <w:r>
        <w:rPr>
          <w:rFonts w:hint="eastAsia" w:ascii="宋体" w:hAnsi="宋体" w:eastAsia="宋体" w:cs="宋体"/>
          <w:spacing w:val="9"/>
          <w:sz w:val="20"/>
          <w:szCs w:val="20"/>
        </w:rPr>
        <w:t>1.1.1.9  合同清单：指构成合同文件组成部分的由</w:t>
      </w:r>
      <w:r>
        <w:rPr>
          <w:rFonts w:hint="eastAsia" w:ascii="宋体" w:hAnsi="宋体" w:eastAsia="宋体" w:cs="宋体"/>
          <w:spacing w:val="8"/>
          <w:sz w:val="20"/>
          <w:szCs w:val="20"/>
        </w:rPr>
        <w:t>承包人在投标时所填报并获得发包人接纳的已标明投标总价、合价及其综合单</w:t>
      </w:r>
      <w:r>
        <w:rPr>
          <w:rFonts w:hint="eastAsia" w:ascii="宋体" w:hAnsi="宋体" w:eastAsia="宋体" w:cs="宋体"/>
          <w:spacing w:val="7"/>
          <w:sz w:val="20"/>
          <w:szCs w:val="20"/>
        </w:rPr>
        <w:t>价，以及投标报价澄清或说明修正价格的已标</w:t>
      </w:r>
      <w:r>
        <w:rPr>
          <w:rFonts w:hint="eastAsia" w:ascii="宋体" w:hAnsi="宋体" w:eastAsia="宋体" w:cs="宋体"/>
          <w:spacing w:val="8"/>
          <w:sz w:val="20"/>
          <w:szCs w:val="20"/>
        </w:rPr>
        <w:t>价工程量清单，用以说明承包人所填报合同总</w:t>
      </w:r>
      <w:r>
        <w:rPr>
          <w:rFonts w:hint="eastAsia" w:ascii="宋体" w:hAnsi="宋体" w:eastAsia="宋体" w:cs="宋体"/>
          <w:spacing w:val="7"/>
          <w:sz w:val="20"/>
          <w:szCs w:val="20"/>
        </w:rPr>
        <w:t>价的详细构成及综合单价分析，包括其说明和</w:t>
      </w:r>
      <w:r>
        <w:rPr>
          <w:rFonts w:hint="eastAsia" w:ascii="宋体" w:hAnsi="宋体" w:eastAsia="宋体" w:cs="宋体"/>
          <w:spacing w:val="3"/>
          <w:sz w:val="20"/>
          <w:szCs w:val="20"/>
        </w:rPr>
        <w:t>表格。</w:t>
      </w:r>
    </w:p>
    <w:p w14:paraId="38C626CD">
      <w:pPr>
        <w:spacing w:before="161" w:line="360" w:lineRule="auto"/>
        <w:ind w:left="664"/>
        <w:jc w:val="left"/>
        <w:rPr>
          <w:rFonts w:hint="eastAsia" w:ascii="宋体" w:hAnsi="宋体" w:eastAsia="宋体" w:cs="宋体"/>
          <w:sz w:val="20"/>
          <w:szCs w:val="20"/>
        </w:rPr>
      </w:pPr>
      <w:r>
        <w:rPr>
          <w:rFonts w:hint="eastAsia" w:ascii="宋体" w:hAnsi="宋体" w:eastAsia="宋体" w:cs="宋体"/>
          <w:spacing w:val="8"/>
          <w:sz w:val="20"/>
          <w:szCs w:val="20"/>
        </w:rPr>
        <w:t>1.1.1.10  其他合同文件：指经合同双方当事人确认构成合同文件的</w:t>
      </w:r>
      <w:r>
        <w:rPr>
          <w:rFonts w:hint="eastAsia" w:ascii="宋体" w:hAnsi="宋体" w:eastAsia="宋体" w:cs="宋体"/>
          <w:spacing w:val="7"/>
          <w:sz w:val="20"/>
          <w:szCs w:val="20"/>
        </w:rPr>
        <w:t>其他文件。</w:t>
      </w:r>
    </w:p>
    <w:p w14:paraId="58D809CD">
      <w:pPr>
        <w:spacing w:before="163"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1.1.2  合同当事人和人员</w:t>
      </w:r>
    </w:p>
    <w:p w14:paraId="084D0E3C">
      <w:pPr>
        <w:spacing w:before="160" w:line="360" w:lineRule="auto"/>
        <w:ind w:left="664"/>
        <w:jc w:val="left"/>
        <w:rPr>
          <w:rFonts w:hint="eastAsia" w:ascii="宋体" w:hAnsi="宋体" w:eastAsia="宋体" w:cs="宋体"/>
          <w:sz w:val="20"/>
          <w:szCs w:val="20"/>
        </w:rPr>
      </w:pPr>
      <w:r>
        <w:rPr>
          <w:rFonts w:hint="eastAsia" w:ascii="宋体" w:hAnsi="宋体" w:eastAsia="宋体" w:cs="宋体"/>
          <w:spacing w:val="7"/>
          <w:sz w:val="20"/>
          <w:szCs w:val="20"/>
        </w:rPr>
        <w:t>1.1.2.1  合同当事人：指发包人和（或）承包人。</w:t>
      </w:r>
    </w:p>
    <w:p w14:paraId="76338701">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9"/>
          <w:sz w:val="20"/>
          <w:szCs w:val="20"/>
        </w:rPr>
        <w:t xml:space="preserve">1.1.2.2 </w:t>
      </w:r>
      <w:r>
        <w:rPr>
          <w:rFonts w:hint="eastAsia" w:ascii="宋体" w:hAnsi="宋体" w:eastAsia="宋体" w:cs="宋体"/>
          <w:spacing w:val="8"/>
          <w:sz w:val="20"/>
          <w:szCs w:val="20"/>
        </w:rPr>
        <w:t xml:space="preserve"> 发包人：指合同协议书中约定，具有工程发包主体资格和承诺按照合同约定的条件、期限和方式向承包人支付工程价款的当事人，以及取得该当事人资格的合法继承人。发包人名称见合同条款专用部分。</w:t>
      </w:r>
    </w:p>
    <w:p w14:paraId="184D46A6">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p w14:paraId="5EE90193">
      <w:pPr>
        <w:pStyle w:val="17"/>
        <w:spacing w:line="360" w:lineRule="auto"/>
        <w:jc w:val="left"/>
        <w:rPr>
          <w:rFonts w:hint="eastAsia" w:ascii="宋体" w:hAnsi="宋体" w:eastAsia="宋体" w:cs="宋体"/>
          <w:lang w:eastAsia="zh-CN"/>
        </w:rPr>
      </w:pPr>
      <w:r>
        <w:rPr>
          <w:rFonts w:hint="eastAsia" w:ascii="宋体" w:hAnsi="宋体" w:eastAsia="宋体" w:cs="宋体"/>
          <w:sz w:val="20"/>
          <w:szCs w:val="20"/>
          <w:lang w:eastAsia="zh-CN"/>
        </w:rPr>
        <w:t xml:space="preserve"> </w:t>
      </w:r>
    </w:p>
    <w:p w14:paraId="355BCBC5">
      <w:pPr>
        <w:spacing w:before="65" w:line="360" w:lineRule="auto"/>
        <w:ind w:left="664"/>
        <w:jc w:val="left"/>
        <w:rPr>
          <w:rFonts w:hint="eastAsia" w:ascii="宋体" w:hAnsi="宋体" w:eastAsia="宋体" w:cs="宋体"/>
          <w:sz w:val="20"/>
          <w:szCs w:val="20"/>
        </w:rPr>
      </w:pPr>
      <w:r>
        <w:rPr>
          <w:rFonts w:hint="eastAsia" w:ascii="宋体" w:hAnsi="宋体" w:eastAsia="宋体" w:cs="宋体"/>
          <w:spacing w:val="8"/>
          <w:sz w:val="20"/>
          <w:szCs w:val="20"/>
        </w:rPr>
        <w:t>1.1.2.4  承包人项目经理：指承包</w:t>
      </w:r>
      <w:r>
        <w:rPr>
          <w:rFonts w:hint="eastAsia" w:ascii="宋体" w:hAnsi="宋体" w:eastAsia="宋体" w:cs="宋体"/>
          <w:spacing w:val="7"/>
          <w:sz w:val="20"/>
          <w:szCs w:val="20"/>
        </w:rPr>
        <w:t>人派驻施工场地的全权负责人。</w:t>
      </w:r>
    </w:p>
    <w:p w14:paraId="74BA57F9">
      <w:pPr>
        <w:spacing w:before="160" w:line="360" w:lineRule="auto"/>
        <w:ind w:left="22" w:right="71" w:firstLine="641"/>
        <w:jc w:val="left"/>
        <w:rPr>
          <w:rFonts w:hint="eastAsia" w:ascii="宋体" w:hAnsi="宋体" w:eastAsia="宋体" w:cs="宋体"/>
          <w:sz w:val="20"/>
          <w:szCs w:val="20"/>
        </w:rPr>
      </w:pPr>
      <w:r>
        <w:rPr>
          <w:rFonts w:hint="eastAsia" w:ascii="宋体" w:hAnsi="宋体" w:eastAsia="宋体" w:cs="宋体"/>
          <w:spacing w:val="9"/>
          <w:sz w:val="20"/>
          <w:szCs w:val="20"/>
        </w:rPr>
        <w:t>1.1.2.5  分包人：指从承包人处分包合同中某一部</w:t>
      </w:r>
      <w:r>
        <w:rPr>
          <w:rFonts w:hint="eastAsia" w:ascii="宋体" w:hAnsi="宋体" w:eastAsia="宋体" w:cs="宋体"/>
          <w:spacing w:val="8"/>
          <w:sz w:val="20"/>
          <w:szCs w:val="20"/>
        </w:rPr>
        <w:t>分工程，并与其签订分包合同的</w:t>
      </w:r>
      <w:r>
        <w:rPr>
          <w:rFonts w:hint="eastAsia" w:ascii="宋体" w:hAnsi="宋体" w:eastAsia="宋体" w:cs="宋体"/>
          <w:spacing w:val="4"/>
          <w:sz w:val="20"/>
          <w:szCs w:val="20"/>
        </w:rPr>
        <w:t>分包人。</w:t>
      </w:r>
    </w:p>
    <w:p w14:paraId="7BFD76E5">
      <w:pPr>
        <w:spacing w:before="159" w:line="360" w:lineRule="auto"/>
        <w:ind w:left="22" w:right="71" w:firstLine="641"/>
        <w:jc w:val="left"/>
        <w:rPr>
          <w:rFonts w:hint="eastAsia" w:ascii="宋体" w:hAnsi="宋体" w:eastAsia="宋体" w:cs="宋体"/>
          <w:sz w:val="20"/>
          <w:szCs w:val="20"/>
        </w:rPr>
      </w:pPr>
      <w:r>
        <w:rPr>
          <w:rFonts w:hint="eastAsia" w:ascii="宋体" w:hAnsi="宋体" w:eastAsia="宋体" w:cs="宋体"/>
          <w:spacing w:val="9"/>
          <w:sz w:val="20"/>
          <w:szCs w:val="20"/>
        </w:rPr>
        <w:t>1.1.2.6  监理人：指发包人委托的对合同履行实施</w:t>
      </w:r>
      <w:r>
        <w:rPr>
          <w:rFonts w:hint="eastAsia" w:ascii="宋体" w:hAnsi="宋体" w:eastAsia="宋体" w:cs="宋体"/>
          <w:spacing w:val="8"/>
          <w:sz w:val="20"/>
          <w:szCs w:val="20"/>
        </w:rPr>
        <w:t>管理的法人或其他组织。监理人名称见合同条款专用部分。</w:t>
      </w:r>
    </w:p>
    <w:p w14:paraId="60B51DF9">
      <w:pPr>
        <w:spacing w:before="158" w:line="360" w:lineRule="auto"/>
        <w:ind w:left="36" w:right="71" w:firstLine="627"/>
        <w:jc w:val="left"/>
        <w:rPr>
          <w:rFonts w:hint="eastAsia" w:ascii="宋体" w:hAnsi="宋体" w:eastAsia="宋体" w:cs="宋体"/>
          <w:sz w:val="20"/>
          <w:szCs w:val="20"/>
        </w:rPr>
      </w:pPr>
      <w:r>
        <w:rPr>
          <w:rFonts w:hint="eastAsia" w:ascii="宋体" w:hAnsi="宋体" w:eastAsia="宋体" w:cs="宋体"/>
          <w:spacing w:val="7"/>
          <w:sz w:val="20"/>
          <w:szCs w:val="20"/>
        </w:rPr>
        <w:t>1.1.2.7  总监理工程师（总监</w:t>
      </w:r>
      <w:r>
        <w:rPr>
          <w:rFonts w:hint="eastAsia" w:ascii="宋体" w:hAnsi="宋体" w:eastAsia="宋体" w:cs="宋体"/>
          <w:spacing w:val="-52"/>
          <w:w w:val="97"/>
          <w:sz w:val="20"/>
          <w:szCs w:val="20"/>
        </w:rPr>
        <w:t>）：</w:t>
      </w:r>
      <w:r>
        <w:rPr>
          <w:rFonts w:hint="eastAsia" w:ascii="宋体" w:hAnsi="宋体" w:eastAsia="宋体" w:cs="宋体"/>
          <w:spacing w:val="7"/>
          <w:sz w:val="20"/>
          <w:szCs w:val="20"/>
        </w:rPr>
        <w:t>指由监理人委派常驻施工场地</w:t>
      </w:r>
      <w:r>
        <w:rPr>
          <w:rFonts w:hint="eastAsia" w:ascii="宋体" w:hAnsi="宋体" w:eastAsia="宋体" w:cs="宋体"/>
          <w:spacing w:val="6"/>
          <w:sz w:val="20"/>
          <w:szCs w:val="20"/>
        </w:rPr>
        <w:t>对合同履行实施管理</w:t>
      </w:r>
      <w:r>
        <w:rPr>
          <w:rFonts w:hint="eastAsia" w:ascii="宋体" w:hAnsi="宋体" w:eastAsia="宋体" w:cs="宋体"/>
          <w:spacing w:val="4"/>
          <w:sz w:val="20"/>
          <w:szCs w:val="20"/>
        </w:rPr>
        <w:t>的全权负责人。</w:t>
      </w:r>
    </w:p>
    <w:p w14:paraId="1A575C58">
      <w:pPr>
        <w:spacing w:before="160" w:line="360" w:lineRule="auto"/>
        <w:ind w:left="21" w:right="71" w:firstLine="642"/>
        <w:jc w:val="left"/>
        <w:rPr>
          <w:rFonts w:hint="eastAsia" w:ascii="宋体" w:hAnsi="宋体" w:eastAsia="宋体" w:cs="宋体"/>
          <w:sz w:val="20"/>
          <w:szCs w:val="20"/>
        </w:rPr>
      </w:pPr>
      <w:r>
        <w:rPr>
          <w:rFonts w:hint="eastAsia" w:ascii="宋体" w:hAnsi="宋体" w:eastAsia="宋体" w:cs="宋体"/>
          <w:spacing w:val="9"/>
          <w:sz w:val="20"/>
          <w:szCs w:val="20"/>
        </w:rPr>
        <w:t>1.1.2.8  发包人代表：指由发包人指定的派驻施工</w:t>
      </w:r>
      <w:r>
        <w:rPr>
          <w:rFonts w:hint="eastAsia" w:ascii="宋体" w:hAnsi="宋体" w:eastAsia="宋体" w:cs="宋体"/>
          <w:spacing w:val="8"/>
          <w:sz w:val="20"/>
          <w:szCs w:val="20"/>
        </w:rPr>
        <w:t>场地（现场）的全权代表。发包人代表相关信息见合同条款专用部分。</w:t>
      </w:r>
    </w:p>
    <w:p w14:paraId="302DA53D">
      <w:pPr>
        <w:spacing w:before="160" w:line="360" w:lineRule="auto"/>
        <w:ind w:left="20" w:right="71" w:firstLine="643"/>
        <w:jc w:val="left"/>
        <w:rPr>
          <w:rFonts w:hint="eastAsia" w:ascii="宋体" w:hAnsi="宋体" w:eastAsia="宋体" w:cs="宋体"/>
          <w:sz w:val="20"/>
          <w:szCs w:val="20"/>
        </w:rPr>
      </w:pPr>
      <w:r>
        <w:rPr>
          <w:rFonts w:hint="eastAsia" w:ascii="宋体" w:hAnsi="宋体" w:eastAsia="宋体" w:cs="宋体"/>
          <w:spacing w:val="5"/>
          <w:sz w:val="20"/>
          <w:szCs w:val="20"/>
        </w:rPr>
        <w:t>1.1.2.9  专业分包人：指根据合同条款第</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15.8.1</w:t>
      </w:r>
      <w:r>
        <w:rPr>
          <w:rFonts w:hint="eastAsia" w:ascii="宋体" w:hAnsi="宋体" w:eastAsia="宋体" w:cs="宋体"/>
          <w:spacing w:val="-35"/>
          <w:sz w:val="20"/>
          <w:szCs w:val="20"/>
        </w:rPr>
        <w:t xml:space="preserve"> </w:t>
      </w:r>
      <w:r>
        <w:rPr>
          <w:rFonts w:hint="eastAsia" w:ascii="宋体" w:hAnsi="宋体" w:eastAsia="宋体" w:cs="宋体"/>
          <w:spacing w:val="5"/>
          <w:sz w:val="20"/>
          <w:szCs w:val="20"/>
        </w:rPr>
        <w:t>项的约定，由发包</w:t>
      </w:r>
      <w:r>
        <w:rPr>
          <w:rFonts w:hint="eastAsia" w:ascii="宋体" w:hAnsi="宋体" w:eastAsia="宋体" w:cs="宋体"/>
          <w:spacing w:val="4"/>
          <w:sz w:val="20"/>
          <w:szCs w:val="20"/>
        </w:rPr>
        <w:t>人和承包人以招</w:t>
      </w:r>
      <w:r>
        <w:rPr>
          <w:rFonts w:hint="eastAsia" w:ascii="宋体" w:hAnsi="宋体" w:eastAsia="宋体" w:cs="宋体"/>
          <w:spacing w:val="7"/>
          <w:sz w:val="20"/>
          <w:szCs w:val="20"/>
        </w:rPr>
        <w:t>标方式选择的分包人。</w:t>
      </w:r>
    </w:p>
    <w:p w14:paraId="16618729">
      <w:pPr>
        <w:spacing w:before="160" w:line="360" w:lineRule="auto"/>
        <w:ind w:left="20" w:right="69" w:firstLine="643"/>
        <w:jc w:val="left"/>
        <w:rPr>
          <w:rFonts w:hint="eastAsia" w:ascii="宋体" w:hAnsi="宋体" w:eastAsia="宋体" w:cs="宋体"/>
          <w:sz w:val="20"/>
          <w:szCs w:val="20"/>
        </w:rPr>
      </w:pPr>
      <w:r>
        <w:rPr>
          <w:rFonts w:hint="eastAsia" w:ascii="宋体" w:hAnsi="宋体" w:eastAsia="宋体" w:cs="宋体"/>
          <w:spacing w:val="6"/>
          <w:sz w:val="20"/>
          <w:szCs w:val="20"/>
        </w:rPr>
        <w:t>1.1.2.10  专项供应商：指根据合同条款第</w:t>
      </w:r>
      <w:r>
        <w:rPr>
          <w:rFonts w:hint="eastAsia" w:ascii="宋体" w:hAnsi="宋体" w:eastAsia="宋体" w:cs="宋体"/>
          <w:spacing w:val="-13"/>
          <w:sz w:val="20"/>
          <w:szCs w:val="20"/>
        </w:rPr>
        <w:t xml:space="preserve"> </w:t>
      </w:r>
      <w:r>
        <w:rPr>
          <w:rFonts w:hint="eastAsia" w:ascii="宋体" w:hAnsi="宋体" w:eastAsia="宋体" w:cs="宋体"/>
          <w:spacing w:val="6"/>
          <w:sz w:val="20"/>
          <w:szCs w:val="20"/>
        </w:rPr>
        <w:t>15.8.1</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项的约定，</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由发包人和承包人以</w:t>
      </w:r>
      <w:r>
        <w:rPr>
          <w:rFonts w:hint="eastAsia" w:ascii="宋体" w:hAnsi="宋体" w:eastAsia="宋体" w:cs="宋体"/>
          <w:spacing w:val="8"/>
          <w:sz w:val="20"/>
          <w:szCs w:val="20"/>
        </w:rPr>
        <w:t>招标方式选择的供应商。</w:t>
      </w:r>
    </w:p>
    <w:p w14:paraId="3D16E37E">
      <w:pPr>
        <w:spacing w:before="161" w:line="360" w:lineRule="auto"/>
        <w:ind w:left="20" w:right="71" w:firstLine="643"/>
        <w:jc w:val="left"/>
        <w:rPr>
          <w:rFonts w:hint="eastAsia" w:ascii="宋体" w:hAnsi="宋体" w:eastAsia="宋体" w:cs="宋体"/>
          <w:sz w:val="20"/>
          <w:szCs w:val="20"/>
        </w:rPr>
      </w:pPr>
      <w:r>
        <w:rPr>
          <w:rFonts w:hint="eastAsia" w:ascii="宋体" w:hAnsi="宋体" w:eastAsia="宋体" w:cs="宋体"/>
          <w:spacing w:val="6"/>
          <w:sz w:val="20"/>
          <w:szCs w:val="20"/>
        </w:rPr>
        <w:t>1.1.2.11  独立承包人：指与发包人直接订立工程承包合同，负责实施与工程有关的</w:t>
      </w:r>
      <w:r>
        <w:rPr>
          <w:rFonts w:hint="eastAsia" w:ascii="宋体" w:hAnsi="宋体" w:eastAsia="宋体" w:cs="宋体"/>
          <w:spacing w:val="7"/>
          <w:sz w:val="20"/>
          <w:szCs w:val="20"/>
        </w:rPr>
        <w:t>其他工作的当事人。</w:t>
      </w:r>
    </w:p>
    <w:p w14:paraId="55322739">
      <w:pPr>
        <w:spacing w:before="160" w:line="360" w:lineRule="auto"/>
        <w:ind w:left="455"/>
        <w:jc w:val="left"/>
        <w:rPr>
          <w:rFonts w:hint="eastAsia" w:ascii="宋体" w:hAnsi="宋体" w:eastAsia="宋体" w:cs="宋体"/>
          <w:sz w:val="20"/>
          <w:szCs w:val="20"/>
        </w:rPr>
      </w:pPr>
      <w:r>
        <w:rPr>
          <w:rFonts w:hint="eastAsia" w:ascii="宋体" w:hAnsi="宋体" w:eastAsia="宋体" w:cs="宋体"/>
          <w:spacing w:val="3"/>
          <w:sz w:val="20"/>
          <w:szCs w:val="20"/>
        </w:rPr>
        <w:t>1.1.3</w:t>
      </w:r>
      <w:r>
        <w:rPr>
          <w:rFonts w:hint="eastAsia" w:ascii="宋体" w:hAnsi="宋体" w:eastAsia="宋体" w:cs="宋体"/>
          <w:spacing w:val="14"/>
          <w:sz w:val="20"/>
          <w:szCs w:val="20"/>
        </w:rPr>
        <w:t xml:space="preserve">  </w:t>
      </w:r>
      <w:r>
        <w:rPr>
          <w:rFonts w:hint="eastAsia" w:ascii="宋体" w:hAnsi="宋体" w:eastAsia="宋体" w:cs="宋体"/>
          <w:spacing w:val="3"/>
          <w:sz w:val="20"/>
          <w:szCs w:val="20"/>
        </w:rPr>
        <w:t>工程和设备</w:t>
      </w:r>
    </w:p>
    <w:p w14:paraId="57B76B4E">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7"/>
          <w:sz w:val="20"/>
          <w:szCs w:val="20"/>
        </w:rPr>
        <w:t>1.1.3.1  工程：</w:t>
      </w:r>
      <w:r>
        <w:rPr>
          <w:rFonts w:hint="eastAsia" w:ascii="宋体" w:hAnsi="宋体" w:eastAsia="宋体" w:cs="宋体"/>
          <w:spacing w:val="8"/>
          <w:sz w:val="20"/>
          <w:szCs w:val="20"/>
        </w:rPr>
        <w:t>指永久工程和（或）临时工程。</w:t>
      </w:r>
    </w:p>
    <w:p w14:paraId="6FF78322">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1.1.3.2  永久工程：指按照合同约定所需建造、完成并移交给发包人的工程，包括工程设备。永久工程的约定见合同条款专用部分。</w:t>
      </w:r>
    </w:p>
    <w:p w14:paraId="27F31AC5">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1.1.3.3  临时工程：指为完成合同约定的永久工程所修建的各类临时性工程，不包括施工设备。临时工程的约定见合同条款专用部分。</w:t>
      </w:r>
    </w:p>
    <w:p w14:paraId="515A66F2">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1.1.3.4  单位工程：指具有相对独立的设计文件，能够独立组织施工并能形成独立使用功能的永久工程的组成部分。</w:t>
      </w:r>
    </w:p>
    <w:p w14:paraId="6166332A">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5"/>
          <w:sz w:val="20"/>
          <w:szCs w:val="20"/>
        </w:rPr>
        <w:t>1.1.3.5  工</w:t>
      </w:r>
      <w:r>
        <w:rPr>
          <w:rFonts w:hint="eastAsia" w:ascii="宋体" w:hAnsi="宋体" w:eastAsia="宋体" w:cs="宋体"/>
          <w:spacing w:val="8"/>
          <w:sz w:val="20"/>
          <w:szCs w:val="20"/>
        </w:rPr>
        <w:t>程设备：指构成或计划构成永久工程一部分的机电设备、金属结构设备、仪器装置及其他类似的设备和装置。</w:t>
      </w:r>
    </w:p>
    <w:p w14:paraId="2F3AEF75">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1.1.3.6  施工设备：指为完成合同约定的各项工作所需的设备、器具和其他物品，不包括临时工程和材料。</w:t>
      </w:r>
    </w:p>
    <w:p w14:paraId="05EC3ADE">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1.1.3.7  临时设施：指为完成合同约定的各项工作所服务的临时性生产和生活设施。</w:t>
      </w:r>
    </w:p>
    <w:p w14:paraId="2B170B9C">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1.1.3.8  承包人设备：指承包人自带的施工设备。</w:t>
      </w:r>
    </w:p>
    <w:p w14:paraId="0CE7BC13">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1.1.3.9  施工场地（或称工地、现场）：指用于合同工程施工的场所，以及在合同中指定作为施工场地组成部分的其他场所，包括永久占地和临时占地。</w:t>
      </w:r>
    </w:p>
    <w:p w14:paraId="69741F19">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1.1.3.10  永久占地：指为实施合同工程需永久占用的土地。永久占地的约定见合同条款专用部分。</w:t>
      </w:r>
    </w:p>
    <w:p w14:paraId="00EE8ECB">
      <w:pPr>
        <w:spacing w:before="161" w:line="360" w:lineRule="auto"/>
        <w:ind w:left="19" w:right="94" w:firstLine="645"/>
        <w:jc w:val="left"/>
        <w:rPr>
          <w:rFonts w:hint="eastAsia" w:ascii="宋体" w:hAnsi="宋体" w:eastAsia="宋体" w:cs="宋体"/>
          <w:spacing w:val="6"/>
          <w:sz w:val="20"/>
          <w:szCs w:val="20"/>
        </w:rPr>
      </w:pPr>
      <w:r>
        <w:rPr>
          <w:rFonts w:hint="eastAsia" w:ascii="宋体" w:hAnsi="宋体" w:eastAsia="宋体" w:cs="宋体"/>
          <w:spacing w:val="8"/>
          <w:sz w:val="20"/>
          <w:szCs w:val="20"/>
        </w:rPr>
        <w:t>1.1.3.11  临时占地：指为实施合同工</w:t>
      </w:r>
      <w:r>
        <w:rPr>
          <w:rFonts w:hint="eastAsia" w:ascii="宋体" w:hAnsi="宋体" w:eastAsia="宋体" w:cs="宋体"/>
          <w:spacing w:val="6"/>
          <w:sz w:val="20"/>
          <w:szCs w:val="20"/>
        </w:rPr>
        <w:t>程需临时占用的土地。临时占地的约定见合同</w:t>
      </w:r>
    </w:p>
    <w:p w14:paraId="013B2D19">
      <w:pPr>
        <w:spacing w:before="161" w:line="360" w:lineRule="auto"/>
        <w:jc w:val="left"/>
        <w:rPr>
          <w:rFonts w:hint="eastAsia" w:ascii="宋体" w:hAnsi="宋体" w:eastAsia="宋体" w:cs="宋体"/>
          <w:spacing w:val="6"/>
          <w:sz w:val="20"/>
          <w:szCs w:val="20"/>
        </w:rPr>
      </w:pPr>
      <w:r>
        <w:rPr>
          <w:rFonts w:hint="eastAsia" w:ascii="宋体" w:hAnsi="宋体" w:eastAsia="宋体" w:cs="宋体"/>
          <w:spacing w:val="6"/>
          <w:sz w:val="20"/>
          <w:szCs w:val="20"/>
        </w:rPr>
        <w:t>条款专用部分。</w:t>
      </w:r>
    </w:p>
    <w:p w14:paraId="7EE08F09">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6"/>
          <w:sz w:val="20"/>
          <w:szCs w:val="20"/>
        </w:rPr>
        <w:t>1.1</w:t>
      </w:r>
      <w:r>
        <w:rPr>
          <w:rFonts w:hint="eastAsia" w:ascii="宋体" w:hAnsi="宋体" w:eastAsia="宋体" w:cs="宋体"/>
          <w:spacing w:val="8"/>
          <w:sz w:val="20"/>
          <w:szCs w:val="20"/>
        </w:rPr>
        <w:t>.3.12  材料：指构成或将构成永久工程组成部分的各类物品(含工程设备)，包括合同中可能约定的承包人仅负责供应的材料。</w:t>
      </w:r>
    </w:p>
    <w:p w14:paraId="38E3AD61">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  日期</w:t>
      </w:r>
    </w:p>
    <w:p w14:paraId="27AAA32B">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1.1.4.1  开工通知：指监理人按第 11.1 款通知承包人开工的函件。</w:t>
      </w:r>
    </w:p>
    <w:p w14:paraId="1C82107C">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1.1.4.2  开工日期：指监理人按第 11.1 款发出的开工通知中写明的开工日期。</w:t>
      </w:r>
    </w:p>
    <w:p w14:paraId="0E90FCC9">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1.1.4.3  工期：指承包人在投标函中承诺的完成合同工程所需的期限，包括按第11.3 款、第 11.4 款和第 11.6 款约定所作的变更。</w:t>
      </w:r>
    </w:p>
    <w:p w14:paraId="2AA0B125">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1.1.4.4  竣工日期：指第 1.1.4.3 目约定工期届满时的日期。实际竣工日期以工程接收证书中写明的日期为准。</w:t>
      </w:r>
    </w:p>
    <w:p w14:paraId="02966297">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1.1.4.5  缺陷责任期：指履行第 19.2 款约定的缺陷责任的期限，包括根据第 19.3款约定所作的延长。缺陷责任期的具体期限见合同条款专用部分。</w:t>
      </w:r>
    </w:p>
    <w:p w14:paraId="71E47904">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1.1.4.6  基准日期：除合同条款专用部分另有约定外，指投标截止时间前 28 天的日期。</w:t>
      </w:r>
    </w:p>
    <w:p w14:paraId="6E4B03E6">
      <w:pPr>
        <w:spacing w:before="161" w:line="360" w:lineRule="auto"/>
        <w:ind w:left="19" w:right="94" w:firstLine="645"/>
        <w:jc w:val="left"/>
        <w:rPr>
          <w:rFonts w:hint="eastAsia" w:ascii="宋体" w:hAnsi="宋体" w:eastAsia="宋体" w:cs="宋体"/>
          <w:spacing w:val="8"/>
          <w:sz w:val="20"/>
          <w:szCs w:val="20"/>
        </w:rPr>
      </w:pPr>
      <w:r>
        <w:rPr>
          <w:rFonts w:hint="eastAsia" w:ascii="宋体" w:hAnsi="宋体" w:eastAsia="宋体" w:cs="宋体"/>
          <w:spacing w:val="8"/>
          <w:sz w:val="20"/>
          <w:szCs w:val="20"/>
        </w:rPr>
        <w:t>1.1.4.7  天：除特别指明外，指日历天。合同中按天计算时间的，开始当天不计入，从次日开始计算。期限最后一天的截止时间为当天 24:00。</w:t>
      </w:r>
    </w:p>
    <w:p w14:paraId="4EB1A0AE">
      <w:pPr>
        <w:spacing w:before="161" w:line="360" w:lineRule="auto"/>
        <w:ind w:left="19" w:right="94" w:firstLine="645"/>
        <w:jc w:val="left"/>
        <w:rPr>
          <w:rFonts w:hint="eastAsia" w:ascii="宋体" w:hAnsi="宋体" w:eastAsia="宋体" w:cs="宋体"/>
          <w:sz w:val="20"/>
          <w:szCs w:val="20"/>
        </w:rPr>
      </w:pPr>
      <w:r>
        <w:rPr>
          <w:rFonts w:hint="eastAsia" w:ascii="宋体" w:hAnsi="宋体" w:eastAsia="宋体" w:cs="宋体"/>
          <w:spacing w:val="8"/>
          <w:sz w:val="20"/>
          <w:szCs w:val="20"/>
        </w:rPr>
        <w:t>1.1.4.8  保修期：是根据现行有</w:t>
      </w:r>
      <w:r>
        <w:rPr>
          <w:rFonts w:hint="eastAsia" w:ascii="宋体" w:hAnsi="宋体" w:eastAsia="宋体" w:cs="宋体"/>
          <w:spacing w:val="5"/>
          <w:sz w:val="20"/>
          <w:szCs w:val="20"/>
        </w:rPr>
        <w:t>关法律规定，在合同条款第</w:t>
      </w:r>
      <w:r>
        <w:rPr>
          <w:rFonts w:hint="eastAsia" w:ascii="宋体" w:hAnsi="宋体" w:eastAsia="宋体" w:cs="宋体"/>
          <w:spacing w:val="-20"/>
          <w:sz w:val="20"/>
          <w:szCs w:val="20"/>
        </w:rPr>
        <w:t xml:space="preserve"> </w:t>
      </w:r>
      <w:r>
        <w:rPr>
          <w:rFonts w:hint="eastAsia" w:ascii="宋体" w:hAnsi="宋体" w:eastAsia="宋体" w:cs="宋体"/>
          <w:spacing w:val="5"/>
          <w:sz w:val="20"/>
          <w:szCs w:val="20"/>
        </w:rPr>
        <w:t>19.7</w:t>
      </w:r>
      <w:r>
        <w:rPr>
          <w:rFonts w:hint="eastAsia" w:ascii="宋体" w:hAnsi="宋体" w:eastAsia="宋体" w:cs="宋体"/>
          <w:spacing w:val="-40"/>
          <w:sz w:val="20"/>
          <w:szCs w:val="20"/>
        </w:rPr>
        <w:t xml:space="preserve"> </w:t>
      </w:r>
      <w:r>
        <w:rPr>
          <w:rFonts w:hint="eastAsia" w:ascii="宋体" w:hAnsi="宋体" w:eastAsia="宋体" w:cs="宋体"/>
          <w:spacing w:val="5"/>
          <w:sz w:val="20"/>
          <w:szCs w:val="20"/>
        </w:rPr>
        <w:t>款中约定的由承包</w:t>
      </w:r>
      <w:r>
        <w:rPr>
          <w:rFonts w:hint="eastAsia" w:ascii="宋体" w:hAnsi="宋体" w:eastAsia="宋体" w:cs="宋体"/>
          <w:spacing w:val="13"/>
          <w:sz w:val="20"/>
          <w:szCs w:val="20"/>
        </w:rPr>
        <w:t>人负责对合同约定的保修范围内发生的质量问题履行保修义务并对造成的损失</w:t>
      </w:r>
      <w:r>
        <w:rPr>
          <w:rFonts w:hint="eastAsia" w:ascii="宋体" w:hAnsi="宋体" w:eastAsia="宋体" w:cs="宋体"/>
          <w:spacing w:val="12"/>
          <w:sz w:val="20"/>
          <w:szCs w:val="20"/>
        </w:rPr>
        <w:t>承担赔偿责</w:t>
      </w:r>
      <w:r>
        <w:rPr>
          <w:rFonts w:hint="eastAsia" w:ascii="宋体" w:hAnsi="宋体" w:eastAsia="宋体" w:cs="宋体"/>
          <w:spacing w:val="6"/>
          <w:sz w:val="20"/>
          <w:szCs w:val="20"/>
        </w:rPr>
        <w:t>任的期限。</w:t>
      </w:r>
    </w:p>
    <w:p w14:paraId="63F6694C">
      <w:pPr>
        <w:spacing w:before="161"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1.1.5  合同价格和费用</w:t>
      </w:r>
    </w:p>
    <w:p w14:paraId="5A701416">
      <w:pPr>
        <w:spacing w:before="164" w:line="360" w:lineRule="auto"/>
        <w:ind w:left="20" w:right="94" w:firstLine="643"/>
        <w:jc w:val="left"/>
        <w:rPr>
          <w:rFonts w:hint="eastAsia" w:ascii="宋体" w:hAnsi="宋体" w:eastAsia="宋体" w:cs="宋体"/>
          <w:sz w:val="20"/>
          <w:szCs w:val="20"/>
        </w:rPr>
      </w:pPr>
      <w:r>
        <w:rPr>
          <w:rFonts w:hint="eastAsia" w:ascii="宋体" w:hAnsi="宋体" w:eastAsia="宋体" w:cs="宋体"/>
          <w:spacing w:val="9"/>
          <w:sz w:val="20"/>
          <w:szCs w:val="20"/>
        </w:rPr>
        <w:t>1.1.5.1  签约合同价：指签定合同时合同协议书中</w:t>
      </w:r>
      <w:r>
        <w:rPr>
          <w:rFonts w:hint="eastAsia" w:ascii="宋体" w:hAnsi="宋体" w:eastAsia="宋体" w:cs="宋体"/>
          <w:spacing w:val="8"/>
          <w:sz w:val="20"/>
          <w:szCs w:val="20"/>
        </w:rPr>
        <w:t>写明的，包括了暂列金额、暂估</w:t>
      </w:r>
      <w:r>
        <w:rPr>
          <w:rFonts w:hint="eastAsia" w:ascii="宋体" w:hAnsi="宋体" w:eastAsia="宋体" w:cs="宋体"/>
          <w:spacing w:val="7"/>
          <w:sz w:val="20"/>
          <w:szCs w:val="20"/>
        </w:rPr>
        <w:t>价的合同总金额。</w:t>
      </w:r>
    </w:p>
    <w:p w14:paraId="6B4D69B3">
      <w:pPr>
        <w:spacing w:before="161" w:line="360" w:lineRule="auto"/>
        <w:ind w:left="21" w:right="94" w:firstLine="642"/>
        <w:jc w:val="left"/>
        <w:rPr>
          <w:rFonts w:hint="eastAsia" w:ascii="宋体" w:hAnsi="宋体" w:eastAsia="宋体" w:cs="宋体"/>
          <w:sz w:val="20"/>
          <w:szCs w:val="20"/>
        </w:rPr>
      </w:pPr>
      <w:r>
        <w:rPr>
          <w:rFonts w:hint="eastAsia" w:ascii="宋体" w:hAnsi="宋体" w:eastAsia="宋体" w:cs="宋体"/>
          <w:spacing w:val="9"/>
          <w:sz w:val="20"/>
          <w:szCs w:val="20"/>
        </w:rPr>
        <w:t>1.1.5.2  合同价格：指承包人按合同约定完成了包</w:t>
      </w:r>
      <w:r>
        <w:rPr>
          <w:rFonts w:hint="eastAsia" w:ascii="宋体" w:hAnsi="宋体" w:eastAsia="宋体" w:cs="宋体"/>
          <w:spacing w:val="8"/>
          <w:sz w:val="20"/>
          <w:szCs w:val="20"/>
        </w:rPr>
        <w:t>括缺陷责任期内的全部承包工作</w:t>
      </w:r>
      <w:r>
        <w:rPr>
          <w:rFonts w:hint="eastAsia" w:ascii="宋体" w:hAnsi="宋体" w:eastAsia="宋体" w:cs="宋体"/>
          <w:spacing w:val="9"/>
          <w:sz w:val="20"/>
          <w:szCs w:val="20"/>
        </w:rPr>
        <w:t>后，发包人应付给承包人的金额，包括在履行合同过程中按合同约定进行的变更和调整。</w:t>
      </w:r>
    </w:p>
    <w:p w14:paraId="01F0DB93">
      <w:pPr>
        <w:spacing w:before="160" w:line="360" w:lineRule="auto"/>
        <w:ind w:left="19" w:right="94" w:firstLine="644"/>
        <w:jc w:val="left"/>
        <w:rPr>
          <w:rFonts w:hint="eastAsia" w:ascii="宋体" w:hAnsi="宋体" w:eastAsia="宋体" w:cs="宋体"/>
          <w:sz w:val="20"/>
          <w:szCs w:val="20"/>
        </w:rPr>
      </w:pPr>
      <w:r>
        <w:rPr>
          <w:rFonts w:hint="eastAsia" w:ascii="宋体" w:hAnsi="宋体" w:eastAsia="宋体" w:cs="宋体"/>
          <w:spacing w:val="9"/>
          <w:sz w:val="20"/>
          <w:szCs w:val="20"/>
        </w:rPr>
        <w:t>1.1.5.3  费用：指为履行合同所发生的或将要发生</w:t>
      </w:r>
      <w:r>
        <w:rPr>
          <w:rFonts w:hint="eastAsia" w:ascii="宋体" w:hAnsi="宋体" w:eastAsia="宋体" w:cs="宋体"/>
          <w:spacing w:val="8"/>
          <w:sz w:val="20"/>
          <w:szCs w:val="20"/>
        </w:rPr>
        <w:t>的所有合理开支，包括管理费和应分摊的其他费用，但不包括利润。</w:t>
      </w:r>
    </w:p>
    <w:p w14:paraId="079B17CC">
      <w:pPr>
        <w:spacing w:before="163" w:line="360" w:lineRule="auto"/>
        <w:ind w:left="22" w:right="94" w:firstLine="641"/>
        <w:jc w:val="left"/>
        <w:rPr>
          <w:rFonts w:hint="eastAsia" w:ascii="宋体" w:hAnsi="宋体" w:eastAsia="宋体" w:cs="宋体"/>
          <w:sz w:val="20"/>
          <w:szCs w:val="20"/>
        </w:rPr>
      </w:pPr>
      <w:r>
        <w:rPr>
          <w:rFonts w:hint="eastAsia" w:ascii="宋体" w:hAnsi="宋体" w:eastAsia="宋体" w:cs="宋体"/>
          <w:spacing w:val="9"/>
          <w:sz w:val="20"/>
          <w:szCs w:val="20"/>
        </w:rPr>
        <w:t>1.1.5.4  暂列金额：指合同清单中所列的暂列金额</w:t>
      </w:r>
      <w:r>
        <w:rPr>
          <w:rFonts w:hint="eastAsia" w:ascii="宋体" w:hAnsi="宋体" w:eastAsia="宋体" w:cs="宋体"/>
          <w:spacing w:val="8"/>
          <w:sz w:val="20"/>
          <w:szCs w:val="20"/>
        </w:rPr>
        <w:t>，用于在签订协议书时尚未确定</w:t>
      </w:r>
      <w:r>
        <w:rPr>
          <w:rFonts w:hint="eastAsia" w:ascii="宋体" w:hAnsi="宋体" w:eastAsia="宋体" w:cs="宋体"/>
          <w:spacing w:val="9"/>
          <w:sz w:val="20"/>
          <w:szCs w:val="20"/>
        </w:rPr>
        <w:t>或不可预见变更的施工及其所需材料、服务等的金额，包括以计日工方式支付的金额。</w:t>
      </w:r>
    </w:p>
    <w:p w14:paraId="3CE7BA2E">
      <w:pPr>
        <w:spacing w:before="161" w:line="360" w:lineRule="auto"/>
        <w:ind w:left="24" w:right="94" w:firstLine="639"/>
        <w:jc w:val="left"/>
        <w:rPr>
          <w:rFonts w:hint="eastAsia" w:ascii="宋体" w:hAnsi="宋体" w:eastAsia="宋体" w:cs="宋体"/>
          <w:sz w:val="20"/>
          <w:szCs w:val="20"/>
        </w:rPr>
      </w:pPr>
      <w:r>
        <w:rPr>
          <w:rFonts w:hint="eastAsia" w:ascii="宋体" w:hAnsi="宋体" w:eastAsia="宋体" w:cs="宋体"/>
          <w:spacing w:val="9"/>
          <w:sz w:val="20"/>
          <w:szCs w:val="20"/>
        </w:rPr>
        <w:t>1.1.5.5  暂估价：指发包人在工程量清单中给定的</w:t>
      </w:r>
      <w:r>
        <w:rPr>
          <w:rFonts w:hint="eastAsia" w:ascii="宋体" w:hAnsi="宋体" w:eastAsia="宋体" w:cs="宋体"/>
          <w:spacing w:val="8"/>
          <w:sz w:val="20"/>
          <w:szCs w:val="20"/>
        </w:rPr>
        <w:t>用于支付必然发生但暂时不能确定价格的材料以及专业工程的金额。</w:t>
      </w:r>
    </w:p>
    <w:p w14:paraId="76B6F64B">
      <w:pPr>
        <w:spacing w:before="164" w:line="360" w:lineRule="auto"/>
        <w:ind w:left="21" w:right="94" w:firstLine="642"/>
        <w:jc w:val="left"/>
        <w:rPr>
          <w:rFonts w:hint="eastAsia" w:ascii="宋体" w:hAnsi="宋体" w:eastAsia="宋体" w:cs="宋体"/>
          <w:sz w:val="20"/>
          <w:szCs w:val="20"/>
        </w:rPr>
      </w:pPr>
      <w:r>
        <w:rPr>
          <w:rFonts w:hint="eastAsia" w:ascii="宋体" w:hAnsi="宋体" w:eastAsia="宋体" w:cs="宋体"/>
          <w:spacing w:val="9"/>
          <w:sz w:val="20"/>
          <w:szCs w:val="20"/>
        </w:rPr>
        <w:t>1.1.5.6  计日工：指对零星工作采取的一种计价方</w:t>
      </w:r>
      <w:r>
        <w:rPr>
          <w:rFonts w:hint="eastAsia" w:ascii="宋体" w:hAnsi="宋体" w:eastAsia="宋体" w:cs="宋体"/>
          <w:spacing w:val="8"/>
          <w:sz w:val="20"/>
          <w:szCs w:val="20"/>
        </w:rPr>
        <w:t>式，按合同中的计日工项目及其</w:t>
      </w:r>
      <w:r>
        <w:rPr>
          <w:rFonts w:hint="eastAsia" w:ascii="宋体" w:hAnsi="宋体" w:eastAsia="宋体" w:cs="宋体"/>
          <w:spacing w:val="6"/>
          <w:sz w:val="20"/>
          <w:szCs w:val="20"/>
        </w:rPr>
        <w:t>单价计价付款。</w:t>
      </w:r>
    </w:p>
    <w:p w14:paraId="1C2E4FCD">
      <w:pPr>
        <w:spacing w:before="161" w:line="360" w:lineRule="auto"/>
        <w:ind w:left="21" w:right="22" w:firstLine="642"/>
        <w:jc w:val="left"/>
        <w:rPr>
          <w:rFonts w:hint="eastAsia" w:ascii="宋体" w:hAnsi="宋体" w:eastAsia="宋体" w:cs="宋体"/>
          <w:sz w:val="20"/>
          <w:szCs w:val="20"/>
        </w:rPr>
      </w:pPr>
      <w:r>
        <w:rPr>
          <w:rFonts w:hint="eastAsia" w:ascii="宋体" w:hAnsi="宋体" w:eastAsia="宋体" w:cs="宋体"/>
          <w:spacing w:val="9"/>
          <w:sz w:val="20"/>
          <w:szCs w:val="20"/>
        </w:rPr>
        <w:t>1.1.5.7  工程量清单缺陷：指招标工程量清单的分</w:t>
      </w:r>
      <w:r>
        <w:rPr>
          <w:rFonts w:hint="eastAsia" w:ascii="宋体" w:hAnsi="宋体" w:eastAsia="宋体" w:cs="宋体"/>
          <w:spacing w:val="8"/>
          <w:sz w:val="20"/>
          <w:szCs w:val="20"/>
        </w:rPr>
        <w:t>部分项工程项目清单中所列的清</w:t>
      </w:r>
      <w:r>
        <w:rPr>
          <w:rFonts w:hint="eastAsia" w:ascii="宋体" w:hAnsi="宋体" w:eastAsia="宋体" w:cs="宋体"/>
          <w:spacing w:val="4"/>
          <w:sz w:val="20"/>
          <w:szCs w:val="20"/>
        </w:rPr>
        <w:t>单项目与对应的签约图纸及签约规范的清单项目在列项、项目特征、工程数量上存在的差异。</w:t>
      </w:r>
    </w:p>
    <w:p w14:paraId="00DCDFD4">
      <w:pPr>
        <w:spacing w:before="65" w:line="360" w:lineRule="auto"/>
        <w:ind w:left="19" w:firstLine="436" w:firstLineChars="200"/>
        <w:jc w:val="left"/>
        <w:rPr>
          <w:rFonts w:hint="eastAsia" w:ascii="宋体" w:hAnsi="宋体" w:eastAsia="宋体" w:cs="宋体"/>
          <w:sz w:val="20"/>
          <w:szCs w:val="20"/>
        </w:rPr>
      </w:pPr>
      <w:r>
        <w:rPr>
          <w:rFonts w:hint="eastAsia" w:ascii="宋体" w:hAnsi="宋体" w:eastAsia="宋体" w:cs="宋体"/>
          <w:spacing w:val="9"/>
          <w:sz w:val="20"/>
          <w:szCs w:val="20"/>
        </w:rPr>
        <w:t>包括工程量清单多列项、错漏项,项目特征不符、工程数量偏差及其他同类。</w:t>
      </w:r>
    </w:p>
    <w:p w14:paraId="31F04DA2">
      <w:pPr>
        <w:spacing w:before="163" w:line="360" w:lineRule="auto"/>
        <w:ind w:left="45" w:right="68" w:firstLine="618"/>
        <w:jc w:val="left"/>
        <w:rPr>
          <w:rFonts w:hint="eastAsia" w:ascii="宋体" w:hAnsi="宋体" w:eastAsia="宋体" w:cs="宋体"/>
          <w:sz w:val="20"/>
          <w:szCs w:val="20"/>
        </w:rPr>
      </w:pPr>
      <w:r>
        <w:rPr>
          <w:rFonts w:hint="eastAsia" w:ascii="宋体" w:hAnsi="宋体" w:eastAsia="宋体" w:cs="宋体"/>
          <w:spacing w:val="7"/>
          <w:sz w:val="20"/>
          <w:szCs w:val="20"/>
        </w:rPr>
        <w:t>1.1.5.8  质量保证金（或称保留金</w:t>
      </w:r>
      <w:r>
        <w:rPr>
          <w:rFonts w:hint="eastAsia" w:ascii="宋体" w:hAnsi="宋体" w:eastAsia="宋体" w:cs="宋体"/>
          <w:spacing w:val="-36"/>
          <w:sz w:val="20"/>
          <w:szCs w:val="20"/>
        </w:rPr>
        <w:t>）：</w:t>
      </w:r>
      <w:r>
        <w:rPr>
          <w:rFonts w:hint="eastAsia" w:ascii="宋体" w:hAnsi="宋体" w:eastAsia="宋体" w:cs="宋体"/>
          <w:spacing w:val="7"/>
          <w:sz w:val="20"/>
          <w:szCs w:val="20"/>
        </w:rPr>
        <w:t>指按第</w:t>
      </w:r>
      <w:r>
        <w:rPr>
          <w:rFonts w:hint="eastAsia" w:ascii="宋体" w:hAnsi="宋体" w:eastAsia="宋体" w:cs="宋体"/>
          <w:spacing w:val="-20"/>
          <w:sz w:val="20"/>
          <w:szCs w:val="20"/>
        </w:rPr>
        <w:t xml:space="preserve"> </w:t>
      </w:r>
      <w:r>
        <w:rPr>
          <w:rFonts w:hint="eastAsia" w:ascii="宋体" w:hAnsi="宋体" w:eastAsia="宋体" w:cs="宋体"/>
          <w:spacing w:val="7"/>
          <w:sz w:val="20"/>
          <w:szCs w:val="20"/>
        </w:rPr>
        <w:t>17.4.1</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项约定</w:t>
      </w:r>
      <w:r>
        <w:rPr>
          <w:rFonts w:hint="eastAsia" w:ascii="宋体" w:hAnsi="宋体" w:eastAsia="宋体" w:cs="宋体"/>
          <w:spacing w:val="6"/>
          <w:sz w:val="20"/>
          <w:szCs w:val="20"/>
        </w:rPr>
        <w:t>用于保证在缺陷责任期内履行缺陷修复义务的金额。</w:t>
      </w:r>
    </w:p>
    <w:p w14:paraId="7FC32F83">
      <w:pPr>
        <w:spacing w:line="360" w:lineRule="auto"/>
        <w:ind w:left="455"/>
        <w:jc w:val="left"/>
        <w:rPr>
          <w:rFonts w:hint="eastAsia" w:ascii="宋体" w:hAnsi="宋体" w:eastAsia="宋体" w:cs="宋体"/>
          <w:sz w:val="20"/>
          <w:szCs w:val="20"/>
        </w:rPr>
      </w:pPr>
      <w:r>
        <w:rPr>
          <w:rFonts w:hint="eastAsia" w:ascii="宋体" w:hAnsi="宋体" w:eastAsia="宋体" w:cs="宋体"/>
          <w:spacing w:val="2"/>
          <w:sz w:val="20"/>
          <w:szCs w:val="20"/>
        </w:rPr>
        <w:t>1.1.6</w:t>
      </w:r>
      <w:r>
        <w:rPr>
          <w:rFonts w:hint="eastAsia" w:ascii="宋体" w:hAnsi="宋体" w:eastAsia="宋体" w:cs="宋体"/>
          <w:spacing w:val="14"/>
          <w:sz w:val="20"/>
          <w:szCs w:val="20"/>
        </w:rPr>
        <w:t xml:space="preserve">  </w:t>
      </w:r>
      <w:r>
        <w:rPr>
          <w:rFonts w:hint="eastAsia" w:ascii="宋体" w:hAnsi="宋体" w:eastAsia="宋体" w:cs="宋体"/>
          <w:spacing w:val="2"/>
          <w:sz w:val="20"/>
          <w:szCs w:val="20"/>
        </w:rPr>
        <w:t>书面形式</w:t>
      </w:r>
    </w:p>
    <w:p w14:paraId="3AEA4DDF">
      <w:pPr>
        <w:spacing w:before="160" w:line="360" w:lineRule="auto"/>
        <w:ind w:left="444"/>
        <w:jc w:val="left"/>
        <w:rPr>
          <w:rFonts w:hint="eastAsia" w:ascii="宋体" w:hAnsi="宋体" w:eastAsia="宋体" w:cs="宋体"/>
          <w:sz w:val="20"/>
          <w:szCs w:val="20"/>
        </w:rPr>
      </w:pPr>
      <w:r>
        <w:rPr>
          <w:rFonts w:hint="eastAsia" w:ascii="宋体" w:hAnsi="宋体" w:eastAsia="宋体" w:cs="宋体"/>
          <w:spacing w:val="8"/>
          <w:sz w:val="20"/>
          <w:szCs w:val="20"/>
        </w:rPr>
        <w:t>书面形式：指合同文件、信函、</w:t>
      </w:r>
      <w:r>
        <w:rPr>
          <w:rFonts w:hint="eastAsia" w:ascii="宋体" w:hAnsi="宋体" w:eastAsia="宋体" w:cs="宋体"/>
          <w:spacing w:val="-56"/>
          <w:sz w:val="20"/>
          <w:szCs w:val="20"/>
        </w:rPr>
        <w:t xml:space="preserve"> </w:t>
      </w:r>
      <w:r>
        <w:rPr>
          <w:rFonts w:hint="eastAsia" w:ascii="宋体" w:hAnsi="宋体" w:eastAsia="宋体" w:cs="宋体"/>
          <w:spacing w:val="8"/>
          <w:sz w:val="20"/>
          <w:szCs w:val="20"/>
        </w:rPr>
        <w:t>电报、传真等可以有形地表现所载内容的形式。</w:t>
      </w:r>
    </w:p>
    <w:p w14:paraId="3EC3B9F4">
      <w:pPr>
        <w:spacing w:before="161" w:line="360" w:lineRule="auto"/>
        <w:ind w:left="455"/>
        <w:jc w:val="left"/>
        <w:rPr>
          <w:rFonts w:hint="eastAsia" w:ascii="宋体" w:hAnsi="宋体" w:eastAsia="宋体" w:cs="宋体"/>
          <w:sz w:val="20"/>
          <w:szCs w:val="20"/>
        </w:rPr>
      </w:pPr>
      <w:r>
        <w:rPr>
          <w:rFonts w:hint="eastAsia" w:ascii="宋体" w:hAnsi="宋体" w:eastAsia="宋体" w:cs="宋体"/>
          <w:spacing w:val="6"/>
          <w:sz w:val="20"/>
          <w:szCs w:val="20"/>
        </w:rPr>
        <w:t>1.1.7  争议评审委员会（或机构）</w:t>
      </w:r>
    </w:p>
    <w:p w14:paraId="06854EB0">
      <w:pPr>
        <w:spacing w:before="163" w:line="360" w:lineRule="auto"/>
        <w:ind w:left="19" w:firstLine="424"/>
        <w:jc w:val="left"/>
        <w:rPr>
          <w:rFonts w:hint="eastAsia" w:ascii="宋体" w:hAnsi="宋体" w:eastAsia="宋体" w:cs="宋体"/>
          <w:sz w:val="20"/>
          <w:szCs w:val="20"/>
        </w:rPr>
      </w:pPr>
      <w:r>
        <w:rPr>
          <w:rFonts w:hint="eastAsia" w:ascii="宋体" w:hAnsi="宋体" w:eastAsia="宋体" w:cs="宋体"/>
          <w:spacing w:val="10"/>
          <w:sz w:val="20"/>
          <w:szCs w:val="20"/>
        </w:rPr>
        <w:t>争议评审委员会（或机构</w:t>
      </w:r>
      <w:r>
        <w:rPr>
          <w:rFonts w:hint="eastAsia" w:ascii="宋体" w:hAnsi="宋体" w:eastAsia="宋体" w:cs="宋体"/>
          <w:spacing w:val="-36"/>
          <w:sz w:val="20"/>
          <w:szCs w:val="20"/>
        </w:rPr>
        <w:t>）：</w:t>
      </w:r>
      <w:r>
        <w:rPr>
          <w:rFonts w:hint="eastAsia" w:ascii="宋体" w:hAnsi="宋体" w:eastAsia="宋体" w:cs="宋体"/>
          <w:spacing w:val="10"/>
          <w:sz w:val="20"/>
          <w:szCs w:val="20"/>
        </w:rPr>
        <w:t>是由发包人和承包人共同聘</w:t>
      </w:r>
      <w:r>
        <w:rPr>
          <w:rFonts w:hint="eastAsia" w:ascii="宋体" w:hAnsi="宋体" w:eastAsia="宋体" w:cs="宋体"/>
          <w:spacing w:val="9"/>
          <w:sz w:val="20"/>
          <w:szCs w:val="20"/>
        </w:rPr>
        <w:t>请的人员组成的独立、公正的第三方临时性组织，其组成人数为单数。争议评审委员会（或机构）负责对发包人和（或）</w:t>
      </w:r>
      <w:r>
        <w:rPr>
          <w:rFonts w:hint="eastAsia" w:ascii="宋体" w:hAnsi="宋体" w:eastAsia="宋体" w:cs="宋体"/>
          <w:spacing w:val="8"/>
          <w:sz w:val="20"/>
          <w:szCs w:val="20"/>
        </w:rPr>
        <w:t>承包人提请进行评审的本合同项下的争议进行评审</w:t>
      </w:r>
      <w:r>
        <w:rPr>
          <w:rFonts w:hint="eastAsia" w:ascii="宋体" w:hAnsi="宋体" w:eastAsia="宋体" w:cs="宋体"/>
          <w:spacing w:val="7"/>
          <w:sz w:val="20"/>
          <w:szCs w:val="20"/>
        </w:rPr>
        <w:t>并在规定的期限内给出评审意见，合同双</w:t>
      </w:r>
      <w:r>
        <w:rPr>
          <w:rFonts w:hint="eastAsia" w:ascii="宋体" w:hAnsi="宋体" w:eastAsia="宋体" w:cs="宋体"/>
          <w:spacing w:val="8"/>
          <w:sz w:val="20"/>
          <w:szCs w:val="20"/>
        </w:rPr>
        <w:t>方在规定的期限内均未对评审意见提出异议时，评</w:t>
      </w:r>
      <w:r>
        <w:rPr>
          <w:rFonts w:hint="eastAsia" w:ascii="宋体" w:hAnsi="宋体" w:eastAsia="宋体" w:cs="宋体"/>
          <w:spacing w:val="7"/>
          <w:sz w:val="20"/>
          <w:szCs w:val="20"/>
        </w:rPr>
        <w:t>审意见对合同双方有最终约束力。发包人</w:t>
      </w:r>
      <w:r>
        <w:rPr>
          <w:rFonts w:hint="eastAsia" w:ascii="宋体" w:hAnsi="宋体" w:eastAsia="宋体" w:cs="宋体"/>
          <w:spacing w:val="8"/>
          <w:sz w:val="20"/>
          <w:szCs w:val="20"/>
        </w:rPr>
        <w:t>和承包人应当分别与接受聘请的争议评审专</w:t>
      </w:r>
      <w:r>
        <w:rPr>
          <w:rFonts w:hint="eastAsia" w:ascii="宋体" w:hAnsi="宋体" w:eastAsia="宋体" w:cs="宋体"/>
          <w:spacing w:val="7"/>
          <w:sz w:val="20"/>
          <w:szCs w:val="20"/>
        </w:rPr>
        <w:t>家签订聘用协议，就评审的争议范围、评审意见</w:t>
      </w:r>
      <w:r>
        <w:rPr>
          <w:rFonts w:hint="eastAsia" w:ascii="宋体" w:hAnsi="宋体" w:eastAsia="宋体" w:cs="宋体"/>
          <w:spacing w:val="8"/>
          <w:sz w:val="20"/>
          <w:szCs w:val="20"/>
        </w:rPr>
        <w:t>效力等必要事项做出约定。</w:t>
      </w:r>
    </w:p>
    <w:p w14:paraId="4173D0D0">
      <w:pPr>
        <w:spacing w:before="1" w:line="360" w:lineRule="auto"/>
        <w:ind w:left="455"/>
        <w:jc w:val="left"/>
        <w:rPr>
          <w:rFonts w:hint="eastAsia" w:ascii="宋体" w:hAnsi="宋体" w:eastAsia="宋体" w:cs="宋体"/>
          <w:sz w:val="20"/>
          <w:szCs w:val="20"/>
        </w:rPr>
      </w:pPr>
      <w:r>
        <w:rPr>
          <w:rFonts w:hint="eastAsia" w:ascii="宋体" w:hAnsi="宋体" w:eastAsia="宋体" w:cs="宋体"/>
          <w:spacing w:val="6"/>
          <w:sz w:val="20"/>
          <w:szCs w:val="20"/>
        </w:rPr>
        <w:t>1.1.8  其他需要补充的内容</w:t>
      </w:r>
    </w:p>
    <w:p w14:paraId="5CC9D6CC">
      <w:pPr>
        <w:spacing w:before="159" w:line="360" w:lineRule="auto"/>
        <w:ind w:left="19" w:right="87" w:firstLine="435"/>
        <w:jc w:val="left"/>
        <w:rPr>
          <w:rFonts w:hint="eastAsia" w:ascii="宋体" w:hAnsi="宋体" w:eastAsia="宋体" w:cs="宋体"/>
          <w:sz w:val="20"/>
          <w:szCs w:val="20"/>
        </w:rPr>
      </w:pPr>
      <w:r>
        <w:rPr>
          <w:rFonts w:hint="eastAsia" w:ascii="宋体" w:hAnsi="宋体" w:eastAsia="宋体" w:cs="宋体"/>
          <w:spacing w:val="8"/>
          <w:sz w:val="20"/>
          <w:szCs w:val="20"/>
        </w:rPr>
        <w:t>1.1.8.1  签约图纸：指招标文件提供的设计文件和招标人在招标过程中发出的有关设计文件的补充、澄清或修改文件。</w:t>
      </w:r>
    </w:p>
    <w:p w14:paraId="1DC36AAF">
      <w:pPr>
        <w:spacing w:before="161" w:line="360" w:lineRule="auto"/>
        <w:ind w:left="21" w:right="68" w:firstLine="433"/>
        <w:jc w:val="left"/>
        <w:rPr>
          <w:rFonts w:hint="eastAsia" w:ascii="宋体" w:hAnsi="宋体" w:eastAsia="宋体" w:cs="宋体"/>
          <w:sz w:val="20"/>
          <w:szCs w:val="20"/>
        </w:rPr>
      </w:pPr>
      <w:r>
        <w:rPr>
          <w:rFonts w:hint="eastAsia" w:ascii="宋体" w:hAnsi="宋体" w:eastAsia="宋体" w:cs="宋体"/>
          <w:spacing w:val="8"/>
          <w:sz w:val="20"/>
          <w:szCs w:val="20"/>
        </w:rPr>
        <w:t>1.1.8.2  签约规范：指招标文件提供的说明合同工程的材料标准或要求、工程技术标准、施工验收标准等的技术要求文件，和招标</w:t>
      </w:r>
      <w:r>
        <w:rPr>
          <w:rFonts w:hint="eastAsia" w:ascii="宋体" w:hAnsi="宋体" w:eastAsia="宋体" w:cs="宋体"/>
          <w:spacing w:val="7"/>
          <w:sz w:val="20"/>
          <w:szCs w:val="20"/>
        </w:rPr>
        <w:t>人在招标过程中发出的有关技术要求文件的补充、澄清或修改文件。</w:t>
      </w:r>
    </w:p>
    <w:p w14:paraId="3B960544">
      <w:pPr>
        <w:spacing w:before="160" w:line="360" w:lineRule="auto"/>
        <w:ind w:left="36" w:right="87" w:firstLine="418"/>
        <w:jc w:val="left"/>
        <w:rPr>
          <w:rFonts w:hint="eastAsia" w:ascii="宋体" w:hAnsi="宋体" w:eastAsia="宋体" w:cs="宋体"/>
          <w:sz w:val="20"/>
          <w:szCs w:val="20"/>
        </w:rPr>
      </w:pPr>
      <w:r>
        <w:rPr>
          <w:rFonts w:hint="eastAsia" w:ascii="宋体" w:hAnsi="宋体" w:eastAsia="宋体" w:cs="宋体"/>
          <w:spacing w:val="8"/>
          <w:sz w:val="20"/>
          <w:szCs w:val="20"/>
        </w:rPr>
        <w:t>1.1.8.3  已标价工程量清单：指构成合同文件组成部分的由承包人在投标时按照规定的格式和要求填写并标明价格的工程量清单。</w:t>
      </w:r>
    </w:p>
    <w:p w14:paraId="4D22862F">
      <w:pPr>
        <w:spacing w:before="164" w:line="360" w:lineRule="auto"/>
        <w:ind w:left="20" w:right="70" w:firstLine="434"/>
        <w:jc w:val="left"/>
        <w:rPr>
          <w:rFonts w:hint="eastAsia" w:ascii="宋体" w:hAnsi="宋体" w:eastAsia="宋体" w:cs="宋体"/>
          <w:sz w:val="20"/>
          <w:szCs w:val="20"/>
        </w:rPr>
      </w:pPr>
      <w:r>
        <w:rPr>
          <w:rFonts w:hint="eastAsia" w:ascii="宋体" w:hAnsi="宋体" w:eastAsia="宋体" w:cs="宋体"/>
          <w:spacing w:val="6"/>
          <w:sz w:val="20"/>
          <w:szCs w:val="20"/>
        </w:rPr>
        <w:t>1.1.8.4  合同单价：承包人在已标价工程量清单内所报的综合单价,以及承包人投标报</w:t>
      </w:r>
      <w:r>
        <w:rPr>
          <w:rFonts w:hint="eastAsia" w:ascii="宋体" w:hAnsi="宋体" w:eastAsia="宋体" w:cs="宋体"/>
          <w:spacing w:val="9"/>
          <w:sz w:val="20"/>
          <w:szCs w:val="20"/>
        </w:rPr>
        <w:t>价澄清或说明中获得发包人接纳的修正综合单价。</w:t>
      </w:r>
    </w:p>
    <w:p w14:paraId="18397EED">
      <w:pPr>
        <w:spacing w:before="162" w:line="360" w:lineRule="auto"/>
        <w:ind w:left="455"/>
        <w:jc w:val="left"/>
        <w:rPr>
          <w:rFonts w:hint="eastAsia" w:ascii="宋体" w:hAnsi="宋体" w:eastAsia="宋体" w:cs="宋体"/>
          <w:sz w:val="20"/>
          <w:szCs w:val="20"/>
        </w:rPr>
      </w:pPr>
      <w:r>
        <w:rPr>
          <w:rFonts w:hint="eastAsia" w:ascii="宋体" w:hAnsi="宋体" w:eastAsia="宋体" w:cs="宋体"/>
          <w:spacing w:val="7"/>
          <w:sz w:val="20"/>
          <w:szCs w:val="20"/>
        </w:rPr>
        <w:t>1.1.8.5  其他需要补充的内容见合同条款专用部分。</w:t>
      </w:r>
    </w:p>
    <w:p w14:paraId="18E063A6">
      <w:pPr>
        <w:spacing w:before="284" w:line="360" w:lineRule="auto"/>
        <w:ind w:left="38"/>
        <w:jc w:val="left"/>
        <w:outlineLvl w:val="2"/>
        <w:rPr>
          <w:rFonts w:hint="eastAsia" w:ascii="宋体" w:hAnsi="宋体" w:eastAsia="宋体" w:cs="宋体"/>
          <w:sz w:val="24"/>
          <w:szCs w:val="24"/>
        </w:rPr>
      </w:pPr>
      <w:r>
        <w:rPr>
          <w:rFonts w:hint="eastAsia" w:ascii="宋体" w:hAnsi="宋体" w:eastAsia="宋体" w:cs="宋体"/>
          <w:spacing w:val="-6"/>
          <w:sz w:val="24"/>
          <w:szCs w:val="24"/>
        </w:rPr>
        <w:t>1.2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语言文字</w:t>
      </w:r>
    </w:p>
    <w:p w14:paraId="3148093F">
      <w:pPr>
        <w:spacing w:before="297" w:line="360" w:lineRule="auto"/>
        <w:ind w:left="452"/>
        <w:jc w:val="left"/>
        <w:rPr>
          <w:rFonts w:hint="eastAsia" w:ascii="宋体" w:hAnsi="宋体" w:eastAsia="宋体" w:cs="宋体"/>
          <w:sz w:val="20"/>
          <w:szCs w:val="20"/>
        </w:rPr>
      </w:pPr>
      <w:r>
        <w:rPr>
          <w:rFonts w:hint="eastAsia" w:ascii="宋体" w:hAnsi="宋体" w:eastAsia="宋体" w:cs="宋体"/>
          <w:spacing w:val="9"/>
          <w:sz w:val="20"/>
          <w:szCs w:val="20"/>
        </w:rPr>
        <w:t>除专用术语外，合同使用的语言文字为中文。必要时专用术语应附有中文注释。</w:t>
      </w:r>
    </w:p>
    <w:p w14:paraId="4DB0A056">
      <w:pPr>
        <w:spacing w:before="286" w:line="360" w:lineRule="auto"/>
        <w:ind w:left="38"/>
        <w:jc w:val="left"/>
        <w:outlineLvl w:val="2"/>
        <w:rPr>
          <w:rFonts w:hint="eastAsia" w:ascii="宋体" w:hAnsi="宋体" w:eastAsia="宋体" w:cs="宋体"/>
          <w:sz w:val="24"/>
          <w:szCs w:val="24"/>
        </w:rPr>
      </w:pPr>
      <w:r>
        <w:rPr>
          <w:rFonts w:hint="eastAsia" w:ascii="宋体" w:hAnsi="宋体" w:eastAsia="宋体" w:cs="宋体"/>
          <w:spacing w:val="-8"/>
          <w:sz w:val="24"/>
          <w:szCs w:val="24"/>
        </w:rPr>
        <w:t>1.3</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法律</w:t>
      </w:r>
    </w:p>
    <w:p w14:paraId="2DEB2916">
      <w:pPr>
        <w:spacing w:before="297" w:line="360" w:lineRule="auto"/>
        <w:ind w:left="19" w:right="70" w:firstLine="420"/>
        <w:jc w:val="left"/>
        <w:rPr>
          <w:rFonts w:hint="eastAsia" w:ascii="宋体" w:hAnsi="宋体" w:eastAsia="宋体" w:cs="宋体"/>
          <w:sz w:val="20"/>
          <w:szCs w:val="20"/>
        </w:rPr>
      </w:pPr>
      <w:r>
        <w:rPr>
          <w:rFonts w:hint="eastAsia" w:ascii="宋体" w:hAnsi="宋体" w:eastAsia="宋体" w:cs="宋体"/>
          <w:spacing w:val="7"/>
          <w:sz w:val="20"/>
          <w:szCs w:val="20"/>
        </w:rPr>
        <w:t>适用于合同的法律包括中华人民共和国法律、行政法规、部门规章，以及工程所在地的地方法规、</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自治条例、单行条例和地方政府</w:t>
      </w:r>
      <w:r>
        <w:rPr>
          <w:rFonts w:hint="eastAsia" w:ascii="宋体" w:hAnsi="宋体" w:eastAsia="宋体" w:cs="宋体"/>
          <w:spacing w:val="6"/>
          <w:sz w:val="20"/>
          <w:szCs w:val="20"/>
        </w:rPr>
        <w:t>规章。</w:t>
      </w:r>
    </w:p>
    <w:p w14:paraId="702E0E8C">
      <w:pPr>
        <w:spacing w:before="122"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1.4  合同文件的优先顺序</w:t>
      </w:r>
    </w:p>
    <w:p w14:paraId="036718DD">
      <w:pPr>
        <w:spacing w:before="297" w:line="360" w:lineRule="auto"/>
        <w:ind w:left="40" w:right="68" w:firstLine="402"/>
        <w:jc w:val="left"/>
        <w:rPr>
          <w:rFonts w:hint="eastAsia" w:ascii="宋体" w:hAnsi="宋体" w:eastAsia="宋体" w:cs="宋体"/>
          <w:sz w:val="20"/>
          <w:szCs w:val="20"/>
        </w:rPr>
      </w:pPr>
      <w:r>
        <w:rPr>
          <w:rFonts w:hint="eastAsia" w:ascii="宋体" w:hAnsi="宋体" w:eastAsia="宋体" w:cs="宋体"/>
          <w:spacing w:val="7"/>
          <w:sz w:val="20"/>
          <w:szCs w:val="20"/>
        </w:rPr>
        <w:t>组成合同的各项文件应互相解释，互为说明。除合同条款专用部分另有约定外，解释合</w:t>
      </w:r>
      <w:r>
        <w:rPr>
          <w:rFonts w:hint="eastAsia" w:ascii="宋体" w:hAnsi="宋体" w:eastAsia="宋体" w:cs="宋体"/>
          <w:spacing w:val="6"/>
          <w:sz w:val="20"/>
          <w:szCs w:val="20"/>
        </w:rPr>
        <w:t>同文件的优先顺序如下：</w:t>
      </w:r>
    </w:p>
    <w:p w14:paraId="22B94080">
      <w:pPr>
        <w:spacing w:before="1" w:line="360" w:lineRule="auto"/>
        <w:ind w:left="344"/>
        <w:jc w:val="left"/>
        <w:rPr>
          <w:rFonts w:hint="eastAsia" w:ascii="宋体" w:hAnsi="宋体" w:eastAsia="宋体" w:cs="宋体"/>
        </w:rPr>
      </w:pPr>
      <w:r>
        <w:rPr>
          <w:rFonts w:hint="eastAsia" w:ascii="宋体" w:hAnsi="宋体" w:eastAsia="宋体" w:cs="宋体"/>
          <w:spacing w:val="5"/>
          <w:sz w:val="20"/>
          <w:szCs w:val="20"/>
        </w:rPr>
        <w:t>（1）合同协议书；</w:t>
      </w:r>
    </w:p>
    <w:p w14:paraId="45316BB1">
      <w:pPr>
        <w:spacing w:before="65" w:line="360" w:lineRule="auto"/>
        <w:ind w:left="344"/>
        <w:jc w:val="left"/>
        <w:rPr>
          <w:rFonts w:hint="eastAsia" w:ascii="宋体" w:hAnsi="宋体" w:eastAsia="宋体" w:cs="宋体"/>
          <w:sz w:val="20"/>
          <w:szCs w:val="20"/>
        </w:rPr>
      </w:pPr>
      <w:r>
        <w:rPr>
          <w:rFonts w:hint="eastAsia" w:ascii="宋体" w:hAnsi="宋体" w:eastAsia="宋体" w:cs="宋体"/>
          <w:spacing w:val="5"/>
          <w:sz w:val="20"/>
          <w:szCs w:val="20"/>
        </w:rPr>
        <w:t>（2）中标通知书；</w:t>
      </w:r>
    </w:p>
    <w:p w14:paraId="18D67F67">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7"/>
          <w:sz w:val="20"/>
          <w:szCs w:val="20"/>
        </w:rPr>
        <w:t>（3）投标函及投标函附录；</w:t>
      </w:r>
    </w:p>
    <w:p w14:paraId="1258C9BD">
      <w:pPr>
        <w:spacing w:before="164" w:line="360" w:lineRule="auto"/>
        <w:ind w:left="344"/>
        <w:jc w:val="left"/>
        <w:rPr>
          <w:rFonts w:hint="eastAsia" w:ascii="宋体" w:hAnsi="宋体" w:eastAsia="宋体" w:cs="宋体"/>
          <w:sz w:val="20"/>
          <w:szCs w:val="20"/>
        </w:rPr>
      </w:pPr>
      <w:r>
        <w:rPr>
          <w:rFonts w:hint="eastAsia" w:ascii="宋体" w:hAnsi="宋体" w:eastAsia="宋体" w:cs="宋体"/>
          <w:spacing w:val="7"/>
          <w:sz w:val="20"/>
          <w:szCs w:val="20"/>
        </w:rPr>
        <w:t>（4）合同条款专用部分；</w:t>
      </w:r>
    </w:p>
    <w:p w14:paraId="3DDFE244">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7"/>
          <w:sz w:val="20"/>
          <w:szCs w:val="20"/>
        </w:rPr>
        <w:t>（5）合同条款通用部分；</w:t>
      </w:r>
    </w:p>
    <w:p w14:paraId="7EB7CA66">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6"/>
          <w:sz w:val="20"/>
          <w:szCs w:val="20"/>
        </w:rPr>
        <w:t>（6）技术标准和要求；</w:t>
      </w:r>
    </w:p>
    <w:p w14:paraId="422CCF6F">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4"/>
          <w:sz w:val="20"/>
          <w:szCs w:val="20"/>
        </w:rPr>
        <w:t>（7）图纸；</w:t>
      </w:r>
    </w:p>
    <w:p w14:paraId="4776DAB9">
      <w:pPr>
        <w:spacing w:before="162" w:line="360" w:lineRule="auto"/>
        <w:ind w:left="344"/>
        <w:jc w:val="left"/>
        <w:rPr>
          <w:rFonts w:hint="eastAsia" w:ascii="宋体" w:hAnsi="宋体" w:eastAsia="宋体" w:cs="宋体"/>
          <w:sz w:val="20"/>
          <w:szCs w:val="20"/>
        </w:rPr>
      </w:pPr>
      <w:r>
        <w:rPr>
          <w:rFonts w:hint="eastAsia" w:ascii="宋体" w:hAnsi="宋体" w:eastAsia="宋体" w:cs="宋体"/>
          <w:spacing w:val="5"/>
          <w:sz w:val="20"/>
          <w:szCs w:val="20"/>
        </w:rPr>
        <w:t>（8）合同清单；</w:t>
      </w:r>
    </w:p>
    <w:p w14:paraId="62DED87E">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6"/>
          <w:sz w:val="20"/>
          <w:szCs w:val="20"/>
        </w:rPr>
        <w:t>（9）其他合同文件。</w:t>
      </w:r>
    </w:p>
    <w:p w14:paraId="09FAA928">
      <w:pPr>
        <w:spacing w:before="160" w:line="360" w:lineRule="auto"/>
        <w:ind w:left="19" w:right="177" w:firstLine="436"/>
        <w:jc w:val="left"/>
        <w:rPr>
          <w:rFonts w:hint="eastAsia" w:ascii="宋体" w:hAnsi="宋体" w:eastAsia="宋体" w:cs="宋体"/>
          <w:sz w:val="20"/>
          <w:szCs w:val="20"/>
        </w:rPr>
      </w:pPr>
      <w:r>
        <w:rPr>
          <w:rFonts w:hint="eastAsia" w:ascii="宋体" w:hAnsi="宋体" w:eastAsia="宋体" w:cs="宋体"/>
          <w:spacing w:val="7"/>
          <w:sz w:val="20"/>
          <w:szCs w:val="20"/>
        </w:rPr>
        <w:t>附注：构成合同文件的图纸与技术标准和要求之间有矛盾或者不一致的，应以其</w:t>
      </w:r>
      <w:r>
        <w:rPr>
          <w:rFonts w:hint="eastAsia" w:ascii="宋体" w:hAnsi="宋体" w:eastAsia="宋体" w:cs="宋体"/>
          <w:spacing w:val="6"/>
          <w:sz w:val="20"/>
          <w:szCs w:val="20"/>
        </w:rPr>
        <w:t>中要求</w:t>
      </w:r>
      <w:r>
        <w:rPr>
          <w:rFonts w:hint="eastAsia" w:ascii="宋体" w:hAnsi="宋体" w:eastAsia="宋体" w:cs="宋体"/>
          <w:spacing w:val="7"/>
          <w:sz w:val="20"/>
          <w:szCs w:val="20"/>
        </w:rPr>
        <w:t>较严格的标准为准。</w:t>
      </w:r>
    </w:p>
    <w:p w14:paraId="42C8E049">
      <w:pPr>
        <w:spacing w:before="2" w:line="360" w:lineRule="auto"/>
        <w:ind w:left="19" w:right="174" w:firstLine="421"/>
        <w:jc w:val="left"/>
        <w:rPr>
          <w:rFonts w:hint="eastAsia" w:ascii="宋体" w:hAnsi="宋体" w:eastAsia="宋体" w:cs="宋体"/>
          <w:sz w:val="20"/>
          <w:szCs w:val="20"/>
        </w:rPr>
      </w:pPr>
      <w:r>
        <w:rPr>
          <w:rFonts w:hint="eastAsia" w:ascii="宋体" w:hAnsi="宋体" w:eastAsia="宋体" w:cs="宋体"/>
          <w:spacing w:val="7"/>
          <w:sz w:val="20"/>
          <w:szCs w:val="20"/>
        </w:rPr>
        <w:t>合同双方在合同履行过程中签署的不背离合同实质性内容的补充协议，应当视为合同文</w:t>
      </w:r>
      <w:r>
        <w:rPr>
          <w:rFonts w:hint="eastAsia" w:ascii="宋体" w:hAnsi="宋体" w:eastAsia="宋体" w:cs="宋体"/>
          <w:spacing w:val="9"/>
          <w:sz w:val="20"/>
          <w:szCs w:val="20"/>
        </w:rPr>
        <w:t>件的有效组成部分，其解释顺序视其内容与其他合同文件的相互关系而定。</w:t>
      </w:r>
    </w:p>
    <w:p w14:paraId="0687E6E6">
      <w:pPr>
        <w:spacing w:before="122" w:line="360" w:lineRule="auto"/>
        <w:ind w:left="38"/>
        <w:jc w:val="left"/>
        <w:outlineLvl w:val="2"/>
        <w:rPr>
          <w:rFonts w:hint="eastAsia" w:ascii="宋体" w:hAnsi="宋体" w:eastAsia="宋体" w:cs="宋体"/>
          <w:sz w:val="24"/>
          <w:szCs w:val="24"/>
        </w:rPr>
      </w:pPr>
      <w:r>
        <w:rPr>
          <w:rFonts w:hint="eastAsia" w:ascii="宋体" w:hAnsi="宋体" w:eastAsia="宋体" w:cs="宋体"/>
          <w:spacing w:val="-3"/>
          <w:sz w:val="24"/>
          <w:szCs w:val="24"/>
        </w:rPr>
        <w:t>1.5  合同协议书</w:t>
      </w:r>
    </w:p>
    <w:p w14:paraId="15A17683">
      <w:pPr>
        <w:spacing w:before="297" w:line="360" w:lineRule="auto"/>
        <w:ind w:left="20" w:firstLine="421"/>
        <w:jc w:val="left"/>
        <w:rPr>
          <w:rFonts w:hint="eastAsia" w:ascii="宋体" w:hAnsi="宋体" w:eastAsia="宋体" w:cs="宋体"/>
          <w:sz w:val="20"/>
          <w:szCs w:val="20"/>
        </w:rPr>
      </w:pPr>
      <w:r>
        <w:rPr>
          <w:rFonts w:hint="eastAsia" w:ascii="宋体" w:hAnsi="宋体" w:eastAsia="宋体" w:cs="宋体"/>
          <w:spacing w:val="7"/>
          <w:sz w:val="20"/>
          <w:szCs w:val="20"/>
        </w:rPr>
        <w:t>指由发包人与承包人共同签署的用于明确当事人合同关系的文件。承包人按照中标通知书规定的时间与发包人签订的合同协议书，除法律另有规定或合同条</w:t>
      </w:r>
      <w:r>
        <w:rPr>
          <w:rFonts w:hint="eastAsia" w:ascii="宋体" w:hAnsi="宋体" w:eastAsia="宋体" w:cs="宋体"/>
          <w:spacing w:val="6"/>
          <w:sz w:val="20"/>
          <w:szCs w:val="20"/>
        </w:rPr>
        <w:t>款专用部分另有约定外，</w:t>
      </w:r>
      <w:r>
        <w:rPr>
          <w:rFonts w:hint="eastAsia" w:ascii="宋体" w:hAnsi="宋体" w:eastAsia="宋体" w:cs="宋体"/>
          <w:spacing w:val="7"/>
          <w:sz w:val="20"/>
          <w:szCs w:val="20"/>
        </w:rPr>
        <w:t>发包人和承包人的法定代表人或其委托代理人在合同协议书上签字并</w:t>
      </w:r>
      <w:r>
        <w:rPr>
          <w:rFonts w:hint="eastAsia" w:ascii="宋体" w:hAnsi="宋体" w:eastAsia="宋体" w:cs="宋体"/>
          <w:spacing w:val="6"/>
          <w:sz w:val="20"/>
          <w:szCs w:val="20"/>
        </w:rPr>
        <w:t>盖单位章后，合同生效。</w:t>
      </w:r>
      <w:r>
        <w:rPr>
          <w:rFonts w:hint="eastAsia" w:ascii="宋体" w:hAnsi="宋体" w:eastAsia="宋体" w:cs="宋体"/>
          <w:spacing w:val="8"/>
          <w:sz w:val="20"/>
          <w:szCs w:val="20"/>
        </w:rPr>
        <w:t>合同生效的条件见合同条款专用部分。</w:t>
      </w:r>
    </w:p>
    <w:p w14:paraId="3D942BD7">
      <w:pPr>
        <w:spacing w:before="120" w:line="360" w:lineRule="auto"/>
        <w:ind w:left="38"/>
        <w:jc w:val="left"/>
        <w:outlineLvl w:val="2"/>
        <w:rPr>
          <w:rFonts w:hint="eastAsia" w:ascii="宋体" w:hAnsi="宋体" w:eastAsia="宋体" w:cs="宋体"/>
          <w:sz w:val="24"/>
          <w:szCs w:val="24"/>
        </w:rPr>
      </w:pPr>
      <w:r>
        <w:rPr>
          <w:rFonts w:hint="eastAsia" w:ascii="宋体" w:hAnsi="宋体" w:eastAsia="宋体" w:cs="宋体"/>
          <w:spacing w:val="-6"/>
          <w:sz w:val="24"/>
          <w:szCs w:val="24"/>
        </w:rPr>
        <w:t>1.6</w:t>
      </w:r>
      <w:r>
        <w:rPr>
          <w:rFonts w:hint="eastAsia" w:ascii="宋体" w:hAnsi="宋体" w:eastAsia="宋体" w:cs="宋体"/>
          <w:spacing w:val="18"/>
          <w:sz w:val="24"/>
          <w:szCs w:val="24"/>
        </w:rPr>
        <w:t xml:space="preserve">  </w:t>
      </w:r>
      <w:r>
        <w:rPr>
          <w:rFonts w:hint="eastAsia" w:ascii="宋体" w:hAnsi="宋体" w:eastAsia="宋体" w:cs="宋体"/>
          <w:spacing w:val="-6"/>
          <w:sz w:val="24"/>
          <w:szCs w:val="24"/>
        </w:rPr>
        <w:t>图纸和承包人文件</w:t>
      </w:r>
    </w:p>
    <w:p w14:paraId="1278046B">
      <w:pPr>
        <w:spacing w:before="297" w:line="360" w:lineRule="auto"/>
        <w:ind w:left="455"/>
        <w:jc w:val="left"/>
        <w:rPr>
          <w:rFonts w:hint="eastAsia" w:ascii="宋体" w:hAnsi="宋体" w:eastAsia="宋体" w:cs="宋体"/>
          <w:sz w:val="20"/>
          <w:szCs w:val="20"/>
        </w:rPr>
      </w:pPr>
      <w:r>
        <w:rPr>
          <w:rFonts w:hint="eastAsia" w:ascii="宋体" w:hAnsi="宋体" w:eastAsia="宋体" w:cs="宋体"/>
          <w:spacing w:val="2"/>
          <w:sz w:val="20"/>
          <w:szCs w:val="20"/>
        </w:rPr>
        <w:t>1.6.1</w:t>
      </w:r>
      <w:r>
        <w:rPr>
          <w:rFonts w:hint="eastAsia" w:ascii="宋体" w:hAnsi="宋体" w:eastAsia="宋体" w:cs="宋体"/>
          <w:spacing w:val="19"/>
          <w:sz w:val="20"/>
          <w:szCs w:val="20"/>
        </w:rPr>
        <w:t xml:space="preserve">  </w:t>
      </w:r>
      <w:r>
        <w:rPr>
          <w:rFonts w:hint="eastAsia" w:ascii="宋体" w:hAnsi="宋体" w:eastAsia="宋体" w:cs="宋体"/>
          <w:spacing w:val="2"/>
          <w:sz w:val="20"/>
          <w:szCs w:val="20"/>
        </w:rPr>
        <w:t>图纸的提供</w:t>
      </w:r>
    </w:p>
    <w:p w14:paraId="05F2A393">
      <w:pPr>
        <w:spacing w:before="162" w:line="360" w:lineRule="auto"/>
        <w:ind w:left="19" w:right="121" w:firstLine="430"/>
        <w:jc w:val="left"/>
        <w:rPr>
          <w:rFonts w:hint="eastAsia" w:ascii="宋体" w:hAnsi="宋体" w:eastAsia="宋体" w:cs="宋体"/>
          <w:sz w:val="20"/>
          <w:szCs w:val="20"/>
        </w:rPr>
      </w:pPr>
      <w:r>
        <w:rPr>
          <w:rFonts w:hint="eastAsia" w:ascii="宋体" w:hAnsi="宋体" w:eastAsia="宋体" w:cs="宋体"/>
          <w:spacing w:val="6"/>
          <w:sz w:val="20"/>
          <w:szCs w:val="20"/>
        </w:rPr>
        <w:t>（1）发包人按照合同约定向承包人提供图纸。发包人未按时提供图</w:t>
      </w:r>
      <w:r>
        <w:rPr>
          <w:rFonts w:hint="eastAsia" w:ascii="宋体" w:hAnsi="宋体" w:eastAsia="宋体" w:cs="宋体"/>
          <w:spacing w:val="5"/>
          <w:sz w:val="20"/>
          <w:szCs w:val="20"/>
        </w:rPr>
        <w:t>纸造成工期延误的，</w:t>
      </w:r>
      <w:r>
        <w:rPr>
          <w:rFonts w:hint="eastAsia" w:ascii="宋体" w:hAnsi="宋体" w:eastAsia="宋体" w:cs="宋体"/>
          <w:spacing w:val="8"/>
          <w:sz w:val="20"/>
          <w:szCs w:val="20"/>
        </w:rPr>
        <w:t>按第</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11.3</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款的约定办理。承包人需要增加图纸套数的，发包人应代为复制，复制费用由承</w:t>
      </w:r>
      <w:r>
        <w:rPr>
          <w:rFonts w:hint="eastAsia" w:ascii="宋体" w:hAnsi="宋体" w:eastAsia="宋体" w:cs="宋体"/>
          <w:spacing w:val="5"/>
          <w:sz w:val="20"/>
          <w:szCs w:val="20"/>
        </w:rPr>
        <w:t>包人承担。</w:t>
      </w:r>
    </w:p>
    <w:p w14:paraId="470CAED0">
      <w:pPr>
        <w:spacing w:before="164" w:line="360" w:lineRule="auto"/>
        <w:ind w:left="19" w:right="174" w:firstLine="430"/>
        <w:jc w:val="left"/>
        <w:rPr>
          <w:rFonts w:hint="eastAsia" w:ascii="宋体" w:hAnsi="宋体" w:eastAsia="宋体" w:cs="宋体"/>
          <w:sz w:val="20"/>
          <w:szCs w:val="20"/>
        </w:rPr>
      </w:pPr>
      <w:r>
        <w:rPr>
          <w:rFonts w:hint="eastAsia" w:ascii="宋体" w:hAnsi="宋体" w:eastAsia="宋体" w:cs="宋体"/>
          <w:spacing w:val="6"/>
          <w:sz w:val="20"/>
          <w:szCs w:val="20"/>
        </w:rPr>
        <w:t>（2）依据合同条款专用部分第</w:t>
      </w:r>
      <w:r>
        <w:rPr>
          <w:rFonts w:hint="eastAsia" w:ascii="宋体" w:hAnsi="宋体" w:eastAsia="宋体" w:cs="宋体"/>
          <w:spacing w:val="-24"/>
          <w:sz w:val="20"/>
          <w:szCs w:val="20"/>
        </w:rPr>
        <w:t xml:space="preserve"> </w:t>
      </w:r>
      <w:r>
        <w:rPr>
          <w:rFonts w:hint="eastAsia" w:ascii="宋体" w:hAnsi="宋体" w:eastAsia="宋体" w:cs="宋体"/>
          <w:spacing w:val="6"/>
          <w:sz w:val="20"/>
          <w:szCs w:val="20"/>
        </w:rPr>
        <w:t>10.1</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款约定制定的合同进度计划，或依据合</w:t>
      </w:r>
      <w:r>
        <w:rPr>
          <w:rFonts w:hint="eastAsia" w:ascii="宋体" w:hAnsi="宋体" w:eastAsia="宋体" w:cs="宋体"/>
          <w:spacing w:val="5"/>
          <w:sz w:val="20"/>
          <w:szCs w:val="20"/>
        </w:rPr>
        <w:t>同条款专用</w:t>
      </w:r>
      <w:r>
        <w:rPr>
          <w:rFonts w:hint="eastAsia" w:ascii="宋体" w:hAnsi="宋体" w:eastAsia="宋体" w:cs="宋体"/>
          <w:spacing w:val="7"/>
          <w:sz w:val="20"/>
          <w:szCs w:val="20"/>
        </w:rPr>
        <w:t>部分第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10.2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款约定修订的合同进度计划，经监理人批准</w:t>
      </w:r>
      <w:r>
        <w:rPr>
          <w:rFonts w:hint="eastAsia" w:ascii="宋体" w:hAnsi="宋体" w:eastAsia="宋体" w:cs="宋体"/>
          <w:spacing w:val="6"/>
          <w:sz w:val="20"/>
          <w:szCs w:val="20"/>
        </w:rPr>
        <w:t>后</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7 日内，承包人应当根据合同进</w:t>
      </w:r>
      <w:r>
        <w:rPr>
          <w:rFonts w:hint="eastAsia" w:ascii="宋体" w:hAnsi="宋体" w:eastAsia="宋体" w:cs="宋体"/>
          <w:spacing w:val="8"/>
          <w:sz w:val="20"/>
          <w:szCs w:val="20"/>
        </w:rPr>
        <w:t>度计划或合同进度计划修订和本项约定的图纸</w:t>
      </w:r>
      <w:r>
        <w:rPr>
          <w:rFonts w:hint="eastAsia" w:ascii="宋体" w:hAnsi="宋体" w:eastAsia="宋体" w:cs="宋体"/>
          <w:spacing w:val="7"/>
          <w:sz w:val="20"/>
          <w:szCs w:val="20"/>
        </w:rPr>
        <w:t>提供期限和数量，编制或者修改图纸供应计划</w:t>
      </w:r>
      <w:r>
        <w:rPr>
          <w:rFonts w:hint="eastAsia" w:ascii="宋体" w:hAnsi="宋体" w:eastAsia="宋体" w:cs="宋体"/>
          <w:spacing w:val="6"/>
          <w:sz w:val="20"/>
          <w:szCs w:val="20"/>
        </w:rPr>
        <w:t>并报送监理人，其中应当载明承包人对各最新版本图纸(包括第</w:t>
      </w:r>
      <w:r>
        <w:rPr>
          <w:rFonts w:hint="eastAsia" w:ascii="宋体" w:hAnsi="宋体" w:eastAsia="宋体" w:cs="宋体"/>
          <w:spacing w:val="-22"/>
          <w:sz w:val="20"/>
          <w:szCs w:val="20"/>
        </w:rPr>
        <w:t xml:space="preserve"> </w:t>
      </w:r>
      <w:r>
        <w:rPr>
          <w:rFonts w:hint="eastAsia" w:ascii="宋体" w:hAnsi="宋体" w:eastAsia="宋体" w:cs="宋体"/>
          <w:spacing w:val="6"/>
          <w:sz w:val="20"/>
          <w:szCs w:val="20"/>
        </w:rPr>
        <w:t>1.6.3</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项约定的图纸修改图)</w:t>
      </w:r>
      <w:r>
        <w:rPr>
          <w:rFonts w:hint="eastAsia" w:ascii="宋体" w:hAnsi="宋体" w:eastAsia="宋体" w:cs="宋体"/>
          <w:spacing w:val="7"/>
          <w:sz w:val="20"/>
          <w:szCs w:val="20"/>
        </w:rPr>
        <w:t>的最迟需求时间，监理人应当在收到图纸供应计划后</w:t>
      </w:r>
      <w:r>
        <w:rPr>
          <w:rFonts w:hint="eastAsia" w:ascii="宋体" w:hAnsi="宋体" w:eastAsia="宋体" w:cs="宋体"/>
          <w:spacing w:val="-32"/>
          <w:sz w:val="20"/>
          <w:szCs w:val="20"/>
        </w:rPr>
        <w:t xml:space="preserve"> </w:t>
      </w:r>
      <w:r>
        <w:rPr>
          <w:rFonts w:hint="eastAsia" w:ascii="宋体" w:hAnsi="宋体" w:eastAsia="宋体" w:cs="宋体"/>
          <w:spacing w:val="7"/>
          <w:sz w:val="20"/>
          <w:szCs w:val="20"/>
        </w:rPr>
        <w:t>7</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天内批复</w:t>
      </w:r>
      <w:r>
        <w:rPr>
          <w:rFonts w:hint="eastAsia" w:ascii="宋体" w:hAnsi="宋体" w:eastAsia="宋体" w:cs="宋体"/>
          <w:spacing w:val="6"/>
          <w:sz w:val="20"/>
          <w:szCs w:val="20"/>
        </w:rPr>
        <w:t>或提出修改意见，否则该图</w:t>
      </w:r>
      <w:r>
        <w:rPr>
          <w:rFonts w:hint="eastAsia" w:ascii="宋体" w:hAnsi="宋体" w:eastAsia="宋体" w:cs="宋体"/>
          <w:spacing w:val="8"/>
          <w:sz w:val="20"/>
          <w:szCs w:val="20"/>
        </w:rPr>
        <w:t>纸供应计划视为得到批准。</w:t>
      </w:r>
    </w:p>
    <w:p w14:paraId="3E4CA0F8">
      <w:pPr>
        <w:spacing w:before="162" w:line="360" w:lineRule="auto"/>
        <w:ind w:left="21" w:right="177" w:firstLine="428"/>
        <w:jc w:val="left"/>
        <w:rPr>
          <w:rFonts w:hint="eastAsia" w:ascii="宋体" w:hAnsi="宋体" w:eastAsia="宋体" w:cs="宋体"/>
          <w:sz w:val="20"/>
          <w:szCs w:val="20"/>
        </w:rPr>
      </w:pPr>
      <w:r>
        <w:rPr>
          <w:rFonts w:hint="eastAsia" w:ascii="宋体" w:hAnsi="宋体" w:eastAsia="宋体" w:cs="宋体"/>
          <w:spacing w:val="9"/>
          <w:sz w:val="20"/>
          <w:szCs w:val="20"/>
        </w:rPr>
        <w:t>（3）经监理人批准最新的图纸供应计划对合同双方有合同约束力，应当作为发包人或</w:t>
      </w:r>
      <w:r>
        <w:rPr>
          <w:rFonts w:hint="eastAsia" w:ascii="宋体" w:hAnsi="宋体" w:eastAsia="宋体" w:cs="宋体"/>
          <w:spacing w:val="7"/>
          <w:sz w:val="20"/>
          <w:szCs w:val="20"/>
        </w:rPr>
        <w:t>者监理人向承包人提供图纸的主要依据。发包人或者监理人不按照图纸供应计划提供图纸而</w:t>
      </w:r>
      <w:r>
        <w:rPr>
          <w:rFonts w:hint="eastAsia" w:ascii="宋体" w:hAnsi="宋体" w:eastAsia="宋体" w:cs="宋体"/>
          <w:spacing w:val="9"/>
          <w:sz w:val="20"/>
          <w:szCs w:val="20"/>
        </w:rPr>
        <w:t>导致承包人费用增加和（或）工期延误的，由发包人承担赔偿责任。</w:t>
      </w:r>
    </w:p>
    <w:p w14:paraId="0F2DACC1">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9"/>
          <w:sz w:val="20"/>
          <w:szCs w:val="20"/>
        </w:rPr>
        <w:t>（4）承包人未</w:t>
      </w:r>
      <w:r>
        <w:rPr>
          <w:rFonts w:hint="eastAsia" w:ascii="宋体" w:hAnsi="宋体" w:eastAsia="宋体" w:cs="宋体"/>
          <w:spacing w:val="6"/>
          <w:sz w:val="20"/>
          <w:szCs w:val="20"/>
        </w:rPr>
        <w:t>按照约定的时间向监理人提交图纸供应计划,致使发包人或者监理人未能在约定的时间内提供相应图纸或者承包人未按照图纸供应计划组织施工所造成的费用增加和（或）工期延误由承包人承担。</w:t>
      </w:r>
    </w:p>
    <w:p w14:paraId="5FE4A9F0">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（5）发包人提供图纸的期限、数量和其他约定见合同条款专用部分。</w:t>
      </w:r>
    </w:p>
    <w:p w14:paraId="34BB4D84">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1.6.2  承包人提供的文件</w:t>
      </w:r>
    </w:p>
    <w:p w14:paraId="7F653F4D">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 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1596CE60">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（2）除合同条款第4.1.10 项约定的由承包人提供的设计文件外，本项约定的其他应由承包人提供的文件，包括必要的加工图和大样图，均不能作为合同计量与支付的依据文件。</w:t>
      </w:r>
    </w:p>
    <w:p w14:paraId="739C7DFA">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1.6.3  图纸的修改</w:t>
      </w:r>
    </w:p>
    <w:p w14:paraId="750DEAD0">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图纸需要修改和补充的，监理人应当按照合同条款第 1.6.1（2） 目约定的有合同约束力的图纸供应计划，签发图纸修改图给承包人。承包人应按修改后的图纸施工。</w:t>
      </w:r>
    </w:p>
    <w:p w14:paraId="6127E56C">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1.6.4  图纸的错误</w:t>
      </w:r>
    </w:p>
    <w:p w14:paraId="2FABA634">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承包人发现发包人提供的图纸存在明显错误或疏忽，应及时通知监理人。</w:t>
      </w:r>
    </w:p>
    <w:p w14:paraId="3D473330">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1.6.5  图纸和承包人文件的保管</w:t>
      </w:r>
    </w:p>
    <w:p w14:paraId="4334D7C5">
      <w:pPr>
        <w:spacing w:before="162" w:line="360" w:lineRule="auto"/>
        <w:ind w:left="19" w:right="121" w:firstLine="430"/>
        <w:jc w:val="left"/>
        <w:rPr>
          <w:rFonts w:hint="eastAsia" w:ascii="宋体" w:hAnsi="宋体" w:eastAsia="宋体" w:cs="宋体"/>
          <w:sz w:val="20"/>
          <w:szCs w:val="20"/>
        </w:rPr>
      </w:pPr>
      <w:r>
        <w:rPr>
          <w:rFonts w:hint="eastAsia" w:ascii="宋体" w:hAnsi="宋体" w:eastAsia="宋体" w:cs="宋体"/>
          <w:spacing w:val="6"/>
          <w:sz w:val="20"/>
          <w:szCs w:val="20"/>
        </w:rPr>
        <w:t>监理人和承包人均应在施工场地各保存一套完整的包</w:t>
      </w:r>
      <w:r>
        <w:rPr>
          <w:rFonts w:hint="eastAsia" w:ascii="宋体" w:hAnsi="宋体" w:eastAsia="宋体" w:cs="宋体"/>
          <w:spacing w:val="7"/>
          <w:sz w:val="20"/>
          <w:szCs w:val="20"/>
        </w:rPr>
        <w:t>含第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1.6.</w:t>
      </w:r>
      <w:r>
        <w:rPr>
          <w:rFonts w:hint="eastAsia" w:ascii="宋体" w:hAnsi="宋体" w:eastAsia="宋体" w:cs="宋体"/>
          <w:spacing w:val="6"/>
          <w:sz w:val="20"/>
          <w:szCs w:val="20"/>
        </w:rPr>
        <w:t>1</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项、第</w:t>
      </w:r>
      <w:r>
        <w:rPr>
          <w:rFonts w:hint="eastAsia" w:ascii="宋体" w:hAnsi="宋体" w:eastAsia="宋体" w:cs="宋体"/>
          <w:spacing w:val="-24"/>
          <w:sz w:val="20"/>
          <w:szCs w:val="20"/>
        </w:rPr>
        <w:t xml:space="preserve"> </w:t>
      </w:r>
      <w:r>
        <w:rPr>
          <w:rFonts w:hint="eastAsia" w:ascii="宋体" w:hAnsi="宋体" w:eastAsia="宋体" w:cs="宋体"/>
          <w:spacing w:val="6"/>
          <w:sz w:val="20"/>
          <w:szCs w:val="20"/>
        </w:rPr>
        <w:t>1.6.2</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项、第1.6.3</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项约定内容的图纸和承包人文件。</w:t>
      </w:r>
    </w:p>
    <w:p w14:paraId="42B9C84A">
      <w:pPr>
        <w:spacing w:before="124" w:line="360" w:lineRule="auto"/>
        <w:ind w:left="38"/>
        <w:jc w:val="left"/>
        <w:outlineLvl w:val="2"/>
        <w:rPr>
          <w:rFonts w:hint="eastAsia" w:ascii="宋体" w:hAnsi="宋体" w:eastAsia="宋体" w:cs="宋体"/>
          <w:sz w:val="24"/>
          <w:szCs w:val="24"/>
        </w:rPr>
      </w:pPr>
      <w:r>
        <w:rPr>
          <w:rFonts w:hint="eastAsia" w:ascii="宋体" w:hAnsi="宋体" w:eastAsia="宋体" w:cs="宋体"/>
          <w:spacing w:val="-8"/>
          <w:sz w:val="24"/>
          <w:szCs w:val="24"/>
        </w:rPr>
        <w:t>1.7</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联络</w:t>
      </w:r>
    </w:p>
    <w:p w14:paraId="7A132B23">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9"/>
          <w:sz w:val="20"/>
          <w:szCs w:val="20"/>
        </w:rPr>
        <w:t xml:space="preserve">1.7.1 </w:t>
      </w:r>
      <w:r>
        <w:rPr>
          <w:rFonts w:hint="eastAsia" w:ascii="宋体" w:hAnsi="宋体" w:eastAsia="宋体" w:cs="宋体"/>
          <w:spacing w:val="6"/>
          <w:sz w:val="20"/>
          <w:szCs w:val="20"/>
        </w:rPr>
        <w:t xml:space="preserve"> 与合同有关的通知、批准、证明、证书、指示、要求、请求、同意、意见、确定和决定等，均应采用书面形式。</w:t>
      </w:r>
    </w:p>
    <w:p w14:paraId="5595AE00">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1.7.2  第 1.7.1 项中的通知、批准、证明、证书、指示、要求、请求、同意、意见、确定和决定等来往函件，均应在合同约定的期限内送达指定地点和接收人，并办理签收手续。</w:t>
      </w:r>
    </w:p>
    <w:p w14:paraId="63454CCF">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（1）联络来往信函的送达期限：合同约定了发出期限的，送达期限为合同约定的发出期限后的 24 小时内；合同约定了通知、提供或者报送期限的，通知、提供或者报送期限即为送达期限。</w:t>
      </w:r>
    </w:p>
    <w:p w14:paraId="22F4CD43">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（2）发包人指定的接收人和接收地点见合同条款专用部分。</w:t>
      </w:r>
    </w:p>
    <w:p w14:paraId="1E78DB3D">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（3）监理人指定的接收人和接收地点见合同条款专用部分。</w:t>
      </w:r>
    </w:p>
    <w:p w14:paraId="4D294645">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（4）承包人指定的接收人为合同协议书中载明的承包人项目经理本人或者项目经理的授权代表。承包人应在收到开工通知后 7 天内，按照合同条款第4.5.4 项的约定，将授权代表其接收来往信函的项目经理的授权代表姓名和授权范围通知监理人。除合同条款专用部分另有约定外，承包人施工场地管理机构的办公地点即为承包人指定的接收地点。</w:t>
      </w:r>
    </w:p>
    <w:p w14:paraId="506759AD">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6172CD38">
      <w:pPr>
        <w:spacing w:before="162" w:line="360" w:lineRule="auto"/>
        <w:ind w:left="19" w:right="121" w:firstLine="430"/>
        <w:jc w:val="left"/>
        <w:rPr>
          <w:rFonts w:hint="eastAsia" w:ascii="宋体" w:hAnsi="宋体" w:eastAsia="宋体" w:cs="宋体"/>
          <w:spacing w:val="9"/>
          <w:sz w:val="20"/>
          <w:szCs w:val="20"/>
        </w:rPr>
      </w:pPr>
      <w:r>
        <w:rPr>
          <w:rFonts w:hint="eastAsia" w:ascii="宋体" w:hAnsi="宋体" w:eastAsia="宋体" w:cs="宋体"/>
          <w:spacing w:val="6"/>
          <w:sz w:val="20"/>
          <w:szCs w:val="20"/>
        </w:rPr>
        <w:t>（6）发包人（包括监理人）和承包人中任何一方均应当及时签收另一方送达其指定接收地点的来往信函，拒不签收的，送达信函的一方可以采</w:t>
      </w:r>
      <w:r>
        <w:rPr>
          <w:rFonts w:hint="eastAsia" w:ascii="宋体" w:hAnsi="宋体" w:eastAsia="宋体" w:cs="宋体"/>
          <w:spacing w:val="9"/>
          <w:sz w:val="20"/>
          <w:szCs w:val="20"/>
        </w:rPr>
        <w:t>用挂号或者公证方式送达，由此所造成的直接的和间接的费用增加（包括被迫采用特殊送达方式所发生的费用）和（或）延误的工期由拒绝签收一方承担。</w:t>
      </w:r>
    </w:p>
    <w:p w14:paraId="7D63F93E">
      <w:pPr>
        <w:spacing w:before="120" w:line="360" w:lineRule="auto"/>
        <w:ind w:left="38"/>
        <w:jc w:val="left"/>
        <w:outlineLvl w:val="2"/>
        <w:rPr>
          <w:rFonts w:hint="eastAsia" w:ascii="宋体" w:hAnsi="宋体" w:eastAsia="宋体" w:cs="宋体"/>
          <w:sz w:val="24"/>
          <w:szCs w:val="24"/>
        </w:rPr>
      </w:pPr>
      <w:r>
        <w:rPr>
          <w:rFonts w:hint="eastAsia" w:ascii="宋体" w:hAnsi="宋体" w:eastAsia="宋体" w:cs="宋体"/>
          <w:spacing w:val="-8"/>
          <w:sz w:val="24"/>
          <w:szCs w:val="24"/>
        </w:rPr>
        <w:t>1.8</w:t>
      </w:r>
      <w:r>
        <w:rPr>
          <w:rFonts w:hint="eastAsia" w:ascii="宋体" w:hAnsi="宋体" w:eastAsia="宋体" w:cs="宋体"/>
          <w:spacing w:val="5"/>
          <w:sz w:val="24"/>
          <w:szCs w:val="24"/>
        </w:rPr>
        <w:t xml:space="preserve">  </w:t>
      </w:r>
      <w:r>
        <w:rPr>
          <w:rFonts w:hint="eastAsia" w:ascii="宋体" w:hAnsi="宋体" w:eastAsia="宋体" w:cs="宋体"/>
          <w:spacing w:val="-8"/>
          <w:sz w:val="24"/>
          <w:szCs w:val="24"/>
        </w:rPr>
        <w:t>转让</w:t>
      </w:r>
    </w:p>
    <w:p w14:paraId="240989D7">
      <w:pPr>
        <w:spacing w:before="296" w:line="360" w:lineRule="auto"/>
        <w:ind w:left="20" w:right="92" w:firstLine="431"/>
        <w:jc w:val="left"/>
        <w:rPr>
          <w:rFonts w:hint="eastAsia" w:ascii="宋体" w:hAnsi="宋体" w:eastAsia="宋体" w:cs="宋体"/>
          <w:sz w:val="20"/>
          <w:szCs w:val="20"/>
        </w:rPr>
      </w:pPr>
      <w:r>
        <w:rPr>
          <w:rFonts w:hint="eastAsia" w:ascii="宋体" w:hAnsi="宋体" w:eastAsia="宋体" w:cs="宋体"/>
          <w:spacing w:val="7"/>
          <w:sz w:val="20"/>
          <w:szCs w:val="20"/>
        </w:rPr>
        <w:t>除合同另有约定外，未经对方当事人同意，一方当事人不得将合同权利全部或部分转让</w:t>
      </w:r>
      <w:r>
        <w:rPr>
          <w:rFonts w:hint="eastAsia" w:ascii="宋体" w:hAnsi="宋体" w:eastAsia="宋体" w:cs="宋体"/>
          <w:spacing w:val="8"/>
          <w:sz w:val="20"/>
          <w:szCs w:val="20"/>
        </w:rPr>
        <w:t>给第三人，也不得全部或部分转移合同义务。</w:t>
      </w:r>
    </w:p>
    <w:p w14:paraId="47AFECE8">
      <w:pPr>
        <w:spacing w:before="122" w:line="360" w:lineRule="auto"/>
        <w:ind w:left="38"/>
        <w:jc w:val="left"/>
        <w:outlineLvl w:val="2"/>
        <w:rPr>
          <w:rFonts w:hint="eastAsia" w:ascii="宋体" w:hAnsi="宋体" w:eastAsia="宋体" w:cs="宋体"/>
          <w:sz w:val="24"/>
          <w:szCs w:val="24"/>
        </w:rPr>
      </w:pPr>
      <w:r>
        <w:rPr>
          <w:rFonts w:hint="eastAsia" w:ascii="宋体" w:hAnsi="宋体" w:eastAsia="宋体" w:cs="宋体"/>
          <w:spacing w:val="-6"/>
          <w:sz w:val="24"/>
          <w:szCs w:val="24"/>
        </w:rPr>
        <w:t>1.9</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严禁贿赂</w:t>
      </w:r>
    </w:p>
    <w:p w14:paraId="78CFF483">
      <w:pPr>
        <w:spacing w:before="297" w:line="360" w:lineRule="auto"/>
        <w:ind w:left="19" w:right="92" w:firstLine="421"/>
        <w:jc w:val="left"/>
        <w:rPr>
          <w:rFonts w:hint="eastAsia" w:ascii="宋体" w:hAnsi="宋体" w:eastAsia="宋体" w:cs="宋体"/>
          <w:sz w:val="20"/>
          <w:szCs w:val="20"/>
        </w:rPr>
      </w:pPr>
      <w:r>
        <w:rPr>
          <w:rFonts w:hint="eastAsia" w:ascii="宋体" w:hAnsi="宋体" w:eastAsia="宋体" w:cs="宋体"/>
          <w:spacing w:val="7"/>
          <w:sz w:val="20"/>
          <w:szCs w:val="20"/>
        </w:rPr>
        <w:t>合同双方当事人不得以贿赂或变相贿赂的方式，谋取不当利益或损害对方权益。因贿赂</w:t>
      </w:r>
      <w:r>
        <w:rPr>
          <w:rFonts w:hint="eastAsia" w:ascii="宋体" w:hAnsi="宋体" w:eastAsia="宋体" w:cs="宋体"/>
          <w:spacing w:val="9"/>
          <w:sz w:val="20"/>
          <w:szCs w:val="20"/>
        </w:rPr>
        <w:t>造成对方损失的，行为人应赔偿损失，并承担相应的法律责任。</w:t>
      </w:r>
    </w:p>
    <w:p w14:paraId="51766F47">
      <w:pPr>
        <w:spacing w:before="121" w:line="360" w:lineRule="auto"/>
        <w:ind w:left="38"/>
        <w:jc w:val="left"/>
        <w:outlineLvl w:val="2"/>
        <w:rPr>
          <w:rFonts w:hint="eastAsia" w:ascii="宋体" w:hAnsi="宋体" w:eastAsia="宋体" w:cs="宋体"/>
          <w:sz w:val="24"/>
          <w:szCs w:val="24"/>
        </w:rPr>
      </w:pPr>
      <w:r>
        <w:rPr>
          <w:rFonts w:hint="eastAsia" w:ascii="宋体" w:hAnsi="宋体" w:eastAsia="宋体" w:cs="宋体"/>
          <w:spacing w:val="-3"/>
          <w:sz w:val="24"/>
          <w:szCs w:val="24"/>
        </w:rPr>
        <w:t>1.10  化石、文物</w:t>
      </w:r>
    </w:p>
    <w:p w14:paraId="645B5F02">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8"/>
          <w:sz w:val="20"/>
          <w:szCs w:val="20"/>
        </w:rPr>
        <w:t>1.10.1  在施工场地发掘的所有文物、古迹以及具有地质研究或考古价值的其他遗</w:t>
      </w:r>
      <w:r>
        <w:rPr>
          <w:rFonts w:hint="eastAsia" w:ascii="宋体" w:hAnsi="宋体" w:eastAsia="宋体" w:cs="宋体"/>
          <w:spacing w:val="7"/>
          <w:sz w:val="20"/>
          <w:szCs w:val="20"/>
        </w:rPr>
        <w:t>迹、</w:t>
      </w:r>
      <w:r>
        <w:rPr>
          <w:rFonts w:hint="eastAsia" w:ascii="宋体" w:hAnsi="宋体" w:eastAsia="宋体" w:cs="宋体"/>
          <w:spacing w:val="9"/>
          <w:sz w:val="20"/>
          <w:szCs w:val="20"/>
        </w:rPr>
        <w:t>化石、钱币或物品属于国</w:t>
      </w:r>
      <w:r>
        <w:rPr>
          <w:rFonts w:hint="eastAsia" w:ascii="宋体" w:hAnsi="宋体" w:eastAsia="宋体" w:cs="宋体"/>
          <w:spacing w:val="6"/>
          <w:sz w:val="20"/>
          <w:szCs w:val="20"/>
        </w:rPr>
        <w:t>家所有。一旦发现上述文物，承包人应采取有效合理的保护措施，防止任何人员移动或损坏上述物品，并立即报告当地文物行政部门，同时通知监理人。发包人、监理人和承包人应按文物行政部门要求采取妥善保护措施， 由此导致费用增加和（或）工期延误由发包人承担。</w:t>
      </w:r>
    </w:p>
    <w:p w14:paraId="3030511C">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1.10.2  承包人发现文物后不及时报告或隐瞒不报，致使文物丢失或损坏的，应赔偿损失，并承担相应的法律责任。</w:t>
      </w:r>
    </w:p>
    <w:p w14:paraId="72A0E986">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1.11  专利技术</w:t>
      </w:r>
    </w:p>
    <w:p w14:paraId="07AF44F4">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1.11.1  承包人在使用任何材料、承包人设备或采用施工工艺时，因侵犯专利权或其他知识产权所引起的责任，由承包人承担，但由于遵照发包人提供的设计或技术标准和要求引起的除外。</w:t>
      </w:r>
    </w:p>
    <w:p w14:paraId="5156B631">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1.11.2  承包人在投标文件中采用专利技术的，专利技术的使用费包含在投标报价内。</w:t>
      </w:r>
    </w:p>
    <w:p w14:paraId="4ACB1FBF">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1.11.3  承包人的技术秘密和声明需要保密的资料和信息，发包人和监理人不得为合同以外的目的泄露给他人。</w:t>
      </w:r>
    </w:p>
    <w:p w14:paraId="696186C3">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1.12  图纸和文件的保密</w:t>
      </w:r>
    </w:p>
    <w:p w14:paraId="47B403F4">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1.12.1  发包人提供的图纸和文件，未经发包人同意，承包人不得为合同以外的目的泄露给他人或公开发表与引用。</w:t>
      </w:r>
    </w:p>
    <w:p w14:paraId="16CFC0FC">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1.12.2  承包人提供的文件，未经承包人同意，发包人和监理人不得为合同以外的目的泄露给他人或公开发表与引用。</w:t>
      </w:r>
    </w:p>
    <w:p w14:paraId="0673FC52">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1.13  工程量清单缺陷引起的价格调整（适用于采用单价合同形式）</w:t>
      </w:r>
    </w:p>
    <w:p w14:paraId="0AA31992">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因工程量清单缺陷引起价格调整的办法见合同条款专用部分。</w:t>
      </w:r>
    </w:p>
    <w:p w14:paraId="1A564F1E">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1.13  暂定数量单价计价项目的价格调整（适用于采用总价合同形式）</w:t>
      </w:r>
    </w:p>
    <w:p w14:paraId="0268A476">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分部分项工程项目清单工程量为暂定数量单价计价项目的价格调整办法见合同条款专用部分。</w:t>
      </w:r>
    </w:p>
    <w:p w14:paraId="52738342">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2.发包人义务</w:t>
      </w:r>
    </w:p>
    <w:p w14:paraId="49BEFA92">
      <w:pPr>
        <w:spacing w:before="162" w:line="360" w:lineRule="auto"/>
        <w:ind w:left="19" w:right="121" w:firstLine="430"/>
        <w:jc w:val="left"/>
        <w:rPr>
          <w:rFonts w:hint="eastAsia" w:ascii="宋体" w:hAnsi="宋体" w:eastAsia="宋体" w:cs="宋体"/>
          <w:spacing w:val="6"/>
          <w:sz w:val="20"/>
          <w:szCs w:val="20"/>
        </w:rPr>
      </w:pPr>
    </w:p>
    <w:p w14:paraId="07AA61E9">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2.1  遵守法律</w:t>
      </w:r>
    </w:p>
    <w:p w14:paraId="412F4A4A">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发包人在履行合同过程中应遵守法律，并保证承包人免于承担因发包人违反法律而引起的任何责任。</w:t>
      </w:r>
    </w:p>
    <w:p w14:paraId="77283514">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2.2  发出开工通知</w:t>
      </w:r>
    </w:p>
    <w:p w14:paraId="631FBF38">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发包人应委托监理人按第 11.1 款的约定向承包人发出开工通知。</w:t>
      </w:r>
    </w:p>
    <w:p w14:paraId="25FCD843">
      <w:pPr>
        <w:spacing w:before="162" w:line="360" w:lineRule="auto"/>
        <w:ind w:left="19" w:right="121" w:firstLine="430"/>
        <w:jc w:val="left"/>
        <w:rPr>
          <w:rFonts w:hint="eastAsia" w:ascii="宋体" w:hAnsi="宋体" w:eastAsia="宋体" w:cs="宋体"/>
          <w:spacing w:val="6"/>
          <w:sz w:val="20"/>
          <w:szCs w:val="20"/>
        </w:rPr>
      </w:pPr>
      <w:r>
        <w:rPr>
          <w:rFonts w:hint="eastAsia" w:ascii="宋体" w:hAnsi="宋体" w:eastAsia="宋体" w:cs="宋体"/>
          <w:spacing w:val="6"/>
          <w:sz w:val="20"/>
          <w:szCs w:val="20"/>
        </w:rPr>
        <w:t>2.3  提供施工场地</w:t>
      </w:r>
    </w:p>
    <w:p w14:paraId="421E0724">
      <w:pPr>
        <w:spacing w:before="162" w:line="360" w:lineRule="auto"/>
        <w:ind w:left="19" w:right="121" w:firstLine="430"/>
        <w:jc w:val="left"/>
        <w:rPr>
          <w:rFonts w:hint="eastAsia" w:ascii="宋体" w:hAnsi="宋体" w:eastAsia="宋体" w:cs="宋体"/>
          <w:sz w:val="20"/>
          <w:szCs w:val="20"/>
        </w:rPr>
      </w:pPr>
      <w:r>
        <w:rPr>
          <w:rFonts w:hint="eastAsia" w:ascii="宋体" w:hAnsi="宋体" w:eastAsia="宋体" w:cs="宋体"/>
          <w:spacing w:val="6"/>
          <w:sz w:val="20"/>
          <w:szCs w:val="20"/>
        </w:rPr>
        <w:t>发包人应在约定期限前确保施工场地具备施工条件并移交给承包人，具体施工条件在“技术标准和要求 ”第一节“一般要求 ”中约定。发包人最迟应当在移交施工场地的同时向</w:t>
      </w:r>
      <w:r>
        <w:rPr>
          <w:rFonts w:hint="eastAsia" w:ascii="宋体" w:hAnsi="宋体" w:eastAsia="宋体" w:cs="宋体"/>
          <w:spacing w:val="9"/>
          <w:sz w:val="20"/>
          <w:szCs w:val="20"/>
        </w:rPr>
        <w:t>承包人提供施工场地</w:t>
      </w:r>
      <w:r>
        <w:rPr>
          <w:rFonts w:hint="eastAsia" w:ascii="宋体" w:hAnsi="宋体" w:eastAsia="宋体" w:cs="宋体"/>
          <w:spacing w:val="6"/>
          <w:sz w:val="20"/>
          <w:szCs w:val="20"/>
        </w:rPr>
        <w:t>内地下管线和地下设施等有关资料，并保证资料的真实、准确和完整。发包人移交施工场地的期限见合同条款专用部分。</w:t>
      </w:r>
    </w:p>
    <w:p w14:paraId="193E910E">
      <w:pPr>
        <w:spacing w:before="118" w:line="360" w:lineRule="auto"/>
        <w:ind w:left="23"/>
        <w:jc w:val="left"/>
        <w:outlineLvl w:val="2"/>
        <w:rPr>
          <w:rFonts w:hint="eastAsia" w:ascii="宋体" w:hAnsi="宋体" w:eastAsia="宋体" w:cs="宋体"/>
          <w:sz w:val="24"/>
          <w:szCs w:val="24"/>
        </w:rPr>
      </w:pPr>
      <w:r>
        <w:rPr>
          <w:rFonts w:hint="eastAsia" w:ascii="宋体" w:hAnsi="宋体" w:eastAsia="宋体" w:cs="宋体"/>
          <w:spacing w:val="-1"/>
          <w:sz w:val="24"/>
          <w:szCs w:val="24"/>
        </w:rPr>
        <w:t>2.4  协助承包人办理证件和批件</w:t>
      </w:r>
    </w:p>
    <w:p w14:paraId="2E9544E8">
      <w:pPr>
        <w:spacing w:before="298" w:line="360" w:lineRule="auto"/>
        <w:ind w:left="443"/>
        <w:jc w:val="left"/>
        <w:rPr>
          <w:rFonts w:hint="eastAsia" w:ascii="宋体" w:hAnsi="宋体" w:eastAsia="宋体" w:cs="宋体"/>
          <w:sz w:val="20"/>
          <w:szCs w:val="20"/>
        </w:rPr>
      </w:pPr>
      <w:r>
        <w:rPr>
          <w:rFonts w:hint="eastAsia" w:ascii="宋体" w:hAnsi="宋体" w:eastAsia="宋体" w:cs="宋体"/>
          <w:spacing w:val="9"/>
          <w:sz w:val="20"/>
          <w:szCs w:val="20"/>
        </w:rPr>
        <w:t>发包人应协助承包人办理法律规定的有关施工证件和批件。</w:t>
      </w:r>
    </w:p>
    <w:p w14:paraId="2D589716">
      <w:pPr>
        <w:spacing w:before="284" w:line="360" w:lineRule="auto"/>
        <w:ind w:left="23"/>
        <w:jc w:val="left"/>
        <w:outlineLvl w:val="2"/>
        <w:rPr>
          <w:rFonts w:hint="eastAsia" w:ascii="宋体" w:hAnsi="宋体" w:eastAsia="宋体" w:cs="宋体"/>
          <w:sz w:val="24"/>
          <w:szCs w:val="24"/>
        </w:rPr>
      </w:pPr>
      <w:r>
        <w:rPr>
          <w:rFonts w:hint="eastAsia" w:ascii="宋体" w:hAnsi="宋体" w:eastAsia="宋体" w:cs="宋体"/>
          <w:spacing w:val="-2"/>
          <w:sz w:val="24"/>
          <w:szCs w:val="24"/>
        </w:rPr>
        <w:t>2.5  组织设计交底</w:t>
      </w:r>
    </w:p>
    <w:p w14:paraId="21A2C95F">
      <w:pPr>
        <w:spacing w:before="296" w:line="360" w:lineRule="auto"/>
        <w:ind w:left="443"/>
        <w:jc w:val="left"/>
        <w:rPr>
          <w:rFonts w:hint="eastAsia" w:ascii="宋体" w:hAnsi="宋体" w:eastAsia="宋体" w:cs="宋体"/>
          <w:sz w:val="20"/>
          <w:szCs w:val="20"/>
        </w:rPr>
      </w:pPr>
      <w:r>
        <w:rPr>
          <w:rFonts w:hint="eastAsia" w:ascii="宋体" w:hAnsi="宋体" w:eastAsia="宋体" w:cs="宋体"/>
          <w:spacing w:val="9"/>
          <w:sz w:val="20"/>
          <w:szCs w:val="20"/>
        </w:rPr>
        <w:t>发包人应根据批准的合同进度计划，组织设计单位向承包人进行设计交底。</w:t>
      </w:r>
    </w:p>
    <w:p w14:paraId="2F8F30BB">
      <w:pPr>
        <w:spacing w:before="161" w:line="360" w:lineRule="auto"/>
        <w:ind w:left="19" w:right="178" w:firstLine="423"/>
        <w:jc w:val="left"/>
        <w:rPr>
          <w:rFonts w:hint="eastAsia" w:ascii="宋体" w:hAnsi="宋体" w:eastAsia="宋体" w:cs="宋体"/>
          <w:sz w:val="20"/>
          <w:szCs w:val="20"/>
        </w:rPr>
      </w:pPr>
      <w:r>
        <w:rPr>
          <w:rFonts w:hint="eastAsia" w:ascii="宋体" w:hAnsi="宋体" w:eastAsia="宋体" w:cs="宋体"/>
          <w:spacing w:val="8"/>
          <w:sz w:val="20"/>
          <w:szCs w:val="20"/>
        </w:rPr>
        <w:t>发包人应在第</w:t>
      </w:r>
      <w:r>
        <w:rPr>
          <w:rFonts w:hint="eastAsia" w:ascii="宋体" w:hAnsi="宋体" w:eastAsia="宋体" w:cs="宋体"/>
          <w:spacing w:val="-23"/>
          <w:sz w:val="20"/>
          <w:szCs w:val="20"/>
        </w:rPr>
        <w:t xml:space="preserve"> </w:t>
      </w:r>
      <w:r>
        <w:rPr>
          <w:rFonts w:hint="eastAsia" w:ascii="宋体" w:hAnsi="宋体" w:eastAsia="宋体" w:cs="宋体"/>
          <w:spacing w:val="8"/>
          <w:sz w:val="20"/>
          <w:szCs w:val="20"/>
        </w:rPr>
        <w:t>11.1.1</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项约定的开工日期前，组织设计人向承包人进行合同工程</w:t>
      </w:r>
      <w:r>
        <w:rPr>
          <w:rFonts w:hint="eastAsia" w:ascii="宋体" w:hAnsi="宋体" w:eastAsia="宋体" w:cs="宋体"/>
          <w:spacing w:val="7"/>
          <w:sz w:val="20"/>
          <w:szCs w:val="20"/>
        </w:rPr>
        <w:t>总体设计交底（包括图纸会审）。发包人还应按照合同进度计划中载明的阶段性设计交底时间，组织和安排阶段工程设计交底（包括图纸会审）。承包人应当以书面方式通过监理人向发包人</w:t>
      </w:r>
      <w:r>
        <w:rPr>
          <w:rFonts w:hint="eastAsia" w:ascii="宋体" w:hAnsi="宋体" w:eastAsia="宋体" w:cs="宋体"/>
          <w:spacing w:val="9"/>
          <w:sz w:val="20"/>
          <w:szCs w:val="20"/>
        </w:rPr>
        <w:t>申请增加设计交底，发包人在认为确有必要且条件许可时，应当尽快组织这类设计交底。</w:t>
      </w:r>
    </w:p>
    <w:p w14:paraId="1F6C1A9A">
      <w:pPr>
        <w:spacing w:before="118" w:line="360" w:lineRule="auto"/>
        <w:ind w:left="23"/>
        <w:jc w:val="left"/>
        <w:outlineLvl w:val="2"/>
        <w:rPr>
          <w:rFonts w:hint="eastAsia" w:ascii="宋体" w:hAnsi="宋体" w:eastAsia="宋体" w:cs="宋体"/>
          <w:sz w:val="24"/>
          <w:szCs w:val="24"/>
        </w:rPr>
      </w:pPr>
      <w:r>
        <w:rPr>
          <w:rFonts w:hint="eastAsia" w:ascii="宋体" w:hAnsi="宋体" w:eastAsia="宋体" w:cs="宋体"/>
          <w:spacing w:val="-2"/>
          <w:sz w:val="24"/>
          <w:szCs w:val="24"/>
        </w:rPr>
        <w:t>2.6  支付合同价款</w:t>
      </w:r>
    </w:p>
    <w:p w14:paraId="4A39DE49">
      <w:pPr>
        <w:spacing w:before="161" w:line="360" w:lineRule="auto"/>
        <w:ind w:left="19" w:right="178" w:firstLine="423"/>
        <w:jc w:val="left"/>
        <w:rPr>
          <w:rFonts w:hint="eastAsia" w:ascii="宋体" w:hAnsi="宋体" w:eastAsia="宋体" w:cs="宋体"/>
          <w:spacing w:val="8"/>
          <w:sz w:val="20"/>
          <w:szCs w:val="20"/>
        </w:rPr>
      </w:pPr>
      <w:r>
        <w:rPr>
          <w:rFonts w:hint="eastAsia" w:ascii="宋体" w:hAnsi="宋体" w:eastAsia="宋体" w:cs="宋体"/>
          <w:spacing w:val="8"/>
          <w:sz w:val="20"/>
          <w:szCs w:val="20"/>
        </w:rPr>
        <w:t>发包人应按合同约定向承包人及时支付合同价款。</w:t>
      </w:r>
    </w:p>
    <w:p w14:paraId="3929F9A2">
      <w:pPr>
        <w:spacing w:before="161" w:line="360" w:lineRule="auto"/>
        <w:ind w:left="19" w:right="178" w:firstLine="423"/>
        <w:jc w:val="left"/>
        <w:rPr>
          <w:rFonts w:hint="eastAsia" w:ascii="宋体" w:hAnsi="宋体" w:eastAsia="宋体" w:cs="宋体"/>
          <w:spacing w:val="8"/>
          <w:sz w:val="20"/>
          <w:szCs w:val="20"/>
        </w:rPr>
      </w:pPr>
      <w:r>
        <w:rPr>
          <w:rFonts w:hint="eastAsia" w:ascii="宋体" w:hAnsi="宋体" w:eastAsia="宋体" w:cs="宋体"/>
          <w:spacing w:val="8"/>
          <w:sz w:val="20"/>
          <w:szCs w:val="20"/>
        </w:rPr>
        <w:t>发包人应当严格落实人工费用与其他工程款分账管理制度，分解工程价款中的人工费用，及时足额将人工费用拨付到承包人的工资专用账户。</w:t>
      </w:r>
    </w:p>
    <w:p w14:paraId="5F7D8EB5">
      <w:pPr>
        <w:spacing w:before="285" w:line="360" w:lineRule="auto"/>
        <w:ind w:left="23"/>
        <w:jc w:val="left"/>
        <w:outlineLvl w:val="2"/>
        <w:rPr>
          <w:rFonts w:hint="eastAsia" w:ascii="宋体" w:hAnsi="宋体" w:eastAsia="宋体" w:cs="宋体"/>
          <w:sz w:val="24"/>
          <w:szCs w:val="24"/>
        </w:rPr>
      </w:pPr>
      <w:r>
        <w:rPr>
          <w:rFonts w:hint="eastAsia" w:ascii="宋体" w:hAnsi="宋体" w:eastAsia="宋体" w:cs="宋体"/>
          <w:spacing w:val="-2"/>
          <w:sz w:val="24"/>
          <w:szCs w:val="24"/>
        </w:rPr>
        <w:t>2.7  组织竣工验收</w:t>
      </w:r>
    </w:p>
    <w:p w14:paraId="346BEDDA">
      <w:pPr>
        <w:spacing w:before="297" w:line="360" w:lineRule="auto"/>
        <w:ind w:left="24" w:right="94" w:firstLine="419"/>
        <w:jc w:val="left"/>
        <w:rPr>
          <w:rFonts w:hint="eastAsia" w:ascii="宋体" w:hAnsi="宋体" w:eastAsia="宋体" w:cs="宋体"/>
          <w:sz w:val="20"/>
          <w:szCs w:val="20"/>
        </w:rPr>
      </w:pPr>
      <w:r>
        <w:rPr>
          <w:rFonts w:hint="eastAsia" w:ascii="宋体" w:hAnsi="宋体" w:eastAsia="宋体" w:cs="宋体"/>
          <w:spacing w:val="7"/>
          <w:sz w:val="20"/>
          <w:szCs w:val="20"/>
        </w:rPr>
        <w:t>发包人应按合同约定及时组织竣工验收。发包人在组织竣工验收时，应对工程是否符合</w:t>
      </w:r>
      <w:r>
        <w:rPr>
          <w:rFonts w:hint="eastAsia" w:ascii="宋体" w:hAnsi="宋体" w:eastAsia="宋体" w:cs="宋体"/>
          <w:spacing w:val="9"/>
          <w:sz w:val="20"/>
          <w:szCs w:val="20"/>
        </w:rPr>
        <w:t>消防要求进行查验。经查验不符合规定的，发包人不得编制工程竣工验收报告。</w:t>
      </w:r>
    </w:p>
    <w:p w14:paraId="1CC5FFD6">
      <w:pPr>
        <w:spacing w:before="123" w:line="360" w:lineRule="auto"/>
        <w:ind w:left="23"/>
        <w:jc w:val="left"/>
        <w:outlineLvl w:val="2"/>
        <w:rPr>
          <w:rFonts w:hint="eastAsia" w:ascii="宋体" w:hAnsi="宋体" w:eastAsia="宋体" w:cs="宋体"/>
          <w:sz w:val="24"/>
          <w:szCs w:val="24"/>
        </w:rPr>
      </w:pPr>
      <w:r>
        <w:rPr>
          <w:rFonts w:hint="eastAsia" w:ascii="宋体" w:hAnsi="宋体" w:eastAsia="宋体" w:cs="宋体"/>
          <w:spacing w:val="-4"/>
          <w:sz w:val="24"/>
          <w:szCs w:val="24"/>
        </w:rPr>
        <w:t>2.8</w:t>
      </w:r>
      <w:r>
        <w:rPr>
          <w:rFonts w:hint="eastAsia" w:ascii="宋体" w:hAnsi="宋体" w:eastAsia="宋体" w:cs="宋体"/>
          <w:spacing w:val="19"/>
          <w:sz w:val="24"/>
          <w:szCs w:val="24"/>
        </w:rPr>
        <w:t xml:space="preserve">  </w:t>
      </w:r>
      <w:r>
        <w:rPr>
          <w:rFonts w:hint="eastAsia" w:ascii="宋体" w:hAnsi="宋体" w:eastAsia="宋体" w:cs="宋体"/>
          <w:spacing w:val="-4"/>
          <w:sz w:val="24"/>
          <w:szCs w:val="24"/>
        </w:rPr>
        <w:t>向承包人提交支付担保</w:t>
      </w:r>
    </w:p>
    <w:p w14:paraId="1DA65BCF">
      <w:pPr>
        <w:spacing w:before="296" w:line="360" w:lineRule="auto"/>
        <w:ind w:left="21" w:right="92" w:firstLine="428"/>
        <w:jc w:val="left"/>
        <w:rPr>
          <w:rFonts w:hint="eastAsia" w:ascii="宋体" w:hAnsi="宋体" w:eastAsia="宋体" w:cs="宋体"/>
          <w:spacing w:val="6"/>
          <w:sz w:val="20"/>
          <w:szCs w:val="20"/>
        </w:rPr>
      </w:pPr>
      <w:r>
        <w:rPr>
          <w:rFonts w:hint="eastAsia" w:ascii="宋体" w:hAnsi="宋体" w:eastAsia="宋体" w:cs="宋体"/>
          <w:spacing w:val="10"/>
          <w:sz w:val="20"/>
          <w:szCs w:val="20"/>
        </w:rPr>
        <w:t>（1）发包</w:t>
      </w:r>
      <w:r>
        <w:rPr>
          <w:rFonts w:hint="eastAsia" w:ascii="宋体" w:hAnsi="宋体" w:eastAsia="宋体" w:cs="宋体"/>
          <w:spacing w:val="6"/>
          <w:sz w:val="20"/>
          <w:szCs w:val="20"/>
        </w:rPr>
        <w:t>人要求承包人提交履约担保的，除合同条款专用部分另有约定的，在承包人按合同条款第4.2 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17F11402">
      <w:pPr>
        <w:spacing w:before="162" w:line="360" w:lineRule="auto"/>
        <w:ind w:left="449"/>
        <w:jc w:val="left"/>
        <w:rPr>
          <w:rFonts w:hint="eastAsia" w:ascii="宋体" w:hAnsi="宋体" w:eastAsia="宋体" w:cs="宋体"/>
          <w:sz w:val="20"/>
          <w:szCs w:val="20"/>
        </w:rPr>
      </w:pPr>
      <w:r>
        <w:rPr>
          <w:rFonts w:hint="eastAsia" w:ascii="宋体" w:hAnsi="宋体" w:eastAsia="宋体" w:cs="宋体"/>
          <w:spacing w:val="9"/>
          <w:sz w:val="20"/>
          <w:szCs w:val="20"/>
        </w:rPr>
        <w:t>（2）支付担保的有效期应当自本合同生效之日起至发包人实际支付竣工付款之日止。</w:t>
      </w:r>
    </w:p>
    <w:p w14:paraId="1A0B2EAB">
      <w:pPr>
        <w:spacing w:before="162" w:line="360" w:lineRule="auto"/>
        <w:ind w:left="22" w:right="92" w:firstLine="427"/>
        <w:jc w:val="left"/>
        <w:rPr>
          <w:rFonts w:hint="eastAsia" w:ascii="宋体" w:hAnsi="宋体" w:eastAsia="宋体" w:cs="宋体"/>
          <w:sz w:val="20"/>
          <w:szCs w:val="20"/>
        </w:rPr>
      </w:pPr>
      <w:r>
        <w:rPr>
          <w:rFonts w:hint="eastAsia" w:ascii="宋体" w:hAnsi="宋体" w:eastAsia="宋体" w:cs="宋体"/>
          <w:spacing w:val="10"/>
          <w:sz w:val="20"/>
          <w:szCs w:val="20"/>
        </w:rPr>
        <w:t>（3）发包人无法获得一份不带具体截止日期的履约担保，支</w:t>
      </w:r>
      <w:r>
        <w:rPr>
          <w:rFonts w:hint="eastAsia" w:ascii="宋体" w:hAnsi="宋体" w:eastAsia="宋体" w:cs="宋体"/>
          <w:spacing w:val="9"/>
          <w:sz w:val="20"/>
          <w:szCs w:val="20"/>
        </w:rPr>
        <w:t>付担保中应当约定有“变</w:t>
      </w:r>
      <w:r>
        <w:rPr>
          <w:rFonts w:hint="eastAsia" w:ascii="宋体" w:hAnsi="宋体" w:eastAsia="宋体" w:cs="宋体"/>
          <w:spacing w:val="7"/>
          <w:sz w:val="20"/>
          <w:szCs w:val="20"/>
        </w:rPr>
        <w:t>更工程竣工付款支付日期的，保证期间按照变更后的竣工付款支付日期</w:t>
      </w:r>
      <w:r>
        <w:rPr>
          <w:rFonts w:hint="eastAsia" w:ascii="宋体" w:hAnsi="宋体" w:eastAsia="宋体" w:cs="宋体"/>
          <w:spacing w:val="6"/>
          <w:sz w:val="20"/>
          <w:szCs w:val="20"/>
        </w:rPr>
        <w:t>做相应调整</w:t>
      </w:r>
      <w:r>
        <w:rPr>
          <w:rFonts w:hint="eastAsia" w:ascii="宋体" w:hAnsi="宋体" w:eastAsia="宋体" w:cs="宋体"/>
          <w:spacing w:val="-72"/>
          <w:sz w:val="20"/>
          <w:szCs w:val="20"/>
        </w:rPr>
        <w:t xml:space="preserve"> </w:t>
      </w:r>
      <w:r>
        <w:rPr>
          <w:rFonts w:hint="eastAsia" w:ascii="宋体" w:hAnsi="宋体" w:eastAsia="宋体" w:cs="宋体"/>
          <w:spacing w:val="6"/>
          <w:sz w:val="20"/>
          <w:szCs w:val="20"/>
        </w:rPr>
        <w:t>”或类似约定的条款。</w:t>
      </w:r>
    </w:p>
    <w:p w14:paraId="2BE37362">
      <w:pPr>
        <w:spacing w:before="162" w:line="360" w:lineRule="auto"/>
        <w:ind w:left="23" w:right="94" w:firstLine="426"/>
        <w:jc w:val="left"/>
        <w:rPr>
          <w:rFonts w:hint="eastAsia" w:ascii="宋体" w:hAnsi="宋体" w:eastAsia="宋体" w:cs="宋体"/>
          <w:sz w:val="20"/>
          <w:szCs w:val="20"/>
        </w:rPr>
      </w:pPr>
      <w:r>
        <w:rPr>
          <w:rFonts w:hint="eastAsia" w:ascii="宋体" w:hAnsi="宋体" w:eastAsia="宋体" w:cs="宋体"/>
          <w:spacing w:val="6"/>
          <w:sz w:val="20"/>
          <w:szCs w:val="20"/>
        </w:rPr>
        <w:t>（4）支付担保应当在发包人付清竣工付款之日后</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天内退还给发包人；承包人不承担</w:t>
      </w:r>
      <w:r>
        <w:rPr>
          <w:rFonts w:hint="eastAsia" w:ascii="宋体" w:hAnsi="宋体" w:eastAsia="宋体" w:cs="宋体"/>
          <w:spacing w:val="9"/>
          <w:sz w:val="20"/>
          <w:szCs w:val="20"/>
        </w:rPr>
        <w:t>发包人与支付担保有关的任何利息或其它类似的费用或者收益。</w:t>
      </w:r>
    </w:p>
    <w:p w14:paraId="200BFA6B">
      <w:pPr>
        <w:spacing w:before="285" w:line="360" w:lineRule="auto"/>
        <w:ind w:left="23"/>
        <w:jc w:val="left"/>
        <w:outlineLvl w:val="2"/>
        <w:rPr>
          <w:rFonts w:hint="eastAsia" w:ascii="宋体" w:hAnsi="宋体" w:eastAsia="宋体" w:cs="宋体"/>
          <w:sz w:val="24"/>
          <w:szCs w:val="24"/>
        </w:rPr>
      </w:pPr>
      <w:r>
        <w:rPr>
          <w:rFonts w:hint="eastAsia" w:ascii="宋体" w:hAnsi="宋体" w:eastAsia="宋体" w:cs="宋体"/>
          <w:spacing w:val="-1"/>
          <w:sz w:val="24"/>
          <w:szCs w:val="24"/>
        </w:rPr>
        <w:t>2.9  办理工程质量监督手续</w:t>
      </w:r>
    </w:p>
    <w:p w14:paraId="7720193F">
      <w:pPr>
        <w:spacing w:before="298" w:line="360" w:lineRule="auto"/>
        <w:ind w:left="443"/>
        <w:jc w:val="left"/>
        <w:rPr>
          <w:rFonts w:hint="eastAsia" w:ascii="宋体" w:hAnsi="宋体" w:eastAsia="宋体" w:cs="宋体"/>
          <w:sz w:val="20"/>
          <w:szCs w:val="20"/>
        </w:rPr>
      </w:pPr>
      <w:r>
        <w:rPr>
          <w:rFonts w:hint="eastAsia" w:ascii="宋体" w:hAnsi="宋体" w:eastAsia="宋体" w:cs="宋体"/>
          <w:spacing w:val="9"/>
          <w:sz w:val="20"/>
          <w:szCs w:val="20"/>
        </w:rPr>
        <w:t>发包人应按有关规定及时办理工程质量监督手</w:t>
      </w:r>
      <w:r>
        <w:rPr>
          <w:rFonts w:hint="eastAsia" w:ascii="宋体" w:hAnsi="宋体" w:eastAsia="宋体" w:cs="宋体"/>
          <w:spacing w:val="8"/>
          <w:sz w:val="20"/>
          <w:szCs w:val="20"/>
        </w:rPr>
        <w:t>续。</w:t>
      </w:r>
    </w:p>
    <w:p w14:paraId="4DF51B98">
      <w:pPr>
        <w:spacing w:before="285" w:line="360" w:lineRule="auto"/>
        <w:ind w:left="23"/>
        <w:jc w:val="left"/>
        <w:outlineLvl w:val="2"/>
        <w:rPr>
          <w:rFonts w:hint="eastAsia" w:ascii="宋体" w:hAnsi="宋体" w:eastAsia="宋体" w:cs="宋体"/>
          <w:sz w:val="24"/>
          <w:szCs w:val="24"/>
        </w:rPr>
      </w:pPr>
      <w:r>
        <w:rPr>
          <w:rFonts w:hint="eastAsia" w:ascii="宋体" w:hAnsi="宋体" w:eastAsia="宋体" w:cs="宋体"/>
          <w:spacing w:val="-2"/>
          <w:sz w:val="24"/>
          <w:szCs w:val="24"/>
        </w:rPr>
        <w:t>2.10  环境保护责任</w:t>
      </w:r>
    </w:p>
    <w:p w14:paraId="313A3F0B">
      <w:pPr>
        <w:spacing w:before="295" w:line="360" w:lineRule="auto"/>
        <w:ind w:left="337"/>
        <w:jc w:val="left"/>
        <w:rPr>
          <w:rFonts w:hint="eastAsia" w:ascii="宋体" w:hAnsi="宋体" w:eastAsia="宋体" w:cs="宋体"/>
          <w:sz w:val="20"/>
          <w:szCs w:val="20"/>
        </w:rPr>
      </w:pPr>
      <w:r>
        <w:rPr>
          <w:rFonts w:hint="eastAsia" w:ascii="宋体" w:hAnsi="宋体" w:eastAsia="宋体" w:cs="宋体"/>
          <w:spacing w:val="8"/>
          <w:sz w:val="20"/>
          <w:szCs w:val="20"/>
        </w:rPr>
        <w:t>发包人对建筑垃圾处理、施工扬尘治理负总责。</w:t>
      </w:r>
    </w:p>
    <w:p w14:paraId="585B1735">
      <w:pPr>
        <w:spacing w:before="288" w:line="360" w:lineRule="auto"/>
        <w:ind w:left="23"/>
        <w:jc w:val="left"/>
        <w:outlineLvl w:val="2"/>
        <w:rPr>
          <w:rFonts w:hint="eastAsia" w:ascii="宋体" w:hAnsi="宋体" w:eastAsia="宋体" w:cs="宋体"/>
          <w:sz w:val="24"/>
          <w:szCs w:val="24"/>
        </w:rPr>
      </w:pPr>
      <w:r>
        <w:rPr>
          <w:rFonts w:hint="eastAsia" w:ascii="宋体" w:hAnsi="宋体" w:eastAsia="宋体" w:cs="宋体"/>
          <w:spacing w:val="-2"/>
          <w:sz w:val="24"/>
          <w:szCs w:val="24"/>
        </w:rPr>
        <w:t>2.11  移交工程档案</w:t>
      </w:r>
    </w:p>
    <w:p w14:paraId="0BD8C0FE">
      <w:pPr>
        <w:spacing w:before="294" w:line="360" w:lineRule="auto"/>
        <w:ind w:left="19" w:right="40" w:firstLine="423"/>
        <w:jc w:val="left"/>
        <w:rPr>
          <w:rFonts w:hint="eastAsia" w:ascii="宋体" w:hAnsi="宋体" w:eastAsia="宋体" w:cs="宋体"/>
          <w:sz w:val="20"/>
          <w:szCs w:val="20"/>
        </w:rPr>
      </w:pPr>
      <w:r>
        <w:rPr>
          <w:rFonts w:hint="eastAsia" w:ascii="宋体" w:hAnsi="宋体" w:eastAsia="宋体" w:cs="宋体"/>
          <w:spacing w:val="9"/>
          <w:sz w:val="20"/>
          <w:szCs w:val="20"/>
        </w:rPr>
        <w:t>发包人应根据建设行政主管部门和（或）城市建设档案管理</w:t>
      </w:r>
      <w:r>
        <w:rPr>
          <w:rFonts w:hint="eastAsia" w:ascii="宋体" w:hAnsi="宋体" w:eastAsia="宋体" w:cs="宋体"/>
          <w:spacing w:val="8"/>
          <w:sz w:val="20"/>
          <w:szCs w:val="20"/>
        </w:rPr>
        <w:t>机构的规定，收集、整理、立卷、归档工程资料，并按规定时间向建设</w:t>
      </w:r>
      <w:r>
        <w:rPr>
          <w:rFonts w:hint="eastAsia" w:ascii="宋体" w:hAnsi="宋体" w:eastAsia="宋体" w:cs="宋体"/>
          <w:spacing w:val="7"/>
          <w:sz w:val="20"/>
          <w:szCs w:val="20"/>
        </w:rPr>
        <w:t>行政主管部门或者城市建设档案管理机构移交规定的工程档案。</w:t>
      </w:r>
    </w:p>
    <w:p w14:paraId="631E480B">
      <w:pPr>
        <w:spacing w:before="120" w:line="360" w:lineRule="auto"/>
        <w:ind w:left="23"/>
        <w:jc w:val="left"/>
        <w:outlineLvl w:val="2"/>
        <w:rPr>
          <w:rFonts w:hint="eastAsia" w:ascii="宋体" w:hAnsi="宋体" w:eastAsia="宋体" w:cs="宋体"/>
          <w:sz w:val="24"/>
          <w:szCs w:val="24"/>
        </w:rPr>
      </w:pPr>
      <w:r>
        <w:rPr>
          <w:rFonts w:hint="eastAsia" w:ascii="宋体" w:hAnsi="宋体" w:eastAsia="宋体" w:cs="宋体"/>
          <w:spacing w:val="-2"/>
          <w:sz w:val="24"/>
          <w:szCs w:val="24"/>
        </w:rPr>
        <w:t>2.12  批准和确认</w:t>
      </w:r>
    </w:p>
    <w:p w14:paraId="7ECFAE52">
      <w:pPr>
        <w:spacing w:before="294" w:line="360" w:lineRule="auto"/>
        <w:ind w:left="19" w:right="40" w:firstLine="423"/>
        <w:jc w:val="left"/>
        <w:rPr>
          <w:rFonts w:hint="eastAsia" w:ascii="宋体" w:hAnsi="宋体" w:eastAsia="宋体" w:cs="宋体"/>
          <w:spacing w:val="9"/>
          <w:sz w:val="20"/>
          <w:szCs w:val="20"/>
        </w:rPr>
      </w:pPr>
      <w:r>
        <w:rPr>
          <w:rFonts w:hint="eastAsia" w:ascii="宋体" w:hAnsi="宋体" w:eastAsia="宋体" w:cs="宋体"/>
          <w:spacing w:val="9"/>
          <w:sz w:val="20"/>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7C523A6">
      <w:pPr>
        <w:pStyle w:val="17"/>
        <w:tabs>
          <w:tab w:val="right" w:pos="8378"/>
        </w:tabs>
        <w:spacing w:before="0" w:line="360" w:lineRule="auto"/>
        <w:jc w:val="left"/>
        <w:rPr>
          <w:rFonts w:hint="eastAsia" w:ascii="宋体" w:hAnsi="宋体" w:eastAsia="宋体" w:cs="宋体"/>
          <w:sz w:val="24"/>
          <w:szCs w:val="24"/>
          <w:lang w:eastAsia="zh-CN"/>
        </w:rPr>
      </w:pPr>
      <w:r>
        <w:rPr>
          <w:rFonts w:hint="eastAsia" w:ascii="宋体" w:hAnsi="宋体" w:eastAsia="宋体" w:cs="宋体"/>
          <w:spacing w:val="-2"/>
          <w:sz w:val="24"/>
          <w:szCs w:val="24"/>
        </w:rPr>
        <w:t>2.13  其他义务</w:t>
      </w:r>
      <w:r>
        <w:rPr>
          <w:rFonts w:hint="eastAsia" w:ascii="宋体" w:hAnsi="宋体" w:eastAsia="宋体" w:cs="宋体"/>
          <w:spacing w:val="-2"/>
          <w:sz w:val="24"/>
          <w:szCs w:val="24"/>
          <w:lang w:eastAsia="zh-CN"/>
        </w:rPr>
        <w:tab/>
      </w:r>
    </w:p>
    <w:p w14:paraId="537B802F">
      <w:pPr>
        <w:spacing w:before="294" w:line="360" w:lineRule="auto"/>
        <w:ind w:left="19" w:right="40" w:firstLine="423"/>
        <w:jc w:val="left"/>
        <w:rPr>
          <w:rFonts w:hint="eastAsia" w:ascii="宋体" w:hAnsi="宋体" w:eastAsia="宋体" w:cs="宋体"/>
          <w:spacing w:val="9"/>
          <w:sz w:val="20"/>
          <w:szCs w:val="20"/>
        </w:rPr>
      </w:pPr>
      <w:r>
        <w:rPr>
          <w:rFonts w:hint="eastAsia" w:ascii="宋体" w:hAnsi="宋体" w:eastAsia="宋体" w:cs="宋体"/>
          <w:spacing w:val="9"/>
          <w:sz w:val="20"/>
          <w:szCs w:val="20"/>
        </w:rPr>
        <w:t>发包人应履行的其他义务见合同条款专用部分。</w:t>
      </w:r>
    </w:p>
    <w:p w14:paraId="7E41095D">
      <w:pPr>
        <w:spacing w:before="289" w:line="360" w:lineRule="auto"/>
        <w:ind w:left="28"/>
        <w:jc w:val="left"/>
        <w:outlineLvl w:val="1"/>
        <w:rPr>
          <w:rFonts w:hint="eastAsia" w:ascii="宋体" w:hAnsi="宋体" w:eastAsia="宋体" w:cs="宋体"/>
          <w:sz w:val="28"/>
          <w:szCs w:val="28"/>
        </w:rPr>
      </w:pPr>
      <w:r>
        <w:rPr>
          <w:rFonts w:hint="eastAsia" w:ascii="宋体" w:hAnsi="宋体" w:eastAsia="宋体" w:cs="宋体"/>
          <w:spacing w:val="-4"/>
          <w:sz w:val="28"/>
          <w:szCs w:val="28"/>
        </w:rPr>
        <w:t>3.监理人</w:t>
      </w:r>
    </w:p>
    <w:p w14:paraId="7C864488">
      <w:pPr>
        <w:pStyle w:val="17"/>
        <w:spacing w:line="360" w:lineRule="auto"/>
        <w:jc w:val="left"/>
        <w:rPr>
          <w:rFonts w:hint="eastAsia" w:ascii="宋体" w:hAnsi="宋体" w:eastAsia="宋体" w:cs="宋体"/>
        </w:rPr>
      </w:pPr>
    </w:p>
    <w:p w14:paraId="6ED414B0">
      <w:pPr>
        <w:spacing w:before="78" w:line="360" w:lineRule="auto"/>
        <w:ind w:left="25"/>
        <w:jc w:val="left"/>
        <w:outlineLvl w:val="2"/>
        <w:rPr>
          <w:rFonts w:hint="eastAsia" w:ascii="宋体" w:hAnsi="宋体" w:eastAsia="宋体" w:cs="宋体"/>
          <w:sz w:val="24"/>
          <w:szCs w:val="24"/>
        </w:rPr>
      </w:pPr>
      <w:r>
        <w:rPr>
          <w:rFonts w:hint="eastAsia" w:ascii="宋体" w:hAnsi="宋体" w:eastAsia="宋体" w:cs="宋体"/>
          <w:spacing w:val="-2"/>
          <w:sz w:val="24"/>
          <w:szCs w:val="24"/>
        </w:rPr>
        <w:t>3.1  监理人的职责和权力</w:t>
      </w:r>
    </w:p>
    <w:p w14:paraId="191FFE11">
      <w:pPr>
        <w:spacing w:before="296" w:line="360" w:lineRule="auto"/>
        <w:ind w:left="19" w:right="53" w:firstLine="425"/>
        <w:jc w:val="left"/>
        <w:rPr>
          <w:rFonts w:hint="eastAsia" w:ascii="宋体" w:hAnsi="宋体" w:eastAsia="宋体" w:cs="宋体"/>
          <w:sz w:val="20"/>
          <w:szCs w:val="20"/>
        </w:rPr>
      </w:pPr>
      <w:r>
        <w:rPr>
          <w:rFonts w:hint="eastAsia" w:ascii="宋体" w:hAnsi="宋体" w:eastAsia="宋体" w:cs="宋体"/>
          <w:spacing w:val="9"/>
          <w:sz w:val="20"/>
          <w:szCs w:val="20"/>
        </w:rPr>
        <w:t>3.1.1  监理人受发包人委托，享有合同约定的权力。监理人在行使某项权力前需要经</w:t>
      </w:r>
      <w:r>
        <w:rPr>
          <w:rFonts w:hint="eastAsia" w:ascii="宋体" w:hAnsi="宋体" w:eastAsia="宋体" w:cs="宋体"/>
          <w:spacing w:val="8"/>
          <w:sz w:val="20"/>
          <w:szCs w:val="20"/>
        </w:rPr>
        <w:t>发包人事先批准，合同条款通用部分没有指明</w:t>
      </w:r>
      <w:r>
        <w:rPr>
          <w:rFonts w:hint="eastAsia" w:ascii="宋体" w:hAnsi="宋体" w:eastAsia="宋体" w:cs="宋体"/>
          <w:spacing w:val="7"/>
          <w:sz w:val="20"/>
          <w:szCs w:val="20"/>
        </w:rPr>
        <w:t>的，应在合同中指明。监理人履行须经发包人</w:t>
      </w:r>
      <w:r>
        <w:rPr>
          <w:rFonts w:hint="eastAsia" w:ascii="宋体" w:hAnsi="宋体" w:eastAsia="宋体" w:cs="宋体"/>
          <w:spacing w:val="8"/>
          <w:sz w:val="20"/>
          <w:szCs w:val="20"/>
        </w:rPr>
        <w:t>批准行使的权力时，应当向承包人出示其行使该权</w:t>
      </w:r>
      <w:r>
        <w:rPr>
          <w:rFonts w:hint="eastAsia" w:ascii="宋体" w:hAnsi="宋体" w:eastAsia="宋体" w:cs="宋体"/>
          <w:spacing w:val="7"/>
          <w:sz w:val="20"/>
          <w:szCs w:val="20"/>
        </w:rPr>
        <w:t>力已经取得发包人批准的文件或者其他合</w:t>
      </w:r>
      <w:r>
        <w:rPr>
          <w:rFonts w:hint="eastAsia" w:ascii="宋体" w:hAnsi="宋体" w:eastAsia="宋体" w:cs="宋体"/>
          <w:spacing w:val="9"/>
          <w:sz w:val="20"/>
          <w:szCs w:val="20"/>
        </w:rPr>
        <w:t>法有效的证明。发包人需批准明确行使的权力见合同条款专用部分。</w:t>
      </w:r>
    </w:p>
    <w:p w14:paraId="2165A29F">
      <w:pPr>
        <w:spacing w:before="161" w:line="360" w:lineRule="auto"/>
        <w:ind w:left="20" w:right="56" w:firstLine="423"/>
        <w:jc w:val="left"/>
        <w:rPr>
          <w:rFonts w:hint="eastAsia" w:ascii="宋体" w:hAnsi="宋体" w:eastAsia="宋体" w:cs="宋体"/>
          <w:sz w:val="20"/>
          <w:szCs w:val="20"/>
        </w:rPr>
      </w:pPr>
      <w:r>
        <w:rPr>
          <w:rFonts w:hint="eastAsia" w:ascii="宋体" w:hAnsi="宋体" w:eastAsia="宋体" w:cs="宋体"/>
          <w:spacing w:val="9"/>
          <w:sz w:val="20"/>
          <w:szCs w:val="20"/>
        </w:rPr>
        <w:t>3.1.2  监理人发出的任何指示应视为已得到发包人的批准，但监理人无权免除或变更合同约定的发包人和承包人的权利、义务和责任。</w:t>
      </w:r>
    </w:p>
    <w:p w14:paraId="721FDB02">
      <w:pPr>
        <w:spacing w:before="161" w:line="360" w:lineRule="auto"/>
        <w:ind w:left="22" w:right="56" w:firstLine="421"/>
        <w:jc w:val="left"/>
        <w:rPr>
          <w:rFonts w:hint="eastAsia" w:ascii="宋体" w:hAnsi="宋体" w:eastAsia="宋体" w:cs="宋体"/>
          <w:sz w:val="20"/>
          <w:szCs w:val="20"/>
        </w:rPr>
      </w:pPr>
      <w:r>
        <w:rPr>
          <w:rFonts w:hint="eastAsia" w:ascii="宋体" w:hAnsi="宋体" w:eastAsia="宋体" w:cs="宋体"/>
          <w:spacing w:val="9"/>
          <w:sz w:val="20"/>
          <w:szCs w:val="20"/>
        </w:rPr>
        <w:t>3.1.3  合同约定应由承包人承担的义务和责任，不因监理人对承包人提交文件的审查</w:t>
      </w:r>
      <w:r>
        <w:rPr>
          <w:rFonts w:hint="eastAsia" w:ascii="宋体" w:hAnsi="宋体" w:eastAsia="宋体" w:cs="宋体"/>
          <w:spacing w:val="7"/>
          <w:sz w:val="20"/>
          <w:szCs w:val="20"/>
        </w:rPr>
        <w:t>或批准，对工程、材料和设备的检查和检验，以及为实施监理作出的指示等职务行为而减轻</w:t>
      </w:r>
      <w:r>
        <w:rPr>
          <w:rFonts w:hint="eastAsia" w:ascii="宋体" w:hAnsi="宋体" w:eastAsia="宋体" w:cs="宋体"/>
          <w:spacing w:val="4"/>
          <w:sz w:val="20"/>
          <w:szCs w:val="20"/>
        </w:rPr>
        <w:t>或解除。</w:t>
      </w:r>
    </w:p>
    <w:p w14:paraId="4AED1DBB">
      <w:pPr>
        <w:spacing w:before="285" w:line="360" w:lineRule="auto"/>
        <w:ind w:left="25"/>
        <w:jc w:val="left"/>
        <w:outlineLvl w:val="2"/>
        <w:rPr>
          <w:rFonts w:hint="eastAsia" w:ascii="宋体" w:hAnsi="宋体" w:eastAsia="宋体" w:cs="宋体"/>
          <w:sz w:val="24"/>
          <w:szCs w:val="24"/>
        </w:rPr>
      </w:pPr>
      <w:r>
        <w:rPr>
          <w:rFonts w:hint="eastAsia" w:ascii="宋体" w:hAnsi="宋体" w:eastAsia="宋体" w:cs="宋体"/>
          <w:spacing w:val="-2"/>
          <w:sz w:val="24"/>
          <w:szCs w:val="24"/>
        </w:rPr>
        <w:t>3.2  总监理工程师</w:t>
      </w:r>
    </w:p>
    <w:p w14:paraId="664E7416">
      <w:pPr>
        <w:spacing w:before="299" w:line="360" w:lineRule="auto"/>
        <w:ind w:left="19" w:firstLine="423"/>
        <w:jc w:val="left"/>
        <w:rPr>
          <w:rFonts w:hint="eastAsia" w:ascii="宋体" w:hAnsi="宋体" w:eastAsia="宋体" w:cs="宋体"/>
          <w:sz w:val="20"/>
          <w:szCs w:val="20"/>
        </w:rPr>
      </w:pPr>
      <w:r>
        <w:rPr>
          <w:rFonts w:hint="eastAsia" w:ascii="宋体" w:hAnsi="宋体" w:eastAsia="宋体" w:cs="宋体"/>
          <w:spacing w:val="9"/>
          <w:sz w:val="20"/>
          <w:szCs w:val="20"/>
        </w:rPr>
        <w:t>发包人应在发出开工通知前将总监理工程师的任命通知承包人。</w:t>
      </w:r>
      <w:r>
        <w:rPr>
          <w:rFonts w:hint="eastAsia" w:ascii="宋体" w:hAnsi="宋体" w:eastAsia="宋体" w:cs="宋体"/>
          <w:spacing w:val="8"/>
          <w:sz w:val="20"/>
          <w:szCs w:val="20"/>
        </w:rPr>
        <w:t>总监理工程师更换时，</w:t>
      </w:r>
      <w:r>
        <w:rPr>
          <w:rFonts w:hint="eastAsia" w:ascii="宋体" w:hAnsi="宋体" w:eastAsia="宋体" w:cs="宋体"/>
          <w:spacing w:val="5"/>
          <w:sz w:val="20"/>
          <w:szCs w:val="20"/>
        </w:rPr>
        <w:t>应在调离</w:t>
      </w:r>
      <w:r>
        <w:rPr>
          <w:rFonts w:hint="eastAsia" w:ascii="宋体" w:hAnsi="宋体" w:eastAsia="宋体" w:cs="宋体"/>
          <w:spacing w:val="-16"/>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天前通知承包人。总监理工程师短期离开施工场地的，应委派代表代行其职责，</w:t>
      </w:r>
      <w:r>
        <w:rPr>
          <w:rFonts w:hint="eastAsia" w:ascii="宋体" w:hAnsi="宋体" w:eastAsia="宋体" w:cs="宋体"/>
          <w:spacing w:val="7"/>
          <w:sz w:val="20"/>
          <w:szCs w:val="20"/>
        </w:rPr>
        <w:t>并通知承包人。</w:t>
      </w:r>
    </w:p>
    <w:p w14:paraId="632CD62E">
      <w:pPr>
        <w:spacing w:before="124" w:line="360" w:lineRule="auto"/>
        <w:ind w:left="25"/>
        <w:jc w:val="left"/>
        <w:outlineLvl w:val="2"/>
        <w:rPr>
          <w:rFonts w:hint="eastAsia" w:ascii="宋体" w:hAnsi="宋体" w:eastAsia="宋体" w:cs="宋体"/>
          <w:sz w:val="24"/>
          <w:szCs w:val="24"/>
        </w:rPr>
      </w:pPr>
      <w:r>
        <w:rPr>
          <w:rFonts w:hint="eastAsia" w:ascii="宋体" w:hAnsi="宋体" w:eastAsia="宋体" w:cs="宋体"/>
          <w:spacing w:val="-4"/>
          <w:sz w:val="24"/>
          <w:szCs w:val="24"/>
        </w:rPr>
        <w:t>3.3</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监理人员</w:t>
      </w:r>
    </w:p>
    <w:p w14:paraId="64AD599B">
      <w:pPr>
        <w:spacing w:before="293" w:line="360" w:lineRule="auto"/>
        <w:ind w:left="19" w:right="56" w:firstLine="425"/>
        <w:jc w:val="left"/>
        <w:rPr>
          <w:rFonts w:hint="eastAsia" w:ascii="宋体" w:hAnsi="宋体" w:eastAsia="宋体" w:cs="宋体"/>
          <w:sz w:val="20"/>
          <w:szCs w:val="20"/>
        </w:rPr>
      </w:pPr>
      <w:r>
        <w:rPr>
          <w:rFonts w:hint="eastAsia" w:ascii="宋体" w:hAnsi="宋体" w:eastAsia="宋体" w:cs="宋体"/>
          <w:spacing w:val="9"/>
          <w:sz w:val="20"/>
          <w:szCs w:val="20"/>
        </w:rPr>
        <w:t>3.3.1  总监理工程师可以授权其他监理人员负责执行其指派的一项或多项监理工作。</w:t>
      </w:r>
      <w:r>
        <w:rPr>
          <w:rFonts w:hint="eastAsia" w:ascii="宋体" w:hAnsi="宋体" w:eastAsia="宋体" w:cs="宋体"/>
          <w:spacing w:val="8"/>
          <w:sz w:val="20"/>
          <w:szCs w:val="20"/>
        </w:rPr>
        <w:t>总监理工程师应将被授权监理人员的姓名及其</w:t>
      </w:r>
      <w:r>
        <w:rPr>
          <w:rFonts w:hint="eastAsia" w:ascii="宋体" w:hAnsi="宋体" w:eastAsia="宋体" w:cs="宋体"/>
          <w:spacing w:val="7"/>
          <w:sz w:val="20"/>
          <w:szCs w:val="20"/>
        </w:rPr>
        <w:t>授权范围通知承包人。被授权的监理人员在授</w:t>
      </w:r>
      <w:r>
        <w:rPr>
          <w:rFonts w:hint="eastAsia" w:ascii="宋体" w:hAnsi="宋体" w:eastAsia="宋体" w:cs="宋体"/>
          <w:spacing w:val="8"/>
          <w:sz w:val="20"/>
          <w:szCs w:val="20"/>
        </w:rPr>
        <w:t>权范围内发出的指示视为已得到总监理工程师</w:t>
      </w:r>
      <w:r>
        <w:rPr>
          <w:rFonts w:hint="eastAsia" w:ascii="宋体" w:hAnsi="宋体" w:eastAsia="宋体" w:cs="宋体"/>
          <w:spacing w:val="7"/>
          <w:sz w:val="20"/>
          <w:szCs w:val="20"/>
        </w:rPr>
        <w:t>的同意，与总监理工程师发出的指示具有同等</w:t>
      </w:r>
      <w:r>
        <w:rPr>
          <w:rFonts w:hint="eastAsia" w:ascii="宋体" w:hAnsi="宋体" w:eastAsia="宋体" w:cs="宋体"/>
          <w:spacing w:val="9"/>
          <w:sz w:val="20"/>
          <w:szCs w:val="20"/>
        </w:rPr>
        <w:t>效力。总监理工程师撤销某项授权时，应将撤销授权的决定及时通知承包人。</w:t>
      </w:r>
    </w:p>
    <w:p w14:paraId="28663DAD">
      <w:pPr>
        <w:spacing w:before="161" w:line="360" w:lineRule="auto"/>
        <w:ind w:left="20" w:right="56" w:firstLine="423"/>
        <w:jc w:val="left"/>
        <w:rPr>
          <w:rFonts w:hint="eastAsia" w:ascii="宋体" w:hAnsi="宋体" w:eastAsia="宋体" w:cs="宋体"/>
          <w:sz w:val="20"/>
          <w:szCs w:val="20"/>
        </w:rPr>
      </w:pPr>
      <w:r>
        <w:rPr>
          <w:rFonts w:hint="eastAsia" w:ascii="宋体" w:hAnsi="宋体" w:eastAsia="宋体" w:cs="宋体"/>
          <w:spacing w:val="9"/>
          <w:sz w:val="20"/>
          <w:szCs w:val="20"/>
        </w:rPr>
        <w:t>3.3.2  监理人员对承包人的任何工作、工程或其采用的材料未在约定的或合理的期限</w:t>
      </w:r>
      <w:r>
        <w:rPr>
          <w:rFonts w:hint="eastAsia" w:ascii="宋体" w:hAnsi="宋体" w:eastAsia="宋体" w:cs="宋体"/>
          <w:spacing w:val="7"/>
          <w:sz w:val="20"/>
          <w:szCs w:val="20"/>
        </w:rPr>
        <w:t>内提出否定意见的，视为已获批准，但不影响监理人在以后拒绝该项工作、工程、材料的权</w:t>
      </w:r>
      <w:r>
        <w:rPr>
          <w:rFonts w:hint="eastAsia" w:ascii="宋体" w:hAnsi="宋体" w:eastAsia="宋体" w:cs="宋体"/>
          <w:sz w:val="20"/>
          <w:szCs w:val="20"/>
        </w:rPr>
        <w:t>利。</w:t>
      </w:r>
    </w:p>
    <w:p w14:paraId="4D5AD08F">
      <w:pPr>
        <w:spacing w:before="161" w:line="360" w:lineRule="auto"/>
        <w:ind w:left="20" w:right="56" w:firstLine="423"/>
        <w:jc w:val="left"/>
        <w:rPr>
          <w:rFonts w:hint="eastAsia" w:ascii="宋体" w:hAnsi="宋体" w:eastAsia="宋体" w:cs="宋体"/>
          <w:spacing w:val="9"/>
          <w:sz w:val="20"/>
          <w:szCs w:val="20"/>
        </w:rPr>
      </w:pPr>
      <w:r>
        <w:rPr>
          <w:rFonts w:hint="eastAsia" w:ascii="宋体" w:hAnsi="宋体" w:eastAsia="宋体" w:cs="宋体"/>
          <w:spacing w:val="9"/>
          <w:sz w:val="20"/>
          <w:szCs w:val="20"/>
        </w:rPr>
        <w:t>3.3.3  承包人对总监理工程师授权的监理人员发出的指示有疑问的，可向总监理工程师提出书面异议，总监理工程师应在48 小时内对该指示予以确认、更改或撤销。</w:t>
      </w:r>
    </w:p>
    <w:p w14:paraId="6DDA7E9D">
      <w:pPr>
        <w:spacing w:before="161" w:line="360" w:lineRule="auto"/>
        <w:ind w:left="20" w:right="56" w:firstLine="423"/>
        <w:jc w:val="left"/>
        <w:rPr>
          <w:rFonts w:hint="eastAsia" w:ascii="宋体" w:hAnsi="宋体" w:eastAsia="宋体" w:cs="宋体"/>
          <w:spacing w:val="9"/>
          <w:sz w:val="20"/>
          <w:szCs w:val="20"/>
        </w:rPr>
      </w:pPr>
      <w:r>
        <w:rPr>
          <w:rFonts w:hint="eastAsia" w:ascii="宋体" w:hAnsi="宋体" w:eastAsia="宋体" w:cs="宋体"/>
          <w:spacing w:val="9"/>
          <w:sz w:val="20"/>
          <w:szCs w:val="20"/>
        </w:rPr>
        <w:t>3.3.4  总监理工程师不应将合同条款通用部分第 3.5 款约定应由总监理工程师作出确定的权力授权或者委托给其他监理人员。</w:t>
      </w:r>
    </w:p>
    <w:p w14:paraId="3B098FDA">
      <w:pPr>
        <w:pStyle w:val="17"/>
        <w:tabs>
          <w:tab w:val="right" w:pos="8417"/>
          <w:tab w:val="clear" w:pos="567"/>
        </w:tabs>
        <w:spacing w:before="0" w:line="360" w:lineRule="auto"/>
        <w:jc w:val="left"/>
        <w:rPr>
          <w:rFonts w:hint="eastAsia" w:ascii="宋体" w:hAnsi="宋体" w:eastAsia="宋体" w:cs="宋体"/>
          <w:spacing w:val="-2"/>
          <w:sz w:val="24"/>
          <w:szCs w:val="24"/>
        </w:rPr>
      </w:pPr>
    </w:p>
    <w:p w14:paraId="30FDD3F0">
      <w:pPr>
        <w:pStyle w:val="17"/>
        <w:tabs>
          <w:tab w:val="right" w:pos="8417"/>
          <w:tab w:val="clear" w:pos="567"/>
        </w:tabs>
        <w:spacing w:before="0" w:line="360" w:lineRule="auto"/>
        <w:jc w:val="left"/>
        <w:rPr>
          <w:rFonts w:hint="eastAsia" w:ascii="宋体" w:hAnsi="宋体" w:eastAsia="宋体" w:cs="宋体"/>
          <w:sz w:val="24"/>
          <w:szCs w:val="24"/>
        </w:rPr>
      </w:pPr>
      <w:r>
        <w:rPr>
          <w:rFonts w:hint="eastAsia" w:ascii="宋体" w:hAnsi="宋体" w:eastAsia="宋体" w:cs="宋体"/>
          <w:spacing w:val="-2"/>
          <w:sz w:val="24"/>
          <w:szCs w:val="24"/>
        </w:rPr>
        <w:t>3.4  监理人的指示</w:t>
      </w:r>
    </w:p>
    <w:p w14:paraId="201DC488">
      <w:pPr>
        <w:spacing w:before="296" w:line="360" w:lineRule="auto"/>
        <w:ind w:left="19" w:right="92" w:firstLine="425"/>
        <w:jc w:val="left"/>
        <w:rPr>
          <w:rFonts w:hint="eastAsia" w:ascii="宋体" w:hAnsi="宋体" w:eastAsia="宋体" w:cs="宋体"/>
          <w:sz w:val="20"/>
          <w:szCs w:val="20"/>
        </w:rPr>
      </w:pPr>
      <w:r>
        <w:rPr>
          <w:rFonts w:hint="eastAsia" w:ascii="宋体" w:hAnsi="宋体" w:eastAsia="宋体" w:cs="宋体"/>
          <w:spacing w:val="8"/>
          <w:sz w:val="20"/>
          <w:szCs w:val="20"/>
        </w:rPr>
        <w:t>3.4.1  监理人应按第</w:t>
      </w:r>
      <w:r>
        <w:rPr>
          <w:rFonts w:hint="eastAsia" w:ascii="宋体" w:hAnsi="宋体" w:eastAsia="宋体" w:cs="宋体"/>
          <w:spacing w:val="-22"/>
          <w:sz w:val="20"/>
          <w:szCs w:val="20"/>
        </w:rPr>
        <w:t xml:space="preserve"> </w:t>
      </w:r>
      <w:r>
        <w:rPr>
          <w:rFonts w:hint="eastAsia" w:ascii="宋体" w:hAnsi="宋体" w:eastAsia="宋体" w:cs="宋体"/>
          <w:spacing w:val="8"/>
          <w:sz w:val="20"/>
          <w:szCs w:val="20"/>
        </w:rPr>
        <w:t>3.1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款的约定向承包人发出指示，监理人的指示应加盖监理人授</w:t>
      </w:r>
      <w:r>
        <w:rPr>
          <w:rFonts w:hint="eastAsia" w:ascii="宋体" w:hAnsi="宋体" w:eastAsia="宋体" w:cs="宋体"/>
          <w:spacing w:val="6"/>
          <w:sz w:val="20"/>
          <w:szCs w:val="20"/>
        </w:rPr>
        <w:t>权的施工场地机构章，并由总监理工程师或总监理工程师按第</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3.3.1</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项约定授权的监理人员</w:t>
      </w:r>
      <w:r>
        <w:rPr>
          <w:rFonts w:hint="eastAsia" w:ascii="宋体" w:hAnsi="宋体" w:eastAsia="宋体" w:cs="宋体"/>
          <w:spacing w:val="3"/>
          <w:sz w:val="20"/>
          <w:szCs w:val="20"/>
        </w:rPr>
        <w:t>签字。</w:t>
      </w:r>
    </w:p>
    <w:p w14:paraId="18093BEA">
      <w:pPr>
        <w:spacing w:before="159" w:line="360" w:lineRule="auto"/>
        <w:ind w:left="19" w:right="38" w:firstLine="424"/>
        <w:jc w:val="left"/>
        <w:rPr>
          <w:rFonts w:hint="eastAsia" w:ascii="宋体" w:hAnsi="宋体" w:eastAsia="宋体" w:cs="宋体"/>
          <w:sz w:val="20"/>
          <w:szCs w:val="20"/>
        </w:rPr>
      </w:pPr>
      <w:r>
        <w:rPr>
          <w:rFonts w:hint="eastAsia" w:ascii="宋体" w:hAnsi="宋体" w:eastAsia="宋体" w:cs="宋体"/>
          <w:spacing w:val="5"/>
          <w:sz w:val="20"/>
          <w:szCs w:val="20"/>
        </w:rPr>
        <w:t>3.4.2  承包人收到监理人按第</w:t>
      </w:r>
      <w:r>
        <w:rPr>
          <w:rFonts w:hint="eastAsia" w:ascii="宋体" w:hAnsi="宋体" w:eastAsia="宋体" w:cs="宋体"/>
          <w:spacing w:val="-33"/>
          <w:sz w:val="20"/>
          <w:szCs w:val="20"/>
        </w:rPr>
        <w:t xml:space="preserve"> </w:t>
      </w:r>
      <w:r>
        <w:rPr>
          <w:rFonts w:hint="eastAsia" w:ascii="宋体" w:hAnsi="宋体" w:eastAsia="宋体" w:cs="宋体"/>
          <w:spacing w:val="5"/>
          <w:sz w:val="20"/>
          <w:szCs w:val="20"/>
        </w:rPr>
        <w:t>3.4.1</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项作出</w:t>
      </w:r>
      <w:r>
        <w:rPr>
          <w:rFonts w:hint="eastAsia" w:ascii="宋体" w:hAnsi="宋体" w:eastAsia="宋体" w:cs="宋体"/>
          <w:spacing w:val="4"/>
          <w:sz w:val="20"/>
          <w:szCs w:val="20"/>
        </w:rPr>
        <w:t>的指示后，应遵照执行。指示构成变更的，</w:t>
      </w:r>
      <w:r>
        <w:rPr>
          <w:rFonts w:hint="eastAsia" w:ascii="宋体" w:hAnsi="宋体" w:eastAsia="宋体" w:cs="宋体"/>
          <w:spacing w:val="2"/>
          <w:sz w:val="20"/>
          <w:szCs w:val="20"/>
        </w:rPr>
        <w:t>应按第</w:t>
      </w:r>
      <w:r>
        <w:rPr>
          <w:rFonts w:hint="eastAsia" w:ascii="宋体" w:hAnsi="宋体" w:eastAsia="宋体" w:cs="宋体"/>
          <w:spacing w:val="-17"/>
          <w:sz w:val="20"/>
          <w:szCs w:val="20"/>
        </w:rPr>
        <w:t xml:space="preserve"> </w:t>
      </w:r>
      <w:r>
        <w:rPr>
          <w:rFonts w:hint="eastAsia" w:ascii="宋体" w:hAnsi="宋体" w:eastAsia="宋体" w:cs="宋体"/>
          <w:spacing w:val="2"/>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2"/>
          <w:sz w:val="20"/>
          <w:szCs w:val="20"/>
        </w:rPr>
        <w:t>条处理。</w:t>
      </w:r>
    </w:p>
    <w:p w14:paraId="399C0E7B">
      <w:pPr>
        <w:spacing w:before="165" w:line="360" w:lineRule="auto"/>
        <w:ind w:left="19" w:right="38" w:firstLine="424"/>
        <w:jc w:val="left"/>
        <w:rPr>
          <w:rFonts w:hint="eastAsia" w:ascii="宋体" w:hAnsi="宋体" w:eastAsia="宋体" w:cs="宋体"/>
          <w:sz w:val="20"/>
          <w:szCs w:val="20"/>
        </w:rPr>
      </w:pPr>
      <w:r>
        <w:rPr>
          <w:rFonts w:hint="eastAsia" w:ascii="宋体" w:hAnsi="宋体" w:eastAsia="宋体" w:cs="宋体"/>
          <w:spacing w:val="6"/>
          <w:sz w:val="20"/>
          <w:szCs w:val="20"/>
        </w:rPr>
        <w:t>3.4.3  在紧急情况下，总监理工程师或</w:t>
      </w:r>
      <w:r>
        <w:rPr>
          <w:rFonts w:hint="eastAsia" w:ascii="宋体" w:hAnsi="宋体" w:eastAsia="宋体" w:cs="宋体"/>
          <w:spacing w:val="5"/>
          <w:sz w:val="20"/>
          <w:szCs w:val="20"/>
        </w:rPr>
        <w:t>被授权的监理人员可以当场签发临时书面指示，</w:t>
      </w:r>
      <w:r>
        <w:rPr>
          <w:rFonts w:hint="eastAsia" w:ascii="宋体" w:hAnsi="宋体" w:eastAsia="宋体" w:cs="宋体"/>
          <w:spacing w:val="9"/>
          <w:sz w:val="20"/>
          <w:szCs w:val="20"/>
        </w:rPr>
        <w:t>承包人应遵照执行。承包人应在收到上述临时书面指示后</w:t>
      </w:r>
      <w:r>
        <w:rPr>
          <w:rFonts w:hint="eastAsia" w:ascii="宋体" w:hAnsi="宋体" w:eastAsia="宋体" w:cs="宋体"/>
          <w:spacing w:val="-28"/>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小时内，向监理人发出书面确认函。监理人在收到书面确认函后</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小时内未予答复的，该书面确认函应被视为监理人的</w:t>
      </w:r>
      <w:r>
        <w:rPr>
          <w:rFonts w:hint="eastAsia" w:ascii="宋体" w:hAnsi="宋体" w:eastAsia="宋体" w:cs="宋体"/>
          <w:spacing w:val="5"/>
          <w:sz w:val="20"/>
          <w:szCs w:val="20"/>
        </w:rPr>
        <w:t>正式指示。</w:t>
      </w:r>
    </w:p>
    <w:p w14:paraId="51BD0FA0">
      <w:pPr>
        <w:spacing w:before="157" w:line="360" w:lineRule="auto"/>
        <w:ind w:left="28" w:right="94" w:firstLine="416"/>
        <w:jc w:val="left"/>
        <w:rPr>
          <w:rFonts w:hint="eastAsia" w:ascii="宋体" w:hAnsi="宋体" w:eastAsia="宋体" w:cs="宋体"/>
          <w:sz w:val="20"/>
          <w:szCs w:val="20"/>
        </w:rPr>
      </w:pPr>
      <w:r>
        <w:rPr>
          <w:rFonts w:hint="eastAsia" w:ascii="宋体" w:hAnsi="宋体" w:eastAsia="宋体" w:cs="宋体"/>
          <w:spacing w:val="8"/>
          <w:sz w:val="20"/>
          <w:szCs w:val="20"/>
        </w:rPr>
        <w:t>3.4.4  除合同另有约定外，承包人只从总监理工程师或按第</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3.3.1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项被授权的监理人</w:t>
      </w:r>
      <w:r>
        <w:rPr>
          <w:rFonts w:hint="eastAsia" w:ascii="宋体" w:hAnsi="宋体" w:eastAsia="宋体" w:cs="宋体"/>
          <w:spacing w:val="5"/>
          <w:sz w:val="20"/>
          <w:szCs w:val="20"/>
        </w:rPr>
        <w:t>员处取得指示。</w:t>
      </w:r>
    </w:p>
    <w:p w14:paraId="71886A2E">
      <w:pPr>
        <w:spacing w:before="159" w:line="360" w:lineRule="auto"/>
        <w:ind w:left="20" w:right="94" w:firstLine="423"/>
        <w:jc w:val="left"/>
        <w:rPr>
          <w:rFonts w:hint="eastAsia" w:ascii="宋体" w:hAnsi="宋体" w:eastAsia="宋体" w:cs="宋体"/>
          <w:sz w:val="20"/>
          <w:szCs w:val="20"/>
        </w:rPr>
      </w:pPr>
      <w:r>
        <w:rPr>
          <w:rFonts w:hint="eastAsia" w:ascii="宋体" w:hAnsi="宋体" w:eastAsia="宋体" w:cs="宋体"/>
          <w:spacing w:val="9"/>
          <w:sz w:val="20"/>
          <w:szCs w:val="20"/>
        </w:rPr>
        <w:t>3.4.5  由于监理人未能按合同约定发出指示、指示延误或指示错误而导致承包人费用</w:t>
      </w:r>
      <w:r>
        <w:rPr>
          <w:rFonts w:hint="eastAsia" w:ascii="宋体" w:hAnsi="宋体" w:eastAsia="宋体" w:cs="宋体"/>
          <w:spacing w:val="7"/>
          <w:sz w:val="20"/>
          <w:szCs w:val="20"/>
        </w:rPr>
        <w:t>增加和（或）工期延误的，</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由发包人承担赔偿责任。</w:t>
      </w:r>
    </w:p>
    <w:p w14:paraId="5EDD1FF5">
      <w:pPr>
        <w:spacing w:before="283" w:line="360" w:lineRule="auto"/>
        <w:ind w:left="25"/>
        <w:jc w:val="left"/>
        <w:outlineLvl w:val="2"/>
        <w:rPr>
          <w:rFonts w:hint="eastAsia" w:ascii="宋体" w:hAnsi="宋体" w:eastAsia="宋体" w:cs="宋体"/>
          <w:sz w:val="24"/>
          <w:szCs w:val="24"/>
        </w:rPr>
      </w:pPr>
      <w:r>
        <w:rPr>
          <w:rFonts w:hint="eastAsia" w:ascii="宋体" w:hAnsi="宋体" w:eastAsia="宋体" w:cs="宋体"/>
          <w:spacing w:val="-4"/>
          <w:sz w:val="24"/>
          <w:szCs w:val="24"/>
        </w:rPr>
        <w:t>3.5</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商定或确定</w:t>
      </w:r>
    </w:p>
    <w:p w14:paraId="7D39DB05">
      <w:pPr>
        <w:spacing w:before="296" w:line="360" w:lineRule="auto"/>
        <w:ind w:left="40" w:right="94" w:firstLine="403"/>
        <w:jc w:val="left"/>
        <w:rPr>
          <w:rFonts w:hint="eastAsia" w:ascii="宋体" w:hAnsi="宋体" w:eastAsia="宋体" w:cs="宋体"/>
          <w:sz w:val="20"/>
          <w:szCs w:val="20"/>
        </w:rPr>
      </w:pPr>
      <w:r>
        <w:rPr>
          <w:rFonts w:hint="eastAsia" w:ascii="宋体" w:hAnsi="宋体" w:eastAsia="宋体" w:cs="宋体"/>
          <w:spacing w:val="9"/>
          <w:sz w:val="20"/>
          <w:szCs w:val="20"/>
        </w:rPr>
        <w:t>3.5.1  总监理工程师应按照本款对任何事项进行商定或确定时，总监理工程师应与合同当事人协商，尽量达成一致。不能达成一致的，总监理工程师应认真研究后审</w:t>
      </w:r>
      <w:r>
        <w:rPr>
          <w:rFonts w:hint="eastAsia" w:ascii="宋体" w:hAnsi="宋体" w:eastAsia="宋体" w:cs="宋体"/>
          <w:spacing w:val="8"/>
          <w:sz w:val="20"/>
          <w:szCs w:val="20"/>
        </w:rPr>
        <w:t>慎确定。</w:t>
      </w:r>
    </w:p>
    <w:p w14:paraId="3F07E239">
      <w:pPr>
        <w:spacing w:before="162" w:line="360" w:lineRule="auto"/>
        <w:ind w:left="21" w:right="92" w:firstLine="422"/>
        <w:jc w:val="left"/>
        <w:rPr>
          <w:rFonts w:hint="eastAsia" w:ascii="宋体" w:hAnsi="宋体" w:eastAsia="宋体" w:cs="宋体"/>
          <w:sz w:val="20"/>
          <w:szCs w:val="20"/>
        </w:rPr>
      </w:pPr>
      <w:r>
        <w:rPr>
          <w:rFonts w:hint="eastAsia" w:ascii="宋体" w:hAnsi="宋体" w:eastAsia="宋体" w:cs="宋体"/>
          <w:spacing w:val="9"/>
          <w:sz w:val="20"/>
          <w:szCs w:val="20"/>
        </w:rPr>
        <w:t>3.5.2  总监理工程师应将商定或确定的事项通知合同当事人，并附详细依据。对总监理工程师的确定有异议的，构成争议，按照第</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条的约定处理。在争议解决前，双方应暂按总监理工程师的确定执行；按照第</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条的约定对总监理工程师的确定需要作出修改的，</w:t>
      </w:r>
      <w:r>
        <w:rPr>
          <w:rFonts w:hint="eastAsia" w:ascii="宋体" w:hAnsi="宋体" w:eastAsia="宋体" w:cs="宋体"/>
          <w:spacing w:val="7"/>
          <w:sz w:val="20"/>
          <w:szCs w:val="20"/>
        </w:rPr>
        <w:t>按修改后的结果执行。</w:t>
      </w:r>
    </w:p>
    <w:p w14:paraId="00924D63">
      <w:pPr>
        <w:spacing w:before="285" w:line="360" w:lineRule="auto"/>
        <w:ind w:left="25"/>
        <w:jc w:val="left"/>
        <w:outlineLvl w:val="2"/>
        <w:rPr>
          <w:rFonts w:hint="eastAsia" w:ascii="宋体" w:hAnsi="宋体" w:eastAsia="宋体" w:cs="宋体"/>
          <w:sz w:val="24"/>
          <w:szCs w:val="24"/>
        </w:rPr>
      </w:pPr>
      <w:r>
        <w:rPr>
          <w:rFonts w:hint="eastAsia" w:ascii="宋体" w:hAnsi="宋体" w:eastAsia="宋体" w:cs="宋体"/>
          <w:spacing w:val="-2"/>
          <w:sz w:val="24"/>
          <w:szCs w:val="24"/>
        </w:rPr>
        <w:t>3.6  监理人的宽恕</w:t>
      </w:r>
    </w:p>
    <w:p w14:paraId="58630799">
      <w:pPr>
        <w:spacing w:before="295" w:line="360" w:lineRule="auto"/>
        <w:ind w:left="23" w:right="94" w:firstLine="417"/>
        <w:jc w:val="left"/>
        <w:rPr>
          <w:rFonts w:hint="eastAsia" w:ascii="宋体" w:hAnsi="宋体" w:eastAsia="宋体" w:cs="宋体"/>
          <w:sz w:val="20"/>
          <w:szCs w:val="20"/>
        </w:rPr>
      </w:pPr>
      <w:r>
        <w:rPr>
          <w:rFonts w:hint="eastAsia" w:ascii="宋体" w:hAnsi="宋体" w:eastAsia="宋体" w:cs="宋体"/>
          <w:spacing w:val="7"/>
          <w:sz w:val="20"/>
          <w:szCs w:val="20"/>
        </w:rPr>
        <w:t>监理人或者发包人就承包人对合同约定的任何责任和义务的某种违约行为的宽恕，不影响监理人和发包人在此后的任何时间严格按合同约定处理承包人的其它违约行为，也不意味</w:t>
      </w:r>
      <w:r>
        <w:rPr>
          <w:rFonts w:hint="eastAsia" w:ascii="宋体" w:hAnsi="宋体" w:eastAsia="宋体" w:cs="宋体"/>
          <w:spacing w:val="9"/>
          <w:sz w:val="20"/>
          <w:szCs w:val="20"/>
        </w:rPr>
        <w:t>发包人放弃合同约定的发包人与上述违约有关的任何权利和赔偿要求。</w:t>
      </w:r>
    </w:p>
    <w:p w14:paraId="4489DAD5">
      <w:pPr>
        <w:spacing w:before="127" w:line="360" w:lineRule="auto"/>
        <w:ind w:left="21"/>
        <w:jc w:val="left"/>
        <w:outlineLvl w:val="1"/>
        <w:rPr>
          <w:rFonts w:hint="eastAsia" w:ascii="宋体" w:hAnsi="宋体" w:eastAsia="宋体" w:cs="宋体"/>
          <w:sz w:val="28"/>
          <w:szCs w:val="28"/>
        </w:rPr>
      </w:pPr>
      <w:r>
        <w:rPr>
          <w:rFonts w:hint="eastAsia" w:ascii="宋体" w:hAnsi="宋体" w:eastAsia="宋体" w:cs="宋体"/>
          <w:spacing w:val="-2"/>
          <w:sz w:val="28"/>
          <w:szCs w:val="28"/>
        </w:rPr>
        <w:t>4.承包人</w:t>
      </w:r>
    </w:p>
    <w:p w14:paraId="7C764143">
      <w:pPr>
        <w:pStyle w:val="17"/>
        <w:spacing w:line="360" w:lineRule="auto"/>
        <w:jc w:val="left"/>
        <w:rPr>
          <w:rFonts w:hint="eastAsia" w:ascii="宋体" w:hAnsi="宋体" w:eastAsia="宋体" w:cs="宋体"/>
        </w:rPr>
      </w:pPr>
    </w:p>
    <w:p w14:paraId="144B8738">
      <w:pPr>
        <w:spacing w:before="78"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4.1  承包人的一般义务</w:t>
      </w:r>
    </w:p>
    <w:p w14:paraId="7211C69C">
      <w:pPr>
        <w:spacing w:before="298" w:line="360" w:lineRule="auto"/>
        <w:ind w:left="439"/>
        <w:jc w:val="left"/>
        <w:rPr>
          <w:rFonts w:hint="eastAsia" w:ascii="宋体" w:hAnsi="宋体" w:eastAsia="宋体" w:cs="宋体"/>
          <w:sz w:val="20"/>
          <w:szCs w:val="20"/>
        </w:rPr>
      </w:pPr>
      <w:r>
        <w:rPr>
          <w:rFonts w:hint="eastAsia" w:ascii="宋体" w:hAnsi="宋体" w:eastAsia="宋体" w:cs="宋体"/>
          <w:spacing w:val="5"/>
          <w:sz w:val="20"/>
          <w:szCs w:val="20"/>
        </w:rPr>
        <w:t>4.1.1  遵守法律</w:t>
      </w:r>
    </w:p>
    <w:p w14:paraId="292622E4">
      <w:pPr>
        <w:spacing w:before="159" w:line="360" w:lineRule="auto"/>
        <w:ind w:left="36" w:right="92" w:firstLine="402"/>
        <w:jc w:val="left"/>
        <w:rPr>
          <w:rFonts w:hint="eastAsia" w:ascii="宋体" w:hAnsi="宋体" w:eastAsia="宋体" w:cs="宋体"/>
          <w:sz w:val="20"/>
          <w:szCs w:val="20"/>
        </w:rPr>
      </w:pPr>
      <w:r>
        <w:rPr>
          <w:rFonts w:hint="eastAsia" w:ascii="宋体" w:hAnsi="宋体" w:eastAsia="宋体" w:cs="宋体"/>
          <w:spacing w:val="7"/>
          <w:sz w:val="20"/>
          <w:szCs w:val="20"/>
        </w:rPr>
        <w:t>承包人在履行合同过程中应遵守法律，并保证发包人免于承担因承包人违反法律而引起</w:t>
      </w:r>
      <w:r>
        <w:rPr>
          <w:rFonts w:hint="eastAsia" w:ascii="宋体" w:hAnsi="宋体" w:eastAsia="宋体" w:cs="宋体"/>
          <w:spacing w:val="3"/>
          <w:sz w:val="20"/>
          <w:szCs w:val="20"/>
        </w:rPr>
        <w:t>的任何责任。</w:t>
      </w:r>
    </w:p>
    <w:p w14:paraId="587C4C6D">
      <w:pPr>
        <w:spacing w:before="1" w:line="360" w:lineRule="auto"/>
        <w:ind w:left="439"/>
        <w:jc w:val="left"/>
        <w:rPr>
          <w:rFonts w:hint="eastAsia" w:ascii="宋体" w:hAnsi="宋体" w:eastAsia="宋体" w:cs="宋体"/>
          <w:sz w:val="20"/>
          <w:szCs w:val="20"/>
        </w:rPr>
      </w:pPr>
      <w:r>
        <w:rPr>
          <w:rFonts w:hint="eastAsia" w:ascii="宋体" w:hAnsi="宋体" w:eastAsia="宋体" w:cs="宋体"/>
          <w:spacing w:val="5"/>
          <w:sz w:val="20"/>
          <w:szCs w:val="20"/>
        </w:rPr>
        <w:t>4.1.2  依法纳税</w:t>
      </w:r>
    </w:p>
    <w:p w14:paraId="5E04D8FA">
      <w:pPr>
        <w:pStyle w:val="17"/>
        <w:spacing w:before="0" w:line="360" w:lineRule="auto"/>
        <w:jc w:val="left"/>
        <w:rPr>
          <w:rFonts w:hint="eastAsia" w:ascii="宋体" w:hAnsi="宋体" w:eastAsia="宋体" w:cs="宋体"/>
        </w:rPr>
      </w:pPr>
    </w:p>
    <w:p w14:paraId="22D865C2">
      <w:pPr>
        <w:spacing w:before="65" w:line="360" w:lineRule="auto"/>
        <w:ind w:left="439"/>
        <w:jc w:val="left"/>
        <w:rPr>
          <w:rFonts w:hint="eastAsia" w:ascii="宋体" w:hAnsi="宋体" w:eastAsia="宋体" w:cs="宋体"/>
          <w:sz w:val="20"/>
          <w:szCs w:val="20"/>
        </w:rPr>
      </w:pPr>
      <w:r>
        <w:rPr>
          <w:rFonts w:hint="eastAsia" w:ascii="宋体" w:hAnsi="宋体" w:eastAsia="宋体" w:cs="宋体"/>
          <w:spacing w:val="9"/>
          <w:sz w:val="20"/>
          <w:szCs w:val="20"/>
        </w:rPr>
        <w:t>承包人应按有关法律规定纳税，应缴纳的增值税包括在合同价格内。</w:t>
      </w:r>
    </w:p>
    <w:p w14:paraId="072FB4B7">
      <w:pPr>
        <w:spacing w:before="162"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4.1.3  完成各项承包工作</w:t>
      </w:r>
    </w:p>
    <w:p w14:paraId="1ABC3051">
      <w:pPr>
        <w:spacing w:before="161" w:line="360" w:lineRule="auto"/>
        <w:ind w:left="19" w:firstLine="430"/>
        <w:jc w:val="left"/>
        <w:rPr>
          <w:rFonts w:hint="eastAsia" w:ascii="宋体" w:hAnsi="宋体" w:eastAsia="宋体" w:cs="宋体"/>
          <w:sz w:val="20"/>
          <w:szCs w:val="20"/>
        </w:rPr>
      </w:pPr>
      <w:r>
        <w:rPr>
          <w:rFonts w:hint="eastAsia" w:ascii="宋体" w:hAnsi="宋体" w:eastAsia="宋体" w:cs="宋体"/>
          <w:spacing w:val="5"/>
          <w:sz w:val="20"/>
          <w:szCs w:val="20"/>
        </w:rPr>
        <w:t>（1）承包人应按合同约定以及监理人根据第</w:t>
      </w:r>
      <w:r>
        <w:rPr>
          <w:rFonts w:hint="eastAsia" w:ascii="宋体" w:hAnsi="宋体" w:eastAsia="宋体" w:cs="宋体"/>
          <w:spacing w:val="-17"/>
          <w:sz w:val="20"/>
          <w:szCs w:val="20"/>
        </w:rPr>
        <w:t xml:space="preserve"> </w:t>
      </w:r>
      <w:r>
        <w:rPr>
          <w:rFonts w:hint="eastAsia" w:ascii="宋体" w:hAnsi="宋体" w:eastAsia="宋体" w:cs="宋体"/>
          <w:spacing w:val="5"/>
          <w:sz w:val="20"/>
          <w:szCs w:val="20"/>
        </w:rPr>
        <w:t>3.4</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款作出的指示，实施、完成全部工程，</w:t>
      </w:r>
      <w:r>
        <w:rPr>
          <w:rFonts w:hint="eastAsia" w:ascii="宋体" w:hAnsi="宋体" w:eastAsia="宋体" w:cs="宋体"/>
          <w:spacing w:val="6"/>
          <w:sz w:val="20"/>
          <w:szCs w:val="20"/>
        </w:rPr>
        <w:t>并修补工程中的任何缺陷。除第</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5.2</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款约定由发包人提供的材料和第</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6.2</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款约</w:t>
      </w:r>
      <w:r>
        <w:rPr>
          <w:rFonts w:hint="eastAsia" w:ascii="宋体" w:hAnsi="宋体" w:eastAsia="宋体" w:cs="宋体"/>
          <w:spacing w:val="5"/>
          <w:sz w:val="20"/>
          <w:szCs w:val="20"/>
        </w:rPr>
        <w:t>定由发包人提</w:t>
      </w:r>
      <w:r>
        <w:rPr>
          <w:rFonts w:hint="eastAsia" w:ascii="宋体" w:hAnsi="宋体" w:eastAsia="宋体" w:cs="宋体"/>
          <w:spacing w:val="8"/>
          <w:sz w:val="20"/>
          <w:szCs w:val="20"/>
        </w:rPr>
        <w:t>供的施工设备和临时设施外，承包人应负责提供为</w:t>
      </w:r>
      <w:r>
        <w:rPr>
          <w:rFonts w:hint="eastAsia" w:ascii="宋体" w:hAnsi="宋体" w:eastAsia="宋体" w:cs="宋体"/>
          <w:spacing w:val="7"/>
          <w:sz w:val="20"/>
          <w:szCs w:val="20"/>
        </w:rPr>
        <w:t>完成合同工作所需的劳务、材料、施工设</w:t>
      </w:r>
      <w:r>
        <w:rPr>
          <w:rFonts w:hint="eastAsia" w:ascii="宋体" w:hAnsi="宋体" w:eastAsia="宋体" w:cs="宋体"/>
          <w:spacing w:val="4"/>
          <w:sz w:val="20"/>
          <w:szCs w:val="20"/>
        </w:rPr>
        <w:t>备和其他物品，并按照合同约定负责临时设施的设计、建造、运行、维护、管理和拆除工作。</w:t>
      </w:r>
    </w:p>
    <w:p w14:paraId="1408AE12">
      <w:pPr>
        <w:spacing w:before="164" w:line="360" w:lineRule="auto"/>
        <w:ind w:left="19" w:firstLine="430"/>
        <w:jc w:val="left"/>
        <w:rPr>
          <w:rFonts w:hint="eastAsia" w:ascii="宋体" w:hAnsi="宋体" w:eastAsia="宋体" w:cs="宋体"/>
          <w:sz w:val="20"/>
          <w:szCs w:val="20"/>
        </w:rPr>
      </w:pPr>
      <w:r>
        <w:rPr>
          <w:rFonts w:hint="eastAsia" w:ascii="宋体" w:hAnsi="宋体" w:eastAsia="宋体" w:cs="宋体"/>
          <w:spacing w:val="6"/>
          <w:sz w:val="20"/>
          <w:szCs w:val="20"/>
        </w:rPr>
        <w:t>（2）承包人应当依法合规建立施工扬尘综合治理、建筑垃圾、土方和砂石清运与消纳、</w:t>
      </w:r>
      <w:r>
        <w:rPr>
          <w:rFonts w:hint="eastAsia" w:ascii="宋体" w:hAnsi="宋体" w:eastAsia="宋体" w:cs="宋体"/>
          <w:spacing w:val="13"/>
          <w:sz w:val="20"/>
          <w:szCs w:val="20"/>
        </w:rPr>
        <w:t>保证使用已在本市进行信息编码登记符合排放标准的非道路移动机械和严禁使</w:t>
      </w:r>
      <w:r>
        <w:rPr>
          <w:rFonts w:hint="eastAsia" w:ascii="宋体" w:hAnsi="宋体" w:eastAsia="宋体" w:cs="宋体"/>
          <w:spacing w:val="12"/>
          <w:sz w:val="20"/>
          <w:szCs w:val="20"/>
        </w:rPr>
        <w:t>用高排放非</w:t>
      </w:r>
      <w:r>
        <w:rPr>
          <w:rFonts w:hint="eastAsia" w:ascii="宋体" w:hAnsi="宋体" w:eastAsia="宋体" w:cs="宋体"/>
          <w:spacing w:val="8"/>
          <w:sz w:val="20"/>
          <w:szCs w:val="20"/>
        </w:rPr>
        <w:t>道路移动机械以及行业挥发性有机物治理（如建筑</w:t>
      </w:r>
      <w:r>
        <w:rPr>
          <w:rFonts w:hint="eastAsia" w:ascii="宋体" w:hAnsi="宋体" w:eastAsia="宋体" w:cs="宋体"/>
          <w:spacing w:val="7"/>
          <w:sz w:val="20"/>
          <w:szCs w:val="20"/>
        </w:rPr>
        <w:t>外墙涂装、钢结构等鼓励使用水性漆替代</w:t>
      </w:r>
      <w:r>
        <w:rPr>
          <w:rFonts w:hint="eastAsia" w:ascii="宋体" w:hAnsi="宋体" w:eastAsia="宋体" w:cs="宋体"/>
          <w:spacing w:val="8"/>
          <w:sz w:val="20"/>
          <w:szCs w:val="20"/>
        </w:rPr>
        <w:t>油性漆；建筑施工、室外构筑物防护和道路交</w:t>
      </w:r>
      <w:r>
        <w:rPr>
          <w:rFonts w:hint="eastAsia" w:ascii="宋体" w:hAnsi="宋体" w:eastAsia="宋体" w:cs="宋体"/>
          <w:spacing w:val="7"/>
          <w:sz w:val="20"/>
          <w:szCs w:val="20"/>
        </w:rPr>
        <w:t>通标识等其他涂装作业，推广使用水性、高固</w:t>
      </w:r>
      <w:r>
        <w:rPr>
          <w:rFonts w:hint="eastAsia" w:ascii="宋体" w:hAnsi="宋体" w:eastAsia="宋体" w:cs="宋体"/>
          <w:spacing w:val="10"/>
          <w:sz w:val="20"/>
          <w:szCs w:val="20"/>
        </w:rPr>
        <w:t>体分、无溶剂、粉末等涂料和水基、本体型等低</w:t>
      </w:r>
      <w:r>
        <w:rPr>
          <w:rFonts w:hint="eastAsia" w:ascii="宋体" w:hAnsi="宋体" w:eastAsia="宋体" w:cs="宋体"/>
          <w:spacing w:val="-30"/>
          <w:sz w:val="20"/>
          <w:szCs w:val="20"/>
        </w:rPr>
        <w:t xml:space="preserve"> </w:t>
      </w:r>
      <w:r>
        <w:rPr>
          <w:rFonts w:hint="eastAsia" w:ascii="宋体" w:hAnsi="宋体" w:eastAsia="宋体" w:cs="宋体"/>
          <w:sz w:val="20"/>
          <w:szCs w:val="20"/>
        </w:rPr>
        <w:t>VOCs</w:t>
      </w:r>
      <w:r>
        <w:rPr>
          <w:rFonts w:hint="eastAsia" w:ascii="宋体" w:hAnsi="宋体" w:eastAsia="宋体" w:cs="宋体"/>
          <w:spacing w:val="-40"/>
          <w:sz w:val="20"/>
          <w:szCs w:val="20"/>
        </w:rPr>
        <w:t xml:space="preserve"> </w:t>
      </w:r>
      <w:r>
        <w:rPr>
          <w:rFonts w:hint="eastAsia" w:ascii="宋体" w:hAnsi="宋体" w:eastAsia="宋体" w:cs="宋体"/>
          <w:spacing w:val="10"/>
          <w:sz w:val="20"/>
          <w:szCs w:val="20"/>
        </w:rPr>
        <w:t>含量胶粘剂）等责任制，制定具体的</w:t>
      </w:r>
      <w:r>
        <w:rPr>
          <w:rFonts w:hint="eastAsia" w:ascii="宋体" w:hAnsi="宋体" w:eastAsia="宋体" w:cs="宋体"/>
          <w:spacing w:val="8"/>
          <w:sz w:val="20"/>
          <w:szCs w:val="20"/>
        </w:rPr>
        <w:t>管控机制和实施方案，严格落实。</w:t>
      </w:r>
    </w:p>
    <w:p w14:paraId="1C1292CD">
      <w:pPr>
        <w:spacing w:before="162" w:line="360" w:lineRule="auto"/>
        <w:ind w:left="20" w:right="69" w:firstLine="429"/>
        <w:jc w:val="left"/>
        <w:rPr>
          <w:rFonts w:hint="eastAsia" w:ascii="宋体" w:hAnsi="宋体" w:eastAsia="宋体" w:cs="宋体"/>
          <w:sz w:val="20"/>
          <w:szCs w:val="20"/>
        </w:rPr>
      </w:pPr>
      <w:r>
        <w:rPr>
          <w:rFonts w:hint="eastAsia" w:ascii="宋体" w:hAnsi="宋体" w:eastAsia="宋体" w:cs="宋体"/>
          <w:spacing w:val="10"/>
          <w:sz w:val="20"/>
          <w:szCs w:val="20"/>
        </w:rPr>
        <w:t>（3）承包人应按法律法规、经消防设计审查合格或者满足工程需</w:t>
      </w:r>
      <w:r>
        <w:rPr>
          <w:rFonts w:hint="eastAsia" w:ascii="宋体" w:hAnsi="宋体" w:eastAsia="宋体" w:cs="宋体"/>
          <w:spacing w:val="9"/>
          <w:sz w:val="20"/>
          <w:szCs w:val="20"/>
        </w:rPr>
        <w:t>要的消防设计文件等</w:t>
      </w:r>
      <w:r>
        <w:rPr>
          <w:rFonts w:hint="eastAsia" w:ascii="宋体" w:hAnsi="宋体" w:eastAsia="宋体" w:cs="宋体"/>
          <w:spacing w:val="7"/>
          <w:sz w:val="20"/>
          <w:szCs w:val="20"/>
        </w:rPr>
        <w:t>规定组织施工，编制消防专项施工方案；按消防设计要求、施工技术标准和合同约定检验消</w:t>
      </w:r>
      <w:r>
        <w:rPr>
          <w:rFonts w:hint="eastAsia" w:ascii="宋体" w:hAnsi="宋体" w:eastAsia="宋体" w:cs="宋体"/>
          <w:spacing w:val="8"/>
          <w:sz w:val="20"/>
          <w:szCs w:val="20"/>
        </w:rPr>
        <w:t>防产品和具有防火性能要求的建筑材料、建筑构</w:t>
      </w:r>
      <w:r>
        <w:rPr>
          <w:rFonts w:hint="eastAsia" w:ascii="宋体" w:hAnsi="宋体" w:eastAsia="宋体" w:cs="宋体"/>
          <w:spacing w:val="7"/>
          <w:sz w:val="20"/>
          <w:szCs w:val="20"/>
        </w:rPr>
        <w:t>配件和设备的质量，保证消防施工质量；配</w:t>
      </w:r>
      <w:r>
        <w:rPr>
          <w:rFonts w:hint="eastAsia" w:ascii="宋体" w:hAnsi="宋体" w:eastAsia="宋体" w:cs="宋体"/>
          <w:spacing w:val="9"/>
          <w:sz w:val="20"/>
          <w:szCs w:val="20"/>
        </w:rPr>
        <w:t>合发包人组织的竣工验收消防查验，对建设工程消防施工质量签章确认。</w:t>
      </w:r>
    </w:p>
    <w:p w14:paraId="63504E6E">
      <w:pPr>
        <w:spacing w:before="164"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4.1.4  对施工作业和施工方法的完备性负责</w:t>
      </w:r>
    </w:p>
    <w:p w14:paraId="2F290347">
      <w:pPr>
        <w:spacing w:before="160" w:line="360" w:lineRule="auto"/>
        <w:ind w:left="24" w:right="32" w:firstLine="414"/>
        <w:jc w:val="left"/>
        <w:rPr>
          <w:rFonts w:hint="eastAsia" w:ascii="宋体" w:hAnsi="宋体" w:eastAsia="宋体" w:cs="宋体"/>
          <w:sz w:val="20"/>
          <w:szCs w:val="20"/>
        </w:rPr>
      </w:pPr>
      <w:r>
        <w:rPr>
          <w:rFonts w:hint="eastAsia" w:ascii="宋体" w:hAnsi="宋体" w:eastAsia="宋体" w:cs="宋体"/>
          <w:spacing w:val="8"/>
          <w:sz w:val="20"/>
          <w:szCs w:val="20"/>
        </w:rPr>
        <w:t>承包人应按合同约定的工作内容和施工进度要求，编制施工组织设计和施工措施计划，</w:t>
      </w:r>
      <w:r>
        <w:rPr>
          <w:rFonts w:hint="eastAsia" w:ascii="宋体" w:hAnsi="宋体" w:eastAsia="宋体" w:cs="宋体"/>
          <w:spacing w:val="9"/>
          <w:sz w:val="20"/>
          <w:szCs w:val="20"/>
        </w:rPr>
        <w:t>并对所有施工作业和施工方法的完备性和安全可靠性负责。</w:t>
      </w:r>
    </w:p>
    <w:p w14:paraId="2BFEEC64">
      <w:pPr>
        <w:spacing w:line="360" w:lineRule="auto"/>
        <w:ind w:left="439"/>
        <w:jc w:val="left"/>
        <w:rPr>
          <w:rFonts w:hint="eastAsia" w:ascii="宋体" w:hAnsi="宋体" w:eastAsia="宋体" w:cs="宋体"/>
          <w:sz w:val="20"/>
          <w:szCs w:val="20"/>
        </w:rPr>
      </w:pPr>
      <w:r>
        <w:rPr>
          <w:rFonts w:hint="eastAsia" w:ascii="宋体" w:hAnsi="宋体" w:eastAsia="宋体" w:cs="宋体"/>
          <w:spacing w:val="7"/>
          <w:sz w:val="20"/>
          <w:szCs w:val="20"/>
        </w:rPr>
        <w:t>4.1.5  保证工程施工和人员的安全</w:t>
      </w:r>
    </w:p>
    <w:p w14:paraId="39F2BB57">
      <w:pPr>
        <w:spacing w:before="161" w:line="360" w:lineRule="auto"/>
        <w:ind w:left="36" w:right="69" w:firstLine="402"/>
        <w:jc w:val="left"/>
        <w:rPr>
          <w:rFonts w:hint="eastAsia" w:ascii="宋体" w:hAnsi="宋体" w:eastAsia="宋体" w:cs="宋体"/>
          <w:sz w:val="20"/>
          <w:szCs w:val="20"/>
        </w:rPr>
      </w:pPr>
      <w:r>
        <w:rPr>
          <w:rFonts w:hint="eastAsia" w:ascii="宋体" w:hAnsi="宋体" w:eastAsia="宋体" w:cs="宋体"/>
          <w:spacing w:val="8"/>
          <w:sz w:val="20"/>
          <w:szCs w:val="20"/>
        </w:rPr>
        <w:t>承包人应按照第9.2</w:t>
      </w:r>
      <w:r>
        <w:rPr>
          <w:rFonts w:hint="eastAsia" w:ascii="宋体" w:hAnsi="宋体" w:eastAsia="宋体" w:cs="宋体"/>
          <w:spacing w:val="-30"/>
          <w:sz w:val="20"/>
          <w:szCs w:val="20"/>
        </w:rPr>
        <w:t xml:space="preserve"> </w:t>
      </w:r>
      <w:r>
        <w:rPr>
          <w:rFonts w:hint="eastAsia" w:ascii="宋体" w:hAnsi="宋体" w:eastAsia="宋体" w:cs="宋体"/>
          <w:spacing w:val="8"/>
          <w:sz w:val="20"/>
          <w:szCs w:val="20"/>
        </w:rPr>
        <w:t>款约定采取施工安全措施，确保工程及其人员、材料、设备和设施的安全，防止因工程施工造成的人身伤害和财产损失。</w:t>
      </w:r>
    </w:p>
    <w:p w14:paraId="26FC0A41">
      <w:pPr>
        <w:spacing w:before="1"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4.1.6  负责施工场地、周边环境和生态保护工作</w:t>
      </w:r>
    </w:p>
    <w:p w14:paraId="3FF1A45A">
      <w:pPr>
        <w:spacing w:before="161"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承包人应按照第</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9.4</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款约定负责施工场地及其周边环境与生态的保护工作。</w:t>
      </w:r>
    </w:p>
    <w:p w14:paraId="5420C3F4">
      <w:pPr>
        <w:spacing w:before="161"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4.1.7  避免施工对公众与他人的利益造成损害</w:t>
      </w:r>
    </w:p>
    <w:p w14:paraId="732BF8BC">
      <w:pPr>
        <w:spacing w:before="161" w:line="360" w:lineRule="auto"/>
        <w:ind w:left="19" w:right="69" w:firstLine="420"/>
        <w:jc w:val="left"/>
        <w:rPr>
          <w:rFonts w:hint="eastAsia" w:ascii="宋体" w:hAnsi="宋体" w:eastAsia="宋体" w:cs="宋体"/>
          <w:sz w:val="20"/>
          <w:szCs w:val="20"/>
        </w:rPr>
      </w:pPr>
      <w:r>
        <w:rPr>
          <w:rFonts w:hint="eastAsia" w:ascii="宋体" w:hAnsi="宋体" w:eastAsia="宋体" w:cs="宋体"/>
          <w:spacing w:val="7"/>
          <w:sz w:val="20"/>
          <w:szCs w:val="20"/>
        </w:rPr>
        <w:t>承包人在进行合同约定的各项工作时，不得侵害发包人与他人使用公用道路、水源、市</w:t>
      </w:r>
      <w:r>
        <w:rPr>
          <w:rFonts w:hint="eastAsia" w:ascii="宋体" w:hAnsi="宋体" w:eastAsia="宋体" w:cs="宋体"/>
          <w:spacing w:val="8"/>
          <w:sz w:val="20"/>
          <w:szCs w:val="20"/>
        </w:rPr>
        <w:t>政管网等公共设施的权利，避免对邻近的公共设施</w:t>
      </w:r>
      <w:r>
        <w:rPr>
          <w:rFonts w:hint="eastAsia" w:ascii="宋体" w:hAnsi="宋体" w:eastAsia="宋体" w:cs="宋体"/>
          <w:spacing w:val="7"/>
          <w:sz w:val="20"/>
          <w:szCs w:val="20"/>
        </w:rPr>
        <w:t>产生干扰。承包人占用或使用他人的施工</w:t>
      </w:r>
      <w:r>
        <w:rPr>
          <w:rFonts w:hint="eastAsia" w:ascii="宋体" w:hAnsi="宋体" w:eastAsia="宋体" w:cs="宋体"/>
          <w:spacing w:val="9"/>
          <w:sz w:val="20"/>
          <w:szCs w:val="20"/>
        </w:rPr>
        <w:t>场地，影响他人作业或生活的，应承担相应责任。</w:t>
      </w:r>
    </w:p>
    <w:p w14:paraId="6BC8F107">
      <w:pPr>
        <w:spacing w:before="1"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4.1.8  为他人提供方便</w:t>
      </w:r>
    </w:p>
    <w:p w14:paraId="036E73AE">
      <w:pPr>
        <w:spacing w:before="162" w:line="360" w:lineRule="auto"/>
        <w:ind w:left="20" w:right="69" w:firstLine="429"/>
        <w:jc w:val="left"/>
        <w:rPr>
          <w:rFonts w:hint="eastAsia" w:ascii="宋体" w:hAnsi="宋体" w:eastAsia="宋体" w:cs="宋体"/>
          <w:sz w:val="20"/>
          <w:szCs w:val="20"/>
        </w:rPr>
      </w:pPr>
      <w:r>
        <w:rPr>
          <w:rFonts w:hint="eastAsia" w:ascii="宋体" w:hAnsi="宋体" w:eastAsia="宋体" w:cs="宋体"/>
          <w:spacing w:val="10"/>
          <w:sz w:val="20"/>
          <w:szCs w:val="20"/>
        </w:rPr>
        <w:t>（1）承包人应当对在施工场地或者附近实施与合同工程有关</w:t>
      </w:r>
      <w:r>
        <w:rPr>
          <w:rFonts w:hint="eastAsia" w:ascii="宋体" w:hAnsi="宋体" w:eastAsia="宋体" w:cs="宋体"/>
          <w:spacing w:val="9"/>
          <w:sz w:val="20"/>
          <w:szCs w:val="20"/>
        </w:rPr>
        <w:t>的其他工作的独立承包人</w:t>
      </w:r>
      <w:r>
        <w:rPr>
          <w:rFonts w:hint="eastAsia" w:ascii="宋体" w:hAnsi="宋体" w:eastAsia="宋体" w:cs="宋体"/>
          <w:spacing w:val="8"/>
          <w:sz w:val="20"/>
          <w:szCs w:val="20"/>
        </w:rPr>
        <w:t>履行管理、协调、配合、照管和服务义务，由此</w:t>
      </w:r>
      <w:r>
        <w:rPr>
          <w:rFonts w:hint="eastAsia" w:ascii="宋体" w:hAnsi="宋体" w:eastAsia="宋体" w:cs="宋体"/>
          <w:spacing w:val="7"/>
          <w:sz w:val="20"/>
          <w:szCs w:val="20"/>
        </w:rPr>
        <w:t>发生的费用被认为已经包括在承包人的签约</w:t>
      </w:r>
      <w:r>
        <w:rPr>
          <w:rFonts w:hint="eastAsia" w:ascii="宋体" w:hAnsi="宋体" w:eastAsia="宋体" w:cs="宋体"/>
          <w:spacing w:val="9"/>
          <w:sz w:val="20"/>
          <w:szCs w:val="20"/>
        </w:rPr>
        <w:t>合同价（投标总报价）中，具体工作内容和要求见合同条款专用部分。</w:t>
      </w:r>
    </w:p>
    <w:p w14:paraId="3124AAED">
      <w:pPr>
        <w:spacing w:before="160" w:line="360" w:lineRule="auto"/>
        <w:ind w:left="20" w:right="69" w:firstLine="429"/>
        <w:jc w:val="left"/>
        <w:rPr>
          <w:rFonts w:hint="eastAsia" w:ascii="宋体" w:hAnsi="宋体" w:eastAsia="宋体" w:cs="宋体"/>
          <w:sz w:val="20"/>
          <w:szCs w:val="20"/>
        </w:rPr>
      </w:pPr>
      <w:r>
        <w:rPr>
          <w:rFonts w:hint="eastAsia" w:ascii="宋体" w:hAnsi="宋体" w:eastAsia="宋体" w:cs="宋体"/>
          <w:spacing w:val="10"/>
          <w:sz w:val="20"/>
          <w:szCs w:val="20"/>
        </w:rPr>
        <w:t>（2）承包人还应按照监理人指示为独立承包人以外的他人在</w:t>
      </w:r>
      <w:r>
        <w:rPr>
          <w:rFonts w:hint="eastAsia" w:ascii="宋体" w:hAnsi="宋体" w:eastAsia="宋体" w:cs="宋体"/>
          <w:spacing w:val="9"/>
          <w:sz w:val="20"/>
          <w:szCs w:val="20"/>
        </w:rPr>
        <w:t>施工场地或者附近实施与</w:t>
      </w:r>
      <w:r>
        <w:rPr>
          <w:rFonts w:hint="eastAsia" w:ascii="宋体" w:hAnsi="宋体" w:eastAsia="宋体" w:cs="宋体"/>
          <w:spacing w:val="13"/>
          <w:sz w:val="20"/>
          <w:szCs w:val="20"/>
        </w:rPr>
        <w:t>合同工程有关的其他工作提供可能的条件，可能发生费用由监理人按合同条</w:t>
      </w:r>
      <w:r>
        <w:rPr>
          <w:rFonts w:hint="eastAsia" w:ascii="宋体" w:hAnsi="宋体" w:eastAsia="宋体" w:cs="宋体"/>
          <w:spacing w:val="12"/>
          <w:sz w:val="20"/>
          <w:szCs w:val="20"/>
        </w:rPr>
        <w:t>款通用部分第</w:t>
      </w:r>
      <w:r>
        <w:rPr>
          <w:rFonts w:hint="eastAsia" w:ascii="宋体" w:hAnsi="宋体" w:eastAsia="宋体" w:cs="宋体"/>
          <w:spacing w:val="5"/>
          <w:sz w:val="20"/>
          <w:szCs w:val="20"/>
        </w:rPr>
        <w:t>3.5</w:t>
      </w:r>
      <w:r>
        <w:rPr>
          <w:rFonts w:hint="eastAsia" w:ascii="宋体" w:hAnsi="宋体" w:eastAsia="宋体" w:cs="宋体"/>
          <w:spacing w:val="-33"/>
          <w:sz w:val="20"/>
          <w:szCs w:val="20"/>
        </w:rPr>
        <w:t xml:space="preserve"> </w:t>
      </w:r>
      <w:r>
        <w:rPr>
          <w:rFonts w:hint="eastAsia" w:ascii="宋体" w:hAnsi="宋体" w:eastAsia="宋体" w:cs="宋体"/>
          <w:spacing w:val="5"/>
          <w:sz w:val="20"/>
          <w:szCs w:val="20"/>
        </w:rPr>
        <w:t>款商定或者确定。</w:t>
      </w:r>
    </w:p>
    <w:p w14:paraId="7DAD088B">
      <w:pPr>
        <w:spacing w:before="160"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4.1.9  工程的维护和照管</w:t>
      </w:r>
    </w:p>
    <w:p w14:paraId="596E8383">
      <w:pPr>
        <w:spacing w:before="161" w:line="360" w:lineRule="auto"/>
        <w:ind w:left="20" w:right="94" w:firstLine="421"/>
        <w:jc w:val="left"/>
        <w:rPr>
          <w:rFonts w:hint="eastAsia" w:ascii="宋体" w:hAnsi="宋体" w:eastAsia="宋体" w:cs="宋体"/>
          <w:sz w:val="20"/>
          <w:szCs w:val="20"/>
        </w:rPr>
      </w:pPr>
      <w:r>
        <w:rPr>
          <w:rFonts w:hint="eastAsia" w:ascii="宋体" w:hAnsi="宋体" w:eastAsia="宋体" w:cs="宋体"/>
          <w:spacing w:val="7"/>
          <w:sz w:val="20"/>
          <w:szCs w:val="20"/>
        </w:rPr>
        <w:t>工程接收证书颁发前，承包人应负责照管和维护工程。工程接收证书颁发时尚有部分未竣工工程的，承包人还应负责该未竣工工程的照管和维护工作，直至竣工后移交给发包人为</w:t>
      </w:r>
      <w:r>
        <w:rPr>
          <w:rFonts w:hint="eastAsia" w:ascii="宋体" w:hAnsi="宋体" w:eastAsia="宋体" w:cs="宋体"/>
          <w:sz w:val="20"/>
          <w:szCs w:val="20"/>
        </w:rPr>
        <w:t>止。</w:t>
      </w:r>
    </w:p>
    <w:p w14:paraId="2E3D99E0">
      <w:pPr>
        <w:spacing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4.1.10  承包人的设计工作</w:t>
      </w:r>
    </w:p>
    <w:p w14:paraId="01DA83F0">
      <w:pPr>
        <w:spacing w:before="162" w:line="360" w:lineRule="auto"/>
        <w:ind w:left="19" w:right="92" w:firstLine="420"/>
        <w:jc w:val="left"/>
        <w:rPr>
          <w:rFonts w:hint="eastAsia" w:ascii="宋体" w:hAnsi="宋体" w:eastAsia="宋体" w:cs="宋体"/>
          <w:sz w:val="20"/>
          <w:szCs w:val="20"/>
        </w:rPr>
      </w:pPr>
      <w:r>
        <w:rPr>
          <w:rFonts w:hint="eastAsia" w:ascii="宋体" w:hAnsi="宋体" w:eastAsia="宋体" w:cs="宋体"/>
          <w:spacing w:val="7"/>
          <w:sz w:val="20"/>
          <w:szCs w:val="20"/>
        </w:rPr>
        <w:t>根据发包人委托，在其设计资质等级和业务允许的范围内，完成约定的施工图设计或与</w:t>
      </w:r>
      <w:r>
        <w:rPr>
          <w:rFonts w:hint="eastAsia" w:ascii="宋体" w:hAnsi="宋体" w:eastAsia="宋体" w:cs="宋体"/>
          <w:spacing w:val="8"/>
          <w:sz w:val="20"/>
          <w:szCs w:val="20"/>
        </w:rPr>
        <w:t>工程配套的设计工作，经监理人确认后使用</w:t>
      </w:r>
      <w:r>
        <w:rPr>
          <w:rFonts w:hint="eastAsia" w:ascii="宋体" w:hAnsi="宋体" w:eastAsia="宋体" w:cs="宋体"/>
          <w:spacing w:val="7"/>
          <w:sz w:val="20"/>
          <w:szCs w:val="20"/>
        </w:rPr>
        <w:t>，发包人承担由此发生的费用和合理利润。由承</w:t>
      </w:r>
      <w:r>
        <w:rPr>
          <w:rFonts w:hint="eastAsia" w:ascii="宋体" w:hAnsi="宋体" w:eastAsia="宋体" w:cs="宋体"/>
          <w:spacing w:val="6"/>
          <w:sz w:val="20"/>
          <w:szCs w:val="20"/>
        </w:rPr>
        <w:t>包人负责完成的设计文件属于合同条款第</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1.6.2</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项约定的承包人提供的文件，承包人应按照合同条款专用部分第</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1.6.2</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项约定的期限和数量提交，由此发生的费用被认为已经包括在承</w:t>
      </w:r>
      <w:r>
        <w:rPr>
          <w:rFonts w:hint="eastAsia" w:ascii="宋体" w:hAnsi="宋体" w:eastAsia="宋体" w:cs="宋体"/>
          <w:spacing w:val="8"/>
          <w:sz w:val="20"/>
          <w:szCs w:val="20"/>
        </w:rPr>
        <w:t>包人的签约合同价（投标总报价）中。承包人承担</w:t>
      </w:r>
      <w:r>
        <w:rPr>
          <w:rFonts w:hint="eastAsia" w:ascii="宋体" w:hAnsi="宋体" w:eastAsia="宋体" w:cs="宋体"/>
          <w:spacing w:val="7"/>
          <w:sz w:val="20"/>
          <w:szCs w:val="20"/>
        </w:rPr>
        <w:t>的施工图设计或与工程配套的设计工作</w:t>
      </w:r>
      <w:r>
        <w:rPr>
          <w:rFonts w:hint="eastAsia" w:ascii="宋体" w:hAnsi="宋体" w:eastAsia="宋体" w:cs="宋体"/>
          <w:spacing w:val="6"/>
          <w:sz w:val="20"/>
          <w:szCs w:val="20"/>
        </w:rPr>
        <w:t>内容见合同条款专用部分。</w:t>
      </w:r>
    </w:p>
    <w:p w14:paraId="1641FC8F">
      <w:pPr>
        <w:spacing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4.1.11  农民工工资保证金</w:t>
      </w:r>
    </w:p>
    <w:p w14:paraId="6A076EF4">
      <w:pPr>
        <w:spacing w:before="159" w:line="360" w:lineRule="auto"/>
        <w:ind w:left="20" w:right="92" w:firstLine="419"/>
        <w:jc w:val="left"/>
        <w:rPr>
          <w:rFonts w:hint="eastAsia" w:ascii="宋体" w:hAnsi="宋体" w:eastAsia="宋体" w:cs="宋体"/>
          <w:sz w:val="20"/>
          <w:szCs w:val="20"/>
        </w:rPr>
      </w:pPr>
      <w:r>
        <w:rPr>
          <w:rFonts w:hint="eastAsia" w:ascii="宋体" w:hAnsi="宋体" w:eastAsia="宋体" w:cs="宋体"/>
          <w:spacing w:val="7"/>
          <w:sz w:val="20"/>
          <w:szCs w:val="20"/>
        </w:rPr>
        <w:t>承包人应在银行设立工资保证金专用账户，专项用于发生欠薪时支付农民工工资的应急</w:t>
      </w:r>
      <w:r>
        <w:rPr>
          <w:rFonts w:hint="eastAsia" w:ascii="宋体" w:hAnsi="宋体" w:eastAsia="宋体" w:cs="宋体"/>
          <w:spacing w:val="9"/>
          <w:sz w:val="20"/>
          <w:szCs w:val="20"/>
        </w:rPr>
        <w:t>保障。账户内资金启用应当经建设主管部门和劳动保障行政部门批准。</w:t>
      </w:r>
    </w:p>
    <w:p w14:paraId="67A43C51">
      <w:pPr>
        <w:spacing w:before="1" w:line="360" w:lineRule="auto"/>
        <w:ind w:left="439"/>
        <w:jc w:val="left"/>
        <w:rPr>
          <w:rFonts w:hint="eastAsia" w:ascii="宋体" w:hAnsi="宋体" w:eastAsia="宋体" w:cs="宋体"/>
          <w:sz w:val="20"/>
          <w:szCs w:val="20"/>
        </w:rPr>
      </w:pPr>
      <w:r>
        <w:rPr>
          <w:rFonts w:hint="eastAsia" w:ascii="宋体" w:hAnsi="宋体" w:eastAsia="宋体" w:cs="宋体"/>
          <w:spacing w:val="7"/>
          <w:sz w:val="20"/>
          <w:szCs w:val="20"/>
        </w:rPr>
        <w:t>4.1.12  保障妇女的劳动和社会保障权益</w:t>
      </w:r>
    </w:p>
    <w:p w14:paraId="37BB0D09">
      <w:pPr>
        <w:spacing w:before="163" w:line="360" w:lineRule="auto"/>
        <w:ind w:left="23" w:right="94" w:firstLine="416"/>
        <w:jc w:val="left"/>
        <w:rPr>
          <w:rFonts w:hint="eastAsia" w:ascii="宋体" w:hAnsi="宋体" w:eastAsia="宋体" w:cs="宋体"/>
          <w:sz w:val="20"/>
          <w:szCs w:val="20"/>
        </w:rPr>
      </w:pPr>
      <w:r>
        <w:rPr>
          <w:rFonts w:hint="eastAsia" w:ascii="宋体" w:hAnsi="宋体" w:eastAsia="宋体" w:cs="宋体"/>
          <w:spacing w:val="7"/>
          <w:sz w:val="20"/>
          <w:szCs w:val="20"/>
        </w:rPr>
        <w:t>承包人应遵守《中华人民共和国妇女权益保障法</w:t>
      </w:r>
      <w:r>
        <w:rPr>
          <w:rFonts w:hint="eastAsia" w:ascii="宋体" w:hAnsi="宋体" w:eastAsia="宋体" w:cs="宋体"/>
          <w:spacing w:val="6"/>
          <w:sz w:val="20"/>
          <w:szCs w:val="20"/>
        </w:rPr>
        <w:t>》中关于“劳动和社会保障权益</w:t>
      </w:r>
      <w:r>
        <w:rPr>
          <w:rFonts w:hint="eastAsia" w:ascii="宋体" w:hAnsi="宋体" w:eastAsia="宋体" w:cs="宋体"/>
          <w:spacing w:val="-70"/>
          <w:sz w:val="20"/>
          <w:szCs w:val="20"/>
        </w:rPr>
        <w:t xml:space="preserve"> </w:t>
      </w:r>
      <w:r>
        <w:rPr>
          <w:rFonts w:hint="eastAsia" w:ascii="宋体" w:hAnsi="宋体" w:eastAsia="宋体" w:cs="宋体"/>
          <w:spacing w:val="6"/>
          <w:sz w:val="20"/>
          <w:szCs w:val="20"/>
        </w:rPr>
        <w:t>”的有</w:t>
      </w:r>
      <w:r>
        <w:rPr>
          <w:rFonts w:hint="eastAsia" w:ascii="宋体" w:hAnsi="宋体" w:eastAsia="宋体" w:cs="宋体"/>
          <w:spacing w:val="4"/>
          <w:sz w:val="20"/>
          <w:szCs w:val="20"/>
        </w:rPr>
        <w:t>关要求。</w:t>
      </w:r>
    </w:p>
    <w:p w14:paraId="57AA1F39">
      <w:pPr>
        <w:spacing w:line="360" w:lineRule="auto"/>
        <w:ind w:left="439"/>
        <w:jc w:val="left"/>
        <w:rPr>
          <w:rFonts w:hint="eastAsia" w:ascii="宋体" w:hAnsi="宋体" w:eastAsia="宋体" w:cs="宋体"/>
          <w:sz w:val="20"/>
          <w:szCs w:val="20"/>
        </w:rPr>
      </w:pPr>
      <w:r>
        <w:rPr>
          <w:rFonts w:hint="eastAsia" w:ascii="宋体" w:hAnsi="宋体" w:eastAsia="宋体" w:cs="宋体"/>
          <w:spacing w:val="5"/>
          <w:sz w:val="20"/>
          <w:szCs w:val="20"/>
        </w:rPr>
        <w:t>4.1.13  其他义务</w:t>
      </w:r>
    </w:p>
    <w:p w14:paraId="66CD1458">
      <w:pPr>
        <w:spacing w:before="161" w:line="360" w:lineRule="auto"/>
        <w:ind w:left="439"/>
        <w:jc w:val="left"/>
        <w:rPr>
          <w:rFonts w:hint="eastAsia" w:ascii="宋体" w:hAnsi="宋体" w:eastAsia="宋体" w:cs="宋体"/>
          <w:spacing w:val="6"/>
          <w:sz w:val="20"/>
          <w:szCs w:val="20"/>
        </w:rPr>
      </w:pPr>
      <w:r>
        <w:rPr>
          <w:rFonts w:hint="eastAsia" w:ascii="宋体" w:hAnsi="宋体" w:eastAsia="宋体" w:cs="宋体"/>
          <w:spacing w:val="9"/>
          <w:sz w:val="20"/>
          <w:szCs w:val="20"/>
        </w:rPr>
        <w:t>承包人应履行</w:t>
      </w:r>
      <w:r>
        <w:rPr>
          <w:rFonts w:hint="eastAsia" w:ascii="宋体" w:hAnsi="宋体" w:eastAsia="宋体" w:cs="宋体"/>
          <w:spacing w:val="6"/>
          <w:sz w:val="20"/>
          <w:szCs w:val="20"/>
        </w:rPr>
        <w:t>的其他义务见合同条款专用部分。</w:t>
      </w:r>
    </w:p>
    <w:p w14:paraId="1DBB6F16">
      <w:pPr>
        <w:spacing w:before="287" w:line="360" w:lineRule="auto"/>
        <w:ind w:left="20"/>
        <w:jc w:val="left"/>
        <w:outlineLvl w:val="2"/>
        <w:rPr>
          <w:rFonts w:hint="eastAsia" w:ascii="宋体" w:hAnsi="宋体" w:eastAsia="宋体" w:cs="宋体"/>
          <w:sz w:val="24"/>
          <w:szCs w:val="24"/>
        </w:rPr>
      </w:pPr>
      <w:r>
        <w:rPr>
          <w:rFonts w:hint="eastAsia" w:ascii="宋体" w:hAnsi="宋体" w:eastAsia="宋体" w:cs="宋体"/>
          <w:spacing w:val="-4"/>
          <w:sz w:val="24"/>
          <w:szCs w:val="24"/>
        </w:rPr>
        <w:t>4.2</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履约担保</w:t>
      </w:r>
    </w:p>
    <w:p w14:paraId="2BD5D488">
      <w:pPr>
        <w:spacing w:before="294" w:line="360" w:lineRule="auto"/>
        <w:ind w:left="439"/>
        <w:jc w:val="left"/>
        <w:rPr>
          <w:rFonts w:hint="eastAsia" w:ascii="宋体" w:hAnsi="宋体" w:eastAsia="宋体" w:cs="宋体"/>
          <w:sz w:val="20"/>
          <w:szCs w:val="20"/>
        </w:rPr>
      </w:pPr>
      <w:r>
        <w:rPr>
          <w:rFonts w:hint="eastAsia" w:ascii="宋体" w:hAnsi="宋体" w:eastAsia="宋体" w:cs="宋体"/>
          <w:spacing w:val="7"/>
          <w:sz w:val="20"/>
          <w:szCs w:val="20"/>
        </w:rPr>
        <w:t>4.2.1  履约担保的格式和金额</w:t>
      </w:r>
    </w:p>
    <w:p w14:paraId="3558E703">
      <w:pPr>
        <w:spacing w:before="161" w:line="360" w:lineRule="auto"/>
        <w:ind w:left="19" w:right="39" w:firstLine="420"/>
        <w:jc w:val="left"/>
        <w:rPr>
          <w:rFonts w:hint="eastAsia" w:ascii="宋体" w:hAnsi="宋体" w:eastAsia="宋体" w:cs="宋体"/>
          <w:sz w:val="20"/>
          <w:szCs w:val="20"/>
        </w:rPr>
      </w:pPr>
      <w:r>
        <w:rPr>
          <w:rFonts w:hint="eastAsia" w:ascii="宋体" w:hAnsi="宋体" w:eastAsia="宋体" w:cs="宋体"/>
          <w:spacing w:val="7"/>
          <w:sz w:val="20"/>
          <w:szCs w:val="20"/>
        </w:rPr>
        <w:t>合同约定承包人提交履约担保的，承包人应在签订合同前，按照发包人约定的格式或者</w:t>
      </w:r>
      <w:r>
        <w:rPr>
          <w:rFonts w:hint="eastAsia" w:ascii="宋体" w:hAnsi="宋体" w:eastAsia="宋体" w:cs="宋体"/>
          <w:spacing w:val="8"/>
          <w:sz w:val="20"/>
          <w:szCs w:val="20"/>
        </w:rPr>
        <w:t>其他经过发包人认可的格式向发包人递交一份履约</w:t>
      </w:r>
      <w:r>
        <w:rPr>
          <w:rFonts w:hint="eastAsia" w:ascii="宋体" w:hAnsi="宋体" w:eastAsia="宋体" w:cs="宋体"/>
          <w:spacing w:val="7"/>
          <w:sz w:val="20"/>
          <w:szCs w:val="20"/>
        </w:rPr>
        <w:t>担保。经过发包人事先书面认可的其他格</w:t>
      </w:r>
      <w:r>
        <w:rPr>
          <w:rFonts w:hint="eastAsia" w:ascii="宋体" w:hAnsi="宋体" w:eastAsia="宋体" w:cs="宋体"/>
          <w:spacing w:val="9"/>
          <w:sz w:val="20"/>
          <w:szCs w:val="20"/>
        </w:rPr>
        <w:t>式的履约担保，其担保条款的实质性内容应当与发包人合同文件约定的格式内</w:t>
      </w:r>
      <w:r>
        <w:rPr>
          <w:rFonts w:hint="eastAsia" w:ascii="宋体" w:hAnsi="宋体" w:eastAsia="宋体" w:cs="宋体"/>
          <w:spacing w:val="8"/>
          <w:sz w:val="20"/>
          <w:szCs w:val="20"/>
        </w:rPr>
        <w:t>容保持一致。承</w:t>
      </w:r>
      <w:r>
        <w:rPr>
          <w:rFonts w:hint="eastAsia" w:ascii="宋体" w:hAnsi="宋体" w:eastAsia="宋体" w:cs="宋体"/>
          <w:spacing w:val="6"/>
          <w:sz w:val="20"/>
          <w:szCs w:val="20"/>
        </w:rPr>
        <w:t>包人是否提交履约担保及需要提交履约担保的金额见合同条款专用部分。承包人履约担保格式见合同条款专用部分附件五。</w:t>
      </w:r>
    </w:p>
    <w:p w14:paraId="62CEA89E">
      <w:pPr>
        <w:spacing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4.2.2  履约担保的有效期</w:t>
      </w:r>
    </w:p>
    <w:p w14:paraId="29CC6E5F">
      <w:pPr>
        <w:spacing w:before="160" w:line="360" w:lineRule="auto"/>
        <w:ind w:left="19" w:right="92" w:firstLine="424"/>
        <w:jc w:val="left"/>
        <w:rPr>
          <w:rFonts w:hint="eastAsia" w:ascii="宋体" w:hAnsi="宋体" w:eastAsia="宋体" w:cs="宋体"/>
          <w:sz w:val="20"/>
          <w:szCs w:val="20"/>
        </w:rPr>
      </w:pPr>
      <w:r>
        <w:rPr>
          <w:rFonts w:hint="eastAsia" w:ascii="宋体" w:hAnsi="宋体" w:eastAsia="宋体" w:cs="宋体"/>
          <w:spacing w:val="13"/>
          <w:sz w:val="20"/>
          <w:szCs w:val="20"/>
        </w:rPr>
        <w:t>履约担保的有效期应当自本合同生效之日起至发包人签认并由监理人向承包人</w:t>
      </w:r>
      <w:r>
        <w:rPr>
          <w:rFonts w:hint="eastAsia" w:ascii="宋体" w:hAnsi="宋体" w:eastAsia="宋体" w:cs="宋体"/>
          <w:spacing w:val="12"/>
          <w:sz w:val="20"/>
          <w:szCs w:val="20"/>
        </w:rPr>
        <w:t>出具工</w:t>
      </w:r>
      <w:r>
        <w:rPr>
          <w:rFonts w:hint="eastAsia" w:ascii="宋体" w:hAnsi="宋体" w:eastAsia="宋体" w:cs="宋体"/>
          <w:spacing w:val="8"/>
          <w:sz w:val="20"/>
          <w:szCs w:val="20"/>
        </w:rPr>
        <w:t>程接收证书之日止。如果承包人无法获得一份</w:t>
      </w:r>
      <w:r>
        <w:rPr>
          <w:rFonts w:hint="eastAsia" w:ascii="宋体" w:hAnsi="宋体" w:eastAsia="宋体" w:cs="宋体"/>
          <w:spacing w:val="7"/>
          <w:sz w:val="20"/>
          <w:szCs w:val="20"/>
        </w:rPr>
        <w:t>不带具体截止日期的担保，履约担保中就应当约定有“变更工程竣工日期的，保证期间按照变更后的竣工日期做相</w:t>
      </w:r>
      <w:r>
        <w:rPr>
          <w:rFonts w:hint="eastAsia" w:ascii="宋体" w:hAnsi="宋体" w:eastAsia="宋体" w:cs="宋体"/>
          <w:spacing w:val="6"/>
          <w:sz w:val="20"/>
          <w:szCs w:val="20"/>
        </w:rPr>
        <w:t>应调整</w:t>
      </w:r>
      <w:r>
        <w:rPr>
          <w:rFonts w:hint="eastAsia" w:ascii="宋体" w:hAnsi="宋体" w:eastAsia="宋体" w:cs="宋体"/>
          <w:spacing w:val="-70"/>
          <w:sz w:val="20"/>
          <w:szCs w:val="20"/>
        </w:rPr>
        <w:t xml:space="preserve"> </w:t>
      </w:r>
      <w:r>
        <w:rPr>
          <w:rFonts w:hint="eastAsia" w:ascii="宋体" w:hAnsi="宋体" w:eastAsia="宋体" w:cs="宋体"/>
          <w:spacing w:val="6"/>
          <w:sz w:val="20"/>
          <w:szCs w:val="20"/>
        </w:rPr>
        <w:t>”或类似约定的</w:t>
      </w:r>
      <w:r>
        <w:rPr>
          <w:rFonts w:hint="eastAsia" w:ascii="宋体" w:hAnsi="宋体" w:eastAsia="宋体" w:cs="宋体"/>
          <w:spacing w:val="3"/>
          <w:sz w:val="20"/>
          <w:szCs w:val="20"/>
        </w:rPr>
        <w:t>条款。</w:t>
      </w:r>
    </w:p>
    <w:p w14:paraId="21378FFD">
      <w:pPr>
        <w:spacing w:before="1" w:line="360" w:lineRule="auto"/>
        <w:ind w:left="439"/>
        <w:jc w:val="left"/>
        <w:rPr>
          <w:rFonts w:hint="eastAsia" w:ascii="宋体" w:hAnsi="宋体" w:eastAsia="宋体" w:cs="宋体"/>
          <w:sz w:val="20"/>
          <w:szCs w:val="20"/>
        </w:rPr>
      </w:pPr>
      <w:r>
        <w:rPr>
          <w:rFonts w:hint="eastAsia" w:ascii="宋体" w:hAnsi="宋体" w:eastAsia="宋体" w:cs="宋体"/>
          <w:spacing w:val="6"/>
          <w:sz w:val="20"/>
          <w:szCs w:val="20"/>
        </w:rPr>
        <w:t>4.2.3  履约担保的退还</w:t>
      </w:r>
    </w:p>
    <w:p w14:paraId="753F8362">
      <w:pPr>
        <w:tabs>
          <w:tab w:val="right" w:pos="8417"/>
        </w:tabs>
        <w:spacing w:line="360" w:lineRule="auto"/>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ab/>
      </w:r>
    </w:p>
    <w:p w14:paraId="174C393E">
      <w:pPr>
        <w:spacing w:before="65" w:line="360" w:lineRule="auto"/>
        <w:ind w:left="23" w:firstLine="420"/>
        <w:jc w:val="left"/>
        <w:rPr>
          <w:rFonts w:hint="eastAsia" w:ascii="宋体" w:hAnsi="宋体" w:eastAsia="宋体" w:cs="宋体"/>
          <w:sz w:val="20"/>
          <w:szCs w:val="20"/>
        </w:rPr>
      </w:pPr>
      <w:r>
        <w:rPr>
          <w:rFonts w:hint="eastAsia" w:ascii="宋体" w:hAnsi="宋体" w:eastAsia="宋体" w:cs="宋体"/>
          <w:spacing w:val="6"/>
          <w:sz w:val="20"/>
          <w:szCs w:val="20"/>
        </w:rPr>
        <w:t>履约担保应在监理人向承包人颁发（出具）工程接收证书</w:t>
      </w:r>
      <w:r>
        <w:rPr>
          <w:rFonts w:hint="eastAsia" w:ascii="宋体" w:hAnsi="宋体" w:eastAsia="宋体" w:cs="宋体"/>
          <w:spacing w:val="5"/>
          <w:sz w:val="20"/>
          <w:szCs w:val="20"/>
        </w:rPr>
        <w:t>之日后</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天内退还给承包人。</w:t>
      </w:r>
      <w:r>
        <w:rPr>
          <w:rFonts w:hint="eastAsia" w:ascii="宋体" w:hAnsi="宋体" w:eastAsia="宋体" w:cs="宋体"/>
          <w:spacing w:val="9"/>
          <w:sz w:val="20"/>
          <w:szCs w:val="20"/>
        </w:rPr>
        <w:t>发包人不承担承包人与履约担保有关的任何利息或其它类似的费用或者收益。</w:t>
      </w:r>
    </w:p>
    <w:p w14:paraId="085DA548">
      <w:pPr>
        <w:spacing w:line="360" w:lineRule="auto"/>
        <w:ind w:left="439"/>
        <w:jc w:val="left"/>
        <w:rPr>
          <w:rFonts w:hint="eastAsia" w:ascii="宋体" w:hAnsi="宋体" w:eastAsia="宋体" w:cs="宋体"/>
          <w:sz w:val="20"/>
          <w:szCs w:val="20"/>
        </w:rPr>
      </w:pPr>
      <w:r>
        <w:rPr>
          <w:rFonts w:hint="eastAsia" w:ascii="宋体" w:hAnsi="宋体" w:eastAsia="宋体" w:cs="宋体"/>
          <w:spacing w:val="5"/>
          <w:sz w:val="20"/>
          <w:szCs w:val="20"/>
        </w:rPr>
        <w:t>4.2.4  通知义务</w:t>
      </w:r>
    </w:p>
    <w:p w14:paraId="1774086B">
      <w:pPr>
        <w:spacing w:before="158" w:line="360" w:lineRule="auto"/>
        <w:ind w:left="19" w:right="69" w:firstLine="423"/>
        <w:jc w:val="left"/>
        <w:rPr>
          <w:rFonts w:hint="eastAsia" w:ascii="宋体" w:hAnsi="宋体" w:eastAsia="宋体" w:cs="宋体"/>
          <w:sz w:val="20"/>
          <w:szCs w:val="20"/>
        </w:rPr>
      </w:pPr>
      <w:r>
        <w:rPr>
          <w:rFonts w:hint="eastAsia" w:ascii="宋体" w:hAnsi="宋体" w:eastAsia="宋体" w:cs="宋体"/>
          <w:spacing w:val="9"/>
          <w:sz w:val="20"/>
          <w:szCs w:val="20"/>
        </w:rPr>
        <w:t>不管履约担保条款中如何约定，发包人根据担保条款提出索赔或兑现要求</w:t>
      </w:r>
      <w:r>
        <w:rPr>
          <w:rFonts w:hint="eastAsia" w:ascii="宋体" w:hAnsi="宋体" w:eastAsia="宋体" w:cs="宋体"/>
          <w:spacing w:val="-30"/>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天前，应</w:t>
      </w:r>
      <w:r>
        <w:rPr>
          <w:rFonts w:hint="eastAsia" w:ascii="宋体" w:hAnsi="宋体" w:eastAsia="宋体" w:cs="宋体"/>
          <w:spacing w:val="7"/>
          <w:sz w:val="20"/>
          <w:szCs w:val="20"/>
        </w:rPr>
        <w:t>通知承包人并说明导致此类索赔或兑现的违约性质或原因。相应地，</w:t>
      </w:r>
      <w:r>
        <w:rPr>
          <w:rFonts w:hint="eastAsia" w:ascii="宋体" w:hAnsi="宋体" w:eastAsia="宋体" w:cs="宋体"/>
          <w:spacing w:val="6"/>
          <w:sz w:val="20"/>
          <w:szCs w:val="20"/>
        </w:rPr>
        <w:t>不管第</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款约定的支</w:t>
      </w:r>
      <w:r>
        <w:rPr>
          <w:rFonts w:hint="eastAsia" w:ascii="宋体" w:hAnsi="宋体" w:eastAsia="宋体" w:cs="宋体"/>
          <w:spacing w:val="9"/>
          <w:sz w:val="20"/>
          <w:szCs w:val="20"/>
        </w:rPr>
        <w:t>付担保条款中如何约定，承包人根据担保条款提出索赔或兑现要求</w:t>
      </w:r>
      <w:r>
        <w:rPr>
          <w:rFonts w:hint="eastAsia" w:ascii="宋体" w:hAnsi="宋体" w:eastAsia="宋体" w:cs="宋体"/>
          <w:spacing w:val="-27"/>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天前，也应通知发包</w:t>
      </w:r>
      <w:r>
        <w:rPr>
          <w:rFonts w:hint="eastAsia" w:ascii="宋体" w:hAnsi="宋体" w:eastAsia="宋体" w:cs="宋体"/>
          <w:spacing w:val="8"/>
          <w:sz w:val="20"/>
          <w:szCs w:val="20"/>
        </w:rPr>
        <w:t>人并说明导致此类索赔或兑现的违约性质或原因。</w:t>
      </w:r>
      <w:r>
        <w:rPr>
          <w:rFonts w:hint="eastAsia" w:ascii="宋体" w:hAnsi="宋体" w:eastAsia="宋体" w:cs="宋体"/>
          <w:spacing w:val="7"/>
          <w:sz w:val="20"/>
          <w:szCs w:val="20"/>
        </w:rPr>
        <w:t>但是，本项约定的通知不应理解为是在任</w:t>
      </w:r>
      <w:r>
        <w:rPr>
          <w:rFonts w:hint="eastAsia" w:ascii="宋体" w:hAnsi="宋体" w:eastAsia="宋体" w:cs="宋体"/>
          <w:spacing w:val="8"/>
          <w:sz w:val="20"/>
          <w:szCs w:val="20"/>
        </w:rPr>
        <w:t>何意义上寻求承包人或者发包人的同意。</w:t>
      </w:r>
    </w:p>
    <w:p w14:paraId="57D0FB75">
      <w:pPr>
        <w:spacing w:before="120" w:line="360" w:lineRule="auto"/>
        <w:ind w:left="20"/>
        <w:jc w:val="left"/>
        <w:outlineLvl w:val="2"/>
        <w:rPr>
          <w:rFonts w:hint="eastAsia" w:ascii="宋体" w:hAnsi="宋体" w:eastAsia="宋体" w:cs="宋体"/>
          <w:sz w:val="24"/>
          <w:szCs w:val="24"/>
        </w:rPr>
      </w:pPr>
      <w:r>
        <w:rPr>
          <w:rFonts w:hint="eastAsia" w:ascii="宋体" w:hAnsi="宋体" w:eastAsia="宋体" w:cs="宋体"/>
          <w:spacing w:val="-5"/>
          <w:sz w:val="24"/>
          <w:szCs w:val="24"/>
        </w:rPr>
        <w:t>4.3</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分包</w:t>
      </w:r>
    </w:p>
    <w:p w14:paraId="1D12D1C0">
      <w:pPr>
        <w:spacing w:before="295" w:line="360" w:lineRule="auto"/>
        <w:ind w:left="43" w:right="71" w:firstLine="395"/>
        <w:jc w:val="left"/>
        <w:rPr>
          <w:rFonts w:hint="eastAsia" w:ascii="宋体" w:hAnsi="宋体" w:eastAsia="宋体" w:cs="宋体"/>
          <w:sz w:val="20"/>
          <w:szCs w:val="20"/>
        </w:rPr>
      </w:pPr>
      <w:r>
        <w:rPr>
          <w:rFonts w:hint="eastAsia" w:ascii="宋体" w:hAnsi="宋体" w:eastAsia="宋体" w:cs="宋体"/>
          <w:spacing w:val="9"/>
          <w:sz w:val="20"/>
          <w:szCs w:val="20"/>
        </w:rPr>
        <w:t>4.3.1  承包人不得将其承包的全部工程转包给第三人，或将其承包的全部工程肢解后</w:t>
      </w:r>
      <w:r>
        <w:rPr>
          <w:rFonts w:hint="eastAsia" w:ascii="宋体" w:hAnsi="宋体" w:eastAsia="宋体" w:cs="宋体"/>
          <w:spacing w:val="6"/>
          <w:sz w:val="20"/>
          <w:szCs w:val="20"/>
        </w:rPr>
        <w:t>以分包的名义转包给第三人。</w:t>
      </w:r>
    </w:p>
    <w:p w14:paraId="4659F348">
      <w:pPr>
        <w:spacing w:before="161"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4.3.2  承包人不得将工程主体、关键性工作分包给第三人。</w:t>
      </w:r>
    </w:p>
    <w:p w14:paraId="484D9D03">
      <w:pPr>
        <w:spacing w:before="160" w:line="360" w:lineRule="auto"/>
        <w:ind w:left="19" w:right="71" w:firstLine="419"/>
        <w:jc w:val="left"/>
        <w:rPr>
          <w:rFonts w:hint="eastAsia" w:ascii="宋体" w:hAnsi="宋体" w:eastAsia="宋体" w:cs="宋体"/>
          <w:sz w:val="20"/>
          <w:szCs w:val="20"/>
        </w:rPr>
      </w:pPr>
      <w:r>
        <w:rPr>
          <w:rFonts w:hint="eastAsia" w:ascii="宋体" w:hAnsi="宋体" w:eastAsia="宋体" w:cs="宋体"/>
          <w:spacing w:val="9"/>
          <w:sz w:val="20"/>
          <w:szCs w:val="20"/>
        </w:rPr>
        <w:t>4.3.3  未经发包人同意，承包人不得将其自行施工范围工程的其他部分或工作分包给第三人。发包人同意承包人分包的非主体、非关键性工作包括：</w:t>
      </w:r>
    </w:p>
    <w:p w14:paraId="7CE33EC1">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7"/>
          <w:sz w:val="20"/>
          <w:szCs w:val="20"/>
        </w:rPr>
        <w:t>（1）投标函附录约定的分包工程；</w:t>
      </w:r>
    </w:p>
    <w:p w14:paraId="7074D314">
      <w:pPr>
        <w:spacing w:before="162" w:line="360" w:lineRule="auto"/>
        <w:ind w:left="18" w:right="69" w:firstLine="326"/>
        <w:jc w:val="left"/>
        <w:rPr>
          <w:rFonts w:hint="eastAsia" w:ascii="宋体" w:hAnsi="宋体" w:eastAsia="宋体" w:cs="宋体"/>
          <w:sz w:val="20"/>
          <w:szCs w:val="20"/>
        </w:rPr>
      </w:pPr>
      <w:r>
        <w:rPr>
          <w:rFonts w:hint="eastAsia" w:ascii="宋体" w:hAnsi="宋体" w:eastAsia="宋体" w:cs="宋体"/>
          <w:spacing w:val="7"/>
          <w:sz w:val="20"/>
          <w:szCs w:val="20"/>
        </w:rPr>
        <w:t>（2）除投标函附录中约定的分包内容外，经过发包人和监理人同意的其他非主体、非关</w:t>
      </w:r>
      <w:r>
        <w:rPr>
          <w:rFonts w:hint="eastAsia" w:ascii="宋体" w:hAnsi="宋体" w:eastAsia="宋体" w:cs="宋体"/>
          <w:spacing w:val="8"/>
          <w:sz w:val="20"/>
          <w:szCs w:val="20"/>
        </w:rPr>
        <w:t>键性工作，但分包人应当经过发包人和监理人审批。</w:t>
      </w:r>
      <w:r>
        <w:rPr>
          <w:rFonts w:hint="eastAsia" w:ascii="宋体" w:hAnsi="宋体" w:eastAsia="宋体" w:cs="宋体"/>
          <w:spacing w:val="7"/>
          <w:sz w:val="20"/>
          <w:szCs w:val="20"/>
        </w:rPr>
        <w:t>发包人和监理人有权拒绝承包人的分包</w:t>
      </w:r>
      <w:r>
        <w:rPr>
          <w:rFonts w:hint="eastAsia" w:ascii="宋体" w:hAnsi="宋体" w:eastAsia="宋体" w:cs="宋体"/>
          <w:spacing w:val="8"/>
          <w:sz w:val="20"/>
          <w:szCs w:val="20"/>
        </w:rPr>
        <w:t>请求和承包人选择的分包人。</w:t>
      </w:r>
    </w:p>
    <w:p w14:paraId="11A4C64E">
      <w:pPr>
        <w:spacing w:before="159" w:line="360" w:lineRule="auto"/>
        <w:ind w:left="19" w:right="69" w:firstLine="420"/>
        <w:jc w:val="left"/>
        <w:rPr>
          <w:rFonts w:hint="eastAsia" w:ascii="宋体" w:hAnsi="宋体" w:eastAsia="宋体" w:cs="宋体"/>
          <w:sz w:val="20"/>
          <w:szCs w:val="20"/>
        </w:rPr>
      </w:pPr>
      <w:r>
        <w:rPr>
          <w:rFonts w:hint="eastAsia" w:ascii="宋体" w:hAnsi="宋体" w:eastAsia="宋体" w:cs="宋体"/>
          <w:spacing w:val="9"/>
          <w:sz w:val="20"/>
          <w:szCs w:val="20"/>
        </w:rPr>
        <w:t>4.3.4  发包人在工程量清单中给定暂估价的专业工程，包括从暂列金额开支的专业工</w:t>
      </w:r>
      <w:r>
        <w:rPr>
          <w:rFonts w:hint="eastAsia" w:ascii="宋体" w:hAnsi="宋体" w:eastAsia="宋体" w:cs="宋体"/>
          <w:spacing w:val="8"/>
          <w:sz w:val="20"/>
          <w:szCs w:val="20"/>
        </w:rPr>
        <w:t>程，达到依法应当招标的规模标准的，以及虽未达</w:t>
      </w:r>
      <w:r>
        <w:rPr>
          <w:rFonts w:hint="eastAsia" w:ascii="宋体" w:hAnsi="宋体" w:eastAsia="宋体" w:cs="宋体"/>
          <w:spacing w:val="7"/>
          <w:sz w:val="20"/>
          <w:szCs w:val="20"/>
        </w:rPr>
        <w:t>到规定的规模标准但合同中约定采用招标</w:t>
      </w:r>
      <w:r>
        <w:rPr>
          <w:rFonts w:hint="eastAsia" w:ascii="宋体" w:hAnsi="宋体" w:eastAsia="宋体" w:cs="宋体"/>
          <w:spacing w:val="9"/>
          <w:sz w:val="20"/>
          <w:szCs w:val="20"/>
        </w:rPr>
        <w:t>方式实施的，应当按第</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15.8.1</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项的约定，由发包人</w:t>
      </w:r>
      <w:r>
        <w:rPr>
          <w:rFonts w:hint="eastAsia" w:ascii="宋体" w:hAnsi="宋体" w:eastAsia="宋体" w:cs="宋体"/>
          <w:spacing w:val="8"/>
          <w:sz w:val="20"/>
          <w:szCs w:val="20"/>
        </w:rPr>
        <w:t>和承包人以招标方式确定专业分包人。除项目审批部门有特别核准外，暂估价的专业</w:t>
      </w:r>
      <w:r>
        <w:rPr>
          <w:rFonts w:hint="eastAsia" w:ascii="宋体" w:hAnsi="宋体" w:eastAsia="宋体" w:cs="宋体"/>
          <w:spacing w:val="7"/>
          <w:sz w:val="20"/>
          <w:szCs w:val="20"/>
        </w:rPr>
        <w:t>工程的招标应当采用与施工总承包同样的招标</w:t>
      </w:r>
      <w:r>
        <w:rPr>
          <w:rFonts w:hint="eastAsia" w:ascii="宋体" w:hAnsi="宋体" w:eastAsia="宋体" w:cs="宋体"/>
          <w:spacing w:val="3"/>
          <w:sz w:val="20"/>
          <w:szCs w:val="20"/>
        </w:rPr>
        <w:t>方式。</w:t>
      </w:r>
    </w:p>
    <w:p w14:paraId="65AEB7F9">
      <w:pPr>
        <w:spacing w:before="162" w:line="360" w:lineRule="auto"/>
        <w:ind w:left="19" w:right="71" w:firstLine="419"/>
        <w:jc w:val="left"/>
        <w:rPr>
          <w:rFonts w:hint="eastAsia" w:ascii="宋体" w:hAnsi="宋体" w:eastAsia="宋体" w:cs="宋体"/>
          <w:sz w:val="20"/>
          <w:szCs w:val="20"/>
        </w:rPr>
      </w:pPr>
      <w:r>
        <w:rPr>
          <w:rFonts w:hint="eastAsia" w:ascii="宋体" w:hAnsi="宋体" w:eastAsia="宋体" w:cs="宋体"/>
          <w:spacing w:val="8"/>
          <w:sz w:val="20"/>
          <w:szCs w:val="20"/>
        </w:rPr>
        <w:t>4.3.5  在相关分包合同签订并报送有关建设行政主管部门后</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天内，承包人应当将一</w:t>
      </w:r>
      <w:r>
        <w:rPr>
          <w:rFonts w:hint="eastAsia" w:ascii="宋体" w:hAnsi="宋体" w:eastAsia="宋体" w:cs="宋体"/>
          <w:spacing w:val="9"/>
          <w:sz w:val="20"/>
          <w:szCs w:val="20"/>
        </w:rPr>
        <w:t>份副本提交给监理人，承包人应保障分包工作不得再次分包。</w:t>
      </w:r>
    </w:p>
    <w:p w14:paraId="1D2BB480">
      <w:pPr>
        <w:spacing w:before="159" w:line="360" w:lineRule="auto"/>
        <w:ind w:left="19" w:firstLine="420"/>
        <w:jc w:val="left"/>
        <w:rPr>
          <w:rFonts w:hint="eastAsia" w:ascii="宋体" w:hAnsi="宋体" w:eastAsia="宋体" w:cs="宋体"/>
          <w:sz w:val="20"/>
          <w:szCs w:val="20"/>
        </w:rPr>
      </w:pPr>
      <w:r>
        <w:rPr>
          <w:rFonts w:hint="eastAsia" w:ascii="宋体" w:hAnsi="宋体" w:eastAsia="宋体" w:cs="宋体"/>
          <w:spacing w:val="10"/>
          <w:sz w:val="20"/>
          <w:szCs w:val="20"/>
        </w:rPr>
        <w:t>4.3.6  分包工程价款由承包人与分包人（包括专</w:t>
      </w:r>
      <w:r>
        <w:rPr>
          <w:rFonts w:hint="eastAsia" w:ascii="宋体" w:hAnsi="宋体" w:eastAsia="宋体" w:cs="宋体"/>
          <w:spacing w:val="9"/>
          <w:sz w:val="20"/>
          <w:szCs w:val="20"/>
        </w:rPr>
        <w:t>业分包人）结算。未经承包人同意，</w:t>
      </w:r>
      <w:r>
        <w:rPr>
          <w:rFonts w:hint="eastAsia" w:ascii="宋体" w:hAnsi="宋体" w:eastAsia="宋体" w:cs="宋体"/>
          <w:spacing w:val="4"/>
          <w:sz w:val="20"/>
          <w:szCs w:val="20"/>
        </w:rPr>
        <w:t>发包人不得以任何形式向分包人（包括专业分包人）支付相关分包合同项下的任何工程款项。</w:t>
      </w:r>
      <w:r>
        <w:rPr>
          <w:rFonts w:hint="eastAsia" w:ascii="宋体" w:hAnsi="宋体" w:eastAsia="宋体" w:cs="宋体"/>
          <w:spacing w:val="8"/>
          <w:sz w:val="20"/>
          <w:szCs w:val="20"/>
        </w:rPr>
        <w:t>因发包人未经承包人同意直接向分包人（包括</w:t>
      </w:r>
      <w:r>
        <w:rPr>
          <w:rFonts w:hint="eastAsia" w:ascii="宋体" w:hAnsi="宋体" w:eastAsia="宋体" w:cs="宋体"/>
          <w:spacing w:val="7"/>
          <w:sz w:val="20"/>
          <w:szCs w:val="20"/>
        </w:rPr>
        <w:t>专业分包人）支付相关分包合同项下的任何工</w:t>
      </w:r>
      <w:r>
        <w:rPr>
          <w:rFonts w:hint="eastAsia" w:ascii="宋体" w:hAnsi="宋体" w:eastAsia="宋体" w:cs="宋体"/>
          <w:spacing w:val="9"/>
          <w:sz w:val="20"/>
          <w:szCs w:val="20"/>
        </w:rPr>
        <w:t>程款项而影响承包人工作的，所造成的承包人费用增加和（或）延误的工期由发</w:t>
      </w:r>
      <w:r>
        <w:rPr>
          <w:rFonts w:hint="eastAsia" w:ascii="宋体" w:hAnsi="宋体" w:eastAsia="宋体" w:cs="宋体"/>
          <w:spacing w:val="8"/>
          <w:sz w:val="20"/>
          <w:szCs w:val="20"/>
        </w:rPr>
        <w:t>包人承担。</w:t>
      </w:r>
    </w:p>
    <w:p w14:paraId="1585F612">
      <w:pPr>
        <w:spacing w:before="162" w:line="360" w:lineRule="auto"/>
        <w:ind w:left="22" w:right="71" w:firstLine="416"/>
        <w:jc w:val="left"/>
        <w:rPr>
          <w:rFonts w:hint="eastAsia" w:ascii="宋体" w:hAnsi="宋体" w:eastAsia="宋体" w:cs="宋体"/>
          <w:sz w:val="20"/>
          <w:szCs w:val="20"/>
        </w:rPr>
      </w:pPr>
      <w:r>
        <w:rPr>
          <w:rFonts w:hint="eastAsia" w:ascii="宋体" w:hAnsi="宋体" w:eastAsia="宋体" w:cs="宋体"/>
          <w:spacing w:val="9"/>
          <w:sz w:val="20"/>
          <w:szCs w:val="20"/>
        </w:rPr>
        <w:t>4.3.7  未经发包人和监理人审批同意的分包工程和分包人，发包人有权拒绝验收分包</w:t>
      </w:r>
      <w:r>
        <w:rPr>
          <w:rFonts w:hint="eastAsia" w:ascii="宋体" w:hAnsi="宋体" w:eastAsia="宋体" w:cs="宋体"/>
          <w:spacing w:val="8"/>
          <w:sz w:val="20"/>
          <w:szCs w:val="20"/>
        </w:rPr>
        <w:t>工程和支付相应款项，</w:t>
      </w:r>
      <w:r>
        <w:rPr>
          <w:rFonts w:hint="eastAsia" w:ascii="宋体" w:hAnsi="宋体" w:eastAsia="宋体" w:cs="宋体"/>
          <w:spacing w:val="-47"/>
          <w:sz w:val="20"/>
          <w:szCs w:val="20"/>
        </w:rPr>
        <w:t xml:space="preserve"> </w:t>
      </w:r>
      <w:r>
        <w:rPr>
          <w:rFonts w:hint="eastAsia" w:ascii="宋体" w:hAnsi="宋体" w:eastAsia="宋体" w:cs="宋体"/>
          <w:spacing w:val="8"/>
          <w:sz w:val="20"/>
          <w:szCs w:val="20"/>
        </w:rPr>
        <w:t>由此引起的承包人费用增加和（或）延误的工期由承包人承担。</w:t>
      </w:r>
    </w:p>
    <w:p w14:paraId="385F4078">
      <w:pPr>
        <w:spacing w:before="161"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4.3.8  分包人的资格能力应与其分包工程的标准和规模相适应。</w:t>
      </w:r>
    </w:p>
    <w:p w14:paraId="56F955A8">
      <w:pPr>
        <w:pStyle w:val="17"/>
        <w:spacing w:line="360" w:lineRule="auto"/>
        <w:ind w:firstLine="432" w:firstLineChars="200"/>
        <w:jc w:val="left"/>
        <w:rPr>
          <w:rFonts w:hint="eastAsia" w:ascii="宋体" w:hAnsi="宋体" w:eastAsia="宋体" w:cs="宋体"/>
        </w:rPr>
      </w:pPr>
      <w:r>
        <w:rPr>
          <w:rFonts w:hint="eastAsia" w:ascii="宋体" w:hAnsi="宋体" w:eastAsia="宋体" w:cs="宋体"/>
          <w:spacing w:val="8"/>
          <w:sz w:val="20"/>
          <w:szCs w:val="20"/>
        </w:rPr>
        <w:t>4.3.9  发包人同意的分包工程，承包人应向发包人和监理人提供合同副本。</w:t>
      </w:r>
    </w:p>
    <w:p w14:paraId="6A9A2E98">
      <w:pPr>
        <w:spacing w:before="65"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4.3.10  承包人应与分包人就分包工程向发包人承担连带责任。</w:t>
      </w:r>
    </w:p>
    <w:p w14:paraId="2C2A0030">
      <w:pPr>
        <w:spacing w:before="284" w:line="360" w:lineRule="auto"/>
        <w:ind w:left="20"/>
        <w:jc w:val="left"/>
        <w:outlineLvl w:val="2"/>
        <w:rPr>
          <w:rFonts w:hint="eastAsia" w:ascii="宋体" w:hAnsi="宋体" w:eastAsia="宋体" w:cs="宋体"/>
          <w:sz w:val="24"/>
          <w:szCs w:val="24"/>
        </w:rPr>
      </w:pPr>
      <w:r>
        <w:rPr>
          <w:rFonts w:hint="eastAsia" w:ascii="宋体" w:hAnsi="宋体" w:eastAsia="宋体" w:cs="宋体"/>
          <w:spacing w:val="-4"/>
          <w:sz w:val="24"/>
          <w:szCs w:val="24"/>
        </w:rPr>
        <w:t>4.4</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联合体</w:t>
      </w:r>
    </w:p>
    <w:p w14:paraId="2E208608">
      <w:pPr>
        <w:spacing w:before="294" w:line="360" w:lineRule="auto"/>
        <w:ind w:left="23" w:right="145" w:firstLine="415"/>
        <w:jc w:val="left"/>
        <w:rPr>
          <w:rFonts w:hint="eastAsia" w:ascii="宋体" w:hAnsi="宋体" w:eastAsia="宋体" w:cs="宋体"/>
          <w:sz w:val="20"/>
          <w:szCs w:val="20"/>
        </w:rPr>
      </w:pPr>
      <w:r>
        <w:rPr>
          <w:rFonts w:hint="eastAsia" w:ascii="宋体" w:hAnsi="宋体" w:eastAsia="宋体" w:cs="宋体"/>
          <w:spacing w:val="9"/>
          <w:sz w:val="20"/>
          <w:szCs w:val="20"/>
        </w:rPr>
        <w:t>4.4.1  联合体各方应共同与发包人签订合同协议书。联合体各方应为履行合同承担连</w:t>
      </w:r>
      <w:r>
        <w:rPr>
          <w:rFonts w:hint="eastAsia" w:ascii="宋体" w:hAnsi="宋体" w:eastAsia="宋体" w:cs="宋体"/>
          <w:spacing w:val="4"/>
          <w:sz w:val="20"/>
          <w:szCs w:val="20"/>
        </w:rPr>
        <w:t>带责任。</w:t>
      </w:r>
    </w:p>
    <w:p w14:paraId="466C5628">
      <w:pPr>
        <w:spacing w:before="159" w:line="360" w:lineRule="auto"/>
        <w:ind w:left="25" w:right="145" w:firstLine="413"/>
        <w:jc w:val="left"/>
        <w:rPr>
          <w:rFonts w:hint="eastAsia" w:ascii="宋体" w:hAnsi="宋体" w:eastAsia="宋体" w:cs="宋体"/>
          <w:sz w:val="20"/>
          <w:szCs w:val="20"/>
        </w:rPr>
      </w:pPr>
      <w:r>
        <w:rPr>
          <w:rFonts w:hint="eastAsia" w:ascii="宋体" w:hAnsi="宋体" w:eastAsia="宋体" w:cs="宋体"/>
          <w:spacing w:val="9"/>
          <w:sz w:val="20"/>
          <w:szCs w:val="20"/>
        </w:rPr>
        <w:t>4.4.2  联合体协议经发包人确认后作为合同附件。在履行合同过程中，未经发包人同</w:t>
      </w:r>
      <w:r>
        <w:rPr>
          <w:rFonts w:hint="eastAsia" w:ascii="宋体" w:hAnsi="宋体" w:eastAsia="宋体" w:cs="宋体"/>
          <w:spacing w:val="7"/>
          <w:sz w:val="20"/>
          <w:szCs w:val="20"/>
        </w:rPr>
        <w:t>意，不得修改联合体协议。</w:t>
      </w:r>
    </w:p>
    <w:p w14:paraId="5BCC1845">
      <w:pPr>
        <w:spacing w:before="162" w:line="360" w:lineRule="auto"/>
        <w:ind w:left="28" w:right="145" w:firstLine="411"/>
        <w:jc w:val="left"/>
        <w:rPr>
          <w:rFonts w:hint="eastAsia" w:ascii="宋体" w:hAnsi="宋体" w:eastAsia="宋体" w:cs="宋体"/>
          <w:sz w:val="20"/>
          <w:szCs w:val="20"/>
        </w:rPr>
      </w:pPr>
      <w:r>
        <w:rPr>
          <w:rFonts w:hint="eastAsia" w:ascii="宋体" w:hAnsi="宋体" w:eastAsia="宋体" w:cs="宋体"/>
          <w:spacing w:val="9"/>
          <w:sz w:val="20"/>
          <w:szCs w:val="20"/>
        </w:rPr>
        <w:t>4.4.3  联合体牵头人负责与发包人和监理人联系，并接受指示，负责组织联合体各成</w:t>
      </w:r>
      <w:r>
        <w:rPr>
          <w:rFonts w:hint="eastAsia" w:ascii="宋体" w:hAnsi="宋体" w:eastAsia="宋体" w:cs="宋体"/>
          <w:spacing w:val="6"/>
          <w:sz w:val="20"/>
          <w:szCs w:val="20"/>
        </w:rPr>
        <w:t>员全面履行合同。</w:t>
      </w:r>
    </w:p>
    <w:p w14:paraId="2A13E5BD">
      <w:pPr>
        <w:spacing w:before="285"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4.5  承包人项目经理</w:t>
      </w:r>
    </w:p>
    <w:p w14:paraId="54B98CC5">
      <w:pPr>
        <w:spacing w:before="295" w:line="360" w:lineRule="auto"/>
        <w:ind w:left="19" w:right="142" w:firstLine="419"/>
        <w:jc w:val="left"/>
        <w:rPr>
          <w:rFonts w:hint="eastAsia" w:ascii="宋体" w:hAnsi="宋体" w:eastAsia="宋体" w:cs="宋体"/>
          <w:sz w:val="20"/>
          <w:szCs w:val="20"/>
        </w:rPr>
      </w:pPr>
      <w:r>
        <w:rPr>
          <w:rFonts w:hint="eastAsia" w:ascii="宋体" w:hAnsi="宋体" w:eastAsia="宋体" w:cs="宋体"/>
          <w:spacing w:val="12"/>
          <w:sz w:val="20"/>
          <w:szCs w:val="20"/>
        </w:rPr>
        <w:t>4.5.1  承包人项目经理必须与承包人投标时所承</w:t>
      </w:r>
      <w:r>
        <w:rPr>
          <w:rFonts w:hint="eastAsia" w:ascii="宋体" w:hAnsi="宋体" w:eastAsia="宋体" w:cs="宋体"/>
          <w:spacing w:val="11"/>
          <w:sz w:val="20"/>
          <w:szCs w:val="20"/>
        </w:rPr>
        <w:t>诺的人员一致，并在根据第</w:t>
      </w:r>
      <w:r>
        <w:rPr>
          <w:rFonts w:hint="eastAsia" w:ascii="宋体" w:hAnsi="宋体" w:eastAsia="宋体" w:cs="宋体"/>
          <w:spacing w:val="-17"/>
          <w:sz w:val="20"/>
          <w:szCs w:val="20"/>
        </w:rPr>
        <w:t xml:space="preserve"> </w:t>
      </w:r>
      <w:r>
        <w:rPr>
          <w:rFonts w:hint="eastAsia" w:ascii="宋体" w:hAnsi="宋体" w:eastAsia="宋体" w:cs="宋体"/>
          <w:spacing w:val="11"/>
          <w:sz w:val="20"/>
          <w:szCs w:val="20"/>
        </w:rPr>
        <w:t>11.1.1</w:t>
      </w:r>
      <w:r>
        <w:rPr>
          <w:rFonts w:hint="eastAsia" w:ascii="宋体" w:hAnsi="宋体" w:eastAsia="宋体" w:cs="宋体"/>
          <w:spacing w:val="8"/>
          <w:sz w:val="20"/>
          <w:szCs w:val="20"/>
        </w:rPr>
        <w:t>项确定的开工日期前到任。在监理人向承包</w:t>
      </w:r>
      <w:r>
        <w:rPr>
          <w:rFonts w:hint="eastAsia" w:ascii="宋体" w:hAnsi="宋体" w:eastAsia="宋体" w:cs="宋体"/>
          <w:spacing w:val="7"/>
          <w:sz w:val="20"/>
          <w:szCs w:val="20"/>
        </w:rPr>
        <w:t>人颁发（出具）工程接收证书前，项目经理不得</w:t>
      </w:r>
      <w:r>
        <w:rPr>
          <w:rFonts w:hint="eastAsia" w:ascii="宋体" w:hAnsi="宋体" w:eastAsia="宋体" w:cs="宋体"/>
          <w:spacing w:val="8"/>
          <w:sz w:val="20"/>
          <w:szCs w:val="20"/>
        </w:rPr>
        <w:t>同时兼任其他任何项目的项目经理。未经发</w:t>
      </w:r>
      <w:r>
        <w:rPr>
          <w:rFonts w:hint="eastAsia" w:ascii="宋体" w:hAnsi="宋体" w:eastAsia="宋体" w:cs="宋体"/>
          <w:spacing w:val="7"/>
          <w:sz w:val="20"/>
          <w:szCs w:val="20"/>
        </w:rPr>
        <w:t>包人书面许可，承包人不得更换项目经理。承包</w:t>
      </w:r>
      <w:r>
        <w:rPr>
          <w:rFonts w:hint="eastAsia" w:ascii="宋体" w:hAnsi="宋体" w:eastAsia="宋体" w:cs="宋体"/>
          <w:spacing w:val="8"/>
          <w:sz w:val="20"/>
          <w:szCs w:val="20"/>
        </w:rPr>
        <w:t>人项目经理的姓名、职称、身份证号、执业资格证</w:t>
      </w:r>
      <w:r>
        <w:rPr>
          <w:rFonts w:hint="eastAsia" w:ascii="宋体" w:hAnsi="宋体" w:eastAsia="宋体" w:cs="宋体"/>
          <w:spacing w:val="7"/>
          <w:sz w:val="20"/>
          <w:szCs w:val="20"/>
        </w:rPr>
        <w:t>书号、注册证书号、执业印章号、安全生</w:t>
      </w:r>
      <w:r>
        <w:rPr>
          <w:rFonts w:hint="eastAsia" w:ascii="宋体" w:hAnsi="宋体" w:eastAsia="宋体" w:cs="宋体"/>
          <w:spacing w:val="8"/>
          <w:sz w:val="20"/>
          <w:szCs w:val="20"/>
        </w:rPr>
        <w:t>产考核合格证书号等细节资料应当在合同协议书中</w:t>
      </w:r>
      <w:r>
        <w:rPr>
          <w:rFonts w:hint="eastAsia" w:ascii="宋体" w:hAnsi="宋体" w:eastAsia="宋体" w:cs="宋体"/>
          <w:spacing w:val="7"/>
          <w:sz w:val="20"/>
          <w:szCs w:val="20"/>
        </w:rPr>
        <w:t>载明。承包人更换项目经理应事先征得发</w:t>
      </w:r>
      <w:r>
        <w:rPr>
          <w:rFonts w:hint="eastAsia" w:ascii="宋体" w:hAnsi="宋体" w:eastAsia="宋体" w:cs="宋体"/>
          <w:spacing w:val="9"/>
          <w:sz w:val="20"/>
          <w:szCs w:val="20"/>
        </w:rPr>
        <w:t>包人同意，并应在更换</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天前通知发包人和监理人。承包人项目经理短期离开施工场地，应事先征得监理人同意，并委派代表代行其职责。</w:t>
      </w:r>
    </w:p>
    <w:p w14:paraId="1ABAE731">
      <w:pPr>
        <w:spacing w:before="162" w:line="360" w:lineRule="auto"/>
        <w:ind w:left="19" w:right="142" w:firstLine="419"/>
        <w:jc w:val="left"/>
        <w:rPr>
          <w:rFonts w:hint="eastAsia" w:ascii="宋体" w:hAnsi="宋体" w:eastAsia="宋体" w:cs="宋体"/>
          <w:sz w:val="20"/>
          <w:szCs w:val="20"/>
        </w:rPr>
      </w:pPr>
      <w:r>
        <w:rPr>
          <w:rFonts w:hint="eastAsia" w:ascii="宋体" w:hAnsi="宋体" w:eastAsia="宋体" w:cs="宋体"/>
          <w:spacing w:val="8"/>
          <w:sz w:val="20"/>
          <w:szCs w:val="20"/>
        </w:rPr>
        <w:t>4.5.2  承包人项目经理应按合同约定以及监理人按第</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3.4</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款作出的指示，负责组织合同工程的实施。在情况紧急且无法与监理人取得联</w:t>
      </w:r>
      <w:r>
        <w:rPr>
          <w:rFonts w:hint="eastAsia" w:ascii="宋体" w:hAnsi="宋体" w:eastAsia="宋体" w:cs="宋体"/>
          <w:spacing w:val="7"/>
          <w:sz w:val="20"/>
          <w:szCs w:val="20"/>
        </w:rPr>
        <w:t>系时，可采取保证工程和人员生命财产安</w:t>
      </w:r>
      <w:r>
        <w:rPr>
          <w:rFonts w:hint="eastAsia" w:ascii="宋体" w:hAnsi="宋体" w:eastAsia="宋体" w:cs="宋体"/>
          <w:spacing w:val="8"/>
          <w:sz w:val="20"/>
          <w:szCs w:val="20"/>
        </w:rPr>
        <w:t>全的紧急措施，并在采取措施后</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24</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小时内向监理人提交书面报告。</w:t>
      </w:r>
    </w:p>
    <w:p w14:paraId="2D9FBDA9">
      <w:pPr>
        <w:spacing w:before="161" w:line="360" w:lineRule="auto"/>
        <w:ind w:left="24" w:firstLine="414"/>
        <w:jc w:val="left"/>
        <w:rPr>
          <w:rFonts w:hint="eastAsia" w:ascii="宋体" w:hAnsi="宋体" w:eastAsia="宋体" w:cs="宋体"/>
          <w:sz w:val="20"/>
          <w:szCs w:val="20"/>
        </w:rPr>
      </w:pPr>
      <w:r>
        <w:rPr>
          <w:rFonts w:hint="eastAsia" w:ascii="宋体" w:hAnsi="宋体" w:eastAsia="宋体" w:cs="宋体"/>
          <w:spacing w:val="8"/>
          <w:sz w:val="20"/>
          <w:szCs w:val="20"/>
        </w:rPr>
        <w:t>4.5.3  承包人为履行合同发出的一切函件均应盖有承包人授权</w:t>
      </w:r>
      <w:r>
        <w:rPr>
          <w:rFonts w:hint="eastAsia" w:ascii="宋体" w:hAnsi="宋体" w:eastAsia="宋体" w:cs="宋体"/>
          <w:spacing w:val="7"/>
          <w:sz w:val="20"/>
          <w:szCs w:val="20"/>
        </w:rPr>
        <w:t>的施工场地管理机构章，</w:t>
      </w:r>
      <w:r>
        <w:rPr>
          <w:rFonts w:hint="eastAsia" w:ascii="宋体" w:hAnsi="宋体" w:eastAsia="宋体" w:cs="宋体"/>
          <w:spacing w:val="8"/>
          <w:sz w:val="20"/>
          <w:szCs w:val="20"/>
        </w:rPr>
        <w:t>并由承包人项目经理或其授权代表签字。</w:t>
      </w:r>
    </w:p>
    <w:p w14:paraId="5A65DAE7">
      <w:pPr>
        <w:spacing w:before="160" w:line="360" w:lineRule="auto"/>
        <w:ind w:left="19" w:right="145" w:firstLine="419"/>
        <w:jc w:val="left"/>
        <w:rPr>
          <w:rFonts w:hint="eastAsia" w:ascii="宋体" w:hAnsi="宋体" w:eastAsia="宋体" w:cs="宋体"/>
          <w:sz w:val="20"/>
          <w:szCs w:val="20"/>
        </w:rPr>
      </w:pPr>
      <w:r>
        <w:rPr>
          <w:rFonts w:hint="eastAsia" w:ascii="宋体" w:hAnsi="宋体" w:eastAsia="宋体" w:cs="宋体"/>
          <w:spacing w:val="9"/>
          <w:sz w:val="20"/>
          <w:szCs w:val="20"/>
        </w:rPr>
        <w:t>4.5.4  承包人项目经理可以授权其下属人员履行其某项职责，但事先应将这些人员的</w:t>
      </w:r>
      <w:r>
        <w:rPr>
          <w:rFonts w:hint="eastAsia" w:ascii="宋体" w:hAnsi="宋体" w:eastAsia="宋体" w:cs="宋体"/>
          <w:spacing w:val="8"/>
          <w:sz w:val="20"/>
          <w:szCs w:val="20"/>
        </w:rPr>
        <w:t>姓名和授权范围通知监理人。</w:t>
      </w:r>
    </w:p>
    <w:p w14:paraId="67043AE1">
      <w:pPr>
        <w:spacing w:before="285"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4.6  承包人人员的管理</w:t>
      </w:r>
    </w:p>
    <w:p w14:paraId="5FC145FC">
      <w:pPr>
        <w:spacing w:before="294" w:line="360" w:lineRule="auto"/>
        <w:ind w:left="19" w:right="142" w:firstLine="420"/>
        <w:jc w:val="left"/>
        <w:rPr>
          <w:rFonts w:hint="eastAsia" w:ascii="宋体" w:hAnsi="宋体" w:eastAsia="宋体" w:cs="宋体"/>
          <w:sz w:val="20"/>
          <w:szCs w:val="20"/>
        </w:rPr>
      </w:pPr>
      <w:r>
        <w:rPr>
          <w:rFonts w:hint="eastAsia" w:ascii="宋体" w:hAnsi="宋体" w:eastAsia="宋体" w:cs="宋体"/>
          <w:spacing w:val="6"/>
          <w:sz w:val="20"/>
          <w:szCs w:val="20"/>
        </w:rPr>
        <w:t>4.6.1  承包人应在接到开工通知后</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天内，向监理人提交承包人在施工场地的管</w:t>
      </w:r>
      <w:r>
        <w:rPr>
          <w:rFonts w:hint="eastAsia" w:ascii="宋体" w:hAnsi="宋体" w:eastAsia="宋体" w:cs="宋体"/>
          <w:spacing w:val="5"/>
          <w:sz w:val="20"/>
          <w:szCs w:val="20"/>
        </w:rPr>
        <w:t>理机</w:t>
      </w:r>
      <w:r>
        <w:rPr>
          <w:rFonts w:hint="eastAsia" w:ascii="宋体" w:hAnsi="宋体" w:eastAsia="宋体" w:cs="宋体"/>
          <w:spacing w:val="8"/>
          <w:sz w:val="20"/>
          <w:szCs w:val="20"/>
        </w:rPr>
        <w:t>构以及人员安排的报告，其内容应包括管理机构的</w:t>
      </w:r>
      <w:r>
        <w:rPr>
          <w:rFonts w:hint="eastAsia" w:ascii="宋体" w:hAnsi="宋体" w:eastAsia="宋体" w:cs="宋体"/>
          <w:spacing w:val="7"/>
          <w:sz w:val="20"/>
          <w:szCs w:val="20"/>
        </w:rPr>
        <w:t>设置、各主要岗位的技术和管理人员名单</w:t>
      </w:r>
      <w:r>
        <w:rPr>
          <w:rFonts w:hint="eastAsia" w:ascii="宋体" w:hAnsi="宋体" w:eastAsia="宋体" w:cs="宋体"/>
          <w:spacing w:val="8"/>
          <w:sz w:val="20"/>
          <w:szCs w:val="20"/>
        </w:rPr>
        <w:t>及其资格，以及各工种技术工人的安排状况。</w:t>
      </w:r>
      <w:r>
        <w:rPr>
          <w:rFonts w:hint="eastAsia" w:ascii="宋体" w:hAnsi="宋体" w:eastAsia="宋体" w:cs="宋体"/>
          <w:spacing w:val="7"/>
          <w:sz w:val="20"/>
          <w:szCs w:val="20"/>
        </w:rPr>
        <w:t>承包人应向监理人提交施工场地人员变动情况</w:t>
      </w:r>
      <w:r>
        <w:rPr>
          <w:rFonts w:hint="eastAsia" w:ascii="宋体" w:hAnsi="宋体" w:eastAsia="宋体" w:cs="宋体"/>
          <w:spacing w:val="5"/>
          <w:sz w:val="20"/>
          <w:szCs w:val="20"/>
        </w:rPr>
        <w:t>的报告。</w:t>
      </w:r>
    </w:p>
    <w:p w14:paraId="3BC7E382">
      <w:pPr>
        <w:spacing w:before="163" w:line="360" w:lineRule="auto"/>
        <w:ind w:left="21" w:right="145" w:firstLine="417"/>
        <w:jc w:val="left"/>
        <w:rPr>
          <w:rFonts w:hint="eastAsia" w:ascii="宋体" w:hAnsi="宋体" w:eastAsia="宋体" w:cs="宋体"/>
          <w:sz w:val="20"/>
          <w:szCs w:val="20"/>
        </w:rPr>
      </w:pPr>
      <w:r>
        <w:rPr>
          <w:rFonts w:hint="eastAsia" w:ascii="宋体" w:hAnsi="宋体" w:eastAsia="宋体" w:cs="宋体"/>
          <w:spacing w:val="9"/>
          <w:sz w:val="20"/>
          <w:szCs w:val="20"/>
        </w:rPr>
        <w:t>4.6.2  为完成合同约定的各项工作，承包人应向施工场地派遣或雇佣足够数量的下列</w:t>
      </w:r>
      <w:r>
        <w:rPr>
          <w:rFonts w:hint="eastAsia" w:ascii="宋体" w:hAnsi="宋体" w:eastAsia="宋体" w:cs="宋体"/>
          <w:spacing w:val="2"/>
          <w:sz w:val="20"/>
          <w:szCs w:val="20"/>
        </w:rPr>
        <w:t>人员：</w:t>
      </w:r>
    </w:p>
    <w:p w14:paraId="62D4A0F1">
      <w:pPr>
        <w:spacing w:before="294" w:line="360" w:lineRule="auto"/>
        <w:ind w:left="19" w:right="142" w:firstLine="420"/>
        <w:jc w:val="left"/>
        <w:rPr>
          <w:rFonts w:hint="eastAsia" w:ascii="宋体" w:hAnsi="宋体" w:eastAsia="宋体" w:cs="宋体"/>
          <w:spacing w:val="6"/>
          <w:sz w:val="20"/>
          <w:szCs w:val="20"/>
        </w:rPr>
      </w:pPr>
      <w:r>
        <w:rPr>
          <w:rFonts w:hint="eastAsia" w:ascii="宋体" w:hAnsi="宋体" w:eastAsia="宋体" w:cs="宋体"/>
          <w:spacing w:val="6"/>
          <w:sz w:val="20"/>
          <w:szCs w:val="20"/>
        </w:rPr>
        <w:t>（1）具有相应资格的专业技工和合格的普工；</w:t>
      </w:r>
    </w:p>
    <w:p w14:paraId="7992557D">
      <w:pPr>
        <w:spacing w:before="294" w:line="360" w:lineRule="auto"/>
        <w:ind w:left="19" w:right="142" w:firstLine="420"/>
        <w:jc w:val="left"/>
        <w:rPr>
          <w:rFonts w:hint="eastAsia" w:ascii="宋体" w:hAnsi="宋体" w:eastAsia="宋体" w:cs="宋体"/>
          <w:spacing w:val="6"/>
          <w:sz w:val="20"/>
          <w:szCs w:val="20"/>
        </w:rPr>
      </w:pPr>
      <w:r>
        <w:rPr>
          <w:rFonts w:hint="eastAsia" w:ascii="宋体" w:hAnsi="宋体" w:eastAsia="宋体" w:cs="宋体"/>
          <w:spacing w:val="6"/>
          <w:sz w:val="20"/>
          <w:szCs w:val="20"/>
        </w:rPr>
        <w:t>（2）具有相应施工经验的技术人员；</w:t>
      </w:r>
    </w:p>
    <w:p w14:paraId="62CC977A">
      <w:pPr>
        <w:spacing w:before="294" w:line="360" w:lineRule="auto"/>
        <w:ind w:left="19" w:right="142" w:firstLine="420"/>
        <w:jc w:val="left"/>
        <w:rPr>
          <w:rFonts w:hint="eastAsia" w:ascii="宋体" w:hAnsi="宋体" w:eastAsia="宋体" w:cs="宋体"/>
          <w:spacing w:val="6"/>
          <w:sz w:val="20"/>
          <w:szCs w:val="20"/>
        </w:rPr>
      </w:pPr>
      <w:r>
        <w:rPr>
          <w:rFonts w:hint="eastAsia" w:ascii="宋体" w:hAnsi="宋体" w:eastAsia="宋体" w:cs="宋体"/>
          <w:spacing w:val="6"/>
          <w:sz w:val="20"/>
          <w:szCs w:val="20"/>
        </w:rPr>
        <w:t>（3）具有相应岗位资格的各级管理人员（包含符合工程项目规模和技术难度的涉及消防各专业齐全、具备相应能力的质量管理人员）。</w:t>
      </w:r>
    </w:p>
    <w:p w14:paraId="29FA3F4A">
      <w:pPr>
        <w:spacing w:before="294" w:line="360" w:lineRule="auto"/>
        <w:ind w:left="19" w:right="142" w:firstLine="420"/>
        <w:jc w:val="left"/>
        <w:rPr>
          <w:rFonts w:hint="eastAsia" w:ascii="宋体" w:hAnsi="宋体" w:eastAsia="宋体" w:cs="宋体"/>
          <w:spacing w:val="6"/>
          <w:sz w:val="20"/>
          <w:szCs w:val="20"/>
        </w:rPr>
      </w:pPr>
      <w:r>
        <w:rPr>
          <w:rFonts w:hint="eastAsia" w:ascii="宋体" w:hAnsi="宋体" w:eastAsia="宋体" w:cs="宋体"/>
          <w:spacing w:val="6"/>
          <w:sz w:val="20"/>
          <w:szCs w:val="20"/>
        </w:rPr>
        <w:t>4.6.3  承包人安排在施工场地的主要管理人员和技术骨干应相对稳定。承包人更换主要管理人员和技术骨干时，应取得监理人的同意。</w:t>
      </w:r>
    </w:p>
    <w:p w14:paraId="2D8EB334">
      <w:pPr>
        <w:spacing w:before="160" w:line="360" w:lineRule="auto"/>
        <w:ind w:left="19" w:right="71" w:firstLine="419"/>
        <w:jc w:val="left"/>
        <w:rPr>
          <w:rFonts w:hint="eastAsia" w:ascii="宋体" w:hAnsi="宋体" w:eastAsia="宋体" w:cs="宋体"/>
          <w:sz w:val="20"/>
          <w:szCs w:val="20"/>
        </w:rPr>
      </w:pPr>
      <w:r>
        <w:rPr>
          <w:rFonts w:hint="eastAsia" w:ascii="宋体" w:hAnsi="宋体" w:eastAsia="宋体" w:cs="宋体"/>
          <w:spacing w:val="9"/>
          <w:sz w:val="20"/>
          <w:szCs w:val="20"/>
        </w:rPr>
        <w:t>4.6.4  特殊岗位的工作人员均应持有相应的资格证明，监理人有权随时检查。监理人</w:t>
      </w:r>
      <w:r>
        <w:rPr>
          <w:rFonts w:hint="eastAsia" w:ascii="宋体" w:hAnsi="宋体" w:eastAsia="宋体" w:cs="宋体"/>
          <w:spacing w:val="8"/>
          <w:sz w:val="20"/>
          <w:szCs w:val="20"/>
        </w:rPr>
        <w:t>认为有必要时，可进行现场考核。</w:t>
      </w:r>
    </w:p>
    <w:p w14:paraId="568E0E10">
      <w:pPr>
        <w:spacing w:before="287"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4.7  撤换承包人项目经理和其他人员</w:t>
      </w:r>
    </w:p>
    <w:p w14:paraId="40758285">
      <w:pPr>
        <w:spacing w:before="294" w:line="360" w:lineRule="auto"/>
        <w:ind w:left="23" w:right="17" w:firstLine="416"/>
        <w:jc w:val="left"/>
        <w:rPr>
          <w:rFonts w:hint="eastAsia" w:ascii="宋体" w:hAnsi="宋体" w:eastAsia="宋体" w:cs="宋体"/>
          <w:sz w:val="20"/>
          <w:szCs w:val="20"/>
        </w:rPr>
      </w:pPr>
      <w:r>
        <w:rPr>
          <w:rFonts w:hint="eastAsia" w:ascii="宋体" w:hAnsi="宋体" w:eastAsia="宋体" w:cs="宋体"/>
          <w:spacing w:val="9"/>
          <w:sz w:val="20"/>
          <w:szCs w:val="20"/>
        </w:rPr>
        <w:t>承包人应对其项目经理和其他人员进行有效管理。监理人要求撤换</w:t>
      </w:r>
      <w:r>
        <w:rPr>
          <w:rFonts w:hint="eastAsia" w:ascii="宋体" w:hAnsi="宋体" w:eastAsia="宋体" w:cs="宋体"/>
          <w:spacing w:val="8"/>
          <w:sz w:val="20"/>
          <w:szCs w:val="20"/>
        </w:rPr>
        <w:t>不能胜任本职工作、</w:t>
      </w:r>
      <w:r>
        <w:rPr>
          <w:rFonts w:hint="eastAsia" w:ascii="宋体" w:hAnsi="宋体" w:eastAsia="宋体" w:cs="宋体"/>
          <w:spacing w:val="9"/>
          <w:sz w:val="20"/>
          <w:szCs w:val="20"/>
        </w:rPr>
        <w:t>行为不端或玩忽职守的承包人项目经理和其他人员的，承包人应予以撤换。</w:t>
      </w:r>
    </w:p>
    <w:p w14:paraId="3A28A664">
      <w:pPr>
        <w:spacing w:before="124"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4.8  保障承包人人员的合法权益</w:t>
      </w:r>
    </w:p>
    <w:p w14:paraId="17696782">
      <w:pPr>
        <w:spacing w:before="295"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4.8.1  承包人应与其雇佣的人员签订劳动合同，并按时发放工资。</w:t>
      </w:r>
    </w:p>
    <w:p w14:paraId="5FE47337">
      <w:pPr>
        <w:spacing w:before="161" w:line="360" w:lineRule="auto"/>
        <w:ind w:left="20" w:right="71" w:firstLine="418"/>
        <w:jc w:val="left"/>
        <w:rPr>
          <w:rFonts w:hint="eastAsia" w:ascii="宋体" w:hAnsi="宋体" w:eastAsia="宋体" w:cs="宋体"/>
          <w:sz w:val="20"/>
          <w:szCs w:val="20"/>
        </w:rPr>
      </w:pPr>
      <w:r>
        <w:rPr>
          <w:rFonts w:hint="eastAsia" w:ascii="宋体" w:hAnsi="宋体" w:eastAsia="宋体" w:cs="宋体"/>
          <w:spacing w:val="9"/>
          <w:sz w:val="20"/>
          <w:szCs w:val="20"/>
        </w:rPr>
        <w:t>4.8.2  承包人应按劳动法的规定安排工作时间，保证其雇佣人员享有休息和休假的权</w:t>
      </w:r>
      <w:r>
        <w:rPr>
          <w:rFonts w:hint="eastAsia" w:ascii="宋体" w:hAnsi="宋体" w:eastAsia="宋体" w:cs="宋体"/>
          <w:spacing w:val="8"/>
          <w:sz w:val="20"/>
          <w:szCs w:val="20"/>
        </w:rPr>
        <w:t>利。因工程施工的特殊需要占用休假日或延</w:t>
      </w:r>
      <w:r>
        <w:rPr>
          <w:rFonts w:hint="eastAsia" w:ascii="宋体" w:hAnsi="宋体" w:eastAsia="宋体" w:cs="宋体"/>
          <w:spacing w:val="7"/>
          <w:sz w:val="20"/>
          <w:szCs w:val="20"/>
        </w:rPr>
        <w:t>长工作时间的，应不超过法律规定的限度，并按</w:t>
      </w:r>
      <w:r>
        <w:rPr>
          <w:rFonts w:hint="eastAsia" w:ascii="宋体" w:hAnsi="宋体" w:eastAsia="宋体" w:cs="宋体"/>
          <w:spacing w:val="8"/>
          <w:sz w:val="20"/>
          <w:szCs w:val="20"/>
        </w:rPr>
        <w:t>法律规定给予补休或付酬。</w:t>
      </w:r>
    </w:p>
    <w:p w14:paraId="43E82324">
      <w:pPr>
        <w:spacing w:before="159" w:line="360" w:lineRule="auto"/>
        <w:ind w:left="21" w:firstLine="417"/>
        <w:jc w:val="left"/>
        <w:rPr>
          <w:rFonts w:hint="eastAsia" w:ascii="宋体" w:hAnsi="宋体" w:eastAsia="宋体" w:cs="宋体"/>
          <w:sz w:val="20"/>
          <w:szCs w:val="20"/>
        </w:rPr>
      </w:pPr>
      <w:r>
        <w:rPr>
          <w:rFonts w:hint="eastAsia" w:ascii="宋体" w:hAnsi="宋体" w:eastAsia="宋体" w:cs="宋体"/>
          <w:spacing w:val="9"/>
          <w:sz w:val="20"/>
          <w:szCs w:val="20"/>
        </w:rPr>
        <w:t>4.8.3  承包人应为其雇佣人员提供必要的食宿条件，以及符合环境保护和卫生要求的</w:t>
      </w:r>
      <w:r>
        <w:rPr>
          <w:rFonts w:hint="eastAsia" w:ascii="宋体" w:hAnsi="宋体" w:eastAsia="宋体" w:cs="宋体"/>
          <w:spacing w:val="4"/>
          <w:sz w:val="20"/>
          <w:szCs w:val="20"/>
        </w:rPr>
        <w:t>生活环境，在远离城镇的施工场地，还应配备必要的伤病防治和急救的医务人员与医疗设施。</w:t>
      </w:r>
    </w:p>
    <w:p w14:paraId="2AE6524D">
      <w:pPr>
        <w:spacing w:before="160" w:line="360" w:lineRule="auto"/>
        <w:ind w:left="20" w:right="69" w:firstLine="418"/>
        <w:jc w:val="left"/>
        <w:rPr>
          <w:rFonts w:hint="eastAsia" w:ascii="宋体" w:hAnsi="宋体" w:eastAsia="宋体" w:cs="宋体"/>
          <w:sz w:val="20"/>
          <w:szCs w:val="20"/>
        </w:rPr>
      </w:pPr>
      <w:r>
        <w:rPr>
          <w:rFonts w:hint="eastAsia" w:ascii="宋体" w:hAnsi="宋体" w:eastAsia="宋体" w:cs="宋体"/>
          <w:spacing w:val="9"/>
          <w:sz w:val="20"/>
          <w:szCs w:val="20"/>
        </w:rPr>
        <w:t>4.8.4  承包人应按国家有关劳动保护的规定，采取有效的防止粉尘、降低噪声、控制</w:t>
      </w:r>
      <w:r>
        <w:rPr>
          <w:rFonts w:hint="eastAsia" w:ascii="宋体" w:hAnsi="宋体" w:eastAsia="宋体" w:cs="宋体"/>
          <w:spacing w:val="8"/>
          <w:sz w:val="20"/>
          <w:szCs w:val="20"/>
        </w:rPr>
        <w:t>有害气体和保障高温、高寒、高空作业安全等劳</w:t>
      </w:r>
      <w:r>
        <w:rPr>
          <w:rFonts w:hint="eastAsia" w:ascii="宋体" w:hAnsi="宋体" w:eastAsia="宋体" w:cs="宋体"/>
          <w:spacing w:val="7"/>
          <w:sz w:val="20"/>
          <w:szCs w:val="20"/>
        </w:rPr>
        <w:t>动保护措施。其雇佣人员在施工中受到伤害</w:t>
      </w:r>
      <w:r>
        <w:rPr>
          <w:rFonts w:hint="eastAsia" w:ascii="宋体" w:hAnsi="宋体" w:eastAsia="宋体" w:cs="宋体"/>
          <w:spacing w:val="9"/>
          <w:sz w:val="20"/>
          <w:szCs w:val="20"/>
        </w:rPr>
        <w:t>的，承包人应立即采取有效措施进行抢救和治疗。</w:t>
      </w:r>
    </w:p>
    <w:p w14:paraId="39D8EAC7">
      <w:pPr>
        <w:spacing w:before="162"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4.8.5  承包人应按有关法律规定和合同约定，为其雇佣人员办理保险。</w:t>
      </w:r>
    </w:p>
    <w:p w14:paraId="7FEF5194">
      <w:pPr>
        <w:spacing w:before="161" w:line="360" w:lineRule="auto"/>
        <w:ind w:left="439"/>
        <w:jc w:val="left"/>
        <w:rPr>
          <w:rFonts w:hint="eastAsia" w:ascii="宋体" w:hAnsi="宋体" w:eastAsia="宋体" w:cs="宋体"/>
          <w:sz w:val="20"/>
          <w:szCs w:val="20"/>
        </w:rPr>
      </w:pPr>
      <w:r>
        <w:rPr>
          <w:rFonts w:hint="eastAsia" w:ascii="宋体" w:hAnsi="宋体" w:eastAsia="宋体" w:cs="宋体"/>
          <w:spacing w:val="8"/>
          <w:sz w:val="20"/>
          <w:szCs w:val="20"/>
        </w:rPr>
        <w:t>4.8.6  承包人应负责处理其雇佣人员因工伤亡事故的善后事宜。</w:t>
      </w:r>
    </w:p>
    <w:p w14:paraId="1EE60E8F">
      <w:pPr>
        <w:spacing w:before="284"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4.9  工程价款应专款专用</w:t>
      </w:r>
    </w:p>
    <w:p w14:paraId="5A8C6494">
      <w:pPr>
        <w:spacing w:before="299" w:line="360" w:lineRule="auto"/>
        <w:ind w:left="443"/>
        <w:jc w:val="left"/>
        <w:rPr>
          <w:rFonts w:hint="eastAsia" w:ascii="宋体" w:hAnsi="宋体" w:eastAsia="宋体" w:cs="宋体"/>
          <w:sz w:val="20"/>
          <w:szCs w:val="20"/>
        </w:rPr>
      </w:pPr>
      <w:r>
        <w:rPr>
          <w:rFonts w:hint="eastAsia" w:ascii="宋体" w:hAnsi="宋体" w:eastAsia="宋体" w:cs="宋体"/>
          <w:spacing w:val="9"/>
          <w:sz w:val="20"/>
          <w:szCs w:val="20"/>
        </w:rPr>
        <w:t>发包人按合同约定支付给承包人的各项价款应专用于合同工程。</w:t>
      </w:r>
    </w:p>
    <w:p w14:paraId="6AD2C7E3">
      <w:pPr>
        <w:spacing w:before="287"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4.10  承包人现场查勘</w:t>
      </w:r>
    </w:p>
    <w:p w14:paraId="4397FE0C">
      <w:pPr>
        <w:spacing w:before="160" w:line="360" w:lineRule="auto"/>
        <w:ind w:left="20" w:right="69" w:firstLine="418"/>
        <w:jc w:val="left"/>
        <w:rPr>
          <w:rFonts w:hint="eastAsia" w:ascii="宋体" w:hAnsi="宋体" w:eastAsia="宋体" w:cs="宋体"/>
          <w:spacing w:val="9"/>
          <w:sz w:val="20"/>
          <w:szCs w:val="20"/>
        </w:rPr>
      </w:pPr>
      <w:r>
        <w:rPr>
          <w:rFonts w:hint="eastAsia" w:ascii="宋体" w:hAnsi="宋体" w:eastAsia="宋体" w:cs="宋体"/>
          <w:spacing w:val="9"/>
          <w:sz w:val="20"/>
          <w:szCs w:val="20"/>
        </w:rPr>
        <w:t>4.10.1  发包人应将其持有的现场地质勘探资料、水文气象资料提供给承包人，并对其准确性负责。但承包人应对其阅读上述有关资料后所作出的解释和推断负责。</w:t>
      </w:r>
    </w:p>
    <w:p w14:paraId="021CB239">
      <w:pPr>
        <w:spacing w:before="160" w:line="360" w:lineRule="auto"/>
        <w:ind w:left="20" w:right="69" w:firstLine="418"/>
        <w:jc w:val="left"/>
        <w:rPr>
          <w:rFonts w:hint="eastAsia" w:ascii="宋体" w:hAnsi="宋体" w:eastAsia="宋体" w:cs="宋体"/>
          <w:spacing w:val="9"/>
          <w:sz w:val="20"/>
          <w:szCs w:val="20"/>
        </w:rPr>
      </w:pPr>
      <w:r>
        <w:rPr>
          <w:rFonts w:hint="eastAsia" w:ascii="宋体" w:hAnsi="宋体" w:eastAsia="宋体" w:cs="宋体"/>
          <w:spacing w:val="9"/>
          <w:sz w:val="20"/>
          <w:szCs w:val="20"/>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A37262E">
      <w:pPr>
        <w:spacing w:before="78" w:line="360" w:lineRule="auto"/>
        <w:ind w:left="20"/>
        <w:jc w:val="left"/>
        <w:outlineLvl w:val="2"/>
        <w:rPr>
          <w:rFonts w:hint="eastAsia" w:ascii="宋体" w:hAnsi="宋体" w:eastAsia="宋体" w:cs="宋体"/>
          <w:sz w:val="24"/>
          <w:szCs w:val="24"/>
        </w:rPr>
      </w:pPr>
      <w:r>
        <w:rPr>
          <w:rFonts w:hint="eastAsia" w:ascii="宋体" w:hAnsi="宋体" w:eastAsia="宋体" w:cs="宋体"/>
          <w:spacing w:val="-1"/>
          <w:sz w:val="24"/>
          <w:szCs w:val="24"/>
        </w:rPr>
        <w:t>4.11  不利物质条件</w:t>
      </w:r>
    </w:p>
    <w:p w14:paraId="55C28D9E">
      <w:pPr>
        <w:spacing w:before="160" w:line="360" w:lineRule="auto"/>
        <w:ind w:left="20" w:right="69" w:firstLine="418"/>
        <w:jc w:val="left"/>
        <w:rPr>
          <w:rFonts w:hint="eastAsia" w:ascii="宋体" w:hAnsi="宋体" w:eastAsia="宋体" w:cs="宋体"/>
          <w:spacing w:val="9"/>
          <w:sz w:val="20"/>
          <w:szCs w:val="20"/>
        </w:rPr>
      </w:pPr>
      <w:r>
        <w:rPr>
          <w:rFonts w:hint="eastAsia" w:ascii="宋体" w:hAnsi="宋体" w:eastAsia="宋体" w:cs="宋体"/>
          <w:spacing w:val="9"/>
          <w:sz w:val="20"/>
          <w:szCs w:val="20"/>
        </w:rPr>
        <w:t>4.11.1  不利物质条件一般是指承包人在施工场地遇到的不可预见的自然物质条件、非自然的物质障碍和污染物，包括地下和水文条件，但不包括气候条件。不利物质条件的具体范围见合同条款专用部分。</w:t>
      </w:r>
    </w:p>
    <w:p w14:paraId="62BE6E37">
      <w:pPr>
        <w:spacing w:before="158" w:line="360" w:lineRule="auto"/>
        <w:ind w:left="22" w:right="22" w:firstLine="416"/>
        <w:jc w:val="left"/>
        <w:rPr>
          <w:rFonts w:hint="eastAsia" w:ascii="宋体" w:hAnsi="宋体" w:eastAsia="宋体" w:cs="宋体"/>
          <w:sz w:val="20"/>
          <w:szCs w:val="20"/>
        </w:rPr>
      </w:pPr>
      <w:r>
        <w:rPr>
          <w:rFonts w:hint="eastAsia" w:ascii="宋体" w:hAnsi="宋体" w:eastAsia="宋体" w:cs="宋体"/>
          <w:spacing w:val="8"/>
          <w:sz w:val="20"/>
          <w:szCs w:val="20"/>
        </w:rPr>
        <w:t>4.11.2  承包人遇到不利物质条件时，应采取适应不利物质条件的合理措施继续施工，</w:t>
      </w:r>
      <w:r>
        <w:rPr>
          <w:rFonts w:hint="eastAsia" w:ascii="宋体" w:hAnsi="宋体" w:eastAsia="宋体" w:cs="宋体"/>
          <w:spacing w:val="9"/>
          <w:sz w:val="20"/>
          <w:szCs w:val="20"/>
        </w:rPr>
        <w:t>并及时通知监理人。监理人应当及时发出指示，指示构成变更的，按第</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15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条约定办理。监</w:t>
      </w:r>
      <w:r>
        <w:rPr>
          <w:rFonts w:hint="eastAsia" w:ascii="宋体" w:hAnsi="宋体" w:eastAsia="宋体" w:cs="宋体"/>
          <w:spacing w:val="4"/>
          <w:sz w:val="20"/>
          <w:szCs w:val="20"/>
        </w:rPr>
        <w:t>理人没有发出指示的，承包人因采取合理措施增加的费用和（或）工期延误，由发包人承担。</w:t>
      </w:r>
    </w:p>
    <w:p w14:paraId="217F4013">
      <w:pPr>
        <w:spacing w:before="291" w:line="360" w:lineRule="auto"/>
        <w:ind w:left="28"/>
        <w:jc w:val="left"/>
        <w:outlineLvl w:val="1"/>
        <w:rPr>
          <w:rFonts w:hint="eastAsia" w:ascii="宋体" w:hAnsi="宋体" w:eastAsia="宋体" w:cs="宋体"/>
          <w:sz w:val="28"/>
          <w:szCs w:val="28"/>
        </w:rPr>
      </w:pPr>
      <w:r>
        <w:rPr>
          <w:rFonts w:hint="eastAsia" w:ascii="宋体" w:hAnsi="宋体" w:eastAsia="宋体" w:cs="宋体"/>
          <w:spacing w:val="-5"/>
          <w:sz w:val="28"/>
          <w:szCs w:val="28"/>
        </w:rPr>
        <w:t>5.材料</w:t>
      </w:r>
    </w:p>
    <w:p w14:paraId="34A6167C">
      <w:pPr>
        <w:pStyle w:val="17"/>
        <w:spacing w:line="360" w:lineRule="auto"/>
        <w:jc w:val="left"/>
        <w:rPr>
          <w:rFonts w:hint="eastAsia" w:ascii="宋体" w:hAnsi="宋体" w:eastAsia="宋体" w:cs="宋体"/>
        </w:rPr>
      </w:pPr>
    </w:p>
    <w:p w14:paraId="37C1759A">
      <w:pPr>
        <w:spacing w:before="78" w:line="360" w:lineRule="auto"/>
        <w:ind w:left="25"/>
        <w:jc w:val="left"/>
        <w:outlineLvl w:val="2"/>
        <w:rPr>
          <w:rFonts w:hint="eastAsia" w:ascii="宋体" w:hAnsi="宋体" w:eastAsia="宋体" w:cs="宋体"/>
          <w:sz w:val="24"/>
          <w:szCs w:val="24"/>
        </w:rPr>
      </w:pPr>
      <w:r>
        <w:rPr>
          <w:rFonts w:hint="eastAsia" w:ascii="宋体" w:hAnsi="宋体" w:eastAsia="宋体" w:cs="宋体"/>
          <w:spacing w:val="-2"/>
          <w:sz w:val="24"/>
          <w:szCs w:val="24"/>
        </w:rPr>
        <w:t>5.1  承包人提供的材料</w:t>
      </w:r>
    </w:p>
    <w:p w14:paraId="5C5640F9">
      <w:pPr>
        <w:spacing w:before="296" w:line="360" w:lineRule="auto"/>
        <w:ind w:left="19" w:right="92" w:firstLine="425"/>
        <w:jc w:val="left"/>
        <w:rPr>
          <w:rFonts w:hint="eastAsia" w:ascii="宋体" w:hAnsi="宋体" w:eastAsia="宋体" w:cs="宋体"/>
          <w:spacing w:val="7"/>
          <w:sz w:val="20"/>
          <w:szCs w:val="20"/>
        </w:rPr>
      </w:pPr>
      <w:r>
        <w:rPr>
          <w:rFonts w:hint="eastAsia" w:ascii="宋体" w:hAnsi="宋体" w:eastAsia="宋体" w:cs="宋体"/>
          <w:spacing w:val="7"/>
          <w:sz w:val="20"/>
          <w:szCs w:val="20"/>
        </w:rPr>
        <w:t>5.1.1  除第</w:t>
      </w:r>
      <w:r>
        <w:rPr>
          <w:rFonts w:hint="eastAsia" w:ascii="宋体" w:hAnsi="宋体" w:eastAsia="宋体" w:cs="宋体"/>
          <w:spacing w:val="-20"/>
          <w:sz w:val="20"/>
          <w:szCs w:val="20"/>
        </w:rPr>
        <w:t xml:space="preserve"> </w:t>
      </w:r>
      <w:r>
        <w:rPr>
          <w:rFonts w:hint="eastAsia" w:ascii="宋体" w:hAnsi="宋体" w:eastAsia="宋体" w:cs="宋体"/>
          <w:spacing w:val="7"/>
          <w:sz w:val="20"/>
          <w:szCs w:val="20"/>
        </w:rPr>
        <w:t>5.2</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款约定由发包人提供的材料外，</w:t>
      </w:r>
      <w:r>
        <w:rPr>
          <w:rFonts w:hint="eastAsia" w:ascii="宋体" w:hAnsi="宋体" w:eastAsia="宋体" w:cs="宋体"/>
          <w:spacing w:val="-60"/>
          <w:sz w:val="20"/>
          <w:szCs w:val="20"/>
        </w:rPr>
        <w:t xml:space="preserve"> </w:t>
      </w:r>
      <w:r>
        <w:rPr>
          <w:rFonts w:hint="eastAsia" w:ascii="宋体" w:hAnsi="宋体" w:eastAsia="宋体" w:cs="宋体"/>
          <w:spacing w:val="7"/>
          <w:sz w:val="20"/>
          <w:szCs w:val="20"/>
        </w:rPr>
        <w:t>由承包人提供的材料均由承包人负责</w:t>
      </w:r>
      <w:r>
        <w:rPr>
          <w:rFonts w:hint="eastAsia" w:ascii="宋体" w:hAnsi="宋体" w:eastAsia="宋体" w:cs="宋体"/>
          <w:spacing w:val="8"/>
          <w:sz w:val="20"/>
          <w:szCs w:val="20"/>
        </w:rPr>
        <w:t>采购、运输和保管。但是，发包人在工程量清单中给</w:t>
      </w:r>
      <w:r>
        <w:rPr>
          <w:rFonts w:hint="eastAsia" w:ascii="宋体" w:hAnsi="宋体" w:eastAsia="宋体" w:cs="宋体"/>
          <w:spacing w:val="7"/>
          <w:sz w:val="20"/>
          <w:szCs w:val="20"/>
        </w:rPr>
        <w:t>定暂估价的材料，包括从暂列金额开支</w:t>
      </w:r>
      <w:r>
        <w:rPr>
          <w:rFonts w:hint="eastAsia" w:ascii="宋体" w:hAnsi="宋体" w:eastAsia="宋体" w:cs="宋体"/>
          <w:spacing w:val="8"/>
          <w:sz w:val="20"/>
          <w:szCs w:val="20"/>
        </w:rPr>
        <w:t>的材料，其中属于依法必须招标的范围并达到规定的</w:t>
      </w:r>
      <w:r>
        <w:rPr>
          <w:rFonts w:hint="eastAsia" w:ascii="宋体" w:hAnsi="宋体" w:eastAsia="宋体" w:cs="宋体"/>
          <w:spacing w:val="7"/>
          <w:sz w:val="20"/>
          <w:szCs w:val="20"/>
        </w:rPr>
        <w:t>规模标准的，以及虽不属于依法必须招</w:t>
      </w:r>
      <w:r>
        <w:rPr>
          <w:rFonts w:hint="eastAsia" w:ascii="宋体" w:hAnsi="宋体" w:eastAsia="宋体" w:cs="宋体"/>
          <w:spacing w:val="9"/>
          <w:sz w:val="20"/>
          <w:szCs w:val="20"/>
        </w:rPr>
        <w:t>标的范围但合同中约定采用招标方式采购的，应</w:t>
      </w:r>
      <w:r>
        <w:rPr>
          <w:rFonts w:hint="eastAsia" w:ascii="宋体" w:hAnsi="宋体" w:eastAsia="宋体" w:cs="宋体"/>
          <w:spacing w:val="7"/>
          <w:sz w:val="20"/>
          <w:szCs w:val="20"/>
        </w:rPr>
        <w:t>当按第 15.8.1 项的约定，由发包人和承包人以招标方式确定专项供应商。承包人负责提供的主要材料清单见合同条款专用部分“附件三：承包人提供的材料一览表”。</w:t>
      </w:r>
    </w:p>
    <w:p w14:paraId="30EDE8B1">
      <w:pPr>
        <w:spacing w:before="160" w:line="360" w:lineRule="auto"/>
        <w:ind w:left="23" w:right="94" w:firstLine="420"/>
        <w:jc w:val="left"/>
        <w:rPr>
          <w:rFonts w:hint="eastAsia" w:ascii="宋体" w:hAnsi="宋体" w:eastAsia="宋体" w:cs="宋体"/>
          <w:spacing w:val="9"/>
          <w:sz w:val="20"/>
          <w:szCs w:val="20"/>
        </w:rPr>
      </w:pPr>
      <w:r>
        <w:rPr>
          <w:rFonts w:hint="eastAsia" w:ascii="宋体" w:hAnsi="宋体" w:eastAsia="宋体" w:cs="宋体"/>
          <w:spacing w:val="9"/>
          <w:sz w:val="20"/>
          <w:szCs w:val="20"/>
        </w:rPr>
        <w:t>5.1.2  承包人应在合同约定的期限内，将各项材料的供货人和品种、规格、数量及供</w:t>
      </w:r>
      <w:r>
        <w:rPr>
          <w:rFonts w:hint="eastAsia" w:ascii="宋体" w:hAnsi="宋体" w:eastAsia="宋体" w:cs="宋体"/>
          <w:spacing w:val="7"/>
          <w:sz w:val="20"/>
          <w:szCs w:val="20"/>
        </w:rPr>
        <w:t>货时间等</w:t>
      </w:r>
      <w:r>
        <w:rPr>
          <w:rFonts w:hint="eastAsia" w:ascii="宋体" w:hAnsi="宋体" w:eastAsia="宋体" w:cs="宋体"/>
          <w:spacing w:val="9"/>
          <w:sz w:val="20"/>
          <w:szCs w:val="20"/>
        </w:rPr>
        <w:t>报送监理人审批。承包人应向监理人提交其负责提供的材料的质量证明文件，并满足合同约定的质量标准。承包人将其提供的各项材料的供货人和品种、规格、数量及供货时间等报送监理人审批的期限见合同条款专用部分。</w:t>
      </w:r>
    </w:p>
    <w:p w14:paraId="15056ADE">
      <w:pPr>
        <w:spacing w:before="160" w:line="360" w:lineRule="auto"/>
        <w:ind w:left="19" w:right="92" w:firstLine="424"/>
        <w:jc w:val="left"/>
        <w:rPr>
          <w:rFonts w:hint="eastAsia" w:ascii="宋体" w:hAnsi="宋体" w:eastAsia="宋体" w:cs="宋体"/>
          <w:sz w:val="20"/>
          <w:szCs w:val="20"/>
        </w:rPr>
      </w:pPr>
      <w:r>
        <w:rPr>
          <w:rFonts w:hint="eastAsia" w:ascii="宋体" w:hAnsi="宋体" w:eastAsia="宋体" w:cs="宋体"/>
          <w:spacing w:val="9"/>
          <w:sz w:val="20"/>
          <w:szCs w:val="20"/>
        </w:rPr>
        <w:t>5.1.3  对承包人提供的材料，承包人应会同监理人进行检验和交货验收，查验材料合</w:t>
      </w:r>
      <w:r>
        <w:rPr>
          <w:rFonts w:hint="eastAsia" w:ascii="宋体" w:hAnsi="宋体" w:eastAsia="宋体" w:cs="宋体"/>
          <w:spacing w:val="8"/>
          <w:sz w:val="20"/>
          <w:szCs w:val="20"/>
        </w:rPr>
        <w:t>格证明和产品合格证书，并按照合同约定和监理人</w:t>
      </w:r>
      <w:r>
        <w:rPr>
          <w:rFonts w:hint="eastAsia" w:ascii="宋体" w:hAnsi="宋体" w:eastAsia="宋体" w:cs="宋体"/>
          <w:spacing w:val="7"/>
          <w:sz w:val="20"/>
          <w:szCs w:val="20"/>
        </w:rPr>
        <w:t>指示，进行材料的抽样检验和工程设备的</w:t>
      </w:r>
      <w:r>
        <w:rPr>
          <w:rFonts w:hint="eastAsia" w:ascii="宋体" w:hAnsi="宋体" w:eastAsia="宋体" w:cs="宋体"/>
          <w:spacing w:val="9"/>
          <w:sz w:val="20"/>
          <w:szCs w:val="20"/>
        </w:rPr>
        <w:t>检验测试，检验和测试结果应提交监理人。除合同另有约定外，所需费用由承包人承担。</w:t>
      </w:r>
    </w:p>
    <w:p w14:paraId="42D8F172">
      <w:pPr>
        <w:spacing w:before="285" w:line="360" w:lineRule="auto"/>
        <w:ind w:left="25"/>
        <w:jc w:val="left"/>
        <w:outlineLvl w:val="2"/>
        <w:rPr>
          <w:rFonts w:hint="eastAsia" w:ascii="宋体" w:hAnsi="宋体" w:eastAsia="宋体" w:cs="宋体"/>
          <w:sz w:val="24"/>
          <w:szCs w:val="24"/>
        </w:rPr>
      </w:pPr>
      <w:r>
        <w:rPr>
          <w:rFonts w:hint="eastAsia" w:ascii="宋体" w:hAnsi="宋体" w:eastAsia="宋体" w:cs="宋体"/>
          <w:spacing w:val="-2"/>
          <w:sz w:val="24"/>
          <w:szCs w:val="24"/>
        </w:rPr>
        <w:t>5.2  发包人提供的材料</w:t>
      </w:r>
    </w:p>
    <w:p w14:paraId="2BBC9C6C">
      <w:pPr>
        <w:spacing w:before="299" w:line="360" w:lineRule="auto"/>
        <w:ind w:left="24" w:right="94" w:firstLine="419"/>
        <w:jc w:val="left"/>
        <w:rPr>
          <w:rFonts w:hint="eastAsia" w:ascii="宋体" w:hAnsi="宋体" w:eastAsia="宋体" w:cs="宋体"/>
          <w:spacing w:val="9"/>
          <w:sz w:val="20"/>
          <w:szCs w:val="20"/>
        </w:rPr>
      </w:pPr>
      <w:r>
        <w:rPr>
          <w:rFonts w:hint="eastAsia" w:ascii="宋体" w:hAnsi="宋体" w:eastAsia="宋体" w:cs="宋体"/>
          <w:spacing w:val="9"/>
          <w:sz w:val="20"/>
          <w:szCs w:val="20"/>
        </w:rPr>
        <w:t>5.2.1  发包人负责提供的材料名称、规格、数量、价格、有效损耗率、交货方式、交货地点和计划交货日期等见合同条款专用部分“附件四：发包人提供的材料一览表”。</w:t>
      </w:r>
    </w:p>
    <w:p w14:paraId="23F4AEBB">
      <w:pPr>
        <w:spacing w:before="160" w:line="360" w:lineRule="auto"/>
        <w:ind w:left="23" w:right="22" w:firstLine="420"/>
        <w:jc w:val="left"/>
        <w:rPr>
          <w:rFonts w:hint="eastAsia" w:ascii="宋体" w:hAnsi="宋体" w:eastAsia="宋体" w:cs="宋体"/>
          <w:sz w:val="20"/>
          <w:szCs w:val="20"/>
        </w:rPr>
      </w:pPr>
      <w:r>
        <w:rPr>
          <w:rFonts w:hint="eastAsia" w:ascii="宋体" w:hAnsi="宋体" w:eastAsia="宋体" w:cs="宋体"/>
          <w:spacing w:val="6"/>
          <w:sz w:val="20"/>
          <w:szCs w:val="20"/>
        </w:rPr>
        <w:t>5.2.2  承包人应根据合同进度计划的安排，向监理人报送要求发包人交货的</w:t>
      </w:r>
      <w:r>
        <w:rPr>
          <w:rFonts w:hint="eastAsia" w:ascii="宋体" w:hAnsi="宋体" w:eastAsia="宋体" w:cs="宋体"/>
          <w:spacing w:val="5"/>
          <w:sz w:val="20"/>
          <w:szCs w:val="20"/>
        </w:rPr>
        <w:t>日期计划。</w:t>
      </w:r>
      <w:r>
        <w:rPr>
          <w:rFonts w:hint="eastAsia" w:ascii="宋体" w:hAnsi="宋体" w:eastAsia="宋体" w:cs="宋体"/>
          <w:spacing w:val="9"/>
          <w:sz w:val="20"/>
          <w:szCs w:val="20"/>
        </w:rPr>
        <w:t>发包人应按照监理人与合同双方当事人商定的交货日期，向承包人提交材料。</w:t>
      </w:r>
    </w:p>
    <w:p w14:paraId="13708832">
      <w:pPr>
        <w:spacing w:before="164" w:line="360" w:lineRule="auto"/>
        <w:ind w:left="19" w:right="38" w:firstLine="424"/>
        <w:jc w:val="left"/>
        <w:rPr>
          <w:rFonts w:hint="eastAsia" w:ascii="宋体" w:hAnsi="宋体" w:eastAsia="宋体" w:cs="宋体"/>
          <w:sz w:val="20"/>
          <w:szCs w:val="20"/>
        </w:rPr>
      </w:pPr>
      <w:r>
        <w:rPr>
          <w:rFonts w:hint="eastAsia" w:ascii="宋体" w:hAnsi="宋体" w:eastAsia="宋体" w:cs="宋体"/>
          <w:spacing w:val="5"/>
          <w:sz w:val="20"/>
          <w:szCs w:val="20"/>
        </w:rPr>
        <w:t>5.2.3  发包人应在材料到货</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天前通知承包人，承包人应会同</w:t>
      </w:r>
      <w:r>
        <w:rPr>
          <w:rFonts w:hint="eastAsia" w:ascii="宋体" w:hAnsi="宋体" w:eastAsia="宋体" w:cs="宋体"/>
          <w:spacing w:val="4"/>
          <w:sz w:val="20"/>
          <w:szCs w:val="20"/>
        </w:rPr>
        <w:t>监理人在约定的时间内，</w:t>
      </w:r>
      <w:r>
        <w:rPr>
          <w:rFonts w:hint="eastAsia" w:ascii="宋体" w:hAnsi="宋体" w:eastAsia="宋体" w:cs="宋体"/>
          <w:spacing w:val="8"/>
          <w:sz w:val="20"/>
          <w:szCs w:val="20"/>
        </w:rPr>
        <w:t>赴交货地点共同进行验收。</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由发包人提供的材料验收后，由承包人负责接收</w:t>
      </w:r>
      <w:r>
        <w:rPr>
          <w:rFonts w:hint="eastAsia" w:ascii="宋体" w:hAnsi="宋体" w:eastAsia="宋体" w:cs="宋体"/>
          <w:spacing w:val="7"/>
          <w:sz w:val="20"/>
          <w:szCs w:val="20"/>
        </w:rPr>
        <w:t>、运输和保管。</w:t>
      </w:r>
    </w:p>
    <w:p w14:paraId="51AD6A7E">
      <w:pPr>
        <w:spacing w:before="161" w:line="360" w:lineRule="auto"/>
        <w:ind w:left="20" w:right="94" w:firstLine="423"/>
        <w:jc w:val="left"/>
        <w:rPr>
          <w:rFonts w:hint="eastAsia" w:ascii="宋体" w:hAnsi="宋体" w:eastAsia="宋体" w:cs="宋体"/>
          <w:sz w:val="20"/>
          <w:szCs w:val="20"/>
        </w:rPr>
      </w:pPr>
      <w:r>
        <w:rPr>
          <w:rFonts w:hint="eastAsia" w:ascii="宋体" w:hAnsi="宋体" w:eastAsia="宋体" w:cs="宋体"/>
          <w:spacing w:val="9"/>
          <w:sz w:val="20"/>
          <w:szCs w:val="20"/>
        </w:rPr>
        <w:t>5.2.4  发包人要求向承包人提前交货的，承包人不得拒绝，但发包人应承担承包人由</w:t>
      </w:r>
      <w:r>
        <w:rPr>
          <w:rFonts w:hint="eastAsia" w:ascii="宋体" w:hAnsi="宋体" w:eastAsia="宋体" w:cs="宋体"/>
          <w:spacing w:val="6"/>
          <w:sz w:val="20"/>
          <w:szCs w:val="20"/>
        </w:rPr>
        <w:t>此增加的费用。</w:t>
      </w:r>
    </w:p>
    <w:p w14:paraId="5870EB8A">
      <w:pPr>
        <w:spacing w:before="65" w:line="360" w:lineRule="auto"/>
        <w:ind w:left="22" w:right="161" w:firstLine="421"/>
        <w:jc w:val="left"/>
        <w:rPr>
          <w:rFonts w:hint="eastAsia" w:ascii="宋体" w:hAnsi="宋体" w:eastAsia="宋体" w:cs="宋体"/>
          <w:sz w:val="20"/>
          <w:szCs w:val="20"/>
        </w:rPr>
      </w:pPr>
      <w:r>
        <w:rPr>
          <w:rFonts w:hint="eastAsia" w:ascii="宋体" w:hAnsi="宋体" w:eastAsia="宋体" w:cs="宋体"/>
          <w:spacing w:val="8"/>
          <w:sz w:val="20"/>
          <w:szCs w:val="20"/>
        </w:rPr>
        <w:t>5.2.5  承包人要求更改交货日期或地点的，应事先报请监理人批准。</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由于承包人要求</w:t>
      </w:r>
      <w:r>
        <w:rPr>
          <w:rFonts w:hint="eastAsia" w:ascii="宋体" w:hAnsi="宋体" w:eastAsia="宋体" w:cs="宋体"/>
          <w:spacing w:val="9"/>
          <w:sz w:val="20"/>
          <w:szCs w:val="20"/>
        </w:rPr>
        <w:t>更改交货时间或地点所增加的费用和（或）工期延误由承包人承担。</w:t>
      </w:r>
    </w:p>
    <w:p w14:paraId="56B7917D">
      <w:pPr>
        <w:spacing w:before="164" w:line="360" w:lineRule="auto"/>
        <w:ind w:left="21" w:right="105" w:firstLine="422"/>
        <w:jc w:val="left"/>
        <w:rPr>
          <w:rFonts w:hint="eastAsia" w:ascii="宋体" w:hAnsi="宋体" w:eastAsia="宋体" w:cs="宋体"/>
          <w:sz w:val="20"/>
          <w:szCs w:val="20"/>
        </w:rPr>
      </w:pPr>
      <w:r>
        <w:rPr>
          <w:rFonts w:hint="eastAsia" w:ascii="宋体" w:hAnsi="宋体" w:eastAsia="宋体" w:cs="宋体"/>
          <w:spacing w:val="9"/>
          <w:sz w:val="20"/>
          <w:szCs w:val="20"/>
        </w:rPr>
        <w:t>5.2.6  发包人提供的材料的规格、数量或质量不符合合同要求，或由于发包人原因发</w:t>
      </w:r>
      <w:r>
        <w:rPr>
          <w:rFonts w:hint="eastAsia" w:ascii="宋体" w:hAnsi="宋体" w:eastAsia="宋体" w:cs="宋体"/>
          <w:spacing w:val="4"/>
          <w:sz w:val="20"/>
          <w:szCs w:val="20"/>
        </w:rPr>
        <w:t>生交货日期延误及交货地点变更等情况的，发包人应承担由此增加的费</w:t>
      </w:r>
      <w:r>
        <w:rPr>
          <w:rFonts w:hint="eastAsia" w:ascii="宋体" w:hAnsi="宋体" w:eastAsia="宋体" w:cs="宋体"/>
          <w:spacing w:val="3"/>
          <w:sz w:val="20"/>
          <w:szCs w:val="20"/>
        </w:rPr>
        <w:t>用和（或）工期延误，</w:t>
      </w:r>
      <w:r>
        <w:rPr>
          <w:rFonts w:hint="eastAsia" w:ascii="宋体" w:hAnsi="宋体" w:eastAsia="宋体" w:cs="宋体"/>
          <w:spacing w:val="8"/>
          <w:sz w:val="20"/>
          <w:szCs w:val="20"/>
        </w:rPr>
        <w:t>并向承包人支付合理利润。</w:t>
      </w:r>
    </w:p>
    <w:p w14:paraId="52D400C4">
      <w:pPr>
        <w:spacing w:before="162" w:line="360" w:lineRule="auto"/>
        <w:ind w:left="19" w:right="106" w:firstLine="425"/>
        <w:jc w:val="left"/>
        <w:rPr>
          <w:rFonts w:hint="eastAsia" w:ascii="宋体" w:hAnsi="宋体" w:eastAsia="宋体" w:cs="宋体"/>
          <w:sz w:val="20"/>
          <w:szCs w:val="20"/>
        </w:rPr>
      </w:pPr>
      <w:r>
        <w:rPr>
          <w:rFonts w:hint="eastAsia" w:ascii="宋体" w:hAnsi="宋体" w:eastAsia="宋体" w:cs="宋体"/>
          <w:spacing w:val="9"/>
          <w:sz w:val="20"/>
          <w:szCs w:val="20"/>
        </w:rPr>
        <w:t>5.2.7  因承包人原因引起发包人提供的材料的实际领用数量超过合同条款专用部分约</w:t>
      </w:r>
      <w:r>
        <w:rPr>
          <w:rFonts w:hint="eastAsia" w:ascii="宋体" w:hAnsi="宋体" w:eastAsia="宋体" w:cs="宋体"/>
          <w:spacing w:val="8"/>
          <w:sz w:val="20"/>
          <w:szCs w:val="20"/>
        </w:rPr>
        <w:t>定的数量时，超出部分的材料费用由承包人承</w:t>
      </w:r>
      <w:r>
        <w:rPr>
          <w:rFonts w:hint="eastAsia" w:ascii="宋体" w:hAnsi="宋体" w:eastAsia="宋体" w:cs="宋体"/>
          <w:spacing w:val="7"/>
          <w:sz w:val="20"/>
          <w:szCs w:val="20"/>
        </w:rPr>
        <w:t>担。发包人可按相应供货合同的单价计算确定</w:t>
      </w:r>
      <w:r>
        <w:rPr>
          <w:rFonts w:hint="eastAsia" w:ascii="宋体" w:hAnsi="宋体" w:eastAsia="宋体" w:cs="宋体"/>
          <w:spacing w:val="9"/>
          <w:sz w:val="20"/>
          <w:szCs w:val="20"/>
        </w:rPr>
        <w:t>超领数量的材料费用，并从承包人完成合同工程的施工过程结算或竣工结算的价</w:t>
      </w:r>
      <w:r>
        <w:rPr>
          <w:rFonts w:hint="eastAsia" w:ascii="宋体" w:hAnsi="宋体" w:eastAsia="宋体" w:cs="宋体"/>
          <w:spacing w:val="8"/>
          <w:sz w:val="20"/>
          <w:szCs w:val="20"/>
        </w:rPr>
        <w:t>款中扣除。</w:t>
      </w:r>
      <w:r>
        <w:rPr>
          <w:rFonts w:hint="eastAsia" w:ascii="宋体" w:hAnsi="宋体" w:eastAsia="宋体" w:cs="宋体"/>
          <w:spacing w:val="13"/>
          <w:sz w:val="20"/>
          <w:szCs w:val="20"/>
        </w:rPr>
        <w:t>因发包人实际提供材料的规格型号与招标文件中规定的规格型号不同而引起材</w:t>
      </w:r>
      <w:r>
        <w:rPr>
          <w:rFonts w:hint="eastAsia" w:ascii="宋体" w:hAnsi="宋体" w:eastAsia="宋体" w:cs="宋体"/>
          <w:spacing w:val="12"/>
          <w:sz w:val="20"/>
          <w:szCs w:val="20"/>
        </w:rPr>
        <w:t>料实际损耗</w:t>
      </w:r>
      <w:r>
        <w:rPr>
          <w:rFonts w:hint="eastAsia" w:ascii="宋体" w:hAnsi="宋体" w:eastAsia="宋体" w:cs="宋体"/>
          <w:spacing w:val="9"/>
          <w:sz w:val="20"/>
          <w:szCs w:val="20"/>
        </w:rPr>
        <w:t>率超出有效损耗率的，超出部分应由发包人承担。</w:t>
      </w:r>
    </w:p>
    <w:p w14:paraId="07E02529">
      <w:pPr>
        <w:spacing w:before="285" w:line="360" w:lineRule="auto"/>
        <w:ind w:left="25"/>
        <w:jc w:val="left"/>
        <w:outlineLvl w:val="2"/>
        <w:rPr>
          <w:rFonts w:hint="eastAsia" w:ascii="宋体" w:hAnsi="宋体" w:eastAsia="宋体" w:cs="宋体"/>
          <w:sz w:val="24"/>
          <w:szCs w:val="24"/>
        </w:rPr>
      </w:pPr>
      <w:r>
        <w:rPr>
          <w:rFonts w:hint="eastAsia" w:ascii="宋体" w:hAnsi="宋体" w:eastAsia="宋体" w:cs="宋体"/>
          <w:spacing w:val="-2"/>
          <w:sz w:val="24"/>
          <w:szCs w:val="24"/>
        </w:rPr>
        <w:t>5.3  材料专用于合同工程</w:t>
      </w:r>
    </w:p>
    <w:p w14:paraId="6D8CDC3B">
      <w:pPr>
        <w:spacing w:before="297" w:line="360" w:lineRule="auto"/>
        <w:ind w:left="23" w:right="161" w:firstLine="420"/>
        <w:jc w:val="left"/>
        <w:rPr>
          <w:rFonts w:hint="eastAsia" w:ascii="宋体" w:hAnsi="宋体" w:eastAsia="宋体" w:cs="宋体"/>
          <w:sz w:val="20"/>
          <w:szCs w:val="20"/>
        </w:rPr>
      </w:pPr>
      <w:r>
        <w:rPr>
          <w:rFonts w:hint="eastAsia" w:ascii="宋体" w:hAnsi="宋体" w:eastAsia="宋体" w:cs="宋体"/>
          <w:spacing w:val="9"/>
          <w:sz w:val="20"/>
          <w:szCs w:val="20"/>
        </w:rPr>
        <w:t>5.3.1  运入施工场地的材料，包括备品备件、安装专用工器具与随机资料，必须专用于合同工程，未经监理人同意，承包人不得运出施工场地或挪作他用。</w:t>
      </w:r>
    </w:p>
    <w:p w14:paraId="79DE9785">
      <w:pPr>
        <w:spacing w:before="163" w:line="360" w:lineRule="auto"/>
        <w:ind w:left="19" w:right="159" w:firstLine="425"/>
        <w:jc w:val="left"/>
        <w:rPr>
          <w:rFonts w:hint="eastAsia" w:ascii="宋体" w:hAnsi="宋体" w:eastAsia="宋体" w:cs="宋体"/>
          <w:sz w:val="20"/>
          <w:szCs w:val="20"/>
        </w:rPr>
      </w:pPr>
      <w:r>
        <w:rPr>
          <w:rFonts w:hint="eastAsia" w:ascii="宋体" w:hAnsi="宋体" w:eastAsia="宋体" w:cs="宋体"/>
          <w:spacing w:val="9"/>
          <w:sz w:val="20"/>
          <w:szCs w:val="20"/>
        </w:rPr>
        <w:t>5.3.2  随同工程设备运入施工场地的备品备件、专用工器具与随机资料，应由承包人</w:t>
      </w:r>
      <w:r>
        <w:rPr>
          <w:rFonts w:hint="eastAsia" w:ascii="宋体" w:hAnsi="宋体" w:eastAsia="宋体" w:cs="宋体"/>
          <w:spacing w:val="8"/>
          <w:sz w:val="20"/>
          <w:szCs w:val="20"/>
        </w:rPr>
        <w:t>会同监理人按供货人的装箱单清点后共同封存，未经</w:t>
      </w:r>
      <w:r>
        <w:rPr>
          <w:rFonts w:hint="eastAsia" w:ascii="宋体" w:hAnsi="宋体" w:eastAsia="宋体" w:cs="宋体"/>
          <w:spacing w:val="7"/>
          <w:sz w:val="20"/>
          <w:szCs w:val="20"/>
        </w:rPr>
        <w:t>监理人同意不得启用。承包人因合同工</w:t>
      </w:r>
      <w:r>
        <w:rPr>
          <w:rFonts w:hint="eastAsia" w:ascii="宋体" w:hAnsi="宋体" w:eastAsia="宋体" w:cs="宋体"/>
          <w:spacing w:val="9"/>
          <w:sz w:val="20"/>
          <w:szCs w:val="20"/>
        </w:rPr>
        <w:t>作需要使用上述物品时，应向监理人提出申请。</w:t>
      </w:r>
    </w:p>
    <w:p w14:paraId="69F900DE">
      <w:pPr>
        <w:spacing w:before="286" w:line="360" w:lineRule="auto"/>
        <w:ind w:left="25"/>
        <w:jc w:val="left"/>
        <w:outlineLvl w:val="2"/>
        <w:rPr>
          <w:rFonts w:hint="eastAsia" w:ascii="宋体" w:hAnsi="宋体" w:eastAsia="宋体" w:cs="宋体"/>
          <w:sz w:val="24"/>
          <w:szCs w:val="24"/>
        </w:rPr>
      </w:pPr>
      <w:r>
        <w:rPr>
          <w:rFonts w:hint="eastAsia" w:ascii="宋体" w:hAnsi="宋体" w:eastAsia="宋体" w:cs="宋体"/>
          <w:spacing w:val="-1"/>
          <w:sz w:val="24"/>
          <w:szCs w:val="24"/>
        </w:rPr>
        <w:t>5.4  禁止使用不合格的材料</w:t>
      </w:r>
    </w:p>
    <w:p w14:paraId="16641545">
      <w:pPr>
        <w:spacing w:before="297" w:line="360" w:lineRule="auto"/>
        <w:ind w:left="21" w:right="161" w:firstLine="422"/>
        <w:jc w:val="left"/>
        <w:rPr>
          <w:rFonts w:hint="eastAsia" w:ascii="宋体" w:hAnsi="宋体" w:eastAsia="宋体" w:cs="宋体"/>
          <w:sz w:val="20"/>
          <w:szCs w:val="20"/>
        </w:rPr>
      </w:pPr>
      <w:r>
        <w:rPr>
          <w:rFonts w:hint="eastAsia" w:ascii="宋体" w:hAnsi="宋体" w:eastAsia="宋体" w:cs="宋体"/>
          <w:spacing w:val="9"/>
          <w:sz w:val="20"/>
          <w:szCs w:val="20"/>
        </w:rPr>
        <w:t>5.4.1  监理人有权拒绝承包人提供的不合格材料，并要求承包人立即进行更换。监理</w:t>
      </w:r>
      <w:r>
        <w:rPr>
          <w:rFonts w:hint="eastAsia" w:ascii="宋体" w:hAnsi="宋体" w:eastAsia="宋体" w:cs="宋体"/>
          <w:spacing w:val="8"/>
          <w:sz w:val="20"/>
          <w:szCs w:val="20"/>
        </w:rPr>
        <w:t>人应在更换后再次进行检查和检验，</w:t>
      </w:r>
      <w:r>
        <w:rPr>
          <w:rFonts w:hint="eastAsia" w:ascii="宋体" w:hAnsi="宋体" w:eastAsia="宋体" w:cs="宋体"/>
          <w:spacing w:val="-47"/>
          <w:sz w:val="20"/>
          <w:szCs w:val="20"/>
        </w:rPr>
        <w:t xml:space="preserve"> </w:t>
      </w:r>
      <w:r>
        <w:rPr>
          <w:rFonts w:hint="eastAsia" w:ascii="宋体" w:hAnsi="宋体" w:eastAsia="宋体" w:cs="宋体"/>
          <w:spacing w:val="8"/>
          <w:sz w:val="20"/>
          <w:szCs w:val="20"/>
        </w:rPr>
        <w:t>由此增加的费用和（或）工期延误由承包人承担。</w:t>
      </w:r>
    </w:p>
    <w:p w14:paraId="20A418AC">
      <w:pPr>
        <w:spacing w:before="161" w:line="360" w:lineRule="auto"/>
        <w:ind w:left="24" w:right="105" w:firstLine="419"/>
        <w:jc w:val="left"/>
        <w:rPr>
          <w:rFonts w:hint="eastAsia" w:ascii="宋体" w:hAnsi="宋体" w:eastAsia="宋体" w:cs="宋体"/>
          <w:sz w:val="20"/>
          <w:szCs w:val="20"/>
        </w:rPr>
      </w:pPr>
      <w:r>
        <w:rPr>
          <w:rFonts w:hint="eastAsia" w:ascii="宋体" w:hAnsi="宋体" w:eastAsia="宋体" w:cs="宋体"/>
          <w:spacing w:val="6"/>
          <w:sz w:val="20"/>
          <w:szCs w:val="20"/>
        </w:rPr>
        <w:t>5.4.2  监理人发现承包人使用了不合格</w:t>
      </w:r>
      <w:r>
        <w:rPr>
          <w:rFonts w:hint="eastAsia" w:ascii="宋体" w:hAnsi="宋体" w:eastAsia="宋体" w:cs="宋体"/>
          <w:spacing w:val="5"/>
          <w:sz w:val="20"/>
          <w:szCs w:val="20"/>
        </w:rPr>
        <w:t>的材料，应即时发出指示要求承包人立即改正，</w:t>
      </w:r>
      <w:r>
        <w:rPr>
          <w:rFonts w:hint="eastAsia" w:ascii="宋体" w:hAnsi="宋体" w:eastAsia="宋体" w:cs="宋体"/>
          <w:spacing w:val="8"/>
          <w:sz w:val="20"/>
          <w:szCs w:val="20"/>
        </w:rPr>
        <w:t>并禁止在工程中继续使用不合格的材料。</w:t>
      </w:r>
    </w:p>
    <w:p w14:paraId="34688A45">
      <w:pPr>
        <w:spacing w:before="161" w:line="360" w:lineRule="auto"/>
        <w:ind w:left="45" w:right="105" w:firstLine="398"/>
        <w:jc w:val="left"/>
        <w:rPr>
          <w:rFonts w:hint="eastAsia" w:ascii="宋体" w:hAnsi="宋体" w:eastAsia="宋体" w:cs="宋体"/>
          <w:sz w:val="20"/>
          <w:szCs w:val="20"/>
        </w:rPr>
      </w:pPr>
      <w:r>
        <w:rPr>
          <w:rFonts w:hint="eastAsia" w:ascii="宋体" w:hAnsi="宋体" w:eastAsia="宋体" w:cs="宋体"/>
          <w:spacing w:val="6"/>
          <w:sz w:val="20"/>
          <w:szCs w:val="20"/>
        </w:rPr>
        <w:t>5.4.3  发包人提供的材料不符合合同要</w:t>
      </w:r>
      <w:r>
        <w:rPr>
          <w:rFonts w:hint="eastAsia" w:ascii="宋体" w:hAnsi="宋体" w:eastAsia="宋体" w:cs="宋体"/>
          <w:spacing w:val="5"/>
          <w:sz w:val="20"/>
          <w:szCs w:val="20"/>
        </w:rPr>
        <w:t>求的，承包人有权拒绝，并可要求发包人更换，</w:t>
      </w:r>
      <w:r>
        <w:rPr>
          <w:rFonts w:hint="eastAsia" w:ascii="宋体" w:hAnsi="宋体" w:eastAsia="宋体" w:cs="宋体"/>
          <w:spacing w:val="8"/>
          <w:sz w:val="20"/>
          <w:szCs w:val="20"/>
        </w:rPr>
        <w:t>由此增加的费用和（或）工期延误由发包人承</w:t>
      </w:r>
      <w:r>
        <w:rPr>
          <w:rFonts w:hint="eastAsia" w:ascii="宋体" w:hAnsi="宋体" w:eastAsia="宋体" w:cs="宋体"/>
          <w:spacing w:val="7"/>
          <w:sz w:val="20"/>
          <w:szCs w:val="20"/>
        </w:rPr>
        <w:t>担。</w:t>
      </w:r>
    </w:p>
    <w:p w14:paraId="65D0A0C8">
      <w:pPr>
        <w:spacing w:before="290" w:line="360" w:lineRule="auto"/>
        <w:ind w:left="24"/>
        <w:jc w:val="left"/>
        <w:outlineLvl w:val="1"/>
        <w:rPr>
          <w:rFonts w:hint="eastAsia" w:ascii="宋体" w:hAnsi="宋体" w:eastAsia="宋体" w:cs="宋体"/>
          <w:sz w:val="28"/>
          <w:szCs w:val="28"/>
        </w:rPr>
      </w:pPr>
      <w:r>
        <w:rPr>
          <w:rFonts w:hint="eastAsia" w:ascii="宋体" w:hAnsi="宋体" w:eastAsia="宋体" w:cs="宋体"/>
          <w:spacing w:val="-2"/>
          <w:sz w:val="28"/>
          <w:szCs w:val="28"/>
        </w:rPr>
        <w:t>6.施工设备和临时设施</w:t>
      </w:r>
    </w:p>
    <w:p w14:paraId="3D81BBE5">
      <w:pPr>
        <w:pStyle w:val="17"/>
        <w:spacing w:line="360" w:lineRule="auto"/>
        <w:jc w:val="left"/>
        <w:rPr>
          <w:rFonts w:hint="eastAsia" w:ascii="宋体" w:hAnsi="宋体" w:eastAsia="宋体" w:cs="宋体"/>
        </w:rPr>
      </w:pPr>
    </w:p>
    <w:p w14:paraId="7F4A622B">
      <w:pPr>
        <w:spacing w:before="78"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6.1  承包人提供的施工设备和临时设施</w:t>
      </w:r>
    </w:p>
    <w:p w14:paraId="091C440B">
      <w:pPr>
        <w:spacing w:before="296" w:line="360" w:lineRule="auto"/>
        <w:ind w:left="19" w:firstLine="421"/>
        <w:jc w:val="left"/>
        <w:rPr>
          <w:rFonts w:hint="eastAsia" w:ascii="宋体" w:hAnsi="宋体" w:eastAsia="宋体" w:cs="宋体"/>
          <w:sz w:val="20"/>
          <w:szCs w:val="20"/>
        </w:rPr>
      </w:pPr>
      <w:r>
        <w:rPr>
          <w:rFonts w:hint="eastAsia" w:ascii="宋体" w:hAnsi="宋体" w:eastAsia="宋体" w:cs="宋体"/>
          <w:spacing w:val="9"/>
          <w:sz w:val="20"/>
          <w:szCs w:val="20"/>
        </w:rPr>
        <w:t>6.1.1  承包人应按合同进度计划的要求，及时配置施工设备和修建临时设施。进入施</w:t>
      </w:r>
      <w:r>
        <w:rPr>
          <w:rFonts w:hint="eastAsia" w:ascii="宋体" w:hAnsi="宋体" w:eastAsia="宋体" w:cs="宋体"/>
          <w:spacing w:val="6"/>
          <w:sz w:val="20"/>
          <w:szCs w:val="20"/>
        </w:rPr>
        <w:t>工场地的承包人设备需经监理人核查后才能投入使用。承包人更换合同约定的承包人设备的，</w:t>
      </w:r>
      <w:r>
        <w:rPr>
          <w:rFonts w:hint="eastAsia" w:ascii="宋体" w:hAnsi="宋体" w:eastAsia="宋体" w:cs="宋体"/>
          <w:spacing w:val="7"/>
          <w:sz w:val="20"/>
          <w:szCs w:val="20"/>
        </w:rPr>
        <w:t>应报监理人批准。</w:t>
      </w:r>
    </w:p>
    <w:p w14:paraId="163775E6">
      <w:pPr>
        <w:spacing w:before="159" w:line="360" w:lineRule="auto"/>
        <w:ind w:left="19" w:right="105" w:firstLine="421"/>
        <w:jc w:val="left"/>
        <w:rPr>
          <w:rFonts w:hint="eastAsia" w:ascii="宋体" w:hAnsi="宋体" w:eastAsia="宋体" w:cs="宋体"/>
          <w:sz w:val="20"/>
          <w:szCs w:val="20"/>
        </w:rPr>
      </w:pPr>
      <w:r>
        <w:rPr>
          <w:rFonts w:hint="eastAsia" w:ascii="宋体" w:hAnsi="宋体" w:eastAsia="宋体" w:cs="宋体"/>
          <w:spacing w:val="6"/>
          <w:sz w:val="20"/>
          <w:szCs w:val="20"/>
        </w:rPr>
        <w:t>6.1.2  除合同另有约定外，承包人应承担自行</w:t>
      </w:r>
      <w:r>
        <w:rPr>
          <w:rFonts w:hint="eastAsia" w:ascii="宋体" w:hAnsi="宋体" w:eastAsia="宋体" w:cs="宋体"/>
          <w:spacing w:val="5"/>
          <w:sz w:val="20"/>
          <w:szCs w:val="20"/>
        </w:rPr>
        <w:t>修建临时设施的费用。需要临时占地的，</w:t>
      </w:r>
      <w:r>
        <w:rPr>
          <w:rFonts w:hint="eastAsia" w:ascii="宋体" w:hAnsi="宋体" w:eastAsia="宋体" w:cs="宋体"/>
          <w:spacing w:val="8"/>
          <w:sz w:val="20"/>
          <w:szCs w:val="20"/>
        </w:rPr>
        <w:t>应由发</w:t>
      </w:r>
      <w:r>
        <w:rPr>
          <w:rFonts w:hint="eastAsia" w:ascii="宋体" w:hAnsi="宋体" w:eastAsia="宋体" w:cs="宋体"/>
          <w:spacing w:val="6"/>
          <w:sz w:val="20"/>
          <w:szCs w:val="20"/>
        </w:rPr>
        <w:t>包人办理申请手续并承担相应费用。承包人自行修建临时设施的范围以及所需临时占地见合同条款专用部分。</w:t>
      </w:r>
    </w:p>
    <w:p w14:paraId="41534DEF">
      <w:pPr>
        <w:spacing w:before="78"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6.2  发包人提供的施工设备和临时设施</w:t>
      </w:r>
    </w:p>
    <w:p w14:paraId="01AE3380">
      <w:pPr>
        <w:spacing w:before="297" w:line="360" w:lineRule="auto"/>
        <w:ind w:left="20" w:right="92" w:firstLine="422"/>
        <w:jc w:val="left"/>
        <w:rPr>
          <w:rFonts w:hint="eastAsia" w:ascii="宋体" w:hAnsi="宋体" w:eastAsia="宋体" w:cs="宋体"/>
          <w:spacing w:val="7"/>
          <w:sz w:val="20"/>
          <w:szCs w:val="20"/>
        </w:rPr>
      </w:pPr>
      <w:r>
        <w:rPr>
          <w:rFonts w:hint="eastAsia" w:ascii="宋体" w:hAnsi="宋体" w:eastAsia="宋体" w:cs="宋体"/>
          <w:spacing w:val="7"/>
          <w:sz w:val="20"/>
          <w:szCs w:val="20"/>
        </w:rPr>
        <w:t>发包人提供的施工设备或临时设施，以及相关运行、维护、拆除、清运费用的承担人见合同条款专用部分。</w:t>
      </w:r>
    </w:p>
    <w:p w14:paraId="72E562FD">
      <w:pPr>
        <w:spacing w:before="122"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6.3  要求承包人增加或更换施工设备</w:t>
      </w:r>
    </w:p>
    <w:p w14:paraId="7A0977BD">
      <w:pPr>
        <w:spacing w:before="295" w:line="360" w:lineRule="auto"/>
        <w:ind w:left="19" w:right="92" w:firstLine="420"/>
        <w:jc w:val="left"/>
        <w:rPr>
          <w:rFonts w:hint="eastAsia" w:ascii="宋体" w:hAnsi="宋体" w:eastAsia="宋体" w:cs="宋体"/>
          <w:sz w:val="20"/>
          <w:szCs w:val="20"/>
        </w:rPr>
      </w:pPr>
      <w:r>
        <w:rPr>
          <w:rFonts w:hint="eastAsia" w:ascii="宋体" w:hAnsi="宋体" w:eastAsia="宋体" w:cs="宋体"/>
          <w:spacing w:val="7"/>
          <w:sz w:val="20"/>
          <w:szCs w:val="20"/>
        </w:rPr>
        <w:t>承包人使用的施工设备不能满足合同进度计划和（或）质量要求时，监理人有权要求承</w:t>
      </w:r>
      <w:r>
        <w:rPr>
          <w:rFonts w:hint="eastAsia" w:ascii="宋体" w:hAnsi="宋体" w:eastAsia="宋体" w:cs="宋体"/>
          <w:spacing w:val="8"/>
          <w:sz w:val="20"/>
          <w:szCs w:val="20"/>
        </w:rPr>
        <w:t>包人增加或更换施工设备，承包人应及时增加或更</w:t>
      </w:r>
      <w:r>
        <w:rPr>
          <w:rFonts w:hint="eastAsia" w:ascii="宋体" w:hAnsi="宋体" w:eastAsia="宋体" w:cs="宋体"/>
          <w:spacing w:val="7"/>
          <w:sz w:val="20"/>
          <w:szCs w:val="20"/>
        </w:rPr>
        <w:t>换，由此增加的费用和（或）工期延误由</w:t>
      </w:r>
      <w:r>
        <w:rPr>
          <w:rFonts w:hint="eastAsia" w:ascii="宋体" w:hAnsi="宋体" w:eastAsia="宋体" w:cs="宋体"/>
          <w:spacing w:val="6"/>
          <w:sz w:val="20"/>
          <w:szCs w:val="20"/>
        </w:rPr>
        <w:t>承包人承担。</w:t>
      </w:r>
    </w:p>
    <w:p w14:paraId="14A045F0">
      <w:pPr>
        <w:spacing w:before="121"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6.4  施工设备和临时设施专用于合同工程</w:t>
      </w:r>
    </w:p>
    <w:p w14:paraId="2663700E">
      <w:pPr>
        <w:spacing w:before="298" w:line="360" w:lineRule="auto"/>
        <w:ind w:left="20" w:right="94" w:firstLine="420"/>
        <w:jc w:val="left"/>
        <w:rPr>
          <w:rFonts w:hint="eastAsia" w:ascii="宋体" w:hAnsi="宋体" w:eastAsia="宋体" w:cs="宋体"/>
          <w:sz w:val="20"/>
          <w:szCs w:val="20"/>
        </w:rPr>
      </w:pPr>
      <w:r>
        <w:rPr>
          <w:rFonts w:hint="eastAsia" w:ascii="宋体" w:hAnsi="宋体" w:eastAsia="宋体" w:cs="宋体"/>
          <w:spacing w:val="10"/>
          <w:sz w:val="20"/>
          <w:szCs w:val="20"/>
        </w:rPr>
        <w:t>6.4.1  除为第</w:t>
      </w:r>
      <w:r>
        <w:rPr>
          <w:rFonts w:hint="eastAsia" w:ascii="宋体" w:hAnsi="宋体" w:eastAsia="宋体" w:cs="宋体"/>
          <w:spacing w:val="-20"/>
          <w:sz w:val="20"/>
          <w:szCs w:val="20"/>
        </w:rPr>
        <w:t xml:space="preserve"> </w:t>
      </w:r>
      <w:r>
        <w:rPr>
          <w:rFonts w:hint="eastAsia" w:ascii="宋体" w:hAnsi="宋体" w:eastAsia="宋体" w:cs="宋体"/>
          <w:spacing w:val="10"/>
          <w:sz w:val="20"/>
          <w:szCs w:val="20"/>
        </w:rPr>
        <w:t>4.1.8</w:t>
      </w:r>
      <w:r>
        <w:rPr>
          <w:rFonts w:hint="eastAsia" w:ascii="宋体" w:hAnsi="宋体" w:eastAsia="宋体" w:cs="宋体"/>
          <w:spacing w:val="-32"/>
          <w:sz w:val="20"/>
          <w:szCs w:val="20"/>
        </w:rPr>
        <w:t xml:space="preserve"> </w:t>
      </w:r>
      <w:r>
        <w:rPr>
          <w:rFonts w:hint="eastAsia" w:ascii="宋体" w:hAnsi="宋体" w:eastAsia="宋体" w:cs="宋体"/>
          <w:spacing w:val="10"/>
          <w:sz w:val="20"/>
          <w:szCs w:val="20"/>
        </w:rPr>
        <w:t>项约定的其他独立承包人和监理人指示的他人提供条件外,承包</w:t>
      </w:r>
      <w:r>
        <w:rPr>
          <w:rFonts w:hint="eastAsia" w:ascii="宋体" w:hAnsi="宋体" w:eastAsia="宋体" w:cs="宋体"/>
          <w:spacing w:val="8"/>
          <w:sz w:val="20"/>
          <w:szCs w:val="20"/>
        </w:rPr>
        <w:t>人运入施工场地的所有施工设备以及在施工</w:t>
      </w:r>
      <w:r>
        <w:rPr>
          <w:rFonts w:hint="eastAsia" w:ascii="宋体" w:hAnsi="宋体" w:eastAsia="宋体" w:cs="宋体"/>
          <w:spacing w:val="7"/>
          <w:sz w:val="20"/>
          <w:szCs w:val="20"/>
        </w:rPr>
        <w:t>场地建设的临时设施仅限于用于合同工程。未经</w:t>
      </w:r>
      <w:r>
        <w:rPr>
          <w:rFonts w:hint="eastAsia" w:ascii="宋体" w:hAnsi="宋体" w:eastAsia="宋体" w:cs="宋体"/>
          <w:spacing w:val="9"/>
          <w:sz w:val="20"/>
          <w:szCs w:val="20"/>
        </w:rPr>
        <w:t>监理人同意，不得将上述施工设备和临时设施中的任何部分运出施工场地或挪作他用。</w:t>
      </w:r>
    </w:p>
    <w:p w14:paraId="09F548DE">
      <w:pPr>
        <w:spacing w:before="161" w:line="360" w:lineRule="auto"/>
        <w:ind w:left="441"/>
        <w:jc w:val="left"/>
        <w:rPr>
          <w:rFonts w:hint="eastAsia" w:ascii="宋体" w:hAnsi="宋体" w:eastAsia="宋体" w:cs="宋体"/>
          <w:sz w:val="20"/>
          <w:szCs w:val="20"/>
        </w:rPr>
      </w:pPr>
      <w:r>
        <w:rPr>
          <w:rFonts w:hint="eastAsia" w:ascii="宋体" w:hAnsi="宋体" w:eastAsia="宋体" w:cs="宋体"/>
          <w:spacing w:val="8"/>
          <w:sz w:val="20"/>
          <w:szCs w:val="20"/>
        </w:rPr>
        <w:t>6.4.2  经监理人同意，承包人可根据合同进度计划撤走闲置的施工设备。</w:t>
      </w:r>
    </w:p>
    <w:p w14:paraId="678C7EE6">
      <w:pPr>
        <w:spacing w:before="293" w:line="360" w:lineRule="auto"/>
        <w:ind w:left="29"/>
        <w:jc w:val="left"/>
        <w:outlineLvl w:val="1"/>
        <w:rPr>
          <w:rFonts w:hint="eastAsia" w:ascii="宋体" w:hAnsi="宋体" w:eastAsia="宋体" w:cs="宋体"/>
          <w:sz w:val="28"/>
          <w:szCs w:val="28"/>
        </w:rPr>
      </w:pPr>
      <w:r>
        <w:rPr>
          <w:rFonts w:hint="eastAsia" w:ascii="宋体" w:hAnsi="宋体" w:eastAsia="宋体" w:cs="宋体"/>
          <w:spacing w:val="-4"/>
          <w:sz w:val="28"/>
          <w:szCs w:val="28"/>
        </w:rPr>
        <w:t>7.交通运输</w:t>
      </w:r>
    </w:p>
    <w:p w14:paraId="423856BE">
      <w:pPr>
        <w:pStyle w:val="17"/>
        <w:spacing w:line="360" w:lineRule="auto"/>
        <w:jc w:val="left"/>
        <w:rPr>
          <w:rFonts w:hint="eastAsia" w:ascii="宋体" w:hAnsi="宋体" w:eastAsia="宋体" w:cs="宋体"/>
        </w:rPr>
      </w:pPr>
    </w:p>
    <w:p w14:paraId="0DEF27B5">
      <w:pPr>
        <w:spacing w:before="79" w:line="360" w:lineRule="auto"/>
        <w:ind w:left="26"/>
        <w:jc w:val="left"/>
        <w:outlineLvl w:val="2"/>
        <w:rPr>
          <w:rFonts w:hint="eastAsia" w:ascii="宋体" w:hAnsi="宋体" w:eastAsia="宋体" w:cs="宋体"/>
          <w:sz w:val="24"/>
          <w:szCs w:val="24"/>
        </w:rPr>
      </w:pPr>
      <w:r>
        <w:rPr>
          <w:rFonts w:hint="eastAsia" w:ascii="宋体" w:hAnsi="宋体" w:eastAsia="宋体" w:cs="宋体"/>
          <w:spacing w:val="-2"/>
          <w:sz w:val="24"/>
          <w:szCs w:val="24"/>
        </w:rPr>
        <w:t>7.1  道路通行权和场外设施</w:t>
      </w:r>
    </w:p>
    <w:p w14:paraId="7139579B">
      <w:pPr>
        <w:spacing w:before="296" w:line="360" w:lineRule="auto"/>
        <w:ind w:left="19" w:right="92" w:firstLine="433"/>
        <w:jc w:val="left"/>
        <w:rPr>
          <w:rFonts w:hint="eastAsia" w:ascii="宋体" w:hAnsi="宋体" w:eastAsia="宋体" w:cs="宋体"/>
          <w:sz w:val="20"/>
          <w:szCs w:val="20"/>
        </w:rPr>
      </w:pPr>
      <w:r>
        <w:rPr>
          <w:rFonts w:hint="eastAsia" w:ascii="宋体" w:hAnsi="宋体" w:eastAsia="宋体" w:cs="宋体"/>
          <w:spacing w:val="7"/>
          <w:sz w:val="20"/>
          <w:szCs w:val="20"/>
        </w:rPr>
        <w:t>除合同条款专用部分另有约定外，发包人应根据合同工程的施工需要，负责办理取得出</w:t>
      </w:r>
      <w:r>
        <w:rPr>
          <w:rFonts w:hint="eastAsia" w:ascii="宋体" w:hAnsi="宋体" w:eastAsia="宋体" w:cs="宋体"/>
          <w:spacing w:val="8"/>
          <w:sz w:val="20"/>
          <w:szCs w:val="20"/>
        </w:rPr>
        <w:t>入施工场地的专用和临时道路的通行权，以及取得为</w:t>
      </w:r>
      <w:r>
        <w:rPr>
          <w:rFonts w:hint="eastAsia" w:ascii="宋体" w:hAnsi="宋体" w:eastAsia="宋体" w:cs="宋体"/>
          <w:spacing w:val="7"/>
          <w:sz w:val="20"/>
          <w:szCs w:val="20"/>
        </w:rPr>
        <w:t>工程建设所需修建场外设施的权利，并</w:t>
      </w:r>
      <w:r>
        <w:rPr>
          <w:rFonts w:hint="eastAsia" w:ascii="宋体" w:hAnsi="宋体" w:eastAsia="宋体" w:cs="宋体"/>
          <w:spacing w:val="9"/>
          <w:sz w:val="20"/>
          <w:szCs w:val="20"/>
        </w:rPr>
        <w:t>承担有关费用。承包人应协助发包人办理上述手续。</w:t>
      </w:r>
    </w:p>
    <w:p w14:paraId="2ADE42C4">
      <w:pPr>
        <w:spacing w:before="120" w:line="360" w:lineRule="auto"/>
        <w:ind w:left="26"/>
        <w:jc w:val="left"/>
        <w:outlineLvl w:val="2"/>
        <w:rPr>
          <w:rFonts w:hint="eastAsia" w:ascii="宋体" w:hAnsi="宋体" w:eastAsia="宋体" w:cs="宋体"/>
          <w:sz w:val="24"/>
          <w:szCs w:val="24"/>
        </w:rPr>
      </w:pPr>
      <w:r>
        <w:rPr>
          <w:rFonts w:hint="eastAsia" w:ascii="宋体" w:hAnsi="宋体" w:eastAsia="宋体" w:cs="宋体"/>
          <w:spacing w:val="-2"/>
          <w:sz w:val="24"/>
          <w:szCs w:val="24"/>
        </w:rPr>
        <w:t>7.2  场内施工道路</w:t>
      </w:r>
    </w:p>
    <w:p w14:paraId="2E2BAEB6">
      <w:pPr>
        <w:spacing w:before="299" w:line="360" w:lineRule="auto"/>
        <w:ind w:left="19" w:right="92" w:firstLine="425"/>
        <w:jc w:val="left"/>
        <w:rPr>
          <w:rFonts w:hint="eastAsia" w:ascii="宋体" w:hAnsi="宋体" w:eastAsia="宋体" w:cs="宋体"/>
          <w:sz w:val="20"/>
          <w:szCs w:val="20"/>
        </w:rPr>
      </w:pPr>
      <w:r>
        <w:rPr>
          <w:rFonts w:hint="eastAsia" w:ascii="宋体" w:hAnsi="宋体" w:eastAsia="宋体" w:cs="宋体"/>
          <w:spacing w:val="9"/>
          <w:sz w:val="20"/>
          <w:szCs w:val="20"/>
        </w:rPr>
        <w:t>7.2.1  除合同条款专用部分另有约定外，承包人应负责修建、维修、养护和管理施工</w:t>
      </w:r>
      <w:r>
        <w:rPr>
          <w:rFonts w:hint="eastAsia" w:ascii="宋体" w:hAnsi="宋体" w:eastAsia="宋体" w:cs="宋体"/>
          <w:spacing w:val="8"/>
          <w:sz w:val="20"/>
          <w:szCs w:val="20"/>
        </w:rPr>
        <w:t>所需的临时道路和交通设施，包括维修、养护和管</w:t>
      </w:r>
      <w:r>
        <w:rPr>
          <w:rFonts w:hint="eastAsia" w:ascii="宋体" w:hAnsi="宋体" w:eastAsia="宋体" w:cs="宋体"/>
          <w:spacing w:val="7"/>
          <w:sz w:val="20"/>
          <w:szCs w:val="20"/>
        </w:rPr>
        <w:t>理发包人提供的道路和交通设施，并承担</w:t>
      </w:r>
      <w:r>
        <w:rPr>
          <w:rFonts w:hint="eastAsia" w:ascii="宋体" w:hAnsi="宋体" w:eastAsia="宋体" w:cs="宋体"/>
          <w:spacing w:val="5"/>
          <w:sz w:val="20"/>
          <w:szCs w:val="20"/>
        </w:rPr>
        <w:t>相应费用。</w:t>
      </w:r>
    </w:p>
    <w:p w14:paraId="56FAA30D">
      <w:pPr>
        <w:spacing w:before="159" w:line="360" w:lineRule="auto"/>
        <w:ind w:left="19" w:right="94" w:firstLine="425"/>
        <w:jc w:val="left"/>
        <w:rPr>
          <w:rFonts w:hint="eastAsia" w:ascii="宋体" w:hAnsi="宋体" w:eastAsia="宋体" w:cs="宋体"/>
          <w:sz w:val="20"/>
          <w:szCs w:val="20"/>
        </w:rPr>
      </w:pPr>
      <w:r>
        <w:rPr>
          <w:rFonts w:hint="eastAsia" w:ascii="宋体" w:hAnsi="宋体" w:eastAsia="宋体" w:cs="宋体"/>
          <w:spacing w:val="9"/>
          <w:sz w:val="20"/>
          <w:szCs w:val="20"/>
        </w:rPr>
        <w:t>7.2.2  发包人和监理人有权无偿使用承包人修建的临时道路和交通设施，不需要交纳</w:t>
      </w:r>
      <w:r>
        <w:rPr>
          <w:rFonts w:hint="eastAsia" w:ascii="宋体" w:hAnsi="宋体" w:eastAsia="宋体" w:cs="宋体"/>
          <w:spacing w:val="6"/>
          <w:sz w:val="20"/>
          <w:szCs w:val="20"/>
        </w:rPr>
        <w:t>任何费用。</w:t>
      </w:r>
    </w:p>
    <w:p w14:paraId="48613644">
      <w:pPr>
        <w:spacing w:before="285" w:line="360" w:lineRule="auto"/>
        <w:ind w:left="26"/>
        <w:jc w:val="left"/>
        <w:outlineLvl w:val="2"/>
        <w:rPr>
          <w:rFonts w:hint="eastAsia" w:ascii="宋体" w:hAnsi="宋体" w:eastAsia="宋体" w:cs="宋体"/>
          <w:sz w:val="24"/>
          <w:szCs w:val="24"/>
        </w:rPr>
      </w:pPr>
      <w:r>
        <w:rPr>
          <w:rFonts w:hint="eastAsia" w:ascii="宋体" w:hAnsi="宋体" w:eastAsia="宋体" w:cs="宋体"/>
          <w:spacing w:val="-2"/>
          <w:sz w:val="24"/>
          <w:szCs w:val="24"/>
        </w:rPr>
        <w:t>7.3  场外交通</w:t>
      </w:r>
    </w:p>
    <w:p w14:paraId="42E7C226">
      <w:pPr>
        <w:spacing w:before="295" w:line="360" w:lineRule="auto"/>
        <w:ind w:left="19" w:right="94" w:firstLine="425"/>
        <w:jc w:val="left"/>
        <w:rPr>
          <w:rFonts w:hint="eastAsia" w:ascii="宋体" w:hAnsi="宋体" w:eastAsia="宋体" w:cs="宋体"/>
          <w:sz w:val="20"/>
          <w:szCs w:val="20"/>
        </w:rPr>
      </w:pPr>
      <w:r>
        <w:rPr>
          <w:rFonts w:hint="eastAsia" w:ascii="宋体" w:hAnsi="宋体" w:eastAsia="宋体" w:cs="宋体"/>
          <w:spacing w:val="9"/>
          <w:sz w:val="20"/>
          <w:szCs w:val="20"/>
        </w:rPr>
        <w:t>7.3.1  承包人车辆外出行驶所需的场外公共道路的通行费、养路费和税款等由承包人</w:t>
      </w:r>
      <w:r>
        <w:rPr>
          <w:rFonts w:hint="eastAsia" w:ascii="宋体" w:hAnsi="宋体" w:eastAsia="宋体" w:cs="宋体"/>
          <w:spacing w:val="3"/>
          <w:sz w:val="20"/>
          <w:szCs w:val="20"/>
        </w:rPr>
        <w:t>承担。</w:t>
      </w:r>
    </w:p>
    <w:p w14:paraId="09E2DCD8">
      <w:pPr>
        <w:spacing w:before="295" w:line="360" w:lineRule="auto"/>
        <w:ind w:left="19" w:right="94" w:firstLine="425"/>
        <w:jc w:val="left"/>
        <w:rPr>
          <w:rFonts w:hint="eastAsia" w:ascii="宋体" w:hAnsi="宋体" w:eastAsia="宋体" w:cs="宋体"/>
          <w:spacing w:val="9"/>
          <w:sz w:val="20"/>
          <w:szCs w:val="20"/>
        </w:rPr>
      </w:pPr>
      <w:r>
        <w:rPr>
          <w:rFonts w:hint="eastAsia" w:ascii="宋体" w:hAnsi="宋体" w:eastAsia="宋体" w:cs="宋体"/>
          <w:spacing w:val="9"/>
          <w:sz w:val="20"/>
          <w:szCs w:val="20"/>
        </w:rPr>
        <w:t>7.3.2  承包人应遵守有关交通法规，严格按照道路和桥梁的限制荷重安全行驶，并服从交通管理部门的检查和监督。</w:t>
      </w:r>
    </w:p>
    <w:p w14:paraId="117558EB">
      <w:pPr>
        <w:spacing w:before="78" w:line="360" w:lineRule="auto"/>
        <w:ind w:left="26"/>
        <w:jc w:val="left"/>
        <w:outlineLvl w:val="2"/>
        <w:rPr>
          <w:rFonts w:hint="eastAsia" w:ascii="宋体" w:hAnsi="宋体" w:eastAsia="宋体" w:cs="宋体"/>
          <w:sz w:val="24"/>
          <w:szCs w:val="24"/>
        </w:rPr>
      </w:pPr>
      <w:r>
        <w:rPr>
          <w:rFonts w:hint="eastAsia" w:ascii="宋体" w:hAnsi="宋体" w:eastAsia="宋体" w:cs="宋体"/>
          <w:spacing w:val="-2"/>
          <w:sz w:val="24"/>
          <w:szCs w:val="24"/>
        </w:rPr>
        <w:t>7.4  超大件和超重件的运输</w:t>
      </w:r>
    </w:p>
    <w:p w14:paraId="5CF0B7DD">
      <w:pPr>
        <w:spacing w:before="298" w:line="360" w:lineRule="auto"/>
        <w:ind w:left="23" w:firstLine="441"/>
        <w:jc w:val="left"/>
        <w:rPr>
          <w:rFonts w:hint="eastAsia" w:ascii="宋体" w:hAnsi="宋体" w:eastAsia="宋体" w:cs="宋体"/>
          <w:sz w:val="20"/>
          <w:szCs w:val="20"/>
        </w:rPr>
      </w:pPr>
      <w:r>
        <w:rPr>
          <w:rFonts w:hint="eastAsia" w:ascii="宋体" w:hAnsi="宋体" w:eastAsia="宋体" w:cs="宋体"/>
          <w:spacing w:val="9"/>
          <w:sz w:val="20"/>
          <w:szCs w:val="20"/>
        </w:rPr>
        <w:t>由承包人负责运输的超大件或超重件，应由承包人负责向交通管理部门办理申请手续，</w:t>
      </w:r>
      <w:r>
        <w:rPr>
          <w:rFonts w:hint="eastAsia" w:ascii="宋体" w:hAnsi="宋体" w:eastAsia="宋体" w:cs="宋体"/>
          <w:spacing w:val="6"/>
          <w:sz w:val="20"/>
          <w:szCs w:val="20"/>
        </w:rPr>
        <w:t>发包人给予协助。运输超大件或超重件所需的道路和桥梁临时加固改造费用和其他有关费用，</w:t>
      </w:r>
      <w:r>
        <w:rPr>
          <w:rFonts w:hint="eastAsia" w:ascii="宋体" w:hAnsi="宋体" w:eastAsia="宋体" w:cs="宋体"/>
          <w:spacing w:val="9"/>
          <w:sz w:val="20"/>
          <w:szCs w:val="20"/>
        </w:rPr>
        <w:t>由承包人承担，但合同条款专用部分另有约定除</w:t>
      </w:r>
      <w:r>
        <w:rPr>
          <w:rFonts w:hint="eastAsia" w:ascii="宋体" w:hAnsi="宋体" w:eastAsia="宋体" w:cs="宋体"/>
          <w:spacing w:val="8"/>
          <w:sz w:val="20"/>
          <w:szCs w:val="20"/>
        </w:rPr>
        <w:t>外。</w:t>
      </w:r>
    </w:p>
    <w:p w14:paraId="6304C78B">
      <w:pPr>
        <w:spacing w:before="121" w:line="360" w:lineRule="auto"/>
        <w:ind w:left="26"/>
        <w:jc w:val="left"/>
        <w:outlineLvl w:val="2"/>
        <w:rPr>
          <w:rFonts w:hint="eastAsia" w:ascii="宋体" w:hAnsi="宋体" w:eastAsia="宋体" w:cs="宋体"/>
          <w:sz w:val="24"/>
          <w:szCs w:val="24"/>
        </w:rPr>
      </w:pPr>
      <w:r>
        <w:rPr>
          <w:rFonts w:hint="eastAsia" w:ascii="宋体" w:hAnsi="宋体" w:eastAsia="宋体" w:cs="宋体"/>
          <w:spacing w:val="-2"/>
          <w:sz w:val="24"/>
          <w:szCs w:val="24"/>
        </w:rPr>
        <w:t>7.5  道路和桥梁的损坏责任</w:t>
      </w:r>
    </w:p>
    <w:p w14:paraId="13118315">
      <w:pPr>
        <w:spacing w:before="297" w:line="360" w:lineRule="auto"/>
        <w:ind w:left="31" w:right="159" w:firstLine="424"/>
        <w:jc w:val="left"/>
        <w:rPr>
          <w:rFonts w:hint="eastAsia" w:ascii="宋体" w:hAnsi="宋体" w:eastAsia="宋体" w:cs="宋体"/>
          <w:sz w:val="20"/>
          <w:szCs w:val="20"/>
        </w:rPr>
      </w:pPr>
      <w:r>
        <w:rPr>
          <w:rFonts w:hint="eastAsia" w:ascii="宋体" w:hAnsi="宋体" w:eastAsia="宋体" w:cs="宋体"/>
          <w:spacing w:val="7"/>
          <w:sz w:val="20"/>
          <w:szCs w:val="20"/>
        </w:rPr>
        <w:t>因承包人运输造成施工场地内外公共道路和桥梁损坏的，由承包人承担修复损坏的全部费用和可能引起的赔偿。</w:t>
      </w:r>
    </w:p>
    <w:p w14:paraId="6FE0DDAA">
      <w:pPr>
        <w:spacing w:before="122" w:line="360" w:lineRule="auto"/>
        <w:ind w:left="26"/>
        <w:jc w:val="left"/>
        <w:outlineLvl w:val="2"/>
        <w:rPr>
          <w:rFonts w:hint="eastAsia" w:ascii="宋体" w:hAnsi="宋体" w:eastAsia="宋体" w:cs="宋体"/>
          <w:sz w:val="24"/>
          <w:szCs w:val="24"/>
        </w:rPr>
      </w:pPr>
      <w:r>
        <w:rPr>
          <w:rFonts w:hint="eastAsia" w:ascii="宋体" w:hAnsi="宋体" w:eastAsia="宋体" w:cs="宋体"/>
          <w:spacing w:val="-2"/>
          <w:sz w:val="24"/>
          <w:szCs w:val="24"/>
        </w:rPr>
        <w:t>7.6  水路和航空运输</w:t>
      </w:r>
    </w:p>
    <w:p w14:paraId="6554E9D0">
      <w:pPr>
        <w:spacing w:before="298" w:line="360" w:lineRule="auto"/>
        <w:ind w:left="19" w:right="107" w:firstLine="420"/>
        <w:jc w:val="left"/>
        <w:rPr>
          <w:rFonts w:hint="eastAsia" w:ascii="宋体" w:hAnsi="宋体" w:eastAsia="宋体" w:cs="宋体"/>
          <w:sz w:val="20"/>
          <w:szCs w:val="20"/>
        </w:rPr>
      </w:pPr>
      <w:r>
        <w:rPr>
          <w:rFonts w:hint="eastAsia" w:ascii="宋体" w:hAnsi="宋体" w:eastAsia="宋体" w:cs="宋体"/>
          <w:spacing w:val="8"/>
          <w:sz w:val="20"/>
          <w:szCs w:val="20"/>
        </w:rPr>
        <w:t>本条上述各款的内容适用于水路运输和航空运输，其中“道路</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”一词的涵义包括河</w:t>
      </w:r>
      <w:r>
        <w:rPr>
          <w:rFonts w:hint="eastAsia" w:ascii="宋体" w:hAnsi="宋体" w:eastAsia="宋体" w:cs="宋体"/>
          <w:spacing w:val="7"/>
          <w:sz w:val="20"/>
          <w:szCs w:val="20"/>
        </w:rPr>
        <w:t>道、航线、船闸、机场、码头、堤防以及水路或航空运输中其他相似结</w:t>
      </w:r>
      <w:r>
        <w:rPr>
          <w:rFonts w:hint="eastAsia" w:ascii="宋体" w:hAnsi="宋体" w:eastAsia="宋体" w:cs="宋体"/>
          <w:spacing w:val="6"/>
          <w:sz w:val="20"/>
          <w:szCs w:val="20"/>
        </w:rPr>
        <w:t>构物；“车辆</w:t>
      </w:r>
      <w:r>
        <w:rPr>
          <w:rFonts w:hint="eastAsia" w:ascii="宋体" w:hAnsi="宋体" w:eastAsia="宋体" w:cs="宋体"/>
          <w:spacing w:val="-70"/>
          <w:sz w:val="20"/>
          <w:szCs w:val="20"/>
        </w:rPr>
        <w:t xml:space="preserve"> </w:t>
      </w:r>
      <w:r>
        <w:rPr>
          <w:rFonts w:hint="eastAsia" w:ascii="宋体" w:hAnsi="宋体" w:eastAsia="宋体" w:cs="宋体"/>
          <w:spacing w:val="6"/>
          <w:sz w:val="20"/>
          <w:szCs w:val="20"/>
        </w:rPr>
        <w:t>”一词的涵</w:t>
      </w:r>
      <w:r>
        <w:rPr>
          <w:rFonts w:hint="eastAsia" w:ascii="宋体" w:hAnsi="宋体" w:eastAsia="宋体" w:cs="宋体"/>
          <w:spacing w:val="8"/>
          <w:sz w:val="20"/>
          <w:szCs w:val="20"/>
        </w:rPr>
        <w:t>义包括船舶和飞机等。</w:t>
      </w:r>
    </w:p>
    <w:p w14:paraId="2E721445">
      <w:pPr>
        <w:spacing w:before="129" w:line="360" w:lineRule="auto"/>
        <w:ind w:left="23"/>
        <w:jc w:val="left"/>
        <w:outlineLvl w:val="1"/>
        <w:rPr>
          <w:rFonts w:hint="eastAsia" w:ascii="宋体" w:hAnsi="宋体" w:eastAsia="宋体" w:cs="宋体"/>
          <w:sz w:val="28"/>
          <w:szCs w:val="28"/>
        </w:rPr>
      </w:pPr>
      <w:r>
        <w:rPr>
          <w:rFonts w:hint="eastAsia" w:ascii="宋体" w:hAnsi="宋体" w:eastAsia="宋体" w:cs="宋体"/>
          <w:spacing w:val="-3"/>
          <w:sz w:val="28"/>
          <w:szCs w:val="28"/>
        </w:rPr>
        <w:t>8.测量放线</w:t>
      </w:r>
    </w:p>
    <w:p w14:paraId="78CFA649">
      <w:pPr>
        <w:pStyle w:val="17"/>
        <w:spacing w:line="360" w:lineRule="auto"/>
        <w:jc w:val="left"/>
        <w:rPr>
          <w:rFonts w:hint="eastAsia" w:ascii="宋体" w:hAnsi="宋体" w:eastAsia="宋体" w:cs="宋体"/>
        </w:rPr>
      </w:pPr>
    </w:p>
    <w:p w14:paraId="7B958D87">
      <w:pPr>
        <w:spacing w:before="78" w:line="360" w:lineRule="auto"/>
        <w:ind w:left="22"/>
        <w:jc w:val="left"/>
        <w:outlineLvl w:val="2"/>
        <w:rPr>
          <w:rFonts w:hint="eastAsia" w:ascii="宋体" w:hAnsi="宋体" w:eastAsia="宋体" w:cs="宋体"/>
          <w:sz w:val="24"/>
          <w:szCs w:val="24"/>
        </w:rPr>
      </w:pPr>
      <w:r>
        <w:rPr>
          <w:rFonts w:hint="eastAsia" w:ascii="宋体" w:hAnsi="宋体" w:eastAsia="宋体" w:cs="宋体"/>
          <w:spacing w:val="-2"/>
          <w:sz w:val="24"/>
          <w:szCs w:val="24"/>
        </w:rPr>
        <w:t>8.1  施工控制网</w:t>
      </w:r>
    </w:p>
    <w:p w14:paraId="44505966">
      <w:pPr>
        <w:spacing w:before="296" w:line="360" w:lineRule="auto"/>
        <w:ind w:left="20" w:right="159" w:firstLine="420"/>
        <w:jc w:val="left"/>
        <w:rPr>
          <w:rFonts w:hint="eastAsia" w:ascii="宋体" w:hAnsi="宋体" w:eastAsia="宋体" w:cs="宋体"/>
          <w:spacing w:val="9"/>
          <w:sz w:val="20"/>
          <w:szCs w:val="20"/>
        </w:rPr>
      </w:pPr>
      <w:r>
        <w:rPr>
          <w:rFonts w:hint="eastAsia" w:ascii="宋体" w:hAnsi="宋体" w:eastAsia="宋体" w:cs="宋体"/>
          <w:spacing w:val="9"/>
          <w:sz w:val="20"/>
          <w:szCs w:val="20"/>
        </w:rPr>
        <w:t>8.1.1  发包人应在合同约定的期限内，通过监理人向承包人提供测量基准点、基准线和水准点及其书面资料。向承包人提供测量基准点、基准线和水准点及其书面资料的期限见合同条款专用部分。</w:t>
      </w:r>
    </w:p>
    <w:p w14:paraId="467D9AC9">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2"/>
          <w:sz w:val="20"/>
          <w:szCs w:val="20"/>
        </w:rPr>
        <w:t>8.1.2  承包人应根据国家测绘基准、测绘系</w:t>
      </w:r>
      <w:r>
        <w:rPr>
          <w:rFonts w:hint="eastAsia" w:ascii="宋体" w:hAnsi="宋体" w:eastAsia="宋体" w:cs="宋体"/>
          <w:spacing w:val="1"/>
          <w:sz w:val="20"/>
          <w:szCs w:val="20"/>
        </w:rPr>
        <w:t>统和工程测量技术规范，按上述基准点（线）</w:t>
      </w:r>
      <w:r>
        <w:rPr>
          <w:rFonts w:hint="eastAsia" w:ascii="宋体" w:hAnsi="宋体" w:eastAsia="宋体" w:cs="宋体"/>
          <w:spacing w:val="7"/>
          <w:sz w:val="20"/>
          <w:szCs w:val="20"/>
        </w:rPr>
        <w:t>以及合同工程精度要求，测设施工控制网，承包人测设施工控制网的其他要求见合同条款专用部分。并将施工控制网资料在约定期限内报送监理人审批，其报送监理人审批的期限</w:t>
      </w:r>
      <w:r>
        <w:rPr>
          <w:rFonts w:hint="eastAsia" w:ascii="宋体" w:hAnsi="宋体" w:eastAsia="宋体" w:cs="宋体"/>
          <w:spacing w:val="6"/>
          <w:sz w:val="20"/>
          <w:szCs w:val="20"/>
        </w:rPr>
        <w:t>见合同条款专用部分。</w:t>
      </w:r>
    </w:p>
    <w:p w14:paraId="767125A7">
      <w:pPr>
        <w:spacing w:before="158" w:line="360" w:lineRule="auto"/>
        <w:ind w:left="19" w:right="161" w:firstLine="420"/>
        <w:jc w:val="left"/>
        <w:rPr>
          <w:rFonts w:hint="eastAsia" w:ascii="宋体" w:hAnsi="宋体" w:eastAsia="宋体" w:cs="宋体"/>
          <w:sz w:val="20"/>
          <w:szCs w:val="20"/>
        </w:rPr>
      </w:pPr>
      <w:r>
        <w:rPr>
          <w:rFonts w:hint="eastAsia" w:ascii="宋体" w:hAnsi="宋体" w:eastAsia="宋体" w:cs="宋体"/>
          <w:spacing w:val="9"/>
          <w:sz w:val="20"/>
          <w:szCs w:val="20"/>
        </w:rPr>
        <w:t>8.1.3  承包人应负责管理施工控制网点。施工控制网点丢失或损坏的，承包人应及时修复，并承担施工控制网点的管理与修复费用。工程竣工后将施工控制网点移交发包人。</w:t>
      </w:r>
    </w:p>
    <w:p w14:paraId="412DCBC4">
      <w:pPr>
        <w:spacing w:before="284" w:line="360" w:lineRule="auto"/>
        <w:ind w:left="22"/>
        <w:jc w:val="left"/>
        <w:outlineLvl w:val="2"/>
        <w:rPr>
          <w:rFonts w:hint="eastAsia" w:ascii="宋体" w:hAnsi="宋体" w:eastAsia="宋体" w:cs="宋体"/>
          <w:sz w:val="24"/>
          <w:szCs w:val="24"/>
        </w:rPr>
      </w:pPr>
      <w:r>
        <w:rPr>
          <w:rFonts w:hint="eastAsia" w:ascii="宋体" w:hAnsi="宋体" w:eastAsia="宋体" w:cs="宋体"/>
          <w:spacing w:val="-2"/>
          <w:sz w:val="24"/>
          <w:szCs w:val="24"/>
        </w:rPr>
        <w:t>8.2  施工测量</w:t>
      </w:r>
    </w:p>
    <w:p w14:paraId="3C898919">
      <w:pPr>
        <w:spacing w:before="293" w:line="360" w:lineRule="auto"/>
        <w:ind w:left="23" w:right="90" w:firstLine="417"/>
        <w:jc w:val="left"/>
        <w:rPr>
          <w:rFonts w:hint="eastAsia" w:ascii="宋体" w:hAnsi="宋体" w:eastAsia="宋体" w:cs="宋体"/>
          <w:sz w:val="20"/>
          <w:szCs w:val="20"/>
        </w:rPr>
      </w:pPr>
      <w:r>
        <w:rPr>
          <w:rFonts w:hint="eastAsia" w:ascii="宋体" w:hAnsi="宋体" w:eastAsia="宋体" w:cs="宋体"/>
          <w:spacing w:val="6"/>
          <w:sz w:val="20"/>
          <w:szCs w:val="20"/>
        </w:rPr>
        <w:t>8.2.1  承包人应负责施工过程中的全部施工测量放线工作，并配置合格的人员、</w:t>
      </w:r>
      <w:r>
        <w:rPr>
          <w:rFonts w:hint="eastAsia" w:ascii="宋体" w:hAnsi="宋体" w:eastAsia="宋体" w:cs="宋体"/>
          <w:spacing w:val="5"/>
          <w:sz w:val="20"/>
          <w:szCs w:val="20"/>
        </w:rPr>
        <w:t>仪器、</w:t>
      </w:r>
      <w:r>
        <w:rPr>
          <w:rFonts w:hint="eastAsia" w:ascii="宋体" w:hAnsi="宋体" w:eastAsia="宋体" w:cs="宋体"/>
          <w:spacing w:val="7"/>
          <w:sz w:val="20"/>
          <w:szCs w:val="20"/>
        </w:rPr>
        <w:t>设备和其他物品。</w:t>
      </w:r>
    </w:p>
    <w:p w14:paraId="5B403614">
      <w:pPr>
        <w:spacing w:before="159" w:line="360" w:lineRule="auto"/>
        <w:ind w:left="36" w:right="161" w:firstLine="403"/>
        <w:jc w:val="left"/>
        <w:rPr>
          <w:rFonts w:hint="eastAsia" w:ascii="宋体" w:hAnsi="宋体" w:eastAsia="宋体" w:cs="宋体"/>
          <w:sz w:val="20"/>
          <w:szCs w:val="20"/>
        </w:rPr>
      </w:pPr>
      <w:r>
        <w:rPr>
          <w:rFonts w:hint="eastAsia" w:ascii="宋体" w:hAnsi="宋体" w:eastAsia="宋体" w:cs="宋体"/>
          <w:spacing w:val="9"/>
          <w:sz w:val="20"/>
          <w:szCs w:val="20"/>
        </w:rPr>
        <w:t>8.2.2  监理人可以指示承包人进行抽样复测，当复测中发现错误或出现超过合同约定的误差时，承包人应按监理人指示进行修正或补测，并承担相应的复</w:t>
      </w:r>
      <w:r>
        <w:rPr>
          <w:rFonts w:hint="eastAsia" w:ascii="宋体" w:hAnsi="宋体" w:eastAsia="宋体" w:cs="宋体"/>
          <w:spacing w:val="8"/>
          <w:sz w:val="20"/>
          <w:szCs w:val="20"/>
        </w:rPr>
        <w:t>测费用。</w:t>
      </w:r>
    </w:p>
    <w:p w14:paraId="04A4E644">
      <w:pPr>
        <w:spacing w:before="285"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8.3  基准资料错误的责任</w:t>
      </w:r>
    </w:p>
    <w:p w14:paraId="48259B36">
      <w:pPr>
        <w:spacing w:before="159" w:line="360" w:lineRule="auto"/>
        <w:ind w:left="36" w:right="161" w:firstLine="403"/>
        <w:jc w:val="left"/>
        <w:rPr>
          <w:rFonts w:hint="eastAsia" w:ascii="宋体" w:hAnsi="宋体" w:eastAsia="宋体" w:cs="宋体"/>
          <w:spacing w:val="9"/>
          <w:sz w:val="20"/>
          <w:szCs w:val="20"/>
        </w:rPr>
      </w:pPr>
      <w:r>
        <w:rPr>
          <w:rFonts w:hint="eastAsia" w:ascii="宋体" w:hAnsi="宋体" w:eastAsia="宋体" w:cs="宋体"/>
          <w:spacing w:val="9"/>
          <w:sz w:val="20"/>
          <w:szCs w:val="20"/>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0396184">
      <w:pPr>
        <w:spacing w:before="121"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8.4  监理人使用施工控制网</w:t>
      </w:r>
    </w:p>
    <w:p w14:paraId="3FC90B2C">
      <w:pPr>
        <w:spacing w:before="294" w:line="360" w:lineRule="auto"/>
        <w:ind w:left="440"/>
        <w:jc w:val="left"/>
        <w:rPr>
          <w:rFonts w:hint="eastAsia" w:ascii="宋体" w:hAnsi="宋体" w:eastAsia="宋体" w:cs="宋体"/>
          <w:sz w:val="20"/>
          <w:szCs w:val="20"/>
        </w:rPr>
      </w:pPr>
      <w:r>
        <w:rPr>
          <w:rFonts w:hint="eastAsia" w:ascii="宋体" w:hAnsi="宋体" w:eastAsia="宋体" w:cs="宋体"/>
          <w:spacing w:val="9"/>
          <w:sz w:val="20"/>
          <w:szCs w:val="20"/>
        </w:rPr>
        <w:t>监理人需要使用施工控制网的，承包人应提供必要的协助，发包人不再为此支付费用。</w:t>
      </w:r>
    </w:p>
    <w:p w14:paraId="1A711DC5">
      <w:pPr>
        <w:spacing w:before="292" w:line="360" w:lineRule="auto"/>
        <w:ind w:left="23"/>
        <w:jc w:val="left"/>
        <w:outlineLvl w:val="1"/>
        <w:rPr>
          <w:rFonts w:hint="eastAsia" w:ascii="宋体" w:hAnsi="宋体" w:eastAsia="宋体" w:cs="宋体"/>
          <w:sz w:val="28"/>
          <w:szCs w:val="28"/>
        </w:rPr>
      </w:pPr>
      <w:r>
        <w:rPr>
          <w:rFonts w:hint="eastAsia" w:ascii="宋体" w:hAnsi="宋体" w:eastAsia="宋体" w:cs="宋体"/>
          <w:spacing w:val="-1"/>
          <w:sz w:val="28"/>
          <w:szCs w:val="28"/>
        </w:rPr>
        <w:t>9.施工安全、治安保卫和环境保护</w:t>
      </w:r>
    </w:p>
    <w:p w14:paraId="1430C169">
      <w:pPr>
        <w:pStyle w:val="17"/>
        <w:spacing w:line="360" w:lineRule="auto"/>
        <w:jc w:val="left"/>
        <w:rPr>
          <w:rFonts w:hint="eastAsia" w:ascii="宋体" w:hAnsi="宋体" w:eastAsia="宋体" w:cs="宋体"/>
        </w:rPr>
      </w:pPr>
    </w:p>
    <w:p w14:paraId="08CF60CA">
      <w:pPr>
        <w:spacing w:before="78"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9.1  发包人的施工安全责任</w:t>
      </w:r>
    </w:p>
    <w:p w14:paraId="3D1DDB00">
      <w:pPr>
        <w:spacing w:before="297" w:line="360" w:lineRule="auto"/>
        <w:ind w:left="24" w:right="161" w:firstLine="416"/>
        <w:jc w:val="left"/>
        <w:rPr>
          <w:rFonts w:hint="eastAsia" w:ascii="宋体" w:hAnsi="宋体" w:eastAsia="宋体" w:cs="宋体"/>
          <w:sz w:val="20"/>
          <w:szCs w:val="20"/>
        </w:rPr>
      </w:pPr>
      <w:r>
        <w:rPr>
          <w:rFonts w:hint="eastAsia" w:ascii="宋体" w:hAnsi="宋体" w:eastAsia="宋体" w:cs="宋体"/>
          <w:spacing w:val="9"/>
          <w:sz w:val="20"/>
          <w:szCs w:val="20"/>
        </w:rPr>
        <w:t>9.1.1  发包人应按合同约定履行安全职责，授权监理人按合同约定的安全工作内容监督、检查承包人安全工作的实施，组织承包人和有关单位进行安全检查。</w:t>
      </w:r>
    </w:p>
    <w:p w14:paraId="00045186">
      <w:pPr>
        <w:spacing w:before="159" w:line="360" w:lineRule="auto"/>
        <w:ind w:left="36" w:right="161" w:firstLine="404"/>
        <w:jc w:val="left"/>
        <w:rPr>
          <w:rFonts w:hint="eastAsia" w:ascii="宋体" w:hAnsi="宋体" w:eastAsia="宋体" w:cs="宋体"/>
          <w:sz w:val="20"/>
          <w:szCs w:val="20"/>
        </w:rPr>
      </w:pPr>
      <w:r>
        <w:rPr>
          <w:rFonts w:hint="eastAsia" w:ascii="宋体" w:hAnsi="宋体" w:eastAsia="宋体" w:cs="宋体"/>
          <w:spacing w:val="9"/>
          <w:sz w:val="20"/>
          <w:szCs w:val="20"/>
        </w:rPr>
        <w:t>9.1.2  发包人应对其现场机构雇佣的全部人员的工伤事故承担责任，但由于承包人原</w:t>
      </w:r>
      <w:r>
        <w:rPr>
          <w:rFonts w:hint="eastAsia" w:ascii="宋体" w:hAnsi="宋体" w:eastAsia="宋体" w:cs="宋体"/>
          <w:spacing w:val="8"/>
          <w:sz w:val="20"/>
          <w:szCs w:val="20"/>
        </w:rPr>
        <w:t>因造成发包人人员工伤的，应由承包人承担责任。</w:t>
      </w:r>
    </w:p>
    <w:p w14:paraId="176A892E">
      <w:pPr>
        <w:spacing w:before="161" w:line="360" w:lineRule="auto"/>
        <w:ind w:left="440"/>
        <w:jc w:val="left"/>
        <w:rPr>
          <w:rFonts w:hint="eastAsia" w:ascii="宋体" w:hAnsi="宋体" w:eastAsia="宋体" w:cs="宋体"/>
          <w:sz w:val="20"/>
          <w:szCs w:val="20"/>
        </w:rPr>
      </w:pPr>
      <w:r>
        <w:rPr>
          <w:rFonts w:hint="eastAsia" w:ascii="宋体" w:hAnsi="宋体" w:eastAsia="宋体" w:cs="宋体"/>
          <w:spacing w:val="8"/>
          <w:sz w:val="20"/>
          <w:szCs w:val="20"/>
        </w:rPr>
        <w:t>9.1.3  发包人应负责赔偿以下各种情况造成的第三者人身伤亡和财产损失：</w:t>
      </w:r>
    </w:p>
    <w:p w14:paraId="6F567AA2">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9"/>
          <w:sz w:val="20"/>
          <w:szCs w:val="20"/>
        </w:rPr>
        <w:t>（1）工程或工程的任何部分对土地的占用所造成的第</w:t>
      </w:r>
      <w:r>
        <w:rPr>
          <w:rFonts w:hint="eastAsia" w:ascii="宋体" w:hAnsi="宋体" w:eastAsia="宋体" w:cs="宋体"/>
          <w:spacing w:val="8"/>
          <w:sz w:val="20"/>
          <w:szCs w:val="20"/>
        </w:rPr>
        <w:t>三者财产损失；</w:t>
      </w:r>
    </w:p>
    <w:p w14:paraId="7161C3F0">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57"/>
          <w:sz w:val="20"/>
          <w:szCs w:val="20"/>
        </w:rPr>
        <w:t xml:space="preserve"> </w:t>
      </w:r>
      <w:r>
        <w:rPr>
          <w:rFonts w:hint="eastAsia" w:ascii="宋体" w:hAnsi="宋体" w:eastAsia="宋体" w:cs="宋体"/>
          <w:spacing w:val="8"/>
          <w:sz w:val="20"/>
          <w:szCs w:val="20"/>
        </w:rPr>
        <w:t>由于发包人原因在施工场地及其毗邻地带造成的第三者人身伤</w:t>
      </w:r>
      <w:r>
        <w:rPr>
          <w:rFonts w:hint="eastAsia" w:ascii="宋体" w:hAnsi="宋体" w:eastAsia="宋体" w:cs="宋体"/>
          <w:spacing w:val="7"/>
          <w:sz w:val="20"/>
          <w:szCs w:val="20"/>
        </w:rPr>
        <w:t>亡和财产损失。</w:t>
      </w:r>
    </w:p>
    <w:p w14:paraId="092ED8BB">
      <w:pPr>
        <w:spacing w:before="288"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9.2  承包人的施工安全责任</w:t>
      </w:r>
    </w:p>
    <w:p w14:paraId="601FC9E8">
      <w:pPr>
        <w:spacing w:before="294" w:line="360" w:lineRule="auto"/>
        <w:ind w:left="21" w:right="161" w:firstLine="419"/>
        <w:jc w:val="left"/>
        <w:rPr>
          <w:rFonts w:hint="eastAsia" w:ascii="宋体" w:hAnsi="宋体" w:eastAsia="宋体" w:cs="宋体"/>
          <w:sz w:val="20"/>
          <w:szCs w:val="20"/>
        </w:rPr>
      </w:pPr>
      <w:r>
        <w:rPr>
          <w:rFonts w:hint="eastAsia" w:ascii="宋体" w:hAnsi="宋体" w:eastAsia="宋体" w:cs="宋体"/>
          <w:spacing w:val="9"/>
          <w:sz w:val="20"/>
          <w:szCs w:val="20"/>
        </w:rPr>
        <w:t>9.2.1  承包人应按合同约定履行安全职责,执行监理人有关安全工作的指示,并在合同</w:t>
      </w:r>
      <w:r>
        <w:rPr>
          <w:rFonts w:hint="eastAsia" w:ascii="宋体" w:hAnsi="宋体" w:eastAsia="宋体" w:cs="宋体"/>
          <w:spacing w:val="7"/>
          <w:sz w:val="20"/>
          <w:szCs w:val="20"/>
        </w:rPr>
        <w:t>条款专用部分约定的期限内，按合同约定的安全工作内容，编制施工安全措施计划报送监理</w:t>
      </w:r>
      <w:r>
        <w:rPr>
          <w:rFonts w:hint="eastAsia" w:ascii="宋体" w:hAnsi="宋体" w:eastAsia="宋体" w:cs="宋体"/>
          <w:spacing w:val="9"/>
          <w:sz w:val="20"/>
          <w:szCs w:val="20"/>
        </w:rPr>
        <w:t>人审批。监理人应在合同条款专用部分约定的期限内完成批复。</w:t>
      </w:r>
    </w:p>
    <w:p w14:paraId="7339B75A">
      <w:pPr>
        <w:spacing w:before="162" w:line="360" w:lineRule="auto"/>
        <w:ind w:left="21" w:right="161" w:firstLine="419"/>
        <w:jc w:val="left"/>
        <w:rPr>
          <w:rFonts w:hint="eastAsia" w:ascii="宋体" w:hAnsi="宋体" w:eastAsia="宋体" w:cs="宋体"/>
          <w:sz w:val="20"/>
          <w:szCs w:val="20"/>
        </w:rPr>
      </w:pPr>
      <w:r>
        <w:rPr>
          <w:rFonts w:hint="eastAsia" w:ascii="宋体" w:hAnsi="宋体" w:eastAsia="宋体" w:cs="宋体"/>
          <w:spacing w:val="9"/>
          <w:sz w:val="20"/>
          <w:szCs w:val="20"/>
        </w:rPr>
        <w:t>9.2.2  承包人应加强施工作业安全管理，特别应加强易燃、易爆材料、火工器材、有</w:t>
      </w:r>
      <w:r>
        <w:rPr>
          <w:rFonts w:hint="eastAsia" w:ascii="宋体" w:hAnsi="宋体" w:eastAsia="宋体" w:cs="宋体"/>
          <w:spacing w:val="7"/>
          <w:sz w:val="20"/>
          <w:szCs w:val="20"/>
        </w:rPr>
        <w:t>毒与腐蚀性材料、行业挥发性有机物和其他危险品的管理，以及对爆破作业和地下工程施工等危险作业的管理。</w:t>
      </w:r>
    </w:p>
    <w:p w14:paraId="311FA6A9">
      <w:pPr>
        <w:spacing w:before="162" w:line="360" w:lineRule="auto"/>
        <w:ind w:left="20" w:right="161" w:firstLine="420"/>
        <w:jc w:val="left"/>
        <w:rPr>
          <w:rFonts w:hint="eastAsia" w:ascii="宋体" w:hAnsi="宋体" w:eastAsia="宋体" w:cs="宋体"/>
          <w:sz w:val="20"/>
          <w:szCs w:val="20"/>
        </w:rPr>
      </w:pPr>
      <w:r>
        <w:rPr>
          <w:rFonts w:hint="eastAsia" w:ascii="宋体" w:hAnsi="宋体" w:eastAsia="宋体" w:cs="宋体"/>
          <w:spacing w:val="9"/>
          <w:sz w:val="20"/>
          <w:szCs w:val="20"/>
        </w:rPr>
        <w:t>9.2.3  承包人应严格按照国家安全标准制定施工安全操作规程，配备必要的安全生产和劳动保护设施，加强对承包人人员的安全教育，并发放安全工作手册和劳动保护用具。</w:t>
      </w:r>
    </w:p>
    <w:p w14:paraId="7AE597B1">
      <w:pPr>
        <w:spacing w:before="159" w:line="360" w:lineRule="auto"/>
        <w:ind w:left="19" w:right="159" w:firstLine="421"/>
        <w:jc w:val="left"/>
        <w:rPr>
          <w:rFonts w:hint="eastAsia" w:ascii="宋体" w:hAnsi="宋体" w:eastAsia="宋体" w:cs="宋体"/>
          <w:sz w:val="20"/>
          <w:szCs w:val="20"/>
        </w:rPr>
      </w:pPr>
      <w:r>
        <w:rPr>
          <w:rFonts w:hint="eastAsia" w:ascii="宋体" w:hAnsi="宋体" w:eastAsia="宋体" w:cs="宋体"/>
          <w:spacing w:val="9"/>
          <w:sz w:val="20"/>
          <w:szCs w:val="20"/>
        </w:rPr>
        <w:t>9.2.4  承包人应按监理人的指示制定应对灾害的紧急预案，报送监理人审批。承包人</w:t>
      </w:r>
      <w:r>
        <w:rPr>
          <w:rFonts w:hint="eastAsia" w:ascii="宋体" w:hAnsi="宋体" w:eastAsia="宋体" w:cs="宋体"/>
          <w:spacing w:val="8"/>
          <w:sz w:val="20"/>
          <w:szCs w:val="20"/>
        </w:rPr>
        <w:t>还应按预案做好安全检查，配置必要的救助物资和</w:t>
      </w:r>
      <w:r>
        <w:rPr>
          <w:rFonts w:hint="eastAsia" w:ascii="宋体" w:hAnsi="宋体" w:eastAsia="宋体" w:cs="宋体"/>
          <w:spacing w:val="7"/>
          <w:sz w:val="20"/>
          <w:szCs w:val="20"/>
        </w:rPr>
        <w:t>器材，切实保护好有关人员的人身和财产</w:t>
      </w:r>
      <w:r>
        <w:rPr>
          <w:rFonts w:hint="eastAsia" w:ascii="宋体" w:hAnsi="宋体" w:eastAsia="宋体" w:cs="宋体"/>
          <w:spacing w:val="3"/>
          <w:sz w:val="20"/>
          <w:szCs w:val="20"/>
        </w:rPr>
        <w:t>安全。</w:t>
      </w:r>
    </w:p>
    <w:p w14:paraId="5C69D73F">
      <w:pPr>
        <w:spacing w:before="159" w:line="360" w:lineRule="auto"/>
        <w:ind w:left="19" w:right="159" w:firstLine="420"/>
        <w:jc w:val="left"/>
        <w:rPr>
          <w:rFonts w:hint="eastAsia" w:ascii="宋体" w:hAnsi="宋体" w:eastAsia="宋体" w:cs="宋体"/>
          <w:sz w:val="20"/>
          <w:szCs w:val="20"/>
        </w:rPr>
      </w:pPr>
      <w:r>
        <w:rPr>
          <w:rFonts w:hint="eastAsia" w:ascii="宋体" w:hAnsi="宋体" w:eastAsia="宋体" w:cs="宋体"/>
          <w:spacing w:val="9"/>
          <w:sz w:val="20"/>
          <w:szCs w:val="20"/>
        </w:rPr>
        <w:t>9.2.5  合同约定的安全作业环境及安全施工措施所需费用应遵守有关规定，并包括在</w:t>
      </w:r>
      <w:r>
        <w:rPr>
          <w:rFonts w:hint="eastAsia" w:ascii="宋体" w:hAnsi="宋体" w:eastAsia="宋体" w:cs="宋体"/>
          <w:spacing w:val="8"/>
          <w:sz w:val="20"/>
          <w:szCs w:val="20"/>
        </w:rPr>
        <w:t>相关工作的合同价格中。因采取合同未约定的安全</w:t>
      </w:r>
      <w:r>
        <w:rPr>
          <w:rFonts w:hint="eastAsia" w:ascii="宋体" w:hAnsi="宋体" w:eastAsia="宋体" w:cs="宋体"/>
          <w:spacing w:val="7"/>
          <w:sz w:val="20"/>
          <w:szCs w:val="20"/>
        </w:rPr>
        <w:t>作业环境及安全施工措施增加的费用，由</w:t>
      </w:r>
      <w:r>
        <w:rPr>
          <w:rFonts w:hint="eastAsia" w:ascii="宋体" w:hAnsi="宋体" w:eastAsia="宋体" w:cs="宋体"/>
          <w:spacing w:val="6"/>
          <w:sz w:val="20"/>
          <w:szCs w:val="20"/>
        </w:rPr>
        <w:t>监理人按第</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3.5</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款商定或确定。</w:t>
      </w:r>
    </w:p>
    <w:p w14:paraId="406BFB6E">
      <w:pPr>
        <w:pStyle w:val="17"/>
        <w:spacing w:line="360" w:lineRule="auto"/>
        <w:jc w:val="left"/>
        <w:rPr>
          <w:rFonts w:hint="eastAsia" w:ascii="宋体" w:hAnsi="宋体" w:eastAsia="宋体" w:cs="宋体"/>
        </w:rPr>
      </w:pPr>
      <w:r>
        <w:rPr>
          <w:rFonts w:hint="eastAsia" w:ascii="宋体" w:hAnsi="宋体" w:eastAsia="宋体" w:cs="宋体"/>
          <w:spacing w:val="9"/>
          <w:sz w:val="20"/>
          <w:szCs w:val="20"/>
        </w:rPr>
        <w:t>9.2.6  承包人应对其履行合同所雇佣的全部人员，包括分包人人员的工伤事故承担责任，但由于发包人原因造成承包人人员工伤事故的，应由发包人承担责任。</w:t>
      </w:r>
    </w:p>
    <w:p w14:paraId="1A4C264F">
      <w:pPr>
        <w:spacing w:before="65" w:line="360" w:lineRule="auto"/>
        <w:ind w:left="45" w:firstLine="395"/>
        <w:jc w:val="left"/>
        <w:rPr>
          <w:rFonts w:hint="eastAsia" w:ascii="宋体" w:hAnsi="宋体" w:eastAsia="宋体" w:cs="宋体"/>
          <w:sz w:val="20"/>
          <w:szCs w:val="20"/>
        </w:rPr>
      </w:pPr>
      <w:r>
        <w:rPr>
          <w:rFonts w:hint="eastAsia" w:ascii="宋体" w:hAnsi="宋体" w:eastAsia="宋体" w:cs="宋体"/>
          <w:spacing w:val="8"/>
          <w:sz w:val="20"/>
          <w:szCs w:val="20"/>
        </w:rPr>
        <w:t>9.2.7  由于承包人原因在施工场地内及其毗邻地带造成的</w:t>
      </w:r>
      <w:r>
        <w:rPr>
          <w:rFonts w:hint="eastAsia" w:ascii="宋体" w:hAnsi="宋体" w:eastAsia="宋体" w:cs="宋体"/>
          <w:spacing w:val="7"/>
          <w:sz w:val="20"/>
          <w:szCs w:val="20"/>
        </w:rPr>
        <w:t>第三者人员伤亡和财产损失，</w:t>
      </w:r>
      <w:r>
        <w:rPr>
          <w:rFonts w:hint="eastAsia" w:ascii="宋体" w:hAnsi="宋体" w:eastAsia="宋体" w:cs="宋体"/>
          <w:spacing w:val="4"/>
          <w:sz w:val="20"/>
          <w:szCs w:val="20"/>
        </w:rPr>
        <w:t>由承包人负责赔偿。</w:t>
      </w:r>
    </w:p>
    <w:p w14:paraId="084ABC97">
      <w:pPr>
        <w:spacing w:before="123" w:line="360" w:lineRule="auto"/>
        <w:ind w:left="22"/>
        <w:jc w:val="left"/>
        <w:outlineLvl w:val="2"/>
        <w:rPr>
          <w:rFonts w:hint="eastAsia" w:ascii="宋体" w:hAnsi="宋体" w:eastAsia="宋体" w:cs="宋体"/>
          <w:sz w:val="24"/>
          <w:szCs w:val="24"/>
        </w:rPr>
      </w:pPr>
      <w:r>
        <w:rPr>
          <w:rFonts w:hint="eastAsia" w:ascii="宋体" w:hAnsi="宋体" w:eastAsia="宋体" w:cs="宋体"/>
          <w:spacing w:val="-4"/>
          <w:sz w:val="24"/>
          <w:szCs w:val="24"/>
        </w:rPr>
        <w:t>9.3</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治安保卫</w:t>
      </w:r>
    </w:p>
    <w:p w14:paraId="41419044">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9.3.1  发包人应与当地公安部门协商，在现场建立治安管理机构或联防组织，负责统一管理施工场地的治安保卫事项，履行合同工程的治安保卫职责。</w:t>
      </w:r>
    </w:p>
    <w:p w14:paraId="3D9DCFE0">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9.3.2  发包人和承包人除应协助现场治安管理机构或联防组织维护施工场地的社会治安外，还应做好包括生活区在内的各自管辖区的治安保卫工作。</w:t>
      </w:r>
    </w:p>
    <w:p w14:paraId="6F0B5FEE">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1A2797FA">
      <w:pPr>
        <w:spacing w:before="284" w:line="360" w:lineRule="auto"/>
        <w:ind w:left="22"/>
        <w:jc w:val="left"/>
        <w:outlineLvl w:val="2"/>
        <w:rPr>
          <w:rFonts w:hint="eastAsia" w:ascii="宋体" w:hAnsi="宋体" w:eastAsia="宋体" w:cs="宋体"/>
          <w:sz w:val="24"/>
          <w:szCs w:val="24"/>
        </w:rPr>
      </w:pPr>
      <w:r>
        <w:rPr>
          <w:rFonts w:hint="eastAsia" w:ascii="宋体" w:hAnsi="宋体" w:eastAsia="宋体" w:cs="宋体"/>
          <w:spacing w:val="-2"/>
          <w:sz w:val="24"/>
          <w:szCs w:val="24"/>
        </w:rPr>
        <w:t>9.4  环境保护</w:t>
      </w:r>
    </w:p>
    <w:p w14:paraId="7B041169">
      <w:pPr>
        <w:spacing w:before="295" w:line="360" w:lineRule="auto"/>
        <w:ind w:left="22" w:right="145" w:firstLine="418"/>
        <w:jc w:val="left"/>
        <w:rPr>
          <w:rFonts w:hint="eastAsia" w:ascii="宋体" w:hAnsi="宋体" w:eastAsia="宋体" w:cs="宋体"/>
          <w:sz w:val="20"/>
          <w:szCs w:val="20"/>
        </w:rPr>
      </w:pPr>
      <w:r>
        <w:rPr>
          <w:rFonts w:hint="eastAsia" w:ascii="宋体" w:hAnsi="宋体" w:eastAsia="宋体" w:cs="宋体"/>
          <w:spacing w:val="9"/>
          <w:sz w:val="20"/>
          <w:szCs w:val="20"/>
        </w:rPr>
        <w:t>9.4.1  承包人在施工过程中，应遵守有关环境保护的法律，履行合同约定的环境保护义务，并对违反法律和合同约定义务所造成的环境破坏、人身伤害和财产损失负责。</w:t>
      </w:r>
    </w:p>
    <w:p w14:paraId="45BE267C">
      <w:pPr>
        <w:spacing w:before="159" w:line="360" w:lineRule="auto"/>
        <w:ind w:left="19" w:right="90" w:firstLine="421"/>
        <w:jc w:val="left"/>
        <w:rPr>
          <w:rFonts w:hint="eastAsia" w:ascii="宋体" w:hAnsi="宋体" w:eastAsia="宋体" w:cs="宋体"/>
          <w:sz w:val="20"/>
          <w:szCs w:val="20"/>
        </w:rPr>
      </w:pPr>
      <w:r>
        <w:rPr>
          <w:rFonts w:hint="eastAsia" w:ascii="宋体" w:hAnsi="宋体" w:eastAsia="宋体" w:cs="宋体"/>
          <w:spacing w:val="9"/>
          <w:sz w:val="20"/>
          <w:szCs w:val="20"/>
        </w:rPr>
        <w:t>9.4.2  承包人应建立施工扬尘治理、建筑垃圾、土方和砂石清运与消纳、保证使用已</w:t>
      </w:r>
      <w:r>
        <w:rPr>
          <w:rFonts w:hint="eastAsia" w:ascii="宋体" w:hAnsi="宋体" w:eastAsia="宋体" w:cs="宋体"/>
          <w:spacing w:val="13"/>
          <w:sz w:val="20"/>
          <w:szCs w:val="20"/>
        </w:rPr>
        <w:t>在本市进行信息编码登记符合排放标准的非道路移动机械和严禁使用高排放非</w:t>
      </w:r>
      <w:r>
        <w:rPr>
          <w:rFonts w:hint="eastAsia" w:ascii="宋体" w:hAnsi="宋体" w:eastAsia="宋体" w:cs="宋体"/>
          <w:spacing w:val="12"/>
          <w:sz w:val="20"/>
          <w:szCs w:val="20"/>
        </w:rPr>
        <w:t>道路移动机</w:t>
      </w:r>
      <w:r>
        <w:rPr>
          <w:rFonts w:hint="eastAsia" w:ascii="宋体" w:hAnsi="宋体" w:eastAsia="宋体" w:cs="宋体"/>
          <w:spacing w:val="8"/>
          <w:sz w:val="20"/>
          <w:szCs w:val="20"/>
        </w:rPr>
        <w:t>械以及行业挥发性有机物治理（如建筑外墙涂装、钢</w:t>
      </w:r>
      <w:r>
        <w:rPr>
          <w:rFonts w:hint="eastAsia" w:ascii="宋体" w:hAnsi="宋体" w:eastAsia="宋体" w:cs="宋体"/>
          <w:spacing w:val="7"/>
          <w:sz w:val="20"/>
          <w:szCs w:val="20"/>
        </w:rPr>
        <w:t>结构等鼓励使用水性漆替代油性漆；建</w:t>
      </w:r>
      <w:r>
        <w:rPr>
          <w:rFonts w:hint="eastAsia" w:ascii="宋体" w:hAnsi="宋体" w:eastAsia="宋体" w:cs="宋体"/>
          <w:spacing w:val="8"/>
          <w:sz w:val="20"/>
          <w:szCs w:val="20"/>
        </w:rPr>
        <w:t>筑施工、室外构筑物防护和道路交通标识等其</w:t>
      </w:r>
      <w:r>
        <w:rPr>
          <w:rFonts w:hint="eastAsia" w:ascii="宋体" w:hAnsi="宋体" w:eastAsia="宋体" w:cs="宋体"/>
          <w:spacing w:val="7"/>
          <w:sz w:val="20"/>
          <w:szCs w:val="20"/>
        </w:rPr>
        <w:t>他涂装作业，推广使用水性、高固体分、无溶</w:t>
      </w:r>
      <w:r>
        <w:rPr>
          <w:rFonts w:hint="eastAsia" w:ascii="宋体" w:hAnsi="宋体" w:eastAsia="宋体" w:cs="宋体"/>
          <w:spacing w:val="10"/>
          <w:sz w:val="20"/>
          <w:szCs w:val="20"/>
        </w:rPr>
        <w:t>剂、粉末等涂料和水基、本体型等低</w:t>
      </w:r>
      <w:r>
        <w:rPr>
          <w:rFonts w:hint="eastAsia" w:ascii="宋体" w:hAnsi="宋体" w:eastAsia="宋体" w:cs="宋体"/>
          <w:spacing w:val="-27"/>
          <w:sz w:val="20"/>
          <w:szCs w:val="20"/>
        </w:rPr>
        <w:t xml:space="preserve"> </w:t>
      </w:r>
      <w:r>
        <w:rPr>
          <w:rFonts w:hint="eastAsia" w:ascii="宋体" w:hAnsi="宋体" w:eastAsia="宋体" w:cs="宋体"/>
          <w:sz w:val="20"/>
          <w:szCs w:val="20"/>
        </w:rPr>
        <w:t>VOCs</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含量胶粘剂）等责任制，针对工程项目特点制定</w:t>
      </w:r>
      <w:r>
        <w:rPr>
          <w:rFonts w:hint="eastAsia" w:ascii="宋体" w:hAnsi="宋体" w:eastAsia="宋体" w:cs="宋体"/>
          <w:spacing w:val="9"/>
          <w:sz w:val="20"/>
          <w:szCs w:val="20"/>
        </w:rPr>
        <w:t>具体的实施方案，并严格实施。如扬尘治理，承包人应在建筑工地公示施工扬</w:t>
      </w:r>
      <w:r>
        <w:rPr>
          <w:rFonts w:hint="eastAsia" w:ascii="宋体" w:hAnsi="宋体" w:eastAsia="宋体" w:cs="宋体"/>
          <w:spacing w:val="8"/>
          <w:sz w:val="20"/>
          <w:szCs w:val="20"/>
        </w:rPr>
        <w:t>尘治理措施、</w:t>
      </w:r>
      <w:r>
        <w:rPr>
          <w:rFonts w:hint="eastAsia" w:ascii="宋体" w:hAnsi="宋体" w:eastAsia="宋体" w:cs="宋体"/>
          <w:spacing w:val="9"/>
          <w:sz w:val="20"/>
          <w:szCs w:val="20"/>
        </w:rPr>
        <w:t>责任人、主管部门等信息，并及时向当地主管部门报送施工扬尘治理措施落实情况。</w:t>
      </w:r>
    </w:p>
    <w:p w14:paraId="0542D298">
      <w:pPr>
        <w:spacing w:before="164" w:line="360" w:lineRule="auto"/>
        <w:ind w:left="20" w:right="144" w:firstLine="420"/>
        <w:jc w:val="left"/>
        <w:rPr>
          <w:rFonts w:hint="eastAsia" w:ascii="宋体" w:hAnsi="宋体" w:eastAsia="宋体" w:cs="宋体"/>
          <w:sz w:val="20"/>
          <w:szCs w:val="20"/>
        </w:rPr>
      </w:pPr>
      <w:r>
        <w:rPr>
          <w:rFonts w:hint="eastAsia" w:ascii="宋体" w:hAnsi="宋体" w:eastAsia="宋体" w:cs="宋体"/>
          <w:spacing w:val="9"/>
          <w:sz w:val="20"/>
          <w:szCs w:val="20"/>
        </w:rPr>
        <w:t>9.4.3  承包人应在合同条款专用部分约定的时限内，按合同约定的环保工作内容，编</w:t>
      </w:r>
      <w:r>
        <w:rPr>
          <w:rFonts w:hint="eastAsia" w:ascii="宋体" w:hAnsi="宋体" w:eastAsia="宋体" w:cs="宋体"/>
          <w:spacing w:val="10"/>
          <w:sz w:val="20"/>
          <w:szCs w:val="20"/>
        </w:rPr>
        <w:t>制施工环保措施计划（包含第9.4.2</w:t>
      </w:r>
      <w:r>
        <w:rPr>
          <w:rFonts w:hint="eastAsia" w:ascii="宋体" w:hAnsi="宋体" w:eastAsia="宋体" w:cs="宋体"/>
          <w:spacing w:val="-34"/>
          <w:sz w:val="20"/>
          <w:szCs w:val="20"/>
        </w:rPr>
        <w:t xml:space="preserve"> </w:t>
      </w:r>
      <w:r>
        <w:rPr>
          <w:rFonts w:hint="eastAsia" w:ascii="宋体" w:hAnsi="宋体" w:eastAsia="宋体" w:cs="宋体"/>
          <w:spacing w:val="10"/>
          <w:sz w:val="20"/>
          <w:szCs w:val="20"/>
        </w:rPr>
        <w:t>项约定的实施方案内容</w:t>
      </w:r>
      <w:r>
        <w:rPr>
          <w:rFonts w:hint="eastAsia" w:ascii="宋体" w:hAnsi="宋体" w:eastAsia="宋体" w:cs="宋体"/>
          <w:spacing w:val="-34"/>
          <w:sz w:val="20"/>
          <w:szCs w:val="20"/>
        </w:rPr>
        <w:t>），</w:t>
      </w:r>
      <w:r>
        <w:rPr>
          <w:rFonts w:hint="eastAsia" w:ascii="宋体" w:hAnsi="宋体" w:eastAsia="宋体" w:cs="宋体"/>
          <w:spacing w:val="10"/>
          <w:sz w:val="20"/>
          <w:szCs w:val="20"/>
        </w:rPr>
        <w:t>报送监理人审批。监理人在</w:t>
      </w:r>
      <w:r>
        <w:rPr>
          <w:rFonts w:hint="eastAsia" w:ascii="宋体" w:hAnsi="宋体" w:eastAsia="宋体" w:cs="宋体"/>
          <w:spacing w:val="8"/>
          <w:sz w:val="20"/>
          <w:szCs w:val="20"/>
        </w:rPr>
        <w:t>合同条款专用部分约定的期限内给予批复。</w:t>
      </w:r>
    </w:p>
    <w:p w14:paraId="3DF3C3D5">
      <w:pPr>
        <w:spacing w:before="161" w:line="360" w:lineRule="auto"/>
        <w:ind w:left="19" w:right="73" w:firstLine="420"/>
        <w:jc w:val="left"/>
        <w:rPr>
          <w:rFonts w:hint="eastAsia" w:ascii="宋体" w:hAnsi="宋体" w:eastAsia="宋体" w:cs="宋体"/>
          <w:sz w:val="20"/>
          <w:szCs w:val="20"/>
        </w:rPr>
      </w:pPr>
      <w:r>
        <w:rPr>
          <w:rFonts w:hint="eastAsia" w:ascii="宋体" w:hAnsi="宋体" w:eastAsia="宋体" w:cs="宋体"/>
          <w:spacing w:val="9"/>
          <w:sz w:val="20"/>
          <w:szCs w:val="20"/>
        </w:rPr>
        <w:t>9.4.4  承包人应按照批准的施工环保措施计划有序地堆放和处理施工废弃物，避免对</w:t>
      </w:r>
      <w:r>
        <w:rPr>
          <w:rFonts w:hint="eastAsia" w:ascii="宋体" w:hAnsi="宋体" w:eastAsia="宋体" w:cs="宋体"/>
          <w:spacing w:val="4"/>
          <w:sz w:val="20"/>
          <w:szCs w:val="20"/>
        </w:rPr>
        <w:t>环境造成破坏。因承包人任意堆放或弃置施工废弃物造成妨碍公共交通、影响城镇居民生活、</w:t>
      </w:r>
      <w:r>
        <w:rPr>
          <w:rFonts w:hint="eastAsia" w:ascii="宋体" w:hAnsi="宋体" w:eastAsia="宋体" w:cs="宋体"/>
          <w:spacing w:val="9"/>
          <w:sz w:val="20"/>
          <w:szCs w:val="20"/>
        </w:rPr>
        <w:t>降低河流行洪能力、危及居民安全、破坏和污染环境，或者影响其他承包人施工等后果的，</w:t>
      </w:r>
      <w:r>
        <w:rPr>
          <w:rFonts w:hint="eastAsia" w:ascii="宋体" w:hAnsi="宋体" w:eastAsia="宋体" w:cs="宋体"/>
          <w:spacing w:val="7"/>
          <w:sz w:val="20"/>
          <w:szCs w:val="20"/>
        </w:rPr>
        <w:t>承包人应承担责任。</w:t>
      </w:r>
    </w:p>
    <w:p w14:paraId="5F8416D8">
      <w:pPr>
        <w:spacing w:before="159" w:line="360" w:lineRule="auto"/>
        <w:ind w:left="23" w:right="144" w:firstLine="417"/>
        <w:jc w:val="left"/>
        <w:rPr>
          <w:rFonts w:hint="eastAsia" w:ascii="宋体" w:hAnsi="宋体" w:eastAsia="宋体" w:cs="宋体"/>
          <w:sz w:val="20"/>
          <w:szCs w:val="20"/>
        </w:rPr>
      </w:pPr>
      <w:r>
        <w:rPr>
          <w:rFonts w:hint="eastAsia" w:ascii="宋体" w:hAnsi="宋体" w:eastAsia="宋体" w:cs="宋体"/>
          <w:spacing w:val="7"/>
          <w:sz w:val="20"/>
          <w:szCs w:val="20"/>
        </w:rPr>
        <w:t>9.4.5  承包人应按合同约定采取有效措施，对施工</w:t>
      </w:r>
      <w:r>
        <w:rPr>
          <w:rFonts w:hint="eastAsia" w:ascii="宋体" w:hAnsi="宋体" w:eastAsia="宋体" w:cs="宋体"/>
          <w:spacing w:val="6"/>
          <w:sz w:val="20"/>
          <w:szCs w:val="20"/>
        </w:rPr>
        <w:t>开挖的边坡及时进行支护,维护排水</w:t>
      </w:r>
      <w:r>
        <w:rPr>
          <w:rFonts w:hint="eastAsia" w:ascii="宋体" w:hAnsi="宋体" w:eastAsia="宋体" w:cs="宋体"/>
          <w:spacing w:val="9"/>
          <w:sz w:val="20"/>
          <w:szCs w:val="20"/>
        </w:rPr>
        <w:t>设施，并进行水土保护，避免因施工造成的地质灾害。</w:t>
      </w:r>
    </w:p>
    <w:p w14:paraId="1C892368">
      <w:pPr>
        <w:spacing w:before="160" w:line="360" w:lineRule="auto"/>
        <w:ind w:left="19" w:right="145" w:firstLine="420"/>
        <w:jc w:val="left"/>
        <w:rPr>
          <w:rFonts w:hint="eastAsia" w:ascii="宋体" w:hAnsi="宋体" w:eastAsia="宋体" w:cs="宋体"/>
          <w:sz w:val="20"/>
          <w:szCs w:val="20"/>
        </w:rPr>
      </w:pPr>
      <w:r>
        <w:rPr>
          <w:rFonts w:hint="eastAsia" w:ascii="宋体" w:hAnsi="宋体" w:eastAsia="宋体" w:cs="宋体"/>
          <w:spacing w:val="9"/>
          <w:sz w:val="20"/>
          <w:szCs w:val="20"/>
        </w:rPr>
        <w:t>9.4.6  承包人应按国家饮用水管理标准定期对饮用水源进行监测，防止施工活动污染</w:t>
      </w:r>
      <w:r>
        <w:rPr>
          <w:rFonts w:hint="eastAsia" w:ascii="宋体" w:hAnsi="宋体" w:eastAsia="宋体" w:cs="宋体"/>
          <w:spacing w:val="5"/>
          <w:sz w:val="20"/>
          <w:szCs w:val="20"/>
        </w:rPr>
        <w:t>饮用水源。</w:t>
      </w:r>
    </w:p>
    <w:p w14:paraId="732EA94F">
      <w:pPr>
        <w:spacing w:before="65" w:line="360" w:lineRule="auto"/>
        <w:ind w:left="19" w:right="159" w:firstLine="424"/>
        <w:jc w:val="left"/>
        <w:rPr>
          <w:rFonts w:hint="eastAsia" w:ascii="宋体" w:hAnsi="宋体" w:eastAsia="宋体" w:cs="宋体"/>
          <w:sz w:val="20"/>
          <w:szCs w:val="20"/>
        </w:rPr>
      </w:pPr>
      <w:r>
        <w:rPr>
          <w:rFonts w:hint="eastAsia" w:ascii="宋体" w:hAnsi="宋体" w:eastAsia="宋体" w:cs="宋体"/>
          <w:spacing w:val="9"/>
          <w:sz w:val="20"/>
          <w:szCs w:val="20"/>
        </w:rPr>
        <w:t>9.4.7  承包人应按合同约定，加强对噪声、粉尘、废气、废水和废油的控制，努力降低噪声，控制粉尘和废气浓度，做好废水和废油的治理和排放。</w:t>
      </w:r>
    </w:p>
    <w:p w14:paraId="3CBEF436">
      <w:pPr>
        <w:spacing w:before="123" w:line="360" w:lineRule="auto"/>
        <w:ind w:left="22"/>
        <w:jc w:val="left"/>
        <w:outlineLvl w:val="2"/>
        <w:rPr>
          <w:rFonts w:hint="eastAsia" w:ascii="宋体" w:hAnsi="宋体" w:eastAsia="宋体" w:cs="宋体"/>
          <w:sz w:val="24"/>
          <w:szCs w:val="24"/>
        </w:rPr>
      </w:pPr>
      <w:r>
        <w:rPr>
          <w:rFonts w:hint="eastAsia" w:ascii="宋体" w:hAnsi="宋体" w:eastAsia="宋体" w:cs="宋体"/>
          <w:spacing w:val="-2"/>
          <w:sz w:val="24"/>
          <w:szCs w:val="24"/>
        </w:rPr>
        <w:t>9.5  事故处理</w:t>
      </w:r>
    </w:p>
    <w:p w14:paraId="447EDE9D">
      <w:pPr>
        <w:spacing w:before="291" w:line="360" w:lineRule="auto"/>
        <w:ind w:left="19" w:right="159" w:firstLine="423"/>
        <w:jc w:val="left"/>
        <w:rPr>
          <w:rFonts w:hint="eastAsia" w:ascii="宋体" w:hAnsi="宋体" w:eastAsia="宋体" w:cs="宋体"/>
          <w:sz w:val="20"/>
          <w:szCs w:val="20"/>
        </w:rPr>
      </w:pPr>
      <w:r>
        <w:rPr>
          <w:rFonts w:hint="eastAsia" w:ascii="宋体" w:hAnsi="宋体" w:eastAsia="宋体" w:cs="宋体"/>
          <w:spacing w:val="7"/>
          <w:sz w:val="20"/>
          <w:szCs w:val="20"/>
        </w:rPr>
        <w:t>工程施工过程中发生事故的，承包人应立即通知监理人，监理人应立即通知发包人。发</w:t>
      </w:r>
      <w:r>
        <w:rPr>
          <w:rFonts w:hint="eastAsia" w:ascii="宋体" w:hAnsi="宋体" w:eastAsia="宋体" w:cs="宋体"/>
          <w:spacing w:val="8"/>
          <w:sz w:val="20"/>
          <w:szCs w:val="20"/>
        </w:rPr>
        <w:t>包人和承包人应立即组织人员和设备进行紧急</w:t>
      </w:r>
      <w:r>
        <w:rPr>
          <w:rFonts w:hint="eastAsia" w:ascii="宋体" w:hAnsi="宋体" w:eastAsia="宋体" w:cs="宋体"/>
          <w:spacing w:val="7"/>
          <w:sz w:val="20"/>
          <w:szCs w:val="20"/>
        </w:rPr>
        <w:t>抢救和抢修，减少人员伤亡和财产损失，防止</w:t>
      </w:r>
      <w:r>
        <w:rPr>
          <w:rFonts w:hint="eastAsia" w:ascii="宋体" w:hAnsi="宋体" w:eastAsia="宋体" w:cs="宋体"/>
          <w:spacing w:val="8"/>
          <w:sz w:val="20"/>
          <w:szCs w:val="20"/>
        </w:rPr>
        <w:t>事故扩大，并保护事故现场。需要移动现场物</w:t>
      </w:r>
      <w:r>
        <w:rPr>
          <w:rFonts w:hint="eastAsia" w:ascii="宋体" w:hAnsi="宋体" w:eastAsia="宋体" w:cs="宋体"/>
          <w:spacing w:val="7"/>
          <w:sz w:val="20"/>
          <w:szCs w:val="20"/>
        </w:rPr>
        <w:t>品时，应作出标记和书面记录，妥善保管有关</w:t>
      </w:r>
      <w:r>
        <w:rPr>
          <w:rFonts w:hint="eastAsia" w:ascii="宋体" w:hAnsi="宋体" w:eastAsia="宋体" w:cs="宋体"/>
          <w:spacing w:val="8"/>
          <w:sz w:val="20"/>
          <w:szCs w:val="20"/>
        </w:rPr>
        <w:t>证据。发包人和承包人应按国家有关规定，及时如实</w:t>
      </w:r>
      <w:r>
        <w:rPr>
          <w:rFonts w:hint="eastAsia" w:ascii="宋体" w:hAnsi="宋体" w:eastAsia="宋体" w:cs="宋体"/>
          <w:spacing w:val="7"/>
          <w:sz w:val="20"/>
          <w:szCs w:val="20"/>
        </w:rPr>
        <w:t>地向有关部门报告事故发生的情况，以</w:t>
      </w:r>
      <w:r>
        <w:rPr>
          <w:rFonts w:hint="eastAsia" w:ascii="宋体" w:hAnsi="宋体" w:eastAsia="宋体" w:cs="宋体"/>
          <w:spacing w:val="8"/>
          <w:sz w:val="20"/>
          <w:szCs w:val="20"/>
        </w:rPr>
        <w:t>及正在采取的紧急措施等。</w:t>
      </w:r>
    </w:p>
    <w:p w14:paraId="3CFCAE7F">
      <w:pPr>
        <w:spacing w:before="121"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9.6  施工现场安全生产标准化管理目标</w:t>
      </w:r>
    </w:p>
    <w:p w14:paraId="0EA8B6F8">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9.6.1 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7491D5EB">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29751335">
      <w:pPr>
        <w:spacing w:before="284" w:line="360" w:lineRule="auto"/>
        <w:ind w:left="22"/>
        <w:jc w:val="left"/>
        <w:outlineLvl w:val="2"/>
        <w:rPr>
          <w:rFonts w:hint="eastAsia" w:ascii="宋体" w:hAnsi="宋体" w:eastAsia="宋体" w:cs="宋体"/>
          <w:sz w:val="24"/>
          <w:szCs w:val="24"/>
        </w:rPr>
      </w:pPr>
      <w:r>
        <w:rPr>
          <w:rFonts w:hint="eastAsia" w:ascii="宋体" w:hAnsi="宋体" w:eastAsia="宋体" w:cs="宋体"/>
          <w:spacing w:val="-1"/>
          <w:sz w:val="24"/>
          <w:szCs w:val="24"/>
        </w:rPr>
        <w:t>9.7  特殊安全生产标准化</w:t>
      </w:r>
    </w:p>
    <w:p w14:paraId="44E05595">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9.7.1 由于承包人原因，特殊安全生产标准化要求未达到合同约定的要求，承包人应当向发包人支付未达到合同约定的特殊安全生产标准化要求的违约金或损失赔偿金。未达到合同约定的特殊安全生产标准化要求的违约金或损失赔偿金的金额或者计算方法见合同条款专用部分。</w:t>
      </w:r>
    </w:p>
    <w:p w14:paraId="1E35E35B">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9.7.2 发包人鼓励承包人提高特殊安全生产标准化要求。特殊安全生产标准化要求高于合同约定的要求，发包人可给予承包人创优奖励。发包人是否给予承包人创优奖励及创优奖励金额或者计算方法见合同条款专用部分。</w:t>
      </w:r>
    </w:p>
    <w:p w14:paraId="0E6701DD">
      <w:pPr>
        <w:spacing w:before="290" w:line="360" w:lineRule="auto"/>
        <w:ind w:left="43"/>
        <w:jc w:val="left"/>
        <w:outlineLvl w:val="1"/>
        <w:rPr>
          <w:rFonts w:hint="eastAsia" w:ascii="宋体" w:hAnsi="宋体" w:eastAsia="宋体" w:cs="宋体"/>
          <w:sz w:val="28"/>
          <w:szCs w:val="28"/>
        </w:rPr>
      </w:pPr>
      <w:r>
        <w:rPr>
          <w:rFonts w:hint="eastAsia" w:ascii="宋体" w:hAnsi="宋体" w:eastAsia="宋体" w:cs="宋体"/>
          <w:spacing w:val="-5"/>
          <w:sz w:val="28"/>
          <w:szCs w:val="28"/>
        </w:rPr>
        <w:t>10.进度计划</w:t>
      </w:r>
    </w:p>
    <w:p w14:paraId="04574B8C">
      <w:pPr>
        <w:pStyle w:val="17"/>
        <w:spacing w:line="360" w:lineRule="auto"/>
        <w:jc w:val="left"/>
        <w:rPr>
          <w:rFonts w:hint="eastAsia" w:ascii="宋体" w:hAnsi="宋体" w:eastAsia="宋体" w:cs="宋体"/>
        </w:rPr>
      </w:pPr>
    </w:p>
    <w:p w14:paraId="03CD6E04">
      <w:pPr>
        <w:spacing w:before="79" w:line="360" w:lineRule="auto"/>
        <w:ind w:left="38"/>
        <w:jc w:val="left"/>
        <w:outlineLvl w:val="2"/>
        <w:rPr>
          <w:rFonts w:hint="eastAsia" w:ascii="宋体" w:hAnsi="宋体" w:eastAsia="宋体" w:cs="宋体"/>
          <w:sz w:val="24"/>
          <w:szCs w:val="24"/>
        </w:rPr>
      </w:pPr>
      <w:r>
        <w:rPr>
          <w:rFonts w:hint="eastAsia" w:ascii="宋体" w:hAnsi="宋体" w:eastAsia="宋体" w:cs="宋体"/>
          <w:spacing w:val="-3"/>
          <w:sz w:val="24"/>
          <w:szCs w:val="24"/>
        </w:rPr>
        <w:t>10.1  合同进度计划</w:t>
      </w:r>
    </w:p>
    <w:p w14:paraId="65ADCC10">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10.1.1  承包人应当在收到监理人按照第 11.1.1 项发出的开工通知后 7 天内，编制详细的施工进度计划和施工方案说明报送监理人，施工进度计划应当反映进度管理的相关要素，包括开工日期和竣工日期、要求发包人组织设计人进行阶段性工程设计交底的时间、区段工程的开始时间和完成时间、施工次序和方法、施工活动的逻辑关系，主要材料进场时间和数量，管理人员、劳动力及主要施工机械设备进出场时间和数量，保障工程安全、质量和工期的技术措施等。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792F566D">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10.1.2  承包人还应根据合同进度计划，按照第 10.1.1 项相关约定编制更为详细的分阶段或分项进度计划，报监理人审批。承包人编制分阶段或分项施工进度计划和施工方案说明的内容及时限要求见合同条款专用部分。</w:t>
      </w:r>
    </w:p>
    <w:p w14:paraId="1B3F36A1">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0D5E384C">
      <w:pPr>
        <w:spacing w:before="284"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10.2  合同进度计划的修订</w:t>
      </w:r>
    </w:p>
    <w:p w14:paraId="7626AA05">
      <w:pPr>
        <w:spacing w:before="298" w:line="360" w:lineRule="auto"/>
        <w:ind w:left="20" w:right="54" w:firstLine="434"/>
        <w:jc w:val="left"/>
        <w:rPr>
          <w:rFonts w:hint="eastAsia" w:ascii="宋体" w:hAnsi="宋体" w:eastAsia="宋体" w:cs="宋体"/>
          <w:sz w:val="20"/>
          <w:szCs w:val="20"/>
        </w:rPr>
      </w:pPr>
      <w:r>
        <w:rPr>
          <w:rFonts w:hint="eastAsia" w:ascii="宋体" w:hAnsi="宋体" w:eastAsia="宋体" w:cs="宋体"/>
          <w:spacing w:val="8"/>
          <w:sz w:val="20"/>
          <w:szCs w:val="20"/>
        </w:rPr>
        <w:t>10.2.1  不论何种原因造成工程的实际进度</w:t>
      </w:r>
      <w:r>
        <w:rPr>
          <w:rFonts w:hint="eastAsia" w:ascii="宋体" w:hAnsi="宋体" w:eastAsia="宋体" w:cs="宋体"/>
          <w:spacing w:val="7"/>
          <w:sz w:val="20"/>
          <w:szCs w:val="20"/>
        </w:rPr>
        <w:t>与第</w:t>
      </w:r>
      <w:r>
        <w:rPr>
          <w:rFonts w:hint="eastAsia" w:ascii="宋体" w:hAnsi="宋体" w:eastAsia="宋体" w:cs="宋体"/>
          <w:spacing w:val="-21"/>
          <w:sz w:val="20"/>
          <w:szCs w:val="20"/>
        </w:rPr>
        <w:t xml:space="preserve"> </w:t>
      </w:r>
      <w:r>
        <w:rPr>
          <w:rFonts w:hint="eastAsia" w:ascii="宋体" w:hAnsi="宋体" w:eastAsia="宋体" w:cs="宋体"/>
          <w:spacing w:val="7"/>
          <w:sz w:val="20"/>
          <w:szCs w:val="20"/>
        </w:rPr>
        <w:t>10.1</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款的合同进度计划不符时，承包</w:t>
      </w:r>
      <w:r>
        <w:rPr>
          <w:rFonts w:hint="eastAsia" w:ascii="宋体" w:hAnsi="宋体" w:eastAsia="宋体" w:cs="宋体"/>
          <w:spacing w:val="8"/>
          <w:sz w:val="20"/>
          <w:szCs w:val="20"/>
        </w:rPr>
        <w:t>人可以在合同条款专用部分约定的期限内向</w:t>
      </w:r>
      <w:r>
        <w:rPr>
          <w:rFonts w:hint="eastAsia" w:ascii="宋体" w:hAnsi="宋体" w:eastAsia="宋体" w:cs="宋体"/>
          <w:spacing w:val="7"/>
          <w:sz w:val="20"/>
          <w:szCs w:val="20"/>
        </w:rPr>
        <w:t>监理人提交修订合同进度计划的申请报告，并附</w:t>
      </w:r>
      <w:r>
        <w:rPr>
          <w:rFonts w:hint="eastAsia" w:ascii="宋体" w:hAnsi="宋体" w:eastAsia="宋体" w:cs="宋体"/>
          <w:spacing w:val="8"/>
          <w:sz w:val="20"/>
          <w:szCs w:val="20"/>
        </w:rPr>
        <w:t>有关措施和相关资料，报监理人审批；</w:t>
      </w:r>
    </w:p>
    <w:p w14:paraId="03385D6E">
      <w:pPr>
        <w:spacing w:before="161" w:line="360" w:lineRule="auto"/>
        <w:ind w:left="19" w:firstLine="435"/>
        <w:jc w:val="left"/>
        <w:rPr>
          <w:rFonts w:hint="eastAsia" w:ascii="宋体" w:hAnsi="宋体" w:eastAsia="宋体" w:cs="宋体"/>
          <w:sz w:val="20"/>
          <w:szCs w:val="20"/>
        </w:rPr>
      </w:pPr>
      <w:r>
        <w:rPr>
          <w:rFonts w:hint="eastAsia" w:ascii="宋体" w:hAnsi="宋体" w:eastAsia="宋体" w:cs="宋体"/>
          <w:spacing w:val="6"/>
          <w:sz w:val="20"/>
          <w:szCs w:val="20"/>
        </w:rPr>
        <w:t>10.2.2  监理人也可以直接向承包人作出修订合同进度计划的指示，承包人应按该指示</w:t>
      </w:r>
      <w:r>
        <w:rPr>
          <w:rFonts w:hint="eastAsia" w:ascii="宋体" w:hAnsi="宋体" w:eastAsia="宋体" w:cs="宋体"/>
          <w:spacing w:val="9"/>
          <w:sz w:val="20"/>
          <w:szCs w:val="20"/>
        </w:rPr>
        <w:t>修订合同进度计划，报监理人审批。监理人应在合同条款专用部分约定的期限</w:t>
      </w:r>
      <w:r>
        <w:rPr>
          <w:rFonts w:hint="eastAsia" w:ascii="宋体" w:hAnsi="宋体" w:eastAsia="宋体" w:cs="宋体"/>
          <w:spacing w:val="8"/>
          <w:sz w:val="20"/>
          <w:szCs w:val="20"/>
        </w:rPr>
        <w:t>内完成批复。监理人在批复前应获得发包人同意。</w:t>
      </w:r>
    </w:p>
    <w:p w14:paraId="57307E7E">
      <w:pPr>
        <w:spacing w:before="161" w:line="360" w:lineRule="auto"/>
        <w:ind w:left="19" w:right="73" w:firstLine="435"/>
        <w:jc w:val="left"/>
        <w:rPr>
          <w:rFonts w:hint="eastAsia" w:ascii="宋体" w:hAnsi="宋体" w:eastAsia="宋体" w:cs="宋体"/>
          <w:sz w:val="20"/>
          <w:szCs w:val="20"/>
        </w:rPr>
      </w:pPr>
      <w:r>
        <w:rPr>
          <w:rFonts w:hint="eastAsia" w:ascii="宋体" w:hAnsi="宋体" w:eastAsia="宋体" w:cs="宋体"/>
          <w:spacing w:val="9"/>
          <w:sz w:val="20"/>
          <w:szCs w:val="20"/>
        </w:rPr>
        <w:t>10.2.3</w:t>
      </w:r>
      <w:r>
        <w:rPr>
          <w:rFonts w:hint="eastAsia" w:ascii="宋体" w:hAnsi="宋体" w:eastAsia="宋体" w:cs="宋体"/>
          <w:spacing w:val="-15"/>
          <w:sz w:val="20"/>
          <w:szCs w:val="20"/>
        </w:rPr>
        <w:t xml:space="preserve"> </w:t>
      </w:r>
      <w:r>
        <w:rPr>
          <w:rFonts w:hint="eastAsia" w:ascii="宋体" w:hAnsi="宋体" w:eastAsia="宋体" w:cs="宋体"/>
          <w:spacing w:val="9"/>
          <w:sz w:val="20"/>
          <w:szCs w:val="20"/>
        </w:rPr>
        <w:t>发包人对修订合同进度计划的批准，不影响发包人主张逾期损失赔偿和（或）</w:t>
      </w:r>
      <w:r>
        <w:rPr>
          <w:rFonts w:hint="eastAsia" w:ascii="宋体" w:hAnsi="宋体" w:eastAsia="宋体" w:cs="宋体"/>
          <w:spacing w:val="8"/>
          <w:sz w:val="20"/>
          <w:szCs w:val="20"/>
        </w:rPr>
        <w:t>承包人主张工期顺延的权利。</w:t>
      </w:r>
    </w:p>
    <w:p w14:paraId="2B20AD12">
      <w:pPr>
        <w:spacing w:before="285"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10.3  合同进度计划的其他要求</w:t>
      </w:r>
    </w:p>
    <w:p w14:paraId="67D6C7F9">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10.3.1  经发包人批准的合同进度计划或最新版本合同进度计划的修订是合同双方调配施工生产资源和实施进度管理的根据。</w:t>
      </w:r>
    </w:p>
    <w:p w14:paraId="686928E2">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10.3.2  施工进度计划管理的人员配置要求见合同条款专用部分。</w:t>
      </w:r>
    </w:p>
    <w:p w14:paraId="51EF32E9">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10.3.3  施工进度计划的计算机应用软件要求见合同条款专用部分。</w:t>
      </w:r>
    </w:p>
    <w:p w14:paraId="20052555">
      <w:pPr>
        <w:spacing w:before="292" w:line="360" w:lineRule="auto"/>
        <w:ind w:left="43"/>
        <w:jc w:val="left"/>
        <w:outlineLvl w:val="1"/>
        <w:rPr>
          <w:rFonts w:hint="eastAsia" w:ascii="宋体" w:hAnsi="宋体" w:eastAsia="宋体" w:cs="宋体"/>
          <w:sz w:val="28"/>
          <w:szCs w:val="28"/>
        </w:rPr>
      </w:pPr>
      <w:r>
        <w:rPr>
          <w:rFonts w:hint="eastAsia" w:ascii="宋体" w:hAnsi="宋体" w:eastAsia="宋体" w:cs="宋体"/>
          <w:spacing w:val="-4"/>
          <w:sz w:val="28"/>
          <w:szCs w:val="28"/>
        </w:rPr>
        <w:t>11.开工和竣工</w:t>
      </w:r>
    </w:p>
    <w:p w14:paraId="423758A7">
      <w:pPr>
        <w:pStyle w:val="17"/>
        <w:spacing w:line="360" w:lineRule="auto"/>
        <w:jc w:val="left"/>
        <w:rPr>
          <w:rFonts w:hint="eastAsia" w:ascii="宋体" w:hAnsi="宋体" w:eastAsia="宋体" w:cs="宋体"/>
        </w:rPr>
      </w:pPr>
    </w:p>
    <w:p w14:paraId="3C73310F">
      <w:pPr>
        <w:spacing w:before="79" w:line="360" w:lineRule="auto"/>
        <w:ind w:left="38"/>
        <w:jc w:val="left"/>
        <w:outlineLvl w:val="2"/>
        <w:rPr>
          <w:rFonts w:hint="eastAsia" w:ascii="宋体" w:hAnsi="宋体" w:eastAsia="宋体" w:cs="宋体"/>
          <w:sz w:val="24"/>
          <w:szCs w:val="24"/>
        </w:rPr>
      </w:pPr>
      <w:r>
        <w:rPr>
          <w:rFonts w:hint="eastAsia" w:ascii="宋体" w:hAnsi="宋体" w:eastAsia="宋体" w:cs="宋体"/>
          <w:spacing w:val="-7"/>
          <w:sz w:val="24"/>
          <w:szCs w:val="24"/>
        </w:rPr>
        <w:t>11.1</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开工</w:t>
      </w:r>
    </w:p>
    <w:p w14:paraId="5D2B93A1">
      <w:pPr>
        <w:spacing w:before="294" w:line="360" w:lineRule="auto"/>
        <w:ind w:left="19" w:right="52" w:firstLine="435"/>
        <w:jc w:val="left"/>
        <w:rPr>
          <w:rFonts w:hint="eastAsia" w:ascii="宋体" w:hAnsi="宋体" w:eastAsia="宋体" w:cs="宋体"/>
          <w:sz w:val="20"/>
          <w:szCs w:val="20"/>
        </w:rPr>
      </w:pPr>
      <w:r>
        <w:rPr>
          <w:rFonts w:hint="eastAsia" w:ascii="宋体" w:hAnsi="宋体" w:eastAsia="宋体" w:cs="宋体"/>
          <w:spacing w:val="6"/>
          <w:sz w:val="20"/>
          <w:szCs w:val="20"/>
        </w:rPr>
        <w:t>11.1.1  监理人应在开工日期</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天前向承包人</w:t>
      </w:r>
      <w:r>
        <w:rPr>
          <w:rFonts w:hint="eastAsia" w:ascii="宋体" w:hAnsi="宋体" w:eastAsia="宋体" w:cs="宋体"/>
          <w:spacing w:val="5"/>
          <w:sz w:val="20"/>
          <w:szCs w:val="20"/>
        </w:rPr>
        <w:t>发出开工通知。监理人在发出开工通知前</w:t>
      </w:r>
      <w:r>
        <w:rPr>
          <w:rFonts w:hint="eastAsia" w:ascii="宋体" w:hAnsi="宋体" w:eastAsia="宋体" w:cs="宋体"/>
          <w:spacing w:val="8"/>
          <w:sz w:val="20"/>
          <w:szCs w:val="20"/>
        </w:rPr>
        <w:t>应获得发包人同意。工期自监理人发出的开</w:t>
      </w:r>
      <w:r>
        <w:rPr>
          <w:rFonts w:hint="eastAsia" w:ascii="宋体" w:hAnsi="宋体" w:eastAsia="宋体" w:cs="宋体"/>
          <w:spacing w:val="7"/>
          <w:sz w:val="20"/>
          <w:szCs w:val="20"/>
        </w:rPr>
        <w:t>工通知中载明的开工日期起计算。承包人应在开工日期后尽快施工。</w:t>
      </w:r>
    </w:p>
    <w:p w14:paraId="784057BC">
      <w:pPr>
        <w:spacing w:before="65" w:line="360" w:lineRule="auto"/>
        <w:ind w:left="21" w:right="174" w:firstLine="433"/>
        <w:jc w:val="left"/>
        <w:rPr>
          <w:rFonts w:hint="eastAsia" w:ascii="宋体" w:hAnsi="宋体" w:eastAsia="宋体" w:cs="宋体"/>
          <w:sz w:val="20"/>
          <w:szCs w:val="20"/>
        </w:rPr>
      </w:pPr>
      <w:r>
        <w:rPr>
          <w:rFonts w:hint="eastAsia" w:ascii="宋体" w:hAnsi="宋体" w:eastAsia="宋体" w:cs="宋体"/>
          <w:spacing w:val="8"/>
          <w:sz w:val="20"/>
          <w:szCs w:val="20"/>
        </w:rPr>
        <w:t>11.1.2  承包人应按第</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10.1</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款约定的合同进度计划，</w:t>
      </w:r>
      <w:r>
        <w:rPr>
          <w:rFonts w:hint="eastAsia" w:ascii="宋体" w:hAnsi="宋体" w:eastAsia="宋体" w:cs="宋体"/>
          <w:spacing w:val="7"/>
          <w:sz w:val="20"/>
          <w:szCs w:val="20"/>
        </w:rPr>
        <w:t>向监理人提交工程开工报审表，</w:t>
      </w:r>
      <w:r>
        <w:rPr>
          <w:rFonts w:hint="eastAsia" w:ascii="宋体" w:hAnsi="宋体" w:eastAsia="宋体" w:cs="宋体"/>
          <w:spacing w:val="8"/>
          <w:sz w:val="20"/>
          <w:szCs w:val="20"/>
        </w:rPr>
        <w:t>经监理人审批后执行。开工报审表应详细说明</w:t>
      </w:r>
      <w:r>
        <w:rPr>
          <w:rFonts w:hint="eastAsia" w:ascii="宋体" w:hAnsi="宋体" w:eastAsia="宋体" w:cs="宋体"/>
          <w:spacing w:val="7"/>
          <w:sz w:val="20"/>
          <w:szCs w:val="20"/>
        </w:rPr>
        <w:t>按合同进度计划正常施工所需的施工道路、临</w:t>
      </w:r>
      <w:r>
        <w:rPr>
          <w:rFonts w:hint="eastAsia" w:ascii="宋体" w:hAnsi="宋体" w:eastAsia="宋体" w:cs="宋体"/>
          <w:spacing w:val="9"/>
          <w:sz w:val="20"/>
          <w:szCs w:val="20"/>
        </w:rPr>
        <w:t>时设施、材料设备、施工人员等施工组织措施的落实情况以及工程的进度安排。</w:t>
      </w:r>
    </w:p>
    <w:p w14:paraId="140C450D">
      <w:pPr>
        <w:spacing w:before="121" w:line="360" w:lineRule="auto"/>
        <w:ind w:left="38"/>
        <w:jc w:val="left"/>
        <w:outlineLvl w:val="2"/>
        <w:rPr>
          <w:rFonts w:hint="eastAsia" w:ascii="宋体" w:hAnsi="宋体" w:eastAsia="宋体" w:cs="宋体"/>
          <w:sz w:val="24"/>
          <w:szCs w:val="24"/>
        </w:rPr>
      </w:pPr>
      <w:bookmarkStart w:id="657" w:name="bookmark75"/>
      <w:bookmarkEnd w:id="657"/>
      <w:r>
        <w:rPr>
          <w:rFonts w:hint="eastAsia" w:ascii="宋体" w:hAnsi="宋体" w:eastAsia="宋体" w:cs="宋体"/>
          <w:spacing w:val="-7"/>
          <w:sz w:val="24"/>
          <w:szCs w:val="24"/>
        </w:rPr>
        <w:t>11.2</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竣工</w:t>
      </w:r>
    </w:p>
    <w:p w14:paraId="374249CA">
      <w:pPr>
        <w:spacing w:before="294" w:line="360" w:lineRule="auto"/>
        <w:jc w:val="left"/>
        <w:rPr>
          <w:rFonts w:hint="eastAsia" w:ascii="宋体" w:hAnsi="宋体" w:eastAsia="宋体" w:cs="宋体"/>
          <w:sz w:val="20"/>
          <w:szCs w:val="20"/>
        </w:rPr>
      </w:pPr>
      <w:r>
        <w:rPr>
          <w:rFonts w:hint="eastAsia" w:ascii="宋体" w:hAnsi="宋体" w:eastAsia="宋体" w:cs="宋体"/>
          <w:spacing w:val="4"/>
          <w:sz w:val="20"/>
          <w:szCs w:val="20"/>
        </w:rPr>
        <w:t>承包人应在第</w:t>
      </w:r>
      <w:r>
        <w:rPr>
          <w:rFonts w:hint="eastAsia" w:ascii="宋体" w:hAnsi="宋体" w:eastAsia="宋体" w:cs="宋体"/>
          <w:spacing w:val="-16"/>
          <w:sz w:val="20"/>
          <w:szCs w:val="20"/>
        </w:rPr>
        <w:t xml:space="preserve"> </w:t>
      </w:r>
      <w:r>
        <w:rPr>
          <w:rFonts w:hint="eastAsia" w:ascii="宋体" w:hAnsi="宋体" w:eastAsia="宋体" w:cs="宋体"/>
          <w:spacing w:val="4"/>
          <w:sz w:val="20"/>
          <w:szCs w:val="20"/>
        </w:rPr>
        <w:t>1.1.4.3 目约定的期限内完成合同工程。实际竣工日期在接收证书中写明。</w:t>
      </w:r>
    </w:p>
    <w:p w14:paraId="1BE06A59">
      <w:pPr>
        <w:spacing w:before="285" w:line="360" w:lineRule="auto"/>
        <w:ind w:left="38"/>
        <w:jc w:val="left"/>
        <w:outlineLvl w:val="2"/>
        <w:rPr>
          <w:rFonts w:hint="eastAsia" w:ascii="宋体" w:hAnsi="宋体" w:eastAsia="宋体" w:cs="宋体"/>
          <w:sz w:val="24"/>
          <w:szCs w:val="24"/>
        </w:rPr>
      </w:pPr>
      <w:bookmarkStart w:id="658" w:name="bookmark76"/>
      <w:bookmarkEnd w:id="658"/>
      <w:r>
        <w:rPr>
          <w:rFonts w:hint="eastAsia" w:ascii="宋体" w:hAnsi="宋体" w:eastAsia="宋体" w:cs="宋体"/>
          <w:spacing w:val="-2"/>
          <w:sz w:val="24"/>
          <w:szCs w:val="24"/>
        </w:rPr>
        <w:t>11.3  发包人的工期延误</w:t>
      </w:r>
    </w:p>
    <w:p w14:paraId="5EBA0EDA">
      <w:pPr>
        <w:spacing w:before="297" w:line="360" w:lineRule="auto"/>
        <w:ind w:left="19" w:right="174" w:firstLine="420"/>
        <w:jc w:val="left"/>
        <w:rPr>
          <w:rFonts w:hint="eastAsia" w:ascii="宋体" w:hAnsi="宋体" w:eastAsia="宋体" w:cs="宋体"/>
          <w:sz w:val="20"/>
          <w:szCs w:val="20"/>
        </w:rPr>
      </w:pPr>
      <w:r>
        <w:rPr>
          <w:rFonts w:hint="eastAsia" w:ascii="宋体" w:hAnsi="宋体" w:eastAsia="宋体" w:cs="宋体"/>
          <w:spacing w:val="7"/>
          <w:sz w:val="20"/>
          <w:szCs w:val="20"/>
        </w:rPr>
        <w:t>在履行合同过程中，由于发包人的下列原因造成承包人关键线路工期延误的，承包人有</w:t>
      </w:r>
      <w:r>
        <w:rPr>
          <w:rFonts w:hint="eastAsia" w:ascii="宋体" w:hAnsi="宋体" w:eastAsia="宋体" w:cs="宋体"/>
          <w:spacing w:val="8"/>
          <w:sz w:val="20"/>
          <w:szCs w:val="20"/>
        </w:rPr>
        <w:t>权要求发包人延长工期和（或）增加费用，并支付合</w:t>
      </w:r>
      <w:r>
        <w:rPr>
          <w:rFonts w:hint="eastAsia" w:ascii="宋体" w:hAnsi="宋体" w:eastAsia="宋体" w:cs="宋体"/>
          <w:spacing w:val="7"/>
          <w:sz w:val="20"/>
          <w:szCs w:val="20"/>
        </w:rPr>
        <w:t>理利润。需要修订合同进度计划的，按</w:t>
      </w:r>
      <w:r>
        <w:rPr>
          <w:rFonts w:hint="eastAsia" w:ascii="宋体" w:hAnsi="宋体" w:eastAsia="宋体" w:cs="宋体"/>
          <w:spacing w:val="4"/>
          <w:sz w:val="20"/>
          <w:szCs w:val="20"/>
        </w:rPr>
        <w:t>照第</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10.2</w:t>
      </w:r>
      <w:r>
        <w:rPr>
          <w:rFonts w:hint="eastAsia" w:ascii="宋体" w:hAnsi="宋体" w:eastAsia="宋体" w:cs="宋体"/>
          <w:spacing w:val="-40"/>
          <w:sz w:val="20"/>
          <w:szCs w:val="20"/>
        </w:rPr>
        <w:t xml:space="preserve"> </w:t>
      </w:r>
      <w:r>
        <w:rPr>
          <w:rFonts w:hint="eastAsia" w:ascii="宋体" w:hAnsi="宋体" w:eastAsia="宋体" w:cs="宋体"/>
          <w:spacing w:val="4"/>
          <w:sz w:val="20"/>
          <w:szCs w:val="20"/>
        </w:rPr>
        <w:t>款的约定办理。</w:t>
      </w:r>
    </w:p>
    <w:p w14:paraId="23CE2B32">
      <w:pPr>
        <w:spacing w:before="1" w:line="360" w:lineRule="auto"/>
        <w:ind w:left="344"/>
        <w:jc w:val="left"/>
        <w:rPr>
          <w:rFonts w:hint="eastAsia" w:ascii="宋体" w:hAnsi="宋体" w:eastAsia="宋体" w:cs="宋体"/>
          <w:sz w:val="20"/>
          <w:szCs w:val="20"/>
        </w:rPr>
      </w:pPr>
      <w:r>
        <w:rPr>
          <w:rFonts w:hint="eastAsia" w:ascii="宋体" w:hAnsi="宋体" w:eastAsia="宋体" w:cs="宋体"/>
          <w:spacing w:val="7"/>
          <w:sz w:val="20"/>
          <w:szCs w:val="20"/>
        </w:rPr>
        <w:t>（1）增加合同工作内容；</w:t>
      </w:r>
    </w:p>
    <w:p w14:paraId="45695453">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（2）改变合同中任何一项工作的质量要求或其他特性；</w:t>
      </w:r>
    </w:p>
    <w:p w14:paraId="79BD219C">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（3）发包人迟延提供材料或变更交货地点的；</w:t>
      </w:r>
    </w:p>
    <w:p w14:paraId="5519F2E1">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7"/>
          <w:sz w:val="20"/>
          <w:szCs w:val="20"/>
        </w:rPr>
        <w:t>（4）因发包人原因导致的暂停施工；</w:t>
      </w:r>
    </w:p>
    <w:p w14:paraId="5B521E07">
      <w:pPr>
        <w:spacing w:before="162" w:line="360" w:lineRule="auto"/>
        <w:ind w:left="344"/>
        <w:jc w:val="left"/>
        <w:rPr>
          <w:rFonts w:hint="eastAsia" w:ascii="宋体" w:hAnsi="宋体" w:eastAsia="宋体" w:cs="宋体"/>
          <w:sz w:val="20"/>
          <w:szCs w:val="20"/>
        </w:rPr>
      </w:pPr>
      <w:r>
        <w:rPr>
          <w:rFonts w:hint="eastAsia" w:ascii="宋体" w:hAnsi="宋体" w:eastAsia="宋体" w:cs="宋体"/>
          <w:spacing w:val="6"/>
          <w:sz w:val="20"/>
          <w:szCs w:val="20"/>
        </w:rPr>
        <w:t>（5）提供图纸延误；</w:t>
      </w:r>
    </w:p>
    <w:p w14:paraId="5644635B">
      <w:pPr>
        <w:spacing w:before="162"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（6）未按合同约定及时支付预付款、进度款；</w:t>
      </w:r>
    </w:p>
    <w:p w14:paraId="5C6FBD78">
      <w:pPr>
        <w:spacing w:before="161" w:line="360" w:lineRule="auto"/>
        <w:ind w:left="344"/>
        <w:jc w:val="left"/>
        <w:rPr>
          <w:rFonts w:hint="eastAsia" w:ascii="宋体" w:hAnsi="宋体" w:eastAsia="宋体" w:cs="宋体"/>
          <w:sz w:val="20"/>
          <w:szCs w:val="20"/>
        </w:rPr>
      </w:pPr>
      <w:r>
        <w:rPr>
          <w:rFonts w:hint="eastAsia" w:ascii="宋体" w:hAnsi="宋体" w:eastAsia="宋体" w:cs="宋体"/>
          <w:spacing w:val="9"/>
          <w:sz w:val="20"/>
          <w:szCs w:val="20"/>
        </w:rPr>
        <w:t>（7）因发包人原因不能按照监理人发出的开工通知中载明的开工日期</w:t>
      </w:r>
      <w:r>
        <w:rPr>
          <w:rFonts w:hint="eastAsia" w:ascii="宋体" w:hAnsi="宋体" w:eastAsia="宋体" w:cs="宋体"/>
          <w:spacing w:val="8"/>
          <w:sz w:val="20"/>
          <w:szCs w:val="20"/>
        </w:rPr>
        <w:t>开工；</w:t>
      </w:r>
    </w:p>
    <w:p w14:paraId="24ED71D0">
      <w:pPr>
        <w:spacing w:before="161" w:line="360" w:lineRule="auto"/>
        <w:ind w:left="344"/>
        <w:jc w:val="left"/>
        <w:rPr>
          <w:rFonts w:hint="eastAsia" w:ascii="宋体" w:hAnsi="宋体" w:eastAsia="宋体" w:cs="宋体"/>
          <w:spacing w:val="9"/>
          <w:sz w:val="20"/>
          <w:szCs w:val="20"/>
        </w:rPr>
      </w:pPr>
      <w:r>
        <w:rPr>
          <w:rFonts w:hint="eastAsia" w:ascii="宋体" w:hAnsi="宋体" w:eastAsia="宋体" w:cs="宋体"/>
          <w:spacing w:val="9"/>
          <w:sz w:val="20"/>
          <w:szCs w:val="20"/>
        </w:rPr>
        <w:t>（8）发包人造成工期延误的其他原因见合同条款专用部分。</w:t>
      </w:r>
    </w:p>
    <w:p w14:paraId="26F59834">
      <w:pPr>
        <w:spacing w:before="284" w:line="360" w:lineRule="auto"/>
        <w:ind w:left="38"/>
        <w:jc w:val="left"/>
        <w:outlineLvl w:val="2"/>
        <w:rPr>
          <w:rFonts w:hint="eastAsia" w:ascii="宋体" w:hAnsi="宋体" w:eastAsia="宋体" w:cs="宋体"/>
          <w:sz w:val="24"/>
          <w:szCs w:val="24"/>
        </w:rPr>
      </w:pPr>
      <w:bookmarkStart w:id="659" w:name="bookmark77"/>
      <w:bookmarkEnd w:id="659"/>
      <w:r>
        <w:rPr>
          <w:rFonts w:hint="eastAsia" w:ascii="宋体" w:hAnsi="宋体" w:eastAsia="宋体" w:cs="宋体"/>
          <w:spacing w:val="-2"/>
          <w:sz w:val="24"/>
          <w:szCs w:val="24"/>
        </w:rPr>
        <w:t>11.4  异常恶劣的气候条件</w:t>
      </w:r>
    </w:p>
    <w:p w14:paraId="2BE3196E">
      <w:pPr>
        <w:spacing w:before="297" w:line="360" w:lineRule="auto"/>
        <w:ind w:left="20" w:right="177" w:firstLine="444"/>
        <w:jc w:val="left"/>
        <w:rPr>
          <w:rFonts w:hint="eastAsia" w:ascii="宋体" w:hAnsi="宋体" w:eastAsia="宋体" w:cs="宋体"/>
          <w:spacing w:val="9"/>
          <w:sz w:val="20"/>
          <w:szCs w:val="20"/>
        </w:rPr>
      </w:pPr>
      <w:r>
        <w:rPr>
          <w:rFonts w:hint="eastAsia" w:ascii="宋体" w:hAnsi="宋体" w:eastAsia="宋体" w:cs="宋体"/>
          <w:spacing w:val="7"/>
          <w:sz w:val="20"/>
          <w:szCs w:val="20"/>
        </w:rPr>
        <w:t>由于出现异常恶劣气候的条件导致工期延误的，承包人有权</w:t>
      </w:r>
      <w:r>
        <w:rPr>
          <w:rFonts w:hint="eastAsia" w:ascii="宋体" w:hAnsi="宋体" w:eastAsia="宋体" w:cs="宋体"/>
          <w:spacing w:val="6"/>
          <w:sz w:val="20"/>
          <w:szCs w:val="20"/>
        </w:rPr>
        <w:t>要求发包人延长工期。异常</w:t>
      </w:r>
      <w:r>
        <w:rPr>
          <w:rFonts w:hint="eastAsia" w:ascii="宋体" w:hAnsi="宋体" w:eastAsia="宋体" w:cs="宋体"/>
          <w:spacing w:val="9"/>
          <w:sz w:val="20"/>
          <w:szCs w:val="20"/>
        </w:rPr>
        <w:t>恶劣的气候条件的范围和标准见合同条款专用部分。</w:t>
      </w:r>
    </w:p>
    <w:p w14:paraId="5C0D9700">
      <w:pPr>
        <w:spacing w:before="120" w:line="360" w:lineRule="auto"/>
        <w:ind w:left="38"/>
        <w:jc w:val="left"/>
        <w:outlineLvl w:val="2"/>
        <w:rPr>
          <w:rFonts w:hint="eastAsia" w:ascii="宋体" w:hAnsi="宋体" w:eastAsia="宋体" w:cs="宋体"/>
          <w:sz w:val="24"/>
          <w:szCs w:val="24"/>
        </w:rPr>
      </w:pPr>
      <w:bookmarkStart w:id="660" w:name="bookmark78"/>
      <w:bookmarkEnd w:id="660"/>
      <w:r>
        <w:rPr>
          <w:rFonts w:hint="eastAsia" w:ascii="宋体" w:hAnsi="宋体" w:eastAsia="宋体" w:cs="宋体"/>
          <w:spacing w:val="-2"/>
          <w:sz w:val="24"/>
          <w:szCs w:val="24"/>
        </w:rPr>
        <w:t>11.5  承包人的工期延误</w:t>
      </w:r>
    </w:p>
    <w:p w14:paraId="528A650B">
      <w:pPr>
        <w:spacing w:before="297" w:line="360" w:lineRule="auto"/>
        <w:ind w:left="19" w:right="174" w:firstLine="436"/>
        <w:jc w:val="left"/>
        <w:rPr>
          <w:rFonts w:hint="eastAsia" w:ascii="宋体" w:hAnsi="宋体" w:eastAsia="宋体" w:cs="宋体"/>
          <w:sz w:val="20"/>
          <w:szCs w:val="20"/>
        </w:rPr>
      </w:pPr>
      <w:r>
        <w:rPr>
          <w:rFonts w:hint="eastAsia" w:ascii="宋体" w:hAnsi="宋体" w:eastAsia="宋体" w:cs="宋体"/>
          <w:spacing w:val="6"/>
          <w:sz w:val="20"/>
          <w:szCs w:val="20"/>
        </w:rPr>
        <w:t>11.5.1  由于承包人原因，未能按合同进度计划完成工作，或监理人认为承包人施工进</w:t>
      </w:r>
      <w:r>
        <w:rPr>
          <w:rFonts w:hint="eastAsia" w:ascii="宋体" w:hAnsi="宋体" w:eastAsia="宋体" w:cs="宋体"/>
          <w:spacing w:val="8"/>
          <w:sz w:val="20"/>
          <w:szCs w:val="20"/>
        </w:rPr>
        <w:t>度不能满足合同工期要求的，承包人应在不影响工</w:t>
      </w:r>
      <w:r>
        <w:rPr>
          <w:rFonts w:hint="eastAsia" w:ascii="宋体" w:hAnsi="宋体" w:eastAsia="宋体" w:cs="宋体"/>
          <w:spacing w:val="7"/>
          <w:sz w:val="20"/>
          <w:szCs w:val="20"/>
        </w:rPr>
        <w:t>程安全和质量的前提下采取必要的赶工措</w:t>
      </w:r>
      <w:r>
        <w:rPr>
          <w:rFonts w:hint="eastAsia" w:ascii="宋体" w:hAnsi="宋体" w:eastAsia="宋体" w:cs="宋体"/>
          <w:spacing w:val="9"/>
          <w:sz w:val="20"/>
          <w:szCs w:val="20"/>
        </w:rPr>
        <w:t>施加快进度，并承担加快进度所增加的费用。</w:t>
      </w:r>
    </w:p>
    <w:p w14:paraId="68193245">
      <w:pPr>
        <w:spacing w:before="161" w:line="360" w:lineRule="auto"/>
        <w:ind w:left="20" w:right="174" w:firstLine="434"/>
        <w:jc w:val="left"/>
        <w:rPr>
          <w:rFonts w:hint="eastAsia" w:ascii="宋体" w:hAnsi="宋体" w:eastAsia="宋体" w:cs="宋体"/>
          <w:spacing w:val="8"/>
          <w:sz w:val="20"/>
          <w:szCs w:val="20"/>
        </w:rPr>
      </w:pPr>
      <w:r>
        <w:rPr>
          <w:rFonts w:hint="eastAsia" w:ascii="宋体" w:hAnsi="宋体" w:eastAsia="宋体" w:cs="宋体"/>
          <w:spacing w:val="6"/>
          <w:sz w:val="20"/>
          <w:szCs w:val="20"/>
        </w:rPr>
        <w:t>11.5.2  由于承包人原因造成不能按期竣工的，按照合同约定的竣工日期（包括按合同工期延长）后</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天内，监理人应当按第</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23.4.1</w:t>
      </w:r>
      <w:r>
        <w:rPr>
          <w:rFonts w:hint="eastAsia" w:ascii="宋体" w:hAnsi="宋体" w:eastAsia="宋体" w:cs="宋体"/>
          <w:spacing w:val="-35"/>
          <w:sz w:val="20"/>
          <w:szCs w:val="20"/>
        </w:rPr>
        <w:t xml:space="preserve"> </w:t>
      </w:r>
      <w:r>
        <w:rPr>
          <w:rFonts w:hint="eastAsia" w:ascii="宋体" w:hAnsi="宋体" w:eastAsia="宋体" w:cs="宋体"/>
          <w:spacing w:val="5"/>
          <w:sz w:val="20"/>
          <w:szCs w:val="20"/>
        </w:rPr>
        <w:t>项的约定书面通知承包人,说明发包人有权得</w:t>
      </w:r>
      <w:r>
        <w:rPr>
          <w:rFonts w:hint="eastAsia" w:ascii="宋体" w:hAnsi="宋体" w:eastAsia="宋体" w:cs="宋体"/>
          <w:spacing w:val="8"/>
          <w:sz w:val="20"/>
          <w:szCs w:val="20"/>
        </w:rPr>
        <w:t>到逾期竣工违约金，逾期竣工违约金计算标准</w:t>
      </w:r>
      <w:r>
        <w:rPr>
          <w:rFonts w:hint="eastAsia" w:ascii="宋体" w:hAnsi="宋体" w:eastAsia="宋体" w:cs="宋体"/>
          <w:spacing w:val="9"/>
          <w:sz w:val="20"/>
          <w:szCs w:val="20"/>
        </w:rPr>
        <w:t>和计算方法见合同条款专用部分。但最终逾期竣工违约金</w:t>
      </w:r>
      <w:r>
        <w:rPr>
          <w:rFonts w:hint="eastAsia" w:ascii="宋体" w:hAnsi="宋体" w:eastAsia="宋体" w:cs="宋体"/>
          <w:spacing w:val="8"/>
          <w:sz w:val="20"/>
          <w:szCs w:val="20"/>
        </w:rPr>
        <w:t>的金额不应超过合同约定的逾期竣工</w:t>
      </w:r>
      <w:r>
        <w:rPr>
          <w:rFonts w:hint="eastAsia" w:ascii="宋体" w:hAnsi="宋体" w:eastAsia="宋体" w:cs="宋体"/>
          <w:spacing w:val="7"/>
          <w:sz w:val="20"/>
          <w:szCs w:val="20"/>
        </w:rPr>
        <w:t>违约金最高限额。逾期竣工违约金最高限</w:t>
      </w:r>
      <w:r>
        <w:rPr>
          <w:rFonts w:hint="eastAsia" w:ascii="宋体" w:hAnsi="宋体" w:eastAsia="宋体" w:cs="宋体"/>
          <w:spacing w:val="8"/>
          <w:sz w:val="20"/>
          <w:szCs w:val="20"/>
        </w:rPr>
        <w:t>额见合同条款专用部分。</w:t>
      </w:r>
    </w:p>
    <w:p w14:paraId="75F5DA25">
      <w:pPr>
        <w:spacing w:before="162" w:line="360" w:lineRule="auto"/>
        <w:ind w:left="36" w:right="177" w:firstLine="403"/>
        <w:jc w:val="left"/>
        <w:rPr>
          <w:rFonts w:hint="eastAsia" w:ascii="宋体" w:hAnsi="宋体" w:eastAsia="宋体" w:cs="宋体"/>
          <w:sz w:val="20"/>
          <w:szCs w:val="20"/>
        </w:rPr>
      </w:pPr>
      <w:r>
        <w:rPr>
          <w:rFonts w:hint="eastAsia" w:ascii="宋体" w:hAnsi="宋体" w:eastAsia="宋体" w:cs="宋体"/>
          <w:spacing w:val="7"/>
          <w:sz w:val="20"/>
          <w:szCs w:val="20"/>
        </w:rPr>
        <w:t>监理人未在规定的期限内发出本款约定的书面通知的，发包人丧失主张逾期竣工违约金</w:t>
      </w:r>
      <w:r>
        <w:rPr>
          <w:rFonts w:hint="eastAsia" w:ascii="宋体" w:hAnsi="宋体" w:eastAsia="宋体" w:cs="宋体"/>
          <w:sz w:val="20"/>
          <w:szCs w:val="20"/>
        </w:rPr>
        <w:t>的权利。</w:t>
      </w:r>
    </w:p>
    <w:p w14:paraId="45937490">
      <w:pPr>
        <w:spacing w:before="65" w:line="360" w:lineRule="auto"/>
        <w:ind w:left="455"/>
        <w:jc w:val="left"/>
        <w:rPr>
          <w:rFonts w:hint="eastAsia" w:ascii="宋体" w:hAnsi="宋体" w:eastAsia="宋体" w:cs="宋体"/>
          <w:sz w:val="20"/>
          <w:szCs w:val="20"/>
        </w:rPr>
      </w:pPr>
      <w:r>
        <w:rPr>
          <w:rFonts w:hint="eastAsia" w:ascii="宋体" w:hAnsi="宋体" w:eastAsia="宋体" w:cs="宋体"/>
          <w:spacing w:val="8"/>
          <w:sz w:val="20"/>
          <w:szCs w:val="20"/>
        </w:rPr>
        <w:t>11.5.3  承包人支付逾期竣工违约金，不免除承包人完成工程及修补缺陷的义务。</w:t>
      </w:r>
    </w:p>
    <w:p w14:paraId="570BF948">
      <w:pPr>
        <w:spacing w:before="284" w:line="360" w:lineRule="auto"/>
        <w:ind w:left="38"/>
        <w:jc w:val="left"/>
        <w:outlineLvl w:val="2"/>
        <w:rPr>
          <w:rFonts w:hint="eastAsia" w:ascii="宋体" w:hAnsi="宋体" w:eastAsia="宋体" w:cs="宋体"/>
          <w:sz w:val="24"/>
          <w:szCs w:val="24"/>
        </w:rPr>
      </w:pPr>
      <w:bookmarkStart w:id="661" w:name="bookmark79"/>
      <w:bookmarkEnd w:id="661"/>
      <w:r>
        <w:rPr>
          <w:rFonts w:hint="eastAsia" w:ascii="宋体" w:hAnsi="宋体" w:eastAsia="宋体" w:cs="宋体"/>
          <w:spacing w:val="-2"/>
          <w:sz w:val="24"/>
          <w:szCs w:val="24"/>
        </w:rPr>
        <w:t>11.6  合同双方原因导致的工期延误</w:t>
      </w:r>
    </w:p>
    <w:p w14:paraId="7667C40E">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在履行合同过程中，由于合同双方的原因造成承包人关键线路工期延误或窝工降效的，承包人可根据实际影响情况并按照合同约定期限提出工期顺延和（或）费用损失申请，发包人应当在合同约定的期限内及时处理，并按过错责任分担工期和（或）费用损失；责任划分不清的，以主导原因为主承担工期和（或）费用损失。需要修订合同进度计划的，按照第10.2 款的约定办理。合同双方导致工期延误的原因见合同条款专用部分。</w:t>
      </w:r>
    </w:p>
    <w:p w14:paraId="3D758695">
      <w:pPr>
        <w:spacing w:before="118" w:line="360" w:lineRule="auto"/>
        <w:ind w:left="38"/>
        <w:jc w:val="left"/>
        <w:outlineLvl w:val="2"/>
        <w:rPr>
          <w:rFonts w:hint="eastAsia" w:ascii="宋体" w:hAnsi="宋体" w:eastAsia="宋体" w:cs="宋体"/>
          <w:sz w:val="24"/>
          <w:szCs w:val="24"/>
        </w:rPr>
      </w:pPr>
      <w:bookmarkStart w:id="662" w:name="bookmark80"/>
      <w:bookmarkEnd w:id="662"/>
      <w:r>
        <w:rPr>
          <w:rFonts w:hint="eastAsia" w:ascii="宋体" w:hAnsi="宋体" w:eastAsia="宋体" w:cs="宋体"/>
          <w:spacing w:val="-2"/>
          <w:sz w:val="24"/>
          <w:szCs w:val="24"/>
        </w:rPr>
        <w:t>11.7  非合同双方原因导致的工期延误</w:t>
      </w:r>
    </w:p>
    <w:p w14:paraId="4CE57F7B">
      <w:pPr>
        <w:spacing w:before="158" w:line="360" w:lineRule="auto"/>
        <w:ind w:left="23" w:right="74" w:firstLine="417"/>
        <w:jc w:val="left"/>
        <w:rPr>
          <w:rFonts w:hint="eastAsia" w:ascii="宋体" w:hAnsi="宋体" w:eastAsia="宋体" w:cs="宋体"/>
          <w:spacing w:val="6"/>
          <w:sz w:val="20"/>
          <w:szCs w:val="20"/>
        </w:rPr>
      </w:pPr>
      <w:r>
        <w:rPr>
          <w:rFonts w:hint="eastAsia" w:ascii="宋体" w:hAnsi="宋体" w:eastAsia="宋体" w:cs="宋体"/>
          <w:spacing w:val="6"/>
          <w:sz w:val="20"/>
          <w:szCs w:val="20"/>
        </w:rPr>
        <w:t>在履行合同过程中，由于非合同双方的原因造成承包人关键线路工期延误或窝工降效的，承包人可根据实际影响情况并按照合同约定期限提出工期顺延和（或）费用损失申请，发包人应当在合同约定的期限内及时处理，给予顺延工期，合同双方应根据公平原则分担费用损失。需要修订合同进度计划的，按照第 10.2 款的约定办理。非合同双方导致工期延误的原因见合同条款专用部分。</w:t>
      </w:r>
    </w:p>
    <w:p w14:paraId="660EDEF6">
      <w:pPr>
        <w:spacing w:before="121" w:line="360" w:lineRule="auto"/>
        <w:ind w:left="38"/>
        <w:jc w:val="left"/>
        <w:outlineLvl w:val="2"/>
        <w:rPr>
          <w:rFonts w:hint="eastAsia" w:ascii="宋体" w:hAnsi="宋体" w:eastAsia="宋体" w:cs="宋体"/>
          <w:sz w:val="24"/>
          <w:szCs w:val="24"/>
        </w:rPr>
      </w:pPr>
      <w:bookmarkStart w:id="663" w:name="bookmark81"/>
      <w:bookmarkEnd w:id="663"/>
      <w:r>
        <w:rPr>
          <w:rFonts w:hint="eastAsia" w:ascii="宋体" w:hAnsi="宋体" w:eastAsia="宋体" w:cs="宋体"/>
          <w:spacing w:val="-5"/>
          <w:sz w:val="24"/>
          <w:szCs w:val="24"/>
        </w:rPr>
        <w:t>11.8</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工期提前</w:t>
      </w:r>
    </w:p>
    <w:p w14:paraId="44E2E077">
      <w:pPr>
        <w:spacing w:before="292" w:line="360" w:lineRule="auto"/>
        <w:ind w:left="19" w:right="122" w:firstLine="423"/>
        <w:jc w:val="left"/>
        <w:rPr>
          <w:rFonts w:hint="eastAsia" w:ascii="宋体" w:hAnsi="宋体" w:eastAsia="宋体" w:cs="宋体"/>
          <w:sz w:val="20"/>
          <w:szCs w:val="20"/>
        </w:rPr>
      </w:pPr>
      <w:r>
        <w:rPr>
          <w:rFonts w:hint="eastAsia" w:ascii="宋体" w:hAnsi="宋体" w:eastAsia="宋体" w:cs="宋体"/>
          <w:spacing w:val="8"/>
          <w:sz w:val="20"/>
          <w:szCs w:val="20"/>
        </w:rPr>
        <w:t>发</w:t>
      </w:r>
      <w:r>
        <w:rPr>
          <w:rFonts w:hint="eastAsia" w:ascii="宋体" w:hAnsi="宋体" w:eastAsia="宋体" w:cs="宋体"/>
          <w:spacing w:val="6"/>
          <w:sz w:val="20"/>
          <w:szCs w:val="20"/>
        </w:rPr>
        <w:t>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14:paraId="473EED32">
      <w:pPr>
        <w:spacing w:before="125" w:line="360" w:lineRule="auto"/>
        <w:ind w:left="43"/>
        <w:jc w:val="left"/>
        <w:outlineLvl w:val="1"/>
        <w:rPr>
          <w:rFonts w:hint="eastAsia" w:ascii="宋体" w:hAnsi="宋体" w:eastAsia="宋体" w:cs="宋体"/>
          <w:sz w:val="28"/>
          <w:szCs w:val="28"/>
        </w:rPr>
      </w:pPr>
      <w:bookmarkStart w:id="664" w:name="bookmark82"/>
      <w:bookmarkEnd w:id="664"/>
      <w:r>
        <w:rPr>
          <w:rFonts w:hint="eastAsia" w:ascii="宋体" w:hAnsi="宋体" w:eastAsia="宋体" w:cs="宋体"/>
          <w:spacing w:val="-5"/>
          <w:sz w:val="28"/>
          <w:szCs w:val="28"/>
        </w:rPr>
        <w:t>12.暂停施工</w:t>
      </w:r>
    </w:p>
    <w:p w14:paraId="720C1E84">
      <w:pPr>
        <w:pStyle w:val="17"/>
        <w:spacing w:line="360" w:lineRule="auto"/>
        <w:jc w:val="left"/>
        <w:rPr>
          <w:rFonts w:hint="eastAsia" w:ascii="宋体" w:hAnsi="宋体" w:eastAsia="宋体" w:cs="宋体"/>
        </w:rPr>
      </w:pPr>
    </w:p>
    <w:p w14:paraId="5A07C3D9">
      <w:pPr>
        <w:spacing w:before="79"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12.1  承包人暂停施工的责任</w:t>
      </w:r>
    </w:p>
    <w:p w14:paraId="7A4DDF6D">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因下列情形暂停施工增加的费用和（或）工期延误由承包人承担：</w:t>
      </w:r>
    </w:p>
    <w:p w14:paraId="16C46E4F">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（1）承包人违约引起的暂停施工；</w:t>
      </w:r>
    </w:p>
    <w:p w14:paraId="2E313CCD">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（2） 由于承包人原因为工程合理施工和安全保障所必需的暂停施工；</w:t>
      </w:r>
    </w:p>
    <w:p w14:paraId="00769EEB">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（3）承包人擅自暂停施工；</w:t>
      </w:r>
    </w:p>
    <w:p w14:paraId="011F6244">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（4）承包人承担暂停施工责任的其他情形见合同条款专用部分。</w:t>
      </w:r>
    </w:p>
    <w:p w14:paraId="49A78EC7">
      <w:pPr>
        <w:spacing w:before="287" w:line="360" w:lineRule="auto"/>
        <w:ind w:left="38"/>
        <w:jc w:val="left"/>
        <w:outlineLvl w:val="2"/>
        <w:rPr>
          <w:rFonts w:hint="eastAsia" w:ascii="宋体" w:hAnsi="宋体" w:eastAsia="宋体" w:cs="宋体"/>
          <w:sz w:val="24"/>
          <w:szCs w:val="24"/>
        </w:rPr>
      </w:pPr>
      <w:bookmarkStart w:id="665" w:name="bookmark83"/>
      <w:bookmarkEnd w:id="665"/>
      <w:r>
        <w:rPr>
          <w:rFonts w:hint="eastAsia" w:ascii="宋体" w:hAnsi="宋体" w:eastAsia="宋体" w:cs="宋体"/>
          <w:spacing w:val="-2"/>
          <w:sz w:val="24"/>
          <w:szCs w:val="24"/>
        </w:rPr>
        <w:t>12.2  发包人暂停施工的责任</w:t>
      </w:r>
    </w:p>
    <w:p w14:paraId="0957F637">
      <w:pPr>
        <w:spacing w:before="295" w:line="360" w:lineRule="auto"/>
        <w:ind w:left="29" w:right="159" w:firstLine="435"/>
        <w:jc w:val="left"/>
        <w:rPr>
          <w:rFonts w:hint="eastAsia" w:ascii="宋体" w:hAnsi="宋体" w:eastAsia="宋体" w:cs="宋体"/>
          <w:sz w:val="20"/>
          <w:szCs w:val="20"/>
        </w:rPr>
      </w:pPr>
      <w:r>
        <w:rPr>
          <w:rFonts w:hint="eastAsia" w:ascii="宋体" w:hAnsi="宋体" w:eastAsia="宋体" w:cs="宋体"/>
          <w:spacing w:val="12"/>
          <w:sz w:val="20"/>
          <w:szCs w:val="20"/>
        </w:rPr>
        <w:t>由于发包人原因引起的暂停施工造成工期延误的，承包人有权要求发包人延长工期和</w:t>
      </w:r>
      <w:r>
        <w:rPr>
          <w:rFonts w:hint="eastAsia" w:ascii="宋体" w:hAnsi="宋体" w:eastAsia="宋体" w:cs="宋体"/>
          <w:spacing w:val="8"/>
          <w:sz w:val="20"/>
          <w:szCs w:val="20"/>
        </w:rPr>
        <w:t>（或）增加费用，并支付合理利润。</w:t>
      </w:r>
    </w:p>
    <w:p w14:paraId="0398D261">
      <w:pPr>
        <w:pStyle w:val="17"/>
        <w:spacing w:line="360" w:lineRule="auto"/>
        <w:jc w:val="left"/>
        <w:rPr>
          <w:rFonts w:hint="eastAsia" w:ascii="宋体" w:hAnsi="宋体" w:eastAsia="宋体" w:cs="宋体"/>
        </w:rPr>
      </w:pPr>
    </w:p>
    <w:p w14:paraId="7DEC55E1">
      <w:pPr>
        <w:spacing w:before="78" w:line="360" w:lineRule="auto"/>
        <w:ind w:left="38"/>
        <w:jc w:val="left"/>
        <w:outlineLvl w:val="2"/>
        <w:rPr>
          <w:rFonts w:hint="eastAsia" w:ascii="宋体" w:hAnsi="宋体" w:eastAsia="宋体" w:cs="宋体"/>
          <w:sz w:val="24"/>
          <w:szCs w:val="24"/>
        </w:rPr>
      </w:pPr>
      <w:bookmarkStart w:id="666" w:name="bookmark84"/>
      <w:bookmarkEnd w:id="666"/>
      <w:r>
        <w:rPr>
          <w:rFonts w:hint="eastAsia" w:ascii="宋体" w:hAnsi="宋体" w:eastAsia="宋体" w:cs="宋体"/>
          <w:spacing w:val="-2"/>
          <w:sz w:val="24"/>
          <w:szCs w:val="24"/>
        </w:rPr>
        <w:t>12.3  监理人暂停施工指示</w:t>
      </w:r>
    </w:p>
    <w:p w14:paraId="68E83EDC">
      <w:pPr>
        <w:spacing w:before="296" w:line="360" w:lineRule="auto"/>
        <w:ind w:left="20" w:right="92" w:firstLine="434"/>
        <w:jc w:val="left"/>
        <w:rPr>
          <w:rFonts w:hint="eastAsia" w:ascii="宋体" w:hAnsi="宋体" w:eastAsia="宋体" w:cs="宋体"/>
          <w:sz w:val="20"/>
          <w:szCs w:val="20"/>
        </w:rPr>
      </w:pPr>
      <w:r>
        <w:rPr>
          <w:rFonts w:hint="eastAsia" w:ascii="宋体" w:hAnsi="宋体" w:eastAsia="宋体" w:cs="宋体"/>
          <w:spacing w:val="6"/>
          <w:sz w:val="20"/>
          <w:szCs w:val="20"/>
        </w:rPr>
        <w:t>12.3.1  监理人认为有必要时，可向承包人作出暂停施工的指示，承包人应按监理人指</w:t>
      </w:r>
      <w:r>
        <w:rPr>
          <w:rFonts w:hint="eastAsia" w:ascii="宋体" w:hAnsi="宋体" w:eastAsia="宋体" w:cs="宋体"/>
          <w:spacing w:val="7"/>
          <w:sz w:val="20"/>
          <w:szCs w:val="20"/>
        </w:rPr>
        <w:t>示暂停施工。不论由于何种原因引起的暂停施工，暂停施工期间承包人应负责妥善保护工程并提供安全保障。</w:t>
      </w:r>
    </w:p>
    <w:p w14:paraId="2DA32D46">
      <w:pPr>
        <w:spacing w:before="161" w:line="360" w:lineRule="auto"/>
        <w:ind w:left="20" w:right="94" w:firstLine="434"/>
        <w:jc w:val="left"/>
        <w:rPr>
          <w:rFonts w:hint="eastAsia" w:ascii="宋体" w:hAnsi="宋体" w:eastAsia="宋体" w:cs="宋体"/>
          <w:sz w:val="20"/>
          <w:szCs w:val="20"/>
        </w:rPr>
      </w:pPr>
      <w:r>
        <w:rPr>
          <w:rFonts w:hint="eastAsia" w:ascii="宋体" w:hAnsi="宋体" w:eastAsia="宋体" w:cs="宋体"/>
          <w:spacing w:val="6"/>
          <w:sz w:val="20"/>
          <w:szCs w:val="20"/>
        </w:rPr>
        <w:t>12.3.2  由于发包人的原因发生暂停施工的紧急情况，且监理人未及时下达暂停施工指</w:t>
      </w:r>
      <w:r>
        <w:rPr>
          <w:rFonts w:hint="eastAsia" w:ascii="宋体" w:hAnsi="宋体" w:eastAsia="宋体" w:cs="宋体"/>
          <w:spacing w:val="7"/>
          <w:sz w:val="20"/>
          <w:szCs w:val="20"/>
        </w:rPr>
        <w:t>示的，承包人可先暂停施工，并及时向监理人提出暂停施工的书面请求。监理人应在接到书</w:t>
      </w:r>
      <w:r>
        <w:rPr>
          <w:rFonts w:hint="eastAsia" w:ascii="宋体" w:hAnsi="宋体" w:eastAsia="宋体" w:cs="宋体"/>
          <w:spacing w:val="8"/>
          <w:sz w:val="20"/>
          <w:szCs w:val="20"/>
        </w:rPr>
        <w:t>面请求后的</w:t>
      </w:r>
      <w:r>
        <w:rPr>
          <w:rFonts w:hint="eastAsia" w:ascii="宋体" w:hAnsi="宋体" w:eastAsia="宋体" w:cs="宋体"/>
          <w:spacing w:val="-20"/>
          <w:sz w:val="20"/>
          <w:szCs w:val="20"/>
        </w:rPr>
        <w:t xml:space="preserve"> </w:t>
      </w:r>
      <w:r>
        <w:rPr>
          <w:rFonts w:hint="eastAsia" w:ascii="宋体" w:hAnsi="宋体" w:eastAsia="宋体" w:cs="宋体"/>
          <w:spacing w:val="8"/>
          <w:sz w:val="20"/>
          <w:szCs w:val="20"/>
        </w:rPr>
        <w:t>24</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小时内予以答复，逾期未答复的，视为同意承包人的暂停施工请求。</w:t>
      </w:r>
    </w:p>
    <w:p w14:paraId="51B6809A">
      <w:pPr>
        <w:spacing w:before="284" w:line="360" w:lineRule="auto"/>
        <w:ind w:left="38"/>
        <w:jc w:val="left"/>
        <w:outlineLvl w:val="2"/>
        <w:rPr>
          <w:rFonts w:hint="eastAsia" w:ascii="宋体" w:hAnsi="宋体" w:eastAsia="宋体" w:cs="宋体"/>
          <w:sz w:val="24"/>
          <w:szCs w:val="24"/>
        </w:rPr>
      </w:pPr>
      <w:bookmarkStart w:id="667" w:name="bookmark85"/>
      <w:bookmarkEnd w:id="667"/>
      <w:r>
        <w:rPr>
          <w:rFonts w:hint="eastAsia" w:ascii="宋体" w:hAnsi="宋体" w:eastAsia="宋体" w:cs="宋体"/>
          <w:spacing w:val="-2"/>
          <w:sz w:val="24"/>
          <w:szCs w:val="24"/>
        </w:rPr>
        <w:t>12.4  暂停施工后的复工</w:t>
      </w:r>
    </w:p>
    <w:p w14:paraId="20F9D521">
      <w:pPr>
        <w:spacing w:before="293" w:line="360" w:lineRule="auto"/>
        <w:ind w:left="19" w:right="92" w:firstLine="435"/>
        <w:jc w:val="left"/>
        <w:rPr>
          <w:rFonts w:hint="eastAsia" w:ascii="宋体" w:hAnsi="宋体" w:eastAsia="宋体" w:cs="宋体"/>
          <w:sz w:val="20"/>
          <w:szCs w:val="20"/>
        </w:rPr>
      </w:pPr>
      <w:r>
        <w:rPr>
          <w:rFonts w:hint="eastAsia" w:ascii="宋体" w:hAnsi="宋体" w:eastAsia="宋体" w:cs="宋体"/>
          <w:spacing w:val="6"/>
          <w:sz w:val="20"/>
          <w:szCs w:val="20"/>
        </w:rPr>
        <w:t>12.4.1  暂停施工后，监理人应与发包人和承包人协商，采取有效措施积极消除暂停施</w:t>
      </w:r>
      <w:r>
        <w:rPr>
          <w:rFonts w:hint="eastAsia" w:ascii="宋体" w:hAnsi="宋体" w:eastAsia="宋体" w:cs="宋体"/>
          <w:spacing w:val="8"/>
          <w:sz w:val="20"/>
          <w:szCs w:val="20"/>
        </w:rPr>
        <w:t>工的影响。当工程具备复工条件时，监理人应立即</w:t>
      </w:r>
      <w:r>
        <w:rPr>
          <w:rFonts w:hint="eastAsia" w:ascii="宋体" w:hAnsi="宋体" w:eastAsia="宋体" w:cs="宋体"/>
          <w:spacing w:val="7"/>
          <w:sz w:val="20"/>
          <w:szCs w:val="20"/>
        </w:rPr>
        <w:t>向承包人发出复工通知。承包人收到复工</w:t>
      </w:r>
      <w:r>
        <w:rPr>
          <w:rFonts w:hint="eastAsia" w:ascii="宋体" w:hAnsi="宋体" w:eastAsia="宋体" w:cs="宋体"/>
          <w:spacing w:val="8"/>
          <w:sz w:val="20"/>
          <w:szCs w:val="20"/>
        </w:rPr>
        <w:t>通知后，应在监理人指定的期限内复工。</w:t>
      </w:r>
    </w:p>
    <w:p w14:paraId="5EE903AF">
      <w:pPr>
        <w:spacing w:before="162" w:line="360" w:lineRule="auto"/>
        <w:ind w:left="22" w:right="92" w:firstLine="432"/>
        <w:jc w:val="left"/>
        <w:rPr>
          <w:rFonts w:hint="eastAsia" w:ascii="宋体" w:hAnsi="宋体" w:eastAsia="宋体" w:cs="宋体"/>
          <w:sz w:val="20"/>
          <w:szCs w:val="20"/>
        </w:rPr>
      </w:pPr>
      <w:r>
        <w:rPr>
          <w:rFonts w:hint="eastAsia" w:ascii="宋体" w:hAnsi="宋体" w:eastAsia="宋体" w:cs="宋体"/>
          <w:spacing w:val="6"/>
          <w:sz w:val="20"/>
          <w:szCs w:val="20"/>
        </w:rPr>
        <w:t>12.4.2  承包人无故拖延和拒绝复工的，由此增加的费用和工期延误由承包人承担；因</w:t>
      </w:r>
      <w:r>
        <w:rPr>
          <w:rFonts w:hint="eastAsia" w:ascii="宋体" w:hAnsi="宋体" w:eastAsia="宋体" w:cs="宋体"/>
          <w:spacing w:val="7"/>
          <w:sz w:val="20"/>
          <w:szCs w:val="20"/>
        </w:rPr>
        <w:t>发包人原因无法按时复工的，承包人有权要求发包人延长工期和（或）增加费用，并支付合</w:t>
      </w:r>
      <w:r>
        <w:rPr>
          <w:rFonts w:hint="eastAsia" w:ascii="宋体" w:hAnsi="宋体" w:eastAsia="宋体" w:cs="宋体"/>
          <w:spacing w:val="4"/>
          <w:sz w:val="20"/>
          <w:szCs w:val="20"/>
        </w:rPr>
        <w:t>理利润。</w:t>
      </w:r>
    </w:p>
    <w:p w14:paraId="44A7AD83">
      <w:pPr>
        <w:spacing w:before="159" w:line="360" w:lineRule="auto"/>
        <w:ind w:left="19" w:right="92" w:firstLine="436"/>
        <w:jc w:val="left"/>
        <w:rPr>
          <w:rFonts w:hint="eastAsia" w:ascii="宋体" w:hAnsi="宋体" w:eastAsia="宋体" w:cs="宋体"/>
          <w:sz w:val="20"/>
          <w:szCs w:val="20"/>
        </w:rPr>
      </w:pPr>
      <w:r>
        <w:rPr>
          <w:rFonts w:hint="eastAsia" w:ascii="宋体" w:hAnsi="宋体" w:eastAsia="宋体" w:cs="宋体"/>
          <w:spacing w:val="7"/>
          <w:sz w:val="20"/>
          <w:szCs w:val="20"/>
        </w:rPr>
        <w:t>12.4.3  根据第</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12.4.1</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款的约定，监理人发出复工通知后，监理人应和承包人一起对</w:t>
      </w:r>
      <w:r>
        <w:rPr>
          <w:rFonts w:hint="eastAsia" w:ascii="宋体" w:hAnsi="宋体" w:eastAsia="宋体" w:cs="宋体"/>
          <w:spacing w:val="8"/>
          <w:sz w:val="20"/>
          <w:szCs w:val="20"/>
        </w:rPr>
        <w:t>受到暂停施工影响的工程以及材料进行检查。</w:t>
      </w:r>
      <w:r>
        <w:rPr>
          <w:rFonts w:hint="eastAsia" w:ascii="宋体" w:hAnsi="宋体" w:eastAsia="宋体" w:cs="宋体"/>
          <w:spacing w:val="7"/>
          <w:sz w:val="20"/>
          <w:szCs w:val="20"/>
        </w:rPr>
        <w:t>承包人负责修复在暂停施工期间发生在工程以</w:t>
      </w:r>
      <w:r>
        <w:rPr>
          <w:rFonts w:hint="eastAsia" w:ascii="宋体" w:hAnsi="宋体" w:eastAsia="宋体" w:cs="宋体"/>
          <w:spacing w:val="9"/>
          <w:sz w:val="20"/>
          <w:szCs w:val="20"/>
        </w:rPr>
        <w:t>及材料上的任何损蚀、缺陷或损失，修复费用由承担暂停施工责任的责任人承担。</w:t>
      </w:r>
    </w:p>
    <w:p w14:paraId="027E58F9">
      <w:pPr>
        <w:spacing w:before="165" w:line="360" w:lineRule="auto"/>
        <w:ind w:left="36" w:right="92" w:firstLine="419"/>
        <w:jc w:val="left"/>
        <w:rPr>
          <w:rFonts w:hint="eastAsia" w:ascii="宋体" w:hAnsi="宋体" w:eastAsia="宋体" w:cs="宋体"/>
          <w:sz w:val="20"/>
          <w:szCs w:val="20"/>
        </w:rPr>
      </w:pPr>
      <w:r>
        <w:rPr>
          <w:rFonts w:hint="eastAsia" w:ascii="宋体" w:hAnsi="宋体" w:eastAsia="宋体" w:cs="宋体"/>
          <w:spacing w:val="8"/>
          <w:sz w:val="20"/>
          <w:szCs w:val="20"/>
        </w:rPr>
        <w:t>12.4.4  暂停施工持续</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56</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天以上，按合同约定由承包人提供的材料，由于暂停施工原</w:t>
      </w:r>
      <w:r>
        <w:rPr>
          <w:rFonts w:hint="eastAsia" w:ascii="宋体" w:hAnsi="宋体" w:eastAsia="宋体" w:cs="宋体"/>
          <w:spacing w:val="7"/>
          <w:sz w:val="20"/>
          <w:szCs w:val="20"/>
        </w:rPr>
        <w:t>因导致承包人在暂停施工前已经订购但被暂停运至施工现场的，发包人应按照承包人订购合同的约定支付相应的订购款项。</w:t>
      </w:r>
    </w:p>
    <w:p w14:paraId="03CB7F8C">
      <w:pPr>
        <w:spacing w:before="285" w:line="360" w:lineRule="auto"/>
        <w:ind w:left="38"/>
        <w:jc w:val="left"/>
        <w:outlineLvl w:val="2"/>
        <w:rPr>
          <w:rFonts w:hint="eastAsia" w:ascii="宋体" w:hAnsi="宋体" w:eastAsia="宋体" w:cs="宋体"/>
          <w:sz w:val="24"/>
          <w:szCs w:val="24"/>
        </w:rPr>
      </w:pPr>
      <w:bookmarkStart w:id="668" w:name="bookmark86"/>
      <w:bookmarkEnd w:id="668"/>
      <w:r>
        <w:rPr>
          <w:rFonts w:hint="eastAsia" w:ascii="宋体" w:hAnsi="宋体" w:eastAsia="宋体" w:cs="宋体"/>
          <w:spacing w:val="-4"/>
          <w:sz w:val="24"/>
          <w:szCs w:val="24"/>
        </w:rPr>
        <w:t>12.5  暂停施工持续</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56</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天以上</w:t>
      </w:r>
    </w:p>
    <w:p w14:paraId="587A74C2">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12.5.1  监理人发出暂停施工指示后 56 天内未向承包人发出复工通知，除了该项停工属于第 12.1 款的情况外，承包人可向监理人提交书面通知，要求监理人在收到书面通知后28 天内准许已暂停施工的工程或其中一部分工程继续施工。如监理人逾期不予批准，则承包人可以通知监理人，将工程受影响的部分视为按第 15.1.1（1） 目的可取消工作。如暂停施工影响到整个工程，可视为发包人违约，应按第 22.2 款的规定办理。</w:t>
      </w:r>
    </w:p>
    <w:p w14:paraId="26B605E8">
      <w:pPr>
        <w:spacing w:before="292" w:line="360" w:lineRule="auto"/>
        <w:ind w:left="19" w:right="122" w:firstLine="423"/>
        <w:jc w:val="left"/>
        <w:rPr>
          <w:rFonts w:hint="eastAsia" w:ascii="宋体" w:hAnsi="宋体" w:eastAsia="宋体" w:cs="宋体"/>
          <w:sz w:val="20"/>
          <w:szCs w:val="20"/>
        </w:rPr>
      </w:pPr>
      <w:r>
        <w:rPr>
          <w:rFonts w:hint="eastAsia" w:ascii="宋体" w:hAnsi="宋体" w:eastAsia="宋体" w:cs="宋体"/>
          <w:spacing w:val="6"/>
          <w:sz w:val="20"/>
          <w:szCs w:val="20"/>
        </w:rPr>
        <w:t>12.5.2  由于承包人责任引起的暂停施工，如承包人在收到监理人暂停施工指示后 56天内不认真采取有效的复</w:t>
      </w:r>
      <w:r>
        <w:rPr>
          <w:rFonts w:hint="eastAsia" w:ascii="宋体" w:hAnsi="宋体" w:eastAsia="宋体" w:cs="宋体"/>
          <w:spacing w:val="9"/>
          <w:sz w:val="20"/>
          <w:szCs w:val="20"/>
        </w:rPr>
        <w:t>工措施，造成工期延误，可视为承包人违约，应按第</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22.1</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款的规</w:t>
      </w:r>
      <w:r>
        <w:rPr>
          <w:rFonts w:hint="eastAsia" w:ascii="宋体" w:hAnsi="宋体" w:eastAsia="宋体" w:cs="宋体"/>
          <w:spacing w:val="4"/>
          <w:sz w:val="20"/>
          <w:szCs w:val="20"/>
        </w:rPr>
        <w:t>定办理。</w:t>
      </w:r>
    </w:p>
    <w:p w14:paraId="0745938A">
      <w:pPr>
        <w:spacing w:before="91" w:line="360" w:lineRule="auto"/>
        <w:ind w:left="43"/>
        <w:jc w:val="left"/>
        <w:outlineLvl w:val="1"/>
        <w:rPr>
          <w:rFonts w:hint="eastAsia" w:ascii="宋体" w:hAnsi="宋体" w:eastAsia="宋体" w:cs="宋体"/>
          <w:spacing w:val="-5"/>
          <w:sz w:val="28"/>
          <w:szCs w:val="28"/>
        </w:rPr>
      </w:pPr>
      <w:bookmarkStart w:id="669" w:name="bookmark87"/>
      <w:bookmarkEnd w:id="669"/>
    </w:p>
    <w:p w14:paraId="5C68D56E">
      <w:pPr>
        <w:spacing w:before="91" w:line="360" w:lineRule="auto"/>
        <w:ind w:left="43"/>
        <w:jc w:val="left"/>
        <w:outlineLvl w:val="1"/>
        <w:rPr>
          <w:rFonts w:hint="eastAsia" w:ascii="宋体" w:hAnsi="宋体" w:eastAsia="宋体" w:cs="宋体"/>
          <w:sz w:val="28"/>
          <w:szCs w:val="28"/>
        </w:rPr>
      </w:pPr>
      <w:r>
        <w:rPr>
          <w:rFonts w:hint="eastAsia" w:ascii="宋体" w:hAnsi="宋体" w:eastAsia="宋体" w:cs="宋体"/>
          <w:spacing w:val="-5"/>
          <w:sz w:val="28"/>
          <w:szCs w:val="28"/>
        </w:rPr>
        <w:t>13.工程质量</w:t>
      </w:r>
    </w:p>
    <w:p w14:paraId="07C68826">
      <w:pPr>
        <w:pStyle w:val="17"/>
        <w:spacing w:line="360" w:lineRule="auto"/>
        <w:jc w:val="left"/>
        <w:rPr>
          <w:rFonts w:hint="eastAsia" w:ascii="宋体" w:hAnsi="宋体" w:eastAsia="宋体" w:cs="宋体"/>
        </w:rPr>
      </w:pPr>
    </w:p>
    <w:p w14:paraId="3D69C1F8">
      <w:pPr>
        <w:spacing w:before="78" w:line="360" w:lineRule="auto"/>
        <w:ind w:left="38"/>
        <w:jc w:val="left"/>
        <w:outlineLvl w:val="2"/>
        <w:rPr>
          <w:rFonts w:hint="eastAsia" w:ascii="宋体" w:hAnsi="宋体" w:eastAsia="宋体" w:cs="宋体"/>
          <w:sz w:val="24"/>
          <w:szCs w:val="24"/>
        </w:rPr>
      </w:pPr>
      <w:r>
        <w:rPr>
          <w:rFonts w:hint="eastAsia" w:ascii="宋体" w:hAnsi="宋体" w:eastAsia="宋体" w:cs="宋体"/>
          <w:spacing w:val="-3"/>
          <w:sz w:val="24"/>
          <w:szCs w:val="24"/>
        </w:rPr>
        <w:t>13.1  工程质量要求</w:t>
      </w:r>
    </w:p>
    <w:p w14:paraId="5FD7FD78">
      <w:pPr>
        <w:spacing w:before="296" w:line="360" w:lineRule="auto"/>
        <w:ind w:left="455"/>
        <w:jc w:val="left"/>
        <w:rPr>
          <w:rFonts w:hint="eastAsia" w:ascii="宋体" w:hAnsi="宋体" w:eastAsia="宋体" w:cs="宋体"/>
          <w:sz w:val="20"/>
          <w:szCs w:val="20"/>
        </w:rPr>
      </w:pPr>
      <w:r>
        <w:rPr>
          <w:rFonts w:hint="eastAsia" w:ascii="宋体" w:hAnsi="宋体" w:eastAsia="宋体" w:cs="宋体"/>
          <w:spacing w:val="7"/>
          <w:sz w:val="20"/>
          <w:szCs w:val="20"/>
        </w:rPr>
        <w:t>13.1.1  工程质量验收按合同约定验收标准执行。</w:t>
      </w:r>
    </w:p>
    <w:p w14:paraId="79C31F02">
      <w:pPr>
        <w:spacing w:before="159" w:line="360" w:lineRule="auto"/>
        <w:ind w:left="21" w:right="53" w:firstLine="433"/>
        <w:jc w:val="left"/>
        <w:rPr>
          <w:rFonts w:hint="eastAsia" w:ascii="宋体" w:hAnsi="宋体" w:eastAsia="宋体" w:cs="宋体"/>
          <w:sz w:val="20"/>
          <w:szCs w:val="20"/>
        </w:rPr>
      </w:pPr>
      <w:r>
        <w:rPr>
          <w:rFonts w:hint="eastAsia" w:ascii="宋体" w:hAnsi="宋体" w:eastAsia="宋体" w:cs="宋体"/>
          <w:spacing w:val="6"/>
          <w:sz w:val="20"/>
          <w:szCs w:val="20"/>
        </w:rPr>
        <w:t>13.1.2  因承包人原因造成工程质量达不到合同约定验收标准的，监理人有权要求承包</w:t>
      </w:r>
      <w:r>
        <w:rPr>
          <w:rFonts w:hint="eastAsia" w:ascii="宋体" w:hAnsi="宋体" w:eastAsia="宋体" w:cs="宋体"/>
          <w:spacing w:val="8"/>
          <w:sz w:val="20"/>
          <w:szCs w:val="20"/>
        </w:rPr>
        <w:t>人返工直至符合合同要求为止，</w:t>
      </w:r>
      <w:r>
        <w:rPr>
          <w:rFonts w:hint="eastAsia" w:ascii="宋体" w:hAnsi="宋体" w:eastAsia="宋体" w:cs="宋体"/>
          <w:spacing w:val="-47"/>
          <w:sz w:val="20"/>
          <w:szCs w:val="20"/>
        </w:rPr>
        <w:t xml:space="preserve"> </w:t>
      </w:r>
      <w:r>
        <w:rPr>
          <w:rFonts w:hint="eastAsia" w:ascii="宋体" w:hAnsi="宋体" w:eastAsia="宋体" w:cs="宋体"/>
          <w:spacing w:val="8"/>
          <w:sz w:val="20"/>
          <w:szCs w:val="20"/>
        </w:rPr>
        <w:t>由此造成的费用增加和（或）工期延误由承包人承担。</w:t>
      </w:r>
    </w:p>
    <w:p w14:paraId="10EB9E9D">
      <w:pPr>
        <w:spacing w:before="162" w:line="360" w:lineRule="auto"/>
        <w:ind w:left="19" w:right="53" w:firstLine="435"/>
        <w:jc w:val="left"/>
        <w:rPr>
          <w:rFonts w:hint="eastAsia" w:ascii="宋体" w:hAnsi="宋体" w:eastAsia="宋体" w:cs="宋体"/>
          <w:sz w:val="20"/>
          <w:szCs w:val="20"/>
        </w:rPr>
      </w:pPr>
      <w:r>
        <w:rPr>
          <w:rFonts w:hint="eastAsia" w:ascii="宋体" w:hAnsi="宋体" w:eastAsia="宋体" w:cs="宋体"/>
          <w:spacing w:val="6"/>
          <w:sz w:val="20"/>
          <w:szCs w:val="20"/>
        </w:rPr>
        <w:t>13.1.3  因发包人原因造成工程质量达不到合同约定验收标准的，发包人应承担由于承</w:t>
      </w:r>
      <w:r>
        <w:rPr>
          <w:rFonts w:hint="eastAsia" w:ascii="宋体" w:hAnsi="宋体" w:eastAsia="宋体" w:cs="宋体"/>
          <w:spacing w:val="9"/>
          <w:sz w:val="20"/>
          <w:szCs w:val="20"/>
        </w:rPr>
        <w:t>包人返工造成的费用增加和（或）工期延误，并支付承包人合理利润。</w:t>
      </w:r>
    </w:p>
    <w:p w14:paraId="514A3AAA">
      <w:pPr>
        <w:spacing w:before="285" w:line="360" w:lineRule="auto"/>
        <w:ind w:left="38"/>
        <w:jc w:val="left"/>
        <w:outlineLvl w:val="2"/>
        <w:rPr>
          <w:rFonts w:hint="eastAsia" w:ascii="宋体" w:hAnsi="宋体" w:eastAsia="宋体" w:cs="宋体"/>
          <w:sz w:val="24"/>
          <w:szCs w:val="24"/>
        </w:rPr>
      </w:pPr>
      <w:bookmarkStart w:id="670" w:name="bookmark88"/>
      <w:bookmarkEnd w:id="670"/>
      <w:r>
        <w:rPr>
          <w:rFonts w:hint="eastAsia" w:ascii="宋体" w:hAnsi="宋体" w:eastAsia="宋体" w:cs="宋体"/>
          <w:spacing w:val="-2"/>
          <w:sz w:val="24"/>
          <w:szCs w:val="24"/>
        </w:rPr>
        <w:t>13.2  承包人的质量管理</w:t>
      </w:r>
    </w:p>
    <w:p w14:paraId="39677A72">
      <w:pPr>
        <w:spacing w:before="296" w:line="360" w:lineRule="auto"/>
        <w:ind w:left="18" w:firstLine="437"/>
        <w:jc w:val="left"/>
        <w:rPr>
          <w:rFonts w:hint="eastAsia" w:ascii="宋体" w:hAnsi="宋体" w:eastAsia="宋体" w:cs="宋体"/>
          <w:sz w:val="20"/>
          <w:szCs w:val="20"/>
        </w:rPr>
      </w:pPr>
      <w:r>
        <w:rPr>
          <w:rFonts w:hint="eastAsia" w:ascii="宋体" w:hAnsi="宋体" w:eastAsia="宋体" w:cs="宋体"/>
          <w:spacing w:val="6"/>
          <w:sz w:val="20"/>
          <w:szCs w:val="20"/>
        </w:rPr>
        <w:t>13.2.1  承包人应在施工场地设置专门的质量检查机构，配备专职质量检查人员，建立</w:t>
      </w:r>
      <w:r>
        <w:rPr>
          <w:rFonts w:hint="eastAsia" w:ascii="宋体" w:hAnsi="宋体" w:eastAsia="宋体" w:cs="宋体"/>
          <w:spacing w:val="8"/>
          <w:sz w:val="20"/>
          <w:szCs w:val="20"/>
        </w:rPr>
        <w:t>完善的质量检查制度。承包人应在合同条款专用</w:t>
      </w:r>
      <w:r>
        <w:rPr>
          <w:rFonts w:hint="eastAsia" w:ascii="宋体" w:hAnsi="宋体" w:eastAsia="宋体" w:cs="宋体"/>
          <w:spacing w:val="7"/>
          <w:sz w:val="20"/>
          <w:szCs w:val="20"/>
        </w:rPr>
        <w:t>部分约定的期限内，提交工程质量保证措施</w:t>
      </w:r>
      <w:r>
        <w:rPr>
          <w:rFonts w:hint="eastAsia" w:ascii="宋体" w:hAnsi="宋体" w:eastAsia="宋体" w:cs="宋体"/>
          <w:spacing w:val="4"/>
          <w:sz w:val="20"/>
          <w:szCs w:val="20"/>
        </w:rPr>
        <w:t>文件，包括质量检查机构的组织和岗位责任、质检人员的组成、质量检查程序</w:t>
      </w:r>
      <w:r>
        <w:rPr>
          <w:rFonts w:hint="eastAsia" w:ascii="宋体" w:hAnsi="宋体" w:eastAsia="宋体" w:cs="宋体"/>
          <w:spacing w:val="3"/>
          <w:sz w:val="20"/>
          <w:szCs w:val="20"/>
        </w:rPr>
        <w:t>和实施细则等，</w:t>
      </w:r>
      <w:r>
        <w:rPr>
          <w:rFonts w:hint="eastAsia" w:ascii="宋体" w:hAnsi="宋体" w:eastAsia="宋体" w:cs="宋体"/>
          <w:spacing w:val="9"/>
          <w:sz w:val="20"/>
          <w:szCs w:val="20"/>
        </w:rPr>
        <w:t>报送监理人审批。监理人应在合同条款专用部分约定的期限内完成审批。</w:t>
      </w:r>
    </w:p>
    <w:p w14:paraId="17EF5E16">
      <w:pPr>
        <w:spacing w:before="159" w:line="360" w:lineRule="auto"/>
        <w:ind w:left="28" w:right="56" w:firstLine="427"/>
        <w:jc w:val="left"/>
        <w:rPr>
          <w:rFonts w:hint="eastAsia" w:ascii="宋体" w:hAnsi="宋体" w:eastAsia="宋体" w:cs="宋体"/>
          <w:sz w:val="20"/>
          <w:szCs w:val="20"/>
        </w:rPr>
      </w:pPr>
      <w:r>
        <w:rPr>
          <w:rFonts w:hint="eastAsia" w:ascii="宋体" w:hAnsi="宋体" w:eastAsia="宋体" w:cs="宋体"/>
          <w:spacing w:val="6"/>
          <w:sz w:val="20"/>
          <w:szCs w:val="20"/>
        </w:rPr>
        <w:t>13.2.2  承包人应加强对施工人员的质量教育和技术培训，定期考核施工人员的劳动技</w:t>
      </w:r>
      <w:r>
        <w:rPr>
          <w:rFonts w:hint="eastAsia" w:ascii="宋体" w:hAnsi="宋体" w:eastAsia="宋体" w:cs="宋体"/>
          <w:spacing w:val="8"/>
          <w:sz w:val="20"/>
          <w:szCs w:val="20"/>
        </w:rPr>
        <w:t>能，严格执行规范和操作规程。</w:t>
      </w:r>
    </w:p>
    <w:p w14:paraId="4BD8DF0C">
      <w:pPr>
        <w:spacing w:before="288" w:line="360" w:lineRule="auto"/>
        <w:ind w:left="38"/>
        <w:jc w:val="left"/>
        <w:outlineLvl w:val="2"/>
        <w:rPr>
          <w:rFonts w:hint="eastAsia" w:ascii="宋体" w:hAnsi="宋体" w:eastAsia="宋体" w:cs="宋体"/>
          <w:sz w:val="24"/>
          <w:szCs w:val="24"/>
        </w:rPr>
      </w:pPr>
      <w:bookmarkStart w:id="671" w:name="bookmark89"/>
      <w:bookmarkEnd w:id="671"/>
      <w:r>
        <w:rPr>
          <w:rFonts w:hint="eastAsia" w:ascii="宋体" w:hAnsi="宋体" w:eastAsia="宋体" w:cs="宋体"/>
          <w:spacing w:val="-2"/>
          <w:sz w:val="24"/>
          <w:szCs w:val="24"/>
        </w:rPr>
        <w:t>13.3  承包人的质量检查</w:t>
      </w:r>
    </w:p>
    <w:p w14:paraId="147149AB">
      <w:pPr>
        <w:spacing w:before="293" w:line="360" w:lineRule="auto"/>
        <w:ind w:left="20" w:right="53" w:firstLine="419"/>
        <w:jc w:val="left"/>
        <w:rPr>
          <w:rFonts w:hint="eastAsia" w:ascii="宋体" w:hAnsi="宋体" w:eastAsia="宋体" w:cs="宋体"/>
          <w:sz w:val="20"/>
          <w:szCs w:val="20"/>
        </w:rPr>
      </w:pPr>
      <w:r>
        <w:rPr>
          <w:rFonts w:hint="eastAsia" w:ascii="宋体" w:hAnsi="宋体" w:eastAsia="宋体" w:cs="宋体"/>
          <w:spacing w:val="13"/>
          <w:sz w:val="20"/>
          <w:szCs w:val="20"/>
        </w:rPr>
        <w:t>承包人应按合同条款专用部分的约定对材料以及工程的所有部位及其施工工艺进行全</w:t>
      </w:r>
      <w:r>
        <w:rPr>
          <w:rFonts w:hint="eastAsia" w:ascii="宋体" w:hAnsi="宋体" w:eastAsia="宋体" w:cs="宋体"/>
          <w:spacing w:val="8"/>
          <w:sz w:val="20"/>
          <w:szCs w:val="20"/>
        </w:rPr>
        <w:t>过程的质量检查和检验，并作详细记录，编制工</w:t>
      </w:r>
      <w:r>
        <w:rPr>
          <w:rFonts w:hint="eastAsia" w:ascii="宋体" w:hAnsi="宋体" w:eastAsia="宋体" w:cs="宋体"/>
          <w:spacing w:val="7"/>
          <w:sz w:val="20"/>
          <w:szCs w:val="20"/>
        </w:rPr>
        <w:t>程质量报表，报送监理人审查。监理人应在</w:t>
      </w:r>
      <w:r>
        <w:rPr>
          <w:rFonts w:hint="eastAsia" w:ascii="宋体" w:hAnsi="宋体" w:eastAsia="宋体" w:cs="宋体"/>
          <w:spacing w:val="8"/>
          <w:sz w:val="20"/>
          <w:szCs w:val="20"/>
        </w:rPr>
        <w:t>合同条款专用部分约定的期限内完成审查。</w:t>
      </w:r>
    </w:p>
    <w:p w14:paraId="53339161">
      <w:pPr>
        <w:spacing w:before="121" w:line="360" w:lineRule="auto"/>
        <w:ind w:left="38"/>
        <w:jc w:val="left"/>
        <w:outlineLvl w:val="2"/>
        <w:rPr>
          <w:rFonts w:hint="eastAsia" w:ascii="宋体" w:hAnsi="宋体" w:eastAsia="宋体" w:cs="宋体"/>
          <w:sz w:val="24"/>
          <w:szCs w:val="24"/>
        </w:rPr>
      </w:pPr>
      <w:bookmarkStart w:id="672" w:name="bookmark90"/>
      <w:bookmarkEnd w:id="672"/>
      <w:r>
        <w:rPr>
          <w:rFonts w:hint="eastAsia" w:ascii="宋体" w:hAnsi="宋体" w:eastAsia="宋体" w:cs="宋体"/>
          <w:spacing w:val="-2"/>
          <w:sz w:val="24"/>
          <w:szCs w:val="24"/>
        </w:rPr>
        <w:t>13.4  监理人的质量检查</w:t>
      </w:r>
    </w:p>
    <w:p w14:paraId="283BFA50">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监理人有权对工程的所有部位及其施工工艺以及材料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7EC5D651">
      <w:pPr>
        <w:spacing w:before="121" w:line="360" w:lineRule="auto"/>
        <w:ind w:left="38"/>
        <w:jc w:val="left"/>
        <w:outlineLvl w:val="2"/>
        <w:rPr>
          <w:rFonts w:hint="eastAsia" w:ascii="宋体" w:hAnsi="宋体" w:eastAsia="宋体" w:cs="宋体"/>
          <w:sz w:val="24"/>
          <w:szCs w:val="24"/>
        </w:rPr>
      </w:pPr>
      <w:bookmarkStart w:id="673" w:name="bookmark91"/>
      <w:bookmarkEnd w:id="673"/>
      <w:r>
        <w:rPr>
          <w:rFonts w:hint="eastAsia" w:ascii="宋体" w:hAnsi="宋体" w:eastAsia="宋体" w:cs="宋体"/>
          <w:spacing w:val="-2"/>
          <w:sz w:val="24"/>
          <w:szCs w:val="24"/>
        </w:rPr>
        <w:t>13.5  工程隐蔽部位覆盖前的检查</w:t>
      </w:r>
    </w:p>
    <w:p w14:paraId="14F283AC">
      <w:pPr>
        <w:spacing w:before="296"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13.5.1  通知监理人检查</w:t>
      </w:r>
    </w:p>
    <w:p w14:paraId="4B419480">
      <w:pPr>
        <w:spacing w:before="162" w:line="360" w:lineRule="auto"/>
        <w:ind w:left="20" w:right="53" w:firstLine="420"/>
        <w:jc w:val="left"/>
        <w:rPr>
          <w:rFonts w:hint="eastAsia" w:ascii="宋体" w:hAnsi="宋体" w:eastAsia="宋体" w:cs="宋体"/>
          <w:spacing w:val="9"/>
          <w:sz w:val="20"/>
          <w:szCs w:val="20"/>
        </w:rPr>
      </w:pPr>
      <w:r>
        <w:rPr>
          <w:rFonts w:hint="eastAsia" w:ascii="宋体" w:hAnsi="宋体" w:eastAsia="宋体" w:cs="宋体"/>
          <w:spacing w:val="7"/>
          <w:sz w:val="20"/>
          <w:szCs w:val="20"/>
        </w:rPr>
        <w:t>经承包人自检确认的工程隐蔽部位具备覆盖条件后，承包人应通知监理人在合同约定的</w:t>
      </w:r>
      <w:r>
        <w:rPr>
          <w:rFonts w:hint="eastAsia" w:ascii="宋体" w:hAnsi="宋体" w:eastAsia="宋体" w:cs="宋体"/>
          <w:spacing w:val="8"/>
          <w:sz w:val="20"/>
          <w:szCs w:val="20"/>
        </w:rPr>
        <w:t>期限内检查。承包人的通知应附有自检记录和必</w:t>
      </w:r>
      <w:r>
        <w:rPr>
          <w:rFonts w:hint="eastAsia" w:ascii="宋体" w:hAnsi="宋体" w:eastAsia="宋体" w:cs="宋体"/>
          <w:spacing w:val="7"/>
          <w:sz w:val="20"/>
          <w:szCs w:val="20"/>
        </w:rPr>
        <w:t>要的检查资料。监理人应按时到场检查。经</w:t>
      </w:r>
      <w:r>
        <w:rPr>
          <w:rFonts w:hint="eastAsia" w:ascii="宋体" w:hAnsi="宋体" w:eastAsia="宋体" w:cs="宋体"/>
          <w:spacing w:val="8"/>
          <w:sz w:val="20"/>
          <w:szCs w:val="20"/>
        </w:rPr>
        <w:t>监理人检查确认质量符合隐蔽要求，并在检查记</w:t>
      </w:r>
      <w:r>
        <w:rPr>
          <w:rFonts w:hint="eastAsia" w:ascii="宋体" w:hAnsi="宋体" w:eastAsia="宋体" w:cs="宋体"/>
          <w:spacing w:val="7"/>
          <w:sz w:val="20"/>
          <w:szCs w:val="20"/>
        </w:rPr>
        <w:t>录上签字后，承包人才能进行覆盖。监理人</w:t>
      </w:r>
      <w:r>
        <w:rPr>
          <w:rFonts w:hint="eastAsia" w:ascii="宋体" w:hAnsi="宋体" w:eastAsia="宋体" w:cs="宋体"/>
          <w:spacing w:val="9"/>
          <w:sz w:val="20"/>
          <w:szCs w:val="20"/>
        </w:rPr>
        <w:t>检查确认质量不合格的，承包人应在监理人指示的时间内修整返工后，由监理</w:t>
      </w:r>
      <w:r>
        <w:rPr>
          <w:rFonts w:hint="eastAsia" w:ascii="宋体" w:hAnsi="宋体" w:eastAsia="宋体" w:cs="宋体"/>
          <w:spacing w:val="8"/>
          <w:sz w:val="20"/>
          <w:szCs w:val="20"/>
        </w:rPr>
        <w:t>人重新检查。</w:t>
      </w:r>
      <w:r>
        <w:rPr>
          <w:rFonts w:hint="eastAsia" w:ascii="宋体" w:hAnsi="宋体" w:eastAsia="宋体" w:cs="宋体"/>
          <w:spacing w:val="9"/>
          <w:sz w:val="20"/>
          <w:szCs w:val="20"/>
        </w:rPr>
        <w:t>监理人对工程隐蔽部位进行检查的期限见合同条款专用部分。</w:t>
      </w:r>
    </w:p>
    <w:p w14:paraId="76E4291C">
      <w:pPr>
        <w:spacing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13.5.2  监理人未到场检查</w:t>
      </w:r>
    </w:p>
    <w:p w14:paraId="555D47EC">
      <w:pPr>
        <w:spacing w:before="161" w:line="360" w:lineRule="auto"/>
        <w:ind w:left="21" w:right="161" w:firstLine="419"/>
        <w:jc w:val="left"/>
        <w:rPr>
          <w:rFonts w:hint="eastAsia" w:ascii="宋体" w:hAnsi="宋体" w:eastAsia="宋体" w:cs="宋体"/>
          <w:sz w:val="20"/>
          <w:szCs w:val="20"/>
        </w:rPr>
      </w:pPr>
      <w:r>
        <w:rPr>
          <w:rFonts w:hint="eastAsia" w:ascii="宋体" w:hAnsi="宋体" w:eastAsia="宋体" w:cs="宋体"/>
          <w:spacing w:val="9"/>
          <w:sz w:val="20"/>
          <w:szCs w:val="20"/>
        </w:rPr>
        <w:t>监理人未按第</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13.5.1</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项约定的时间进</w:t>
      </w:r>
      <w:r>
        <w:rPr>
          <w:rFonts w:hint="eastAsia" w:ascii="宋体" w:hAnsi="宋体" w:eastAsia="宋体" w:cs="宋体"/>
          <w:spacing w:val="8"/>
          <w:sz w:val="20"/>
          <w:szCs w:val="20"/>
        </w:rPr>
        <w:t>行检查的，除监理人另有指示外，承包人可自行</w:t>
      </w:r>
      <w:r>
        <w:rPr>
          <w:rFonts w:hint="eastAsia" w:ascii="宋体" w:hAnsi="宋体" w:eastAsia="宋体" w:cs="宋体"/>
          <w:spacing w:val="7"/>
          <w:sz w:val="20"/>
          <w:szCs w:val="20"/>
        </w:rPr>
        <w:t>完成覆盖工作，并作相应记录报送监理人，监理人应签字确认。监理人事后对检查记录有疑</w:t>
      </w:r>
      <w:r>
        <w:rPr>
          <w:rFonts w:hint="eastAsia" w:ascii="宋体" w:hAnsi="宋体" w:eastAsia="宋体" w:cs="宋体"/>
          <w:spacing w:val="5"/>
          <w:sz w:val="20"/>
          <w:szCs w:val="20"/>
        </w:rPr>
        <w:t>问的，可按第</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13.5.3</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项的约定重新检查。</w:t>
      </w:r>
    </w:p>
    <w:p w14:paraId="0396228B">
      <w:pPr>
        <w:spacing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13.5.3  监理人重新检查</w:t>
      </w:r>
    </w:p>
    <w:p w14:paraId="48B6EAAE">
      <w:pPr>
        <w:spacing w:before="161" w:line="360" w:lineRule="auto"/>
        <w:ind w:left="19" w:right="159" w:firstLine="420"/>
        <w:jc w:val="left"/>
        <w:rPr>
          <w:rFonts w:hint="eastAsia" w:ascii="宋体" w:hAnsi="宋体" w:eastAsia="宋体" w:cs="宋体"/>
          <w:sz w:val="20"/>
          <w:szCs w:val="20"/>
        </w:rPr>
      </w:pPr>
      <w:r>
        <w:rPr>
          <w:rFonts w:hint="eastAsia" w:ascii="宋体" w:hAnsi="宋体" w:eastAsia="宋体" w:cs="宋体"/>
          <w:spacing w:val="5"/>
          <w:sz w:val="20"/>
          <w:szCs w:val="20"/>
        </w:rPr>
        <w:t>承包人按第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13.5.1</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项或第</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13.5.2</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项覆盖工程隐蔽部位</w:t>
      </w:r>
      <w:r>
        <w:rPr>
          <w:rFonts w:hint="eastAsia" w:ascii="宋体" w:hAnsi="宋体" w:eastAsia="宋体" w:cs="宋体"/>
          <w:spacing w:val="4"/>
          <w:sz w:val="20"/>
          <w:szCs w:val="20"/>
        </w:rPr>
        <w:t>后，监理人对质量有疑问的，可</w:t>
      </w:r>
      <w:r>
        <w:rPr>
          <w:rFonts w:hint="eastAsia" w:ascii="宋体" w:hAnsi="宋体" w:eastAsia="宋体" w:cs="宋体"/>
          <w:spacing w:val="8"/>
          <w:sz w:val="20"/>
          <w:szCs w:val="20"/>
        </w:rPr>
        <w:t>要求承包人对已覆盖的部位进行钻孔探测或揭开重</w:t>
      </w:r>
      <w:r>
        <w:rPr>
          <w:rFonts w:hint="eastAsia" w:ascii="宋体" w:hAnsi="宋体" w:eastAsia="宋体" w:cs="宋体"/>
          <w:spacing w:val="7"/>
          <w:sz w:val="20"/>
          <w:szCs w:val="20"/>
        </w:rPr>
        <w:t>新检验，承包人应遵照执行，并在检验后</w:t>
      </w:r>
      <w:r>
        <w:rPr>
          <w:rFonts w:hint="eastAsia" w:ascii="宋体" w:hAnsi="宋体" w:eastAsia="宋体" w:cs="宋体"/>
          <w:spacing w:val="8"/>
          <w:sz w:val="20"/>
          <w:szCs w:val="20"/>
        </w:rPr>
        <w:t>重新覆盖恢复原状。经检验证明工程质量符</w:t>
      </w:r>
      <w:r>
        <w:rPr>
          <w:rFonts w:hint="eastAsia" w:ascii="宋体" w:hAnsi="宋体" w:eastAsia="宋体" w:cs="宋体"/>
          <w:spacing w:val="7"/>
          <w:sz w:val="20"/>
          <w:szCs w:val="20"/>
        </w:rPr>
        <w:t>合合同要求的，由发包人承担由此增加的费用和</w:t>
      </w:r>
      <w:r>
        <w:rPr>
          <w:rFonts w:hint="eastAsia" w:ascii="宋体" w:hAnsi="宋体" w:eastAsia="宋体" w:cs="宋体"/>
          <w:spacing w:val="8"/>
          <w:sz w:val="20"/>
          <w:szCs w:val="20"/>
        </w:rPr>
        <w:t>（或）工期延误，并支付承包人合理利润；经检验</w:t>
      </w:r>
      <w:r>
        <w:rPr>
          <w:rFonts w:hint="eastAsia" w:ascii="宋体" w:hAnsi="宋体" w:eastAsia="宋体" w:cs="宋体"/>
          <w:spacing w:val="7"/>
          <w:sz w:val="20"/>
          <w:szCs w:val="20"/>
        </w:rPr>
        <w:t>证明工程质量不符合合同要求的，由此增</w:t>
      </w:r>
      <w:r>
        <w:rPr>
          <w:rFonts w:hint="eastAsia" w:ascii="宋体" w:hAnsi="宋体" w:eastAsia="宋体" w:cs="宋体"/>
          <w:spacing w:val="8"/>
          <w:sz w:val="20"/>
          <w:szCs w:val="20"/>
        </w:rPr>
        <w:t>加的费用和（或）工期延误由承包人承担。</w:t>
      </w:r>
    </w:p>
    <w:p w14:paraId="4B60CA5C">
      <w:pPr>
        <w:spacing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13.5.4  承包人私自覆盖</w:t>
      </w:r>
    </w:p>
    <w:p w14:paraId="499D1535">
      <w:pPr>
        <w:spacing w:before="161" w:line="360" w:lineRule="auto"/>
        <w:ind w:left="20" w:right="159" w:firstLine="419"/>
        <w:jc w:val="left"/>
        <w:rPr>
          <w:rFonts w:hint="eastAsia" w:ascii="宋体" w:hAnsi="宋体" w:eastAsia="宋体" w:cs="宋体"/>
          <w:sz w:val="20"/>
          <w:szCs w:val="20"/>
        </w:rPr>
      </w:pPr>
      <w:r>
        <w:rPr>
          <w:rFonts w:hint="eastAsia" w:ascii="宋体" w:hAnsi="宋体" w:eastAsia="宋体" w:cs="宋体"/>
          <w:spacing w:val="7"/>
          <w:sz w:val="20"/>
          <w:szCs w:val="20"/>
        </w:rPr>
        <w:t>承包人未通知监理人到场检查，私自将工程隐蔽部位覆盖的，监理人有权指示承包人钻</w:t>
      </w:r>
      <w:r>
        <w:rPr>
          <w:rFonts w:hint="eastAsia" w:ascii="宋体" w:hAnsi="宋体" w:eastAsia="宋体" w:cs="宋体"/>
          <w:spacing w:val="9"/>
          <w:sz w:val="20"/>
          <w:szCs w:val="20"/>
        </w:rPr>
        <w:t>孔探测或揭开检查，由此增加的费用和（或）工期延误由承包人承担。</w:t>
      </w:r>
    </w:p>
    <w:p w14:paraId="6E9B7428">
      <w:pPr>
        <w:spacing w:before="121" w:line="360" w:lineRule="auto"/>
        <w:ind w:left="38"/>
        <w:jc w:val="left"/>
        <w:outlineLvl w:val="2"/>
        <w:rPr>
          <w:rFonts w:hint="eastAsia" w:ascii="宋体" w:hAnsi="宋体" w:eastAsia="宋体" w:cs="宋体"/>
          <w:sz w:val="24"/>
          <w:szCs w:val="24"/>
        </w:rPr>
      </w:pPr>
      <w:bookmarkStart w:id="674" w:name="bookmark92"/>
      <w:bookmarkEnd w:id="674"/>
      <w:r>
        <w:rPr>
          <w:rFonts w:hint="eastAsia" w:ascii="宋体" w:hAnsi="宋体" w:eastAsia="宋体" w:cs="宋体"/>
          <w:spacing w:val="-3"/>
          <w:sz w:val="24"/>
          <w:szCs w:val="24"/>
        </w:rPr>
        <w:t>13.6  清除不合格工程</w:t>
      </w:r>
    </w:p>
    <w:p w14:paraId="11C24FCE">
      <w:pPr>
        <w:spacing w:before="298" w:line="360" w:lineRule="auto"/>
        <w:ind w:left="20" w:right="159" w:firstLine="434"/>
        <w:jc w:val="left"/>
        <w:rPr>
          <w:rFonts w:hint="eastAsia" w:ascii="宋体" w:hAnsi="宋体" w:eastAsia="宋体" w:cs="宋体"/>
          <w:sz w:val="20"/>
          <w:szCs w:val="20"/>
        </w:rPr>
      </w:pPr>
      <w:r>
        <w:rPr>
          <w:rFonts w:hint="eastAsia" w:ascii="宋体" w:hAnsi="宋体" w:eastAsia="宋体" w:cs="宋体"/>
          <w:spacing w:val="6"/>
          <w:sz w:val="20"/>
          <w:szCs w:val="20"/>
        </w:rPr>
        <w:t>13.6.1  承包人使用不合格材料，或采用不适当的施工工艺，或施工不当，造成工程不</w:t>
      </w:r>
      <w:r>
        <w:rPr>
          <w:rFonts w:hint="eastAsia" w:ascii="宋体" w:hAnsi="宋体" w:eastAsia="宋体" w:cs="宋体"/>
          <w:spacing w:val="7"/>
          <w:sz w:val="20"/>
          <w:szCs w:val="20"/>
        </w:rPr>
        <w:t>合格的，监理人可以随时发出指示，要求承包人立即采取措施进行补救，直至达到合同要求</w:t>
      </w:r>
      <w:r>
        <w:rPr>
          <w:rFonts w:hint="eastAsia" w:ascii="宋体" w:hAnsi="宋体" w:eastAsia="宋体" w:cs="宋体"/>
          <w:spacing w:val="8"/>
          <w:sz w:val="20"/>
          <w:szCs w:val="20"/>
        </w:rPr>
        <w:t>的质量标准，</w:t>
      </w:r>
      <w:r>
        <w:rPr>
          <w:rFonts w:hint="eastAsia" w:ascii="宋体" w:hAnsi="宋体" w:eastAsia="宋体" w:cs="宋体"/>
          <w:spacing w:val="-60"/>
          <w:sz w:val="20"/>
          <w:szCs w:val="20"/>
        </w:rPr>
        <w:t xml:space="preserve"> </w:t>
      </w:r>
      <w:r>
        <w:rPr>
          <w:rFonts w:hint="eastAsia" w:ascii="宋体" w:hAnsi="宋体" w:eastAsia="宋体" w:cs="宋体"/>
          <w:spacing w:val="8"/>
          <w:sz w:val="20"/>
          <w:szCs w:val="20"/>
        </w:rPr>
        <w:t>由此增加的费用和（或）工期延误由</w:t>
      </w:r>
      <w:r>
        <w:rPr>
          <w:rFonts w:hint="eastAsia" w:ascii="宋体" w:hAnsi="宋体" w:eastAsia="宋体" w:cs="宋体"/>
          <w:spacing w:val="7"/>
          <w:sz w:val="20"/>
          <w:szCs w:val="20"/>
        </w:rPr>
        <w:t>承包人承担。</w:t>
      </w:r>
    </w:p>
    <w:p w14:paraId="5656CD58">
      <w:pPr>
        <w:spacing w:before="162" w:line="360" w:lineRule="auto"/>
        <w:ind w:left="23" w:firstLine="432"/>
        <w:jc w:val="left"/>
        <w:rPr>
          <w:rFonts w:hint="eastAsia" w:ascii="宋体" w:hAnsi="宋体" w:eastAsia="宋体" w:cs="宋体"/>
          <w:sz w:val="20"/>
          <w:szCs w:val="20"/>
        </w:rPr>
      </w:pPr>
      <w:r>
        <w:rPr>
          <w:rFonts w:hint="eastAsia" w:ascii="宋体" w:hAnsi="宋体" w:eastAsia="宋体" w:cs="宋体"/>
          <w:spacing w:val="5"/>
          <w:sz w:val="20"/>
          <w:szCs w:val="20"/>
        </w:rPr>
        <w:t>13.6.2  由于发包人提供的材料不合格造成的工程不合格，需要承包人采取措施补救的，</w:t>
      </w:r>
      <w:r>
        <w:rPr>
          <w:rFonts w:hint="eastAsia" w:ascii="宋体" w:hAnsi="宋体" w:eastAsia="宋体" w:cs="宋体"/>
          <w:spacing w:val="9"/>
          <w:sz w:val="20"/>
          <w:szCs w:val="20"/>
        </w:rPr>
        <w:t>发包人应承担由此增加的费用和（或）工期延误，并支付承包人合理利润。</w:t>
      </w:r>
    </w:p>
    <w:p w14:paraId="5E0A7640">
      <w:pPr>
        <w:spacing w:before="286" w:line="360" w:lineRule="auto"/>
        <w:ind w:left="38"/>
        <w:jc w:val="left"/>
        <w:outlineLvl w:val="2"/>
        <w:rPr>
          <w:rFonts w:hint="eastAsia" w:ascii="宋体" w:hAnsi="宋体" w:eastAsia="宋体" w:cs="宋体"/>
          <w:sz w:val="24"/>
          <w:szCs w:val="24"/>
        </w:rPr>
      </w:pPr>
      <w:bookmarkStart w:id="675" w:name="bookmark93"/>
      <w:bookmarkEnd w:id="675"/>
      <w:r>
        <w:rPr>
          <w:rFonts w:hint="eastAsia" w:ascii="宋体" w:hAnsi="宋体" w:eastAsia="宋体" w:cs="宋体"/>
          <w:spacing w:val="-5"/>
          <w:sz w:val="24"/>
          <w:szCs w:val="24"/>
        </w:rPr>
        <w:t>13.7</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质量争议</w:t>
      </w:r>
    </w:p>
    <w:p w14:paraId="1EB3FA8D">
      <w:pPr>
        <w:spacing w:before="294" w:line="360" w:lineRule="auto"/>
        <w:ind w:left="19" w:right="105" w:firstLine="424"/>
        <w:jc w:val="left"/>
        <w:rPr>
          <w:rFonts w:hint="eastAsia" w:ascii="宋体" w:hAnsi="宋体" w:eastAsia="宋体" w:cs="宋体"/>
          <w:sz w:val="20"/>
          <w:szCs w:val="20"/>
        </w:rPr>
      </w:pPr>
      <w:r>
        <w:rPr>
          <w:rFonts w:hint="eastAsia" w:ascii="宋体" w:hAnsi="宋体" w:eastAsia="宋体" w:cs="宋体"/>
          <w:spacing w:val="9"/>
          <w:sz w:val="20"/>
          <w:szCs w:val="20"/>
        </w:rPr>
        <w:t>发包人和承包人对工程质量有争议的，除可按第</w:t>
      </w:r>
      <w:r>
        <w:rPr>
          <w:rFonts w:hint="eastAsia" w:ascii="宋体" w:hAnsi="宋体" w:eastAsia="宋体" w:cs="宋体"/>
          <w:spacing w:val="-27"/>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条办理外，监理人可提请合同双方</w:t>
      </w:r>
      <w:r>
        <w:rPr>
          <w:rFonts w:hint="eastAsia" w:ascii="宋体" w:hAnsi="宋体" w:eastAsia="宋体" w:cs="宋体"/>
          <w:spacing w:val="4"/>
          <w:sz w:val="20"/>
          <w:szCs w:val="20"/>
        </w:rPr>
        <w:t>委托有相应资质的工程质量检测机构进行鉴定，所需费用及因此造成的损失</w:t>
      </w:r>
      <w:r>
        <w:rPr>
          <w:rFonts w:hint="eastAsia" w:ascii="宋体" w:hAnsi="宋体" w:eastAsia="宋体" w:cs="宋体"/>
          <w:spacing w:val="3"/>
          <w:sz w:val="20"/>
          <w:szCs w:val="20"/>
        </w:rPr>
        <w:t>，由责任人承担，</w:t>
      </w:r>
      <w:r>
        <w:rPr>
          <w:rFonts w:hint="eastAsia" w:ascii="宋体" w:hAnsi="宋体" w:eastAsia="宋体" w:cs="宋体"/>
          <w:spacing w:val="8"/>
          <w:sz w:val="20"/>
          <w:szCs w:val="20"/>
        </w:rPr>
        <w:t>双方均有责任，由双方根据其责任分别承担。</w:t>
      </w:r>
      <w:r>
        <w:rPr>
          <w:rFonts w:hint="eastAsia" w:ascii="宋体" w:hAnsi="宋体" w:eastAsia="宋体" w:cs="宋体"/>
          <w:spacing w:val="7"/>
          <w:sz w:val="20"/>
          <w:szCs w:val="20"/>
        </w:rPr>
        <w:t>经检测，质量确有缺陷的，已竣工验收或已竣</w:t>
      </w:r>
      <w:r>
        <w:rPr>
          <w:rFonts w:hint="eastAsia" w:ascii="宋体" w:hAnsi="宋体" w:eastAsia="宋体" w:cs="宋体"/>
          <w:spacing w:val="8"/>
          <w:sz w:val="20"/>
          <w:szCs w:val="20"/>
        </w:rPr>
        <w:t>工未验收但实际投入使用的工程，其处理按工</w:t>
      </w:r>
      <w:r>
        <w:rPr>
          <w:rFonts w:hint="eastAsia" w:ascii="宋体" w:hAnsi="宋体" w:eastAsia="宋体" w:cs="宋体"/>
          <w:spacing w:val="7"/>
          <w:sz w:val="20"/>
          <w:szCs w:val="20"/>
        </w:rPr>
        <w:t>程保修书的约定执行；已竣工未验收且未实际</w:t>
      </w:r>
      <w:r>
        <w:rPr>
          <w:rFonts w:hint="eastAsia" w:ascii="宋体" w:hAnsi="宋体" w:eastAsia="宋体" w:cs="宋体"/>
          <w:spacing w:val="8"/>
          <w:sz w:val="20"/>
          <w:szCs w:val="20"/>
        </w:rPr>
        <w:t>投入使用的工程以及停工、停建的工程，根据检测结</w:t>
      </w:r>
      <w:r>
        <w:rPr>
          <w:rFonts w:hint="eastAsia" w:ascii="宋体" w:hAnsi="宋体" w:eastAsia="宋体" w:cs="宋体"/>
          <w:spacing w:val="7"/>
          <w:sz w:val="20"/>
          <w:szCs w:val="20"/>
        </w:rPr>
        <w:t>果确定解决方案，或按工程质量监督机构的处理决定执行。</w:t>
      </w:r>
    </w:p>
    <w:p w14:paraId="1AC3B13F">
      <w:pPr>
        <w:spacing w:before="126" w:line="360" w:lineRule="auto"/>
        <w:ind w:left="43"/>
        <w:jc w:val="left"/>
        <w:outlineLvl w:val="1"/>
        <w:rPr>
          <w:rFonts w:hint="eastAsia" w:ascii="宋体" w:hAnsi="宋体" w:eastAsia="宋体" w:cs="宋体"/>
          <w:sz w:val="28"/>
          <w:szCs w:val="28"/>
        </w:rPr>
      </w:pPr>
      <w:bookmarkStart w:id="676" w:name="bookmark94"/>
      <w:bookmarkEnd w:id="676"/>
      <w:r>
        <w:rPr>
          <w:rFonts w:hint="eastAsia" w:ascii="宋体" w:hAnsi="宋体" w:eastAsia="宋体" w:cs="宋体"/>
          <w:spacing w:val="-4"/>
          <w:sz w:val="28"/>
          <w:szCs w:val="28"/>
        </w:rPr>
        <w:t>14.试验和检验</w:t>
      </w:r>
    </w:p>
    <w:p w14:paraId="6EA6ABA5">
      <w:pPr>
        <w:pStyle w:val="17"/>
        <w:spacing w:line="360" w:lineRule="auto"/>
        <w:jc w:val="left"/>
        <w:rPr>
          <w:rFonts w:hint="eastAsia" w:ascii="宋体" w:hAnsi="宋体" w:eastAsia="宋体" w:cs="宋体"/>
        </w:rPr>
      </w:pPr>
    </w:p>
    <w:p w14:paraId="68D0B478">
      <w:pPr>
        <w:spacing w:before="78"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14.1  材料和工程的试验和检验</w:t>
      </w:r>
    </w:p>
    <w:p w14:paraId="487B4F2B">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14.1.1  承包人应按合同约定进行材料和工程的试验和检验，并为监理人对上述材料和工程的质量检查提供必要的试验资料和原始记录。按合同约定应由监理人与承包人共同进行试验和检验的，由承包人负责提供必要的试验资料和原始记录。</w:t>
      </w:r>
    </w:p>
    <w:p w14:paraId="13357695">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14.1.2  监理人未按合同约定派员参加试验和检验的，除监理人另有指示外，承包人可自行试验和检验，并应立即将试验和检验结果报送监理人，监理人应签字确认。</w:t>
      </w:r>
    </w:p>
    <w:p w14:paraId="612FE449">
      <w:pPr>
        <w:spacing w:before="162" w:line="360" w:lineRule="auto"/>
        <w:ind w:left="19" w:right="159" w:firstLine="436"/>
        <w:jc w:val="left"/>
        <w:rPr>
          <w:rFonts w:hint="eastAsia" w:ascii="宋体" w:hAnsi="宋体" w:eastAsia="宋体" w:cs="宋体"/>
          <w:sz w:val="20"/>
          <w:szCs w:val="20"/>
        </w:rPr>
      </w:pPr>
      <w:r>
        <w:rPr>
          <w:rFonts w:hint="eastAsia" w:ascii="宋体" w:hAnsi="宋体" w:eastAsia="宋体" w:cs="宋体"/>
          <w:spacing w:val="6"/>
          <w:sz w:val="20"/>
          <w:szCs w:val="20"/>
        </w:rPr>
        <w:t>14.1.3  监理人对承包人的试验和检验结果有疑问的，或为查清承包人试验和检验成果</w:t>
      </w:r>
      <w:r>
        <w:rPr>
          <w:rFonts w:hint="eastAsia" w:ascii="宋体" w:hAnsi="宋体" w:eastAsia="宋体" w:cs="宋体"/>
          <w:spacing w:val="8"/>
          <w:sz w:val="20"/>
          <w:szCs w:val="20"/>
        </w:rPr>
        <w:t>的可靠性要求承包人重新试验和检验的，可按合同约</w:t>
      </w:r>
      <w:r>
        <w:rPr>
          <w:rFonts w:hint="eastAsia" w:ascii="宋体" w:hAnsi="宋体" w:eastAsia="宋体" w:cs="宋体"/>
          <w:spacing w:val="7"/>
          <w:sz w:val="20"/>
          <w:szCs w:val="20"/>
        </w:rPr>
        <w:t>定由监理人与承包人共同进行。重新试</w:t>
      </w:r>
      <w:r>
        <w:rPr>
          <w:rFonts w:hint="eastAsia" w:ascii="宋体" w:hAnsi="宋体" w:eastAsia="宋体" w:cs="宋体"/>
          <w:spacing w:val="8"/>
          <w:sz w:val="20"/>
          <w:szCs w:val="20"/>
        </w:rPr>
        <w:t>验和检验的结果证明该项材料或工程的质量不符合合</w:t>
      </w:r>
      <w:r>
        <w:rPr>
          <w:rFonts w:hint="eastAsia" w:ascii="宋体" w:hAnsi="宋体" w:eastAsia="宋体" w:cs="宋体"/>
          <w:spacing w:val="7"/>
          <w:sz w:val="20"/>
          <w:szCs w:val="20"/>
        </w:rPr>
        <w:t>同要求的，由此增加的费用和（或）工</w:t>
      </w:r>
      <w:r>
        <w:rPr>
          <w:rFonts w:hint="eastAsia" w:ascii="宋体" w:hAnsi="宋体" w:eastAsia="宋体" w:cs="宋体"/>
          <w:spacing w:val="8"/>
          <w:sz w:val="20"/>
          <w:szCs w:val="20"/>
        </w:rPr>
        <w:t>期延误由承包人承担；重新试验和检验结果证明该项</w:t>
      </w:r>
      <w:r>
        <w:rPr>
          <w:rFonts w:hint="eastAsia" w:ascii="宋体" w:hAnsi="宋体" w:eastAsia="宋体" w:cs="宋体"/>
          <w:spacing w:val="7"/>
          <w:sz w:val="20"/>
          <w:szCs w:val="20"/>
        </w:rPr>
        <w:t>材料和工程符合合同要求，由发包人承</w:t>
      </w:r>
      <w:r>
        <w:rPr>
          <w:rFonts w:hint="eastAsia" w:ascii="宋体" w:hAnsi="宋体" w:eastAsia="宋体" w:cs="宋体"/>
          <w:spacing w:val="9"/>
          <w:sz w:val="20"/>
          <w:szCs w:val="20"/>
        </w:rPr>
        <w:t>担由此增加的费用和（或）工期延误，并支付承包人合理利润。</w:t>
      </w:r>
    </w:p>
    <w:p w14:paraId="3AEA134A">
      <w:pPr>
        <w:spacing w:before="285" w:line="360" w:lineRule="auto"/>
        <w:ind w:left="38"/>
        <w:jc w:val="left"/>
        <w:outlineLvl w:val="2"/>
        <w:rPr>
          <w:rFonts w:hint="eastAsia" w:ascii="宋体" w:hAnsi="宋体" w:eastAsia="宋体" w:cs="宋体"/>
          <w:sz w:val="24"/>
          <w:szCs w:val="24"/>
        </w:rPr>
      </w:pPr>
      <w:bookmarkStart w:id="677" w:name="bookmark95"/>
      <w:bookmarkEnd w:id="677"/>
      <w:r>
        <w:rPr>
          <w:rFonts w:hint="eastAsia" w:ascii="宋体" w:hAnsi="宋体" w:eastAsia="宋体" w:cs="宋体"/>
          <w:spacing w:val="-3"/>
          <w:sz w:val="24"/>
          <w:szCs w:val="24"/>
        </w:rPr>
        <w:t>14.2  现场材料试验</w:t>
      </w:r>
    </w:p>
    <w:p w14:paraId="6D0BA77D">
      <w:pPr>
        <w:spacing w:before="299" w:line="360" w:lineRule="auto"/>
        <w:ind w:left="19" w:right="159" w:firstLine="436"/>
        <w:jc w:val="left"/>
        <w:rPr>
          <w:rFonts w:hint="eastAsia" w:ascii="宋体" w:hAnsi="宋体" w:eastAsia="宋体" w:cs="宋体"/>
          <w:sz w:val="20"/>
          <w:szCs w:val="20"/>
        </w:rPr>
      </w:pPr>
      <w:r>
        <w:rPr>
          <w:rFonts w:hint="eastAsia" w:ascii="宋体" w:hAnsi="宋体" w:eastAsia="宋体" w:cs="宋体"/>
          <w:spacing w:val="6"/>
          <w:sz w:val="20"/>
          <w:szCs w:val="20"/>
        </w:rPr>
        <w:t>14.2.1  承包人根据合同约定或监理人指示进行的现场材料试验，应由承包人提供试验</w:t>
      </w:r>
      <w:r>
        <w:rPr>
          <w:rFonts w:hint="eastAsia" w:ascii="宋体" w:hAnsi="宋体" w:eastAsia="宋体" w:cs="宋体"/>
          <w:spacing w:val="9"/>
          <w:sz w:val="20"/>
          <w:szCs w:val="20"/>
        </w:rPr>
        <w:t>场所、试验人员、试验设备器材以及其他必要的试验条件。</w:t>
      </w:r>
    </w:p>
    <w:p w14:paraId="24D5567A">
      <w:pPr>
        <w:spacing w:before="162" w:line="360" w:lineRule="auto"/>
        <w:ind w:left="18" w:firstLine="437"/>
        <w:jc w:val="left"/>
        <w:rPr>
          <w:rFonts w:hint="eastAsia" w:ascii="宋体" w:hAnsi="宋体" w:eastAsia="宋体" w:cs="宋体"/>
          <w:sz w:val="20"/>
          <w:szCs w:val="20"/>
        </w:rPr>
      </w:pPr>
      <w:r>
        <w:rPr>
          <w:rFonts w:hint="eastAsia" w:ascii="宋体" w:hAnsi="宋体" w:eastAsia="宋体" w:cs="宋体"/>
          <w:spacing w:val="5"/>
          <w:sz w:val="20"/>
          <w:szCs w:val="20"/>
        </w:rPr>
        <w:t>14.2.2  监理人在必要时可以使用承包人的试验场所、试验设备器材以及其他试验条件，</w:t>
      </w:r>
      <w:r>
        <w:rPr>
          <w:rFonts w:hint="eastAsia" w:ascii="宋体" w:hAnsi="宋体" w:eastAsia="宋体" w:cs="宋体"/>
          <w:spacing w:val="9"/>
          <w:sz w:val="20"/>
          <w:szCs w:val="20"/>
        </w:rPr>
        <w:t>进行以工程质量检查为目的的复核性材料试验，承包人应予以协助。</w:t>
      </w:r>
    </w:p>
    <w:p w14:paraId="7BAA76E1">
      <w:pPr>
        <w:spacing w:before="283" w:line="360" w:lineRule="auto"/>
        <w:ind w:left="38"/>
        <w:jc w:val="left"/>
        <w:outlineLvl w:val="2"/>
        <w:rPr>
          <w:rFonts w:hint="eastAsia" w:ascii="宋体" w:hAnsi="宋体" w:eastAsia="宋体" w:cs="宋体"/>
          <w:sz w:val="24"/>
          <w:szCs w:val="24"/>
        </w:rPr>
      </w:pPr>
      <w:bookmarkStart w:id="678" w:name="bookmark96"/>
      <w:bookmarkEnd w:id="678"/>
      <w:r>
        <w:rPr>
          <w:rFonts w:hint="eastAsia" w:ascii="宋体" w:hAnsi="宋体" w:eastAsia="宋体" w:cs="宋体"/>
          <w:spacing w:val="-3"/>
          <w:sz w:val="24"/>
          <w:szCs w:val="24"/>
        </w:rPr>
        <w:t>14.3  现场工艺试验</w:t>
      </w:r>
    </w:p>
    <w:p w14:paraId="324AA6C9">
      <w:pPr>
        <w:spacing w:before="296" w:line="360" w:lineRule="auto"/>
        <w:ind w:left="19" w:right="159" w:firstLine="420"/>
        <w:jc w:val="left"/>
        <w:rPr>
          <w:rFonts w:hint="eastAsia" w:ascii="宋体" w:hAnsi="宋体" w:eastAsia="宋体" w:cs="宋体"/>
          <w:sz w:val="20"/>
          <w:szCs w:val="20"/>
        </w:rPr>
      </w:pPr>
      <w:r>
        <w:rPr>
          <w:rFonts w:hint="eastAsia" w:ascii="宋体" w:hAnsi="宋体" w:eastAsia="宋体" w:cs="宋体"/>
          <w:spacing w:val="7"/>
          <w:sz w:val="20"/>
          <w:szCs w:val="20"/>
        </w:rPr>
        <w:t>承包人应按合同约定或监理人指示进行现场工艺试验。对大型的现场工艺试验，监理人</w:t>
      </w:r>
      <w:r>
        <w:rPr>
          <w:rFonts w:hint="eastAsia" w:ascii="宋体" w:hAnsi="宋体" w:eastAsia="宋体" w:cs="宋体"/>
          <w:spacing w:val="8"/>
          <w:sz w:val="20"/>
          <w:szCs w:val="20"/>
        </w:rPr>
        <w:t>认为必要时，应由承包人根据监理人提出的工艺试</w:t>
      </w:r>
      <w:r>
        <w:rPr>
          <w:rFonts w:hint="eastAsia" w:ascii="宋体" w:hAnsi="宋体" w:eastAsia="宋体" w:cs="宋体"/>
          <w:spacing w:val="7"/>
          <w:sz w:val="20"/>
          <w:szCs w:val="20"/>
        </w:rPr>
        <w:t>验要求，编制工艺试验措施计划，报送监</w:t>
      </w:r>
      <w:r>
        <w:rPr>
          <w:rFonts w:hint="eastAsia" w:ascii="宋体" w:hAnsi="宋体" w:eastAsia="宋体" w:cs="宋体"/>
          <w:spacing w:val="5"/>
          <w:sz w:val="20"/>
          <w:szCs w:val="20"/>
        </w:rPr>
        <w:t>理人审批。</w:t>
      </w:r>
    </w:p>
    <w:p w14:paraId="5E9BB3AC">
      <w:pPr>
        <w:spacing w:before="125" w:line="360" w:lineRule="auto"/>
        <w:ind w:left="43"/>
        <w:jc w:val="left"/>
        <w:outlineLvl w:val="1"/>
        <w:rPr>
          <w:rFonts w:hint="eastAsia" w:ascii="宋体" w:hAnsi="宋体" w:eastAsia="宋体" w:cs="宋体"/>
          <w:sz w:val="28"/>
          <w:szCs w:val="28"/>
        </w:rPr>
      </w:pPr>
      <w:bookmarkStart w:id="679" w:name="bookmark97"/>
      <w:bookmarkEnd w:id="679"/>
      <w:r>
        <w:rPr>
          <w:rFonts w:hint="eastAsia" w:ascii="宋体" w:hAnsi="宋体" w:eastAsia="宋体" w:cs="宋体"/>
          <w:spacing w:val="-6"/>
          <w:sz w:val="28"/>
          <w:szCs w:val="28"/>
        </w:rPr>
        <w:t>15.变更</w:t>
      </w:r>
    </w:p>
    <w:p w14:paraId="72BB7343">
      <w:pPr>
        <w:pStyle w:val="17"/>
        <w:spacing w:line="360" w:lineRule="auto"/>
        <w:jc w:val="left"/>
        <w:rPr>
          <w:rFonts w:hint="eastAsia" w:ascii="宋体" w:hAnsi="宋体" w:eastAsia="宋体" w:cs="宋体"/>
        </w:rPr>
      </w:pPr>
    </w:p>
    <w:p w14:paraId="776C5F43">
      <w:pPr>
        <w:spacing w:before="79"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15.1  变更的范围和内容</w:t>
      </w:r>
    </w:p>
    <w:p w14:paraId="452C1546">
      <w:pPr>
        <w:spacing w:before="295" w:line="360" w:lineRule="auto"/>
        <w:ind w:left="455"/>
        <w:jc w:val="left"/>
        <w:rPr>
          <w:rFonts w:hint="eastAsia" w:ascii="宋体" w:hAnsi="宋体" w:eastAsia="宋体" w:cs="宋体"/>
          <w:sz w:val="20"/>
          <w:szCs w:val="20"/>
        </w:rPr>
      </w:pPr>
      <w:r>
        <w:rPr>
          <w:rFonts w:hint="eastAsia" w:ascii="宋体" w:hAnsi="宋体" w:eastAsia="宋体" w:cs="宋体"/>
          <w:spacing w:val="8"/>
          <w:sz w:val="20"/>
          <w:szCs w:val="20"/>
        </w:rPr>
        <w:t>15.1.1  在履行合同中发生以下情形之一，应按照本</w:t>
      </w:r>
      <w:r>
        <w:rPr>
          <w:rFonts w:hint="eastAsia" w:ascii="宋体" w:hAnsi="宋体" w:eastAsia="宋体" w:cs="宋体"/>
          <w:spacing w:val="7"/>
          <w:sz w:val="20"/>
          <w:szCs w:val="20"/>
        </w:rPr>
        <w:t>条规定进行变更。</w:t>
      </w:r>
    </w:p>
    <w:p w14:paraId="54F4D79E">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（1）取消合同中任何一项工作，但被取消的工作不能转由发包人或其他人实施；</w:t>
      </w:r>
    </w:p>
    <w:p w14:paraId="5635A0BD">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（2）改变合同中任何一项工作的质量或其他特性；</w:t>
      </w:r>
    </w:p>
    <w:p w14:paraId="6FDD371A">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（3）改变合同工程的基线、标高、位置或尺寸；</w:t>
      </w:r>
    </w:p>
    <w:p w14:paraId="4D3FEB0F">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（4）改变合同中任何一项工作的施工时间或改变已批准的施工工艺或顺序；</w:t>
      </w:r>
    </w:p>
    <w:p w14:paraId="5109DAE9">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（5）为完成工程需要追加的额外工作；</w:t>
      </w:r>
    </w:p>
    <w:p w14:paraId="4CDFD779">
      <w:pPr>
        <w:spacing w:before="292" w:line="360" w:lineRule="auto"/>
        <w:ind w:left="19" w:right="122" w:firstLine="423"/>
        <w:jc w:val="left"/>
        <w:rPr>
          <w:rFonts w:hint="eastAsia" w:ascii="宋体" w:hAnsi="宋体" w:eastAsia="宋体" w:cs="宋体"/>
          <w:spacing w:val="6"/>
          <w:sz w:val="20"/>
          <w:szCs w:val="20"/>
        </w:rPr>
      </w:pPr>
      <w:r>
        <w:rPr>
          <w:rFonts w:hint="eastAsia" w:ascii="宋体" w:hAnsi="宋体" w:eastAsia="宋体" w:cs="宋体"/>
          <w:spacing w:val="6"/>
          <w:sz w:val="20"/>
          <w:szCs w:val="20"/>
        </w:rPr>
        <w:t>（6）变更的其他情形见合同条款专用部分。</w:t>
      </w:r>
    </w:p>
    <w:p w14:paraId="5DDF4CD0">
      <w:pPr>
        <w:spacing w:before="163" w:line="360" w:lineRule="auto"/>
        <w:ind w:left="20" w:right="160" w:firstLine="434"/>
        <w:jc w:val="left"/>
        <w:rPr>
          <w:rFonts w:hint="eastAsia" w:ascii="宋体" w:hAnsi="宋体" w:eastAsia="宋体" w:cs="宋体"/>
          <w:sz w:val="20"/>
          <w:szCs w:val="20"/>
        </w:rPr>
      </w:pPr>
      <w:r>
        <w:rPr>
          <w:rFonts w:hint="eastAsia" w:ascii="宋体" w:hAnsi="宋体" w:eastAsia="宋体" w:cs="宋体"/>
          <w:spacing w:val="5"/>
          <w:sz w:val="20"/>
          <w:szCs w:val="20"/>
        </w:rPr>
        <w:t>15.1.2  发包人违背第</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15.1.1（1）</w:t>
      </w:r>
      <w:r>
        <w:rPr>
          <w:rFonts w:hint="eastAsia" w:ascii="宋体" w:hAnsi="宋体" w:eastAsia="宋体" w:cs="宋体"/>
          <w:spacing w:val="-51"/>
          <w:sz w:val="20"/>
          <w:szCs w:val="20"/>
        </w:rPr>
        <w:t xml:space="preserve"> </w:t>
      </w:r>
      <w:r>
        <w:rPr>
          <w:rFonts w:hint="eastAsia" w:ascii="宋体" w:hAnsi="宋体" w:eastAsia="宋体" w:cs="宋体"/>
          <w:spacing w:val="5"/>
          <w:sz w:val="20"/>
          <w:szCs w:val="20"/>
        </w:rPr>
        <w:t>目的约定，将被取消的合同中的工作转由发包人或</w:t>
      </w:r>
      <w:r>
        <w:rPr>
          <w:rFonts w:hint="eastAsia" w:ascii="宋体" w:hAnsi="宋体" w:eastAsia="宋体" w:cs="宋体"/>
          <w:spacing w:val="8"/>
          <w:sz w:val="20"/>
          <w:szCs w:val="20"/>
        </w:rPr>
        <w:t>其他人实施的，承包人可向监理人发出通知</w:t>
      </w:r>
      <w:r>
        <w:rPr>
          <w:rFonts w:hint="eastAsia" w:ascii="宋体" w:hAnsi="宋体" w:eastAsia="宋体" w:cs="宋体"/>
          <w:spacing w:val="7"/>
          <w:sz w:val="20"/>
          <w:szCs w:val="20"/>
        </w:rPr>
        <w:t>，要求发包人采取有效措施纠正违约行为，发包</w:t>
      </w:r>
      <w:r>
        <w:rPr>
          <w:rFonts w:hint="eastAsia" w:ascii="宋体" w:hAnsi="宋体" w:eastAsia="宋体" w:cs="宋体"/>
          <w:spacing w:val="9"/>
          <w:sz w:val="20"/>
          <w:szCs w:val="20"/>
        </w:rPr>
        <w:t>人在监理人收到承包人通知后</w:t>
      </w:r>
      <w:r>
        <w:rPr>
          <w:rFonts w:hint="eastAsia" w:ascii="宋体" w:hAnsi="宋体" w:eastAsia="宋体" w:cs="宋体"/>
          <w:spacing w:val="-28"/>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天内仍不纠正违约行为的，应当赔偿承包人损失（包括合</w:t>
      </w:r>
      <w:r>
        <w:rPr>
          <w:rFonts w:hint="eastAsia" w:ascii="宋体" w:hAnsi="宋体" w:eastAsia="宋体" w:cs="宋体"/>
          <w:spacing w:val="11"/>
          <w:sz w:val="20"/>
          <w:szCs w:val="20"/>
        </w:rPr>
        <w:t>理的利润）并承担由此引起的其他责任。承包人应当按第</w:t>
      </w:r>
      <w:r>
        <w:rPr>
          <w:rFonts w:hint="eastAsia" w:ascii="宋体" w:hAnsi="宋体" w:eastAsia="宋体" w:cs="宋体"/>
          <w:spacing w:val="-31"/>
          <w:sz w:val="20"/>
          <w:szCs w:val="20"/>
        </w:rPr>
        <w:t xml:space="preserve"> </w:t>
      </w:r>
      <w:r>
        <w:rPr>
          <w:rFonts w:hint="eastAsia" w:ascii="宋体" w:hAnsi="宋体" w:eastAsia="宋体" w:cs="宋体"/>
          <w:spacing w:val="11"/>
          <w:sz w:val="20"/>
          <w:szCs w:val="20"/>
        </w:rPr>
        <w:t>23.1（1）项的约定，在上述</w:t>
      </w:r>
      <w:r>
        <w:rPr>
          <w:rFonts w:hint="eastAsia" w:ascii="宋体" w:hAnsi="宋体" w:eastAsia="宋体" w:cs="宋体"/>
          <w:spacing w:val="-31"/>
          <w:sz w:val="20"/>
          <w:szCs w:val="20"/>
        </w:rPr>
        <w:t xml:space="preserve"> </w:t>
      </w:r>
      <w:r>
        <w:rPr>
          <w:rFonts w:hint="eastAsia" w:ascii="宋体" w:hAnsi="宋体" w:eastAsia="宋体" w:cs="宋体"/>
          <w:spacing w:val="11"/>
          <w:sz w:val="20"/>
          <w:szCs w:val="20"/>
        </w:rPr>
        <w:t>28</w:t>
      </w:r>
      <w:r>
        <w:rPr>
          <w:rFonts w:hint="eastAsia" w:ascii="宋体" w:hAnsi="宋体" w:eastAsia="宋体" w:cs="宋体"/>
          <w:spacing w:val="7"/>
          <w:sz w:val="20"/>
          <w:szCs w:val="20"/>
        </w:rPr>
        <w:t>天期限到期后的</w:t>
      </w:r>
      <w:r>
        <w:rPr>
          <w:rFonts w:hint="eastAsia" w:ascii="宋体" w:hAnsi="宋体" w:eastAsia="宋体" w:cs="宋体"/>
          <w:spacing w:val="-33"/>
          <w:sz w:val="20"/>
          <w:szCs w:val="20"/>
        </w:rPr>
        <w:t xml:space="preserve"> </w:t>
      </w:r>
      <w:r>
        <w:rPr>
          <w:rFonts w:hint="eastAsia" w:ascii="宋体" w:hAnsi="宋体" w:eastAsia="宋体" w:cs="宋体"/>
          <w:spacing w:val="7"/>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天内，向监理人递交工程索赔意向通知书,并按第</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23.1（2）项的约定，</w:t>
      </w:r>
      <w:r>
        <w:rPr>
          <w:rFonts w:hint="eastAsia" w:ascii="宋体" w:hAnsi="宋体" w:eastAsia="宋体" w:cs="宋体"/>
          <w:spacing w:val="8"/>
          <w:sz w:val="20"/>
          <w:szCs w:val="20"/>
        </w:rPr>
        <w:t>及时向监理人递交正式工程索赔通知书，说明</w:t>
      </w:r>
      <w:r>
        <w:rPr>
          <w:rFonts w:hint="eastAsia" w:ascii="宋体" w:hAnsi="宋体" w:eastAsia="宋体" w:cs="宋体"/>
          <w:spacing w:val="7"/>
          <w:sz w:val="20"/>
          <w:szCs w:val="20"/>
        </w:rPr>
        <w:t>有权得到的损失赔偿金额并附必要的记录和证</w:t>
      </w:r>
      <w:r>
        <w:rPr>
          <w:rFonts w:hint="eastAsia" w:ascii="宋体" w:hAnsi="宋体" w:eastAsia="宋体" w:cs="宋体"/>
          <w:spacing w:val="8"/>
          <w:sz w:val="20"/>
          <w:szCs w:val="20"/>
        </w:rPr>
        <w:t>明材料。发包人支付给承包人的损失赔偿金额</w:t>
      </w:r>
      <w:r>
        <w:rPr>
          <w:rFonts w:hint="eastAsia" w:ascii="宋体" w:hAnsi="宋体" w:eastAsia="宋体" w:cs="宋体"/>
          <w:spacing w:val="7"/>
          <w:sz w:val="20"/>
          <w:szCs w:val="20"/>
        </w:rPr>
        <w:t>应当包括被取消工作的合同价值中所包含的承</w:t>
      </w:r>
      <w:r>
        <w:rPr>
          <w:rFonts w:hint="eastAsia" w:ascii="宋体" w:hAnsi="宋体" w:eastAsia="宋体" w:cs="宋体"/>
          <w:spacing w:val="8"/>
          <w:sz w:val="20"/>
          <w:szCs w:val="20"/>
        </w:rPr>
        <w:t>包人管理费、利润以及相应的增值税。</w:t>
      </w:r>
    </w:p>
    <w:p w14:paraId="11F8BCD2">
      <w:pPr>
        <w:spacing w:before="121" w:line="360" w:lineRule="auto"/>
        <w:ind w:left="38"/>
        <w:jc w:val="left"/>
        <w:outlineLvl w:val="2"/>
        <w:rPr>
          <w:rFonts w:hint="eastAsia" w:ascii="宋体" w:hAnsi="宋体" w:eastAsia="宋体" w:cs="宋体"/>
          <w:sz w:val="24"/>
          <w:szCs w:val="24"/>
        </w:rPr>
      </w:pPr>
      <w:bookmarkStart w:id="680" w:name="bookmark98"/>
      <w:bookmarkEnd w:id="680"/>
      <w:r>
        <w:rPr>
          <w:rFonts w:hint="eastAsia" w:ascii="宋体" w:hAnsi="宋体" w:eastAsia="宋体" w:cs="宋体"/>
          <w:spacing w:val="-6"/>
          <w:sz w:val="24"/>
          <w:szCs w:val="24"/>
        </w:rPr>
        <w:t>15.2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变更权</w:t>
      </w:r>
    </w:p>
    <w:p w14:paraId="0A65B67D">
      <w:pPr>
        <w:spacing w:before="295" w:line="360" w:lineRule="auto"/>
        <w:ind w:left="37" w:right="94" w:firstLine="401"/>
        <w:jc w:val="left"/>
        <w:rPr>
          <w:rFonts w:hint="eastAsia" w:ascii="宋体" w:hAnsi="宋体" w:eastAsia="宋体" w:cs="宋体"/>
          <w:sz w:val="20"/>
          <w:szCs w:val="20"/>
        </w:rPr>
      </w:pPr>
      <w:r>
        <w:rPr>
          <w:rFonts w:hint="eastAsia" w:ascii="宋体" w:hAnsi="宋体" w:eastAsia="宋体" w:cs="宋体"/>
          <w:spacing w:val="9"/>
          <w:sz w:val="20"/>
          <w:szCs w:val="20"/>
        </w:rPr>
        <w:t>在履行合同过程中，经发包人同意，监理人可按第</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15.3</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款约定的变</w:t>
      </w:r>
      <w:r>
        <w:rPr>
          <w:rFonts w:hint="eastAsia" w:ascii="宋体" w:hAnsi="宋体" w:eastAsia="宋体" w:cs="宋体"/>
          <w:spacing w:val="8"/>
          <w:sz w:val="20"/>
          <w:szCs w:val="20"/>
        </w:rPr>
        <w:t>更程序向承包人作</w:t>
      </w:r>
      <w:r>
        <w:rPr>
          <w:rFonts w:hint="eastAsia" w:ascii="宋体" w:hAnsi="宋体" w:eastAsia="宋体" w:cs="宋体"/>
          <w:spacing w:val="9"/>
          <w:sz w:val="20"/>
          <w:szCs w:val="20"/>
        </w:rPr>
        <w:t>出变更指示，承包人应遵照执行。没有监理人的变更指示，承包人不得擅自</w:t>
      </w:r>
      <w:r>
        <w:rPr>
          <w:rFonts w:hint="eastAsia" w:ascii="宋体" w:hAnsi="宋体" w:eastAsia="宋体" w:cs="宋体"/>
          <w:spacing w:val="8"/>
          <w:sz w:val="20"/>
          <w:szCs w:val="20"/>
        </w:rPr>
        <w:t>变更。</w:t>
      </w:r>
    </w:p>
    <w:p w14:paraId="724203C5">
      <w:pPr>
        <w:spacing w:before="119" w:line="360" w:lineRule="auto"/>
        <w:ind w:left="38"/>
        <w:jc w:val="left"/>
        <w:outlineLvl w:val="2"/>
        <w:rPr>
          <w:rFonts w:hint="eastAsia" w:ascii="宋体" w:hAnsi="宋体" w:eastAsia="宋体" w:cs="宋体"/>
          <w:sz w:val="24"/>
          <w:szCs w:val="24"/>
        </w:rPr>
      </w:pPr>
      <w:bookmarkStart w:id="681" w:name="bookmark99"/>
      <w:bookmarkEnd w:id="681"/>
      <w:r>
        <w:rPr>
          <w:rFonts w:hint="eastAsia" w:ascii="宋体" w:hAnsi="宋体" w:eastAsia="宋体" w:cs="宋体"/>
          <w:spacing w:val="-5"/>
          <w:sz w:val="24"/>
          <w:szCs w:val="24"/>
        </w:rPr>
        <w:t>15.3</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变更程序</w:t>
      </w:r>
    </w:p>
    <w:p w14:paraId="26C47B86">
      <w:pPr>
        <w:spacing w:before="294" w:line="360" w:lineRule="auto"/>
        <w:ind w:left="455"/>
        <w:jc w:val="left"/>
        <w:rPr>
          <w:rFonts w:hint="eastAsia" w:ascii="宋体" w:hAnsi="宋体" w:eastAsia="宋体" w:cs="宋体"/>
          <w:sz w:val="20"/>
          <w:szCs w:val="20"/>
        </w:rPr>
      </w:pPr>
      <w:r>
        <w:rPr>
          <w:rFonts w:hint="eastAsia" w:ascii="宋体" w:hAnsi="宋体" w:eastAsia="宋体" w:cs="宋体"/>
          <w:spacing w:val="5"/>
          <w:sz w:val="20"/>
          <w:szCs w:val="20"/>
        </w:rPr>
        <w:t>15.3.1  变更的提出</w:t>
      </w:r>
    </w:p>
    <w:p w14:paraId="1C37EA29">
      <w:pPr>
        <w:spacing w:before="164" w:line="360" w:lineRule="auto"/>
        <w:ind w:left="20" w:right="92" w:firstLine="323"/>
        <w:jc w:val="left"/>
        <w:rPr>
          <w:rFonts w:hint="eastAsia" w:ascii="宋体" w:hAnsi="宋体" w:eastAsia="宋体" w:cs="宋体"/>
          <w:sz w:val="20"/>
          <w:szCs w:val="20"/>
        </w:rPr>
      </w:pPr>
      <w:r>
        <w:rPr>
          <w:rFonts w:hint="eastAsia" w:ascii="宋体" w:hAnsi="宋体" w:eastAsia="宋体" w:cs="宋体"/>
          <w:spacing w:val="8"/>
          <w:sz w:val="20"/>
          <w:szCs w:val="20"/>
        </w:rPr>
        <w:t>（1）在合同履行过程中，可能发生第</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15.1.1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项约定情形的，监理人可向承包人发出变更意向书。变更意向书应说明变更的具体内容和</w:t>
      </w:r>
      <w:r>
        <w:rPr>
          <w:rFonts w:hint="eastAsia" w:ascii="宋体" w:hAnsi="宋体" w:eastAsia="宋体" w:cs="宋体"/>
          <w:spacing w:val="7"/>
          <w:sz w:val="20"/>
          <w:szCs w:val="20"/>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hint="eastAsia" w:ascii="宋体" w:hAnsi="宋体" w:eastAsia="宋体" w:cs="宋体"/>
          <w:spacing w:val="5"/>
          <w:sz w:val="20"/>
          <w:szCs w:val="20"/>
        </w:rPr>
        <w:t>按第</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15.3.3</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项约定发出变更指示。</w:t>
      </w:r>
    </w:p>
    <w:p w14:paraId="04929D95">
      <w:pPr>
        <w:spacing w:before="159" w:line="360" w:lineRule="auto"/>
        <w:ind w:left="41" w:right="92" w:firstLine="303"/>
        <w:jc w:val="left"/>
        <w:rPr>
          <w:rFonts w:hint="eastAsia" w:ascii="宋体" w:hAnsi="宋体" w:eastAsia="宋体" w:cs="宋体"/>
          <w:sz w:val="20"/>
          <w:szCs w:val="20"/>
        </w:rPr>
      </w:pPr>
      <w:r>
        <w:rPr>
          <w:rFonts w:hint="eastAsia" w:ascii="宋体" w:hAnsi="宋体" w:eastAsia="宋体" w:cs="宋体"/>
          <w:spacing w:val="5"/>
          <w:sz w:val="20"/>
          <w:szCs w:val="20"/>
        </w:rPr>
        <w:t>（2）在合同履行过程中，发生第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15.1.</w:t>
      </w:r>
      <w:r>
        <w:rPr>
          <w:rFonts w:hint="eastAsia" w:ascii="宋体" w:hAnsi="宋体" w:eastAsia="宋体" w:cs="宋体"/>
          <w:spacing w:val="4"/>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项约定情形的，监理人应按照第</w:t>
      </w:r>
      <w:r>
        <w:rPr>
          <w:rFonts w:hint="eastAsia" w:ascii="宋体" w:hAnsi="宋体" w:eastAsia="宋体" w:cs="宋体"/>
          <w:spacing w:val="-23"/>
          <w:sz w:val="20"/>
          <w:szCs w:val="20"/>
        </w:rPr>
        <w:t xml:space="preserve"> </w:t>
      </w:r>
      <w:r>
        <w:rPr>
          <w:rFonts w:hint="eastAsia" w:ascii="宋体" w:hAnsi="宋体" w:eastAsia="宋体" w:cs="宋体"/>
          <w:spacing w:val="4"/>
          <w:sz w:val="20"/>
          <w:szCs w:val="20"/>
        </w:rPr>
        <w:t>15.3.3</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项约定</w:t>
      </w:r>
      <w:r>
        <w:rPr>
          <w:rFonts w:hint="eastAsia" w:ascii="宋体" w:hAnsi="宋体" w:eastAsia="宋体" w:cs="宋体"/>
          <w:spacing w:val="6"/>
          <w:sz w:val="20"/>
          <w:szCs w:val="20"/>
        </w:rPr>
        <w:t>向承包人发出变更指示。</w:t>
      </w:r>
    </w:p>
    <w:p w14:paraId="7F4ED394">
      <w:pPr>
        <w:spacing w:before="162" w:line="360" w:lineRule="auto"/>
        <w:ind w:left="19" w:right="92" w:firstLine="325"/>
        <w:jc w:val="left"/>
        <w:rPr>
          <w:rFonts w:hint="eastAsia" w:ascii="宋体" w:hAnsi="宋体" w:eastAsia="宋体" w:cs="宋体"/>
          <w:sz w:val="20"/>
          <w:szCs w:val="20"/>
        </w:rPr>
      </w:pPr>
      <w:r>
        <w:rPr>
          <w:rFonts w:hint="eastAsia" w:ascii="宋体" w:hAnsi="宋体" w:eastAsia="宋体" w:cs="宋体"/>
          <w:spacing w:val="10"/>
          <w:sz w:val="20"/>
          <w:szCs w:val="20"/>
        </w:rPr>
        <w:t>（3）承包人收到监理人按合同约定发出的图纸和文件，经</w:t>
      </w:r>
      <w:r>
        <w:rPr>
          <w:rFonts w:hint="eastAsia" w:ascii="宋体" w:hAnsi="宋体" w:eastAsia="宋体" w:cs="宋体"/>
          <w:spacing w:val="9"/>
          <w:sz w:val="20"/>
          <w:szCs w:val="20"/>
        </w:rPr>
        <w:t>检查认为其中存在第</w:t>
      </w:r>
      <w:r>
        <w:rPr>
          <w:rFonts w:hint="eastAsia" w:ascii="宋体" w:hAnsi="宋体" w:eastAsia="宋体" w:cs="宋体"/>
          <w:spacing w:val="-19"/>
          <w:sz w:val="20"/>
          <w:szCs w:val="20"/>
        </w:rPr>
        <w:t xml:space="preserve"> </w:t>
      </w:r>
      <w:r>
        <w:rPr>
          <w:rFonts w:hint="eastAsia" w:ascii="宋体" w:hAnsi="宋体" w:eastAsia="宋体" w:cs="宋体"/>
          <w:spacing w:val="9"/>
          <w:sz w:val="20"/>
          <w:szCs w:val="20"/>
        </w:rPr>
        <w:t>15.1.1</w:t>
      </w:r>
      <w:r>
        <w:rPr>
          <w:rFonts w:hint="eastAsia" w:ascii="宋体" w:hAnsi="宋体" w:eastAsia="宋体" w:cs="宋体"/>
          <w:spacing w:val="8"/>
          <w:sz w:val="20"/>
          <w:szCs w:val="20"/>
        </w:rPr>
        <w:t>项约定情形的，可向监理人提出书面变更建议</w:t>
      </w:r>
      <w:r>
        <w:rPr>
          <w:rFonts w:hint="eastAsia" w:ascii="宋体" w:hAnsi="宋体" w:eastAsia="宋体" w:cs="宋体"/>
          <w:spacing w:val="7"/>
          <w:sz w:val="20"/>
          <w:szCs w:val="20"/>
        </w:rPr>
        <w:t>。变更建议应阐明要求变更的依据，并附必要</w:t>
      </w:r>
      <w:r>
        <w:rPr>
          <w:rFonts w:hint="eastAsia" w:ascii="宋体" w:hAnsi="宋体" w:eastAsia="宋体" w:cs="宋体"/>
          <w:spacing w:val="8"/>
          <w:sz w:val="20"/>
          <w:szCs w:val="20"/>
        </w:rPr>
        <w:t>的图纸和说明。监理人收到承包人书面建议后，应与</w:t>
      </w:r>
      <w:r>
        <w:rPr>
          <w:rFonts w:hint="eastAsia" w:ascii="宋体" w:hAnsi="宋体" w:eastAsia="宋体" w:cs="宋体"/>
          <w:spacing w:val="7"/>
          <w:sz w:val="20"/>
          <w:szCs w:val="20"/>
        </w:rPr>
        <w:t>发包人共同研究，确认存在变更的，应</w:t>
      </w:r>
      <w:r>
        <w:rPr>
          <w:rFonts w:hint="eastAsia" w:ascii="宋体" w:hAnsi="宋体" w:eastAsia="宋体" w:cs="宋体"/>
          <w:spacing w:val="9"/>
          <w:sz w:val="20"/>
          <w:szCs w:val="20"/>
        </w:rPr>
        <w:t>在收到承包人书面建议后的</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天内作出变更指示。经研究后不同意作为变更的，应由监理</w:t>
      </w:r>
      <w:r>
        <w:rPr>
          <w:rFonts w:hint="eastAsia" w:ascii="宋体" w:hAnsi="宋体" w:eastAsia="宋体" w:cs="宋体"/>
          <w:spacing w:val="7"/>
          <w:sz w:val="20"/>
          <w:szCs w:val="20"/>
        </w:rPr>
        <w:t>人书面答复承包人。</w:t>
      </w:r>
    </w:p>
    <w:p w14:paraId="1848C265">
      <w:pPr>
        <w:spacing w:before="160" w:line="360" w:lineRule="auto"/>
        <w:ind w:left="22" w:right="55" w:firstLine="322"/>
        <w:jc w:val="left"/>
        <w:rPr>
          <w:rFonts w:hint="eastAsia" w:ascii="宋体" w:hAnsi="宋体" w:eastAsia="宋体" w:cs="宋体"/>
          <w:sz w:val="20"/>
          <w:szCs w:val="20"/>
        </w:rPr>
      </w:pPr>
      <w:r>
        <w:rPr>
          <w:rFonts w:hint="eastAsia" w:ascii="宋体" w:hAnsi="宋体" w:eastAsia="宋体" w:cs="宋体"/>
          <w:spacing w:val="8"/>
          <w:sz w:val="20"/>
          <w:szCs w:val="20"/>
        </w:rPr>
        <w:t>（4）若承包人收到监理人的变更意向书后认为难以实施此项变更，应立即通知监理人，</w:t>
      </w:r>
      <w:r>
        <w:rPr>
          <w:rFonts w:hint="eastAsia" w:ascii="宋体" w:hAnsi="宋体" w:eastAsia="宋体" w:cs="宋体"/>
          <w:spacing w:val="7"/>
          <w:sz w:val="20"/>
          <w:szCs w:val="20"/>
        </w:rPr>
        <w:t>说明原因并附详细依据。监理人与承包人和发包人协商后确定撤销、改变或不改变原变更意</w:t>
      </w:r>
      <w:r>
        <w:rPr>
          <w:rFonts w:hint="eastAsia" w:ascii="宋体" w:hAnsi="宋体" w:eastAsia="宋体" w:cs="宋体"/>
          <w:spacing w:val="2"/>
          <w:sz w:val="20"/>
          <w:szCs w:val="20"/>
        </w:rPr>
        <w:t>向书。</w:t>
      </w:r>
    </w:p>
    <w:p w14:paraId="41701488">
      <w:pPr>
        <w:spacing w:before="161" w:line="360" w:lineRule="auto"/>
        <w:ind w:left="455"/>
        <w:jc w:val="left"/>
        <w:rPr>
          <w:rFonts w:hint="eastAsia" w:ascii="宋体" w:hAnsi="宋体" w:eastAsia="宋体" w:cs="宋体"/>
          <w:sz w:val="20"/>
          <w:szCs w:val="20"/>
        </w:rPr>
      </w:pPr>
      <w:r>
        <w:rPr>
          <w:rFonts w:hint="eastAsia" w:ascii="宋体" w:hAnsi="宋体" w:eastAsia="宋体" w:cs="宋体"/>
          <w:spacing w:val="4"/>
          <w:sz w:val="20"/>
          <w:szCs w:val="20"/>
        </w:rPr>
        <w:t>15.3.2  变更估价</w:t>
      </w:r>
    </w:p>
    <w:p w14:paraId="706EDC73">
      <w:pPr>
        <w:spacing w:before="164" w:line="360" w:lineRule="auto"/>
        <w:ind w:left="20" w:right="92" w:firstLine="323"/>
        <w:jc w:val="left"/>
        <w:rPr>
          <w:rFonts w:hint="eastAsia" w:ascii="宋体" w:hAnsi="宋体" w:eastAsia="宋体" w:cs="宋体"/>
          <w:spacing w:val="7"/>
          <w:sz w:val="20"/>
          <w:szCs w:val="20"/>
        </w:rPr>
      </w:pPr>
      <w:r>
        <w:rPr>
          <w:rFonts w:hint="eastAsia" w:ascii="宋体" w:hAnsi="宋体" w:eastAsia="宋体" w:cs="宋体"/>
          <w:spacing w:val="7"/>
          <w:sz w:val="20"/>
          <w:szCs w:val="20"/>
        </w:rPr>
        <w:t>（1）除合同条款专用部分对期限另有约定外，承包人应在收到变更指示或变更意向书后</w:t>
      </w:r>
      <w:r>
        <w:rPr>
          <w:rFonts w:hint="eastAsia" w:ascii="宋体" w:hAnsi="宋体" w:eastAsia="宋体" w:cs="宋体"/>
          <w:spacing w:val="5"/>
          <w:sz w:val="20"/>
          <w:szCs w:val="20"/>
        </w:rPr>
        <w:t>的</w:t>
      </w:r>
      <w:r>
        <w:rPr>
          <w:rFonts w:hint="eastAsia" w:ascii="宋体" w:hAnsi="宋体" w:eastAsia="宋体" w:cs="宋体"/>
          <w:spacing w:val="-12"/>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天内，向监理人提交变更报价书，报价内容应根据第</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15.4</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款约定的估价原则，详细开</w:t>
      </w:r>
      <w:r>
        <w:rPr>
          <w:rFonts w:hint="eastAsia" w:ascii="宋体" w:hAnsi="宋体" w:eastAsia="宋体" w:cs="宋体"/>
          <w:spacing w:val="7"/>
          <w:sz w:val="20"/>
          <w:szCs w:val="20"/>
        </w:rPr>
        <w:t>列变更工作的价格组成及其依据，并附必要的施工方法说明和有关图纸。承包人提交变更报价书的期限见合同条款专用部分。</w:t>
      </w:r>
    </w:p>
    <w:p w14:paraId="64C783B1">
      <w:pPr>
        <w:spacing w:before="164" w:line="360" w:lineRule="auto"/>
        <w:ind w:left="20" w:right="92" w:firstLine="323"/>
        <w:jc w:val="left"/>
        <w:rPr>
          <w:rFonts w:hint="eastAsia" w:ascii="宋体" w:hAnsi="宋体" w:eastAsia="宋体" w:cs="宋体"/>
          <w:spacing w:val="7"/>
          <w:sz w:val="20"/>
          <w:szCs w:val="20"/>
        </w:rPr>
      </w:pPr>
      <w:r>
        <w:rPr>
          <w:rFonts w:hint="eastAsia" w:ascii="宋体" w:hAnsi="宋体" w:eastAsia="宋体" w:cs="宋体"/>
          <w:spacing w:val="7"/>
          <w:sz w:val="20"/>
          <w:szCs w:val="20"/>
        </w:rPr>
        <w:t>（2）变更工作影响工期的，承包人应提出调整工期的具体细节。监理人认为有必要时，可要求承包人提交要求提前或延长工期的施工进度计划，及相应施工措施等详细资料。</w:t>
      </w:r>
    </w:p>
    <w:p w14:paraId="7A9F4DD6">
      <w:pPr>
        <w:spacing w:before="164" w:line="360" w:lineRule="auto"/>
        <w:ind w:left="20" w:right="92" w:firstLine="323"/>
        <w:jc w:val="left"/>
        <w:rPr>
          <w:rFonts w:hint="eastAsia" w:ascii="宋体" w:hAnsi="宋体" w:eastAsia="宋体" w:cs="宋体"/>
          <w:spacing w:val="7"/>
          <w:sz w:val="20"/>
          <w:szCs w:val="20"/>
        </w:rPr>
      </w:pPr>
      <w:r>
        <w:rPr>
          <w:rFonts w:hint="eastAsia" w:ascii="宋体" w:hAnsi="宋体" w:eastAsia="宋体" w:cs="宋体"/>
          <w:spacing w:val="7"/>
          <w:sz w:val="20"/>
          <w:szCs w:val="20"/>
        </w:rPr>
        <w:t>（3）除合同条款专用部分对期限另有约定外，监理人收到承包人变更报价书后的 14 天内，根据第 15.4 款约定的估价原则，按照第 3.5 款商定或确定变更价格。监理人商定或确</w:t>
      </w:r>
    </w:p>
    <w:p w14:paraId="11036140">
      <w:pPr>
        <w:spacing w:before="164" w:line="360" w:lineRule="auto"/>
        <w:ind w:left="20" w:right="92" w:firstLine="323"/>
        <w:jc w:val="left"/>
        <w:rPr>
          <w:rFonts w:hint="eastAsia" w:ascii="宋体" w:hAnsi="宋体" w:eastAsia="宋体" w:cs="宋体"/>
          <w:spacing w:val="7"/>
          <w:sz w:val="20"/>
          <w:szCs w:val="20"/>
        </w:rPr>
      </w:pPr>
      <w:r>
        <w:rPr>
          <w:rFonts w:hint="eastAsia" w:ascii="宋体" w:hAnsi="宋体" w:eastAsia="宋体" w:cs="宋体"/>
          <w:spacing w:val="7"/>
          <w:sz w:val="20"/>
          <w:szCs w:val="20"/>
        </w:rPr>
        <w:t>定变更价格的期限见合同条款专用部分。</w:t>
      </w:r>
    </w:p>
    <w:p w14:paraId="1A2C9BB8">
      <w:pPr>
        <w:spacing w:before="164" w:line="360" w:lineRule="auto"/>
        <w:ind w:left="20" w:right="92" w:firstLine="323"/>
        <w:jc w:val="left"/>
        <w:rPr>
          <w:rFonts w:hint="eastAsia" w:ascii="宋体" w:hAnsi="宋体" w:eastAsia="宋体" w:cs="宋体"/>
          <w:spacing w:val="7"/>
          <w:sz w:val="20"/>
          <w:szCs w:val="20"/>
        </w:rPr>
      </w:pPr>
      <w:r>
        <w:rPr>
          <w:rFonts w:hint="eastAsia" w:ascii="宋体" w:hAnsi="宋体" w:eastAsia="宋体" w:cs="宋体"/>
          <w:spacing w:val="7"/>
          <w:sz w:val="20"/>
          <w:szCs w:val="20"/>
        </w:rPr>
        <w:t>（4）收到变更指示后，如承包人未在规定的期限内提交变更报价书的，监理人可自行决定是否调整合同价款以及如果监理人决定调整合同价款时，相应调整的具体金额。</w:t>
      </w:r>
    </w:p>
    <w:p w14:paraId="154AFEC1">
      <w:pPr>
        <w:spacing w:line="360" w:lineRule="auto"/>
        <w:ind w:left="455"/>
        <w:jc w:val="left"/>
        <w:rPr>
          <w:rFonts w:hint="eastAsia" w:ascii="宋体" w:hAnsi="宋体" w:eastAsia="宋体" w:cs="宋体"/>
          <w:sz w:val="20"/>
          <w:szCs w:val="20"/>
        </w:rPr>
      </w:pPr>
      <w:r>
        <w:rPr>
          <w:rFonts w:hint="eastAsia" w:ascii="宋体" w:hAnsi="宋体" w:eastAsia="宋体" w:cs="宋体"/>
          <w:spacing w:val="4"/>
          <w:sz w:val="20"/>
          <w:szCs w:val="20"/>
        </w:rPr>
        <w:t>15.3.3  变更指示</w:t>
      </w:r>
    </w:p>
    <w:p w14:paraId="1E9993BE">
      <w:pPr>
        <w:spacing w:before="159" w:line="360" w:lineRule="auto"/>
        <w:ind w:left="449"/>
        <w:jc w:val="left"/>
        <w:rPr>
          <w:rFonts w:hint="eastAsia" w:ascii="宋体" w:hAnsi="宋体" w:eastAsia="宋体" w:cs="宋体"/>
          <w:sz w:val="20"/>
          <w:szCs w:val="20"/>
        </w:rPr>
      </w:pPr>
      <w:r>
        <w:rPr>
          <w:rFonts w:hint="eastAsia" w:ascii="宋体" w:hAnsi="宋体" w:eastAsia="宋体" w:cs="宋体"/>
          <w:spacing w:val="7"/>
          <w:sz w:val="20"/>
          <w:szCs w:val="20"/>
        </w:rPr>
        <w:t>（1）变更指示只能由监理人发出。</w:t>
      </w:r>
    </w:p>
    <w:p w14:paraId="2648B41D">
      <w:pPr>
        <w:spacing w:before="160" w:line="360" w:lineRule="auto"/>
        <w:ind w:left="20" w:right="71" w:firstLine="429"/>
        <w:jc w:val="left"/>
        <w:rPr>
          <w:rFonts w:hint="eastAsia" w:ascii="宋体" w:hAnsi="宋体" w:eastAsia="宋体" w:cs="宋体"/>
          <w:sz w:val="20"/>
          <w:szCs w:val="20"/>
        </w:rPr>
      </w:pPr>
      <w:r>
        <w:rPr>
          <w:rFonts w:hint="eastAsia" w:ascii="宋体" w:hAnsi="宋体" w:eastAsia="宋体" w:cs="宋体"/>
          <w:spacing w:val="10"/>
          <w:sz w:val="20"/>
          <w:szCs w:val="20"/>
        </w:rPr>
        <w:t>（2）变更指示应说明变更的目的、范围、变更内容以及变更</w:t>
      </w:r>
      <w:r>
        <w:rPr>
          <w:rFonts w:hint="eastAsia" w:ascii="宋体" w:hAnsi="宋体" w:eastAsia="宋体" w:cs="宋体"/>
          <w:spacing w:val="9"/>
          <w:sz w:val="20"/>
          <w:szCs w:val="20"/>
        </w:rPr>
        <w:t>的工程量及其进度和技术要求，并附有关图纸和文件。承包人收到变更指示后，应按变更指示进行变更工作。</w:t>
      </w:r>
    </w:p>
    <w:p w14:paraId="0DB9A0DD">
      <w:pPr>
        <w:spacing w:before="285" w:line="360" w:lineRule="auto"/>
        <w:ind w:left="38"/>
        <w:jc w:val="left"/>
        <w:outlineLvl w:val="2"/>
        <w:rPr>
          <w:rFonts w:hint="eastAsia" w:ascii="宋体" w:hAnsi="宋体" w:eastAsia="宋体" w:cs="宋体"/>
          <w:sz w:val="24"/>
          <w:szCs w:val="24"/>
        </w:rPr>
      </w:pPr>
      <w:bookmarkStart w:id="682" w:name="bookmark100"/>
      <w:bookmarkEnd w:id="682"/>
      <w:r>
        <w:rPr>
          <w:rFonts w:hint="eastAsia" w:ascii="宋体" w:hAnsi="宋体" w:eastAsia="宋体" w:cs="宋体"/>
          <w:spacing w:val="-3"/>
          <w:sz w:val="24"/>
          <w:szCs w:val="24"/>
        </w:rPr>
        <w:t>15.4  变更的估价原则</w:t>
      </w:r>
    </w:p>
    <w:p w14:paraId="5918B0BF">
      <w:pPr>
        <w:spacing w:before="297" w:line="360" w:lineRule="auto"/>
        <w:ind w:left="452"/>
        <w:jc w:val="left"/>
        <w:rPr>
          <w:rFonts w:hint="eastAsia" w:ascii="宋体" w:hAnsi="宋体" w:eastAsia="宋体" w:cs="宋体"/>
          <w:sz w:val="20"/>
          <w:szCs w:val="20"/>
        </w:rPr>
      </w:pPr>
      <w:r>
        <w:rPr>
          <w:rFonts w:hint="eastAsia" w:ascii="宋体" w:hAnsi="宋体" w:eastAsia="宋体" w:cs="宋体"/>
          <w:spacing w:val="9"/>
          <w:sz w:val="20"/>
          <w:szCs w:val="20"/>
        </w:rPr>
        <w:t>除合同条款专用部分另有约定外，因变更引起的价格调整按照本款约定处理。</w:t>
      </w:r>
    </w:p>
    <w:p w14:paraId="039D3CA2">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15.4.1  合同清单中有适用于变更工作的项目的，采用该项目的合同单价。</w:t>
      </w:r>
    </w:p>
    <w:p w14:paraId="76021533">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15.4.2  合同清单中无适用于变更工作的项目，但有类似项目的，可在合理范围内参照类似项目的合同单价， 由监理人按第 3.5 款商定或确定变更工作的单价。</w:t>
      </w:r>
    </w:p>
    <w:p w14:paraId="2220A932">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15.4.3  合同清单中无适用或类似项目的合同单价，可按照成本加利润的原则，由监理人按第 3.5 款商定或确定变更工作的单价。</w:t>
      </w:r>
    </w:p>
    <w:p w14:paraId="15A0F60E">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15.4.4  因变更引起措施项目发生变化的，措施项目费调整方法见合同条款专用部分。</w:t>
      </w:r>
    </w:p>
    <w:p w14:paraId="3874C2B7">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15.4.5  合同协议书约定采用单价合同形式时，因非承包人原因引起合同清单中列明的工程量发生增减，超过合同约定范围且导致分部分项工程费总额变化超过一定幅度时，可以调整单价，否则不因合同清单中列明工程量的增减而调整单价。其调整的原则见合同条款专用部分。</w:t>
      </w:r>
    </w:p>
    <w:p w14:paraId="57FF3F22">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15.4.6  合同单价中存在修正综合单价的，本条第 15.4.1、15.4.2、15.4.3 项中的合同单价是指修正综合单价。</w:t>
      </w:r>
    </w:p>
    <w:p w14:paraId="1FB4F8D8">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15.4.7  因变更引起价格调整的其他处理方式见合同条款专用部分。</w:t>
      </w:r>
    </w:p>
    <w:p w14:paraId="333EB708">
      <w:pPr>
        <w:spacing w:before="294" w:line="360" w:lineRule="auto"/>
        <w:ind w:left="19" w:right="105" w:firstLine="424"/>
        <w:jc w:val="left"/>
        <w:rPr>
          <w:rFonts w:hint="eastAsia" w:ascii="宋体" w:hAnsi="宋体" w:eastAsia="宋体" w:cs="宋体"/>
          <w:spacing w:val="9"/>
          <w:sz w:val="20"/>
          <w:szCs w:val="20"/>
        </w:rPr>
      </w:pPr>
      <w:bookmarkStart w:id="683" w:name="bookmark101"/>
      <w:bookmarkEnd w:id="683"/>
      <w:r>
        <w:rPr>
          <w:rFonts w:hint="eastAsia" w:ascii="宋体" w:hAnsi="宋体" w:eastAsia="宋体" w:cs="宋体"/>
          <w:spacing w:val="9"/>
          <w:sz w:val="20"/>
          <w:szCs w:val="20"/>
        </w:rPr>
        <w:t>15.5  承包人的合理化建议</w:t>
      </w:r>
    </w:p>
    <w:p w14:paraId="4F527D96">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 项约定向承包人发出变更指示。</w:t>
      </w:r>
    </w:p>
    <w:p w14:paraId="582F8ECB">
      <w:pPr>
        <w:spacing w:before="294" w:line="360" w:lineRule="auto"/>
        <w:ind w:left="19" w:right="105" w:firstLine="424"/>
        <w:jc w:val="left"/>
        <w:rPr>
          <w:rFonts w:hint="eastAsia" w:ascii="宋体" w:hAnsi="宋体" w:eastAsia="宋体" w:cs="宋体"/>
          <w:spacing w:val="9"/>
          <w:sz w:val="20"/>
          <w:szCs w:val="20"/>
        </w:rPr>
      </w:pPr>
      <w:r>
        <w:rPr>
          <w:rFonts w:hint="eastAsia" w:ascii="宋体" w:hAnsi="宋体" w:eastAsia="宋体" w:cs="宋体"/>
          <w:spacing w:val="9"/>
          <w:sz w:val="20"/>
          <w:szCs w:val="20"/>
        </w:rPr>
        <w:t>15.5.2  承包人提出的合理化建议降低了合同价格、缩短了工期或者提高了工程经济效益的，发包人可按国家有关规定给予奖励。对承包人提出合理化建议的奖励方法见合同条款专用部分。</w:t>
      </w:r>
    </w:p>
    <w:p w14:paraId="331A3C71">
      <w:pPr>
        <w:spacing w:before="283" w:line="360" w:lineRule="auto"/>
        <w:ind w:left="38"/>
        <w:jc w:val="left"/>
        <w:outlineLvl w:val="2"/>
        <w:rPr>
          <w:rFonts w:hint="eastAsia" w:ascii="宋体" w:hAnsi="宋体" w:eastAsia="宋体" w:cs="宋体"/>
          <w:sz w:val="24"/>
          <w:szCs w:val="24"/>
        </w:rPr>
      </w:pPr>
      <w:bookmarkStart w:id="684" w:name="bookmark102"/>
      <w:bookmarkEnd w:id="684"/>
      <w:r>
        <w:rPr>
          <w:rFonts w:hint="eastAsia" w:ascii="宋体" w:hAnsi="宋体" w:eastAsia="宋体" w:cs="宋体"/>
          <w:spacing w:val="-6"/>
          <w:sz w:val="24"/>
          <w:szCs w:val="24"/>
        </w:rPr>
        <w:t>15.6</w:t>
      </w:r>
      <w:r>
        <w:rPr>
          <w:rFonts w:hint="eastAsia" w:ascii="宋体" w:hAnsi="宋体" w:eastAsia="宋体" w:cs="宋体"/>
          <w:spacing w:val="9"/>
          <w:sz w:val="24"/>
          <w:szCs w:val="24"/>
        </w:rPr>
        <w:t xml:space="preserve">  </w:t>
      </w:r>
      <w:r>
        <w:rPr>
          <w:rFonts w:hint="eastAsia" w:ascii="宋体" w:hAnsi="宋体" w:eastAsia="宋体" w:cs="宋体"/>
          <w:spacing w:val="-6"/>
          <w:sz w:val="24"/>
          <w:szCs w:val="24"/>
        </w:rPr>
        <w:t>暂列金额</w:t>
      </w:r>
    </w:p>
    <w:p w14:paraId="0377D89C">
      <w:pPr>
        <w:spacing w:before="297" w:line="360" w:lineRule="auto"/>
        <w:ind w:left="446"/>
        <w:jc w:val="left"/>
        <w:rPr>
          <w:rFonts w:hint="eastAsia" w:ascii="宋体" w:hAnsi="宋体" w:eastAsia="宋体" w:cs="宋体"/>
          <w:sz w:val="20"/>
          <w:szCs w:val="20"/>
        </w:rPr>
      </w:pPr>
      <w:r>
        <w:rPr>
          <w:rFonts w:hint="eastAsia" w:ascii="宋体" w:hAnsi="宋体" w:eastAsia="宋体" w:cs="宋体"/>
          <w:spacing w:val="9"/>
          <w:sz w:val="20"/>
          <w:szCs w:val="20"/>
        </w:rPr>
        <w:t>暂列金额只能按照监理人的指示使用，并对合同价格进行相应调整。</w:t>
      </w:r>
    </w:p>
    <w:p w14:paraId="75027132">
      <w:pPr>
        <w:spacing w:before="78" w:line="360" w:lineRule="auto"/>
        <w:ind w:left="38"/>
        <w:jc w:val="left"/>
        <w:outlineLvl w:val="2"/>
        <w:rPr>
          <w:rFonts w:hint="eastAsia" w:ascii="宋体" w:hAnsi="宋体" w:eastAsia="宋体" w:cs="宋体"/>
          <w:spacing w:val="-6"/>
          <w:sz w:val="24"/>
          <w:szCs w:val="24"/>
        </w:rPr>
      </w:pPr>
      <w:bookmarkStart w:id="685" w:name="bookmark103"/>
      <w:bookmarkEnd w:id="685"/>
    </w:p>
    <w:p w14:paraId="73A9B136">
      <w:pPr>
        <w:spacing w:before="78" w:line="360" w:lineRule="auto"/>
        <w:ind w:left="38"/>
        <w:jc w:val="left"/>
        <w:outlineLvl w:val="2"/>
        <w:rPr>
          <w:rFonts w:hint="eastAsia" w:ascii="宋体" w:hAnsi="宋体" w:eastAsia="宋体" w:cs="宋体"/>
          <w:sz w:val="24"/>
          <w:szCs w:val="24"/>
        </w:rPr>
      </w:pPr>
      <w:r>
        <w:rPr>
          <w:rFonts w:hint="eastAsia" w:ascii="宋体" w:hAnsi="宋体" w:eastAsia="宋体" w:cs="宋体"/>
          <w:spacing w:val="-6"/>
          <w:sz w:val="24"/>
          <w:szCs w:val="24"/>
        </w:rPr>
        <w:t>15.7</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计日工</w:t>
      </w:r>
    </w:p>
    <w:p w14:paraId="148E800B">
      <w:pPr>
        <w:spacing w:before="294" w:line="360" w:lineRule="auto"/>
        <w:ind w:left="20" w:firstLine="434"/>
        <w:jc w:val="left"/>
        <w:rPr>
          <w:rFonts w:hint="eastAsia" w:ascii="宋体" w:hAnsi="宋体" w:eastAsia="宋体" w:cs="宋体"/>
          <w:sz w:val="20"/>
          <w:szCs w:val="20"/>
        </w:rPr>
      </w:pPr>
      <w:r>
        <w:rPr>
          <w:rFonts w:hint="eastAsia" w:ascii="宋体" w:hAnsi="宋体" w:eastAsia="宋体" w:cs="宋体"/>
          <w:spacing w:val="6"/>
          <w:sz w:val="20"/>
          <w:szCs w:val="20"/>
        </w:rPr>
        <w:t>15.7.1  发包人认为有必要时，由监理人通知承包</w:t>
      </w:r>
      <w:r>
        <w:rPr>
          <w:rFonts w:hint="eastAsia" w:ascii="宋体" w:hAnsi="宋体" w:eastAsia="宋体" w:cs="宋体"/>
          <w:spacing w:val="5"/>
          <w:sz w:val="20"/>
          <w:szCs w:val="20"/>
        </w:rPr>
        <w:t>人以计日工方式实施变更的零星工作。</w:t>
      </w:r>
      <w:r>
        <w:rPr>
          <w:rFonts w:hint="eastAsia" w:ascii="宋体" w:hAnsi="宋体" w:eastAsia="宋体" w:cs="宋体"/>
          <w:spacing w:val="7"/>
          <w:sz w:val="20"/>
          <w:szCs w:val="20"/>
        </w:rPr>
        <w:t>其价款按列入合同清单中的计日工计价项目及其合同单价进行计算。除合同条款专用部分另</w:t>
      </w:r>
      <w:r>
        <w:rPr>
          <w:rFonts w:hint="eastAsia" w:ascii="宋体" w:hAnsi="宋体" w:eastAsia="宋体" w:cs="宋体"/>
          <w:spacing w:val="9"/>
          <w:sz w:val="20"/>
          <w:szCs w:val="20"/>
        </w:rPr>
        <w:t>有约定外，合同单价中存在修正综合单价的，本项中的合同单价是指修正综合单价。</w:t>
      </w:r>
    </w:p>
    <w:p w14:paraId="19CC1B20">
      <w:pPr>
        <w:spacing w:before="161" w:line="360" w:lineRule="auto"/>
        <w:ind w:left="19" w:right="174" w:firstLine="435"/>
        <w:jc w:val="left"/>
        <w:rPr>
          <w:rFonts w:hint="eastAsia" w:ascii="宋体" w:hAnsi="宋体" w:eastAsia="宋体" w:cs="宋体"/>
          <w:sz w:val="20"/>
          <w:szCs w:val="20"/>
        </w:rPr>
      </w:pPr>
      <w:r>
        <w:rPr>
          <w:rFonts w:hint="eastAsia" w:ascii="宋体" w:hAnsi="宋体" w:eastAsia="宋体" w:cs="宋体"/>
          <w:spacing w:val="6"/>
          <w:sz w:val="20"/>
          <w:szCs w:val="20"/>
        </w:rPr>
        <w:t>15.7.2  采用计日工计价的任何一项变更工作，应从暂列金额中支付，承包人应在该项</w:t>
      </w:r>
      <w:r>
        <w:rPr>
          <w:rFonts w:hint="eastAsia" w:ascii="宋体" w:hAnsi="宋体" w:eastAsia="宋体" w:cs="宋体"/>
          <w:spacing w:val="9"/>
          <w:sz w:val="20"/>
          <w:szCs w:val="20"/>
        </w:rPr>
        <w:t>变更的实施过程中，每天提交以下报表和有关凭证报送监理人审批：</w:t>
      </w:r>
    </w:p>
    <w:p w14:paraId="0024B8FE">
      <w:pPr>
        <w:spacing w:before="163" w:line="360" w:lineRule="auto"/>
        <w:ind w:left="344"/>
        <w:jc w:val="left"/>
        <w:rPr>
          <w:rFonts w:hint="eastAsia" w:ascii="宋体" w:hAnsi="宋体" w:eastAsia="宋体" w:cs="宋体"/>
          <w:sz w:val="20"/>
          <w:szCs w:val="20"/>
        </w:rPr>
      </w:pPr>
      <w:r>
        <w:rPr>
          <w:rFonts w:hint="eastAsia" w:ascii="宋体" w:hAnsi="宋体" w:eastAsia="宋体" w:cs="宋体"/>
          <w:spacing w:val="4"/>
          <w:sz w:val="20"/>
          <w:szCs w:val="20"/>
        </w:rPr>
        <w:t>（1）工作名称、</w:t>
      </w:r>
      <w:r>
        <w:rPr>
          <w:rFonts w:hint="eastAsia" w:ascii="宋体" w:hAnsi="宋体" w:eastAsia="宋体" w:cs="宋体"/>
          <w:spacing w:val="-52"/>
          <w:sz w:val="20"/>
          <w:szCs w:val="20"/>
        </w:rPr>
        <w:t xml:space="preserve"> </w:t>
      </w:r>
      <w:r>
        <w:rPr>
          <w:rFonts w:hint="eastAsia" w:ascii="宋体" w:hAnsi="宋体" w:eastAsia="宋体" w:cs="宋体"/>
          <w:spacing w:val="4"/>
          <w:sz w:val="20"/>
          <w:szCs w:val="20"/>
        </w:rPr>
        <w:t>内容和数量；</w:t>
      </w:r>
    </w:p>
    <w:p w14:paraId="565CC10E">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（2）投入该工作所有人员的姓名、工种、级别和耗用工时；</w:t>
      </w:r>
    </w:p>
    <w:p w14:paraId="07ED5D96">
      <w:pPr>
        <w:spacing w:before="160"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（3）投入该工作的材料名称、类别、规格、品牌和数量；</w:t>
      </w:r>
    </w:p>
    <w:p w14:paraId="4D343E7D">
      <w:pPr>
        <w:spacing w:before="163"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（4）投入该工作的施工机具型号、数量和耗用台班；</w:t>
      </w:r>
    </w:p>
    <w:p w14:paraId="0CF39118">
      <w:pPr>
        <w:spacing w:before="162" w:line="360" w:lineRule="auto"/>
        <w:ind w:left="344"/>
        <w:jc w:val="left"/>
        <w:rPr>
          <w:rFonts w:hint="eastAsia" w:ascii="宋体" w:hAnsi="宋体" w:eastAsia="宋体" w:cs="宋体"/>
          <w:sz w:val="20"/>
          <w:szCs w:val="20"/>
        </w:rPr>
      </w:pPr>
      <w:r>
        <w:rPr>
          <w:rFonts w:hint="eastAsia" w:ascii="宋体" w:hAnsi="宋体" w:eastAsia="宋体" w:cs="宋体"/>
          <w:spacing w:val="8"/>
          <w:sz w:val="20"/>
          <w:szCs w:val="20"/>
        </w:rPr>
        <w:t>（5）监理人要求提交的其他资料和凭证。</w:t>
      </w:r>
    </w:p>
    <w:p w14:paraId="48F63105">
      <w:pPr>
        <w:spacing w:before="161" w:line="360" w:lineRule="auto"/>
        <w:ind w:left="21" w:right="174" w:firstLine="433"/>
        <w:jc w:val="left"/>
        <w:rPr>
          <w:rFonts w:hint="eastAsia" w:ascii="宋体" w:hAnsi="宋体" w:eastAsia="宋体" w:cs="宋体"/>
          <w:sz w:val="20"/>
          <w:szCs w:val="20"/>
        </w:rPr>
      </w:pPr>
      <w:r>
        <w:rPr>
          <w:rFonts w:hint="eastAsia" w:ascii="宋体" w:hAnsi="宋体" w:eastAsia="宋体" w:cs="宋体"/>
          <w:spacing w:val="7"/>
          <w:sz w:val="20"/>
          <w:szCs w:val="20"/>
        </w:rPr>
        <w:t>15.7.3  计日工由承包人汇总后，按</w:t>
      </w:r>
      <w:r>
        <w:rPr>
          <w:rFonts w:hint="eastAsia" w:ascii="宋体" w:hAnsi="宋体" w:eastAsia="宋体" w:cs="宋体"/>
          <w:spacing w:val="6"/>
          <w:sz w:val="20"/>
          <w:szCs w:val="20"/>
        </w:rPr>
        <w:t>第</w:t>
      </w:r>
      <w:r>
        <w:rPr>
          <w:rFonts w:hint="eastAsia" w:ascii="宋体" w:hAnsi="宋体" w:eastAsia="宋体" w:cs="宋体"/>
          <w:spacing w:val="-24"/>
          <w:sz w:val="20"/>
          <w:szCs w:val="20"/>
        </w:rPr>
        <w:t xml:space="preserve"> </w:t>
      </w:r>
      <w:r>
        <w:rPr>
          <w:rFonts w:hint="eastAsia" w:ascii="宋体" w:hAnsi="宋体" w:eastAsia="宋体" w:cs="宋体"/>
          <w:spacing w:val="6"/>
          <w:sz w:val="20"/>
          <w:szCs w:val="20"/>
        </w:rPr>
        <w:t>17.3.2</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项的约定列入进度付款申请单，</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由监理</w:t>
      </w:r>
      <w:r>
        <w:rPr>
          <w:rFonts w:hint="eastAsia" w:ascii="宋体" w:hAnsi="宋体" w:eastAsia="宋体" w:cs="宋体"/>
          <w:spacing w:val="8"/>
          <w:sz w:val="20"/>
          <w:szCs w:val="20"/>
        </w:rPr>
        <w:t>人复核并经发包人同意后列入进度付款。</w:t>
      </w:r>
    </w:p>
    <w:p w14:paraId="0ED1D63F">
      <w:pPr>
        <w:spacing w:before="121" w:line="360" w:lineRule="auto"/>
        <w:ind w:left="38"/>
        <w:jc w:val="left"/>
        <w:outlineLvl w:val="2"/>
        <w:rPr>
          <w:rFonts w:hint="eastAsia" w:ascii="宋体" w:hAnsi="宋体" w:eastAsia="宋体" w:cs="宋体"/>
          <w:sz w:val="24"/>
          <w:szCs w:val="24"/>
        </w:rPr>
      </w:pPr>
      <w:bookmarkStart w:id="686" w:name="bookmark104"/>
      <w:bookmarkEnd w:id="686"/>
      <w:r>
        <w:rPr>
          <w:rFonts w:hint="eastAsia" w:ascii="宋体" w:hAnsi="宋体" w:eastAsia="宋体" w:cs="宋体"/>
          <w:spacing w:val="-7"/>
          <w:sz w:val="24"/>
          <w:szCs w:val="24"/>
        </w:rPr>
        <w:t>15.8</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暂估价</w:t>
      </w:r>
    </w:p>
    <w:p w14:paraId="0F7E708B">
      <w:pPr>
        <w:spacing w:before="300" w:line="360" w:lineRule="auto"/>
        <w:ind w:left="23" w:firstLine="432"/>
        <w:jc w:val="left"/>
        <w:rPr>
          <w:rFonts w:hint="eastAsia" w:ascii="宋体" w:hAnsi="宋体" w:eastAsia="宋体" w:cs="宋体"/>
          <w:sz w:val="20"/>
          <w:szCs w:val="20"/>
        </w:rPr>
      </w:pPr>
      <w:r>
        <w:rPr>
          <w:rFonts w:hint="eastAsia" w:ascii="宋体" w:hAnsi="宋体" w:eastAsia="宋体" w:cs="宋体"/>
          <w:spacing w:val="11"/>
          <w:sz w:val="20"/>
          <w:szCs w:val="20"/>
        </w:rPr>
        <w:t>15.8.1  发包人在工程量清单中给定暂估价的材料及专业工程属于依法必须招标的范</w:t>
      </w:r>
      <w:r>
        <w:rPr>
          <w:rFonts w:hint="eastAsia" w:ascii="宋体" w:hAnsi="宋体" w:eastAsia="宋体" w:cs="宋体"/>
          <w:spacing w:val="7"/>
          <w:sz w:val="20"/>
          <w:szCs w:val="20"/>
        </w:rPr>
        <w:t>围并达到规定的规模标准的，由发包人和承包人采用招标方式</w:t>
      </w:r>
      <w:r>
        <w:rPr>
          <w:rFonts w:hint="eastAsia" w:ascii="宋体" w:hAnsi="宋体" w:eastAsia="宋体" w:cs="宋体"/>
          <w:spacing w:val="6"/>
          <w:sz w:val="20"/>
          <w:szCs w:val="20"/>
        </w:rPr>
        <w:t>选择专项供应商或专业分包人。</w:t>
      </w:r>
      <w:r>
        <w:rPr>
          <w:rFonts w:hint="eastAsia" w:ascii="宋体" w:hAnsi="宋体" w:eastAsia="宋体" w:cs="宋体"/>
          <w:spacing w:val="8"/>
          <w:sz w:val="20"/>
          <w:szCs w:val="20"/>
        </w:rPr>
        <w:t>发包人和承包人的权利义务关系约定如下：</w:t>
      </w:r>
    </w:p>
    <w:p w14:paraId="5B7EF866">
      <w:pPr>
        <w:spacing w:before="1" w:line="360" w:lineRule="auto"/>
        <w:ind w:left="20" w:right="177" w:firstLine="323"/>
        <w:jc w:val="left"/>
        <w:rPr>
          <w:rFonts w:hint="eastAsia" w:ascii="宋体" w:hAnsi="宋体" w:eastAsia="宋体" w:cs="宋体"/>
          <w:sz w:val="20"/>
          <w:szCs w:val="20"/>
        </w:rPr>
      </w:pPr>
      <w:r>
        <w:rPr>
          <w:rFonts w:hint="eastAsia" w:ascii="宋体" w:hAnsi="宋体" w:eastAsia="宋体" w:cs="宋体"/>
          <w:spacing w:val="7"/>
          <w:sz w:val="20"/>
          <w:szCs w:val="20"/>
        </w:rPr>
        <w:t>（1）由承包人作为招标人，依法组织招标工作并接受有管辖权的建设工程招标投标行政监督部门的监督。</w:t>
      </w:r>
    </w:p>
    <w:p w14:paraId="7306115B">
      <w:pPr>
        <w:spacing w:before="160" w:line="360" w:lineRule="auto"/>
        <w:ind w:left="20" w:right="177" w:firstLine="323"/>
        <w:jc w:val="left"/>
        <w:rPr>
          <w:rFonts w:hint="eastAsia" w:ascii="宋体" w:hAnsi="宋体" w:eastAsia="宋体" w:cs="宋体"/>
          <w:sz w:val="20"/>
          <w:szCs w:val="20"/>
        </w:rPr>
      </w:pPr>
      <w:r>
        <w:rPr>
          <w:rFonts w:hint="eastAsia" w:ascii="宋体" w:hAnsi="宋体" w:eastAsia="宋体" w:cs="宋体"/>
          <w:spacing w:val="7"/>
          <w:sz w:val="20"/>
          <w:szCs w:val="20"/>
        </w:rPr>
        <w:t>（2）与组织招标工作有关的费用应当被认为已经包括在承包人的签约合同价（投标总报</w:t>
      </w:r>
      <w:r>
        <w:rPr>
          <w:rFonts w:hint="eastAsia" w:ascii="宋体" w:hAnsi="宋体" w:eastAsia="宋体" w:cs="宋体"/>
          <w:spacing w:val="4"/>
          <w:sz w:val="20"/>
          <w:szCs w:val="20"/>
        </w:rPr>
        <w:t>价）中。</w:t>
      </w:r>
    </w:p>
    <w:p w14:paraId="09C04D70">
      <w:pPr>
        <w:spacing w:before="162" w:line="360" w:lineRule="auto"/>
        <w:ind w:left="20" w:right="177" w:firstLine="323"/>
        <w:jc w:val="left"/>
        <w:rPr>
          <w:rFonts w:hint="eastAsia" w:ascii="宋体" w:hAnsi="宋体" w:eastAsia="宋体" w:cs="宋体"/>
          <w:sz w:val="20"/>
          <w:szCs w:val="20"/>
        </w:rPr>
      </w:pPr>
      <w:r>
        <w:rPr>
          <w:rFonts w:hint="eastAsia" w:ascii="宋体" w:hAnsi="宋体" w:eastAsia="宋体" w:cs="宋体"/>
          <w:spacing w:val="7"/>
          <w:sz w:val="20"/>
          <w:szCs w:val="20"/>
        </w:rPr>
        <w:t>（3）中标金额与工程量清单中所列的暂估价的金额差以及相应的增值税等其他费用列入</w:t>
      </w:r>
      <w:r>
        <w:rPr>
          <w:rFonts w:hint="eastAsia" w:ascii="宋体" w:hAnsi="宋体" w:eastAsia="宋体" w:cs="宋体"/>
          <w:spacing w:val="5"/>
          <w:sz w:val="20"/>
          <w:szCs w:val="20"/>
        </w:rPr>
        <w:t>合同价格。</w:t>
      </w:r>
    </w:p>
    <w:p w14:paraId="3217FAF1">
      <w:pPr>
        <w:spacing w:before="161" w:line="360" w:lineRule="auto"/>
        <w:ind w:left="19" w:right="175" w:firstLine="325"/>
        <w:jc w:val="left"/>
        <w:rPr>
          <w:rFonts w:hint="eastAsia" w:ascii="宋体" w:hAnsi="宋体" w:eastAsia="宋体" w:cs="宋体"/>
          <w:sz w:val="20"/>
          <w:szCs w:val="20"/>
        </w:rPr>
      </w:pPr>
      <w:r>
        <w:rPr>
          <w:rFonts w:hint="eastAsia" w:ascii="宋体" w:hAnsi="宋体" w:eastAsia="宋体" w:cs="宋体"/>
          <w:spacing w:val="7"/>
          <w:sz w:val="20"/>
          <w:szCs w:val="20"/>
        </w:rPr>
        <w:t>（4）在任何招标工作启动前，承包人应当按照合同条款专用部分约定期限编制招标工作</w:t>
      </w:r>
      <w:r>
        <w:rPr>
          <w:rFonts w:hint="eastAsia" w:ascii="宋体" w:hAnsi="宋体" w:eastAsia="宋体" w:cs="宋体"/>
          <w:spacing w:val="8"/>
          <w:sz w:val="20"/>
          <w:szCs w:val="20"/>
        </w:rPr>
        <w:t>计划并通过监理人报请发包人审批，招标工作</w:t>
      </w:r>
      <w:r>
        <w:rPr>
          <w:rFonts w:hint="eastAsia" w:ascii="宋体" w:hAnsi="宋体" w:eastAsia="宋体" w:cs="宋体"/>
          <w:spacing w:val="7"/>
          <w:sz w:val="20"/>
          <w:szCs w:val="20"/>
        </w:rPr>
        <w:t>计划应当包括招标工作的时间安排、拟采用的</w:t>
      </w:r>
      <w:r>
        <w:rPr>
          <w:rFonts w:hint="eastAsia" w:ascii="宋体" w:hAnsi="宋体" w:eastAsia="宋体" w:cs="宋体"/>
          <w:spacing w:val="8"/>
          <w:sz w:val="20"/>
          <w:szCs w:val="20"/>
        </w:rPr>
        <w:t>招标方式、拟采用的资格审查方法、主要招标</w:t>
      </w:r>
      <w:r>
        <w:rPr>
          <w:rFonts w:hint="eastAsia" w:ascii="宋体" w:hAnsi="宋体" w:eastAsia="宋体" w:cs="宋体"/>
          <w:spacing w:val="7"/>
          <w:sz w:val="20"/>
          <w:szCs w:val="20"/>
        </w:rPr>
        <w:t>过程文件的编制内容、对投标人的资格条件要</w:t>
      </w:r>
      <w:r>
        <w:rPr>
          <w:rFonts w:hint="eastAsia" w:ascii="宋体" w:hAnsi="宋体" w:eastAsia="宋体" w:cs="宋体"/>
          <w:spacing w:val="8"/>
          <w:sz w:val="20"/>
          <w:szCs w:val="20"/>
        </w:rPr>
        <w:t>求、评标标准和方法、评标委员会组成、是否</w:t>
      </w:r>
      <w:r>
        <w:rPr>
          <w:rFonts w:hint="eastAsia" w:ascii="宋体" w:hAnsi="宋体" w:eastAsia="宋体" w:cs="宋体"/>
          <w:spacing w:val="7"/>
          <w:sz w:val="20"/>
          <w:szCs w:val="20"/>
        </w:rPr>
        <w:t>编制最高投标限价和（或）标底以及最高投标</w:t>
      </w:r>
      <w:r>
        <w:rPr>
          <w:rFonts w:hint="eastAsia" w:ascii="宋体" w:hAnsi="宋体" w:eastAsia="宋体" w:cs="宋体"/>
          <w:spacing w:val="8"/>
          <w:sz w:val="20"/>
          <w:szCs w:val="20"/>
        </w:rPr>
        <w:t>限价和（或）标底编制原则。发包人应当在监理人</w:t>
      </w:r>
      <w:r>
        <w:rPr>
          <w:rFonts w:hint="eastAsia" w:ascii="宋体" w:hAnsi="宋体" w:eastAsia="宋体" w:cs="宋体"/>
          <w:spacing w:val="7"/>
          <w:sz w:val="20"/>
          <w:szCs w:val="20"/>
        </w:rPr>
        <w:t>收到承包人报送的招标工作计划后应当在</w:t>
      </w:r>
      <w:r>
        <w:rPr>
          <w:rFonts w:hint="eastAsia" w:ascii="宋体" w:hAnsi="宋体" w:eastAsia="宋体" w:cs="宋体"/>
          <w:spacing w:val="8"/>
          <w:sz w:val="20"/>
          <w:szCs w:val="20"/>
        </w:rPr>
        <w:t>合同条款专用部分约定期限内给予批准或者提</w:t>
      </w:r>
      <w:r>
        <w:rPr>
          <w:rFonts w:hint="eastAsia" w:ascii="宋体" w:hAnsi="宋体" w:eastAsia="宋体" w:cs="宋体"/>
          <w:spacing w:val="7"/>
          <w:sz w:val="20"/>
          <w:szCs w:val="20"/>
        </w:rPr>
        <w:t>出修改意见。承包人应当严格按照经过发包人</w:t>
      </w:r>
      <w:r>
        <w:rPr>
          <w:rFonts w:hint="eastAsia" w:ascii="宋体" w:hAnsi="宋体" w:eastAsia="宋体" w:cs="宋体"/>
          <w:spacing w:val="8"/>
          <w:sz w:val="20"/>
          <w:szCs w:val="20"/>
        </w:rPr>
        <w:t>批准的招标工作计划开展招标工作。</w:t>
      </w:r>
    </w:p>
    <w:p w14:paraId="21055479">
      <w:pPr>
        <w:spacing w:before="160" w:line="360" w:lineRule="auto"/>
        <w:ind w:left="20" w:right="15" w:firstLine="323"/>
        <w:jc w:val="left"/>
        <w:rPr>
          <w:rFonts w:hint="eastAsia" w:ascii="宋体" w:hAnsi="宋体" w:eastAsia="宋体" w:cs="宋体"/>
          <w:sz w:val="20"/>
          <w:szCs w:val="20"/>
        </w:rPr>
      </w:pPr>
      <w:r>
        <w:rPr>
          <w:rFonts w:hint="eastAsia" w:ascii="宋体" w:hAnsi="宋体" w:eastAsia="宋体" w:cs="宋体"/>
          <w:spacing w:val="7"/>
          <w:sz w:val="20"/>
          <w:szCs w:val="20"/>
        </w:rPr>
        <w:t>（5）承包人应当在发出招标公告（或者资格预审公告或者投标邀请书）、资格预审文件</w:t>
      </w:r>
      <w:r>
        <w:rPr>
          <w:rFonts w:hint="eastAsia" w:ascii="宋体" w:hAnsi="宋体" w:eastAsia="宋体" w:cs="宋体"/>
          <w:spacing w:val="6"/>
          <w:sz w:val="20"/>
          <w:szCs w:val="20"/>
        </w:rPr>
        <w:t>和招标文件前按照合同条款专用部分约定期限，分别将相关文件通过监理人报请发包人审批，</w:t>
      </w:r>
      <w:r>
        <w:rPr>
          <w:rFonts w:hint="eastAsia" w:ascii="宋体" w:hAnsi="宋体" w:eastAsia="宋体" w:cs="宋体"/>
          <w:spacing w:val="13"/>
          <w:sz w:val="20"/>
          <w:szCs w:val="20"/>
        </w:rPr>
        <w:t>发包人应当在监理人收到承包人报送的相关文件后应当在合同条款专用部分</w:t>
      </w:r>
      <w:r>
        <w:rPr>
          <w:rFonts w:hint="eastAsia" w:ascii="宋体" w:hAnsi="宋体" w:eastAsia="宋体" w:cs="宋体"/>
          <w:spacing w:val="12"/>
          <w:sz w:val="20"/>
          <w:szCs w:val="20"/>
        </w:rPr>
        <w:t>约定期限内给</w:t>
      </w:r>
      <w:r>
        <w:rPr>
          <w:rFonts w:hint="eastAsia" w:ascii="宋体" w:hAnsi="宋体" w:eastAsia="宋体" w:cs="宋体"/>
          <w:spacing w:val="7"/>
          <w:sz w:val="20"/>
          <w:szCs w:val="20"/>
        </w:rPr>
        <w:t>予批准或者提出修改意见，经发包人批准的相关文件，由承包人负责誊清整理并准备出开展</w:t>
      </w:r>
      <w:r>
        <w:rPr>
          <w:rFonts w:hint="eastAsia" w:ascii="宋体" w:hAnsi="宋体" w:eastAsia="宋体" w:cs="宋体"/>
          <w:spacing w:val="8"/>
          <w:sz w:val="20"/>
          <w:szCs w:val="20"/>
        </w:rPr>
        <w:t>实际招标工作所需要的份数，通过监理人报发包人核</w:t>
      </w:r>
      <w:r>
        <w:rPr>
          <w:rFonts w:hint="eastAsia" w:ascii="宋体" w:hAnsi="宋体" w:eastAsia="宋体" w:cs="宋体"/>
          <w:spacing w:val="7"/>
          <w:sz w:val="20"/>
          <w:szCs w:val="20"/>
        </w:rPr>
        <w:t>查并加盖发包人印章，发包人在相关文</w:t>
      </w:r>
      <w:r>
        <w:rPr>
          <w:rFonts w:hint="eastAsia" w:ascii="宋体" w:hAnsi="宋体" w:eastAsia="宋体" w:cs="宋体"/>
          <w:spacing w:val="8"/>
          <w:sz w:val="20"/>
          <w:szCs w:val="20"/>
        </w:rPr>
        <w:t>件上加盖印章只表明相关文件经过发包人审核批准</w:t>
      </w:r>
      <w:r>
        <w:rPr>
          <w:rFonts w:hint="eastAsia" w:ascii="宋体" w:hAnsi="宋体" w:eastAsia="宋体" w:cs="宋体"/>
          <w:spacing w:val="7"/>
          <w:sz w:val="20"/>
          <w:szCs w:val="20"/>
        </w:rPr>
        <w:t>。最终发出的文件应当分别报送一份给发包人和监理人备查。</w:t>
      </w:r>
    </w:p>
    <w:p w14:paraId="53DCC4D0">
      <w:pPr>
        <w:spacing w:before="1" w:line="360" w:lineRule="auto"/>
        <w:ind w:left="23" w:right="13" w:firstLine="321"/>
        <w:jc w:val="left"/>
        <w:rPr>
          <w:rFonts w:hint="eastAsia" w:ascii="宋体" w:hAnsi="宋体" w:eastAsia="宋体" w:cs="宋体"/>
          <w:sz w:val="20"/>
          <w:szCs w:val="20"/>
        </w:rPr>
      </w:pPr>
      <w:r>
        <w:rPr>
          <w:rFonts w:hint="eastAsia" w:ascii="宋体" w:hAnsi="宋体" w:eastAsia="宋体" w:cs="宋体"/>
          <w:spacing w:val="7"/>
          <w:sz w:val="20"/>
          <w:szCs w:val="20"/>
        </w:rPr>
        <w:t>（6）除发包人或者承包人自愿放弃委派评标代表的权利外，招标人评标代表应当分别由</w:t>
      </w:r>
      <w:r>
        <w:rPr>
          <w:rFonts w:hint="eastAsia" w:ascii="宋体" w:hAnsi="宋体" w:eastAsia="宋体" w:cs="宋体"/>
          <w:spacing w:val="8"/>
          <w:sz w:val="20"/>
          <w:szCs w:val="20"/>
        </w:rPr>
        <w:t>发包人和承包人等额委派。</w:t>
      </w:r>
    </w:p>
    <w:p w14:paraId="28BC7EA2">
      <w:pPr>
        <w:spacing w:before="163" w:line="360" w:lineRule="auto"/>
        <w:ind w:left="19" w:right="13" w:firstLine="324"/>
        <w:jc w:val="left"/>
        <w:rPr>
          <w:rFonts w:hint="eastAsia" w:ascii="宋体" w:hAnsi="宋体" w:eastAsia="宋体" w:cs="宋体"/>
          <w:sz w:val="20"/>
          <w:szCs w:val="20"/>
        </w:rPr>
      </w:pPr>
      <w:r>
        <w:rPr>
          <w:rFonts w:hint="eastAsia" w:ascii="宋体" w:hAnsi="宋体" w:eastAsia="宋体" w:cs="宋体"/>
          <w:spacing w:val="11"/>
          <w:sz w:val="20"/>
          <w:szCs w:val="20"/>
        </w:rPr>
        <w:t>（7）设有标底的，承包人应当在开标前提</w:t>
      </w:r>
      <w:r>
        <w:rPr>
          <w:rFonts w:hint="eastAsia" w:ascii="宋体" w:hAnsi="宋体" w:eastAsia="宋体" w:cs="宋体"/>
          <w:spacing w:val="10"/>
          <w:sz w:val="20"/>
          <w:szCs w:val="20"/>
        </w:rPr>
        <w:t>前48</w:t>
      </w:r>
      <w:r>
        <w:rPr>
          <w:rFonts w:hint="eastAsia" w:ascii="宋体" w:hAnsi="宋体" w:eastAsia="宋体" w:cs="宋体"/>
          <w:spacing w:val="-34"/>
          <w:sz w:val="20"/>
          <w:szCs w:val="20"/>
        </w:rPr>
        <w:t xml:space="preserve"> </w:t>
      </w:r>
      <w:r>
        <w:rPr>
          <w:rFonts w:hint="eastAsia" w:ascii="宋体" w:hAnsi="宋体" w:eastAsia="宋体" w:cs="宋体"/>
          <w:spacing w:val="10"/>
          <w:sz w:val="20"/>
          <w:szCs w:val="20"/>
        </w:rPr>
        <w:t>小时将标底报发包人审核认可，发包人</w:t>
      </w:r>
      <w:r>
        <w:rPr>
          <w:rFonts w:hint="eastAsia" w:ascii="宋体" w:hAnsi="宋体" w:eastAsia="宋体" w:cs="宋体"/>
          <w:spacing w:val="9"/>
          <w:sz w:val="20"/>
          <w:szCs w:val="20"/>
        </w:rPr>
        <w:t>应当在收到承包人报送的标底后</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小时内给予批准或者提出修改意见。承包人和发包人应当共同制定标底保密措施，不得提前泄露标底。标底的最终审核和决定权属于发包人。</w:t>
      </w:r>
    </w:p>
    <w:p w14:paraId="728CEF74">
      <w:pPr>
        <w:spacing w:before="161" w:line="360" w:lineRule="auto"/>
        <w:ind w:left="19" w:right="11" w:firstLine="324"/>
        <w:jc w:val="left"/>
        <w:rPr>
          <w:rFonts w:hint="eastAsia" w:ascii="宋体" w:hAnsi="宋体" w:eastAsia="宋体" w:cs="宋体"/>
          <w:sz w:val="20"/>
          <w:szCs w:val="20"/>
        </w:rPr>
      </w:pPr>
      <w:r>
        <w:rPr>
          <w:rFonts w:hint="eastAsia" w:ascii="宋体" w:hAnsi="宋体" w:eastAsia="宋体" w:cs="宋体"/>
          <w:spacing w:val="6"/>
          <w:sz w:val="20"/>
          <w:szCs w:val="20"/>
        </w:rPr>
        <w:t>（8）设有最高投标限价的，承包人应当在招标文件发出前提前</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天将最高投标限价报发</w:t>
      </w:r>
      <w:r>
        <w:rPr>
          <w:rFonts w:hint="eastAsia" w:ascii="宋体" w:hAnsi="宋体" w:eastAsia="宋体" w:cs="宋体"/>
          <w:spacing w:val="9"/>
          <w:sz w:val="20"/>
          <w:szCs w:val="20"/>
        </w:rPr>
        <w:t>包人审核认可，发包人应当在收到承包人报送的最高投标限价后</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72</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小时内给予认可或者提</w:t>
      </w:r>
      <w:r>
        <w:rPr>
          <w:rFonts w:hint="eastAsia" w:ascii="宋体" w:hAnsi="宋体" w:eastAsia="宋体" w:cs="宋体"/>
          <w:spacing w:val="8"/>
          <w:sz w:val="20"/>
          <w:szCs w:val="20"/>
        </w:rPr>
        <w:t>出修改意见。最高投标限价的最终审核和决定权属</w:t>
      </w:r>
      <w:r>
        <w:rPr>
          <w:rFonts w:hint="eastAsia" w:ascii="宋体" w:hAnsi="宋体" w:eastAsia="宋体" w:cs="宋体"/>
          <w:spacing w:val="7"/>
          <w:sz w:val="20"/>
          <w:szCs w:val="20"/>
        </w:rPr>
        <w:t>于发包人，未经发包人认可，承包人不得发出招标文件。</w:t>
      </w:r>
    </w:p>
    <w:p w14:paraId="50B79637">
      <w:pPr>
        <w:spacing w:before="160" w:line="360" w:lineRule="auto"/>
        <w:ind w:left="20" w:right="11" w:firstLine="323"/>
        <w:jc w:val="left"/>
        <w:rPr>
          <w:rFonts w:hint="eastAsia" w:ascii="宋体" w:hAnsi="宋体" w:eastAsia="宋体" w:cs="宋体"/>
          <w:sz w:val="20"/>
          <w:szCs w:val="20"/>
        </w:rPr>
      </w:pPr>
      <w:r>
        <w:rPr>
          <w:rFonts w:hint="eastAsia" w:ascii="宋体" w:hAnsi="宋体" w:eastAsia="宋体" w:cs="宋体"/>
          <w:spacing w:val="9"/>
          <w:sz w:val="20"/>
          <w:szCs w:val="20"/>
        </w:rPr>
        <w:t>（9）承包人在收到相关招标项目评标委员会提交的评标报告后，应当在</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24</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小时内通过</w:t>
      </w:r>
      <w:r>
        <w:rPr>
          <w:rFonts w:hint="eastAsia" w:ascii="宋体" w:hAnsi="宋体" w:eastAsia="宋体" w:cs="宋体"/>
          <w:spacing w:val="11"/>
          <w:sz w:val="20"/>
          <w:szCs w:val="20"/>
        </w:rPr>
        <w:t>监理人转报发包人核查，发包人应当在监理人收到承包人报送的评标报告后</w:t>
      </w:r>
      <w:r>
        <w:rPr>
          <w:rFonts w:hint="eastAsia" w:ascii="宋体" w:hAnsi="宋体" w:eastAsia="宋体" w:cs="宋体"/>
          <w:spacing w:val="10"/>
          <w:sz w:val="20"/>
          <w:szCs w:val="20"/>
        </w:rPr>
        <w:t>48</w:t>
      </w:r>
      <w:r>
        <w:rPr>
          <w:rFonts w:hint="eastAsia" w:ascii="宋体" w:hAnsi="宋体" w:eastAsia="宋体" w:cs="宋体"/>
          <w:spacing w:val="-32"/>
          <w:sz w:val="20"/>
          <w:szCs w:val="20"/>
        </w:rPr>
        <w:t xml:space="preserve"> </w:t>
      </w:r>
      <w:r>
        <w:rPr>
          <w:rFonts w:hint="eastAsia" w:ascii="宋体" w:hAnsi="宋体" w:eastAsia="宋体" w:cs="宋体"/>
          <w:spacing w:val="10"/>
          <w:sz w:val="20"/>
          <w:szCs w:val="20"/>
        </w:rPr>
        <w:t>小时内核查</w:t>
      </w:r>
      <w:r>
        <w:rPr>
          <w:rFonts w:hint="eastAsia" w:ascii="宋体" w:hAnsi="宋体" w:eastAsia="宋体" w:cs="宋体"/>
          <w:spacing w:val="8"/>
          <w:sz w:val="20"/>
          <w:szCs w:val="20"/>
        </w:rPr>
        <w:t>完毕，评标报告经过发包人核查认可后，承包人</w:t>
      </w:r>
      <w:r>
        <w:rPr>
          <w:rFonts w:hint="eastAsia" w:ascii="宋体" w:hAnsi="宋体" w:eastAsia="宋体" w:cs="宋体"/>
          <w:spacing w:val="7"/>
          <w:sz w:val="20"/>
          <w:szCs w:val="20"/>
        </w:rPr>
        <w:t>才可以开始后续程序，依法确定中标人并发</w:t>
      </w:r>
      <w:r>
        <w:rPr>
          <w:rFonts w:hint="eastAsia" w:ascii="宋体" w:hAnsi="宋体" w:eastAsia="宋体" w:cs="宋体"/>
          <w:spacing w:val="6"/>
          <w:sz w:val="20"/>
          <w:szCs w:val="20"/>
        </w:rPr>
        <w:t>出中标通知书。</w:t>
      </w:r>
    </w:p>
    <w:p w14:paraId="20C5CDDB">
      <w:pPr>
        <w:spacing w:before="162" w:line="360" w:lineRule="auto"/>
        <w:ind w:left="19" w:right="11" w:firstLine="324"/>
        <w:jc w:val="left"/>
        <w:rPr>
          <w:rFonts w:hint="eastAsia" w:ascii="宋体" w:hAnsi="宋体" w:eastAsia="宋体" w:cs="宋体"/>
          <w:sz w:val="20"/>
          <w:szCs w:val="20"/>
        </w:rPr>
      </w:pPr>
      <w:r>
        <w:rPr>
          <w:rFonts w:hint="eastAsia" w:ascii="宋体" w:hAnsi="宋体" w:eastAsia="宋体" w:cs="宋体"/>
          <w:spacing w:val="10"/>
          <w:sz w:val="20"/>
          <w:szCs w:val="20"/>
        </w:rPr>
        <w:t>（10）承包人与专业分包人或者专项供应商订立合</w:t>
      </w:r>
      <w:r>
        <w:rPr>
          <w:rFonts w:hint="eastAsia" w:ascii="宋体" w:hAnsi="宋体" w:eastAsia="宋体" w:cs="宋体"/>
          <w:spacing w:val="9"/>
          <w:sz w:val="20"/>
          <w:szCs w:val="20"/>
        </w:rPr>
        <w:t>同前应当按照合同条款专用部分约定</w:t>
      </w:r>
      <w:r>
        <w:rPr>
          <w:rFonts w:hint="eastAsia" w:ascii="宋体" w:hAnsi="宋体" w:eastAsia="宋体" w:cs="宋体"/>
          <w:spacing w:val="8"/>
          <w:sz w:val="20"/>
          <w:szCs w:val="20"/>
        </w:rPr>
        <w:t>期限，将准备用于正式签订的合同文件通过监理人</w:t>
      </w:r>
      <w:r>
        <w:rPr>
          <w:rFonts w:hint="eastAsia" w:ascii="宋体" w:hAnsi="宋体" w:eastAsia="宋体" w:cs="宋体"/>
          <w:spacing w:val="7"/>
          <w:sz w:val="20"/>
          <w:szCs w:val="20"/>
        </w:rPr>
        <w:t>报发包人审核，发包人应当在监理人收到</w:t>
      </w:r>
      <w:r>
        <w:rPr>
          <w:rFonts w:hint="eastAsia" w:ascii="宋体" w:hAnsi="宋体" w:eastAsia="宋体" w:cs="宋体"/>
          <w:spacing w:val="8"/>
          <w:sz w:val="20"/>
          <w:szCs w:val="20"/>
        </w:rPr>
        <w:t>相关文件后在合同条款专用部分约定期限内</w:t>
      </w:r>
      <w:r>
        <w:rPr>
          <w:rFonts w:hint="eastAsia" w:ascii="宋体" w:hAnsi="宋体" w:eastAsia="宋体" w:cs="宋体"/>
          <w:spacing w:val="7"/>
          <w:sz w:val="20"/>
          <w:szCs w:val="20"/>
        </w:rPr>
        <w:t>给予批准或者提出修改意见，承包人应当按照发</w:t>
      </w:r>
      <w:r>
        <w:rPr>
          <w:rFonts w:hint="eastAsia" w:ascii="宋体" w:hAnsi="宋体" w:eastAsia="宋体" w:cs="宋体"/>
          <w:spacing w:val="8"/>
          <w:sz w:val="20"/>
          <w:szCs w:val="20"/>
        </w:rPr>
        <w:t>包人批准的合同文件签订相关合同，合同订立后，</w:t>
      </w:r>
      <w:r>
        <w:rPr>
          <w:rFonts w:hint="eastAsia" w:ascii="宋体" w:hAnsi="宋体" w:eastAsia="宋体" w:cs="宋体"/>
          <w:spacing w:val="7"/>
          <w:sz w:val="20"/>
          <w:szCs w:val="20"/>
        </w:rPr>
        <w:t>在合同条款专用部分约定期限内，承包人</w:t>
      </w:r>
      <w:r>
        <w:rPr>
          <w:rFonts w:hint="eastAsia" w:ascii="宋体" w:hAnsi="宋体" w:eastAsia="宋体" w:cs="宋体"/>
          <w:spacing w:val="9"/>
          <w:sz w:val="20"/>
          <w:szCs w:val="20"/>
        </w:rPr>
        <w:t>应当将其中的两份副本报送监理人，其中一份由监理人报发包人留存。</w:t>
      </w:r>
    </w:p>
    <w:p w14:paraId="280A5F45">
      <w:pPr>
        <w:spacing w:before="160" w:line="360" w:lineRule="auto"/>
        <w:ind w:left="20" w:right="13" w:firstLine="323"/>
        <w:jc w:val="left"/>
        <w:rPr>
          <w:rFonts w:hint="eastAsia" w:ascii="宋体" w:hAnsi="宋体" w:eastAsia="宋体" w:cs="宋体"/>
          <w:sz w:val="20"/>
          <w:szCs w:val="20"/>
        </w:rPr>
      </w:pPr>
      <w:r>
        <w:rPr>
          <w:rFonts w:hint="eastAsia" w:ascii="宋体" w:hAnsi="宋体" w:eastAsia="宋体" w:cs="宋体"/>
          <w:spacing w:val="10"/>
          <w:sz w:val="20"/>
          <w:szCs w:val="20"/>
        </w:rPr>
        <w:t>（11）发包人对承包人报送文件进行审批或提出的</w:t>
      </w:r>
      <w:r>
        <w:rPr>
          <w:rFonts w:hint="eastAsia" w:ascii="宋体" w:hAnsi="宋体" w:eastAsia="宋体" w:cs="宋体"/>
          <w:spacing w:val="9"/>
          <w:sz w:val="20"/>
          <w:szCs w:val="20"/>
        </w:rPr>
        <w:t>修改意见应当合理，并符合现行有关</w:t>
      </w:r>
      <w:r>
        <w:rPr>
          <w:rFonts w:hint="eastAsia" w:ascii="宋体" w:hAnsi="宋体" w:eastAsia="宋体" w:cs="宋体"/>
          <w:spacing w:val="7"/>
          <w:sz w:val="20"/>
          <w:szCs w:val="20"/>
        </w:rPr>
        <w:t>法律法规的规定。</w:t>
      </w:r>
    </w:p>
    <w:p w14:paraId="1C81FC63">
      <w:pPr>
        <w:spacing w:before="161" w:line="360" w:lineRule="auto"/>
        <w:ind w:left="19" w:right="11" w:firstLine="324"/>
        <w:jc w:val="left"/>
        <w:rPr>
          <w:rFonts w:hint="eastAsia" w:ascii="宋体" w:hAnsi="宋体" w:eastAsia="宋体" w:cs="宋体"/>
          <w:sz w:val="20"/>
          <w:szCs w:val="20"/>
        </w:rPr>
      </w:pPr>
      <w:r>
        <w:rPr>
          <w:rFonts w:hint="eastAsia" w:ascii="宋体" w:hAnsi="宋体" w:eastAsia="宋体" w:cs="宋体"/>
          <w:spacing w:val="10"/>
          <w:sz w:val="20"/>
          <w:szCs w:val="20"/>
        </w:rPr>
        <w:t>（12）承包人违背本项上述约定的程序或者未履行</w:t>
      </w:r>
      <w:r>
        <w:rPr>
          <w:rFonts w:hint="eastAsia" w:ascii="宋体" w:hAnsi="宋体" w:eastAsia="宋体" w:cs="宋体"/>
          <w:spacing w:val="9"/>
          <w:sz w:val="20"/>
          <w:szCs w:val="20"/>
        </w:rPr>
        <w:t>本项上述约定的报批手续的，发包人</w:t>
      </w:r>
      <w:r>
        <w:rPr>
          <w:rFonts w:hint="eastAsia" w:ascii="宋体" w:hAnsi="宋体" w:eastAsia="宋体" w:cs="宋体"/>
          <w:spacing w:val="13"/>
          <w:sz w:val="20"/>
          <w:szCs w:val="20"/>
        </w:rPr>
        <w:t>有权拒绝对相关专业工程或者涉及相关专项供应的材料的工程进行验收和拨</w:t>
      </w:r>
      <w:r>
        <w:rPr>
          <w:rFonts w:hint="eastAsia" w:ascii="宋体" w:hAnsi="宋体" w:eastAsia="宋体" w:cs="宋体"/>
          <w:spacing w:val="12"/>
          <w:sz w:val="20"/>
          <w:szCs w:val="20"/>
        </w:rPr>
        <w:t>付相应工程款</w:t>
      </w:r>
      <w:r>
        <w:rPr>
          <w:rFonts w:hint="eastAsia" w:ascii="宋体" w:hAnsi="宋体" w:eastAsia="宋体" w:cs="宋体"/>
          <w:spacing w:val="8"/>
          <w:sz w:val="20"/>
          <w:szCs w:val="20"/>
        </w:rPr>
        <w:t>项，所造成的费用增加和（或）工期延误由承包人</w:t>
      </w:r>
      <w:r>
        <w:rPr>
          <w:rFonts w:hint="eastAsia" w:ascii="宋体" w:hAnsi="宋体" w:eastAsia="宋体" w:cs="宋体"/>
          <w:spacing w:val="7"/>
          <w:sz w:val="20"/>
          <w:szCs w:val="20"/>
        </w:rPr>
        <w:t>承担。发包人未按本项上述约定履行审批</w:t>
      </w:r>
      <w:r>
        <w:rPr>
          <w:rFonts w:hint="eastAsia" w:ascii="宋体" w:hAnsi="宋体" w:eastAsia="宋体" w:cs="宋体"/>
          <w:spacing w:val="9"/>
          <w:sz w:val="20"/>
          <w:szCs w:val="20"/>
        </w:rPr>
        <w:t>手续的，所造成的费用增加和（或）工期延误由发包人承担。</w:t>
      </w:r>
    </w:p>
    <w:p w14:paraId="58C2584C">
      <w:pPr>
        <w:spacing w:before="162" w:line="360" w:lineRule="auto"/>
        <w:ind w:left="19" w:right="11" w:firstLine="435"/>
        <w:jc w:val="left"/>
        <w:rPr>
          <w:rFonts w:hint="eastAsia" w:ascii="宋体" w:hAnsi="宋体" w:eastAsia="宋体" w:cs="宋体"/>
          <w:sz w:val="20"/>
          <w:szCs w:val="20"/>
        </w:rPr>
      </w:pPr>
      <w:r>
        <w:rPr>
          <w:rFonts w:hint="eastAsia" w:ascii="宋体" w:hAnsi="宋体" w:eastAsia="宋体" w:cs="宋体"/>
          <w:spacing w:val="11"/>
          <w:sz w:val="20"/>
          <w:szCs w:val="20"/>
        </w:rPr>
        <w:t>15.8.2  发包人在工程量清单中给定暂估价的材料不属于依法必须招标的范围或未达</w:t>
      </w:r>
      <w:r>
        <w:rPr>
          <w:rFonts w:hint="eastAsia" w:ascii="宋体" w:hAnsi="宋体" w:eastAsia="宋体" w:cs="宋体"/>
          <w:spacing w:val="7"/>
          <w:sz w:val="20"/>
          <w:szCs w:val="20"/>
        </w:rPr>
        <w:t>到规定的规模标准的，应由承包人按第</w:t>
      </w:r>
      <w:r>
        <w:rPr>
          <w:rFonts w:hint="eastAsia" w:ascii="宋体" w:hAnsi="宋体" w:eastAsia="宋体" w:cs="宋体"/>
          <w:spacing w:val="-32"/>
          <w:sz w:val="20"/>
          <w:szCs w:val="20"/>
        </w:rPr>
        <w:t xml:space="preserve"> </w:t>
      </w:r>
      <w:r>
        <w:rPr>
          <w:rFonts w:hint="eastAsia" w:ascii="宋体" w:hAnsi="宋体" w:eastAsia="宋体" w:cs="宋体"/>
          <w:spacing w:val="7"/>
          <w:sz w:val="20"/>
          <w:szCs w:val="20"/>
        </w:rPr>
        <w:t>5.1</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款的约定提</w:t>
      </w:r>
      <w:r>
        <w:rPr>
          <w:rFonts w:hint="eastAsia" w:ascii="宋体" w:hAnsi="宋体" w:eastAsia="宋体" w:cs="宋体"/>
          <w:spacing w:val="6"/>
          <w:sz w:val="20"/>
          <w:szCs w:val="20"/>
        </w:rPr>
        <w:t>供。经监理人确认的材料价格与工程</w:t>
      </w:r>
      <w:r>
        <w:rPr>
          <w:rFonts w:hint="eastAsia" w:ascii="宋体" w:hAnsi="宋体" w:eastAsia="宋体" w:cs="宋体"/>
          <w:spacing w:val="9"/>
          <w:sz w:val="20"/>
          <w:szCs w:val="20"/>
        </w:rPr>
        <w:t>量清单中所列的暂估价的金额差以及相应的增值税等其他费用列入合同价格。</w:t>
      </w:r>
    </w:p>
    <w:p w14:paraId="7FB0F838">
      <w:pPr>
        <w:spacing w:before="164" w:line="360" w:lineRule="auto"/>
        <w:ind w:left="23" w:right="11" w:firstLine="432"/>
        <w:jc w:val="left"/>
        <w:rPr>
          <w:rFonts w:hint="eastAsia" w:ascii="宋体" w:hAnsi="宋体" w:eastAsia="宋体" w:cs="宋体"/>
          <w:sz w:val="20"/>
          <w:szCs w:val="20"/>
        </w:rPr>
      </w:pPr>
      <w:r>
        <w:rPr>
          <w:rFonts w:hint="eastAsia" w:ascii="宋体" w:hAnsi="宋体" w:eastAsia="宋体" w:cs="宋体"/>
          <w:spacing w:val="11"/>
          <w:sz w:val="20"/>
          <w:szCs w:val="20"/>
        </w:rPr>
        <w:t>15.8.3  发包人在工程量清单中给定暂估价的专业工程不属于依法必须招标的范围或</w:t>
      </w:r>
      <w:r>
        <w:rPr>
          <w:rFonts w:hint="eastAsia" w:ascii="宋体" w:hAnsi="宋体" w:eastAsia="宋体" w:cs="宋体"/>
          <w:spacing w:val="9"/>
          <w:sz w:val="20"/>
          <w:szCs w:val="20"/>
        </w:rPr>
        <w:t>未达到规定的规模标准的，由监理人按照第</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rPr>
        <w:t>15.4</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款进行估价，</w:t>
      </w:r>
      <w:r>
        <w:rPr>
          <w:rFonts w:hint="eastAsia" w:ascii="宋体" w:hAnsi="宋体" w:eastAsia="宋体" w:cs="宋体"/>
          <w:spacing w:val="8"/>
          <w:sz w:val="20"/>
          <w:szCs w:val="20"/>
        </w:rPr>
        <w:t>并计算对应的增值税，但合</w:t>
      </w:r>
      <w:r>
        <w:rPr>
          <w:rFonts w:hint="eastAsia" w:ascii="宋体" w:hAnsi="宋体" w:eastAsia="宋体" w:cs="宋体"/>
          <w:spacing w:val="7"/>
          <w:sz w:val="20"/>
          <w:szCs w:val="20"/>
        </w:rPr>
        <w:t>同条款专用部分另有约定的除外。经估价的专业工程与工程量清单中所列的暂估价的金额差</w:t>
      </w:r>
      <w:r>
        <w:rPr>
          <w:rFonts w:hint="eastAsia" w:ascii="宋体" w:hAnsi="宋体" w:eastAsia="宋体" w:cs="宋体"/>
          <w:spacing w:val="6"/>
          <w:sz w:val="20"/>
          <w:szCs w:val="20"/>
        </w:rPr>
        <w:t>列入合同价格。</w:t>
      </w:r>
    </w:p>
    <w:p w14:paraId="2BA94954">
      <w:pPr>
        <w:spacing w:before="292" w:line="360" w:lineRule="auto"/>
        <w:ind w:left="43"/>
        <w:jc w:val="left"/>
        <w:outlineLvl w:val="1"/>
        <w:rPr>
          <w:rFonts w:hint="eastAsia" w:ascii="宋体" w:hAnsi="宋体" w:eastAsia="宋体" w:cs="宋体"/>
          <w:sz w:val="28"/>
          <w:szCs w:val="28"/>
        </w:rPr>
      </w:pPr>
      <w:bookmarkStart w:id="687" w:name="bookmark105"/>
      <w:bookmarkEnd w:id="687"/>
      <w:r>
        <w:rPr>
          <w:rFonts w:hint="eastAsia" w:ascii="宋体" w:hAnsi="宋体" w:eastAsia="宋体" w:cs="宋体"/>
          <w:spacing w:val="-5"/>
          <w:sz w:val="28"/>
          <w:szCs w:val="28"/>
        </w:rPr>
        <w:t>16.价格调整</w:t>
      </w:r>
    </w:p>
    <w:p w14:paraId="2929DBF4">
      <w:pPr>
        <w:pStyle w:val="17"/>
        <w:spacing w:line="360" w:lineRule="auto"/>
        <w:jc w:val="left"/>
        <w:rPr>
          <w:rFonts w:hint="eastAsia" w:ascii="宋体" w:hAnsi="宋体" w:eastAsia="宋体" w:cs="宋体"/>
        </w:rPr>
      </w:pPr>
    </w:p>
    <w:p w14:paraId="23E66F82">
      <w:pPr>
        <w:spacing w:before="78" w:line="360" w:lineRule="auto"/>
        <w:ind w:left="38"/>
        <w:jc w:val="left"/>
        <w:outlineLvl w:val="2"/>
        <w:rPr>
          <w:rFonts w:hint="eastAsia" w:ascii="宋体" w:hAnsi="宋体" w:eastAsia="宋体" w:cs="宋体"/>
          <w:sz w:val="24"/>
          <w:szCs w:val="24"/>
        </w:rPr>
      </w:pPr>
      <w:r>
        <w:rPr>
          <w:rFonts w:hint="eastAsia" w:ascii="宋体" w:hAnsi="宋体" w:eastAsia="宋体" w:cs="宋体"/>
          <w:spacing w:val="-2"/>
          <w:sz w:val="24"/>
          <w:szCs w:val="24"/>
        </w:rPr>
        <w:t>16.1  物价波动引起的价格调整</w:t>
      </w:r>
    </w:p>
    <w:p w14:paraId="7C6092AE">
      <w:pPr>
        <w:spacing w:before="299" w:line="360" w:lineRule="auto"/>
        <w:ind w:left="452"/>
        <w:jc w:val="left"/>
        <w:rPr>
          <w:rFonts w:hint="eastAsia" w:ascii="宋体" w:hAnsi="宋体" w:eastAsia="宋体" w:cs="宋体"/>
          <w:sz w:val="20"/>
          <w:szCs w:val="20"/>
        </w:rPr>
      </w:pPr>
      <w:r>
        <w:rPr>
          <w:rFonts w:hint="eastAsia" w:ascii="宋体" w:hAnsi="宋体" w:eastAsia="宋体" w:cs="宋体"/>
          <w:spacing w:val="9"/>
          <w:sz w:val="20"/>
          <w:szCs w:val="20"/>
        </w:rPr>
        <w:t>除合同条款专用部分另有约定外，因物价波动引起的价格调整按照本款约定处理。</w:t>
      </w:r>
    </w:p>
    <w:p w14:paraId="597F2FF6">
      <w:pPr>
        <w:spacing w:before="162" w:line="360" w:lineRule="auto"/>
        <w:ind w:left="455"/>
        <w:jc w:val="left"/>
        <w:rPr>
          <w:rFonts w:hint="eastAsia" w:ascii="宋体" w:hAnsi="宋体" w:eastAsia="宋体" w:cs="宋体"/>
          <w:sz w:val="20"/>
          <w:szCs w:val="20"/>
        </w:rPr>
      </w:pPr>
      <w:r>
        <w:rPr>
          <w:rFonts w:hint="eastAsia" w:ascii="宋体" w:hAnsi="宋体" w:eastAsia="宋体" w:cs="宋体"/>
          <w:spacing w:val="6"/>
          <w:sz w:val="20"/>
          <w:szCs w:val="20"/>
        </w:rPr>
        <w:t>16.1.1 采用价格指数调整价格差额</w:t>
      </w:r>
    </w:p>
    <w:p w14:paraId="45908210">
      <w:pPr>
        <w:spacing w:before="164" w:line="360" w:lineRule="auto"/>
        <w:ind w:left="664"/>
        <w:jc w:val="left"/>
        <w:rPr>
          <w:rFonts w:hint="eastAsia" w:ascii="宋体" w:hAnsi="宋体" w:eastAsia="宋体" w:cs="宋体"/>
          <w:sz w:val="20"/>
          <w:szCs w:val="20"/>
        </w:rPr>
      </w:pPr>
      <w:r>
        <w:rPr>
          <w:rFonts w:hint="eastAsia" w:ascii="宋体" w:hAnsi="宋体" w:eastAsia="宋体" w:cs="宋体"/>
          <w:spacing w:val="5"/>
          <w:sz w:val="20"/>
          <w:szCs w:val="20"/>
        </w:rPr>
        <w:t>16.1.1.1 价格调整公式</w:t>
      </w:r>
    </w:p>
    <w:p w14:paraId="33EF812C">
      <w:pPr>
        <w:spacing w:before="162" w:line="360" w:lineRule="auto"/>
        <w:ind w:left="20" w:right="92" w:firstLine="644"/>
        <w:jc w:val="left"/>
        <w:rPr>
          <w:rFonts w:hint="eastAsia" w:ascii="宋体" w:hAnsi="宋体" w:eastAsia="宋体" w:cs="宋体"/>
          <w:sz w:val="20"/>
          <w:szCs w:val="20"/>
        </w:rPr>
      </w:pPr>
      <w:r>
        <w:rPr>
          <w:rFonts w:hint="eastAsia" w:ascii="宋体" w:hAnsi="宋体" w:eastAsia="宋体" w:cs="宋体"/>
          <w:spacing w:val="7"/>
          <w:sz w:val="20"/>
          <w:szCs w:val="20"/>
        </w:rPr>
        <w:t>因人工、材料和机械台班等价格波动影响合同价格时，根据投标函附录中的价格</w:t>
      </w:r>
      <w:r>
        <w:rPr>
          <w:rFonts w:hint="eastAsia" w:ascii="宋体" w:hAnsi="宋体" w:eastAsia="宋体" w:cs="宋体"/>
          <w:spacing w:val="6"/>
          <w:sz w:val="20"/>
          <w:szCs w:val="20"/>
        </w:rPr>
        <w:t>指数</w:t>
      </w:r>
      <w:r>
        <w:rPr>
          <w:rFonts w:hint="eastAsia" w:ascii="宋体" w:hAnsi="宋体" w:eastAsia="宋体" w:cs="宋体"/>
          <w:spacing w:val="9"/>
          <w:sz w:val="20"/>
          <w:szCs w:val="20"/>
        </w:rPr>
        <w:t>和权重表约定的数据，按以下公式计算差额并调整合同价格。</w:t>
      </w:r>
    </w:p>
    <w:p w14:paraId="672EDA74">
      <w:pPr>
        <w:pStyle w:val="17"/>
        <w:spacing w:line="446" w:lineRule="auto"/>
      </w:pPr>
    </w:p>
    <w:p w14:paraId="136C50CB">
      <w:pPr>
        <w:spacing w:before="1" w:line="799" w:lineRule="exact"/>
        <w:ind w:left="1565"/>
      </w:pPr>
      <w:r>
        <w:rPr>
          <w:position w:val="-16"/>
        </w:rPr>
        <w:drawing>
          <wp:inline distT="0" distB="0" distL="0" distR="0">
            <wp:extent cx="3826510" cy="507365"/>
            <wp:effectExtent l="0" t="0" r="2540" b="698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3826823" cy="507472"/>
                    </a:xfrm>
                    <a:prstGeom prst="rect">
                      <a:avLst/>
                    </a:prstGeom>
                  </pic:spPr>
                </pic:pic>
              </a:graphicData>
            </a:graphic>
          </wp:inline>
        </w:drawing>
      </w:r>
    </w:p>
    <w:p w14:paraId="0876C341">
      <w:pPr>
        <w:pStyle w:val="17"/>
        <w:spacing w:line="284" w:lineRule="auto"/>
      </w:pPr>
    </w:p>
    <w:p w14:paraId="344C1BD5">
      <w:pPr>
        <w:spacing w:before="65" w:line="360" w:lineRule="auto"/>
        <w:ind w:left="444"/>
        <w:rPr>
          <w:rFonts w:hint="eastAsia" w:ascii="宋体" w:hAnsi="宋体" w:eastAsia="宋体" w:cs="宋体"/>
          <w:sz w:val="20"/>
          <w:szCs w:val="20"/>
        </w:rPr>
      </w:pPr>
      <w:r>
        <w:rPr>
          <w:rFonts w:hint="eastAsia" w:ascii="宋体" w:hAnsi="宋体" w:eastAsia="宋体" w:cs="宋体"/>
          <w:spacing w:val="3"/>
          <w:sz w:val="20"/>
          <w:szCs w:val="20"/>
        </w:rPr>
        <w:t>式中：</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△P --</w:t>
      </w:r>
      <w:r>
        <w:rPr>
          <w:rFonts w:hint="eastAsia" w:ascii="宋体" w:hAnsi="宋体" w:eastAsia="宋体" w:cs="宋体"/>
          <w:spacing w:val="13"/>
          <w:sz w:val="20"/>
          <w:szCs w:val="20"/>
        </w:rPr>
        <w:t xml:space="preserve">  </w:t>
      </w:r>
      <w:r>
        <w:rPr>
          <w:rFonts w:hint="eastAsia" w:ascii="宋体" w:hAnsi="宋体" w:eastAsia="宋体" w:cs="宋体"/>
          <w:spacing w:val="3"/>
          <w:sz w:val="20"/>
          <w:szCs w:val="20"/>
        </w:rPr>
        <w:t>需调整的价格差额；</w:t>
      </w:r>
    </w:p>
    <w:p w14:paraId="31DFD80B">
      <w:pPr>
        <w:spacing w:before="162" w:line="360" w:lineRule="auto"/>
        <w:ind w:left="19" w:right="92" w:firstLine="1255"/>
        <w:jc w:val="both"/>
        <w:rPr>
          <w:rFonts w:hint="eastAsia" w:ascii="宋体" w:hAnsi="宋体" w:eastAsia="宋体" w:cs="宋体"/>
          <w:sz w:val="20"/>
          <w:szCs w:val="20"/>
        </w:rPr>
      </w:pPr>
      <w:r>
        <w:rPr>
          <w:rFonts w:hint="eastAsia" w:ascii="宋体" w:hAnsi="宋体" w:eastAsia="宋体" w:cs="宋体"/>
          <w:spacing w:val="4"/>
          <w:sz w:val="20"/>
          <w:szCs w:val="20"/>
        </w:rPr>
        <w:t>P</w:t>
      </w:r>
      <w:r>
        <w:rPr>
          <w:rFonts w:hint="eastAsia" w:ascii="宋体" w:hAnsi="宋体" w:eastAsia="宋体" w:cs="宋体"/>
          <w:spacing w:val="4"/>
          <w:position w:val="-1"/>
          <w:sz w:val="13"/>
          <w:szCs w:val="13"/>
        </w:rPr>
        <w:t>0</w:t>
      </w:r>
      <w:r>
        <w:rPr>
          <w:rFonts w:hint="eastAsia" w:ascii="宋体" w:hAnsi="宋体" w:eastAsia="宋体" w:cs="宋体"/>
          <w:spacing w:val="27"/>
          <w:w w:val="102"/>
          <w:position w:val="-1"/>
          <w:sz w:val="13"/>
          <w:szCs w:val="13"/>
        </w:rPr>
        <w:t xml:space="preserve"> </w:t>
      </w:r>
      <w:r>
        <w:rPr>
          <w:rFonts w:hint="eastAsia" w:ascii="宋体" w:hAnsi="宋体" w:eastAsia="宋体" w:cs="宋体"/>
          <w:spacing w:val="4"/>
          <w:sz w:val="20"/>
          <w:szCs w:val="20"/>
        </w:rPr>
        <w:t>--  第</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17.3.3</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项、第</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17.5.3</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项和第</w:t>
      </w:r>
      <w:r>
        <w:rPr>
          <w:rFonts w:hint="eastAsia" w:ascii="宋体" w:hAnsi="宋体" w:eastAsia="宋体" w:cs="宋体"/>
          <w:spacing w:val="-24"/>
          <w:sz w:val="20"/>
          <w:szCs w:val="20"/>
        </w:rPr>
        <w:t xml:space="preserve"> </w:t>
      </w:r>
      <w:r>
        <w:rPr>
          <w:rFonts w:hint="eastAsia" w:ascii="宋体" w:hAnsi="宋体" w:eastAsia="宋体" w:cs="宋体"/>
          <w:spacing w:val="3"/>
          <w:sz w:val="20"/>
          <w:szCs w:val="20"/>
        </w:rPr>
        <w:t>17.6.2</w:t>
      </w:r>
      <w:r>
        <w:rPr>
          <w:rFonts w:hint="eastAsia" w:ascii="宋体" w:hAnsi="宋体" w:eastAsia="宋体" w:cs="宋体"/>
          <w:spacing w:val="-34"/>
          <w:sz w:val="20"/>
          <w:szCs w:val="20"/>
        </w:rPr>
        <w:t xml:space="preserve"> </w:t>
      </w:r>
      <w:r>
        <w:rPr>
          <w:rFonts w:hint="eastAsia" w:ascii="宋体" w:hAnsi="宋体" w:eastAsia="宋体" w:cs="宋体"/>
          <w:spacing w:val="3"/>
          <w:sz w:val="20"/>
          <w:szCs w:val="20"/>
        </w:rPr>
        <w:t>项约定的付款证书中承包人应得</w:t>
      </w:r>
      <w:r>
        <w:rPr>
          <w:rFonts w:hint="eastAsia" w:ascii="宋体" w:hAnsi="宋体" w:eastAsia="宋体" w:cs="宋体"/>
          <w:spacing w:val="8"/>
          <w:sz w:val="20"/>
          <w:szCs w:val="20"/>
        </w:rPr>
        <w:t>到的已完成工程量的金额（不含税）。此项</w:t>
      </w:r>
      <w:r>
        <w:rPr>
          <w:rFonts w:hint="eastAsia" w:ascii="宋体" w:hAnsi="宋体" w:eastAsia="宋体" w:cs="宋体"/>
          <w:spacing w:val="7"/>
          <w:sz w:val="20"/>
          <w:szCs w:val="20"/>
        </w:rPr>
        <w:t>金额应不包括价格调整、不计质量保证金的扣留</w:t>
      </w:r>
      <w:r>
        <w:rPr>
          <w:rFonts w:hint="eastAsia" w:ascii="宋体" w:hAnsi="宋体" w:eastAsia="宋体" w:cs="宋体"/>
          <w:spacing w:val="9"/>
          <w:sz w:val="20"/>
          <w:szCs w:val="20"/>
        </w:rPr>
        <w:t>和支付、预付款的支付和扣回。第</w:t>
      </w:r>
      <w:r>
        <w:rPr>
          <w:rFonts w:hint="eastAsia" w:ascii="宋体" w:hAnsi="宋体" w:eastAsia="宋体" w:cs="宋体"/>
          <w:spacing w:val="-20"/>
          <w:sz w:val="20"/>
          <w:szCs w:val="20"/>
        </w:rPr>
        <w:t xml:space="preserve"> </w:t>
      </w:r>
      <w:r>
        <w:rPr>
          <w:rFonts w:hint="eastAsia" w:ascii="宋体" w:hAnsi="宋体" w:eastAsia="宋体" w:cs="宋体"/>
          <w:spacing w:val="9"/>
          <w:sz w:val="20"/>
          <w:szCs w:val="20"/>
        </w:rPr>
        <w:t>15 条约定的变更及其他金额已按现行价格计价的，也不</w:t>
      </w:r>
      <w:r>
        <w:rPr>
          <w:rFonts w:hint="eastAsia" w:ascii="宋体" w:hAnsi="宋体" w:eastAsia="宋体" w:cs="宋体"/>
          <w:spacing w:val="5"/>
          <w:sz w:val="20"/>
          <w:szCs w:val="20"/>
        </w:rPr>
        <w:t>计在内；</w:t>
      </w:r>
    </w:p>
    <w:p w14:paraId="781F2D7B">
      <w:pPr>
        <w:spacing w:before="14" w:line="360" w:lineRule="auto"/>
        <w:ind w:left="1273"/>
        <w:rPr>
          <w:rFonts w:hint="eastAsia" w:ascii="宋体" w:hAnsi="宋体" w:eastAsia="宋体" w:cs="宋体"/>
          <w:sz w:val="20"/>
          <w:szCs w:val="20"/>
        </w:rPr>
      </w:pPr>
      <w:r>
        <w:rPr>
          <w:rFonts w:hint="eastAsia" w:ascii="宋体" w:hAnsi="宋体" w:eastAsia="宋体" w:cs="宋体"/>
          <w:spacing w:val="6"/>
          <w:position w:val="2"/>
          <w:sz w:val="20"/>
          <w:szCs w:val="20"/>
        </w:rPr>
        <w:t>A --  定值权重(即不调部分的权重)；</w:t>
      </w:r>
    </w:p>
    <w:p w14:paraId="47C2C36E">
      <w:pPr>
        <w:spacing w:before="133" w:line="360" w:lineRule="auto"/>
        <w:ind w:left="19" w:right="92" w:firstLine="1256"/>
        <w:rPr>
          <w:rFonts w:hint="eastAsia" w:ascii="宋体" w:hAnsi="宋体" w:eastAsia="宋体" w:cs="宋体"/>
          <w:sz w:val="20"/>
          <w:szCs w:val="20"/>
        </w:rPr>
      </w:pPr>
      <w:r>
        <w:rPr>
          <w:rFonts w:hint="eastAsia" w:ascii="宋体" w:hAnsi="宋体" w:eastAsia="宋体" w:cs="宋体"/>
          <w:spacing w:val="-18"/>
          <w:sz w:val="20"/>
          <w:szCs w:val="20"/>
        </w:rPr>
        <w:t>B</w:t>
      </w:r>
      <w:r>
        <w:rPr>
          <w:rFonts w:hint="eastAsia" w:ascii="宋体" w:hAnsi="宋体" w:eastAsia="宋体" w:cs="宋体"/>
          <w:spacing w:val="-18"/>
          <w:position w:val="-1"/>
          <w:sz w:val="13"/>
          <w:szCs w:val="13"/>
        </w:rPr>
        <w:t>1</w:t>
      </w:r>
      <w:r>
        <w:rPr>
          <w:rFonts w:hint="eastAsia" w:ascii="宋体" w:hAnsi="宋体" w:eastAsia="宋体" w:cs="宋体"/>
          <w:spacing w:val="-18"/>
          <w:sz w:val="14"/>
          <w:szCs w:val="14"/>
        </w:rPr>
        <w:t xml:space="preserve">;  </w:t>
      </w:r>
      <w:r>
        <w:rPr>
          <w:rFonts w:hint="eastAsia" w:ascii="宋体" w:hAnsi="宋体" w:eastAsia="宋体" w:cs="宋体"/>
          <w:spacing w:val="-18"/>
          <w:sz w:val="20"/>
          <w:szCs w:val="20"/>
        </w:rPr>
        <w:t>B</w:t>
      </w:r>
      <w:r>
        <w:rPr>
          <w:rFonts w:hint="eastAsia" w:ascii="宋体" w:hAnsi="宋体" w:eastAsia="宋体" w:cs="宋体"/>
          <w:spacing w:val="-18"/>
          <w:position w:val="-1"/>
          <w:sz w:val="13"/>
          <w:szCs w:val="13"/>
        </w:rPr>
        <w:t>2</w:t>
      </w:r>
      <w:r>
        <w:rPr>
          <w:rFonts w:hint="eastAsia" w:ascii="宋体" w:hAnsi="宋体" w:eastAsia="宋体" w:cs="宋体"/>
          <w:spacing w:val="1"/>
          <w:position w:val="-1"/>
          <w:sz w:val="13"/>
          <w:szCs w:val="13"/>
        </w:rPr>
        <w:t xml:space="preserve">  </w:t>
      </w:r>
      <w:r>
        <w:rPr>
          <w:rFonts w:hint="eastAsia" w:ascii="宋体" w:hAnsi="宋体" w:eastAsia="宋体" w:cs="宋体"/>
          <w:spacing w:val="-18"/>
          <w:sz w:val="20"/>
          <w:szCs w:val="20"/>
        </w:rPr>
        <w:t>;B</w:t>
      </w:r>
      <w:r>
        <w:rPr>
          <w:rFonts w:hint="eastAsia" w:ascii="宋体" w:hAnsi="宋体" w:eastAsia="宋体" w:cs="宋体"/>
          <w:spacing w:val="-18"/>
          <w:position w:val="-1"/>
          <w:sz w:val="13"/>
          <w:szCs w:val="13"/>
        </w:rPr>
        <w:t xml:space="preserve">3  </w:t>
      </w:r>
      <w:r>
        <w:rPr>
          <w:rFonts w:hint="eastAsia" w:ascii="宋体" w:hAnsi="宋体" w:eastAsia="宋体" w:cs="宋体"/>
          <w:spacing w:val="-18"/>
          <w:sz w:val="14"/>
          <w:szCs w:val="14"/>
        </w:rPr>
        <w:t>·····</w:t>
      </w:r>
      <w:r>
        <w:rPr>
          <w:rFonts w:hint="eastAsia" w:ascii="宋体" w:hAnsi="宋体" w:eastAsia="宋体" w:cs="宋体"/>
          <w:sz w:val="20"/>
          <w:szCs w:val="20"/>
        </w:rPr>
        <w:t>B</w:t>
      </w:r>
      <w:r>
        <w:rPr>
          <w:rFonts w:hint="eastAsia" w:ascii="宋体" w:hAnsi="宋体" w:eastAsia="宋体" w:cs="宋体"/>
          <w:position w:val="-1"/>
          <w:sz w:val="13"/>
          <w:szCs w:val="13"/>
        </w:rPr>
        <w:t>n</w:t>
      </w:r>
      <w:r>
        <w:rPr>
          <w:rFonts w:hint="eastAsia" w:ascii="宋体" w:hAnsi="宋体" w:eastAsia="宋体" w:cs="宋体"/>
          <w:spacing w:val="33"/>
          <w:w w:val="102"/>
          <w:position w:val="-1"/>
          <w:sz w:val="13"/>
          <w:szCs w:val="13"/>
        </w:rPr>
        <w:t xml:space="preserve"> </w:t>
      </w:r>
      <w:r>
        <w:rPr>
          <w:rFonts w:hint="eastAsia" w:ascii="宋体" w:hAnsi="宋体" w:eastAsia="宋体" w:cs="宋体"/>
          <w:spacing w:val="11"/>
          <w:sz w:val="20"/>
          <w:szCs w:val="20"/>
        </w:rPr>
        <w:t>--  各可调因子的变值权重(即可调部分的权重)为各可调因子</w:t>
      </w:r>
      <w:r>
        <w:rPr>
          <w:rFonts w:hint="eastAsia" w:ascii="宋体" w:hAnsi="宋体" w:eastAsia="宋体" w:cs="宋体"/>
          <w:spacing w:val="8"/>
          <w:sz w:val="20"/>
          <w:szCs w:val="20"/>
        </w:rPr>
        <w:t>在投标函投标总报价中所占的比例；</w:t>
      </w:r>
    </w:p>
    <w:p w14:paraId="722DF91B">
      <w:pPr>
        <w:spacing w:before="23" w:line="360" w:lineRule="auto"/>
        <w:ind w:left="20" w:right="92" w:firstLine="1254"/>
        <w:rPr>
          <w:rFonts w:hint="eastAsia" w:ascii="宋体" w:hAnsi="宋体" w:eastAsia="宋体" w:cs="宋体"/>
          <w:sz w:val="20"/>
          <w:szCs w:val="20"/>
        </w:rPr>
      </w:pPr>
      <w:r>
        <w:rPr>
          <w:rFonts w:hint="eastAsia" w:ascii="宋体" w:hAnsi="宋体" w:eastAsia="宋体" w:cs="宋体"/>
          <w:spacing w:val="-19"/>
          <w:sz w:val="20"/>
          <w:szCs w:val="20"/>
        </w:rPr>
        <w:t>F</w:t>
      </w:r>
      <w:r>
        <w:rPr>
          <w:rFonts w:hint="eastAsia" w:ascii="宋体" w:hAnsi="宋体" w:eastAsia="宋体" w:cs="宋体"/>
          <w:spacing w:val="-19"/>
          <w:position w:val="-1"/>
          <w:sz w:val="13"/>
          <w:szCs w:val="13"/>
        </w:rPr>
        <w:t>t</w:t>
      </w:r>
      <w:r>
        <w:rPr>
          <w:rFonts w:hint="eastAsia" w:ascii="宋体" w:hAnsi="宋体" w:eastAsia="宋体" w:cs="宋体"/>
          <w:spacing w:val="-16"/>
          <w:position w:val="-1"/>
          <w:sz w:val="13"/>
          <w:szCs w:val="13"/>
        </w:rPr>
        <w:t xml:space="preserve"> </w:t>
      </w:r>
      <w:r>
        <w:rPr>
          <w:rFonts w:hint="eastAsia" w:ascii="宋体" w:hAnsi="宋体" w:eastAsia="宋体" w:cs="宋体"/>
          <w:spacing w:val="-19"/>
          <w:position w:val="-1"/>
          <w:sz w:val="13"/>
          <w:szCs w:val="13"/>
        </w:rPr>
        <w:t>1</w:t>
      </w:r>
      <w:r>
        <w:rPr>
          <w:rFonts w:hint="eastAsia" w:ascii="宋体" w:hAnsi="宋体" w:eastAsia="宋体" w:cs="宋体"/>
          <w:position w:val="-1"/>
          <w:sz w:val="13"/>
          <w:szCs w:val="13"/>
        </w:rPr>
        <w:t xml:space="preserve">  </w:t>
      </w:r>
      <w:r>
        <w:rPr>
          <w:rFonts w:hint="eastAsia" w:ascii="宋体" w:hAnsi="宋体" w:eastAsia="宋体" w:cs="宋体"/>
          <w:spacing w:val="-19"/>
          <w:sz w:val="20"/>
          <w:szCs w:val="20"/>
        </w:rPr>
        <w:t>;F</w:t>
      </w:r>
      <w:r>
        <w:rPr>
          <w:rFonts w:hint="eastAsia" w:ascii="宋体" w:hAnsi="宋体" w:eastAsia="宋体" w:cs="宋体"/>
          <w:spacing w:val="-19"/>
          <w:position w:val="-1"/>
          <w:sz w:val="13"/>
          <w:szCs w:val="13"/>
        </w:rPr>
        <w:t>t2</w:t>
      </w:r>
      <w:r>
        <w:rPr>
          <w:rFonts w:hint="eastAsia" w:ascii="宋体" w:hAnsi="宋体" w:eastAsia="宋体" w:cs="宋体"/>
          <w:spacing w:val="1"/>
          <w:position w:val="-1"/>
          <w:sz w:val="13"/>
          <w:szCs w:val="13"/>
        </w:rPr>
        <w:t xml:space="preserve">  </w:t>
      </w:r>
      <w:r>
        <w:rPr>
          <w:rFonts w:hint="eastAsia" w:ascii="宋体" w:hAnsi="宋体" w:eastAsia="宋体" w:cs="宋体"/>
          <w:spacing w:val="-19"/>
          <w:sz w:val="20"/>
          <w:szCs w:val="20"/>
        </w:rPr>
        <w:t>;F</w:t>
      </w:r>
      <w:r>
        <w:rPr>
          <w:rFonts w:hint="eastAsia" w:ascii="宋体" w:hAnsi="宋体" w:eastAsia="宋体" w:cs="宋体"/>
          <w:spacing w:val="-19"/>
          <w:position w:val="-1"/>
          <w:sz w:val="13"/>
          <w:szCs w:val="13"/>
        </w:rPr>
        <w:t xml:space="preserve">t3  </w:t>
      </w:r>
      <w:r>
        <w:rPr>
          <w:rFonts w:hint="eastAsia" w:ascii="宋体" w:hAnsi="宋体" w:eastAsia="宋体" w:cs="宋体"/>
          <w:spacing w:val="-19"/>
          <w:sz w:val="14"/>
          <w:szCs w:val="14"/>
        </w:rPr>
        <w:t>·····</w:t>
      </w:r>
      <w:r>
        <w:rPr>
          <w:rFonts w:hint="eastAsia" w:ascii="宋体" w:hAnsi="宋体" w:eastAsia="宋体" w:cs="宋体"/>
          <w:sz w:val="20"/>
          <w:szCs w:val="20"/>
        </w:rPr>
        <w:t>F</w:t>
      </w:r>
      <w:r>
        <w:rPr>
          <w:rFonts w:hint="eastAsia" w:ascii="宋体" w:hAnsi="宋体" w:eastAsia="宋体" w:cs="宋体"/>
          <w:position w:val="-1"/>
          <w:sz w:val="13"/>
          <w:szCs w:val="13"/>
        </w:rPr>
        <w:t>tn</w:t>
      </w:r>
      <w:r>
        <w:rPr>
          <w:rFonts w:hint="eastAsia" w:ascii="宋体" w:hAnsi="宋体" w:eastAsia="宋体" w:cs="宋体"/>
          <w:spacing w:val="28"/>
          <w:w w:val="101"/>
          <w:position w:val="-1"/>
          <w:sz w:val="13"/>
          <w:szCs w:val="13"/>
        </w:rPr>
        <w:t xml:space="preserve"> </w:t>
      </w:r>
      <w:r>
        <w:rPr>
          <w:rFonts w:hint="eastAsia" w:ascii="宋体" w:hAnsi="宋体" w:eastAsia="宋体" w:cs="宋体"/>
          <w:spacing w:val="4"/>
          <w:sz w:val="20"/>
          <w:szCs w:val="20"/>
        </w:rPr>
        <w:t>--  各可调因子的现行价格指数，指第</w:t>
      </w:r>
      <w:r>
        <w:rPr>
          <w:rFonts w:hint="eastAsia" w:ascii="宋体" w:hAnsi="宋体" w:eastAsia="宋体" w:cs="宋体"/>
          <w:spacing w:val="-23"/>
          <w:sz w:val="20"/>
          <w:szCs w:val="20"/>
        </w:rPr>
        <w:t xml:space="preserve"> </w:t>
      </w:r>
      <w:r>
        <w:rPr>
          <w:rFonts w:hint="eastAsia" w:ascii="宋体" w:hAnsi="宋体" w:eastAsia="宋体" w:cs="宋体"/>
          <w:spacing w:val="4"/>
          <w:sz w:val="20"/>
          <w:szCs w:val="20"/>
        </w:rPr>
        <w:t>17.3.3</w:t>
      </w:r>
      <w:r>
        <w:rPr>
          <w:rFonts w:hint="eastAsia" w:ascii="宋体" w:hAnsi="宋体" w:eastAsia="宋体" w:cs="宋体"/>
          <w:spacing w:val="15"/>
          <w:w w:val="101"/>
          <w:sz w:val="20"/>
          <w:szCs w:val="20"/>
        </w:rPr>
        <w:t xml:space="preserve"> </w:t>
      </w:r>
      <w:r>
        <w:rPr>
          <w:rFonts w:hint="eastAsia" w:ascii="宋体" w:hAnsi="宋体" w:eastAsia="宋体" w:cs="宋体"/>
          <w:spacing w:val="4"/>
          <w:sz w:val="20"/>
          <w:szCs w:val="20"/>
        </w:rPr>
        <w:t>项、第</w:t>
      </w:r>
      <w:r>
        <w:rPr>
          <w:rFonts w:hint="eastAsia" w:ascii="宋体" w:hAnsi="宋体" w:eastAsia="宋体" w:cs="宋体"/>
          <w:spacing w:val="-23"/>
          <w:sz w:val="20"/>
          <w:szCs w:val="20"/>
        </w:rPr>
        <w:t xml:space="preserve"> </w:t>
      </w:r>
      <w:r>
        <w:rPr>
          <w:rFonts w:hint="eastAsia" w:ascii="宋体" w:hAnsi="宋体" w:eastAsia="宋体" w:cs="宋体"/>
          <w:spacing w:val="4"/>
          <w:sz w:val="20"/>
          <w:szCs w:val="20"/>
        </w:rPr>
        <w:t>17.</w:t>
      </w:r>
      <w:r>
        <w:rPr>
          <w:rFonts w:hint="eastAsia" w:ascii="宋体" w:hAnsi="宋体" w:eastAsia="宋体" w:cs="宋体"/>
          <w:spacing w:val="3"/>
          <w:sz w:val="20"/>
          <w:szCs w:val="20"/>
        </w:rPr>
        <w:t>5.3</w:t>
      </w:r>
      <w:r>
        <w:rPr>
          <w:rFonts w:hint="eastAsia" w:ascii="宋体" w:hAnsi="宋体" w:eastAsia="宋体" w:cs="宋体"/>
          <w:spacing w:val="15"/>
          <w:w w:val="101"/>
          <w:sz w:val="20"/>
          <w:szCs w:val="20"/>
        </w:rPr>
        <w:t xml:space="preserve"> </w:t>
      </w:r>
      <w:r>
        <w:rPr>
          <w:rFonts w:hint="eastAsia" w:ascii="宋体" w:hAnsi="宋体" w:eastAsia="宋体" w:cs="宋体"/>
          <w:spacing w:val="3"/>
          <w:sz w:val="20"/>
          <w:szCs w:val="20"/>
        </w:rPr>
        <w:t>项</w:t>
      </w:r>
      <w:r>
        <w:rPr>
          <w:rFonts w:hint="eastAsia" w:ascii="宋体" w:hAnsi="宋体" w:eastAsia="宋体" w:cs="宋体"/>
          <w:spacing w:val="7"/>
          <w:sz w:val="20"/>
          <w:szCs w:val="20"/>
        </w:rPr>
        <w:t>和第</w:t>
      </w:r>
      <w:r>
        <w:rPr>
          <w:rFonts w:hint="eastAsia" w:ascii="宋体" w:hAnsi="宋体" w:eastAsia="宋体" w:cs="宋体"/>
          <w:spacing w:val="-17"/>
          <w:sz w:val="20"/>
          <w:szCs w:val="20"/>
        </w:rPr>
        <w:t xml:space="preserve"> </w:t>
      </w:r>
      <w:r>
        <w:rPr>
          <w:rFonts w:hint="eastAsia" w:ascii="宋体" w:hAnsi="宋体" w:eastAsia="宋体" w:cs="宋体"/>
          <w:spacing w:val="7"/>
          <w:sz w:val="20"/>
          <w:szCs w:val="20"/>
        </w:rPr>
        <w:t>17.6.2</w:t>
      </w:r>
      <w:r>
        <w:rPr>
          <w:rFonts w:hint="eastAsia" w:ascii="宋体" w:hAnsi="宋体" w:eastAsia="宋体" w:cs="宋体"/>
          <w:spacing w:val="15"/>
          <w:sz w:val="20"/>
          <w:szCs w:val="20"/>
        </w:rPr>
        <w:t xml:space="preserve"> </w:t>
      </w:r>
      <w:r>
        <w:rPr>
          <w:rFonts w:hint="eastAsia" w:ascii="宋体" w:hAnsi="宋体" w:eastAsia="宋体" w:cs="宋体"/>
          <w:spacing w:val="7"/>
          <w:sz w:val="20"/>
          <w:szCs w:val="20"/>
        </w:rPr>
        <w:t>项约定的付款证书相关周期最后一天的前</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42 天的各可调因子的价格指数；</w:t>
      </w:r>
    </w:p>
    <w:p w14:paraId="6CC5DCB7">
      <w:pPr>
        <w:spacing w:before="37" w:line="360" w:lineRule="auto"/>
        <w:ind w:left="36" w:right="94" w:firstLine="1238"/>
        <w:rPr>
          <w:rFonts w:hint="eastAsia" w:ascii="宋体" w:hAnsi="宋体" w:eastAsia="宋体" w:cs="宋体"/>
          <w:sz w:val="20"/>
          <w:szCs w:val="20"/>
        </w:rPr>
      </w:pPr>
      <w:r>
        <w:rPr>
          <w:rFonts w:hint="eastAsia" w:ascii="宋体" w:hAnsi="宋体" w:eastAsia="宋体" w:cs="宋体"/>
          <w:spacing w:val="-15"/>
          <w:sz w:val="20"/>
          <w:szCs w:val="20"/>
        </w:rPr>
        <w:t>F</w:t>
      </w:r>
      <w:r>
        <w:rPr>
          <w:rFonts w:hint="eastAsia" w:ascii="宋体" w:hAnsi="宋体" w:eastAsia="宋体" w:cs="宋体"/>
          <w:spacing w:val="-15"/>
          <w:position w:val="-1"/>
          <w:sz w:val="13"/>
          <w:szCs w:val="13"/>
        </w:rPr>
        <w:t>o1</w:t>
      </w:r>
      <w:r>
        <w:rPr>
          <w:rFonts w:hint="eastAsia" w:ascii="宋体" w:hAnsi="宋体" w:eastAsia="宋体" w:cs="宋体"/>
          <w:spacing w:val="-15"/>
          <w:sz w:val="20"/>
          <w:szCs w:val="20"/>
        </w:rPr>
        <w:t>;</w:t>
      </w:r>
      <w:r>
        <w:rPr>
          <w:rFonts w:hint="eastAsia" w:ascii="宋体" w:hAnsi="宋体" w:eastAsia="宋体" w:cs="宋体"/>
          <w:spacing w:val="26"/>
          <w:w w:val="101"/>
          <w:sz w:val="20"/>
          <w:szCs w:val="20"/>
        </w:rPr>
        <w:t xml:space="preserve"> </w:t>
      </w:r>
      <w:r>
        <w:rPr>
          <w:rFonts w:hint="eastAsia" w:ascii="宋体" w:hAnsi="宋体" w:eastAsia="宋体" w:cs="宋体"/>
          <w:spacing w:val="-15"/>
          <w:sz w:val="20"/>
          <w:szCs w:val="20"/>
        </w:rPr>
        <w:t>F</w:t>
      </w:r>
      <w:r>
        <w:rPr>
          <w:rFonts w:hint="eastAsia" w:ascii="宋体" w:hAnsi="宋体" w:eastAsia="宋体" w:cs="宋体"/>
          <w:spacing w:val="-15"/>
          <w:position w:val="-1"/>
          <w:sz w:val="13"/>
          <w:szCs w:val="13"/>
        </w:rPr>
        <w:t>o2</w:t>
      </w:r>
      <w:r>
        <w:rPr>
          <w:rFonts w:hint="eastAsia" w:ascii="宋体" w:hAnsi="宋体" w:eastAsia="宋体" w:cs="宋体"/>
          <w:spacing w:val="-15"/>
          <w:sz w:val="14"/>
          <w:szCs w:val="14"/>
        </w:rPr>
        <w:t xml:space="preserve">;  </w:t>
      </w:r>
      <w:r>
        <w:rPr>
          <w:rFonts w:hint="eastAsia" w:ascii="宋体" w:hAnsi="宋体" w:eastAsia="宋体" w:cs="宋体"/>
          <w:spacing w:val="-15"/>
          <w:sz w:val="20"/>
          <w:szCs w:val="20"/>
        </w:rPr>
        <w:t>F</w:t>
      </w:r>
      <w:r>
        <w:rPr>
          <w:rFonts w:hint="eastAsia" w:ascii="宋体" w:hAnsi="宋体" w:eastAsia="宋体" w:cs="宋体"/>
          <w:spacing w:val="-15"/>
          <w:position w:val="-1"/>
          <w:sz w:val="13"/>
          <w:szCs w:val="13"/>
        </w:rPr>
        <w:t xml:space="preserve">o3  </w:t>
      </w:r>
      <w:r>
        <w:rPr>
          <w:rFonts w:hint="eastAsia" w:ascii="宋体" w:hAnsi="宋体" w:eastAsia="宋体" w:cs="宋体"/>
          <w:spacing w:val="-15"/>
          <w:sz w:val="14"/>
          <w:szCs w:val="14"/>
        </w:rPr>
        <w:t>·····</w:t>
      </w:r>
      <w:r>
        <w:rPr>
          <w:rFonts w:hint="eastAsia" w:ascii="宋体" w:hAnsi="宋体" w:eastAsia="宋体" w:cs="宋体"/>
          <w:sz w:val="20"/>
          <w:szCs w:val="20"/>
        </w:rPr>
        <w:t>F</w:t>
      </w:r>
      <w:r>
        <w:rPr>
          <w:rFonts w:hint="eastAsia" w:ascii="宋体" w:hAnsi="宋体" w:eastAsia="宋体" w:cs="宋体"/>
          <w:position w:val="-1"/>
          <w:sz w:val="13"/>
          <w:szCs w:val="13"/>
        </w:rPr>
        <w:t>on</w:t>
      </w:r>
      <w:r>
        <w:rPr>
          <w:rFonts w:hint="eastAsia" w:ascii="宋体" w:hAnsi="宋体" w:eastAsia="宋体" w:cs="宋体"/>
          <w:spacing w:val="27"/>
          <w:w w:val="102"/>
          <w:position w:val="-1"/>
          <w:sz w:val="13"/>
          <w:szCs w:val="13"/>
        </w:rPr>
        <w:t xml:space="preserve"> </w:t>
      </w:r>
      <w:r>
        <w:rPr>
          <w:rFonts w:hint="eastAsia" w:ascii="宋体" w:hAnsi="宋体" w:eastAsia="宋体" w:cs="宋体"/>
          <w:spacing w:val="10"/>
          <w:sz w:val="20"/>
          <w:szCs w:val="20"/>
        </w:rPr>
        <w:t>--  各可调因子的基本价格指数，指基准日期的各可调因子</w:t>
      </w:r>
      <w:r>
        <w:rPr>
          <w:rFonts w:hint="eastAsia" w:ascii="宋体" w:hAnsi="宋体" w:eastAsia="宋体" w:cs="宋体"/>
          <w:spacing w:val="3"/>
          <w:sz w:val="20"/>
          <w:szCs w:val="20"/>
        </w:rPr>
        <w:t>的价格指数。</w:t>
      </w:r>
    </w:p>
    <w:p w14:paraId="0A85738F">
      <w:pPr>
        <w:spacing w:before="40" w:line="360" w:lineRule="auto"/>
        <w:ind w:left="21" w:right="92" w:firstLine="650"/>
        <w:jc w:val="both"/>
        <w:rPr>
          <w:rFonts w:hint="eastAsia" w:ascii="宋体" w:hAnsi="宋体" w:eastAsia="宋体" w:cs="宋体"/>
          <w:sz w:val="20"/>
          <w:szCs w:val="20"/>
        </w:rPr>
      </w:pPr>
      <w:r>
        <w:rPr>
          <w:rFonts w:hint="eastAsia" w:ascii="宋体" w:hAnsi="宋体" w:eastAsia="宋体" w:cs="宋体"/>
          <w:spacing w:val="7"/>
          <w:sz w:val="20"/>
          <w:szCs w:val="20"/>
        </w:rPr>
        <w:t>以上价格调整公式中的各可调因子、定值和变值权重，以及基</w:t>
      </w:r>
      <w:r>
        <w:rPr>
          <w:rFonts w:hint="eastAsia" w:ascii="宋体" w:hAnsi="宋体" w:eastAsia="宋体" w:cs="宋体"/>
          <w:spacing w:val="6"/>
          <w:sz w:val="20"/>
          <w:szCs w:val="20"/>
        </w:rPr>
        <w:t>本价格指数及其来源在</w:t>
      </w:r>
      <w:r>
        <w:rPr>
          <w:rFonts w:hint="eastAsia" w:ascii="宋体" w:hAnsi="宋体" w:eastAsia="宋体" w:cs="宋体"/>
          <w:spacing w:val="7"/>
          <w:sz w:val="20"/>
          <w:szCs w:val="20"/>
        </w:rPr>
        <w:t>投标函附录价格指数和权重表中约定。价格指数应首先采用有关部门提供的价格指数，缺乏</w:t>
      </w:r>
      <w:r>
        <w:rPr>
          <w:rFonts w:hint="eastAsia" w:ascii="宋体" w:hAnsi="宋体" w:eastAsia="宋体" w:cs="宋体"/>
          <w:spacing w:val="9"/>
          <w:sz w:val="20"/>
          <w:szCs w:val="20"/>
        </w:rPr>
        <w:t>上述价格指数时，可采用有关部门提供的价格代替。</w:t>
      </w:r>
    </w:p>
    <w:p w14:paraId="7337D529">
      <w:pPr>
        <w:spacing w:line="360" w:lineRule="auto"/>
        <w:ind w:left="664"/>
        <w:rPr>
          <w:rFonts w:hint="eastAsia" w:ascii="宋体" w:hAnsi="宋体" w:eastAsia="宋体" w:cs="宋体"/>
          <w:sz w:val="20"/>
          <w:szCs w:val="20"/>
        </w:rPr>
      </w:pPr>
      <w:r>
        <w:rPr>
          <w:rFonts w:hint="eastAsia" w:ascii="宋体" w:hAnsi="宋体" w:eastAsia="宋体" w:cs="宋体"/>
          <w:spacing w:val="5"/>
          <w:sz w:val="20"/>
          <w:szCs w:val="20"/>
        </w:rPr>
        <w:t>16.1.1.2 暂时确定调整差额</w:t>
      </w:r>
    </w:p>
    <w:p w14:paraId="75493978">
      <w:pPr>
        <w:spacing w:before="160" w:line="360" w:lineRule="auto"/>
        <w:ind w:left="19" w:right="92" w:firstLine="627"/>
        <w:rPr>
          <w:rFonts w:hint="eastAsia" w:ascii="宋体" w:hAnsi="宋体" w:eastAsia="宋体" w:cs="宋体"/>
          <w:sz w:val="20"/>
          <w:szCs w:val="20"/>
        </w:rPr>
      </w:pPr>
      <w:r>
        <w:rPr>
          <w:rFonts w:hint="eastAsia" w:ascii="宋体" w:hAnsi="宋体" w:eastAsia="宋体" w:cs="宋体"/>
          <w:spacing w:val="7"/>
          <w:sz w:val="20"/>
          <w:szCs w:val="20"/>
        </w:rPr>
        <w:t>在计算调整差额时得不到现行价格指数的，可暂用上一次价格指数计算，并在以后的</w:t>
      </w:r>
      <w:r>
        <w:rPr>
          <w:rFonts w:hint="eastAsia" w:ascii="宋体" w:hAnsi="宋体" w:eastAsia="宋体" w:cs="宋体"/>
          <w:spacing w:val="8"/>
          <w:sz w:val="20"/>
          <w:szCs w:val="20"/>
        </w:rPr>
        <w:t>付款中再按实际价格指数进行调整。</w:t>
      </w:r>
    </w:p>
    <w:p w14:paraId="5890DCBF">
      <w:pPr>
        <w:spacing w:line="360" w:lineRule="auto"/>
        <w:ind w:left="664"/>
        <w:rPr>
          <w:rFonts w:hint="eastAsia" w:ascii="宋体" w:hAnsi="宋体" w:eastAsia="宋体" w:cs="宋体"/>
          <w:sz w:val="20"/>
          <w:szCs w:val="20"/>
        </w:rPr>
      </w:pPr>
      <w:r>
        <w:rPr>
          <w:rFonts w:hint="eastAsia" w:ascii="宋体" w:hAnsi="宋体" w:eastAsia="宋体" w:cs="宋体"/>
          <w:spacing w:val="5"/>
          <w:sz w:val="20"/>
          <w:szCs w:val="20"/>
        </w:rPr>
        <w:t>16.1.1.3 权重的调整</w:t>
      </w:r>
    </w:p>
    <w:p w14:paraId="5F945AC9">
      <w:pPr>
        <w:spacing w:before="132" w:line="360" w:lineRule="auto"/>
        <w:ind w:left="21" w:right="94" w:firstLine="628"/>
        <w:rPr>
          <w:rFonts w:hint="eastAsia" w:ascii="宋体" w:hAnsi="宋体" w:eastAsia="宋体" w:cs="宋体"/>
          <w:sz w:val="20"/>
          <w:szCs w:val="20"/>
        </w:rPr>
      </w:pPr>
      <w:r>
        <w:rPr>
          <w:rFonts w:hint="eastAsia" w:ascii="宋体" w:hAnsi="宋体" w:eastAsia="宋体" w:cs="宋体"/>
          <w:spacing w:val="9"/>
          <w:sz w:val="20"/>
          <w:szCs w:val="20"/>
        </w:rPr>
        <w:t>按第</w:t>
      </w:r>
      <w:r>
        <w:rPr>
          <w:rFonts w:hint="eastAsia" w:ascii="宋体" w:hAnsi="宋体" w:eastAsia="宋体" w:cs="宋体"/>
          <w:spacing w:val="-18"/>
          <w:sz w:val="20"/>
          <w:szCs w:val="20"/>
        </w:rPr>
        <w:t xml:space="preserve"> </w:t>
      </w:r>
      <w:r>
        <w:rPr>
          <w:rFonts w:hint="eastAsia" w:ascii="宋体" w:hAnsi="宋体" w:eastAsia="宋体" w:cs="宋体"/>
          <w:spacing w:val="9"/>
          <w:sz w:val="20"/>
          <w:szCs w:val="20"/>
        </w:rPr>
        <w:t>15.1 款约定的变更导致原定合同中的权重不合理时，</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由监理人与承</w:t>
      </w:r>
      <w:r>
        <w:rPr>
          <w:rFonts w:hint="eastAsia" w:ascii="宋体" w:hAnsi="宋体" w:eastAsia="宋体" w:cs="宋体"/>
          <w:spacing w:val="8"/>
          <w:sz w:val="20"/>
          <w:szCs w:val="20"/>
        </w:rPr>
        <w:t>包人和发包</w:t>
      </w:r>
      <w:r>
        <w:rPr>
          <w:rFonts w:hint="eastAsia" w:ascii="宋体" w:hAnsi="宋体" w:eastAsia="宋体" w:cs="宋体"/>
          <w:spacing w:val="7"/>
          <w:sz w:val="20"/>
          <w:szCs w:val="20"/>
        </w:rPr>
        <w:t>人协商后进行调整。</w:t>
      </w:r>
    </w:p>
    <w:p w14:paraId="7C3DB624">
      <w:pPr>
        <w:spacing w:before="65" w:line="360" w:lineRule="auto"/>
        <w:ind w:left="664"/>
        <w:rPr>
          <w:rFonts w:hint="eastAsia" w:ascii="宋体" w:hAnsi="宋体" w:eastAsia="宋体" w:cs="宋体"/>
          <w:sz w:val="20"/>
          <w:szCs w:val="20"/>
        </w:rPr>
      </w:pPr>
      <w:r>
        <w:rPr>
          <w:rFonts w:hint="eastAsia" w:ascii="宋体" w:hAnsi="宋体" w:eastAsia="宋体" w:cs="宋体"/>
          <w:spacing w:val="6"/>
          <w:sz w:val="20"/>
          <w:szCs w:val="20"/>
        </w:rPr>
        <w:t>16.1.1.4 承包人工期延误后的价格调整</w:t>
      </w:r>
    </w:p>
    <w:p w14:paraId="10DE7FE5">
      <w:pPr>
        <w:spacing w:before="161" w:line="360" w:lineRule="auto"/>
        <w:ind w:left="19" w:right="16" w:firstLine="654"/>
        <w:rPr>
          <w:rFonts w:hint="eastAsia" w:ascii="宋体" w:hAnsi="宋体" w:eastAsia="宋体" w:cs="宋体"/>
          <w:sz w:val="20"/>
          <w:szCs w:val="20"/>
        </w:rPr>
      </w:pPr>
      <w:r>
        <w:rPr>
          <w:rFonts w:hint="eastAsia" w:ascii="宋体" w:hAnsi="宋体" w:eastAsia="宋体" w:cs="宋体"/>
          <w:spacing w:val="8"/>
          <w:sz w:val="20"/>
          <w:szCs w:val="20"/>
        </w:rPr>
        <w:t>由于承包人原因未在约定的工期内竣工的，则对原约定竣工</w:t>
      </w:r>
      <w:r>
        <w:rPr>
          <w:rFonts w:hint="eastAsia" w:ascii="宋体" w:hAnsi="宋体" w:eastAsia="宋体" w:cs="宋体"/>
          <w:spacing w:val="7"/>
          <w:sz w:val="20"/>
          <w:szCs w:val="20"/>
        </w:rPr>
        <w:t>日期后继续施工的工程，</w:t>
      </w:r>
      <w:r>
        <w:rPr>
          <w:rFonts w:hint="eastAsia" w:ascii="宋体" w:hAnsi="宋体" w:eastAsia="宋体" w:cs="宋体"/>
          <w:spacing w:val="6"/>
          <w:sz w:val="20"/>
          <w:szCs w:val="20"/>
        </w:rPr>
        <w:t>在使用第</w:t>
      </w:r>
      <w:r>
        <w:rPr>
          <w:rFonts w:hint="eastAsia" w:ascii="宋体" w:hAnsi="宋体" w:eastAsia="宋体" w:cs="宋体"/>
          <w:spacing w:val="-14"/>
          <w:sz w:val="20"/>
          <w:szCs w:val="20"/>
        </w:rPr>
        <w:t xml:space="preserve"> </w:t>
      </w:r>
      <w:r>
        <w:rPr>
          <w:rFonts w:hint="eastAsia" w:ascii="宋体" w:hAnsi="宋体" w:eastAsia="宋体" w:cs="宋体"/>
          <w:spacing w:val="6"/>
          <w:sz w:val="20"/>
          <w:szCs w:val="20"/>
        </w:rPr>
        <w:t>16.1.1.1</w:t>
      </w:r>
      <w:r>
        <w:rPr>
          <w:rFonts w:hint="eastAsia" w:ascii="宋体" w:hAnsi="宋体" w:eastAsia="宋体" w:cs="宋体"/>
          <w:spacing w:val="1"/>
          <w:sz w:val="20"/>
          <w:szCs w:val="20"/>
        </w:rPr>
        <w:t xml:space="preserve">  </w:t>
      </w:r>
      <w:r>
        <w:rPr>
          <w:rFonts w:hint="eastAsia" w:ascii="宋体" w:hAnsi="宋体" w:eastAsia="宋体" w:cs="宋体"/>
          <w:spacing w:val="6"/>
          <w:sz w:val="20"/>
          <w:szCs w:val="20"/>
        </w:rPr>
        <w:t>目价格调整公式时，应采用原约定竣工日期与实际竣工日期的两个价格指</w:t>
      </w:r>
      <w:r>
        <w:rPr>
          <w:rFonts w:hint="eastAsia" w:ascii="宋体" w:hAnsi="宋体" w:eastAsia="宋体" w:cs="宋体"/>
          <w:spacing w:val="8"/>
          <w:sz w:val="20"/>
          <w:szCs w:val="20"/>
        </w:rPr>
        <w:t>数中较低的一个作为现行价格指数。</w:t>
      </w:r>
    </w:p>
    <w:p w14:paraId="1C8CF32D">
      <w:pPr>
        <w:spacing w:before="50" w:line="360" w:lineRule="auto"/>
        <w:ind w:left="455"/>
        <w:rPr>
          <w:rFonts w:hint="eastAsia" w:ascii="宋体" w:hAnsi="宋体" w:eastAsia="宋体" w:cs="宋体"/>
          <w:sz w:val="20"/>
          <w:szCs w:val="20"/>
        </w:rPr>
      </w:pPr>
      <w:r>
        <w:rPr>
          <w:rFonts w:hint="eastAsia" w:ascii="宋体" w:hAnsi="宋体" w:eastAsia="宋体" w:cs="宋体"/>
          <w:spacing w:val="6"/>
          <w:sz w:val="20"/>
          <w:szCs w:val="20"/>
        </w:rPr>
        <w:t>16.1.2  采用造价信息调整价格差额</w:t>
      </w:r>
    </w:p>
    <w:p w14:paraId="324249CA">
      <w:pPr>
        <w:spacing w:before="163" w:line="360" w:lineRule="auto"/>
        <w:ind w:left="20" w:right="16" w:firstLine="418"/>
        <w:rPr>
          <w:rFonts w:hint="eastAsia" w:ascii="宋体" w:hAnsi="宋体" w:eastAsia="宋体" w:cs="宋体"/>
          <w:sz w:val="20"/>
          <w:szCs w:val="20"/>
        </w:rPr>
      </w:pPr>
      <w:r>
        <w:rPr>
          <w:rFonts w:hint="eastAsia" w:ascii="宋体" w:hAnsi="宋体" w:eastAsia="宋体" w:cs="宋体"/>
          <w:spacing w:val="8"/>
          <w:sz w:val="20"/>
          <w:szCs w:val="20"/>
        </w:rPr>
        <w:t>施工期内，因人工、材料和机械台班价格波动影响合同价格时，需要进行价格调整的，</w:t>
      </w:r>
      <w:r>
        <w:rPr>
          <w:rFonts w:hint="eastAsia" w:ascii="宋体" w:hAnsi="宋体" w:eastAsia="宋体" w:cs="宋体"/>
          <w:spacing w:val="7"/>
          <w:sz w:val="20"/>
          <w:szCs w:val="20"/>
        </w:rPr>
        <w:t>其价格和数量应由监理人审核，监理人确认需调整的内容、范围、价格和数量作为调整工程合同价格差额的依据。</w:t>
      </w:r>
    </w:p>
    <w:p w14:paraId="3ECBF001">
      <w:pPr>
        <w:spacing w:before="1" w:line="360" w:lineRule="auto"/>
        <w:ind w:left="664"/>
        <w:rPr>
          <w:rFonts w:hint="eastAsia" w:ascii="宋体" w:hAnsi="宋体" w:eastAsia="宋体" w:cs="宋体"/>
          <w:sz w:val="20"/>
          <w:szCs w:val="20"/>
        </w:rPr>
      </w:pPr>
      <w:r>
        <w:rPr>
          <w:rFonts w:hint="eastAsia" w:ascii="宋体" w:hAnsi="宋体" w:eastAsia="宋体" w:cs="宋体"/>
          <w:spacing w:val="7"/>
          <w:sz w:val="20"/>
          <w:szCs w:val="20"/>
        </w:rPr>
        <w:t>16.1.2.1  引起价格调整的物价波动风险范围及幅度</w:t>
      </w:r>
    </w:p>
    <w:p w14:paraId="0EE4CBA5">
      <w:pPr>
        <w:spacing w:before="162" w:line="360" w:lineRule="auto"/>
        <w:ind w:left="28" w:right="53" w:firstLine="619"/>
        <w:rPr>
          <w:rFonts w:hint="eastAsia" w:ascii="宋体" w:hAnsi="宋体" w:eastAsia="宋体" w:cs="宋体"/>
          <w:sz w:val="20"/>
          <w:szCs w:val="20"/>
        </w:rPr>
      </w:pPr>
      <w:r>
        <w:rPr>
          <w:rFonts w:hint="eastAsia" w:ascii="宋体" w:hAnsi="宋体" w:eastAsia="宋体" w:cs="宋体"/>
          <w:spacing w:val="7"/>
          <w:sz w:val="20"/>
          <w:szCs w:val="20"/>
        </w:rPr>
        <w:t>施工期内，因人工、材料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6EC93360">
      <w:pPr>
        <w:spacing w:before="1" w:line="360" w:lineRule="auto"/>
        <w:ind w:left="664"/>
        <w:rPr>
          <w:rFonts w:hint="eastAsia" w:ascii="宋体" w:hAnsi="宋体" w:eastAsia="宋体" w:cs="宋体"/>
          <w:sz w:val="20"/>
          <w:szCs w:val="20"/>
        </w:rPr>
      </w:pPr>
      <w:r>
        <w:rPr>
          <w:rFonts w:hint="eastAsia" w:ascii="宋体" w:hAnsi="宋体" w:eastAsia="宋体" w:cs="宋体"/>
          <w:spacing w:val="6"/>
          <w:sz w:val="20"/>
          <w:szCs w:val="20"/>
        </w:rPr>
        <w:t>16.1.2.2  物价波动变化幅度的计算方法</w:t>
      </w:r>
    </w:p>
    <w:p w14:paraId="49D404C6">
      <w:pPr>
        <w:spacing w:before="162" w:line="360" w:lineRule="auto"/>
        <w:ind w:left="19" w:right="56" w:firstLine="430"/>
        <w:rPr>
          <w:rFonts w:hint="eastAsia" w:ascii="宋体" w:hAnsi="宋体" w:eastAsia="宋体" w:cs="宋体"/>
          <w:sz w:val="20"/>
          <w:szCs w:val="20"/>
        </w:rPr>
      </w:pPr>
      <w:r>
        <w:rPr>
          <w:rFonts w:hint="eastAsia" w:ascii="宋体" w:hAnsi="宋体" w:eastAsia="宋体" w:cs="宋体"/>
          <w:spacing w:val="10"/>
          <w:sz w:val="20"/>
          <w:szCs w:val="20"/>
        </w:rPr>
        <w:t>（1）投标报价基准期确定的人工、材料和机械台班的市场价</w:t>
      </w:r>
      <w:r>
        <w:rPr>
          <w:rFonts w:hint="eastAsia" w:ascii="宋体" w:hAnsi="宋体" w:eastAsia="宋体" w:cs="宋体"/>
          <w:spacing w:val="9"/>
          <w:sz w:val="20"/>
          <w:szCs w:val="20"/>
        </w:rPr>
        <w:t>格即为基准价。投标报价</w:t>
      </w:r>
      <w:r>
        <w:rPr>
          <w:rFonts w:hint="eastAsia" w:ascii="宋体" w:hAnsi="宋体" w:eastAsia="宋体" w:cs="宋体"/>
          <w:spacing w:val="8"/>
          <w:sz w:val="20"/>
          <w:szCs w:val="20"/>
        </w:rPr>
        <w:t>基准期见合同条款专用部分。</w:t>
      </w:r>
    </w:p>
    <w:p w14:paraId="15D9B36A">
      <w:pPr>
        <w:spacing w:before="162" w:line="360" w:lineRule="auto"/>
        <w:ind w:left="19" w:right="53" w:firstLine="430"/>
        <w:rPr>
          <w:rFonts w:hint="eastAsia" w:ascii="宋体" w:hAnsi="宋体" w:eastAsia="宋体" w:cs="宋体"/>
          <w:sz w:val="20"/>
          <w:szCs w:val="20"/>
        </w:rPr>
      </w:pPr>
      <w:r>
        <w:rPr>
          <w:rFonts w:hint="eastAsia" w:ascii="宋体" w:hAnsi="宋体" w:eastAsia="宋体" w:cs="宋体"/>
          <w:spacing w:val="4"/>
          <w:sz w:val="20"/>
          <w:szCs w:val="20"/>
        </w:rPr>
        <w:t>（2）《北京工程造价信息》中工程造价信息价有的，以北京市建设工程造价管理机构发</w:t>
      </w:r>
      <w:r>
        <w:rPr>
          <w:rFonts w:hint="eastAsia" w:ascii="宋体" w:hAnsi="宋体" w:eastAsia="宋体" w:cs="宋体"/>
          <w:spacing w:val="8"/>
          <w:sz w:val="20"/>
          <w:szCs w:val="20"/>
        </w:rPr>
        <w:t>布的《北京工程造价信息》中的工程造价信息价（</w:t>
      </w:r>
      <w:r>
        <w:rPr>
          <w:rFonts w:hint="eastAsia" w:ascii="宋体" w:hAnsi="宋体" w:eastAsia="宋体" w:cs="宋体"/>
          <w:spacing w:val="7"/>
          <w:sz w:val="20"/>
          <w:szCs w:val="20"/>
        </w:rPr>
        <w:t>以下简称造价信息价格）为依据确定基准</w:t>
      </w:r>
      <w:r>
        <w:rPr>
          <w:rFonts w:hint="eastAsia" w:ascii="宋体" w:hAnsi="宋体" w:eastAsia="宋体" w:cs="宋体"/>
          <w:spacing w:val="8"/>
          <w:sz w:val="20"/>
          <w:szCs w:val="20"/>
        </w:rPr>
        <w:t>价，造价信息价格中有上、下限的，以下限为准；</w:t>
      </w:r>
      <w:r>
        <w:rPr>
          <w:rFonts w:hint="eastAsia" w:ascii="宋体" w:hAnsi="宋体" w:eastAsia="宋体" w:cs="宋体"/>
          <w:spacing w:val="7"/>
          <w:sz w:val="20"/>
          <w:szCs w:val="20"/>
        </w:rPr>
        <w:t>《北京工程造价信息》工程造价信息价中</w:t>
      </w:r>
      <w:r>
        <w:rPr>
          <w:rFonts w:hint="eastAsia" w:ascii="宋体" w:hAnsi="宋体" w:eastAsia="宋体" w:cs="宋体"/>
          <w:spacing w:val="9"/>
          <w:sz w:val="20"/>
          <w:szCs w:val="20"/>
        </w:rPr>
        <w:t>没有的，确定基准价的方法见合同条款专用部分。</w:t>
      </w:r>
    </w:p>
    <w:p w14:paraId="3A8B50C6">
      <w:pPr>
        <w:spacing w:before="162" w:line="360" w:lineRule="auto"/>
        <w:ind w:left="449"/>
        <w:rPr>
          <w:rFonts w:hint="eastAsia" w:ascii="宋体" w:hAnsi="宋体" w:eastAsia="宋体" w:cs="宋体"/>
          <w:sz w:val="20"/>
          <w:szCs w:val="20"/>
        </w:rPr>
      </w:pPr>
      <w:r>
        <w:rPr>
          <w:rFonts w:hint="eastAsia" w:ascii="宋体" w:hAnsi="宋体" w:eastAsia="宋体" w:cs="宋体"/>
          <w:spacing w:val="8"/>
          <w:sz w:val="20"/>
          <w:szCs w:val="20"/>
        </w:rPr>
        <w:t>（3）合同履行期间价格的确定方法见合同条款专用部分。</w:t>
      </w:r>
    </w:p>
    <w:p w14:paraId="7167A13B">
      <w:pPr>
        <w:spacing w:before="160" w:line="360" w:lineRule="auto"/>
        <w:ind w:left="449"/>
        <w:rPr>
          <w:rFonts w:hint="eastAsia" w:ascii="宋体" w:hAnsi="宋体" w:eastAsia="宋体" w:cs="宋体"/>
          <w:sz w:val="20"/>
          <w:szCs w:val="20"/>
        </w:rPr>
      </w:pPr>
      <w:r>
        <w:rPr>
          <w:rFonts w:hint="eastAsia" w:ascii="宋体" w:hAnsi="宋体" w:eastAsia="宋体" w:cs="宋体"/>
          <w:spacing w:val="8"/>
          <w:sz w:val="20"/>
          <w:szCs w:val="20"/>
        </w:rPr>
        <w:t>（4）物价波动变化幅度的计算方法见合同条款专用部分。</w:t>
      </w:r>
    </w:p>
    <w:p w14:paraId="6D735004">
      <w:pPr>
        <w:spacing w:before="159" w:line="360" w:lineRule="auto"/>
        <w:ind w:left="664"/>
        <w:rPr>
          <w:rFonts w:hint="eastAsia" w:ascii="宋体" w:hAnsi="宋体" w:eastAsia="宋体" w:cs="宋体"/>
          <w:sz w:val="20"/>
          <w:szCs w:val="20"/>
        </w:rPr>
      </w:pPr>
      <w:r>
        <w:rPr>
          <w:rFonts w:hint="eastAsia" w:ascii="宋体" w:hAnsi="宋体" w:eastAsia="宋体" w:cs="宋体"/>
          <w:spacing w:val="6"/>
          <w:sz w:val="20"/>
          <w:szCs w:val="20"/>
        </w:rPr>
        <w:t>16.1.2.3  物价波动引起价格调整的方法</w:t>
      </w:r>
    </w:p>
    <w:p w14:paraId="1EA582FC">
      <w:pPr>
        <w:spacing w:before="162" w:line="360" w:lineRule="auto"/>
        <w:ind w:left="29" w:right="56" w:firstLine="420"/>
        <w:rPr>
          <w:rFonts w:hint="eastAsia" w:ascii="宋体" w:hAnsi="宋体" w:eastAsia="宋体" w:cs="宋体"/>
          <w:sz w:val="20"/>
          <w:szCs w:val="20"/>
        </w:rPr>
      </w:pPr>
      <w:r>
        <w:rPr>
          <w:rFonts w:hint="eastAsia" w:ascii="宋体" w:hAnsi="宋体" w:eastAsia="宋体" w:cs="宋体"/>
          <w:spacing w:val="5"/>
          <w:sz w:val="20"/>
          <w:szCs w:val="20"/>
        </w:rPr>
        <w:t>（1）第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16.1.2.1 目中约定的人工、</w:t>
      </w:r>
      <w:r>
        <w:rPr>
          <w:rFonts w:hint="eastAsia" w:ascii="宋体" w:hAnsi="宋体" w:eastAsia="宋体" w:cs="宋体"/>
          <w:spacing w:val="4"/>
          <w:sz w:val="20"/>
          <w:szCs w:val="20"/>
        </w:rPr>
        <w:t>材料和机械台班的物价波动变化幅度超过风险幅度</w:t>
      </w:r>
      <w:r>
        <w:rPr>
          <w:rFonts w:hint="eastAsia" w:ascii="宋体" w:hAnsi="宋体" w:eastAsia="宋体" w:cs="宋体"/>
          <w:spacing w:val="8"/>
          <w:sz w:val="20"/>
          <w:szCs w:val="20"/>
        </w:rPr>
        <w:t>时，价格调整方法见合同条款专用部分。</w:t>
      </w:r>
    </w:p>
    <w:p w14:paraId="51E491DF">
      <w:pPr>
        <w:spacing w:before="160" w:line="360" w:lineRule="auto"/>
        <w:ind w:left="20" w:right="56" w:firstLine="429"/>
        <w:rPr>
          <w:rFonts w:hint="eastAsia" w:ascii="宋体" w:hAnsi="宋体" w:eastAsia="宋体" w:cs="宋体"/>
          <w:sz w:val="20"/>
          <w:szCs w:val="20"/>
        </w:rPr>
      </w:pPr>
      <w:r>
        <w:rPr>
          <w:rFonts w:hint="eastAsia" w:ascii="宋体" w:hAnsi="宋体" w:eastAsia="宋体" w:cs="宋体"/>
          <w:spacing w:val="5"/>
          <w:sz w:val="20"/>
          <w:szCs w:val="20"/>
        </w:rPr>
        <w:t>（2）第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16.1.2.1 目中约定的人工的</w:t>
      </w:r>
      <w:r>
        <w:rPr>
          <w:rFonts w:hint="eastAsia" w:ascii="宋体" w:hAnsi="宋体" w:eastAsia="宋体" w:cs="宋体"/>
          <w:spacing w:val="4"/>
          <w:sz w:val="20"/>
          <w:szCs w:val="20"/>
        </w:rPr>
        <w:t>物价波动变化幅度超过风险幅度时，应当计算全部</w:t>
      </w:r>
      <w:r>
        <w:rPr>
          <w:rFonts w:hint="eastAsia" w:ascii="宋体" w:hAnsi="宋体" w:eastAsia="宋体" w:cs="宋体"/>
          <w:spacing w:val="9"/>
          <w:sz w:val="20"/>
          <w:szCs w:val="20"/>
        </w:rPr>
        <w:t>价格差额，其价格差额由发包人承担或受益，其价格差额只计取增值税。</w:t>
      </w:r>
    </w:p>
    <w:p w14:paraId="395B0F89">
      <w:pPr>
        <w:spacing w:before="161" w:line="360" w:lineRule="auto"/>
        <w:ind w:left="33" w:right="1" w:firstLine="416"/>
        <w:rPr>
          <w:rFonts w:hint="eastAsia" w:ascii="宋体" w:hAnsi="宋体" w:eastAsia="宋体" w:cs="宋体"/>
          <w:sz w:val="20"/>
          <w:szCs w:val="20"/>
        </w:rPr>
      </w:pPr>
      <w:r>
        <w:rPr>
          <w:rFonts w:hint="eastAsia" w:ascii="宋体" w:hAnsi="宋体" w:eastAsia="宋体" w:cs="宋体"/>
          <w:spacing w:val="5"/>
          <w:sz w:val="20"/>
          <w:szCs w:val="20"/>
        </w:rPr>
        <w:t>（3）第</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16.1.2.1 目中约定的材料和机械</w:t>
      </w:r>
      <w:r>
        <w:rPr>
          <w:rFonts w:hint="eastAsia" w:ascii="宋体" w:hAnsi="宋体" w:eastAsia="宋体" w:cs="宋体"/>
          <w:spacing w:val="4"/>
          <w:sz w:val="20"/>
          <w:szCs w:val="20"/>
        </w:rPr>
        <w:t>台班的物价波动变化幅度超过风险幅度时，应</w:t>
      </w:r>
      <w:r>
        <w:rPr>
          <w:rFonts w:hint="eastAsia" w:ascii="宋体" w:hAnsi="宋体" w:eastAsia="宋体" w:cs="宋体"/>
          <w:spacing w:val="9"/>
          <w:sz w:val="20"/>
          <w:szCs w:val="20"/>
        </w:rPr>
        <w:t>当计算超过部分的价格差额，其价格差额由发包</w:t>
      </w:r>
      <w:r>
        <w:rPr>
          <w:rFonts w:hint="eastAsia" w:ascii="宋体" w:hAnsi="宋体" w:eastAsia="宋体" w:cs="宋体"/>
          <w:spacing w:val="8"/>
          <w:sz w:val="20"/>
          <w:szCs w:val="20"/>
        </w:rPr>
        <w:t>人承担或受益，其价格差额只计取增值税。</w:t>
      </w:r>
    </w:p>
    <w:p w14:paraId="17C1E190">
      <w:pPr>
        <w:spacing w:before="163" w:line="360" w:lineRule="auto"/>
        <w:ind w:left="455"/>
        <w:rPr>
          <w:rFonts w:hint="eastAsia" w:ascii="宋体" w:hAnsi="宋体" w:eastAsia="宋体" w:cs="宋体"/>
          <w:sz w:val="20"/>
          <w:szCs w:val="20"/>
        </w:rPr>
      </w:pPr>
      <w:r>
        <w:rPr>
          <w:rFonts w:hint="eastAsia" w:ascii="宋体" w:hAnsi="宋体" w:eastAsia="宋体" w:cs="宋体"/>
          <w:spacing w:val="8"/>
          <w:sz w:val="20"/>
          <w:szCs w:val="20"/>
        </w:rPr>
        <w:t>16.1.2.4  物价波动引起价格调</w:t>
      </w:r>
      <w:r>
        <w:rPr>
          <w:rFonts w:hint="eastAsia" w:ascii="宋体" w:hAnsi="宋体" w:eastAsia="宋体" w:cs="宋体"/>
          <w:spacing w:val="7"/>
          <w:sz w:val="20"/>
          <w:szCs w:val="20"/>
        </w:rPr>
        <w:t>整的其他约定见合同条款专用部分。</w:t>
      </w:r>
    </w:p>
    <w:p w14:paraId="56431040">
      <w:pPr>
        <w:spacing w:before="162" w:line="360" w:lineRule="auto"/>
        <w:ind w:left="455"/>
        <w:rPr>
          <w:rFonts w:hint="eastAsia" w:ascii="宋体" w:hAnsi="宋体" w:eastAsia="宋体" w:cs="宋体"/>
          <w:sz w:val="20"/>
          <w:szCs w:val="20"/>
        </w:rPr>
      </w:pPr>
      <w:r>
        <w:rPr>
          <w:rFonts w:hint="eastAsia" w:ascii="宋体" w:hAnsi="宋体" w:eastAsia="宋体" w:cs="宋体"/>
          <w:spacing w:val="8"/>
          <w:sz w:val="20"/>
          <w:szCs w:val="20"/>
        </w:rPr>
        <w:t>16.1.3  物价波动引起价格调整的其他方</w:t>
      </w:r>
      <w:r>
        <w:rPr>
          <w:rFonts w:hint="eastAsia" w:ascii="宋体" w:hAnsi="宋体" w:eastAsia="宋体" w:cs="宋体"/>
          <w:spacing w:val="7"/>
          <w:sz w:val="20"/>
          <w:szCs w:val="20"/>
        </w:rPr>
        <w:t>法见合同条款专用部分。</w:t>
      </w:r>
    </w:p>
    <w:p w14:paraId="15302DE2">
      <w:pPr>
        <w:spacing w:before="160" w:line="360" w:lineRule="auto"/>
        <w:ind w:left="20" w:firstLine="434"/>
        <w:rPr>
          <w:rFonts w:hint="eastAsia" w:ascii="宋体" w:hAnsi="宋体" w:eastAsia="宋体" w:cs="宋体"/>
          <w:sz w:val="20"/>
          <w:szCs w:val="20"/>
        </w:rPr>
      </w:pPr>
      <w:r>
        <w:rPr>
          <w:rFonts w:hint="eastAsia" w:ascii="宋体" w:hAnsi="宋体" w:eastAsia="宋体" w:cs="宋体"/>
          <w:spacing w:val="6"/>
          <w:sz w:val="20"/>
          <w:szCs w:val="20"/>
        </w:rPr>
        <w:t>16.1.4  不属于本条上述条款约定的引起价格调整的物价波动风险范围内的人工、材料和机械台班等，如市场价格出现异常变动,且是合同双方在订立合同时无法预见的重大变化，</w:t>
      </w:r>
      <w:r>
        <w:rPr>
          <w:rFonts w:hint="eastAsia" w:ascii="宋体" w:hAnsi="宋体" w:eastAsia="宋体" w:cs="宋体"/>
          <w:spacing w:val="8"/>
          <w:sz w:val="20"/>
          <w:szCs w:val="20"/>
        </w:rPr>
        <w:t>继续履行合同对于受不利影响的合同一方明显不公平的，合同双方可按风险合理分担原则，</w:t>
      </w:r>
      <w:r>
        <w:rPr>
          <w:rFonts w:hint="eastAsia" w:ascii="宋体" w:hAnsi="宋体" w:eastAsia="宋体" w:cs="宋体"/>
          <w:spacing w:val="9"/>
          <w:sz w:val="20"/>
          <w:szCs w:val="20"/>
        </w:rPr>
        <w:t>协商合同风险幅度或费用分担比例，承担相关部分的增(减)价差或据实调整合同价格。</w:t>
      </w:r>
    </w:p>
    <w:p w14:paraId="53120ABA">
      <w:pPr>
        <w:spacing w:before="286" w:line="360" w:lineRule="auto"/>
        <w:ind w:left="38"/>
        <w:outlineLvl w:val="2"/>
        <w:rPr>
          <w:rFonts w:hint="eastAsia" w:ascii="宋体" w:hAnsi="宋体" w:eastAsia="宋体" w:cs="宋体"/>
          <w:sz w:val="24"/>
          <w:szCs w:val="24"/>
        </w:rPr>
      </w:pPr>
      <w:bookmarkStart w:id="688" w:name="bookmark106"/>
      <w:bookmarkEnd w:id="688"/>
      <w:r>
        <w:rPr>
          <w:rFonts w:hint="eastAsia" w:ascii="宋体" w:hAnsi="宋体" w:eastAsia="宋体" w:cs="宋体"/>
          <w:spacing w:val="-2"/>
          <w:sz w:val="24"/>
          <w:szCs w:val="24"/>
        </w:rPr>
        <w:t>16.2  法律变化引起的价格调整</w:t>
      </w:r>
    </w:p>
    <w:p w14:paraId="3656AB0A">
      <w:pPr>
        <w:spacing w:before="299" w:line="360" w:lineRule="auto"/>
        <w:ind w:left="24" w:right="92" w:firstLine="414"/>
        <w:jc w:val="both"/>
        <w:rPr>
          <w:rFonts w:hint="eastAsia" w:ascii="宋体" w:hAnsi="宋体" w:eastAsia="宋体" w:cs="宋体"/>
          <w:sz w:val="20"/>
          <w:szCs w:val="20"/>
        </w:rPr>
      </w:pPr>
      <w:r>
        <w:rPr>
          <w:rFonts w:hint="eastAsia" w:ascii="宋体" w:hAnsi="宋体" w:eastAsia="宋体" w:cs="宋体"/>
          <w:spacing w:val="9"/>
          <w:sz w:val="20"/>
          <w:szCs w:val="20"/>
        </w:rPr>
        <w:t>在基准日后，因法律变化导致承包人在合同履行中所需要的工程费用发</w:t>
      </w:r>
      <w:r>
        <w:rPr>
          <w:rFonts w:hint="eastAsia" w:ascii="宋体" w:hAnsi="宋体" w:eastAsia="宋体" w:cs="宋体"/>
          <w:spacing w:val="8"/>
          <w:sz w:val="20"/>
          <w:szCs w:val="20"/>
        </w:rPr>
        <w:t>生除第</w:t>
      </w:r>
      <w:r>
        <w:rPr>
          <w:rFonts w:hint="eastAsia" w:ascii="宋体" w:hAnsi="宋体" w:eastAsia="宋体" w:cs="宋体"/>
          <w:spacing w:val="-23"/>
          <w:sz w:val="20"/>
          <w:szCs w:val="20"/>
        </w:rPr>
        <w:t xml:space="preserve"> </w:t>
      </w:r>
      <w:r>
        <w:rPr>
          <w:rFonts w:hint="eastAsia" w:ascii="宋体" w:hAnsi="宋体" w:eastAsia="宋体" w:cs="宋体"/>
          <w:spacing w:val="8"/>
          <w:sz w:val="20"/>
          <w:szCs w:val="20"/>
        </w:rPr>
        <w:t>16.1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款</w:t>
      </w:r>
      <w:r>
        <w:rPr>
          <w:rFonts w:hint="eastAsia" w:ascii="宋体" w:hAnsi="宋体" w:eastAsia="宋体" w:cs="宋体"/>
          <w:spacing w:val="7"/>
          <w:sz w:val="20"/>
          <w:szCs w:val="20"/>
        </w:rPr>
        <w:t>约定以外的增减时，监理人应根据法律、国家或省、自治区、直辖市有关部门的规定，按第3.5</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款商定或确定需调整的合同价款。</w:t>
      </w:r>
    </w:p>
    <w:p w14:paraId="66D10A8F">
      <w:pPr>
        <w:spacing w:before="128" w:line="360" w:lineRule="auto"/>
        <w:ind w:left="43"/>
        <w:outlineLvl w:val="1"/>
        <w:rPr>
          <w:rFonts w:hint="eastAsia" w:ascii="宋体" w:hAnsi="宋体" w:eastAsia="宋体" w:cs="宋体"/>
          <w:sz w:val="28"/>
          <w:szCs w:val="28"/>
        </w:rPr>
      </w:pPr>
      <w:bookmarkStart w:id="689" w:name="bookmark107"/>
      <w:bookmarkEnd w:id="689"/>
      <w:r>
        <w:rPr>
          <w:rFonts w:hint="eastAsia" w:ascii="宋体" w:hAnsi="宋体" w:eastAsia="宋体" w:cs="宋体"/>
          <w:spacing w:val="-4"/>
          <w:sz w:val="28"/>
          <w:szCs w:val="28"/>
        </w:rPr>
        <w:t>17.计量与支付</w:t>
      </w:r>
    </w:p>
    <w:p w14:paraId="73B2D1F6">
      <w:pPr>
        <w:pStyle w:val="17"/>
        <w:spacing w:line="360" w:lineRule="auto"/>
        <w:rPr>
          <w:rFonts w:hint="eastAsia" w:ascii="宋体" w:hAnsi="宋体" w:eastAsia="宋体" w:cs="宋体"/>
        </w:rPr>
      </w:pPr>
    </w:p>
    <w:p w14:paraId="76C5AD33">
      <w:pPr>
        <w:spacing w:before="78" w:line="360" w:lineRule="auto"/>
        <w:ind w:left="38"/>
        <w:outlineLvl w:val="2"/>
        <w:rPr>
          <w:rFonts w:hint="eastAsia" w:ascii="宋体" w:hAnsi="宋体" w:eastAsia="宋体" w:cs="宋体"/>
          <w:sz w:val="24"/>
          <w:szCs w:val="24"/>
        </w:rPr>
      </w:pPr>
      <w:r>
        <w:rPr>
          <w:rFonts w:hint="eastAsia" w:ascii="宋体" w:hAnsi="宋体" w:eastAsia="宋体" w:cs="宋体"/>
          <w:spacing w:val="-7"/>
          <w:sz w:val="24"/>
          <w:szCs w:val="24"/>
        </w:rPr>
        <w:t>17.1</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计量</w:t>
      </w:r>
    </w:p>
    <w:p w14:paraId="2DE579E6">
      <w:pPr>
        <w:spacing w:before="295" w:line="360" w:lineRule="auto"/>
        <w:ind w:left="455"/>
        <w:rPr>
          <w:rFonts w:hint="eastAsia" w:ascii="宋体" w:hAnsi="宋体" w:eastAsia="宋体" w:cs="宋体"/>
          <w:sz w:val="20"/>
          <w:szCs w:val="20"/>
        </w:rPr>
      </w:pPr>
      <w:r>
        <w:rPr>
          <w:rFonts w:hint="eastAsia" w:ascii="宋体" w:hAnsi="宋体" w:eastAsia="宋体" w:cs="宋体"/>
          <w:spacing w:val="4"/>
          <w:sz w:val="20"/>
          <w:szCs w:val="20"/>
        </w:rPr>
        <w:t>17.1.1  计量单位</w:t>
      </w:r>
    </w:p>
    <w:p w14:paraId="63E77479">
      <w:pPr>
        <w:spacing w:before="161" w:line="360" w:lineRule="auto"/>
        <w:ind w:left="439"/>
        <w:rPr>
          <w:rFonts w:hint="eastAsia" w:ascii="宋体" w:hAnsi="宋体" w:eastAsia="宋体" w:cs="宋体"/>
          <w:sz w:val="20"/>
          <w:szCs w:val="20"/>
        </w:rPr>
      </w:pPr>
      <w:r>
        <w:rPr>
          <w:rFonts w:hint="eastAsia" w:ascii="宋体" w:hAnsi="宋体" w:eastAsia="宋体" w:cs="宋体"/>
          <w:spacing w:val="8"/>
          <w:sz w:val="20"/>
          <w:szCs w:val="20"/>
        </w:rPr>
        <w:t>计量采用国家法定的计量单位。</w:t>
      </w:r>
    </w:p>
    <w:p w14:paraId="221AF4E5">
      <w:pPr>
        <w:spacing w:before="162" w:line="360" w:lineRule="auto"/>
        <w:ind w:left="455"/>
        <w:rPr>
          <w:rFonts w:hint="eastAsia" w:ascii="宋体" w:hAnsi="宋体" w:eastAsia="宋体" w:cs="宋体"/>
          <w:sz w:val="20"/>
          <w:szCs w:val="20"/>
        </w:rPr>
      </w:pPr>
      <w:r>
        <w:rPr>
          <w:rFonts w:hint="eastAsia" w:ascii="宋体" w:hAnsi="宋体" w:eastAsia="宋体" w:cs="宋体"/>
          <w:spacing w:val="4"/>
          <w:sz w:val="20"/>
          <w:szCs w:val="20"/>
        </w:rPr>
        <w:t>17.1.2  计量方法</w:t>
      </w:r>
    </w:p>
    <w:p w14:paraId="15F3F856">
      <w:pPr>
        <w:spacing w:before="158" w:line="360" w:lineRule="auto"/>
        <w:ind w:left="34" w:right="94" w:firstLine="407"/>
        <w:rPr>
          <w:rFonts w:hint="eastAsia" w:ascii="宋体" w:hAnsi="宋体" w:eastAsia="宋体" w:cs="宋体"/>
          <w:sz w:val="20"/>
          <w:szCs w:val="20"/>
        </w:rPr>
      </w:pPr>
      <w:r>
        <w:rPr>
          <w:rFonts w:hint="eastAsia" w:ascii="宋体" w:hAnsi="宋体" w:eastAsia="宋体" w:cs="宋体"/>
          <w:spacing w:val="7"/>
          <w:sz w:val="20"/>
          <w:szCs w:val="20"/>
        </w:rPr>
        <w:t>工程量计算规则执行工程量清单中约定的计量计价标准。除合同另有约定外，承包人实</w:t>
      </w:r>
      <w:r>
        <w:rPr>
          <w:rFonts w:hint="eastAsia" w:ascii="宋体" w:hAnsi="宋体" w:eastAsia="宋体" w:cs="宋体"/>
          <w:spacing w:val="9"/>
          <w:sz w:val="20"/>
          <w:szCs w:val="20"/>
        </w:rPr>
        <w:t>际完成的工程量按约定的工程量计算规则和有合同约束力的图纸进</w:t>
      </w:r>
      <w:r>
        <w:rPr>
          <w:rFonts w:hint="eastAsia" w:ascii="宋体" w:hAnsi="宋体" w:eastAsia="宋体" w:cs="宋体"/>
          <w:spacing w:val="8"/>
          <w:sz w:val="20"/>
          <w:szCs w:val="20"/>
        </w:rPr>
        <w:t>行计量。</w:t>
      </w:r>
    </w:p>
    <w:p w14:paraId="59A05334">
      <w:pPr>
        <w:spacing w:line="360" w:lineRule="auto"/>
        <w:ind w:left="455"/>
        <w:rPr>
          <w:rFonts w:hint="eastAsia" w:ascii="宋体" w:hAnsi="宋体" w:eastAsia="宋体" w:cs="宋体"/>
          <w:sz w:val="20"/>
          <w:szCs w:val="20"/>
        </w:rPr>
      </w:pPr>
      <w:r>
        <w:rPr>
          <w:rFonts w:hint="eastAsia" w:ascii="宋体" w:hAnsi="宋体" w:eastAsia="宋体" w:cs="宋体"/>
          <w:spacing w:val="4"/>
          <w:sz w:val="20"/>
          <w:szCs w:val="20"/>
        </w:rPr>
        <w:t>17.1.3  计量周期</w:t>
      </w:r>
    </w:p>
    <w:p w14:paraId="3FA6402B">
      <w:pPr>
        <w:spacing w:before="159" w:line="360" w:lineRule="auto"/>
        <w:ind w:left="452"/>
        <w:rPr>
          <w:rFonts w:hint="eastAsia" w:ascii="宋体" w:hAnsi="宋体" w:eastAsia="宋体" w:cs="宋体"/>
          <w:sz w:val="20"/>
          <w:szCs w:val="20"/>
        </w:rPr>
      </w:pPr>
      <w:r>
        <w:rPr>
          <w:rFonts w:hint="eastAsia" w:ascii="宋体" w:hAnsi="宋体" w:eastAsia="宋体" w:cs="宋体"/>
          <w:spacing w:val="9"/>
          <w:sz w:val="20"/>
          <w:szCs w:val="20"/>
        </w:rPr>
        <w:t>除合同条款专用部分另有约定外，计量周期按照本项</w:t>
      </w:r>
      <w:r>
        <w:rPr>
          <w:rFonts w:hint="eastAsia" w:ascii="宋体" w:hAnsi="宋体" w:eastAsia="宋体" w:cs="宋体"/>
          <w:spacing w:val="8"/>
          <w:sz w:val="20"/>
          <w:szCs w:val="20"/>
        </w:rPr>
        <w:t>约定执行。</w:t>
      </w:r>
    </w:p>
    <w:p w14:paraId="214EB0C5">
      <w:pPr>
        <w:spacing w:before="164" w:line="360" w:lineRule="auto"/>
        <w:ind w:left="33" w:right="92" w:firstLine="416"/>
        <w:rPr>
          <w:rFonts w:hint="eastAsia" w:ascii="宋体" w:hAnsi="宋体" w:eastAsia="宋体" w:cs="宋体"/>
          <w:sz w:val="20"/>
          <w:szCs w:val="20"/>
        </w:rPr>
      </w:pPr>
      <w:r>
        <w:rPr>
          <w:rFonts w:hint="eastAsia" w:ascii="宋体" w:hAnsi="宋体" w:eastAsia="宋体" w:cs="宋体"/>
          <w:spacing w:val="4"/>
          <w:sz w:val="20"/>
          <w:szCs w:val="20"/>
        </w:rPr>
        <w:t>（1）本合同的计量周期为月，当月计量截止日期（不含当日）和下月计量起始日期（含</w:t>
      </w:r>
      <w:r>
        <w:rPr>
          <w:rFonts w:hint="eastAsia" w:ascii="宋体" w:hAnsi="宋体" w:eastAsia="宋体" w:cs="宋体"/>
          <w:spacing w:val="7"/>
          <w:sz w:val="20"/>
          <w:szCs w:val="20"/>
        </w:rPr>
        <w:t>当日）见合同条款专用部分。</w:t>
      </w:r>
    </w:p>
    <w:p w14:paraId="57D8E5E4">
      <w:pPr>
        <w:spacing w:before="160" w:line="360" w:lineRule="auto"/>
        <w:ind w:left="449"/>
        <w:rPr>
          <w:rFonts w:hint="eastAsia" w:ascii="宋体" w:hAnsi="宋体" w:eastAsia="宋体" w:cs="宋体"/>
          <w:sz w:val="20"/>
          <w:szCs w:val="20"/>
        </w:rPr>
      </w:pPr>
      <w:r>
        <w:rPr>
          <w:rFonts w:hint="eastAsia" w:ascii="宋体" w:hAnsi="宋体" w:eastAsia="宋体" w:cs="宋体"/>
          <w:spacing w:val="9"/>
          <w:sz w:val="20"/>
          <w:szCs w:val="20"/>
        </w:rPr>
        <w:t>（2）单价项目已完成工程量是否按月计量见</w:t>
      </w:r>
      <w:r>
        <w:rPr>
          <w:rFonts w:hint="eastAsia" w:ascii="宋体" w:hAnsi="宋体" w:eastAsia="宋体" w:cs="宋体"/>
          <w:spacing w:val="8"/>
          <w:sz w:val="20"/>
          <w:szCs w:val="20"/>
        </w:rPr>
        <w:t>合同条款专用部分。</w:t>
      </w:r>
    </w:p>
    <w:p w14:paraId="5F68967B">
      <w:pPr>
        <w:spacing w:before="160" w:line="360" w:lineRule="auto"/>
        <w:ind w:left="449"/>
        <w:rPr>
          <w:rFonts w:hint="eastAsia" w:ascii="宋体" w:hAnsi="宋体" w:eastAsia="宋体" w:cs="宋体"/>
          <w:sz w:val="20"/>
          <w:szCs w:val="20"/>
        </w:rPr>
      </w:pPr>
      <w:r>
        <w:rPr>
          <w:rFonts w:hint="eastAsia" w:ascii="宋体" w:hAnsi="宋体" w:eastAsia="宋体" w:cs="宋体"/>
          <w:spacing w:val="8"/>
          <w:sz w:val="20"/>
          <w:szCs w:val="20"/>
        </w:rPr>
        <w:t>（3）总价项目计量方法见合同条款专用部分。</w:t>
      </w:r>
    </w:p>
    <w:p w14:paraId="74BAD971">
      <w:pPr>
        <w:spacing w:before="162" w:line="360" w:lineRule="auto"/>
        <w:ind w:left="455"/>
        <w:rPr>
          <w:rFonts w:hint="eastAsia" w:ascii="宋体" w:hAnsi="宋体" w:eastAsia="宋体" w:cs="宋体"/>
          <w:sz w:val="20"/>
          <w:szCs w:val="20"/>
        </w:rPr>
      </w:pPr>
      <w:r>
        <w:rPr>
          <w:rFonts w:hint="eastAsia" w:ascii="宋体" w:hAnsi="宋体" w:eastAsia="宋体" w:cs="宋体"/>
          <w:spacing w:val="5"/>
          <w:sz w:val="20"/>
          <w:szCs w:val="20"/>
        </w:rPr>
        <w:t>17.1.4  单价项目的计量</w:t>
      </w:r>
    </w:p>
    <w:p w14:paraId="7CA1C132">
      <w:pPr>
        <w:spacing w:before="161" w:line="360" w:lineRule="auto"/>
        <w:ind w:left="24" w:right="144" w:firstLine="425"/>
        <w:rPr>
          <w:rFonts w:hint="eastAsia" w:ascii="宋体" w:hAnsi="宋体" w:eastAsia="宋体" w:cs="宋体"/>
          <w:sz w:val="20"/>
          <w:szCs w:val="20"/>
        </w:rPr>
      </w:pPr>
      <w:r>
        <w:rPr>
          <w:rFonts w:hint="eastAsia" w:ascii="宋体" w:hAnsi="宋体" w:eastAsia="宋体" w:cs="宋体"/>
          <w:spacing w:val="8"/>
          <w:sz w:val="20"/>
          <w:szCs w:val="20"/>
        </w:rPr>
        <w:t>（1）合同清单中的单价项目工程量为估算工程量。结算工程量是承包人实际完成的，并按合同约定的计量方法进行计量的工程量。</w:t>
      </w:r>
    </w:p>
    <w:p w14:paraId="032DFCCF">
      <w:pPr>
        <w:spacing w:before="159" w:line="360" w:lineRule="auto"/>
        <w:ind w:left="18" w:right="94" w:firstLine="431"/>
        <w:rPr>
          <w:rFonts w:hint="eastAsia" w:ascii="宋体" w:hAnsi="宋体" w:eastAsia="宋体" w:cs="宋体"/>
          <w:sz w:val="20"/>
          <w:szCs w:val="20"/>
        </w:rPr>
      </w:pPr>
      <w:r>
        <w:rPr>
          <w:rFonts w:hint="eastAsia" w:ascii="宋体" w:hAnsi="宋体" w:eastAsia="宋体" w:cs="宋体"/>
          <w:spacing w:val="10"/>
          <w:sz w:val="20"/>
          <w:szCs w:val="20"/>
        </w:rPr>
        <w:t>（2）承包人对已完成的工程进行计量，向监理人提交进度付</w:t>
      </w:r>
      <w:r>
        <w:rPr>
          <w:rFonts w:hint="eastAsia" w:ascii="宋体" w:hAnsi="宋体" w:eastAsia="宋体" w:cs="宋体"/>
          <w:spacing w:val="9"/>
          <w:sz w:val="20"/>
          <w:szCs w:val="20"/>
        </w:rPr>
        <w:t>款申请单、已完成工程量</w:t>
      </w:r>
      <w:r>
        <w:rPr>
          <w:rFonts w:hint="eastAsia" w:ascii="宋体" w:hAnsi="宋体" w:eastAsia="宋体" w:cs="宋体"/>
          <w:spacing w:val="8"/>
          <w:sz w:val="20"/>
          <w:szCs w:val="20"/>
        </w:rPr>
        <w:t>报表和有关计量资料。</w:t>
      </w:r>
    </w:p>
    <w:p w14:paraId="20E50703">
      <w:pPr>
        <w:spacing w:before="161" w:line="360" w:lineRule="auto"/>
        <w:ind w:left="19" w:right="94" w:firstLine="430"/>
        <w:rPr>
          <w:rFonts w:hint="eastAsia" w:ascii="宋体" w:hAnsi="宋体" w:eastAsia="宋体" w:cs="宋体"/>
          <w:sz w:val="20"/>
          <w:szCs w:val="20"/>
        </w:rPr>
      </w:pPr>
      <w:r>
        <w:rPr>
          <w:rFonts w:hint="eastAsia" w:ascii="宋体" w:hAnsi="宋体" w:eastAsia="宋体" w:cs="宋体"/>
          <w:spacing w:val="10"/>
          <w:sz w:val="20"/>
          <w:szCs w:val="20"/>
        </w:rPr>
        <w:t>（3）监理人对承包人提交的工程量报表进行复核，以确定实</w:t>
      </w:r>
      <w:r>
        <w:rPr>
          <w:rFonts w:hint="eastAsia" w:ascii="宋体" w:hAnsi="宋体" w:eastAsia="宋体" w:cs="宋体"/>
          <w:spacing w:val="9"/>
          <w:sz w:val="20"/>
          <w:szCs w:val="20"/>
        </w:rPr>
        <w:t>际完成的工程量。对数量</w:t>
      </w:r>
      <w:r>
        <w:rPr>
          <w:rFonts w:hint="eastAsia" w:ascii="宋体" w:hAnsi="宋体" w:eastAsia="宋体" w:cs="宋体"/>
          <w:spacing w:val="7"/>
          <w:sz w:val="20"/>
          <w:szCs w:val="20"/>
        </w:rPr>
        <w:t>有异议的，可要求承包人按第</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8.2</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款约定进行共同复核和抽样复</w:t>
      </w:r>
      <w:r>
        <w:rPr>
          <w:rFonts w:hint="eastAsia" w:ascii="宋体" w:hAnsi="宋体" w:eastAsia="宋体" w:cs="宋体"/>
          <w:spacing w:val="6"/>
          <w:sz w:val="20"/>
          <w:szCs w:val="20"/>
        </w:rPr>
        <w:t>测。承包人应协助监理人进</w:t>
      </w:r>
      <w:r>
        <w:rPr>
          <w:rFonts w:hint="eastAsia" w:ascii="宋体" w:hAnsi="宋体" w:eastAsia="宋体" w:cs="宋体"/>
          <w:spacing w:val="8"/>
          <w:sz w:val="20"/>
          <w:szCs w:val="20"/>
        </w:rPr>
        <w:t>行复核并按监理人要求提供补充计量资料。</w:t>
      </w:r>
      <w:r>
        <w:rPr>
          <w:rFonts w:hint="eastAsia" w:ascii="宋体" w:hAnsi="宋体" w:eastAsia="宋体" w:cs="宋体"/>
          <w:spacing w:val="7"/>
          <w:sz w:val="20"/>
          <w:szCs w:val="20"/>
        </w:rPr>
        <w:t>承包人未按监理人要求参加复核，监理人复核或</w:t>
      </w:r>
      <w:r>
        <w:rPr>
          <w:rFonts w:hint="eastAsia" w:ascii="宋体" w:hAnsi="宋体" w:eastAsia="宋体" w:cs="宋体"/>
          <w:spacing w:val="9"/>
          <w:sz w:val="20"/>
          <w:szCs w:val="20"/>
        </w:rPr>
        <w:t>修正的工程量视为承包人实际完成的工程量。</w:t>
      </w:r>
    </w:p>
    <w:p w14:paraId="7106B756">
      <w:pPr>
        <w:spacing w:before="161" w:line="360" w:lineRule="auto"/>
        <w:ind w:left="23" w:right="94" w:firstLine="426"/>
        <w:rPr>
          <w:rFonts w:hint="eastAsia" w:ascii="宋体" w:hAnsi="宋体" w:eastAsia="宋体" w:cs="宋体"/>
          <w:sz w:val="20"/>
          <w:szCs w:val="20"/>
        </w:rPr>
      </w:pPr>
      <w:r>
        <w:rPr>
          <w:rFonts w:hint="eastAsia" w:ascii="宋体" w:hAnsi="宋体" w:eastAsia="宋体" w:cs="宋体"/>
          <w:spacing w:val="10"/>
          <w:sz w:val="20"/>
          <w:szCs w:val="20"/>
        </w:rPr>
        <w:t>（4）监理人认为有必要时，可通知承包人共同进行联合测量</w:t>
      </w:r>
      <w:r>
        <w:rPr>
          <w:rFonts w:hint="eastAsia" w:ascii="宋体" w:hAnsi="宋体" w:eastAsia="宋体" w:cs="宋体"/>
          <w:spacing w:val="9"/>
          <w:sz w:val="20"/>
          <w:szCs w:val="20"/>
        </w:rPr>
        <w:t>、计量，承包人应遵照执</w:t>
      </w:r>
      <w:r>
        <w:rPr>
          <w:rFonts w:hint="eastAsia" w:ascii="宋体" w:hAnsi="宋体" w:eastAsia="宋体" w:cs="宋体"/>
          <w:spacing w:val="-2"/>
          <w:sz w:val="20"/>
          <w:szCs w:val="20"/>
        </w:rPr>
        <w:t>行。</w:t>
      </w:r>
    </w:p>
    <w:p w14:paraId="34F59E44">
      <w:pPr>
        <w:spacing w:before="160" w:line="360" w:lineRule="auto"/>
        <w:ind w:left="19" w:right="92" w:firstLine="430"/>
        <w:rPr>
          <w:rFonts w:hint="eastAsia" w:ascii="宋体" w:hAnsi="宋体" w:eastAsia="宋体" w:cs="宋体"/>
          <w:sz w:val="20"/>
          <w:szCs w:val="20"/>
        </w:rPr>
      </w:pPr>
      <w:r>
        <w:rPr>
          <w:rFonts w:hint="eastAsia" w:ascii="宋体" w:hAnsi="宋体" w:eastAsia="宋体" w:cs="宋体"/>
          <w:spacing w:val="10"/>
          <w:sz w:val="20"/>
          <w:szCs w:val="20"/>
        </w:rPr>
        <w:t>（5）承包人完成工程量清单中每个项目的工程量后，监理人</w:t>
      </w:r>
      <w:r>
        <w:rPr>
          <w:rFonts w:hint="eastAsia" w:ascii="宋体" w:hAnsi="宋体" w:eastAsia="宋体" w:cs="宋体"/>
          <w:spacing w:val="9"/>
          <w:sz w:val="20"/>
          <w:szCs w:val="20"/>
        </w:rPr>
        <w:t>应要求承包人派员共同对</w:t>
      </w:r>
      <w:r>
        <w:rPr>
          <w:rFonts w:hint="eastAsia" w:ascii="宋体" w:hAnsi="宋体" w:eastAsia="宋体" w:cs="宋体"/>
          <w:spacing w:val="8"/>
          <w:sz w:val="20"/>
          <w:szCs w:val="20"/>
        </w:rPr>
        <w:t>每个项目的历次计量报表进行汇总，以核实最终结</w:t>
      </w:r>
      <w:r>
        <w:rPr>
          <w:rFonts w:hint="eastAsia" w:ascii="宋体" w:hAnsi="宋体" w:eastAsia="宋体" w:cs="宋体"/>
          <w:spacing w:val="7"/>
          <w:sz w:val="20"/>
          <w:szCs w:val="20"/>
        </w:rPr>
        <w:t>算工程量。监理人可要求承包人提供补充</w:t>
      </w:r>
      <w:r>
        <w:rPr>
          <w:rFonts w:hint="eastAsia" w:ascii="宋体" w:hAnsi="宋体" w:eastAsia="宋体" w:cs="宋体"/>
          <w:spacing w:val="8"/>
          <w:sz w:val="20"/>
          <w:szCs w:val="20"/>
        </w:rPr>
        <w:t>计量资料，以确定最后一次进度付款的准确工程量</w:t>
      </w:r>
      <w:r>
        <w:rPr>
          <w:rFonts w:hint="eastAsia" w:ascii="宋体" w:hAnsi="宋体" w:eastAsia="宋体" w:cs="宋体"/>
          <w:spacing w:val="7"/>
          <w:sz w:val="20"/>
          <w:szCs w:val="20"/>
        </w:rPr>
        <w:t>。承包人未按监理人要求派员参加的，监</w:t>
      </w:r>
      <w:r>
        <w:rPr>
          <w:rFonts w:hint="eastAsia" w:ascii="宋体" w:hAnsi="宋体" w:eastAsia="宋体" w:cs="宋体"/>
          <w:spacing w:val="9"/>
          <w:sz w:val="20"/>
          <w:szCs w:val="20"/>
        </w:rPr>
        <w:t>理人最终核实的工程量视为承包人完成该项目的准确工程量。</w:t>
      </w:r>
    </w:p>
    <w:p w14:paraId="08DBD15D">
      <w:pPr>
        <w:spacing w:before="161" w:line="360" w:lineRule="auto"/>
        <w:ind w:left="21" w:right="36" w:firstLine="428"/>
        <w:jc w:val="both"/>
        <w:rPr>
          <w:rFonts w:hint="eastAsia" w:ascii="宋体" w:hAnsi="宋体" w:eastAsia="宋体" w:cs="宋体"/>
          <w:sz w:val="20"/>
          <w:szCs w:val="20"/>
        </w:rPr>
      </w:pPr>
      <w:r>
        <w:rPr>
          <w:rFonts w:hint="eastAsia" w:ascii="宋体" w:hAnsi="宋体" w:eastAsia="宋体" w:cs="宋体"/>
          <w:spacing w:val="9"/>
          <w:sz w:val="20"/>
          <w:szCs w:val="20"/>
        </w:rPr>
        <w:t>（6）监理人应在收到承包人提交的工程量报表后的</w:t>
      </w:r>
      <w:r>
        <w:rPr>
          <w:rFonts w:hint="eastAsia" w:ascii="宋体" w:hAnsi="宋体" w:eastAsia="宋体" w:cs="宋体"/>
          <w:spacing w:val="-32"/>
          <w:sz w:val="20"/>
          <w:szCs w:val="20"/>
        </w:rPr>
        <w:t xml:space="preserve"> </w:t>
      </w:r>
      <w:r>
        <w:rPr>
          <w:rFonts w:hint="eastAsia" w:ascii="宋体" w:hAnsi="宋体" w:eastAsia="宋体" w:cs="宋体"/>
          <w:spacing w:val="9"/>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天内进行复核，监理</w:t>
      </w:r>
      <w:r>
        <w:rPr>
          <w:rFonts w:hint="eastAsia" w:ascii="宋体" w:hAnsi="宋体" w:eastAsia="宋体" w:cs="宋体"/>
          <w:spacing w:val="8"/>
          <w:sz w:val="20"/>
          <w:szCs w:val="20"/>
        </w:rPr>
        <w:t>人未在约定时间内复核的，承包人提交的工程量报表中的</w:t>
      </w:r>
      <w:r>
        <w:rPr>
          <w:rFonts w:hint="eastAsia" w:ascii="宋体" w:hAnsi="宋体" w:eastAsia="宋体" w:cs="宋体"/>
          <w:spacing w:val="7"/>
          <w:sz w:val="20"/>
          <w:szCs w:val="20"/>
        </w:rPr>
        <w:t>工程量视为承包人实际完成的工程量，据此计</w:t>
      </w:r>
      <w:r>
        <w:rPr>
          <w:rFonts w:hint="eastAsia" w:ascii="宋体" w:hAnsi="宋体" w:eastAsia="宋体" w:cs="宋体"/>
          <w:spacing w:val="6"/>
          <w:sz w:val="20"/>
          <w:szCs w:val="20"/>
        </w:rPr>
        <w:t>算工程价款。</w:t>
      </w:r>
    </w:p>
    <w:p w14:paraId="3BD4A546">
      <w:pPr>
        <w:spacing w:before="1" w:line="360" w:lineRule="auto"/>
        <w:ind w:left="455"/>
        <w:rPr>
          <w:rFonts w:hint="eastAsia" w:ascii="宋体" w:hAnsi="宋体" w:eastAsia="宋体" w:cs="宋体"/>
          <w:sz w:val="20"/>
          <w:szCs w:val="20"/>
        </w:rPr>
      </w:pPr>
      <w:r>
        <w:rPr>
          <w:rFonts w:hint="eastAsia" w:ascii="宋体" w:hAnsi="宋体" w:eastAsia="宋体" w:cs="宋体"/>
          <w:spacing w:val="7"/>
          <w:sz w:val="20"/>
          <w:szCs w:val="20"/>
        </w:rPr>
        <w:t>17.1.5  总价项目的计量（适用于采用支付分解报告）</w:t>
      </w:r>
    </w:p>
    <w:p w14:paraId="06D33C84">
      <w:pPr>
        <w:spacing w:before="273" w:line="360" w:lineRule="auto"/>
        <w:ind w:left="19" w:right="36" w:firstLine="423"/>
        <w:jc w:val="both"/>
        <w:rPr>
          <w:rFonts w:hint="eastAsia" w:ascii="宋体" w:hAnsi="宋体" w:eastAsia="宋体" w:cs="宋体"/>
          <w:sz w:val="20"/>
          <w:szCs w:val="20"/>
        </w:rPr>
      </w:pPr>
      <w:r>
        <w:rPr>
          <w:rFonts w:hint="eastAsia" w:ascii="宋体" w:hAnsi="宋体" w:eastAsia="宋体" w:cs="宋体"/>
          <w:spacing w:val="9"/>
          <w:sz w:val="20"/>
          <w:szCs w:val="20"/>
        </w:rPr>
        <w:t>总价项目按照有合同约束力的支付分解表支付。承包人应根据合同条款第</w:t>
      </w:r>
      <w:r>
        <w:rPr>
          <w:rFonts w:hint="eastAsia" w:ascii="宋体" w:hAnsi="宋体" w:eastAsia="宋体" w:cs="宋体"/>
          <w:spacing w:val="-24"/>
          <w:sz w:val="20"/>
          <w:szCs w:val="20"/>
        </w:rPr>
        <w:t xml:space="preserve"> </w:t>
      </w:r>
      <w:r>
        <w:rPr>
          <w:rFonts w:hint="eastAsia" w:ascii="宋体" w:hAnsi="宋体" w:eastAsia="宋体" w:cs="宋体"/>
          <w:spacing w:val="9"/>
          <w:sz w:val="20"/>
          <w:szCs w:val="20"/>
        </w:rPr>
        <w:t>10</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条</w:t>
      </w:r>
      <w:r>
        <w:rPr>
          <w:rFonts w:hint="eastAsia" w:ascii="宋体" w:hAnsi="宋体" w:eastAsia="宋体" w:cs="宋体"/>
          <w:spacing w:val="8"/>
          <w:sz w:val="20"/>
          <w:szCs w:val="20"/>
        </w:rPr>
        <w:t>约定的合同进度计划和总价项目的总价构成、费用性</w:t>
      </w:r>
      <w:r>
        <w:rPr>
          <w:rFonts w:hint="eastAsia" w:ascii="宋体" w:hAnsi="宋体" w:eastAsia="宋体" w:cs="宋体"/>
          <w:spacing w:val="7"/>
          <w:sz w:val="20"/>
          <w:szCs w:val="20"/>
        </w:rPr>
        <w:t>质、计划发生时间和相应工作量等因素对各个</w:t>
      </w:r>
      <w:r>
        <w:rPr>
          <w:rFonts w:hint="eastAsia" w:ascii="宋体" w:hAnsi="宋体" w:eastAsia="宋体" w:cs="宋体"/>
          <w:spacing w:val="8"/>
          <w:sz w:val="20"/>
          <w:szCs w:val="20"/>
        </w:rPr>
        <w:t>总价项目的总价按月进行分解，形成支付分解报告</w:t>
      </w:r>
      <w:r>
        <w:rPr>
          <w:rFonts w:hint="eastAsia" w:ascii="宋体" w:hAnsi="宋体" w:eastAsia="宋体" w:cs="宋体"/>
          <w:spacing w:val="7"/>
          <w:sz w:val="20"/>
          <w:szCs w:val="20"/>
        </w:rPr>
        <w:t>。承包人应当在收到经过监理人批复的合同进度计划后</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天内，将支付分解报告以及形成支付分解报告的</w:t>
      </w:r>
      <w:r>
        <w:rPr>
          <w:rFonts w:hint="eastAsia" w:ascii="宋体" w:hAnsi="宋体" w:eastAsia="宋体" w:cs="宋体"/>
          <w:spacing w:val="6"/>
          <w:sz w:val="20"/>
          <w:szCs w:val="20"/>
        </w:rPr>
        <w:t>分项计量和总价分解等支持</w:t>
      </w:r>
      <w:r>
        <w:rPr>
          <w:rFonts w:hint="eastAsia" w:ascii="宋体" w:hAnsi="宋体" w:eastAsia="宋体" w:cs="宋体"/>
          <w:spacing w:val="7"/>
          <w:sz w:val="20"/>
          <w:szCs w:val="20"/>
        </w:rPr>
        <w:t>性资料报监理人审批，监理人应当在收到承包人报送的支付分解</w:t>
      </w:r>
      <w:r>
        <w:rPr>
          <w:rFonts w:hint="eastAsia" w:ascii="宋体" w:hAnsi="宋体" w:eastAsia="宋体" w:cs="宋体"/>
          <w:spacing w:val="6"/>
          <w:sz w:val="20"/>
          <w:szCs w:val="20"/>
        </w:rPr>
        <w:t>报告后</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天内给予批复或提</w:t>
      </w:r>
      <w:r>
        <w:rPr>
          <w:rFonts w:hint="eastAsia" w:ascii="宋体" w:hAnsi="宋体" w:eastAsia="宋体" w:cs="宋体"/>
          <w:spacing w:val="8"/>
          <w:sz w:val="20"/>
          <w:szCs w:val="20"/>
        </w:rPr>
        <w:t>出修改意见，经监理人批准的支付分解报告为有合同</w:t>
      </w:r>
      <w:r>
        <w:rPr>
          <w:rFonts w:hint="eastAsia" w:ascii="宋体" w:hAnsi="宋体" w:eastAsia="宋体" w:cs="宋体"/>
          <w:spacing w:val="7"/>
          <w:sz w:val="20"/>
          <w:szCs w:val="20"/>
        </w:rPr>
        <w:t>约束力的支付分解表。支付分解表应根</w:t>
      </w:r>
      <w:r>
        <w:rPr>
          <w:rFonts w:hint="eastAsia" w:ascii="宋体" w:hAnsi="宋体" w:eastAsia="宋体" w:cs="宋体"/>
          <w:spacing w:val="9"/>
          <w:sz w:val="20"/>
          <w:szCs w:val="20"/>
        </w:rPr>
        <w:t>据合同条款第</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rPr>
        <w:t>10.2</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款约定的修订合同进度计划进行修正，修正的程序和</w:t>
      </w:r>
      <w:r>
        <w:rPr>
          <w:rFonts w:hint="eastAsia" w:ascii="宋体" w:hAnsi="宋体" w:eastAsia="宋体" w:cs="宋体"/>
          <w:spacing w:val="8"/>
          <w:sz w:val="20"/>
          <w:szCs w:val="20"/>
        </w:rPr>
        <w:t>期限应当依照本项</w:t>
      </w:r>
      <w:r>
        <w:rPr>
          <w:rFonts w:hint="eastAsia" w:ascii="宋体" w:hAnsi="宋体" w:eastAsia="宋体" w:cs="宋体"/>
          <w:spacing w:val="9"/>
          <w:sz w:val="20"/>
          <w:szCs w:val="20"/>
        </w:rPr>
        <w:t>上述约定，经修正的支付分解表为有合同约束力的支付分解表。</w:t>
      </w:r>
    </w:p>
    <w:p w14:paraId="2B273411">
      <w:pPr>
        <w:spacing w:line="360" w:lineRule="auto"/>
        <w:ind w:left="449"/>
        <w:rPr>
          <w:rFonts w:hint="eastAsia" w:ascii="宋体" w:hAnsi="宋体" w:eastAsia="宋体" w:cs="宋体"/>
          <w:sz w:val="20"/>
          <w:szCs w:val="20"/>
        </w:rPr>
      </w:pPr>
      <w:r>
        <w:rPr>
          <w:rFonts w:hint="eastAsia" w:ascii="宋体" w:hAnsi="宋体" w:eastAsia="宋体" w:cs="宋体"/>
          <w:spacing w:val="8"/>
          <w:sz w:val="20"/>
          <w:szCs w:val="20"/>
        </w:rPr>
        <w:t>（1）总价项目的价格调整方法见合同条款专用部分。</w:t>
      </w:r>
    </w:p>
    <w:p w14:paraId="5B5800C4">
      <w:pPr>
        <w:spacing w:before="153" w:line="360" w:lineRule="auto"/>
        <w:ind w:left="19" w:right="37" w:firstLine="430"/>
        <w:rPr>
          <w:rFonts w:hint="eastAsia" w:ascii="宋体" w:hAnsi="宋体" w:eastAsia="宋体" w:cs="宋体"/>
          <w:sz w:val="20"/>
          <w:szCs w:val="20"/>
        </w:rPr>
      </w:pPr>
      <w:r>
        <w:rPr>
          <w:rFonts w:hint="eastAsia" w:ascii="宋体" w:hAnsi="宋体" w:eastAsia="宋体" w:cs="宋体"/>
          <w:spacing w:val="10"/>
          <w:sz w:val="20"/>
          <w:szCs w:val="20"/>
        </w:rPr>
        <w:t>（2）列入每月进度付款申请单中各总价项目的价值为有合同约束</w:t>
      </w:r>
      <w:r>
        <w:rPr>
          <w:rFonts w:hint="eastAsia" w:ascii="宋体" w:hAnsi="宋体" w:eastAsia="宋体" w:cs="宋体"/>
          <w:spacing w:val="9"/>
          <w:sz w:val="20"/>
          <w:szCs w:val="20"/>
        </w:rPr>
        <w:t>力的支付分解表中对</w:t>
      </w:r>
      <w:r>
        <w:rPr>
          <w:rFonts w:hint="eastAsia" w:ascii="宋体" w:hAnsi="宋体" w:eastAsia="宋体" w:cs="宋体"/>
          <w:spacing w:val="8"/>
          <w:sz w:val="20"/>
          <w:szCs w:val="20"/>
        </w:rPr>
        <w:t>应月份的总价项目总价值。</w:t>
      </w:r>
    </w:p>
    <w:p w14:paraId="130EB59E">
      <w:pPr>
        <w:spacing w:before="156" w:line="360" w:lineRule="auto"/>
        <w:ind w:left="59" w:right="39" w:firstLine="390"/>
        <w:rPr>
          <w:rFonts w:hint="eastAsia" w:ascii="宋体" w:hAnsi="宋体" w:eastAsia="宋体" w:cs="宋体"/>
          <w:sz w:val="20"/>
          <w:szCs w:val="20"/>
        </w:rPr>
      </w:pPr>
      <w:r>
        <w:rPr>
          <w:rFonts w:hint="eastAsia" w:ascii="宋体" w:hAnsi="宋体" w:eastAsia="宋体" w:cs="宋体"/>
          <w:spacing w:val="10"/>
          <w:sz w:val="20"/>
          <w:szCs w:val="20"/>
        </w:rPr>
        <w:t>（3）监理人根据有合同约束力的支付分解表复核列入每月进</w:t>
      </w:r>
      <w:r>
        <w:rPr>
          <w:rFonts w:hint="eastAsia" w:ascii="宋体" w:hAnsi="宋体" w:eastAsia="宋体" w:cs="宋体"/>
          <w:spacing w:val="9"/>
          <w:sz w:val="20"/>
          <w:szCs w:val="20"/>
        </w:rPr>
        <w:t>度付款申请单中的总价项</w:t>
      </w:r>
      <w:r>
        <w:rPr>
          <w:rFonts w:hint="eastAsia" w:ascii="宋体" w:hAnsi="宋体" w:eastAsia="宋体" w:cs="宋体"/>
          <w:spacing w:val="-1"/>
          <w:sz w:val="20"/>
          <w:szCs w:val="20"/>
        </w:rPr>
        <w:t>目的总价值。</w:t>
      </w:r>
    </w:p>
    <w:p w14:paraId="00422BE8">
      <w:pPr>
        <w:spacing w:before="44" w:line="360" w:lineRule="auto"/>
        <w:ind w:left="19" w:firstLine="430"/>
        <w:rPr>
          <w:rFonts w:hint="eastAsia" w:ascii="宋体" w:hAnsi="宋体" w:eastAsia="宋体" w:cs="宋体"/>
          <w:sz w:val="20"/>
          <w:szCs w:val="20"/>
        </w:rPr>
      </w:pPr>
      <w:r>
        <w:rPr>
          <w:rFonts w:hint="eastAsia" w:ascii="宋体" w:hAnsi="宋体" w:eastAsia="宋体" w:cs="宋体"/>
          <w:spacing w:val="7"/>
          <w:sz w:val="20"/>
          <w:szCs w:val="20"/>
        </w:rPr>
        <w:t>（4）除按照第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15</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条约定的变更外，在竣工结算时总价项目的工程量不应当重</w:t>
      </w:r>
      <w:r>
        <w:rPr>
          <w:rFonts w:hint="eastAsia" w:ascii="宋体" w:hAnsi="宋体" w:eastAsia="宋体" w:cs="宋体"/>
          <w:spacing w:val="6"/>
          <w:sz w:val="20"/>
          <w:szCs w:val="20"/>
        </w:rPr>
        <w:t>新计量，</w:t>
      </w:r>
      <w:r>
        <w:rPr>
          <w:rFonts w:hint="eastAsia" w:ascii="宋体" w:hAnsi="宋体" w:eastAsia="宋体" w:cs="宋体"/>
          <w:spacing w:val="9"/>
          <w:sz w:val="20"/>
          <w:szCs w:val="20"/>
        </w:rPr>
        <w:t>签约合同价所基于的工程量即是用于竣工结算的最终工程量。</w:t>
      </w:r>
    </w:p>
    <w:p w14:paraId="179C227D">
      <w:pPr>
        <w:spacing w:before="162" w:line="360" w:lineRule="auto"/>
        <w:ind w:left="455"/>
        <w:rPr>
          <w:rFonts w:hint="eastAsia" w:ascii="宋体" w:hAnsi="宋体" w:eastAsia="宋体" w:cs="宋体"/>
          <w:sz w:val="20"/>
          <w:szCs w:val="20"/>
        </w:rPr>
      </w:pPr>
      <w:r>
        <w:rPr>
          <w:rFonts w:hint="eastAsia" w:ascii="宋体" w:hAnsi="宋体" w:eastAsia="宋体" w:cs="宋体"/>
          <w:spacing w:val="8"/>
          <w:sz w:val="20"/>
          <w:szCs w:val="20"/>
        </w:rPr>
        <w:t>17.1.5  总价项目的计量（适用于采</w:t>
      </w:r>
      <w:r>
        <w:rPr>
          <w:rFonts w:hint="eastAsia" w:ascii="宋体" w:hAnsi="宋体" w:eastAsia="宋体" w:cs="宋体"/>
          <w:spacing w:val="7"/>
          <w:sz w:val="20"/>
          <w:szCs w:val="20"/>
        </w:rPr>
        <w:t>用按实际完成工程量计量）</w:t>
      </w:r>
    </w:p>
    <w:p w14:paraId="7D1E5734">
      <w:pPr>
        <w:spacing w:before="164" w:line="360" w:lineRule="auto"/>
        <w:ind w:left="23" w:right="39" w:firstLine="426"/>
        <w:rPr>
          <w:rFonts w:hint="eastAsia" w:ascii="宋体" w:hAnsi="宋体" w:eastAsia="宋体" w:cs="宋体"/>
          <w:sz w:val="20"/>
          <w:szCs w:val="20"/>
        </w:rPr>
      </w:pPr>
      <w:r>
        <w:rPr>
          <w:rFonts w:hint="eastAsia" w:ascii="宋体" w:hAnsi="宋体" w:eastAsia="宋体" w:cs="宋体"/>
          <w:spacing w:val="10"/>
          <w:sz w:val="20"/>
          <w:szCs w:val="20"/>
        </w:rPr>
        <w:t>（1）总价项目的计量和支付应以总价为基础，对承包人实际</w:t>
      </w:r>
      <w:r>
        <w:rPr>
          <w:rFonts w:hint="eastAsia" w:ascii="宋体" w:hAnsi="宋体" w:eastAsia="宋体" w:cs="宋体"/>
          <w:spacing w:val="9"/>
          <w:sz w:val="20"/>
          <w:szCs w:val="20"/>
        </w:rPr>
        <w:t>完成的工程量进行计量，</w:t>
      </w:r>
      <w:r>
        <w:rPr>
          <w:rFonts w:hint="eastAsia" w:ascii="宋体" w:hAnsi="宋体" w:eastAsia="宋体" w:cs="宋体"/>
          <w:spacing w:val="7"/>
          <w:sz w:val="20"/>
          <w:szCs w:val="20"/>
        </w:rPr>
        <w:t>是进行工程目标管理和控制进度款支付的依据。总价项目的价格调整方法见合同条款专用部</w:t>
      </w:r>
      <w:r>
        <w:rPr>
          <w:rFonts w:hint="eastAsia" w:ascii="宋体" w:hAnsi="宋体" w:eastAsia="宋体" w:cs="宋体"/>
          <w:spacing w:val="-2"/>
          <w:sz w:val="20"/>
          <w:szCs w:val="20"/>
        </w:rPr>
        <w:t>分。</w:t>
      </w:r>
    </w:p>
    <w:p w14:paraId="41560A91">
      <w:pPr>
        <w:spacing w:before="159" w:line="360" w:lineRule="auto"/>
        <w:ind w:left="21" w:right="36" w:firstLine="428"/>
        <w:rPr>
          <w:rFonts w:hint="eastAsia" w:ascii="宋体" w:hAnsi="宋体" w:eastAsia="宋体" w:cs="宋体"/>
          <w:sz w:val="20"/>
          <w:szCs w:val="20"/>
        </w:rPr>
      </w:pPr>
      <w:r>
        <w:rPr>
          <w:rFonts w:hint="eastAsia" w:ascii="宋体" w:hAnsi="宋体" w:eastAsia="宋体" w:cs="宋体"/>
          <w:spacing w:val="8"/>
          <w:sz w:val="20"/>
          <w:szCs w:val="20"/>
        </w:rPr>
        <w:t>（2）承包人在合同条款专用部分第</w:t>
      </w:r>
      <w:r>
        <w:rPr>
          <w:rFonts w:hint="eastAsia" w:ascii="宋体" w:hAnsi="宋体" w:eastAsia="宋体" w:cs="宋体"/>
          <w:spacing w:val="-19"/>
          <w:sz w:val="20"/>
          <w:szCs w:val="20"/>
        </w:rPr>
        <w:t xml:space="preserve"> </w:t>
      </w:r>
      <w:r>
        <w:rPr>
          <w:rFonts w:hint="eastAsia" w:ascii="宋体" w:hAnsi="宋体" w:eastAsia="宋体" w:cs="宋体"/>
          <w:spacing w:val="8"/>
          <w:sz w:val="20"/>
          <w:szCs w:val="20"/>
        </w:rPr>
        <w:t>17.1.3（1）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目约定的每月计量截止日期后</w:t>
      </w:r>
      <w:r>
        <w:rPr>
          <w:rFonts w:hint="eastAsia" w:ascii="宋体" w:hAnsi="宋体" w:eastAsia="宋体" w:cs="宋体"/>
          <w:spacing w:val="7"/>
          <w:sz w:val="20"/>
          <w:szCs w:val="20"/>
        </w:rPr>
        <w:t>，对已</w:t>
      </w:r>
      <w:r>
        <w:rPr>
          <w:rFonts w:hint="eastAsia" w:ascii="宋体" w:hAnsi="宋体" w:eastAsia="宋体" w:cs="宋体"/>
          <w:spacing w:val="9"/>
          <w:sz w:val="20"/>
          <w:szCs w:val="20"/>
        </w:rPr>
        <w:t>完成的分部分项工程项目的项目，按照合同条</w:t>
      </w:r>
      <w:r>
        <w:rPr>
          <w:rFonts w:hint="eastAsia" w:ascii="宋体" w:hAnsi="宋体" w:eastAsia="宋体" w:cs="宋体"/>
          <w:spacing w:val="8"/>
          <w:sz w:val="20"/>
          <w:szCs w:val="20"/>
        </w:rPr>
        <w:t>款第</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17.1.2</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项约定的计量方法进行计量，对已完成的措施项目的相关项目，按其总价构成</w:t>
      </w:r>
      <w:r>
        <w:rPr>
          <w:rFonts w:hint="eastAsia" w:ascii="宋体" w:hAnsi="宋体" w:eastAsia="宋体" w:cs="宋体"/>
          <w:spacing w:val="7"/>
          <w:sz w:val="20"/>
          <w:szCs w:val="20"/>
        </w:rPr>
        <w:t>、费用性质和实际发生比例进行计量，向监理</w:t>
      </w:r>
      <w:r>
        <w:rPr>
          <w:rFonts w:hint="eastAsia" w:ascii="宋体" w:hAnsi="宋体" w:eastAsia="宋体" w:cs="宋体"/>
          <w:spacing w:val="9"/>
          <w:sz w:val="20"/>
          <w:szCs w:val="20"/>
        </w:rPr>
        <w:t>人提交进度付款申请单、已完成工程量报表和有关计量资料。</w:t>
      </w:r>
    </w:p>
    <w:p w14:paraId="1E6F62B9">
      <w:pPr>
        <w:spacing w:before="161" w:line="360" w:lineRule="auto"/>
        <w:ind w:left="19" w:right="37" w:firstLine="430"/>
        <w:rPr>
          <w:rFonts w:hint="eastAsia" w:ascii="宋体" w:hAnsi="宋体" w:eastAsia="宋体" w:cs="宋体"/>
          <w:sz w:val="20"/>
          <w:szCs w:val="20"/>
        </w:rPr>
      </w:pPr>
      <w:r>
        <w:rPr>
          <w:rFonts w:hint="eastAsia" w:ascii="宋体" w:hAnsi="宋体" w:eastAsia="宋体" w:cs="宋体"/>
          <w:spacing w:val="10"/>
          <w:sz w:val="20"/>
          <w:szCs w:val="20"/>
        </w:rPr>
        <w:t>（3）监理人对承包人提交的工程量报表进行复核，以确定实际完</w:t>
      </w:r>
      <w:r>
        <w:rPr>
          <w:rFonts w:hint="eastAsia" w:ascii="宋体" w:hAnsi="宋体" w:eastAsia="宋体" w:cs="宋体"/>
          <w:spacing w:val="9"/>
          <w:sz w:val="20"/>
          <w:szCs w:val="20"/>
        </w:rPr>
        <w:t>成的工程量。对数量</w:t>
      </w:r>
      <w:r>
        <w:rPr>
          <w:rFonts w:hint="eastAsia" w:ascii="宋体" w:hAnsi="宋体" w:eastAsia="宋体" w:cs="宋体"/>
          <w:spacing w:val="8"/>
          <w:sz w:val="20"/>
          <w:szCs w:val="20"/>
        </w:rPr>
        <w:t>有异议的，可要求承包人进行共同复核。承</w:t>
      </w:r>
      <w:r>
        <w:rPr>
          <w:rFonts w:hint="eastAsia" w:ascii="宋体" w:hAnsi="宋体" w:eastAsia="宋体" w:cs="宋体"/>
          <w:spacing w:val="7"/>
          <w:sz w:val="20"/>
          <w:szCs w:val="20"/>
        </w:rPr>
        <w:t>包人应协助监理人进行复核并按监理人要求提供</w:t>
      </w:r>
      <w:r>
        <w:rPr>
          <w:rFonts w:hint="eastAsia" w:ascii="宋体" w:hAnsi="宋体" w:eastAsia="宋体" w:cs="宋体"/>
          <w:spacing w:val="8"/>
          <w:sz w:val="20"/>
          <w:szCs w:val="20"/>
        </w:rPr>
        <w:t>补充计量资料。承包人未按监理人要求参加</w:t>
      </w:r>
      <w:r>
        <w:rPr>
          <w:rFonts w:hint="eastAsia" w:ascii="宋体" w:hAnsi="宋体" w:eastAsia="宋体" w:cs="宋体"/>
          <w:spacing w:val="7"/>
          <w:sz w:val="20"/>
          <w:szCs w:val="20"/>
        </w:rPr>
        <w:t>复核，监理人复核或修正的工程量视为承包人实际完成的工程量。</w:t>
      </w:r>
    </w:p>
    <w:p w14:paraId="2215704A">
      <w:pPr>
        <w:spacing w:before="159" w:line="360" w:lineRule="auto"/>
        <w:ind w:left="29" w:right="36" w:firstLine="420"/>
        <w:rPr>
          <w:rFonts w:hint="eastAsia" w:ascii="宋体" w:hAnsi="宋体" w:eastAsia="宋体" w:cs="宋体"/>
          <w:sz w:val="20"/>
          <w:szCs w:val="20"/>
        </w:rPr>
      </w:pPr>
      <w:r>
        <w:rPr>
          <w:rFonts w:hint="eastAsia" w:ascii="宋体" w:hAnsi="宋体" w:eastAsia="宋体" w:cs="宋体"/>
          <w:spacing w:val="9"/>
          <w:sz w:val="20"/>
          <w:szCs w:val="20"/>
        </w:rPr>
        <w:t>（4）监理人应在收到承包人提交的工程量报表后的</w:t>
      </w:r>
      <w:r>
        <w:rPr>
          <w:rFonts w:hint="eastAsia" w:ascii="宋体" w:hAnsi="宋体" w:eastAsia="宋体" w:cs="宋体"/>
          <w:spacing w:val="-32"/>
          <w:sz w:val="20"/>
          <w:szCs w:val="20"/>
        </w:rPr>
        <w:t xml:space="preserve"> </w:t>
      </w:r>
      <w:r>
        <w:rPr>
          <w:rFonts w:hint="eastAsia" w:ascii="宋体" w:hAnsi="宋体" w:eastAsia="宋体" w:cs="宋体"/>
          <w:spacing w:val="9"/>
          <w:sz w:val="20"/>
          <w:szCs w:val="20"/>
        </w:rPr>
        <w:t>7</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天内进行复核，监理</w:t>
      </w:r>
      <w:r>
        <w:rPr>
          <w:rFonts w:hint="eastAsia" w:ascii="宋体" w:hAnsi="宋体" w:eastAsia="宋体" w:cs="宋体"/>
          <w:spacing w:val="8"/>
          <w:sz w:val="20"/>
          <w:szCs w:val="20"/>
        </w:rPr>
        <w:t>人未在约定</w:t>
      </w:r>
      <w:r>
        <w:rPr>
          <w:rFonts w:hint="eastAsia" w:ascii="宋体" w:hAnsi="宋体" w:eastAsia="宋体" w:cs="宋体"/>
          <w:spacing w:val="7"/>
          <w:sz w:val="20"/>
          <w:szCs w:val="20"/>
        </w:rPr>
        <w:t>时间内复核的，承包人提交的工程量报表中的工程量视为承包人实际完成的工程量，据此计</w:t>
      </w:r>
      <w:r>
        <w:rPr>
          <w:rFonts w:hint="eastAsia" w:ascii="宋体" w:hAnsi="宋体" w:eastAsia="宋体" w:cs="宋体"/>
          <w:spacing w:val="6"/>
          <w:sz w:val="20"/>
          <w:szCs w:val="20"/>
        </w:rPr>
        <w:t>算工程价款。</w:t>
      </w:r>
    </w:p>
    <w:p w14:paraId="6562A857">
      <w:pPr>
        <w:spacing w:before="163" w:line="360" w:lineRule="auto"/>
        <w:ind w:left="19" w:right="119" w:firstLine="430"/>
        <w:rPr>
          <w:rFonts w:hint="eastAsia" w:ascii="宋体" w:hAnsi="宋体" w:eastAsia="宋体" w:cs="宋体"/>
          <w:sz w:val="20"/>
          <w:szCs w:val="20"/>
        </w:rPr>
      </w:pPr>
      <w:r>
        <w:rPr>
          <w:rFonts w:hint="eastAsia" w:ascii="宋体" w:hAnsi="宋体" w:eastAsia="宋体" w:cs="宋体"/>
          <w:spacing w:val="7"/>
          <w:sz w:val="20"/>
          <w:szCs w:val="20"/>
        </w:rPr>
        <w:t>（5）除按照第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15</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条约定的变更外，在竣工结算时总价项目的工程量不应当重</w:t>
      </w:r>
      <w:r>
        <w:rPr>
          <w:rFonts w:hint="eastAsia" w:ascii="宋体" w:hAnsi="宋体" w:eastAsia="宋体" w:cs="宋体"/>
          <w:spacing w:val="6"/>
          <w:sz w:val="20"/>
          <w:szCs w:val="20"/>
        </w:rPr>
        <w:t>新计量，</w:t>
      </w:r>
      <w:r>
        <w:rPr>
          <w:rFonts w:hint="eastAsia" w:ascii="宋体" w:hAnsi="宋体" w:eastAsia="宋体" w:cs="宋体"/>
          <w:spacing w:val="9"/>
          <w:sz w:val="20"/>
          <w:szCs w:val="20"/>
        </w:rPr>
        <w:t>签约合同价所基于的工程量即是用于竣工结算的最终工程量。</w:t>
      </w:r>
    </w:p>
    <w:p w14:paraId="71E305D9">
      <w:pPr>
        <w:spacing w:before="120" w:line="360" w:lineRule="auto"/>
        <w:ind w:left="38"/>
        <w:outlineLvl w:val="2"/>
        <w:rPr>
          <w:rFonts w:hint="eastAsia" w:ascii="宋体" w:hAnsi="宋体" w:eastAsia="宋体" w:cs="宋体"/>
          <w:sz w:val="24"/>
          <w:szCs w:val="24"/>
        </w:rPr>
      </w:pPr>
      <w:bookmarkStart w:id="690" w:name="bookmark108"/>
      <w:bookmarkEnd w:id="690"/>
      <w:r>
        <w:rPr>
          <w:rFonts w:hint="eastAsia" w:ascii="宋体" w:hAnsi="宋体" w:eastAsia="宋体" w:cs="宋体"/>
          <w:spacing w:val="-6"/>
          <w:sz w:val="24"/>
          <w:szCs w:val="24"/>
        </w:rPr>
        <w:t>17.2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预付款</w:t>
      </w:r>
    </w:p>
    <w:p w14:paraId="648C71D7">
      <w:pPr>
        <w:spacing w:before="295" w:line="360" w:lineRule="auto"/>
        <w:ind w:left="455"/>
        <w:rPr>
          <w:rFonts w:hint="eastAsia" w:ascii="宋体" w:hAnsi="宋体" w:eastAsia="宋体" w:cs="宋体"/>
          <w:sz w:val="20"/>
          <w:szCs w:val="20"/>
        </w:rPr>
      </w:pPr>
      <w:r>
        <w:rPr>
          <w:rFonts w:hint="eastAsia" w:ascii="宋体" w:hAnsi="宋体" w:eastAsia="宋体" w:cs="宋体"/>
          <w:spacing w:val="2"/>
          <w:sz w:val="20"/>
          <w:szCs w:val="20"/>
        </w:rPr>
        <w:t>17.2.1</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预付款</w:t>
      </w:r>
    </w:p>
    <w:p w14:paraId="629679CB">
      <w:pPr>
        <w:spacing w:before="161" w:line="360" w:lineRule="auto"/>
        <w:ind w:left="19" w:right="156" w:firstLine="422"/>
        <w:rPr>
          <w:rFonts w:hint="eastAsia" w:ascii="宋体" w:hAnsi="宋体" w:eastAsia="宋体" w:cs="宋体"/>
          <w:sz w:val="20"/>
          <w:szCs w:val="20"/>
        </w:rPr>
      </w:pPr>
      <w:r>
        <w:rPr>
          <w:rFonts w:hint="eastAsia" w:ascii="宋体" w:hAnsi="宋体" w:eastAsia="宋体" w:cs="宋体"/>
          <w:spacing w:val="7"/>
          <w:sz w:val="20"/>
          <w:szCs w:val="20"/>
        </w:rPr>
        <w:t>预付款用于承包人为合同工程施工购置材料、施工设备、修建临时设施以及组织施工队</w:t>
      </w:r>
      <w:r>
        <w:rPr>
          <w:rFonts w:hint="eastAsia" w:ascii="宋体" w:hAnsi="宋体" w:eastAsia="宋体" w:cs="宋体"/>
          <w:spacing w:val="8"/>
          <w:sz w:val="20"/>
          <w:szCs w:val="20"/>
        </w:rPr>
        <w:t>伍进场等。预付款必须专用于合同工程。预付款的额</w:t>
      </w:r>
      <w:r>
        <w:rPr>
          <w:rFonts w:hint="eastAsia" w:ascii="宋体" w:hAnsi="宋体" w:eastAsia="宋体" w:cs="宋体"/>
          <w:spacing w:val="7"/>
          <w:sz w:val="20"/>
          <w:szCs w:val="20"/>
        </w:rPr>
        <w:t>度和预付办法以及支付时间见合同条款</w:t>
      </w:r>
      <w:r>
        <w:rPr>
          <w:rFonts w:hint="eastAsia" w:ascii="宋体" w:hAnsi="宋体" w:eastAsia="宋体" w:cs="宋体"/>
          <w:spacing w:val="6"/>
          <w:sz w:val="20"/>
          <w:szCs w:val="20"/>
        </w:rPr>
        <w:t>专用部分。</w:t>
      </w:r>
    </w:p>
    <w:p w14:paraId="2EC37590">
      <w:pPr>
        <w:spacing w:line="360" w:lineRule="auto"/>
        <w:ind w:left="444"/>
        <w:rPr>
          <w:rFonts w:hint="eastAsia" w:ascii="宋体" w:hAnsi="宋体" w:eastAsia="宋体" w:cs="宋体"/>
          <w:sz w:val="20"/>
          <w:szCs w:val="20"/>
        </w:rPr>
      </w:pPr>
      <w:r>
        <w:rPr>
          <w:rFonts w:hint="eastAsia" w:ascii="宋体" w:hAnsi="宋体" w:eastAsia="宋体" w:cs="宋体"/>
          <w:spacing w:val="9"/>
          <w:sz w:val="20"/>
          <w:szCs w:val="20"/>
        </w:rPr>
        <w:t>安全生产标准化措施费预付款额度及方式见合同条款专用部分。</w:t>
      </w:r>
    </w:p>
    <w:p w14:paraId="2B0D1B56">
      <w:pPr>
        <w:spacing w:before="163" w:line="360" w:lineRule="auto"/>
        <w:ind w:left="441"/>
        <w:rPr>
          <w:rFonts w:hint="eastAsia" w:ascii="宋体" w:hAnsi="宋体" w:eastAsia="宋体" w:cs="宋体"/>
          <w:sz w:val="20"/>
          <w:szCs w:val="20"/>
        </w:rPr>
      </w:pPr>
      <w:r>
        <w:rPr>
          <w:rFonts w:hint="eastAsia" w:ascii="宋体" w:hAnsi="宋体" w:eastAsia="宋体" w:cs="宋体"/>
          <w:spacing w:val="9"/>
          <w:sz w:val="20"/>
          <w:szCs w:val="20"/>
        </w:rPr>
        <w:t>预付款额度及安全生产标准化措施费预付款额度均应满足相应规定。</w:t>
      </w:r>
    </w:p>
    <w:p w14:paraId="696BFD68">
      <w:pPr>
        <w:spacing w:before="159" w:line="360" w:lineRule="auto"/>
        <w:ind w:left="21" w:right="156" w:firstLine="421"/>
        <w:rPr>
          <w:rFonts w:hint="eastAsia" w:ascii="宋体" w:hAnsi="宋体" w:eastAsia="宋体" w:cs="宋体"/>
          <w:sz w:val="20"/>
          <w:szCs w:val="20"/>
        </w:rPr>
      </w:pPr>
      <w:r>
        <w:rPr>
          <w:rFonts w:hint="eastAsia" w:ascii="宋体" w:hAnsi="宋体" w:eastAsia="宋体" w:cs="宋体"/>
          <w:spacing w:val="9"/>
          <w:sz w:val="20"/>
          <w:szCs w:val="20"/>
        </w:rPr>
        <w:t>发包人逾期支付合同约定的预付款，除承担第</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22.2</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款约定的违约责任外，还应向承包</w:t>
      </w:r>
      <w:r>
        <w:rPr>
          <w:rFonts w:hint="eastAsia" w:ascii="宋体" w:hAnsi="宋体" w:eastAsia="宋体" w:cs="宋体"/>
          <w:spacing w:val="7"/>
          <w:sz w:val="20"/>
          <w:szCs w:val="20"/>
        </w:rPr>
        <w:t>人支付按第</w:t>
      </w:r>
      <w:r>
        <w:rPr>
          <w:rFonts w:hint="eastAsia" w:ascii="宋体" w:hAnsi="宋体" w:eastAsia="宋体" w:cs="宋体"/>
          <w:spacing w:val="-13"/>
          <w:sz w:val="20"/>
          <w:szCs w:val="20"/>
        </w:rPr>
        <w:t xml:space="preserve"> </w:t>
      </w:r>
      <w:r>
        <w:rPr>
          <w:rFonts w:hint="eastAsia" w:ascii="宋体" w:hAnsi="宋体" w:eastAsia="宋体" w:cs="宋体"/>
          <w:spacing w:val="7"/>
          <w:sz w:val="20"/>
          <w:szCs w:val="20"/>
        </w:rPr>
        <w:t>17.3.3(2)目约定的标准和方法计算的逾期付款违约金。</w:t>
      </w:r>
    </w:p>
    <w:p w14:paraId="6FAD8A4D">
      <w:pPr>
        <w:spacing w:before="1" w:line="360" w:lineRule="auto"/>
        <w:ind w:left="455"/>
        <w:rPr>
          <w:rFonts w:hint="eastAsia" w:ascii="宋体" w:hAnsi="宋体" w:eastAsia="宋体" w:cs="宋体"/>
          <w:sz w:val="20"/>
          <w:szCs w:val="20"/>
        </w:rPr>
      </w:pPr>
      <w:r>
        <w:rPr>
          <w:rFonts w:hint="eastAsia" w:ascii="宋体" w:hAnsi="宋体" w:eastAsia="宋体" w:cs="宋体"/>
          <w:spacing w:val="6"/>
          <w:sz w:val="20"/>
          <w:szCs w:val="20"/>
        </w:rPr>
        <w:t>17.2.2  预付款的扣回与还清</w:t>
      </w:r>
    </w:p>
    <w:p w14:paraId="3C54433F">
      <w:pPr>
        <w:spacing w:before="163" w:line="360" w:lineRule="auto"/>
        <w:ind w:left="21" w:right="103" w:firstLine="420"/>
        <w:rPr>
          <w:rFonts w:hint="eastAsia" w:ascii="宋体" w:hAnsi="宋体" w:eastAsia="宋体" w:cs="宋体"/>
          <w:spacing w:val="9"/>
          <w:sz w:val="20"/>
          <w:szCs w:val="20"/>
        </w:rPr>
      </w:pPr>
      <w:r>
        <w:rPr>
          <w:rFonts w:hint="eastAsia" w:ascii="宋体" w:hAnsi="宋体" w:eastAsia="宋体" w:cs="宋体"/>
          <w:spacing w:val="7"/>
          <w:sz w:val="20"/>
          <w:szCs w:val="20"/>
        </w:rPr>
        <w:t>预付款在进度付款中按照合同约定扣回。在颁发工程接收证书前，由于不可抗力或其他</w:t>
      </w:r>
      <w:r>
        <w:rPr>
          <w:rFonts w:hint="eastAsia" w:ascii="宋体" w:hAnsi="宋体" w:eastAsia="宋体" w:cs="宋体"/>
          <w:spacing w:val="9"/>
          <w:sz w:val="20"/>
          <w:szCs w:val="20"/>
        </w:rPr>
        <w:t>原因解除合同时，预付款尚未扣清的，尚未扣清的预付款余额应作为承包</w:t>
      </w:r>
      <w:r>
        <w:rPr>
          <w:rFonts w:hint="eastAsia" w:ascii="宋体" w:hAnsi="宋体" w:eastAsia="宋体" w:cs="宋体"/>
          <w:spacing w:val="8"/>
          <w:sz w:val="20"/>
          <w:szCs w:val="20"/>
        </w:rPr>
        <w:t>人的到期应付款。预付款扣回</w:t>
      </w:r>
      <w:r>
        <w:rPr>
          <w:rFonts w:hint="eastAsia" w:ascii="宋体" w:hAnsi="宋体" w:eastAsia="宋体" w:cs="宋体"/>
          <w:spacing w:val="9"/>
          <w:sz w:val="20"/>
          <w:szCs w:val="20"/>
        </w:rPr>
        <w:t>办法见合同条款专用部分。</w:t>
      </w:r>
    </w:p>
    <w:p w14:paraId="2CA8631B">
      <w:pPr>
        <w:spacing w:before="120" w:line="360" w:lineRule="auto"/>
        <w:ind w:left="38"/>
        <w:outlineLvl w:val="2"/>
        <w:rPr>
          <w:rFonts w:hint="eastAsia" w:ascii="宋体" w:hAnsi="宋体" w:eastAsia="宋体" w:cs="宋体"/>
          <w:sz w:val="24"/>
          <w:szCs w:val="24"/>
        </w:rPr>
      </w:pPr>
      <w:bookmarkStart w:id="691" w:name="bookmark109"/>
      <w:bookmarkEnd w:id="691"/>
      <w:r>
        <w:rPr>
          <w:rFonts w:hint="eastAsia" w:ascii="宋体" w:hAnsi="宋体" w:eastAsia="宋体" w:cs="宋体"/>
          <w:spacing w:val="-3"/>
          <w:sz w:val="24"/>
          <w:szCs w:val="24"/>
        </w:rPr>
        <w:t>17.3  工程进度付款</w:t>
      </w:r>
    </w:p>
    <w:p w14:paraId="426AC1ED">
      <w:pPr>
        <w:spacing w:before="298" w:line="360" w:lineRule="auto"/>
        <w:ind w:left="455"/>
        <w:rPr>
          <w:rFonts w:hint="eastAsia" w:ascii="宋体" w:hAnsi="宋体" w:eastAsia="宋体" w:cs="宋体"/>
          <w:sz w:val="20"/>
          <w:szCs w:val="20"/>
        </w:rPr>
      </w:pPr>
      <w:r>
        <w:rPr>
          <w:rFonts w:hint="eastAsia" w:ascii="宋体" w:hAnsi="宋体" w:eastAsia="宋体" w:cs="宋体"/>
          <w:spacing w:val="4"/>
          <w:sz w:val="20"/>
          <w:szCs w:val="20"/>
        </w:rPr>
        <w:t>17.3.1  付款周期</w:t>
      </w:r>
    </w:p>
    <w:p w14:paraId="150CF057">
      <w:pPr>
        <w:spacing w:before="161" w:line="360" w:lineRule="auto"/>
        <w:ind w:left="439"/>
        <w:rPr>
          <w:rFonts w:hint="eastAsia" w:ascii="宋体" w:hAnsi="宋体" w:eastAsia="宋体" w:cs="宋体"/>
          <w:sz w:val="20"/>
          <w:szCs w:val="20"/>
        </w:rPr>
      </w:pPr>
      <w:r>
        <w:rPr>
          <w:rFonts w:hint="eastAsia" w:ascii="宋体" w:hAnsi="宋体" w:eastAsia="宋体" w:cs="宋体"/>
          <w:spacing w:val="8"/>
          <w:sz w:val="20"/>
          <w:szCs w:val="20"/>
        </w:rPr>
        <w:t>付款周期同计量周期。</w:t>
      </w:r>
    </w:p>
    <w:p w14:paraId="3B18F604">
      <w:pPr>
        <w:spacing w:before="161" w:line="360" w:lineRule="auto"/>
        <w:ind w:left="455"/>
        <w:rPr>
          <w:rFonts w:hint="eastAsia" w:ascii="宋体" w:hAnsi="宋体" w:eastAsia="宋体" w:cs="宋体"/>
          <w:sz w:val="20"/>
          <w:szCs w:val="20"/>
        </w:rPr>
      </w:pPr>
      <w:r>
        <w:rPr>
          <w:rFonts w:hint="eastAsia" w:ascii="宋体" w:hAnsi="宋体" w:eastAsia="宋体" w:cs="宋体"/>
          <w:spacing w:val="5"/>
          <w:sz w:val="20"/>
          <w:szCs w:val="20"/>
        </w:rPr>
        <w:t>17.3.2  进度付款申请单</w:t>
      </w:r>
    </w:p>
    <w:p w14:paraId="3D18844F">
      <w:pPr>
        <w:spacing w:before="161" w:line="360" w:lineRule="auto"/>
        <w:ind w:left="19" w:right="156" w:firstLine="420"/>
        <w:rPr>
          <w:rFonts w:hint="eastAsia" w:ascii="宋体" w:hAnsi="宋体" w:eastAsia="宋体" w:cs="宋体"/>
          <w:sz w:val="20"/>
          <w:szCs w:val="20"/>
        </w:rPr>
      </w:pPr>
      <w:r>
        <w:rPr>
          <w:rFonts w:hint="eastAsia" w:ascii="宋体" w:hAnsi="宋体" w:eastAsia="宋体" w:cs="宋体"/>
          <w:spacing w:val="7"/>
          <w:sz w:val="20"/>
          <w:szCs w:val="20"/>
        </w:rPr>
        <w:t>承包人应在每个付款周期末，按监理人批准的格式和合同约定的份数，向监理人提交进</w:t>
      </w:r>
      <w:r>
        <w:rPr>
          <w:rFonts w:hint="eastAsia" w:ascii="宋体" w:hAnsi="宋体" w:eastAsia="宋体" w:cs="宋体"/>
          <w:spacing w:val="8"/>
          <w:sz w:val="20"/>
          <w:szCs w:val="20"/>
        </w:rPr>
        <w:t>度付款申请单，并附相应的支持性证明文件。</w:t>
      </w:r>
      <w:r>
        <w:rPr>
          <w:rFonts w:hint="eastAsia" w:ascii="宋体" w:hAnsi="宋体" w:eastAsia="宋体" w:cs="宋体"/>
          <w:spacing w:val="7"/>
          <w:sz w:val="20"/>
          <w:szCs w:val="20"/>
        </w:rPr>
        <w:t>承包人提交进度付款申请单份数见合同条款专</w:t>
      </w:r>
      <w:r>
        <w:rPr>
          <w:rFonts w:hint="eastAsia" w:ascii="宋体" w:hAnsi="宋体" w:eastAsia="宋体" w:cs="宋体"/>
          <w:spacing w:val="5"/>
          <w:sz w:val="20"/>
          <w:szCs w:val="20"/>
        </w:rPr>
        <w:t>用部分。</w:t>
      </w:r>
    </w:p>
    <w:p w14:paraId="6DA44476">
      <w:pPr>
        <w:spacing w:before="1" w:line="360" w:lineRule="auto"/>
        <w:jc w:val="right"/>
        <w:rPr>
          <w:rFonts w:hint="eastAsia" w:ascii="宋体" w:hAnsi="宋体" w:eastAsia="宋体" w:cs="宋体"/>
          <w:sz w:val="20"/>
          <w:szCs w:val="20"/>
        </w:rPr>
      </w:pPr>
      <w:r>
        <w:rPr>
          <w:rFonts w:hint="eastAsia" w:ascii="宋体" w:hAnsi="宋体" w:eastAsia="宋体" w:cs="宋体"/>
          <w:spacing w:val="6"/>
          <w:sz w:val="20"/>
          <w:szCs w:val="20"/>
        </w:rPr>
        <w:t>除合同条款专用部分另有约定外，承包人报送监理人的进度付款申请</w:t>
      </w:r>
      <w:r>
        <w:rPr>
          <w:rFonts w:hint="eastAsia" w:ascii="宋体" w:hAnsi="宋体" w:eastAsia="宋体" w:cs="宋体"/>
          <w:spacing w:val="5"/>
          <w:sz w:val="20"/>
          <w:szCs w:val="20"/>
        </w:rPr>
        <w:t>单应包括下列内容：</w:t>
      </w:r>
    </w:p>
    <w:p w14:paraId="39CCA494">
      <w:pPr>
        <w:spacing w:before="160" w:line="360" w:lineRule="auto"/>
        <w:ind w:left="344"/>
        <w:rPr>
          <w:rFonts w:hint="eastAsia" w:ascii="宋体" w:hAnsi="宋体" w:eastAsia="宋体" w:cs="宋体"/>
          <w:sz w:val="20"/>
          <w:szCs w:val="20"/>
        </w:rPr>
      </w:pPr>
      <w:r>
        <w:rPr>
          <w:rFonts w:hint="eastAsia" w:ascii="宋体" w:hAnsi="宋体" w:eastAsia="宋体" w:cs="宋体"/>
          <w:spacing w:val="9"/>
          <w:sz w:val="20"/>
          <w:szCs w:val="20"/>
        </w:rPr>
        <w:t>（1）截至本次付款周期末已实施工程的合同清单价款及其中人工费占工程款比例；</w:t>
      </w:r>
    </w:p>
    <w:p w14:paraId="27080ACE">
      <w:pPr>
        <w:spacing w:before="163" w:line="360" w:lineRule="auto"/>
        <w:ind w:left="42" w:right="156" w:firstLine="301"/>
        <w:rPr>
          <w:rFonts w:hint="eastAsia" w:ascii="宋体" w:hAnsi="宋体" w:eastAsia="宋体" w:cs="宋体"/>
          <w:sz w:val="20"/>
          <w:szCs w:val="20"/>
        </w:rPr>
      </w:pPr>
      <w:r>
        <w:rPr>
          <w:rFonts w:hint="eastAsia" w:ascii="宋体" w:hAnsi="宋体" w:eastAsia="宋体" w:cs="宋体"/>
          <w:spacing w:val="7"/>
          <w:sz w:val="20"/>
          <w:szCs w:val="20"/>
        </w:rPr>
        <w:t>（2）截至本次付款周期末已实施工程的工程量清单缺陷调整价款及其中人工费占工程款</w:t>
      </w:r>
      <w:r>
        <w:rPr>
          <w:rFonts w:hint="eastAsia" w:ascii="宋体" w:hAnsi="宋体" w:eastAsia="宋体" w:cs="宋体"/>
          <w:spacing w:val="-5"/>
          <w:sz w:val="20"/>
          <w:szCs w:val="20"/>
        </w:rPr>
        <w:t>比例；</w:t>
      </w:r>
    </w:p>
    <w:p w14:paraId="64806A68">
      <w:pPr>
        <w:spacing w:before="160" w:line="360" w:lineRule="auto"/>
        <w:ind w:left="344"/>
        <w:rPr>
          <w:rFonts w:hint="eastAsia" w:ascii="宋体" w:hAnsi="宋体" w:eastAsia="宋体" w:cs="宋体"/>
          <w:sz w:val="20"/>
          <w:szCs w:val="20"/>
        </w:rPr>
      </w:pPr>
      <w:r>
        <w:rPr>
          <w:rFonts w:hint="eastAsia" w:ascii="宋体" w:hAnsi="宋体" w:eastAsia="宋体" w:cs="宋体"/>
          <w:spacing w:val="6"/>
          <w:sz w:val="20"/>
          <w:szCs w:val="20"/>
        </w:rPr>
        <w:t>（3）根据第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条应增加和扣减的变更金额；</w:t>
      </w:r>
    </w:p>
    <w:p w14:paraId="578B7E7B">
      <w:pPr>
        <w:spacing w:before="161" w:line="360" w:lineRule="auto"/>
        <w:ind w:left="344"/>
        <w:rPr>
          <w:rFonts w:hint="eastAsia" w:ascii="宋体" w:hAnsi="宋体" w:eastAsia="宋体" w:cs="宋体"/>
          <w:sz w:val="20"/>
          <w:szCs w:val="20"/>
        </w:rPr>
      </w:pPr>
      <w:r>
        <w:rPr>
          <w:rFonts w:hint="eastAsia" w:ascii="宋体" w:hAnsi="宋体" w:eastAsia="宋体" w:cs="宋体"/>
          <w:spacing w:val="6"/>
          <w:sz w:val="20"/>
          <w:szCs w:val="20"/>
        </w:rPr>
        <w:t>（4）根据第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23</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条应增加和扣减的索赔金额；</w:t>
      </w:r>
    </w:p>
    <w:p w14:paraId="24C499BE">
      <w:pPr>
        <w:spacing w:before="161" w:line="360" w:lineRule="auto"/>
        <w:ind w:left="344"/>
        <w:rPr>
          <w:rFonts w:hint="eastAsia" w:ascii="宋体" w:hAnsi="宋体" w:eastAsia="宋体" w:cs="宋体"/>
          <w:sz w:val="20"/>
          <w:szCs w:val="20"/>
        </w:rPr>
      </w:pPr>
      <w:r>
        <w:rPr>
          <w:rFonts w:hint="eastAsia" w:ascii="宋体" w:hAnsi="宋体" w:eastAsia="宋体" w:cs="宋体"/>
          <w:spacing w:val="7"/>
          <w:sz w:val="20"/>
          <w:szCs w:val="20"/>
        </w:rPr>
        <w:t>（5）根据第</w:t>
      </w:r>
      <w:r>
        <w:rPr>
          <w:rFonts w:hint="eastAsia" w:ascii="宋体" w:hAnsi="宋体" w:eastAsia="宋体" w:cs="宋体"/>
          <w:spacing w:val="-21"/>
          <w:sz w:val="20"/>
          <w:szCs w:val="20"/>
        </w:rPr>
        <w:t xml:space="preserve"> </w:t>
      </w:r>
      <w:r>
        <w:rPr>
          <w:rFonts w:hint="eastAsia" w:ascii="宋体" w:hAnsi="宋体" w:eastAsia="宋体" w:cs="宋体"/>
          <w:spacing w:val="7"/>
          <w:sz w:val="20"/>
          <w:szCs w:val="20"/>
        </w:rPr>
        <w:t>17.2</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款约定应支付的预付款和扣减的返还预付款；</w:t>
      </w:r>
    </w:p>
    <w:p w14:paraId="15715400">
      <w:pPr>
        <w:spacing w:before="161" w:line="360" w:lineRule="auto"/>
        <w:ind w:left="344"/>
        <w:rPr>
          <w:rFonts w:hint="eastAsia" w:ascii="宋体" w:hAnsi="宋体" w:eastAsia="宋体" w:cs="宋体"/>
          <w:sz w:val="20"/>
          <w:szCs w:val="20"/>
        </w:rPr>
      </w:pPr>
      <w:r>
        <w:rPr>
          <w:rFonts w:hint="eastAsia" w:ascii="宋体" w:hAnsi="宋体" w:eastAsia="宋体" w:cs="宋体"/>
          <w:spacing w:val="6"/>
          <w:sz w:val="20"/>
          <w:szCs w:val="20"/>
        </w:rPr>
        <w:t>（6）根据第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17.4.1</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项约定应扣减的质</w:t>
      </w:r>
      <w:r>
        <w:rPr>
          <w:rFonts w:hint="eastAsia" w:ascii="宋体" w:hAnsi="宋体" w:eastAsia="宋体" w:cs="宋体"/>
          <w:spacing w:val="5"/>
          <w:sz w:val="20"/>
          <w:szCs w:val="20"/>
        </w:rPr>
        <w:t>量保证金；</w:t>
      </w:r>
    </w:p>
    <w:p w14:paraId="6EE3C0F8">
      <w:pPr>
        <w:spacing w:before="161" w:line="360" w:lineRule="auto"/>
        <w:ind w:left="344"/>
        <w:rPr>
          <w:rFonts w:hint="eastAsia" w:ascii="宋体" w:hAnsi="宋体" w:eastAsia="宋体" w:cs="宋体"/>
          <w:spacing w:val="6"/>
          <w:sz w:val="20"/>
          <w:szCs w:val="20"/>
        </w:rPr>
      </w:pPr>
      <w:r>
        <w:rPr>
          <w:rFonts w:hint="eastAsia" w:ascii="宋体" w:hAnsi="宋体" w:eastAsia="宋体" w:cs="宋体"/>
          <w:spacing w:val="9"/>
          <w:sz w:val="20"/>
          <w:szCs w:val="20"/>
        </w:rPr>
        <w:t>（7）根据合同应</w:t>
      </w:r>
      <w:r>
        <w:rPr>
          <w:rFonts w:hint="eastAsia" w:ascii="宋体" w:hAnsi="宋体" w:eastAsia="宋体" w:cs="宋体"/>
          <w:spacing w:val="6"/>
          <w:sz w:val="20"/>
          <w:szCs w:val="20"/>
        </w:rPr>
        <w:t>增加和（或）扣减的其他内容金额见合同条款专用部分；</w:t>
      </w:r>
    </w:p>
    <w:p w14:paraId="012F28C2">
      <w:pPr>
        <w:spacing w:before="161" w:line="360" w:lineRule="auto"/>
        <w:ind w:left="344"/>
        <w:rPr>
          <w:rFonts w:hint="eastAsia" w:ascii="宋体" w:hAnsi="宋体" w:eastAsia="宋体" w:cs="宋体"/>
          <w:spacing w:val="6"/>
          <w:sz w:val="20"/>
          <w:szCs w:val="20"/>
        </w:rPr>
      </w:pPr>
      <w:r>
        <w:rPr>
          <w:rFonts w:hint="eastAsia" w:ascii="宋体" w:hAnsi="宋体" w:eastAsia="宋体" w:cs="宋体"/>
          <w:spacing w:val="6"/>
          <w:sz w:val="20"/>
          <w:szCs w:val="20"/>
        </w:rPr>
        <w:t>（8）本期应付进度款见合同条款专用部分。</w:t>
      </w:r>
    </w:p>
    <w:p w14:paraId="36365B1D">
      <w:pPr>
        <w:pStyle w:val="17"/>
        <w:spacing w:line="360" w:lineRule="auto"/>
        <w:rPr>
          <w:rFonts w:hint="eastAsia" w:ascii="宋体" w:hAnsi="宋体" w:eastAsia="宋体" w:cs="宋体"/>
        </w:rPr>
      </w:pPr>
      <w:r>
        <w:rPr>
          <w:rFonts w:hint="eastAsia" w:ascii="宋体" w:hAnsi="宋体" w:eastAsia="宋体" w:cs="宋体"/>
          <w:sz w:val="20"/>
          <w:szCs w:val="20"/>
          <w:lang w:eastAsia="zh-CN"/>
        </w:rPr>
        <w:t xml:space="preserve"> </w:t>
      </w:r>
    </w:p>
    <w:p w14:paraId="460EF494">
      <w:pPr>
        <w:spacing w:before="65" w:line="360" w:lineRule="auto"/>
        <w:ind w:left="333"/>
        <w:rPr>
          <w:rFonts w:hint="eastAsia" w:ascii="宋体" w:hAnsi="宋体" w:eastAsia="宋体" w:cs="宋体"/>
          <w:sz w:val="20"/>
          <w:szCs w:val="20"/>
        </w:rPr>
      </w:pPr>
      <w:r>
        <w:rPr>
          <w:rFonts w:hint="eastAsia" w:ascii="宋体" w:hAnsi="宋体" w:eastAsia="宋体" w:cs="宋体"/>
          <w:spacing w:val="10"/>
          <w:sz w:val="20"/>
          <w:szCs w:val="20"/>
        </w:rPr>
        <w:t>政府机关、事业单位、国有企业建设工程进度款支付应不低于已完成工程价款的80%。</w:t>
      </w:r>
    </w:p>
    <w:p w14:paraId="5F5EE7F2">
      <w:pPr>
        <w:spacing w:before="161" w:line="360" w:lineRule="auto"/>
        <w:ind w:left="455"/>
        <w:rPr>
          <w:rFonts w:hint="eastAsia" w:ascii="宋体" w:hAnsi="宋体" w:eastAsia="宋体" w:cs="宋体"/>
          <w:sz w:val="20"/>
          <w:szCs w:val="20"/>
        </w:rPr>
      </w:pPr>
      <w:r>
        <w:rPr>
          <w:rFonts w:hint="eastAsia" w:ascii="宋体" w:hAnsi="宋体" w:eastAsia="宋体" w:cs="宋体"/>
          <w:spacing w:val="6"/>
          <w:sz w:val="20"/>
          <w:szCs w:val="20"/>
        </w:rPr>
        <w:t>17.3.3  进度付款证书和支付时间</w:t>
      </w:r>
    </w:p>
    <w:p w14:paraId="36F34570">
      <w:pPr>
        <w:spacing w:before="161" w:line="360" w:lineRule="auto"/>
        <w:ind w:left="20" w:right="15" w:firstLine="429"/>
        <w:rPr>
          <w:rFonts w:hint="eastAsia" w:ascii="宋体" w:hAnsi="宋体" w:eastAsia="宋体" w:cs="宋体"/>
          <w:sz w:val="20"/>
          <w:szCs w:val="20"/>
        </w:rPr>
      </w:pPr>
      <w:r>
        <w:rPr>
          <w:rFonts w:hint="eastAsia" w:ascii="宋体" w:hAnsi="宋体" w:eastAsia="宋体" w:cs="宋体"/>
          <w:spacing w:val="6"/>
          <w:sz w:val="20"/>
          <w:szCs w:val="20"/>
        </w:rPr>
        <w:t>（1）监理人在收到承包人进度付款申请单以及相应的支持性证明文件后</w:t>
      </w:r>
      <w:r>
        <w:rPr>
          <w:rFonts w:hint="eastAsia" w:ascii="宋体" w:hAnsi="宋体" w:eastAsia="宋体" w:cs="宋体"/>
          <w:spacing w:val="5"/>
          <w:sz w:val="20"/>
          <w:szCs w:val="20"/>
        </w:rPr>
        <w:t>的</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天内完成</w:t>
      </w:r>
      <w:r>
        <w:rPr>
          <w:rFonts w:hint="eastAsia" w:ascii="宋体" w:hAnsi="宋体" w:eastAsia="宋体" w:cs="宋体"/>
          <w:spacing w:val="4"/>
          <w:sz w:val="20"/>
          <w:szCs w:val="20"/>
        </w:rPr>
        <w:t>核查，提出发包人到期应支付给承包人的金额以及相应的支持性材料，经</w:t>
      </w:r>
      <w:r>
        <w:rPr>
          <w:rFonts w:hint="eastAsia" w:ascii="宋体" w:hAnsi="宋体" w:eastAsia="宋体" w:cs="宋体"/>
          <w:spacing w:val="3"/>
          <w:sz w:val="20"/>
          <w:szCs w:val="20"/>
        </w:rPr>
        <w:t>发包人审查同意后，</w:t>
      </w:r>
      <w:r>
        <w:rPr>
          <w:rFonts w:hint="eastAsia" w:ascii="宋体" w:hAnsi="宋体" w:eastAsia="宋体" w:cs="宋体"/>
          <w:spacing w:val="7"/>
          <w:sz w:val="20"/>
          <w:szCs w:val="20"/>
        </w:rPr>
        <w:t>由监理人向承包人出具经发包人签认的进度付款证书。监理人有权扣发承包人未能按照合同</w:t>
      </w:r>
      <w:r>
        <w:rPr>
          <w:rFonts w:hint="eastAsia" w:ascii="宋体" w:hAnsi="宋体" w:eastAsia="宋体" w:cs="宋体"/>
          <w:spacing w:val="8"/>
          <w:sz w:val="20"/>
          <w:szCs w:val="20"/>
        </w:rPr>
        <w:t>要求履行任何工作或义务的相应金额。</w:t>
      </w:r>
    </w:p>
    <w:p w14:paraId="2818A66B">
      <w:pPr>
        <w:spacing w:before="160" w:line="360" w:lineRule="auto"/>
        <w:ind w:left="19" w:firstLine="430"/>
        <w:rPr>
          <w:rFonts w:hint="eastAsia" w:ascii="宋体" w:hAnsi="宋体" w:eastAsia="宋体" w:cs="宋体"/>
          <w:sz w:val="20"/>
          <w:szCs w:val="20"/>
        </w:rPr>
      </w:pPr>
      <w:r>
        <w:rPr>
          <w:rFonts w:hint="eastAsia" w:ascii="宋体" w:hAnsi="宋体" w:eastAsia="宋体" w:cs="宋体"/>
          <w:spacing w:val="3"/>
          <w:sz w:val="20"/>
          <w:szCs w:val="20"/>
        </w:rPr>
        <w:t>（2）发包人应在监理人收到进度付款申请单后的</w:t>
      </w:r>
      <w:r>
        <w:rPr>
          <w:rFonts w:hint="eastAsia" w:ascii="宋体" w:hAnsi="宋体" w:eastAsia="宋体" w:cs="宋体"/>
          <w:spacing w:val="-34"/>
          <w:sz w:val="20"/>
          <w:szCs w:val="20"/>
        </w:rPr>
        <w:t xml:space="preserve"> </w:t>
      </w:r>
      <w:r>
        <w:rPr>
          <w:rFonts w:hint="eastAsia" w:ascii="宋体" w:hAnsi="宋体" w:eastAsia="宋体" w:cs="宋体"/>
          <w:spacing w:val="3"/>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3"/>
          <w:sz w:val="20"/>
          <w:szCs w:val="20"/>
        </w:rPr>
        <w:t>天内，将进度应</w:t>
      </w:r>
      <w:r>
        <w:rPr>
          <w:rFonts w:hint="eastAsia" w:ascii="宋体" w:hAnsi="宋体" w:eastAsia="宋体" w:cs="宋体"/>
          <w:spacing w:val="2"/>
          <w:sz w:val="20"/>
          <w:szCs w:val="20"/>
        </w:rPr>
        <w:t>付款支付给承包人。</w:t>
      </w:r>
      <w:r>
        <w:rPr>
          <w:rFonts w:hint="eastAsia" w:ascii="宋体" w:hAnsi="宋体" w:eastAsia="宋体" w:cs="宋体"/>
          <w:spacing w:val="1"/>
          <w:sz w:val="20"/>
          <w:szCs w:val="20"/>
        </w:rPr>
        <w:t>发包人未按第</w:t>
      </w:r>
      <w:r>
        <w:rPr>
          <w:rFonts w:hint="eastAsia" w:ascii="宋体" w:hAnsi="宋体" w:eastAsia="宋体" w:cs="宋体"/>
          <w:spacing w:val="-14"/>
          <w:sz w:val="20"/>
          <w:szCs w:val="20"/>
        </w:rPr>
        <w:t xml:space="preserve"> </w:t>
      </w:r>
      <w:r>
        <w:rPr>
          <w:rFonts w:hint="eastAsia" w:ascii="宋体" w:hAnsi="宋体" w:eastAsia="宋体" w:cs="宋体"/>
          <w:spacing w:val="1"/>
          <w:sz w:val="20"/>
          <w:szCs w:val="20"/>
        </w:rPr>
        <w:t>17.2.1</w:t>
      </w:r>
      <w:r>
        <w:rPr>
          <w:rFonts w:hint="eastAsia" w:ascii="宋体" w:hAnsi="宋体" w:eastAsia="宋体" w:cs="宋体"/>
          <w:spacing w:val="-34"/>
          <w:sz w:val="20"/>
          <w:szCs w:val="20"/>
        </w:rPr>
        <w:t xml:space="preserve"> </w:t>
      </w:r>
      <w:r>
        <w:rPr>
          <w:rFonts w:hint="eastAsia" w:ascii="宋体" w:hAnsi="宋体" w:eastAsia="宋体" w:cs="宋体"/>
          <w:spacing w:val="1"/>
          <w:sz w:val="20"/>
          <w:szCs w:val="20"/>
        </w:rPr>
        <w:t>项、第</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17.3.3（2）</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目、第</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17.5.3（2）</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目和第</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17.6.2（2）</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目约定的</w:t>
      </w:r>
      <w:r>
        <w:rPr>
          <w:rFonts w:hint="eastAsia" w:ascii="宋体" w:hAnsi="宋体" w:eastAsia="宋体" w:cs="宋体"/>
          <w:spacing w:val="8"/>
          <w:sz w:val="20"/>
          <w:szCs w:val="20"/>
        </w:rPr>
        <w:t>期限支付承包人依合同约定应当得到的款项</w:t>
      </w:r>
      <w:r>
        <w:rPr>
          <w:rFonts w:hint="eastAsia" w:ascii="宋体" w:hAnsi="宋体" w:eastAsia="宋体" w:cs="宋体"/>
          <w:spacing w:val="7"/>
          <w:sz w:val="20"/>
          <w:szCs w:val="20"/>
        </w:rPr>
        <w:t>，应当从应付之日起按照合同约定的计算标准和计算方法向承包人支付逾期付款违约金。承包人应当按第</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23.1（1）</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目的约定，在</w:t>
      </w:r>
      <w:r>
        <w:rPr>
          <w:rFonts w:hint="eastAsia" w:ascii="宋体" w:hAnsi="宋体" w:eastAsia="宋体" w:cs="宋体"/>
          <w:spacing w:val="6"/>
          <w:sz w:val="20"/>
          <w:szCs w:val="20"/>
        </w:rPr>
        <w:t>最终付款</w:t>
      </w:r>
      <w:r>
        <w:rPr>
          <w:rFonts w:hint="eastAsia" w:ascii="宋体" w:hAnsi="宋体" w:eastAsia="宋体" w:cs="宋体"/>
          <w:spacing w:val="7"/>
          <w:sz w:val="20"/>
          <w:szCs w:val="20"/>
        </w:rPr>
        <w:t>期限到期后</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天内，向监理人递交工程索赔意向通知书,说明有</w:t>
      </w:r>
      <w:r>
        <w:rPr>
          <w:rFonts w:hint="eastAsia" w:ascii="宋体" w:hAnsi="宋体" w:eastAsia="宋体" w:cs="宋体"/>
          <w:spacing w:val="6"/>
          <w:sz w:val="20"/>
          <w:szCs w:val="20"/>
        </w:rPr>
        <w:t>权得到按本款约定的标准和</w:t>
      </w:r>
      <w:r>
        <w:rPr>
          <w:rFonts w:hint="eastAsia" w:ascii="宋体" w:hAnsi="宋体" w:eastAsia="宋体" w:cs="宋体"/>
          <w:spacing w:val="8"/>
          <w:sz w:val="20"/>
          <w:szCs w:val="20"/>
        </w:rPr>
        <w:t>方法计算的逾期付款违约金。承包人要求发包人支</w:t>
      </w:r>
      <w:r>
        <w:rPr>
          <w:rFonts w:hint="eastAsia" w:ascii="宋体" w:hAnsi="宋体" w:eastAsia="宋体" w:cs="宋体"/>
          <w:spacing w:val="7"/>
          <w:sz w:val="20"/>
          <w:szCs w:val="20"/>
        </w:rPr>
        <w:t>付逾期付款违约金不影响承包人要求发包</w:t>
      </w:r>
      <w:r>
        <w:rPr>
          <w:rFonts w:hint="eastAsia" w:ascii="宋体" w:hAnsi="宋体" w:eastAsia="宋体" w:cs="宋体"/>
          <w:spacing w:val="9"/>
          <w:sz w:val="20"/>
          <w:szCs w:val="20"/>
        </w:rPr>
        <w:t>人承担第</w:t>
      </w:r>
      <w:r>
        <w:rPr>
          <w:rFonts w:hint="eastAsia" w:ascii="宋体" w:hAnsi="宋体" w:eastAsia="宋体" w:cs="宋体"/>
          <w:spacing w:val="-30"/>
          <w:sz w:val="20"/>
          <w:szCs w:val="20"/>
        </w:rPr>
        <w:t xml:space="preserve"> </w:t>
      </w:r>
      <w:r>
        <w:rPr>
          <w:rFonts w:hint="eastAsia" w:ascii="宋体" w:hAnsi="宋体" w:eastAsia="宋体" w:cs="宋体"/>
          <w:spacing w:val="9"/>
          <w:sz w:val="20"/>
          <w:szCs w:val="20"/>
        </w:rPr>
        <w:t>22.2</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款约定的其他违约责任的权利。逾期付款违约金计算标准和计算方法见合同</w:t>
      </w:r>
      <w:r>
        <w:rPr>
          <w:rFonts w:hint="eastAsia" w:ascii="宋体" w:hAnsi="宋体" w:eastAsia="宋体" w:cs="宋体"/>
          <w:spacing w:val="7"/>
          <w:sz w:val="20"/>
          <w:szCs w:val="20"/>
        </w:rPr>
        <w:t>条款专用部分。</w:t>
      </w:r>
    </w:p>
    <w:p w14:paraId="743FB779">
      <w:pPr>
        <w:spacing w:before="157" w:line="360" w:lineRule="auto"/>
        <w:ind w:left="23" w:right="71" w:firstLine="426"/>
        <w:rPr>
          <w:rFonts w:hint="eastAsia" w:ascii="宋体" w:hAnsi="宋体" w:eastAsia="宋体" w:cs="宋体"/>
          <w:sz w:val="20"/>
          <w:szCs w:val="20"/>
        </w:rPr>
      </w:pPr>
      <w:r>
        <w:rPr>
          <w:rFonts w:hint="eastAsia" w:ascii="宋体" w:hAnsi="宋体" w:eastAsia="宋体" w:cs="宋体"/>
          <w:spacing w:val="10"/>
          <w:sz w:val="20"/>
          <w:szCs w:val="20"/>
        </w:rPr>
        <w:t>（3）监理人出具进度付款证书，不应视为监理人已同意、批</w:t>
      </w:r>
      <w:r>
        <w:rPr>
          <w:rFonts w:hint="eastAsia" w:ascii="宋体" w:hAnsi="宋体" w:eastAsia="宋体" w:cs="宋体"/>
          <w:spacing w:val="9"/>
          <w:sz w:val="20"/>
          <w:szCs w:val="20"/>
        </w:rPr>
        <w:t>准或接受了承包人完成的</w:t>
      </w:r>
      <w:r>
        <w:rPr>
          <w:rFonts w:hint="eastAsia" w:ascii="宋体" w:hAnsi="宋体" w:eastAsia="宋体" w:cs="宋体"/>
          <w:spacing w:val="6"/>
          <w:sz w:val="20"/>
          <w:szCs w:val="20"/>
        </w:rPr>
        <w:t>该部分工作。</w:t>
      </w:r>
    </w:p>
    <w:p w14:paraId="2CC02213">
      <w:pPr>
        <w:spacing w:before="163" w:line="360" w:lineRule="auto"/>
        <w:ind w:left="22" w:right="71" w:firstLine="427"/>
        <w:rPr>
          <w:rFonts w:hint="eastAsia" w:ascii="宋体" w:hAnsi="宋体" w:eastAsia="宋体" w:cs="宋体"/>
          <w:sz w:val="20"/>
          <w:szCs w:val="20"/>
        </w:rPr>
      </w:pPr>
      <w:r>
        <w:rPr>
          <w:rFonts w:hint="eastAsia" w:ascii="宋体" w:hAnsi="宋体" w:eastAsia="宋体" w:cs="宋体"/>
          <w:spacing w:val="10"/>
          <w:sz w:val="20"/>
          <w:szCs w:val="20"/>
        </w:rPr>
        <w:t>（4）进度付款涉及政府投资资金的，按照国库集中支付等国</w:t>
      </w:r>
      <w:r>
        <w:rPr>
          <w:rFonts w:hint="eastAsia" w:ascii="宋体" w:hAnsi="宋体" w:eastAsia="宋体" w:cs="宋体"/>
          <w:spacing w:val="9"/>
          <w:sz w:val="20"/>
          <w:szCs w:val="20"/>
        </w:rPr>
        <w:t>家相关规定和合同约定办理。进度付款涉及政府性资金的支付方法见合同条款专用部分。</w:t>
      </w:r>
    </w:p>
    <w:p w14:paraId="49328367">
      <w:pPr>
        <w:spacing w:before="160" w:line="360" w:lineRule="auto"/>
        <w:ind w:left="455"/>
        <w:rPr>
          <w:rFonts w:hint="eastAsia" w:ascii="宋体" w:hAnsi="宋体" w:eastAsia="宋体" w:cs="宋体"/>
          <w:sz w:val="20"/>
          <w:szCs w:val="20"/>
        </w:rPr>
      </w:pPr>
      <w:r>
        <w:rPr>
          <w:rFonts w:hint="eastAsia" w:ascii="宋体" w:hAnsi="宋体" w:eastAsia="宋体" w:cs="宋体"/>
          <w:spacing w:val="6"/>
          <w:sz w:val="20"/>
          <w:szCs w:val="20"/>
        </w:rPr>
        <w:t>17.3.4  工程进度付款的修正</w:t>
      </w:r>
    </w:p>
    <w:p w14:paraId="7F1A2FA7">
      <w:pPr>
        <w:spacing w:before="161" w:line="360" w:lineRule="auto"/>
        <w:ind w:left="19" w:right="71" w:firstLine="420"/>
        <w:rPr>
          <w:rFonts w:hint="eastAsia" w:ascii="宋体" w:hAnsi="宋体" w:eastAsia="宋体" w:cs="宋体"/>
          <w:sz w:val="20"/>
          <w:szCs w:val="20"/>
        </w:rPr>
      </w:pPr>
      <w:r>
        <w:rPr>
          <w:rFonts w:hint="eastAsia" w:ascii="宋体" w:hAnsi="宋体" w:eastAsia="宋体" w:cs="宋体"/>
          <w:spacing w:val="7"/>
          <w:sz w:val="20"/>
          <w:szCs w:val="20"/>
        </w:rPr>
        <w:t>在对以往历次已签发的进度付款证书进行汇总和复核中发现错、漏或重复的，监理人有</w:t>
      </w:r>
      <w:r>
        <w:rPr>
          <w:rFonts w:hint="eastAsia" w:ascii="宋体" w:hAnsi="宋体" w:eastAsia="宋体" w:cs="宋体"/>
          <w:spacing w:val="8"/>
          <w:sz w:val="20"/>
          <w:szCs w:val="20"/>
        </w:rPr>
        <w:t>权予以修正，承包人也有权提出修正申请。经</w:t>
      </w:r>
      <w:r>
        <w:rPr>
          <w:rFonts w:hint="eastAsia" w:ascii="宋体" w:hAnsi="宋体" w:eastAsia="宋体" w:cs="宋体"/>
          <w:spacing w:val="7"/>
          <w:sz w:val="20"/>
          <w:szCs w:val="20"/>
        </w:rPr>
        <w:t>双方复核同意的修正，应在本次进度付款中支</w:t>
      </w:r>
      <w:r>
        <w:rPr>
          <w:rFonts w:hint="eastAsia" w:ascii="宋体" w:hAnsi="宋体" w:eastAsia="宋体" w:cs="宋体"/>
          <w:spacing w:val="6"/>
          <w:sz w:val="20"/>
          <w:szCs w:val="20"/>
        </w:rPr>
        <w:t>付或扣除。</w:t>
      </w:r>
    </w:p>
    <w:p w14:paraId="540D6DC4">
      <w:pPr>
        <w:spacing w:before="1" w:line="360" w:lineRule="auto"/>
        <w:ind w:left="455"/>
        <w:rPr>
          <w:rFonts w:hint="eastAsia" w:ascii="宋体" w:hAnsi="宋体" w:eastAsia="宋体" w:cs="宋体"/>
          <w:sz w:val="20"/>
          <w:szCs w:val="20"/>
        </w:rPr>
      </w:pPr>
      <w:r>
        <w:rPr>
          <w:rFonts w:hint="eastAsia" w:ascii="宋体" w:hAnsi="宋体" w:eastAsia="宋体" w:cs="宋体"/>
          <w:spacing w:val="3"/>
          <w:sz w:val="20"/>
          <w:szCs w:val="20"/>
        </w:rPr>
        <w:t>17.3.5</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临时付款证书</w:t>
      </w:r>
    </w:p>
    <w:p w14:paraId="42201E9B">
      <w:pPr>
        <w:spacing w:before="161" w:line="360" w:lineRule="auto"/>
        <w:ind w:left="19" w:right="69" w:firstLine="419"/>
        <w:rPr>
          <w:rFonts w:hint="eastAsia" w:ascii="宋体" w:hAnsi="宋体" w:eastAsia="宋体" w:cs="宋体"/>
          <w:sz w:val="20"/>
          <w:szCs w:val="20"/>
        </w:rPr>
      </w:pPr>
      <w:r>
        <w:rPr>
          <w:rFonts w:hint="eastAsia" w:ascii="宋体" w:hAnsi="宋体" w:eastAsia="宋体" w:cs="宋体"/>
          <w:spacing w:val="7"/>
          <w:sz w:val="20"/>
          <w:szCs w:val="20"/>
        </w:rPr>
        <w:t>在合同约定的期限内，承包人和监理人无法对当期已完工程量和按合同约定应当支付的</w:t>
      </w:r>
      <w:r>
        <w:rPr>
          <w:rFonts w:hint="eastAsia" w:ascii="宋体" w:hAnsi="宋体" w:eastAsia="宋体" w:cs="宋体"/>
          <w:spacing w:val="9"/>
          <w:sz w:val="20"/>
          <w:szCs w:val="20"/>
        </w:rPr>
        <w:t>其他款项达成一致的，监理人应当在收到承包人报送的进度付款申请单等文件后</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天内，</w:t>
      </w:r>
      <w:r>
        <w:rPr>
          <w:rFonts w:hint="eastAsia" w:ascii="宋体" w:hAnsi="宋体" w:eastAsia="宋体" w:cs="宋体"/>
          <w:spacing w:val="8"/>
          <w:sz w:val="20"/>
          <w:szCs w:val="20"/>
        </w:rPr>
        <w:t>就与承包人达成一致意见的金额编制临时付款证书</w:t>
      </w:r>
      <w:r>
        <w:rPr>
          <w:rFonts w:hint="eastAsia" w:ascii="宋体" w:hAnsi="宋体" w:eastAsia="宋体" w:cs="宋体"/>
          <w:spacing w:val="7"/>
          <w:sz w:val="20"/>
          <w:szCs w:val="20"/>
        </w:rPr>
        <w:t>，报送发包人审查。临时付款证书中应当</w:t>
      </w:r>
      <w:r>
        <w:rPr>
          <w:rFonts w:hint="eastAsia" w:ascii="宋体" w:hAnsi="宋体" w:eastAsia="宋体" w:cs="宋体"/>
          <w:spacing w:val="8"/>
          <w:sz w:val="20"/>
          <w:szCs w:val="20"/>
        </w:rPr>
        <w:t>说明承包人有异议部分的金额及其原因，经</w:t>
      </w:r>
      <w:r>
        <w:rPr>
          <w:rFonts w:hint="eastAsia" w:ascii="宋体" w:hAnsi="宋体" w:eastAsia="宋体" w:cs="宋体"/>
          <w:spacing w:val="7"/>
          <w:sz w:val="20"/>
          <w:szCs w:val="20"/>
        </w:rPr>
        <w:t>发包人签字确认后，由监理人向承包人出具临时</w:t>
      </w:r>
      <w:r>
        <w:rPr>
          <w:rFonts w:hint="eastAsia" w:ascii="宋体" w:hAnsi="宋体" w:eastAsia="宋体" w:cs="宋体"/>
          <w:spacing w:val="9"/>
          <w:sz w:val="20"/>
          <w:szCs w:val="20"/>
        </w:rPr>
        <w:t>付款证书。发包人应当在监理人收到进度付款申请单后</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天内，将临时付款证书中确定的应付金额支付给承包人。发包人和监理人均不得以任何理由延期支付工程进度付款。</w:t>
      </w:r>
    </w:p>
    <w:p w14:paraId="4538EC2B">
      <w:pPr>
        <w:spacing w:before="4" w:line="360" w:lineRule="auto"/>
        <w:ind w:left="24" w:right="69" w:firstLine="414"/>
        <w:jc w:val="both"/>
        <w:rPr>
          <w:rFonts w:hint="eastAsia" w:ascii="宋体" w:hAnsi="宋体" w:eastAsia="宋体" w:cs="宋体"/>
          <w:sz w:val="20"/>
          <w:szCs w:val="20"/>
        </w:rPr>
      </w:pPr>
      <w:r>
        <w:rPr>
          <w:rFonts w:hint="eastAsia" w:ascii="宋体" w:hAnsi="宋体" w:eastAsia="宋体" w:cs="宋体"/>
          <w:spacing w:val="7"/>
          <w:sz w:val="20"/>
          <w:szCs w:val="20"/>
        </w:rPr>
        <w:t>对临时付款证书中承包人有异议部分的金额，承包人应当按照监理人要求，提交进一步</w:t>
      </w:r>
      <w:r>
        <w:rPr>
          <w:rFonts w:hint="eastAsia" w:ascii="宋体" w:hAnsi="宋体" w:eastAsia="宋体" w:cs="宋体"/>
          <w:spacing w:val="9"/>
          <w:sz w:val="20"/>
          <w:szCs w:val="20"/>
        </w:rPr>
        <w:t>的支持性文件，经监理人进一步审核并认可的</w:t>
      </w:r>
      <w:r>
        <w:rPr>
          <w:rFonts w:hint="eastAsia" w:ascii="宋体" w:hAnsi="宋体" w:eastAsia="宋体" w:cs="宋体"/>
          <w:spacing w:val="8"/>
          <w:sz w:val="20"/>
          <w:szCs w:val="20"/>
        </w:rPr>
        <w:t>应付金额，应当按第</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17.3.4</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项的约定纳入到</w:t>
      </w:r>
      <w:r>
        <w:rPr>
          <w:rFonts w:hint="eastAsia" w:ascii="宋体" w:hAnsi="宋体" w:eastAsia="宋体" w:cs="宋体"/>
          <w:spacing w:val="9"/>
          <w:sz w:val="20"/>
          <w:szCs w:val="20"/>
        </w:rPr>
        <w:t>下一期进度付款证书中。经过进一步努力，承包人仍有异议的，按合同条款第</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条的约定</w:t>
      </w:r>
      <w:r>
        <w:rPr>
          <w:rFonts w:hint="eastAsia" w:ascii="宋体" w:hAnsi="宋体" w:eastAsia="宋体" w:cs="宋体"/>
          <w:spacing w:val="1"/>
          <w:sz w:val="20"/>
          <w:szCs w:val="20"/>
        </w:rPr>
        <w:t>办理。</w:t>
      </w:r>
    </w:p>
    <w:p w14:paraId="76FC9047">
      <w:pPr>
        <w:spacing w:before="4" w:line="360" w:lineRule="auto"/>
        <w:ind w:left="24" w:right="69" w:firstLine="414"/>
        <w:jc w:val="both"/>
        <w:rPr>
          <w:rFonts w:hint="eastAsia" w:ascii="宋体" w:hAnsi="宋体" w:eastAsia="宋体" w:cs="宋体"/>
          <w:spacing w:val="7"/>
          <w:sz w:val="20"/>
          <w:szCs w:val="20"/>
        </w:rPr>
      </w:pPr>
      <w:r>
        <w:rPr>
          <w:rFonts w:hint="eastAsia" w:ascii="宋体" w:hAnsi="宋体" w:eastAsia="宋体" w:cs="宋体"/>
          <w:spacing w:val="7"/>
          <w:sz w:val="20"/>
          <w:szCs w:val="20"/>
        </w:rPr>
        <w:t>有异议款项中经监理人进一步审核后认可的，或者经过合同条款第 24 条约定的争议解决方式确定的应付金额，其应付之日为引发异议的进度付款证书的应付之日，承包人有权得到按第 17.3.3（2） 目约定计算的逾期付款违约金。</w:t>
      </w:r>
    </w:p>
    <w:p w14:paraId="2909992C">
      <w:pPr>
        <w:spacing w:before="123" w:line="360" w:lineRule="auto"/>
        <w:ind w:left="38"/>
        <w:outlineLvl w:val="2"/>
        <w:rPr>
          <w:rFonts w:hint="eastAsia" w:ascii="宋体" w:hAnsi="宋体" w:eastAsia="宋体" w:cs="宋体"/>
          <w:sz w:val="24"/>
          <w:szCs w:val="24"/>
        </w:rPr>
      </w:pPr>
      <w:bookmarkStart w:id="692" w:name="bookmark110"/>
      <w:bookmarkEnd w:id="692"/>
      <w:r>
        <w:rPr>
          <w:rFonts w:hint="eastAsia" w:ascii="宋体" w:hAnsi="宋体" w:eastAsia="宋体" w:cs="宋体"/>
          <w:spacing w:val="-3"/>
          <w:sz w:val="24"/>
          <w:szCs w:val="24"/>
        </w:rPr>
        <w:t>17.4  质量保证金</w:t>
      </w:r>
    </w:p>
    <w:p w14:paraId="1D7FE837">
      <w:pPr>
        <w:spacing w:before="294" w:line="360" w:lineRule="auto"/>
        <w:ind w:left="455"/>
        <w:rPr>
          <w:rFonts w:hint="eastAsia" w:ascii="宋体" w:hAnsi="宋体" w:eastAsia="宋体" w:cs="宋体"/>
          <w:sz w:val="20"/>
          <w:szCs w:val="20"/>
        </w:rPr>
      </w:pPr>
      <w:r>
        <w:rPr>
          <w:rFonts w:hint="eastAsia" w:ascii="宋体" w:hAnsi="宋体" w:eastAsia="宋体" w:cs="宋体"/>
          <w:spacing w:val="5"/>
          <w:sz w:val="20"/>
          <w:szCs w:val="20"/>
        </w:rPr>
        <w:t>17.4.1  质量保证金处理</w:t>
      </w:r>
    </w:p>
    <w:p w14:paraId="50B0040D">
      <w:pPr>
        <w:spacing w:before="161" w:line="360" w:lineRule="auto"/>
        <w:ind w:left="19" w:right="23" w:firstLine="430"/>
        <w:jc w:val="both"/>
        <w:rPr>
          <w:rFonts w:hint="eastAsia" w:ascii="宋体" w:hAnsi="宋体" w:eastAsia="宋体" w:cs="宋体"/>
          <w:sz w:val="20"/>
          <w:szCs w:val="20"/>
        </w:rPr>
      </w:pPr>
      <w:r>
        <w:rPr>
          <w:rFonts w:hint="eastAsia" w:ascii="宋体" w:hAnsi="宋体" w:eastAsia="宋体" w:cs="宋体"/>
          <w:spacing w:val="10"/>
          <w:sz w:val="20"/>
          <w:szCs w:val="20"/>
        </w:rPr>
        <w:t>（1）合同条款专用部分第4.2.1</w:t>
      </w:r>
      <w:r>
        <w:rPr>
          <w:rFonts w:hint="eastAsia" w:ascii="宋体" w:hAnsi="宋体" w:eastAsia="宋体" w:cs="宋体"/>
          <w:spacing w:val="-31"/>
          <w:sz w:val="20"/>
          <w:szCs w:val="20"/>
        </w:rPr>
        <w:t xml:space="preserve"> </w:t>
      </w:r>
      <w:r>
        <w:rPr>
          <w:rFonts w:hint="eastAsia" w:ascii="宋体" w:hAnsi="宋体" w:eastAsia="宋体" w:cs="宋体"/>
          <w:spacing w:val="10"/>
          <w:sz w:val="20"/>
          <w:szCs w:val="20"/>
        </w:rPr>
        <w:t>项约定不提交履约担保，采用扣留质量保证金的，质</w:t>
      </w:r>
      <w:r>
        <w:rPr>
          <w:rFonts w:hint="eastAsia" w:ascii="宋体" w:hAnsi="宋体" w:eastAsia="宋体" w:cs="宋体"/>
          <w:spacing w:val="13"/>
          <w:sz w:val="20"/>
          <w:szCs w:val="20"/>
        </w:rPr>
        <w:t>量保证金由监理人从第一个付款周期开始按进度付款证书确认的已实施工程</w:t>
      </w:r>
      <w:r>
        <w:rPr>
          <w:rFonts w:hint="eastAsia" w:ascii="宋体" w:hAnsi="宋体" w:eastAsia="宋体" w:cs="宋体"/>
          <w:spacing w:val="12"/>
          <w:sz w:val="20"/>
          <w:szCs w:val="20"/>
        </w:rPr>
        <w:t>的合同清单价</w:t>
      </w:r>
      <w:r>
        <w:rPr>
          <w:rFonts w:hint="eastAsia" w:ascii="宋体" w:hAnsi="宋体" w:eastAsia="宋体" w:cs="宋体"/>
          <w:spacing w:val="6"/>
          <w:sz w:val="20"/>
          <w:szCs w:val="20"/>
        </w:rPr>
        <w:t>款、已实施工程的工程量清单缺陷调整价款、根据合同条</w:t>
      </w:r>
      <w:r>
        <w:rPr>
          <w:rFonts w:hint="eastAsia" w:ascii="宋体" w:hAnsi="宋体" w:eastAsia="宋体" w:cs="宋体"/>
          <w:spacing w:val="5"/>
          <w:sz w:val="20"/>
          <w:szCs w:val="20"/>
        </w:rPr>
        <w:t>款第</w:t>
      </w:r>
      <w:r>
        <w:rPr>
          <w:rFonts w:hint="eastAsia" w:ascii="宋体" w:hAnsi="宋体" w:eastAsia="宋体" w:cs="宋体"/>
          <w:spacing w:val="-24"/>
          <w:sz w:val="20"/>
          <w:szCs w:val="20"/>
        </w:rPr>
        <w:t xml:space="preserve"> </w:t>
      </w:r>
      <w:r>
        <w:rPr>
          <w:rFonts w:hint="eastAsia" w:ascii="宋体" w:hAnsi="宋体" w:eastAsia="宋体" w:cs="宋体"/>
          <w:spacing w:val="5"/>
          <w:sz w:val="20"/>
          <w:szCs w:val="20"/>
        </w:rPr>
        <w:t>15</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条增加和扣减的变更金额、</w:t>
      </w:r>
      <w:r>
        <w:rPr>
          <w:rFonts w:hint="eastAsia" w:ascii="宋体" w:hAnsi="宋体" w:eastAsia="宋体" w:cs="宋体"/>
          <w:spacing w:val="9"/>
          <w:sz w:val="20"/>
          <w:szCs w:val="20"/>
        </w:rPr>
        <w:t>根据合同条款第</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rPr>
        <w:t>23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条增加和扣减的索赔金额以及根据合同应增加和扣减的其他金额（不包</w:t>
      </w:r>
      <w:r>
        <w:rPr>
          <w:rFonts w:hint="eastAsia" w:ascii="宋体" w:hAnsi="宋体" w:eastAsia="宋体" w:cs="宋体"/>
          <w:spacing w:val="8"/>
          <w:sz w:val="20"/>
          <w:szCs w:val="20"/>
        </w:rPr>
        <w:t>括预付款的支付、返还、此前已经按合同约定支付</w:t>
      </w:r>
      <w:r>
        <w:rPr>
          <w:rFonts w:hint="eastAsia" w:ascii="宋体" w:hAnsi="宋体" w:eastAsia="宋体" w:cs="宋体"/>
          <w:spacing w:val="7"/>
          <w:sz w:val="20"/>
          <w:szCs w:val="20"/>
        </w:rPr>
        <w:t>给承包人的进度款以及已经扣留的质量保</w:t>
      </w:r>
      <w:r>
        <w:rPr>
          <w:rFonts w:hint="eastAsia" w:ascii="宋体" w:hAnsi="宋体" w:eastAsia="宋体" w:cs="宋体"/>
          <w:spacing w:val="8"/>
          <w:sz w:val="20"/>
          <w:szCs w:val="20"/>
        </w:rPr>
        <w:t>证金）的总额的约定比例扣留，直至质量保证金累</w:t>
      </w:r>
      <w:r>
        <w:rPr>
          <w:rFonts w:hint="eastAsia" w:ascii="宋体" w:hAnsi="宋体" w:eastAsia="宋体" w:cs="宋体"/>
          <w:spacing w:val="7"/>
          <w:sz w:val="20"/>
          <w:szCs w:val="20"/>
        </w:rPr>
        <w:t>计扣留金额达到竣工结算合同总价的约定</w:t>
      </w:r>
      <w:r>
        <w:rPr>
          <w:rFonts w:hint="eastAsia" w:ascii="宋体" w:hAnsi="宋体" w:eastAsia="宋体" w:cs="宋体"/>
          <w:spacing w:val="5"/>
          <w:sz w:val="20"/>
          <w:szCs w:val="20"/>
        </w:rPr>
        <w:t>比例为止；</w:t>
      </w:r>
    </w:p>
    <w:p w14:paraId="2C828E8C">
      <w:pPr>
        <w:spacing w:line="360" w:lineRule="auto"/>
        <w:ind w:left="439"/>
        <w:rPr>
          <w:rFonts w:hint="eastAsia" w:ascii="宋体" w:hAnsi="宋体" w:eastAsia="宋体" w:cs="宋体"/>
          <w:sz w:val="20"/>
          <w:szCs w:val="20"/>
        </w:rPr>
      </w:pPr>
      <w:r>
        <w:rPr>
          <w:rFonts w:hint="eastAsia" w:ascii="宋体" w:hAnsi="宋体" w:eastAsia="宋体" w:cs="宋体"/>
          <w:spacing w:val="9"/>
          <w:sz w:val="20"/>
          <w:szCs w:val="20"/>
        </w:rPr>
        <w:t>采用质量保证金保函担保形式的，工程竣工前，不得扣留质量保证金。</w:t>
      </w:r>
    </w:p>
    <w:p w14:paraId="5D763EE3">
      <w:pPr>
        <w:spacing w:before="161" w:line="360" w:lineRule="auto"/>
        <w:ind w:left="19" w:right="23" w:firstLine="430"/>
        <w:jc w:val="both"/>
        <w:rPr>
          <w:rFonts w:hint="eastAsia" w:ascii="宋体" w:hAnsi="宋体" w:eastAsia="宋体" w:cs="宋体"/>
          <w:spacing w:val="8"/>
          <w:sz w:val="20"/>
          <w:szCs w:val="20"/>
        </w:rPr>
      </w:pPr>
      <w:r>
        <w:rPr>
          <w:rFonts w:hint="eastAsia" w:ascii="宋体" w:hAnsi="宋体" w:eastAsia="宋体" w:cs="宋体"/>
          <w:spacing w:val="10"/>
          <w:sz w:val="20"/>
          <w:szCs w:val="20"/>
        </w:rPr>
        <w:t>（2）合同条款专用</w:t>
      </w:r>
      <w:r>
        <w:rPr>
          <w:rFonts w:hint="eastAsia" w:ascii="宋体" w:hAnsi="宋体" w:eastAsia="宋体" w:cs="宋体"/>
          <w:spacing w:val="8"/>
          <w:sz w:val="20"/>
          <w:szCs w:val="20"/>
        </w:rPr>
        <w:t>部分第4.2.1 项约定提交履约担保，采用扣留质量保证金的，在第17.5 款竣工结算中，应当按照竣工结算合同总价约定的比例扣留质量保证金；采用质量保证金保函担保形式的，工程竣工前，不得扣留质量保证金。</w:t>
      </w:r>
    </w:p>
    <w:p w14:paraId="67DA2C7F">
      <w:pPr>
        <w:spacing w:before="161" w:line="360" w:lineRule="auto"/>
        <w:ind w:left="19" w:right="23" w:firstLine="430"/>
        <w:jc w:val="both"/>
        <w:rPr>
          <w:rFonts w:hint="eastAsia" w:ascii="宋体" w:hAnsi="宋体" w:eastAsia="宋体" w:cs="宋体"/>
          <w:spacing w:val="8"/>
          <w:sz w:val="20"/>
          <w:szCs w:val="20"/>
        </w:rPr>
      </w:pPr>
      <w:r>
        <w:rPr>
          <w:rFonts w:hint="eastAsia" w:ascii="宋体" w:hAnsi="宋体" w:eastAsia="宋体" w:cs="宋体"/>
          <w:spacing w:val="8"/>
          <w:sz w:val="20"/>
          <w:szCs w:val="20"/>
        </w:rPr>
        <w:t>（3）质量保证金的形式与约定比例见合同条款专用部分。</w:t>
      </w:r>
    </w:p>
    <w:p w14:paraId="75B04ADD">
      <w:pPr>
        <w:spacing w:before="161" w:line="360" w:lineRule="auto"/>
        <w:ind w:left="19" w:right="23" w:firstLine="430"/>
        <w:jc w:val="both"/>
        <w:rPr>
          <w:rFonts w:hint="eastAsia" w:ascii="宋体" w:hAnsi="宋体" w:eastAsia="宋体" w:cs="宋体"/>
          <w:sz w:val="20"/>
          <w:szCs w:val="20"/>
        </w:rPr>
      </w:pPr>
      <w:r>
        <w:rPr>
          <w:rFonts w:hint="eastAsia" w:ascii="宋体" w:hAnsi="宋体" w:eastAsia="宋体" w:cs="宋体"/>
          <w:spacing w:val="8"/>
          <w:sz w:val="20"/>
          <w:szCs w:val="20"/>
        </w:rPr>
        <w:t>17.4.2  在第 1.1.4.5 目约定的缺陷责任期满时，承包</w:t>
      </w:r>
      <w:r>
        <w:rPr>
          <w:rFonts w:hint="eastAsia" w:ascii="宋体" w:hAnsi="宋体" w:eastAsia="宋体" w:cs="宋体"/>
          <w:spacing w:val="4"/>
          <w:sz w:val="20"/>
          <w:szCs w:val="20"/>
        </w:rPr>
        <w:t>人向发包人申请到期应返还承包</w:t>
      </w:r>
      <w:r>
        <w:rPr>
          <w:rFonts w:hint="eastAsia" w:ascii="宋体" w:hAnsi="宋体" w:eastAsia="宋体" w:cs="宋体"/>
          <w:spacing w:val="9"/>
          <w:sz w:val="20"/>
          <w:szCs w:val="20"/>
        </w:rPr>
        <w:t>人剩余的质量保证金金额或退还保函担保，发包人应在</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9"/>
          <w:sz w:val="20"/>
          <w:szCs w:val="20"/>
        </w:rPr>
        <w:t>天内会同承包人按照合同</w:t>
      </w:r>
      <w:r>
        <w:rPr>
          <w:rFonts w:hint="eastAsia" w:ascii="宋体" w:hAnsi="宋体" w:eastAsia="宋体" w:cs="宋体"/>
          <w:spacing w:val="8"/>
          <w:sz w:val="20"/>
          <w:szCs w:val="20"/>
        </w:rPr>
        <w:t>约定的内容核实承包人是否完成缺陷责任。如无异议</w:t>
      </w:r>
      <w:r>
        <w:rPr>
          <w:rFonts w:hint="eastAsia" w:ascii="宋体" w:hAnsi="宋体" w:eastAsia="宋体" w:cs="宋体"/>
          <w:spacing w:val="7"/>
          <w:sz w:val="20"/>
          <w:szCs w:val="20"/>
        </w:rPr>
        <w:t>，发包人应当在核实后将剩余保证金返还承包</w:t>
      </w:r>
      <w:r>
        <w:rPr>
          <w:rFonts w:hint="eastAsia" w:ascii="宋体" w:hAnsi="宋体" w:eastAsia="宋体" w:cs="宋体"/>
          <w:spacing w:val="8"/>
          <w:sz w:val="20"/>
          <w:szCs w:val="20"/>
        </w:rPr>
        <w:t>人或将其保函退还承包人。</w:t>
      </w:r>
    </w:p>
    <w:p w14:paraId="6CBD3EEA">
      <w:pPr>
        <w:spacing w:before="161" w:line="360" w:lineRule="auto"/>
        <w:ind w:left="20" w:right="92" w:firstLine="434"/>
        <w:rPr>
          <w:rFonts w:hint="eastAsia" w:ascii="宋体" w:hAnsi="宋体" w:eastAsia="宋体" w:cs="宋体"/>
          <w:sz w:val="20"/>
          <w:szCs w:val="20"/>
        </w:rPr>
      </w:pPr>
      <w:r>
        <w:rPr>
          <w:rFonts w:hint="eastAsia" w:ascii="宋体" w:hAnsi="宋体" w:eastAsia="宋体" w:cs="宋体"/>
          <w:spacing w:val="4"/>
          <w:sz w:val="20"/>
          <w:szCs w:val="20"/>
        </w:rPr>
        <w:t>17.4.3  在第</w:t>
      </w:r>
      <w:r>
        <w:rPr>
          <w:rFonts w:hint="eastAsia" w:ascii="宋体" w:hAnsi="宋体" w:eastAsia="宋体" w:cs="宋体"/>
          <w:spacing w:val="-18"/>
          <w:sz w:val="20"/>
          <w:szCs w:val="20"/>
        </w:rPr>
        <w:t xml:space="preserve"> </w:t>
      </w:r>
      <w:r>
        <w:rPr>
          <w:rFonts w:hint="eastAsia" w:ascii="宋体" w:hAnsi="宋体" w:eastAsia="宋体" w:cs="宋体"/>
          <w:spacing w:val="4"/>
          <w:sz w:val="20"/>
          <w:szCs w:val="20"/>
        </w:rPr>
        <w:t>1.1.4.5 目约定的缺陷责任期满时，承包人没有完成缺陷责任的，发包人</w:t>
      </w:r>
      <w:r>
        <w:rPr>
          <w:rFonts w:hint="eastAsia" w:ascii="宋体" w:hAnsi="宋体" w:eastAsia="宋体" w:cs="宋体"/>
          <w:spacing w:val="13"/>
          <w:sz w:val="20"/>
          <w:szCs w:val="20"/>
        </w:rPr>
        <w:t>有权扣留与未履行责任剩余工作所需金额相应的质量保证金余额或依据其保</w:t>
      </w:r>
      <w:r>
        <w:rPr>
          <w:rFonts w:hint="eastAsia" w:ascii="宋体" w:hAnsi="宋体" w:eastAsia="宋体" w:cs="宋体"/>
          <w:spacing w:val="12"/>
          <w:sz w:val="20"/>
          <w:szCs w:val="20"/>
        </w:rPr>
        <w:t>函担保约定追</w:t>
      </w:r>
      <w:r>
        <w:rPr>
          <w:rFonts w:hint="eastAsia" w:ascii="宋体" w:hAnsi="宋体" w:eastAsia="宋体" w:cs="宋体"/>
          <w:spacing w:val="8"/>
          <w:sz w:val="20"/>
          <w:szCs w:val="20"/>
        </w:rPr>
        <w:t>究责任，并有权根据第</w:t>
      </w:r>
      <w:r>
        <w:rPr>
          <w:rFonts w:hint="eastAsia" w:ascii="宋体" w:hAnsi="宋体" w:eastAsia="宋体" w:cs="宋体"/>
          <w:spacing w:val="-23"/>
          <w:sz w:val="20"/>
          <w:szCs w:val="20"/>
        </w:rPr>
        <w:t xml:space="preserve"> </w:t>
      </w:r>
      <w:r>
        <w:rPr>
          <w:rFonts w:hint="eastAsia" w:ascii="宋体" w:hAnsi="宋体" w:eastAsia="宋体" w:cs="宋体"/>
          <w:spacing w:val="8"/>
          <w:sz w:val="20"/>
          <w:szCs w:val="20"/>
        </w:rPr>
        <w:t>19.3</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款约定要求延长缺陷责任期，直至完成剩余工作为止。</w:t>
      </w:r>
    </w:p>
    <w:p w14:paraId="37555114">
      <w:pPr>
        <w:spacing w:before="288" w:line="360" w:lineRule="auto"/>
        <w:ind w:left="38"/>
        <w:outlineLvl w:val="2"/>
        <w:rPr>
          <w:rFonts w:hint="eastAsia" w:ascii="宋体" w:hAnsi="宋体" w:eastAsia="宋体" w:cs="宋体"/>
          <w:sz w:val="24"/>
          <w:szCs w:val="24"/>
        </w:rPr>
      </w:pPr>
      <w:bookmarkStart w:id="693" w:name="bookmark111"/>
      <w:bookmarkEnd w:id="693"/>
      <w:r>
        <w:rPr>
          <w:rFonts w:hint="eastAsia" w:ascii="宋体" w:hAnsi="宋体" w:eastAsia="宋体" w:cs="宋体"/>
          <w:spacing w:val="-5"/>
          <w:sz w:val="24"/>
          <w:szCs w:val="24"/>
        </w:rPr>
        <w:t>17.5</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竣工结算</w:t>
      </w:r>
    </w:p>
    <w:p w14:paraId="565019FF">
      <w:pPr>
        <w:spacing w:before="295" w:line="360" w:lineRule="auto"/>
        <w:ind w:left="455"/>
        <w:rPr>
          <w:rFonts w:hint="eastAsia" w:ascii="宋体" w:hAnsi="宋体" w:eastAsia="宋体" w:cs="宋体"/>
          <w:sz w:val="20"/>
          <w:szCs w:val="20"/>
        </w:rPr>
      </w:pPr>
      <w:r>
        <w:rPr>
          <w:rFonts w:hint="eastAsia" w:ascii="宋体" w:hAnsi="宋体" w:eastAsia="宋体" w:cs="宋体"/>
          <w:spacing w:val="4"/>
          <w:sz w:val="20"/>
          <w:szCs w:val="20"/>
        </w:rPr>
        <w:t>17.5.1  过程结算</w:t>
      </w:r>
    </w:p>
    <w:p w14:paraId="3523BBA3">
      <w:pPr>
        <w:spacing w:before="161" w:line="360" w:lineRule="auto"/>
        <w:ind w:left="440"/>
        <w:rPr>
          <w:rFonts w:hint="eastAsia" w:ascii="宋体" w:hAnsi="宋体" w:eastAsia="宋体" w:cs="宋体"/>
          <w:sz w:val="20"/>
          <w:szCs w:val="20"/>
        </w:rPr>
      </w:pPr>
      <w:r>
        <w:rPr>
          <w:rFonts w:hint="eastAsia" w:ascii="宋体" w:hAnsi="宋体" w:eastAsia="宋体" w:cs="宋体"/>
          <w:spacing w:val="9"/>
          <w:sz w:val="20"/>
          <w:szCs w:val="20"/>
        </w:rPr>
        <w:t>本工程是否进行过程结算及相关要求见合同条款专用部分。</w:t>
      </w:r>
    </w:p>
    <w:p w14:paraId="45C26317">
      <w:pPr>
        <w:spacing w:before="163" w:line="360" w:lineRule="auto"/>
        <w:ind w:left="455"/>
        <w:rPr>
          <w:rFonts w:hint="eastAsia" w:ascii="宋体" w:hAnsi="宋体" w:eastAsia="宋体" w:cs="宋体"/>
          <w:sz w:val="20"/>
          <w:szCs w:val="20"/>
        </w:rPr>
      </w:pPr>
      <w:r>
        <w:rPr>
          <w:rFonts w:hint="eastAsia" w:ascii="宋体" w:hAnsi="宋体" w:eastAsia="宋体" w:cs="宋体"/>
          <w:spacing w:val="5"/>
          <w:sz w:val="20"/>
          <w:szCs w:val="20"/>
        </w:rPr>
        <w:t>17.5.2  竣工付款申请单</w:t>
      </w:r>
    </w:p>
    <w:p w14:paraId="6CFDDF48">
      <w:pPr>
        <w:spacing w:before="161" w:line="360" w:lineRule="auto"/>
        <w:ind w:left="19" w:right="23" w:firstLine="430"/>
        <w:jc w:val="both"/>
        <w:rPr>
          <w:rFonts w:hint="eastAsia" w:ascii="宋体" w:hAnsi="宋体" w:eastAsia="宋体" w:cs="宋体"/>
          <w:spacing w:val="8"/>
          <w:sz w:val="20"/>
          <w:szCs w:val="20"/>
        </w:rPr>
      </w:pPr>
      <w:r>
        <w:rPr>
          <w:rFonts w:hint="eastAsia" w:ascii="宋体" w:hAnsi="宋体" w:eastAsia="宋体" w:cs="宋体"/>
          <w:spacing w:val="8"/>
          <w:sz w:val="20"/>
          <w:szCs w:val="20"/>
        </w:rPr>
        <w:t>（1）工程接收证书颁发后，承包人应按合同约定的份数和期限向监理人提交竣工付款申请单，并提供相关证明材料。承包人提交竣工付款申请单份数和期限见合同条款专用部分。</w:t>
      </w:r>
    </w:p>
    <w:p w14:paraId="4C1F0B94">
      <w:pPr>
        <w:spacing w:before="161" w:line="360" w:lineRule="auto"/>
        <w:ind w:left="19" w:right="23" w:firstLine="430"/>
        <w:jc w:val="both"/>
        <w:rPr>
          <w:rFonts w:hint="eastAsia" w:ascii="宋体" w:hAnsi="宋体" w:eastAsia="宋体" w:cs="宋体"/>
          <w:spacing w:val="8"/>
          <w:sz w:val="20"/>
          <w:szCs w:val="20"/>
        </w:rPr>
      </w:pPr>
      <w:r>
        <w:rPr>
          <w:rFonts w:hint="eastAsia" w:ascii="宋体" w:hAnsi="宋体" w:eastAsia="宋体" w:cs="宋体"/>
          <w:spacing w:val="8"/>
          <w:sz w:val="20"/>
          <w:szCs w:val="20"/>
        </w:rPr>
        <w:t>（2）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465C0926">
      <w:pPr>
        <w:spacing w:before="161" w:line="360" w:lineRule="auto"/>
        <w:ind w:left="19" w:right="23" w:firstLine="430"/>
        <w:jc w:val="both"/>
        <w:rPr>
          <w:rFonts w:hint="eastAsia" w:ascii="宋体" w:hAnsi="宋体" w:eastAsia="宋体" w:cs="宋体"/>
          <w:spacing w:val="8"/>
          <w:sz w:val="20"/>
          <w:szCs w:val="20"/>
        </w:rPr>
      </w:pPr>
      <w:r>
        <w:rPr>
          <w:rFonts w:hint="eastAsia" w:ascii="宋体" w:hAnsi="宋体" w:eastAsia="宋体" w:cs="宋体"/>
          <w:spacing w:val="8"/>
          <w:sz w:val="20"/>
          <w:szCs w:val="20"/>
        </w:rPr>
        <w:t>（3）监理人对竣工付款申请单有异议的，有权要求承包人进行修正和提供补充资料。经监理人和承包人协商后， 由承包人向监理人提交修正后的竣工付款申请单。</w:t>
      </w:r>
    </w:p>
    <w:p w14:paraId="4C63525B">
      <w:pPr>
        <w:spacing w:before="161" w:line="360" w:lineRule="auto"/>
        <w:ind w:left="19" w:right="23" w:firstLine="430"/>
        <w:jc w:val="both"/>
        <w:rPr>
          <w:rFonts w:hint="eastAsia" w:ascii="宋体" w:hAnsi="宋体" w:eastAsia="宋体" w:cs="宋体"/>
          <w:sz w:val="20"/>
          <w:szCs w:val="20"/>
        </w:rPr>
      </w:pPr>
      <w:r>
        <w:rPr>
          <w:rFonts w:hint="eastAsia" w:ascii="宋体" w:hAnsi="宋体" w:eastAsia="宋体" w:cs="宋体"/>
          <w:spacing w:val="8"/>
          <w:sz w:val="20"/>
          <w:szCs w:val="20"/>
        </w:rPr>
        <w:t>（4）承包人未按本项约定的期限和内容提交竣工付款申请单或者未按第 17.5.2（3）目约定提交修正后的竣工付款申请单，经监理人催促后 14 天内仍未提交或者没有明确答复的，监理人和发包人有权根据已有资料进行审查，审查确</w:t>
      </w:r>
      <w:r>
        <w:rPr>
          <w:rFonts w:hint="eastAsia" w:ascii="宋体" w:hAnsi="宋体" w:eastAsia="宋体" w:cs="宋体"/>
          <w:spacing w:val="7"/>
          <w:sz w:val="20"/>
          <w:szCs w:val="20"/>
        </w:rPr>
        <w:t>定的竣工结算合同总价和竣工付款</w:t>
      </w:r>
      <w:r>
        <w:rPr>
          <w:rFonts w:hint="eastAsia" w:ascii="宋体" w:hAnsi="宋体" w:eastAsia="宋体" w:cs="宋体"/>
          <w:spacing w:val="9"/>
          <w:sz w:val="20"/>
          <w:szCs w:val="20"/>
        </w:rPr>
        <w:t>金额视同是经承包人认可的工程竣工结算合同总价和竣工付款金额。</w:t>
      </w:r>
    </w:p>
    <w:p w14:paraId="28D8E044">
      <w:pPr>
        <w:spacing w:line="360" w:lineRule="auto"/>
        <w:ind w:left="455"/>
        <w:rPr>
          <w:rFonts w:hint="eastAsia" w:ascii="宋体" w:hAnsi="宋体" w:eastAsia="宋体" w:cs="宋体"/>
          <w:sz w:val="20"/>
          <w:szCs w:val="20"/>
        </w:rPr>
      </w:pPr>
      <w:r>
        <w:rPr>
          <w:rFonts w:hint="eastAsia" w:ascii="宋体" w:hAnsi="宋体" w:eastAsia="宋体" w:cs="宋体"/>
          <w:spacing w:val="6"/>
          <w:sz w:val="20"/>
          <w:szCs w:val="20"/>
        </w:rPr>
        <w:t>17.5.3  竣工付款证书及支付时间</w:t>
      </w:r>
    </w:p>
    <w:p w14:paraId="163E3B07">
      <w:pPr>
        <w:spacing w:before="164" w:line="360" w:lineRule="auto"/>
        <w:ind w:left="21" w:right="45" w:firstLine="428"/>
        <w:rPr>
          <w:rFonts w:hint="eastAsia" w:ascii="宋体" w:hAnsi="宋体" w:eastAsia="宋体" w:cs="宋体"/>
          <w:sz w:val="20"/>
          <w:szCs w:val="20"/>
        </w:rPr>
      </w:pPr>
      <w:r>
        <w:rPr>
          <w:rFonts w:hint="eastAsia" w:ascii="宋体" w:hAnsi="宋体" w:eastAsia="宋体" w:cs="宋体"/>
          <w:spacing w:val="6"/>
          <w:sz w:val="20"/>
          <w:szCs w:val="20"/>
        </w:rPr>
        <w:t>（1）监理人在收到承包人提交的竣工付款申请单后的</w:t>
      </w:r>
      <w:r>
        <w:rPr>
          <w:rFonts w:hint="eastAsia" w:ascii="宋体" w:hAnsi="宋体" w:eastAsia="宋体" w:cs="宋体"/>
          <w:spacing w:val="-24"/>
          <w:sz w:val="20"/>
          <w:szCs w:val="20"/>
        </w:rPr>
        <w:t xml:space="preserve"> </w:t>
      </w:r>
      <w:r>
        <w:rPr>
          <w:rFonts w:hint="eastAsia" w:ascii="宋体" w:hAnsi="宋体" w:eastAsia="宋体" w:cs="宋体"/>
          <w:spacing w:val="6"/>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天内完成审核</w:t>
      </w:r>
      <w:r>
        <w:rPr>
          <w:rFonts w:hint="eastAsia" w:ascii="宋体" w:hAnsi="宋体" w:eastAsia="宋体" w:cs="宋体"/>
          <w:spacing w:val="5"/>
          <w:sz w:val="20"/>
          <w:szCs w:val="20"/>
        </w:rPr>
        <w:t>，并提出发包人</w:t>
      </w:r>
      <w:r>
        <w:rPr>
          <w:rFonts w:hint="eastAsia" w:ascii="宋体" w:hAnsi="宋体" w:eastAsia="宋体" w:cs="宋体"/>
          <w:spacing w:val="9"/>
          <w:sz w:val="20"/>
          <w:szCs w:val="20"/>
        </w:rPr>
        <w:t>到期应支付给承包人的价款等审核意见，报送发包人审核。发包人应在收到后</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w:t>
      </w:r>
      <w:r>
        <w:rPr>
          <w:rFonts w:hint="eastAsia" w:ascii="宋体" w:hAnsi="宋体" w:eastAsia="宋体" w:cs="宋体"/>
          <w:spacing w:val="8"/>
          <w:sz w:val="20"/>
          <w:szCs w:val="20"/>
        </w:rPr>
        <w:t>内审核完毕，由监理人向承包人出具经发包人签字确</w:t>
      </w:r>
      <w:r>
        <w:rPr>
          <w:rFonts w:hint="eastAsia" w:ascii="宋体" w:hAnsi="宋体" w:eastAsia="宋体" w:cs="宋体"/>
          <w:spacing w:val="7"/>
          <w:sz w:val="20"/>
          <w:szCs w:val="20"/>
        </w:rPr>
        <w:t>认的竣工付款证书。监理人未在约定时间内提出具体意见的，视为承包人提交的竣工付款申请单已经监理人核查同意；发包人未在约定时</w:t>
      </w:r>
      <w:r>
        <w:rPr>
          <w:rFonts w:hint="eastAsia" w:ascii="宋体" w:hAnsi="宋体" w:eastAsia="宋体" w:cs="宋体"/>
          <w:spacing w:val="9"/>
          <w:sz w:val="20"/>
          <w:szCs w:val="20"/>
        </w:rPr>
        <w:t>间内提出具体意见的，监理人提出发包人到期应支付给承包人的价款视为</w:t>
      </w:r>
      <w:r>
        <w:rPr>
          <w:rFonts w:hint="eastAsia" w:ascii="宋体" w:hAnsi="宋体" w:eastAsia="宋体" w:cs="宋体"/>
          <w:spacing w:val="8"/>
          <w:sz w:val="20"/>
          <w:szCs w:val="20"/>
        </w:rPr>
        <w:t>已经发包人同意。</w:t>
      </w:r>
    </w:p>
    <w:p w14:paraId="01DB7F33">
      <w:pPr>
        <w:spacing w:before="161" w:line="360" w:lineRule="auto"/>
        <w:ind w:left="19" w:right="97" w:firstLine="430"/>
        <w:rPr>
          <w:rFonts w:hint="eastAsia" w:ascii="宋体" w:hAnsi="宋体" w:eastAsia="宋体" w:cs="宋体"/>
          <w:sz w:val="20"/>
          <w:szCs w:val="20"/>
        </w:rPr>
      </w:pPr>
      <w:r>
        <w:rPr>
          <w:rFonts w:hint="eastAsia" w:ascii="宋体" w:hAnsi="宋体" w:eastAsia="宋体" w:cs="宋体"/>
          <w:spacing w:val="6"/>
          <w:sz w:val="20"/>
          <w:szCs w:val="20"/>
        </w:rPr>
        <w:t>（2）发包人应在监理人出具竣工付款证书后的</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天内，将应支付款支付给</w:t>
      </w:r>
      <w:r>
        <w:rPr>
          <w:rFonts w:hint="eastAsia" w:ascii="宋体" w:hAnsi="宋体" w:eastAsia="宋体" w:cs="宋体"/>
          <w:spacing w:val="5"/>
          <w:sz w:val="20"/>
          <w:szCs w:val="20"/>
        </w:rPr>
        <w:t>承包人。发</w:t>
      </w:r>
      <w:r>
        <w:rPr>
          <w:rFonts w:hint="eastAsia" w:ascii="宋体" w:hAnsi="宋体" w:eastAsia="宋体" w:cs="宋体"/>
          <w:spacing w:val="7"/>
          <w:sz w:val="20"/>
          <w:szCs w:val="20"/>
        </w:rPr>
        <w:t>包人不按期支付的，按第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17.3.3（2）</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目</w:t>
      </w:r>
      <w:r>
        <w:rPr>
          <w:rFonts w:hint="eastAsia" w:ascii="宋体" w:hAnsi="宋体" w:eastAsia="宋体" w:cs="宋体"/>
          <w:spacing w:val="6"/>
          <w:sz w:val="20"/>
          <w:szCs w:val="20"/>
        </w:rPr>
        <w:t>的约定，将逾期付款违约金支付给承包人。</w:t>
      </w:r>
    </w:p>
    <w:p w14:paraId="3261709A">
      <w:pPr>
        <w:spacing w:before="160" w:line="360" w:lineRule="auto"/>
        <w:ind w:left="20" w:right="100" w:firstLine="429"/>
        <w:rPr>
          <w:rFonts w:hint="eastAsia" w:ascii="宋体" w:hAnsi="宋体" w:eastAsia="宋体" w:cs="宋体"/>
          <w:sz w:val="20"/>
          <w:szCs w:val="20"/>
        </w:rPr>
      </w:pPr>
      <w:r>
        <w:rPr>
          <w:rFonts w:hint="eastAsia" w:ascii="宋体" w:hAnsi="宋体" w:eastAsia="宋体" w:cs="宋体"/>
          <w:spacing w:val="10"/>
          <w:sz w:val="20"/>
          <w:szCs w:val="20"/>
        </w:rPr>
        <w:t>（3）如竣工付款证书中显示进度款支付超出实际已完成工程</w:t>
      </w:r>
      <w:r>
        <w:rPr>
          <w:rFonts w:hint="eastAsia" w:ascii="宋体" w:hAnsi="宋体" w:eastAsia="宋体" w:cs="宋体"/>
          <w:spacing w:val="9"/>
          <w:sz w:val="20"/>
          <w:szCs w:val="20"/>
        </w:rPr>
        <w:t>价款的情况，承包人应在</w:t>
      </w:r>
      <w:r>
        <w:rPr>
          <w:rFonts w:hint="eastAsia" w:ascii="宋体" w:hAnsi="宋体" w:eastAsia="宋体" w:cs="宋体"/>
          <w:spacing w:val="7"/>
          <w:sz w:val="20"/>
          <w:szCs w:val="20"/>
        </w:rPr>
        <w:t>监理人出具竣工付款证书后</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30 日内向发包人返还多收到的</w:t>
      </w:r>
      <w:r>
        <w:rPr>
          <w:rFonts w:hint="eastAsia" w:ascii="宋体" w:hAnsi="宋体" w:eastAsia="宋体" w:cs="宋体"/>
          <w:spacing w:val="6"/>
          <w:sz w:val="20"/>
          <w:szCs w:val="20"/>
        </w:rPr>
        <w:t>工程进度款。</w:t>
      </w:r>
    </w:p>
    <w:p w14:paraId="0D7B023C">
      <w:pPr>
        <w:spacing w:before="161" w:line="360" w:lineRule="auto"/>
        <w:ind w:left="24" w:firstLine="425"/>
        <w:rPr>
          <w:rFonts w:hint="eastAsia" w:ascii="宋体" w:hAnsi="宋体" w:eastAsia="宋体" w:cs="宋体"/>
          <w:sz w:val="20"/>
          <w:szCs w:val="20"/>
        </w:rPr>
      </w:pPr>
      <w:r>
        <w:rPr>
          <w:rFonts w:hint="eastAsia" w:ascii="宋体" w:hAnsi="宋体" w:eastAsia="宋体" w:cs="宋体"/>
          <w:spacing w:val="10"/>
          <w:sz w:val="20"/>
          <w:szCs w:val="20"/>
        </w:rPr>
        <w:t>（4）承包人对发包人签认的竣工付款证书有异议的，发包人</w:t>
      </w:r>
      <w:r>
        <w:rPr>
          <w:rFonts w:hint="eastAsia" w:ascii="宋体" w:hAnsi="宋体" w:eastAsia="宋体" w:cs="宋体"/>
          <w:spacing w:val="9"/>
          <w:sz w:val="20"/>
          <w:szCs w:val="20"/>
        </w:rPr>
        <w:t>可出具竣工付款申请单中</w:t>
      </w:r>
      <w:r>
        <w:rPr>
          <w:rFonts w:hint="eastAsia" w:ascii="宋体" w:hAnsi="宋体" w:eastAsia="宋体" w:cs="宋体"/>
          <w:spacing w:val="11"/>
          <w:sz w:val="20"/>
          <w:szCs w:val="20"/>
        </w:rPr>
        <w:t>与承包人达成一致意见部分的临时付款证书。存在争议的部分，按第</w:t>
      </w:r>
      <w:r>
        <w:rPr>
          <w:rFonts w:hint="eastAsia" w:ascii="宋体" w:hAnsi="宋体" w:eastAsia="宋体" w:cs="宋体"/>
          <w:spacing w:val="-34"/>
          <w:sz w:val="20"/>
          <w:szCs w:val="20"/>
        </w:rPr>
        <w:t xml:space="preserve"> </w:t>
      </w:r>
      <w:r>
        <w:rPr>
          <w:rFonts w:hint="eastAsia" w:ascii="宋体" w:hAnsi="宋体" w:eastAsia="宋体" w:cs="宋体"/>
          <w:spacing w:val="11"/>
          <w:sz w:val="20"/>
          <w:szCs w:val="20"/>
        </w:rPr>
        <w:t>24</w:t>
      </w:r>
      <w:r>
        <w:rPr>
          <w:rFonts w:hint="eastAsia" w:ascii="宋体" w:hAnsi="宋体" w:eastAsia="宋体" w:cs="宋体"/>
          <w:spacing w:val="-38"/>
          <w:sz w:val="20"/>
          <w:szCs w:val="20"/>
        </w:rPr>
        <w:t xml:space="preserve"> </w:t>
      </w:r>
      <w:r>
        <w:rPr>
          <w:rFonts w:hint="eastAsia" w:ascii="宋体" w:hAnsi="宋体" w:eastAsia="宋体" w:cs="宋体"/>
          <w:spacing w:val="11"/>
          <w:sz w:val="20"/>
          <w:szCs w:val="20"/>
        </w:rPr>
        <w:t>条“争议的解决</w:t>
      </w:r>
      <w:r>
        <w:rPr>
          <w:rFonts w:hint="eastAsia" w:ascii="宋体" w:hAnsi="宋体" w:eastAsia="宋体" w:cs="宋体"/>
          <w:spacing w:val="-73"/>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6"/>
          <w:sz w:val="20"/>
          <w:szCs w:val="20"/>
        </w:rPr>
        <w:t>的约定办理。</w:t>
      </w:r>
    </w:p>
    <w:p w14:paraId="3BAFA6EC">
      <w:pPr>
        <w:spacing w:before="161" w:line="360" w:lineRule="auto"/>
        <w:ind w:left="449"/>
        <w:rPr>
          <w:rFonts w:hint="eastAsia" w:ascii="宋体" w:hAnsi="宋体" w:eastAsia="宋体" w:cs="宋体"/>
          <w:sz w:val="20"/>
          <w:szCs w:val="20"/>
        </w:rPr>
      </w:pPr>
      <w:r>
        <w:rPr>
          <w:rFonts w:hint="eastAsia" w:ascii="宋体" w:hAnsi="宋体" w:eastAsia="宋体" w:cs="宋体"/>
          <w:spacing w:val="6"/>
          <w:sz w:val="20"/>
          <w:szCs w:val="20"/>
        </w:rPr>
        <w:t>（5）竣工付款涉及政府投资资金的，按第</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17</w:t>
      </w:r>
      <w:r>
        <w:rPr>
          <w:rFonts w:hint="eastAsia" w:ascii="宋体" w:hAnsi="宋体" w:eastAsia="宋体" w:cs="宋体"/>
          <w:spacing w:val="5"/>
          <w:sz w:val="20"/>
          <w:szCs w:val="20"/>
        </w:rPr>
        <w:t>.3.3（4）</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目的约定办理。</w:t>
      </w:r>
    </w:p>
    <w:p w14:paraId="3A24F90D">
      <w:pPr>
        <w:spacing w:before="161" w:line="360" w:lineRule="auto"/>
        <w:ind w:left="19" w:right="100" w:firstLine="436"/>
        <w:rPr>
          <w:rFonts w:hint="eastAsia" w:ascii="宋体" w:hAnsi="宋体" w:eastAsia="宋体" w:cs="宋体"/>
          <w:sz w:val="20"/>
          <w:szCs w:val="20"/>
        </w:rPr>
      </w:pPr>
      <w:r>
        <w:rPr>
          <w:rFonts w:hint="eastAsia" w:ascii="宋体" w:hAnsi="宋体" w:eastAsia="宋体" w:cs="宋体"/>
          <w:spacing w:val="7"/>
          <w:sz w:val="20"/>
          <w:szCs w:val="20"/>
        </w:rPr>
        <w:t>17.5.4  除第</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17.5.5</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项约定的情况外，发包人和承包人应当在监理人颁发（出具）工程接收证书后</w:t>
      </w:r>
      <w:r>
        <w:rPr>
          <w:rFonts w:hint="eastAsia" w:ascii="宋体" w:hAnsi="宋体" w:eastAsia="宋体" w:cs="宋体"/>
          <w:spacing w:val="-26"/>
          <w:sz w:val="20"/>
          <w:szCs w:val="20"/>
        </w:rPr>
        <w:t xml:space="preserve"> </w:t>
      </w:r>
      <w:r>
        <w:rPr>
          <w:rFonts w:hint="eastAsia" w:ascii="宋体" w:hAnsi="宋体" w:eastAsia="宋体" w:cs="宋体"/>
          <w:spacing w:val="7"/>
          <w:sz w:val="20"/>
          <w:szCs w:val="20"/>
        </w:rPr>
        <w:t>56</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天内办清竣工结算和竣工付款。</w:t>
      </w:r>
    </w:p>
    <w:p w14:paraId="518EEB7F">
      <w:pPr>
        <w:spacing w:before="162" w:line="360" w:lineRule="auto"/>
        <w:ind w:left="21" w:right="100" w:firstLine="433"/>
        <w:rPr>
          <w:rFonts w:hint="eastAsia" w:ascii="宋体" w:hAnsi="宋体" w:eastAsia="宋体" w:cs="宋体"/>
          <w:sz w:val="20"/>
          <w:szCs w:val="20"/>
        </w:rPr>
      </w:pPr>
      <w:r>
        <w:rPr>
          <w:rFonts w:hint="eastAsia" w:ascii="宋体" w:hAnsi="宋体" w:eastAsia="宋体" w:cs="宋体"/>
          <w:spacing w:val="6"/>
          <w:sz w:val="20"/>
          <w:szCs w:val="20"/>
        </w:rPr>
        <w:t>17.5.5  政府投资或者以政府投资为主的建设项目纳入审计项目计划的，发包人和承包</w:t>
      </w:r>
      <w:r>
        <w:rPr>
          <w:rFonts w:hint="eastAsia" w:ascii="宋体" w:hAnsi="宋体" w:eastAsia="宋体" w:cs="宋体"/>
          <w:spacing w:val="7"/>
          <w:sz w:val="20"/>
          <w:szCs w:val="20"/>
        </w:rPr>
        <w:t>人均负有配合、接受审计机关审计的义务，竣工结算应当依据审计结论，办清竣工结算和竣</w:t>
      </w:r>
      <w:r>
        <w:rPr>
          <w:rFonts w:hint="eastAsia" w:ascii="宋体" w:hAnsi="宋体" w:eastAsia="宋体" w:cs="宋体"/>
          <w:spacing w:val="8"/>
          <w:sz w:val="20"/>
          <w:szCs w:val="20"/>
        </w:rPr>
        <w:t>工付款的时间按照相关规定执行。</w:t>
      </w:r>
    </w:p>
    <w:p w14:paraId="3A5F1AD3">
      <w:pPr>
        <w:spacing w:before="286" w:line="360" w:lineRule="auto"/>
        <w:ind w:left="38"/>
        <w:outlineLvl w:val="2"/>
        <w:rPr>
          <w:rFonts w:hint="eastAsia" w:ascii="宋体" w:hAnsi="宋体" w:eastAsia="宋体" w:cs="宋体"/>
          <w:sz w:val="24"/>
          <w:szCs w:val="24"/>
        </w:rPr>
      </w:pPr>
      <w:bookmarkStart w:id="694" w:name="bookmark112"/>
      <w:bookmarkEnd w:id="694"/>
      <w:r>
        <w:rPr>
          <w:rFonts w:hint="eastAsia" w:ascii="宋体" w:hAnsi="宋体" w:eastAsia="宋体" w:cs="宋体"/>
          <w:spacing w:val="-5"/>
          <w:sz w:val="24"/>
          <w:szCs w:val="24"/>
        </w:rPr>
        <w:t>17.6</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最终结清</w:t>
      </w:r>
    </w:p>
    <w:p w14:paraId="098E4101">
      <w:pPr>
        <w:spacing w:before="297" w:line="360" w:lineRule="auto"/>
        <w:ind w:left="455"/>
        <w:rPr>
          <w:rFonts w:hint="eastAsia" w:ascii="宋体" w:hAnsi="宋体" w:eastAsia="宋体" w:cs="宋体"/>
          <w:sz w:val="20"/>
          <w:szCs w:val="20"/>
        </w:rPr>
      </w:pPr>
      <w:r>
        <w:rPr>
          <w:rFonts w:hint="eastAsia" w:ascii="宋体" w:hAnsi="宋体" w:eastAsia="宋体" w:cs="宋体"/>
          <w:spacing w:val="5"/>
          <w:sz w:val="20"/>
          <w:szCs w:val="20"/>
        </w:rPr>
        <w:t>17.6.1  最终结清申请单</w:t>
      </w:r>
    </w:p>
    <w:p w14:paraId="17242A86">
      <w:pPr>
        <w:spacing w:before="162" w:line="360" w:lineRule="auto"/>
        <w:ind w:left="23" w:right="97" w:firstLine="426"/>
        <w:jc w:val="both"/>
        <w:rPr>
          <w:rFonts w:hint="eastAsia" w:ascii="宋体" w:hAnsi="宋体" w:eastAsia="宋体" w:cs="宋体"/>
          <w:sz w:val="20"/>
          <w:szCs w:val="20"/>
        </w:rPr>
      </w:pPr>
      <w:r>
        <w:rPr>
          <w:rFonts w:hint="eastAsia" w:ascii="宋体" w:hAnsi="宋体" w:eastAsia="宋体" w:cs="宋体"/>
          <w:spacing w:val="10"/>
          <w:sz w:val="20"/>
          <w:szCs w:val="20"/>
        </w:rPr>
        <w:t>（1）缺陷责任期终止证书签发后，承包人可按合同约定的份</w:t>
      </w:r>
      <w:r>
        <w:rPr>
          <w:rFonts w:hint="eastAsia" w:ascii="宋体" w:hAnsi="宋体" w:eastAsia="宋体" w:cs="宋体"/>
          <w:spacing w:val="9"/>
          <w:sz w:val="20"/>
          <w:szCs w:val="20"/>
        </w:rPr>
        <w:t>数和期限向监理人提交最</w:t>
      </w:r>
      <w:r>
        <w:rPr>
          <w:rFonts w:hint="eastAsia" w:ascii="宋体" w:hAnsi="宋体" w:eastAsia="宋体" w:cs="宋体"/>
          <w:spacing w:val="7"/>
          <w:sz w:val="20"/>
          <w:szCs w:val="20"/>
        </w:rPr>
        <w:t>终结清申请单，并提供相关证明材料。承包人提交最终结清申请单的份数和期限见合同条款</w:t>
      </w:r>
      <w:r>
        <w:rPr>
          <w:rFonts w:hint="eastAsia" w:ascii="宋体" w:hAnsi="宋体" w:eastAsia="宋体" w:cs="宋体"/>
          <w:spacing w:val="5"/>
          <w:sz w:val="20"/>
          <w:szCs w:val="20"/>
        </w:rPr>
        <w:t>专用部分。</w:t>
      </w:r>
    </w:p>
    <w:p w14:paraId="0517DAF1">
      <w:pPr>
        <w:spacing w:before="2" w:line="360" w:lineRule="auto"/>
        <w:ind w:left="24" w:right="45" w:firstLine="418"/>
        <w:rPr>
          <w:rFonts w:hint="eastAsia" w:ascii="宋体" w:hAnsi="宋体" w:eastAsia="宋体" w:cs="宋体"/>
          <w:sz w:val="20"/>
          <w:szCs w:val="20"/>
        </w:rPr>
      </w:pPr>
      <w:r>
        <w:rPr>
          <w:rFonts w:hint="eastAsia" w:ascii="宋体" w:hAnsi="宋体" w:eastAsia="宋体" w:cs="宋体"/>
          <w:spacing w:val="9"/>
          <w:sz w:val="20"/>
          <w:szCs w:val="20"/>
        </w:rPr>
        <w:t>发包人向承包人支付质量保证金利息的，承包人应按照约定的</w:t>
      </w:r>
      <w:r>
        <w:rPr>
          <w:rFonts w:hint="eastAsia" w:ascii="宋体" w:hAnsi="宋体" w:eastAsia="宋体" w:cs="宋体"/>
          <w:spacing w:val="8"/>
          <w:sz w:val="20"/>
          <w:szCs w:val="20"/>
        </w:rPr>
        <w:t>利息计算方法计算利息，</w:t>
      </w:r>
      <w:r>
        <w:rPr>
          <w:rFonts w:hint="eastAsia" w:ascii="宋体" w:hAnsi="宋体" w:eastAsia="宋体" w:cs="宋体"/>
          <w:spacing w:val="9"/>
          <w:sz w:val="20"/>
          <w:szCs w:val="20"/>
        </w:rPr>
        <w:t>并列入最终结清申请单中。是否支付质量保证金利息及利息计算方</w:t>
      </w:r>
      <w:r>
        <w:rPr>
          <w:rFonts w:hint="eastAsia" w:ascii="宋体" w:hAnsi="宋体" w:eastAsia="宋体" w:cs="宋体"/>
          <w:spacing w:val="8"/>
          <w:sz w:val="20"/>
          <w:szCs w:val="20"/>
        </w:rPr>
        <w:t>法见合同条款专用部分。</w:t>
      </w:r>
    </w:p>
    <w:p w14:paraId="4925D158">
      <w:pPr>
        <w:spacing w:before="2" w:line="360" w:lineRule="auto"/>
        <w:ind w:left="19" w:right="100" w:firstLine="430"/>
        <w:rPr>
          <w:rFonts w:hint="eastAsia" w:ascii="宋体" w:hAnsi="宋体" w:eastAsia="宋体" w:cs="宋体"/>
        </w:rPr>
      </w:pPr>
      <w:r>
        <w:rPr>
          <w:rFonts w:hint="eastAsia" w:ascii="宋体" w:hAnsi="宋体" w:eastAsia="宋体" w:cs="宋体"/>
          <w:spacing w:val="10"/>
          <w:sz w:val="20"/>
          <w:szCs w:val="20"/>
        </w:rPr>
        <w:t>（2）发包人对最终结清申请单内容有异议的，有权要求承包</w:t>
      </w:r>
      <w:r>
        <w:rPr>
          <w:rFonts w:hint="eastAsia" w:ascii="宋体" w:hAnsi="宋体" w:eastAsia="宋体" w:cs="宋体"/>
          <w:spacing w:val="9"/>
          <w:sz w:val="20"/>
          <w:szCs w:val="20"/>
        </w:rPr>
        <w:t>人进行修正和提供补充资</w:t>
      </w:r>
      <w:r>
        <w:rPr>
          <w:rFonts w:hint="eastAsia" w:ascii="宋体" w:hAnsi="宋体" w:eastAsia="宋体" w:cs="宋体"/>
          <w:spacing w:val="7"/>
          <w:sz w:val="20"/>
          <w:szCs w:val="20"/>
        </w:rPr>
        <w:t>料，</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由承包人向监理人提交修正后的最终结清申请单。</w:t>
      </w:r>
      <w:r>
        <w:rPr>
          <w:rFonts w:hint="eastAsia" w:ascii="宋体" w:hAnsi="宋体" w:eastAsia="宋体" w:cs="宋体"/>
          <w:sz w:val="20"/>
          <w:szCs w:val="20"/>
          <w:lang w:eastAsia="zh-CN"/>
        </w:rPr>
        <w:t xml:space="preserve"> </w:t>
      </w:r>
    </w:p>
    <w:p w14:paraId="4B067658">
      <w:pPr>
        <w:spacing w:before="65" w:line="360" w:lineRule="auto"/>
        <w:ind w:left="455"/>
        <w:rPr>
          <w:rFonts w:hint="eastAsia" w:ascii="宋体" w:hAnsi="宋体" w:eastAsia="宋体" w:cs="宋体"/>
          <w:sz w:val="20"/>
          <w:szCs w:val="20"/>
        </w:rPr>
      </w:pPr>
      <w:r>
        <w:rPr>
          <w:rFonts w:hint="eastAsia" w:ascii="宋体" w:hAnsi="宋体" w:eastAsia="宋体" w:cs="宋体"/>
          <w:spacing w:val="6"/>
          <w:sz w:val="20"/>
          <w:szCs w:val="20"/>
        </w:rPr>
        <w:t>17.6.2  最终结清证书和支付时间</w:t>
      </w:r>
    </w:p>
    <w:p w14:paraId="362FAED5">
      <w:pPr>
        <w:spacing w:before="162" w:line="360" w:lineRule="auto"/>
        <w:ind w:left="19" w:right="55" w:firstLine="430"/>
        <w:rPr>
          <w:rFonts w:hint="eastAsia" w:ascii="宋体" w:hAnsi="宋体" w:eastAsia="宋体" w:cs="宋体"/>
          <w:sz w:val="20"/>
          <w:szCs w:val="20"/>
        </w:rPr>
      </w:pPr>
      <w:r>
        <w:rPr>
          <w:rFonts w:hint="eastAsia" w:ascii="宋体" w:hAnsi="宋体" w:eastAsia="宋体" w:cs="宋体"/>
          <w:spacing w:val="6"/>
          <w:sz w:val="20"/>
          <w:szCs w:val="20"/>
        </w:rPr>
        <w:t>（1）监理人收到承包人提交的最终结清申请单后的</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天内，提出发包人应</w:t>
      </w:r>
      <w:r>
        <w:rPr>
          <w:rFonts w:hint="eastAsia" w:ascii="宋体" w:hAnsi="宋体" w:eastAsia="宋体" w:cs="宋体"/>
          <w:spacing w:val="5"/>
          <w:sz w:val="20"/>
          <w:szCs w:val="20"/>
        </w:rPr>
        <w:t>支付给承包</w:t>
      </w:r>
      <w:r>
        <w:rPr>
          <w:rFonts w:hint="eastAsia" w:ascii="宋体" w:hAnsi="宋体" w:eastAsia="宋体" w:cs="宋体"/>
          <w:spacing w:val="8"/>
          <w:sz w:val="20"/>
          <w:szCs w:val="20"/>
        </w:rPr>
        <w:t>人的价款等审核意见，并报送发包人审核。发包人应在收到后</w:t>
      </w:r>
      <w:r>
        <w:rPr>
          <w:rFonts w:hint="eastAsia" w:ascii="宋体" w:hAnsi="宋体" w:eastAsia="宋体" w:cs="宋体"/>
          <w:spacing w:val="-23"/>
          <w:sz w:val="20"/>
          <w:szCs w:val="20"/>
        </w:rPr>
        <w:t xml:space="preserve"> </w:t>
      </w:r>
      <w:r>
        <w:rPr>
          <w:rFonts w:hint="eastAsia" w:ascii="宋体" w:hAnsi="宋体" w:eastAsia="宋体" w:cs="宋体"/>
          <w:spacing w:val="8"/>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天内审核完毕，</w:t>
      </w:r>
      <w:r>
        <w:rPr>
          <w:rFonts w:hint="eastAsia" w:ascii="宋体" w:hAnsi="宋体" w:eastAsia="宋体" w:cs="宋体"/>
          <w:spacing w:val="-60"/>
          <w:sz w:val="20"/>
          <w:szCs w:val="20"/>
        </w:rPr>
        <w:t xml:space="preserve"> </w:t>
      </w:r>
      <w:r>
        <w:rPr>
          <w:rFonts w:hint="eastAsia" w:ascii="宋体" w:hAnsi="宋体" w:eastAsia="宋体" w:cs="宋体"/>
          <w:spacing w:val="8"/>
          <w:sz w:val="20"/>
          <w:szCs w:val="20"/>
        </w:rPr>
        <w:t>由监</w:t>
      </w:r>
      <w:r>
        <w:rPr>
          <w:rFonts w:hint="eastAsia" w:ascii="宋体" w:hAnsi="宋体" w:eastAsia="宋体" w:cs="宋体"/>
          <w:spacing w:val="7"/>
          <w:sz w:val="20"/>
          <w:szCs w:val="20"/>
        </w:rPr>
        <w:t>理人</w:t>
      </w:r>
      <w:r>
        <w:rPr>
          <w:rFonts w:hint="eastAsia" w:ascii="宋体" w:hAnsi="宋体" w:eastAsia="宋体" w:cs="宋体"/>
          <w:spacing w:val="8"/>
          <w:sz w:val="20"/>
          <w:szCs w:val="20"/>
        </w:rPr>
        <w:t>向承包人出具经发包人签认的最终结清证书</w:t>
      </w:r>
      <w:r>
        <w:rPr>
          <w:rFonts w:hint="eastAsia" w:ascii="宋体" w:hAnsi="宋体" w:eastAsia="宋体" w:cs="宋体"/>
          <w:spacing w:val="7"/>
          <w:sz w:val="20"/>
          <w:szCs w:val="20"/>
        </w:rPr>
        <w:t>。监理人未在约定时间内提出具体意见的，视为</w:t>
      </w:r>
      <w:r>
        <w:rPr>
          <w:rFonts w:hint="eastAsia" w:ascii="宋体" w:hAnsi="宋体" w:eastAsia="宋体" w:cs="宋体"/>
          <w:spacing w:val="9"/>
          <w:sz w:val="20"/>
          <w:szCs w:val="20"/>
        </w:rPr>
        <w:t>承包人提交的最终结清申请已经监理人核查</w:t>
      </w:r>
      <w:r>
        <w:rPr>
          <w:rFonts w:hint="eastAsia" w:ascii="宋体" w:hAnsi="宋体" w:eastAsia="宋体" w:cs="宋体"/>
          <w:spacing w:val="8"/>
          <w:sz w:val="20"/>
          <w:szCs w:val="20"/>
        </w:rPr>
        <w:t>同意；发包人未在约定时间内提出具体意见的，</w:t>
      </w:r>
      <w:r>
        <w:rPr>
          <w:rFonts w:hint="eastAsia" w:ascii="宋体" w:hAnsi="宋体" w:eastAsia="宋体" w:cs="宋体"/>
          <w:spacing w:val="9"/>
          <w:sz w:val="20"/>
          <w:szCs w:val="20"/>
        </w:rPr>
        <w:t>监理人提出应支付给承包人的价款视为已经发包人同意。</w:t>
      </w:r>
    </w:p>
    <w:p w14:paraId="311CB288">
      <w:pPr>
        <w:spacing w:before="163" w:line="360" w:lineRule="auto"/>
        <w:ind w:left="19" w:right="92" w:firstLine="430"/>
        <w:rPr>
          <w:rFonts w:hint="eastAsia" w:ascii="宋体" w:hAnsi="宋体" w:eastAsia="宋体" w:cs="宋体"/>
          <w:sz w:val="20"/>
          <w:szCs w:val="20"/>
        </w:rPr>
      </w:pPr>
      <w:r>
        <w:rPr>
          <w:rFonts w:hint="eastAsia" w:ascii="宋体" w:hAnsi="宋体" w:eastAsia="宋体" w:cs="宋体"/>
          <w:spacing w:val="6"/>
          <w:sz w:val="20"/>
          <w:szCs w:val="20"/>
        </w:rPr>
        <w:t>（2）发包人应在监理人出具最终结清证书后的</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天内，将应支付款支付给</w:t>
      </w:r>
      <w:r>
        <w:rPr>
          <w:rFonts w:hint="eastAsia" w:ascii="宋体" w:hAnsi="宋体" w:eastAsia="宋体" w:cs="宋体"/>
          <w:spacing w:val="5"/>
          <w:sz w:val="20"/>
          <w:szCs w:val="20"/>
        </w:rPr>
        <w:t>承包人。发</w:t>
      </w:r>
      <w:r>
        <w:rPr>
          <w:rFonts w:hint="eastAsia" w:ascii="宋体" w:hAnsi="宋体" w:eastAsia="宋体" w:cs="宋体"/>
          <w:spacing w:val="7"/>
          <w:sz w:val="20"/>
          <w:szCs w:val="20"/>
        </w:rPr>
        <w:t>包人不按期支付的，按第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17.3.3（2）</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目</w:t>
      </w:r>
      <w:r>
        <w:rPr>
          <w:rFonts w:hint="eastAsia" w:ascii="宋体" w:hAnsi="宋体" w:eastAsia="宋体" w:cs="宋体"/>
          <w:spacing w:val="6"/>
          <w:sz w:val="20"/>
          <w:szCs w:val="20"/>
        </w:rPr>
        <w:t>的约定，将逾期付款违约金支付给承包人。</w:t>
      </w:r>
    </w:p>
    <w:p w14:paraId="2A29D85C">
      <w:pPr>
        <w:spacing w:before="159" w:line="360" w:lineRule="auto"/>
        <w:ind w:left="24" w:right="92" w:firstLine="425"/>
        <w:rPr>
          <w:rFonts w:hint="eastAsia" w:ascii="宋体" w:hAnsi="宋体" w:eastAsia="宋体" w:cs="宋体"/>
          <w:sz w:val="20"/>
          <w:szCs w:val="20"/>
        </w:rPr>
      </w:pPr>
      <w:r>
        <w:rPr>
          <w:rFonts w:hint="eastAsia" w:ascii="宋体" w:hAnsi="宋体" w:eastAsia="宋体" w:cs="宋体"/>
          <w:spacing w:val="6"/>
          <w:sz w:val="20"/>
          <w:szCs w:val="20"/>
        </w:rPr>
        <w:t>（3）承包人对发包人签认的最终结清证书有异议</w:t>
      </w:r>
      <w:r>
        <w:rPr>
          <w:rFonts w:hint="eastAsia" w:ascii="宋体" w:hAnsi="宋体" w:eastAsia="宋体" w:cs="宋体"/>
          <w:spacing w:val="5"/>
          <w:sz w:val="20"/>
          <w:szCs w:val="20"/>
        </w:rPr>
        <w:t>的，按第</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24</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条“争议的解决</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”的约定</w:t>
      </w:r>
      <w:r>
        <w:rPr>
          <w:rFonts w:hint="eastAsia" w:ascii="宋体" w:hAnsi="宋体" w:eastAsia="宋体" w:cs="宋体"/>
          <w:spacing w:val="1"/>
          <w:sz w:val="20"/>
          <w:szCs w:val="20"/>
        </w:rPr>
        <w:t>办理。</w:t>
      </w:r>
    </w:p>
    <w:p w14:paraId="3CB0F2CC">
      <w:pPr>
        <w:spacing w:before="162" w:line="360" w:lineRule="auto"/>
        <w:ind w:left="449"/>
        <w:rPr>
          <w:rFonts w:hint="eastAsia" w:ascii="宋体" w:hAnsi="宋体" w:eastAsia="宋体" w:cs="宋体"/>
          <w:sz w:val="20"/>
          <w:szCs w:val="20"/>
        </w:rPr>
      </w:pPr>
      <w:r>
        <w:rPr>
          <w:rFonts w:hint="eastAsia" w:ascii="宋体" w:hAnsi="宋体" w:eastAsia="宋体" w:cs="宋体"/>
          <w:spacing w:val="6"/>
          <w:sz w:val="20"/>
          <w:szCs w:val="20"/>
        </w:rPr>
        <w:t>（4）最终结清付款涉及政府投资资金的，按第</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17.3.3（4）</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目</w:t>
      </w:r>
      <w:r>
        <w:rPr>
          <w:rFonts w:hint="eastAsia" w:ascii="宋体" w:hAnsi="宋体" w:eastAsia="宋体" w:cs="宋体"/>
          <w:spacing w:val="5"/>
          <w:sz w:val="20"/>
          <w:szCs w:val="20"/>
        </w:rPr>
        <w:t>的约定办理。</w:t>
      </w:r>
    </w:p>
    <w:p w14:paraId="5E1E31AC">
      <w:pPr>
        <w:spacing w:before="291" w:line="360" w:lineRule="auto"/>
        <w:ind w:left="43"/>
        <w:outlineLvl w:val="1"/>
        <w:rPr>
          <w:rFonts w:hint="eastAsia" w:ascii="宋体" w:hAnsi="宋体" w:eastAsia="宋体" w:cs="宋体"/>
          <w:sz w:val="28"/>
          <w:szCs w:val="28"/>
        </w:rPr>
      </w:pPr>
      <w:bookmarkStart w:id="695" w:name="bookmark113"/>
      <w:bookmarkEnd w:id="695"/>
      <w:r>
        <w:rPr>
          <w:rFonts w:hint="eastAsia" w:ascii="宋体" w:hAnsi="宋体" w:eastAsia="宋体" w:cs="宋体"/>
          <w:spacing w:val="-5"/>
          <w:sz w:val="28"/>
          <w:szCs w:val="28"/>
        </w:rPr>
        <w:t>18.竣工验收</w:t>
      </w:r>
    </w:p>
    <w:p w14:paraId="55CFDBFC">
      <w:pPr>
        <w:pStyle w:val="17"/>
        <w:spacing w:line="360" w:lineRule="auto"/>
        <w:rPr>
          <w:rFonts w:hint="eastAsia" w:ascii="宋体" w:hAnsi="宋体" w:eastAsia="宋体" w:cs="宋体"/>
        </w:rPr>
      </w:pPr>
    </w:p>
    <w:p w14:paraId="7CB1E51F">
      <w:pPr>
        <w:spacing w:before="78" w:line="360" w:lineRule="auto"/>
        <w:ind w:left="38"/>
        <w:outlineLvl w:val="2"/>
        <w:rPr>
          <w:rFonts w:hint="eastAsia" w:ascii="宋体" w:hAnsi="宋体" w:eastAsia="宋体" w:cs="宋体"/>
          <w:sz w:val="24"/>
          <w:szCs w:val="24"/>
        </w:rPr>
      </w:pPr>
      <w:r>
        <w:rPr>
          <w:rFonts w:hint="eastAsia" w:ascii="宋体" w:hAnsi="宋体" w:eastAsia="宋体" w:cs="宋体"/>
          <w:spacing w:val="-3"/>
          <w:sz w:val="24"/>
          <w:szCs w:val="24"/>
        </w:rPr>
        <w:t>18.1  竣工验收的含义</w:t>
      </w:r>
    </w:p>
    <w:p w14:paraId="4DE9B8AB">
      <w:pPr>
        <w:spacing w:before="296" w:line="360" w:lineRule="auto"/>
        <w:ind w:left="455"/>
        <w:rPr>
          <w:rFonts w:hint="eastAsia" w:ascii="宋体" w:hAnsi="宋体" w:eastAsia="宋体" w:cs="宋体"/>
          <w:sz w:val="20"/>
          <w:szCs w:val="20"/>
        </w:rPr>
      </w:pPr>
      <w:r>
        <w:rPr>
          <w:rFonts w:hint="eastAsia" w:ascii="宋体" w:hAnsi="宋体" w:eastAsia="宋体" w:cs="宋体"/>
          <w:spacing w:val="8"/>
          <w:sz w:val="20"/>
          <w:szCs w:val="20"/>
        </w:rPr>
        <w:t>18.1.1  竣工验收指承包人完成了全部合同工作后，发包人按合同要求进行的验收。</w:t>
      </w:r>
    </w:p>
    <w:p w14:paraId="44F42B6A">
      <w:pPr>
        <w:spacing w:before="159" w:line="360" w:lineRule="auto"/>
        <w:ind w:left="22" w:right="92" w:firstLine="432"/>
        <w:rPr>
          <w:rFonts w:hint="eastAsia" w:ascii="宋体" w:hAnsi="宋体" w:eastAsia="宋体" w:cs="宋体"/>
          <w:sz w:val="20"/>
          <w:szCs w:val="20"/>
        </w:rPr>
      </w:pPr>
      <w:r>
        <w:rPr>
          <w:rFonts w:hint="eastAsia" w:ascii="宋体" w:hAnsi="宋体" w:eastAsia="宋体" w:cs="宋体"/>
          <w:spacing w:val="6"/>
          <w:sz w:val="20"/>
          <w:szCs w:val="20"/>
        </w:rPr>
        <w:t>18.1.2  国家验收是政府有关部门根据法律、规范、规程和政策要求，针对发包人全面</w:t>
      </w:r>
      <w:r>
        <w:rPr>
          <w:rFonts w:hint="eastAsia" w:ascii="宋体" w:hAnsi="宋体" w:eastAsia="宋体" w:cs="宋体"/>
          <w:spacing w:val="8"/>
          <w:sz w:val="20"/>
          <w:szCs w:val="20"/>
        </w:rPr>
        <w:t>组织实施的整个工程正式交付投运前的验收。</w:t>
      </w:r>
    </w:p>
    <w:p w14:paraId="143DD42C">
      <w:pPr>
        <w:spacing w:before="162" w:line="360" w:lineRule="auto"/>
        <w:ind w:left="19" w:right="92" w:firstLine="436"/>
        <w:rPr>
          <w:rFonts w:hint="eastAsia" w:ascii="宋体" w:hAnsi="宋体" w:eastAsia="宋体" w:cs="宋体"/>
          <w:sz w:val="20"/>
          <w:szCs w:val="20"/>
        </w:rPr>
      </w:pPr>
      <w:r>
        <w:rPr>
          <w:rFonts w:hint="eastAsia" w:ascii="宋体" w:hAnsi="宋体" w:eastAsia="宋体" w:cs="宋体"/>
          <w:spacing w:val="6"/>
          <w:sz w:val="20"/>
          <w:szCs w:val="20"/>
        </w:rPr>
        <w:t>18.1.3  需要进行国家验收的，竣工验收是国家验收的一部分。竣工验收所采用的各项</w:t>
      </w:r>
      <w:r>
        <w:rPr>
          <w:rFonts w:hint="eastAsia" w:ascii="宋体" w:hAnsi="宋体" w:eastAsia="宋体" w:cs="宋体"/>
          <w:spacing w:val="8"/>
          <w:sz w:val="20"/>
          <w:szCs w:val="20"/>
        </w:rPr>
        <w:t>验收和评定标准应符合国家验收标准。发包人和承</w:t>
      </w:r>
      <w:r>
        <w:rPr>
          <w:rFonts w:hint="eastAsia" w:ascii="宋体" w:hAnsi="宋体" w:eastAsia="宋体" w:cs="宋体"/>
          <w:spacing w:val="7"/>
          <w:sz w:val="20"/>
          <w:szCs w:val="20"/>
        </w:rPr>
        <w:t>包人为竣工验收提供的各项竣工验收资料</w:t>
      </w:r>
      <w:r>
        <w:rPr>
          <w:rFonts w:hint="eastAsia" w:ascii="宋体" w:hAnsi="宋体" w:eastAsia="宋体" w:cs="宋体"/>
          <w:spacing w:val="8"/>
          <w:sz w:val="20"/>
          <w:szCs w:val="20"/>
        </w:rPr>
        <w:t>应符合国家验收的要求。</w:t>
      </w:r>
    </w:p>
    <w:p w14:paraId="3871E3D7">
      <w:pPr>
        <w:spacing w:before="284" w:line="360" w:lineRule="auto"/>
        <w:ind w:left="38"/>
        <w:outlineLvl w:val="2"/>
        <w:rPr>
          <w:rFonts w:hint="eastAsia" w:ascii="宋体" w:hAnsi="宋体" w:eastAsia="宋体" w:cs="宋体"/>
          <w:sz w:val="24"/>
          <w:szCs w:val="24"/>
        </w:rPr>
      </w:pPr>
      <w:bookmarkStart w:id="696" w:name="bookmark114"/>
      <w:bookmarkEnd w:id="696"/>
      <w:r>
        <w:rPr>
          <w:rFonts w:hint="eastAsia" w:ascii="宋体" w:hAnsi="宋体" w:eastAsia="宋体" w:cs="宋体"/>
          <w:spacing w:val="-2"/>
          <w:sz w:val="24"/>
          <w:szCs w:val="24"/>
        </w:rPr>
        <w:t>18.2  竣工验收申请报告</w:t>
      </w:r>
    </w:p>
    <w:p w14:paraId="122AA519">
      <w:pPr>
        <w:spacing w:before="299" w:line="360" w:lineRule="auto"/>
        <w:ind w:left="453"/>
        <w:rPr>
          <w:rFonts w:hint="eastAsia" w:ascii="宋体" w:hAnsi="宋体" w:eastAsia="宋体" w:cs="宋体"/>
          <w:sz w:val="20"/>
          <w:szCs w:val="20"/>
        </w:rPr>
      </w:pPr>
      <w:r>
        <w:rPr>
          <w:rFonts w:hint="eastAsia" w:ascii="宋体" w:hAnsi="宋体" w:eastAsia="宋体" w:cs="宋体"/>
          <w:spacing w:val="9"/>
          <w:sz w:val="20"/>
          <w:szCs w:val="20"/>
        </w:rPr>
        <w:t>当工程具备以下条件时，承包人即可向监理人报送竣工验收申</w:t>
      </w:r>
      <w:r>
        <w:rPr>
          <w:rFonts w:hint="eastAsia" w:ascii="宋体" w:hAnsi="宋体" w:eastAsia="宋体" w:cs="宋体"/>
          <w:spacing w:val="8"/>
          <w:sz w:val="20"/>
          <w:szCs w:val="20"/>
        </w:rPr>
        <w:t>请报告：</w:t>
      </w:r>
    </w:p>
    <w:p w14:paraId="2670302F">
      <w:pPr>
        <w:spacing w:before="163" w:line="360" w:lineRule="auto"/>
        <w:ind w:left="21" w:right="94" w:firstLine="428"/>
        <w:rPr>
          <w:rFonts w:hint="eastAsia" w:ascii="宋体" w:hAnsi="宋体" w:eastAsia="宋体" w:cs="宋体"/>
          <w:sz w:val="20"/>
          <w:szCs w:val="20"/>
        </w:rPr>
      </w:pPr>
      <w:r>
        <w:rPr>
          <w:rFonts w:hint="eastAsia" w:ascii="宋体" w:hAnsi="宋体" w:eastAsia="宋体" w:cs="宋体"/>
          <w:spacing w:val="10"/>
          <w:sz w:val="20"/>
          <w:szCs w:val="20"/>
        </w:rPr>
        <w:t>（1）除监理人同意列入缺陷责任期内完成的尾工（甩项）工</w:t>
      </w:r>
      <w:r>
        <w:rPr>
          <w:rFonts w:hint="eastAsia" w:ascii="宋体" w:hAnsi="宋体" w:eastAsia="宋体" w:cs="宋体"/>
          <w:spacing w:val="9"/>
          <w:sz w:val="20"/>
          <w:szCs w:val="20"/>
        </w:rPr>
        <w:t>程和缺陷修补工作外，合</w:t>
      </w:r>
      <w:r>
        <w:rPr>
          <w:rFonts w:hint="eastAsia" w:ascii="宋体" w:hAnsi="宋体" w:eastAsia="宋体" w:cs="宋体"/>
          <w:spacing w:val="7"/>
          <w:sz w:val="20"/>
          <w:szCs w:val="20"/>
        </w:rPr>
        <w:t>同范围内的全部单位工程以及有关工作，包括合同要求的试验、试运行以及检验和验收均已完成，并符合合同要求。</w:t>
      </w:r>
    </w:p>
    <w:p w14:paraId="7A42DA63">
      <w:pPr>
        <w:spacing w:before="162" w:line="360" w:lineRule="auto"/>
        <w:ind w:left="21" w:right="39" w:firstLine="428"/>
        <w:rPr>
          <w:rFonts w:hint="eastAsia" w:ascii="宋体" w:hAnsi="宋体" w:eastAsia="宋体" w:cs="宋体"/>
          <w:sz w:val="20"/>
          <w:szCs w:val="20"/>
        </w:rPr>
      </w:pPr>
      <w:r>
        <w:rPr>
          <w:rFonts w:hint="eastAsia" w:ascii="宋体" w:hAnsi="宋体" w:eastAsia="宋体" w:cs="宋体"/>
          <w:spacing w:val="10"/>
          <w:sz w:val="20"/>
          <w:szCs w:val="20"/>
        </w:rPr>
        <w:t>（2）承包人负责整理和提交的竣工验收资料应当符合工程所</w:t>
      </w:r>
      <w:r>
        <w:rPr>
          <w:rFonts w:hint="eastAsia" w:ascii="宋体" w:hAnsi="宋体" w:eastAsia="宋体" w:cs="宋体"/>
          <w:spacing w:val="9"/>
          <w:sz w:val="20"/>
          <w:szCs w:val="20"/>
        </w:rPr>
        <w:t>在地建设行政主管部门和</w:t>
      </w:r>
      <w:r>
        <w:rPr>
          <w:rFonts w:hint="eastAsia" w:ascii="宋体" w:hAnsi="宋体" w:eastAsia="宋体" w:cs="宋体"/>
          <w:spacing w:val="8"/>
          <w:sz w:val="20"/>
          <w:szCs w:val="20"/>
        </w:rPr>
        <w:t>（或）城市建设档案管理机构有关施工资料的</w:t>
      </w:r>
      <w:r>
        <w:rPr>
          <w:rFonts w:hint="eastAsia" w:ascii="宋体" w:hAnsi="宋体" w:eastAsia="宋体" w:cs="宋体"/>
          <w:spacing w:val="7"/>
          <w:sz w:val="20"/>
          <w:szCs w:val="20"/>
        </w:rPr>
        <w:t>要求，同时已按合同条款专用部分约定备齐了</w:t>
      </w:r>
      <w:r>
        <w:rPr>
          <w:rFonts w:hint="eastAsia" w:ascii="宋体" w:hAnsi="宋体" w:eastAsia="宋体" w:cs="宋体"/>
          <w:spacing w:val="9"/>
          <w:sz w:val="20"/>
          <w:szCs w:val="20"/>
        </w:rPr>
        <w:t>符合要求的竣工资料。竣工验收资料的内容和份数以及费用支付方式见合</w:t>
      </w:r>
      <w:r>
        <w:rPr>
          <w:rFonts w:hint="eastAsia" w:ascii="宋体" w:hAnsi="宋体" w:eastAsia="宋体" w:cs="宋体"/>
          <w:spacing w:val="8"/>
          <w:sz w:val="20"/>
          <w:szCs w:val="20"/>
        </w:rPr>
        <w:t>同条款专用部分。</w:t>
      </w:r>
    </w:p>
    <w:p w14:paraId="2A02EF57">
      <w:pPr>
        <w:spacing w:before="158" w:line="360" w:lineRule="auto"/>
        <w:ind w:left="19" w:right="94" w:firstLine="430"/>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已按监理人的要求编制了在缺陷责任期内需</w:t>
      </w:r>
      <w:r>
        <w:rPr>
          <w:rFonts w:hint="eastAsia" w:ascii="宋体" w:hAnsi="宋体" w:eastAsia="宋体" w:cs="宋体"/>
          <w:spacing w:val="8"/>
          <w:sz w:val="20"/>
          <w:szCs w:val="20"/>
        </w:rPr>
        <w:t>完成的尾工（甩项）工程，和缺陷修补工作清单等相应施工计划。</w:t>
      </w:r>
    </w:p>
    <w:p w14:paraId="481462CE">
      <w:pPr>
        <w:spacing w:before="161" w:line="360" w:lineRule="auto"/>
        <w:ind w:left="449"/>
        <w:rPr>
          <w:rFonts w:hint="eastAsia" w:ascii="宋体" w:hAnsi="宋体" w:eastAsia="宋体" w:cs="宋体"/>
          <w:sz w:val="20"/>
          <w:szCs w:val="20"/>
        </w:rPr>
      </w:pPr>
      <w:r>
        <w:rPr>
          <w:rFonts w:hint="eastAsia" w:ascii="宋体" w:hAnsi="宋体" w:eastAsia="宋体" w:cs="宋体"/>
          <w:spacing w:val="8"/>
          <w:sz w:val="20"/>
          <w:szCs w:val="20"/>
        </w:rPr>
        <w:t>（4）监理人要求在竣工验收前应完成的其他工作。</w:t>
      </w:r>
    </w:p>
    <w:p w14:paraId="459DF196">
      <w:pPr>
        <w:spacing w:before="161" w:line="360" w:lineRule="auto"/>
        <w:ind w:left="449"/>
        <w:rPr>
          <w:rFonts w:hint="eastAsia" w:ascii="宋体" w:hAnsi="宋体" w:eastAsia="宋体" w:cs="宋体"/>
        </w:rPr>
      </w:pPr>
      <w:r>
        <w:rPr>
          <w:rFonts w:hint="eastAsia" w:ascii="宋体" w:hAnsi="宋体" w:eastAsia="宋体" w:cs="宋体"/>
          <w:spacing w:val="8"/>
          <w:sz w:val="20"/>
          <w:szCs w:val="20"/>
        </w:rPr>
        <w:t>（5）监理人要求提交的竣工验收资料清单。</w:t>
      </w:r>
    </w:p>
    <w:p w14:paraId="13E6E943">
      <w:pPr>
        <w:spacing w:before="78" w:line="360" w:lineRule="auto"/>
        <w:ind w:left="38"/>
        <w:outlineLvl w:val="2"/>
        <w:rPr>
          <w:rFonts w:hint="eastAsia" w:ascii="宋体" w:hAnsi="宋体" w:eastAsia="宋体" w:cs="宋体"/>
          <w:sz w:val="24"/>
          <w:szCs w:val="24"/>
        </w:rPr>
      </w:pPr>
      <w:bookmarkStart w:id="697" w:name="bookmark115"/>
      <w:bookmarkEnd w:id="697"/>
      <w:r>
        <w:rPr>
          <w:rFonts w:hint="eastAsia" w:ascii="宋体" w:hAnsi="宋体" w:eastAsia="宋体" w:cs="宋体"/>
          <w:spacing w:val="-6"/>
          <w:sz w:val="24"/>
          <w:szCs w:val="24"/>
        </w:rPr>
        <w:t>18.3</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验收</w:t>
      </w:r>
    </w:p>
    <w:p w14:paraId="141D8371">
      <w:pPr>
        <w:spacing w:before="296" w:line="360" w:lineRule="auto"/>
        <w:ind w:left="23" w:right="68" w:firstLine="417"/>
        <w:rPr>
          <w:rFonts w:hint="eastAsia" w:ascii="宋体" w:hAnsi="宋体" w:eastAsia="宋体" w:cs="宋体"/>
          <w:sz w:val="20"/>
          <w:szCs w:val="20"/>
        </w:rPr>
      </w:pPr>
      <w:r>
        <w:rPr>
          <w:rFonts w:hint="eastAsia" w:ascii="宋体" w:hAnsi="宋体" w:eastAsia="宋体" w:cs="宋体"/>
          <w:spacing w:val="9"/>
          <w:sz w:val="20"/>
          <w:szCs w:val="20"/>
        </w:rPr>
        <w:t>监理人收到承包人按第</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18.2</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款约定提交的竣工验收申请报告后</w:t>
      </w:r>
      <w:r>
        <w:rPr>
          <w:rFonts w:hint="eastAsia" w:ascii="宋体" w:hAnsi="宋体" w:eastAsia="宋体" w:cs="宋体"/>
          <w:spacing w:val="8"/>
          <w:sz w:val="20"/>
          <w:szCs w:val="20"/>
        </w:rPr>
        <w:t>，应审查申请报告的各项内容，并按以下不同情况进行处理。</w:t>
      </w:r>
    </w:p>
    <w:p w14:paraId="07FEC8F1">
      <w:pPr>
        <w:spacing w:before="2" w:line="360" w:lineRule="auto"/>
        <w:ind w:left="21" w:right="68" w:firstLine="433"/>
        <w:rPr>
          <w:rFonts w:hint="eastAsia" w:ascii="宋体" w:hAnsi="宋体" w:eastAsia="宋体" w:cs="宋体"/>
          <w:sz w:val="20"/>
          <w:szCs w:val="20"/>
        </w:rPr>
      </w:pPr>
      <w:r>
        <w:rPr>
          <w:rFonts w:hint="eastAsia" w:ascii="宋体" w:hAnsi="宋体" w:eastAsia="宋体" w:cs="宋体"/>
          <w:spacing w:val="6"/>
          <w:sz w:val="20"/>
          <w:szCs w:val="20"/>
        </w:rPr>
        <w:t>18.3.1  监理人审查后认为尚不具备竣工验收条件的，应在收到竣工验收申请报告后的</w:t>
      </w:r>
      <w:r>
        <w:rPr>
          <w:rFonts w:hint="eastAsia" w:ascii="宋体" w:hAnsi="宋体" w:eastAsia="宋体" w:cs="宋体"/>
          <w:spacing w:val="11"/>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11"/>
          <w:sz w:val="20"/>
          <w:szCs w:val="20"/>
        </w:rPr>
        <w:t>天内通知承包人，并指出在颁发接收证书前承包人需进行的工作内</w:t>
      </w:r>
      <w:r>
        <w:rPr>
          <w:rFonts w:hint="eastAsia" w:ascii="宋体" w:hAnsi="宋体" w:eastAsia="宋体" w:cs="宋体"/>
          <w:spacing w:val="10"/>
          <w:sz w:val="20"/>
          <w:szCs w:val="20"/>
        </w:rPr>
        <w:t>容。承包人完成监理</w:t>
      </w:r>
      <w:r>
        <w:rPr>
          <w:rFonts w:hint="eastAsia" w:ascii="宋体" w:hAnsi="宋体" w:eastAsia="宋体" w:cs="宋体"/>
          <w:spacing w:val="9"/>
          <w:sz w:val="20"/>
          <w:szCs w:val="20"/>
        </w:rPr>
        <w:t>人通知的全部工作内容后，应再次提交竣工验收申请报告，直至监理人同意为止。</w:t>
      </w:r>
    </w:p>
    <w:p w14:paraId="3AE6AB95">
      <w:pPr>
        <w:spacing w:before="163" w:line="360" w:lineRule="auto"/>
        <w:ind w:left="22" w:right="68" w:firstLine="432"/>
        <w:rPr>
          <w:rFonts w:hint="eastAsia" w:ascii="宋体" w:hAnsi="宋体" w:eastAsia="宋体" w:cs="宋体"/>
          <w:sz w:val="20"/>
          <w:szCs w:val="20"/>
        </w:rPr>
      </w:pPr>
      <w:r>
        <w:rPr>
          <w:rFonts w:hint="eastAsia" w:ascii="宋体" w:hAnsi="宋体" w:eastAsia="宋体" w:cs="宋体"/>
          <w:spacing w:val="11"/>
          <w:sz w:val="20"/>
          <w:szCs w:val="20"/>
        </w:rPr>
        <w:t>18.3.2  监理人审查后认为已具备竣工验收条件的，应在收到竣工验收申请报告后的</w:t>
      </w:r>
      <w:r>
        <w:rPr>
          <w:rFonts w:hint="eastAsia" w:ascii="宋体" w:hAnsi="宋体" w:eastAsia="宋体" w:cs="宋体"/>
          <w:spacing w:val="7"/>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天内提请发包人进行工程验收。</w:t>
      </w:r>
    </w:p>
    <w:p w14:paraId="25219443">
      <w:pPr>
        <w:spacing w:before="160" w:line="360" w:lineRule="auto"/>
        <w:ind w:left="19" w:right="31" w:firstLine="436"/>
        <w:rPr>
          <w:rFonts w:hint="eastAsia" w:ascii="宋体" w:hAnsi="宋体" w:eastAsia="宋体" w:cs="宋体"/>
          <w:sz w:val="20"/>
          <w:szCs w:val="20"/>
        </w:rPr>
      </w:pPr>
      <w:r>
        <w:rPr>
          <w:rFonts w:hint="eastAsia" w:ascii="宋体" w:hAnsi="宋体" w:eastAsia="宋体" w:cs="宋体"/>
          <w:spacing w:val="11"/>
          <w:sz w:val="20"/>
          <w:szCs w:val="20"/>
        </w:rPr>
        <w:t>18.3.3  发包人经过验收后同意接受工程的，应在监理人收到竣工验收申请报告后的</w:t>
      </w:r>
      <w:r>
        <w:rPr>
          <w:rFonts w:hint="eastAsia" w:ascii="宋体" w:hAnsi="宋体" w:eastAsia="宋体" w:cs="宋体"/>
          <w:spacing w:val="10"/>
          <w:sz w:val="20"/>
          <w:szCs w:val="20"/>
        </w:rPr>
        <w:t>56</w:t>
      </w:r>
      <w:r>
        <w:rPr>
          <w:rFonts w:hint="eastAsia" w:ascii="宋体" w:hAnsi="宋体" w:eastAsia="宋体" w:cs="宋体"/>
          <w:spacing w:val="-34"/>
          <w:sz w:val="20"/>
          <w:szCs w:val="20"/>
        </w:rPr>
        <w:t xml:space="preserve"> </w:t>
      </w:r>
      <w:r>
        <w:rPr>
          <w:rFonts w:hint="eastAsia" w:ascii="宋体" w:hAnsi="宋体" w:eastAsia="宋体" w:cs="宋体"/>
          <w:spacing w:val="10"/>
          <w:sz w:val="20"/>
          <w:szCs w:val="20"/>
        </w:rPr>
        <w:t>天内，</w:t>
      </w:r>
      <w:r>
        <w:rPr>
          <w:rFonts w:hint="eastAsia" w:ascii="宋体" w:hAnsi="宋体" w:eastAsia="宋体" w:cs="宋体"/>
          <w:spacing w:val="-59"/>
          <w:sz w:val="20"/>
          <w:szCs w:val="20"/>
        </w:rPr>
        <w:t xml:space="preserve"> </w:t>
      </w:r>
      <w:r>
        <w:rPr>
          <w:rFonts w:hint="eastAsia" w:ascii="宋体" w:hAnsi="宋体" w:eastAsia="宋体" w:cs="宋体"/>
          <w:spacing w:val="10"/>
          <w:sz w:val="20"/>
          <w:szCs w:val="20"/>
        </w:rPr>
        <w:t>由监理人向承包人出具经发包人签认的工程接收证书。发包人验</w:t>
      </w:r>
      <w:r>
        <w:rPr>
          <w:rFonts w:hint="eastAsia" w:ascii="宋体" w:hAnsi="宋体" w:eastAsia="宋体" w:cs="宋体"/>
          <w:spacing w:val="9"/>
          <w:sz w:val="20"/>
          <w:szCs w:val="20"/>
        </w:rPr>
        <w:t>收后同意接收工程，但提出整修和完善要求的，限期修好，并</w:t>
      </w:r>
      <w:r>
        <w:rPr>
          <w:rFonts w:hint="eastAsia" w:ascii="宋体" w:hAnsi="宋体" w:eastAsia="宋体" w:cs="宋体"/>
          <w:spacing w:val="8"/>
          <w:sz w:val="20"/>
          <w:szCs w:val="20"/>
        </w:rPr>
        <w:t>缓发工程接收证书。整修和完善工作完成后，</w:t>
      </w:r>
      <w:r>
        <w:rPr>
          <w:rFonts w:hint="eastAsia" w:ascii="宋体" w:hAnsi="宋体" w:eastAsia="宋体" w:cs="宋体"/>
          <w:spacing w:val="9"/>
          <w:sz w:val="20"/>
          <w:szCs w:val="20"/>
        </w:rPr>
        <w:t>监理人复查达到要求的，经发包人同意后，再向承包人出具工程接收证书。</w:t>
      </w:r>
    </w:p>
    <w:p w14:paraId="72E8CF74">
      <w:pPr>
        <w:spacing w:before="161" w:line="360" w:lineRule="auto"/>
        <w:ind w:left="19" w:firstLine="435"/>
        <w:rPr>
          <w:rFonts w:hint="eastAsia" w:ascii="宋体" w:hAnsi="宋体" w:eastAsia="宋体" w:cs="宋体"/>
          <w:sz w:val="20"/>
          <w:szCs w:val="20"/>
        </w:rPr>
      </w:pPr>
      <w:r>
        <w:rPr>
          <w:rFonts w:hint="eastAsia" w:ascii="宋体" w:hAnsi="宋体" w:eastAsia="宋体" w:cs="宋体"/>
          <w:spacing w:val="8"/>
          <w:sz w:val="20"/>
          <w:szCs w:val="20"/>
        </w:rPr>
        <w:t>18.3.4  发包人验收后不同意接收工程的，监理人应按照发包人的验收意见发出指示，要求承包人对不合格工程认真返工重作或进</w:t>
      </w:r>
      <w:r>
        <w:rPr>
          <w:rFonts w:hint="eastAsia" w:ascii="宋体" w:hAnsi="宋体" w:eastAsia="宋体" w:cs="宋体"/>
          <w:spacing w:val="7"/>
          <w:sz w:val="20"/>
          <w:szCs w:val="20"/>
        </w:rPr>
        <w:t>行补救处理，并承担由此产生的费用。承包人在</w:t>
      </w:r>
      <w:r>
        <w:rPr>
          <w:rFonts w:hint="eastAsia" w:ascii="宋体" w:hAnsi="宋体" w:eastAsia="宋体" w:cs="宋体"/>
          <w:spacing w:val="5"/>
          <w:sz w:val="20"/>
          <w:szCs w:val="20"/>
        </w:rPr>
        <w:t>完成不合格工程的返工重作或补救工作后，应重新提交竣工验收申请报告，按第</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18.3.1</w:t>
      </w:r>
      <w:r>
        <w:rPr>
          <w:rFonts w:hint="eastAsia" w:ascii="宋体" w:hAnsi="宋体" w:eastAsia="宋体" w:cs="宋体"/>
          <w:spacing w:val="-35"/>
          <w:sz w:val="20"/>
          <w:szCs w:val="20"/>
        </w:rPr>
        <w:t xml:space="preserve"> </w:t>
      </w:r>
      <w:r>
        <w:rPr>
          <w:rFonts w:hint="eastAsia" w:ascii="宋体" w:hAnsi="宋体" w:eastAsia="宋体" w:cs="宋体"/>
          <w:spacing w:val="5"/>
          <w:sz w:val="20"/>
          <w:szCs w:val="20"/>
        </w:rPr>
        <w:t>项、</w:t>
      </w:r>
      <w:r>
        <w:rPr>
          <w:rFonts w:hint="eastAsia" w:ascii="宋体" w:hAnsi="宋体" w:eastAsia="宋体" w:cs="宋体"/>
          <w:spacing w:val="3"/>
          <w:sz w:val="20"/>
          <w:szCs w:val="20"/>
        </w:rPr>
        <w:t>第</w:t>
      </w:r>
      <w:r>
        <w:rPr>
          <w:rFonts w:hint="eastAsia" w:ascii="宋体" w:hAnsi="宋体" w:eastAsia="宋体" w:cs="宋体"/>
          <w:spacing w:val="-17"/>
          <w:sz w:val="20"/>
          <w:szCs w:val="20"/>
        </w:rPr>
        <w:t xml:space="preserve"> </w:t>
      </w:r>
      <w:r>
        <w:rPr>
          <w:rFonts w:hint="eastAsia" w:ascii="宋体" w:hAnsi="宋体" w:eastAsia="宋体" w:cs="宋体"/>
          <w:spacing w:val="3"/>
          <w:sz w:val="20"/>
          <w:szCs w:val="20"/>
        </w:rPr>
        <w:t>18.3.2</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项和第</w:t>
      </w:r>
      <w:r>
        <w:rPr>
          <w:rFonts w:hint="eastAsia" w:ascii="宋体" w:hAnsi="宋体" w:eastAsia="宋体" w:cs="宋体"/>
          <w:spacing w:val="-21"/>
          <w:sz w:val="20"/>
          <w:szCs w:val="20"/>
        </w:rPr>
        <w:t xml:space="preserve"> </w:t>
      </w:r>
      <w:r>
        <w:rPr>
          <w:rFonts w:hint="eastAsia" w:ascii="宋体" w:hAnsi="宋体" w:eastAsia="宋体" w:cs="宋体"/>
          <w:spacing w:val="3"/>
          <w:sz w:val="20"/>
          <w:szCs w:val="20"/>
        </w:rPr>
        <w:t>18.3.3</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项的约定进行。</w:t>
      </w:r>
    </w:p>
    <w:p w14:paraId="284AA495">
      <w:pPr>
        <w:spacing w:before="161" w:line="360" w:lineRule="auto"/>
        <w:ind w:left="18" w:right="70" w:firstLine="437"/>
        <w:rPr>
          <w:rFonts w:hint="eastAsia" w:ascii="宋体" w:hAnsi="宋体" w:eastAsia="宋体" w:cs="宋体"/>
          <w:sz w:val="20"/>
          <w:szCs w:val="20"/>
        </w:rPr>
      </w:pPr>
      <w:r>
        <w:rPr>
          <w:rFonts w:hint="eastAsia" w:ascii="宋体" w:hAnsi="宋体" w:eastAsia="宋体" w:cs="宋体"/>
          <w:spacing w:val="8"/>
          <w:sz w:val="20"/>
          <w:szCs w:val="20"/>
        </w:rPr>
        <w:t>18.3.5  经验收合格的工程, 实</w:t>
      </w:r>
      <w:r>
        <w:rPr>
          <w:rFonts w:hint="eastAsia" w:ascii="宋体" w:hAnsi="宋体" w:eastAsia="宋体" w:cs="宋体"/>
          <w:spacing w:val="7"/>
          <w:sz w:val="20"/>
          <w:szCs w:val="20"/>
        </w:rPr>
        <w:t>际竣工日期为承包人按照第</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18.2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款提交竣工验收申请报告或按照本款重新提交竣工验收申请报告的日期（以两者中时间在后者为准）。</w:t>
      </w:r>
    </w:p>
    <w:p w14:paraId="3CFEF89B">
      <w:pPr>
        <w:spacing w:before="162" w:line="360" w:lineRule="auto"/>
        <w:ind w:left="24" w:right="14" w:firstLine="430"/>
        <w:rPr>
          <w:rFonts w:hint="eastAsia" w:ascii="宋体" w:hAnsi="宋体" w:eastAsia="宋体" w:cs="宋体"/>
          <w:sz w:val="20"/>
          <w:szCs w:val="20"/>
        </w:rPr>
      </w:pPr>
      <w:r>
        <w:rPr>
          <w:rFonts w:hint="eastAsia" w:ascii="宋体" w:hAnsi="宋体" w:eastAsia="宋体" w:cs="宋体"/>
          <w:spacing w:val="5"/>
          <w:sz w:val="20"/>
          <w:szCs w:val="20"/>
        </w:rPr>
        <w:t>18.3.6  发包人在收到承包人竣工</w:t>
      </w:r>
      <w:r>
        <w:rPr>
          <w:rFonts w:hint="eastAsia" w:ascii="宋体" w:hAnsi="宋体" w:eastAsia="宋体" w:cs="宋体"/>
          <w:spacing w:val="4"/>
          <w:sz w:val="20"/>
          <w:szCs w:val="20"/>
        </w:rPr>
        <w:t>验收申请报告</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56</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天后未进行验收的，视为验收合格，</w:t>
      </w:r>
      <w:r>
        <w:rPr>
          <w:rFonts w:hint="eastAsia" w:ascii="宋体" w:hAnsi="宋体" w:eastAsia="宋体" w:cs="宋体"/>
          <w:spacing w:val="7"/>
          <w:sz w:val="20"/>
          <w:szCs w:val="20"/>
        </w:rPr>
        <w:t>实际竣工日期以提交竣工验收申请报告的日期为准，但发包人由于不可抗力不能进行验收的</w:t>
      </w:r>
      <w:r>
        <w:rPr>
          <w:rFonts w:hint="eastAsia" w:ascii="宋体" w:hAnsi="宋体" w:eastAsia="宋体" w:cs="宋体"/>
          <w:spacing w:val="1"/>
          <w:sz w:val="20"/>
          <w:szCs w:val="20"/>
        </w:rPr>
        <w:t>除外。</w:t>
      </w:r>
    </w:p>
    <w:p w14:paraId="56D7D845">
      <w:pPr>
        <w:spacing w:before="285" w:line="360" w:lineRule="auto"/>
        <w:ind w:left="38"/>
        <w:outlineLvl w:val="2"/>
        <w:rPr>
          <w:rFonts w:hint="eastAsia" w:ascii="宋体" w:hAnsi="宋体" w:eastAsia="宋体" w:cs="宋体"/>
          <w:sz w:val="24"/>
          <w:szCs w:val="24"/>
        </w:rPr>
      </w:pPr>
      <w:bookmarkStart w:id="698" w:name="bookmark116"/>
      <w:bookmarkEnd w:id="698"/>
      <w:r>
        <w:rPr>
          <w:rFonts w:hint="eastAsia" w:ascii="宋体" w:hAnsi="宋体" w:eastAsia="宋体" w:cs="宋体"/>
          <w:spacing w:val="-3"/>
          <w:sz w:val="24"/>
          <w:szCs w:val="24"/>
        </w:rPr>
        <w:t>18.4  单位工程验收</w:t>
      </w:r>
    </w:p>
    <w:p w14:paraId="7468FBC4">
      <w:pPr>
        <w:spacing w:before="298" w:line="360" w:lineRule="auto"/>
        <w:ind w:left="19" w:right="68" w:firstLine="436"/>
        <w:rPr>
          <w:rFonts w:hint="eastAsia" w:ascii="宋体" w:hAnsi="宋体" w:eastAsia="宋体" w:cs="宋体"/>
          <w:sz w:val="20"/>
          <w:szCs w:val="20"/>
        </w:rPr>
      </w:pPr>
      <w:r>
        <w:rPr>
          <w:rFonts w:hint="eastAsia" w:ascii="宋体" w:hAnsi="宋体" w:eastAsia="宋体" w:cs="宋体"/>
          <w:spacing w:val="6"/>
          <w:sz w:val="20"/>
          <w:szCs w:val="20"/>
        </w:rPr>
        <w:t>18.4.1  发包人根据合同进度计划安排，在全部工程竣工前需要使用已经竣工的单位工</w:t>
      </w:r>
      <w:r>
        <w:rPr>
          <w:rFonts w:hint="eastAsia" w:ascii="宋体" w:hAnsi="宋体" w:eastAsia="宋体" w:cs="宋体"/>
          <w:spacing w:val="9"/>
          <w:sz w:val="20"/>
          <w:szCs w:val="20"/>
        </w:rPr>
        <w:t>程时，或承包人提出经发包人同意时，可进行单位工程验收。验收的程序可参照</w:t>
      </w:r>
      <w:r>
        <w:rPr>
          <w:rFonts w:hint="eastAsia" w:ascii="宋体" w:hAnsi="宋体" w:eastAsia="宋体" w:cs="宋体"/>
          <w:spacing w:val="8"/>
          <w:sz w:val="20"/>
          <w:szCs w:val="20"/>
        </w:rPr>
        <w:t>第</w:t>
      </w:r>
      <w:r>
        <w:rPr>
          <w:rFonts w:hint="eastAsia" w:ascii="宋体" w:hAnsi="宋体" w:eastAsia="宋体" w:cs="宋体"/>
          <w:spacing w:val="-23"/>
          <w:sz w:val="20"/>
          <w:szCs w:val="20"/>
        </w:rPr>
        <w:t xml:space="preserve"> </w:t>
      </w:r>
      <w:r>
        <w:rPr>
          <w:rFonts w:hint="eastAsia" w:ascii="宋体" w:hAnsi="宋体" w:eastAsia="宋体" w:cs="宋体"/>
          <w:spacing w:val="8"/>
          <w:sz w:val="20"/>
          <w:szCs w:val="20"/>
        </w:rPr>
        <w:t>18.2</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款与第</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18.3</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款的约定进行。验收合格后，</w:t>
      </w:r>
      <w:r>
        <w:rPr>
          <w:rFonts w:hint="eastAsia" w:ascii="宋体" w:hAnsi="宋体" w:eastAsia="宋体" w:cs="宋体"/>
          <w:spacing w:val="-60"/>
          <w:sz w:val="20"/>
          <w:szCs w:val="20"/>
        </w:rPr>
        <w:t xml:space="preserve"> </w:t>
      </w:r>
      <w:r>
        <w:rPr>
          <w:rFonts w:hint="eastAsia" w:ascii="宋体" w:hAnsi="宋体" w:eastAsia="宋体" w:cs="宋体"/>
          <w:spacing w:val="8"/>
          <w:sz w:val="20"/>
          <w:szCs w:val="20"/>
        </w:rPr>
        <w:t>由监理人向承包人出具经发包人签认的单位</w:t>
      </w:r>
      <w:r>
        <w:rPr>
          <w:rFonts w:hint="eastAsia" w:ascii="宋体" w:hAnsi="宋体" w:eastAsia="宋体" w:cs="宋体"/>
          <w:spacing w:val="7"/>
          <w:sz w:val="20"/>
          <w:szCs w:val="20"/>
        </w:rPr>
        <w:t>工程验</w:t>
      </w:r>
      <w:r>
        <w:rPr>
          <w:rFonts w:hint="eastAsia" w:ascii="宋体" w:hAnsi="宋体" w:eastAsia="宋体" w:cs="宋体"/>
          <w:spacing w:val="8"/>
          <w:sz w:val="20"/>
          <w:szCs w:val="20"/>
        </w:rPr>
        <w:t>收证书。已签发单位工程接收证书的单位工程由发包</w:t>
      </w:r>
      <w:r>
        <w:rPr>
          <w:rFonts w:hint="eastAsia" w:ascii="宋体" w:hAnsi="宋体" w:eastAsia="宋体" w:cs="宋体"/>
          <w:spacing w:val="7"/>
          <w:sz w:val="20"/>
          <w:szCs w:val="20"/>
        </w:rPr>
        <w:t>人负责照管。单位工程的验收成果和结</w:t>
      </w:r>
      <w:r>
        <w:rPr>
          <w:rFonts w:hint="eastAsia" w:ascii="宋体" w:hAnsi="宋体" w:eastAsia="宋体" w:cs="宋体"/>
          <w:spacing w:val="8"/>
          <w:sz w:val="20"/>
          <w:szCs w:val="20"/>
        </w:rPr>
        <w:t>论作为全部工程竣工验收申请报告的附件。</w:t>
      </w:r>
    </w:p>
    <w:p w14:paraId="0D764052">
      <w:pPr>
        <w:spacing w:before="161" w:line="360" w:lineRule="auto"/>
        <w:ind w:left="19" w:right="68" w:firstLine="435"/>
        <w:rPr>
          <w:rFonts w:hint="eastAsia" w:ascii="宋体" w:hAnsi="宋体" w:eastAsia="宋体" w:cs="宋体"/>
          <w:sz w:val="20"/>
          <w:szCs w:val="20"/>
        </w:rPr>
      </w:pPr>
      <w:r>
        <w:rPr>
          <w:rFonts w:hint="eastAsia" w:ascii="宋体" w:hAnsi="宋体" w:eastAsia="宋体" w:cs="宋体"/>
          <w:spacing w:val="6"/>
          <w:sz w:val="20"/>
          <w:szCs w:val="20"/>
        </w:rPr>
        <w:t>18.4.2  发包人在全部工程竣工前，使用已接收的单位工程导致承包人费用增加的，发</w:t>
      </w:r>
      <w:r>
        <w:rPr>
          <w:rFonts w:hint="eastAsia" w:ascii="宋体" w:hAnsi="宋体" w:eastAsia="宋体" w:cs="宋体"/>
          <w:spacing w:val="9"/>
          <w:sz w:val="20"/>
          <w:szCs w:val="20"/>
        </w:rPr>
        <w:t>包人应承担由此增加的费用和（或）工期延误，并支付承包人合理利润。</w:t>
      </w:r>
    </w:p>
    <w:p w14:paraId="3B1DD5CD">
      <w:pPr>
        <w:spacing w:before="285" w:line="360" w:lineRule="auto"/>
        <w:ind w:left="38"/>
        <w:outlineLvl w:val="2"/>
        <w:rPr>
          <w:rFonts w:hint="eastAsia" w:ascii="宋体" w:hAnsi="宋体" w:eastAsia="宋体" w:cs="宋体"/>
          <w:sz w:val="24"/>
          <w:szCs w:val="24"/>
        </w:rPr>
      </w:pPr>
      <w:bookmarkStart w:id="699" w:name="bookmark117"/>
      <w:bookmarkEnd w:id="699"/>
      <w:r>
        <w:rPr>
          <w:rFonts w:hint="eastAsia" w:ascii="宋体" w:hAnsi="宋体" w:eastAsia="宋体" w:cs="宋体"/>
          <w:spacing w:val="-3"/>
          <w:sz w:val="24"/>
          <w:szCs w:val="24"/>
        </w:rPr>
        <w:t>18.5  施工期运行</w:t>
      </w:r>
    </w:p>
    <w:p w14:paraId="42D6C761">
      <w:pPr>
        <w:spacing w:before="296" w:line="360" w:lineRule="auto"/>
        <w:ind w:left="22" w:right="69" w:firstLine="432"/>
        <w:rPr>
          <w:rFonts w:hint="eastAsia" w:ascii="宋体" w:hAnsi="宋体" w:eastAsia="宋体" w:cs="宋体"/>
          <w:sz w:val="20"/>
          <w:szCs w:val="20"/>
        </w:rPr>
      </w:pPr>
      <w:r>
        <w:rPr>
          <w:rFonts w:hint="eastAsia" w:ascii="宋体" w:hAnsi="宋体" w:eastAsia="宋体" w:cs="宋体"/>
          <w:spacing w:val="6"/>
          <w:sz w:val="20"/>
          <w:szCs w:val="20"/>
        </w:rPr>
        <w:t>18.5.1  施工期运行是指合同工程尚未全部竣工，其中某项或某几项单位工程或工程设</w:t>
      </w:r>
      <w:r>
        <w:rPr>
          <w:rFonts w:hint="eastAsia" w:ascii="宋体" w:hAnsi="宋体" w:eastAsia="宋体" w:cs="宋体"/>
          <w:spacing w:val="10"/>
          <w:sz w:val="20"/>
          <w:szCs w:val="20"/>
        </w:rPr>
        <w:t>备安装已竣工，根据合同条款专用部分约定，需要投入施工期运行的，经发包人按第</w:t>
      </w:r>
      <w:r>
        <w:rPr>
          <w:rFonts w:hint="eastAsia" w:ascii="宋体" w:hAnsi="宋体" w:eastAsia="宋体" w:cs="宋体"/>
          <w:spacing w:val="-12"/>
          <w:sz w:val="20"/>
          <w:szCs w:val="20"/>
        </w:rPr>
        <w:t xml:space="preserve"> </w:t>
      </w:r>
      <w:r>
        <w:rPr>
          <w:rFonts w:hint="eastAsia" w:ascii="宋体" w:hAnsi="宋体" w:eastAsia="宋体" w:cs="宋体"/>
          <w:spacing w:val="10"/>
          <w:sz w:val="20"/>
          <w:szCs w:val="20"/>
        </w:rPr>
        <w:t>18.4</w:t>
      </w:r>
      <w:r>
        <w:rPr>
          <w:rFonts w:hint="eastAsia" w:ascii="宋体" w:hAnsi="宋体" w:eastAsia="宋体" w:cs="宋体"/>
          <w:spacing w:val="9"/>
          <w:sz w:val="20"/>
          <w:szCs w:val="20"/>
        </w:rPr>
        <w:t>款的约定验收合格，证明能确保安全后，才能在施工期投入运行。</w:t>
      </w:r>
    </w:p>
    <w:p w14:paraId="5BD67EEE">
      <w:pPr>
        <w:spacing w:before="161" w:line="360" w:lineRule="auto"/>
        <w:ind w:left="20" w:right="93" w:firstLine="434"/>
        <w:rPr>
          <w:rFonts w:hint="eastAsia" w:ascii="宋体" w:hAnsi="宋体" w:eastAsia="宋体" w:cs="宋体"/>
          <w:sz w:val="20"/>
          <w:szCs w:val="20"/>
        </w:rPr>
      </w:pPr>
      <w:r>
        <w:rPr>
          <w:rFonts w:hint="eastAsia" w:ascii="宋体" w:hAnsi="宋体" w:eastAsia="宋体" w:cs="宋体"/>
          <w:spacing w:val="8"/>
          <w:sz w:val="20"/>
          <w:szCs w:val="20"/>
        </w:rPr>
        <w:t>18.5.2  在施工期运行中发现工程或工程设备损坏或存在缺陷的，</w:t>
      </w:r>
      <w:r>
        <w:rPr>
          <w:rFonts w:hint="eastAsia" w:ascii="宋体" w:hAnsi="宋体" w:eastAsia="宋体" w:cs="宋体"/>
          <w:spacing w:val="-60"/>
          <w:sz w:val="20"/>
          <w:szCs w:val="20"/>
        </w:rPr>
        <w:t xml:space="preserve"> </w:t>
      </w:r>
      <w:r>
        <w:rPr>
          <w:rFonts w:hint="eastAsia" w:ascii="宋体" w:hAnsi="宋体" w:eastAsia="宋体" w:cs="宋体"/>
          <w:spacing w:val="8"/>
          <w:sz w:val="20"/>
          <w:szCs w:val="20"/>
        </w:rPr>
        <w:t>由承包人按第</w:t>
      </w:r>
      <w:r>
        <w:rPr>
          <w:rFonts w:hint="eastAsia" w:ascii="宋体" w:hAnsi="宋体" w:eastAsia="宋体" w:cs="宋体"/>
          <w:spacing w:val="-19"/>
          <w:sz w:val="20"/>
          <w:szCs w:val="20"/>
        </w:rPr>
        <w:t xml:space="preserve"> </w:t>
      </w:r>
      <w:r>
        <w:rPr>
          <w:rFonts w:hint="eastAsia" w:ascii="宋体" w:hAnsi="宋体" w:eastAsia="宋体" w:cs="宋体"/>
          <w:spacing w:val="8"/>
          <w:sz w:val="20"/>
          <w:szCs w:val="20"/>
        </w:rPr>
        <w:t>19.2</w:t>
      </w:r>
      <w:r>
        <w:rPr>
          <w:rFonts w:hint="eastAsia" w:ascii="宋体" w:hAnsi="宋体" w:eastAsia="宋体" w:cs="宋体"/>
          <w:spacing w:val="7"/>
          <w:sz w:val="20"/>
          <w:szCs w:val="20"/>
        </w:rPr>
        <w:t>款约定进行修复。</w:t>
      </w:r>
    </w:p>
    <w:p w14:paraId="453CCCD3">
      <w:pPr>
        <w:spacing w:before="119" w:line="360" w:lineRule="auto"/>
        <w:ind w:left="38"/>
        <w:outlineLvl w:val="2"/>
        <w:rPr>
          <w:rFonts w:hint="eastAsia" w:ascii="宋体" w:hAnsi="宋体" w:eastAsia="宋体" w:cs="宋体"/>
          <w:sz w:val="24"/>
          <w:szCs w:val="24"/>
        </w:rPr>
      </w:pPr>
      <w:bookmarkStart w:id="700" w:name="bookmark118"/>
      <w:bookmarkEnd w:id="700"/>
      <w:r>
        <w:rPr>
          <w:rFonts w:hint="eastAsia" w:ascii="宋体" w:hAnsi="宋体" w:eastAsia="宋体" w:cs="宋体"/>
          <w:spacing w:val="-6"/>
          <w:sz w:val="24"/>
          <w:szCs w:val="24"/>
        </w:rPr>
        <w:t>18.6</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rPr>
        <w:t>试运行</w:t>
      </w:r>
    </w:p>
    <w:p w14:paraId="239E978C">
      <w:pPr>
        <w:spacing w:before="294" w:line="360" w:lineRule="auto"/>
        <w:ind w:left="455"/>
        <w:rPr>
          <w:rFonts w:hint="eastAsia" w:ascii="宋体" w:hAnsi="宋体" w:eastAsia="宋体" w:cs="宋体"/>
          <w:sz w:val="20"/>
          <w:szCs w:val="20"/>
        </w:rPr>
      </w:pPr>
      <w:r>
        <w:rPr>
          <w:rFonts w:hint="eastAsia" w:ascii="宋体" w:hAnsi="宋体" w:eastAsia="宋体" w:cs="宋体"/>
          <w:spacing w:val="7"/>
          <w:sz w:val="20"/>
          <w:szCs w:val="20"/>
        </w:rPr>
        <w:t>18.6.1  工程及工程设备试运行的组织与费用承担</w:t>
      </w:r>
    </w:p>
    <w:p w14:paraId="23998607">
      <w:pPr>
        <w:spacing w:before="159" w:line="360" w:lineRule="auto"/>
        <w:ind w:left="19" w:right="92" w:firstLine="430"/>
        <w:rPr>
          <w:rFonts w:hint="eastAsia" w:ascii="宋体" w:hAnsi="宋体" w:eastAsia="宋体" w:cs="宋体"/>
          <w:sz w:val="20"/>
          <w:szCs w:val="20"/>
        </w:rPr>
      </w:pPr>
      <w:r>
        <w:rPr>
          <w:rFonts w:hint="eastAsia" w:ascii="宋体" w:hAnsi="宋体" w:eastAsia="宋体" w:cs="宋体"/>
          <w:spacing w:val="10"/>
          <w:sz w:val="20"/>
          <w:szCs w:val="20"/>
        </w:rPr>
        <w:t>（1）工程设备安装具备单机无负荷试运行条件，由承包人组织试</w:t>
      </w:r>
      <w:r>
        <w:rPr>
          <w:rFonts w:hint="eastAsia" w:ascii="宋体" w:hAnsi="宋体" w:eastAsia="宋体" w:cs="宋体"/>
          <w:spacing w:val="9"/>
          <w:sz w:val="20"/>
          <w:szCs w:val="20"/>
        </w:rPr>
        <w:t>运行，费用由承包人</w:t>
      </w:r>
      <w:r>
        <w:rPr>
          <w:rFonts w:hint="eastAsia" w:ascii="宋体" w:hAnsi="宋体" w:eastAsia="宋体" w:cs="宋体"/>
          <w:spacing w:val="3"/>
          <w:sz w:val="20"/>
          <w:szCs w:val="20"/>
        </w:rPr>
        <w:t>承担。</w:t>
      </w:r>
    </w:p>
    <w:p w14:paraId="6AAFBCC2">
      <w:pPr>
        <w:spacing w:before="160" w:line="360" w:lineRule="auto"/>
        <w:ind w:left="19" w:right="92" w:firstLine="430"/>
        <w:rPr>
          <w:rFonts w:hint="eastAsia" w:ascii="宋体" w:hAnsi="宋体" w:eastAsia="宋体" w:cs="宋体"/>
          <w:sz w:val="20"/>
          <w:szCs w:val="20"/>
        </w:rPr>
      </w:pPr>
      <w:r>
        <w:rPr>
          <w:rFonts w:hint="eastAsia" w:ascii="宋体" w:hAnsi="宋体" w:eastAsia="宋体" w:cs="宋体"/>
          <w:spacing w:val="10"/>
          <w:sz w:val="20"/>
          <w:szCs w:val="20"/>
        </w:rPr>
        <w:t>（2）工程设备安装具备无负荷联动试运行条件，由发包人组织试</w:t>
      </w:r>
      <w:r>
        <w:rPr>
          <w:rFonts w:hint="eastAsia" w:ascii="宋体" w:hAnsi="宋体" w:eastAsia="宋体" w:cs="宋体"/>
          <w:spacing w:val="9"/>
          <w:sz w:val="20"/>
          <w:szCs w:val="20"/>
        </w:rPr>
        <w:t>运行，费用由发包人</w:t>
      </w:r>
      <w:r>
        <w:rPr>
          <w:rFonts w:hint="eastAsia" w:ascii="宋体" w:hAnsi="宋体" w:eastAsia="宋体" w:cs="宋体"/>
          <w:spacing w:val="3"/>
          <w:sz w:val="20"/>
          <w:szCs w:val="20"/>
        </w:rPr>
        <w:t>承担。</w:t>
      </w:r>
    </w:p>
    <w:p w14:paraId="0CBBE3DE">
      <w:pPr>
        <w:spacing w:before="162" w:line="360" w:lineRule="auto"/>
        <w:ind w:left="18" w:right="94" w:firstLine="431"/>
        <w:rPr>
          <w:rFonts w:hint="eastAsia" w:ascii="宋体" w:hAnsi="宋体" w:eastAsia="宋体" w:cs="宋体"/>
          <w:sz w:val="20"/>
          <w:szCs w:val="20"/>
        </w:rPr>
      </w:pPr>
      <w:r>
        <w:rPr>
          <w:rFonts w:hint="eastAsia" w:ascii="宋体" w:hAnsi="宋体" w:eastAsia="宋体" w:cs="宋体"/>
          <w:spacing w:val="10"/>
          <w:sz w:val="20"/>
          <w:szCs w:val="20"/>
        </w:rPr>
        <w:t>（3）投料试运行应在工程竣工验收后由发包人负责，如发包</w:t>
      </w:r>
      <w:r>
        <w:rPr>
          <w:rFonts w:hint="eastAsia" w:ascii="宋体" w:hAnsi="宋体" w:eastAsia="宋体" w:cs="宋体"/>
          <w:spacing w:val="9"/>
          <w:sz w:val="20"/>
          <w:szCs w:val="20"/>
        </w:rPr>
        <w:t>人要求在工程竣工验收前进行或需要承包人配合时，应征得承包人同意，另行签订补充协议。</w:t>
      </w:r>
    </w:p>
    <w:p w14:paraId="51A408ED">
      <w:pPr>
        <w:spacing w:before="159" w:line="360" w:lineRule="auto"/>
        <w:ind w:left="19" w:right="38" w:firstLine="435"/>
        <w:jc w:val="both"/>
        <w:rPr>
          <w:rFonts w:hint="eastAsia" w:ascii="宋体" w:hAnsi="宋体" w:eastAsia="宋体" w:cs="宋体"/>
          <w:sz w:val="20"/>
          <w:szCs w:val="20"/>
        </w:rPr>
      </w:pPr>
      <w:r>
        <w:rPr>
          <w:rFonts w:hint="eastAsia" w:ascii="宋体" w:hAnsi="宋体" w:eastAsia="宋体" w:cs="宋体"/>
          <w:spacing w:val="6"/>
          <w:sz w:val="20"/>
          <w:szCs w:val="20"/>
        </w:rPr>
        <w:t>18.6.2  由于承包人的原因导致试运行失败的，承包人应采取措施保证试运行合格，并</w:t>
      </w:r>
      <w:r>
        <w:rPr>
          <w:rFonts w:hint="eastAsia" w:ascii="宋体" w:hAnsi="宋体" w:eastAsia="宋体" w:cs="宋体"/>
          <w:spacing w:val="4"/>
          <w:sz w:val="20"/>
          <w:szCs w:val="20"/>
        </w:rPr>
        <w:t>承担相应费用。由于发包人的原因导致试运行失败的，承包人应当采取措</w:t>
      </w:r>
      <w:r>
        <w:rPr>
          <w:rFonts w:hint="eastAsia" w:ascii="宋体" w:hAnsi="宋体" w:eastAsia="宋体" w:cs="宋体"/>
          <w:spacing w:val="3"/>
          <w:sz w:val="20"/>
          <w:szCs w:val="20"/>
        </w:rPr>
        <w:t>施保证试运行合格，</w:t>
      </w:r>
      <w:r>
        <w:rPr>
          <w:rFonts w:hint="eastAsia" w:ascii="宋体" w:hAnsi="宋体" w:eastAsia="宋体" w:cs="宋体"/>
          <w:spacing w:val="9"/>
          <w:sz w:val="20"/>
          <w:szCs w:val="20"/>
        </w:rPr>
        <w:t>发包人应承担由此产生的费用，并支付承包人合理利润。</w:t>
      </w:r>
    </w:p>
    <w:p w14:paraId="6BFF49FB">
      <w:pPr>
        <w:spacing w:before="118" w:line="360" w:lineRule="auto"/>
        <w:ind w:left="38"/>
        <w:outlineLvl w:val="2"/>
        <w:rPr>
          <w:rFonts w:hint="eastAsia" w:ascii="宋体" w:hAnsi="宋体" w:eastAsia="宋体" w:cs="宋体"/>
          <w:sz w:val="24"/>
          <w:szCs w:val="24"/>
        </w:rPr>
      </w:pPr>
      <w:bookmarkStart w:id="701" w:name="bookmark119"/>
      <w:bookmarkEnd w:id="701"/>
      <w:r>
        <w:rPr>
          <w:rFonts w:hint="eastAsia" w:ascii="宋体" w:hAnsi="宋体" w:eastAsia="宋体" w:cs="宋体"/>
          <w:spacing w:val="-5"/>
          <w:sz w:val="24"/>
          <w:szCs w:val="24"/>
        </w:rPr>
        <w:t>18.7</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竣工清场</w:t>
      </w:r>
    </w:p>
    <w:p w14:paraId="2C1D2AAE">
      <w:pPr>
        <w:spacing w:before="297" w:line="360" w:lineRule="auto"/>
        <w:ind w:left="23" w:right="94" w:firstLine="432"/>
        <w:rPr>
          <w:rFonts w:hint="eastAsia" w:ascii="宋体" w:hAnsi="宋体" w:eastAsia="宋体" w:cs="宋体"/>
          <w:sz w:val="20"/>
          <w:szCs w:val="20"/>
        </w:rPr>
      </w:pPr>
      <w:r>
        <w:rPr>
          <w:rFonts w:hint="eastAsia" w:ascii="宋体" w:hAnsi="宋体" w:eastAsia="宋体" w:cs="宋体"/>
          <w:spacing w:val="6"/>
          <w:sz w:val="20"/>
          <w:szCs w:val="20"/>
        </w:rPr>
        <w:t>18.7.1  监理人颁发（出具）工程接收证书后，承包人负责按照以下要求对施工场地进</w:t>
      </w:r>
      <w:r>
        <w:rPr>
          <w:rFonts w:hint="eastAsia" w:ascii="宋体" w:hAnsi="宋体" w:eastAsia="宋体" w:cs="宋体"/>
          <w:spacing w:val="9"/>
          <w:sz w:val="20"/>
          <w:szCs w:val="20"/>
        </w:rPr>
        <w:t>行清理，直至监理人检验合格为止。竣工清场费用由承包人承担。</w:t>
      </w:r>
    </w:p>
    <w:p w14:paraId="33CA3689">
      <w:pPr>
        <w:spacing w:line="360" w:lineRule="auto"/>
        <w:ind w:left="449"/>
        <w:rPr>
          <w:rFonts w:hint="eastAsia" w:ascii="宋体" w:hAnsi="宋体" w:eastAsia="宋体" w:cs="宋体"/>
          <w:sz w:val="20"/>
          <w:szCs w:val="20"/>
        </w:rPr>
      </w:pPr>
      <w:r>
        <w:rPr>
          <w:rFonts w:hint="eastAsia" w:ascii="宋体" w:hAnsi="宋体" w:eastAsia="宋体" w:cs="宋体"/>
          <w:spacing w:val="8"/>
          <w:sz w:val="20"/>
          <w:szCs w:val="20"/>
        </w:rPr>
        <w:t>（1）施工场地内残留的垃圾已全部清除出场；</w:t>
      </w:r>
    </w:p>
    <w:p w14:paraId="333F02F7">
      <w:pPr>
        <w:spacing w:before="161" w:line="360" w:lineRule="auto"/>
        <w:ind w:left="449"/>
        <w:rPr>
          <w:rFonts w:hint="eastAsia" w:ascii="宋体" w:hAnsi="宋体" w:eastAsia="宋体" w:cs="宋体"/>
          <w:sz w:val="20"/>
          <w:szCs w:val="20"/>
        </w:rPr>
      </w:pPr>
      <w:r>
        <w:rPr>
          <w:rFonts w:hint="eastAsia" w:ascii="宋体" w:hAnsi="宋体" w:eastAsia="宋体" w:cs="宋体"/>
          <w:spacing w:val="9"/>
          <w:sz w:val="20"/>
          <w:szCs w:val="20"/>
        </w:rPr>
        <w:t>（2）临时工程已拆除，场地已按合同要求进行清理</w:t>
      </w:r>
      <w:r>
        <w:rPr>
          <w:rFonts w:hint="eastAsia" w:ascii="宋体" w:hAnsi="宋体" w:eastAsia="宋体" w:cs="宋体"/>
          <w:spacing w:val="8"/>
          <w:sz w:val="20"/>
          <w:szCs w:val="20"/>
        </w:rPr>
        <w:t>、平整或复原；</w:t>
      </w:r>
    </w:p>
    <w:p w14:paraId="032C4183">
      <w:pPr>
        <w:spacing w:before="160" w:line="360" w:lineRule="auto"/>
        <w:ind w:left="21" w:right="94" w:firstLine="428"/>
        <w:rPr>
          <w:rFonts w:hint="eastAsia" w:ascii="宋体" w:hAnsi="宋体" w:eastAsia="宋体" w:cs="宋体"/>
          <w:sz w:val="20"/>
          <w:szCs w:val="20"/>
        </w:rPr>
      </w:pPr>
      <w:r>
        <w:rPr>
          <w:rFonts w:hint="eastAsia" w:ascii="宋体" w:hAnsi="宋体" w:eastAsia="宋体" w:cs="宋体"/>
          <w:spacing w:val="10"/>
          <w:sz w:val="20"/>
          <w:szCs w:val="20"/>
        </w:rPr>
        <w:t>（3）按合同约定应撤离的承包人设备和剩余的材料，包括废</w:t>
      </w:r>
      <w:r>
        <w:rPr>
          <w:rFonts w:hint="eastAsia" w:ascii="宋体" w:hAnsi="宋体" w:eastAsia="宋体" w:cs="宋体"/>
          <w:spacing w:val="9"/>
          <w:sz w:val="20"/>
          <w:szCs w:val="20"/>
        </w:rPr>
        <w:t>弃的施工设备和材料，已</w:t>
      </w:r>
      <w:r>
        <w:rPr>
          <w:rFonts w:hint="eastAsia" w:ascii="宋体" w:hAnsi="宋体" w:eastAsia="宋体" w:cs="宋体"/>
          <w:spacing w:val="7"/>
          <w:sz w:val="20"/>
          <w:szCs w:val="20"/>
        </w:rPr>
        <w:t>按计划撤离施工场地；</w:t>
      </w:r>
    </w:p>
    <w:p w14:paraId="6C30A6E4">
      <w:pPr>
        <w:spacing w:before="160" w:line="360" w:lineRule="auto"/>
        <w:ind w:left="449"/>
        <w:rPr>
          <w:rFonts w:hint="eastAsia" w:ascii="宋体" w:hAnsi="宋体" w:eastAsia="宋体" w:cs="宋体"/>
          <w:sz w:val="20"/>
          <w:szCs w:val="20"/>
        </w:rPr>
      </w:pPr>
      <w:r>
        <w:rPr>
          <w:rFonts w:hint="eastAsia" w:ascii="宋体" w:hAnsi="宋体" w:eastAsia="宋体" w:cs="宋体"/>
          <w:spacing w:val="9"/>
          <w:sz w:val="20"/>
          <w:szCs w:val="20"/>
        </w:rPr>
        <w:t>（4）工程建筑物周边及其附近道路、河道的施工堆积物，已按监理人指示全部清理；</w:t>
      </w:r>
    </w:p>
    <w:p w14:paraId="2D130DCA">
      <w:pPr>
        <w:spacing w:before="164" w:line="360" w:lineRule="auto"/>
        <w:ind w:left="449"/>
        <w:rPr>
          <w:rFonts w:hint="eastAsia" w:ascii="宋体" w:hAnsi="宋体" w:eastAsia="宋体" w:cs="宋体"/>
          <w:sz w:val="20"/>
          <w:szCs w:val="20"/>
        </w:rPr>
      </w:pPr>
      <w:r>
        <w:rPr>
          <w:rFonts w:hint="eastAsia" w:ascii="宋体" w:hAnsi="宋体" w:eastAsia="宋体" w:cs="宋体"/>
          <w:spacing w:val="8"/>
          <w:sz w:val="20"/>
          <w:szCs w:val="20"/>
        </w:rPr>
        <w:t>（5）监理人指示的其他场地清理工作已全部完成。</w:t>
      </w:r>
    </w:p>
    <w:p w14:paraId="4E13167D">
      <w:pPr>
        <w:spacing w:before="160" w:line="360" w:lineRule="auto"/>
        <w:ind w:left="19" w:right="92" w:firstLine="435"/>
        <w:rPr>
          <w:rFonts w:hint="eastAsia" w:ascii="宋体" w:hAnsi="宋体" w:eastAsia="宋体" w:cs="宋体"/>
          <w:sz w:val="20"/>
          <w:szCs w:val="20"/>
        </w:rPr>
      </w:pPr>
      <w:r>
        <w:rPr>
          <w:rFonts w:hint="eastAsia" w:ascii="宋体" w:hAnsi="宋体" w:eastAsia="宋体" w:cs="宋体"/>
          <w:spacing w:val="6"/>
          <w:sz w:val="20"/>
          <w:szCs w:val="20"/>
        </w:rPr>
        <w:t>18.7.2  承包人未按监理人的要求恢复临时占地，或者场地清理未达到合同约定的，发</w:t>
      </w:r>
      <w:r>
        <w:rPr>
          <w:rFonts w:hint="eastAsia" w:ascii="宋体" w:hAnsi="宋体" w:eastAsia="宋体" w:cs="宋体"/>
          <w:spacing w:val="9"/>
          <w:sz w:val="20"/>
          <w:szCs w:val="20"/>
        </w:rPr>
        <w:t>包人有权委托其他人恢复或清理，所发生的金额从拟支付给承包人的款项中扣除。</w:t>
      </w:r>
    </w:p>
    <w:p w14:paraId="7AACAF5C">
      <w:pPr>
        <w:spacing w:before="122" w:line="360" w:lineRule="auto"/>
        <w:ind w:left="38"/>
        <w:outlineLvl w:val="2"/>
        <w:rPr>
          <w:rFonts w:hint="eastAsia" w:ascii="宋体" w:hAnsi="宋体" w:eastAsia="宋体" w:cs="宋体"/>
          <w:sz w:val="24"/>
          <w:szCs w:val="24"/>
        </w:rPr>
      </w:pPr>
      <w:bookmarkStart w:id="702" w:name="bookmark120"/>
      <w:bookmarkEnd w:id="702"/>
      <w:r>
        <w:rPr>
          <w:rFonts w:hint="eastAsia" w:ascii="宋体" w:hAnsi="宋体" w:eastAsia="宋体" w:cs="宋体"/>
          <w:spacing w:val="-3"/>
          <w:sz w:val="24"/>
          <w:szCs w:val="24"/>
        </w:rPr>
        <w:t>18.8  施工队伍的撤离</w:t>
      </w:r>
    </w:p>
    <w:p w14:paraId="4D589F98">
      <w:pPr>
        <w:spacing w:before="297" w:line="360" w:lineRule="auto"/>
        <w:ind w:left="19" w:right="92" w:firstLine="436"/>
        <w:rPr>
          <w:rFonts w:hint="eastAsia" w:ascii="宋体" w:hAnsi="宋体" w:eastAsia="宋体" w:cs="宋体"/>
          <w:sz w:val="20"/>
          <w:szCs w:val="20"/>
        </w:rPr>
      </w:pPr>
      <w:r>
        <w:rPr>
          <w:rFonts w:hint="eastAsia" w:ascii="宋体" w:hAnsi="宋体" w:eastAsia="宋体" w:cs="宋体"/>
          <w:spacing w:val="8"/>
          <w:sz w:val="20"/>
          <w:szCs w:val="20"/>
        </w:rPr>
        <w:t>18.8.1  工程接收证书颁发后的</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56</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天内，除了经监理人同意需在缺陷责任期</w:t>
      </w:r>
      <w:r>
        <w:rPr>
          <w:rFonts w:hint="eastAsia" w:ascii="宋体" w:hAnsi="宋体" w:eastAsia="宋体" w:cs="宋体"/>
          <w:spacing w:val="7"/>
          <w:sz w:val="20"/>
          <w:szCs w:val="20"/>
        </w:rPr>
        <w:t>内继续工</w:t>
      </w:r>
      <w:r>
        <w:rPr>
          <w:rFonts w:hint="eastAsia" w:ascii="宋体" w:hAnsi="宋体" w:eastAsia="宋体" w:cs="宋体"/>
          <w:spacing w:val="8"/>
          <w:sz w:val="20"/>
          <w:szCs w:val="20"/>
        </w:rPr>
        <w:t>作和使用的人员、施工设备和临时工程外，其余的</w:t>
      </w:r>
      <w:r>
        <w:rPr>
          <w:rFonts w:hint="eastAsia" w:ascii="宋体" w:hAnsi="宋体" w:eastAsia="宋体" w:cs="宋体"/>
          <w:spacing w:val="7"/>
          <w:sz w:val="20"/>
          <w:szCs w:val="20"/>
        </w:rPr>
        <w:t>人员、施工设备和临时工程均应撤离施工</w:t>
      </w:r>
      <w:r>
        <w:rPr>
          <w:rFonts w:hint="eastAsia" w:ascii="宋体" w:hAnsi="宋体" w:eastAsia="宋体" w:cs="宋体"/>
          <w:spacing w:val="6"/>
          <w:sz w:val="20"/>
          <w:szCs w:val="20"/>
        </w:rPr>
        <w:t>场地或拆除。</w:t>
      </w:r>
    </w:p>
    <w:p w14:paraId="5E6D8914">
      <w:pPr>
        <w:spacing w:before="163" w:line="360" w:lineRule="auto"/>
        <w:ind w:left="19" w:right="38" w:firstLine="435"/>
        <w:rPr>
          <w:rFonts w:hint="eastAsia" w:ascii="宋体" w:hAnsi="宋体" w:eastAsia="宋体" w:cs="宋体"/>
          <w:sz w:val="20"/>
          <w:szCs w:val="20"/>
        </w:rPr>
      </w:pPr>
      <w:r>
        <w:rPr>
          <w:rFonts w:hint="eastAsia" w:ascii="宋体" w:hAnsi="宋体" w:eastAsia="宋体" w:cs="宋体"/>
          <w:spacing w:val="6"/>
          <w:sz w:val="20"/>
          <w:szCs w:val="20"/>
        </w:rPr>
        <w:t>18.8.2  承包人撤离施工场地（现场）时，监理人和承包人应当办理永久工程和施工场</w:t>
      </w:r>
      <w:r>
        <w:rPr>
          <w:rFonts w:hint="eastAsia" w:ascii="宋体" w:hAnsi="宋体" w:eastAsia="宋体" w:cs="宋体"/>
          <w:spacing w:val="4"/>
          <w:sz w:val="20"/>
          <w:szCs w:val="20"/>
        </w:rPr>
        <w:t>地移交手续，移交手续以书面方式出具，并分别经过发包人、监理人和承</w:t>
      </w:r>
      <w:r>
        <w:rPr>
          <w:rFonts w:hint="eastAsia" w:ascii="宋体" w:hAnsi="宋体" w:eastAsia="宋体" w:cs="宋体"/>
          <w:spacing w:val="3"/>
          <w:sz w:val="20"/>
          <w:szCs w:val="20"/>
        </w:rPr>
        <w:t>包人的签认。但是，</w:t>
      </w:r>
      <w:r>
        <w:rPr>
          <w:rFonts w:hint="eastAsia" w:ascii="宋体" w:hAnsi="宋体" w:eastAsia="宋体" w:cs="宋体"/>
          <w:spacing w:val="9"/>
          <w:sz w:val="20"/>
          <w:szCs w:val="20"/>
        </w:rPr>
        <w:t>监理人和发包人未按第</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17.5.2</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项约定的期</w:t>
      </w:r>
      <w:r>
        <w:rPr>
          <w:rFonts w:hint="eastAsia" w:ascii="宋体" w:hAnsi="宋体" w:eastAsia="宋体" w:cs="宋体"/>
          <w:spacing w:val="8"/>
          <w:sz w:val="20"/>
          <w:szCs w:val="20"/>
        </w:rPr>
        <w:t>限办清竣工结算和竣工付款的，本工程不得交付</w:t>
      </w:r>
      <w:r>
        <w:rPr>
          <w:rFonts w:hint="eastAsia" w:ascii="宋体" w:hAnsi="宋体" w:eastAsia="宋体" w:cs="宋体"/>
          <w:spacing w:val="7"/>
          <w:sz w:val="20"/>
          <w:szCs w:val="20"/>
        </w:rPr>
        <w:t>使用，发包人和监理人也无权要求承包人按合同约定的期限撤离施工场地（现场）和办理工</w:t>
      </w:r>
      <w:r>
        <w:rPr>
          <w:rFonts w:hint="eastAsia" w:ascii="宋体" w:hAnsi="宋体" w:eastAsia="宋体" w:cs="宋体"/>
          <w:spacing w:val="6"/>
          <w:sz w:val="20"/>
          <w:szCs w:val="20"/>
        </w:rPr>
        <w:t>程移交手续。</w:t>
      </w:r>
    </w:p>
    <w:p w14:paraId="4F5BA8F9">
      <w:pPr>
        <w:spacing w:before="1" w:line="360" w:lineRule="auto"/>
        <w:ind w:left="19" w:right="39" w:firstLine="436"/>
        <w:rPr>
          <w:rFonts w:hint="eastAsia" w:ascii="宋体" w:hAnsi="宋体" w:eastAsia="宋体" w:cs="宋体"/>
          <w:sz w:val="20"/>
          <w:szCs w:val="20"/>
        </w:rPr>
      </w:pPr>
      <w:r>
        <w:rPr>
          <w:rFonts w:hint="eastAsia" w:ascii="宋体" w:hAnsi="宋体" w:eastAsia="宋体" w:cs="宋体"/>
          <w:spacing w:val="6"/>
          <w:sz w:val="20"/>
          <w:szCs w:val="20"/>
        </w:rPr>
        <w:t>18.8.3  缺陷责任期满时，承包人的人员和施工设备应在合同约定期限内全部撤离施工</w:t>
      </w:r>
      <w:r>
        <w:rPr>
          <w:rFonts w:hint="eastAsia" w:ascii="宋体" w:hAnsi="宋体" w:eastAsia="宋体" w:cs="宋体"/>
          <w:spacing w:val="9"/>
          <w:sz w:val="20"/>
          <w:szCs w:val="20"/>
        </w:rPr>
        <w:t>场地。撤离施工场地的期限要求见合同条款专用部分。</w:t>
      </w:r>
    </w:p>
    <w:p w14:paraId="0782C002">
      <w:pPr>
        <w:spacing w:before="119" w:line="360" w:lineRule="auto"/>
        <w:ind w:left="38"/>
        <w:outlineLvl w:val="2"/>
        <w:rPr>
          <w:rFonts w:hint="eastAsia" w:ascii="宋体" w:hAnsi="宋体" w:eastAsia="宋体" w:cs="宋体"/>
          <w:sz w:val="24"/>
          <w:szCs w:val="24"/>
        </w:rPr>
      </w:pPr>
      <w:bookmarkStart w:id="703" w:name="bookmark121"/>
      <w:bookmarkEnd w:id="703"/>
      <w:r>
        <w:rPr>
          <w:rFonts w:hint="eastAsia" w:ascii="宋体" w:hAnsi="宋体" w:eastAsia="宋体" w:cs="宋体"/>
          <w:spacing w:val="-8"/>
          <w:sz w:val="24"/>
          <w:szCs w:val="24"/>
        </w:rPr>
        <w:t>18.9</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中间验收</w:t>
      </w:r>
    </w:p>
    <w:p w14:paraId="6F9C743E">
      <w:pPr>
        <w:spacing w:before="294" w:line="360" w:lineRule="auto"/>
        <w:ind w:left="24" w:right="36" w:firstLine="430"/>
        <w:rPr>
          <w:rFonts w:hint="eastAsia" w:ascii="宋体" w:hAnsi="宋体" w:eastAsia="宋体" w:cs="宋体"/>
          <w:sz w:val="20"/>
          <w:szCs w:val="20"/>
        </w:rPr>
      </w:pPr>
      <w:r>
        <w:rPr>
          <w:rFonts w:hint="eastAsia" w:ascii="宋体" w:hAnsi="宋体" w:eastAsia="宋体" w:cs="宋体"/>
          <w:spacing w:val="6"/>
          <w:sz w:val="20"/>
          <w:szCs w:val="20"/>
        </w:rPr>
        <w:t>18.9.1  本工程需要按照合同约定进行中间验收。进行中间验收的部位见合同条款专用</w:t>
      </w:r>
      <w:r>
        <w:rPr>
          <w:rFonts w:hint="eastAsia" w:ascii="宋体" w:hAnsi="宋体" w:eastAsia="宋体" w:cs="宋体"/>
          <w:spacing w:val="1"/>
          <w:sz w:val="20"/>
          <w:szCs w:val="20"/>
        </w:rPr>
        <w:t>部分。</w:t>
      </w:r>
    </w:p>
    <w:p w14:paraId="128F9B34">
      <w:pPr>
        <w:spacing w:before="3" w:line="360" w:lineRule="auto"/>
        <w:ind w:left="19" w:right="36" w:firstLine="435"/>
        <w:rPr>
          <w:rFonts w:hint="eastAsia" w:ascii="宋体" w:hAnsi="宋体" w:eastAsia="宋体" w:cs="宋体"/>
          <w:sz w:val="20"/>
          <w:szCs w:val="20"/>
        </w:rPr>
      </w:pPr>
      <w:r>
        <w:rPr>
          <w:rFonts w:hint="eastAsia" w:ascii="宋体" w:hAnsi="宋体" w:eastAsia="宋体" w:cs="宋体"/>
          <w:spacing w:val="7"/>
          <w:sz w:val="20"/>
          <w:szCs w:val="20"/>
        </w:rPr>
        <w:t>18.9.2  当工程进度达到第</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rPr>
        <w:t>18.9.1</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项约定的中间验收部位时，承包人应当进行自检，</w:t>
      </w:r>
      <w:r>
        <w:rPr>
          <w:rFonts w:hint="eastAsia" w:ascii="宋体" w:hAnsi="宋体" w:eastAsia="宋体" w:cs="宋体"/>
          <w:spacing w:val="11"/>
          <w:sz w:val="20"/>
          <w:szCs w:val="20"/>
        </w:rPr>
        <w:t>并在中间验收前48</w:t>
      </w:r>
      <w:r>
        <w:rPr>
          <w:rFonts w:hint="eastAsia" w:ascii="宋体" w:hAnsi="宋体" w:eastAsia="宋体" w:cs="宋体"/>
          <w:spacing w:val="-33"/>
          <w:sz w:val="20"/>
          <w:szCs w:val="20"/>
        </w:rPr>
        <w:t xml:space="preserve"> </w:t>
      </w:r>
      <w:r>
        <w:rPr>
          <w:rFonts w:hint="eastAsia" w:ascii="宋体" w:hAnsi="宋体" w:eastAsia="宋体" w:cs="宋体"/>
          <w:spacing w:val="11"/>
          <w:sz w:val="20"/>
          <w:szCs w:val="20"/>
        </w:rPr>
        <w:t>小时以书面形式通知监理人验收。书面通知应包括中间验</w:t>
      </w:r>
      <w:r>
        <w:rPr>
          <w:rFonts w:hint="eastAsia" w:ascii="宋体" w:hAnsi="宋体" w:eastAsia="宋体" w:cs="宋体"/>
          <w:spacing w:val="10"/>
          <w:sz w:val="20"/>
          <w:szCs w:val="20"/>
        </w:rPr>
        <w:t>收的内容、验</w:t>
      </w:r>
      <w:r>
        <w:rPr>
          <w:rFonts w:hint="eastAsia" w:ascii="宋体" w:hAnsi="宋体" w:eastAsia="宋体" w:cs="宋体"/>
          <w:spacing w:val="8"/>
          <w:sz w:val="20"/>
          <w:szCs w:val="20"/>
        </w:rPr>
        <w:t>收时间和地点。承包人应当准备验收记录。只有监</w:t>
      </w:r>
      <w:r>
        <w:rPr>
          <w:rFonts w:hint="eastAsia" w:ascii="宋体" w:hAnsi="宋体" w:eastAsia="宋体" w:cs="宋体"/>
          <w:spacing w:val="7"/>
          <w:sz w:val="20"/>
          <w:szCs w:val="20"/>
        </w:rPr>
        <w:t>理人验收合格并在验收记录上签字后，承</w:t>
      </w:r>
      <w:r>
        <w:rPr>
          <w:rFonts w:hint="eastAsia" w:ascii="宋体" w:hAnsi="宋体" w:eastAsia="宋体" w:cs="宋体"/>
          <w:spacing w:val="8"/>
          <w:sz w:val="20"/>
          <w:szCs w:val="20"/>
        </w:rPr>
        <w:t>包人方可继续施工。验收不合格的，承包人</w:t>
      </w:r>
      <w:r>
        <w:rPr>
          <w:rFonts w:hint="eastAsia" w:ascii="宋体" w:hAnsi="宋体" w:eastAsia="宋体" w:cs="宋体"/>
          <w:spacing w:val="7"/>
          <w:sz w:val="20"/>
          <w:szCs w:val="20"/>
        </w:rPr>
        <w:t>在合同约定的期限内修改后重新验收。重新验收</w:t>
      </w:r>
      <w:r>
        <w:rPr>
          <w:rFonts w:hint="eastAsia" w:ascii="宋体" w:hAnsi="宋体" w:eastAsia="宋体" w:cs="宋体"/>
          <w:spacing w:val="8"/>
          <w:sz w:val="20"/>
          <w:szCs w:val="20"/>
        </w:rPr>
        <w:t>的期限见合同条款专用部分。</w:t>
      </w:r>
    </w:p>
    <w:p w14:paraId="24A3929E">
      <w:pPr>
        <w:spacing w:before="159" w:line="360" w:lineRule="auto"/>
        <w:ind w:left="21" w:right="37" w:firstLine="433"/>
        <w:rPr>
          <w:rFonts w:hint="eastAsia" w:ascii="宋体" w:hAnsi="宋体" w:eastAsia="宋体" w:cs="宋体"/>
          <w:sz w:val="20"/>
          <w:szCs w:val="20"/>
        </w:rPr>
      </w:pPr>
      <w:r>
        <w:rPr>
          <w:rFonts w:hint="eastAsia" w:ascii="宋体" w:hAnsi="宋体" w:eastAsia="宋体" w:cs="宋体"/>
          <w:spacing w:val="8"/>
          <w:sz w:val="20"/>
          <w:szCs w:val="20"/>
        </w:rPr>
        <w:t>18.9.3  监理人不能按时进行验收的，应在验收前至少</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24</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小时以书面形式向承</w:t>
      </w:r>
      <w:r>
        <w:rPr>
          <w:rFonts w:hint="eastAsia" w:ascii="宋体" w:hAnsi="宋体" w:eastAsia="宋体" w:cs="宋体"/>
          <w:spacing w:val="7"/>
          <w:sz w:val="20"/>
          <w:szCs w:val="20"/>
        </w:rPr>
        <w:t>包人提</w:t>
      </w:r>
      <w:r>
        <w:rPr>
          <w:rFonts w:hint="eastAsia" w:ascii="宋体" w:hAnsi="宋体" w:eastAsia="宋体" w:cs="宋体"/>
          <w:spacing w:val="11"/>
          <w:sz w:val="20"/>
          <w:szCs w:val="20"/>
        </w:rPr>
        <w:t>出延期要求，但延期不能超过48</w:t>
      </w:r>
      <w:r>
        <w:rPr>
          <w:rFonts w:hint="eastAsia" w:ascii="宋体" w:hAnsi="宋体" w:eastAsia="宋体" w:cs="宋体"/>
          <w:spacing w:val="-33"/>
          <w:sz w:val="20"/>
          <w:szCs w:val="20"/>
        </w:rPr>
        <w:t xml:space="preserve"> </w:t>
      </w:r>
      <w:r>
        <w:rPr>
          <w:rFonts w:hint="eastAsia" w:ascii="宋体" w:hAnsi="宋体" w:eastAsia="宋体" w:cs="宋体"/>
          <w:spacing w:val="11"/>
          <w:sz w:val="20"/>
          <w:szCs w:val="20"/>
        </w:rPr>
        <w:t>小时。监理人未能按本款约定的时</w:t>
      </w:r>
      <w:r>
        <w:rPr>
          <w:rFonts w:hint="eastAsia" w:ascii="宋体" w:hAnsi="宋体" w:eastAsia="宋体" w:cs="宋体"/>
          <w:spacing w:val="10"/>
          <w:sz w:val="20"/>
          <w:szCs w:val="20"/>
        </w:rPr>
        <w:t>限提出延期要求，又未</w:t>
      </w:r>
      <w:r>
        <w:rPr>
          <w:rFonts w:hint="eastAsia" w:ascii="宋体" w:hAnsi="宋体" w:eastAsia="宋体" w:cs="宋体"/>
          <w:spacing w:val="9"/>
          <w:sz w:val="20"/>
          <w:szCs w:val="20"/>
        </w:rPr>
        <w:t>按期进行验收的，承包人可自行组织验收，监理人必须认同验收记录。</w:t>
      </w:r>
    </w:p>
    <w:p w14:paraId="438D3275">
      <w:pPr>
        <w:spacing w:before="161" w:line="360" w:lineRule="auto"/>
        <w:ind w:left="20" w:right="37" w:firstLine="420"/>
        <w:rPr>
          <w:rFonts w:hint="eastAsia" w:ascii="宋体" w:hAnsi="宋体" w:eastAsia="宋体" w:cs="宋体"/>
          <w:sz w:val="20"/>
          <w:szCs w:val="20"/>
        </w:rPr>
      </w:pPr>
      <w:r>
        <w:rPr>
          <w:rFonts w:hint="eastAsia" w:ascii="宋体" w:hAnsi="宋体" w:eastAsia="宋体" w:cs="宋体"/>
          <w:spacing w:val="9"/>
          <w:sz w:val="20"/>
          <w:szCs w:val="20"/>
        </w:rPr>
        <w:t>经监理人验收后工程质量符合约定的验收标准，但验收</w:t>
      </w:r>
      <w:r>
        <w:rPr>
          <w:rFonts w:hint="eastAsia" w:ascii="宋体" w:hAnsi="宋体" w:eastAsia="宋体" w:cs="宋体"/>
          <w:spacing w:val="-30"/>
          <w:sz w:val="20"/>
          <w:szCs w:val="20"/>
        </w:rPr>
        <w:t xml:space="preserve"> </w:t>
      </w:r>
      <w:r>
        <w:rPr>
          <w:rFonts w:hint="eastAsia" w:ascii="宋体" w:hAnsi="宋体" w:eastAsia="宋体" w:cs="宋体"/>
          <w:spacing w:val="9"/>
          <w:sz w:val="20"/>
          <w:szCs w:val="20"/>
        </w:rPr>
        <w:t>24</w:t>
      </w:r>
      <w:r>
        <w:rPr>
          <w:rFonts w:hint="eastAsia" w:ascii="宋体" w:hAnsi="宋体" w:eastAsia="宋体" w:cs="宋体"/>
          <w:spacing w:val="-32"/>
          <w:sz w:val="20"/>
          <w:szCs w:val="20"/>
        </w:rPr>
        <w:t xml:space="preserve"> </w:t>
      </w:r>
      <w:r>
        <w:rPr>
          <w:rFonts w:hint="eastAsia" w:ascii="宋体" w:hAnsi="宋体" w:eastAsia="宋体" w:cs="宋体"/>
          <w:spacing w:val="9"/>
          <w:sz w:val="20"/>
          <w:szCs w:val="20"/>
        </w:rPr>
        <w:t>小时后监理人仍不在验收记录上签字的，视为监理人已经认可验收记录，承包人可继续施工。</w:t>
      </w:r>
    </w:p>
    <w:p w14:paraId="613B79E2">
      <w:pPr>
        <w:spacing w:before="127" w:line="360" w:lineRule="auto"/>
        <w:ind w:left="43"/>
        <w:outlineLvl w:val="1"/>
        <w:rPr>
          <w:rFonts w:hint="eastAsia" w:ascii="宋体" w:hAnsi="宋体" w:eastAsia="宋体" w:cs="宋体"/>
          <w:sz w:val="28"/>
          <w:szCs w:val="28"/>
        </w:rPr>
      </w:pPr>
      <w:bookmarkStart w:id="704" w:name="bookmark122"/>
      <w:bookmarkEnd w:id="704"/>
      <w:r>
        <w:rPr>
          <w:rFonts w:hint="eastAsia" w:ascii="宋体" w:hAnsi="宋体" w:eastAsia="宋体" w:cs="宋体"/>
          <w:spacing w:val="-3"/>
          <w:sz w:val="28"/>
          <w:szCs w:val="28"/>
        </w:rPr>
        <w:t>19.缺陷责任与保修责任</w:t>
      </w:r>
    </w:p>
    <w:p w14:paraId="687F90FA">
      <w:pPr>
        <w:pStyle w:val="17"/>
        <w:spacing w:line="360" w:lineRule="auto"/>
        <w:rPr>
          <w:rFonts w:hint="eastAsia" w:ascii="宋体" w:hAnsi="宋体" w:eastAsia="宋体" w:cs="宋体"/>
        </w:rPr>
      </w:pPr>
    </w:p>
    <w:p w14:paraId="6AF0C02E">
      <w:pPr>
        <w:spacing w:before="78" w:line="360" w:lineRule="auto"/>
        <w:ind w:left="38"/>
        <w:outlineLvl w:val="2"/>
        <w:rPr>
          <w:rFonts w:hint="eastAsia" w:ascii="宋体" w:hAnsi="宋体" w:eastAsia="宋体" w:cs="宋体"/>
          <w:sz w:val="24"/>
          <w:szCs w:val="24"/>
        </w:rPr>
      </w:pPr>
      <w:r>
        <w:rPr>
          <w:rFonts w:hint="eastAsia" w:ascii="宋体" w:hAnsi="宋体" w:eastAsia="宋体" w:cs="宋体"/>
          <w:spacing w:val="-2"/>
          <w:sz w:val="24"/>
          <w:szCs w:val="24"/>
        </w:rPr>
        <w:t>19.1  缺陷责任期的起算时间</w:t>
      </w:r>
    </w:p>
    <w:p w14:paraId="1D07B7D2">
      <w:pPr>
        <w:spacing w:before="297" w:line="360" w:lineRule="auto"/>
        <w:ind w:left="19" w:right="37" w:firstLine="420"/>
        <w:rPr>
          <w:rFonts w:hint="eastAsia" w:ascii="宋体" w:hAnsi="宋体" w:eastAsia="宋体" w:cs="宋体"/>
          <w:sz w:val="20"/>
          <w:szCs w:val="20"/>
        </w:rPr>
      </w:pPr>
      <w:r>
        <w:rPr>
          <w:rFonts w:hint="eastAsia" w:ascii="宋体" w:hAnsi="宋体" w:eastAsia="宋体" w:cs="宋体"/>
          <w:spacing w:val="7"/>
          <w:sz w:val="20"/>
          <w:szCs w:val="20"/>
        </w:rPr>
        <w:t>缺陷责任期自实际竣工日期起计算。在全部工程竣工验收前，已经发包人提前验收的单</w:t>
      </w:r>
      <w:r>
        <w:rPr>
          <w:rFonts w:hint="eastAsia" w:ascii="宋体" w:hAnsi="宋体" w:eastAsia="宋体" w:cs="宋体"/>
          <w:spacing w:val="9"/>
          <w:sz w:val="20"/>
          <w:szCs w:val="20"/>
        </w:rPr>
        <w:t>位工程，其缺陷责任期的起算日期相应提前。</w:t>
      </w:r>
    </w:p>
    <w:p w14:paraId="02477CFC">
      <w:pPr>
        <w:spacing w:before="122" w:line="360" w:lineRule="auto"/>
        <w:ind w:left="38"/>
        <w:outlineLvl w:val="2"/>
        <w:rPr>
          <w:rFonts w:hint="eastAsia" w:ascii="宋体" w:hAnsi="宋体" w:eastAsia="宋体" w:cs="宋体"/>
          <w:sz w:val="24"/>
          <w:szCs w:val="24"/>
        </w:rPr>
      </w:pPr>
      <w:bookmarkStart w:id="705" w:name="bookmark123"/>
      <w:bookmarkEnd w:id="705"/>
      <w:r>
        <w:rPr>
          <w:rFonts w:hint="eastAsia" w:ascii="宋体" w:hAnsi="宋体" w:eastAsia="宋体" w:cs="宋体"/>
          <w:spacing w:val="-5"/>
          <w:sz w:val="24"/>
          <w:szCs w:val="24"/>
        </w:rPr>
        <w:t>19.2</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缺陷责任</w:t>
      </w:r>
    </w:p>
    <w:p w14:paraId="118EE4F2">
      <w:pPr>
        <w:spacing w:before="297" w:line="360" w:lineRule="auto"/>
        <w:ind w:left="455"/>
        <w:rPr>
          <w:rFonts w:hint="eastAsia" w:ascii="宋体" w:hAnsi="宋体" w:eastAsia="宋体" w:cs="宋体"/>
          <w:sz w:val="20"/>
          <w:szCs w:val="20"/>
        </w:rPr>
      </w:pPr>
      <w:r>
        <w:rPr>
          <w:rFonts w:hint="eastAsia" w:ascii="宋体" w:hAnsi="宋体" w:eastAsia="宋体" w:cs="宋体"/>
          <w:spacing w:val="8"/>
          <w:sz w:val="20"/>
          <w:szCs w:val="20"/>
        </w:rPr>
        <w:t>19.2.1  承包人应在缺陷责任期内对已交付使用的工</w:t>
      </w:r>
      <w:r>
        <w:rPr>
          <w:rFonts w:hint="eastAsia" w:ascii="宋体" w:hAnsi="宋体" w:eastAsia="宋体" w:cs="宋体"/>
          <w:spacing w:val="7"/>
          <w:sz w:val="20"/>
          <w:szCs w:val="20"/>
        </w:rPr>
        <w:t>程承担缺陷责任。</w:t>
      </w:r>
    </w:p>
    <w:p w14:paraId="3B1E0EF9">
      <w:pPr>
        <w:spacing w:before="162" w:line="360" w:lineRule="auto"/>
        <w:ind w:left="20" w:right="39" w:firstLine="434"/>
        <w:rPr>
          <w:rFonts w:hint="eastAsia" w:ascii="宋体" w:hAnsi="宋体" w:eastAsia="宋体" w:cs="宋体"/>
          <w:sz w:val="20"/>
          <w:szCs w:val="20"/>
        </w:rPr>
      </w:pPr>
      <w:r>
        <w:rPr>
          <w:rFonts w:hint="eastAsia" w:ascii="宋体" w:hAnsi="宋体" w:eastAsia="宋体" w:cs="宋体"/>
          <w:spacing w:val="6"/>
          <w:sz w:val="20"/>
          <w:szCs w:val="20"/>
        </w:rPr>
        <w:t>19.2.2  缺陷责任期内，发包人对已接收使用的工程负责日常维护工作。发包人在使用</w:t>
      </w:r>
      <w:r>
        <w:rPr>
          <w:rFonts w:hint="eastAsia" w:ascii="宋体" w:hAnsi="宋体" w:eastAsia="宋体" w:cs="宋体"/>
          <w:spacing w:val="7"/>
          <w:sz w:val="20"/>
          <w:szCs w:val="20"/>
        </w:rPr>
        <w:t>过程中，发现已接收的工程存在新的缺陷或已修复的缺陷部位或部件又遭损坏的，承包人应</w:t>
      </w:r>
      <w:r>
        <w:rPr>
          <w:rFonts w:hint="eastAsia" w:ascii="宋体" w:hAnsi="宋体" w:eastAsia="宋体" w:cs="宋体"/>
          <w:spacing w:val="8"/>
          <w:sz w:val="20"/>
          <w:szCs w:val="20"/>
        </w:rPr>
        <w:t>负责修复，直至检验合格为止。</w:t>
      </w:r>
    </w:p>
    <w:p w14:paraId="3063CA97">
      <w:pPr>
        <w:spacing w:before="160" w:line="360" w:lineRule="auto"/>
        <w:ind w:left="20" w:right="39" w:firstLine="434"/>
        <w:rPr>
          <w:rFonts w:hint="eastAsia" w:ascii="宋体" w:hAnsi="宋体" w:eastAsia="宋体" w:cs="宋体"/>
          <w:sz w:val="20"/>
          <w:szCs w:val="20"/>
        </w:rPr>
      </w:pPr>
      <w:r>
        <w:rPr>
          <w:rFonts w:hint="eastAsia" w:ascii="宋体" w:hAnsi="宋体" w:eastAsia="宋体" w:cs="宋体"/>
          <w:spacing w:val="6"/>
          <w:sz w:val="20"/>
          <w:szCs w:val="20"/>
        </w:rPr>
        <w:t>19.2.3  监理人和承包人应共同查清缺陷和（或）损坏的原因。经查明属承包人原因造</w:t>
      </w:r>
      <w:r>
        <w:rPr>
          <w:rFonts w:hint="eastAsia" w:ascii="宋体" w:hAnsi="宋体" w:eastAsia="宋体" w:cs="宋体"/>
          <w:spacing w:val="7"/>
          <w:sz w:val="20"/>
          <w:szCs w:val="20"/>
        </w:rPr>
        <w:t>成的，应由承包人承担修复和查验的费用。经查验属发包人原因造成的，发包人应承担修复</w:t>
      </w:r>
      <w:r>
        <w:rPr>
          <w:rFonts w:hint="eastAsia" w:ascii="宋体" w:hAnsi="宋体" w:eastAsia="宋体" w:cs="宋体"/>
          <w:spacing w:val="8"/>
          <w:sz w:val="20"/>
          <w:szCs w:val="20"/>
        </w:rPr>
        <w:t>和查验的费用，并支付承包人合理利润。</w:t>
      </w:r>
    </w:p>
    <w:p w14:paraId="1A3133ED">
      <w:pPr>
        <w:spacing w:before="160" w:line="360" w:lineRule="auto"/>
        <w:ind w:left="19" w:firstLine="435"/>
        <w:rPr>
          <w:rFonts w:hint="eastAsia" w:ascii="宋体" w:hAnsi="宋体" w:eastAsia="宋体" w:cs="宋体"/>
        </w:rPr>
      </w:pPr>
      <w:r>
        <w:rPr>
          <w:rFonts w:hint="eastAsia" w:ascii="宋体" w:hAnsi="宋体" w:eastAsia="宋体" w:cs="宋体"/>
          <w:spacing w:val="7"/>
          <w:sz w:val="20"/>
          <w:szCs w:val="20"/>
        </w:rPr>
        <w:t>19.2.4  承包人不能在合理时间内修复缺陷的，发包人可自行修复或委托其他人修复，</w:t>
      </w:r>
      <w:r>
        <w:rPr>
          <w:rFonts w:hint="eastAsia" w:ascii="宋体" w:hAnsi="宋体" w:eastAsia="宋体" w:cs="宋体"/>
          <w:spacing w:val="6"/>
          <w:sz w:val="20"/>
          <w:szCs w:val="20"/>
        </w:rPr>
        <w:t>所需费用和利润的承担，按第</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19.2.3</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项约定办理。</w:t>
      </w:r>
      <w:r>
        <w:rPr>
          <w:rFonts w:hint="eastAsia" w:ascii="宋体" w:hAnsi="宋体" w:eastAsia="宋体" w:cs="宋体"/>
          <w:sz w:val="20"/>
          <w:szCs w:val="20"/>
          <w:lang w:eastAsia="zh-CN"/>
        </w:rPr>
        <w:t xml:space="preserve"> </w:t>
      </w:r>
    </w:p>
    <w:p w14:paraId="7F610727">
      <w:pPr>
        <w:spacing w:before="78" w:line="360" w:lineRule="auto"/>
        <w:ind w:left="38"/>
        <w:outlineLvl w:val="2"/>
        <w:rPr>
          <w:rFonts w:hint="eastAsia" w:ascii="宋体" w:hAnsi="宋体" w:eastAsia="宋体" w:cs="宋体"/>
          <w:sz w:val="24"/>
          <w:szCs w:val="24"/>
        </w:rPr>
      </w:pPr>
      <w:bookmarkStart w:id="706" w:name="bookmark124"/>
      <w:bookmarkEnd w:id="706"/>
      <w:r>
        <w:rPr>
          <w:rFonts w:hint="eastAsia" w:ascii="宋体" w:hAnsi="宋体" w:eastAsia="宋体" w:cs="宋体"/>
          <w:spacing w:val="-2"/>
          <w:sz w:val="24"/>
          <w:szCs w:val="24"/>
        </w:rPr>
        <w:t>19.3  缺陷责任期的延长</w:t>
      </w:r>
    </w:p>
    <w:p w14:paraId="0D9BA680">
      <w:pPr>
        <w:spacing w:before="298" w:line="360" w:lineRule="auto"/>
        <w:ind w:left="20" w:right="174" w:firstLine="444"/>
        <w:jc w:val="both"/>
        <w:rPr>
          <w:rFonts w:hint="eastAsia" w:ascii="宋体" w:hAnsi="宋体" w:eastAsia="宋体" w:cs="宋体"/>
          <w:sz w:val="20"/>
          <w:szCs w:val="20"/>
        </w:rPr>
      </w:pPr>
      <w:r>
        <w:rPr>
          <w:rFonts w:hint="eastAsia" w:ascii="宋体" w:hAnsi="宋体" w:eastAsia="宋体" w:cs="宋体"/>
          <w:spacing w:val="7"/>
          <w:sz w:val="20"/>
          <w:szCs w:val="20"/>
        </w:rPr>
        <w:t>由于承包人原因造成某项缺陷或损坏，使某项工程或工程设备不</w:t>
      </w:r>
      <w:r>
        <w:rPr>
          <w:rFonts w:hint="eastAsia" w:ascii="宋体" w:hAnsi="宋体" w:eastAsia="宋体" w:cs="宋体"/>
          <w:spacing w:val="6"/>
          <w:sz w:val="20"/>
          <w:szCs w:val="20"/>
        </w:rPr>
        <w:t>能按原定目标使用，需</w:t>
      </w:r>
      <w:r>
        <w:rPr>
          <w:rFonts w:hint="eastAsia" w:ascii="宋体" w:hAnsi="宋体" w:eastAsia="宋体" w:cs="宋体"/>
          <w:spacing w:val="8"/>
          <w:sz w:val="20"/>
          <w:szCs w:val="20"/>
        </w:rPr>
        <w:t>要再次检查、检验和修复的，发包人有权要求承</w:t>
      </w:r>
      <w:r>
        <w:rPr>
          <w:rFonts w:hint="eastAsia" w:ascii="宋体" w:hAnsi="宋体" w:eastAsia="宋体" w:cs="宋体"/>
          <w:spacing w:val="7"/>
          <w:sz w:val="20"/>
          <w:szCs w:val="20"/>
        </w:rPr>
        <w:t>包人相应延长缺陷责任期，但缺陷责任期最</w:t>
      </w:r>
      <w:r>
        <w:rPr>
          <w:rFonts w:hint="eastAsia" w:ascii="宋体" w:hAnsi="宋体" w:eastAsia="宋体" w:cs="宋体"/>
          <w:spacing w:val="3"/>
          <w:sz w:val="20"/>
          <w:szCs w:val="20"/>
        </w:rPr>
        <w:t>长不超过</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2</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年。</w:t>
      </w:r>
    </w:p>
    <w:p w14:paraId="1077C829">
      <w:pPr>
        <w:spacing w:before="121" w:line="360" w:lineRule="auto"/>
        <w:ind w:left="38"/>
        <w:outlineLvl w:val="2"/>
        <w:rPr>
          <w:rFonts w:hint="eastAsia" w:ascii="宋体" w:hAnsi="宋体" w:eastAsia="宋体" w:cs="宋体"/>
          <w:sz w:val="24"/>
          <w:szCs w:val="24"/>
        </w:rPr>
      </w:pPr>
      <w:bookmarkStart w:id="707" w:name="bookmark125"/>
      <w:bookmarkEnd w:id="707"/>
      <w:r>
        <w:rPr>
          <w:rFonts w:hint="eastAsia" w:ascii="宋体" w:hAnsi="宋体" w:eastAsia="宋体" w:cs="宋体"/>
          <w:spacing w:val="-2"/>
          <w:sz w:val="24"/>
          <w:szCs w:val="24"/>
        </w:rPr>
        <w:t>19.4  进一步试验和试运行</w:t>
      </w:r>
    </w:p>
    <w:p w14:paraId="708CFA20">
      <w:pPr>
        <w:spacing w:before="297" w:line="360" w:lineRule="auto"/>
        <w:ind w:left="19" w:right="174" w:firstLine="419"/>
        <w:rPr>
          <w:rFonts w:hint="eastAsia" w:ascii="宋体" w:hAnsi="宋体" w:eastAsia="宋体" w:cs="宋体"/>
          <w:sz w:val="20"/>
          <w:szCs w:val="20"/>
        </w:rPr>
      </w:pPr>
      <w:r>
        <w:rPr>
          <w:rFonts w:hint="eastAsia" w:ascii="宋体" w:hAnsi="宋体" w:eastAsia="宋体" w:cs="宋体"/>
          <w:spacing w:val="7"/>
          <w:sz w:val="20"/>
          <w:szCs w:val="20"/>
        </w:rPr>
        <w:t>任何一项缺陷或损坏修复后，经检查证明其影响了工程或工程设备的使用性能，承包人</w:t>
      </w:r>
      <w:r>
        <w:rPr>
          <w:rFonts w:hint="eastAsia" w:ascii="宋体" w:hAnsi="宋体" w:eastAsia="宋体" w:cs="宋体"/>
          <w:spacing w:val="9"/>
          <w:sz w:val="20"/>
          <w:szCs w:val="20"/>
        </w:rPr>
        <w:t>应重新进行合同约定的试验和试运行，试验和试运行的全部费用应由责任方承担。</w:t>
      </w:r>
    </w:p>
    <w:p w14:paraId="3BA63797">
      <w:pPr>
        <w:spacing w:before="121" w:line="360" w:lineRule="auto"/>
        <w:ind w:left="38"/>
        <w:outlineLvl w:val="2"/>
        <w:rPr>
          <w:rFonts w:hint="eastAsia" w:ascii="宋体" w:hAnsi="宋体" w:eastAsia="宋体" w:cs="宋体"/>
          <w:sz w:val="24"/>
          <w:szCs w:val="24"/>
        </w:rPr>
      </w:pPr>
      <w:bookmarkStart w:id="708" w:name="bookmark126"/>
      <w:bookmarkEnd w:id="708"/>
      <w:r>
        <w:rPr>
          <w:rFonts w:hint="eastAsia" w:ascii="宋体" w:hAnsi="宋体" w:eastAsia="宋体" w:cs="宋体"/>
          <w:spacing w:val="-3"/>
          <w:sz w:val="24"/>
          <w:szCs w:val="24"/>
        </w:rPr>
        <w:t>19.5  承包人的进入权</w:t>
      </w:r>
    </w:p>
    <w:p w14:paraId="55D40B46">
      <w:pPr>
        <w:spacing w:before="298" w:line="360" w:lineRule="auto"/>
        <w:ind w:left="20" w:right="177" w:firstLine="419"/>
        <w:rPr>
          <w:rFonts w:hint="eastAsia" w:ascii="宋体" w:hAnsi="宋体" w:eastAsia="宋体" w:cs="宋体"/>
          <w:sz w:val="20"/>
          <w:szCs w:val="20"/>
        </w:rPr>
      </w:pPr>
      <w:r>
        <w:rPr>
          <w:rFonts w:hint="eastAsia" w:ascii="宋体" w:hAnsi="宋体" w:eastAsia="宋体" w:cs="宋体"/>
          <w:spacing w:val="7"/>
          <w:sz w:val="20"/>
          <w:szCs w:val="20"/>
        </w:rPr>
        <w:t>缺陷责任期内承包人为缺陷修复工作需要，有权进入工程现场，但应遵守发包人的保安</w:t>
      </w:r>
      <w:r>
        <w:rPr>
          <w:rFonts w:hint="eastAsia" w:ascii="宋体" w:hAnsi="宋体" w:eastAsia="宋体" w:cs="宋体"/>
          <w:spacing w:val="6"/>
          <w:sz w:val="20"/>
          <w:szCs w:val="20"/>
        </w:rPr>
        <w:t>和保密规定。</w:t>
      </w:r>
    </w:p>
    <w:p w14:paraId="3BF265B7">
      <w:pPr>
        <w:spacing w:before="122" w:line="360" w:lineRule="auto"/>
        <w:ind w:left="38"/>
        <w:outlineLvl w:val="2"/>
        <w:rPr>
          <w:rFonts w:hint="eastAsia" w:ascii="宋体" w:hAnsi="宋体" w:eastAsia="宋体" w:cs="宋体"/>
          <w:sz w:val="24"/>
          <w:szCs w:val="24"/>
        </w:rPr>
      </w:pPr>
      <w:bookmarkStart w:id="709" w:name="bookmark127"/>
      <w:bookmarkEnd w:id="709"/>
      <w:r>
        <w:rPr>
          <w:rFonts w:hint="eastAsia" w:ascii="宋体" w:hAnsi="宋体" w:eastAsia="宋体" w:cs="宋体"/>
          <w:spacing w:val="-2"/>
          <w:sz w:val="24"/>
          <w:szCs w:val="24"/>
        </w:rPr>
        <w:t>19.6  缺陷责任期终止证书</w:t>
      </w:r>
    </w:p>
    <w:p w14:paraId="64AB9EC5">
      <w:pPr>
        <w:spacing w:before="297" w:line="360" w:lineRule="auto"/>
        <w:ind w:left="20" w:right="174" w:firstLine="418"/>
        <w:jc w:val="both"/>
        <w:rPr>
          <w:rFonts w:hint="eastAsia" w:ascii="宋体" w:hAnsi="宋体" w:eastAsia="宋体" w:cs="宋体"/>
          <w:sz w:val="20"/>
          <w:szCs w:val="20"/>
        </w:rPr>
      </w:pPr>
      <w:r>
        <w:rPr>
          <w:rFonts w:hint="eastAsia" w:ascii="宋体" w:hAnsi="宋体" w:eastAsia="宋体" w:cs="宋体"/>
          <w:spacing w:val="3"/>
          <w:sz w:val="20"/>
          <w:szCs w:val="20"/>
        </w:rPr>
        <w:t>在第</w:t>
      </w:r>
      <w:r>
        <w:rPr>
          <w:rFonts w:hint="eastAsia" w:ascii="宋体" w:hAnsi="宋体" w:eastAsia="宋体" w:cs="宋体"/>
          <w:spacing w:val="-24"/>
          <w:sz w:val="20"/>
          <w:szCs w:val="20"/>
        </w:rPr>
        <w:t xml:space="preserve"> </w:t>
      </w:r>
      <w:r>
        <w:rPr>
          <w:rFonts w:hint="eastAsia" w:ascii="宋体" w:hAnsi="宋体" w:eastAsia="宋体" w:cs="宋体"/>
          <w:spacing w:val="3"/>
          <w:sz w:val="20"/>
          <w:szCs w:val="20"/>
        </w:rPr>
        <w:t>1.1.4.5 目约定的缺陷责任期，包括根据第</w:t>
      </w:r>
      <w:r>
        <w:rPr>
          <w:rFonts w:hint="eastAsia" w:ascii="宋体" w:hAnsi="宋体" w:eastAsia="宋体" w:cs="宋体"/>
          <w:spacing w:val="-21"/>
          <w:sz w:val="20"/>
          <w:szCs w:val="20"/>
        </w:rPr>
        <w:t xml:space="preserve"> </w:t>
      </w:r>
      <w:r>
        <w:rPr>
          <w:rFonts w:hint="eastAsia" w:ascii="宋体" w:hAnsi="宋体" w:eastAsia="宋体" w:cs="宋体"/>
          <w:spacing w:val="3"/>
          <w:sz w:val="20"/>
          <w:szCs w:val="20"/>
        </w:rPr>
        <w:t>19.3</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款延长的期限终止</w:t>
      </w:r>
      <w:r>
        <w:rPr>
          <w:rFonts w:hint="eastAsia" w:ascii="宋体" w:hAnsi="宋体" w:eastAsia="宋体" w:cs="宋体"/>
          <w:spacing w:val="2"/>
          <w:sz w:val="20"/>
          <w:szCs w:val="20"/>
        </w:rPr>
        <w:t>后</w:t>
      </w:r>
      <w:r>
        <w:rPr>
          <w:rFonts w:hint="eastAsia" w:ascii="宋体" w:hAnsi="宋体" w:eastAsia="宋体" w:cs="宋体"/>
          <w:spacing w:val="-23"/>
          <w:sz w:val="20"/>
          <w:szCs w:val="20"/>
        </w:rPr>
        <w:t xml:space="preserve"> </w:t>
      </w:r>
      <w:r>
        <w:rPr>
          <w:rFonts w:hint="eastAsia" w:ascii="宋体" w:hAnsi="宋体" w:eastAsia="宋体" w:cs="宋体"/>
          <w:spacing w:val="2"/>
          <w:sz w:val="20"/>
          <w:szCs w:val="20"/>
        </w:rPr>
        <w:t>14</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rPr>
        <w:t>天内，由</w:t>
      </w:r>
      <w:r>
        <w:rPr>
          <w:rFonts w:hint="eastAsia" w:ascii="宋体" w:hAnsi="宋体" w:eastAsia="宋体" w:cs="宋体"/>
          <w:spacing w:val="7"/>
          <w:sz w:val="20"/>
          <w:szCs w:val="20"/>
        </w:rPr>
        <w:t>监理人向承包人出具经发包人签认的缺陷责任期终止证书，并退还剩余的质量保证金或退还</w:t>
      </w:r>
      <w:r>
        <w:rPr>
          <w:rFonts w:hint="eastAsia" w:ascii="宋体" w:hAnsi="宋体" w:eastAsia="宋体" w:cs="宋体"/>
          <w:spacing w:val="2"/>
          <w:sz w:val="20"/>
          <w:szCs w:val="20"/>
        </w:rPr>
        <w:t>保函。</w:t>
      </w:r>
    </w:p>
    <w:p w14:paraId="439CC414">
      <w:pPr>
        <w:spacing w:before="121" w:line="360" w:lineRule="auto"/>
        <w:ind w:left="38"/>
        <w:outlineLvl w:val="2"/>
        <w:rPr>
          <w:rFonts w:hint="eastAsia" w:ascii="宋体" w:hAnsi="宋体" w:eastAsia="宋体" w:cs="宋体"/>
          <w:sz w:val="24"/>
          <w:szCs w:val="24"/>
        </w:rPr>
      </w:pPr>
      <w:bookmarkStart w:id="710" w:name="bookmark128"/>
      <w:bookmarkEnd w:id="710"/>
      <w:r>
        <w:rPr>
          <w:rFonts w:hint="eastAsia" w:ascii="宋体" w:hAnsi="宋体" w:eastAsia="宋体" w:cs="宋体"/>
          <w:spacing w:val="-5"/>
          <w:sz w:val="24"/>
          <w:szCs w:val="24"/>
        </w:rPr>
        <w:t>19.7</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保修责任</w:t>
      </w:r>
    </w:p>
    <w:p w14:paraId="0C069BA9">
      <w:pPr>
        <w:spacing w:before="296" w:line="360" w:lineRule="auto"/>
        <w:ind w:left="19" w:right="177" w:firstLine="435"/>
        <w:rPr>
          <w:rFonts w:hint="eastAsia" w:ascii="宋体" w:hAnsi="宋体" w:eastAsia="宋体" w:cs="宋体"/>
          <w:sz w:val="20"/>
          <w:szCs w:val="20"/>
        </w:rPr>
      </w:pPr>
      <w:r>
        <w:rPr>
          <w:rFonts w:hint="eastAsia" w:ascii="宋体" w:hAnsi="宋体" w:eastAsia="宋体" w:cs="宋体"/>
          <w:spacing w:val="6"/>
          <w:sz w:val="20"/>
          <w:szCs w:val="20"/>
        </w:rPr>
        <w:t>19.7.1  合同当事人根据有关法律法规规定明确工程质量保修范围、期限和责任。保修</w:t>
      </w:r>
      <w:r>
        <w:rPr>
          <w:rFonts w:hint="eastAsia" w:ascii="宋体" w:hAnsi="宋体" w:eastAsia="宋体" w:cs="宋体"/>
          <w:spacing w:val="8"/>
          <w:sz w:val="20"/>
          <w:szCs w:val="20"/>
        </w:rPr>
        <w:t>期自实际竣工日期起计算。在全部工程竣工</w:t>
      </w:r>
      <w:r>
        <w:rPr>
          <w:rFonts w:hint="eastAsia" w:ascii="宋体" w:hAnsi="宋体" w:eastAsia="宋体" w:cs="宋体"/>
          <w:spacing w:val="7"/>
          <w:sz w:val="20"/>
          <w:szCs w:val="20"/>
        </w:rPr>
        <w:t>验收前，已经发包人提前验收的单位工程，其保</w:t>
      </w:r>
      <w:r>
        <w:rPr>
          <w:rFonts w:hint="eastAsia" w:ascii="宋体" w:hAnsi="宋体" w:eastAsia="宋体" w:cs="宋体"/>
          <w:spacing w:val="9"/>
          <w:sz w:val="20"/>
          <w:szCs w:val="20"/>
        </w:rPr>
        <w:t>修期的起算日期相应提前。工程质量保修范围、期限和责任见合同条款专用部分。</w:t>
      </w:r>
    </w:p>
    <w:p w14:paraId="75D536E3">
      <w:pPr>
        <w:spacing w:before="163" w:line="360" w:lineRule="auto"/>
        <w:ind w:left="19" w:firstLine="435"/>
        <w:rPr>
          <w:rFonts w:hint="eastAsia" w:ascii="宋体" w:hAnsi="宋体" w:eastAsia="宋体" w:cs="宋体"/>
          <w:sz w:val="20"/>
          <w:szCs w:val="20"/>
        </w:rPr>
      </w:pPr>
      <w:r>
        <w:rPr>
          <w:rFonts w:hint="eastAsia" w:ascii="宋体" w:hAnsi="宋体" w:eastAsia="宋体" w:cs="宋体"/>
          <w:spacing w:val="6"/>
          <w:sz w:val="20"/>
          <w:szCs w:val="20"/>
        </w:rPr>
        <w:t>19.7.2  质量保修书是竣工验收申请报告的组成内容。承包人应当按照有关法律法规规</w:t>
      </w:r>
      <w:r>
        <w:rPr>
          <w:rFonts w:hint="eastAsia" w:ascii="宋体" w:hAnsi="宋体" w:eastAsia="宋体" w:cs="宋体"/>
          <w:spacing w:val="7"/>
          <w:sz w:val="20"/>
          <w:szCs w:val="20"/>
        </w:rPr>
        <w:t>定和合同所附的格式出具质量保修书，质量保修书的主要内容应当与</w:t>
      </w:r>
      <w:r>
        <w:rPr>
          <w:rFonts w:hint="eastAsia" w:ascii="宋体" w:hAnsi="宋体" w:eastAsia="宋体" w:cs="宋体"/>
          <w:spacing w:val="6"/>
          <w:sz w:val="20"/>
          <w:szCs w:val="20"/>
        </w:rPr>
        <w:t>本款上述约定内容一致。</w:t>
      </w:r>
      <w:r>
        <w:rPr>
          <w:rFonts w:hint="eastAsia" w:ascii="宋体" w:hAnsi="宋体" w:eastAsia="宋体" w:cs="宋体"/>
          <w:spacing w:val="9"/>
          <w:sz w:val="20"/>
          <w:szCs w:val="20"/>
        </w:rPr>
        <w:t>承包人在递交合同条款第</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18.2</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款约定的竣工验收报告的同时，将质量保修</w:t>
      </w:r>
      <w:r>
        <w:rPr>
          <w:rFonts w:hint="eastAsia" w:ascii="宋体" w:hAnsi="宋体" w:eastAsia="宋体" w:cs="宋体"/>
          <w:spacing w:val="8"/>
          <w:sz w:val="20"/>
          <w:szCs w:val="20"/>
        </w:rPr>
        <w:t>书一并报送监理</w:t>
      </w:r>
      <w:r>
        <w:rPr>
          <w:rFonts w:hint="eastAsia" w:ascii="宋体" w:hAnsi="宋体" w:eastAsia="宋体" w:cs="宋体"/>
          <w:sz w:val="20"/>
          <w:szCs w:val="20"/>
        </w:rPr>
        <w:t>人。</w:t>
      </w:r>
    </w:p>
    <w:p w14:paraId="71B4EEE2">
      <w:pPr>
        <w:spacing w:before="291" w:line="360" w:lineRule="auto"/>
        <w:ind w:left="26"/>
        <w:outlineLvl w:val="1"/>
        <w:rPr>
          <w:rFonts w:hint="eastAsia" w:ascii="宋体" w:hAnsi="宋体" w:eastAsia="宋体" w:cs="宋体"/>
          <w:sz w:val="28"/>
          <w:szCs w:val="28"/>
        </w:rPr>
      </w:pPr>
      <w:bookmarkStart w:id="711" w:name="bookmark129"/>
      <w:bookmarkEnd w:id="711"/>
      <w:r>
        <w:rPr>
          <w:rFonts w:hint="eastAsia" w:ascii="宋体" w:hAnsi="宋体" w:eastAsia="宋体" w:cs="宋体"/>
          <w:spacing w:val="-3"/>
          <w:sz w:val="28"/>
          <w:szCs w:val="28"/>
        </w:rPr>
        <w:t>20.保险</w:t>
      </w:r>
    </w:p>
    <w:p w14:paraId="717FD7FD">
      <w:pPr>
        <w:pStyle w:val="17"/>
        <w:spacing w:line="360" w:lineRule="auto"/>
        <w:rPr>
          <w:rFonts w:hint="eastAsia" w:ascii="宋体" w:hAnsi="宋体" w:eastAsia="宋体" w:cs="宋体"/>
        </w:rPr>
      </w:pPr>
    </w:p>
    <w:p w14:paraId="42658DE3">
      <w:pPr>
        <w:spacing w:before="78" w:line="360" w:lineRule="auto"/>
        <w:ind w:left="23"/>
        <w:outlineLvl w:val="2"/>
        <w:rPr>
          <w:rFonts w:hint="eastAsia" w:ascii="宋体" w:hAnsi="宋体" w:eastAsia="宋体" w:cs="宋体"/>
          <w:sz w:val="24"/>
          <w:szCs w:val="24"/>
        </w:rPr>
      </w:pPr>
      <w:r>
        <w:rPr>
          <w:rFonts w:hint="eastAsia" w:ascii="宋体" w:hAnsi="宋体" w:eastAsia="宋体" w:cs="宋体"/>
          <w:spacing w:val="-4"/>
          <w:sz w:val="24"/>
          <w:szCs w:val="24"/>
        </w:rPr>
        <w:t>20.1</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工程保险</w:t>
      </w:r>
    </w:p>
    <w:p w14:paraId="26896672">
      <w:pPr>
        <w:spacing w:before="296" w:line="360" w:lineRule="auto"/>
        <w:ind w:left="22" w:right="177" w:firstLine="417"/>
        <w:jc w:val="both"/>
        <w:rPr>
          <w:rFonts w:hint="eastAsia" w:ascii="宋体" w:hAnsi="宋体" w:eastAsia="宋体" w:cs="宋体"/>
          <w:sz w:val="20"/>
          <w:szCs w:val="20"/>
        </w:rPr>
      </w:pPr>
      <w:r>
        <w:rPr>
          <w:rFonts w:hint="eastAsia" w:ascii="宋体" w:hAnsi="宋体" w:eastAsia="宋体" w:cs="宋体"/>
          <w:spacing w:val="7"/>
          <w:sz w:val="20"/>
          <w:szCs w:val="20"/>
        </w:rPr>
        <w:t>承包人应以发包人和承包人的共同名义向双方同意的保险人投保建筑工程一切险、安装工程一切险。其具体的投保内容、保险金额、保险费率、保险期限等有关内容见合同条款专</w:t>
      </w:r>
      <w:r>
        <w:rPr>
          <w:rFonts w:hint="eastAsia" w:ascii="宋体" w:hAnsi="宋体" w:eastAsia="宋体" w:cs="宋体"/>
          <w:spacing w:val="4"/>
          <w:sz w:val="20"/>
          <w:szCs w:val="20"/>
        </w:rPr>
        <w:t>用部分。</w:t>
      </w:r>
    </w:p>
    <w:p w14:paraId="626212D0">
      <w:pPr>
        <w:spacing w:before="123" w:line="360" w:lineRule="auto"/>
        <w:ind w:left="23"/>
        <w:outlineLvl w:val="2"/>
        <w:rPr>
          <w:rFonts w:hint="eastAsia" w:ascii="宋体" w:hAnsi="宋体" w:eastAsia="宋体" w:cs="宋体"/>
          <w:sz w:val="24"/>
          <w:szCs w:val="24"/>
        </w:rPr>
      </w:pPr>
      <w:bookmarkStart w:id="712" w:name="bookmark130"/>
      <w:bookmarkEnd w:id="712"/>
      <w:r>
        <w:rPr>
          <w:rFonts w:hint="eastAsia" w:ascii="宋体" w:hAnsi="宋体" w:eastAsia="宋体" w:cs="宋体"/>
          <w:spacing w:val="-1"/>
          <w:sz w:val="24"/>
          <w:szCs w:val="24"/>
        </w:rPr>
        <w:t>20.2  人员工伤事故的保险</w:t>
      </w:r>
    </w:p>
    <w:p w14:paraId="337661AB">
      <w:pPr>
        <w:spacing w:before="295" w:line="360" w:lineRule="auto"/>
        <w:ind w:left="442"/>
        <w:rPr>
          <w:rFonts w:hint="eastAsia" w:ascii="宋体" w:hAnsi="宋体" w:eastAsia="宋体" w:cs="宋体"/>
        </w:rPr>
      </w:pPr>
      <w:r>
        <w:rPr>
          <w:rFonts w:hint="eastAsia" w:ascii="宋体" w:hAnsi="宋体" w:eastAsia="宋体" w:cs="宋体"/>
          <w:spacing w:val="7"/>
          <w:sz w:val="20"/>
          <w:szCs w:val="20"/>
        </w:rPr>
        <w:t>20.2.1  承包人员工伤事故的保险</w:t>
      </w:r>
      <w:r>
        <w:rPr>
          <w:rFonts w:hint="eastAsia" w:ascii="宋体" w:hAnsi="宋体" w:eastAsia="宋体" w:cs="宋体"/>
          <w:sz w:val="20"/>
          <w:szCs w:val="20"/>
          <w:lang w:eastAsia="zh-CN"/>
        </w:rPr>
        <w:t xml:space="preserve"> </w:t>
      </w:r>
    </w:p>
    <w:p w14:paraId="193CD7C6">
      <w:pPr>
        <w:spacing w:before="65" w:line="360" w:lineRule="auto"/>
        <w:ind w:left="29" w:right="177" w:firstLine="420"/>
        <w:rPr>
          <w:rFonts w:hint="eastAsia" w:ascii="宋体" w:hAnsi="宋体" w:eastAsia="宋体" w:cs="宋体"/>
          <w:sz w:val="20"/>
          <w:szCs w:val="20"/>
        </w:rPr>
      </w:pPr>
      <w:r>
        <w:rPr>
          <w:rFonts w:hint="eastAsia" w:ascii="宋体" w:hAnsi="宋体" w:eastAsia="宋体" w:cs="宋体"/>
          <w:spacing w:val="10"/>
          <w:sz w:val="20"/>
          <w:szCs w:val="20"/>
        </w:rPr>
        <w:t>（1）承包人应依照有关法律法规规定参加工伤保险，为其履</w:t>
      </w:r>
      <w:r>
        <w:rPr>
          <w:rFonts w:hint="eastAsia" w:ascii="宋体" w:hAnsi="宋体" w:eastAsia="宋体" w:cs="宋体"/>
          <w:spacing w:val="9"/>
          <w:sz w:val="20"/>
          <w:szCs w:val="20"/>
        </w:rPr>
        <w:t>行合同所雇佣的全部人员</w:t>
      </w:r>
      <w:r>
        <w:rPr>
          <w:rFonts w:hint="eastAsia" w:ascii="宋体" w:hAnsi="宋体" w:eastAsia="宋体" w:cs="宋体"/>
          <w:spacing w:val="10"/>
          <w:sz w:val="20"/>
          <w:szCs w:val="20"/>
        </w:rPr>
        <w:t>（包括专业分包人、劳务分包人使用的人员</w:t>
      </w:r>
      <w:r>
        <w:rPr>
          <w:rFonts w:hint="eastAsia" w:ascii="宋体" w:hAnsi="宋体" w:eastAsia="宋体" w:cs="宋体"/>
          <w:spacing w:val="-38"/>
          <w:sz w:val="20"/>
          <w:szCs w:val="20"/>
        </w:rPr>
        <w:t>），</w:t>
      </w:r>
      <w:r>
        <w:rPr>
          <w:rFonts w:hint="eastAsia" w:ascii="宋体" w:hAnsi="宋体" w:eastAsia="宋体" w:cs="宋体"/>
          <w:spacing w:val="10"/>
          <w:sz w:val="20"/>
          <w:szCs w:val="20"/>
        </w:rPr>
        <w:t>在合同工</w:t>
      </w:r>
      <w:r>
        <w:rPr>
          <w:rFonts w:hint="eastAsia" w:ascii="宋体" w:hAnsi="宋体" w:eastAsia="宋体" w:cs="宋体"/>
          <w:spacing w:val="9"/>
          <w:sz w:val="20"/>
          <w:szCs w:val="20"/>
        </w:rPr>
        <w:t>程开工前应当一次性缴纳工伤保险费。承包人在工程分包计费时，不得再向分包人另行计提、划拨工伤保险费。</w:t>
      </w:r>
    </w:p>
    <w:p w14:paraId="27E21C12">
      <w:pPr>
        <w:spacing w:before="161" w:line="360" w:lineRule="auto"/>
        <w:ind w:left="449"/>
        <w:rPr>
          <w:rFonts w:hint="eastAsia" w:ascii="宋体" w:hAnsi="宋体" w:eastAsia="宋体" w:cs="宋体"/>
          <w:sz w:val="20"/>
          <w:szCs w:val="20"/>
        </w:rPr>
      </w:pPr>
      <w:r>
        <w:rPr>
          <w:rFonts w:hint="eastAsia" w:ascii="宋体" w:hAnsi="宋体" w:eastAsia="宋体" w:cs="宋体"/>
          <w:spacing w:val="9"/>
          <w:sz w:val="20"/>
          <w:szCs w:val="20"/>
        </w:rPr>
        <w:t>（2）承包人工伤事故保险期限自合同工程开工之日起至合同终</w:t>
      </w:r>
      <w:r>
        <w:rPr>
          <w:rFonts w:hint="eastAsia" w:ascii="宋体" w:hAnsi="宋体" w:eastAsia="宋体" w:cs="宋体"/>
          <w:spacing w:val="8"/>
          <w:sz w:val="20"/>
          <w:szCs w:val="20"/>
        </w:rPr>
        <w:t>止之日止。</w:t>
      </w:r>
    </w:p>
    <w:p w14:paraId="03DCD312">
      <w:pPr>
        <w:spacing w:before="160" w:line="360" w:lineRule="auto"/>
        <w:ind w:left="442"/>
        <w:rPr>
          <w:rFonts w:hint="eastAsia" w:ascii="宋体" w:hAnsi="宋体" w:eastAsia="宋体" w:cs="宋体"/>
          <w:sz w:val="20"/>
          <w:szCs w:val="20"/>
        </w:rPr>
      </w:pPr>
      <w:r>
        <w:rPr>
          <w:rFonts w:hint="eastAsia" w:ascii="宋体" w:hAnsi="宋体" w:eastAsia="宋体" w:cs="宋体"/>
          <w:spacing w:val="7"/>
          <w:sz w:val="20"/>
          <w:szCs w:val="20"/>
        </w:rPr>
        <w:t>20.2.2  发包人员工伤事故的保险</w:t>
      </w:r>
    </w:p>
    <w:p w14:paraId="64C33E38">
      <w:pPr>
        <w:spacing w:before="160" w:line="360" w:lineRule="auto"/>
        <w:ind w:left="19" w:right="174" w:firstLine="423"/>
        <w:rPr>
          <w:rFonts w:hint="eastAsia" w:ascii="宋体" w:hAnsi="宋体" w:eastAsia="宋体" w:cs="宋体"/>
          <w:sz w:val="20"/>
          <w:szCs w:val="20"/>
        </w:rPr>
      </w:pPr>
      <w:r>
        <w:rPr>
          <w:rFonts w:hint="eastAsia" w:ascii="宋体" w:hAnsi="宋体" w:eastAsia="宋体" w:cs="宋体"/>
          <w:spacing w:val="7"/>
          <w:sz w:val="20"/>
          <w:szCs w:val="20"/>
        </w:rPr>
        <w:t>发包人应依照有关法律法规规定参加工伤保险，为其现场机构雇佣的全部人员，缴纳工</w:t>
      </w:r>
      <w:r>
        <w:rPr>
          <w:rFonts w:hint="eastAsia" w:ascii="宋体" w:hAnsi="宋体" w:eastAsia="宋体" w:cs="宋体"/>
          <w:spacing w:val="9"/>
          <w:sz w:val="20"/>
          <w:szCs w:val="20"/>
        </w:rPr>
        <w:t>伤保险费，并要求其监理人也进行此项保险。</w:t>
      </w:r>
    </w:p>
    <w:p w14:paraId="709CF210">
      <w:pPr>
        <w:spacing w:before="119" w:line="360" w:lineRule="auto"/>
        <w:ind w:left="23"/>
        <w:outlineLvl w:val="2"/>
        <w:rPr>
          <w:rFonts w:hint="eastAsia" w:ascii="宋体" w:hAnsi="宋体" w:eastAsia="宋体" w:cs="宋体"/>
          <w:sz w:val="24"/>
          <w:szCs w:val="24"/>
        </w:rPr>
      </w:pPr>
      <w:bookmarkStart w:id="713" w:name="bookmark131"/>
      <w:bookmarkEnd w:id="713"/>
      <w:r>
        <w:rPr>
          <w:rFonts w:hint="eastAsia" w:ascii="宋体" w:hAnsi="宋体" w:eastAsia="宋体" w:cs="宋体"/>
          <w:spacing w:val="-1"/>
          <w:sz w:val="24"/>
          <w:szCs w:val="24"/>
        </w:rPr>
        <w:t>20.3  人身意外伤害险</w:t>
      </w:r>
    </w:p>
    <w:p w14:paraId="4B5414D8">
      <w:pPr>
        <w:spacing w:before="295" w:line="360" w:lineRule="auto"/>
        <w:ind w:left="18" w:right="15" w:firstLine="424"/>
        <w:rPr>
          <w:rFonts w:hint="eastAsia" w:ascii="宋体" w:hAnsi="宋体" w:eastAsia="宋体" w:cs="宋体"/>
          <w:sz w:val="20"/>
          <w:szCs w:val="20"/>
        </w:rPr>
      </w:pPr>
      <w:r>
        <w:rPr>
          <w:rFonts w:hint="eastAsia" w:ascii="宋体" w:hAnsi="宋体" w:eastAsia="宋体" w:cs="宋体"/>
          <w:spacing w:val="6"/>
          <w:sz w:val="20"/>
          <w:szCs w:val="20"/>
        </w:rPr>
        <w:t>20.3.1  发包人应在整个施工期间为其现场机</w:t>
      </w:r>
      <w:r>
        <w:rPr>
          <w:rFonts w:hint="eastAsia" w:ascii="宋体" w:hAnsi="宋体" w:eastAsia="宋体" w:cs="宋体"/>
          <w:spacing w:val="5"/>
          <w:sz w:val="20"/>
          <w:szCs w:val="20"/>
        </w:rPr>
        <w:t>构雇用的全部人员，投保人身意外伤害险，</w:t>
      </w:r>
      <w:r>
        <w:rPr>
          <w:rFonts w:hint="eastAsia" w:ascii="宋体" w:hAnsi="宋体" w:eastAsia="宋体" w:cs="宋体"/>
          <w:spacing w:val="9"/>
          <w:sz w:val="20"/>
          <w:szCs w:val="20"/>
        </w:rPr>
        <w:t>缴纳保险费，并要求其监理人也进行此项保险。</w:t>
      </w:r>
    </w:p>
    <w:p w14:paraId="18050121">
      <w:pPr>
        <w:spacing w:before="159" w:line="360" w:lineRule="auto"/>
        <w:ind w:left="18" w:right="15" w:firstLine="424"/>
        <w:rPr>
          <w:rFonts w:hint="eastAsia" w:ascii="宋体" w:hAnsi="宋体" w:eastAsia="宋体" w:cs="宋体"/>
          <w:sz w:val="20"/>
          <w:szCs w:val="20"/>
        </w:rPr>
      </w:pPr>
      <w:r>
        <w:rPr>
          <w:rFonts w:hint="eastAsia" w:ascii="宋体" w:hAnsi="宋体" w:eastAsia="宋体" w:cs="宋体"/>
          <w:spacing w:val="6"/>
          <w:sz w:val="20"/>
          <w:szCs w:val="20"/>
        </w:rPr>
        <w:t>20.3.2  承包人应在整个施工期间为其现场机</w:t>
      </w:r>
      <w:r>
        <w:rPr>
          <w:rFonts w:hint="eastAsia" w:ascii="宋体" w:hAnsi="宋体" w:eastAsia="宋体" w:cs="宋体"/>
          <w:spacing w:val="5"/>
          <w:sz w:val="20"/>
          <w:szCs w:val="20"/>
        </w:rPr>
        <w:t>构雇用的全部人员，投保人身意外伤害险，</w:t>
      </w:r>
      <w:r>
        <w:rPr>
          <w:rFonts w:hint="eastAsia" w:ascii="宋体" w:hAnsi="宋体" w:eastAsia="宋体" w:cs="宋体"/>
          <w:spacing w:val="9"/>
          <w:sz w:val="20"/>
          <w:szCs w:val="20"/>
        </w:rPr>
        <w:t>缴纳保险费，并要求其分包人也进行此项保险。</w:t>
      </w:r>
    </w:p>
    <w:p w14:paraId="7B5783AA">
      <w:pPr>
        <w:spacing w:before="285" w:line="360" w:lineRule="auto"/>
        <w:ind w:left="23"/>
        <w:outlineLvl w:val="2"/>
        <w:rPr>
          <w:rFonts w:hint="eastAsia" w:ascii="宋体" w:hAnsi="宋体" w:eastAsia="宋体" w:cs="宋体"/>
          <w:sz w:val="24"/>
          <w:szCs w:val="24"/>
        </w:rPr>
      </w:pPr>
      <w:bookmarkStart w:id="714" w:name="bookmark132"/>
      <w:bookmarkEnd w:id="714"/>
      <w:r>
        <w:rPr>
          <w:rFonts w:hint="eastAsia" w:ascii="宋体" w:hAnsi="宋体" w:eastAsia="宋体" w:cs="宋体"/>
          <w:spacing w:val="-2"/>
          <w:sz w:val="24"/>
          <w:szCs w:val="24"/>
        </w:rPr>
        <w:t>20.4  第三者责任险</w:t>
      </w:r>
    </w:p>
    <w:p w14:paraId="78928F62">
      <w:pPr>
        <w:spacing w:before="298" w:line="360" w:lineRule="auto"/>
        <w:ind w:left="27" w:right="174" w:firstLine="415"/>
        <w:rPr>
          <w:rFonts w:hint="eastAsia" w:ascii="宋体" w:hAnsi="宋体" w:eastAsia="宋体" w:cs="宋体"/>
          <w:sz w:val="20"/>
          <w:szCs w:val="20"/>
        </w:rPr>
      </w:pPr>
      <w:r>
        <w:rPr>
          <w:rFonts w:hint="eastAsia" w:ascii="宋体" w:hAnsi="宋体" w:eastAsia="宋体" w:cs="宋体"/>
          <w:spacing w:val="7"/>
          <w:sz w:val="20"/>
          <w:szCs w:val="20"/>
        </w:rPr>
        <w:t>20.4.1  第三者责任系指在保险期内，对因工程意外</w:t>
      </w:r>
      <w:r>
        <w:rPr>
          <w:rFonts w:hint="eastAsia" w:ascii="宋体" w:hAnsi="宋体" w:eastAsia="宋体" w:cs="宋体"/>
          <w:spacing w:val="6"/>
          <w:sz w:val="20"/>
          <w:szCs w:val="20"/>
        </w:rPr>
        <w:t>事故造成的、依法应由被保险人负</w:t>
      </w:r>
      <w:r>
        <w:rPr>
          <w:rFonts w:hint="eastAsia" w:ascii="宋体" w:hAnsi="宋体" w:eastAsia="宋体" w:cs="宋体"/>
          <w:spacing w:val="9"/>
          <w:sz w:val="20"/>
          <w:szCs w:val="20"/>
        </w:rPr>
        <w:t>责的工地上及毗邻地区的第三者人身伤亡、疾病或财产损失（本工程除外</w:t>
      </w:r>
      <w:r>
        <w:rPr>
          <w:rFonts w:hint="eastAsia" w:ascii="宋体" w:hAnsi="宋体" w:eastAsia="宋体" w:cs="宋体"/>
          <w:spacing w:val="-25"/>
          <w:sz w:val="20"/>
          <w:szCs w:val="20"/>
        </w:rPr>
        <w:t>），</w:t>
      </w:r>
      <w:r>
        <w:rPr>
          <w:rFonts w:hint="eastAsia" w:ascii="宋体" w:hAnsi="宋体" w:eastAsia="宋体" w:cs="宋体"/>
          <w:spacing w:val="9"/>
          <w:sz w:val="20"/>
          <w:szCs w:val="20"/>
        </w:rPr>
        <w:t>以及被保险人因此而支付的诉讼费用和事先经保险人书面同意支付的其他费用等赔偿责任。</w:t>
      </w:r>
    </w:p>
    <w:p w14:paraId="53FF9590">
      <w:pPr>
        <w:spacing w:before="160" w:line="360" w:lineRule="auto"/>
        <w:ind w:left="19" w:right="174" w:firstLine="422"/>
        <w:rPr>
          <w:rFonts w:hint="eastAsia" w:ascii="宋体" w:hAnsi="宋体" w:eastAsia="宋体" w:cs="宋体"/>
          <w:sz w:val="20"/>
          <w:szCs w:val="20"/>
        </w:rPr>
      </w:pPr>
      <w:r>
        <w:rPr>
          <w:rFonts w:hint="eastAsia" w:ascii="宋体" w:hAnsi="宋体" w:eastAsia="宋体" w:cs="宋体"/>
          <w:spacing w:val="7"/>
          <w:sz w:val="20"/>
          <w:szCs w:val="20"/>
        </w:rPr>
        <w:t>20.4.2  在缺陷责任期终止证书颁发前，承包人</w:t>
      </w:r>
      <w:r>
        <w:rPr>
          <w:rFonts w:hint="eastAsia" w:ascii="宋体" w:hAnsi="宋体" w:eastAsia="宋体" w:cs="宋体"/>
          <w:spacing w:val="6"/>
          <w:sz w:val="20"/>
          <w:szCs w:val="20"/>
        </w:rPr>
        <w:t>应以承包人和发包人的共同名义，投保</w:t>
      </w:r>
      <w:r>
        <w:rPr>
          <w:rFonts w:hint="eastAsia" w:ascii="宋体" w:hAnsi="宋体" w:eastAsia="宋体" w:cs="宋体"/>
          <w:spacing w:val="9"/>
          <w:sz w:val="20"/>
          <w:szCs w:val="20"/>
        </w:rPr>
        <w:t>第</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20.4.1</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项约定的第三者责任险，其保险费率、保险金额、保险费承担人等有关内</w:t>
      </w:r>
      <w:r>
        <w:rPr>
          <w:rFonts w:hint="eastAsia" w:ascii="宋体" w:hAnsi="宋体" w:eastAsia="宋体" w:cs="宋体"/>
          <w:spacing w:val="8"/>
          <w:sz w:val="20"/>
          <w:szCs w:val="20"/>
        </w:rPr>
        <w:t>容见合</w:t>
      </w:r>
      <w:r>
        <w:rPr>
          <w:rFonts w:hint="eastAsia" w:ascii="宋体" w:hAnsi="宋体" w:eastAsia="宋体" w:cs="宋体"/>
          <w:spacing w:val="7"/>
          <w:sz w:val="20"/>
          <w:szCs w:val="20"/>
        </w:rPr>
        <w:t>同条款专用部分。</w:t>
      </w:r>
    </w:p>
    <w:p w14:paraId="32A1E813">
      <w:pPr>
        <w:spacing w:before="282" w:line="360" w:lineRule="auto"/>
        <w:ind w:left="23"/>
        <w:outlineLvl w:val="2"/>
        <w:rPr>
          <w:rFonts w:hint="eastAsia" w:ascii="宋体" w:hAnsi="宋体" w:eastAsia="宋体" w:cs="宋体"/>
          <w:sz w:val="24"/>
          <w:szCs w:val="24"/>
        </w:rPr>
      </w:pPr>
      <w:bookmarkStart w:id="715" w:name="bookmark133"/>
      <w:bookmarkEnd w:id="715"/>
      <w:r>
        <w:rPr>
          <w:rFonts w:hint="eastAsia" w:ascii="宋体" w:hAnsi="宋体" w:eastAsia="宋体" w:cs="宋体"/>
          <w:spacing w:val="-2"/>
          <w:sz w:val="24"/>
          <w:szCs w:val="24"/>
        </w:rPr>
        <w:t>20.5  其他保险</w:t>
      </w:r>
    </w:p>
    <w:p w14:paraId="52B10A2F">
      <w:pPr>
        <w:spacing w:before="297" w:line="360" w:lineRule="auto"/>
        <w:jc w:val="right"/>
        <w:rPr>
          <w:rFonts w:hint="eastAsia" w:ascii="宋体" w:hAnsi="宋体" w:eastAsia="宋体" w:cs="宋体"/>
          <w:sz w:val="20"/>
          <w:szCs w:val="20"/>
        </w:rPr>
      </w:pPr>
      <w:r>
        <w:rPr>
          <w:rFonts w:hint="eastAsia" w:ascii="宋体" w:hAnsi="宋体" w:eastAsia="宋体" w:cs="宋体"/>
          <w:spacing w:val="7"/>
          <w:sz w:val="20"/>
          <w:szCs w:val="20"/>
        </w:rPr>
        <w:t>承包人应为其施工设备和进场的材料等办理保险。办</w:t>
      </w:r>
      <w:r>
        <w:rPr>
          <w:rFonts w:hint="eastAsia" w:ascii="宋体" w:hAnsi="宋体" w:eastAsia="宋体" w:cs="宋体"/>
          <w:spacing w:val="6"/>
          <w:sz w:val="20"/>
          <w:szCs w:val="20"/>
        </w:rPr>
        <w:t>理保险的险种见合同条款专用部分。</w:t>
      </w:r>
    </w:p>
    <w:p w14:paraId="11D62666">
      <w:pPr>
        <w:spacing w:before="282" w:line="360" w:lineRule="auto"/>
        <w:ind w:left="23"/>
        <w:outlineLvl w:val="2"/>
        <w:rPr>
          <w:rFonts w:hint="eastAsia" w:ascii="宋体" w:hAnsi="宋体" w:eastAsia="宋体" w:cs="宋体"/>
          <w:sz w:val="24"/>
          <w:szCs w:val="24"/>
        </w:rPr>
      </w:pPr>
      <w:bookmarkStart w:id="716" w:name="bookmark134"/>
      <w:bookmarkEnd w:id="716"/>
      <w:r>
        <w:rPr>
          <w:rFonts w:hint="eastAsia" w:ascii="宋体" w:hAnsi="宋体" w:eastAsia="宋体" w:cs="宋体"/>
          <w:spacing w:val="-1"/>
          <w:sz w:val="24"/>
          <w:szCs w:val="24"/>
        </w:rPr>
        <w:t>20.6  对各项保险的一般要求</w:t>
      </w:r>
    </w:p>
    <w:p w14:paraId="50925729">
      <w:pPr>
        <w:spacing w:before="296" w:line="360" w:lineRule="auto"/>
        <w:ind w:left="442"/>
        <w:rPr>
          <w:rFonts w:hint="eastAsia" w:ascii="宋体" w:hAnsi="宋体" w:eastAsia="宋体" w:cs="宋体"/>
          <w:sz w:val="20"/>
          <w:szCs w:val="20"/>
        </w:rPr>
      </w:pPr>
      <w:r>
        <w:rPr>
          <w:rFonts w:hint="eastAsia" w:ascii="宋体" w:hAnsi="宋体" w:eastAsia="宋体" w:cs="宋体"/>
          <w:spacing w:val="5"/>
          <w:sz w:val="20"/>
          <w:szCs w:val="20"/>
        </w:rPr>
        <w:t>20.6.1  保险凭证</w:t>
      </w:r>
    </w:p>
    <w:p w14:paraId="06F3CCFE">
      <w:pPr>
        <w:spacing w:before="162" w:line="360" w:lineRule="auto"/>
        <w:ind w:left="23" w:right="174" w:firstLine="416"/>
        <w:rPr>
          <w:rFonts w:hint="eastAsia" w:ascii="宋体" w:hAnsi="宋体" w:eastAsia="宋体" w:cs="宋体"/>
          <w:sz w:val="20"/>
          <w:szCs w:val="20"/>
        </w:rPr>
      </w:pPr>
      <w:r>
        <w:rPr>
          <w:rFonts w:hint="eastAsia" w:ascii="宋体" w:hAnsi="宋体" w:eastAsia="宋体" w:cs="宋体"/>
          <w:spacing w:val="7"/>
          <w:sz w:val="20"/>
          <w:szCs w:val="20"/>
        </w:rPr>
        <w:t>承包人应在合同约定的期限内向发包人提交各项保险生效的证据和保险单副本，保险单必须与合同约定的条件保持一致。各项保险生效的证据和保险单副本的期限见合同条款专用</w:t>
      </w:r>
      <w:r>
        <w:rPr>
          <w:rFonts w:hint="eastAsia" w:ascii="宋体" w:hAnsi="宋体" w:eastAsia="宋体" w:cs="宋体"/>
          <w:spacing w:val="2"/>
          <w:sz w:val="20"/>
          <w:szCs w:val="20"/>
        </w:rPr>
        <w:t>部分。</w:t>
      </w:r>
    </w:p>
    <w:p w14:paraId="72C9B298">
      <w:pPr>
        <w:spacing w:before="1"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20.6.2  保险合同条款的变动</w:t>
      </w:r>
    </w:p>
    <w:p w14:paraId="24DC5FBB">
      <w:pPr>
        <w:spacing w:before="159" w:line="360" w:lineRule="auto"/>
        <w:ind w:left="19" w:right="174" w:firstLine="420"/>
        <w:rPr>
          <w:rFonts w:hint="eastAsia" w:ascii="宋体" w:hAnsi="宋体" w:eastAsia="宋体" w:cs="宋体"/>
          <w:sz w:val="20"/>
          <w:szCs w:val="20"/>
        </w:rPr>
      </w:pPr>
      <w:r>
        <w:rPr>
          <w:rFonts w:hint="eastAsia" w:ascii="宋体" w:hAnsi="宋体" w:eastAsia="宋体" w:cs="宋体"/>
          <w:spacing w:val="7"/>
          <w:sz w:val="20"/>
          <w:szCs w:val="20"/>
        </w:rPr>
        <w:t>承包人需要变动保险合同条款时，应事先征得发包人同意，并通知监理人。保险人作出</w:t>
      </w:r>
      <w:r>
        <w:rPr>
          <w:rFonts w:hint="eastAsia" w:ascii="宋体" w:hAnsi="宋体" w:eastAsia="宋体" w:cs="宋体"/>
          <w:spacing w:val="9"/>
          <w:sz w:val="20"/>
          <w:szCs w:val="20"/>
        </w:rPr>
        <w:t>变动的，承包人应在收到保险人通知后立即通知发包人和监理人。</w:t>
      </w:r>
    </w:p>
    <w:p w14:paraId="1DC7FB86">
      <w:pPr>
        <w:spacing w:before="1" w:line="360" w:lineRule="auto"/>
        <w:ind w:left="442"/>
        <w:rPr>
          <w:rFonts w:hint="eastAsia" w:ascii="宋体" w:hAnsi="宋体" w:eastAsia="宋体" w:cs="宋体"/>
          <w:sz w:val="20"/>
          <w:szCs w:val="20"/>
        </w:rPr>
      </w:pPr>
      <w:r>
        <w:rPr>
          <w:rFonts w:hint="eastAsia" w:ascii="宋体" w:hAnsi="宋体" w:eastAsia="宋体" w:cs="宋体"/>
          <w:spacing w:val="5"/>
          <w:sz w:val="20"/>
          <w:szCs w:val="20"/>
        </w:rPr>
        <w:t>20.6.3  持续保险</w:t>
      </w:r>
    </w:p>
    <w:p w14:paraId="30EDF71A">
      <w:pPr>
        <w:spacing w:before="159" w:line="360" w:lineRule="auto"/>
        <w:ind w:left="19" w:right="174" w:firstLine="420"/>
        <w:rPr>
          <w:rFonts w:hint="eastAsia" w:ascii="宋体" w:hAnsi="宋体" w:eastAsia="宋体" w:cs="宋体"/>
          <w:spacing w:val="7"/>
          <w:sz w:val="20"/>
          <w:szCs w:val="20"/>
        </w:rPr>
      </w:pPr>
      <w:r>
        <w:rPr>
          <w:rFonts w:hint="eastAsia" w:ascii="宋体" w:hAnsi="宋体" w:eastAsia="宋体" w:cs="宋体"/>
          <w:spacing w:val="7"/>
          <w:sz w:val="20"/>
          <w:szCs w:val="20"/>
        </w:rPr>
        <w:t>承包人应与保险人保持联系，使保险人能够随时了解工程实施中的变动，并确保按保险合同条款要求持续保险。</w:t>
      </w:r>
    </w:p>
    <w:p w14:paraId="4109AD94">
      <w:pPr>
        <w:spacing w:before="160"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20.6.4  保险金不足的补偿</w:t>
      </w:r>
    </w:p>
    <w:p w14:paraId="4CE3E614">
      <w:pPr>
        <w:spacing w:before="159" w:line="360" w:lineRule="auto"/>
        <w:ind w:left="19" w:right="174" w:firstLine="420"/>
        <w:rPr>
          <w:rFonts w:hint="eastAsia" w:ascii="宋体" w:hAnsi="宋体" w:eastAsia="宋体" w:cs="宋体"/>
          <w:spacing w:val="7"/>
          <w:sz w:val="20"/>
          <w:szCs w:val="20"/>
        </w:rPr>
      </w:pPr>
      <w:r>
        <w:rPr>
          <w:rFonts w:hint="eastAsia" w:ascii="宋体" w:hAnsi="宋体" w:eastAsia="宋体" w:cs="宋体"/>
          <w:spacing w:val="7"/>
          <w:sz w:val="20"/>
          <w:szCs w:val="20"/>
        </w:rPr>
        <w:t>保险金不足以补偿损失的，应由承包人和（或）发包人按合同约定负责补偿。保险金不足的补偿原则见合同条款专用部分。</w:t>
      </w:r>
    </w:p>
    <w:p w14:paraId="5231B28F">
      <w:pPr>
        <w:spacing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20.6.5  未按约定投保的补救</w:t>
      </w:r>
    </w:p>
    <w:p w14:paraId="6A9F44F0">
      <w:pPr>
        <w:spacing w:before="159" w:line="360" w:lineRule="auto"/>
        <w:ind w:left="36" w:right="94" w:firstLine="413"/>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由于负有投保义务的一方当事人未按</w:t>
      </w:r>
      <w:r>
        <w:rPr>
          <w:rFonts w:hint="eastAsia" w:ascii="宋体" w:hAnsi="宋体" w:eastAsia="宋体" w:cs="宋体"/>
          <w:spacing w:val="8"/>
          <w:sz w:val="20"/>
          <w:szCs w:val="20"/>
        </w:rPr>
        <w:t>合同约定办理保险，或未能使保险持续有效的，另一方当事人可代为办理，所需费用由对方当事人承担。</w:t>
      </w:r>
    </w:p>
    <w:p w14:paraId="3DCE3A26">
      <w:pPr>
        <w:spacing w:before="160" w:line="360" w:lineRule="auto"/>
        <w:ind w:left="25" w:right="94" w:firstLine="424"/>
        <w:rPr>
          <w:rFonts w:hint="eastAsia" w:ascii="宋体" w:hAnsi="宋体" w:eastAsia="宋体" w:cs="宋体"/>
          <w:sz w:val="20"/>
          <w:szCs w:val="20"/>
        </w:rPr>
      </w:pPr>
      <w:r>
        <w:rPr>
          <w:rFonts w:hint="eastAsia" w:ascii="宋体" w:hAnsi="宋体" w:eastAsia="宋体" w:cs="宋体"/>
          <w:spacing w:val="9"/>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由于负有投保义务的一方当事人未按</w:t>
      </w:r>
      <w:r>
        <w:rPr>
          <w:rFonts w:hint="eastAsia" w:ascii="宋体" w:hAnsi="宋体" w:eastAsia="宋体" w:cs="宋体"/>
          <w:spacing w:val="8"/>
          <w:sz w:val="20"/>
          <w:szCs w:val="20"/>
        </w:rPr>
        <w:t>合同约定办理某项保险，导致受益人未能得</w:t>
      </w:r>
      <w:r>
        <w:rPr>
          <w:rFonts w:hint="eastAsia" w:ascii="宋体" w:hAnsi="宋体" w:eastAsia="宋体" w:cs="宋体"/>
          <w:spacing w:val="9"/>
          <w:sz w:val="20"/>
          <w:szCs w:val="20"/>
        </w:rPr>
        <w:t>到保险人的赔偿，原应从该项保险得到的保险金应由负有投保义务的一方当事人支付。</w:t>
      </w:r>
    </w:p>
    <w:p w14:paraId="19B89AB7">
      <w:pPr>
        <w:spacing w:before="161" w:line="360" w:lineRule="auto"/>
        <w:ind w:left="442"/>
        <w:rPr>
          <w:rFonts w:hint="eastAsia" w:ascii="宋体" w:hAnsi="宋体" w:eastAsia="宋体" w:cs="宋体"/>
          <w:sz w:val="20"/>
          <w:szCs w:val="20"/>
        </w:rPr>
      </w:pPr>
      <w:r>
        <w:rPr>
          <w:rFonts w:hint="eastAsia" w:ascii="宋体" w:hAnsi="宋体" w:eastAsia="宋体" w:cs="宋体"/>
          <w:spacing w:val="5"/>
          <w:sz w:val="20"/>
          <w:szCs w:val="20"/>
        </w:rPr>
        <w:t>20.6.6  报告义务</w:t>
      </w:r>
    </w:p>
    <w:p w14:paraId="7299EAB4">
      <w:pPr>
        <w:spacing w:before="164" w:line="360" w:lineRule="auto"/>
        <w:ind w:left="453"/>
        <w:rPr>
          <w:rFonts w:hint="eastAsia" w:ascii="宋体" w:hAnsi="宋体" w:eastAsia="宋体" w:cs="宋体"/>
          <w:sz w:val="20"/>
          <w:szCs w:val="20"/>
        </w:rPr>
      </w:pPr>
      <w:r>
        <w:rPr>
          <w:rFonts w:hint="eastAsia" w:ascii="宋体" w:hAnsi="宋体" w:eastAsia="宋体" w:cs="宋体"/>
          <w:spacing w:val="9"/>
          <w:sz w:val="20"/>
          <w:szCs w:val="20"/>
        </w:rPr>
        <w:t>当保险事故发生时，投保人应按照保险单规定的条件和期限及时向保险人报告。</w:t>
      </w:r>
    </w:p>
    <w:p w14:paraId="5AACEC08">
      <w:pPr>
        <w:spacing w:before="292" w:line="360" w:lineRule="auto"/>
        <w:ind w:left="26"/>
        <w:outlineLvl w:val="1"/>
        <w:rPr>
          <w:rFonts w:hint="eastAsia" w:ascii="宋体" w:hAnsi="宋体" w:eastAsia="宋体" w:cs="宋体"/>
          <w:sz w:val="28"/>
          <w:szCs w:val="28"/>
        </w:rPr>
      </w:pPr>
      <w:bookmarkStart w:id="717" w:name="bookmark135"/>
      <w:bookmarkEnd w:id="717"/>
      <w:r>
        <w:rPr>
          <w:rFonts w:hint="eastAsia" w:ascii="宋体" w:hAnsi="宋体" w:eastAsia="宋体" w:cs="宋体"/>
          <w:spacing w:val="-2"/>
          <w:sz w:val="28"/>
          <w:szCs w:val="28"/>
        </w:rPr>
        <w:t>21.不可抗力</w:t>
      </w:r>
    </w:p>
    <w:p w14:paraId="422B7EF3">
      <w:pPr>
        <w:pStyle w:val="17"/>
        <w:spacing w:line="360" w:lineRule="auto"/>
        <w:rPr>
          <w:rFonts w:hint="eastAsia" w:ascii="宋体" w:hAnsi="宋体" w:eastAsia="宋体" w:cs="宋体"/>
        </w:rPr>
      </w:pPr>
    </w:p>
    <w:p w14:paraId="083BCA07">
      <w:pPr>
        <w:spacing w:before="78" w:line="360" w:lineRule="auto"/>
        <w:ind w:left="23"/>
        <w:outlineLvl w:val="2"/>
        <w:rPr>
          <w:rFonts w:hint="eastAsia" w:ascii="宋体" w:hAnsi="宋体" w:eastAsia="宋体" w:cs="宋体"/>
          <w:sz w:val="24"/>
          <w:szCs w:val="24"/>
        </w:rPr>
      </w:pPr>
      <w:r>
        <w:rPr>
          <w:rFonts w:hint="eastAsia" w:ascii="宋体" w:hAnsi="宋体" w:eastAsia="宋体" w:cs="宋体"/>
          <w:spacing w:val="-1"/>
          <w:sz w:val="24"/>
          <w:szCs w:val="24"/>
        </w:rPr>
        <w:t>21.1  不可抗力的确认</w:t>
      </w:r>
    </w:p>
    <w:p w14:paraId="41577819">
      <w:pPr>
        <w:spacing w:before="296" w:line="360" w:lineRule="auto"/>
        <w:ind w:left="18" w:right="94" w:firstLine="424"/>
        <w:rPr>
          <w:rFonts w:hint="eastAsia" w:ascii="宋体" w:hAnsi="宋体" w:eastAsia="宋体" w:cs="宋体"/>
          <w:spacing w:val="7"/>
          <w:sz w:val="20"/>
          <w:szCs w:val="20"/>
        </w:rPr>
      </w:pPr>
      <w:r>
        <w:rPr>
          <w:rFonts w:hint="eastAsia" w:ascii="宋体" w:hAnsi="宋体" w:eastAsia="宋体" w:cs="宋体"/>
          <w:spacing w:val="7"/>
          <w:sz w:val="20"/>
          <w:szCs w:val="20"/>
        </w:rPr>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47DA46DF">
      <w:pPr>
        <w:spacing w:before="160" w:line="360" w:lineRule="auto"/>
        <w:ind w:left="23" w:right="92" w:firstLine="419"/>
        <w:rPr>
          <w:rFonts w:hint="eastAsia" w:ascii="宋体" w:hAnsi="宋体" w:eastAsia="宋体" w:cs="宋体"/>
          <w:sz w:val="20"/>
          <w:szCs w:val="20"/>
        </w:rPr>
      </w:pPr>
      <w:r>
        <w:rPr>
          <w:rFonts w:hint="eastAsia" w:ascii="宋体" w:hAnsi="宋体" w:eastAsia="宋体" w:cs="宋体"/>
          <w:spacing w:val="7"/>
          <w:sz w:val="20"/>
          <w:szCs w:val="20"/>
        </w:rPr>
        <w:t>21.1.2  不可抗力发生后，发包人和承包人应及时认</w:t>
      </w:r>
      <w:r>
        <w:rPr>
          <w:rFonts w:hint="eastAsia" w:ascii="宋体" w:hAnsi="宋体" w:eastAsia="宋体" w:cs="宋体"/>
          <w:spacing w:val="6"/>
          <w:sz w:val="20"/>
          <w:szCs w:val="20"/>
        </w:rPr>
        <w:t>真统计所造成的损失，收集不可抗</w:t>
      </w:r>
      <w:r>
        <w:rPr>
          <w:rFonts w:hint="eastAsia" w:ascii="宋体" w:hAnsi="宋体" w:eastAsia="宋体" w:cs="宋体"/>
          <w:spacing w:val="7"/>
          <w:sz w:val="20"/>
          <w:szCs w:val="20"/>
        </w:rPr>
        <w:t>力造成损失的证据。合同双方对是否属于不可抗力或其损失的意见不一致的，由监理人按第3.5</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款商定或确定。发生争议时，按第</w:t>
      </w:r>
      <w:r>
        <w:rPr>
          <w:rFonts w:hint="eastAsia" w:ascii="宋体" w:hAnsi="宋体" w:eastAsia="宋体" w:cs="宋体"/>
          <w:spacing w:val="-36"/>
          <w:sz w:val="20"/>
          <w:szCs w:val="20"/>
        </w:rPr>
        <w:t xml:space="preserve"> </w:t>
      </w:r>
      <w:r>
        <w:rPr>
          <w:rFonts w:hint="eastAsia" w:ascii="宋体" w:hAnsi="宋体" w:eastAsia="宋体" w:cs="宋体"/>
          <w:spacing w:val="7"/>
          <w:sz w:val="20"/>
          <w:szCs w:val="20"/>
        </w:rPr>
        <w:t>24</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条的约定办理。</w:t>
      </w:r>
    </w:p>
    <w:p w14:paraId="339C23B4">
      <w:pPr>
        <w:spacing w:before="285" w:line="360" w:lineRule="auto"/>
        <w:ind w:left="23"/>
        <w:outlineLvl w:val="2"/>
        <w:rPr>
          <w:rFonts w:hint="eastAsia" w:ascii="宋体" w:hAnsi="宋体" w:eastAsia="宋体" w:cs="宋体"/>
          <w:sz w:val="24"/>
          <w:szCs w:val="24"/>
        </w:rPr>
      </w:pPr>
      <w:bookmarkStart w:id="718" w:name="bookmark136"/>
      <w:bookmarkEnd w:id="718"/>
      <w:r>
        <w:rPr>
          <w:rFonts w:hint="eastAsia" w:ascii="宋体" w:hAnsi="宋体" w:eastAsia="宋体" w:cs="宋体"/>
          <w:spacing w:val="-1"/>
          <w:sz w:val="24"/>
          <w:szCs w:val="24"/>
        </w:rPr>
        <w:t>21.2  不可抗力的通知</w:t>
      </w:r>
    </w:p>
    <w:p w14:paraId="2F36D695">
      <w:pPr>
        <w:spacing w:before="298" w:line="360" w:lineRule="auto"/>
        <w:ind w:left="24" w:right="22" w:firstLine="418"/>
        <w:rPr>
          <w:rFonts w:hint="eastAsia" w:ascii="宋体" w:hAnsi="宋体" w:eastAsia="宋体" w:cs="宋体"/>
          <w:sz w:val="20"/>
          <w:szCs w:val="20"/>
        </w:rPr>
      </w:pPr>
      <w:r>
        <w:rPr>
          <w:rFonts w:hint="eastAsia" w:ascii="宋体" w:hAnsi="宋体" w:eastAsia="宋体" w:cs="宋体"/>
          <w:spacing w:val="7"/>
          <w:sz w:val="20"/>
          <w:szCs w:val="20"/>
        </w:rPr>
        <w:t>21.2.1  合同一方当事人遇到不可抗力事件，使</w:t>
      </w:r>
      <w:r>
        <w:rPr>
          <w:rFonts w:hint="eastAsia" w:ascii="宋体" w:hAnsi="宋体" w:eastAsia="宋体" w:cs="宋体"/>
          <w:spacing w:val="6"/>
          <w:sz w:val="20"/>
          <w:szCs w:val="20"/>
        </w:rPr>
        <w:t>其履行合同义务受到阻碍时，应立即通</w:t>
      </w:r>
      <w:r>
        <w:rPr>
          <w:rFonts w:hint="eastAsia" w:ascii="宋体" w:hAnsi="宋体" w:eastAsia="宋体" w:cs="宋体"/>
          <w:spacing w:val="4"/>
          <w:sz w:val="20"/>
          <w:szCs w:val="20"/>
        </w:rPr>
        <w:t>知合同另一方当事人和监理人，书面说明不可抗力和受阻碍的详细情况，并提供必要的证明。</w:t>
      </w:r>
    </w:p>
    <w:p w14:paraId="3E64AEA2">
      <w:pPr>
        <w:spacing w:before="163" w:line="360" w:lineRule="auto"/>
        <w:ind w:left="22" w:right="94" w:firstLine="420"/>
        <w:rPr>
          <w:rFonts w:hint="eastAsia" w:ascii="宋体" w:hAnsi="宋体" w:eastAsia="宋体" w:cs="宋体"/>
          <w:sz w:val="20"/>
          <w:szCs w:val="20"/>
        </w:rPr>
      </w:pPr>
      <w:r>
        <w:rPr>
          <w:rFonts w:hint="eastAsia" w:ascii="宋体" w:hAnsi="宋体" w:eastAsia="宋体" w:cs="宋体"/>
          <w:spacing w:val="7"/>
          <w:sz w:val="20"/>
          <w:szCs w:val="20"/>
        </w:rPr>
        <w:t>21.2.2  如不可抗力持续发生，合同一方当事人</w:t>
      </w:r>
      <w:r>
        <w:rPr>
          <w:rFonts w:hint="eastAsia" w:ascii="宋体" w:hAnsi="宋体" w:eastAsia="宋体" w:cs="宋体"/>
          <w:spacing w:val="6"/>
          <w:sz w:val="20"/>
          <w:szCs w:val="20"/>
        </w:rPr>
        <w:t>应及时向合同另一方当事人和监理人提</w:t>
      </w:r>
      <w:r>
        <w:rPr>
          <w:rFonts w:hint="eastAsia" w:ascii="宋体" w:hAnsi="宋体" w:eastAsia="宋体" w:cs="宋体"/>
          <w:spacing w:val="9"/>
          <w:sz w:val="20"/>
          <w:szCs w:val="20"/>
        </w:rPr>
        <w:t>交中间报告，说明不可抗力和履行合同受阻的情况，并于不可抗力事件结束后</w:t>
      </w:r>
      <w:r>
        <w:rPr>
          <w:rFonts w:hint="eastAsia" w:ascii="宋体" w:hAnsi="宋体" w:eastAsia="宋体" w:cs="宋体"/>
          <w:spacing w:val="-27"/>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天内提交</w:t>
      </w:r>
      <w:r>
        <w:rPr>
          <w:rFonts w:hint="eastAsia" w:ascii="宋体" w:hAnsi="宋体" w:eastAsia="宋体" w:cs="宋体"/>
          <w:spacing w:val="7"/>
          <w:sz w:val="20"/>
          <w:szCs w:val="20"/>
        </w:rPr>
        <w:t>最终报告及有关资料。</w:t>
      </w:r>
    </w:p>
    <w:p w14:paraId="780FD942">
      <w:pPr>
        <w:spacing w:before="286" w:line="360" w:lineRule="auto"/>
        <w:ind w:left="23"/>
        <w:outlineLvl w:val="2"/>
        <w:rPr>
          <w:rFonts w:hint="eastAsia" w:ascii="宋体" w:hAnsi="宋体" w:eastAsia="宋体" w:cs="宋体"/>
          <w:sz w:val="24"/>
          <w:szCs w:val="24"/>
        </w:rPr>
      </w:pPr>
      <w:bookmarkStart w:id="719" w:name="bookmark137"/>
      <w:bookmarkEnd w:id="719"/>
      <w:r>
        <w:rPr>
          <w:rFonts w:hint="eastAsia" w:ascii="宋体" w:hAnsi="宋体" w:eastAsia="宋体" w:cs="宋体"/>
          <w:spacing w:val="-1"/>
          <w:sz w:val="24"/>
          <w:szCs w:val="24"/>
        </w:rPr>
        <w:t>21.3  不可抗力后果及其处理</w:t>
      </w:r>
    </w:p>
    <w:p w14:paraId="027F7DC9">
      <w:pPr>
        <w:spacing w:before="296" w:line="360" w:lineRule="auto"/>
        <w:ind w:left="442"/>
        <w:rPr>
          <w:rFonts w:hint="eastAsia" w:ascii="宋体" w:hAnsi="宋体" w:eastAsia="宋体" w:cs="宋体"/>
          <w:sz w:val="20"/>
          <w:szCs w:val="20"/>
        </w:rPr>
      </w:pPr>
      <w:r>
        <w:rPr>
          <w:rFonts w:hint="eastAsia" w:ascii="宋体" w:hAnsi="宋体" w:eastAsia="宋体" w:cs="宋体"/>
          <w:spacing w:val="7"/>
          <w:sz w:val="20"/>
          <w:szCs w:val="20"/>
        </w:rPr>
        <w:t>21.3.1  不可抗力造成损害的责任</w:t>
      </w:r>
    </w:p>
    <w:p w14:paraId="1176B0BF">
      <w:pPr>
        <w:spacing w:before="162" w:line="360" w:lineRule="auto"/>
        <w:ind w:left="21" w:right="92" w:firstLine="421"/>
        <w:rPr>
          <w:rFonts w:hint="eastAsia" w:ascii="宋体" w:hAnsi="宋体" w:eastAsia="宋体" w:cs="宋体"/>
          <w:sz w:val="20"/>
          <w:szCs w:val="20"/>
        </w:rPr>
      </w:pPr>
      <w:r>
        <w:rPr>
          <w:rFonts w:hint="eastAsia" w:ascii="宋体" w:hAnsi="宋体" w:eastAsia="宋体" w:cs="宋体"/>
          <w:spacing w:val="7"/>
          <w:sz w:val="20"/>
          <w:szCs w:val="20"/>
        </w:rPr>
        <w:t>不可抗力导致的人员伤亡、财产损失、费用增加和（或）工期延误等后果，由合同双方按以下原则承担：</w:t>
      </w:r>
    </w:p>
    <w:p w14:paraId="5CDC5063">
      <w:pPr>
        <w:spacing w:before="2" w:line="360" w:lineRule="auto"/>
        <w:ind w:left="19" w:right="94" w:firstLine="430"/>
        <w:rPr>
          <w:rFonts w:hint="eastAsia" w:ascii="宋体" w:hAnsi="宋体" w:eastAsia="宋体" w:cs="宋体"/>
        </w:rPr>
      </w:pPr>
      <w:r>
        <w:rPr>
          <w:rFonts w:hint="eastAsia" w:ascii="宋体" w:hAnsi="宋体" w:eastAsia="宋体" w:cs="宋体"/>
          <w:spacing w:val="10"/>
          <w:sz w:val="20"/>
          <w:szCs w:val="20"/>
        </w:rPr>
        <w:t>（1）永久工程、已运至施工现场的材料的损坏及修复费用，</w:t>
      </w:r>
      <w:r>
        <w:rPr>
          <w:rFonts w:hint="eastAsia" w:ascii="宋体" w:hAnsi="宋体" w:eastAsia="宋体" w:cs="宋体"/>
          <w:spacing w:val="9"/>
          <w:sz w:val="20"/>
          <w:szCs w:val="20"/>
        </w:rPr>
        <w:t>以及因不可抗力事件引起施工场地内及工程损坏造成的第三方人员伤亡和财产损失由发包人承担；</w:t>
      </w:r>
      <w:r>
        <w:rPr>
          <w:rFonts w:hint="eastAsia" w:ascii="宋体" w:hAnsi="宋体" w:eastAsia="宋体" w:cs="宋体"/>
          <w:sz w:val="20"/>
          <w:szCs w:val="20"/>
          <w:lang w:eastAsia="zh-CN"/>
        </w:rPr>
        <w:t xml:space="preserve"> </w:t>
      </w:r>
    </w:p>
    <w:p w14:paraId="2EC624BC">
      <w:pPr>
        <w:spacing w:before="65" w:line="360" w:lineRule="auto"/>
        <w:ind w:left="19" w:right="56" w:firstLine="430"/>
        <w:rPr>
          <w:rFonts w:hint="eastAsia" w:ascii="宋体" w:hAnsi="宋体" w:eastAsia="宋体" w:cs="宋体"/>
          <w:sz w:val="20"/>
          <w:szCs w:val="20"/>
        </w:rPr>
      </w:pPr>
      <w:r>
        <w:rPr>
          <w:rFonts w:hint="eastAsia" w:ascii="宋体" w:hAnsi="宋体" w:eastAsia="宋体" w:cs="宋体"/>
          <w:spacing w:val="10"/>
          <w:sz w:val="20"/>
          <w:szCs w:val="20"/>
        </w:rPr>
        <w:t>（2）承包人施工机具的损坏及停工损失和措施项目的损坏、</w:t>
      </w:r>
      <w:r>
        <w:rPr>
          <w:rFonts w:hint="eastAsia" w:ascii="宋体" w:hAnsi="宋体" w:eastAsia="宋体" w:cs="宋体"/>
          <w:spacing w:val="9"/>
          <w:sz w:val="20"/>
          <w:szCs w:val="20"/>
        </w:rPr>
        <w:t>清理、修复费用，以及因承包人原因发生的第三方人员伤亡和财产损失由承包人承担；</w:t>
      </w:r>
    </w:p>
    <w:p w14:paraId="47845FF0">
      <w:pPr>
        <w:spacing w:before="163" w:line="360" w:lineRule="auto"/>
        <w:ind w:left="449"/>
        <w:rPr>
          <w:rFonts w:hint="eastAsia" w:ascii="宋体" w:hAnsi="宋体" w:eastAsia="宋体" w:cs="宋体"/>
          <w:sz w:val="20"/>
          <w:szCs w:val="20"/>
        </w:rPr>
      </w:pPr>
      <w:r>
        <w:rPr>
          <w:rFonts w:hint="eastAsia" w:ascii="宋体" w:hAnsi="宋体" w:eastAsia="宋体" w:cs="宋体"/>
          <w:spacing w:val="8"/>
          <w:sz w:val="20"/>
          <w:szCs w:val="20"/>
        </w:rPr>
        <w:t>（3）发包人和承包人各自承担其人员伤亡和其他财产损失；</w:t>
      </w:r>
    </w:p>
    <w:p w14:paraId="7D4BC3FE">
      <w:pPr>
        <w:spacing w:before="161" w:line="360" w:lineRule="auto"/>
        <w:ind w:left="21" w:right="56" w:firstLine="428"/>
        <w:rPr>
          <w:rFonts w:hint="eastAsia" w:ascii="宋体" w:hAnsi="宋体" w:eastAsia="宋体" w:cs="宋体"/>
          <w:sz w:val="20"/>
          <w:szCs w:val="20"/>
        </w:rPr>
      </w:pPr>
      <w:r>
        <w:rPr>
          <w:rFonts w:hint="eastAsia" w:ascii="宋体" w:hAnsi="宋体" w:eastAsia="宋体" w:cs="宋体"/>
          <w:spacing w:val="10"/>
          <w:sz w:val="20"/>
          <w:szCs w:val="20"/>
        </w:rPr>
        <w:t>（4）因不可抗力引起暂停施工的，停工期间应监理人要求照</w:t>
      </w:r>
      <w:r>
        <w:rPr>
          <w:rFonts w:hint="eastAsia" w:ascii="宋体" w:hAnsi="宋体" w:eastAsia="宋体" w:cs="宋体"/>
          <w:spacing w:val="9"/>
          <w:sz w:val="20"/>
          <w:szCs w:val="20"/>
        </w:rPr>
        <w:t>管、清理、修复工程的费</w:t>
      </w:r>
      <w:r>
        <w:rPr>
          <w:rFonts w:hint="eastAsia" w:ascii="宋体" w:hAnsi="宋体" w:eastAsia="宋体" w:cs="宋体"/>
          <w:spacing w:val="7"/>
          <w:sz w:val="20"/>
          <w:szCs w:val="20"/>
        </w:rPr>
        <w:t>用和监理人要求留驻施工现场必要的管理与保卫人员工资，以及按监理人要求留驻现场待工</w:t>
      </w:r>
      <w:r>
        <w:rPr>
          <w:rFonts w:hint="eastAsia" w:ascii="宋体" w:hAnsi="宋体" w:eastAsia="宋体" w:cs="宋体"/>
          <w:spacing w:val="8"/>
          <w:sz w:val="20"/>
          <w:szCs w:val="20"/>
        </w:rPr>
        <w:t>人员的工资由发包人承担；</w:t>
      </w:r>
    </w:p>
    <w:p w14:paraId="17AEEB98">
      <w:pPr>
        <w:spacing w:before="163" w:line="360" w:lineRule="auto"/>
        <w:ind w:left="19" w:right="56" w:firstLine="430"/>
        <w:rPr>
          <w:rFonts w:hint="eastAsia" w:ascii="宋体" w:hAnsi="宋体" w:eastAsia="宋体" w:cs="宋体"/>
          <w:sz w:val="20"/>
          <w:szCs w:val="20"/>
        </w:rPr>
      </w:pPr>
      <w:r>
        <w:rPr>
          <w:rFonts w:hint="eastAsia" w:ascii="宋体" w:hAnsi="宋体" w:eastAsia="宋体" w:cs="宋体"/>
          <w:spacing w:val="10"/>
          <w:sz w:val="20"/>
          <w:szCs w:val="20"/>
        </w:rPr>
        <w:t>（5）因不可抗力影响承包人履行合同约定的义务，引起工期</w:t>
      </w:r>
      <w:r>
        <w:rPr>
          <w:rFonts w:hint="eastAsia" w:ascii="宋体" w:hAnsi="宋体" w:eastAsia="宋体" w:cs="宋体"/>
          <w:spacing w:val="9"/>
          <w:sz w:val="20"/>
          <w:szCs w:val="20"/>
        </w:rPr>
        <w:t>延误的，应顺延工期，承</w:t>
      </w:r>
      <w:r>
        <w:rPr>
          <w:rFonts w:hint="eastAsia" w:ascii="宋体" w:hAnsi="宋体" w:eastAsia="宋体" w:cs="宋体"/>
          <w:spacing w:val="8"/>
          <w:sz w:val="20"/>
          <w:szCs w:val="20"/>
        </w:rPr>
        <w:t>包人不需支付逾期竣工违约金。发包人要求</w:t>
      </w:r>
      <w:r>
        <w:rPr>
          <w:rFonts w:hint="eastAsia" w:ascii="宋体" w:hAnsi="宋体" w:eastAsia="宋体" w:cs="宋体"/>
          <w:spacing w:val="7"/>
          <w:sz w:val="20"/>
          <w:szCs w:val="20"/>
        </w:rPr>
        <w:t>赶工的，承包人应采取赶工措施，赶工费用由发</w:t>
      </w:r>
      <w:r>
        <w:rPr>
          <w:rFonts w:hint="eastAsia" w:ascii="宋体" w:hAnsi="宋体" w:eastAsia="宋体" w:cs="宋体"/>
          <w:spacing w:val="5"/>
          <w:sz w:val="20"/>
          <w:szCs w:val="20"/>
        </w:rPr>
        <w:t>包人承担。</w:t>
      </w:r>
    </w:p>
    <w:p w14:paraId="2EF1945D">
      <w:pPr>
        <w:spacing w:before="161" w:line="360" w:lineRule="auto"/>
        <w:ind w:left="442"/>
        <w:rPr>
          <w:rFonts w:hint="eastAsia" w:ascii="宋体" w:hAnsi="宋体" w:eastAsia="宋体" w:cs="宋体"/>
          <w:sz w:val="20"/>
          <w:szCs w:val="20"/>
        </w:rPr>
      </w:pPr>
      <w:r>
        <w:rPr>
          <w:rFonts w:hint="eastAsia" w:ascii="宋体" w:hAnsi="宋体" w:eastAsia="宋体" w:cs="宋体"/>
          <w:spacing w:val="7"/>
          <w:sz w:val="20"/>
          <w:szCs w:val="20"/>
        </w:rPr>
        <w:t>21.3.2  延迟履行期间发生的不可抗力</w:t>
      </w:r>
    </w:p>
    <w:p w14:paraId="425DECEF">
      <w:pPr>
        <w:spacing w:before="163" w:line="360" w:lineRule="auto"/>
        <w:ind w:left="440"/>
        <w:rPr>
          <w:rFonts w:hint="eastAsia" w:ascii="宋体" w:hAnsi="宋体" w:eastAsia="宋体" w:cs="宋体"/>
          <w:sz w:val="20"/>
          <w:szCs w:val="20"/>
        </w:rPr>
      </w:pPr>
      <w:r>
        <w:rPr>
          <w:rFonts w:hint="eastAsia" w:ascii="宋体" w:hAnsi="宋体" w:eastAsia="宋体" w:cs="宋体"/>
          <w:spacing w:val="9"/>
          <w:sz w:val="20"/>
          <w:szCs w:val="20"/>
        </w:rPr>
        <w:t>合同一方当事人延迟履行，在延迟履行期间发生不可抗力的，不免除其责任。</w:t>
      </w:r>
    </w:p>
    <w:p w14:paraId="4F9B03F0">
      <w:pPr>
        <w:spacing w:before="161" w:line="360" w:lineRule="auto"/>
        <w:ind w:left="442"/>
        <w:rPr>
          <w:rFonts w:hint="eastAsia" w:ascii="宋体" w:hAnsi="宋体" w:eastAsia="宋体" w:cs="宋体"/>
          <w:sz w:val="20"/>
          <w:szCs w:val="20"/>
        </w:rPr>
      </w:pPr>
      <w:r>
        <w:rPr>
          <w:rFonts w:hint="eastAsia" w:ascii="宋体" w:hAnsi="宋体" w:eastAsia="宋体" w:cs="宋体"/>
          <w:spacing w:val="7"/>
          <w:sz w:val="20"/>
          <w:szCs w:val="20"/>
        </w:rPr>
        <w:t>21.3.3  避免和减少不可抗力损失</w:t>
      </w:r>
    </w:p>
    <w:p w14:paraId="5AAF4A15">
      <w:pPr>
        <w:spacing w:before="160" w:line="360" w:lineRule="auto"/>
        <w:ind w:left="23" w:right="56" w:firstLine="420"/>
        <w:rPr>
          <w:rFonts w:hint="eastAsia" w:ascii="宋体" w:hAnsi="宋体" w:eastAsia="宋体" w:cs="宋体"/>
          <w:sz w:val="20"/>
          <w:szCs w:val="20"/>
        </w:rPr>
      </w:pPr>
      <w:r>
        <w:rPr>
          <w:rFonts w:hint="eastAsia" w:ascii="宋体" w:hAnsi="宋体" w:eastAsia="宋体" w:cs="宋体"/>
          <w:spacing w:val="7"/>
          <w:sz w:val="20"/>
          <w:szCs w:val="20"/>
        </w:rPr>
        <w:t>不可抗力发生后，发包人和承包人均应采取措施尽量避免和减少损失的扩大，任何一方</w:t>
      </w:r>
      <w:r>
        <w:rPr>
          <w:rFonts w:hint="eastAsia" w:ascii="宋体" w:hAnsi="宋体" w:eastAsia="宋体" w:cs="宋体"/>
          <w:spacing w:val="9"/>
          <w:sz w:val="20"/>
          <w:szCs w:val="20"/>
        </w:rPr>
        <w:t>没有采取有效措施导致损失扩大的，应对扩大的损失承担责任。</w:t>
      </w:r>
    </w:p>
    <w:p w14:paraId="3B9745A9">
      <w:pPr>
        <w:spacing w:line="360" w:lineRule="auto"/>
        <w:ind w:left="442"/>
        <w:rPr>
          <w:rFonts w:hint="eastAsia" w:ascii="宋体" w:hAnsi="宋体" w:eastAsia="宋体" w:cs="宋体"/>
          <w:sz w:val="20"/>
          <w:szCs w:val="20"/>
        </w:rPr>
      </w:pPr>
      <w:r>
        <w:rPr>
          <w:rFonts w:hint="eastAsia" w:ascii="宋体" w:hAnsi="宋体" w:eastAsia="宋体" w:cs="宋体"/>
          <w:spacing w:val="5"/>
          <w:sz w:val="20"/>
          <w:szCs w:val="20"/>
        </w:rPr>
        <w:t>21.3.4</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因不可抗力解除合同</w:t>
      </w:r>
    </w:p>
    <w:p w14:paraId="36B661AD">
      <w:pPr>
        <w:spacing w:before="159" w:line="360" w:lineRule="auto"/>
        <w:ind w:left="19" w:firstLine="421"/>
        <w:rPr>
          <w:rFonts w:hint="eastAsia" w:ascii="宋体" w:hAnsi="宋体" w:eastAsia="宋体" w:cs="宋体"/>
          <w:sz w:val="20"/>
          <w:szCs w:val="20"/>
        </w:rPr>
      </w:pPr>
      <w:r>
        <w:rPr>
          <w:rFonts w:hint="eastAsia" w:ascii="宋体" w:hAnsi="宋体" w:eastAsia="宋体" w:cs="宋体"/>
          <w:spacing w:val="3"/>
          <w:sz w:val="20"/>
          <w:szCs w:val="20"/>
        </w:rPr>
        <w:t>合同一方当事人因不可抗力不能履行合同的，应当及时通知对方解除合同。合同解除后，</w:t>
      </w:r>
      <w:r>
        <w:rPr>
          <w:rFonts w:hint="eastAsia" w:ascii="宋体" w:hAnsi="宋体" w:eastAsia="宋体" w:cs="宋体"/>
          <w:spacing w:val="9"/>
          <w:sz w:val="20"/>
          <w:szCs w:val="20"/>
        </w:rPr>
        <w:t>承包人应按照第</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22.2.5</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项约定撤离施工场地。已经订货的材料、设备由订货方负</w:t>
      </w:r>
      <w:r>
        <w:rPr>
          <w:rFonts w:hint="eastAsia" w:ascii="宋体" w:hAnsi="宋体" w:eastAsia="宋体" w:cs="宋体"/>
          <w:spacing w:val="8"/>
          <w:sz w:val="20"/>
          <w:szCs w:val="20"/>
        </w:rPr>
        <w:t>责退货或解除订货合同，不能退还的货款和因退货、解</w:t>
      </w:r>
      <w:r>
        <w:rPr>
          <w:rFonts w:hint="eastAsia" w:ascii="宋体" w:hAnsi="宋体" w:eastAsia="宋体" w:cs="宋体"/>
          <w:spacing w:val="7"/>
          <w:sz w:val="20"/>
          <w:szCs w:val="20"/>
        </w:rPr>
        <w:t>除订货合同发生的费用，由发包人承担，因未</w:t>
      </w:r>
      <w:r>
        <w:rPr>
          <w:rFonts w:hint="eastAsia" w:ascii="宋体" w:hAnsi="宋体" w:eastAsia="宋体" w:cs="宋体"/>
          <w:spacing w:val="8"/>
          <w:sz w:val="20"/>
          <w:szCs w:val="20"/>
        </w:rPr>
        <w:t>及时退货造成的损失由责任方承担。合同解除后的付款，参照第</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22.2.4</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项约定，</w:t>
      </w:r>
      <w:r>
        <w:rPr>
          <w:rFonts w:hint="eastAsia" w:ascii="宋体" w:hAnsi="宋体" w:eastAsia="宋体" w:cs="宋体"/>
          <w:spacing w:val="-60"/>
          <w:sz w:val="20"/>
          <w:szCs w:val="20"/>
        </w:rPr>
        <w:t xml:space="preserve"> </w:t>
      </w:r>
      <w:r>
        <w:rPr>
          <w:rFonts w:hint="eastAsia" w:ascii="宋体" w:hAnsi="宋体" w:eastAsia="宋体" w:cs="宋体"/>
          <w:spacing w:val="8"/>
          <w:sz w:val="20"/>
          <w:szCs w:val="20"/>
        </w:rPr>
        <w:t>由</w:t>
      </w:r>
      <w:r>
        <w:rPr>
          <w:rFonts w:hint="eastAsia" w:ascii="宋体" w:hAnsi="宋体" w:eastAsia="宋体" w:cs="宋体"/>
          <w:spacing w:val="7"/>
          <w:sz w:val="20"/>
          <w:szCs w:val="20"/>
        </w:rPr>
        <w:t>监理人</w:t>
      </w:r>
      <w:r>
        <w:rPr>
          <w:rFonts w:hint="eastAsia" w:ascii="宋体" w:hAnsi="宋体" w:eastAsia="宋体" w:cs="宋体"/>
          <w:spacing w:val="5"/>
          <w:sz w:val="20"/>
          <w:szCs w:val="20"/>
        </w:rPr>
        <w:t>按第</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3.5</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款商定或确定。</w:t>
      </w:r>
    </w:p>
    <w:p w14:paraId="7272877D">
      <w:pPr>
        <w:spacing w:before="129" w:line="360" w:lineRule="auto"/>
        <w:ind w:left="26"/>
        <w:outlineLvl w:val="1"/>
        <w:rPr>
          <w:rFonts w:hint="eastAsia" w:ascii="宋体" w:hAnsi="宋体" w:eastAsia="宋体" w:cs="宋体"/>
          <w:sz w:val="28"/>
          <w:szCs w:val="28"/>
        </w:rPr>
      </w:pPr>
      <w:bookmarkStart w:id="720" w:name="bookmark138"/>
      <w:bookmarkEnd w:id="720"/>
      <w:r>
        <w:rPr>
          <w:rFonts w:hint="eastAsia" w:ascii="宋体" w:hAnsi="宋体" w:eastAsia="宋体" w:cs="宋体"/>
          <w:spacing w:val="-3"/>
          <w:sz w:val="28"/>
          <w:szCs w:val="28"/>
        </w:rPr>
        <w:t>22.违约</w:t>
      </w:r>
    </w:p>
    <w:p w14:paraId="7D57CB6A">
      <w:pPr>
        <w:spacing w:before="317" w:line="360" w:lineRule="auto"/>
        <w:ind w:left="23"/>
        <w:outlineLvl w:val="2"/>
        <w:rPr>
          <w:rFonts w:hint="eastAsia" w:ascii="宋体" w:hAnsi="宋体" w:eastAsia="宋体" w:cs="宋体"/>
          <w:sz w:val="24"/>
          <w:szCs w:val="24"/>
        </w:rPr>
      </w:pPr>
      <w:r>
        <w:rPr>
          <w:rFonts w:hint="eastAsia" w:ascii="宋体" w:hAnsi="宋体" w:eastAsia="宋体" w:cs="宋体"/>
          <w:spacing w:val="-2"/>
          <w:sz w:val="24"/>
          <w:szCs w:val="24"/>
        </w:rPr>
        <w:t>22.1  承包人违约</w:t>
      </w:r>
    </w:p>
    <w:p w14:paraId="210C3970">
      <w:pPr>
        <w:spacing w:before="295"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22.1.1  承包人违约的情形</w:t>
      </w:r>
    </w:p>
    <w:p w14:paraId="3FBE4518">
      <w:pPr>
        <w:spacing w:before="161" w:line="360" w:lineRule="auto"/>
        <w:ind w:left="439"/>
        <w:rPr>
          <w:rFonts w:hint="eastAsia" w:ascii="宋体" w:hAnsi="宋体" w:eastAsia="宋体" w:cs="宋体"/>
          <w:sz w:val="20"/>
          <w:szCs w:val="20"/>
        </w:rPr>
      </w:pPr>
      <w:r>
        <w:rPr>
          <w:rFonts w:hint="eastAsia" w:ascii="宋体" w:hAnsi="宋体" w:eastAsia="宋体" w:cs="宋体"/>
          <w:spacing w:val="9"/>
          <w:sz w:val="20"/>
          <w:szCs w:val="20"/>
        </w:rPr>
        <w:t>在履行合同过程中发生的下列情况属承包人违约：</w:t>
      </w:r>
    </w:p>
    <w:p w14:paraId="6C2C8403">
      <w:pPr>
        <w:spacing w:before="160" w:line="360" w:lineRule="auto"/>
        <w:ind w:left="19" w:right="56" w:firstLine="430"/>
        <w:rPr>
          <w:rFonts w:hint="eastAsia" w:ascii="宋体" w:hAnsi="宋体" w:eastAsia="宋体" w:cs="宋体"/>
          <w:sz w:val="20"/>
          <w:szCs w:val="20"/>
        </w:rPr>
      </w:pPr>
      <w:r>
        <w:rPr>
          <w:rFonts w:hint="eastAsia" w:ascii="宋体" w:hAnsi="宋体" w:eastAsia="宋体" w:cs="宋体"/>
          <w:spacing w:val="9"/>
          <w:sz w:val="20"/>
          <w:szCs w:val="20"/>
        </w:rPr>
        <w:t>（1）承包人违反第</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1.8</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款或第4.3</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款的约定，私自将合同的全部或部分权利转让给其他人，或私自将合同的全部或部分义务转移给其他人；</w:t>
      </w:r>
    </w:p>
    <w:p w14:paraId="061A5A62">
      <w:pPr>
        <w:spacing w:before="161" w:line="360" w:lineRule="auto"/>
        <w:ind w:left="18" w:right="56" w:firstLine="431"/>
        <w:rPr>
          <w:rFonts w:hint="eastAsia" w:ascii="宋体" w:hAnsi="宋体" w:eastAsia="宋体" w:cs="宋体"/>
          <w:sz w:val="20"/>
          <w:szCs w:val="20"/>
        </w:rPr>
      </w:pPr>
      <w:r>
        <w:rPr>
          <w:rFonts w:hint="eastAsia" w:ascii="宋体" w:hAnsi="宋体" w:eastAsia="宋体" w:cs="宋体"/>
          <w:spacing w:val="8"/>
          <w:sz w:val="20"/>
          <w:szCs w:val="20"/>
        </w:rPr>
        <w:t>（2）承包人违反第</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5.3</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款或第</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6.4</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款的约定，未经监理人批准，私自将已按</w:t>
      </w:r>
      <w:r>
        <w:rPr>
          <w:rFonts w:hint="eastAsia" w:ascii="宋体" w:hAnsi="宋体" w:eastAsia="宋体" w:cs="宋体"/>
          <w:spacing w:val="7"/>
          <w:sz w:val="20"/>
          <w:szCs w:val="20"/>
        </w:rPr>
        <w:t>合同约定</w:t>
      </w:r>
      <w:r>
        <w:rPr>
          <w:rFonts w:hint="eastAsia" w:ascii="宋体" w:hAnsi="宋体" w:eastAsia="宋体" w:cs="宋体"/>
          <w:spacing w:val="9"/>
          <w:sz w:val="20"/>
          <w:szCs w:val="20"/>
        </w:rPr>
        <w:t>进入施工场地的施工设备、临时设施或材料撤离施工场地；</w:t>
      </w:r>
    </w:p>
    <w:p w14:paraId="170B7000">
      <w:pPr>
        <w:spacing w:before="160" w:line="360" w:lineRule="auto"/>
        <w:ind w:left="21" w:right="56" w:firstLine="428"/>
        <w:rPr>
          <w:rFonts w:hint="eastAsia" w:ascii="宋体" w:hAnsi="宋体" w:eastAsia="宋体" w:cs="宋体"/>
          <w:sz w:val="20"/>
          <w:szCs w:val="20"/>
        </w:rPr>
      </w:pPr>
      <w:r>
        <w:rPr>
          <w:rFonts w:hint="eastAsia" w:ascii="宋体" w:hAnsi="宋体" w:eastAsia="宋体" w:cs="宋体"/>
          <w:spacing w:val="9"/>
          <w:sz w:val="20"/>
          <w:szCs w:val="20"/>
        </w:rPr>
        <w:t>（3）承包人违反第</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5.4</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款的约定使用了不合格材料，工程质量</w:t>
      </w:r>
      <w:r>
        <w:rPr>
          <w:rFonts w:hint="eastAsia" w:ascii="宋体" w:hAnsi="宋体" w:eastAsia="宋体" w:cs="宋体"/>
          <w:spacing w:val="8"/>
          <w:sz w:val="20"/>
          <w:szCs w:val="20"/>
        </w:rPr>
        <w:t>达不到标准要求，又拒</w:t>
      </w:r>
      <w:r>
        <w:rPr>
          <w:rFonts w:hint="eastAsia" w:ascii="宋体" w:hAnsi="宋体" w:eastAsia="宋体" w:cs="宋体"/>
          <w:spacing w:val="7"/>
          <w:sz w:val="20"/>
          <w:szCs w:val="20"/>
        </w:rPr>
        <w:t>绝清除不合格工程；</w:t>
      </w:r>
    </w:p>
    <w:p w14:paraId="45DC8155">
      <w:pPr>
        <w:spacing w:before="161" w:line="360" w:lineRule="auto"/>
        <w:ind w:left="22" w:right="56" w:firstLine="427"/>
        <w:rPr>
          <w:rFonts w:hint="eastAsia" w:ascii="宋体" w:hAnsi="宋体" w:eastAsia="宋体" w:cs="宋体"/>
          <w:sz w:val="20"/>
          <w:szCs w:val="20"/>
        </w:rPr>
      </w:pPr>
      <w:r>
        <w:rPr>
          <w:rFonts w:hint="eastAsia" w:ascii="宋体" w:hAnsi="宋体" w:eastAsia="宋体" w:cs="宋体"/>
          <w:spacing w:val="10"/>
          <w:sz w:val="20"/>
          <w:szCs w:val="20"/>
        </w:rPr>
        <w:t>（4）承包人未能按合同进度计划及时完成合同约定的工作，</w:t>
      </w:r>
      <w:r>
        <w:rPr>
          <w:rFonts w:hint="eastAsia" w:ascii="宋体" w:hAnsi="宋体" w:eastAsia="宋体" w:cs="宋体"/>
          <w:spacing w:val="9"/>
          <w:sz w:val="20"/>
          <w:szCs w:val="20"/>
        </w:rPr>
        <w:t>已造成或预期造成工期延</w:t>
      </w:r>
      <w:r>
        <w:rPr>
          <w:rFonts w:hint="eastAsia" w:ascii="宋体" w:hAnsi="宋体" w:eastAsia="宋体" w:cs="宋体"/>
          <w:spacing w:val="-1"/>
          <w:sz w:val="20"/>
          <w:szCs w:val="20"/>
        </w:rPr>
        <w:t>误；</w:t>
      </w:r>
    </w:p>
    <w:p w14:paraId="5F0ADC23">
      <w:pPr>
        <w:spacing w:before="161" w:line="360" w:lineRule="auto"/>
        <w:ind w:left="18" w:right="56" w:firstLine="431"/>
        <w:rPr>
          <w:rFonts w:hint="eastAsia" w:ascii="宋体" w:hAnsi="宋体" w:eastAsia="宋体" w:cs="宋体"/>
          <w:spacing w:val="9"/>
          <w:sz w:val="20"/>
          <w:szCs w:val="20"/>
        </w:rPr>
      </w:pPr>
      <w:r>
        <w:rPr>
          <w:rFonts w:hint="eastAsia" w:ascii="宋体" w:hAnsi="宋体" w:eastAsia="宋体" w:cs="宋体"/>
          <w:spacing w:val="9"/>
          <w:sz w:val="20"/>
          <w:szCs w:val="20"/>
        </w:rPr>
        <w:t>（5）承包人在缺陷责任期内，未能对工程接收证书所列的缺陷清单的内容或缺陷责任期内发生的缺陷进行修复，而又拒绝按监理人指示再进行修补；</w:t>
      </w:r>
    </w:p>
    <w:p w14:paraId="6CCBFA74">
      <w:pPr>
        <w:spacing w:before="161" w:line="360" w:lineRule="auto"/>
        <w:ind w:left="18" w:right="56" w:firstLine="431"/>
        <w:rPr>
          <w:rFonts w:hint="eastAsia" w:ascii="宋体" w:hAnsi="宋体" w:eastAsia="宋体" w:cs="宋体"/>
          <w:spacing w:val="9"/>
          <w:sz w:val="20"/>
          <w:szCs w:val="20"/>
        </w:rPr>
      </w:pPr>
      <w:r>
        <w:rPr>
          <w:rFonts w:hint="eastAsia" w:ascii="宋体" w:hAnsi="宋体" w:eastAsia="宋体" w:cs="宋体"/>
          <w:spacing w:val="9"/>
          <w:sz w:val="20"/>
          <w:szCs w:val="20"/>
        </w:rPr>
        <w:t>（6）承包人无法继续履行或明确表示不履行或实质上已停止履行合同；</w:t>
      </w:r>
    </w:p>
    <w:p w14:paraId="17B187AD">
      <w:pPr>
        <w:spacing w:before="161" w:line="360" w:lineRule="auto"/>
        <w:ind w:left="18" w:right="56" w:firstLine="431"/>
        <w:rPr>
          <w:rFonts w:hint="eastAsia" w:ascii="宋体" w:hAnsi="宋体" w:eastAsia="宋体" w:cs="宋体"/>
          <w:sz w:val="20"/>
          <w:szCs w:val="20"/>
        </w:rPr>
      </w:pPr>
      <w:r>
        <w:rPr>
          <w:rFonts w:hint="eastAsia" w:ascii="宋体" w:hAnsi="宋体" w:eastAsia="宋体" w:cs="宋体"/>
          <w:spacing w:val="9"/>
          <w:sz w:val="20"/>
          <w:szCs w:val="20"/>
        </w:rPr>
        <w:t>（7）承包人不按合同约定履行义务的其他情</w:t>
      </w:r>
      <w:r>
        <w:rPr>
          <w:rFonts w:hint="eastAsia" w:ascii="宋体" w:hAnsi="宋体" w:eastAsia="宋体" w:cs="宋体"/>
          <w:spacing w:val="8"/>
          <w:sz w:val="20"/>
          <w:szCs w:val="20"/>
        </w:rPr>
        <w:t>况。</w:t>
      </w:r>
    </w:p>
    <w:p w14:paraId="772A7F5A">
      <w:pPr>
        <w:spacing w:before="161"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22.1.2  对承包人违约的处理</w:t>
      </w:r>
    </w:p>
    <w:p w14:paraId="33A66E23">
      <w:pPr>
        <w:spacing w:before="159" w:line="360" w:lineRule="auto"/>
        <w:ind w:left="20" w:right="161" w:firstLine="429"/>
        <w:rPr>
          <w:rFonts w:hint="eastAsia" w:ascii="宋体" w:hAnsi="宋体" w:eastAsia="宋体" w:cs="宋体"/>
          <w:sz w:val="20"/>
          <w:szCs w:val="20"/>
        </w:rPr>
      </w:pPr>
      <w:r>
        <w:rPr>
          <w:rFonts w:hint="eastAsia" w:ascii="宋体" w:hAnsi="宋体" w:eastAsia="宋体" w:cs="宋体"/>
          <w:spacing w:val="8"/>
          <w:sz w:val="20"/>
          <w:szCs w:val="20"/>
        </w:rPr>
        <w:t>（1）承包人发生第</w:t>
      </w:r>
      <w:r>
        <w:rPr>
          <w:rFonts w:hint="eastAsia" w:ascii="宋体" w:hAnsi="宋体" w:eastAsia="宋体" w:cs="宋体"/>
          <w:spacing w:val="-22"/>
          <w:sz w:val="20"/>
          <w:szCs w:val="20"/>
        </w:rPr>
        <w:t xml:space="preserve"> </w:t>
      </w:r>
      <w:r>
        <w:rPr>
          <w:rFonts w:hint="eastAsia" w:ascii="宋体" w:hAnsi="宋体" w:eastAsia="宋体" w:cs="宋体"/>
          <w:spacing w:val="8"/>
          <w:sz w:val="20"/>
          <w:szCs w:val="20"/>
        </w:rPr>
        <w:t>22.1.1（6）</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目约定的违约情况时，发包人可通知承包人立即解除合同，并按有关法律处理。</w:t>
      </w:r>
    </w:p>
    <w:p w14:paraId="2C732BFD">
      <w:pPr>
        <w:spacing w:before="164" w:line="360" w:lineRule="auto"/>
        <w:ind w:left="22" w:right="74" w:firstLine="427"/>
        <w:rPr>
          <w:rFonts w:hint="eastAsia" w:ascii="宋体" w:hAnsi="宋体" w:eastAsia="宋体" w:cs="宋体"/>
          <w:sz w:val="20"/>
          <w:szCs w:val="20"/>
        </w:rPr>
      </w:pPr>
      <w:r>
        <w:rPr>
          <w:rFonts w:hint="eastAsia" w:ascii="宋体" w:hAnsi="宋体" w:eastAsia="宋体" w:cs="宋体"/>
          <w:spacing w:val="8"/>
          <w:sz w:val="20"/>
          <w:szCs w:val="20"/>
        </w:rPr>
        <w:t>（2）承包人发生除第</w:t>
      </w:r>
      <w:r>
        <w:rPr>
          <w:rFonts w:hint="eastAsia" w:ascii="宋体" w:hAnsi="宋体" w:eastAsia="宋体" w:cs="宋体"/>
          <w:spacing w:val="-19"/>
          <w:sz w:val="20"/>
          <w:szCs w:val="20"/>
        </w:rPr>
        <w:t xml:space="preserve"> </w:t>
      </w:r>
      <w:r>
        <w:rPr>
          <w:rFonts w:hint="eastAsia" w:ascii="宋体" w:hAnsi="宋体" w:eastAsia="宋体" w:cs="宋体"/>
          <w:spacing w:val="8"/>
          <w:sz w:val="20"/>
          <w:szCs w:val="20"/>
        </w:rPr>
        <w:t>22.1.1（6）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目约定以外的其他违约情况时，监理人可向承包人</w:t>
      </w:r>
      <w:r>
        <w:rPr>
          <w:rFonts w:hint="eastAsia" w:ascii="宋体" w:hAnsi="宋体" w:eastAsia="宋体" w:cs="宋体"/>
          <w:spacing w:val="5"/>
          <w:sz w:val="20"/>
          <w:szCs w:val="20"/>
        </w:rPr>
        <w:t>发出整改通知，要求其在指定的期限内改正。</w:t>
      </w:r>
      <w:r>
        <w:rPr>
          <w:rFonts w:hint="eastAsia" w:ascii="宋体" w:hAnsi="宋体" w:eastAsia="宋体" w:cs="宋体"/>
          <w:spacing w:val="4"/>
          <w:sz w:val="20"/>
          <w:szCs w:val="20"/>
        </w:rPr>
        <w:t>承包人应承担其违约所引起的费用增加和（或）</w:t>
      </w:r>
      <w:r>
        <w:rPr>
          <w:rFonts w:hint="eastAsia" w:ascii="宋体" w:hAnsi="宋体" w:eastAsia="宋体" w:cs="宋体"/>
          <w:spacing w:val="5"/>
          <w:sz w:val="20"/>
          <w:szCs w:val="20"/>
        </w:rPr>
        <w:t>工期延误。</w:t>
      </w:r>
    </w:p>
    <w:p w14:paraId="064C47A9">
      <w:pPr>
        <w:spacing w:before="159" w:line="360" w:lineRule="auto"/>
        <w:ind w:left="21" w:right="161" w:firstLine="428"/>
        <w:rPr>
          <w:rFonts w:hint="eastAsia" w:ascii="宋体" w:hAnsi="宋体" w:eastAsia="宋体" w:cs="宋体"/>
          <w:sz w:val="20"/>
          <w:szCs w:val="20"/>
        </w:rPr>
      </w:pPr>
      <w:r>
        <w:rPr>
          <w:rFonts w:hint="eastAsia" w:ascii="宋体" w:hAnsi="宋体" w:eastAsia="宋体" w:cs="宋体"/>
          <w:spacing w:val="10"/>
          <w:sz w:val="20"/>
          <w:szCs w:val="20"/>
        </w:rPr>
        <w:t>（3）经检查证明承包人已采取了有效措施纠正违约行为，具</w:t>
      </w:r>
      <w:r>
        <w:rPr>
          <w:rFonts w:hint="eastAsia" w:ascii="宋体" w:hAnsi="宋体" w:eastAsia="宋体" w:cs="宋体"/>
          <w:spacing w:val="9"/>
          <w:sz w:val="20"/>
          <w:szCs w:val="20"/>
        </w:rPr>
        <w:t>备复工条件的，可由监理</w:t>
      </w:r>
      <w:r>
        <w:rPr>
          <w:rFonts w:hint="eastAsia" w:ascii="宋体" w:hAnsi="宋体" w:eastAsia="宋体" w:cs="宋体"/>
          <w:spacing w:val="7"/>
          <w:sz w:val="20"/>
          <w:szCs w:val="20"/>
        </w:rPr>
        <w:t>人签发复工通知复工。</w:t>
      </w:r>
    </w:p>
    <w:p w14:paraId="2E4E0D32">
      <w:pPr>
        <w:spacing w:before="161"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22.1.3  承包人违约解除合同</w:t>
      </w:r>
    </w:p>
    <w:p w14:paraId="425F0BB2">
      <w:pPr>
        <w:spacing w:before="160" w:line="360" w:lineRule="auto"/>
        <w:ind w:left="18" w:right="90" w:firstLine="422"/>
        <w:rPr>
          <w:rFonts w:hint="eastAsia" w:ascii="宋体" w:hAnsi="宋体" w:eastAsia="宋体" w:cs="宋体"/>
          <w:sz w:val="20"/>
          <w:szCs w:val="20"/>
        </w:rPr>
      </w:pPr>
      <w:r>
        <w:rPr>
          <w:rFonts w:hint="eastAsia" w:ascii="宋体" w:hAnsi="宋体" w:eastAsia="宋体" w:cs="宋体"/>
          <w:spacing w:val="9"/>
          <w:sz w:val="20"/>
          <w:szCs w:val="20"/>
        </w:rPr>
        <w:t>监理人发出整改通知</w:t>
      </w:r>
      <w:r>
        <w:rPr>
          <w:rFonts w:hint="eastAsia" w:ascii="宋体" w:hAnsi="宋体" w:eastAsia="宋体" w:cs="宋体"/>
          <w:spacing w:val="-28"/>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天后，承包人仍不纠正违约行为的，发包人可向承包人发出解</w:t>
      </w:r>
      <w:r>
        <w:rPr>
          <w:rFonts w:hint="eastAsia" w:ascii="宋体" w:hAnsi="宋体" w:eastAsia="宋体" w:cs="宋体"/>
          <w:spacing w:val="8"/>
          <w:sz w:val="20"/>
          <w:szCs w:val="20"/>
        </w:rPr>
        <w:t>除合同通知。合同解除后，发包人可派员进驻施工场</w:t>
      </w:r>
      <w:r>
        <w:rPr>
          <w:rFonts w:hint="eastAsia" w:ascii="宋体" w:hAnsi="宋体" w:eastAsia="宋体" w:cs="宋体"/>
          <w:spacing w:val="7"/>
          <w:sz w:val="20"/>
          <w:szCs w:val="20"/>
        </w:rPr>
        <w:t>地，另行组织人员或委托其他承包人施</w:t>
      </w:r>
      <w:r>
        <w:rPr>
          <w:rFonts w:hint="eastAsia" w:ascii="宋体" w:hAnsi="宋体" w:eastAsia="宋体" w:cs="宋体"/>
          <w:spacing w:val="4"/>
          <w:sz w:val="20"/>
          <w:szCs w:val="20"/>
        </w:rPr>
        <w:t>工。发包人因继续完成该工程的需要，有权扣留使用承包人在现场的材料、设备和临时设施。</w:t>
      </w:r>
      <w:r>
        <w:rPr>
          <w:rFonts w:hint="eastAsia" w:ascii="宋体" w:hAnsi="宋体" w:eastAsia="宋体" w:cs="宋体"/>
          <w:spacing w:val="8"/>
          <w:sz w:val="20"/>
          <w:szCs w:val="20"/>
        </w:rPr>
        <w:t>但发包人的这一行动不免除承包人应承担的违约</w:t>
      </w:r>
      <w:r>
        <w:rPr>
          <w:rFonts w:hint="eastAsia" w:ascii="宋体" w:hAnsi="宋体" w:eastAsia="宋体" w:cs="宋体"/>
          <w:spacing w:val="7"/>
          <w:sz w:val="20"/>
          <w:szCs w:val="20"/>
        </w:rPr>
        <w:t>责任，也不影响发包人根据合同约定享有的</w:t>
      </w:r>
      <w:r>
        <w:rPr>
          <w:rFonts w:hint="eastAsia" w:ascii="宋体" w:hAnsi="宋体" w:eastAsia="宋体" w:cs="宋体"/>
          <w:spacing w:val="6"/>
          <w:sz w:val="20"/>
          <w:szCs w:val="20"/>
        </w:rPr>
        <w:t>索赔权利。</w:t>
      </w:r>
    </w:p>
    <w:p w14:paraId="4558F61D">
      <w:pPr>
        <w:spacing w:before="1" w:line="360" w:lineRule="auto"/>
        <w:ind w:left="442"/>
        <w:rPr>
          <w:rFonts w:hint="eastAsia" w:ascii="宋体" w:hAnsi="宋体" w:eastAsia="宋体" w:cs="宋体"/>
          <w:sz w:val="20"/>
          <w:szCs w:val="20"/>
        </w:rPr>
      </w:pPr>
      <w:r>
        <w:rPr>
          <w:rFonts w:hint="eastAsia" w:ascii="宋体" w:hAnsi="宋体" w:eastAsia="宋体" w:cs="宋体"/>
          <w:spacing w:val="7"/>
          <w:sz w:val="20"/>
          <w:szCs w:val="20"/>
        </w:rPr>
        <w:t>22.1.4  合同解除后的估价、付款和结清</w:t>
      </w:r>
    </w:p>
    <w:p w14:paraId="6292A836">
      <w:pPr>
        <w:spacing w:before="162" w:line="360" w:lineRule="auto"/>
        <w:ind w:left="19" w:right="159" w:firstLine="430"/>
        <w:rPr>
          <w:rFonts w:hint="eastAsia" w:ascii="宋体" w:hAnsi="宋体" w:eastAsia="宋体" w:cs="宋体"/>
          <w:sz w:val="20"/>
          <w:szCs w:val="20"/>
        </w:rPr>
      </w:pPr>
      <w:r>
        <w:rPr>
          <w:rFonts w:hint="eastAsia" w:ascii="宋体" w:hAnsi="宋体" w:eastAsia="宋体" w:cs="宋体"/>
          <w:spacing w:val="9"/>
          <w:sz w:val="20"/>
          <w:szCs w:val="20"/>
        </w:rPr>
        <w:t>（1）合同解除后，监理人按第</w:t>
      </w:r>
      <w:r>
        <w:rPr>
          <w:rFonts w:hint="eastAsia" w:ascii="宋体" w:hAnsi="宋体" w:eastAsia="宋体" w:cs="宋体"/>
          <w:spacing w:val="-32"/>
          <w:sz w:val="20"/>
          <w:szCs w:val="20"/>
        </w:rPr>
        <w:t xml:space="preserve"> </w:t>
      </w:r>
      <w:r>
        <w:rPr>
          <w:rFonts w:hint="eastAsia" w:ascii="宋体" w:hAnsi="宋体" w:eastAsia="宋体" w:cs="宋体"/>
          <w:spacing w:val="9"/>
          <w:sz w:val="20"/>
          <w:szCs w:val="20"/>
        </w:rPr>
        <w:t>3.5</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款商定或确定承包人实际完成工</w:t>
      </w:r>
      <w:r>
        <w:rPr>
          <w:rFonts w:hint="eastAsia" w:ascii="宋体" w:hAnsi="宋体" w:eastAsia="宋体" w:cs="宋体"/>
          <w:spacing w:val="8"/>
          <w:sz w:val="20"/>
          <w:szCs w:val="20"/>
        </w:rPr>
        <w:t>作的价值，以及承</w:t>
      </w:r>
      <w:r>
        <w:rPr>
          <w:rFonts w:hint="eastAsia" w:ascii="宋体" w:hAnsi="宋体" w:eastAsia="宋体" w:cs="宋体"/>
          <w:spacing w:val="9"/>
          <w:sz w:val="20"/>
          <w:szCs w:val="20"/>
        </w:rPr>
        <w:t>包人已提供的材料、施工设备和临时工程等的价值。</w:t>
      </w:r>
    </w:p>
    <w:p w14:paraId="47C854F1">
      <w:pPr>
        <w:spacing w:before="164" w:line="360" w:lineRule="auto"/>
        <w:ind w:left="19" w:right="211" w:firstLine="430"/>
        <w:rPr>
          <w:rFonts w:hint="eastAsia" w:ascii="宋体" w:hAnsi="宋体" w:eastAsia="宋体" w:cs="宋体"/>
          <w:sz w:val="20"/>
          <w:szCs w:val="20"/>
        </w:rPr>
      </w:pPr>
      <w:r>
        <w:rPr>
          <w:rFonts w:hint="eastAsia" w:ascii="宋体" w:hAnsi="宋体" w:eastAsia="宋体" w:cs="宋体"/>
          <w:spacing w:val="8"/>
          <w:sz w:val="20"/>
          <w:szCs w:val="20"/>
        </w:rPr>
        <w:t>（2）合同解除后，发包人可暂停对承包人的一切付款，查清各项付款和已扣款金额，包括承包人应支付的违约金。</w:t>
      </w:r>
    </w:p>
    <w:p w14:paraId="5B7B40A1">
      <w:pPr>
        <w:spacing w:before="161" w:line="360" w:lineRule="auto"/>
        <w:ind w:left="21" w:right="159" w:firstLine="428"/>
        <w:rPr>
          <w:rFonts w:hint="eastAsia" w:ascii="宋体" w:hAnsi="宋体" w:eastAsia="宋体" w:cs="宋体"/>
          <w:sz w:val="20"/>
          <w:szCs w:val="20"/>
        </w:rPr>
      </w:pPr>
      <w:r>
        <w:rPr>
          <w:rFonts w:hint="eastAsia" w:ascii="宋体" w:hAnsi="宋体" w:eastAsia="宋体" w:cs="宋体"/>
          <w:spacing w:val="6"/>
          <w:sz w:val="20"/>
          <w:szCs w:val="20"/>
        </w:rPr>
        <w:t>（3）合同解除后，发包人应按第</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23.4</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款的约定向承包人索赔由于解除合同给发包人造</w:t>
      </w:r>
      <w:r>
        <w:rPr>
          <w:rFonts w:hint="eastAsia" w:ascii="宋体" w:hAnsi="宋体" w:eastAsia="宋体" w:cs="宋体"/>
          <w:spacing w:val="5"/>
          <w:sz w:val="20"/>
          <w:szCs w:val="20"/>
        </w:rPr>
        <w:t>成的损失。</w:t>
      </w:r>
    </w:p>
    <w:p w14:paraId="7770BAF7">
      <w:pPr>
        <w:spacing w:before="158" w:line="360" w:lineRule="auto"/>
        <w:ind w:left="449"/>
        <w:rPr>
          <w:rFonts w:hint="eastAsia" w:ascii="宋体" w:hAnsi="宋体" w:eastAsia="宋体" w:cs="宋体"/>
          <w:sz w:val="20"/>
          <w:szCs w:val="20"/>
        </w:rPr>
      </w:pPr>
      <w:r>
        <w:rPr>
          <w:rFonts w:hint="eastAsia" w:ascii="宋体" w:hAnsi="宋体" w:eastAsia="宋体" w:cs="宋体"/>
          <w:spacing w:val="9"/>
          <w:sz w:val="20"/>
          <w:szCs w:val="20"/>
        </w:rPr>
        <w:t>（4）合同双方确认上述往来款项后，出具最终结清付款证书，结清全部合同款项。</w:t>
      </w:r>
    </w:p>
    <w:p w14:paraId="48E114CD">
      <w:pPr>
        <w:spacing w:before="161" w:line="360" w:lineRule="auto"/>
        <w:ind w:left="24" w:right="159" w:firstLine="425"/>
        <w:rPr>
          <w:rFonts w:hint="eastAsia" w:ascii="宋体" w:hAnsi="宋体" w:eastAsia="宋体" w:cs="宋体"/>
          <w:sz w:val="20"/>
          <w:szCs w:val="20"/>
        </w:rPr>
      </w:pPr>
      <w:r>
        <w:rPr>
          <w:rFonts w:hint="eastAsia" w:ascii="宋体" w:hAnsi="宋体" w:eastAsia="宋体" w:cs="宋体"/>
          <w:spacing w:val="6"/>
          <w:sz w:val="20"/>
          <w:szCs w:val="20"/>
        </w:rPr>
        <w:t>（5）发包人和承包人未能就解除合同后的结清达成一致而形成争议的，按第</w:t>
      </w:r>
      <w:r>
        <w:rPr>
          <w:rFonts w:hint="eastAsia" w:ascii="宋体" w:hAnsi="宋体" w:eastAsia="宋体" w:cs="宋体"/>
          <w:spacing w:val="-26"/>
          <w:sz w:val="20"/>
          <w:szCs w:val="20"/>
        </w:rPr>
        <w:t xml:space="preserve"> </w:t>
      </w:r>
      <w:r>
        <w:rPr>
          <w:rFonts w:hint="eastAsia" w:ascii="宋体" w:hAnsi="宋体" w:eastAsia="宋体" w:cs="宋体"/>
          <w:spacing w:val="6"/>
          <w:sz w:val="20"/>
          <w:szCs w:val="20"/>
        </w:rPr>
        <w:t>24</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条的约</w:t>
      </w:r>
      <w:r>
        <w:rPr>
          <w:rFonts w:hint="eastAsia" w:ascii="宋体" w:hAnsi="宋体" w:eastAsia="宋体" w:cs="宋体"/>
          <w:spacing w:val="3"/>
          <w:sz w:val="20"/>
          <w:szCs w:val="20"/>
        </w:rPr>
        <w:t>定办理。</w:t>
      </w:r>
    </w:p>
    <w:p w14:paraId="6B5E6183">
      <w:pPr>
        <w:spacing w:before="161"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22.1.5  协议利益的转让</w:t>
      </w:r>
    </w:p>
    <w:p w14:paraId="44DEC352">
      <w:pPr>
        <w:spacing w:before="158" w:line="360" w:lineRule="auto"/>
        <w:ind w:left="20" w:right="161" w:firstLine="435"/>
        <w:rPr>
          <w:rFonts w:hint="eastAsia" w:ascii="宋体" w:hAnsi="宋体" w:eastAsia="宋体" w:cs="宋体"/>
          <w:sz w:val="20"/>
          <w:szCs w:val="20"/>
        </w:rPr>
      </w:pPr>
      <w:r>
        <w:rPr>
          <w:rFonts w:hint="eastAsia" w:ascii="宋体" w:hAnsi="宋体" w:eastAsia="宋体" w:cs="宋体"/>
          <w:spacing w:val="7"/>
          <w:sz w:val="20"/>
          <w:szCs w:val="20"/>
        </w:rPr>
        <w:t>因承包人违约解除合同的，发包人有权要求承包人将其为实施合同而签订的材料</w:t>
      </w:r>
      <w:r>
        <w:rPr>
          <w:rFonts w:hint="eastAsia" w:ascii="宋体" w:hAnsi="宋体" w:eastAsia="宋体" w:cs="宋体"/>
          <w:spacing w:val="6"/>
          <w:sz w:val="20"/>
          <w:szCs w:val="20"/>
        </w:rPr>
        <w:t>的订货</w:t>
      </w:r>
      <w:r>
        <w:rPr>
          <w:rFonts w:hint="eastAsia" w:ascii="宋体" w:hAnsi="宋体" w:eastAsia="宋体" w:cs="宋体"/>
          <w:spacing w:val="8"/>
          <w:sz w:val="20"/>
          <w:szCs w:val="20"/>
        </w:rPr>
        <w:t>协议或任何服务协议利益转让给发包人，并在解除合同后的</w:t>
      </w:r>
      <w:r>
        <w:rPr>
          <w:rFonts w:hint="eastAsia" w:ascii="宋体" w:hAnsi="宋体" w:eastAsia="宋体" w:cs="宋体"/>
          <w:spacing w:val="-13"/>
          <w:sz w:val="20"/>
          <w:szCs w:val="20"/>
        </w:rPr>
        <w:t xml:space="preserve"> </w:t>
      </w:r>
      <w:r>
        <w:rPr>
          <w:rFonts w:hint="eastAsia" w:ascii="宋体" w:hAnsi="宋体" w:eastAsia="宋体" w:cs="宋体"/>
          <w:spacing w:val="8"/>
          <w:sz w:val="20"/>
          <w:szCs w:val="20"/>
        </w:rPr>
        <w:t>14</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天内，依法办理转让手续。</w:t>
      </w:r>
    </w:p>
    <w:p w14:paraId="2F7DF6CE">
      <w:pPr>
        <w:spacing w:before="1" w:line="360" w:lineRule="auto"/>
        <w:ind w:left="442"/>
        <w:rPr>
          <w:rFonts w:hint="eastAsia" w:ascii="宋体" w:hAnsi="宋体" w:eastAsia="宋体" w:cs="宋体"/>
          <w:sz w:val="20"/>
          <w:szCs w:val="20"/>
        </w:rPr>
      </w:pPr>
      <w:r>
        <w:rPr>
          <w:rFonts w:hint="eastAsia" w:ascii="宋体" w:hAnsi="宋体" w:eastAsia="宋体" w:cs="宋体"/>
          <w:spacing w:val="7"/>
          <w:sz w:val="20"/>
          <w:szCs w:val="20"/>
        </w:rPr>
        <w:t>22.1.6  紧急情况下无能力或不愿进行抢救</w:t>
      </w:r>
    </w:p>
    <w:p w14:paraId="24C5A309">
      <w:pPr>
        <w:spacing w:before="159" w:line="360" w:lineRule="auto"/>
        <w:ind w:left="19" w:firstLine="419"/>
        <w:rPr>
          <w:rFonts w:hint="eastAsia" w:ascii="宋体" w:hAnsi="宋体" w:eastAsia="宋体" w:cs="宋体"/>
        </w:rPr>
      </w:pPr>
      <w:r>
        <w:rPr>
          <w:rFonts w:hint="eastAsia" w:ascii="宋体" w:hAnsi="宋体" w:eastAsia="宋体" w:cs="宋体"/>
          <w:spacing w:val="6"/>
          <w:sz w:val="20"/>
          <w:szCs w:val="20"/>
        </w:rPr>
        <w:t>在工程实施期间或缺陷责任期内发生危及工程安全的事件，监理人通知承包人进行抢救，</w:t>
      </w:r>
      <w:r>
        <w:rPr>
          <w:rFonts w:hint="eastAsia" w:ascii="宋体" w:hAnsi="宋体" w:eastAsia="宋体" w:cs="宋体"/>
          <w:spacing w:val="8"/>
          <w:sz w:val="20"/>
          <w:szCs w:val="20"/>
        </w:rPr>
        <w:t>承包人声明无能力或不愿立即执行的，发包人有权</w:t>
      </w:r>
      <w:r>
        <w:rPr>
          <w:rFonts w:hint="eastAsia" w:ascii="宋体" w:hAnsi="宋体" w:eastAsia="宋体" w:cs="宋体"/>
          <w:spacing w:val="7"/>
          <w:sz w:val="20"/>
          <w:szCs w:val="20"/>
        </w:rPr>
        <w:t>雇佣其他人员进行抢救。此类抢救按合同</w:t>
      </w:r>
      <w:r>
        <w:rPr>
          <w:rFonts w:hint="eastAsia" w:ascii="宋体" w:hAnsi="宋体" w:eastAsia="宋体" w:cs="宋体"/>
          <w:spacing w:val="9"/>
          <w:sz w:val="20"/>
          <w:szCs w:val="20"/>
        </w:rPr>
        <w:t>约定属于承包人义务的，由此发生的金额和（或）工期延误由承包人承担。</w:t>
      </w:r>
      <w:r>
        <w:rPr>
          <w:rFonts w:hint="eastAsia" w:ascii="宋体" w:hAnsi="宋体" w:eastAsia="宋体" w:cs="宋体"/>
          <w:sz w:val="20"/>
          <w:szCs w:val="20"/>
          <w:lang w:eastAsia="zh-CN"/>
        </w:rPr>
        <w:t xml:space="preserve"> </w:t>
      </w:r>
    </w:p>
    <w:p w14:paraId="051FFDC6">
      <w:pPr>
        <w:spacing w:before="78" w:line="360" w:lineRule="auto"/>
        <w:ind w:left="23"/>
        <w:outlineLvl w:val="2"/>
        <w:rPr>
          <w:rFonts w:hint="eastAsia" w:ascii="宋体" w:hAnsi="宋体" w:eastAsia="宋体" w:cs="宋体"/>
          <w:sz w:val="24"/>
          <w:szCs w:val="24"/>
        </w:rPr>
      </w:pPr>
      <w:bookmarkStart w:id="721" w:name="bookmark139"/>
      <w:bookmarkEnd w:id="721"/>
      <w:r>
        <w:rPr>
          <w:rFonts w:hint="eastAsia" w:ascii="宋体" w:hAnsi="宋体" w:eastAsia="宋体" w:cs="宋体"/>
          <w:spacing w:val="-2"/>
          <w:sz w:val="24"/>
          <w:szCs w:val="24"/>
        </w:rPr>
        <w:t>22.2  发包人违约</w:t>
      </w:r>
    </w:p>
    <w:p w14:paraId="7B731E19">
      <w:pPr>
        <w:spacing w:before="296"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22.2.1  发包人违约的情形</w:t>
      </w:r>
    </w:p>
    <w:p w14:paraId="4DDD24A5">
      <w:pPr>
        <w:spacing w:before="159" w:line="360" w:lineRule="auto"/>
        <w:ind w:left="439"/>
        <w:rPr>
          <w:rFonts w:hint="eastAsia" w:ascii="宋体" w:hAnsi="宋体" w:eastAsia="宋体" w:cs="宋体"/>
          <w:sz w:val="20"/>
          <w:szCs w:val="20"/>
        </w:rPr>
      </w:pPr>
      <w:r>
        <w:rPr>
          <w:rFonts w:hint="eastAsia" w:ascii="宋体" w:hAnsi="宋体" w:eastAsia="宋体" w:cs="宋体"/>
          <w:spacing w:val="9"/>
          <w:sz w:val="20"/>
          <w:szCs w:val="20"/>
        </w:rPr>
        <w:t>在履行合同过程中发生的下列情形，属发包人违约：</w:t>
      </w:r>
    </w:p>
    <w:p w14:paraId="78A378F5">
      <w:pPr>
        <w:spacing w:before="158" w:line="360" w:lineRule="auto"/>
        <w:ind w:left="19" w:right="56" w:firstLine="430"/>
        <w:rPr>
          <w:rFonts w:hint="eastAsia" w:ascii="宋体" w:hAnsi="宋体" w:eastAsia="宋体" w:cs="宋体"/>
          <w:sz w:val="20"/>
          <w:szCs w:val="20"/>
        </w:rPr>
      </w:pPr>
      <w:r>
        <w:rPr>
          <w:rFonts w:hint="eastAsia" w:ascii="宋体" w:hAnsi="宋体" w:eastAsia="宋体" w:cs="宋体"/>
          <w:spacing w:val="10"/>
          <w:sz w:val="20"/>
          <w:szCs w:val="20"/>
        </w:rPr>
        <w:t>（1）发包人未能按合同约定支付预付款或合同价款，或拖延</w:t>
      </w:r>
      <w:r>
        <w:rPr>
          <w:rFonts w:hint="eastAsia" w:ascii="宋体" w:hAnsi="宋体" w:eastAsia="宋体" w:cs="宋体"/>
          <w:spacing w:val="9"/>
          <w:sz w:val="20"/>
          <w:szCs w:val="20"/>
        </w:rPr>
        <w:t>、拒绝批准付款申请和支</w:t>
      </w:r>
      <w:r>
        <w:rPr>
          <w:rFonts w:hint="eastAsia" w:ascii="宋体" w:hAnsi="宋体" w:eastAsia="宋体" w:cs="宋体"/>
          <w:spacing w:val="8"/>
          <w:sz w:val="20"/>
          <w:szCs w:val="20"/>
        </w:rPr>
        <w:t>付凭证，导致付款延误的；</w:t>
      </w:r>
    </w:p>
    <w:p w14:paraId="6B455296">
      <w:pPr>
        <w:spacing w:before="161" w:line="360" w:lineRule="auto"/>
        <w:ind w:left="449"/>
        <w:rPr>
          <w:rFonts w:hint="eastAsia" w:ascii="宋体" w:hAnsi="宋体" w:eastAsia="宋体" w:cs="宋体"/>
          <w:sz w:val="20"/>
          <w:szCs w:val="20"/>
        </w:rPr>
      </w:pPr>
      <w:r>
        <w:rPr>
          <w:rFonts w:hint="eastAsia" w:ascii="宋体" w:hAnsi="宋体" w:eastAsia="宋体" w:cs="宋体"/>
          <w:spacing w:val="7"/>
          <w:sz w:val="20"/>
          <w:szCs w:val="20"/>
        </w:rPr>
        <w:t>（2）发包人原因造成停工的；</w:t>
      </w:r>
    </w:p>
    <w:p w14:paraId="40546AC0">
      <w:pPr>
        <w:spacing w:before="162" w:line="360" w:lineRule="auto"/>
        <w:ind w:left="449"/>
        <w:rPr>
          <w:rFonts w:hint="eastAsia" w:ascii="宋体" w:hAnsi="宋体" w:eastAsia="宋体" w:cs="宋体"/>
          <w:sz w:val="20"/>
          <w:szCs w:val="20"/>
        </w:rPr>
      </w:pPr>
      <w:r>
        <w:rPr>
          <w:rFonts w:hint="eastAsia" w:ascii="宋体" w:hAnsi="宋体" w:eastAsia="宋体" w:cs="宋体"/>
          <w:spacing w:val="9"/>
          <w:sz w:val="20"/>
          <w:szCs w:val="20"/>
        </w:rPr>
        <w:t>（3）监理人无正当理由没有在约定期限内发出复工指示，导致承包人无法复工的；</w:t>
      </w:r>
    </w:p>
    <w:p w14:paraId="774A2423">
      <w:pPr>
        <w:spacing w:before="161" w:line="360" w:lineRule="auto"/>
        <w:ind w:left="449"/>
        <w:rPr>
          <w:rFonts w:hint="eastAsia" w:ascii="宋体" w:hAnsi="宋体" w:eastAsia="宋体" w:cs="宋体"/>
          <w:sz w:val="20"/>
          <w:szCs w:val="20"/>
        </w:rPr>
      </w:pPr>
      <w:r>
        <w:rPr>
          <w:rFonts w:hint="eastAsia" w:ascii="宋体" w:hAnsi="宋体" w:eastAsia="宋体" w:cs="宋体"/>
          <w:spacing w:val="9"/>
          <w:sz w:val="20"/>
          <w:szCs w:val="20"/>
        </w:rPr>
        <w:t>（4）发包人无法继续履行或明确表示不履行或实质上已停止履</w:t>
      </w:r>
      <w:r>
        <w:rPr>
          <w:rFonts w:hint="eastAsia" w:ascii="宋体" w:hAnsi="宋体" w:eastAsia="宋体" w:cs="宋体"/>
          <w:spacing w:val="8"/>
          <w:sz w:val="20"/>
          <w:szCs w:val="20"/>
        </w:rPr>
        <w:t>行合同的；</w:t>
      </w:r>
    </w:p>
    <w:p w14:paraId="291A9978">
      <w:pPr>
        <w:spacing w:before="161" w:line="360" w:lineRule="auto"/>
        <w:ind w:left="449"/>
        <w:rPr>
          <w:rFonts w:hint="eastAsia" w:ascii="宋体" w:hAnsi="宋体" w:eastAsia="宋体" w:cs="宋体"/>
          <w:sz w:val="20"/>
          <w:szCs w:val="20"/>
        </w:rPr>
      </w:pPr>
      <w:r>
        <w:rPr>
          <w:rFonts w:hint="eastAsia" w:ascii="宋体" w:hAnsi="宋体" w:eastAsia="宋体" w:cs="宋体"/>
          <w:spacing w:val="8"/>
          <w:sz w:val="20"/>
          <w:szCs w:val="20"/>
        </w:rPr>
        <w:t>（5）发包人不履行合同约定其他义务的。</w:t>
      </w:r>
    </w:p>
    <w:p w14:paraId="2C5019D7">
      <w:pPr>
        <w:spacing w:before="164"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22.2.2  承包人有权暂停施工</w:t>
      </w:r>
    </w:p>
    <w:p w14:paraId="04765317">
      <w:pPr>
        <w:spacing w:before="161" w:line="360" w:lineRule="auto"/>
        <w:ind w:left="19" w:firstLine="423"/>
        <w:rPr>
          <w:rFonts w:hint="eastAsia" w:ascii="宋体" w:hAnsi="宋体" w:eastAsia="宋体" w:cs="宋体"/>
          <w:sz w:val="20"/>
          <w:szCs w:val="20"/>
        </w:rPr>
      </w:pPr>
      <w:r>
        <w:rPr>
          <w:rFonts w:hint="eastAsia" w:ascii="宋体" w:hAnsi="宋体" w:eastAsia="宋体" w:cs="宋体"/>
          <w:spacing w:val="6"/>
          <w:sz w:val="20"/>
          <w:szCs w:val="20"/>
        </w:rPr>
        <w:t>发包人发生除第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22.2.1（4）</w:t>
      </w:r>
      <w:r>
        <w:rPr>
          <w:rFonts w:hint="eastAsia" w:ascii="宋体" w:hAnsi="宋体" w:eastAsia="宋体" w:cs="宋体"/>
          <w:spacing w:val="-49"/>
          <w:sz w:val="20"/>
          <w:szCs w:val="20"/>
        </w:rPr>
        <w:t xml:space="preserve"> </w:t>
      </w:r>
      <w:r>
        <w:rPr>
          <w:rFonts w:hint="eastAsia" w:ascii="宋体" w:hAnsi="宋体" w:eastAsia="宋体" w:cs="宋体"/>
          <w:spacing w:val="6"/>
          <w:sz w:val="20"/>
          <w:szCs w:val="20"/>
        </w:rPr>
        <w:t>目以外的违约情况时，承包人可向发包人发出通知，要求发包人采取有效措施纠正违约行为。发包人收到</w:t>
      </w:r>
      <w:r>
        <w:rPr>
          <w:rFonts w:hint="eastAsia" w:ascii="宋体" w:hAnsi="宋体" w:eastAsia="宋体" w:cs="宋体"/>
          <w:spacing w:val="5"/>
          <w:sz w:val="20"/>
          <w:szCs w:val="20"/>
        </w:rPr>
        <w:t>承包人通知后的</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28</w:t>
      </w:r>
      <w:r>
        <w:rPr>
          <w:rFonts w:hint="eastAsia" w:ascii="宋体" w:hAnsi="宋体" w:eastAsia="宋体" w:cs="宋体"/>
          <w:spacing w:val="-37"/>
          <w:sz w:val="20"/>
          <w:szCs w:val="20"/>
        </w:rPr>
        <w:t xml:space="preserve"> </w:t>
      </w:r>
      <w:r>
        <w:rPr>
          <w:rFonts w:hint="eastAsia" w:ascii="宋体" w:hAnsi="宋体" w:eastAsia="宋体" w:cs="宋体"/>
          <w:spacing w:val="5"/>
          <w:sz w:val="20"/>
          <w:szCs w:val="20"/>
        </w:rPr>
        <w:t>天内仍不履行合同义务，</w:t>
      </w:r>
      <w:r>
        <w:rPr>
          <w:rFonts w:hint="eastAsia" w:ascii="宋体" w:hAnsi="宋体" w:eastAsia="宋体" w:cs="宋体"/>
          <w:spacing w:val="8"/>
          <w:sz w:val="20"/>
          <w:szCs w:val="20"/>
        </w:rPr>
        <w:t>承包人有权暂停施工，并通知监理人，发包人应承</w:t>
      </w:r>
      <w:r>
        <w:rPr>
          <w:rFonts w:hint="eastAsia" w:ascii="宋体" w:hAnsi="宋体" w:eastAsia="宋体" w:cs="宋体"/>
          <w:spacing w:val="7"/>
          <w:sz w:val="20"/>
          <w:szCs w:val="20"/>
        </w:rPr>
        <w:t>担由此增加的费用和（或）工期延误，并</w:t>
      </w:r>
      <w:r>
        <w:rPr>
          <w:rFonts w:hint="eastAsia" w:ascii="宋体" w:hAnsi="宋体" w:eastAsia="宋体" w:cs="宋体"/>
          <w:spacing w:val="8"/>
          <w:sz w:val="20"/>
          <w:szCs w:val="20"/>
        </w:rPr>
        <w:t>支付承包人合理利润。</w:t>
      </w:r>
    </w:p>
    <w:p w14:paraId="00B19817">
      <w:pPr>
        <w:spacing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22.2.3  发包人违约解除合同</w:t>
      </w:r>
    </w:p>
    <w:p w14:paraId="754F2EBD">
      <w:pPr>
        <w:spacing w:before="160" w:line="360" w:lineRule="auto"/>
        <w:ind w:left="449"/>
        <w:rPr>
          <w:rFonts w:hint="eastAsia" w:ascii="宋体" w:hAnsi="宋体" w:eastAsia="宋体" w:cs="宋体"/>
          <w:sz w:val="20"/>
          <w:szCs w:val="20"/>
        </w:rPr>
      </w:pPr>
      <w:r>
        <w:rPr>
          <w:rFonts w:hint="eastAsia" w:ascii="宋体" w:hAnsi="宋体" w:eastAsia="宋体" w:cs="宋体"/>
          <w:spacing w:val="6"/>
          <w:sz w:val="20"/>
          <w:szCs w:val="20"/>
        </w:rPr>
        <w:t>（1）发生第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22.2.1（4）</w:t>
      </w:r>
      <w:r>
        <w:rPr>
          <w:rFonts w:hint="eastAsia" w:ascii="宋体" w:hAnsi="宋体" w:eastAsia="宋体" w:cs="宋体"/>
          <w:spacing w:val="-45"/>
          <w:sz w:val="20"/>
          <w:szCs w:val="20"/>
        </w:rPr>
        <w:t xml:space="preserve"> </w:t>
      </w:r>
      <w:r>
        <w:rPr>
          <w:rFonts w:hint="eastAsia" w:ascii="宋体" w:hAnsi="宋体" w:eastAsia="宋体" w:cs="宋体"/>
          <w:spacing w:val="6"/>
          <w:sz w:val="20"/>
          <w:szCs w:val="20"/>
        </w:rPr>
        <w:t>目的违约情况时，承包人可书面通知发包人解除合同。</w:t>
      </w:r>
    </w:p>
    <w:p w14:paraId="5C4FDAD4">
      <w:pPr>
        <w:spacing w:before="163" w:line="360" w:lineRule="auto"/>
        <w:ind w:left="19" w:right="56" w:firstLine="430"/>
        <w:rPr>
          <w:rFonts w:hint="eastAsia" w:ascii="宋体" w:hAnsi="宋体" w:eastAsia="宋体" w:cs="宋体"/>
          <w:sz w:val="20"/>
          <w:szCs w:val="20"/>
        </w:rPr>
      </w:pPr>
      <w:r>
        <w:rPr>
          <w:rFonts w:hint="eastAsia" w:ascii="宋体" w:hAnsi="宋体" w:eastAsia="宋体" w:cs="宋体"/>
          <w:spacing w:val="8"/>
          <w:sz w:val="20"/>
          <w:szCs w:val="20"/>
        </w:rPr>
        <w:t>（2）承包人按第</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22.2.2</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项暂停施工</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天后，</w:t>
      </w:r>
      <w:r>
        <w:rPr>
          <w:rFonts w:hint="eastAsia" w:ascii="宋体" w:hAnsi="宋体" w:eastAsia="宋体" w:cs="宋体"/>
          <w:spacing w:val="7"/>
          <w:sz w:val="20"/>
          <w:szCs w:val="20"/>
        </w:rPr>
        <w:t>发包人仍不纠正违约行为的，承包人可</w:t>
      </w:r>
      <w:r>
        <w:rPr>
          <w:rFonts w:hint="eastAsia" w:ascii="宋体" w:hAnsi="宋体" w:eastAsia="宋体" w:cs="宋体"/>
          <w:spacing w:val="8"/>
          <w:sz w:val="20"/>
          <w:szCs w:val="20"/>
        </w:rPr>
        <w:t>向发包人发出解除合同通知。但承包人的这</w:t>
      </w:r>
      <w:r>
        <w:rPr>
          <w:rFonts w:hint="eastAsia" w:ascii="宋体" w:hAnsi="宋体" w:eastAsia="宋体" w:cs="宋体"/>
          <w:spacing w:val="7"/>
          <w:sz w:val="20"/>
          <w:szCs w:val="20"/>
        </w:rPr>
        <w:t>一行动不免除发包人承担的违约责任，也不影响</w:t>
      </w:r>
      <w:r>
        <w:rPr>
          <w:rFonts w:hint="eastAsia" w:ascii="宋体" w:hAnsi="宋体" w:eastAsia="宋体" w:cs="宋体"/>
          <w:spacing w:val="8"/>
          <w:sz w:val="20"/>
          <w:szCs w:val="20"/>
        </w:rPr>
        <w:t>承包人根据合同约定享有的索赔权利。</w:t>
      </w:r>
    </w:p>
    <w:p w14:paraId="10C7D5E5">
      <w:pPr>
        <w:spacing w:before="163" w:line="360" w:lineRule="auto"/>
        <w:ind w:left="442"/>
        <w:rPr>
          <w:rFonts w:hint="eastAsia" w:ascii="宋体" w:hAnsi="宋体" w:eastAsia="宋体" w:cs="宋体"/>
          <w:sz w:val="20"/>
          <w:szCs w:val="20"/>
        </w:rPr>
      </w:pPr>
      <w:r>
        <w:rPr>
          <w:rFonts w:hint="eastAsia" w:ascii="宋体" w:hAnsi="宋体" w:eastAsia="宋体" w:cs="宋体"/>
          <w:spacing w:val="6"/>
          <w:sz w:val="20"/>
          <w:szCs w:val="20"/>
        </w:rPr>
        <w:t>22.2.4  解除合同后的付款</w:t>
      </w:r>
    </w:p>
    <w:p w14:paraId="28FE0272">
      <w:pPr>
        <w:spacing w:before="160" w:line="360" w:lineRule="auto"/>
        <w:ind w:left="19" w:right="56" w:firstLine="436"/>
        <w:rPr>
          <w:rFonts w:hint="eastAsia" w:ascii="宋体" w:hAnsi="宋体" w:eastAsia="宋体" w:cs="宋体"/>
          <w:sz w:val="20"/>
          <w:szCs w:val="20"/>
        </w:rPr>
      </w:pPr>
      <w:r>
        <w:rPr>
          <w:rFonts w:hint="eastAsia" w:ascii="宋体" w:hAnsi="宋体" w:eastAsia="宋体" w:cs="宋体"/>
          <w:spacing w:val="9"/>
          <w:sz w:val="20"/>
          <w:szCs w:val="20"/>
        </w:rPr>
        <w:t>因发包人违约解除合同的，发包人应在解除合同后</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天内向承包人支付</w:t>
      </w:r>
      <w:r>
        <w:rPr>
          <w:rFonts w:hint="eastAsia" w:ascii="宋体" w:hAnsi="宋体" w:eastAsia="宋体" w:cs="宋体"/>
          <w:spacing w:val="8"/>
          <w:sz w:val="20"/>
          <w:szCs w:val="20"/>
        </w:rPr>
        <w:t>下列金额，承</w:t>
      </w:r>
      <w:r>
        <w:rPr>
          <w:rFonts w:hint="eastAsia" w:ascii="宋体" w:hAnsi="宋体" w:eastAsia="宋体" w:cs="宋体"/>
          <w:spacing w:val="9"/>
          <w:sz w:val="20"/>
          <w:szCs w:val="20"/>
        </w:rPr>
        <w:t>包人应在此期限内及时向发包人提交要求支付下列金额的有关资料和凭证：</w:t>
      </w:r>
    </w:p>
    <w:p w14:paraId="5CBF34AA">
      <w:pPr>
        <w:spacing w:before="1" w:line="360" w:lineRule="auto"/>
        <w:ind w:left="449"/>
        <w:rPr>
          <w:rFonts w:hint="eastAsia" w:ascii="宋体" w:hAnsi="宋体" w:eastAsia="宋体" w:cs="宋体"/>
          <w:sz w:val="20"/>
          <w:szCs w:val="20"/>
        </w:rPr>
      </w:pPr>
      <w:r>
        <w:rPr>
          <w:rFonts w:hint="eastAsia" w:ascii="宋体" w:hAnsi="宋体" w:eastAsia="宋体" w:cs="宋体"/>
          <w:spacing w:val="8"/>
          <w:sz w:val="20"/>
          <w:szCs w:val="20"/>
        </w:rPr>
        <w:t>（1）合同解除前承包人已完成工程的价款；</w:t>
      </w:r>
    </w:p>
    <w:p w14:paraId="1353B5A8">
      <w:pPr>
        <w:spacing w:before="164" w:line="360" w:lineRule="auto"/>
        <w:ind w:left="19" w:right="56" w:firstLine="430"/>
        <w:rPr>
          <w:rFonts w:hint="eastAsia" w:ascii="宋体" w:hAnsi="宋体" w:eastAsia="宋体" w:cs="宋体"/>
          <w:sz w:val="20"/>
          <w:szCs w:val="20"/>
        </w:rPr>
      </w:pPr>
      <w:r>
        <w:rPr>
          <w:rFonts w:hint="eastAsia" w:ascii="宋体" w:hAnsi="宋体" w:eastAsia="宋体" w:cs="宋体"/>
          <w:spacing w:val="10"/>
          <w:sz w:val="20"/>
          <w:szCs w:val="20"/>
        </w:rPr>
        <w:t>（2）承包人为合同工程按施工进度计划合理订购且已交付的</w:t>
      </w:r>
      <w:r>
        <w:rPr>
          <w:rFonts w:hint="eastAsia" w:ascii="宋体" w:hAnsi="宋体" w:eastAsia="宋体" w:cs="宋体"/>
          <w:spacing w:val="9"/>
          <w:sz w:val="20"/>
          <w:szCs w:val="20"/>
        </w:rPr>
        <w:t>，或承包人有责任接受交付的材料和其他物品的价款。发包人付款后，该材料和其他物品归发包人所有；</w:t>
      </w:r>
    </w:p>
    <w:p w14:paraId="2CFC7D91">
      <w:pPr>
        <w:spacing w:before="161" w:line="360" w:lineRule="auto"/>
        <w:ind w:left="20" w:right="56" w:firstLine="429"/>
        <w:rPr>
          <w:rFonts w:hint="eastAsia" w:ascii="宋体" w:hAnsi="宋体" w:eastAsia="宋体" w:cs="宋体"/>
          <w:sz w:val="20"/>
          <w:szCs w:val="20"/>
        </w:rPr>
      </w:pPr>
      <w:r>
        <w:rPr>
          <w:rFonts w:hint="eastAsia" w:ascii="宋体" w:hAnsi="宋体" w:eastAsia="宋体" w:cs="宋体"/>
          <w:spacing w:val="10"/>
          <w:sz w:val="20"/>
          <w:szCs w:val="20"/>
        </w:rPr>
        <w:t>（3）发包人要求承包人退货或解除订货合同而产生的费用，</w:t>
      </w:r>
      <w:r>
        <w:rPr>
          <w:rFonts w:hint="eastAsia" w:ascii="宋体" w:hAnsi="宋体" w:eastAsia="宋体" w:cs="宋体"/>
          <w:spacing w:val="9"/>
          <w:sz w:val="20"/>
          <w:szCs w:val="20"/>
        </w:rPr>
        <w:t>或因不能退货或解除合同</w:t>
      </w:r>
      <w:r>
        <w:rPr>
          <w:rFonts w:hint="eastAsia" w:ascii="宋体" w:hAnsi="宋体" w:eastAsia="宋体" w:cs="宋体"/>
          <w:spacing w:val="6"/>
          <w:sz w:val="20"/>
          <w:szCs w:val="20"/>
        </w:rPr>
        <w:t>而产生的损失；</w:t>
      </w:r>
    </w:p>
    <w:p w14:paraId="5C972161">
      <w:pPr>
        <w:spacing w:before="161" w:line="360" w:lineRule="auto"/>
        <w:ind w:left="449"/>
        <w:rPr>
          <w:rFonts w:hint="eastAsia" w:ascii="宋体" w:hAnsi="宋体" w:eastAsia="宋体" w:cs="宋体"/>
          <w:sz w:val="20"/>
          <w:szCs w:val="20"/>
        </w:rPr>
      </w:pPr>
      <w:r>
        <w:rPr>
          <w:rFonts w:hint="eastAsia" w:ascii="宋体" w:hAnsi="宋体" w:eastAsia="宋体" w:cs="宋体"/>
          <w:spacing w:val="8"/>
          <w:sz w:val="20"/>
          <w:szCs w:val="20"/>
        </w:rPr>
        <w:t>（4）承包人撤离施工场地以及遣散承包人施工人员的费用；</w:t>
      </w:r>
    </w:p>
    <w:p w14:paraId="09879E00">
      <w:pPr>
        <w:spacing w:before="160" w:line="360" w:lineRule="auto"/>
        <w:ind w:left="449"/>
        <w:rPr>
          <w:rFonts w:hint="eastAsia" w:ascii="宋体" w:hAnsi="宋体" w:eastAsia="宋体" w:cs="宋体"/>
          <w:sz w:val="20"/>
          <w:szCs w:val="20"/>
        </w:rPr>
      </w:pPr>
      <w:r>
        <w:rPr>
          <w:rFonts w:hint="eastAsia" w:ascii="宋体" w:hAnsi="宋体" w:eastAsia="宋体" w:cs="宋体"/>
          <w:spacing w:val="8"/>
          <w:sz w:val="20"/>
          <w:szCs w:val="20"/>
        </w:rPr>
        <w:t>（5）在合同解除前应支付给承包人的其他价款；</w:t>
      </w:r>
    </w:p>
    <w:p w14:paraId="139DDA42">
      <w:pPr>
        <w:spacing w:before="165" w:line="360" w:lineRule="auto"/>
        <w:ind w:left="449"/>
        <w:rPr>
          <w:rFonts w:hint="eastAsia" w:ascii="宋体" w:hAnsi="宋体" w:eastAsia="宋体" w:cs="宋体"/>
          <w:sz w:val="20"/>
          <w:szCs w:val="20"/>
        </w:rPr>
      </w:pPr>
      <w:r>
        <w:rPr>
          <w:rFonts w:hint="eastAsia" w:ascii="宋体" w:hAnsi="宋体" w:eastAsia="宋体" w:cs="宋体"/>
          <w:spacing w:val="7"/>
          <w:sz w:val="20"/>
          <w:szCs w:val="20"/>
        </w:rPr>
        <w:t>（6）发包人应扣减承包人的价款；</w:t>
      </w:r>
    </w:p>
    <w:p w14:paraId="705F6F42">
      <w:pPr>
        <w:spacing w:before="162" w:line="360" w:lineRule="auto"/>
        <w:ind w:left="449"/>
        <w:rPr>
          <w:rFonts w:hint="eastAsia" w:ascii="宋体" w:hAnsi="宋体" w:eastAsia="宋体" w:cs="宋体"/>
          <w:sz w:val="20"/>
          <w:szCs w:val="20"/>
        </w:rPr>
      </w:pPr>
      <w:r>
        <w:rPr>
          <w:rFonts w:hint="eastAsia" w:ascii="宋体" w:hAnsi="宋体" w:eastAsia="宋体" w:cs="宋体"/>
          <w:spacing w:val="8"/>
          <w:sz w:val="20"/>
          <w:szCs w:val="20"/>
        </w:rPr>
        <w:t>（7）发包人和承包人协商确定的其他价款。</w:t>
      </w:r>
    </w:p>
    <w:p w14:paraId="698FD146">
      <w:pPr>
        <w:spacing w:before="161" w:line="360" w:lineRule="auto"/>
        <w:ind w:left="20" w:right="53" w:firstLine="422"/>
        <w:rPr>
          <w:rFonts w:hint="eastAsia" w:ascii="宋体" w:hAnsi="宋体" w:eastAsia="宋体" w:cs="宋体"/>
          <w:sz w:val="20"/>
          <w:szCs w:val="20"/>
        </w:rPr>
      </w:pPr>
      <w:r>
        <w:rPr>
          <w:rFonts w:hint="eastAsia" w:ascii="宋体" w:hAnsi="宋体" w:eastAsia="宋体" w:cs="宋体"/>
          <w:spacing w:val="13"/>
          <w:sz w:val="20"/>
          <w:szCs w:val="20"/>
        </w:rPr>
        <w:t>发包人应按本项约定支付上述金额并退还质量保证金或退还质量保证金保函和</w:t>
      </w:r>
      <w:r>
        <w:rPr>
          <w:rFonts w:hint="eastAsia" w:ascii="宋体" w:hAnsi="宋体" w:eastAsia="宋体" w:cs="宋体"/>
          <w:spacing w:val="12"/>
          <w:sz w:val="20"/>
          <w:szCs w:val="20"/>
        </w:rPr>
        <w:t>履约担</w:t>
      </w:r>
      <w:r>
        <w:rPr>
          <w:rFonts w:hint="eastAsia" w:ascii="宋体" w:hAnsi="宋体" w:eastAsia="宋体" w:cs="宋体"/>
          <w:spacing w:val="9"/>
          <w:sz w:val="20"/>
          <w:szCs w:val="20"/>
        </w:rPr>
        <w:t>保，但有权要求承包人支付应偿还给发包人的各项金额。</w:t>
      </w:r>
    </w:p>
    <w:p w14:paraId="367C7D9C">
      <w:pPr>
        <w:spacing w:before="160" w:line="360" w:lineRule="auto"/>
        <w:ind w:left="19" w:right="56" w:firstLine="436"/>
        <w:rPr>
          <w:rFonts w:hint="eastAsia" w:ascii="宋体" w:hAnsi="宋体" w:eastAsia="宋体" w:cs="宋体"/>
          <w:spacing w:val="9"/>
          <w:sz w:val="20"/>
          <w:szCs w:val="20"/>
        </w:rPr>
      </w:pPr>
      <w:r>
        <w:rPr>
          <w:rFonts w:hint="eastAsia" w:ascii="宋体" w:hAnsi="宋体" w:eastAsia="宋体" w:cs="宋体"/>
          <w:spacing w:val="9"/>
          <w:sz w:val="20"/>
          <w:szCs w:val="20"/>
        </w:rPr>
        <w:t>22.2.5  解除合同后的承包人撤离</w:t>
      </w:r>
      <w:r>
        <w:rPr>
          <w:rFonts w:hint="eastAsia" w:ascii="宋体" w:hAnsi="宋体" w:eastAsia="宋体" w:cs="宋体"/>
          <w:spacing w:val="9"/>
          <w:sz w:val="20"/>
          <w:szCs w:val="20"/>
          <w:lang w:eastAsia="zh-CN"/>
        </w:rPr>
        <w:t xml:space="preserve"> </w:t>
      </w:r>
    </w:p>
    <w:p w14:paraId="039626B9">
      <w:pPr>
        <w:spacing w:before="160" w:line="360" w:lineRule="auto"/>
        <w:ind w:left="19" w:right="56" w:firstLine="436"/>
        <w:rPr>
          <w:rFonts w:hint="eastAsia" w:ascii="宋体" w:hAnsi="宋体" w:eastAsia="宋体" w:cs="宋体"/>
          <w:spacing w:val="9"/>
          <w:sz w:val="20"/>
          <w:szCs w:val="20"/>
        </w:rPr>
      </w:pPr>
      <w:r>
        <w:rPr>
          <w:rFonts w:hint="eastAsia" w:ascii="宋体" w:hAnsi="宋体" w:eastAsia="宋体" w:cs="宋体"/>
          <w:spacing w:val="9"/>
          <w:sz w:val="20"/>
          <w:szCs w:val="20"/>
        </w:rPr>
        <w:t>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w:t>
      </w:r>
    </w:p>
    <w:p w14:paraId="5E4377F1">
      <w:pPr>
        <w:spacing w:before="160" w:line="360" w:lineRule="auto"/>
        <w:ind w:left="19" w:right="56" w:firstLine="436"/>
        <w:rPr>
          <w:rFonts w:hint="eastAsia" w:ascii="宋体" w:hAnsi="宋体" w:eastAsia="宋体" w:cs="宋体"/>
          <w:spacing w:val="9"/>
          <w:sz w:val="20"/>
          <w:szCs w:val="20"/>
        </w:rPr>
      </w:pPr>
      <w:bookmarkStart w:id="722" w:name="bookmark140"/>
      <w:bookmarkEnd w:id="722"/>
      <w:r>
        <w:rPr>
          <w:rFonts w:hint="eastAsia" w:ascii="宋体" w:hAnsi="宋体" w:eastAsia="宋体" w:cs="宋体"/>
          <w:spacing w:val="9"/>
          <w:sz w:val="20"/>
          <w:szCs w:val="20"/>
        </w:rPr>
        <w:t>22.3  第三人造成的违约</w:t>
      </w:r>
    </w:p>
    <w:p w14:paraId="1151A008">
      <w:pPr>
        <w:spacing w:before="160" w:line="360" w:lineRule="auto"/>
        <w:ind w:left="19" w:right="56" w:firstLine="436"/>
        <w:rPr>
          <w:rFonts w:hint="eastAsia" w:ascii="宋体" w:hAnsi="宋体" w:eastAsia="宋体" w:cs="宋体"/>
          <w:sz w:val="20"/>
          <w:szCs w:val="20"/>
        </w:rPr>
      </w:pPr>
      <w:r>
        <w:rPr>
          <w:rFonts w:hint="eastAsia" w:ascii="宋体" w:hAnsi="宋体" w:eastAsia="宋体" w:cs="宋体"/>
          <w:spacing w:val="9"/>
          <w:sz w:val="20"/>
          <w:szCs w:val="20"/>
        </w:rPr>
        <w:t>在履行合同过程中，一方当事人因第三人的原因</w:t>
      </w:r>
      <w:r>
        <w:rPr>
          <w:rFonts w:hint="eastAsia" w:ascii="宋体" w:hAnsi="宋体" w:eastAsia="宋体" w:cs="宋体"/>
          <w:spacing w:val="7"/>
          <w:sz w:val="20"/>
          <w:szCs w:val="20"/>
        </w:rPr>
        <w:t>造成违约的，应当向对方当事人承担违</w:t>
      </w:r>
      <w:r>
        <w:rPr>
          <w:rFonts w:hint="eastAsia" w:ascii="宋体" w:hAnsi="宋体" w:eastAsia="宋体" w:cs="宋体"/>
          <w:spacing w:val="9"/>
          <w:sz w:val="20"/>
          <w:szCs w:val="20"/>
        </w:rPr>
        <w:t>约责任。一方当事人和第三人之间的纠纷，依照法律规定或者按照约定解决。</w:t>
      </w:r>
    </w:p>
    <w:p w14:paraId="5614EF1A">
      <w:pPr>
        <w:spacing w:before="130" w:line="360" w:lineRule="auto"/>
        <w:ind w:left="26"/>
        <w:outlineLvl w:val="1"/>
        <w:rPr>
          <w:rFonts w:hint="eastAsia" w:ascii="宋体" w:hAnsi="宋体" w:eastAsia="宋体" w:cs="宋体"/>
          <w:sz w:val="28"/>
          <w:szCs w:val="28"/>
        </w:rPr>
      </w:pPr>
      <w:bookmarkStart w:id="723" w:name="bookmark141"/>
      <w:bookmarkEnd w:id="723"/>
      <w:r>
        <w:rPr>
          <w:rFonts w:hint="eastAsia" w:ascii="宋体" w:hAnsi="宋体" w:eastAsia="宋体" w:cs="宋体"/>
          <w:spacing w:val="-2"/>
          <w:sz w:val="28"/>
          <w:szCs w:val="28"/>
        </w:rPr>
        <w:t>23.工程索赔</w:t>
      </w:r>
    </w:p>
    <w:p w14:paraId="11859852">
      <w:pPr>
        <w:pStyle w:val="17"/>
        <w:spacing w:line="360" w:lineRule="auto"/>
        <w:rPr>
          <w:rFonts w:hint="eastAsia" w:ascii="宋体" w:hAnsi="宋体" w:eastAsia="宋体" w:cs="宋体"/>
        </w:rPr>
      </w:pPr>
    </w:p>
    <w:p w14:paraId="13783218">
      <w:pPr>
        <w:spacing w:before="78" w:line="360" w:lineRule="auto"/>
        <w:ind w:left="23"/>
        <w:outlineLvl w:val="2"/>
        <w:rPr>
          <w:rFonts w:hint="eastAsia" w:ascii="宋体" w:hAnsi="宋体" w:eastAsia="宋体" w:cs="宋体"/>
          <w:sz w:val="24"/>
          <w:szCs w:val="24"/>
        </w:rPr>
      </w:pPr>
      <w:r>
        <w:rPr>
          <w:rFonts w:hint="eastAsia" w:ascii="宋体" w:hAnsi="宋体" w:eastAsia="宋体" w:cs="宋体"/>
          <w:spacing w:val="-1"/>
          <w:sz w:val="24"/>
          <w:szCs w:val="24"/>
        </w:rPr>
        <w:t>23.1  承包人工程索赔的提出</w:t>
      </w:r>
    </w:p>
    <w:p w14:paraId="2EFEE3A3">
      <w:pPr>
        <w:spacing w:before="296" w:line="360" w:lineRule="auto"/>
        <w:ind w:left="19" w:right="94" w:firstLine="420"/>
        <w:rPr>
          <w:rFonts w:hint="eastAsia" w:ascii="宋体" w:hAnsi="宋体" w:eastAsia="宋体" w:cs="宋体"/>
          <w:sz w:val="20"/>
          <w:szCs w:val="20"/>
        </w:rPr>
      </w:pPr>
      <w:r>
        <w:rPr>
          <w:rFonts w:hint="eastAsia" w:ascii="宋体" w:hAnsi="宋体" w:eastAsia="宋体" w:cs="宋体"/>
          <w:spacing w:val="7"/>
          <w:sz w:val="20"/>
          <w:szCs w:val="20"/>
        </w:rPr>
        <w:t>根据合同约定，承包人认为有权得到追加付款和（或）延长工期的，应按以下程序向发包人提出工程索赔：</w:t>
      </w:r>
    </w:p>
    <w:p w14:paraId="100FCF95">
      <w:pPr>
        <w:spacing w:before="3" w:line="360" w:lineRule="auto"/>
        <w:ind w:left="19" w:right="94" w:firstLine="430"/>
        <w:rPr>
          <w:rFonts w:hint="eastAsia" w:ascii="宋体" w:hAnsi="宋体" w:eastAsia="宋体" w:cs="宋体"/>
          <w:sz w:val="20"/>
          <w:szCs w:val="20"/>
        </w:rPr>
      </w:pPr>
      <w:r>
        <w:rPr>
          <w:rFonts w:hint="eastAsia" w:ascii="宋体" w:hAnsi="宋体" w:eastAsia="宋体" w:cs="宋体"/>
          <w:spacing w:val="6"/>
          <w:sz w:val="20"/>
          <w:szCs w:val="20"/>
        </w:rPr>
        <w:t>（1）承包人应在知道或应当知道工程索赔事件发生后</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天内，向监理人递交工程索赔</w:t>
      </w:r>
      <w:r>
        <w:rPr>
          <w:rFonts w:hint="eastAsia" w:ascii="宋体" w:hAnsi="宋体" w:eastAsia="宋体" w:cs="宋体"/>
          <w:spacing w:val="9"/>
          <w:sz w:val="20"/>
          <w:szCs w:val="20"/>
        </w:rPr>
        <w:t>意向通知书，并说明发生工程索赔事件的事由。承包人未在前述</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rPr>
        <w:t>28</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天内发出工程索赔意向通知书的，丧失要求追加付款和（或）延长工期的权利；</w:t>
      </w:r>
    </w:p>
    <w:p w14:paraId="52BFED29">
      <w:pPr>
        <w:spacing w:before="160" w:line="360" w:lineRule="auto"/>
        <w:ind w:left="24" w:right="92" w:firstLine="425"/>
        <w:rPr>
          <w:rFonts w:hint="eastAsia" w:ascii="宋体" w:hAnsi="宋体" w:eastAsia="宋体" w:cs="宋体"/>
          <w:sz w:val="20"/>
          <w:szCs w:val="20"/>
        </w:rPr>
      </w:pPr>
      <w:r>
        <w:rPr>
          <w:rFonts w:hint="eastAsia" w:ascii="宋体" w:hAnsi="宋体" w:eastAsia="宋体" w:cs="宋体"/>
          <w:spacing w:val="6"/>
          <w:sz w:val="20"/>
          <w:szCs w:val="20"/>
        </w:rPr>
        <w:t>（2）承包人应在发出工程索赔意向通知书后</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天内，向监理人正式递交工程索赔通知</w:t>
      </w:r>
      <w:r>
        <w:rPr>
          <w:rFonts w:hint="eastAsia" w:ascii="宋体" w:hAnsi="宋体" w:eastAsia="宋体" w:cs="宋体"/>
          <w:spacing w:val="7"/>
          <w:sz w:val="20"/>
          <w:szCs w:val="20"/>
        </w:rPr>
        <w:t>书。工程索赔通知书应详细说明索赔理由以及要求追加的付款金额和（或）延长的工期，并</w:t>
      </w:r>
      <w:r>
        <w:rPr>
          <w:rFonts w:hint="eastAsia" w:ascii="宋体" w:hAnsi="宋体" w:eastAsia="宋体" w:cs="宋体"/>
          <w:spacing w:val="8"/>
          <w:sz w:val="20"/>
          <w:szCs w:val="20"/>
        </w:rPr>
        <w:t>附必要的记录和证明材料；</w:t>
      </w:r>
    </w:p>
    <w:p w14:paraId="6DD03A96">
      <w:pPr>
        <w:spacing w:before="160" w:line="360" w:lineRule="auto"/>
        <w:ind w:left="19" w:right="58" w:firstLine="430"/>
        <w:rPr>
          <w:rFonts w:hint="eastAsia" w:ascii="宋体" w:hAnsi="宋体" w:eastAsia="宋体" w:cs="宋体"/>
          <w:sz w:val="20"/>
          <w:szCs w:val="20"/>
        </w:rPr>
      </w:pPr>
      <w:r>
        <w:rPr>
          <w:rFonts w:hint="eastAsia" w:ascii="宋体" w:hAnsi="宋体" w:eastAsia="宋体" w:cs="宋体"/>
          <w:spacing w:val="10"/>
          <w:sz w:val="20"/>
          <w:szCs w:val="20"/>
        </w:rPr>
        <w:t>（3）工程索赔事件具有连续影响的，承包人应按合理时间间</w:t>
      </w:r>
      <w:r>
        <w:rPr>
          <w:rFonts w:hint="eastAsia" w:ascii="宋体" w:hAnsi="宋体" w:eastAsia="宋体" w:cs="宋体"/>
          <w:spacing w:val="9"/>
          <w:sz w:val="20"/>
          <w:szCs w:val="20"/>
        </w:rPr>
        <w:t>隔继续递交延续工程索赔</w:t>
      </w:r>
      <w:r>
        <w:rPr>
          <w:rFonts w:hint="eastAsia" w:ascii="宋体" w:hAnsi="宋体" w:eastAsia="宋体" w:cs="宋体"/>
          <w:spacing w:val="8"/>
          <w:sz w:val="20"/>
          <w:szCs w:val="20"/>
        </w:rPr>
        <w:t>通知，说明连续影响的实际情况和记录，列出累计的追加付款金额和（或）工期延长天数；</w:t>
      </w:r>
    </w:p>
    <w:p w14:paraId="0468E634">
      <w:pPr>
        <w:spacing w:before="163" w:line="360" w:lineRule="auto"/>
        <w:ind w:left="24" w:right="94" w:firstLine="425"/>
        <w:rPr>
          <w:rFonts w:hint="eastAsia" w:ascii="宋体" w:hAnsi="宋体" w:eastAsia="宋体" w:cs="宋体"/>
          <w:sz w:val="20"/>
          <w:szCs w:val="20"/>
        </w:rPr>
      </w:pPr>
      <w:r>
        <w:rPr>
          <w:rFonts w:hint="eastAsia" w:ascii="宋体" w:hAnsi="宋体" w:eastAsia="宋体" w:cs="宋体"/>
          <w:spacing w:val="6"/>
          <w:sz w:val="20"/>
          <w:szCs w:val="20"/>
        </w:rPr>
        <w:t>（4）在工程索赔事件影响结束后的</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天内，承包人应向监理人递交最终工程索赔通知</w:t>
      </w:r>
      <w:r>
        <w:rPr>
          <w:rFonts w:hint="eastAsia" w:ascii="宋体" w:hAnsi="宋体" w:eastAsia="宋体" w:cs="宋体"/>
          <w:spacing w:val="9"/>
          <w:sz w:val="20"/>
          <w:szCs w:val="20"/>
        </w:rPr>
        <w:t>书，说明最终要求索赔的追加付款金额和延长的工期，并附必要的记录和证明材料。</w:t>
      </w:r>
    </w:p>
    <w:p w14:paraId="0EF010CC">
      <w:pPr>
        <w:spacing w:before="286" w:line="360" w:lineRule="auto"/>
        <w:ind w:left="23"/>
        <w:outlineLvl w:val="2"/>
        <w:rPr>
          <w:rFonts w:hint="eastAsia" w:ascii="宋体" w:hAnsi="宋体" w:eastAsia="宋体" w:cs="宋体"/>
          <w:sz w:val="24"/>
          <w:szCs w:val="24"/>
        </w:rPr>
      </w:pPr>
      <w:bookmarkStart w:id="724" w:name="bookmark142"/>
      <w:bookmarkEnd w:id="724"/>
      <w:r>
        <w:rPr>
          <w:rFonts w:hint="eastAsia" w:ascii="宋体" w:hAnsi="宋体" w:eastAsia="宋体" w:cs="宋体"/>
          <w:spacing w:val="-1"/>
          <w:sz w:val="24"/>
          <w:szCs w:val="24"/>
        </w:rPr>
        <w:t>23.2  承包人工程索赔处理程序</w:t>
      </w:r>
    </w:p>
    <w:p w14:paraId="3A9DB99A">
      <w:pPr>
        <w:spacing w:before="298" w:line="360" w:lineRule="auto"/>
        <w:ind w:left="22" w:right="23" w:firstLine="427"/>
        <w:rPr>
          <w:rFonts w:hint="eastAsia" w:ascii="宋体" w:hAnsi="宋体" w:eastAsia="宋体" w:cs="宋体"/>
          <w:sz w:val="20"/>
          <w:szCs w:val="20"/>
        </w:rPr>
      </w:pPr>
      <w:r>
        <w:rPr>
          <w:rFonts w:hint="eastAsia" w:ascii="宋体" w:hAnsi="宋体" w:eastAsia="宋体" w:cs="宋体"/>
          <w:spacing w:val="6"/>
          <w:sz w:val="20"/>
          <w:szCs w:val="20"/>
        </w:rPr>
        <w:t>（1）监理人收到承包人提交的工程索赔通知书后，应及时审查工程索赔通知书的内容、</w:t>
      </w:r>
      <w:r>
        <w:rPr>
          <w:rFonts w:hint="eastAsia" w:ascii="宋体" w:hAnsi="宋体" w:eastAsia="宋体" w:cs="宋体"/>
          <w:spacing w:val="9"/>
          <w:sz w:val="20"/>
          <w:szCs w:val="20"/>
        </w:rPr>
        <w:t>查验承包人的记录和证明材料，必要时监理人可要求承包人提交全部原始记录副本。</w:t>
      </w:r>
    </w:p>
    <w:p w14:paraId="0240A03F">
      <w:pPr>
        <w:spacing w:before="162" w:line="360" w:lineRule="auto"/>
        <w:ind w:left="21" w:right="92" w:firstLine="428"/>
        <w:rPr>
          <w:rFonts w:hint="eastAsia" w:ascii="宋体" w:hAnsi="宋体" w:eastAsia="宋体" w:cs="宋体"/>
          <w:sz w:val="20"/>
          <w:szCs w:val="20"/>
        </w:rPr>
      </w:pPr>
      <w:r>
        <w:rPr>
          <w:rFonts w:hint="eastAsia" w:ascii="宋体" w:hAnsi="宋体" w:eastAsia="宋体" w:cs="宋体"/>
          <w:spacing w:val="9"/>
          <w:sz w:val="20"/>
          <w:szCs w:val="20"/>
        </w:rPr>
        <w:t>（2）监理人应按第</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3.5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款商定或确定追加的付款和（或）延长</w:t>
      </w:r>
      <w:r>
        <w:rPr>
          <w:rFonts w:hint="eastAsia" w:ascii="宋体" w:hAnsi="宋体" w:eastAsia="宋体" w:cs="宋体"/>
          <w:spacing w:val="8"/>
          <w:sz w:val="20"/>
          <w:szCs w:val="20"/>
        </w:rPr>
        <w:t>的工期，并在收到上述</w:t>
      </w:r>
      <w:r>
        <w:rPr>
          <w:rFonts w:hint="eastAsia" w:ascii="宋体" w:hAnsi="宋体" w:eastAsia="宋体" w:cs="宋体"/>
          <w:spacing w:val="11"/>
          <w:sz w:val="20"/>
          <w:szCs w:val="20"/>
        </w:rPr>
        <w:t>工程索赔通知书或有关工程索赔的进一步证明材料后的42</w:t>
      </w:r>
      <w:r>
        <w:rPr>
          <w:rFonts w:hint="eastAsia" w:ascii="宋体" w:hAnsi="宋体" w:eastAsia="宋体" w:cs="宋体"/>
          <w:spacing w:val="-34"/>
          <w:sz w:val="20"/>
          <w:szCs w:val="20"/>
        </w:rPr>
        <w:t xml:space="preserve"> </w:t>
      </w:r>
      <w:r>
        <w:rPr>
          <w:rFonts w:hint="eastAsia" w:ascii="宋体" w:hAnsi="宋体" w:eastAsia="宋体" w:cs="宋体"/>
          <w:spacing w:val="11"/>
          <w:sz w:val="20"/>
          <w:szCs w:val="20"/>
        </w:rPr>
        <w:t>天内，将索赔处理</w:t>
      </w:r>
      <w:r>
        <w:rPr>
          <w:rFonts w:hint="eastAsia" w:ascii="宋体" w:hAnsi="宋体" w:eastAsia="宋体" w:cs="宋体"/>
          <w:spacing w:val="10"/>
          <w:sz w:val="20"/>
          <w:szCs w:val="20"/>
        </w:rPr>
        <w:t>结果答复承包</w:t>
      </w:r>
      <w:r>
        <w:rPr>
          <w:rFonts w:hint="eastAsia" w:ascii="宋体" w:hAnsi="宋体" w:eastAsia="宋体" w:cs="宋体"/>
          <w:spacing w:val="-1"/>
          <w:sz w:val="20"/>
          <w:szCs w:val="20"/>
        </w:rPr>
        <w:t>人。</w:t>
      </w:r>
    </w:p>
    <w:p w14:paraId="649F6CBB">
      <w:pPr>
        <w:spacing w:before="156" w:line="360" w:lineRule="auto"/>
        <w:ind w:left="19" w:right="92" w:firstLine="430"/>
        <w:rPr>
          <w:rFonts w:hint="eastAsia" w:ascii="宋体" w:hAnsi="宋体" w:eastAsia="宋体" w:cs="宋体"/>
          <w:sz w:val="20"/>
          <w:szCs w:val="20"/>
        </w:rPr>
      </w:pPr>
      <w:r>
        <w:rPr>
          <w:rFonts w:hint="eastAsia" w:ascii="宋体" w:hAnsi="宋体" w:eastAsia="宋体" w:cs="宋体"/>
          <w:spacing w:val="6"/>
          <w:sz w:val="20"/>
          <w:szCs w:val="20"/>
        </w:rPr>
        <w:t>（3）承包人接受索赔处理结果的，发包人应在作出索赔处理结果答复后</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28</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天内完成赔</w:t>
      </w:r>
      <w:r>
        <w:rPr>
          <w:rFonts w:hint="eastAsia" w:ascii="宋体" w:hAnsi="宋体" w:eastAsia="宋体" w:cs="宋体"/>
          <w:spacing w:val="8"/>
          <w:sz w:val="20"/>
          <w:szCs w:val="20"/>
        </w:rPr>
        <w:t>付。承包人不接受索赔处理结果的，按第</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24</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条的约定办理。</w:t>
      </w:r>
    </w:p>
    <w:p w14:paraId="21FA9C6B">
      <w:pPr>
        <w:spacing w:before="286" w:line="360" w:lineRule="auto"/>
        <w:ind w:left="23"/>
        <w:outlineLvl w:val="2"/>
        <w:rPr>
          <w:rFonts w:hint="eastAsia" w:ascii="宋体" w:hAnsi="宋体" w:eastAsia="宋体" w:cs="宋体"/>
          <w:sz w:val="24"/>
          <w:szCs w:val="24"/>
        </w:rPr>
      </w:pPr>
      <w:bookmarkStart w:id="725" w:name="bookmark143"/>
      <w:bookmarkEnd w:id="725"/>
      <w:r>
        <w:rPr>
          <w:rFonts w:hint="eastAsia" w:ascii="宋体" w:hAnsi="宋体" w:eastAsia="宋体" w:cs="宋体"/>
          <w:spacing w:val="-1"/>
          <w:sz w:val="24"/>
          <w:szCs w:val="24"/>
        </w:rPr>
        <w:t>23.3  承包人提出工程索赔的期限</w:t>
      </w:r>
    </w:p>
    <w:p w14:paraId="2508A652">
      <w:pPr>
        <w:spacing w:before="294" w:line="360" w:lineRule="auto"/>
        <w:ind w:left="442"/>
        <w:rPr>
          <w:rFonts w:hint="eastAsia" w:ascii="宋体" w:hAnsi="宋体" w:eastAsia="宋体" w:cs="宋体"/>
        </w:rPr>
      </w:pPr>
      <w:r>
        <w:rPr>
          <w:rFonts w:hint="eastAsia" w:ascii="宋体" w:hAnsi="宋体" w:eastAsia="宋体" w:cs="宋体"/>
          <w:spacing w:val="8"/>
          <w:sz w:val="20"/>
          <w:szCs w:val="20"/>
        </w:rPr>
        <w:t>23.3.1  承包人按第</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17.5</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款的约定接受了竣工付款证书后，应被认为</w:t>
      </w:r>
      <w:r>
        <w:rPr>
          <w:rFonts w:hint="eastAsia" w:ascii="宋体" w:hAnsi="宋体" w:eastAsia="宋体" w:cs="宋体"/>
          <w:spacing w:val="7"/>
          <w:sz w:val="20"/>
          <w:szCs w:val="20"/>
        </w:rPr>
        <w:t>已无权再提出在</w:t>
      </w:r>
      <w:r>
        <w:rPr>
          <w:rFonts w:hint="eastAsia" w:ascii="宋体" w:hAnsi="宋体" w:eastAsia="宋体" w:cs="宋体"/>
          <w:sz w:val="20"/>
          <w:szCs w:val="20"/>
          <w:lang w:eastAsia="zh-CN"/>
        </w:rPr>
        <w:t xml:space="preserve"> </w:t>
      </w:r>
    </w:p>
    <w:p w14:paraId="5390E393">
      <w:pPr>
        <w:spacing w:before="65" w:line="360" w:lineRule="auto"/>
        <w:ind w:left="20"/>
        <w:rPr>
          <w:rFonts w:hint="eastAsia" w:ascii="宋体" w:hAnsi="宋体" w:eastAsia="宋体" w:cs="宋体"/>
          <w:sz w:val="20"/>
          <w:szCs w:val="20"/>
        </w:rPr>
      </w:pPr>
      <w:r>
        <w:rPr>
          <w:rFonts w:hint="eastAsia" w:ascii="宋体" w:hAnsi="宋体" w:eastAsia="宋体" w:cs="宋体"/>
          <w:spacing w:val="9"/>
          <w:sz w:val="20"/>
          <w:szCs w:val="20"/>
        </w:rPr>
        <w:t>合同工程接收证书颁发前所发生的任何工程索赔。</w:t>
      </w:r>
    </w:p>
    <w:p w14:paraId="7F116F20">
      <w:pPr>
        <w:spacing w:before="160" w:line="360" w:lineRule="auto"/>
        <w:ind w:left="24" w:right="68" w:firstLine="418"/>
        <w:rPr>
          <w:rFonts w:hint="eastAsia" w:ascii="宋体" w:hAnsi="宋体" w:eastAsia="宋体" w:cs="宋体"/>
          <w:sz w:val="20"/>
          <w:szCs w:val="20"/>
        </w:rPr>
      </w:pPr>
      <w:r>
        <w:rPr>
          <w:rFonts w:hint="eastAsia" w:ascii="宋体" w:hAnsi="宋体" w:eastAsia="宋体" w:cs="宋体"/>
          <w:spacing w:val="8"/>
          <w:sz w:val="20"/>
          <w:szCs w:val="20"/>
        </w:rPr>
        <w:t>23.3.2  承包人按第</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17.6</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款的约定提交的最终结清申请单中，只限于</w:t>
      </w:r>
      <w:r>
        <w:rPr>
          <w:rFonts w:hint="eastAsia" w:ascii="宋体" w:hAnsi="宋体" w:eastAsia="宋体" w:cs="宋体"/>
          <w:spacing w:val="7"/>
          <w:sz w:val="20"/>
          <w:szCs w:val="20"/>
        </w:rPr>
        <w:t>提出工程接收证</w:t>
      </w:r>
      <w:r>
        <w:rPr>
          <w:rFonts w:hint="eastAsia" w:ascii="宋体" w:hAnsi="宋体" w:eastAsia="宋体" w:cs="宋体"/>
          <w:spacing w:val="9"/>
          <w:sz w:val="20"/>
          <w:szCs w:val="20"/>
        </w:rPr>
        <w:t>书颁发后发生的工程索赔。提出工程索赔的期限自接受最终结清证书时终止。</w:t>
      </w:r>
    </w:p>
    <w:p w14:paraId="21FFF10C">
      <w:pPr>
        <w:spacing w:before="120" w:line="360" w:lineRule="auto"/>
        <w:ind w:left="23"/>
        <w:outlineLvl w:val="2"/>
        <w:rPr>
          <w:rFonts w:hint="eastAsia" w:ascii="宋体" w:hAnsi="宋体" w:eastAsia="宋体" w:cs="宋体"/>
          <w:sz w:val="24"/>
          <w:szCs w:val="24"/>
        </w:rPr>
      </w:pPr>
      <w:bookmarkStart w:id="726" w:name="bookmark144"/>
      <w:bookmarkEnd w:id="726"/>
      <w:r>
        <w:rPr>
          <w:rFonts w:hint="eastAsia" w:ascii="宋体" w:hAnsi="宋体" w:eastAsia="宋体" w:cs="宋体"/>
          <w:spacing w:val="-1"/>
          <w:sz w:val="24"/>
          <w:szCs w:val="24"/>
        </w:rPr>
        <w:t>23.4  发包人的工程索赔</w:t>
      </w:r>
    </w:p>
    <w:p w14:paraId="43374BF8">
      <w:pPr>
        <w:spacing w:before="294" w:line="360" w:lineRule="auto"/>
        <w:ind w:left="22" w:right="68" w:firstLine="420"/>
        <w:rPr>
          <w:rFonts w:hint="eastAsia" w:ascii="宋体" w:hAnsi="宋体" w:eastAsia="宋体" w:cs="宋体"/>
          <w:sz w:val="20"/>
          <w:szCs w:val="20"/>
        </w:rPr>
      </w:pPr>
      <w:r>
        <w:rPr>
          <w:rFonts w:hint="eastAsia" w:ascii="宋体" w:hAnsi="宋体" w:eastAsia="宋体" w:cs="宋体"/>
          <w:spacing w:val="7"/>
          <w:sz w:val="20"/>
          <w:szCs w:val="20"/>
        </w:rPr>
        <w:t>23.4.1  发生工程索赔事件后，监理人应及时书</w:t>
      </w:r>
      <w:r>
        <w:rPr>
          <w:rFonts w:hint="eastAsia" w:ascii="宋体" w:hAnsi="宋体" w:eastAsia="宋体" w:cs="宋体"/>
          <w:spacing w:val="6"/>
          <w:sz w:val="20"/>
          <w:szCs w:val="20"/>
        </w:rPr>
        <w:t>面通知承包人，详细说明发包人有权得</w:t>
      </w:r>
      <w:r>
        <w:rPr>
          <w:rFonts w:hint="eastAsia" w:ascii="宋体" w:hAnsi="宋体" w:eastAsia="宋体" w:cs="宋体"/>
          <w:spacing w:val="13"/>
          <w:sz w:val="20"/>
          <w:szCs w:val="20"/>
        </w:rPr>
        <w:t>到的索赔金额和（或）延长缺陷责任期的细节和依据。发包人提出索赔</w:t>
      </w:r>
      <w:r>
        <w:rPr>
          <w:rFonts w:hint="eastAsia" w:ascii="宋体" w:hAnsi="宋体" w:eastAsia="宋体" w:cs="宋体"/>
          <w:spacing w:val="12"/>
          <w:sz w:val="20"/>
          <w:szCs w:val="20"/>
        </w:rPr>
        <w:t>的期限和要求与第</w:t>
      </w:r>
      <w:r>
        <w:rPr>
          <w:rFonts w:hint="eastAsia" w:ascii="宋体" w:hAnsi="宋体" w:eastAsia="宋体" w:cs="宋体"/>
          <w:spacing w:val="8"/>
          <w:sz w:val="20"/>
          <w:szCs w:val="20"/>
        </w:rPr>
        <w:t>23.3</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款的约定相同，延长缺陷责任期的通知应在缺陷责任期届满前发出。</w:t>
      </w:r>
    </w:p>
    <w:p w14:paraId="1C0933D2">
      <w:pPr>
        <w:spacing w:before="160" w:line="360" w:lineRule="auto"/>
        <w:ind w:left="19" w:right="70" w:firstLine="422"/>
        <w:rPr>
          <w:rFonts w:hint="eastAsia" w:ascii="宋体" w:hAnsi="宋体" w:eastAsia="宋体" w:cs="宋体"/>
          <w:sz w:val="20"/>
          <w:szCs w:val="20"/>
        </w:rPr>
      </w:pPr>
      <w:r>
        <w:rPr>
          <w:rFonts w:hint="eastAsia" w:ascii="宋体" w:hAnsi="宋体" w:eastAsia="宋体" w:cs="宋体"/>
          <w:spacing w:val="6"/>
          <w:sz w:val="20"/>
          <w:szCs w:val="20"/>
        </w:rPr>
        <w:t>23.4.2  监理人按第</w:t>
      </w:r>
      <w:r>
        <w:rPr>
          <w:rFonts w:hint="eastAsia" w:ascii="宋体" w:hAnsi="宋体" w:eastAsia="宋体" w:cs="宋体"/>
          <w:spacing w:val="-35"/>
          <w:sz w:val="20"/>
          <w:szCs w:val="20"/>
        </w:rPr>
        <w:t xml:space="preserve"> </w:t>
      </w:r>
      <w:r>
        <w:rPr>
          <w:rFonts w:hint="eastAsia" w:ascii="宋体" w:hAnsi="宋体" w:eastAsia="宋体" w:cs="宋体"/>
          <w:spacing w:val="6"/>
          <w:sz w:val="20"/>
          <w:szCs w:val="20"/>
        </w:rPr>
        <w:t>3.5</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款商定或确定发包人从承包人处得到赔付的金</w:t>
      </w:r>
      <w:r>
        <w:rPr>
          <w:rFonts w:hint="eastAsia" w:ascii="宋体" w:hAnsi="宋体" w:eastAsia="宋体" w:cs="宋体"/>
          <w:spacing w:val="5"/>
          <w:sz w:val="20"/>
          <w:szCs w:val="20"/>
        </w:rPr>
        <w:t>额和（或）缺陷</w:t>
      </w:r>
      <w:r>
        <w:rPr>
          <w:rFonts w:hint="eastAsia" w:ascii="宋体" w:hAnsi="宋体" w:eastAsia="宋体" w:cs="宋体"/>
          <w:spacing w:val="8"/>
          <w:sz w:val="20"/>
          <w:szCs w:val="20"/>
        </w:rPr>
        <w:t>责任期的延长期。承包人应付给发包人的金</w:t>
      </w:r>
      <w:r>
        <w:rPr>
          <w:rFonts w:hint="eastAsia" w:ascii="宋体" w:hAnsi="宋体" w:eastAsia="宋体" w:cs="宋体"/>
          <w:spacing w:val="7"/>
          <w:sz w:val="20"/>
          <w:szCs w:val="20"/>
        </w:rPr>
        <w:t>额可从拟支付给承包人的合同价款中扣除，或由</w:t>
      </w:r>
      <w:r>
        <w:rPr>
          <w:rFonts w:hint="eastAsia" w:ascii="宋体" w:hAnsi="宋体" w:eastAsia="宋体" w:cs="宋体"/>
          <w:spacing w:val="8"/>
          <w:sz w:val="20"/>
          <w:szCs w:val="20"/>
        </w:rPr>
        <w:t>承包人以其他方式支付给发包人。</w:t>
      </w:r>
    </w:p>
    <w:p w14:paraId="04B089E0">
      <w:pPr>
        <w:spacing w:before="291" w:line="360" w:lineRule="auto"/>
        <w:ind w:left="26"/>
        <w:outlineLvl w:val="1"/>
        <w:rPr>
          <w:rFonts w:hint="eastAsia" w:ascii="宋体" w:hAnsi="宋体" w:eastAsia="宋体" w:cs="宋体"/>
          <w:sz w:val="28"/>
          <w:szCs w:val="28"/>
        </w:rPr>
      </w:pPr>
      <w:bookmarkStart w:id="727" w:name="bookmark145"/>
      <w:bookmarkEnd w:id="727"/>
      <w:r>
        <w:rPr>
          <w:rFonts w:hint="eastAsia" w:ascii="宋体" w:hAnsi="宋体" w:eastAsia="宋体" w:cs="宋体"/>
          <w:spacing w:val="-2"/>
          <w:sz w:val="28"/>
          <w:szCs w:val="28"/>
        </w:rPr>
        <w:t>24.争议的解决</w:t>
      </w:r>
    </w:p>
    <w:p w14:paraId="240A3AF0">
      <w:pPr>
        <w:spacing w:before="78" w:line="360" w:lineRule="auto"/>
        <w:ind w:left="23"/>
        <w:outlineLvl w:val="2"/>
        <w:rPr>
          <w:rFonts w:hint="eastAsia" w:ascii="宋体" w:hAnsi="宋体" w:eastAsia="宋体" w:cs="宋体"/>
          <w:sz w:val="24"/>
          <w:szCs w:val="24"/>
        </w:rPr>
      </w:pPr>
      <w:r>
        <w:rPr>
          <w:rFonts w:hint="eastAsia" w:ascii="宋体" w:hAnsi="宋体" w:eastAsia="宋体" w:cs="宋体"/>
          <w:spacing w:val="-1"/>
          <w:sz w:val="24"/>
          <w:szCs w:val="24"/>
        </w:rPr>
        <w:t>24.1  争议的解决方式</w:t>
      </w:r>
    </w:p>
    <w:p w14:paraId="4FB24BF8">
      <w:pPr>
        <w:spacing w:before="295" w:line="360" w:lineRule="auto"/>
        <w:ind w:left="22" w:firstLine="420"/>
        <w:jc w:val="both"/>
        <w:rPr>
          <w:rFonts w:hint="eastAsia" w:ascii="宋体" w:hAnsi="宋体" w:eastAsia="宋体" w:cs="宋体"/>
          <w:sz w:val="20"/>
          <w:szCs w:val="20"/>
        </w:rPr>
      </w:pPr>
      <w:r>
        <w:rPr>
          <w:rFonts w:hint="eastAsia" w:ascii="宋体" w:hAnsi="宋体" w:eastAsia="宋体" w:cs="宋体"/>
          <w:spacing w:val="7"/>
          <w:sz w:val="20"/>
          <w:szCs w:val="20"/>
        </w:rPr>
        <w:t>发包人和承包人在履行合同中发生争议的，应通过友好协商解决，经协商不能达成一致</w:t>
      </w:r>
      <w:r>
        <w:rPr>
          <w:rFonts w:hint="eastAsia" w:ascii="宋体" w:hAnsi="宋体" w:eastAsia="宋体" w:cs="宋体"/>
          <w:spacing w:val="4"/>
          <w:sz w:val="20"/>
          <w:szCs w:val="20"/>
        </w:rPr>
        <w:t>意见的，可以提请调解人（机构）调解或争议评审委员会（或机构）评审。如不愿提请调解、</w:t>
      </w:r>
      <w:r>
        <w:rPr>
          <w:rFonts w:hint="eastAsia" w:ascii="宋体" w:hAnsi="宋体" w:eastAsia="宋体" w:cs="宋体"/>
          <w:spacing w:val="7"/>
          <w:sz w:val="20"/>
          <w:szCs w:val="20"/>
        </w:rPr>
        <w:t>争议评审，或通过调解、争议评审仍不能解决双方争议的，合同当事人可在合同条款专用部</w:t>
      </w:r>
      <w:r>
        <w:rPr>
          <w:rFonts w:hint="eastAsia" w:ascii="宋体" w:hAnsi="宋体" w:eastAsia="宋体" w:cs="宋体"/>
          <w:spacing w:val="8"/>
          <w:sz w:val="20"/>
          <w:szCs w:val="20"/>
        </w:rPr>
        <w:t>分中约定下列一种方式解决。</w:t>
      </w:r>
    </w:p>
    <w:p w14:paraId="6C7B4CFB">
      <w:pPr>
        <w:spacing w:before="1" w:line="360" w:lineRule="auto"/>
        <w:ind w:left="449"/>
        <w:rPr>
          <w:rFonts w:hint="eastAsia" w:ascii="宋体" w:hAnsi="宋体" w:eastAsia="宋体" w:cs="宋体"/>
          <w:sz w:val="20"/>
          <w:szCs w:val="20"/>
        </w:rPr>
      </w:pPr>
      <w:r>
        <w:rPr>
          <w:rFonts w:hint="eastAsia" w:ascii="宋体" w:hAnsi="宋体" w:eastAsia="宋体" w:cs="宋体"/>
          <w:spacing w:val="7"/>
          <w:sz w:val="20"/>
          <w:szCs w:val="20"/>
        </w:rPr>
        <w:t>（1）向约定的仲裁委员会申请仲裁；</w:t>
      </w:r>
    </w:p>
    <w:p w14:paraId="6E34129A">
      <w:pPr>
        <w:spacing w:before="161" w:line="360" w:lineRule="auto"/>
        <w:ind w:left="449"/>
        <w:rPr>
          <w:rFonts w:hint="eastAsia" w:ascii="宋体" w:hAnsi="宋体" w:eastAsia="宋体" w:cs="宋体"/>
          <w:sz w:val="20"/>
          <w:szCs w:val="20"/>
        </w:rPr>
      </w:pPr>
      <w:r>
        <w:rPr>
          <w:rFonts w:hint="eastAsia" w:ascii="宋体" w:hAnsi="宋体" w:eastAsia="宋体" w:cs="宋体"/>
          <w:spacing w:val="8"/>
          <w:sz w:val="20"/>
          <w:szCs w:val="20"/>
        </w:rPr>
        <w:t>（2）向有管辖权的人民法院提起诉讼。</w:t>
      </w:r>
    </w:p>
    <w:p w14:paraId="349E4F25">
      <w:pPr>
        <w:spacing w:before="164" w:line="360" w:lineRule="auto"/>
        <w:ind w:left="21" w:right="68" w:firstLine="430"/>
        <w:rPr>
          <w:rFonts w:hint="eastAsia" w:ascii="宋体" w:hAnsi="宋体" w:eastAsia="宋体" w:cs="宋体"/>
          <w:sz w:val="20"/>
          <w:szCs w:val="20"/>
        </w:rPr>
      </w:pPr>
      <w:r>
        <w:rPr>
          <w:rFonts w:hint="eastAsia" w:ascii="宋体" w:hAnsi="宋体" w:eastAsia="宋体" w:cs="宋体"/>
          <w:spacing w:val="7"/>
          <w:sz w:val="20"/>
          <w:szCs w:val="20"/>
        </w:rPr>
        <w:t>除因发包人或承包人违约引起合同已无法继续履行，或双方协商确定停止施工或合同已</w:t>
      </w:r>
      <w:r>
        <w:rPr>
          <w:rFonts w:hint="eastAsia" w:ascii="宋体" w:hAnsi="宋体" w:eastAsia="宋体" w:cs="宋体"/>
          <w:spacing w:val="9"/>
          <w:sz w:val="20"/>
          <w:szCs w:val="20"/>
        </w:rPr>
        <w:t>经解除外，发包人和承包人在争议发生后应继续履行合同工程，直至争议解决。</w:t>
      </w:r>
    </w:p>
    <w:p w14:paraId="4F7C55D2">
      <w:pPr>
        <w:spacing w:before="121" w:line="360" w:lineRule="auto"/>
        <w:ind w:left="23"/>
        <w:outlineLvl w:val="2"/>
        <w:rPr>
          <w:rFonts w:hint="eastAsia" w:ascii="宋体" w:hAnsi="宋体" w:eastAsia="宋体" w:cs="宋体"/>
          <w:sz w:val="24"/>
          <w:szCs w:val="24"/>
        </w:rPr>
      </w:pPr>
      <w:bookmarkStart w:id="728" w:name="bookmark146"/>
      <w:bookmarkEnd w:id="728"/>
      <w:r>
        <w:rPr>
          <w:rFonts w:hint="eastAsia" w:ascii="宋体" w:hAnsi="宋体" w:eastAsia="宋体" w:cs="宋体"/>
          <w:spacing w:val="-4"/>
          <w:sz w:val="24"/>
          <w:szCs w:val="24"/>
        </w:rPr>
        <w:t>24.2</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和解</w:t>
      </w:r>
    </w:p>
    <w:p w14:paraId="0E8897E8">
      <w:pPr>
        <w:spacing w:before="298" w:line="360" w:lineRule="auto"/>
        <w:ind w:left="19" w:right="68" w:firstLine="423"/>
        <w:jc w:val="both"/>
        <w:rPr>
          <w:rFonts w:hint="eastAsia" w:ascii="宋体" w:hAnsi="宋体" w:eastAsia="宋体" w:cs="宋体"/>
          <w:sz w:val="20"/>
          <w:szCs w:val="20"/>
        </w:rPr>
      </w:pPr>
      <w:r>
        <w:rPr>
          <w:rFonts w:hint="eastAsia" w:ascii="宋体" w:hAnsi="宋体" w:eastAsia="宋体" w:cs="宋体"/>
          <w:spacing w:val="7"/>
          <w:sz w:val="20"/>
          <w:szCs w:val="20"/>
        </w:rPr>
        <w:t>发包人和承包人在履行合同中发生争议的，应通过友好协商解决，并在协商一致后签订</w:t>
      </w:r>
      <w:r>
        <w:rPr>
          <w:rFonts w:hint="eastAsia" w:ascii="宋体" w:hAnsi="宋体" w:eastAsia="宋体" w:cs="宋体"/>
          <w:spacing w:val="8"/>
          <w:sz w:val="20"/>
          <w:szCs w:val="20"/>
        </w:rPr>
        <w:t>相关的补充（和解）协议，所签订的补充（和解）</w:t>
      </w:r>
      <w:r>
        <w:rPr>
          <w:rFonts w:hint="eastAsia" w:ascii="宋体" w:hAnsi="宋体" w:eastAsia="宋体" w:cs="宋体"/>
          <w:spacing w:val="7"/>
          <w:sz w:val="20"/>
          <w:szCs w:val="20"/>
        </w:rPr>
        <w:t>协议作为合同补充文件，对合同双方均具</w:t>
      </w:r>
      <w:r>
        <w:rPr>
          <w:rFonts w:hint="eastAsia" w:ascii="宋体" w:hAnsi="宋体" w:eastAsia="宋体" w:cs="宋体"/>
          <w:spacing w:val="8"/>
          <w:sz w:val="20"/>
          <w:szCs w:val="20"/>
        </w:rPr>
        <w:t>有约束力，合同双方都应遵守执行。</w:t>
      </w:r>
    </w:p>
    <w:p w14:paraId="05246B51">
      <w:pPr>
        <w:spacing w:before="122" w:line="360" w:lineRule="auto"/>
        <w:ind w:left="23"/>
        <w:outlineLvl w:val="2"/>
        <w:rPr>
          <w:rFonts w:hint="eastAsia" w:ascii="宋体" w:hAnsi="宋体" w:eastAsia="宋体" w:cs="宋体"/>
          <w:sz w:val="24"/>
          <w:szCs w:val="24"/>
        </w:rPr>
      </w:pPr>
      <w:bookmarkStart w:id="729" w:name="bookmark147"/>
      <w:bookmarkEnd w:id="729"/>
      <w:r>
        <w:rPr>
          <w:rFonts w:hint="eastAsia" w:ascii="宋体" w:hAnsi="宋体" w:eastAsia="宋体" w:cs="宋体"/>
          <w:spacing w:val="-4"/>
          <w:sz w:val="24"/>
          <w:szCs w:val="24"/>
        </w:rPr>
        <w:t>24.3</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争议评审</w:t>
      </w:r>
    </w:p>
    <w:p w14:paraId="05537328">
      <w:pPr>
        <w:spacing w:before="297" w:line="360" w:lineRule="auto"/>
        <w:ind w:left="24" w:right="70" w:firstLine="418"/>
        <w:rPr>
          <w:rFonts w:hint="eastAsia" w:ascii="宋体" w:hAnsi="宋体" w:eastAsia="宋体" w:cs="宋体"/>
          <w:sz w:val="20"/>
          <w:szCs w:val="20"/>
        </w:rPr>
      </w:pPr>
      <w:r>
        <w:rPr>
          <w:rFonts w:hint="eastAsia" w:ascii="宋体" w:hAnsi="宋体" w:eastAsia="宋体" w:cs="宋体"/>
          <w:spacing w:val="7"/>
          <w:sz w:val="20"/>
          <w:szCs w:val="20"/>
        </w:rPr>
        <w:t>24.3.1  采用争议评审方式解决争议的，发包人</w:t>
      </w:r>
      <w:r>
        <w:rPr>
          <w:rFonts w:hint="eastAsia" w:ascii="宋体" w:hAnsi="宋体" w:eastAsia="宋体" w:cs="宋体"/>
          <w:spacing w:val="6"/>
          <w:sz w:val="20"/>
          <w:szCs w:val="20"/>
        </w:rPr>
        <w:t>和承包人应在合同履行过程中共同确定</w:t>
      </w:r>
      <w:r>
        <w:rPr>
          <w:rFonts w:hint="eastAsia" w:ascii="宋体" w:hAnsi="宋体" w:eastAsia="宋体" w:cs="宋体"/>
          <w:spacing w:val="9"/>
          <w:sz w:val="20"/>
          <w:szCs w:val="20"/>
        </w:rPr>
        <w:t>争议评审委员会（或机构）的选择形式、人员构成和数量。</w:t>
      </w:r>
    </w:p>
    <w:p w14:paraId="66D86F30">
      <w:pPr>
        <w:spacing w:before="162" w:line="360" w:lineRule="auto"/>
        <w:ind w:left="20" w:right="68" w:firstLine="421"/>
        <w:rPr>
          <w:rFonts w:hint="eastAsia" w:ascii="宋体" w:hAnsi="宋体" w:eastAsia="宋体" w:cs="宋体"/>
          <w:sz w:val="20"/>
          <w:szCs w:val="20"/>
        </w:rPr>
      </w:pPr>
      <w:r>
        <w:rPr>
          <w:rFonts w:hint="eastAsia" w:ascii="宋体" w:hAnsi="宋体" w:eastAsia="宋体" w:cs="宋体"/>
          <w:spacing w:val="7"/>
          <w:sz w:val="20"/>
          <w:szCs w:val="20"/>
        </w:rPr>
        <w:t>24.3.2  合同双方或任一方提出争议的，应在争</w:t>
      </w:r>
      <w:r>
        <w:rPr>
          <w:rFonts w:hint="eastAsia" w:ascii="宋体" w:hAnsi="宋体" w:eastAsia="宋体" w:cs="宋体"/>
          <w:spacing w:val="6"/>
          <w:sz w:val="20"/>
          <w:szCs w:val="20"/>
        </w:rPr>
        <w:t>议评审委员会（或机构）确定后，由合</w:t>
      </w:r>
      <w:r>
        <w:rPr>
          <w:rFonts w:hint="eastAsia" w:ascii="宋体" w:hAnsi="宋体" w:eastAsia="宋体" w:cs="宋体"/>
          <w:spacing w:val="10"/>
          <w:sz w:val="20"/>
          <w:szCs w:val="20"/>
        </w:rPr>
        <w:t>同双方共同将与争议事项相关的工程资料以书面形式提供给争议评审委</w:t>
      </w:r>
      <w:r>
        <w:rPr>
          <w:rFonts w:hint="eastAsia" w:ascii="宋体" w:hAnsi="宋体" w:eastAsia="宋体" w:cs="宋体"/>
          <w:spacing w:val="9"/>
          <w:sz w:val="20"/>
          <w:szCs w:val="20"/>
        </w:rPr>
        <w:t>员会（或机构</w:t>
      </w:r>
      <w:r>
        <w:rPr>
          <w:rFonts w:hint="eastAsia" w:ascii="宋体" w:hAnsi="宋体" w:eastAsia="宋体" w:cs="宋体"/>
          <w:spacing w:val="-36"/>
          <w:sz w:val="20"/>
          <w:szCs w:val="20"/>
        </w:rPr>
        <w:t>），</w:t>
      </w:r>
      <w:r>
        <w:rPr>
          <w:rFonts w:hint="eastAsia" w:ascii="宋体" w:hAnsi="宋体" w:eastAsia="宋体" w:cs="宋体"/>
          <w:spacing w:val="9"/>
          <w:sz w:val="20"/>
          <w:szCs w:val="20"/>
        </w:rPr>
        <w:t>或</w:t>
      </w:r>
      <w:r>
        <w:rPr>
          <w:rFonts w:hint="eastAsia" w:ascii="宋体" w:hAnsi="宋体" w:eastAsia="宋体" w:cs="宋体"/>
          <w:spacing w:val="13"/>
          <w:sz w:val="20"/>
          <w:szCs w:val="20"/>
        </w:rPr>
        <w:t>提出相关争议的一方将争议事项相关的工程资料以书面形式提供给争议评审</w:t>
      </w:r>
      <w:r>
        <w:rPr>
          <w:rFonts w:hint="eastAsia" w:ascii="宋体" w:hAnsi="宋体" w:eastAsia="宋体" w:cs="宋体"/>
          <w:spacing w:val="12"/>
          <w:sz w:val="20"/>
          <w:szCs w:val="20"/>
        </w:rPr>
        <w:t>委员会（或机</w:t>
      </w:r>
      <w:r>
        <w:rPr>
          <w:rFonts w:hint="eastAsia" w:ascii="宋体" w:hAnsi="宋体" w:eastAsia="宋体" w:cs="宋体"/>
          <w:spacing w:val="6"/>
          <w:sz w:val="20"/>
          <w:szCs w:val="20"/>
        </w:rPr>
        <w:t>构</w:t>
      </w:r>
      <w:r>
        <w:rPr>
          <w:rFonts w:hint="eastAsia" w:ascii="宋体" w:hAnsi="宋体" w:eastAsia="宋体" w:cs="宋体"/>
          <w:spacing w:val="-25"/>
          <w:sz w:val="20"/>
          <w:szCs w:val="20"/>
        </w:rPr>
        <w:t>），</w:t>
      </w:r>
      <w:r>
        <w:rPr>
          <w:rFonts w:hint="eastAsia" w:ascii="宋体" w:hAnsi="宋体" w:eastAsia="宋体" w:cs="宋体"/>
          <w:spacing w:val="6"/>
          <w:sz w:val="20"/>
          <w:szCs w:val="20"/>
        </w:rPr>
        <w:t>同时提供一份给合同的另一方。</w:t>
      </w:r>
    </w:p>
    <w:p w14:paraId="7CA3240D">
      <w:pPr>
        <w:spacing w:before="160" w:line="360" w:lineRule="auto"/>
        <w:ind w:left="19" w:right="183" w:firstLine="422"/>
        <w:rPr>
          <w:rFonts w:hint="eastAsia" w:ascii="宋体" w:hAnsi="宋体" w:eastAsia="宋体" w:cs="宋体"/>
          <w:sz w:val="20"/>
          <w:szCs w:val="20"/>
        </w:rPr>
      </w:pPr>
      <w:r>
        <w:rPr>
          <w:rFonts w:hint="eastAsia" w:ascii="宋体" w:hAnsi="宋体" w:eastAsia="宋体" w:cs="宋体"/>
          <w:spacing w:val="7"/>
          <w:sz w:val="20"/>
          <w:szCs w:val="20"/>
        </w:rPr>
        <w:t>24.3.3  争议评审委员会（或机构）应在收到争</w:t>
      </w:r>
      <w:r>
        <w:rPr>
          <w:rFonts w:hint="eastAsia" w:ascii="宋体" w:hAnsi="宋体" w:eastAsia="宋体" w:cs="宋体"/>
          <w:spacing w:val="6"/>
          <w:sz w:val="20"/>
          <w:szCs w:val="20"/>
        </w:rPr>
        <w:t>议事项文件资料后，全面了解争议事项</w:t>
      </w:r>
      <w:r>
        <w:rPr>
          <w:rFonts w:hint="eastAsia" w:ascii="宋体" w:hAnsi="宋体" w:eastAsia="宋体" w:cs="宋体"/>
          <w:spacing w:val="8"/>
          <w:sz w:val="20"/>
          <w:szCs w:val="20"/>
        </w:rPr>
        <w:t>的发生实情，并在收到争议事项文件资料后</w:t>
      </w:r>
      <w:r>
        <w:rPr>
          <w:rFonts w:hint="eastAsia" w:ascii="宋体" w:hAnsi="宋体" w:eastAsia="宋体" w:cs="宋体"/>
          <w:spacing w:val="7"/>
          <w:sz w:val="20"/>
          <w:szCs w:val="20"/>
        </w:rPr>
        <w:t>的约定时间内将争议处理意见以书面形式同时提</w:t>
      </w:r>
      <w:r>
        <w:rPr>
          <w:rFonts w:hint="eastAsia" w:ascii="宋体" w:hAnsi="宋体" w:eastAsia="宋体" w:cs="宋体"/>
          <w:spacing w:val="9"/>
          <w:sz w:val="20"/>
          <w:szCs w:val="20"/>
        </w:rPr>
        <w:t>供给合同双方，包括相关的详细说明和依据。</w:t>
      </w:r>
    </w:p>
    <w:p w14:paraId="57EBE4ED">
      <w:pPr>
        <w:spacing w:before="162" w:line="360" w:lineRule="auto"/>
        <w:ind w:left="19" w:right="183" w:firstLine="423"/>
        <w:rPr>
          <w:rFonts w:hint="eastAsia" w:ascii="宋体" w:hAnsi="宋体" w:eastAsia="宋体" w:cs="宋体"/>
          <w:sz w:val="20"/>
          <w:szCs w:val="20"/>
        </w:rPr>
      </w:pPr>
      <w:r>
        <w:rPr>
          <w:rFonts w:hint="eastAsia" w:ascii="宋体" w:hAnsi="宋体" w:eastAsia="宋体" w:cs="宋体"/>
          <w:spacing w:val="7"/>
          <w:sz w:val="20"/>
          <w:szCs w:val="20"/>
        </w:rPr>
        <w:t>24.3.4  如合同双方中的任一方对争议评审委员</w:t>
      </w:r>
      <w:r>
        <w:rPr>
          <w:rFonts w:hint="eastAsia" w:ascii="宋体" w:hAnsi="宋体" w:eastAsia="宋体" w:cs="宋体"/>
          <w:spacing w:val="6"/>
          <w:sz w:val="20"/>
          <w:szCs w:val="20"/>
        </w:rPr>
        <w:t>会（或机构）的意见提出异议的，提出</w:t>
      </w:r>
      <w:r>
        <w:rPr>
          <w:rFonts w:hint="eastAsia" w:ascii="宋体" w:hAnsi="宋体" w:eastAsia="宋体" w:cs="宋体"/>
          <w:spacing w:val="8"/>
          <w:sz w:val="20"/>
          <w:szCs w:val="20"/>
        </w:rPr>
        <w:t>异议的一方应在收到争议评审委员会（或机构</w:t>
      </w:r>
      <w:r>
        <w:rPr>
          <w:rFonts w:hint="eastAsia" w:ascii="宋体" w:hAnsi="宋体" w:eastAsia="宋体" w:cs="宋体"/>
          <w:spacing w:val="7"/>
          <w:sz w:val="20"/>
          <w:szCs w:val="20"/>
        </w:rPr>
        <w:t>）的意见后的规定时间内，将不认可理由的函</w:t>
      </w:r>
      <w:r>
        <w:rPr>
          <w:rFonts w:hint="eastAsia" w:ascii="宋体" w:hAnsi="宋体" w:eastAsia="宋体" w:cs="宋体"/>
          <w:spacing w:val="10"/>
          <w:sz w:val="20"/>
          <w:szCs w:val="20"/>
        </w:rPr>
        <w:t>件以书面形式提供给争议评审委员会（或机构</w:t>
      </w:r>
      <w:r>
        <w:rPr>
          <w:rFonts w:hint="eastAsia" w:ascii="宋体" w:hAnsi="宋体" w:eastAsia="宋体" w:cs="宋体"/>
          <w:spacing w:val="-35"/>
          <w:sz w:val="20"/>
          <w:szCs w:val="20"/>
        </w:rPr>
        <w:t>），</w:t>
      </w:r>
      <w:r>
        <w:rPr>
          <w:rFonts w:hint="eastAsia" w:ascii="宋体" w:hAnsi="宋体" w:eastAsia="宋体" w:cs="宋体"/>
          <w:spacing w:val="10"/>
          <w:sz w:val="20"/>
          <w:szCs w:val="20"/>
        </w:rPr>
        <w:t>并同时抄送一份给</w:t>
      </w:r>
      <w:r>
        <w:rPr>
          <w:rFonts w:hint="eastAsia" w:ascii="宋体" w:hAnsi="宋体" w:eastAsia="宋体" w:cs="宋体"/>
          <w:spacing w:val="9"/>
          <w:sz w:val="20"/>
          <w:szCs w:val="20"/>
        </w:rPr>
        <w:t>合同的另一方，包括相</w:t>
      </w:r>
      <w:r>
        <w:rPr>
          <w:rFonts w:hint="eastAsia" w:ascii="宋体" w:hAnsi="宋体" w:eastAsia="宋体" w:cs="宋体"/>
          <w:spacing w:val="8"/>
          <w:sz w:val="20"/>
          <w:szCs w:val="20"/>
        </w:rPr>
        <w:t>关说明、依据及补充提供的支持性资料。争议</w:t>
      </w:r>
      <w:r>
        <w:rPr>
          <w:rFonts w:hint="eastAsia" w:ascii="宋体" w:hAnsi="宋体" w:eastAsia="宋体" w:cs="宋体"/>
          <w:spacing w:val="7"/>
          <w:sz w:val="20"/>
          <w:szCs w:val="20"/>
        </w:rPr>
        <w:t>评审委员会（或机构）复查后，将维持原意见</w:t>
      </w:r>
      <w:r>
        <w:rPr>
          <w:rFonts w:hint="eastAsia" w:ascii="宋体" w:hAnsi="宋体" w:eastAsia="宋体" w:cs="宋体"/>
          <w:spacing w:val="9"/>
          <w:sz w:val="20"/>
          <w:szCs w:val="20"/>
        </w:rPr>
        <w:t>或修改意见的理由及决定以书面形式同时提供给合同双方。</w:t>
      </w:r>
    </w:p>
    <w:p w14:paraId="4E91E6D0">
      <w:pPr>
        <w:spacing w:before="161" w:line="360" w:lineRule="auto"/>
        <w:ind w:left="22" w:right="181" w:firstLine="420"/>
        <w:rPr>
          <w:rFonts w:hint="eastAsia" w:ascii="宋体" w:hAnsi="宋体" w:eastAsia="宋体" w:cs="宋体"/>
          <w:sz w:val="20"/>
          <w:szCs w:val="20"/>
        </w:rPr>
      </w:pPr>
      <w:r>
        <w:rPr>
          <w:rFonts w:hint="eastAsia" w:ascii="宋体" w:hAnsi="宋体" w:eastAsia="宋体" w:cs="宋体"/>
          <w:spacing w:val="7"/>
          <w:sz w:val="20"/>
          <w:szCs w:val="20"/>
        </w:rPr>
        <w:t>24.3.5  如合同双方对争议评审委员会（或机构</w:t>
      </w:r>
      <w:r>
        <w:rPr>
          <w:rFonts w:hint="eastAsia" w:ascii="宋体" w:hAnsi="宋体" w:eastAsia="宋体" w:cs="宋体"/>
          <w:spacing w:val="6"/>
          <w:sz w:val="20"/>
          <w:szCs w:val="20"/>
        </w:rPr>
        <w:t>）提出的争议解决意见或修改意见没有</w:t>
      </w:r>
      <w:r>
        <w:rPr>
          <w:rFonts w:hint="eastAsia" w:ascii="宋体" w:hAnsi="宋体" w:eastAsia="宋体" w:cs="宋体"/>
          <w:spacing w:val="8"/>
          <w:sz w:val="20"/>
          <w:szCs w:val="20"/>
        </w:rPr>
        <w:t>异议的，合同双方应以书面形式签署确认，</w:t>
      </w:r>
      <w:r>
        <w:rPr>
          <w:rFonts w:hint="eastAsia" w:ascii="宋体" w:hAnsi="宋体" w:eastAsia="宋体" w:cs="宋体"/>
          <w:spacing w:val="7"/>
          <w:sz w:val="20"/>
          <w:szCs w:val="20"/>
        </w:rPr>
        <w:t>作为相关争议的和解协议，对合同双方应均具有</w:t>
      </w:r>
      <w:r>
        <w:rPr>
          <w:rFonts w:hint="eastAsia" w:ascii="宋体" w:hAnsi="宋体" w:eastAsia="宋体" w:cs="宋体"/>
          <w:spacing w:val="8"/>
          <w:sz w:val="20"/>
          <w:szCs w:val="20"/>
        </w:rPr>
        <w:t>约束力，合同双方都应遵守执行。</w:t>
      </w:r>
    </w:p>
    <w:p w14:paraId="358D1F8E">
      <w:pPr>
        <w:spacing w:before="159" w:line="360" w:lineRule="auto"/>
        <w:ind w:left="25" w:right="183" w:firstLine="416"/>
        <w:rPr>
          <w:rFonts w:hint="eastAsia" w:ascii="宋体" w:hAnsi="宋体" w:eastAsia="宋体" w:cs="宋体"/>
          <w:sz w:val="20"/>
          <w:szCs w:val="20"/>
        </w:rPr>
      </w:pPr>
      <w:r>
        <w:rPr>
          <w:rFonts w:hint="eastAsia" w:ascii="宋体" w:hAnsi="宋体" w:eastAsia="宋体" w:cs="宋体"/>
          <w:spacing w:val="7"/>
          <w:sz w:val="20"/>
          <w:szCs w:val="20"/>
        </w:rPr>
        <w:t>24.3.6  如合同双方中的任一方对争议评审委员</w:t>
      </w:r>
      <w:r>
        <w:rPr>
          <w:rFonts w:hint="eastAsia" w:ascii="宋体" w:hAnsi="宋体" w:eastAsia="宋体" w:cs="宋体"/>
          <w:spacing w:val="6"/>
          <w:sz w:val="20"/>
          <w:szCs w:val="20"/>
        </w:rPr>
        <w:t>会（或机构）的处理意见有异议，处理</w:t>
      </w:r>
      <w:r>
        <w:rPr>
          <w:rFonts w:hint="eastAsia" w:ascii="宋体" w:hAnsi="宋体" w:eastAsia="宋体" w:cs="宋体"/>
          <w:spacing w:val="8"/>
          <w:sz w:val="20"/>
          <w:szCs w:val="20"/>
        </w:rPr>
        <w:t>意见对合同双方不具有约束力。</w:t>
      </w:r>
    </w:p>
    <w:p w14:paraId="2A638BD0">
      <w:pPr>
        <w:spacing w:before="285" w:line="360" w:lineRule="auto"/>
        <w:ind w:left="23"/>
        <w:outlineLvl w:val="2"/>
        <w:rPr>
          <w:rFonts w:hint="eastAsia" w:ascii="宋体" w:hAnsi="宋体" w:eastAsia="宋体" w:cs="宋体"/>
          <w:sz w:val="24"/>
          <w:szCs w:val="24"/>
        </w:rPr>
      </w:pPr>
      <w:bookmarkStart w:id="730" w:name="bookmark148"/>
      <w:bookmarkEnd w:id="730"/>
      <w:r>
        <w:rPr>
          <w:rFonts w:hint="eastAsia" w:ascii="宋体" w:hAnsi="宋体" w:eastAsia="宋体" w:cs="宋体"/>
          <w:spacing w:val="-4"/>
          <w:sz w:val="24"/>
          <w:szCs w:val="24"/>
        </w:rPr>
        <w:t>24.4</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调解</w:t>
      </w:r>
    </w:p>
    <w:p w14:paraId="4ABABEAA">
      <w:pPr>
        <w:spacing w:before="298" w:line="360" w:lineRule="auto"/>
        <w:ind w:left="19" w:right="181" w:firstLine="423"/>
        <w:rPr>
          <w:rFonts w:hint="eastAsia" w:ascii="宋体" w:hAnsi="宋体" w:eastAsia="宋体" w:cs="宋体"/>
          <w:sz w:val="20"/>
          <w:szCs w:val="20"/>
        </w:rPr>
      </w:pPr>
      <w:r>
        <w:rPr>
          <w:rFonts w:hint="eastAsia" w:ascii="宋体" w:hAnsi="宋体" w:eastAsia="宋体" w:cs="宋体"/>
          <w:spacing w:val="7"/>
          <w:sz w:val="20"/>
          <w:szCs w:val="20"/>
        </w:rPr>
        <w:t>24.4.1  采用调解方式解决合同履行过程中发生争议</w:t>
      </w:r>
      <w:r>
        <w:rPr>
          <w:rFonts w:hint="eastAsia" w:ascii="宋体" w:hAnsi="宋体" w:eastAsia="宋体" w:cs="宋体"/>
          <w:spacing w:val="6"/>
          <w:sz w:val="20"/>
          <w:szCs w:val="20"/>
        </w:rPr>
        <w:t>事项的，应在合同履行过程中双方</w:t>
      </w:r>
      <w:r>
        <w:rPr>
          <w:rFonts w:hint="eastAsia" w:ascii="宋体" w:hAnsi="宋体" w:eastAsia="宋体" w:cs="宋体"/>
          <w:spacing w:val="10"/>
          <w:sz w:val="20"/>
          <w:szCs w:val="20"/>
        </w:rPr>
        <w:t>共同选择、确定具有调解能力的调解人（或机构</w:t>
      </w:r>
      <w:r>
        <w:rPr>
          <w:rFonts w:hint="eastAsia" w:ascii="宋体" w:hAnsi="宋体" w:eastAsia="宋体" w:cs="宋体"/>
          <w:spacing w:val="-34"/>
          <w:sz w:val="20"/>
          <w:szCs w:val="20"/>
        </w:rPr>
        <w:t>），</w:t>
      </w:r>
      <w:r>
        <w:rPr>
          <w:rFonts w:hint="eastAsia" w:ascii="宋体" w:hAnsi="宋体" w:eastAsia="宋体" w:cs="宋体"/>
          <w:spacing w:val="10"/>
          <w:sz w:val="20"/>
          <w:szCs w:val="20"/>
        </w:rPr>
        <w:t>负责双方在合</w:t>
      </w:r>
      <w:r>
        <w:rPr>
          <w:rFonts w:hint="eastAsia" w:ascii="宋体" w:hAnsi="宋体" w:eastAsia="宋体" w:cs="宋体"/>
          <w:spacing w:val="9"/>
          <w:sz w:val="20"/>
          <w:szCs w:val="20"/>
        </w:rPr>
        <w:t>同履行过程中发生争议事</w:t>
      </w:r>
      <w:r>
        <w:rPr>
          <w:rFonts w:hint="eastAsia" w:ascii="宋体" w:hAnsi="宋体" w:eastAsia="宋体" w:cs="宋体"/>
          <w:spacing w:val="6"/>
          <w:sz w:val="20"/>
          <w:szCs w:val="20"/>
        </w:rPr>
        <w:t>项的调解。</w:t>
      </w:r>
    </w:p>
    <w:p w14:paraId="03FAE356">
      <w:pPr>
        <w:spacing w:before="159" w:line="360" w:lineRule="auto"/>
        <w:ind w:left="20" w:right="181" w:firstLine="421"/>
        <w:rPr>
          <w:rFonts w:hint="eastAsia" w:ascii="宋体" w:hAnsi="宋体" w:eastAsia="宋体" w:cs="宋体"/>
          <w:sz w:val="20"/>
          <w:szCs w:val="20"/>
        </w:rPr>
      </w:pPr>
      <w:r>
        <w:rPr>
          <w:rFonts w:hint="eastAsia" w:ascii="宋体" w:hAnsi="宋体" w:eastAsia="宋体" w:cs="宋体"/>
          <w:spacing w:val="7"/>
          <w:sz w:val="20"/>
          <w:szCs w:val="20"/>
        </w:rPr>
        <w:t>24.4.2  合同双方发生争议解决事项时，提出争</w:t>
      </w:r>
      <w:r>
        <w:rPr>
          <w:rFonts w:hint="eastAsia" w:ascii="宋体" w:hAnsi="宋体" w:eastAsia="宋体" w:cs="宋体"/>
          <w:spacing w:val="6"/>
          <w:sz w:val="20"/>
          <w:szCs w:val="20"/>
        </w:rPr>
        <w:t>议合理解决的任一方应将相关争议事项</w:t>
      </w:r>
      <w:r>
        <w:rPr>
          <w:rFonts w:hint="eastAsia" w:ascii="宋体" w:hAnsi="宋体" w:eastAsia="宋体" w:cs="宋体"/>
          <w:spacing w:val="10"/>
          <w:sz w:val="20"/>
          <w:szCs w:val="20"/>
        </w:rPr>
        <w:t>的所有文件、工程指令等以书面形式提交调解人（或机构</w:t>
      </w:r>
      <w:r>
        <w:rPr>
          <w:rFonts w:hint="eastAsia" w:ascii="宋体" w:hAnsi="宋体" w:eastAsia="宋体" w:cs="宋体"/>
          <w:spacing w:val="-34"/>
          <w:sz w:val="20"/>
          <w:szCs w:val="20"/>
        </w:rPr>
        <w:t>），</w:t>
      </w:r>
      <w:r>
        <w:rPr>
          <w:rFonts w:hint="eastAsia" w:ascii="宋体" w:hAnsi="宋体" w:eastAsia="宋体" w:cs="宋体"/>
          <w:spacing w:val="10"/>
          <w:sz w:val="20"/>
          <w:szCs w:val="20"/>
        </w:rPr>
        <w:t>并</w:t>
      </w:r>
      <w:r>
        <w:rPr>
          <w:rFonts w:hint="eastAsia" w:ascii="宋体" w:hAnsi="宋体" w:eastAsia="宋体" w:cs="宋体"/>
          <w:spacing w:val="9"/>
          <w:sz w:val="20"/>
          <w:szCs w:val="20"/>
        </w:rPr>
        <w:t>书面抄送一份给合同的另一</w:t>
      </w:r>
      <w:r>
        <w:rPr>
          <w:rFonts w:hint="eastAsia" w:ascii="宋体" w:hAnsi="宋体" w:eastAsia="宋体" w:cs="宋体"/>
          <w:spacing w:val="8"/>
          <w:sz w:val="20"/>
          <w:szCs w:val="20"/>
        </w:rPr>
        <w:t>方，委托调解人（或机构）进行调解。</w:t>
      </w:r>
    </w:p>
    <w:p w14:paraId="75F33F33">
      <w:pPr>
        <w:spacing w:before="160" w:line="360" w:lineRule="auto"/>
        <w:ind w:left="19" w:right="180" w:firstLine="423"/>
        <w:rPr>
          <w:rFonts w:hint="eastAsia" w:ascii="宋体" w:hAnsi="宋体" w:eastAsia="宋体" w:cs="宋体"/>
          <w:sz w:val="20"/>
          <w:szCs w:val="20"/>
        </w:rPr>
      </w:pPr>
      <w:r>
        <w:rPr>
          <w:rFonts w:hint="eastAsia" w:ascii="宋体" w:hAnsi="宋体" w:eastAsia="宋体" w:cs="宋体"/>
          <w:spacing w:val="7"/>
          <w:sz w:val="20"/>
          <w:szCs w:val="20"/>
        </w:rPr>
        <w:t>24.4.3  合同双方应按照调解人（或机构）提出的要</w:t>
      </w:r>
      <w:r>
        <w:rPr>
          <w:rFonts w:hint="eastAsia" w:ascii="宋体" w:hAnsi="宋体" w:eastAsia="宋体" w:cs="宋体"/>
          <w:spacing w:val="6"/>
          <w:sz w:val="20"/>
          <w:szCs w:val="20"/>
        </w:rPr>
        <w:t>求，提供其所需要的资料、进入现</w:t>
      </w:r>
      <w:r>
        <w:rPr>
          <w:rFonts w:hint="eastAsia" w:ascii="宋体" w:hAnsi="宋体" w:eastAsia="宋体" w:cs="宋体"/>
          <w:spacing w:val="8"/>
          <w:sz w:val="20"/>
          <w:szCs w:val="20"/>
        </w:rPr>
        <w:t>场的权利及相应工作设施条件。</w:t>
      </w:r>
    </w:p>
    <w:p w14:paraId="5C47F127">
      <w:pPr>
        <w:spacing w:before="163" w:line="360" w:lineRule="auto"/>
        <w:ind w:left="31" w:right="127" w:firstLine="411"/>
        <w:rPr>
          <w:rFonts w:hint="eastAsia" w:ascii="宋体" w:hAnsi="宋体" w:eastAsia="宋体" w:cs="宋体"/>
          <w:sz w:val="20"/>
          <w:szCs w:val="20"/>
        </w:rPr>
      </w:pPr>
      <w:r>
        <w:rPr>
          <w:rFonts w:hint="eastAsia" w:ascii="宋体" w:hAnsi="宋体" w:eastAsia="宋体" w:cs="宋体"/>
          <w:spacing w:val="3"/>
          <w:sz w:val="20"/>
          <w:szCs w:val="20"/>
        </w:rPr>
        <w:t>24.4.4  调解人（或机构）收到争议事项文件资料后，应全面了解争议事项的发生实情，</w:t>
      </w:r>
      <w:r>
        <w:rPr>
          <w:rFonts w:hint="eastAsia" w:ascii="宋体" w:hAnsi="宋体" w:eastAsia="宋体" w:cs="宋体"/>
          <w:spacing w:val="7"/>
          <w:sz w:val="20"/>
          <w:szCs w:val="20"/>
        </w:rPr>
        <w:t>听取合同双方的意见及协调双方的主张，并在收到争议事项文件资料后的约定时间内将自身</w:t>
      </w:r>
      <w:r>
        <w:rPr>
          <w:rFonts w:hint="eastAsia" w:ascii="宋体" w:hAnsi="宋体" w:eastAsia="宋体" w:cs="宋体"/>
          <w:spacing w:val="9"/>
          <w:sz w:val="20"/>
          <w:szCs w:val="20"/>
        </w:rPr>
        <w:t>的争议处理意见以书面形式提供给合同双方，包括相关的详细说明和依据。</w:t>
      </w:r>
    </w:p>
    <w:p w14:paraId="29D2B721">
      <w:pPr>
        <w:spacing w:before="163" w:line="360" w:lineRule="auto"/>
        <w:ind w:left="19" w:right="181" w:firstLine="423"/>
        <w:rPr>
          <w:rFonts w:hint="eastAsia" w:ascii="宋体" w:hAnsi="宋体" w:eastAsia="宋体" w:cs="宋体"/>
          <w:color w:val="auto"/>
          <w:sz w:val="20"/>
          <w:szCs w:val="20"/>
        </w:rPr>
      </w:pPr>
      <w:r>
        <w:rPr>
          <w:rFonts w:hint="eastAsia" w:ascii="宋体" w:hAnsi="宋体" w:eastAsia="宋体" w:cs="宋体"/>
          <w:spacing w:val="7"/>
          <w:sz w:val="20"/>
          <w:szCs w:val="20"/>
        </w:rPr>
        <w:t>24.4.5  如合同双方中的任一方不认可调解人（或机</w:t>
      </w:r>
      <w:r>
        <w:rPr>
          <w:rFonts w:hint="eastAsia" w:ascii="宋体" w:hAnsi="宋体" w:eastAsia="宋体" w:cs="宋体"/>
          <w:spacing w:val="6"/>
          <w:sz w:val="20"/>
          <w:szCs w:val="20"/>
        </w:rPr>
        <w:t>构）的决定，提出异议的一方应在</w:t>
      </w:r>
      <w:r>
        <w:rPr>
          <w:rFonts w:hint="eastAsia" w:ascii="宋体" w:hAnsi="宋体" w:eastAsia="宋体" w:cs="宋体"/>
          <w:spacing w:val="10"/>
          <w:sz w:val="20"/>
          <w:szCs w:val="20"/>
        </w:rPr>
        <w:t>收到调解人（或机构）的决定后,在规定的时间内将不认可理由的函件以书面形式提交给调解人（或机构</w:t>
      </w:r>
      <w:r>
        <w:rPr>
          <w:rFonts w:hint="eastAsia" w:ascii="宋体" w:hAnsi="宋体" w:eastAsia="宋体" w:cs="宋体"/>
          <w:spacing w:val="-34"/>
          <w:sz w:val="20"/>
          <w:szCs w:val="20"/>
        </w:rPr>
        <w:t>），</w:t>
      </w:r>
      <w:r>
        <w:rPr>
          <w:rFonts w:hint="eastAsia" w:ascii="宋体" w:hAnsi="宋体" w:eastAsia="宋体" w:cs="宋体"/>
          <w:spacing w:val="10"/>
          <w:sz w:val="20"/>
          <w:szCs w:val="20"/>
        </w:rPr>
        <w:t>并同时抄送一份给合同的另一方，包括相关的详细</w:t>
      </w:r>
      <w:r>
        <w:rPr>
          <w:rFonts w:hint="eastAsia" w:ascii="宋体" w:hAnsi="宋体" w:eastAsia="宋体" w:cs="宋体"/>
          <w:spacing w:val="9"/>
          <w:sz w:val="20"/>
          <w:szCs w:val="20"/>
        </w:rPr>
        <w:t>说明、依据及补充提供</w:t>
      </w:r>
      <w:r>
        <w:rPr>
          <w:rFonts w:hint="eastAsia" w:ascii="宋体" w:hAnsi="宋体" w:eastAsia="宋体" w:cs="宋体"/>
          <w:spacing w:val="8"/>
          <w:sz w:val="20"/>
          <w:szCs w:val="20"/>
        </w:rPr>
        <w:t>的支持性资料。调解人（或机构）复查、协调</w:t>
      </w:r>
      <w:r>
        <w:rPr>
          <w:rFonts w:hint="eastAsia" w:ascii="宋体" w:hAnsi="宋体" w:eastAsia="宋体" w:cs="宋体"/>
          <w:spacing w:val="7"/>
          <w:sz w:val="20"/>
          <w:szCs w:val="20"/>
        </w:rPr>
        <w:t>后，将维持决定或修改决定的调整意见书同时提供给合同双方。</w:t>
      </w:r>
    </w:p>
    <w:p w14:paraId="6E77E787">
      <w:pPr>
        <w:spacing w:before="160" w:line="360" w:lineRule="auto"/>
        <w:ind w:left="36" w:right="183" w:firstLine="405"/>
        <w:rPr>
          <w:rFonts w:hint="eastAsia" w:ascii="宋体" w:hAnsi="宋体" w:eastAsia="宋体" w:cs="宋体"/>
          <w:color w:val="auto"/>
          <w:highlight w:val="none"/>
        </w:rPr>
      </w:pPr>
      <w:r>
        <w:rPr>
          <w:rFonts w:hint="eastAsia" w:ascii="宋体" w:hAnsi="宋体" w:eastAsia="宋体" w:cs="宋体"/>
          <w:color w:val="auto"/>
          <w:spacing w:val="7"/>
          <w:sz w:val="20"/>
          <w:szCs w:val="20"/>
        </w:rPr>
        <w:t>24.4.6  合同双方接受调解人（或机构）提出的</w:t>
      </w:r>
      <w:r>
        <w:rPr>
          <w:rFonts w:hint="eastAsia" w:ascii="宋体" w:hAnsi="宋体" w:eastAsia="宋体" w:cs="宋体"/>
          <w:color w:val="auto"/>
          <w:spacing w:val="6"/>
          <w:sz w:val="20"/>
          <w:szCs w:val="20"/>
        </w:rPr>
        <w:t>调解书的，双方</w:t>
      </w:r>
      <w:r>
        <w:rPr>
          <w:rFonts w:hint="eastAsia" w:ascii="宋体" w:hAnsi="宋体" w:eastAsia="宋体" w:cs="宋体"/>
          <w:color w:val="auto"/>
          <w:spacing w:val="6"/>
          <w:sz w:val="20"/>
          <w:szCs w:val="20"/>
          <w:highlight w:val="none"/>
        </w:rPr>
        <w:t>应签署确认并作为合同</w:t>
      </w:r>
      <w:r>
        <w:rPr>
          <w:rFonts w:hint="eastAsia" w:ascii="宋体" w:hAnsi="宋体" w:eastAsia="宋体" w:cs="宋体"/>
          <w:color w:val="auto"/>
          <w:spacing w:val="8"/>
          <w:sz w:val="20"/>
          <w:szCs w:val="20"/>
          <w:highlight w:val="none"/>
        </w:rPr>
        <w:t>的补充文件，对合同双方应均具有约束力，双方都应遵守执行。</w:t>
      </w:r>
    </w:p>
    <w:p w14:paraId="2732F67F">
      <w:pPr>
        <w:spacing w:before="65" w:line="360" w:lineRule="auto"/>
        <w:ind w:left="21" w:right="173" w:firstLine="42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24.4.7  当合同双方中的任一方对调解人（或机</w:t>
      </w:r>
      <w:r>
        <w:rPr>
          <w:rFonts w:hint="eastAsia" w:ascii="宋体" w:hAnsi="宋体" w:eastAsia="宋体" w:cs="宋体"/>
          <w:color w:val="auto"/>
          <w:spacing w:val="6"/>
          <w:sz w:val="20"/>
          <w:szCs w:val="20"/>
          <w:highlight w:val="none"/>
        </w:rPr>
        <w:t>构）的调解书有异议时，应在收到调解</w:t>
      </w:r>
      <w:r>
        <w:rPr>
          <w:rFonts w:hint="eastAsia" w:ascii="宋体" w:hAnsi="宋体" w:eastAsia="宋体" w:cs="宋体"/>
          <w:color w:val="auto"/>
          <w:spacing w:val="7"/>
          <w:sz w:val="20"/>
          <w:szCs w:val="20"/>
          <w:highlight w:val="none"/>
        </w:rPr>
        <w:t>书后约定的时间内提出异议的事项和理由。当调解人（或机构）已就争议事项向合同双方提</w:t>
      </w:r>
      <w:r>
        <w:rPr>
          <w:rFonts w:hint="eastAsia" w:ascii="宋体" w:hAnsi="宋体" w:eastAsia="宋体" w:cs="宋体"/>
          <w:color w:val="auto"/>
          <w:spacing w:val="8"/>
          <w:sz w:val="20"/>
          <w:szCs w:val="20"/>
          <w:highlight w:val="none"/>
        </w:rPr>
        <w:t>交了调解书，而任一方在收到调解书后的约定</w:t>
      </w:r>
      <w:r>
        <w:rPr>
          <w:rFonts w:hint="eastAsia" w:ascii="宋体" w:hAnsi="宋体" w:eastAsia="宋体" w:cs="宋体"/>
          <w:color w:val="auto"/>
          <w:spacing w:val="7"/>
          <w:sz w:val="20"/>
          <w:szCs w:val="20"/>
          <w:highlight w:val="none"/>
        </w:rPr>
        <w:t>时间内未发出表示异议的通知时，视为已认可</w:t>
      </w:r>
      <w:r>
        <w:rPr>
          <w:rFonts w:hint="eastAsia" w:ascii="宋体" w:hAnsi="宋体" w:eastAsia="宋体" w:cs="宋体"/>
          <w:color w:val="auto"/>
          <w:spacing w:val="4"/>
          <w:sz w:val="20"/>
          <w:szCs w:val="20"/>
          <w:highlight w:val="none"/>
        </w:rPr>
        <w:t>调解书。</w:t>
      </w:r>
    </w:p>
    <w:p w14:paraId="7BB23503">
      <w:pPr>
        <w:spacing w:before="160" w:line="360" w:lineRule="auto"/>
        <w:ind w:left="19" w:firstLine="42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24.4.8  合同双方未共同签字确认的调解书，除调解协议另有约定或罚解书在</w:t>
      </w:r>
      <w:r>
        <w:rPr>
          <w:rFonts w:hint="eastAsia" w:ascii="宋体" w:hAnsi="宋体" w:eastAsia="宋体" w:cs="宋体"/>
          <w:color w:val="auto"/>
          <w:spacing w:val="5"/>
          <w:sz w:val="20"/>
          <w:szCs w:val="20"/>
          <w:highlight w:val="none"/>
        </w:rPr>
        <w:t>仲裁裁决、</w:t>
      </w:r>
      <w:r>
        <w:rPr>
          <w:rFonts w:hint="eastAsia" w:ascii="宋体" w:hAnsi="宋体" w:eastAsia="宋体" w:cs="宋体"/>
          <w:color w:val="auto"/>
          <w:spacing w:val="9"/>
          <w:sz w:val="20"/>
          <w:szCs w:val="20"/>
          <w:highlight w:val="none"/>
        </w:rPr>
        <w:t>诉讼判决中予以确认外，对合同双方均不应具有约束力。</w:t>
      </w:r>
    </w:p>
    <w:p w14:paraId="4A7C6347">
      <w:pPr>
        <w:spacing w:before="287" w:line="360" w:lineRule="auto"/>
        <w:ind w:left="23"/>
        <w:outlineLvl w:val="2"/>
        <w:rPr>
          <w:rFonts w:hint="eastAsia" w:ascii="宋体" w:hAnsi="宋体" w:eastAsia="宋体" w:cs="宋体"/>
          <w:color w:val="auto"/>
          <w:sz w:val="24"/>
          <w:szCs w:val="24"/>
          <w:highlight w:val="none"/>
        </w:rPr>
      </w:pPr>
      <w:bookmarkStart w:id="731" w:name="bookmark149"/>
      <w:bookmarkEnd w:id="731"/>
      <w:r>
        <w:rPr>
          <w:rFonts w:hint="eastAsia" w:ascii="宋体" w:hAnsi="宋体" w:eastAsia="宋体" w:cs="宋体"/>
          <w:color w:val="auto"/>
          <w:spacing w:val="-2"/>
          <w:sz w:val="24"/>
          <w:szCs w:val="24"/>
          <w:highlight w:val="none"/>
        </w:rPr>
        <w:t>24.5  仲裁与诉讼</w:t>
      </w:r>
    </w:p>
    <w:p w14:paraId="5EDCCC4D">
      <w:pPr>
        <w:spacing w:before="295" w:line="360" w:lineRule="auto"/>
        <w:ind w:left="19" w:right="174" w:firstLine="42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24.5.1  如果合同双方按</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8"/>
          <w:sz w:val="20"/>
          <w:szCs w:val="20"/>
          <w:highlight w:val="none"/>
        </w:rPr>
        <w:t>24.1</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8"/>
          <w:sz w:val="20"/>
          <w:szCs w:val="20"/>
          <w:highlight w:val="none"/>
        </w:rPr>
        <w:t>款约定采用仲裁或诉讼方式解决争议事项的，在仲裁委员会裁决或人民法院判决前，合同双方可按仲裁委</w:t>
      </w:r>
      <w:r>
        <w:rPr>
          <w:rFonts w:hint="eastAsia" w:ascii="宋体" w:hAnsi="宋体" w:eastAsia="宋体" w:cs="宋体"/>
          <w:color w:val="auto"/>
          <w:spacing w:val="7"/>
          <w:sz w:val="20"/>
          <w:szCs w:val="20"/>
          <w:highlight w:val="none"/>
        </w:rPr>
        <w:t>员会或人民法院的调解程序和方法进行调</w:t>
      </w:r>
      <w:r>
        <w:rPr>
          <w:rFonts w:hint="eastAsia" w:ascii="宋体" w:hAnsi="宋体" w:eastAsia="宋体" w:cs="宋体"/>
          <w:color w:val="auto"/>
          <w:sz w:val="20"/>
          <w:szCs w:val="20"/>
          <w:highlight w:val="none"/>
        </w:rPr>
        <w:t>解。</w:t>
      </w:r>
    </w:p>
    <w:p w14:paraId="44E1E4E7">
      <w:pPr>
        <w:spacing w:before="160" w:line="360" w:lineRule="auto"/>
        <w:ind w:left="19" w:right="173" w:firstLine="42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24.5.2  合同双方各自的义务不因在工程实施期间进</w:t>
      </w:r>
      <w:r>
        <w:rPr>
          <w:rFonts w:hint="eastAsia" w:ascii="宋体" w:hAnsi="宋体" w:eastAsia="宋体" w:cs="宋体"/>
          <w:color w:val="auto"/>
          <w:spacing w:val="6"/>
          <w:sz w:val="20"/>
          <w:szCs w:val="20"/>
          <w:highlight w:val="none"/>
        </w:rPr>
        <w:t>行仲裁或诉讼而改变。当仲裁或诉</w:t>
      </w:r>
      <w:r>
        <w:rPr>
          <w:rFonts w:hint="eastAsia" w:ascii="宋体" w:hAnsi="宋体" w:eastAsia="宋体" w:cs="宋体"/>
          <w:color w:val="auto"/>
          <w:spacing w:val="8"/>
          <w:sz w:val="20"/>
          <w:szCs w:val="20"/>
          <w:highlight w:val="none"/>
        </w:rPr>
        <w:t>讼时，按仲裁委员会或人民法院要求停止施</w:t>
      </w:r>
      <w:r>
        <w:rPr>
          <w:rFonts w:hint="eastAsia" w:ascii="宋体" w:hAnsi="宋体" w:eastAsia="宋体" w:cs="宋体"/>
          <w:color w:val="auto"/>
          <w:spacing w:val="7"/>
          <w:sz w:val="20"/>
          <w:szCs w:val="20"/>
          <w:highlight w:val="none"/>
        </w:rPr>
        <w:t>工的，承包人应对合同工程采取保护措施，由此</w:t>
      </w:r>
      <w:r>
        <w:rPr>
          <w:rFonts w:hint="eastAsia" w:ascii="宋体" w:hAnsi="宋体" w:eastAsia="宋体" w:cs="宋体"/>
          <w:color w:val="auto"/>
          <w:spacing w:val="9"/>
          <w:sz w:val="20"/>
          <w:szCs w:val="20"/>
          <w:highlight w:val="none"/>
        </w:rPr>
        <w:t>增加的费用应由败诉方承担，或按责任分担。</w:t>
      </w:r>
    </w:p>
    <w:p w14:paraId="36DF241D">
      <w:pPr>
        <w:spacing w:before="162" w:line="360" w:lineRule="auto"/>
        <w:ind w:left="21" w:right="176" w:firstLine="42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24.5.3  合同双方中的任一方未能遵守双方确认</w:t>
      </w:r>
      <w:r>
        <w:rPr>
          <w:rFonts w:hint="eastAsia" w:ascii="宋体" w:hAnsi="宋体" w:eastAsia="宋体" w:cs="宋体"/>
          <w:color w:val="auto"/>
          <w:spacing w:val="6"/>
          <w:sz w:val="20"/>
          <w:szCs w:val="20"/>
          <w:highlight w:val="none"/>
        </w:rPr>
        <w:t>的争议评审意见或调解书的，另一方可</w:t>
      </w:r>
      <w:r>
        <w:rPr>
          <w:rFonts w:hint="eastAsia" w:ascii="宋体" w:hAnsi="宋体" w:eastAsia="宋体" w:cs="宋体"/>
          <w:color w:val="auto"/>
          <w:spacing w:val="9"/>
          <w:sz w:val="20"/>
          <w:szCs w:val="20"/>
          <w:highlight w:val="none"/>
        </w:rPr>
        <w:t>按合同约定的争议解决方式将争议事项提交仲裁或诉讼。</w:t>
      </w:r>
    </w:p>
    <w:p w14:paraId="44929F5B">
      <w:pPr>
        <w:spacing w:before="161" w:line="360" w:lineRule="auto"/>
        <w:ind w:left="442"/>
        <w:rPr>
          <w:rFonts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24.5.4  仲裁或诉讼的最终决定，对合同双方均有约束力，应共同遵守。</w:t>
      </w:r>
    </w:p>
    <w:p w14:paraId="6B87DB81">
      <w:pPr>
        <w:pStyle w:val="17"/>
        <w:spacing w:line="274" w:lineRule="auto"/>
        <w:rPr>
          <w:color w:val="auto"/>
          <w:highlight w:val="none"/>
        </w:rPr>
      </w:pPr>
    </w:p>
    <w:p w14:paraId="080FF6AB">
      <w:pPr>
        <w:rPr>
          <w:rFonts w:ascii="宋体" w:hAnsi="宋体" w:eastAsia="宋体" w:cs="宋体"/>
          <w:b/>
          <w:bCs/>
          <w:color w:val="auto"/>
          <w:spacing w:val="6"/>
          <w:sz w:val="31"/>
          <w:szCs w:val="31"/>
          <w:highlight w:val="none"/>
        </w:rPr>
      </w:pPr>
      <w:bookmarkStart w:id="732" w:name="bookmark2"/>
      <w:bookmarkEnd w:id="732"/>
      <w:r>
        <w:rPr>
          <w:rFonts w:ascii="宋体" w:hAnsi="宋体" w:eastAsia="宋体" w:cs="宋体"/>
          <w:b/>
          <w:bCs/>
          <w:color w:val="auto"/>
          <w:spacing w:val="6"/>
          <w:sz w:val="31"/>
          <w:szCs w:val="31"/>
          <w:highlight w:val="none"/>
        </w:rPr>
        <w:br w:type="page"/>
      </w:r>
    </w:p>
    <w:p w14:paraId="34D6A8C6">
      <w:pPr>
        <w:pStyle w:val="3"/>
        <w:bidi w:val="0"/>
        <w:jc w:val="center"/>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合同条款专用部分</w:t>
      </w:r>
    </w:p>
    <w:p w14:paraId="6C5220E2">
      <w:pPr>
        <w:spacing w:before="91" w:line="221" w:lineRule="auto"/>
        <w:ind w:left="43"/>
        <w:outlineLvl w:val="1"/>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1.一般约定</w:t>
      </w:r>
    </w:p>
    <w:p w14:paraId="394796DD">
      <w:pPr>
        <w:pStyle w:val="17"/>
        <w:spacing w:line="241" w:lineRule="auto"/>
        <w:rPr>
          <w:color w:val="auto"/>
          <w:highlight w:val="none"/>
        </w:rPr>
      </w:pPr>
    </w:p>
    <w:p w14:paraId="25427E25">
      <w:pPr>
        <w:spacing w:before="78"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rPr>
        <w:t>词语定义</w:t>
      </w:r>
    </w:p>
    <w:p w14:paraId="7FF66F79">
      <w:pPr>
        <w:spacing w:before="296"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1.1.2  合同当事人和人员</w:t>
      </w:r>
    </w:p>
    <w:p w14:paraId="08819F83">
      <w:pPr>
        <w:spacing w:before="160"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1.1.2.2</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3"/>
          <w:sz w:val="20"/>
          <w:szCs w:val="20"/>
          <w:highlight w:val="none"/>
        </w:rPr>
        <w:t>发包人：</w:t>
      </w:r>
      <w:r>
        <w:rPr>
          <w:rFonts w:hint="eastAsia" w:ascii="宋体" w:hAnsi="宋体" w:eastAsia="宋体" w:cs="宋体"/>
          <w:color w:val="auto"/>
          <w:spacing w:val="3"/>
          <w:sz w:val="20"/>
          <w:szCs w:val="20"/>
          <w:highlight w:val="none"/>
          <w:u w:val="single"/>
        </w:rPr>
        <w:t>中共北京市卫生健康委员会党校</w:t>
      </w:r>
      <w:r>
        <w:rPr>
          <w:rFonts w:hint="eastAsia" w:ascii="宋体" w:hAnsi="宋体" w:eastAsia="宋体" w:cs="宋体"/>
          <w:color w:val="auto"/>
          <w:spacing w:val="3"/>
          <w:sz w:val="20"/>
          <w:szCs w:val="20"/>
          <w:highlight w:val="none"/>
          <w:u w:val="single"/>
          <w:lang w:eastAsia="zh-CN"/>
        </w:rPr>
        <w:t>。</w:t>
      </w:r>
      <w:r>
        <w:rPr>
          <w:rFonts w:hint="eastAsia" w:ascii="宋体" w:hAnsi="宋体" w:eastAsia="宋体" w:cs="宋体"/>
          <w:color w:val="auto"/>
          <w:spacing w:val="3"/>
          <w:sz w:val="20"/>
          <w:szCs w:val="20"/>
          <w:highlight w:val="none"/>
          <w:u w:val="single"/>
        </w:rPr>
        <w:t xml:space="preserve">   </w:t>
      </w:r>
      <w:r>
        <w:rPr>
          <w:rFonts w:hint="eastAsia" w:ascii="宋体" w:hAnsi="宋体" w:eastAsia="宋体" w:cs="宋体"/>
          <w:color w:val="auto"/>
          <w:sz w:val="20"/>
          <w:szCs w:val="20"/>
          <w:highlight w:val="none"/>
          <w:u w:val="single" w:color="auto"/>
        </w:rPr>
        <w:t xml:space="preserve">                               </w:t>
      </w:r>
    </w:p>
    <w:p w14:paraId="3E50FAE1">
      <w:pPr>
        <w:spacing w:before="160"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1.1.2.3  承包人：</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z w:val="20"/>
          <w:szCs w:val="20"/>
          <w:highlight w:val="none"/>
          <w:u w:val="single" w:color="auto"/>
        </w:rPr>
        <w:t xml:space="preserve">                                                      </w:t>
      </w:r>
    </w:p>
    <w:p w14:paraId="1D21263A">
      <w:pPr>
        <w:spacing w:before="163"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1.1.2.6  监理人：</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z w:val="20"/>
          <w:szCs w:val="20"/>
          <w:highlight w:val="none"/>
          <w:u w:val="single" w:color="auto"/>
        </w:rPr>
        <w:t xml:space="preserve">                                                      </w:t>
      </w:r>
    </w:p>
    <w:p w14:paraId="07E92431">
      <w:pPr>
        <w:spacing w:before="158"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1.1.2.8  发包人代表：</w:t>
      </w:r>
    </w:p>
    <w:p w14:paraId="4077D07B">
      <w:pPr>
        <w:spacing w:before="161" w:line="360" w:lineRule="auto"/>
        <w:ind w:left="1594"/>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姓</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6"/>
          <w:sz w:val="20"/>
          <w:szCs w:val="20"/>
          <w:highlight w:val="none"/>
        </w:rPr>
        <w:t>名</w:t>
      </w:r>
      <w:r>
        <w:rPr>
          <w:rFonts w:hint="eastAsia" w:ascii="宋体" w:hAnsi="宋体" w:eastAsia="宋体" w:cs="宋体"/>
          <w:color w:val="auto"/>
          <w:spacing w:val="-72"/>
          <w:sz w:val="20"/>
          <w:szCs w:val="20"/>
          <w:highlight w:val="none"/>
        </w:rPr>
        <w:t xml:space="preserve"> </w:t>
      </w:r>
      <w:r>
        <w:rPr>
          <w:rFonts w:hint="eastAsia" w:ascii="宋体" w:hAnsi="宋体" w:eastAsia="宋体" w:cs="宋体"/>
          <w:color w:val="auto"/>
          <w:spacing w:val="-6"/>
          <w:sz w:val="20"/>
          <w:szCs w:val="20"/>
          <w:highlight w:val="none"/>
        </w:rPr>
        <w:t>：</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z w:val="20"/>
          <w:szCs w:val="20"/>
          <w:highlight w:val="none"/>
          <w:u w:val="single" w:color="auto"/>
        </w:rPr>
        <w:t xml:space="preserve">                                                         </w:t>
      </w:r>
    </w:p>
    <w:p w14:paraId="46EA96D2">
      <w:pPr>
        <w:spacing w:before="160" w:line="360" w:lineRule="auto"/>
        <w:ind w:left="159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职</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5"/>
          <w:sz w:val="20"/>
          <w:szCs w:val="20"/>
          <w:highlight w:val="none"/>
        </w:rPr>
        <w:t>称</w:t>
      </w:r>
      <w:r>
        <w:rPr>
          <w:rFonts w:hint="eastAsia" w:ascii="宋体" w:hAnsi="宋体" w:eastAsia="宋体" w:cs="宋体"/>
          <w:color w:val="auto"/>
          <w:spacing w:val="-71"/>
          <w:sz w:val="20"/>
          <w:szCs w:val="20"/>
          <w:highlight w:val="none"/>
        </w:rPr>
        <w:t xml:space="preserve"> </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z w:val="20"/>
          <w:szCs w:val="20"/>
          <w:highlight w:val="none"/>
          <w:u w:val="single" w:color="auto"/>
        </w:rPr>
        <w:t xml:space="preserve">                                                         </w:t>
      </w:r>
    </w:p>
    <w:p w14:paraId="4C8E726D">
      <w:pPr>
        <w:spacing w:before="160" w:line="360" w:lineRule="auto"/>
        <w:ind w:left="159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联系电话：</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64741440">
      <w:pPr>
        <w:spacing w:before="159" w:line="360" w:lineRule="auto"/>
        <w:ind w:left="1618"/>
        <w:jc w:val="left"/>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电子信箱：</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pacing w:val="2"/>
          <w:sz w:val="20"/>
          <w:szCs w:val="20"/>
          <w:highlight w:val="none"/>
          <w:u w:val="single" w:color="auto"/>
        </w:rPr>
        <w:t xml:space="preserve">                   </w:t>
      </w:r>
      <w:r>
        <w:rPr>
          <w:rFonts w:hint="eastAsia" w:ascii="宋体" w:hAnsi="宋体" w:eastAsia="宋体" w:cs="宋体"/>
          <w:color w:val="auto"/>
          <w:spacing w:val="1"/>
          <w:sz w:val="20"/>
          <w:szCs w:val="20"/>
          <w:highlight w:val="none"/>
          <w:u w:val="single" w:color="auto"/>
        </w:rPr>
        <w:t xml:space="preserve">                                    </w:t>
      </w:r>
    </w:p>
    <w:p w14:paraId="0B8576CD">
      <w:pPr>
        <w:spacing w:before="161" w:line="360" w:lineRule="auto"/>
        <w:ind w:left="159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通信地址：</w:t>
      </w:r>
      <w:r>
        <w:rPr>
          <w:rFonts w:hint="eastAsia" w:ascii="宋体" w:hAnsi="宋体" w:eastAsia="宋体" w:cs="宋体"/>
          <w:color w:val="auto"/>
          <w:sz w:val="20"/>
          <w:szCs w:val="20"/>
          <w:highlight w:val="none"/>
          <w:u w:val="single" w:color="auto"/>
          <w:lang w:val="en-US" w:eastAsia="zh-CN"/>
        </w:rPr>
        <w:t>待定。</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0A66C84B">
      <w:pPr>
        <w:spacing w:before="161"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1.1.3</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3"/>
          <w:sz w:val="20"/>
          <w:szCs w:val="20"/>
          <w:highlight w:val="none"/>
        </w:rPr>
        <w:t>工程和设备</w:t>
      </w:r>
    </w:p>
    <w:p w14:paraId="3240C15E">
      <w:pPr>
        <w:spacing w:before="162"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1.1.3.2  永久工程：</w:t>
      </w:r>
      <w:r>
        <w:rPr>
          <w:rFonts w:hint="eastAsia" w:ascii="宋体" w:hAnsi="宋体" w:eastAsia="宋体" w:cs="宋体"/>
          <w:color w:val="auto"/>
          <w:spacing w:val="4"/>
          <w:sz w:val="20"/>
          <w:szCs w:val="20"/>
          <w:highlight w:val="none"/>
          <w:u w:val="single" w:color="auto"/>
        </w:rPr>
        <w:t>本工程承包范围内全部内容</w:t>
      </w:r>
      <w:r>
        <w:rPr>
          <w:rFonts w:hint="eastAsia" w:ascii="宋体" w:hAnsi="宋体" w:eastAsia="宋体" w:cs="宋体"/>
          <w:color w:val="auto"/>
          <w:spacing w:val="4"/>
          <w:sz w:val="20"/>
          <w:szCs w:val="20"/>
          <w:highlight w:val="none"/>
          <w:u w:val="single" w:color="auto"/>
          <w:lang w:eastAsia="zh-CN"/>
        </w:rPr>
        <w:t>。</w:t>
      </w:r>
      <w:r>
        <w:rPr>
          <w:rFonts w:hint="eastAsia" w:ascii="宋体" w:hAnsi="宋体" w:eastAsia="宋体" w:cs="宋体"/>
          <w:color w:val="auto"/>
          <w:sz w:val="20"/>
          <w:szCs w:val="20"/>
          <w:highlight w:val="none"/>
          <w:u w:val="single" w:color="auto"/>
        </w:rPr>
        <w:t xml:space="preserve">                                                         </w:t>
      </w:r>
    </w:p>
    <w:p w14:paraId="1439ADD5">
      <w:pPr>
        <w:spacing w:before="160"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1.1.3.3</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2"/>
          <w:sz w:val="20"/>
          <w:szCs w:val="20"/>
          <w:highlight w:val="none"/>
        </w:rPr>
        <w:t>临时工程：</w:t>
      </w:r>
      <w:r>
        <w:rPr>
          <w:rFonts w:hint="eastAsia" w:ascii="宋体" w:hAnsi="宋体" w:eastAsia="宋体" w:cs="宋体"/>
          <w:color w:val="auto"/>
          <w:spacing w:val="4"/>
          <w:sz w:val="20"/>
          <w:szCs w:val="20"/>
          <w:highlight w:val="none"/>
          <w:u w:val="single" w:color="auto"/>
        </w:rPr>
        <w:t>承包人为完成本合同范围内的永久工程所修建和搭设的临时性工程，并在本工程竣工后或在监理人要求时，承包人需予以全部拆除的工程。包括临时性施工道路、施工供水工程、施工供电工程、生活及办公区工程、材料堆放场、材料加工场、施工设备基础，围挡及防疫设施等。承包人结合现场实际情况及编制的施工组织方案自行确定</w:t>
      </w:r>
      <w:r>
        <w:rPr>
          <w:rFonts w:hint="eastAsia" w:ascii="宋体" w:hAnsi="宋体" w:eastAsia="宋体" w:cs="宋体"/>
          <w:color w:val="auto"/>
          <w:spacing w:val="4"/>
          <w:sz w:val="20"/>
          <w:szCs w:val="20"/>
          <w:highlight w:val="none"/>
          <w:u w:val="single" w:color="auto"/>
          <w:lang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2"/>
          <w:sz w:val="20"/>
          <w:szCs w:val="20"/>
          <w:highlight w:val="none"/>
          <w:u w:val="single" w:color="auto"/>
        </w:rPr>
        <w:t xml:space="preserve">                          </w:t>
      </w:r>
      <w:r>
        <w:rPr>
          <w:rFonts w:hint="eastAsia" w:ascii="宋体" w:hAnsi="宋体" w:eastAsia="宋体" w:cs="宋体"/>
          <w:color w:val="auto"/>
          <w:spacing w:val="1"/>
          <w:sz w:val="20"/>
          <w:szCs w:val="20"/>
          <w:highlight w:val="none"/>
          <w:u w:val="single" w:color="auto"/>
        </w:rPr>
        <w:t xml:space="preserve">                         </w:t>
      </w:r>
    </w:p>
    <w:p w14:paraId="10BE693D">
      <w:pPr>
        <w:spacing w:before="161"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1.1.3.10  永久占地：</w:t>
      </w:r>
      <w:r>
        <w:rPr>
          <w:rFonts w:hint="eastAsia" w:ascii="宋体" w:hAnsi="宋体" w:eastAsia="宋体" w:cs="宋体"/>
          <w:color w:val="auto"/>
          <w:spacing w:val="4"/>
          <w:sz w:val="20"/>
          <w:szCs w:val="20"/>
          <w:highlight w:val="none"/>
          <w:u w:val="single" w:color="auto"/>
        </w:rPr>
        <w:t>设计红线范围以内用地，详见施工图</w:t>
      </w:r>
      <w:r>
        <w:rPr>
          <w:rFonts w:hint="eastAsia" w:ascii="宋体" w:hAnsi="宋体" w:eastAsia="宋体" w:cs="宋体"/>
          <w:color w:val="auto"/>
          <w:spacing w:val="4"/>
          <w:sz w:val="20"/>
          <w:szCs w:val="20"/>
          <w:highlight w:val="none"/>
          <w:u w:val="single" w:color="auto"/>
          <w:lang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1A2C49E4">
      <w:pPr>
        <w:spacing w:before="159"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1.1.3.11</w:t>
      </w:r>
      <w:r>
        <w:rPr>
          <w:rFonts w:hint="eastAsia" w:ascii="宋体" w:hAnsi="宋体" w:eastAsia="宋体" w:cs="宋体"/>
          <w:color w:val="auto"/>
          <w:spacing w:val="17"/>
          <w:sz w:val="20"/>
          <w:szCs w:val="20"/>
          <w:highlight w:val="none"/>
        </w:rPr>
        <w:t xml:space="preserve">  </w:t>
      </w:r>
      <w:r>
        <w:rPr>
          <w:rFonts w:hint="eastAsia" w:ascii="宋体" w:hAnsi="宋体" w:eastAsia="宋体" w:cs="宋体"/>
          <w:color w:val="auto"/>
          <w:spacing w:val="3"/>
          <w:sz w:val="20"/>
          <w:szCs w:val="20"/>
          <w:highlight w:val="none"/>
        </w:rPr>
        <w:t>临时占地：</w:t>
      </w:r>
      <w:r>
        <w:rPr>
          <w:rFonts w:hint="eastAsia" w:ascii="宋体" w:hAnsi="宋体" w:eastAsia="宋体" w:cs="宋体"/>
          <w:color w:val="auto"/>
          <w:spacing w:val="4"/>
          <w:sz w:val="20"/>
          <w:szCs w:val="20"/>
          <w:highlight w:val="none"/>
          <w:u w:val="single" w:color="auto"/>
        </w:rPr>
        <w:t>承包人为完成永久工程所修建的临时性工程所占地</w:t>
      </w:r>
      <w:r>
        <w:rPr>
          <w:rFonts w:hint="eastAsia" w:ascii="宋体" w:hAnsi="宋体" w:eastAsia="宋体" w:cs="宋体"/>
          <w:color w:val="auto"/>
          <w:spacing w:val="4"/>
          <w:sz w:val="20"/>
          <w:szCs w:val="20"/>
          <w:highlight w:val="none"/>
          <w:u w:val="single" w:color="auto"/>
          <w:lang w:eastAsia="zh-CN"/>
        </w:rPr>
        <w:t>。</w:t>
      </w:r>
      <w:r>
        <w:rPr>
          <w:rFonts w:hint="eastAsia" w:ascii="宋体" w:hAnsi="宋体" w:eastAsia="宋体" w:cs="宋体"/>
          <w:color w:val="auto"/>
          <w:sz w:val="20"/>
          <w:szCs w:val="20"/>
          <w:highlight w:val="none"/>
          <w:u w:val="single" w:color="auto"/>
        </w:rPr>
        <w:t xml:space="preserve">                     </w:t>
      </w:r>
    </w:p>
    <w:p w14:paraId="36BCDC13">
      <w:pPr>
        <w:spacing w:before="161"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1.1.4</w:t>
      </w:r>
      <w:r>
        <w:rPr>
          <w:rFonts w:hint="eastAsia" w:ascii="宋体" w:hAnsi="宋体" w:eastAsia="宋体" w:cs="宋体"/>
          <w:color w:val="auto"/>
          <w:spacing w:val="27"/>
          <w:sz w:val="20"/>
          <w:szCs w:val="20"/>
          <w:highlight w:val="none"/>
        </w:rPr>
        <w:t xml:space="preserve">  </w:t>
      </w:r>
      <w:r>
        <w:rPr>
          <w:rFonts w:hint="eastAsia" w:ascii="宋体" w:hAnsi="宋体" w:eastAsia="宋体" w:cs="宋体"/>
          <w:color w:val="auto"/>
          <w:spacing w:val="-4"/>
          <w:sz w:val="20"/>
          <w:szCs w:val="20"/>
          <w:highlight w:val="none"/>
        </w:rPr>
        <w:t>日期</w:t>
      </w:r>
    </w:p>
    <w:p w14:paraId="611BC113">
      <w:pPr>
        <w:spacing w:before="160"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1.1.4.5  缺陷责任期期限：</w:t>
      </w:r>
      <w:r>
        <w:rPr>
          <w:rFonts w:hint="eastAsia" w:ascii="宋体" w:hAnsi="宋体" w:eastAsia="宋体" w:cs="宋体"/>
          <w:color w:val="auto"/>
          <w:spacing w:val="4"/>
          <w:sz w:val="20"/>
          <w:szCs w:val="20"/>
          <w:highlight w:val="none"/>
          <w:u w:val="single" w:color="auto"/>
        </w:rPr>
        <w:t>从工程通过竣工验收合格之日起24个</w:t>
      </w:r>
      <w:r>
        <w:rPr>
          <w:rFonts w:hint="eastAsia" w:ascii="宋体" w:hAnsi="宋体" w:eastAsia="宋体" w:cs="宋体"/>
          <w:color w:val="auto"/>
          <w:spacing w:val="5"/>
          <w:sz w:val="20"/>
          <w:szCs w:val="20"/>
          <w:highlight w:val="none"/>
        </w:rPr>
        <w:t>月。</w:t>
      </w:r>
    </w:p>
    <w:p w14:paraId="0DB85B73">
      <w:pPr>
        <w:spacing w:before="163"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1.1.4.6  基准日期：</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投标截时间前28天的日期</w:t>
      </w:r>
      <w:r>
        <w:rPr>
          <w:rFonts w:hint="eastAsia" w:ascii="宋体" w:hAnsi="宋体" w:eastAsia="宋体" w:cs="宋体"/>
          <w:color w:val="auto"/>
          <w:sz w:val="20"/>
          <w:szCs w:val="20"/>
          <w:highlight w:val="none"/>
          <w:u w:val="single" w:color="auto"/>
        </w:rPr>
        <w:t xml:space="preserve">                                            </w:t>
      </w:r>
    </w:p>
    <w:p w14:paraId="5F4C4DA7">
      <w:pPr>
        <w:spacing w:before="160"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1.1.8  其他需要补充的内容</w:t>
      </w:r>
    </w:p>
    <w:p w14:paraId="297B4C37">
      <w:pPr>
        <w:spacing w:before="161"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1.1.8.5  其他需要补充的内容：</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57A2BF49">
      <w:pPr>
        <w:pStyle w:val="17"/>
        <w:tabs>
          <w:tab w:val="left" w:pos="8305"/>
          <w:tab w:val="clear" w:pos="567"/>
        </w:tabs>
        <w:spacing w:before="168" w:line="360" w:lineRule="auto"/>
        <w:ind w:left="431"/>
        <w:jc w:val="left"/>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275F8D2A">
      <w:pPr>
        <w:spacing w:before="287" w:line="360" w:lineRule="auto"/>
        <w:ind w:left="38"/>
        <w:jc w:val="left"/>
        <w:outlineLvl w:val="2"/>
        <w:rPr>
          <w:rFonts w:hint="eastAsia" w:ascii="宋体" w:hAnsi="宋体" w:eastAsia="宋体" w:cs="宋体"/>
          <w:color w:val="auto"/>
          <w:sz w:val="24"/>
          <w:szCs w:val="24"/>
          <w:highlight w:val="none"/>
        </w:rPr>
      </w:pPr>
      <w:bookmarkStart w:id="733" w:name="bookmark3"/>
      <w:bookmarkEnd w:id="733"/>
      <w:r>
        <w:rPr>
          <w:rFonts w:hint="eastAsia" w:ascii="宋体" w:hAnsi="宋体" w:eastAsia="宋体" w:cs="宋体"/>
          <w:color w:val="auto"/>
          <w:spacing w:val="-2"/>
          <w:sz w:val="24"/>
          <w:szCs w:val="24"/>
          <w:highlight w:val="none"/>
        </w:rPr>
        <w:t>1.4  合同文件的优先顺序</w:t>
      </w:r>
    </w:p>
    <w:p w14:paraId="1E258FEC">
      <w:pPr>
        <w:spacing w:before="295" w:line="360" w:lineRule="auto"/>
        <w:ind w:left="503"/>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合同文件的优先解释顺序如下：</w:t>
      </w:r>
    </w:p>
    <w:p w14:paraId="5BC7A2FE">
      <w:pPr>
        <w:spacing w:before="160" w:line="360" w:lineRule="auto"/>
        <w:ind w:left="512"/>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（1）合同协议书；</w:t>
      </w:r>
    </w:p>
    <w:p w14:paraId="3F9C06CD">
      <w:pPr>
        <w:spacing w:before="164" w:line="360" w:lineRule="auto"/>
        <w:ind w:left="512"/>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（2）中标通知书；</w:t>
      </w:r>
    </w:p>
    <w:p w14:paraId="5790C9C8">
      <w:pPr>
        <w:spacing w:before="161" w:line="360" w:lineRule="auto"/>
        <w:ind w:left="51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（3）投标函及投标函附录；</w:t>
      </w:r>
    </w:p>
    <w:p w14:paraId="0F25E4F1">
      <w:pPr>
        <w:spacing w:before="161" w:line="360" w:lineRule="auto"/>
        <w:ind w:left="512"/>
        <w:jc w:val="left"/>
        <w:rPr>
          <w:rFonts w:hint="eastAsia" w:ascii="宋体" w:hAnsi="宋体" w:eastAsia="宋体" w:cs="宋体"/>
          <w:color w:val="auto"/>
          <w:highlight w:val="none"/>
        </w:rPr>
      </w:pPr>
      <w:r>
        <w:rPr>
          <w:rFonts w:hint="eastAsia" w:ascii="宋体" w:hAnsi="宋体" w:eastAsia="宋体" w:cs="宋体"/>
          <w:color w:val="auto"/>
          <w:spacing w:val="7"/>
          <w:sz w:val="20"/>
          <w:szCs w:val="20"/>
          <w:highlight w:val="none"/>
        </w:rPr>
        <w:t>（4）合同条款专用部分；</w:t>
      </w:r>
    </w:p>
    <w:p w14:paraId="32DF9186">
      <w:pPr>
        <w:spacing w:before="65" w:line="360" w:lineRule="auto"/>
        <w:ind w:left="51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（5）合同条款通用部分；</w:t>
      </w:r>
    </w:p>
    <w:p w14:paraId="6C3118D4">
      <w:pPr>
        <w:spacing w:before="160" w:line="360" w:lineRule="auto"/>
        <w:ind w:left="512"/>
        <w:jc w:val="left"/>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（6）</w:t>
      </w:r>
      <w:r>
        <w:rPr>
          <w:rFonts w:hint="eastAsia" w:ascii="宋体" w:hAnsi="宋体" w:eastAsia="宋体" w:cs="宋体"/>
          <w:color w:val="auto"/>
          <w:spacing w:val="1"/>
          <w:sz w:val="20"/>
          <w:szCs w:val="20"/>
          <w:highlight w:val="none"/>
          <w:u w:val="single" w:color="auto"/>
          <w:lang w:eastAsia="zh-CN"/>
        </w:rPr>
        <w:t>标准、规范及有关技术文件；</w:t>
      </w:r>
    </w:p>
    <w:p w14:paraId="2761E71D">
      <w:pPr>
        <w:spacing w:before="149" w:line="360" w:lineRule="auto"/>
        <w:ind w:left="512"/>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0"/>
          <w:szCs w:val="20"/>
          <w:highlight w:val="none"/>
        </w:rPr>
        <w:t>（7）</w:t>
      </w:r>
      <w:r>
        <w:rPr>
          <w:rFonts w:hint="eastAsia" w:ascii="宋体" w:hAnsi="宋体" w:eastAsia="宋体" w:cs="宋体"/>
          <w:color w:val="auto"/>
          <w:spacing w:val="7"/>
          <w:sz w:val="20"/>
          <w:szCs w:val="20"/>
          <w:highlight w:val="none"/>
          <w:u w:val="single"/>
        </w:rPr>
        <w:t>图纸（含施工图纸和施工过程中设计院签发的工程洽商、变更等</w:t>
      </w:r>
      <w:r>
        <w:rPr>
          <w:rFonts w:hint="eastAsia" w:ascii="宋体" w:hAnsi="宋体" w:eastAsia="宋体" w:cs="宋体"/>
          <w:color w:val="auto"/>
          <w:spacing w:val="7"/>
          <w:sz w:val="20"/>
          <w:szCs w:val="20"/>
          <w:highlight w:val="none"/>
          <w:u w:val="single"/>
          <w:lang w:eastAsia="zh-CN"/>
        </w:rPr>
        <w:t>；</w:t>
      </w:r>
    </w:p>
    <w:p w14:paraId="3D1E8023">
      <w:pPr>
        <w:spacing w:before="146" w:line="360" w:lineRule="auto"/>
        <w:ind w:left="512"/>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1"/>
          <w:sz w:val="20"/>
          <w:szCs w:val="20"/>
          <w:highlight w:val="none"/>
        </w:rPr>
        <w:t>（8）</w:t>
      </w:r>
      <w:r>
        <w:rPr>
          <w:rFonts w:hint="eastAsia" w:ascii="宋体" w:hAnsi="宋体" w:eastAsia="宋体" w:cs="宋体"/>
          <w:color w:val="auto"/>
          <w:spacing w:val="7"/>
          <w:sz w:val="20"/>
          <w:szCs w:val="20"/>
          <w:highlight w:val="none"/>
          <w:u w:val="single"/>
          <w:lang w:val="en-US" w:eastAsia="zh-CN"/>
        </w:rPr>
        <w:t>已标价工程量清单</w:t>
      </w:r>
      <w:r>
        <w:rPr>
          <w:rFonts w:hint="eastAsia" w:ascii="宋体" w:hAnsi="宋体" w:eastAsia="宋体" w:cs="宋体"/>
          <w:color w:val="auto"/>
          <w:spacing w:val="7"/>
          <w:sz w:val="20"/>
          <w:szCs w:val="20"/>
          <w:highlight w:val="none"/>
          <w:u w:val="single"/>
          <w:lang w:eastAsia="zh-CN"/>
        </w:rPr>
        <w:t>；</w:t>
      </w:r>
    </w:p>
    <w:p w14:paraId="7A77F9A2">
      <w:pPr>
        <w:spacing w:before="146" w:line="360" w:lineRule="auto"/>
        <w:ind w:left="509"/>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0"/>
          <w:szCs w:val="20"/>
          <w:highlight w:val="none"/>
        </w:rPr>
        <w:t>（9）</w:t>
      </w:r>
      <w:r>
        <w:rPr>
          <w:rFonts w:hint="eastAsia" w:ascii="宋体" w:hAnsi="宋体" w:eastAsia="宋体" w:cs="宋体"/>
          <w:color w:val="auto"/>
          <w:spacing w:val="7"/>
          <w:sz w:val="20"/>
          <w:szCs w:val="20"/>
          <w:highlight w:val="none"/>
          <w:u w:val="single"/>
        </w:rPr>
        <w:t>招标文件（含补充招标文件和招标答疑文件）</w:t>
      </w:r>
      <w:r>
        <w:rPr>
          <w:rFonts w:hint="eastAsia" w:ascii="宋体" w:hAnsi="宋体" w:eastAsia="宋体" w:cs="宋体"/>
          <w:color w:val="auto"/>
          <w:spacing w:val="7"/>
          <w:sz w:val="20"/>
          <w:szCs w:val="20"/>
          <w:highlight w:val="none"/>
          <w:u w:val="single"/>
          <w:lang w:eastAsia="zh-CN"/>
        </w:rPr>
        <w:t>。</w:t>
      </w:r>
    </w:p>
    <w:p w14:paraId="07656118">
      <w:pPr>
        <w:spacing w:before="147" w:line="360" w:lineRule="auto"/>
        <w:ind w:left="21" w:right="13" w:firstLine="488"/>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rPr>
        <w:t>6）、（7）、（8）填空内容分别限于技术标准和要求、图纸</w:t>
      </w:r>
      <w:r>
        <w:rPr>
          <w:rFonts w:hint="eastAsia" w:ascii="宋体" w:hAnsi="宋体" w:eastAsia="宋体" w:cs="宋体"/>
          <w:color w:val="auto"/>
          <w:spacing w:val="8"/>
          <w:sz w:val="20"/>
          <w:szCs w:val="20"/>
          <w:highlight w:val="none"/>
        </w:rPr>
        <w:t>、合同清单三</w:t>
      </w:r>
      <w:r>
        <w:rPr>
          <w:rFonts w:hint="eastAsia" w:ascii="宋体" w:hAnsi="宋体" w:eastAsia="宋体" w:cs="宋体"/>
          <w:color w:val="auto"/>
          <w:spacing w:val="4"/>
          <w:sz w:val="20"/>
          <w:szCs w:val="20"/>
          <w:highlight w:val="none"/>
        </w:rPr>
        <w:t>者之一。）</w:t>
      </w:r>
    </w:p>
    <w:p w14:paraId="16205CA8">
      <w:pPr>
        <w:spacing w:before="118" w:line="360" w:lineRule="auto"/>
        <w:ind w:left="38"/>
        <w:jc w:val="left"/>
        <w:outlineLvl w:val="2"/>
        <w:rPr>
          <w:rFonts w:hint="eastAsia" w:ascii="宋体" w:hAnsi="宋体" w:eastAsia="宋体" w:cs="宋体"/>
          <w:color w:val="auto"/>
          <w:sz w:val="24"/>
          <w:szCs w:val="24"/>
          <w:highlight w:val="none"/>
        </w:rPr>
      </w:pPr>
      <w:bookmarkStart w:id="734" w:name="bookmark4"/>
      <w:bookmarkEnd w:id="734"/>
      <w:r>
        <w:rPr>
          <w:rFonts w:hint="eastAsia" w:ascii="宋体" w:hAnsi="宋体" w:eastAsia="宋体" w:cs="宋体"/>
          <w:color w:val="auto"/>
          <w:spacing w:val="-3"/>
          <w:sz w:val="24"/>
          <w:szCs w:val="24"/>
          <w:highlight w:val="none"/>
        </w:rPr>
        <w:t>1.5  合同协议书</w:t>
      </w:r>
    </w:p>
    <w:p w14:paraId="04AAF872">
      <w:pPr>
        <w:spacing w:before="74" w:line="360" w:lineRule="auto"/>
        <w:ind w:left="439"/>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8"/>
          <w:sz w:val="20"/>
          <w:szCs w:val="20"/>
          <w:highlight w:val="none"/>
        </w:rPr>
        <w:t>合同生效的条件：</w:t>
      </w:r>
      <w:r>
        <w:rPr>
          <w:rFonts w:hint="eastAsia" w:ascii="宋体" w:hAnsi="宋体" w:eastAsia="宋体" w:cs="宋体"/>
          <w:color w:val="auto"/>
          <w:spacing w:val="7"/>
          <w:sz w:val="20"/>
          <w:szCs w:val="20"/>
          <w:highlight w:val="none"/>
          <w:u w:val="single"/>
        </w:rPr>
        <w:t>本合同自双方法定代表人或授权代表签署并加盖双方公章或合同专用章之日起生效</w:t>
      </w:r>
      <w:r>
        <w:rPr>
          <w:rFonts w:hint="eastAsia" w:ascii="宋体" w:hAnsi="宋体" w:eastAsia="宋体" w:cs="宋体"/>
          <w:color w:val="auto"/>
          <w:spacing w:val="7"/>
          <w:sz w:val="20"/>
          <w:szCs w:val="20"/>
          <w:highlight w:val="none"/>
          <w:u w:val="single"/>
          <w:lang w:eastAsia="zh-CN"/>
        </w:rPr>
        <w:t>。</w:t>
      </w:r>
    </w:p>
    <w:p w14:paraId="105A48F6">
      <w:pPr>
        <w:spacing w:before="287" w:line="360" w:lineRule="auto"/>
        <w:ind w:left="38"/>
        <w:jc w:val="left"/>
        <w:outlineLvl w:val="2"/>
        <w:rPr>
          <w:rFonts w:hint="eastAsia" w:ascii="宋体" w:hAnsi="宋体" w:eastAsia="宋体" w:cs="宋体"/>
          <w:color w:val="auto"/>
          <w:sz w:val="24"/>
          <w:szCs w:val="24"/>
          <w:highlight w:val="none"/>
        </w:rPr>
      </w:pPr>
      <w:bookmarkStart w:id="735" w:name="bookmark5"/>
      <w:bookmarkEnd w:id="735"/>
      <w:r>
        <w:rPr>
          <w:rFonts w:hint="eastAsia" w:ascii="宋体" w:hAnsi="宋体" w:eastAsia="宋体" w:cs="宋体"/>
          <w:color w:val="auto"/>
          <w:spacing w:val="-6"/>
          <w:sz w:val="24"/>
          <w:szCs w:val="24"/>
          <w:highlight w:val="none"/>
        </w:rPr>
        <w:t>1.6</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图纸和承包人文件</w:t>
      </w:r>
    </w:p>
    <w:p w14:paraId="567A9C21">
      <w:pPr>
        <w:spacing w:before="295"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1.6.1</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2"/>
          <w:sz w:val="20"/>
          <w:szCs w:val="20"/>
          <w:highlight w:val="none"/>
        </w:rPr>
        <w:t>图纸的提供</w:t>
      </w:r>
    </w:p>
    <w:p w14:paraId="76692E52">
      <w:pPr>
        <w:spacing w:before="162" w:line="360" w:lineRule="auto"/>
        <w:ind w:left="648" w:right="28" w:hanging="199"/>
        <w:jc w:val="left"/>
        <w:rPr>
          <w:rFonts w:hint="eastAsia" w:ascii="宋体" w:hAnsi="宋体" w:eastAsia="宋体" w:cs="宋体"/>
          <w:color w:val="auto"/>
          <w:spacing w:val="5"/>
          <w:sz w:val="20"/>
          <w:szCs w:val="20"/>
          <w:highlight w:val="none"/>
          <w:u w:val="single" w:color="auto"/>
        </w:rPr>
      </w:pPr>
      <w:r>
        <w:rPr>
          <w:rFonts w:hint="eastAsia" w:ascii="宋体" w:hAnsi="宋体" w:eastAsia="宋体" w:cs="宋体"/>
          <w:color w:val="auto"/>
          <w:spacing w:val="6"/>
          <w:sz w:val="20"/>
          <w:szCs w:val="20"/>
          <w:highlight w:val="none"/>
        </w:rPr>
        <w:t>（5）发包人提供图纸的期限：</w:t>
      </w:r>
      <w:r>
        <w:rPr>
          <w:rFonts w:hint="eastAsia" w:ascii="宋体" w:hAnsi="宋体" w:eastAsia="宋体" w:cs="宋体"/>
          <w:color w:val="auto"/>
          <w:spacing w:val="7"/>
          <w:sz w:val="20"/>
          <w:szCs w:val="20"/>
          <w:highlight w:val="none"/>
          <w:u w:val="single"/>
          <w:lang w:val="en-US" w:eastAsia="zh-CN"/>
        </w:rPr>
        <w:t>开工前10天内提供施工图</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6"/>
          <w:sz w:val="20"/>
          <w:szCs w:val="20"/>
          <w:highlight w:val="none"/>
        </w:rPr>
        <w:t>发包人提供图纸的数量：</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
          <w:sz w:val="20"/>
          <w:szCs w:val="20"/>
          <w:highlight w:val="none"/>
          <w:u w:val="single"/>
          <w:lang w:eastAsia="zh-CN"/>
        </w:rPr>
        <w:t>发包人向承包人提供1套施工图。若承包人需要增加图纸套数的，由承包人自行复制，并承担相关费用</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6"/>
          <w:sz w:val="20"/>
          <w:szCs w:val="20"/>
          <w:highlight w:val="none"/>
          <w:u w:val="single" w:color="auto"/>
          <w:lang w:eastAsia="zh-CN"/>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p>
    <w:p w14:paraId="0F0E2F3B">
      <w:pPr>
        <w:spacing w:before="162" w:line="360" w:lineRule="auto"/>
        <w:ind w:left="680" w:leftChars="324" w:right="28" w:firstLine="10" w:firstLineChars="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其他约定：</w:t>
      </w:r>
      <w:r>
        <w:rPr>
          <w:rFonts w:hint="eastAsia" w:ascii="宋体" w:hAnsi="宋体" w:eastAsia="宋体" w:cs="宋体"/>
          <w:color w:val="auto"/>
          <w:spacing w:val="7"/>
          <w:sz w:val="20"/>
          <w:szCs w:val="20"/>
          <w:highlight w:val="none"/>
          <w:u w:val="single"/>
          <w:lang w:eastAsia="zh-CN"/>
        </w:rPr>
        <w:t>1.未经发包人同意，不得提供给第三方使用。2.承包人接到施工图纸后要尽快组织技术人员熟悉施工图纸，对于不明确的事项及时提出，避免施工过程中出现问题影响工期。</w:t>
      </w:r>
      <w:r>
        <w:rPr>
          <w:rFonts w:hint="eastAsia" w:ascii="宋体" w:hAnsi="宋体" w:eastAsia="宋体" w:cs="宋体"/>
          <w:color w:val="auto"/>
          <w:spacing w:val="6"/>
          <w:sz w:val="20"/>
          <w:szCs w:val="20"/>
          <w:highlight w:val="none"/>
          <w:u w:val="single" w:color="auto"/>
          <w:lang w:eastAsia="zh-CN"/>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158F53A5">
      <w:pPr>
        <w:spacing w:before="1"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1.6.2  承包人提供的文件</w:t>
      </w:r>
    </w:p>
    <w:p w14:paraId="48E6D4E9">
      <w:pPr>
        <w:spacing w:before="161" w:line="360" w:lineRule="auto"/>
        <w:ind w:left="449"/>
        <w:jc w:val="left"/>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5"/>
          <w:sz w:val="20"/>
          <w:szCs w:val="20"/>
          <w:highlight w:val="none"/>
        </w:rPr>
        <w:t>由承包人提供的文件范围：</w:t>
      </w:r>
    </w:p>
    <w:p w14:paraId="2F8D3725">
      <w:pPr>
        <w:spacing w:before="146" w:line="360" w:lineRule="auto"/>
        <w:ind w:left="509"/>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7"/>
          <w:sz w:val="20"/>
          <w:szCs w:val="20"/>
          <w:highlight w:val="none"/>
          <w:u w:val="single"/>
          <w:lang w:eastAsia="zh-CN"/>
        </w:rPr>
        <w:t>1.详细的施工组织设计方案、施工进度计划(包括但不限于整体工程的总进度、机械设备、劳动力安排计划表及月形象进度施工计划表)、安全文明施工管理制度、工程保险证明等监理人、承包人认为必要的资料。</w:t>
      </w:r>
    </w:p>
    <w:p w14:paraId="35FC6692">
      <w:pPr>
        <w:spacing w:before="146" w:line="360" w:lineRule="auto"/>
        <w:ind w:left="509"/>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7"/>
          <w:sz w:val="20"/>
          <w:szCs w:val="20"/>
          <w:highlight w:val="none"/>
          <w:u w:val="single"/>
          <w:lang w:eastAsia="zh-CN"/>
        </w:rPr>
        <w:t>2.满足工程相关行政审批手续所必须的应由承包人负责的相关文件和竣工文件等资料。</w:t>
      </w:r>
    </w:p>
    <w:p w14:paraId="24620A40">
      <w:pPr>
        <w:spacing w:before="146" w:line="360" w:lineRule="auto"/>
        <w:ind w:left="509"/>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7"/>
          <w:sz w:val="20"/>
          <w:szCs w:val="20"/>
          <w:highlight w:val="none"/>
          <w:u w:val="single"/>
          <w:lang w:eastAsia="zh-CN"/>
        </w:rPr>
        <w:t>3.其他应由承包人提供的文件还包括：</w:t>
      </w:r>
    </w:p>
    <w:p w14:paraId="3F6D7090">
      <w:pPr>
        <w:spacing w:before="162" w:line="360" w:lineRule="auto"/>
        <w:ind w:left="648" w:right="28" w:hanging="199"/>
        <w:jc w:val="left"/>
        <w:rPr>
          <w:rFonts w:hint="eastAsia" w:ascii="宋体" w:hAnsi="宋体" w:eastAsia="宋体" w:cs="宋体"/>
          <w:color w:val="auto"/>
          <w:spacing w:val="6"/>
          <w:sz w:val="20"/>
          <w:szCs w:val="20"/>
          <w:highlight w:val="none"/>
          <w:u w:val="single" w:color="auto"/>
          <w:lang w:eastAsia="zh-CN"/>
        </w:rPr>
      </w:pPr>
      <w:r>
        <w:rPr>
          <w:rFonts w:hint="eastAsia" w:ascii="宋体" w:hAnsi="宋体" w:eastAsia="宋体" w:cs="宋体"/>
          <w:color w:val="auto"/>
          <w:spacing w:val="7"/>
          <w:sz w:val="20"/>
          <w:szCs w:val="20"/>
          <w:highlight w:val="none"/>
          <w:u w:val="single"/>
          <w:lang w:eastAsia="zh-CN"/>
        </w:rPr>
        <w:t>a.深化施工图纸(如果有)、必要的加工图和大样图等；b.危险性较大的分部分项工程专项施工方案、专家论证会全套材料；c.经各方确认的竣工图纸。</w:t>
      </w:r>
    </w:p>
    <w:p w14:paraId="64B8F9F8">
      <w:pPr>
        <w:spacing w:before="162" w:line="360" w:lineRule="auto"/>
        <w:ind w:left="648" w:right="28" w:hanging="199"/>
        <w:jc w:val="left"/>
        <w:rPr>
          <w:rFonts w:hint="eastAsia" w:ascii="宋体" w:hAnsi="宋体" w:eastAsia="宋体" w:cs="宋体"/>
          <w:color w:val="auto"/>
          <w:spacing w:val="6"/>
          <w:sz w:val="20"/>
          <w:szCs w:val="20"/>
          <w:highlight w:val="none"/>
          <w:u w:val="single" w:color="auto"/>
          <w:lang w:eastAsia="zh-CN"/>
        </w:rPr>
      </w:pPr>
      <w:r>
        <w:rPr>
          <w:rFonts w:hint="eastAsia" w:ascii="宋体" w:hAnsi="宋体" w:eastAsia="宋体" w:cs="宋体"/>
          <w:color w:val="auto"/>
          <w:spacing w:val="7"/>
          <w:sz w:val="20"/>
          <w:szCs w:val="20"/>
          <w:highlight w:val="none"/>
          <w:u w:val="single"/>
          <w:lang w:eastAsia="zh-CN"/>
        </w:rPr>
        <w:t>4.项目风险源识别清单及应急预案。</w:t>
      </w:r>
    </w:p>
    <w:p w14:paraId="48B36583">
      <w:pPr>
        <w:spacing w:before="160"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承包人提供文件的期限：</w:t>
      </w:r>
      <w:r>
        <w:rPr>
          <w:rFonts w:hint="eastAsia" w:ascii="宋体" w:hAnsi="宋体" w:eastAsia="宋体" w:cs="宋体"/>
          <w:color w:val="auto"/>
          <w:spacing w:val="7"/>
          <w:sz w:val="20"/>
          <w:szCs w:val="20"/>
          <w:highlight w:val="none"/>
          <w:u w:val="single"/>
          <w:lang w:eastAsia="zh-CN"/>
        </w:rPr>
        <w:t>在通用合同条款第11.1.1项发出的开工通知后7天内提供施工组织设计方案、施工进度计划、安全文明施工管理制度，每月25日提供下月进度计划报表，其他文件的提供期限执行发包人要求。</w:t>
      </w:r>
    </w:p>
    <w:p w14:paraId="0EC0DFF9">
      <w:pPr>
        <w:spacing w:before="161" w:line="360" w:lineRule="auto"/>
        <w:ind w:left="439"/>
        <w:jc w:val="left"/>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rPr>
        <w:t>承包人提供文件的数量：</w:t>
      </w:r>
      <w:r>
        <w:rPr>
          <w:rFonts w:hint="eastAsia" w:ascii="宋体" w:hAnsi="宋体" w:eastAsia="宋体" w:cs="宋体"/>
          <w:color w:val="auto"/>
          <w:spacing w:val="7"/>
          <w:sz w:val="20"/>
          <w:szCs w:val="20"/>
          <w:highlight w:val="none"/>
          <w:u w:val="single"/>
          <w:lang w:eastAsia="zh-CN"/>
        </w:rPr>
        <w:t xml:space="preserve">至少一式四份。 </w:t>
      </w:r>
      <w:r>
        <w:rPr>
          <w:rFonts w:hint="eastAsia" w:ascii="宋体" w:hAnsi="宋体" w:eastAsia="宋体" w:cs="宋体"/>
          <w:color w:val="auto"/>
          <w:spacing w:val="6"/>
          <w:sz w:val="20"/>
          <w:szCs w:val="20"/>
          <w:highlight w:val="none"/>
          <w:u w:val="none" w:color="auto"/>
          <w:lang w:eastAsia="zh-CN"/>
        </w:rPr>
        <w:t xml:space="preserve"> </w:t>
      </w:r>
      <w:r>
        <w:rPr>
          <w:rFonts w:hint="eastAsia" w:ascii="宋体" w:hAnsi="宋体" w:eastAsia="宋体" w:cs="宋体"/>
          <w:color w:val="auto"/>
          <w:sz w:val="20"/>
          <w:szCs w:val="20"/>
          <w:highlight w:val="none"/>
          <w:u w:val="none" w:color="auto"/>
        </w:rPr>
        <w:t xml:space="preserve">                                        </w:t>
      </w:r>
      <w:r>
        <w:rPr>
          <w:rFonts w:hint="eastAsia" w:ascii="宋体" w:hAnsi="宋体" w:eastAsia="宋体" w:cs="宋体"/>
          <w:color w:val="auto"/>
          <w:sz w:val="20"/>
          <w:szCs w:val="20"/>
          <w:highlight w:val="none"/>
          <w:u w:val="single" w:color="auto"/>
        </w:rPr>
        <w:t xml:space="preserve">              </w:t>
      </w:r>
    </w:p>
    <w:p w14:paraId="7BD0B88A">
      <w:pPr>
        <w:spacing w:before="161" w:line="360" w:lineRule="auto"/>
        <w:ind w:left="440"/>
        <w:jc w:val="left"/>
        <w:rPr>
          <w:rFonts w:hint="eastAsia" w:ascii="宋体" w:hAnsi="宋体" w:eastAsia="宋体" w:cs="宋体"/>
          <w:color w:val="auto"/>
          <w:spacing w:val="7"/>
          <w:sz w:val="20"/>
          <w:szCs w:val="20"/>
          <w:highlight w:val="none"/>
          <w:u w:val="single"/>
        </w:rPr>
      </w:pPr>
      <w:r>
        <w:rPr>
          <w:rFonts w:hint="eastAsia" w:ascii="宋体" w:hAnsi="宋体" w:eastAsia="宋体" w:cs="宋体"/>
          <w:color w:val="auto"/>
          <w:spacing w:val="9"/>
          <w:sz w:val="20"/>
          <w:szCs w:val="20"/>
          <w:highlight w:val="none"/>
        </w:rPr>
        <w:t>监理人批复承包人提供文件的期限</w:t>
      </w:r>
      <w:r>
        <w:rPr>
          <w:rFonts w:hint="eastAsia" w:ascii="宋体" w:hAnsi="宋体" w:eastAsia="宋体" w:cs="宋体"/>
          <w:color w:val="auto"/>
          <w:spacing w:val="7"/>
          <w:sz w:val="20"/>
          <w:szCs w:val="20"/>
          <w:highlight w:val="none"/>
          <w:u w:val="single"/>
        </w:rPr>
        <w:t>：</w:t>
      </w:r>
      <w:r>
        <w:rPr>
          <w:rFonts w:hint="eastAsia" w:ascii="宋体" w:hAnsi="宋体" w:eastAsia="宋体" w:cs="宋体"/>
          <w:color w:val="auto"/>
          <w:spacing w:val="7"/>
          <w:sz w:val="20"/>
          <w:szCs w:val="20"/>
          <w:highlight w:val="none"/>
          <w:u w:val="single"/>
          <w:lang w:eastAsia="zh-CN"/>
        </w:rPr>
        <w:t>收到承包人报送的上述文件之后7日内。监理人对承包人文件有异议的，承包人应予以修改，并重新报监理人。监理人的审查并不减轻或免除承包人根据合同约定承担的责任。</w:t>
      </w:r>
    </w:p>
    <w:p w14:paraId="18C88764">
      <w:pPr>
        <w:spacing w:before="162" w:line="360" w:lineRule="auto"/>
        <w:ind w:left="440"/>
        <w:jc w:val="left"/>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其他约定：</w:t>
      </w:r>
      <w:r>
        <w:rPr>
          <w:rFonts w:hint="eastAsia" w:ascii="宋体" w:hAnsi="宋体" w:eastAsia="宋体" w:cs="宋体"/>
          <w:color w:val="auto"/>
          <w:spacing w:val="7"/>
          <w:sz w:val="20"/>
          <w:szCs w:val="20"/>
          <w:highlight w:val="none"/>
          <w:u w:val="single"/>
          <w:lang w:eastAsia="zh-CN"/>
        </w:rPr>
        <w:t>承包人提供的文件形式为书面形式及其相应的电子文档。</w:t>
      </w:r>
      <w:r>
        <w:rPr>
          <w:rFonts w:hint="eastAsia" w:ascii="宋体" w:hAnsi="宋体" w:eastAsia="宋体" w:cs="宋体"/>
          <w:color w:val="auto"/>
          <w:spacing w:val="4"/>
          <w:sz w:val="20"/>
          <w:szCs w:val="20"/>
          <w:highlight w:val="none"/>
          <w:u w:val="none" w:color="auto"/>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6F26DC72">
      <w:pPr>
        <w:spacing w:before="287" w:line="360" w:lineRule="auto"/>
        <w:ind w:left="38"/>
        <w:jc w:val="left"/>
        <w:outlineLvl w:val="2"/>
        <w:rPr>
          <w:rFonts w:hint="eastAsia" w:ascii="宋体" w:hAnsi="宋体" w:eastAsia="宋体" w:cs="宋体"/>
          <w:color w:val="auto"/>
          <w:sz w:val="24"/>
          <w:szCs w:val="24"/>
          <w:highlight w:val="none"/>
        </w:rPr>
      </w:pPr>
      <w:bookmarkStart w:id="736" w:name="bookmark6"/>
      <w:bookmarkEnd w:id="736"/>
      <w:r>
        <w:rPr>
          <w:rFonts w:hint="eastAsia" w:ascii="宋体" w:hAnsi="宋体" w:eastAsia="宋体" w:cs="宋体"/>
          <w:color w:val="auto"/>
          <w:spacing w:val="-8"/>
          <w:sz w:val="24"/>
          <w:szCs w:val="24"/>
          <w:highlight w:val="none"/>
        </w:rPr>
        <w:t>1.7</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8"/>
          <w:sz w:val="24"/>
          <w:szCs w:val="24"/>
          <w:highlight w:val="none"/>
        </w:rPr>
        <w:t>络</w:t>
      </w:r>
    </w:p>
    <w:p w14:paraId="710BD30D">
      <w:pPr>
        <w:spacing w:before="292"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1.7.2  联络来往函件的送达和接收</w:t>
      </w:r>
    </w:p>
    <w:p w14:paraId="2A4E70FA">
      <w:pPr>
        <w:spacing w:before="160" w:line="360" w:lineRule="auto"/>
        <w:ind w:left="588" w:right="12" w:hanging="139"/>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（2）发包人指定的接收地点：</w:t>
      </w:r>
      <w:r>
        <w:rPr>
          <w:rFonts w:hint="eastAsia" w:ascii="宋体" w:hAnsi="宋体" w:eastAsia="宋体" w:cs="宋体"/>
          <w:color w:val="auto"/>
          <w:spacing w:val="7"/>
          <w:sz w:val="20"/>
          <w:szCs w:val="20"/>
          <w:highlight w:val="none"/>
          <w:u w:val="single"/>
          <w:lang w:eastAsia="zh-CN"/>
        </w:rPr>
        <w:t>海淀区温泉路</w:t>
      </w:r>
      <w:r>
        <w:rPr>
          <w:rFonts w:hint="eastAsia" w:ascii="宋体" w:hAnsi="宋体" w:eastAsia="宋体" w:cs="宋体"/>
          <w:color w:val="auto"/>
          <w:spacing w:val="7"/>
          <w:sz w:val="20"/>
          <w:szCs w:val="20"/>
          <w:highlight w:val="none"/>
          <w:u w:val="single"/>
          <w:lang w:val="en-US" w:eastAsia="zh-CN"/>
        </w:rPr>
        <w:t>15号院内后勤办公区规划建设管理部。</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
          <w:sz w:val="20"/>
          <w:szCs w:val="20"/>
          <w:highlight w:val="none"/>
        </w:rPr>
        <w:t>发包人指定的接收人为：</w:t>
      </w:r>
      <w:r>
        <w:rPr>
          <w:rFonts w:hint="eastAsia" w:ascii="宋体" w:hAnsi="宋体" w:eastAsia="宋体" w:cs="宋体"/>
          <w:color w:val="auto"/>
          <w:spacing w:val="7"/>
          <w:sz w:val="20"/>
          <w:szCs w:val="20"/>
          <w:highlight w:val="none"/>
          <w:u w:val="single"/>
          <w:lang w:val="en-US" w:eastAsia="zh-CN"/>
        </w:rPr>
        <w:t>单丹丹</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z w:val="20"/>
          <w:szCs w:val="20"/>
          <w:highlight w:val="none"/>
          <w:u w:val="single" w:color="auto"/>
        </w:rPr>
        <w:t xml:space="preserve">                                                  </w:t>
      </w:r>
    </w:p>
    <w:p w14:paraId="5E8F2242">
      <w:pPr>
        <w:spacing w:before="159" w:line="360" w:lineRule="auto"/>
        <w:ind w:left="586" w:right="12" w:hanging="137"/>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（3）监理人指定的接收地点：</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7"/>
          <w:sz w:val="20"/>
          <w:szCs w:val="20"/>
          <w:highlight w:val="none"/>
          <w:u w:val="single"/>
          <w:lang w:eastAsia="zh-CN"/>
        </w:rPr>
        <w:t>海淀区温泉路</w:t>
      </w:r>
      <w:r>
        <w:rPr>
          <w:rFonts w:hint="eastAsia" w:ascii="宋体" w:hAnsi="宋体" w:eastAsia="宋体" w:cs="宋体"/>
          <w:color w:val="auto"/>
          <w:spacing w:val="7"/>
          <w:sz w:val="20"/>
          <w:szCs w:val="20"/>
          <w:highlight w:val="none"/>
          <w:u w:val="single"/>
          <w:lang w:val="en-US" w:eastAsia="zh-CN"/>
        </w:rPr>
        <w:t>15号院内项目监理部。</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
          <w:sz w:val="20"/>
          <w:szCs w:val="20"/>
          <w:highlight w:val="none"/>
        </w:rPr>
        <w:t>监理人指定的接收人为：</w:t>
      </w:r>
      <w:r>
        <w:rPr>
          <w:rFonts w:hint="eastAsia" w:ascii="宋体" w:hAnsi="宋体" w:eastAsia="宋体" w:cs="宋体"/>
          <w:color w:val="auto"/>
          <w:spacing w:val="7"/>
          <w:sz w:val="20"/>
          <w:szCs w:val="20"/>
          <w:highlight w:val="none"/>
          <w:u w:val="single"/>
          <w:lang w:eastAsia="zh-CN"/>
        </w:rPr>
        <w:t xml:space="preserve">监理公司项目部指定人员。  </w:t>
      </w:r>
      <w:r>
        <w:rPr>
          <w:rFonts w:hint="eastAsia" w:ascii="宋体" w:hAnsi="宋体" w:eastAsia="宋体" w:cs="宋体"/>
          <w:color w:val="auto"/>
          <w:spacing w:val="6"/>
          <w:sz w:val="20"/>
          <w:szCs w:val="20"/>
          <w:highlight w:val="none"/>
          <w:u w:val="single" w:color="auto"/>
          <w:lang w:eastAsia="zh-CN"/>
        </w:rPr>
        <w:t xml:space="preserve">    </w:t>
      </w:r>
      <w:r>
        <w:rPr>
          <w:rFonts w:hint="eastAsia" w:ascii="宋体" w:hAnsi="宋体" w:eastAsia="宋体" w:cs="宋体"/>
          <w:color w:val="auto"/>
          <w:sz w:val="20"/>
          <w:szCs w:val="20"/>
          <w:highlight w:val="none"/>
          <w:u w:val="single" w:color="auto"/>
        </w:rPr>
        <w:t xml:space="preserve">                       </w:t>
      </w:r>
    </w:p>
    <w:p w14:paraId="6B19A47D">
      <w:pPr>
        <w:pStyle w:val="255"/>
        <w:spacing w:before="65" w:line="360" w:lineRule="auto"/>
        <w:ind w:left="438"/>
        <w:jc w:val="left"/>
        <w:rPr>
          <w:rFonts w:hint="eastAsia" w:ascii="宋体" w:hAnsi="宋体" w:eastAsia="宋体" w:cs="宋体"/>
          <w:color w:val="auto"/>
          <w:highlight w:val="none"/>
        </w:rPr>
      </w:pPr>
      <w:r>
        <w:rPr>
          <w:rFonts w:hint="eastAsia" w:ascii="宋体" w:hAnsi="宋体" w:eastAsia="宋体" w:cs="宋体"/>
          <w:color w:val="auto"/>
          <w:spacing w:val="5"/>
          <w:highlight w:val="none"/>
        </w:rPr>
        <w:t>（4）承包人指定的接收地点：</w:t>
      </w:r>
      <w:r>
        <w:rPr>
          <w:rFonts w:hint="eastAsia" w:ascii="宋体" w:hAnsi="宋体" w:eastAsia="宋体" w:cs="宋体"/>
          <w:snapToGrid w:val="0"/>
          <w:color w:val="auto"/>
          <w:spacing w:val="7"/>
          <w:kern w:val="0"/>
          <w:sz w:val="20"/>
          <w:szCs w:val="20"/>
          <w:highlight w:val="none"/>
          <w:u w:val="single"/>
          <w:lang w:val="en-US" w:eastAsia="zh-CN" w:bidi="ar-SA"/>
        </w:rPr>
        <w:t>施工场地管理机构办公地点。</w:t>
      </w:r>
      <w:r>
        <w:rPr>
          <w:rFonts w:hint="eastAsia" w:ascii="宋体" w:hAnsi="宋体" w:eastAsia="宋体" w:cs="宋体"/>
          <w:snapToGrid w:val="0"/>
          <w:color w:val="auto"/>
          <w:spacing w:val="6"/>
          <w:kern w:val="0"/>
          <w:sz w:val="20"/>
          <w:szCs w:val="20"/>
          <w:highlight w:val="none"/>
          <w:u w:val="single" w:color="auto"/>
          <w:lang w:val="en-US" w:eastAsia="zh-CN" w:bidi="ar-SA"/>
        </w:rPr>
        <w:t xml:space="preserve">  </w:t>
      </w:r>
      <w:r>
        <w:rPr>
          <w:rFonts w:hint="eastAsia" w:ascii="宋体" w:hAnsi="宋体" w:eastAsia="宋体" w:cs="宋体"/>
          <w:color w:val="auto"/>
          <w:spacing w:val="5"/>
          <w:highlight w:val="none"/>
          <w:u w:val="single" w:color="auto"/>
        </w:rPr>
        <w:t xml:space="preserve">   </w:t>
      </w:r>
      <w:r>
        <w:rPr>
          <w:rFonts w:hint="eastAsia" w:ascii="宋体" w:hAnsi="宋体" w:eastAsia="宋体" w:cs="宋体"/>
          <w:color w:val="auto"/>
          <w:spacing w:val="4"/>
          <w:highlight w:val="none"/>
          <w:u w:val="single" w:color="auto"/>
        </w:rPr>
        <w:t xml:space="preserve">                                            </w:t>
      </w:r>
    </w:p>
    <w:p w14:paraId="6801EA93">
      <w:pPr>
        <w:pStyle w:val="255"/>
        <w:spacing w:before="284" w:line="360" w:lineRule="auto"/>
        <w:ind w:left="27"/>
        <w:jc w:val="left"/>
        <w:outlineLvl w:val="2"/>
        <w:rPr>
          <w:rFonts w:hint="eastAsia" w:ascii="宋体" w:hAnsi="宋体" w:eastAsia="宋体" w:cs="宋体"/>
          <w:color w:val="auto"/>
          <w:sz w:val="24"/>
          <w:szCs w:val="24"/>
          <w:highlight w:val="none"/>
        </w:rPr>
      </w:pPr>
      <w:bookmarkStart w:id="737" w:name="bookmark7"/>
      <w:bookmarkEnd w:id="737"/>
      <w:r>
        <w:rPr>
          <w:rFonts w:hint="eastAsia" w:ascii="宋体" w:hAnsi="宋体" w:eastAsia="宋体" w:cs="宋体"/>
          <w:color w:val="auto"/>
          <w:spacing w:val="-1"/>
          <w:sz w:val="24"/>
          <w:szCs w:val="24"/>
          <w:highlight w:val="none"/>
        </w:rPr>
        <w:t>1.13  工程量清单缺陷引起的价格调整（适用于采用单价合同形式）</w:t>
      </w:r>
    </w:p>
    <w:p w14:paraId="1D17A30E">
      <w:pPr>
        <w:pStyle w:val="255"/>
        <w:spacing w:before="299" w:line="360" w:lineRule="auto"/>
        <w:ind w:left="445"/>
        <w:jc w:val="left"/>
        <w:rPr>
          <w:rFonts w:hint="eastAsia" w:ascii="宋体" w:hAnsi="宋体" w:eastAsia="宋体" w:cs="宋体"/>
          <w:color w:val="auto"/>
          <w:highlight w:val="none"/>
        </w:rPr>
      </w:pPr>
      <w:r>
        <w:rPr>
          <w:rFonts w:hint="eastAsia" w:ascii="宋体" w:hAnsi="宋体" w:eastAsia="宋体" w:cs="宋体"/>
          <w:color w:val="auto"/>
          <w:spacing w:val="7"/>
          <w:highlight w:val="none"/>
        </w:rPr>
        <w:t>因工程量清单缺陷引起的价格调整办法：</w:t>
      </w:r>
    </w:p>
    <w:p w14:paraId="040DAE9D">
      <w:pPr>
        <w:pStyle w:val="255"/>
        <w:spacing w:before="162" w:line="360" w:lineRule="auto"/>
        <w:ind w:left="438"/>
        <w:jc w:val="left"/>
        <w:rPr>
          <w:rFonts w:hint="eastAsia" w:ascii="宋体" w:hAnsi="宋体" w:eastAsia="宋体" w:cs="宋体"/>
          <w:color w:val="auto"/>
          <w:highlight w:val="none"/>
        </w:rPr>
      </w:pPr>
      <w:r>
        <w:rPr>
          <w:rFonts w:hint="eastAsia" w:ascii="宋体" w:hAnsi="宋体" w:eastAsia="宋体" w:cs="宋体"/>
          <w:color w:val="auto"/>
          <w:spacing w:val="7"/>
          <w:highlight w:val="none"/>
        </w:rPr>
        <w:t>（1）</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7"/>
          <w:highlight w:val="none"/>
        </w:rPr>
        <w:t>以项计价的分部分项工程清单项目不应重新计量及调整。</w:t>
      </w:r>
    </w:p>
    <w:p w14:paraId="59EBAB54">
      <w:pPr>
        <w:pStyle w:val="255"/>
        <w:spacing w:before="161" w:line="360" w:lineRule="auto"/>
        <w:ind w:left="438"/>
        <w:jc w:val="left"/>
        <w:rPr>
          <w:rFonts w:hint="eastAsia" w:ascii="宋体" w:hAnsi="宋体" w:eastAsia="宋体" w:cs="宋体"/>
          <w:color w:val="auto"/>
          <w:highlight w:val="none"/>
        </w:rPr>
      </w:pPr>
      <w:r>
        <w:rPr>
          <w:rFonts w:hint="eastAsia" w:ascii="宋体" w:hAnsi="宋体" w:eastAsia="宋体" w:cs="宋体"/>
          <w:color w:val="auto"/>
          <w:spacing w:val="1"/>
          <w:highlight w:val="none"/>
        </w:rPr>
        <w:t>（2）</w:t>
      </w:r>
      <w:r>
        <w:rPr>
          <w:rFonts w:hint="eastAsia" w:ascii="宋体" w:hAnsi="宋体" w:eastAsia="宋体" w:cs="宋体"/>
          <w:color w:val="auto"/>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zh-CN" w:bidi="ar-SA"/>
        </w:rPr>
        <w:t xml:space="preserve">/  </w:t>
      </w:r>
      <w:r>
        <w:rPr>
          <w:rFonts w:hint="eastAsia" w:ascii="宋体" w:hAnsi="宋体" w:eastAsia="宋体" w:cs="宋体"/>
          <w:color w:val="auto"/>
          <w:highlight w:val="none"/>
          <w:u w:val="single" w:color="auto"/>
        </w:rPr>
        <w:t xml:space="preserve">                                                                     </w:t>
      </w:r>
    </w:p>
    <w:p w14:paraId="6842B8D3">
      <w:pPr>
        <w:pStyle w:val="255"/>
        <w:spacing w:before="272" w:line="360" w:lineRule="auto"/>
        <w:ind w:left="27"/>
        <w:jc w:val="left"/>
        <w:outlineLvl w:val="2"/>
        <w:rPr>
          <w:rFonts w:hint="eastAsia" w:ascii="宋体" w:hAnsi="宋体" w:eastAsia="宋体" w:cs="宋体"/>
          <w:color w:val="auto"/>
          <w:sz w:val="24"/>
          <w:szCs w:val="24"/>
          <w:highlight w:val="none"/>
        </w:rPr>
      </w:pPr>
      <w:bookmarkStart w:id="738" w:name="bookmark8"/>
      <w:bookmarkEnd w:id="738"/>
      <w:r>
        <w:rPr>
          <w:rFonts w:hint="eastAsia" w:ascii="宋体" w:hAnsi="宋体" w:eastAsia="宋体" w:cs="宋体"/>
          <w:color w:val="auto"/>
          <w:spacing w:val="-1"/>
          <w:sz w:val="24"/>
          <w:szCs w:val="24"/>
          <w:highlight w:val="none"/>
        </w:rPr>
        <w:t>1.13  暂定数量单价计价项目的价格调整（适用于采用总价合同形式）</w:t>
      </w:r>
    </w:p>
    <w:p w14:paraId="10013BC3">
      <w:pPr>
        <w:pStyle w:val="255"/>
        <w:spacing w:before="299" w:line="360" w:lineRule="auto"/>
        <w:ind w:left="431"/>
        <w:jc w:val="left"/>
        <w:rPr>
          <w:rFonts w:hint="eastAsia" w:ascii="宋体" w:hAnsi="宋体" w:eastAsia="宋体" w:cs="宋体"/>
          <w:snapToGrid w:val="0"/>
          <w:color w:val="auto"/>
          <w:spacing w:val="7"/>
          <w:kern w:val="0"/>
          <w:sz w:val="20"/>
          <w:szCs w:val="20"/>
          <w:highlight w:val="none"/>
          <w:u w:val="single"/>
          <w:lang w:val="en-US" w:eastAsia="en-US" w:bidi="ar-SA"/>
        </w:rPr>
      </w:pPr>
      <w:r>
        <w:rPr>
          <w:rFonts w:hint="eastAsia" w:ascii="宋体" w:hAnsi="宋体" w:eastAsia="宋体" w:cs="宋体"/>
          <w:color w:val="auto"/>
          <w:spacing w:val="10"/>
          <w:highlight w:val="none"/>
        </w:rPr>
        <w:t>分部分项工程项目清单工程量为暂定数量单</w:t>
      </w:r>
      <w:r>
        <w:rPr>
          <w:rFonts w:hint="eastAsia" w:ascii="宋体" w:hAnsi="宋体" w:eastAsia="宋体" w:cs="宋体"/>
          <w:color w:val="auto"/>
          <w:spacing w:val="9"/>
          <w:highlight w:val="none"/>
        </w:rPr>
        <w:t>价计价项目的价格调整办法：</w:t>
      </w:r>
      <w:r>
        <w:rPr>
          <w:rFonts w:hint="eastAsia" w:ascii="宋体" w:hAnsi="宋体" w:eastAsia="宋体" w:cs="宋体"/>
          <w:snapToGrid w:val="0"/>
          <w:color w:val="auto"/>
          <w:spacing w:val="7"/>
          <w:kern w:val="0"/>
          <w:sz w:val="20"/>
          <w:szCs w:val="20"/>
          <w:highlight w:val="none"/>
          <w:u w:val="single"/>
          <w:lang w:val="en-US" w:eastAsia="zh-CN" w:bidi="ar-SA"/>
        </w:rPr>
        <w:t>图纸涉及的工程内容不应重新计量及调整。 工程变更或洽商经济费小于3000元的不予支持计取，作为乙方让利，即仅做技术洽商。</w:t>
      </w:r>
    </w:p>
    <w:p w14:paraId="18111011">
      <w:pPr>
        <w:spacing w:before="159" w:line="360" w:lineRule="auto"/>
        <w:ind w:right="12"/>
        <w:jc w:val="left"/>
        <w:rPr>
          <w:rFonts w:hint="eastAsia" w:ascii="宋体" w:hAnsi="宋体" w:eastAsia="宋体" w:cs="宋体"/>
          <w:color w:val="auto"/>
          <w:sz w:val="20"/>
          <w:szCs w:val="20"/>
          <w:highlight w:val="none"/>
        </w:rPr>
      </w:pPr>
    </w:p>
    <w:p w14:paraId="084EC6EE">
      <w:pPr>
        <w:pStyle w:val="255"/>
        <w:spacing w:before="288" w:line="360" w:lineRule="auto"/>
        <w:ind w:left="14"/>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2.发包人义务</w:t>
      </w:r>
    </w:p>
    <w:p w14:paraId="433EC25F">
      <w:pPr>
        <w:spacing w:line="360" w:lineRule="auto"/>
        <w:jc w:val="left"/>
        <w:rPr>
          <w:rFonts w:hint="eastAsia" w:ascii="宋体" w:hAnsi="宋体" w:eastAsia="宋体" w:cs="宋体"/>
          <w:color w:val="auto"/>
          <w:sz w:val="21"/>
          <w:highlight w:val="none"/>
        </w:rPr>
      </w:pPr>
    </w:p>
    <w:p w14:paraId="62688FC4">
      <w:pPr>
        <w:pStyle w:val="255"/>
        <w:spacing w:before="78" w:line="360" w:lineRule="auto"/>
        <w:ind w:left="12"/>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  提供施工场地</w:t>
      </w:r>
    </w:p>
    <w:p w14:paraId="1A6A1743">
      <w:pPr>
        <w:pStyle w:val="255"/>
        <w:spacing w:before="299" w:line="360" w:lineRule="auto"/>
        <w:ind w:left="11" w:firstLine="420"/>
        <w:jc w:val="left"/>
        <w:rPr>
          <w:rFonts w:hint="eastAsia" w:ascii="宋体" w:hAnsi="宋体" w:eastAsia="宋体" w:cs="宋体"/>
          <w:color w:val="auto"/>
          <w:highlight w:val="none"/>
        </w:rPr>
      </w:pPr>
      <w:r>
        <w:rPr>
          <w:rFonts w:hint="eastAsia" w:ascii="宋体" w:hAnsi="宋体" w:eastAsia="宋体" w:cs="宋体"/>
          <w:color w:val="auto"/>
          <w:spacing w:val="7"/>
          <w:highlight w:val="none"/>
        </w:rPr>
        <w:t>发包人移交施工场地的期限：发包人应当将具备施工条件的施工场地，在监理人发出开工通知中载明的开工日期</w:t>
      </w:r>
      <w:r>
        <w:rPr>
          <w:rFonts w:hint="eastAsia" w:ascii="宋体" w:hAnsi="宋体" w:eastAsia="宋体" w:cs="宋体"/>
          <w:color w:val="auto"/>
          <w:spacing w:val="7"/>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zh-CN" w:bidi="ar-SA"/>
        </w:rPr>
        <w:t>7</w:t>
      </w:r>
      <w:r>
        <w:rPr>
          <w:rFonts w:hint="eastAsia" w:ascii="宋体" w:hAnsi="宋体" w:eastAsia="宋体" w:cs="宋体"/>
          <w:color w:val="auto"/>
          <w:spacing w:val="7"/>
          <w:highlight w:val="none"/>
          <w:u w:val="single" w:color="auto"/>
        </w:rPr>
        <w:t xml:space="preserve"> </w:t>
      </w:r>
      <w:r>
        <w:rPr>
          <w:rFonts w:hint="eastAsia" w:ascii="宋体" w:hAnsi="宋体" w:eastAsia="宋体" w:cs="宋体"/>
          <w:color w:val="auto"/>
          <w:spacing w:val="-76"/>
          <w:highlight w:val="none"/>
        </w:rPr>
        <w:t xml:space="preserve"> </w:t>
      </w:r>
      <w:r>
        <w:rPr>
          <w:rFonts w:hint="eastAsia" w:ascii="宋体" w:hAnsi="宋体" w:eastAsia="宋体" w:cs="宋体"/>
          <w:color w:val="auto"/>
          <w:spacing w:val="7"/>
          <w:highlight w:val="none"/>
        </w:rPr>
        <w:t>天前移交给承包人。</w:t>
      </w:r>
    </w:p>
    <w:p w14:paraId="16498FBF">
      <w:pPr>
        <w:pStyle w:val="255"/>
        <w:spacing w:before="121" w:line="360" w:lineRule="auto"/>
        <w:ind w:left="12"/>
        <w:jc w:val="left"/>
        <w:outlineLvl w:val="2"/>
        <w:rPr>
          <w:rFonts w:hint="eastAsia" w:ascii="宋体" w:hAnsi="宋体" w:eastAsia="宋体" w:cs="宋体"/>
          <w:color w:val="auto"/>
          <w:sz w:val="24"/>
          <w:szCs w:val="24"/>
          <w:highlight w:val="none"/>
        </w:rPr>
      </w:pPr>
      <w:bookmarkStart w:id="739" w:name="bookmark10"/>
      <w:bookmarkEnd w:id="739"/>
      <w:r>
        <w:rPr>
          <w:rFonts w:hint="eastAsia" w:ascii="宋体" w:hAnsi="宋体" w:eastAsia="宋体" w:cs="宋体"/>
          <w:color w:val="auto"/>
          <w:spacing w:val="-4"/>
          <w:sz w:val="24"/>
          <w:szCs w:val="24"/>
          <w:highlight w:val="none"/>
        </w:rPr>
        <w:t>2.8</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4"/>
          <w:sz w:val="24"/>
          <w:szCs w:val="24"/>
          <w:highlight w:val="none"/>
        </w:rPr>
        <w:t>向承包人提交支付担保</w:t>
      </w:r>
    </w:p>
    <w:p w14:paraId="6CDCC109">
      <w:pPr>
        <w:pStyle w:val="255"/>
        <w:spacing w:before="298" w:line="360" w:lineRule="auto"/>
        <w:ind w:left="438"/>
        <w:jc w:val="left"/>
        <w:rPr>
          <w:rFonts w:hint="eastAsia" w:ascii="宋体" w:hAnsi="宋体" w:eastAsia="宋体" w:cs="宋体"/>
          <w:color w:val="auto"/>
          <w:highlight w:val="none"/>
        </w:rPr>
      </w:pPr>
      <w:r>
        <w:rPr>
          <w:rFonts w:hint="eastAsia" w:ascii="宋体" w:hAnsi="宋体" w:eastAsia="宋体" w:cs="宋体"/>
          <w:color w:val="auto"/>
          <w:spacing w:val="8"/>
          <w:highlight w:val="none"/>
        </w:rPr>
        <w:t>（1）发包人向承包人提交支付担保的金额：</w:t>
      </w:r>
      <w:r>
        <w:rPr>
          <w:rFonts w:hint="eastAsia" w:ascii="宋体" w:hAnsi="宋体" w:eastAsia="宋体" w:cs="宋体"/>
          <w:color w:val="auto"/>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color w:val="auto"/>
          <w:highlight w:val="none"/>
          <w:u w:val="single" w:color="auto"/>
        </w:rPr>
        <w:t xml:space="preserve">                                    </w:t>
      </w:r>
    </w:p>
    <w:p w14:paraId="2683426D">
      <w:pPr>
        <w:pStyle w:val="255"/>
        <w:spacing w:before="285" w:line="360" w:lineRule="auto"/>
        <w:ind w:left="12"/>
        <w:jc w:val="left"/>
        <w:outlineLvl w:val="2"/>
        <w:rPr>
          <w:rFonts w:hint="eastAsia" w:ascii="宋体" w:hAnsi="宋体" w:eastAsia="宋体" w:cs="宋体"/>
          <w:color w:val="auto"/>
          <w:sz w:val="24"/>
          <w:szCs w:val="24"/>
          <w:highlight w:val="none"/>
        </w:rPr>
      </w:pPr>
      <w:bookmarkStart w:id="740" w:name="bookmark11"/>
      <w:bookmarkEnd w:id="740"/>
      <w:r>
        <w:rPr>
          <w:rFonts w:hint="eastAsia" w:ascii="宋体" w:hAnsi="宋体" w:eastAsia="宋体" w:cs="宋体"/>
          <w:color w:val="auto"/>
          <w:spacing w:val="-2"/>
          <w:sz w:val="24"/>
          <w:szCs w:val="24"/>
          <w:highlight w:val="none"/>
        </w:rPr>
        <w:t>2.13  其他义务</w:t>
      </w:r>
    </w:p>
    <w:p w14:paraId="4EF2D157">
      <w:pPr>
        <w:pStyle w:val="255"/>
        <w:spacing w:before="298" w:line="360" w:lineRule="auto"/>
        <w:ind w:left="432"/>
        <w:jc w:val="left"/>
        <w:rPr>
          <w:rFonts w:hint="eastAsia" w:ascii="宋体" w:hAnsi="宋体" w:eastAsia="宋体" w:cs="宋体"/>
          <w:snapToGrid w:val="0"/>
          <w:color w:val="auto"/>
          <w:spacing w:val="7"/>
          <w:kern w:val="0"/>
          <w:sz w:val="20"/>
          <w:szCs w:val="20"/>
          <w:highlight w:val="none"/>
          <w:u w:val="single"/>
          <w:lang w:val="en-US" w:eastAsia="en-US" w:bidi="ar-SA"/>
        </w:rPr>
      </w:pPr>
      <w:r>
        <w:rPr>
          <w:rFonts w:hint="eastAsia" w:ascii="宋体" w:hAnsi="宋体" w:eastAsia="宋体" w:cs="宋体"/>
          <w:color w:val="auto"/>
          <w:spacing w:val="5"/>
          <w:highlight w:val="none"/>
        </w:rPr>
        <w:t>发包人应当履行的其他义务：</w:t>
      </w:r>
      <w:r>
        <w:rPr>
          <w:rFonts w:hint="eastAsia" w:ascii="宋体" w:hAnsi="宋体" w:eastAsia="宋体" w:cs="宋体"/>
          <w:snapToGrid w:val="0"/>
          <w:color w:val="auto"/>
          <w:spacing w:val="7"/>
          <w:kern w:val="0"/>
          <w:sz w:val="20"/>
          <w:szCs w:val="20"/>
          <w:highlight w:val="none"/>
          <w:u w:val="single"/>
          <w:lang w:val="en-US" w:eastAsia="zh-CN" w:bidi="ar-SA"/>
        </w:rPr>
        <w:t xml:space="preserve">水、电、道路、临建由发包人指定接入位置，费用由承包人按北京市相关规定支付费用。  </w:t>
      </w:r>
      <w:r>
        <w:rPr>
          <w:rFonts w:hint="eastAsia" w:ascii="宋体" w:hAnsi="宋体" w:eastAsia="宋体" w:cs="宋体"/>
          <w:snapToGrid w:val="0"/>
          <w:color w:val="auto"/>
          <w:spacing w:val="7"/>
          <w:kern w:val="0"/>
          <w:sz w:val="20"/>
          <w:szCs w:val="20"/>
          <w:highlight w:val="none"/>
          <w:u w:val="single"/>
          <w:lang w:val="en-US" w:eastAsia="en-US" w:bidi="ar-SA"/>
        </w:rPr>
        <w:t xml:space="preserve">                                            </w:t>
      </w:r>
    </w:p>
    <w:p w14:paraId="3CB45D41">
      <w:pPr>
        <w:spacing w:line="360" w:lineRule="auto"/>
        <w:jc w:val="left"/>
        <w:rPr>
          <w:rFonts w:hint="eastAsia" w:ascii="宋体" w:hAnsi="宋体" w:eastAsia="宋体" w:cs="宋体"/>
          <w:snapToGrid w:val="0"/>
          <w:color w:val="auto"/>
          <w:spacing w:val="7"/>
          <w:kern w:val="0"/>
          <w:sz w:val="20"/>
          <w:szCs w:val="20"/>
          <w:highlight w:val="none"/>
          <w:u w:val="single"/>
          <w:lang w:val="en-US" w:eastAsia="en-US" w:bidi="ar-SA"/>
        </w:rPr>
      </w:pPr>
    </w:p>
    <w:p w14:paraId="53899D42">
      <w:pPr>
        <w:pStyle w:val="255"/>
        <w:spacing w:before="91" w:line="360" w:lineRule="auto"/>
        <w:ind w:left="17"/>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3.监理人</w:t>
      </w:r>
    </w:p>
    <w:p w14:paraId="455EA4E1">
      <w:pPr>
        <w:spacing w:line="360" w:lineRule="auto"/>
        <w:jc w:val="left"/>
        <w:rPr>
          <w:rFonts w:hint="eastAsia" w:ascii="宋体" w:hAnsi="宋体" w:eastAsia="宋体" w:cs="宋体"/>
          <w:color w:val="auto"/>
          <w:sz w:val="21"/>
          <w:highlight w:val="none"/>
        </w:rPr>
      </w:pPr>
    </w:p>
    <w:p w14:paraId="517C7090">
      <w:pPr>
        <w:pStyle w:val="255"/>
        <w:spacing w:before="78" w:line="360" w:lineRule="auto"/>
        <w:ind w:left="14"/>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3.1  监理人的职责和权力</w:t>
      </w:r>
    </w:p>
    <w:p w14:paraId="35CA916C">
      <w:pPr>
        <w:spacing w:before="159" w:line="360" w:lineRule="auto"/>
        <w:ind w:right="12"/>
        <w:jc w:val="left"/>
        <w:rPr>
          <w:rFonts w:hint="eastAsia" w:ascii="宋体" w:hAnsi="宋体" w:eastAsia="宋体" w:cs="宋体"/>
          <w:snapToGrid w:val="0"/>
          <w:color w:val="auto"/>
          <w:spacing w:val="7"/>
          <w:kern w:val="0"/>
          <w:sz w:val="20"/>
          <w:szCs w:val="20"/>
          <w:highlight w:val="none"/>
          <w:u w:val="single"/>
          <w:lang w:val="en-US" w:eastAsia="zh-CN" w:bidi="ar-SA"/>
        </w:rPr>
      </w:pPr>
      <w:r>
        <w:rPr>
          <w:rFonts w:hint="eastAsia" w:ascii="宋体" w:hAnsi="宋体" w:eastAsia="宋体" w:cs="宋体"/>
          <w:color w:val="auto"/>
          <w:spacing w:val="5"/>
          <w:highlight w:val="none"/>
        </w:rPr>
        <w:t>3.1.1  发包人需批准明确行使的权力：</w:t>
      </w:r>
      <w:r>
        <w:rPr>
          <w:rFonts w:hint="eastAsia" w:ascii="宋体" w:hAnsi="宋体" w:eastAsia="宋体" w:cs="宋体"/>
          <w:snapToGrid w:val="0"/>
          <w:color w:val="auto"/>
          <w:spacing w:val="7"/>
          <w:kern w:val="0"/>
          <w:sz w:val="20"/>
          <w:szCs w:val="20"/>
          <w:highlight w:val="none"/>
          <w:u w:val="single"/>
          <w:lang w:val="en-US" w:eastAsia="zh-CN" w:bidi="ar-SA"/>
        </w:rPr>
        <w:t>监理与相关服务的工程范围包括：施工阶段进度、质量、投资（费有控制管理，包括洽商变更和工程结算造价的审核）、安全、合同信息等方面的协调管理服务。监理人主持召开施工过程中每周的现场全会以及编写会议记录。监理人应当对承包人落实安全防护、文明施工措施情况进行现场监理。对承包人已经落实的安全防护、文明施工措施，监理人应当及时审查并签认所发生的费用。监理人发现承包人未落实施工组织设计及专项施工方案中安全防护和文明施工措施的，有权责令其立即整改；对承包人拒不整改或未按期限要求完成整改的，监理人应当及时向委托人和建设行政主管部门报告，必要时责令其暂停施工。监理单位在组织过程管理中除发出监理通知和工作联系单外，必须及时组织委托人和相关单位主要负责人协调解决专题问题，否则视为监理单位不作为。并承担因此给委托人造成的经济损失。监理单位对施工单位有处罚权，处罚内容和处罚金额必须报委托人项目负责人批准，并应将罚款交付委托人。监理人应按照京建施[2006]669《北京市建设工程生产安全事故责任认定若干规定》履行下列监理职责。委托人有权根据工程需要要求监理人员外派考察或驻场监造。</w:t>
      </w:r>
    </w:p>
    <w:p w14:paraId="481E3721">
      <w:pPr>
        <w:pStyle w:val="255"/>
        <w:spacing w:before="91" w:line="360" w:lineRule="auto"/>
        <w:ind w:left="10"/>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4.承包人</w:t>
      </w:r>
    </w:p>
    <w:p w14:paraId="215483F1">
      <w:pPr>
        <w:spacing w:line="360" w:lineRule="auto"/>
        <w:jc w:val="left"/>
        <w:rPr>
          <w:rFonts w:hint="eastAsia" w:ascii="宋体" w:hAnsi="宋体" w:eastAsia="宋体" w:cs="宋体"/>
          <w:color w:val="auto"/>
          <w:sz w:val="21"/>
          <w:highlight w:val="none"/>
        </w:rPr>
      </w:pPr>
    </w:p>
    <w:p w14:paraId="2738D209">
      <w:pPr>
        <w:pStyle w:val="255"/>
        <w:spacing w:before="78" w:line="360" w:lineRule="auto"/>
        <w:ind w:left="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  承包人的一般义务</w:t>
      </w:r>
    </w:p>
    <w:p w14:paraId="074BE9A2">
      <w:pPr>
        <w:pStyle w:val="255"/>
        <w:spacing w:before="294" w:line="360" w:lineRule="auto"/>
        <w:ind w:left="427"/>
        <w:jc w:val="left"/>
        <w:rPr>
          <w:rFonts w:hint="eastAsia" w:ascii="宋体" w:hAnsi="宋体" w:eastAsia="宋体" w:cs="宋体"/>
          <w:color w:val="auto"/>
          <w:highlight w:val="none"/>
        </w:rPr>
      </w:pPr>
      <w:r>
        <w:rPr>
          <w:rFonts w:hint="eastAsia" w:ascii="宋体" w:hAnsi="宋体" w:eastAsia="宋体" w:cs="宋体"/>
          <w:color w:val="auto"/>
          <w:spacing w:val="6"/>
          <w:highlight w:val="none"/>
        </w:rPr>
        <w:t>4.1.8  为他人提供方便</w:t>
      </w:r>
    </w:p>
    <w:p w14:paraId="7EE7A84E">
      <w:pPr>
        <w:spacing w:before="159" w:line="360" w:lineRule="auto"/>
        <w:ind w:right="12"/>
        <w:jc w:val="left"/>
        <w:rPr>
          <w:rFonts w:hint="eastAsia" w:ascii="宋体" w:hAnsi="宋体" w:eastAsia="宋体" w:cs="宋体"/>
          <w:color w:val="auto"/>
          <w:highlight w:val="none"/>
        </w:rPr>
      </w:pPr>
      <w:r>
        <w:rPr>
          <w:rFonts w:hint="eastAsia" w:ascii="宋体" w:hAnsi="宋体" w:eastAsia="宋体" w:cs="宋体"/>
          <w:color w:val="auto"/>
          <w:spacing w:val="7"/>
          <w:highlight w:val="none"/>
        </w:rPr>
        <w:t>（1）承包人应当对在施工场地或者附近实施与合同工程有关的其他工作的独立承包人履</w:t>
      </w:r>
      <w:r>
        <w:rPr>
          <w:rFonts w:hint="eastAsia" w:ascii="宋体" w:hAnsi="宋体" w:eastAsia="宋体" w:cs="宋体"/>
          <w:color w:val="auto"/>
          <w:spacing w:val="9"/>
          <w:highlight w:val="none"/>
        </w:rPr>
        <w:t>行管理、协调、配合、照管和服务义务的具体工作内容和要求：</w:t>
      </w:r>
      <w:r>
        <w:rPr>
          <w:rFonts w:hint="eastAsia" w:ascii="宋体" w:hAnsi="宋体" w:eastAsia="宋体" w:cs="宋体"/>
          <w:snapToGrid w:val="0"/>
          <w:color w:val="auto"/>
          <w:spacing w:val="7"/>
          <w:kern w:val="0"/>
          <w:sz w:val="20"/>
          <w:szCs w:val="20"/>
          <w:highlight w:val="none"/>
          <w:u w:val="single"/>
          <w:lang w:val="en-US" w:eastAsia="zh-CN" w:bidi="ar-SA"/>
        </w:rPr>
        <w:t>承包人负责在需要的时间和地点，根据有关当局(或行政主管部门)要求、国家相关安全规定和自身安全的需要，自费提供和维护所有与本项目实施相关的需进行保护或为公众提供便利的安全保护措施。</w:t>
      </w:r>
    </w:p>
    <w:p w14:paraId="53CDB397">
      <w:pPr>
        <w:spacing w:before="65" w:line="360" w:lineRule="auto"/>
        <w:ind w:firstLine="424"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4.1.10  承包人的设计工作</w:t>
      </w:r>
    </w:p>
    <w:p w14:paraId="75B41598">
      <w:pPr>
        <w:spacing w:before="161" w:line="360" w:lineRule="auto"/>
        <w:ind w:left="439"/>
        <w:jc w:val="left"/>
        <w:rPr>
          <w:rFonts w:hint="eastAsia" w:ascii="宋体" w:hAnsi="宋体" w:eastAsia="宋体" w:cs="宋体"/>
          <w:color w:val="auto"/>
          <w:spacing w:val="7"/>
          <w:sz w:val="20"/>
          <w:szCs w:val="20"/>
          <w:highlight w:val="none"/>
          <w:u w:val="single"/>
        </w:rPr>
      </w:pPr>
      <w:r>
        <w:rPr>
          <w:rFonts w:hint="eastAsia" w:ascii="宋体" w:hAnsi="宋体" w:eastAsia="宋体" w:cs="宋体"/>
          <w:color w:val="auto"/>
          <w:spacing w:val="9"/>
          <w:sz w:val="20"/>
          <w:szCs w:val="20"/>
          <w:highlight w:val="none"/>
        </w:rPr>
        <w:t>承包人承担的施工图设计或与工程配套的设计工作内容：</w:t>
      </w:r>
      <w:r>
        <w:rPr>
          <w:rFonts w:hint="eastAsia" w:ascii="宋体" w:hAnsi="宋体" w:eastAsia="宋体" w:cs="宋体"/>
          <w:color w:val="auto"/>
          <w:spacing w:val="7"/>
          <w:sz w:val="20"/>
          <w:szCs w:val="20"/>
          <w:highlight w:val="none"/>
          <w:u w:val="single"/>
          <w:lang w:val="en-US" w:eastAsia="zh-CN"/>
        </w:rPr>
        <w:t xml:space="preserve">合同专用部分1.6.2（1）约定的深化设计内容（如有）。 </w:t>
      </w:r>
    </w:p>
    <w:p w14:paraId="04587922">
      <w:pPr>
        <w:spacing w:before="161"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4.1.13  其他义务</w:t>
      </w:r>
    </w:p>
    <w:p w14:paraId="3D652B83">
      <w:pPr>
        <w:spacing w:before="160" w:line="360" w:lineRule="auto"/>
        <w:ind w:left="19" w:right="21" w:firstLine="430"/>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（1）安全生产标准化措施费由承包人统一管理，承包人对工程安全生产标准化负总责。</w:t>
      </w:r>
      <w:r>
        <w:rPr>
          <w:rFonts w:hint="eastAsia" w:ascii="宋体" w:hAnsi="宋体" w:eastAsia="宋体" w:cs="宋体"/>
          <w:color w:val="auto"/>
          <w:spacing w:val="8"/>
          <w:sz w:val="20"/>
          <w:szCs w:val="20"/>
          <w:highlight w:val="none"/>
        </w:rPr>
        <w:t>承包人不按分包合同约定支付安全生产标准化</w:t>
      </w:r>
      <w:r>
        <w:rPr>
          <w:rFonts w:hint="eastAsia" w:ascii="宋体" w:hAnsi="宋体" w:eastAsia="宋体" w:cs="宋体"/>
          <w:color w:val="auto"/>
          <w:spacing w:val="7"/>
          <w:sz w:val="20"/>
          <w:szCs w:val="20"/>
          <w:highlight w:val="none"/>
        </w:rPr>
        <w:t>措施费，造成分包人不能及时落实安全防护措</w:t>
      </w:r>
      <w:r>
        <w:rPr>
          <w:rFonts w:hint="eastAsia" w:ascii="宋体" w:hAnsi="宋体" w:eastAsia="宋体" w:cs="宋体"/>
          <w:color w:val="auto"/>
          <w:spacing w:val="8"/>
          <w:sz w:val="20"/>
          <w:szCs w:val="20"/>
          <w:highlight w:val="none"/>
        </w:rPr>
        <w:t>施导致发生事故的，由承包人负主要责任。</w:t>
      </w:r>
    </w:p>
    <w:p w14:paraId="4827FB9C">
      <w:pPr>
        <w:spacing w:before="161" w:line="360" w:lineRule="auto"/>
        <w:ind w:left="19" w:right="93" w:firstLine="430"/>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（2）对于超过一定规模的危大工程（如有</w:t>
      </w:r>
      <w:r>
        <w:rPr>
          <w:rFonts w:hint="eastAsia" w:ascii="宋体" w:hAnsi="宋体" w:eastAsia="宋体" w:cs="宋体"/>
          <w:color w:val="auto"/>
          <w:spacing w:val="22"/>
          <w:sz w:val="20"/>
          <w:szCs w:val="20"/>
          <w:highlight w:val="none"/>
        </w:rPr>
        <w:t>），</w:t>
      </w:r>
      <w:r>
        <w:rPr>
          <w:rFonts w:hint="eastAsia" w:ascii="宋体" w:hAnsi="宋体" w:eastAsia="宋体" w:cs="宋体"/>
          <w:color w:val="auto"/>
          <w:spacing w:val="9"/>
          <w:sz w:val="20"/>
          <w:szCs w:val="20"/>
          <w:highlight w:val="none"/>
        </w:rPr>
        <w:t>承包人应当组织召开专家论证会对专项</w:t>
      </w:r>
      <w:r>
        <w:rPr>
          <w:rFonts w:hint="eastAsia" w:ascii="宋体" w:hAnsi="宋体" w:eastAsia="宋体" w:cs="宋体"/>
          <w:color w:val="auto"/>
          <w:spacing w:val="8"/>
          <w:sz w:val="20"/>
          <w:szCs w:val="20"/>
          <w:highlight w:val="none"/>
        </w:rPr>
        <w:t>施工方案进行论证，并根据专家论证意见对专</w:t>
      </w:r>
      <w:r>
        <w:rPr>
          <w:rFonts w:hint="eastAsia" w:ascii="宋体" w:hAnsi="宋体" w:eastAsia="宋体" w:cs="宋体"/>
          <w:color w:val="auto"/>
          <w:spacing w:val="7"/>
          <w:sz w:val="20"/>
          <w:szCs w:val="20"/>
          <w:highlight w:val="none"/>
        </w:rPr>
        <w:t>项方案进行调整，发包人原因造成的专项方案</w:t>
      </w:r>
      <w:r>
        <w:rPr>
          <w:rFonts w:hint="eastAsia" w:ascii="宋体" w:hAnsi="宋体" w:eastAsia="宋体" w:cs="宋体"/>
          <w:color w:val="auto"/>
          <w:spacing w:val="8"/>
          <w:sz w:val="20"/>
          <w:szCs w:val="20"/>
          <w:highlight w:val="none"/>
        </w:rPr>
        <w:t>调整，其费用变化由发包人承担。</w:t>
      </w:r>
    </w:p>
    <w:p w14:paraId="4DC3C6DA">
      <w:pPr>
        <w:spacing w:before="161" w:line="360" w:lineRule="auto"/>
        <w:ind w:left="29" w:firstLine="420"/>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（3）承包人应使用符合北京市《建筑类涂料与胶粘剂挥发性有</w:t>
      </w:r>
      <w:r>
        <w:rPr>
          <w:rFonts w:hint="eastAsia" w:ascii="宋体" w:hAnsi="宋体" w:eastAsia="宋体" w:cs="宋体"/>
          <w:color w:val="auto"/>
          <w:spacing w:val="6"/>
          <w:sz w:val="20"/>
          <w:szCs w:val="20"/>
          <w:highlight w:val="none"/>
        </w:rPr>
        <w:t>机化合物含量限值标准》</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w:t>
      </w:r>
      <w:r>
        <w:rPr>
          <w:rFonts w:hint="eastAsia" w:ascii="宋体" w:hAnsi="宋体" w:eastAsia="宋体" w:cs="宋体"/>
          <w:color w:val="auto"/>
          <w:sz w:val="20"/>
          <w:szCs w:val="20"/>
          <w:highlight w:val="none"/>
        </w:rPr>
        <w:t>DB</w:t>
      </w:r>
      <w:r>
        <w:rPr>
          <w:rFonts w:hint="eastAsia" w:ascii="宋体" w:hAnsi="宋体" w:eastAsia="宋体" w:cs="宋体"/>
          <w:color w:val="auto"/>
          <w:spacing w:val="6"/>
          <w:sz w:val="20"/>
          <w:szCs w:val="20"/>
          <w:highlight w:val="none"/>
        </w:rPr>
        <w:t>11／1983-2022）相关要求的产品。</w:t>
      </w:r>
    </w:p>
    <w:p w14:paraId="014C6B55">
      <w:pPr>
        <w:spacing w:before="162" w:line="360" w:lineRule="auto"/>
        <w:ind w:left="586" w:right="91" w:hanging="137"/>
        <w:jc w:val="left"/>
        <w:rPr>
          <w:rFonts w:hint="eastAsia" w:ascii="宋体" w:hAnsi="宋体" w:eastAsia="宋体" w:cs="宋体"/>
          <w:color w:val="auto"/>
          <w:sz w:val="20"/>
          <w:szCs w:val="20"/>
          <w:highlight w:val="none"/>
          <w:u w:val="single"/>
          <w:lang w:val="en-US" w:eastAsia="zh-CN"/>
        </w:rPr>
      </w:pPr>
      <w:r>
        <w:rPr>
          <w:rFonts w:hint="eastAsia" w:ascii="宋体" w:hAnsi="宋体" w:eastAsia="宋体" w:cs="宋体"/>
          <w:color w:val="auto"/>
          <w:spacing w:val="5"/>
          <w:sz w:val="20"/>
          <w:szCs w:val="20"/>
          <w:highlight w:val="none"/>
        </w:rPr>
        <w:t>（4）承包人应履行的其他义务：</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z w:val="20"/>
          <w:szCs w:val="20"/>
          <w:highlight w:val="none"/>
          <w:u w:val="single"/>
          <w:lang w:eastAsia="zh-CN"/>
        </w:rPr>
        <w:t>1.应提供计划、报表的名称及完成时间:每月25日提交本月工程报表和下月工程计划表(报表和计划表应包括资金、质量、进度、安全、材料计划、实际进度与计划进度的对比图及其原因分析，并有针对性的提出改进措施等内容)。报告应该持续到工程竣工验收合格</w:t>
      </w:r>
      <w:r>
        <w:rPr>
          <w:rFonts w:hint="eastAsia" w:ascii="宋体" w:hAnsi="宋体" w:eastAsia="宋体" w:cs="宋体"/>
          <w:color w:val="auto"/>
          <w:sz w:val="20"/>
          <w:szCs w:val="20"/>
          <w:highlight w:val="none"/>
          <w:u w:val="single"/>
          <w:lang w:val="en-US" w:eastAsia="zh-CN"/>
        </w:rPr>
        <w:t>为止。</w:t>
      </w:r>
    </w:p>
    <w:p w14:paraId="7E598AF2">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2.承包人应充分熟悉施工图纸，对设计缺陷及早提出。承包人应承担其未对施工图纸认真核对而造成施工期间拆改、重新施工的责任。</w:t>
      </w:r>
    </w:p>
    <w:p w14:paraId="237F70C9">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3.由于承包人的原因造成对周边管线、道路及周边施工单位成品的损坏，发生工程停工、赔偿纠纷时，均由承包人负责解决，其经济损失由承包人承担。</w:t>
      </w:r>
    </w:p>
    <w:p w14:paraId="1C362768">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4.承包人不得以任何理由拖欠劳务人员工资。如发生讨薪事件或上访事件，导致施工无法进行等，由承包人承担全部损失及费用，并负责消除负面影响。</w:t>
      </w:r>
    </w:p>
    <w:p w14:paraId="6086E7FF">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5.消防、电气、环保、避雷、水质检测、系统节能性能检测、室内空气质量检测和外窗气密性、水密性实体检测等(包括但不限于),由发包人委托相关部门专项验收或检测的工程由承包人确保通过，相应的费用已包含在投标报价中。</w:t>
      </w:r>
    </w:p>
    <w:p w14:paraId="7666D730">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6.承包人应自行提供一切使用的水、电和燃气计量所需要的任何设备和仪器。水、电和燃气费用由承包人自行承担。</w:t>
      </w:r>
    </w:p>
    <w:p w14:paraId="100A6C4E">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7.成品保护:在项目竣工移交前的现场管理、成品保护由承包人负责，费用含在投标报价</w:t>
      </w:r>
    </w:p>
    <w:p w14:paraId="2F7A77D5">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中。在此期间发生任何问题或事故，责任和损失由承包人全部承担。工程未正式交付之前，由承包人负责工程的成品保护工作(双方另行约定的项目除外)，保护期间发生损坏，承包人自费予以修复、更换。</w:t>
      </w:r>
    </w:p>
    <w:p w14:paraId="10F92B2B">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8.承包人承担在施工过程中的临时用电的变配电设备的采购及安装工作，费用包含在投标报价中。</w:t>
      </w:r>
    </w:p>
    <w:p w14:paraId="3AD4E28B">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9.办理法律规定应由承包人办理的许可和批准，并将办理结果书面报送发包人留存:</w:t>
      </w:r>
    </w:p>
    <w:p w14:paraId="6FC18DCC">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10.按法律规定和合同约定完成工程，并在保修期内承担保修义务。</w:t>
      </w:r>
    </w:p>
    <w:p w14:paraId="4463EF85">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11.按法律规定和合同约定采取施工安全和环境保护措施，办理工伤保险，确保工程及人</w:t>
      </w:r>
    </w:p>
    <w:p w14:paraId="367A37CD">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员、材料、设备和设施的安全。</w:t>
      </w:r>
    </w:p>
    <w:p w14:paraId="18A4A1E7">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val="en-US" w:eastAsia="en-US"/>
        </w:rPr>
        <w:t>12.</w:t>
      </w:r>
      <w:r>
        <w:rPr>
          <w:rFonts w:hint="eastAsia" w:ascii="宋体" w:hAnsi="宋体" w:eastAsia="宋体" w:cs="宋体"/>
          <w:color w:val="auto"/>
          <w:sz w:val="20"/>
          <w:szCs w:val="20"/>
          <w:highlight w:val="none"/>
          <w:u w:val="single"/>
          <w:lang w:eastAsia="zh-CN"/>
        </w:rPr>
        <w:t>按合同约定的工作内容和施工进度要求，编制施工组织设计和施工措施计划，并对所有施工作业和施工方法的完备性和安全可靠性负责。</w:t>
      </w:r>
    </w:p>
    <w:p w14:paraId="6A62DF2D">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13.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0272E8C">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14.按照合同条款中(环境保护)约定负责施工场地及其周边环境与生态的保护工作。</w:t>
      </w:r>
    </w:p>
    <w:p w14:paraId="5F9D3E2E">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15.按照合同条款中(文明施工〕约定采取施工安全措施，确保工程及其人员、材料、设备和设施的安全，防止因工程施工造成的人身伤害和财产损失。</w:t>
      </w:r>
    </w:p>
    <w:p w14:paraId="015C5EEC">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16.为确保施工总承包合同有效履行和工程资金转款专用，在不违反招标文件规定的前提下，承包人在接到中标通知书后14日内，必须按照发包人要求签订共管账户协议，设立针对本工程的专用共管账户。承包人应当加强工程款管理，做到专款专用，不得拖欠分包人的工程款、材料、设备货款、农民工和工人工资等费用。</w:t>
      </w:r>
    </w:p>
    <w:p w14:paraId="504EF871">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17.将发包人按合同约定支付的各项价款专用于合同工程，且应及时支付其雇用人员工资并及时向分包单位支付合同价款。</w:t>
      </w:r>
    </w:p>
    <w:p w14:paraId="1C439FC9">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18.按照法律规定和合同约定编制竣工资料，完成竣工资料立卷及归档，并按专用合同条款约定的竣工资料的套数、内容、时间等要求移交发包人。</w:t>
      </w:r>
    </w:p>
    <w:p w14:paraId="2F3CFBA4">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19.承包人在签订合同之前已经对施工现场及周边环境情况进行充分了解，掌握了所有与工程相关的情况。并在工程开工前负贵做好周密的勘察，提出具体的、可行的、科学的方案措施，方案中应已包括对工地现场影响范围的地下地上管线、道路、周边建筑物、构筑物(包括文物保护建筑、古树名木)等采用必要的加固和保护措施，保护道路绿化，且已考虑到施工结束后进行必要的维护和清理;负责处理施工现场因任何原因引起的一切事件，确保正常使用和安全。</w:t>
      </w:r>
    </w:p>
    <w:p w14:paraId="7B9CE7B8">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20.工地现场纠纷处理:承包人应当负责处理施工现场因承包人原因引起的一切事件和</w:t>
      </w:r>
      <w:r>
        <w:rPr>
          <w:rFonts w:hint="eastAsia" w:ascii="宋体" w:hAnsi="宋体" w:eastAsia="宋体" w:cs="宋体"/>
          <w:color w:val="auto"/>
          <w:sz w:val="20"/>
          <w:szCs w:val="20"/>
          <w:highlight w:val="none"/>
          <w:u w:val="single"/>
          <w:lang w:val="en-US" w:eastAsia="zh-CN"/>
        </w:rPr>
        <w:t>纠纷</w:t>
      </w:r>
      <w:r>
        <w:rPr>
          <w:rFonts w:hint="eastAsia" w:ascii="宋体" w:hAnsi="宋体" w:eastAsia="宋体" w:cs="宋体"/>
          <w:color w:val="auto"/>
          <w:sz w:val="20"/>
          <w:szCs w:val="20"/>
          <w:highlight w:val="none"/>
          <w:u w:val="single"/>
          <w:lang w:eastAsia="zh-CN"/>
        </w:rPr>
        <w:t>并对因承包人原因导致的财产损失、索赔、罚款等承担责任。</w:t>
      </w:r>
    </w:p>
    <w:p w14:paraId="407C3C96">
      <w:pPr>
        <w:spacing w:before="162" w:line="360" w:lineRule="auto"/>
        <w:ind w:left="586" w:right="91" w:hanging="137"/>
        <w:jc w:val="left"/>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u w:val="single"/>
          <w:lang w:eastAsia="zh-CN"/>
        </w:rPr>
        <w:t>21.发包人要求的由承包人负责设计的内容是:承包人应当根据工程实际情况需要或发包人委托，完成施工图深化设计及与工程配套的专业工程的深化设计，设计资质等级和业务允许的范围应符合相关规定。经监理人、原设计人确认后使用，由此产生的费用已经包括在合同总价中。发包人要求的由承包人负责设计的内容为在招标文件中规定的由承包人负责的工程深化设计，尽管该部分设计曾经过发包人批准，承包人仍应对这部分的设计质量负责。</w:t>
      </w:r>
    </w:p>
    <w:p w14:paraId="2ED7D9BA">
      <w:pPr>
        <w:spacing w:before="162" w:line="360" w:lineRule="auto"/>
        <w:ind w:left="586" w:right="91" w:hanging="137"/>
        <w:jc w:val="left"/>
        <w:rPr>
          <w:rFonts w:hint="eastAsia" w:ascii="宋体" w:hAnsi="宋体" w:eastAsia="宋体" w:cs="宋体"/>
          <w:color w:val="auto"/>
          <w:highlight w:val="none"/>
          <w:lang w:eastAsia="zh-CN"/>
        </w:rPr>
      </w:pPr>
      <w:r>
        <w:rPr>
          <w:rFonts w:hint="eastAsia" w:ascii="宋体" w:hAnsi="宋体" w:eastAsia="宋体" w:cs="宋体"/>
          <w:color w:val="auto"/>
          <w:sz w:val="20"/>
          <w:szCs w:val="20"/>
          <w:highlight w:val="none"/>
          <w:u w:val="single"/>
          <w:lang w:val="en-US" w:eastAsia="zh-CN"/>
        </w:rPr>
        <w:t>22</w:t>
      </w:r>
      <w:r>
        <w:rPr>
          <w:rFonts w:hint="eastAsia" w:ascii="宋体" w:hAnsi="宋体" w:eastAsia="宋体" w:cs="宋体"/>
          <w:color w:val="auto"/>
          <w:sz w:val="20"/>
          <w:szCs w:val="20"/>
          <w:highlight w:val="none"/>
          <w:u w:val="single"/>
          <w:lang w:eastAsia="zh-CN"/>
        </w:rPr>
        <w:t>.承包人应承担的其它义务。</w:t>
      </w:r>
    </w:p>
    <w:p w14:paraId="40A596C4">
      <w:pPr>
        <w:spacing w:before="286" w:line="360" w:lineRule="auto"/>
        <w:ind w:left="20"/>
        <w:jc w:val="left"/>
        <w:outlineLvl w:val="2"/>
        <w:rPr>
          <w:rFonts w:hint="eastAsia" w:ascii="宋体" w:hAnsi="宋体" w:eastAsia="宋体" w:cs="宋体"/>
          <w:color w:val="auto"/>
          <w:sz w:val="24"/>
          <w:szCs w:val="24"/>
          <w:highlight w:val="none"/>
        </w:rPr>
      </w:pPr>
      <w:bookmarkStart w:id="741" w:name="bookmark14"/>
      <w:bookmarkEnd w:id="741"/>
      <w:r>
        <w:rPr>
          <w:rFonts w:hint="eastAsia" w:ascii="宋体" w:hAnsi="宋体" w:eastAsia="宋体" w:cs="宋体"/>
          <w:color w:val="auto"/>
          <w:spacing w:val="-4"/>
          <w:sz w:val="24"/>
          <w:szCs w:val="24"/>
          <w:highlight w:val="none"/>
        </w:rPr>
        <w:t>4.2</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履约担保</w:t>
      </w:r>
    </w:p>
    <w:p w14:paraId="12CEA6CC">
      <w:pPr>
        <w:spacing w:before="296"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4.2.1  承包人履约担保的格式和金额</w:t>
      </w:r>
    </w:p>
    <w:p w14:paraId="6BBF827A">
      <w:pPr>
        <w:spacing w:before="161" w:line="360" w:lineRule="auto"/>
        <w:ind w:left="443"/>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发包人</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7"/>
          <w:sz w:val="20"/>
          <w:szCs w:val="20"/>
          <w:highlight w:val="none"/>
          <w:u w:val="single"/>
        </w:rPr>
        <w:t xml:space="preserve">要求 </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rPr>
        <w:t>（要求/不要求）承包</w:t>
      </w:r>
      <w:r>
        <w:rPr>
          <w:rFonts w:hint="eastAsia" w:ascii="宋体" w:hAnsi="宋体" w:eastAsia="宋体" w:cs="宋体"/>
          <w:color w:val="auto"/>
          <w:spacing w:val="7"/>
          <w:sz w:val="20"/>
          <w:szCs w:val="20"/>
          <w:highlight w:val="none"/>
        </w:rPr>
        <w:t>人提供承包人履约担保。</w:t>
      </w:r>
    </w:p>
    <w:p w14:paraId="352AA5F0">
      <w:pPr>
        <w:spacing w:before="161"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承包人履约担保的金额为</w:t>
      </w:r>
      <w:r>
        <w:rPr>
          <w:rFonts w:hint="eastAsia" w:ascii="宋体" w:hAnsi="宋体" w:eastAsia="宋体" w:cs="宋体"/>
          <w:color w:val="auto"/>
          <w:spacing w:val="5"/>
          <w:sz w:val="20"/>
          <w:szCs w:val="20"/>
          <w:highlight w:val="none"/>
          <w:u w:val="single" w:color="auto"/>
        </w:rPr>
        <w:t xml:space="preserve"> </w:t>
      </w:r>
      <w:r>
        <w:rPr>
          <w:rFonts w:hint="eastAsia" w:ascii="宋体" w:hAnsi="宋体" w:cs="宋体"/>
          <w:color w:val="auto"/>
          <w:spacing w:val="5"/>
          <w:sz w:val="20"/>
          <w:szCs w:val="20"/>
          <w:highlight w:val="none"/>
          <w:u w:val="single" w:color="auto"/>
          <w:lang w:val="en-US" w:eastAsia="zh-CN"/>
        </w:rPr>
        <w:t xml:space="preserve">合同价款的3% </w:t>
      </w:r>
      <w:r>
        <w:rPr>
          <w:rFonts w:hint="eastAsia" w:ascii="宋体" w:hAnsi="宋体" w:eastAsia="宋体" w:cs="宋体"/>
          <w:color w:val="auto"/>
          <w:spacing w:val="4"/>
          <w:sz w:val="20"/>
          <w:szCs w:val="20"/>
          <w:highlight w:val="none"/>
          <w:u w:val="single" w:color="auto"/>
        </w:rPr>
        <w:t xml:space="preserve">                                  </w:t>
      </w:r>
    </w:p>
    <w:p w14:paraId="3D783896">
      <w:pPr>
        <w:spacing w:before="286" w:line="360" w:lineRule="auto"/>
        <w:ind w:left="20"/>
        <w:jc w:val="left"/>
        <w:outlineLvl w:val="2"/>
        <w:rPr>
          <w:rFonts w:hint="eastAsia" w:ascii="宋体" w:hAnsi="宋体" w:eastAsia="宋体" w:cs="宋体"/>
          <w:color w:val="auto"/>
          <w:sz w:val="24"/>
          <w:szCs w:val="24"/>
          <w:highlight w:val="none"/>
        </w:rPr>
      </w:pPr>
      <w:bookmarkStart w:id="742" w:name="bookmark15"/>
      <w:bookmarkEnd w:id="742"/>
      <w:r>
        <w:rPr>
          <w:rFonts w:hint="eastAsia" w:ascii="宋体" w:hAnsi="宋体" w:eastAsia="宋体" w:cs="宋体"/>
          <w:color w:val="auto"/>
          <w:spacing w:val="-1"/>
          <w:sz w:val="24"/>
          <w:szCs w:val="24"/>
          <w:highlight w:val="none"/>
        </w:rPr>
        <w:t>4.11  不利物质条件</w:t>
      </w:r>
    </w:p>
    <w:p w14:paraId="113C6B12">
      <w:pPr>
        <w:spacing w:before="297" w:line="360" w:lineRule="auto"/>
        <w:ind w:left="439"/>
        <w:jc w:val="left"/>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4.11.1  不利物质条件的范围：</w:t>
      </w:r>
      <w:r>
        <w:rPr>
          <w:rFonts w:hint="eastAsia" w:ascii="宋体" w:hAnsi="宋体" w:eastAsia="宋体" w:cs="宋体"/>
          <w:color w:val="auto"/>
          <w:spacing w:val="7"/>
          <w:sz w:val="20"/>
          <w:szCs w:val="20"/>
          <w:highlight w:val="none"/>
          <w:u w:val="single"/>
        </w:rPr>
        <w:t>地下已存在的但未探明的非自然物质障碍和污染物等，但不包括气候条件和不可抗力</w:t>
      </w:r>
      <w:r>
        <w:rPr>
          <w:rFonts w:hint="eastAsia" w:ascii="宋体" w:hAnsi="宋体" w:eastAsia="宋体" w:cs="宋体"/>
          <w:color w:val="auto"/>
          <w:spacing w:val="7"/>
          <w:sz w:val="20"/>
          <w:szCs w:val="20"/>
          <w:highlight w:val="none"/>
          <w:u w:val="single"/>
          <w:lang w:eastAsia="zh-CN"/>
        </w:rPr>
        <w:t>。</w:t>
      </w:r>
    </w:p>
    <w:p w14:paraId="449B0340">
      <w:pPr>
        <w:spacing w:before="289" w:line="360" w:lineRule="auto"/>
        <w:ind w:left="28"/>
        <w:jc w:val="left"/>
        <w:outlineLvl w:val="1"/>
        <w:rPr>
          <w:rFonts w:hint="eastAsia" w:ascii="宋体" w:hAnsi="宋体" w:eastAsia="宋体" w:cs="宋体"/>
          <w:color w:val="auto"/>
          <w:sz w:val="28"/>
          <w:szCs w:val="28"/>
          <w:highlight w:val="none"/>
        </w:rPr>
      </w:pPr>
      <w:bookmarkStart w:id="743" w:name="bookmark16"/>
      <w:bookmarkEnd w:id="743"/>
      <w:r>
        <w:rPr>
          <w:rFonts w:hint="eastAsia" w:ascii="宋体" w:hAnsi="宋体" w:eastAsia="宋体" w:cs="宋体"/>
          <w:color w:val="auto"/>
          <w:spacing w:val="-5"/>
          <w:sz w:val="28"/>
          <w:szCs w:val="28"/>
          <w:highlight w:val="none"/>
        </w:rPr>
        <w:t>5.材料</w:t>
      </w:r>
    </w:p>
    <w:p w14:paraId="63070667">
      <w:pPr>
        <w:spacing w:before="78" w:line="360" w:lineRule="auto"/>
        <w:ind w:left="25"/>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  承包人提供的材料</w:t>
      </w:r>
    </w:p>
    <w:p w14:paraId="24F584DE">
      <w:pPr>
        <w:spacing w:before="299" w:line="360" w:lineRule="auto"/>
        <w:ind w:left="26" w:right="90" w:firstLine="417"/>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5.1.2 承包人将由其提供的材料的供货人和品种、规格、数量及</w:t>
      </w:r>
      <w:r>
        <w:rPr>
          <w:rFonts w:hint="eastAsia" w:ascii="宋体" w:hAnsi="宋体" w:eastAsia="宋体" w:cs="宋体"/>
          <w:color w:val="auto"/>
          <w:spacing w:val="6"/>
          <w:sz w:val="20"/>
          <w:szCs w:val="20"/>
          <w:highlight w:val="none"/>
        </w:rPr>
        <w:t>供货时间等报送监理人</w:t>
      </w:r>
      <w:r>
        <w:rPr>
          <w:rFonts w:hint="eastAsia" w:ascii="宋体" w:hAnsi="宋体" w:eastAsia="宋体" w:cs="宋体"/>
          <w:color w:val="auto"/>
          <w:spacing w:val="4"/>
          <w:sz w:val="20"/>
          <w:szCs w:val="20"/>
          <w:highlight w:val="none"/>
        </w:rPr>
        <w:t>审批的期限：</w:t>
      </w:r>
      <w:r>
        <w:rPr>
          <w:rFonts w:hint="eastAsia" w:ascii="宋体" w:hAnsi="宋体" w:eastAsia="宋体" w:cs="宋体"/>
          <w:color w:val="auto"/>
          <w:spacing w:val="7"/>
          <w:sz w:val="20"/>
          <w:szCs w:val="20"/>
          <w:highlight w:val="none"/>
          <w:u w:val="single"/>
          <w:lang w:val="en-US" w:eastAsia="zh-CN"/>
        </w:rPr>
        <w:t>不</w:t>
      </w:r>
      <w:r>
        <w:rPr>
          <w:rFonts w:hint="eastAsia" w:ascii="宋体" w:hAnsi="宋体" w:eastAsia="宋体" w:cs="宋体"/>
          <w:color w:val="auto"/>
          <w:spacing w:val="7"/>
          <w:sz w:val="20"/>
          <w:szCs w:val="20"/>
          <w:highlight w:val="none"/>
          <w:u w:val="single"/>
          <w:lang w:eastAsia="zh-CN"/>
        </w:rPr>
        <w:t>迟于进场前七个工作日。</w:t>
      </w:r>
    </w:p>
    <w:p w14:paraId="66B4E53F">
      <w:pPr>
        <w:spacing w:before="121" w:line="360" w:lineRule="auto"/>
        <w:ind w:left="25"/>
        <w:jc w:val="left"/>
        <w:outlineLvl w:val="2"/>
        <w:rPr>
          <w:rFonts w:hint="eastAsia" w:ascii="宋体" w:hAnsi="宋体" w:eastAsia="宋体" w:cs="宋体"/>
          <w:color w:val="auto"/>
          <w:sz w:val="24"/>
          <w:szCs w:val="24"/>
          <w:highlight w:val="none"/>
        </w:rPr>
      </w:pPr>
      <w:bookmarkStart w:id="744" w:name="bookmark17"/>
      <w:bookmarkEnd w:id="744"/>
      <w:r>
        <w:rPr>
          <w:rFonts w:hint="eastAsia" w:ascii="宋体" w:hAnsi="宋体" w:eastAsia="宋体" w:cs="宋体"/>
          <w:color w:val="auto"/>
          <w:spacing w:val="-2"/>
          <w:sz w:val="24"/>
          <w:szCs w:val="24"/>
          <w:highlight w:val="none"/>
        </w:rPr>
        <w:t>5.2  发包人提供的材料</w:t>
      </w:r>
    </w:p>
    <w:p w14:paraId="4A666C13">
      <w:pPr>
        <w:spacing w:before="297" w:line="360" w:lineRule="auto"/>
        <w:ind w:left="21" w:right="92" w:firstLine="422"/>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5.2.7  因承包人原因引起发包人提供的材料的实际领用数量超过</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
          <w:sz w:val="20"/>
          <w:szCs w:val="20"/>
          <w:highlight w:val="none"/>
          <w:u w:val="single"/>
        </w:rPr>
        <w:t>按图纸计算的合理数量</w:t>
      </w:r>
      <w:r>
        <w:rPr>
          <w:rFonts w:hint="eastAsia" w:ascii="宋体" w:hAnsi="宋体" w:eastAsia="宋体" w:cs="宋体"/>
          <w:color w:val="auto"/>
          <w:spacing w:val="10"/>
          <w:sz w:val="20"/>
          <w:szCs w:val="20"/>
          <w:highlight w:val="none"/>
          <w:u w:val="single" w:color="auto"/>
          <w:lang w:val="en-US" w:eastAsia="zh-CN"/>
        </w:rPr>
        <w:t xml:space="preserve"> </w:t>
      </w:r>
      <w:r>
        <w:rPr>
          <w:rFonts w:hint="eastAsia" w:ascii="宋体" w:hAnsi="宋体" w:eastAsia="宋体" w:cs="宋体"/>
          <w:color w:val="auto"/>
          <w:spacing w:val="6"/>
          <w:sz w:val="20"/>
          <w:szCs w:val="20"/>
          <w:highlight w:val="none"/>
        </w:rPr>
        <w:t>（按图纸计</w:t>
      </w:r>
      <w:r>
        <w:rPr>
          <w:rFonts w:hint="eastAsia" w:ascii="宋体" w:hAnsi="宋体" w:eastAsia="宋体" w:cs="宋体"/>
          <w:color w:val="auto"/>
          <w:spacing w:val="10"/>
          <w:sz w:val="20"/>
          <w:szCs w:val="20"/>
          <w:highlight w:val="none"/>
        </w:rPr>
        <w:t>算的实际数量（适用于采用单价合同形式）/按图纸计算的合理数量（适用于采用总</w:t>
      </w:r>
      <w:r>
        <w:rPr>
          <w:rFonts w:hint="eastAsia" w:ascii="宋体" w:hAnsi="宋体" w:eastAsia="宋体" w:cs="宋体"/>
          <w:color w:val="auto"/>
          <w:spacing w:val="9"/>
          <w:sz w:val="20"/>
          <w:szCs w:val="20"/>
          <w:highlight w:val="none"/>
        </w:rPr>
        <w:t>价合同形式</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59"/>
          <w:sz w:val="20"/>
          <w:szCs w:val="20"/>
          <w:highlight w:val="none"/>
        </w:rPr>
        <w:t xml:space="preserve"> </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9"/>
          <w:sz w:val="20"/>
          <w:szCs w:val="20"/>
          <w:highlight w:val="none"/>
        </w:rPr>
        <w:t>及材料有效损耗时，超出部分的材料费用由</w:t>
      </w:r>
      <w:r>
        <w:rPr>
          <w:rFonts w:hint="eastAsia" w:ascii="宋体" w:hAnsi="宋体" w:eastAsia="宋体" w:cs="宋体"/>
          <w:color w:val="auto"/>
          <w:spacing w:val="8"/>
          <w:sz w:val="20"/>
          <w:szCs w:val="20"/>
          <w:highlight w:val="none"/>
        </w:rPr>
        <w:t>承包人承担。</w:t>
      </w:r>
    </w:p>
    <w:p w14:paraId="13AB6FD7">
      <w:pPr>
        <w:pStyle w:val="17"/>
        <w:spacing w:line="360" w:lineRule="auto"/>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材料有效损耗=按上述约定计算的数量×“</w:t>
      </w:r>
      <w:r>
        <w:rPr>
          <w:rFonts w:hint="eastAsia" w:ascii="宋体" w:hAnsi="宋体" w:eastAsia="宋体" w:cs="宋体"/>
          <w:color w:val="auto"/>
          <w:spacing w:val="-73"/>
          <w:sz w:val="20"/>
          <w:szCs w:val="20"/>
          <w:highlight w:val="none"/>
        </w:rPr>
        <w:t xml:space="preserve"> </w:t>
      </w:r>
      <w:r>
        <w:rPr>
          <w:rFonts w:hint="eastAsia" w:ascii="宋体" w:hAnsi="宋体" w:eastAsia="宋体" w:cs="宋体"/>
          <w:color w:val="auto"/>
          <w:spacing w:val="9"/>
          <w:sz w:val="20"/>
          <w:szCs w:val="20"/>
          <w:highlight w:val="none"/>
        </w:rPr>
        <w:t>附件</w:t>
      </w:r>
      <w:r>
        <w:rPr>
          <w:rFonts w:hint="eastAsia" w:ascii="宋体" w:hAnsi="宋体" w:eastAsia="宋体" w:cs="宋体"/>
          <w:color w:val="auto"/>
          <w:spacing w:val="8"/>
          <w:sz w:val="20"/>
          <w:szCs w:val="20"/>
          <w:highlight w:val="none"/>
        </w:rPr>
        <w:t>四：发包人提供的材料一览表</w:t>
      </w:r>
      <w:r>
        <w:rPr>
          <w:rFonts w:hint="eastAsia" w:ascii="宋体" w:hAnsi="宋体" w:eastAsia="宋体" w:cs="宋体"/>
          <w:color w:val="auto"/>
          <w:spacing w:val="-73"/>
          <w:sz w:val="20"/>
          <w:szCs w:val="20"/>
          <w:highlight w:val="none"/>
        </w:rPr>
        <w:t xml:space="preserve"> </w:t>
      </w:r>
      <w:r>
        <w:rPr>
          <w:rFonts w:hint="eastAsia" w:ascii="宋体" w:hAnsi="宋体" w:eastAsia="宋体" w:cs="宋体"/>
          <w:color w:val="auto"/>
          <w:spacing w:val="8"/>
          <w:sz w:val="20"/>
          <w:szCs w:val="20"/>
          <w:highlight w:val="none"/>
        </w:rPr>
        <w:t>”中对应</w:t>
      </w:r>
      <w:r>
        <w:rPr>
          <w:rFonts w:hint="eastAsia" w:ascii="宋体" w:hAnsi="宋体" w:eastAsia="宋体" w:cs="宋体"/>
          <w:color w:val="auto"/>
          <w:spacing w:val="4"/>
          <w:sz w:val="20"/>
          <w:szCs w:val="20"/>
          <w:highlight w:val="none"/>
        </w:rPr>
        <w:t>的有效损耗率。</w:t>
      </w:r>
    </w:p>
    <w:p w14:paraId="07D5CC00">
      <w:pPr>
        <w:spacing w:before="290" w:line="360" w:lineRule="auto"/>
        <w:ind w:left="24"/>
        <w:jc w:val="left"/>
        <w:outlineLvl w:val="1"/>
        <w:rPr>
          <w:rFonts w:hint="eastAsia" w:ascii="宋体" w:hAnsi="宋体" w:eastAsia="宋体" w:cs="宋体"/>
          <w:color w:val="auto"/>
          <w:sz w:val="28"/>
          <w:szCs w:val="28"/>
          <w:highlight w:val="none"/>
        </w:rPr>
      </w:pPr>
      <w:bookmarkStart w:id="745" w:name="bookmark18"/>
      <w:bookmarkEnd w:id="745"/>
      <w:r>
        <w:rPr>
          <w:rFonts w:hint="eastAsia" w:ascii="宋体" w:hAnsi="宋体" w:eastAsia="宋体" w:cs="宋体"/>
          <w:color w:val="auto"/>
          <w:spacing w:val="-2"/>
          <w:sz w:val="28"/>
          <w:szCs w:val="28"/>
          <w:highlight w:val="none"/>
        </w:rPr>
        <w:t>6.施工设备和临时设施</w:t>
      </w:r>
    </w:p>
    <w:p w14:paraId="2E13C836">
      <w:pPr>
        <w:spacing w:before="78" w:line="360" w:lineRule="auto"/>
        <w:ind w:left="22"/>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6.1  承包人提供的施工设备和临时设施</w:t>
      </w:r>
    </w:p>
    <w:p w14:paraId="7E14DE49">
      <w:pPr>
        <w:spacing w:before="298" w:line="360" w:lineRule="auto"/>
        <w:ind w:left="441"/>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6.1.2  承包人承担自行修建临时设施费用的范围：</w:t>
      </w:r>
      <w:r>
        <w:rPr>
          <w:rFonts w:hint="eastAsia" w:ascii="宋体" w:hAnsi="宋体" w:eastAsia="宋体" w:cs="宋体"/>
          <w:color w:val="auto"/>
          <w:spacing w:val="7"/>
          <w:sz w:val="20"/>
          <w:szCs w:val="20"/>
          <w:highlight w:val="none"/>
          <w:u w:val="single"/>
          <w:lang w:eastAsia="zh-CN"/>
        </w:rPr>
        <w:t>本工程所需的全部。</w:t>
      </w:r>
    </w:p>
    <w:p w14:paraId="7C9E79B8">
      <w:pPr>
        <w:spacing w:before="161" w:line="360" w:lineRule="auto"/>
        <w:ind w:left="443"/>
        <w:jc w:val="left"/>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rPr>
        <w:t>发包人办理申请手续并承担相关费用的临时占地：</w:t>
      </w:r>
      <w:r>
        <w:rPr>
          <w:rFonts w:hint="eastAsia" w:ascii="宋体" w:hAnsi="宋体" w:eastAsia="宋体" w:cs="宋体"/>
          <w:color w:val="auto"/>
          <w:spacing w:val="7"/>
          <w:sz w:val="20"/>
          <w:szCs w:val="20"/>
          <w:highlight w:val="none"/>
          <w:u w:val="single"/>
          <w:lang w:eastAsia="zh-CN"/>
        </w:rPr>
        <w:t>无。</w:t>
      </w:r>
    </w:p>
    <w:p w14:paraId="5B60089A">
      <w:pPr>
        <w:spacing w:before="284" w:line="360" w:lineRule="auto"/>
        <w:ind w:left="22"/>
        <w:jc w:val="left"/>
        <w:outlineLvl w:val="2"/>
        <w:rPr>
          <w:rFonts w:hint="eastAsia" w:ascii="宋体" w:hAnsi="宋体" w:eastAsia="宋体" w:cs="宋体"/>
          <w:color w:val="auto"/>
          <w:spacing w:val="7"/>
          <w:sz w:val="20"/>
          <w:szCs w:val="20"/>
          <w:highlight w:val="none"/>
          <w:u w:val="single"/>
        </w:rPr>
      </w:pPr>
      <w:bookmarkStart w:id="746" w:name="bookmark19"/>
      <w:bookmarkEnd w:id="746"/>
      <w:r>
        <w:rPr>
          <w:rFonts w:hint="eastAsia" w:ascii="宋体" w:hAnsi="宋体" w:eastAsia="宋体" w:cs="宋体"/>
          <w:color w:val="auto"/>
          <w:spacing w:val="-1"/>
          <w:sz w:val="24"/>
          <w:szCs w:val="24"/>
          <w:highlight w:val="none"/>
        </w:rPr>
        <w:t>6.2  发包人提供的施工设备和临时设施</w:t>
      </w:r>
    </w:p>
    <w:p w14:paraId="78270CD2">
      <w:pPr>
        <w:spacing w:before="298" w:line="360" w:lineRule="auto"/>
        <w:ind w:left="443"/>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发包人提供的施工设备和临时设施：</w:t>
      </w:r>
      <w:r>
        <w:rPr>
          <w:rFonts w:hint="eastAsia" w:ascii="宋体" w:hAnsi="宋体" w:eastAsia="宋体" w:cs="宋体"/>
          <w:color w:val="auto"/>
          <w:spacing w:val="7"/>
          <w:sz w:val="20"/>
          <w:szCs w:val="20"/>
          <w:highlight w:val="none"/>
          <w:u w:val="single"/>
          <w:lang w:eastAsia="zh-CN"/>
        </w:rPr>
        <w:t>无。</w:t>
      </w:r>
      <w:r>
        <w:rPr>
          <w:rFonts w:hint="eastAsia" w:ascii="宋体" w:hAnsi="宋体" w:eastAsia="宋体" w:cs="宋体"/>
          <w:color w:val="auto"/>
          <w:sz w:val="20"/>
          <w:szCs w:val="20"/>
          <w:highlight w:val="none"/>
          <w:u w:val="single" w:color="auto"/>
        </w:rPr>
        <w:t xml:space="preserve">                                              </w:t>
      </w:r>
    </w:p>
    <w:p w14:paraId="5A4C5E06">
      <w:pPr>
        <w:spacing w:before="163" w:line="360" w:lineRule="auto"/>
        <w:ind w:left="443"/>
        <w:jc w:val="lef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发包人提供的施工设备和临时设施的运行、维</w:t>
      </w:r>
      <w:r>
        <w:rPr>
          <w:rFonts w:hint="eastAsia" w:ascii="宋体" w:hAnsi="宋体" w:eastAsia="宋体" w:cs="宋体"/>
          <w:color w:val="auto"/>
          <w:spacing w:val="9"/>
          <w:sz w:val="20"/>
          <w:szCs w:val="20"/>
          <w:highlight w:val="none"/>
        </w:rPr>
        <w:t>护、拆除、清运费用的承担人：</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z w:val="20"/>
          <w:szCs w:val="20"/>
          <w:highlight w:val="none"/>
          <w:u w:val="single" w:color="auto"/>
        </w:rPr>
        <w:t xml:space="preserve">     </w:t>
      </w:r>
    </w:p>
    <w:p w14:paraId="20613A04">
      <w:pPr>
        <w:spacing w:before="291" w:line="360" w:lineRule="auto"/>
        <w:ind w:left="29"/>
        <w:jc w:val="left"/>
        <w:outlineLvl w:val="1"/>
        <w:rPr>
          <w:rFonts w:hint="eastAsia" w:ascii="宋体" w:hAnsi="宋体" w:eastAsia="宋体" w:cs="宋体"/>
          <w:color w:val="auto"/>
          <w:sz w:val="28"/>
          <w:szCs w:val="28"/>
          <w:highlight w:val="none"/>
        </w:rPr>
      </w:pPr>
      <w:bookmarkStart w:id="747" w:name="bookmark20"/>
      <w:bookmarkEnd w:id="747"/>
      <w:r>
        <w:rPr>
          <w:rFonts w:hint="eastAsia" w:ascii="宋体" w:hAnsi="宋体" w:eastAsia="宋体" w:cs="宋体"/>
          <w:color w:val="auto"/>
          <w:spacing w:val="-4"/>
          <w:sz w:val="28"/>
          <w:szCs w:val="28"/>
          <w:highlight w:val="none"/>
        </w:rPr>
        <w:t>7.交通运输</w:t>
      </w:r>
    </w:p>
    <w:p w14:paraId="3D544949">
      <w:pPr>
        <w:pStyle w:val="17"/>
        <w:spacing w:line="360" w:lineRule="auto"/>
        <w:jc w:val="left"/>
        <w:rPr>
          <w:rFonts w:hint="eastAsia" w:ascii="宋体" w:hAnsi="宋体" w:eastAsia="宋体" w:cs="宋体"/>
          <w:color w:val="auto"/>
          <w:highlight w:val="none"/>
        </w:rPr>
      </w:pPr>
    </w:p>
    <w:p w14:paraId="484EC45B">
      <w:pPr>
        <w:spacing w:before="78" w:line="360" w:lineRule="auto"/>
        <w:ind w:left="26"/>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  道路通行权和场外设施</w:t>
      </w:r>
    </w:p>
    <w:p w14:paraId="7420C047">
      <w:pPr>
        <w:spacing w:before="295" w:line="360" w:lineRule="auto"/>
        <w:ind w:left="45" w:right="53" w:firstLine="40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负责取得道路通行权、场外设施修建权的办理人</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
          <w:sz w:val="20"/>
          <w:szCs w:val="20"/>
          <w:highlight w:val="none"/>
          <w:u w:val="single"/>
          <w:lang w:eastAsia="zh-CN"/>
        </w:rPr>
        <w:t xml:space="preserve"> </w:t>
      </w:r>
      <w:r>
        <w:rPr>
          <w:rFonts w:hint="eastAsia" w:ascii="宋体" w:hAnsi="宋体" w:eastAsia="宋体" w:cs="宋体"/>
          <w:color w:val="auto"/>
          <w:spacing w:val="7"/>
          <w:sz w:val="20"/>
          <w:szCs w:val="20"/>
          <w:highlight w:val="none"/>
          <w:u w:val="single"/>
          <w:lang w:val="en-US" w:eastAsia="zh-CN"/>
        </w:rPr>
        <w:t>承包人</w:t>
      </w:r>
      <w:r>
        <w:rPr>
          <w:rFonts w:hint="eastAsia" w:ascii="宋体" w:hAnsi="宋体" w:eastAsia="宋体" w:cs="宋体"/>
          <w:color w:val="auto"/>
          <w:spacing w:val="7"/>
          <w:sz w:val="20"/>
          <w:szCs w:val="20"/>
          <w:highlight w:val="none"/>
          <w:u w:val="single"/>
          <w:lang w:eastAsia="zh-CN"/>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rPr>
        <w:t xml:space="preserve"> </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7"/>
          <w:sz w:val="20"/>
          <w:szCs w:val="20"/>
          <w:highlight w:val="none"/>
        </w:rPr>
        <w:t>其相关费用</w:t>
      </w:r>
      <w:r>
        <w:rPr>
          <w:rFonts w:hint="eastAsia" w:ascii="宋体" w:hAnsi="宋体" w:eastAsia="宋体" w:cs="宋体"/>
          <w:color w:val="auto"/>
          <w:spacing w:val="3"/>
          <w:sz w:val="20"/>
          <w:szCs w:val="20"/>
          <w:highlight w:val="none"/>
        </w:rPr>
        <w:t>由发包人承担。</w:t>
      </w:r>
    </w:p>
    <w:p w14:paraId="740E5CCD">
      <w:pPr>
        <w:spacing w:before="124" w:line="360" w:lineRule="auto"/>
        <w:ind w:left="26"/>
        <w:jc w:val="left"/>
        <w:outlineLvl w:val="2"/>
        <w:rPr>
          <w:rFonts w:hint="eastAsia" w:ascii="宋体" w:hAnsi="宋体" w:eastAsia="宋体" w:cs="宋体"/>
          <w:color w:val="auto"/>
          <w:sz w:val="24"/>
          <w:szCs w:val="24"/>
          <w:highlight w:val="none"/>
        </w:rPr>
      </w:pPr>
      <w:bookmarkStart w:id="748" w:name="bookmark21"/>
      <w:bookmarkEnd w:id="748"/>
      <w:r>
        <w:rPr>
          <w:rFonts w:hint="eastAsia" w:ascii="宋体" w:hAnsi="宋体" w:eastAsia="宋体" w:cs="宋体"/>
          <w:color w:val="auto"/>
          <w:spacing w:val="-2"/>
          <w:sz w:val="24"/>
          <w:szCs w:val="24"/>
          <w:highlight w:val="none"/>
        </w:rPr>
        <w:t>7.2  场内施工道路</w:t>
      </w:r>
    </w:p>
    <w:p w14:paraId="244A5028">
      <w:pPr>
        <w:spacing w:before="295" w:line="360" w:lineRule="auto"/>
        <w:ind w:left="19" w:firstLine="42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7.2.1  施工所需的场内临时道路和交通设施的修建、维护、养护和管理人</w:t>
      </w:r>
      <w:r>
        <w:rPr>
          <w:rFonts w:hint="eastAsia" w:ascii="宋体" w:hAnsi="宋体" w:eastAsia="宋体" w:cs="宋体"/>
          <w:color w:val="auto"/>
          <w:spacing w:val="-46"/>
          <w:sz w:val="20"/>
          <w:szCs w:val="20"/>
          <w:highlight w:val="none"/>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7"/>
          <w:sz w:val="20"/>
          <w:szCs w:val="20"/>
          <w:highlight w:val="none"/>
          <w:u w:val="single"/>
          <w:lang w:eastAsia="zh-CN"/>
        </w:rPr>
        <w:t>承包人</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6"/>
          <w:sz w:val="20"/>
          <w:szCs w:val="20"/>
          <w:highlight w:val="none"/>
        </w:rPr>
        <w:t>，</w:t>
      </w:r>
      <w:r>
        <w:rPr>
          <w:rFonts w:hint="eastAsia" w:ascii="宋体" w:hAnsi="宋体" w:eastAsia="宋体" w:cs="宋体"/>
          <w:color w:val="auto"/>
          <w:spacing w:val="6"/>
          <w:sz w:val="20"/>
          <w:szCs w:val="20"/>
          <w:highlight w:val="none"/>
        </w:rPr>
        <w:t>相关费用由</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
          <w:sz w:val="20"/>
          <w:szCs w:val="20"/>
          <w:highlight w:val="none"/>
          <w:u w:val="single"/>
          <w:lang w:eastAsia="zh-CN"/>
        </w:rPr>
        <w:t>承包人</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6"/>
          <w:sz w:val="20"/>
          <w:szCs w:val="20"/>
          <w:highlight w:val="none"/>
        </w:rPr>
        <w:t>承担。</w:t>
      </w:r>
    </w:p>
    <w:p w14:paraId="5D14FD47">
      <w:pPr>
        <w:spacing w:before="124" w:line="360" w:lineRule="auto"/>
        <w:ind w:left="26"/>
        <w:jc w:val="left"/>
        <w:outlineLvl w:val="2"/>
        <w:rPr>
          <w:rFonts w:hint="eastAsia" w:ascii="宋体" w:hAnsi="宋体" w:eastAsia="宋体" w:cs="宋体"/>
          <w:color w:val="auto"/>
          <w:sz w:val="24"/>
          <w:szCs w:val="24"/>
          <w:highlight w:val="none"/>
        </w:rPr>
      </w:pPr>
      <w:bookmarkStart w:id="749" w:name="bookmark22"/>
      <w:bookmarkEnd w:id="749"/>
      <w:r>
        <w:rPr>
          <w:rFonts w:hint="eastAsia" w:ascii="宋体" w:hAnsi="宋体" w:eastAsia="宋体" w:cs="宋体"/>
          <w:color w:val="auto"/>
          <w:spacing w:val="-2"/>
          <w:sz w:val="24"/>
          <w:szCs w:val="24"/>
          <w:highlight w:val="none"/>
        </w:rPr>
        <w:t>7.4  超大件和超重件的运输</w:t>
      </w:r>
    </w:p>
    <w:p w14:paraId="390664B8">
      <w:pPr>
        <w:spacing w:before="296"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运输超大件或超重件所需的道路和桥梁临时加</w:t>
      </w:r>
      <w:r>
        <w:rPr>
          <w:rFonts w:hint="eastAsia" w:ascii="宋体" w:hAnsi="宋体" w:eastAsia="宋体" w:cs="宋体"/>
          <w:color w:val="auto"/>
          <w:spacing w:val="9"/>
          <w:sz w:val="20"/>
          <w:szCs w:val="20"/>
          <w:highlight w:val="none"/>
        </w:rPr>
        <w:t>固改造等费用的承担人：</w:t>
      </w:r>
      <w:r>
        <w:rPr>
          <w:rFonts w:hint="eastAsia" w:ascii="宋体" w:hAnsi="宋体" w:eastAsia="宋体" w:cs="宋体"/>
          <w:color w:val="auto"/>
          <w:spacing w:val="7"/>
          <w:sz w:val="20"/>
          <w:szCs w:val="20"/>
          <w:highlight w:val="none"/>
          <w:u w:val="single"/>
          <w:lang w:eastAsia="zh-CN"/>
        </w:rPr>
        <w:t>承包人。</w:t>
      </w:r>
    </w:p>
    <w:p w14:paraId="57D57D74">
      <w:pPr>
        <w:spacing w:before="291" w:line="360" w:lineRule="auto"/>
        <w:ind w:left="23"/>
        <w:jc w:val="left"/>
        <w:outlineLvl w:val="1"/>
        <w:rPr>
          <w:rFonts w:hint="eastAsia" w:ascii="宋体" w:hAnsi="宋体" w:eastAsia="宋体" w:cs="宋体"/>
          <w:color w:val="auto"/>
          <w:sz w:val="28"/>
          <w:szCs w:val="28"/>
          <w:highlight w:val="none"/>
        </w:rPr>
      </w:pPr>
      <w:bookmarkStart w:id="750" w:name="bookmark23"/>
      <w:bookmarkEnd w:id="750"/>
      <w:r>
        <w:rPr>
          <w:rFonts w:hint="eastAsia" w:ascii="宋体" w:hAnsi="宋体" w:eastAsia="宋体" w:cs="宋体"/>
          <w:color w:val="auto"/>
          <w:spacing w:val="-3"/>
          <w:sz w:val="28"/>
          <w:szCs w:val="28"/>
          <w:highlight w:val="none"/>
        </w:rPr>
        <w:t>8.测量放线</w:t>
      </w:r>
    </w:p>
    <w:p w14:paraId="12165E12">
      <w:pPr>
        <w:pStyle w:val="17"/>
        <w:spacing w:line="360" w:lineRule="auto"/>
        <w:jc w:val="left"/>
        <w:rPr>
          <w:rFonts w:hint="eastAsia" w:ascii="宋体" w:hAnsi="宋体" w:eastAsia="宋体" w:cs="宋体"/>
          <w:color w:val="auto"/>
          <w:highlight w:val="none"/>
        </w:rPr>
      </w:pPr>
    </w:p>
    <w:p w14:paraId="0FCBFC89">
      <w:pPr>
        <w:spacing w:before="79" w:line="360" w:lineRule="auto"/>
        <w:ind w:left="22"/>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8.1  施工控制网</w:t>
      </w:r>
    </w:p>
    <w:p w14:paraId="50110ADF">
      <w:pPr>
        <w:spacing w:before="293" w:line="360" w:lineRule="auto"/>
        <w:ind w:left="440"/>
        <w:jc w:val="left"/>
        <w:rPr>
          <w:rFonts w:hint="eastAsia" w:ascii="宋体" w:hAnsi="宋体" w:eastAsia="宋体" w:cs="宋体"/>
          <w:color w:val="auto"/>
          <w:spacing w:val="7"/>
          <w:sz w:val="20"/>
          <w:szCs w:val="20"/>
          <w:highlight w:val="none"/>
          <w:u w:val="single"/>
        </w:rPr>
      </w:pPr>
      <w:r>
        <w:rPr>
          <w:rFonts w:hint="eastAsia" w:ascii="宋体" w:hAnsi="宋体" w:eastAsia="宋体" w:cs="宋体"/>
          <w:color w:val="auto"/>
          <w:spacing w:val="9"/>
          <w:sz w:val="20"/>
          <w:szCs w:val="20"/>
          <w:highlight w:val="none"/>
        </w:rPr>
        <w:t>8.1.1  发包人通过监理人提供测量基准点、基准线和水准点及其</w:t>
      </w:r>
      <w:r>
        <w:rPr>
          <w:rFonts w:hint="eastAsia" w:ascii="宋体" w:hAnsi="宋体" w:eastAsia="宋体" w:cs="宋体"/>
          <w:color w:val="auto"/>
          <w:spacing w:val="8"/>
          <w:sz w:val="20"/>
          <w:szCs w:val="20"/>
          <w:highlight w:val="none"/>
        </w:rPr>
        <w:t>书面资料的期限：</w:t>
      </w:r>
      <w:r>
        <w:rPr>
          <w:rFonts w:hint="eastAsia" w:ascii="宋体" w:hAnsi="宋体" w:eastAsia="宋体" w:cs="宋体"/>
          <w:color w:val="auto"/>
          <w:spacing w:val="7"/>
          <w:sz w:val="20"/>
          <w:szCs w:val="20"/>
          <w:highlight w:val="none"/>
          <w:u w:val="single"/>
        </w:rPr>
        <w:t>合同签订后7日内</w:t>
      </w:r>
      <w:r>
        <w:rPr>
          <w:rFonts w:hint="eastAsia" w:ascii="宋体" w:hAnsi="宋体" w:eastAsia="宋体" w:cs="宋体"/>
          <w:color w:val="auto"/>
          <w:spacing w:val="7"/>
          <w:sz w:val="20"/>
          <w:szCs w:val="20"/>
          <w:highlight w:val="none"/>
          <w:u w:val="single"/>
          <w:lang w:eastAsia="zh-CN"/>
        </w:rPr>
        <w:t>。</w:t>
      </w:r>
    </w:p>
    <w:p w14:paraId="327135FE">
      <w:pPr>
        <w:spacing w:before="162" w:line="360" w:lineRule="auto"/>
        <w:ind w:left="440"/>
        <w:jc w:val="left"/>
        <w:rPr>
          <w:rFonts w:hint="eastAsia" w:ascii="宋体" w:hAnsi="宋体" w:eastAsia="宋体" w:cs="宋体"/>
          <w:color w:val="auto"/>
          <w:highlight w:val="none"/>
        </w:rPr>
      </w:pPr>
      <w:r>
        <w:rPr>
          <w:rFonts w:hint="eastAsia" w:ascii="宋体" w:hAnsi="宋体" w:eastAsia="宋体" w:cs="宋体"/>
          <w:color w:val="auto"/>
          <w:spacing w:val="8"/>
          <w:sz w:val="20"/>
          <w:szCs w:val="20"/>
          <w:highlight w:val="none"/>
        </w:rPr>
        <w:t>8.1.2  承包人测设施工控制网的其他要求：</w:t>
      </w:r>
      <w:r>
        <w:rPr>
          <w:rFonts w:hint="eastAsia" w:ascii="宋体" w:hAnsi="宋体" w:eastAsia="宋体" w:cs="宋体"/>
          <w:color w:val="auto"/>
          <w:spacing w:val="7"/>
          <w:sz w:val="20"/>
          <w:szCs w:val="20"/>
          <w:highlight w:val="none"/>
          <w:u w:val="single"/>
        </w:rPr>
        <w:t>按规划及设计要求，满足合格质量的需求。由承包人依据监理人提供的测量基准点</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7"/>
          <w:sz w:val="20"/>
          <w:szCs w:val="20"/>
          <w:highlight w:val="none"/>
          <w:u w:val="single"/>
        </w:rPr>
        <w:t>基准线和水准点以及国家工程测量技术规范和合同要求的工程精度，测试自己的施工控制网</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z w:val="20"/>
          <w:szCs w:val="20"/>
          <w:highlight w:val="none"/>
          <w:u w:val="single" w:color="auto"/>
        </w:rPr>
        <w:t xml:space="preserve">                                      </w:t>
      </w:r>
    </w:p>
    <w:p w14:paraId="5AAA9498">
      <w:pPr>
        <w:pBdr>
          <w:top w:val="none" w:color="auto" w:sz="0" w:space="0"/>
          <w:left w:val="none" w:color="auto" w:sz="0" w:space="0"/>
          <w:bottom w:val="none" w:color="auto" w:sz="0" w:space="0"/>
          <w:right w:val="none" w:color="auto" w:sz="0" w:space="0"/>
          <w:between w:val="none" w:color="auto" w:sz="0" w:space="0"/>
        </w:pBdr>
        <w:spacing w:before="162" w:line="360" w:lineRule="auto"/>
        <w:ind w:left="439"/>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9"/>
          <w:sz w:val="20"/>
          <w:szCs w:val="20"/>
          <w:highlight w:val="none"/>
        </w:rPr>
        <w:t>承包人将施工控制网资料报送监理人审批的期限：</w:t>
      </w:r>
      <w:r>
        <w:rPr>
          <w:rFonts w:hint="eastAsia" w:ascii="宋体" w:hAnsi="宋体" w:eastAsia="宋体" w:cs="宋体"/>
          <w:color w:val="auto"/>
          <w:spacing w:val="7"/>
          <w:sz w:val="20"/>
          <w:szCs w:val="20"/>
          <w:highlight w:val="none"/>
          <w:u w:val="single"/>
        </w:rPr>
        <w:t>在收到监理人发出的开工通知书后7天内</w:t>
      </w:r>
      <w:r>
        <w:rPr>
          <w:rFonts w:hint="eastAsia" w:ascii="宋体" w:hAnsi="宋体" w:eastAsia="宋体" w:cs="宋体"/>
          <w:color w:val="auto"/>
          <w:spacing w:val="7"/>
          <w:sz w:val="20"/>
          <w:szCs w:val="20"/>
          <w:highlight w:val="none"/>
          <w:u w:val="single"/>
          <w:lang w:eastAsia="zh-CN"/>
        </w:rPr>
        <w:t>。</w:t>
      </w:r>
    </w:p>
    <w:p w14:paraId="678C3817">
      <w:pPr>
        <w:pStyle w:val="255"/>
        <w:pBdr>
          <w:top w:val="none" w:color="auto" w:sz="0" w:space="0"/>
          <w:left w:val="none" w:color="auto" w:sz="0" w:space="0"/>
          <w:bottom w:val="none" w:color="auto" w:sz="0" w:space="0"/>
          <w:right w:val="none" w:color="auto" w:sz="0" w:space="0"/>
          <w:between w:val="none" w:color="auto" w:sz="0" w:space="0"/>
        </w:pBdr>
        <w:spacing w:before="323" w:line="360" w:lineRule="auto"/>
        <w:ind w:left="12"/>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9.施工安全、治安保卫和环境保护</w:t>
      </w:r>
    </w:p>
    <w:p w14:paraId="707CE0E6">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宋体" w:hAnsi="宋体" w:eastAsia="宋体" w:cs="宋体"/>
          <w:color w:val="auto"/>
          <w:sz w:val="21"/>
          <w:highlight w:val="none"/>
        </w:rPr>
      </w:pPr>
    </w:p>
    <w:p w14:paraId="2754FCE8">
      <w:pPr>
        <w:pStyle w:val="255"/>
        <w:pBdr>
          <w:top w:val="none" w:color="auto" w:sz="0" w:space="0"/>
          <w:left w:val="none" w:color="auto" w:sz="0" w:space="0"/>
          <w:bottom w:val="none" w:color="auto" w:sz="0" w:space="0"/>
          <w:right w:val="none" w:color="auto" w:sz="0" w:space="0"/>
          <w:between w:val="none" w:color="auto" w:sz="0" w:space="0"/>
        </w:pBdr>
        <w:spacing w:before="78" w:line="360" w:lineRule="auto"/>
        <w:ind w:left="1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9.2  承包人的施工安全责任</w:t>
      </w:r>
    </w:p>
    <w:p w14:paraId="52C77E18">
      <w:pPr>
        <w:pStyle w:val="255"/>
        <w:pBdr>
          <w:top w:val="none" w:color="auto" w:sz="0" w:space="0"/>
          <w:left w:val="none" w:color="auto" w:sz="0" w:space="0"/>
          <w:bottom w:val="none" w:color="auto" w:sz="0" w:space="0"/>
          <w:right w:val="none" w:color="auto" w:sz="0" w:space="0"/>
          <w:between w:val="none" w:color="auto" w:sz="0" w:space="0"/>
        </w:pBdr>
        <w:spacing w:before="297" w:line="360" w:lineRule="auto"/>
        <w:ind w:left="429"/>
        <w:jc w:val="left"/>
        <w:rPr>
          <w:rFonts w:hint="eastAsia" w:ascii="宋体" w:hAnsi="宋体" w:eastAsia="宋体" w:cs="宋体"/>
          <w:color w:val="auto"/>
          <w:highlight w:val="none"/>
        </w:rPr>
      </w:pPr>
      <w:r>
        <w:rPr>
          <w:rFonts w:hint="eastAsia" w:ascii="宋体" w:hAnsi="宋体" w:eastAsia="宋体" w:cs="宋体"/>
          <w:color w:val="auto"/>
          <w:spacing w:val="8"/>
          <w:highlight w:val="none"/>
        </w:rPr>
        <w:t>9.2.1  承包人向监理人报送施工安全措施计划的期限：</w:t>
      </w:r>
      <w:r>
        <w:rPr>
          <w:rFonts w:hint="eastAsia" w:ascii="宋体" w:hAnsi="宋体" w:eastAsia="宋体" w:cs="宋体"/>
          <w:snapToGrid w:val="0"/>
          <w:color w:val="auto"/>
          <w:spacing w:val="7"/>
          <w:kern w:val="0"/>
          <w:sz w:val="20"/>
          <w:szCs w:val="20"/>
          <w:highlight w:val="none"/>
          <w:u w:val="single"/>
          <w:lang w:val="en-US" w:eastAsia="zh-CN" w:bidi="ar-SA"/>
        </w:rPr>
        <w:t>开工前7日内。</w:t>
      </w:r>
      <w:r>
        <w:rPr>
          <w:rFonts w:hint="eastAsia" w:ascii="宋体" w:hAnsi="宋体" w:eastAsia="宋体" w:cs="宋体"/>
          <w:color w:val="auto"/>
          <w:highlight w:val="none"/>
          <w:u w:val="single" w:color="auto"/>
        </w:rPr>
        <w:t xml:space="preserve">              </w:t>
      </w:r>
    </w:p>
    <w:p w14:paraId="4F2BEC22">
      <w:pPr>
        <w:pStyle w:val="255"/>
        <w:pBdr>
          <w:top w:val="none" w:color="auto" w:sz="0" w:space="0"/>
          <w:left w:val="none" w:color="auto" w:sz="0" w:space="0"/>
          <w:bottom w:val="none" w:color="auto" w:sz="0" w:space="0"/>
          <w:right w:val="none" w:color="auto" w:sz="0" w:space="0"/>
          <w:between w:val="none" w:color="auto" w:sz="0" w:space="0"/>
        </w:pBdr>
        <w:spacing w:before="161" w:line="360" w:lineRule="auto"/>
        <w:ind w:left="429"/>
        <w:jc w:val="left"/>
        <w:rPr>
          <w:rFonts w:hint="eastAsia" w:ascii="宋体" w:hAnsi="宋体" w:eastAsia="宋体" w:cs="宋体"/>
          <w:color w:val="auto"/>
          <w:highlight w:val="none"/>
        </w:rPr>
      </w:pPr>
      <w:r>
        <w:rPr>
          <w:rFonts w:hint="eastAsia" w:ascii="宋体" w:hAnsi="宋体" w:eastAsia="宋体" w:cs="宋体"/>
          <w:color w:val="auto"/>
          <w:spacing w:val="8"/>
          <w:highlight w:val="none"/>
        </w:rPr>
        <w:t>监理人收到承包人报送的施工安全措施计划后应当在</w:t>
      </w:r>
      <w:r>
        <w:rPr>
          <w:rFonts w:hint="eastAsia" w:ascii="宋体" w:hAnsi="宋体" w:eastAsia="宋体" w:cs="宋体"/>
          <w:color w:val="auto"/>
          <w:spacing w:val="8"/>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zh-CN" w:bidi="ar-SA"/>
        </w:rPr>
        <w:t>3</w:t>
      </w:r>
      <w:r>
        <w:rPr>
          <w:rFonts w:hint="eastAsia" w:ascii="宋体" w:hAnsi="宋体" w:eastAsia="宋体" w:cs="宋体"/>
          <w:color w:val="auto"/>
          <w:spacing w:val="8"/>
          <w:highlight w:val="none"/>
          <w:u w:val="single" w:color="auto"/>
        </w:rPr>
        <w:t xml:space="preserve">  </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8"/>
          <w:highlight w:val="none"/>
        </w:rPr>
        <w:t>天</w:t>
      </w:r>
      <w:r>
        <w:rPr>
          <w:rFonts w:hint="eastAsia" w:ascii="宋体" w:hAnsi="宋体" w:eastAsia="宋体" w:cs="宋体"/>
          <w:color w:val="auto"/>
          <w:spacing w:val="7"/>
          <w:highlight w:val="none"/>
        </w:rPr>
        <w:t>内给予批复。</w:t>
      </w:r>
    </w:p>
    <w:p w14:paraId="775A8B0D">
      <w:pPr>
        <w:pStyle w:val="255"/>
        <w:pBdr>
          <w:top w:val="none" w:color="auto" w:sz="0" w:space="0"/>
          <w:left w:val="none" w:color="auto" w:sz="0" w:space="0"/>
          <w:bottom w:val="none" w:color="auto" w:sz="0" w:space="0"/>
          <w:right w:val="none" w:color="auto" w:sz="0" w:space="0"/>
          <w:between w:val="none" w:color="auto" w:sz="0" w:space="0"/>
        </w:pBdr>
        <w:spacing w:before="285" w:line="360" w:lineRule="auto"/>
        <w:ind w:left="10"/>
        <w:jc w:val="left"/>
        <w:outlineLvl w:val="2"/>
        <w:rPr>
          <w:rFonts w:hint="eastAsia" w:ascii="宋体" w:hAnsi="宋体" w:eastAsia="宋体" w:cs="宋体"/>
          <w:color w:val="auto"/>
          <w:sz w:val="24"/>
          <w:szCs w:val="24"/>
          <w:highlight w:val="none"/>
        </w:rPr>
      </w:pPr>
      <w:bookmarkStart w:id="751" w:name="bookmark25"/>
      <w:bookmarkEnd w:id="751"/>
      <w:r>
        <w:rPr>
          <w:rFonts w:hint="eastAsia" w:ascii="宋体" w:hAnsi="宋体" w:eastAsia="宋体" w:cs="宋体"/>
          <w:color w:val="auto"/>
          <w:spacing w:val="-4"/>
          <w:sz w:val="24"/>
          <w:szCs w:val="24"/>
          <w:highlight w:val="none"/>
        </w:rPr>
        <w:t>9.3</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4"/>
          <w:sz w:val="24"/>
          <w:szCs w:val="24"/>
          <w:highlight w:val="none"/>
        </w:rPr>
        <w:t>治安保卫</w:t>
      </w:r>
    </w:p>
    <w:p w14:paraId="4F091075">
      <w:pPr>
        <w:pStyle w:val="255"/>
        <w:pBdr>
          <w:top w:val="none" w:color="auto" w:sz="0" w:space="0"/>
          <w:left w:val="none" w:color="auto" w:sz="0" w:space="0"/>
          <w:bottom w:val="none" w:color="auto" w:sz="0" w:space="0"/>
          <w:right w:val="none" w:color="auto" w:sz="0" w:space="0"/>
          <w:between w:val="none" w:color="auto" w:sz="0" w:space="0"/>
        </w:pBdr>
        <w:spacing w:before="301" w:line="360" w:lineRule="auto"/>
        <w:ind w:left="429"/>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highlight w:val="none"/>
        </w:rPr>
        <w:t>9.3.3  制定施工场地治安管理计划和突发治安事</w:t>
      </w:r>
      <w:r>
        <w:rPr>
          <w:rFonts w:hint="eastAsia" w:ascii="宋体" w:hAnsi="宋体" w:eastAsia="宋体" w:cs="宋体"/>
          <w:color w:val="auto"/>
          <w:spacing w:val="7"/>
          <w:highlight w:val="none"/>
        </w:rPr>
        <w:t>件紧急预案的责任人</w:t>
      </w:r>
      <w:r>
        <w:rPr>
          <w:rFonts w:hint="eastAsia" w:ascii="宋体" w:hAnsi="宋体" w:eastAsia="宋体" w:cs="宋体"/>
          <w:color w:val="auto"/>
          <w:spacing w:val="7"/>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en-US" w:bidi="ar-SA"/>
        </w:rPr>
        <w:t>承包人</w:t>
      </w:r>
      <w:r>
        <w:rPr>
          <w:rFonts w:hint="eastAsia" w:ascii="宋体" w:hAnsi="宋体" w:eastAsia="宋体" w:cs="宋体"/>
          <w:snapToGrid w:val="0"/>
          <w:color w:val="auto"/>
          <w:spacing w:val="7"/>
          <w:kern w:val="0"/>
          <w:sz w:val="20"/>
          <w:szCs w:val="20"/>
          <w:highlight w:val="none"/>
          <w:u w:val="single"/>
          <w:lang w:val="en-US" w:eastAsia="zh-CN" w:bidi="ar-SA"/>
        </w:rPr>
        <w:t>。</w:t>
      </w:r>
    </w:p>
    <w:p w14:paraId="367133CF">
      <w:pPr>
        <w:pStyle w:val="255"/>
        <w:pBdr>
          <w:top w:val="none" w:color="auto" w:sz="0" w:space="0"/>
          <w:left w:val="none" w:color="auto" w:sz="0" w:space="0"/>
          <w:bottom w:val="none" w:color="auto" w:sz="0" w:space="0"/>
          <w:right w:val="none" w:color="auto" w:sz="0" w:space="0"/>
          <w:between w:val="none" w:color="auto" w:sz="0" w:space="0"/>
        </w:pBdr>
        <w:spacing w:before="295" w:line="360" w:lineRule="auto"/>
        <w:ind w:left="10"/>
        <w:jc w:val="left"/>
        <w:outlineLvl w:val="2"/>
        <w:rPr>
          <w:rFonts w:hint="eastAsia" w:ascii="宋体" w:hAnsi="宋体" w:eastAsia="宋体" w:cs="宋体"/>
          <w:color w:val="auto"/>
          <w:sz w:val="24"/>
          <w:szCs w:val="24"/>
          <w:highlight w:val="none"/>
        </w:rPr>
      </w:pPr>
      <w:bookmarkStart w:id="752" w:name="bookmark26"/>
      <w:bookmarkEnd w:id="752"/>
      <w:r>
        <w:rPr>
          <w:rFonts w:hint="eastAsia" w:ascii="宋体" w:hAnsi="宋体" w:eastAsia="宋体" w:cs="宋体"/>
          <w:color w:val="auto"/>
          <w:spacing w:val="-2"/>
          <w:sz w:val="24"/>
          <w:szCs w:val="24"/>
          <w:highlight w:val="none"/>
        </w:rPr>
        <w:t>9.4  环境保护</w:t>
      </w:r>
    </w:p>
    <w:p w14:paraId="64854238">
      <w:pPr>
        <w:pStyle w:val="255"/>
        <w:pBdr>
          <w:top w:val="none" w:color="auto" w:sz="0" w:space="0"/>
          <w:left w:val="none" w:color="auto" w:sz="0" w:space="0"/>
          <w:bottom w:val="none" w:color="auto" w:sz="0" w:space="0"/>
          <w:right w:val="none" w:color="auto" w:sz="0" w:space="0"/>
          <w:between w:val="none" w:color="auto" w:sz="0" w:space="0"/>
        </w:pBdr>
        <w:spacing w:before="302" w:line="360" w:lineRule="auto"/>
        <w:ind w:left="429"/>
        <w:jc w:val="left"/>
        <w:rPr>
          <w:rFonts w:hint="eastAsia" w:ascii="宋体" w:hAnsi="宋体" w:eastAsia="宋体" w:cs="宋体"/>
          <w:color w:val="auto"/>
          <w:sz w:val="24"/>
          <w:szCs w:val="24"/>
          <w:highlight w:val="none"/>
        </w:rPr>
      </w:pPr>
      <w:r>
        <w:rPr>
          <w:rFonts w:hint="eastAsia" w:ascii="宋体" w:hAnsi="宋体" w:eastAsia="宋体" w:cs="宋体"/>
          <w:color w:val="auto"/>
          <w:spacing w:val="8"/>
          <w:highlight w:val="none"/>
        </w:rPr>
        <w:t>9.4.3  施工环保措施计划报送监理人审批</w:t>
      </w:r>
      <w:r>
        <w:rPr>
          <w:rFonts w:hint="eastAsia" w:ascii="宋体" w:hAnsi="宋体" w:eastAsia="宋体" w:cs="宋体"/>
          <w:color w:val="auto"/>
          <w:spacing w:val="7"/>
          <w:highlight w:val="none"/>
        </w:rPr>
        <w:t>的时间</w:t>
      </w:r>
      <w:r>
        <w:rPr>
          <w:rFonts w:hint="eastAsia" w:ascii="宋体" w:hAnsi="宋体" w:eastAsia="宋体" w:cs="宋体"/>
          <w:color w:val="auto"/>
          <w:spacing w:val="7"/>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zh-CN" w:bidi="ar-SA"/>
        </w:rPr>
        <w:t>开工前7日内。</w:t>
      </w:r>
    </w:p>
    <w:p w14:paraId="7245481F">
      <w:pPr>
        <w:pStyle w:val="255"/>
        <w:pBdr>
          <w:top w:val="none" w:color="auto" w:sz="0" w:space="0"/>
          <w:left w:val="none" w:color="auto" w:sz="0" w:space="0"/>
          <w:bottom w:val="none" w:color="auto" w:sz="0" w:space="0"/>
          <w:right w:val="none" w:color="auto" w:sz="0" w:space="0"/>
          <w:between w:val="none" w:color="auto" w:sz="0" w:space="0"/>
        </w:pBdr>
        <w:spacing w:before="171" w:line="360" w:lineRule="auto"/>
        <w:ind w:left="429"/>
        <w:jc w:val="left"/>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监理人收到承包人报送的施工环保措施计划后应当在</w:t>
      </w:r>
      <w:r>
        <w:rPr>
          <w:rFonts w:hint="eastAsia" w:ascii="宋体" w:hAnsi="宋体" w:eastAsia="宋体" w:cs="宋体"/>
          <w:color w:val="auto"/>
          <w:spacing w:val="8"/>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zh-CN" w:bidi="ar-SA"/>
        </w:rPr>
        <w:t>3</w:t>
      </w:r>
      <w:r>
        <w:rPr>
          <w:rFonts w:hint="eastAsia" w:ascii="宋体" w:hAnsi="宋体" w:eastAsia="宋体" w:cs="宋体"/>
          <w:color w:val="auto"/>
          <w:spacing w:val="8"/>
          <w:highlight w:val="none"/>
          <w:u w:val="single" w:color="auto"/>
        </w:rPr>
        <w:t xml:space="preserve"> </w:t>
      </w:r>
      <w:r>
        <w:rPr>
          <w:rFonts w:hint="eastAsia" w:ascii="宋体" w:hAnsi="宋体" w:eastAsia="宋体" w:cs="宋体"/>
          <w:color w:val="auto"/>
          <w:spacing w:val="-76"/>
          <w:highlight w:val="none"/>
        </w:rPr>
        <w:t xml:space="preserve"> </w:t>
      </w:r>
      <w:r>
        <w:rPr>
          <w:rFonts w:hint="eastAsia" w:ascii="宋体" w:hAnsi="宋体" w:eastAsia="宋体" w:cs="宋体"/>
          <w:color w:val="auto"/>
          <w:spacing w:val="8"/>
          <w:highlight w:val="none"/>
        </w:rPr>
        <w:t>天内给予批复。</w:t>
      </w:r>
    </w:p>
    <w:p w14:paraId="2724398C">
      <w:pPr>
        <w:pStyle w:val="255"/>
        <w:pBdr>
          <w:top w:val="none" w:color="auto" w:sz="0" w:space="0"/>
          <w:left w:val="none" w:color="auto" w:sz="0" w:space="0"/>
          <w:bottom w:val="none" w:color="auto" w:sz="0" w:space="0"/>
          <w:right w:val="none" w:color="auto" w:sz="0" w:space="0"/>
          <w:between w:val="none" w:color="auto" w:sz="0" w:space="0"/>
        </w:pBdr>
        <w:spacing w:before="285" w:line="360" w:lineRule="auto"/>
        <w:ind w:left="1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9.6  施工现场安全生产标准化管理目标</w:t>
      </w:r>
    </w:p>
    <w:p w14:paraId="65840262">
      <w:pPr>
        <w:pStyle w:val="255"/>
        <w:pBdr>
          <w:top w:val="none" w:color="auto" w:sz="0" w:space="0"/>
          <w:left w:val="none" w:color="auto" w:sz="0" w:space="0"/>
          <w:bottom w:val="none" w:color="auto" w:sz="0" w:space="0"/>
          <w:right w:val="none" w:color="auto" w:sz="0" w:space="0"/>
          <w:between w:val="none" w:color="auto" w:sz="0" w:space="0"/>
        </w:pBdr>
        <w:spacing w:before="297" w:line="360" w:lineRule="auto"/>
        <w:ind w:left="10" w:right="2" w:firstLine="419"/>
        <w:jc w:val="left"/>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9.6.1  未达到合同协议书中约定的安全生产标准化管理目标等级的违约金或损失赔偿</w:t>
      </w:r>
      <w:r>
        <w:rPr>
          <w:rFonts w:hint="eastAsia" w:ascii="宋体" w:hAnsi="宋体" w:eastAsia="宋体" w:cs="宋体"/>
          <w:color w:val="auto"/>
          <w:spacing w:val="8"/>
          <w:highlight w:val="none"/>
        </w:rPr>
        <w:t>金的金额或者计算方法：</w:t>
      </w:r>
      <w:r>
        <w:rPr>
          <w:rFonts w:hint="eastAsia" w:ascii="宋体" w:hAnsi="宋体" w:eastAsia="宋体" w:cs="宋体"/>
          <w:snapToGrid w:val="0"/>
          <w:color w:val="auto"/>
          <w:spacing w:val="7"/>
          <w:kern w:val="0"/>
          <w:sz w:val="20"/>
          <w:szCs w:val="20"/>
          <w:highlight w:val="none"/>
          <w:u w:val="single"/>
          <w:lang w:val="en-US" w:eastAsia="zh-CN" w:bidi="ar-SA"/>
        </w:rPr>
        <w:t>以安全文明施工费总额为基础，根据约定等级与实际等级的费率差异计算，公式为 A=(1-K1÷K2)×F（A为赔偿金，K1为实际等级费率，K2为约定等级费率，F为安全文明施工费总额）。</w:t>
      </w:r>
      <w:r>
        <w:rPr>
          <w:rFonts w:hint="eastAsia" w:ascii="宋体" w:hAnsi="宋体" w:eastAsia="宋体" w:cs="宋体"/>
          <w:color w:val="auto"/>
          <w:highlight w:val="none"/>
          <w:u w:val="single" w:color="auto"/>
        </w:rPr>
        <w:t xml:space="preserve">   </w:t>
      </w:r>
    </w:p>
    <w:p w14:paraId="0723FDAE">
      <w:pPr>
        <w:pStyle w:val="255"/>
        <w:pBdr>
          <w:top w:val="none" w:color="auto" w:sz="0" w:space="0"/>
          <w:left w:val="none" w:color="auto" w:sz="0" w:space="0"/>
          <w:bottom w:val="none" w:color="auto" w:sz="0" w:space="0"/>
          <w:right w:val="none" w:color="auto" w:sz="0" w:space="0"/>
          <w:between w:val="none" w:color="auto" w:sz="0" w:space="0"/>
        </w:pBdr>
        <w:spacing w:before="205" w:line="360" w:lineRule="auto"/>
        <w:ind w:left="10" w:firstLine="419"/>
        <w:jc w:val="lef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9.6.2  发包人</w:t>
      </w:r>
      <w:r>
        <w:rPr>
          <w:rFonts w:hint="eastAsia" w:ascii="宋体" w:hAnsi="宋体" w:eastAsia="宋体" w:cs="宋体"/>
          <w:color w:val="auto"/>
          <w:spacing w:val="6"/>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en-US" w:bidi="ar-SA"/>
        </w:rPr>
        <w:t xml:space="preserve"> 不给予 </w:t>
      </w:r>
      <w:r>
        <w:rPr>
          <w:rFonts w:hint="eastAsia" w:ascii="宋体" w:hAnsi="宋体" w:eastAsia="宋体" w:cs="宋体"/>
          <w:color w:val="auto"/>
          <w:spacing w:val="6"/>
          <w:highlight w:val="none"/>
          <w:u w:val="single" w:color="auto"/>
        </w:rPr>
        <w:t xml:space="preserve"> </w:t>
      </w:r>
      <w:r>
        <w:rPr>
          <w:rFonts w:hint="eastAsia" w:ascii="宋体" w:hAnsi="宋体" w:eastAsia="宋体" w:cs="宋体"/>
          <w:color w:val="auto"/>
          <w:spacing w:val="5"/>
          <w:highlight w:val="none"/>
          <w:u w:val="single" w:color="auto"/>
        </w:rPr>
        <w:t xml:space="preserve"> </w:t>
      </w:r>
      <w:r>
        <w:rPr>
          <w:rFonts w:hint="eastAsia" w:ascii="宋体" w:hAnsi="宋体" w:eastAsia="宋体" w:cs="宋体"/>
          <w:color w:val="auto"/>
          <w:spacing w:val="5"/>
          <w:highlight w:val="none"/>
        </w:rPr>
        <w:t>（给予/不给予）承包人创优奖励。发包人给予承包</w:t>
      </w:r>
      <w:r>
        <w:rPr>
          <w:rFonts w:hint="eastAsia" w:ascii="宋体" w:hAnsi="宋体" w:eastAsia="宋体" w:cs="宋体"/>
          <w:color w:val="auto"/>
          <w:spacing w:val="9"/>
          <w:highlight w:val="none"/>
        </w:rPr>
        <w:t>人创优奖励的，创优奖励金额或者计算方法：</w:t>
      </w:r>
      <w:r>
        <w:rPr>
          <w:rFonts w:hint="eastAsia" w:ascii="宋体" w:hAnsi="宋体" w:eastAsia="宋体" w:cs="宋体"/>
          <w:color w:val="auto"/>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color w:val="auto"/>
          <w:highlight w:val="none"/>
          <w:u w:val="single" w:color="auto"/>
        </w:rPr>
        <w:t xml:space="preserve">                                  </w:t>
      </w:r>
    </w:p>
    <w:p w14:paraId="7080DBF5">
      <w:pPr>
        <w:spacing w:line="360" w:lineRule="auto"/>
        <w:jc w:val="left"/>
        <w:rPr>
          <w:rFonts w:hint="eastAsia" w:ascii="宋体" w:hAnsi="宋体" w:eastAsia="宋体" w:cs="宋体"/>
          <w:color w:val="auto"/>
          <w:sz w:val="21"/>
          <w:highlight w:val="none"/>
        </w:rPr>
      </w:pPr>
    </w:p>
    <w:p w14:paraId="12974213">
      <w:pPr>
        <w:pStyle w:val="255"/>
        <w:spacing w:before="78" w:line="360" w:lineRule="auto"/>
        <w:ind w:left="10"/>
        <w:jc w:val="left"/>
        <w:outlineLvl w:val="2"/>
        <w:rPr>
          <w:rFonts w:hint="eastAsia" w:ascii="宋体" w:hAnsi="宋体" w:eastAsia="宋体" w:cs="宋体"/>
          <w:color w:val="auto"/>
          <w:sz w:val="24"/>
          <w:szCs w:val="24"/>
          <w:highlight w:val="none"/>
        </w:rPr>
      </w:pPr>
      <w:bookmarkStart w:id="753" w:name="bookmark28"/>
      <w:bookmarkEnd w:id="753"/>
      <w:r>
        <w:rPr>
          <w:rFonts w:hint="eastAsia" w:ascii="宋体" w:hAnsi="宋体" w:eastAsia="宋体" w:cs="宋体"/>
          <w:color w:val="auto"/>
          <w:spacing w:val="-1"/>
          <w:sz w:val="24"/>
          <w:szCs w:val="24"/>
          <w:highlight w:val="none"/>
        </w:rPr>
        <w:t>9.7  特殊安全生产标准化</w:t>
      </w:r>
    </w:p>
    <w:p w14:paraId="6F3DCC40">
      <w:pPr>
        <w:pStyle w:val="255"/>
        <w:spacing w:before="297" w:line="360" w:lineRule="auto"/>
        <w:ind w:left="8" w:right="1" w:firstLine="420"/>
        <w:jc w:val="left"/>
        <w:rPr>
          <w:rFonts w:hint="eastAsia" w:ascii="宋体" w:hAnsi="宋体" w:eastAsia="宋体" w:cs="宋体"/>
          <w:color w:val="auto"/>
          <w:highlight w:val="none"/>
        </w:rPr>
      </w:pPr>
      <w:r>
        <w:rPr>
          <w:rFonts w:hint="eastAsia" w:ascii="宋体" w:hAnsi="宋体" w:eastAsia="宋体" w:cs="宋体"/>
          <w:color w:val="auto"/>
          <w:spacing w:val="9"/>
          <w:highlight w:val="none"/>
        </w:rPr>
        <w:t>9.7.1  未达到合同约定的特殊安全生产标准化要求的违约金或损失赔偿金的金额或者</w:t>
      </w:r>
      <w:r>
        <w:rPr>
          <w:rFonts w:hint="eastAsia" w:ascii="宋体" w:hAnsi="宋体" w:eastAsia="宋体" w:cs="宋体"/>
          <w:color w:val="auto"/>
          <w:spacing w:val="4"/>
          <w:highlight w:val="none"/>
        </w:rPr>
        <w:t>计算方法：</w:t>
      </w:r>
      <w:r>
        <w:rPr>
          <w:rFonts w:hint="eastAsia" w:ascii="宋体" w:hAnsi="宋体" w:eastAsia="宋体" w:cs="宋体"/>
          <w:color w:val="auto"/>
          <w:spacing w:val="4"/>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color w:val="auto"/>
          <w:spacing w:val="4"/>
          <w:highlight w:val="none"/>
          <w:u w:val="single" w:color="auto"/>
        </w:rPr>
        <w:t xml:space="preserve">                                                               </w:t>
      </w:r>
    </w:p>
    <w:p w14:paraId="197134B3">
      <w:pPr>
        <w:spacing w:line="360" w:lineRule="auto"/>
        <w:jc w:val="left"/>
        <w:rPr>
          <w:rFonts w:hint="eastAsia" w:ascii="宋体" w:hAnsi="宋体" w:eastAsia="宋体" w:cs="宋体"/>
          <w:color w:val="auto"/>
          <w:sz w:val="21"/>
          <w:highlight w:val="none"/>
        </w:rPr>
      </w:pPr>
    </w:p>
    <w:p w14:paraId="61DD6965">
      <w:pPr>
        <w:pStyle w:val="255"/>
        <w:pBdr>
          <w:top w:val="none" w:color="auto" w:sz="0" w:space="0"/>
          <w:left w:val="none" w:color="auto" w:sz="0" w:space="0"/>
          <w:bottom w:val="none" w:color="auto" w:sz="0" w:space="0"/>
          <w:right w:val="none" w:color="auto" w:sz="0" w:space="0"/>
          <w:between w:val="none" w:color="auto" w:sz="0" w:space="0"/>
        </w:pBdr>
        <w:spacing w:before="171" w:line="360" w:lineRule="auto"/>
        <w:ind w:left="429"/>
        <w:jc w:val="left"/>
        <w:rPr>
          <w:rFonts w:hint="eastAsia" w:ascii="宋体" w:hAnsi="宋体" w:eastAsia="宋体" w:cs="宋体"/>
          <w:color w:val="auto"/>
          <w:highlight w:val="none"/>
          <w:u w:val="single" w:color="auto"/>
        </w:rPr>
      </w:pPr>
      <w:r>
        <w:rPr>
          <w:rFonts w:hint="eastAsia" w:ascii="宋体" w:hAnsi="宋体" w:eastAsia="宋体" w:cs="宋体"/>
          <w:color w:val="auto"/>
          <w:spacing w:val="9"/>
          <w:highlight w:val="none"/>
        </w:rPr>
        <w:t>9.7.2  发包人</w:t>
      </w:r>
      <w:r>
        <w:rPr>
          <w:rFonts w:hint="eastAsia" w:ascii="宋体" w:hAnsi="宋体" w:eastAsia="宋体" w:cs="宋体"/>
          <w:color w:val="auto"/>
          <w:spacing w:val="-84"/>
          <w:highlight w:val="none"/>
        </w:rPr>
        <w:t xml:space="preserve"> </w:t>
      </w:r>
      <w:r>
        <w:rPr>
          <w:rFonts w:hint="eastAsia" w:ascii="宋体" w:hAnsi="宋体" w:eastAsia="宋体" w:cs="宋体"/>
          <w:color w:val="auto"/>
          <w:spacing w:val="4"/>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en-US" w:bidi="ar-SA"/>
        </w:rPr>
        <w:t>不给予</w:t>
      </w:r>
      <w:r>
        <w:rPr>
          <w:rFonts w:hint="eastAsia" w:ascii="宋体" w:hAnsi="宋体" w:eastAsia="宋体" w:cs="宋体"/>
          <w:color w:val="auto"/>
          <w:spacing w:val="4"/>
          <w:highlight w:val="none"/>
          <w:u w:val="single" w:color="auto"/>
        </w:rPr>
        <w:t xml:space="preserve">   </w:t>
      </w:r>
      <w:r>
        <w:rPr>
          <w:rFonts w:hint="eastAsia" w:ascii="宋体" w:hAnsi="宋体" w:eastAsia="宋体" w:cs="宋体"/>
          <w:color w:val="auto"/>
          <w:spacing w:val="9"/>
          <w:highlight w:val="none"/>
        </w:rPr>
        <w:t>（给予/不给予）承包人创优奖励。发包人给予承包人创优奖励的，创优奖励金额或者计算方法：</w:t>
      </w:r>
      <w:r>
        <w:rPr>
          <w:rFonts w:hint="eastAsia" w:ascii="宋体" w:hAnsi="宋体" w:eastAsia="宋体" w:cs="宋体"/>
          <w:color w:val="auto"/>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color w:val="auto"/>
          <w:highlight w:val="none"/>
          <w:u w:val="single" w:color="auto"/>
        </w:rPr>
        <w:t xml:space="preserve">                            </w:t>
      </w:r>
    </w:p>
    <w:p w14:paraId="30F36174">
      <w:pPr>
        <w:pStyle w:val="255"/>
        <w:spacing w:before="91" w:line="360" w:lineRule="auto"/>
        <w:ind w:left="32"/>
        <w:jc w:val="left"/>
        <w:outlineLvl w:val="1"/>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10.进度计划</w:t>
      </w:r>
    </w:p>
    <w:p w14:paraId="7ECD32DD">
      <w:pPr>
        <w:spacing w:line="360" w:lineRule="auto"/>
        <w:jc w:val="left"/>
        <w:rPr>
          <w:rFonts w:hint="eastAsia" w:ascii="宋体" w:hAnsi="宋体" w:eastAsia="宋体" w:cs="宋体"/>
          <w:color w:val="auto"/>
          <w:sz w:val="21"/>
          <w:highlight w:val="none"/>
        </w:rPr>
      </w:pPr>
    </w:p>
    <w:p w14:paraId="689B3F55">
      <w:pPr>
        <w:pStyle w:val="255"/>
        <w:spacing w:before="78" w:line="360" w:lineRule="auto"/>
        <w:ind w:left="27"/>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10.1  合同进度计划</w:t>
      </w:r>
    </w:p>
    <w:p w14:paraId="3FFDBC27">
      <w:pPr>
        <w:pStyle w:val="255"/>
        <w:pBdr>
          <w:top w:val="none" w:color="auto" w:sz="0" w:space="0"/>
          <w:left w:val="none" w:color="auto" w:sz="0" w:space="0"/>
          <w:bottom w:val="none" w:color="auto" w:sz="0" w:space="0"/>
          <w:right w:val="none" w:color="auto" w:sz="0" w:space="0"/>
          <w:between w:val="none" w:color="auto" w:sz="0" w:space="0"/>
        </w:pBdr>
        <w:spacing w:before="171" w:line="360" w:lineRule="auto"/>
        <w:ind w:left="429"/>
        <w:jc w:val="left"/>
        <w:rPr>
          <w:rFonts w:hint="eastAsia" w:ascii="宋体" w:hAnsi="宋体" w:eastAsia="宋体" w:cs="宋体"/>
          <w:color w:val="auto"/>
          <w:highlight w:val="none"/>
          <w:u w:val="single" w:color="auto"/>
        </w:rPr>
      </w:pPr>
      <w:r>
        <w:rPr>
          <w:rFonts w:hint="eastAsia" w:ascii="宋体" w:hAnsi="宋体" w:eastAsia="宋体" w:cs="宋体"/>
          <w:color w:val="auto"/>
          <w:spacing w:val="2"/>
          <w:highlight w:val="none"/>
        </w:rPr>
        <w:t>10.1.1  承包人编制施工进度计划和施工方案说明的内容</w:t>
      </w:r>
      <w:r>
        <w:rPr>
          <w:rFonts w:hint="eastAsia" w:ascii="宋体" w:hAnsi="宋体" w:eastAsia="宋体" w:cs="宋体"/>
          <w:color w:val="auto"/>
          <w:spacing w:val="2"/>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en-US" w:bidi="ar-SA"/>
        </w:rPr>
        <w:t>施工进度计划应包含本工程施工图纸及工程量清单内包括的所有工程的施工内容、工程量、起止时间、持续时间、工作关系、施工顺序、方法要点、资源供应等。施工方案应包含：编制依据、施工范围、施工布署及现场总平面布置、主要施工方案、进度、质量、安全文明施工及保证措施、主要资源配置。承包人有责任根据招标文件、图纸、现场实际情况及发包人监理工程师的意见和要求及时调整施工组织计划，直至得到发包人监理工程师的认可，使其具有可实施性，且对施工组织设计和工程进度计划的任何修改不能改变承包人的投标报价、承诺的投标工期，承包人不得就此提出索赔、签证等费用。施工组织设计应详细说明整个工程进度计划、劳动力计划、机械设备进场计划、材料计划、设备采购及安装计划、专业工程承包人进场计划(若有)、可能遇到的不利因素及相应措施，承包人必须按监理工程师确认的进度计划组织施工，接受监理工程师对进度的检查、监督，工程实际进度对于在竣工时间内完工过于迟缓或与确认的进度计划不符时，承包人应按监理工程师的要求提出改进措施，提交一份修订的进度计划，经监理工程师确认后执行，因承包人的原因导致实际进度与进度计划不符，承包人无权提出关于工期延误的索赔和就改进措施提出追加合同价款</w:t>
      </w:r>
      <w:r>
        <w:rPr>
          <w:rFonts w:hint="eastAsia" w:ascii="宋体" w:hAnsi="宋体" w:eastAsia="宋体" w:cs="宋体"/>
          <w:snapToGrid w:val="0"/>
          <w:color w:val="auto"/>
          <w:spacing w:val="7"/>
          <w:kern w:val="0"/>
          <w:sz w:val="20"/>
          <w:szCs w:val="20"/>
          <w:highlight w:val="none"/>
          <w:u w:val="single"/>
          <w:lang w:val="en-US" w:eastAsia="zh-CN" w:bidi="ar-SA"/>
        </w:rPr>
        <w:t>。</w:t>
      </w:r>
    </w:p>
    <w:p w14:paraId="30713F40">
      <w:pPr>
        <w:pStyle w:val="255"/>
        <w:spacing w:before="317" w:line="360" w:lineRule="auto"/>
        <w:ind w:left="444"/>
        <w:jc w:val="left"/>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10.1.2  承包人编制分阶段或分项施工进度计划和施工方案说明的内容及时限要求</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
          <w:sz w:val="20"/>
          <w:szCs w:val="20"/>
          <w:highlight w:val="none"/>
          <w:u w:val="single" w:color="auto"/>
        </w:rPr>
        <w:t>为便于工程进度管理，承包人应在合同进度计划基础上编制分阶段和分项目的进度计划，特别是在合同进度计划关键线路的单位工程或分部工程。期限:分项工程开工前10天</w:t>
      </w:r>
      <w:r>
        <w:rPr>
          <w:rFonts w:hint="eastAsia" w:cs="宋体"/>
          <w:color w:val="auto"/>
          <w:spacing w:val="3"/>
          <w:sz w:val="20"/>
          <w:szCs w:val="20"/>
          <w:highlight w:val="none"/>
          <w:u w:val="single" w:color="auto"/>
          <w:lang w:eastAsia="zh-CN"/>
        </w:rPr>
        <w:t>；</w:t>
      </w:r>
      <w:r>
        <w:rPr>
          <w:rFonts w:hint="eastAsia" w:ascii="宋体" w:hAnsi="宋体" w:eastAsia="宋体" w:cs="宋体"/>
          <w:color w:val="auto"/>
          <w:spacing w:val="3"/>
          <w:sz w:val="20"/>
          <w:szCs w:val="20"/>
          <w:highlight w:val="none"/>
          <w:u w:val="single" w:color="auto"/>
        </w:rPr>
        <w:t>年、季、月、周计划按发包人及监理人要求时间。</w:t>
      </w:r>
      <w:r>
        <w:rPr>
          <w:rFonts w:hint="eastAsia" w:ascii="宋体" w:hAnsi="宋体" w:eastAsia="宋体" w:cs="宋体"/>
          <w:snapToGrid w:val="0"/>
          <w:color w:val="auto"/>
          <w:spacing w:val="7"/>
          <w:kern w:val="0"/>
          <w:sz w:val="20"/>
          <w:szCs w:val="20"/>
          <w:highlight w:val="none"/>
          <w:u w:val="single"/>
          <w:lang w:val="en-US" w:eastAsia="en-US" w:bidi="ar-SA"/>
        </w:rPr>
        <w:t>承包人提交本工程详尽的施工组织设计和施工总进度计划（含网络控制图）的时间为收到施工图纸后7天内。</w:t>
      </w:r>
    </w:p>
    <w:p w14:paraId="683F9CE2">
      <w:pPr>
        <w:pBdr>
          <w:top w:val="none" w:color="auto" w:sz="0" w:space="0"/>
          <w:left w:val="none" w:color="auto" w:sz="0" w:space="0"/>
          <w:bottom w:val="none" w:color="auto" w:sz="0" w:space="0"/>
          <w:right w:val="none" w:color="auto" w:sz="0" w:space="0"/>
          <w:between w:val="none" w:color="auto" w:sz="0" w:space="0"/>
        </w:pBdr>
        <w:spacing w:before="162" w:line="360" w:lineRule="auto"/>
        <w:ind w:left="439"/>
        <w:jc w:val="left"/>
        <w:rPr>
          <w:rFonts w:hint="eastAsia" w:ascii="宋体" w:hAnsi="宋体" w:eastAsia="宋体" w:cs="宋体"/>
          <w:color w:val="auto"/>
          <w:spacing w:val="6"/>
          <w:sz w:val="24"/>
          <w:szCs w:val="24"/>
          <w:highlight w:val="none"/>
          <w:u w:val="single" w:color="auto"/>
        </w:rPr>
      </w:pPr>
      <w:r>
        <w:rPr>
          <w:rFonts w:hint="eastAsia" w:ascii="宋体" w:hAnsi="宋体" w:eastAsia="宋体" w:cs="宋体"/>
          <w:snapToGrid w:val="0"/>
          <w:color w:val="auto"/>
          <w:spacing w:val="7"/>
          <w:kern w:val="0"/>
          <w:sz w:val="20"/>
          <w:szCs w:val="20"/>
          <w:highlight w:val="none"/>
          <w:lang w:val="en-US" w:eastAsia="en-US" w:bidi="ar-SA"/>
        </w:rPr>
        <w:t xml:space="preserve">10.1.3 </w:t>
      </w:r>
      <w:r>
        <w:rPr>
          <w:rFonts w:hint="eastAsia" w:ascii="宋体" w:hAnsi="宋体" w:eastAsia="宋体" w:cs="宋体"/>
          <w:color w:val="auto"/>
          <w:spacing w:val="6"/>
          <w:highlight w:val="none"/>
        </w:rPr>
        <w:t xml:space="preserve"> 群体工程中有关编制进度计划和施工方案说明的要求</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color w:val="auto"/>
          <w:spacing w:val="6"/>
          <w:sz w:val="24"/>
          <w:szCs w:val="24"/>
          <w:highlight w:val="none"/>
          <w:u w:val="single" w:color="auto"/>
        </w:rPr>
        <w:t xml:space="preserve">         </w:t>
      </w:r>
    </w:p>
    <w:p w14:paraId="09449D71">
      <w:pPr>
        <w:pStyle w:val="255"/>
        <w:spacing w:before="297" w:line="360" w:lineRule="auto"/>
        <w:ind w:left="27"/>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10.2  合同进度计划的修订</w:t>
      </w:r>
    </w:p>
    <w:p w14:paraId="5A10FD20">
      <w:pPr>
        <w:pStyle w:val="255"/>
        <w:spacing w:before="299" w:line="360" w:lineRule="auto"/>
        <w:ind w:left="429" w:right="1" w:firstLine="14"/>
        <w:jc w:val="left"/>
        <w:rPr>
          <w:rFonts w:hint="eastAsia" w:ascii="宋体" w:hAnsi="宋体" w:eastAsia="宋体" w:cs="宋体"/>
          <w:snapToGrid w:val="0"/>
          <w:color w:val="auto"/>
          <w:spacing w:val="7"/>
          <w:kern w:val="0"/>
          <w:sz w:val="20"/>
          <w:szCs w:val="20"/>
          <w:highlight w:val="none"/>
          <w:u w:val="single"/>
          <w:lang w:val="en-US" w:eastAsia="zh-CN" w:bidi="ar-SA"/>
        </w:rPr>
      </w:pPr>
      <w:r>
        <w:rPr>
          <w:rFonts w:hint="eastAsia" w:ascii="宋体" w:hAnsi="宋体" w:eastAsia="宋体" w:cs="宋体"/>
          <w:color w:val="auto"/>
          <w:spacing w:val="8"/>
          <w:highlight w:val="none"/>
        </w:rPr>
        <w:t>10.2.1  承包人报送修订合同进度计划申请报告</w:t>
      </w:r>
      <w:r>
        <w:rPr>
          <w:rFonts w:hint="eastAsia" w:ascii="宋体" w:hAnsi="宋体" w:eastAsia="宋体" w:cs="宋体"/>
          <w:color w:val="auto"/>
          <w:spacing w:val="7"/>
          <w:highlight w:val="none"/>
        </w:rPr>
        <w:t>和相关资料的期限</w:t>
      </w:r>
      <w:r>
        <w:rPr>
          <w:rFonts w:hint="eastAsia" w:ascii="宋体" w:hAnsi="宋体" w:eastAsia="宋体" w:cs="宋体"/>
          <w:color w:val="auto"/>
          <w:spacing w:val="7"/>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zh-CN" w:bidi="ar-SA"/>
        </w:rPr>
        <w:t>监理人提出合同进度计划需要修订的指令后七个工作日内。或不论何种原因造成工程进度与第10.1条所报送内容不符时，承包人在事件发生7天内向监理人提交修订合同进度计划的申请报告，并附有关措施和相关资料，报监理人审批。</w:t>
      </w:r>
    </w:p>
    <w:p w14:paraId="57F98798">
      <w:pPr>
        <w:pStyle w:val="255"/>
        <w:spacing w:before="299" w:line="360" w:lineRule="auto"/>
        <w:ind w:left="429" w:right="1" w:firstLine="14"/>
        <w:jc w:val="left"/>
        <w:rPr>
          <w:rFonts w:hint="eastAsia" w:ascii="宋体" w:hAnsi="宋体" w:eastAsia="宋体" w:cs="宋体"/>
          <w:color w:val="auto"/>
          <w:sz w:val="24"/>
          <w:szCs w:val="24"/>
          <w:highlight w:val="none"/>
        </w:rPr>
      </w:pPr>
      <w:r>
        <w:rPr>
          <w:rFonts w:hint="eastAsia" w:ascii="宋体" w:hAnsi="宋体" w:eastAsia="宋体" w:cs="宋体"/>
          <w:color w:val="auto"/>
          <w:spacing w:val="6"/>
          <w:highlight w:val="none"/>
        </w:rPr>
        <w:t>监理人批复修订合同进度计划申请报告的期限</w:t>
      </w:r>
      <w:r>
        <w:rPr>
          <w:rFonts w:hint="eastAsia" w:ascii="宋体" w:hAnsi="宋体" w:eastAsia="宋体" w:cs="宋体"/>
          <w:color w:val="auto"/>
          <w:spacing w:val="6"/>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zh-CN" w:bidi="ar-SA"/>
        </w:rPr>
        <w:t>收到承包人递交的修订合同进度计划申请报告和相关资料后七个工作日内。</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p>
    <w:p w14:paraId="3B8AC87F">
      <w:pPr>
        <w:pStyle w:val="255"/>
        <w:spacing w:before="177" w:line="360" w:lineRule="auto"/>
        <w:ind w:left="444"/>
        <w:jc w:val="left"/>
        <w:rPr>
          <w:rFonts w:hint="eastAsia" w:ascii="宋体" w:hAnsi="宋体" w:eastAsia="宋体" w:cs="宋体"/>
          <w:color w:val="auto"/>
          <w:sz w:val="24"/>
          <w:szCs w:val="24"/>
          <w:highlight w:val="none"/>
        </w:rPr>
      </w:pPr>
      <w:r>
        <w:rPr>
          <w:rFonts w:hint="eastAsia" w:ascii="宋体" w:hAnsi="宋体" w:eastAsia="宋体" w:cs="宋体"/>
          <w:color w:val="auto"/>
          <w:spacing w:val="5"/>
          <w:highlight w:val="none"/>
        </w:rPr>
        <w:t>10.2.2  监理人批复修订合同进度计划的期限</w:t>
      </w:r>
      <w:r>
        <w:rPr>
          <w:rFonts w:hint="eastAsia" w:ascii="宋体" w:hAnsi="宋体" w:eastAsia="宋体" w:cs="宋体"/>
          <w:color w:val="auto"/>
          <w:spacing w:val="5"/>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zh-CN" w:bidi="ar-SA"/>
        </w:rPr>
        <w:t>收到承包人递交的修订合同进度计划后七个工作日内。</w:t>
      </w:r>
      <w:r>
        <w:rPr>
          <w:rFonts w:hint="eastAsia" w:ascii="宋体" w:hAnsi="宋体" w:eastAsia="宋体" w:cs="宋体"/>
          <w:color w:val="auto"/>
          <w:spacing w:val="5"/>
          <w:sz w:val="24"/>
          <w:szCs w:val="24"/>
          <w:highlight w:val="none"/>
          <w:u w:val="single" w:color="auto"/>
        </w:rPr>
        <w:t xml:space="preserve">                            </w:t>
      </w:r>
    </w:p>
    <w:p w14:paraId="116B3CB0">
      <w:pPr>
        <w:pStyle w:val="255"/>
        <w:spacing w:before="295" w:line="360" w:lineRule="auto"/>
        <w:ind w:left="27"/>
        <w:jc w:val="left"/>
        <w:outlineLvl w:val="2"/>
        <w:rPr>
          <w:rFonts w:hint="eastAsia" w:ascii="宋体" w:hAnsi="宋体" w:eastAsia="宋体" w:cs="宋体"/>
          <w:color w:val="auto"/>
          <w:sz w:val="24"/>
          <w:szCs w:val="24"/>
          <w:highlight w:val="none"/>
        </w:rPr>
      </w:pPr>
      <w:bookmarkStart w:id="754" w:name="bookmark31"/>
      <w:bookmarkEnd w:id="754"/>
      <w:r>
        <w:rPr>
          <w:rFonts w:hint="eastAsia" w:ascii="宋体" w:hAnsi="宋体" w:eastAsia="宋体" w:cs="宋体"/>
          <w:color w:val="auto"/>
          <w:spacing w:val="-2"/>
          <w:sz w:val="24"/>
          <w:szCs w:val="24"/>
          <w:highlight w:val="none"/>
        </w:rPr>
        <w:t>10.3  合同进度计划的其他要求</w:t>
      </w:r>
    </w:p>
    <w:p w14:paraId="1EDE79E7">
      <w:pPr>
        <w:pStyle w:val="255"/>
        <w:spacing w:before="301" w:line="360" w:lineRule="auto"/>
        <w:ind w:left="444"/>
        <w:jc w:val="left"/>
        <w:rPr>
          <w:rFonts w:hint="eastAsia" w:ascii="宋体" w:hAnsi="宋体" w:eastAsia="宋体" w:cs="宋体"/>
          <w:color w:val="auto"/>
          <w:spacing w:val="4"/>
          <w:sz w:val="24"/>
          <w:szCs w:val="24"/>
          <w:highlight w:val="none"/>
          <w:u w:val="single" w:color="auto"/>
          <w:lang w:eastAsia="zh-CN"/>
        </w:rPr>
      </w:pPr>
      <w:r>
        <w:rPr>
          <w:rFonts w:hint="eastAsia" w:ascii="宋体" w:hAnsi="宋体" w:eastAsia="宋体" w:cs="宋体"/>
          <w:color w:val="auto"/>
          <w:spacing w:val="4"/>
          <w:highlight w:val="none"/>
        </w:rPr>
        <w:t>10.3.2  施工进度计划管理的人员配置要求</w:t>
      </w:r>
      <w:r>
        <w:rPr>
          <w:rFonts w:hint="eastAsia" w:ascii="宋体" w:hAnsi="宋体" w:eastAsia="宋体" w:cs="宋体"/>
          <w:color w:val="auto"/>
          <w:spacing w:val="4"/>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en-US" w:bidi="ar-SA"/>
        </w:rPr>
        <w:t>施工进度计划主管/负责人</w:t>
      </w:r>
      <w:r>
        <w:rPr>
          <w:rFonts w:hint="eastAsia" w:ascii="宋体" w:hAnsi="宋体" w:eastAsia="宋体" w:cs="宋体"/>
          <w:snapToGrid w:val="0"/>
          <w:color w:val="auto"/>
          <w:spacing w:val="7"/>
          <w:kern w:val="0"/>
          <w:sz w:val="20"/>
          <w:szCs w:val="20"/>
          <w:highlight w:val="none"/>
          <w:u w:val="single"/>
          <w:lang w:val="en-US" w:eastAsia="zh-CN" w:bidi="ar-SA"/>
        </w:rPr>
        <w:t>需具备</w:t>
      </w:r>
      <w:r>
        <w:rPr>
          <w:rFonts w:hint="eastAsia" w:ascii="宋体" w:hAnsi="宋体" w:eastAsia="宋体" w:cs="宋体"/>
          <w:snapToGrid w:val="0"/>
          <w:color w:val="auto"/>
          <w:spacing w:val="7"/>
          <w:kern w:val="0"/>
          <w:sz w:val="20"/>
          <w:szCs w:val="20"/>
          <w:highlight w:val="none"/>
          <w:u w:val="single"/>
          <w:lang w:val="en-US" w:eastAsia="en-US" w:bidi="ar-SA"/>
        </w:rPr>
        <w:t>二级注册建造师证书且需完成注册并绑定项目；工程进度管理师（中级及以上）。所有证件需在国家住建部“四库一平台”或对应发证机构官网可查，有效期覆盖整个施工进度管理周期（含竣工结算阶段）</w:t>
      </w:r>
      <w:r>
        <w:rPr>
          <w:rFonts w:hint="eastAsia" w:ascii="宋体" w:hAnsi="宋体" w:eastAsia="宋体" w:cs="宋体"/>
          <w:snapToGrid w:val="0"/>
          <w:color w:val="auto"/>
          <w:spacing w:val="7"/>
          <w:kern w:val="0"/>
          <w:sz w:val="20"/>
          <w:szCs w:val="20"/>
          <w:highlight w:val="none"/>
          <w:u w:val="single"/>
          <w:lang w:val="en-US" w:eastAsia="zh-CN" w:bidi="ar-SA"/>
        </w:rPr>
        <w:t>。</w:t>
      </w:r>
    </w:p>
    <w:p w14:paraId="2D998CA3">
      <w:pPr>
        <w:pStyle w:val="255"/>
        <w:spacing w:before="301" w:line="360" w:lineRule="auto"/>
        <w:ind w:left="444"/>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spacing w:val="7"/>
          <w:kern w:val="0"/>
          <w:sz w:val="20"/>
          <w:szCs w:val="20"/>
          <w:highlight w:val="none"/>
          <w:u w:val="single"/>
          <w:lang w:val="en-US" w:eastAsia="zh-CN" w:bidi="ar-SA"/>
        </w:rPr>
        <w:t>如需</w:t>
      </w:r>
      <w:r>
        <w:rPr>
          <w:rFonts w:hint="eastAsia" w:ascii="宋体" w:hAnsi="宋体" w:eastAsia="宋体" w:cs="宋体"/>
          <w:snapToGrid w:val="0"/>
          <w:color w:val="auto"/>
          <w:spacing w:val="7"/>
          <w:kern w:val="0"/>
          <w:sz w:val="20"/>
          <w:szCs w:val="20"/>
          <w:highlight w:val="none"/>
          <w:u w:val="single"/>
          <w:lang w:val="en-US" w:eastAsia="en-US" w:bidi="ar-SA"/>
        </w:rPr>
        <w:t>更换报备：若人员及证件需更换，乙方需提前7日向甲方提交新人员证件审核，审核通过后方可更换，否则按违约处理。</w:t>
      </w:r>
      <w:r>
        <w:rPr>
          <w:rFonts w:hint="eastAsia" w:ascii="宋体" w:hAnsi="宋体" w:eastAsia="宋体" w:cs="宋体"/>
          <w:color w:val="auto"/>
          <w:spacing w:val="4"/>
          <w:sz w:val="24"/>
          <w:szCs w:val="24"/>
          <w:highlight w:val="none"/>
          <w:u w:val="single" w:color="auto"/>
        </w:rPr>
        <w:t xml:space="preserve">                              </w:t>
      </w:r>
    </w:p>
    <w:p w14:paraId="3898B67E">
      <w:pPr>
        <w:pStyle w:val="255"/>
        <w:spacing w:before="178" w:line="360" w:lineRule="auto"/>
        <w:ind w:left="444"/>
        <w:jc w:val="left"/>
        <w:rPr>
          <w:rFonts w:hint="eastAsia" w:ascii="宋体" w:hAnsi="宋体" w:eastAsia="宋体" w:cs="宋体"/>
          <w:color w:val="auto"/>
          <w:sz w:val="24"/>
          <w:szCs w:val="24"/>
          <w:highlight w:val="none"/>
        </w:rPr>
      </w:pPr>
      <w:r>
        <w:rPr>
          <w:rFonts w:hint="eastAsia" w:ascii="宋体" w:hAnsi="宋体" w:eastAsia="宋体" w:cs="宋体"/>
          <w:color w:val="auto"/>
          <w:spacing w:val="5"/>
          <w:highlight w:val="none"/>
        </w:rPr>
        <w:t>10.3.3  施工进度计划的计算机应用软件要求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w:t>
      </w:r>
      <w:r>
        <w:rPr>
          <w:rFonts w:hint="eastAsia" w:ascii="宋体" w:hAnsi="宋体" w:eastAsia="宋体" w:cs="宋体"/>
          <w:color w:val="auto"/>
          <w:spacing w:val="5"/>
          <w:sz w:val="24"/>
          <w:szCs w:val="24"/>
          <w:highlight w:val="none"/>
          <w:u w:val="single" w:color="auto"/>
        </w:rPr>
        <w:t xml:space="preserve">                        </w:t>
      </w:r>
    </w:p>
    <w:p w14:paraId="644A5DFF">
      <w:pPr>
        <w:pStyle w:val="255"/>
        <w:spacing w:before="301" w:line="360" w:lineRule="auto"/>
        <w:ind w:left="32"/>
        <w:jc w:val="left"/>
        <w:outlineLvl w:val="1"/>
        <w:rPr>
          <w:rFonts w:hint="eastAsia" w:ascii="宋体" w:hAnsi="宋体" w:eastAsia="宋体" w:cs="宋体"/>
          <w:color w:val="auto"/>
          <w:sz w:val="28"/>
          <w:szCs w:val="28"/>
          <w:highlight w:val="none"/>
        </w:rPr>
      </w:pPr>
      <w:bookmarkStart w:id="755" w:name="bookmark32"/>
      <w:bookmarkEnd w:id="755"/>
      <w:r>
        <w:rPr>
          <w:rFonts w:hint="eastAsia" w:ascii="宋体" w:hAnsi="宋体" w:eastAsia="宋体" w:cs="宋体"/>
          <w:color w:val="auto"/>
          <w:spacing w:val="-4"/>
          <w:sz w:val="28"/>
          <w:szCs w:val="28"/>
          <w:highlight w:val="none"/>
        </w:rPr>
        <w:t>11.开工和竣工</w:t>
      </w:r>
    </w:p>
    <w:p w14:paraId="2B89458D">
      <w:pPr>
        <w:spacing w:line="360" w:lineRule="auto"/>
        <w:jc w:val="left"/>
        <w:rPr>
          <w:rFonts w:hint="eastAsia" w:ascii="宋体" w:hAnsi="宋体" w:eastAsia="宋体" w:cs="宋体"/>
          <w:color w:val="auto"/>
          <w:sz w:val="21"/>
          <w:highlight w:val="none"/>
        </w:rPr>
      </w:pPr>
    </w:p>
    <w:p w14:paraId="360C570C">
      <w:pPr>
        <w:pStyle w:val="255"/>
        <w:spacing w:before="79" w:line="360" w:lineRule="auto"/>
        <w:ind w:left="27"/>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11.3  发包人的工期延误</w:t>
      </w:r>
    </w:p>
    <w:p w14:paraId="48C28D8C">
      <w:pPr>
        <w:pStyle w:val="255"/>
        <w:spacing w:before="298" w:line="360" w:lineRule="auto"/>
        <w:ind w:left="438"/>
        <w:jc w:val="left"/>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（8）发包人造成工期延误的其他原因</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p>
    <w:p w14:paraId="4C9F03B9">
      <w:pPr>
        <w:spacing w:line="360" w:lineRule="auto"/>
        <w:jc w:val="left"/>
        <w:rPr>
          <w:rFonts w:hint="eastAsia" w:ascii="宋体" w:hAnsi="宋体" w:eastAsia="宋体" w:cs="宋体"/>
          <w:color w:val="auto"/>
          <w:sz w:val="21"/>
          <w:highlight w:val="none"/>
        </w:rPr>
      </w:pPr>
    </w:p>
    <w:p w14:paraId="0BB754F6">
      <w:pPr>
        <w:pStyle w:val="255"/>
        <w:spacing w:before="78" w:line="360" w:lineRule="auto"/>
        <w:ind w:left="27"/>
        <w:jc w:val="left"/>
        <w:outlineLvl w:val="2"/>
        <w:rPr>
          <w:rFonts w:hint="eastAsia" w:ascii="宋体" w:hAnsi="宋体" w:eastAsia="宋体" w:cs="宋体"/>
          <w:color w:val="auto"/>
          <w:sz w:val="24"/>
          <w:szCs w:val="24"/>
          <w:highlight w:val="none"/>
        </w:rPr>
      </w:pPr>
      <w:bookmarkStart w:id="756" w:name="bookmark33"/>
      <w:bookmarkEnd w:id="756"/>
      <w:r>
        <w:rPr>
          <w:rFonts w:hint="eastAsia" w:ascii="宋体" w:hAnsi="宋体" w:eastAsia="宋体" w:cs="宋体"/>
          <w:color w:val="auto"/>
          <w:spacing w:val="-2"/>
          <w:sz w:val="24"/>
          <w:szCs w:val="24"/>
          <w:highlight w:val="none"/>
        </w:rPr>
        <w:t>11.4  异常恶劣的气候条件</w:t>
      </w:r>
    </w:p>
    <w:p w14:paraId="351C3AD4">
      <w:pPr>
        <w:pBdr>
          <w:top w:val="none" w:color="auto" w:sz="0" w:space="0"/>
          <w:left w:val="none" w:color="auto" w:sz="0" w:space="0"/>
          <w:bottom w:val="none" w:color="auto" w:sz="0" w:space="0"/>
          <w:right w:val="none" w:color="auto" w:sz="0" w:space="0"/>
          <w:between w:val="none" w:color="auto" w:sz="0" w:space="0"/>
        </w:pBdr>
        <w:spacing w:before="162" w:line="360" w:lineRule="auto"/>
        <w:ind w:left="439"/>
        <w:jc w:val="left"/>
        <w:rPr>
          <w:rFonts w:hint="eastAsia" w:ascii="宋体" w:hAnsi="宋体" w:eastAsia="宋体" w:cs="宋体"/>
          <w:color w:val="auto"/>
          <w:spacing w:val="6"/>
          <w:sz w:val="24"/>
          <w:szCs w:val="24"/>
          <w:highlight w:val="none"/>
          <w:u w:val="single" w:color="auto"/>
          <w:lang w:eastAsia="zh-CN"/>
        </w:rPr>
      </w:pPr>
      <w:r>
        <w:rPr>
          <w:rFonts w:hint="eastAsia" w:ascii="宋体" w:hAnsi="宋体" w:eastAsia="宋体" w:cs="宋体"/>
          <w:color w:val="auto"/>
          <w:spacing w:val="4"/>
          <w:highlight w:val="none"/>
        </w:rPr>
        <w:t>异常恶劣的气候条件的范围和标准</w:t>
      </w:r>
      <w:r>
        <w:rPr>
          <w:rFonts w:hint="eastAsia" w:ascii="宋体" w:hAnsi="宋体" w:eastAsia="宋体" w:cs="宋体"/>
          <w:color w:val="auto"/>
          <w:spacing w:val="4"/>
          <w:sz w:val="24"/>
          <w:szCs w:val="24"/>
          <w:highlight w:val="none"/>
        </w:rPr>
        <w:t>：</w:t>
      </w:r>
      <w:r>
        <w:rPr>
          <w:rFonts w:hint="eastAsia" w:ascii="宋体" w:hAnsi="宋体" w:eastAsia="宋体" w:cs="宋体"/>
          <w:snapToGrid w:val="0"/>
          <w:color w:val="auto"/>
          <w:spacing w:val="7"/>
          <w:kern w:val="0"/>
          <w:sz w:val="20"/>
          <w:szCs w:val="20"/>
          <w:highlight w:val="none"/>
          <w:u w:val="single"/>
          <w:lang w:val="en-US" w:eastAsia="en-US" w:bidi="ar-SA"/>
        </w:rPr>
        <w:t>7级及以上地震，12级及以上的大风、6小时内降雪量大于15mm及以上降雪、24小时内降水量为300mm以上的暴雨</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color w:val="auto"/>
          <w:sz w:val="24"/>
          <w:szCs w:val="24"/>
          <w:highlight w:val="none"/>
          <w:u w:val="single" w:color="auto"/>
        </w:rPr>
        <w:t xml:space="preserve">                  </w:t>
      </w:r>
    </w:p>
    <w:p w14:paraId="6A717912">
      <w:pPr>
        <w:spacing w:line="360" w:lineRule="auto"/>
        <w:jc w:val="left"/>
        <w:rPr>
          <w:rFonts w:hint="eastAsia" w:ascii="宋体" w:hAnsi="宋体" w:eastAsia="宋体" w:cs="宋体"/>
          <w:color w:val="auto"/>
          <w:highlight w:val="none"/>
        </w:rPr>
      </w:pPr>
      <w:bookmarkStart w:id="757" w:name="bookmark27"/>
      <w:bookmarkEnd w:id="757"/>
      <w:bookmarkStart w:id="758" w:name="bookmark24"/>
      <w:bookmarkEnd w:id="758"/>
    </w:p>
    <w:p w14:paraId="006D352A">
      <w:pPr>
        <w:spacing w:before="317" w:line="360" w:lineRule="auto"/>
        <w:ind w:left="38"/>
        <w:jc w:val="left"/>
        <w:outlineLvl w:val="2"/>
        <w:rPr>
          <w:rFonts w:hint="eastAsia" w:ascii="宋体" w:hAnsi="宋体" w:eastAsia="宋体" w:cs="宋体"/>
          <w:color w:val="auto"/>
          <w:sz w:val="24"/>
          <w:szCs w:val="24"/>
          <w:highlight w:val="none"/>
        </w:rPr>
      </w:pPr>
      <w:bookmarkStart w:id="759" w:name="bookmark34"/>
      <w:bookmarkEnd w:id="759"/>
      <w:r>
        <w:rPr>
          <w:rFonts w:hint="eastAsia" w:ascii="宋体" w:hAnsi="宋体" w:eastAsia="宋体" w:cs="宋体"/>
          <w:color w:val="auto"/>
          <w:spacing w:val="-2"/>
          <w:sz w:val="24"/>
          <w:szCs w:val="24"/>
          <w:highlight w:val="none"/>
        </w:rPr>
        <w:t>11.5  承包人的工期延误</w:t>
      </w:r>
    </w:p>
    <w:p w14:paraId="358153A0">
      <w:pPr>
        <w:spacing w:before="298" w:line="360" w:lineRule="auto"/>
        <w:ind w:left="438" w:right="12" w:firstLine="17"/>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2"/>
          <w:sz w:val="20"/>
          <w:szCs w:val="20"/>
          <w:highlight w:val="none"/>
        </w:rPr>
        <w:t>11.5.2  逾期竣工违约金的计算标准和计算方法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7"/>
          <w:sz w:val="20"/>
          <w:szCs w:val="20"/>
          <w:highlight w:val="none"/>
          <w:u w:val="single"/>
        </w:rPr>
        <w:t>计算标准：由承包人原因造成的工期延误，工期每延误一天，承包人承担违约责任，每延误一天发包人按合同协议书中签订的合同价款的万分之二从承包人合同款项中扣除</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计算方法：合同协议书中签订的合同价款×万分之二×逾期竣工天数(不足一天按一天计算 ) </w:t>
      </w:r>
      <w:r>
        <w:rPr>
          <w:rFonts w:hint="eastAsia" w:ascii="宋体" w:hAnsi="宋体" w:eastAsia="宋体" w:cs="宋体"/>
          <w:color w:val="auto"/>
          <w:spacing w:val="7"/>
          <w:sz w:val="20"/>
          <w:szCs w:val="20"/>
          <w:highlight w:val="none"/>
          <w:u w:val="single"/>
          <w:lang w:eastAsia="zh-CN"/>
        </w:rPr>
        <w:t>。</w:t>
      </w:r>
    </w:p>
    <w:p w14:paraId="52BDA5EE">
      <w:pPr>
        <w:spacing w:before="298" w:line="360" w:lineRule="auto"/>
        <w:ind w:left="438" w:right="12" w:firstLine="17"/>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0"/>
          <w:szCs w:val="20"/>
          <w:highlight w:val="none"/>
        </w:rPr>
        <w:t>逾期竣工违约金最高限额</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7"/>
          <w:sz w:val="20"/>
          <w:szCs w:val="20"/>
          <w:highlight w:val="none"/>
          <w:u w:val="single"/>
        </w:rPr>
        <w:t>合同协议书中签订的合同价款的3%</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z w:val="24"/>
          <w:szCs w:val="24"/>
          <w:highlight w:val="none"/>
          <w:u w:val="single" w:color="auto"/>
        </w:rPr>
        <w:t xml:space="preserve">                                           </w:t>
      </w:r>
    </w:p>
    <w:p w14:paraId="480150D2">
      <w:pPr>
        <w:spacing w:before="108" w:line="360" w:lineRule="auto"/>
        <w:ind w:left="38"/>
        <w:jc w:val="left"/>
        <w:outlineLvl w:val="2"/>
        <w:rPr>
          <w:rFonts w:hint="eastAsia" w:ascii="宋体" w:hAnsi="宋体" w:eastAsia="宋体" w:cs="宋体"/>
          <w:color w:val="auto"/>
          <w:sz w:val="24"/>
          <w:szCs w:val="24"/>
          <w:highlight w:val="none"/>
        </w:rPr>
      </w:pPr>
      <w:bookmarkStart w:id="760" w:name="bookmark35"/>
      <w:bookmarkEnd w:id="760"/>
      <w:r>
        <w:rPr>
          <w:rFonts w:hint="eastAsia" w:ascii="宋体" w:hAnsi="宋体" w:eastAsia="宋体" w:cs="宋体"/>
          <w:color w:val="auto"/>
          <w:spacing w:val="-2"/>
          <w:sz w:val="24"/>
          <w:szCs w:val="24"/>
          <w:highlight w:val="none"/>
        </w:rPr>
        <w:t>11.6  合同双方原因导致的工期延误</w:t>
      </w:r>
    </w:p>
    <w:p w14:paraId="73367F8C">
      <w:pPr>
        <w:spacing w:before="296" w:line="360" w:lineRule="auto"/>
        <w:ind w:left="440"/>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合同双方导致工期延误的原因：</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p>
    <w:p w14:paraId="07DF286C">
      <w:pPr>
        <w:spacing w:before="284" w:line="360" w:lineRule="auto"/>
        <w:ind w:left="38"/>
        <w:jc w:val="left"/>
        <w:outlineLvl w:val="2"/>
        <w:rPr>
          <w:rFonts w:hint="eastAsia" w:ascii="宋体" w:hAnsi="宋体" w:eastAsia="宋体" w:cs="宋体"/>
          <w:color w:val="auto"/>
          <w:sz w:val="24"/>
          <w:szCs w:val="24"/>
          <w:highlight w:val="none"/>
        </w:rPr>
      </w:pPr>
      <w:bookmarkStart w:id="761" w:name="bookmark36"/>
      <w:bookmarkEnd w:id="761"/>
      <w:r>
        <w:rPr>
          <w:rFonts w:hint="eastAsia" w:ascii="宋体" w:hAnsi="宋体" w:eastAsia="宋体" w:cs="宋体"/>
          <w:color w:val="auto"/>
          <w:spacing w:val="-2"/>
          <w:sz w:val="24"/>
          <w:szCs w:val="24"/>
          <w:highlight w:val="none"/>
        </w:rPr>
        <w:t>11.7  非合同双方原因导致的工期延误</w:t>
      </w:r>
    </w:p>
    <w:p w14:paraId="2C784311">
      <w:pPr>
        <w:spacing w:before="296" w:line="360" w:lineRule="auto"/>
        <w:ind w:left="443"/>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非合同双方导致工期延误的原因：</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5"/>
          <w:sz w:val="20"/>
          <w:szCs w:val="20"/>
          <w:highlight w:val="none"/>
          <w:u w:val="single" w:color="auto"/>
        </w:rPr>
        <w:t xml:space="preserve">                                        </w:t>
      </w:r>
    </w:p>
    <w:p w14:paraId="72701119">
      <w:pPr>
        <w:spacing w:before="284" w:line="360" w:lineRule="auto"/>
        <w:ind w:left="38"/>
        <w:jc w:val="left"/>
        <w:outlineLvl w:val="2"/>
        <w:rPr>
          <w:rFonts w:hint="eastAsia" w:ascii="宋体" w:hAnsi="宋体" w:eastAsia="宋体" w:cs="宋体"/>
          <w:color w:val="auto"/>
          <w:sz w:val="24"/>
          <w:szCs w:val="24"/>
          <w:highlight w:val="none"/>
        </w:rPr>
      </w:pPr>
      <w:bookmarkStart w:id="762" w:name="bookmark37"/>
      <w:bookmarkEnd w:id="762"/>
      <w:r>
        <w:rPr>
          <w:rFonts w:hint="eastAsia" w:ascii="宋体" w:hAnsi="宋体" w:eastAsia="宋体" w:cs="宋体"/>
          <w:color w:val="auto"/>
          <w:spacing w:val="-5"/>
          <w:sz w:val="24"/>
          <w:szCs w:val="24"/>
          <w:highlight w:val="none"/>
        </w:rPr>
        <w:t>11.8</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5"/>
          <w:sz w:val="24"/>
          <w:szCs w:val="24"/>
          <w:highlight w:val="none"/>
        </w:rPr>
        <w:t>工期提前</w:t>
      </w:r>
    </w:p>
    <w:p w14:paraId="27DE6F53">
      <w:pPr>
        <w:pStyle w:val="17"/>
        <w:spacing w:line="360" w:lineRule="auto"/>
        <w:ind w:firstLine="392" w:firstLineChars="200"/>
        <w:jc w:val="left"/>
        <w:rPr>
          <w:rFonts w:hint="eastAsia" w:ascii="宋体" w:hAnsi="宋体" w:eastAsia="宋体" w:cs="宋体"/>
          <w:color w:val="auto"/>
          <w:highlight w:val="none"/>
        </w:rPr>
      </w:pPr>
      <w:r>
        <w:rPr>
          <w:rFonts w:hint="eastAsia" w:ascii="宋体" w:hAnsi="宋体" w:eastAsia="宋体" w:cs="宋体"/>
          <w:color w:val="auto"/>
          <w:spacing w:val="-2"/>
          <w:sz w:val="20"/>
          <w:szCs w:val="20"/>
          <w:highlight w:val="none"/>
        </w:rPr>
        <w:t>提前竣工的奖励办法</w:t>
      </w:r>
      <w:r>
        <w:rPr>
          <w:rFonts w:hint="eastAsia" w:ascii="宋体" w:hAnsi="宋体" w:eastAsia="宋体" w:cs="宋体"/>
          <w:color w:val="auto"/>
          <w:spacing w:val="-2"/>
          <w:sz w:val="24"/>
          <w:szCs w:val="24"/>
          <w:highlight w:val="none"/>
        </w:rPr>
        <w:t>：</w:t>
      </w:r>
      <w:r>
        <w:rPr>
          <w:rFonts w:hint="eastAsia" w:ascii="宋体" w:hAnsi="宋体" w:eastAsia="宋体" w:cs="宋体"/>
          <w:snapToGrid w:val="0"/>
          <w:color w:val="auto"/>
          <w:spacing w:val="6"/>
          <w:kern w:val="0"/>
          <w:sz w:val="20"/>
          <w:szCs w:val="20"/>
          <w:highlight w:val="none"/>
          <w:u w:val="single" w:color="auto"/>
          <w:lang w:val="en-US" w:eastAsia="zh-CN" w:bidi="ar-SA"/>
        </w:rPr>
        <w:t xml:space="preserve">  </w:t>
      </w:r>
      <w:r>
        <w:rPr>
          <w:rFonts w:hint="eastAsia" w:ascii="宋体" w:hAnsi="宋体" w:eastAsia="宋体" w:cs="宋体"/>
          <w:snapToGrid w:val="0"/>
          <w:color w:val="auto"/>
          <w:spacing w:val="7"/>
          <w:kern w:val="0"/>
          <w:sz w:val="20"/>
          <w:szCs w:val="20"/>
          <w:highlight w:val="none"/>
          <w:u w:val="single"/>
          <w:lang w:val="en-US" w:eastAsia="zh-CN" w:bidi="ar-SA"/>
        </w:rPr>
        <w:t xml:space="preserve">表扬信（若需）。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p>
    <w:p w14:paraId="3FB92600">
      <w:pPr>
        <w:spacing w:before="91" w:line="360" w:lineRule="auto"/>
        <w:ind w:left="43"/>
        <w:jc w:val="left"/>
        <w:outlineLvl w:val="1"/>
        <w:rPr>
          <w:rFonts w:hint="eastAsia" w:ascii="宋体" w:hAnsi="宋体" w:eastAsia="宋体" w:cs="宋体"/>
          <w:color w:val="auto"/>
          <w:sz w:val="28"/>
          <w:szCs w:val="28"/>
          <w:highlight w:val="none"/>
        </w:rPr>
      </w:pPr>
      <w:bookmarkStart w:id="763" w:name="bookmark38"/>
      <w:bookmarkEnd w:id="763"/>
      <w:r>
        <w:rPr>
          <w:rFonts w:hint="eastAsia" w:ascii="宋体" w:hAnsi="宋体" w:eastAsia="宋体" w:cs="宋体"/>
          <w:color w:val="auto"/>
          <w:spacing w:val="-5"/>
          <w:sz w:val="28"/>
          <w:szCs w:val="28"/>
          <w:highlight w:val="none"/>
        </w:rPr>
        <w:t>12.暂停施工</w:t>
      </w:r>
    </w:p>
    <w:p w14:paraId="391E3936">
      <w:pPr>
        <w:pStyle w:val="17"/>
        <w:spacing w:line="360" w:lineRule="auto"/>
        <w:jc w:val="left"/>
        <w:rPr>
          <w:rFonts w:hint="eastAsia" w:ascii="宋体" w:hAnsi="宋体" w:eastAsia="宋体" w:cs="宋体"/>
          <w:color w:val="auto"/>
          <w:highlight w:val="none"/>
        </w:rPr>
      </w:pPr>
    </w:p>
    <w:p w14:paraId="28CA3488">
      <w:pPr>
        <w:spacing w:before="78"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12.1  承包人暂停施工的责任</w:t>
      </w:r>
    </w:p>
    <w:p w14:paraId="01588DC3">
      <w:pPr>
        <w:spacing w:before="302" w:line="360" w:lineRule="auto"/>
        <w:ind w:left="449"/>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0"/>
          <w:szCs w:val="20"/>
          <w:highlight w:val="none"/>
        </w:rPr>
        <w:t>（4）承包人承担暂停施工责任的其他情形</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z w:val="24"/>
          <w:szCs w:val="24"/>
          <w:highlight w:val="none"/>
          <w:u w:val="single" w:color="auto"/>
        </w:rPr>
        <w:t xml:space="preserve">                         </w:t>
      </w:r>
    </w:p>
    <w:p w14:paraId="4B51C065">
      <w:pPr>
        <w:pStyle w:val="17"/>
        <w:tabs>
          <w:tab w:val="left" w:pos="8290"/>
          <w:tab w:val="clear" w:pos="567"/>
        </w:tabs>
        <w:spacing w:before="181" w:line="360" w:lineRule="auto"/>
        <w:ind w:left="11"/>
        <w:jc w:val="left"/>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7FE2CD44">
      <w:pPr>
        <w:spacing w:before="287" w:line="360" w:lineRule="auto"/>
        <w:ind w:left="43"/>
        <w:jc w:val="left"/>
        <w:outlineLvl w:val="1"/>
        <w:rPr>
          <w:rFonts w:hint="eastAsia" w:ascii="宋体" w:hAnsi="宋体" w:eastAsia="宋体" w:cs="宋体"/>
          <w:color w:val="auto"/>
          <w:sz w:val="28"/>
          <w:szCs w:val="28"/>
          <w:highlight w:val="none"/>
        </w:rPr>
      </w:pPr>
      <w:bookmarkStart w:id="764" w:name="bookmark39"/>
      <w:bookmarkEnd w:id="764"/>
      <w:r>
        <w:rPr>
          <w:rFonts w:hint="eastAsia" w:ascii="宋体" w:hAnsi="宋体" w:eastAsia="宋体" w:cs="宋体"/>
          <w:color w:val="auto"/>
          <w:spacing w:val="-5"/>
          <w:sz w:val="28"/>
          <w:szCs w:val="28"/>
          <w:highlight w:val="none"/>
        </w:rPr>
        <w:t>13.工程质量</w:t>
      </w:r>
    </w:p>
    <w:p w14:paraId="44F4AE5F">
      <w:pPr>
        <w:pStyle w:val="17"/>
        <w:spacing w:line="360" w:lineRule="auto"/>
        <w:jc w:val="left"/>
        <w:rPr>
          <w:rFonts w:hint="eastAsia" w:ascii="宋体" w:hAnsi="宋体" w:eastAsia="宋体" w:cs="宋体"/>
          <w:color w:val="auto"/>
          <w:highlight w:val="none"/>
        </w:rPr>
      </w:pPr>
    </w:p>
    <w:p w14:paraId="1A94CECF">
      <w:pPr>
        <w:spacing w:before="79"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13.2  承包人的质量管理</w:t>
      </w:r>
    </w:p>
    <w:p w14:paraId="3C54F987">
      <w:pPr>
        <w:spacing w:before="297" w:line="360" w:lineRule="auto"/>
        <w:ind w:left="440" w:right="28" w:firstLine="14"/>
        <w:jc w:val="left"/>
        <w:rPr>
          <w:rFonts w:hint="eastAsia" w:ascii="宋体" w:hAnsi="宋体" w:eastAsia="宋体" w:cs="宋体"/>
          <w:color w:val="auto"/>
          <w:sz w:val="20"/>
          <w:szCs w:val="20"/>
          <w:highlight w:val="none"/>
          <w:lang w:val="en-US"/>
        </w:rPr>
      </w:pPr>
      <w:r>
        <w:rPr>
          <w:rFonts w:hint="eastAsia" w:ascii="宋体" w:hAnsi="宋体" w:eastAsia="宋体" w:cs="宋体"/>
          <w:color w:val="auto"/>
          <w:spacing w:val="7"/>
          <w:sz w:val="20"/>
          <w:szCs w:val="20"/>
          <w:highlight w:val="none"/>
        </w:rPr>
        <w:t>13.2.1  承包人向监理人提交工程质量保证措施文件的期限：</w:t>
      </w:r>
      <w:r>
        <w:rPr>
          <w:rFonts w:hint="eastAsia" w:ascii="宋体" w:hAnsi="宋体" w:eastAsia="宋体" w:cs="宋体"/>
          <w:color w:val="auto"/>
          <w:spacing w:val="7"/>
          <w:sz w:val="20"/>
          <w:szCs w:val="20"/>
          <w:highlight w:val="none"/>
          <w:u w:val="single"/>
          <w:lang w:eastAsia="zh-CN"/>
        </w:rPr>
        <w:t>工程开工前</w:t>
      </w:r>
      <w:r>
        <w:rPr>
          <w:rFonts w:hint="eastAsia" w:ascii="宋体" w:hAnsi="宋体" w:eastAsia="宋体" w:cs="宋体"/>
          <w:color w:val="auto"/>
          <w:spacing w:val="7"/>
          <w:sz w:val="20"/>
          <w:szCs w:val="20"/>
          <w:highlight w:val="none"/>
          <w:u w:val="single"/>
          <w:lang w:val="en-US" w:eastAsia="zh-CN"/>
        </w:rPr>
        <w:t>7日内</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
          <w:sz w:val="20"/>
          <w:szCs w:val="20"/>
          <w:highlight w:val="none"/>
        </w:rPr>
        <w:t>监理人审批工程质量保证措施文件的期限：</w:t>
      </w:r>
      <w:r>
        <w:rPr>
          <w:rFonts w:hint="eastAsia" w:ascii="宋体" w:hAnsi="宋体" w:eastAsia="宋体" w:cs="宋体"/>
          <w:color w:val="auto"/>
          <w:spacing w:val="7"/>
          <w:sz w:val="20"/>
          <w:szCs w:val="20"/>
          <w:highlight w:val="none"/>
          <w:u w:val="single"/>
          <w:lang w:eastAsia="zh-CN"/>
        </w:rPr>
        <w:t>收到</w:t>
      </w:r>
      <w:r>
        <w:rPr>
          <w:rFonts w:hint="eastAsia" w:ascii="宋体" w:hAnsi="宋体" w:eastAsia="宋体" w:cs="宋体"/>
          <w:color w:val="auto"/>
          <w:spacing w:val="7"/>
          <w:sz w:val="20"/>
          <w:szCs w:val="20"/>
          <w:highlight w:val="none"/>
          <w:u w:val="single"/>
        </w:rPr>
        <w:t>承包人向监理人提交工程质量保证措施文件</w:t>
      </w:r>
      <w:r>
        <w:rPr>
          <w:rFonts w:hint="eastAsia" w:ascii="宋体" w:hAnsi="宋体" w:eastAsia="宋体" w:cs="宋体"/>
          <w:color w:val="auto"/>
          <w:spacing w:val="7"/>
          <w:sz w:val="20"/>
          <w:szCs w:val="20"/>
          <w:highlight w:val="none"/>
          <w:u w:val="single"/>
          <w:lang w:eastAsia="zh-CN"/>
        </w:rPr>
        <w:t>后的</w:t>
      </w:r>
      <w:r>
        <w:rPr>
          <w:rFonts w:hint="eastAsia" w:ascii="宋体" w:hAnsi="宋体" w:eastAsia="宋体" w:cs="宋体"/>
          <w:color w:val="auto"/>
          <w:spacing w:val="7"/>
          <w:sz w:val="20"/>
          <w:szCs w:val="20"/>
          <w:highlight w:val="none"/>
          <w:u w:val="single"/>
          <w:lang w:val="en-US" w:eastAsia="zh-CN"/>
        </w:rPr>
        <w:t>7日</w:t>
      </w:r>
      <w:r>
        <w:rPr>
          <w:rFonts w:hint="eastAsia" w:ascii="宋体" w:hAnsi="宋体" w:eastAsia="宋体" w:cs="宋体"/>
          <w:color w:val="auto"/>
          <w:spacing w:val="7"/>
          <w:sz w:val="20"/>
          <w:szCs w:val="20"/>
          <w:highlight w:val="none"/>
          <w:u w:val="single"/>
          <w:lang w:eastAsia="zh-CN"/>
        </w:rPr>
        <w:t>内。</w:t>
      </w:r>
    </w:p>
    <w:p w14:paraId="4DBC1946">
      <w:pPr>
        <w:spacing w:before="122" w:line="360" w:lineRule="auto"/>
        <w:ind w:left="38"/>
        <w:jc w:val="left"/>
        <w:outlineLvl w:val="2"/>
        <w:rPr>
          <w:rFonts w:hint="eastAsia" w:ascii="宋体" w:hAnsi="宋体" w:eastAsia="宋体" w:cs="宋体"/>
          <w:color w:val="auto"/>
          <w:sz w:val="24"/>
          <w:szCs w:val="24"/>
          <w:highlight w:val="none"/>
        </w:rPr>
      </w:pPr>
      <w:bookmarkStart w:id="765" w:name="bookmark40"/>
      <w:bookmarkEnd w:id="765"/>
      <w:r>
        <w:rPr>
          <w:rFonts w:hint="eastAsia" w:ascii="宋体" w:hAnsi="宋体" w:eastAsia="宋体" w:cs="宋体"/>
          <w:color w:val="auto"/>
          <w:spacing w:val="-2"/>
          <w:sz w:val="24"/>
          <w:szCs w:val="24"/>
          <w:highlight w:val="none"/>
        </w:rPr>
        <w:t>13.3  承包人的质量检查</w:t>
      </w:r>
    </w:p>
    <w:p w14:paraId="1DD05E6D">
      <w:pPr>
        <w:spacing w:before="297"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承包人向监理人报送工程质量报表的期限：</w:t>
      </w:r>
      <w:r>
        <w:rPr>
          <w:rFonts w:hint="eastAsia" w:ascii="宋体" w:hAnsi="宋体" w:eastAsia="宋体" w:cs="宋体"/>
          <w:color w:val="auto"/>
          <w:spacing w:val="7"/>
          <w:sz w:val="20"/>
          <w:szCs w:val="20"/>
          <w:highlight w:val="none"/>
          <w:u w:val="single"/>
        </w:rPr>
        <w:t xml:space="preserve">承包人向监理人报送工程质量报表的期限： </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1</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质量周报：每周三上午9：00点之前，报告上周三至本周二的工程质量情况</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2</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质量月报：每月26日上午9：00点之前，报告上月26日至本月25日的工程质量情况。</w:t>
      </w:r>
      <w:r>
        <w:rPr>
          <w:rFonts w:hint="eastAsia" w:ascii="宋体" w:hAnsi="宋体" w:eastAsia="宋体" w:cs="宋体"/>
          <w:color w:val="auto"/>
          <w:sz w:val="20"/>
          <w:szCs w:val="20"/>
          <w:highlight w:val="none"/>
          <w:u w:val="single" w:color="auto"/>
        </w:rPr>
        <w:t xml:space="preserve">                                       </w:t>
      </w:r>
    </w:p>
    <w:p w14:paraId="1D9AD471">
      <w:pPr>
        <w:spacing w:before="161" w:line="360" w:lineRule="auto"/>
        <w:ind w:left="439" w:right="28"/>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承包人向监理人报送工程质量报表的要求：</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1</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时间要求：</w:t>
      </w:r>
      <w:r>
        <w:rPr>
          <w:rFonts w:hint="eastAsia" w:ascii="宋体" w:hAnsi="宋体" w:eastAsia="宋体" w:cs="宋体"/>
          <w:color w:val="auto"/>
          <w:spacing w:val="7"/>
          <w:sz w:val="20"/>
          <w:szCs w:val="20"/>
          <w:highlight w:val="none"/>
          <w:u w:val="single"/>
          <w:lang w:eastAsia="zh-CN"/>
        </w:rPr>
        <w:t>在</w:t>
      </w:r>
      <w:r>
        <w:rPr>
          <w:rFonts w:hint="eastAsia" w:ascii="宋体" w:hAnsi="宋体" w:eastAsia="宋体" w:cs="宋体"/>
          <w:color w:val="auto"/>
          <w:spacing w:val="7"/>
          <w:sz w:val="20"/>
          <w:szCs w:val="20"/>
          <w:highlight w:val="none"/>
          <w:u w:val="single"/>
        </w:rPr>
        <w:t>工程质量报表的期限</w:t>
      </w:r>
      <w:r>
        <w:rPr>
          <w:rFonts w:hint="eastAsia" w:ascii="宋体" w:hAnsi="宋体" w:eastAsia="宋体" w:cs="宋体"/>
          <w:color w:val="auto"/>
          <w:spacing w:val="7"/>
          <w:sz w:val="20"/>
          <w:szCs w:val="20"/>
          <w:highlight w:val="none"/>
          <w:u w:val="single"/>
          <w:lang w:eastAsia="zh-CN"/>
        </w:rPr>
        <w:t>完成上报；（</w:t>
      </w:r>
      <w:r>
        <w:rPr>
          <w:rFonts w:hint="eastAsia" w:ascii="宋体" w:hAnsi="宋体" w:eastAsia="宋体" w:cs="宋体"/>
          <w:color w:val="auto"/>
          <w:spacing w:val="7"/>
          <w:sz w:val="20"/>
          <w:szCs w:val="20"/>
          <w:highlight w:val="none"/>
          <w:u w:val="single"/>
          <w:lang w:val="en-US" w:eastAsia="zh-CN"/>
        </w:rPr>
        <w:t>2</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内容要求：报表内容应真实、准确、完整，不得虚报、瞒报、漏报，需包括工程概况、质量管理目标、质量控制措施、质量保证措施、质量检查情况、质量验收情况、质量事故处理情况等。同时，报表应注明编制单位、编制日期、编制人、审核人、批准人等信息。</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3</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格式要求：报表格式应规范、统一，符合相关规定和合同要求，一般应包括报表封面、报表目录和正文等部分。封面需包含工程名称、编制单位、编制日期等信息；正文内容应按照规定的章节和顺序进行编排，数据准确，字迹清晰。</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4</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审核要求：报表编制完成后，需由编制单位进行内部审核，审核合格后再报送监理人。监理人收到报表后，应按照合同约定的时间进行审核，如无异议，则报表生效；如有异议，承包人应根据监理人的要求进行修改和补充。 </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5</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符合现行规范标准，还应提供详细的施工工艺全过程质量检查的相关记录</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9"/>
          <w:sz w:val="20"/>
          <w:szCs w:val="20"/>
          <w:highlight w:val="none"/>
        </w:rPr>
        <w:t>监理人审查工程质量报表的期限：</w:t>
      </w:r>
      <w:r>
        <w:rPr>
          <w:rFonts w:hint="eastAsia" w:ascii="宋体" w:hAnsi="宋体" w:eastAsia="宋体" w:cs="宋体"/>
          <w:color w:val="auto"/>
          <w:spacing w:val="7"/>
          <w:sz w:val="20"/>
          <w:szCs w:val="20"/>
          <w:highlight w:val="none"/>
          <w:u w:val="single"/>
          <w:lang w:eastAsia="zh-CN"/>
        </w:rPr>
        <w:t>收到</w:t>
      </w:r>
      <w:r>
        <w:rPr>
          <w:rFonts w:hint="eastAsia" w:ascii="宋体" w:hAnsi="宋体" w:eastAsia="宋体" w:cs="宋体"/>
          <w:color w:val="auto"/>
          <w:spacing w:val="7"/>
          <w:sz w:val="20"/>
          <w:szCs w:val="20"/>
          <w:highlight w:val="none"/>
          <w:u w:val="single"/>
        </w:rPr>
        <w:t>承包人向监理人报送工程质量报表</w:t>
      </w:r>
      <w:r>
        <w:rPr>
          <w:rFonts w:hint="eastAsia" w:ascii="宋体" w:hAnsi="宋体" w:eastAsia="宋体" w:cs="宋体"/>
          <w:color w:val="auto"/>
          <w:spacing w:val="7"/>
          <w:sz w:val="20"/>
          <w:szCs w:val="20"/>
          <w:highlight w:val="none"/>
          <w:u w:val="single"/>
          <w:lang w:eastAsia="zh-CN"/>
        </w:rPr>
        <w:t>后三日内。</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z w:val="20"/>
          <w:szCs w:val="20"/>
          <w:highlight w:val="none"/>
          <w:u w:val="single" w:color="auto"/>
        </w:rPr>
        <w:t xml:space="preserve">                                               </w:t>
      </w:r>
    </w:p>
    <w:p w14:paraId="4E273B60">
      <w:pPr>
        <w:spacing w:before="122" w:line="360" w:lineRule="auto"/>
        <w:ind w:left="38"/>
        <w:jc w:val="left"/>
        <w:outlineLvl w:val="2"/>
        <w:rPr>
          <w:rFonts w:hint="eastAsia" w:ascii="宋体" w:hAnsi="宋体" w:eastAsia="宋体" w:cs="宋体"/>
          <w:color w:val="auto"/>
          <w:sz w:val="24"/>
          <w:szCs w:val="24"/>
          <w:highlight w:val="none"/>
        </w:rPr>
      </w:pPr>
      <w:bookmarkStart w:id="766" w:name="bookmark41"/>
      <w:bookmarkEnd w:id="766"/>
      <w:r>
        <w:rPr>
          <w:rFonts w:hint="eastAsia" w:ascii="宋体" w:hAnsi="宋体" w:eastAsia="宋体" w:cs="宋体"/>
          <w:color w:val="auto"/>
          <w:spacing w:val="-2"/>
          <w:sz w:val="24"/>
          <w:szCs w:val="24"/>
          <w:highlight w:val="none"/>
        </w:rPr>
        <w:t>13.4  监理人的质量检查</w:t>
      </w:r>
    </w:p>
    <w:p w14:paraId="289769D9">
      <w:pPr>
        <w:spacing w:before="298" w:line="360" w:lineRule="auto"/>
        <w:ind w:left="36" w:right="13" w:firstLine="40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承包人应当为监理人的检查和检验提供方便，监理人可以进行察看和查阅施工原始记录</w:t>
      </w:r>
      <w:r>
        <w:rPr>
          <w:rFonts w:hint="eastAsia" w:ascii="宋体" w:hAnsi="宋体" w:eastAsia="宋体" w:cs="宋体"/>
          <w:color w:val="auto"/>
          <w:spacing w:val="4"/>
          <w:sz w:val="20"/>
          <w:szCs w:val="20"/>
          <w:highlight w:val="none"/>
        </w:rPr>
        <w:t>的其他地方包括：</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1</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施工现场：这是监理人进行质量检查的主要场所，包括工程的各个施工部位、作业面等，以便实地察看施工工艺、施工进度以及工程质量情况。</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2</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制造、加工地点：若工程涉及的材料、构配件或设备需要在施工现场外的专门制造或加工地点进行生产，监理人有权前往这些地点，对原材料的质量、加工工艺、成品质量等进行检查，并查阅相关的生产记录、检验报告等原始资料。</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3</w:t>
      </w:r>
      <w:r>
        <w:rPr>
          <w:rFonts w:hint="eastAsia" w:ascii="宋体" w:hAnsi="宋体" w:eastAsia="宋体" w:cs="宋体"/>
          <w:color w:val="auto"/>
          <w:spacing w:val="7"/>
          <w:sz w:val="20"/>
          <w:szCs w:val="20"/>
          <w:highlight w:val="none"/>
          <w:u w:val="single"/>
          <w:lang w:eastAsia="zh-CN"/>
        </w:rPr>
        <w:t>）及其他于本工程相关的地方。</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383244D0">
      <w:pPr>
        <w:spacing w:before="121" w:line="360" w:lineRule="auto"/>
        <w:ind w:left="38"/>
        <w:jc w:val="left"/>
        <w:outlineLvl w:val="2"/>
        <w:rPr>
          <w:rFonts w:hint="eastAsia" w:ascii="宋体" w:hAnsi="宋体" w:eastAsia="宋体" w:cs="宋体"/>
          <w:color w:val="auto"/>
          <w:sz w:val="24"/>
          <w:szCs w:val="24"/>
          <w:highlight w:val="none"/>
        </w:rPr>
      </w:pPr>
      <w:bookmarkStart w:id="767" w:name="bookmark42"/>
      <w:bookmarkEnd w:id="767"/>
      <w:r>
        <w:rPr>
          <w:rFonts w:hint="eastAsia" w:ascii="宋体" w:hAnsi="宋体" w:eastAsia="宋体" w:cs="宋体"/>
          <w:color w:val="auto"/>
          <w:spacing w:val="-2"/>
          <w:sz w:val="24"/>
          <w:szCs w:val="24"/>
          <w:highlight w:val="none"/>
        </w:rPr>
        <w:t>13.5  工程隐蔽部位覆盖前的检查</w:t>
      </w:r>
    </w:p>
    <w:p w14:paraId="7AFB3768">
      <w:pPr>
        <w:keepNext w:val="0"/>
        <w:keepLines w:val="0"/>
        <w:pageBreakBefore w:val="0"/>
        <w:widowControl/>
        <w:kinsoku w:val="0"/>
        <w:wordWrap/>
        <w:overflowPunct/>
        <w:topLinePunct w:val="0"/>
        <w:autoSpaceDE w:val="0"/>
        <w:autoSpaceDN w:val="0"/>
        <w:bidi w:val="0"/>
        <w:adjustRightInd w:val="0"/>
        <w:snapToGrid w:val="0"/>
        <w:spacing w:before="297" w:line="360" w:lineRule="auto"/>
        <w:ind w:left="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13.5.1  监理人对工程隐蔽部位进行检查的期限：</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1</w:t>
      </w:r>
      <w:r>
        <w:rPr>
          <w:rFonts w:hint="eastAsia" w:ascii="宋体" w:hAnsi="宋体" w:eastAsia="宋体" w:cs="宋体"/>
          <w:color w:val="auto"/>
          <w:spacing w:val="7"/>
          <w:sz w:val="20"/>
          <w:szCs w:val="20"/>
          <w:highlight w:val="none"/>
          <w:u w:val="single"/>
          <w:lang w:eastAsia="zh-CN"/>
        </w:rPr>
        <w:t>）承包人应在隐蔽工程覆盖前48小时书面通知监理人检查，通知中应载明隐蔽检查的内容、时间和地点，并应附有自检记录和必要的检查资料。（</w:t>
      </w:r>
      <w:r>
        <w:rPr>
          <w:rFonts w:hint="eastAsia" w:ascii="宋体" w:hAnsi="宋体" w:eastAsia="宋体" w:cs="宋体"/>
          <w:color w:val="auto"/>
          <w:spacing w:val="7"/>
          <w:sz w:val="20"/>
          <w:szCs w:val="20"/>
          <w:highlight w:val="none"/>
          <w:u w:val="single"/>
          <w:lang w:val="en-US" w:eastAsia="zh-CN"/>
        </w:rPr>
        <w:t>2</w:t>
      </w:r>
      <w:r>
        <w:rPr>
          <w:rFonts w:hint="eastAsia" w:ascii="宋体" w:hAnsi="宋体" w:eastAsia="宋体" w:cs="宋体"/>
          <w:color w:val="auto"/>
          <w:spacing w:val="7"/>
          <w:sz w:val="20"/>
          <w:szCs w:val="20"/>
          <w:highlight w:val="none"/>
          <w:u w:val="single"/>
          <w:lang w:eastAsia="zh-CN"/>
        </w:rPr>
        <w:t>） 监理人应按时到场并对隐蔽工程及其施工工艺、材料和工程设备进行检查。若监理人不能按时进行检查的，应在检查前24小时向承包人提交书面延期要求，但延期不能超过48小时。（</w:t>
      </w:r>
      <w:r>
        <w:rPr>
          <w:rFonts w:hint="eastAsia" w:ascii="宋体" w:hAnsi="宋体" w:eastAsia="宋体" w:cs="宋体"/>
          <w:color w:val="auto"/>
          <w:spacing w:val="7"/>
          <w:sz w:val="20"/>
          <w:szCs w:val="20"/>
          <w:highlight w:val="none"/>
          <w:u w:val="single"/>
          <w:lang w:val="en-US" w:eastAsia="zh-CN"/>
        </w:rPr>
        <w:t>3</w:t>
      </w:r>
      <w:r>
        <w:rPr>
          <w:rFonts w:hint="eastAsia" w:ascii="宋体" w:hAnsi="宋体" w:eastAsia="宋体" w:cs="宋体"/>
          <w:color w:val="auto"/>
          <w:spacing w:val="7"/>
          <w:sz w:val="20"/>
          <w:szCs w:val="20"/>
          <w:highlight w:val="none"/>
          <w:u w:val="single"/>
          <w:lang w:eastAsia="zh-CN"/>
        </w:rPr>
        <w:t>） 监理人未按时进行检查，也未提出延期要求的，视为隐蔽工程检查合格，承包人可自行完成覆盖工作，并作相应记录报送监理人，监理人应签字确认。</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4"/>
          <w:sz w:val="20"/>
          <w:szCs w:val="20"/>
          <w:highlight w:val="none"/>
          <w:u w:val="single" w:color="auto"/>
        </w:rPr>
        <w:t xml:space="preserve">   </w:t>
      </w:r>
    </w:p>
    <w:p w14:paraId="594318D6">
      <w:pPr>
        <w:spacing w:before="291" w:line="360" w:lineRule="auto"/>
        <w:ind w:left="43"/>
        <w:jc w:val="left"/>
        <w:outlineLvl w:val="1"/>
        <w:rPr>
          <w:rFonts w:hint="eastAsia" w:ascii="宋体" w:hAnsi="宋体" w:eastAsia="宋体" w:cs="宋体"/>
          <w:color w:val="auto"/>
          <w:sz w:val="28"/>
          <w:szCs w:val="28"/>
          <w:highlight w:val="none"/>
        </w:rPr>
      </w:pPr>
      <w:bookmarkStart w:id="768" w:name="bookmark43"/>
      <w:bookmarkEnd w:id="768"/>
      <w:r>
        <w:rPr>
          <w:rFonts w:hint="eastAsia" w:ascii="宋体" w:hAnsi="宋体" w:eastAsia="宋体" w:cs="宋体"/>
          <w:color w:val="auto"/>
          <w:spacing w:val="-6"/>
          <w:sz w:val="28"/>
          <w:szCs w:val="28"/>
          <w:highlight w:val="none"/>
        </w:rPr>
        <w:t>15.变更</w:t>
      </w:r>
    </w:p>
    <w:p w14:paraId="625F2F9B">
      <w:pPr>
        <w:pStyle w:val="17"/>
        <w:spacing w:line="360" w:lineRule="auto"/>
        <w:jc w:val="left"/>
        <w:rPr>
          <w:rFonts w:hint="eastAsia" w:ascii="宋体" w:hAnsi="宋体" w:eastAsia="宋体" w:cs="宋体"/>
          <w:color w:val="auto"/>
          <w:highlight w:val="none"/>
        </w:rPr>
      </w:pPr>
    </w:p>
    <w:p w14:paraId="4C6F6C46">
      <w:pPr>
        <w:spacing w:before="79"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变更的范围和内容</w:t>
      </w:r>
    </w:p>
    <w:p w14:paraId="728A2E87">
      <w:pPr>
        <w:spacing w:before="297"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15.1.1  在履行合同中发生以下情形之一，应按照本</w:t>
      </w:r>
      <w:r>
        <w:rPr>
          <w:rFonts w:hint="eastAsia" w:ascii="宋体" w:hAnsi="宋体" w:eastAsia="宋体" w:cs="宋体"/>
          <w:color w:val="auto"/>
          <w:spacing w:val="7"/>
          <w:sz w:val="20"/>
          <w:szCs w:val="20"/>
          <w:highlight w:val="none"/>
        </w:rPr>
        <w:t>条规定进行变更。</w:t>
      </w:r>
    </w:p>
    <w:p w14:paraId="7798672D">
      <w:pPr>
        <w:spacing w:before="162" w:line="360" w:lineRule="auto"/>
        <w:ind w:left="449"/>
        <w:jc w:val="left"/>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（6）变更的其他情形：</w:t>
      </w:r>
      <w:r>
        <w:rPr>
          <w:rFonts w:hint="eastAsia" w:ascii="宋体" w:hAnsi="宋体" w:eastAsia="宋体" w:cs="宋体"/>
          <w:color w:val="auto"/>
          <w:spacing w:val="7"/>
          <w:sz w:val="20"/>
          <w:szCs w:val="20"/>
          <w:highlight w:val="none"/>
          <w:u w:val="single"/>
          <w:lang w:eastAsia="zh-CN"/>
        </w:rPr>
        <w:t>政策法规变化引起的变更，若国家相关政策、法律法规发生变化，导致原合同部分条款与新规定不符，当事人需根据新规定对合同进行相应变更。</w:t>
      </w:r>
      <w:r>
        <w:rPr>
          <w:rFonts w:hint="eastAsia" w:ascii="宋体" w:hAnsi="宋体" w:eastAsia="宋体" w:cs="宋体"/>
          <w:color w:val="auto"/>
          <w:spacing w:val="4"/>
          <w:sz w:val="20"/>
          <w:szCs w:val="20"/>
          <w:highlight w:val="none"/>
          <w:u w:val="single" w:color="auto"/>
        </w:rPr>
        <w:t>合同风险范围以外的内容:(1)工程地质条件的变化</w:t>
      </w:r>
      <w:r>
        <w:rPr>
          <w:rFonts w:hint="eastAsia" w:ascii="宋体" w:hAnsi="宋体" w:cs="宋体"/>
          <w:color w:val="auto"/>
          <w:spacing w:val="4"/>
          <w:sz w:val="20"/>
          <w:szCs w:val="20"/>
          <w:highlight w:val="none"/>
          <w:u w:val="single" w:color="auto"/>
          <w:lang w:eastAsia="zh-CN"/>
        </w:rPr>
        <w:t>；</w:t>
      </w:r>
      <w:r>
        <w:rPr>
          <w:rFonts w:hint="eastAsia" w:ascii="宋体" w:hAnsi="宋体" w:eastAsia="宋体" w:cs="宋体"/>
          <w:color w:val="auto"/>
          <w:spacing w:val="4"/>
          <w:sz w:val="20"/>
          <w:szCs w:val="20"/>
          <w:highlight w:val="none"/>
          <w:u w:val="single" w:color="auto"/>
        </w:rPr>
        <w:t>(2)由于设计变更和现场签证产生的施工图纸、招标文件未含的项目</w:t>
      </w:r>
      <w:r>
        <w:rPr>
          <w:rFonts w:hint="eastAsia" w:ascii="宋体" w:hAnsi="宋体" w:cs="宋体"/>
          <w:color w:val="auto"/>
          <w:spacing w:val="4"/>
          <w:sz w:val="20"/>
          <w:szCs w:val="20"/>
          <w:highlight w:val="none"/>
          <w:u w:val="single" w:color="auto"/>
          <w:lang w:eastAsia="zh-CN"/>
        </w:rPr>
        <w:t>；</w:t>
      </w:r>
      <w:r>
        <w:rPr>
          <w:rFonts w:hint="eastAsia" w:ascii="宋体" w:hAnsi="宋体" w:eastAsia="宋体" w:cs="宋体"/>
          <w:color w:val="auto"/>
          <w:spacing w:val="4"/>
          <w:sz w:val="20"/>
          <w:szCs w:val="20"/>
          <w:highlight w:val="none"/>
          <w:u w:val="single" w:color="auto"/>
        </w:rPr>
        <w:t>(3)不可抗力</w:t>
      </w:r>
      <w:r>
        <w:rPr>
          <w:rFonts w:hint="eastAsia" w:ascii="宋体" w:hAnsi="宋体" w:cs="宋体"/>
          <w:color w:val="auto"/>
          <w:spacing w:val="4"/>
          <w:sz w:val="20"/>
          <w:szCs w:val="20"/>
          <w:highlight w:val="none"/>
          <w:u w:val="single" w:color="auto"/>
          <w:lang w:eastAsia="zh-CN"/>
        </w:rPr>
        <w:t>；</w:t>
      </w:r>
      <w:r>
        <w:rPr>
          <w:rFonts w:hint="eastAsia" w:ascii="宋体" w:hAnsi="宋体" w:eastAsia="宋体" w:cs="宋体"/>
          <w:color w:val="auto"/>
          <w:spacing w:val="4"/>
          <w:sz w:val="20"/>
          <w:szCs w:val="20"/>
          <w:highlight w:val="none"/>
          <w:u w:val="single" w:color="auto"/>
        </w:rPr>
        <w:t>(4)双方约定的其他内容(国家政策明确必须调整的内容等)</w:t>
      </w:r>
      <w:r>
        <w:rPr>
          <w:rFonts w:hint="eastAsia" w:ascii="宋体" w:hAnsi="宋体" w:eastAsia="宋体" w:cs="宋体"/>
          <w:color w:val="auto"/>
          <w:spacing w:val="4"/>
          <w:sz w:val="20"/>
          <w:szCs w:val="20"/>
          <w:highlight w:val="none"/>
          <w:u w:val="single" w:color="auto"/>
          <w:lang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5E981659">
      <w:pPr>
        <w:spacing w:before="286" w:line="360" w:lineRule="auto"/>
        <w:ind w:left="38"/>
        <w:jc w:val="left"/>
        <w:outlineLvl w:val="2"/>
        <w:rPr>
          <w:rFonts w:hint="eastAsia" w:ascii="宋体" w:hAnsi="宋体" w:eastAsia="宋体" w:cs="宋体"/>
          <w:color w:val="auto"/>
          <w:sz w:val="24"/>
          <w:szCs w:val="24"/>
          <w:highlight w:val="none"/>
        </w:rPr>
      </w:pPr>
      <w:bookmarkStart w:id="769" w:name="bookmark44"/>
      <w:bookmarkEnd w:id="769"/>
      <w:r>
        <w:rPr>
          <w:rFonts w:hint="eastAsia" w:ascii="宋体" w:hAnsi="宋体" w:eastAsia="宋体" w:cs="宋体"/>
          <w:color w:val="auto"/>
          <w:spacing w:val="-5"/>
          <w:sz w:val="24"/>
          <w:szCs w:val="24"/>
          <w:highlight w:val="none"/>
        </w:rPr>
        <w:t>15.3</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rPr>
        <w:t>变更程序</w:t>
      </w:r>
    </w:p>
    <w:p w14:paraId="2FC97179">
      <w:pPr>
        <w:spacing w:before="297"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15.3.2  变更估价</w:t>
      </w:r>
    </w:p>
    <w:p w14:paraId="286E8A87">
      <w:pPr>
        <w:spacing w:before="162" w:line="360" w:lineRule="auto"/>
        <w:ind w:left="449"/>
        <w:jc w:val="left"/>
        <w:rPr>
          <w:rFonts w:hint="eastAsia" w:ascii="宋体" w:hAnsi="宋体" w:eastAsia="宋体" w:cs="宋体"/>
          <w:color w:val="auto"/>
          <w:spacing w:val="8"/>
          <w:sz w:val="20"/>
          <w:szCs w:val="20"/>
          <w:highlight w:val="none"/>
          <w:u w:val="single" w:color="auto"/>
          <w:lang w:eastAsia="zh-CN"/>
        </w:rPr>
      </w:pPr>
      <w:r>
        <w:rPr>
          <w:rFonts w:hint="eastAsia" w:ascii="宋体" w:hAnsi="宋体" w:eastAsia="宋体" w:cs="宋体"/>
          <w:color w:val="auto"/>
          <w:spacing w:val="8"/>
          <w:sz w:val="20"/>
          <w:szCs w:val="20"/>
          <w:highlight w:val="none"/>
        </w:rPr>
        <w:t>（1）承包人提交变更报价书的期限：</w:t>
      </w:r>
      <w:r>
        <w:rPr>
          <w:rFonts w:hint="eastAsia" w:ascii="宋体" w:hAnsi="宋体" w:eastAsia="宋体" w:cs="宋体"/>
          <w:snapToGrid w:val="0"/>
          <w:color w:val="auto"/>
          <w:spacing w:val="7"/>
          <w:kern w:val="0"/>
          <w:sz w:val="20"/>
          <w:szCs w:val="20"/>
          <w:highlight w:val="none"/>
          <w:u w:val="single"/>
          <w:lang w:val="en-US" w:eastAsia="zh-CN" w:bidi="ar-SA"/>
        </w:rPr>
        <w:t>承包人收到变更指示或变更意向书后7天，提出变更工程价款的报告，通过监理人报发包人。</w:t>
      </w:r>
    </w:p>
    <w:p w14:paraId="3929B2C1">
      <w:pPr>
        <w:spacing w:before="162" w:line="360" w:lineRule="auto"/>
        <w:ind w:left="449"/>
        <w:jc w:val="left"/>
        <w:rPr>
          <w:rFonts w:hint="eastAsia" w:ascii="宋体" w:hAnsi="宋体" w:eastAsia="宋体" w:cs="宋体"/>
          <w:color w:val="auto"/>
          <w:spacing w:val="8"/>
          <w:sz w:val="20"/>
          <w:szCs w:val="20"/>
          <w:highlight w:val="none"/>
          <w:u w:val="single" w:color="auto"/>
          <w:lang w:eastAsia="zh-CN"/>
        </w:rPr>
      </w:pPr>
    </w:p>
    <w:p w14:paraId="0B9BC02A">
      <w:pPr>
        <w:pStyle w:val="17"/>
        <w:spacing w:line="360" w:lineRule="auto"/>
        <w:ind w:firstLine="432" w:firstLineChars="200"/>
        <w:jc w:val="left"/>
        <w:rPr>
          <w:rFonts w:hint="eastAsia" w:ascii="宋体" w:hAnsi="宋体" w:eastAsia="宋体" w:cs="宋体"/>
          <w:color w:val="auto"/>
          <w:highlight w:val="none"/>
        </w:rPr>
      </w:pPr>
      <w:r>
        <w:rPr>
          <w:rFonts w:hint="eastAsia" w:ascii="宋体" w:hAnsi="宋体" w:eastAsia="宋体" w:cs="宋体"/>
          <w:color w:val="auto"/>
          <w:spacing w:val="8"/>
          <w:sz w:val="20"/>
          <w:szCs w:val="20"/>
          <w:highlight w:val="none"/>
        </w:rPr>
        <w:t>（3）监理人商定或确定变更价格的期限：</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snapToGrid w:val="0"/>
          <w:color w:val="auto"/>
          <w:spacing w:val="7"/>
          <w:kern w:val="0"/>
          <w:sz w:val="20"/>
          <w:szCs w:val="20"/>
          <w:highlight w:val="none"/>
          <w:u w:val="single"/>
          <w:lang w:val="en-US" w:eastAsia="zh-CN" w:bidi="ar-SA"/>
        </w:rPr>
        <w:t>发包人收到承包人价款申请后3天内提供审核意见，最终治商变更造价金额以审计结果为准。承包人不得以发包人和承包人之间未能就变更工作的计价达成一致而拒绝实施变更工作，也不得暂停、拖延或终止施工。</w:t>
      </w:r>
      <w:r>
        <w:rPr>
          <w:rFonts w:hint="eastAsia" w:ascii="宋体" w:hAnsi="宋体" w:eastAsia="宋体" w:cs="宋体"/>
          <w:snapToGrid w:val="0"/>
          <w:color w:val="auto"/>
          <w:spacing w:val="7"/>
          <w:kern w:val="0"/>
          <w:sz w:val="20"/>
          <w:szCs w:val="20"/>
          <w:highlight w:val="none"/>
          <w:u w:val="single"/>
          <w:lang w:val="en-US" w:eastAsia="en-US" w:bidi="ar-SA"/>
        </w:rPr>
        <w:t xml:space="preserve"> </w:t>
      </w:r>
      <w:r>
        <w:rPr>
          <w:rFonts w:hint="eastAsia" w:ascii="宋体" w:hAnsi="宋体" w:eastAsia="宋体" w:cs="宋体"/>
          <w:color w:val="auto"/>
          <w:sz w:val="20"/>
          <w:szCs w:val="20"/>
          <w:highlight w:val="none"/>
          <w:u w:val="single" w:color="auto"/>
        </w:rPr>
        <w:t xml:space="preserve">                 </w:t>
      </w:r>
    </w:p>
    <w:p w14:paraId="4612BAA2">
      <w:pPr>
        <w:spacing w:before="78" w:line="360" w:lineRule="auto"/>
        <w:ind w:left="38"/>
        <w:jc w:val="left"/>
        <w:outlineLvl w:val="2"/>
        <w:rPr>
          <w:rFonts w:hint="eastAsia" w:ascii="宋体" w:hAnsi="宋体" w:eastAsia="宋体" w:cs="宋体"/>
          <w:color w:val="auto"/>
          <w:sz w:val="24"/>
          <w:szCs w:val="24"/>
          <w:highlight w:val="none"/>
        </w:rPr>
      </w:pPr>
      <w:bookmarkStart w:id="770" w:name="bookmark45"/>
      <w:bookmarkEnd w:id="770"/>
      <w:r>
        <w:rPr>
          <w:rFonts w:hint="eastAsia" w:ascii="宋体" w:hAnsi="宋体" w:eastAsia="宋体" w:cs="宋体"/>
          <w:color w:val="auto"/>
          <w:spacing w:val="-3"/>
          <w:sz w:val="24"/>
          <w:szCs w:val="24"/>
          <w:highlight w:val="none"/>
        </w:rPr>
        <w:t>15.4  变更的估价原则</w:t>
      </w:r>
    </w:p>
    <w:p w14:paraId="04678DE5">
      <w:pPr>
        <w:spacing w:before="299" w:line="360" w:lineRule="auto"/>
        <w:ind w:left="456"/>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因变更引起的价格调整方法：</w:t>
      </w:r>
      <w:r>
        <w:rPr>
          <w:rFonts w:hint="eastAsia" w:ascii="宋体" w:hAnsi="宋体" w:eastAsia="宋体" w:cs="宋体"/>
          <w:color w:val="auto"/>
          <w:spacing w:val="7"/>
          <w:sz w:val="20"/>
          <w:szCs w:val="20"/>
          <w:highlight w:val="none"/>
          <w:u w:val="single"/>
          <w:lang w:eastAsia="zh-CN"/>
        </w:rPr>
        <w:t>参考本合同通用条款</w:t>
      </w:r>
      <w:r>
        <w:rPr>
          <w:rFonts w:hint="eastAsia" w:ascii="宋体" w:hAnsi="宋体" w:eastAsia="宋体" w:cs="宋体"/>
          <w:color w:val="auto"/>
          <w:spacing w:val="7"/>
          <w:sz w:val="20"/>
          <w:szCs w:val="20"/>
          <w:highlight w:val="none"/>
          <w:u w:val="single"/>
          <w:lang w:val="en-US" w:eastAsia="zh-CN"/>
        </w:rPr>
        <w:t>15.4的相关约定，以竣工结算审核意见为准。</w:t>
      </w:r>
      <w:r>
        <w:rPr>
          <w:rFonts w:hint="eastAsia" w:ascii="宋体" w:hAnsi="宋体" w:eastAsia="宋体" w:cs="宋体"/>
          <w:color w:val="auto"/>
          <w:spacing w:val="4"/>
          <w:sz w:val="20"/>
          <w:szCs w:val="20"/>
          <w:highlight w:val="none"/>
          <w:u w:val="single" w:color="auto"/>
        </w:rPr>
        <w:t xml:space="preserve">                                                  </w:t>
      </w:r>
    </w:p>
    <w:p w14:paraId="4A6C4F2E">
      <w:pPr>
        <w:pStyle w:val="17"/>
        <w:tabs>
          <w:tab w:val="left" w:pos="8322"/>
          <w:tab w:val="clear" w:pos="567"/>
        </w:tabs>
        <w:spacing w:before="164" w:line="360" w:lineRule="auto"/>
        <w:ind w:left="11" w:firstLine="420" w:firstLineChars="200"/>
        <w:jc w:val="left"/>
        <w:rPr>
          <w:rFonts w:hint="eastAsia" w:ascii="宋体" w:hAnsi="宋体" w:eastAsia="宋体" w:cs="宋体"/>
          <w:color w:val="auto"/>
          <w:highlight w:val="none"/>
        </w:rPr>
      </w:pPr>
      <w:r>
        <w:rPr>
          <w:rFonts w:hint="eastAsia" w:ascii="宋体" w:hAnsi="宋体" w:eastAsia="宋体" w:cs="宋体"/>
          <w:color w:val="auto"/>
          <w:spacing w:val="5"/>
          <w:sz w:val="20"/>
          <w:szCs w:val="20"/>
          <w:highlight w:val="none"/>
        </w:rPr>
        <w:t>15.4.4  因变更引起措施项目发生变化的，措施项目费调整方法：</w:t>
      </w:r>
      <w:r>
        <w:rPr>
          <w:rFonts w:hint="eastAsia" w:ascii="宋体" w:hAnsi="宋体" w:eastAsia="宋体" w:cs="宋体"/>
          <w:snapToGrid w:val="0"/>
          <w:color w:val="auto"/>
          <w:spacing w:val="7"/>
          <w:kern w:val="0"/>
          <w:sz w:val="20"/>
          <w:szCs w:val="20"/>
          <w:highlight w:val="none"/>
          <w:u w:val="single"/>
          <w:lang w:val="en-US" w:eastAsia="zh-CN" w:bidi="ar-SA"/>
        </w:rPr>
        <w:t>参考本合同通用条款15.4的相关约定，以竣工结算审核意见为准。</w:t>
      </w:r>
      <w:r>
        <w:rPr>
          <w:rFonts w:hint="eastAsia" w:ascii="宋体" w:hAnsi="宋体" w:eastAsia="宋体" w:cs="宋体"/>
          <w:color w:val="auto"/>
          <w:spacing w:val="5"/>
          <w:sz w:val="20"/>
          <w:szCs w:val="20"/>
          <w:highlight w:val="none"/>
          <w:u w:val="single" w:color="auto"/>
        </w:rPr>
        <w:t xml:space="preserve">  </w:t>
      </w:r>
    </w:p>
    <w:p w14:paraId="7F2C9B1B">
      <w:pPr>
        <w:spacing w:before="162" w:line="360" w:lineRule="auto"/>
        <w:ind w:left="22" w:right="11" w:firstLine="432"/>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15.4.5  合同协议书约定采用单价合同形式时，因非承包人原因引起合同清单中列明的</w:t>
      </w:r>
      <w:r>
        <w:rPr>
          <w:rFonts w:hint="eastAsia" w:ascii="宋体" w:hAnsi="宋体" w:eastAsia="宋体" w:cs="宋体"/>
          <w:color w:val="auto"/>
          <w:spacing w:val="10"/>
          <w:sz w:val="20"/>
          <w:szCs w:val="20"/>
          <w:highlight w:val="none"/>
        </w:rPr>
        <w:t>工程量发生增减，且单个项目工程量变化幅度在</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5"/>
          <w:sz w:val="20"/>
          <w:szCs w:val="20"/>
          <w:highlight w:val="none"/>
        </w:rPr>
        <w:t xml:space="preserve"> </w:t>
      </w:r>
      <w:r>
        <w:rPr>
          <w:rFonts w:hint="eastAsia" w:ascii="宋体" w:hAnsi="宋体" w:eastAsia="宋体" w:cs="宋体"/>
          <w:color w:val="auto"/>
          <w:spacing w:val="10"/>
          <w:sz w:val="20"/>
          <w:szCs w:val="20"/>
          <w:highlight w:val="none"/>
        </w:rPr>
        <w:t>%以内（含）时</w:t>
      </w:r>
      <w:r>
        <w:rPr>
          <w:rFonts w:hint="eastAsia" w:ascii="宋体" w:hAnsi="宋体" w:eastAsia="宋体" w:cs="宋体"/>
          <w:color w:val="auto"/>
          <w:spacing w:val="9"/>
          <w:sz w:val="20"/>
          <w:szCs w:val="20"/>
          <w:highlight w:val="none"/>
        </w:rPr>
        <w:t>，应执行合同清单中列明的该项目的单价；单个项目工程量变化幅度在</w:t>
      </w:r>
      <w:r>
        <w:rPr>
          <w:rFonts w:hint="eastAsia" w:ascii="宋体" w:hAnsi="宋体" w:eastAsia="宋体" w:cs="宋体"/>
          <w:color w:val="auto"/>
          <w:spacing w:val="-100"/>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5"/>
          <w:sz w:val="20"/>
          <w:szCs w:val="20"/>
          <w:highlight w:val="none"/>
        </w:rPr>
        <w:t xml:space="preserve"> </w:t>
      </w:r>
      <w:r>
        <w:rPr>
          <w:rFonts w:hint="eastAsia" w:ascii="宋体" w:hAnsi="宋体" w:eastAsia="宋体" w:cs="宋体"/>
          <w:color w:val="auto"/>
          <w:spacing w:val="9"/>
          <w:sz w:val="20"/>
          <w:szCs w:val="20"/>
          <w:highlight w:val="none"/>
        </w:rPr>
        <w:t>%以外（不含</w:t>
      </w:r>
      <w:r>
        <w:rPr>
          <w:rFonts w:hint="eastAsia" w:ascii="宋体" w:hAnsi="宋体" w:eastAsia="宋体" w:cs="宋体"/>
          <w:color w:val="auto"/>
          <w:spacing w:val="23"/>
          <w:sz w:val="20"/>
          <w:szCs w:val="20"/>
          <w:highlight w:val="none"/>
        </w:rPr>
        <w:t>），</w:t>
      </w:r>
      <w:r>
        <w:rPr>
          <w:rFonts w:hint="eastAsia" w:ascii="宋体" w:hAnsi="宋体" w:eastAsia="宋体" w:cs="宋体"/>
          <w:color w:val="auto"/>
          <w:spacing w:val="9"/>
          <w:sz w:val="20"/>
          <w:szCs w:val="20"/>
          <w:highlight w:val="none"/>
        </w:rPr>
        <w:t>且导致分部</w:t>
      </w:r>
      <w:r>
        <w:rPr>
          <w:rFonts w:hint="eastAsia" w:ascii="宋体" w:hAnsi="宋体" w:eastAsia="宋体" w:cs="宋体"/>
          <w:color w:val="auto"/>
          <w:spacing w:val="8"/>
          <w:sz w:val="20"/>
          <w:szCs w:val="20"/>
          <w:highlight w:val="none"/>
        </w:rPr>
        <w:t>分项工程费总额变化幅度超过</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lang w:val="en-US" w:eastAsia="zh-CN"/>
        </w:rPr>
        <w:t>/</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8"/>
          <w:sz w:val="20"/>
          <w:szCs w:val="20"/>
          <w:highlight w:val="none"/>
        </w:rPr>
        <w:t>%时，由承包人提出并由监理人按第</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8"/>
          <w:sz w:val="20"/>
          <w:szCs w:val="20"/>
          <w:highlight w:val="none"/>
        </w:rPr>
        <w:t>3.5</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8"/>
          <w:sz w:val="20"/>
          <w:szCs w:val="20"/>
          <w:highlight w:val="none"/>
        </w:rPr>
        <w:t>款商定或确定新的单价，该项目按修正后的新的单价计价。</w:t>
      </w:r>
    </w:p>
    <w:p w14:paraId="648D8A22">
      <w:pPr>
        <w:spacing w:before="164"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15.4.7  因变更引起价格调整的其他处理方式：</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50DBA910">
      <w:pPr>
        <w:pStyle w:val="17"/>
        <w:tabs>
          <w:tab w:val="left" w:pos="8322"/>
          <w:tab w:val="clear" w:pos="567"/>
        </w:tabs>
        <w:spacing w:before="167" w:line="360" w:lineRule="auto"/>
        <w:ind w:left="11"/>
        <w:jc w:val="left"/>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6A4D0D59">
      <w:pPr>
        <w:spacing w:before="286" w:line="360" w:lineRule="auto"/>
        <w:ind w:left="38"/>
        <w:jc w:val="left"/>
        <w:outlineLvl w:val="2"/>
        <w:rPr>
          <w:rFonts w:hint="eastAsia" w:ascii="宋体" w:hAnsi="宋体" w:eastAsia="宋体" w:cs="宋体"/>
          <w:color w:val="auto"/>
          <w:sz w:val="24"/>
          <w:szCs w:val="24"/>
          <w:highlight w:val="none"/>
        </w:rPr>
      </w:pPr>
      <w:bookmarkStart w:id="771" w:name="bookmark46"/>
      <w:bookmarkEnd w:id="771"/>
      <w:r>
        <w:rPr>
          <w:rFonts w:hint="eastAsia" w:ascii="宋体" w:hAnsi="宋体" w:eastAsia="宋体" w:cs="宋体"/>
          <w:color w:val="auto"/>
          <w:spacing w:val="-2"/>
          <w:sz w:val="24"/>
          <w:szCs w:val="24"/>
          <w:highlight w:val="none"/>
        </w:rPr>
        <w:t>15.5  承包人的合理化建议</w:t>
      </w:r>
    </w:p>
    <w:p w14:paraId="575B695A">
      <w:pPr>
        <w:spacing w:before="296"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15.5.2  对承包人提出合理化建议的奖励方法：</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280B3A7F">
      <w:pPr>
        <w:pStyle w:val="17"/>
        <w:tabs>
          <w:tab w:val="left" w:pos="8322"/>
          <w:tab w:val="clear" w:pos="567"/>
        </w:tabs>
        <w:spacing w:before="167" w:line="360" w:lineRule="auto"/>
        <w:ind w:left="11"/>
        <w:jc w:val="left"/>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129AD5BD">
      <w:pPr>
        <w:spacing w:before="286" w:line="360" w:lineRule="auto"/>
        <w:ind w:left="38"/>
        <w:jc w:val="left"/>
        <w:outlineLvl w:val="2"/>
        <w:rPr>
          <w:rFonts w:hint="eastAsia" w:ascii="宋体" w:hAnsi="宋体" w:eastAsia="宋体" w:cs="宋体"/>
          <w:color w:val="auto"/>
          <w:sz w:val="24"/>
          <w:szCs w:val="24"/>
          <w:highlight w:val="none"/>
        </w:rPr>
      </w:pPr>
      <w:bookmarkStart w:id="772" w:name="bookmark47"/>
      <w:bookmarkEnd w:id="772"/>
      <w:r>
        <w:rPr>
          <w:rFonts w:hint="eastAsia" w:ascii="宋体" w:hAnsi="宋体" w:eastAsia="宋体" w:cs="宋体"/>
          <w:color w:val="auto"/>
          <w:spacing w:val="-6"/>
          <w:sz w:val="24"/>
          <w:szCs w:val="24"/>
          <w:highlight w:val="none"/>
        </w:rPr>
        <w:t>15.7</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rPr>
        <w:t>计日工</w:t>
      </w:r>
    </w:p>
    <w:p w14:paraId="15E58583">
      <w:pPr>
        <w:spacing w:before="293"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15.7.1  计日工合同单价指：</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5BD87530">
      <w:pPr>
        <w:spacing w:before="289" w:line="360" w:lineRule="auto"/>
        <w:ind w:left="38"/>
        <w:jc w:val="left"/>
        <w:outlineLvl w:val="2"/>
        <w:rPr>
          <w:rFonts w:hint="eastAsia" w:ascii="宋体" w:hAnsi="宋体" w:eastAsia="宋体" w:cs="宋体"/>
          <w:color w:val="auto"/>
          <w:sz w:val="24"/>
          <w:szCs w:val="24"/>
          <w:highlight w:val="none"/>
        </w:rPr>
      </w:pPr>
      <w:bookmarkStart w:id="773" w:name="bookmark48"/>
      <w:bookmarkEnd w:id="773"/>
      <w:r>
        <w:rPr>
          <w:rFonts w:hint="eastAsia" w:ascii="宋体" w:hAnsi="宋体" w:eastAsia="宋体" w:cs="宋体"/>
          <w:color w:val="auto"/>
          <w:spacing w:val="-7"/>
          <w:sz w:val="24"/>
          <w:szCs w:val="24"/>
          <w:highlight w:val="none"/>
        </w:rPr>
        <w:t>15.8</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7"/>
          <w:sz w:val="24"/>
          <w:szCs w:val="24"/>
          <w:highlight w:val="none"/>
        </w:rPr>
        <w:t>暂估价</w:t>
      </w:r>
    </w:p>
    <w:p w14:paraId="2580B12D">
      <w:pPr>
        <w:spacing w:before="296" w:line="360" w:lineRule="auto"/>
        <w:ind w:left="21" w:right="11" w:firstLine="433"/>
        <w:jc w:val="left"/>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15.8.1  按合同约定应当由发包人和承包人采用招标方式选择专项供应商或专业分包</w:t>
      </w:r>
      <w:r>
        <w:rPr>
          <w:rFonts w:hint="eastAsia" w:ascii="宋体" w:hAnsi="宋体" w:eastAsia="宋体" w:cs="宋体"/>
          <w:color w:val="auto"/>
          <w:spacing w:val="2"/>
          <w:sz w:val="20"/>
          <w:szCs w:val="20"/>
          <w:highlight w:val="none"/>
        </w:rPr>
        <w:t>人的：</w:t>
      </w:r>
    </w:p>
    <w:p w14:paraId="567A58C2">
      <w:pPr>
        <w:spacing w:before="2" w:line="360" w:lineRule="auto"/>
        <w:ind w:left="445" w:right="12" w:firstLine="4"/>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（4）承包人报送招标计划期限：</w:t>
      </w:r>
      <w:r>
        <w:rPr>
          <w:rFonts w:hint="eastAsia" w:ascii="宋体" w:hAnsi="宋体" w:eastAsia="宋体" w:cs="宋体"/>
          <w:color w:val="auto"/>
          <w:spacing w:val="7"/>
          <w:sz w:val="20"/>
          <w:szCs w:val="20"/>
          <w:highlight w:val="none"/>
          <w:u w:val="single"/>
        </w:rPr>
        <w:t>提前至少60天</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
          <w:sz w:val="20"/>
          <w:szCs w:val="20"/>
          <w:highlight w:val="none"/>
        </w:rPr>
        <w:t>发包人审批招标工作计划时限：</w:t>
      </w:r>
      <w:r>
        <w:rPr>
          <w:rFonts w:hint="eastAsia" w:ascii="宋体" w:hAnsi="宋体" w:eastAsia="宋体" w:cs="宋体"/>
          <w:color w:val="auto"/>
          <w:spacing w:val="7"/>
          <w:sz w:val="20"/>
          <w:szCs w:val="20"/>
          <w:highlight w:val="none"/>
          <w:u w:val="single"/>
        </w:rPr>
        <w:t>报送招标工作计划7天内</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z w:val="20"/>
          <w:szCs w:val="20"/>
          <w:highlight w:val="none"/>
          <w:u w:val="single" w:color="auto"/>
        </w:rPr>
        <w:t xml:space="preserve">                                                </w:t>
      </w:r>
    </w:p>
    <w:p w14:paraId="4B7FBB52">
      <w:pPr>
        <w:spacing w:before="158" w:line="360" w:lineRule="auto"/>
        <w:ind w:left="445" w:right="12" w:firstLine="4"/>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（5）承包人报送相关文件时限：</w:t>
      </w:r>
      <w:r>
        <w:rPr>
          <w:rFonts w:hint="eastAsia" w:ascii="宋体" w:hAnsi="宋体" w:eastAsia="宋体" w:cs="宋体"/>
          <w:color w:val="auto"/>
          <w:spacing w:val="7"/>
          <w:sz w:val="20"/>
          <w:szCs w:val="20"/>
          <w:highlight w:val="none"/>
          <w:u w:val="single"/>
        </w:rPr>
        <w:t>提前至少30天</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rPr>
        <w:t>发包人审批相关文件时限：</w:t>
      </w:r>
      <w:r>
        <w:rPr>
          <w:rFonts w:hint="eastAsia" w:ascii="宋体" w:hAnsi="宋体" w:eastAsia="宋体" w:cs="宋体"/>
          <w:color w:val="auto"/>
          <w:spacing w:val="7"/>
          <w:sz w:val="20"/>
          <w:szCs w:val="20"/>
          <w:highlight w:val="none"/>
          <w:u w:val="single"/>
        </w:rPr>
        <w:t>收到报送相关文件14天内</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564C3623">
      <w:pPr>
        <w:spacing w:before="163" w:line="360" w:lineRule="auto"/>
        <w:ind w:left="439" w:right="12" w:firstLine="10"/>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（10）承包人申报合同文件时限：</w:t>
      </w:r>
      <w:r>
        <w:rPr>
          <w:rFonts w:hint="eastAsia" w:ascii="宋体" w:hAnsi="宋体" w:eastAsia="宋体" w:cs="宋体"/>
          <w:color w:val="auto"/>
          <w:spacing w:val="7"/>
          <w:sz w:val="20"/>
          <w:szCs w:val="20"/>
          <w:highlight w:val="none"/>
          <w:u w:val="single"/>
        </w:rPr>
        <w:t>订立合同前7日内</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rPr>
        <w:t>发包人审批合同文件时限：</w:t>
      </w:r>
      <w:r>
        <w:rPr>
          <w:rFonts w:hint="eastAsia" w:ascii="宋体" w:hAnsi="宋体" w:eastAsia="宋体" w:cs="宋体"/>
          <w:color w:val="auto"/>
          <w:spacing w:val="7"/>
          <w:sz w:val="20"/>
          <w:szCs w:val="20"/>
          <w:highlight w:val="none"/>
          <w:u w:val="single"/>
        </w:rPr>
        <w:t>收到相关文件后7日内</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
          <w:sz w:val="20"/>
          <w:szCs w:val="20"/>
          <w:highlight w:val="none"/>
        </w:rPr>
        <w:t>承包人报送正式签订合同副本时限：</w:t>
      </w:r>
      <w:r>
        <w:rPr>
          <w:rFonts w:hint="eastAsia" w:ascii="宋体" w:hAnsi="宋体" w:eastAsia="宋体" w:cs="宋体"/>
          <w:color w:val="auto"/>
          <w:spacing w:val="7"/>
          <w:sz w:val="20"/>
          <w:szCs w:val="20"/>
          <w:highlight w:val="none"/>
          <w:u w:val="single"/>
        </w:rPr>
        <w:t>订立合同后7日内</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z w:val="20"/>
          <w:szCs w:val="20"/>
          <w:highlight w:val="none"/>
          <w:u w:val="single" w:color="auto"/>
        </w:rPr>
        <w:t xml:space="preserve">                                            </w:t>
      </w:r>
    </w:p>
    <w:p w14:paraId="632F9215">
      <w:pPr>
        <w:pStyle w:val="17"/>
        <w:spacing w:line="360" w:lineRule="auto"/>
        <w:ind w:firstLine="444" w:firstLineChars="200"/>
        <w:jc w:val="left"/>
        <w:rPr>
          <w:rFonts w:hint="eastAsia" w:ascii="宋体" w:hAnsi="宋体" w:eastAsia="宋体" w:cs="宋体"/>
          <w:snapToGrid w:val="0"/>
          <w:color w:val="auto"/>
          <w:spacing w:val="7"/>
          <w:kern w:val="0"/>
          <w:sz w:val="20"/>
          <w:szCs w:val="20"/>
          <w:highlight w:val="none"/>
          <w:u w:val="single"/>
          <w:lang w:val="en-US" w:eastAsia="en-US" w:bidi="ar-SA"/>
        </w:rPr>
      </w:pPr>
      <w:r>
        <w:rPr>
          <w:rFonts w:hint="eastAsia" w:ascii="宋体" w:hAnsi="宋体" w:eastAsia="宋体" w:cs="宋体"/>
          <w:color w:val="auto"/>
          <w:spacing w:val="11"/>
          <w:sz w:val="20"/>
          <w:szCs w:val="20"/>
          <w:highlight w:val="none"/>
        </w:rPr>
        <w:t>15.8.3  发包人在工程量清单中给定暂估价的专业工程不属于依法必须招标的范围或</w:t>
      </w:r>
      <w:r>
        <w:rPr>
          <w:rFonts w:hint="eastAsia" w:ascii="宋体" w:hAnsi="宋体" w:eastAsia="宋体" w:cs="宋体"/>
          <w:color w:val="auto"/>
          <w:spacing w:val="2"/>
          <w:sz w:val="20"/>
          <w:szCs w:val="20"/>
          <w:highlight w:val="none"/>
        </w:rPr>
        <w:t>者未达到依法必须招标的规模标准的，其最终价格的估价人为：</w:t>
      </w:r>
      <w:r>
        <w:rPr>
          <w:rFonts w:hint="eastAsia" w:ascii="宋体" w:hAnsi="宋体" w:eastAsia="宋体" w:cs="宋体"/>
          <w:snapToGrid w:val="0"/>
          <w:color w:val="auto"/>
          <w:spacing w:val="7"/>
          <w:kern w:val="0"/>
          <w:sz w:val="20"/>
          <w:szCs w:val="20"/>
          <w:highlight w:val="none"/>
          <w:u w:val="single"/>
          <w:lang w:val="en-US" w:eastAsia="en-US" w:bidi="ar-SA"/>
        </w:rPr>
        <w:t xml:space="preserve"> 发包人聘请的第三方造价咨询机构 </w:t>
      </w:r>
      <w:r>
        <w:rPr>
          <w:rFonts w:hint="eastAsia" w:ascii="宋体" w:hAnsi="宋体" w:eastAsia="宋体" w:cs="宋体"/>
          <w:color w:val="auto"/>
          <w:spacing w:val="-82"/>
          <w:sz w:val="20"/>
          <w:szCs w:val="20"/>
          <w:highlight w:val="none"/>
        </w:rPr>
        <w:t xml:space="preserve"> </w:t>
      </w:r>
      <w:r>
        <w:rPr>
          <w:rFonts w:hint="eastAsia" w:ascii="宋体" w:hAnsi="宋体" w:eastAsia="宋体" w:cs="宋体"/>
          <w:color w:val="auto"/>
          <w:spacing w:val="2"/>
          <w:sz w:val="20"/>
          <w:szCs w:val="20"/>
          <w:highlight w:val="none"/>
        </w:rPr>
        <w:t>或</w:t>
      </w:r>
      <w:r>
        <w:rPr>
          <w:rFonts w:hint="eastAsia" w:ascii="宋体" w:hAnsi="宋体" w:eastAsia="宋体" w:cs="宋体"/>
          <w:color w:val="auto"/>
          <w:spacing w:val="4"/>
          <w:sz w:val="20"/>
          <w:szCs w:val="20"/>
          <w:highlight w:val="none"/>
        </w:rPr>
        <w:t>者按照下列约定：</w:t>
      </w:r>
      <w:r>
        <w:rPr>
          <w:rFonts w:hint="eastAsia" w:ascii="宋体" w:hAnsi="宋体" w:eastAsia="宋体" w:cs="宋体"/>
          <w:snapToGrid w:val="0"/>
          <w:color w:val="auto"/>
          <w:spacing w:val="7"/>
          <w:kern w:val="0"/>
          <w:sz w:val="20"/>
          <w:szCs w:val="20"/>
          <w:highlight w:val="none"/>
          <w:u w:val="single"/>
          <w:lang w:val="en-US" w:eastAsia="en-US" w:bidi="ar-SA"/>
        </w:rPr>
        <w:t xml:space="preserve"> 按《建设工程工程量清单计价规范》(GB/T50500-2024)调整原则</w:t>
      </w:r>
      <w:r>
        <w:rPr>
          <w:rFonts w:hint="eastAsia" w:ascii="宋体" w:hAnsi="宋体" w:eastAsia="宋体" w:cs="宋体"/>
          <w:snapToGrid w:val="0"/>
          <w:color w:val="auto"/>
          <w:spacing w:val="7"/>
          <w:kern w:val="0"/>
          <w:sz w:val="20"/>
          <w:szCs w:val="20"/>
          <w:highlight w:val="none"/>
          <w:u w:val="single"/>
          <w:lang w:val="en-US" w:eastAsia="zh-CN" w:bidi="ar-SA"/>
        </w:rPr>
        <w:t>。</w:t>
      </w:r>
    </w:p>
    <w:p w14:paraId="16DAB19A">
      <w:pPr>
        <w:spacing w:before="91" w:line="360" w:lineRule="auto"/>
        <w:ind w:left="43"/>
        <w:jc w:val="left"/>
        <w:outlineLvl w:val="1"/>
        <w:rPr>
          <w:rFonts w:hint="eastAsia" w:ascii="宋体" w:hAnsi="宋体" w:eastAsia="宋体" w:cs="宋体"/>
          <w:color w:val="auto"/>
          <w:sz w:val="28"/>
          <w:szCs w:val="28"/>
          <w:highlight w:val="none"/>
        </w:rPr>
      </w:pPr>
      <w:bookmarkStart w:id="774" w:name="bookmark49"/>
      <w:bookmarkEnd w:id="774"/>
      <w:r>
        <w:rPr>
          <w:rFonts w:hint="eastAsia" w:ascii="宋体" w:hAnsi="宋体" w:eastAsia="宋体" w:cs="宋体"/>
          <w:color w:val="auto"/>
          <w:spacing w:val="-5"/>
          <w:sz w:val="28"/>
          <w:szCs w:val="28"/>
          <w:highlight w:val="none"/>
        </w:rPr>
        <w:t>16.价格调整</w:t>
      </w:r>
    </w:p>
    <w:p w14:paraId="1CC50CFB">
      <w:pPr>
        <w:pStyle w:val="17"/>
        <w:spacing w:line="360" w:lineRule="auto"/>
        <w:jc w:val="left"/>
        <w:rPr>
          <w:rFonts w:hint="eastAsia" w:ascii="宋体" w:hAnsi="宋体" w:eastAsia="宋体" w:cs="宋体"/>
          <w:color w:val="auto"/>
          <w:highlight w:val="none"/>
        </w:rPr>
      </w:pPr>
    </w:p>
    <w:p w14:paraId="2708A6B1">
      <w:pPr>
        <w:spacing w:before="78"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16.1  物价波动引起的价格调整</w:t>
      </w:r>
    </w:p>
    <w:p w14:paraId="45BD5149">
      <w:pPr>
        <w:spacing w:before="299" w:line="360" w:lineRule="auto"/>
        <w:ind w:left="439"/>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物价波动引起价格调整方法：</w:t>
      </w:r>
      <w:r>
        <w:rPr>
          <w:rFonts w:hint="eastAsia" w:ascii="宋体" w:hAnsi="宋体" w:eastAsia="宋体" w:cs="宋体"/>
          <w:color w:val="auto"/>
          <w:spacing w:val="7"/>
          <w:sz w:val="20"/>
          <w:szCs w:val="20"/>
          <w:highlight w:val="none"/>
          <w:u w:val="single"/>
        </w:rPr>
        <w:t>采用造价信息调整价格差额，按月度完成量据实调整</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p>
    <w:p w14:paraId="5CD379B3">
      <w:pPr>
        <w:spacing w:before="162"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16.1.2  采用造价信息调整价格差额</w:t>
      </w:r>
    </w:p>
    <w:p w14:paraId="360FD69F">
      <w:pPr>
        <w:spacing w:before="162"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16.1.2.1  引起价格调整的物价波动风险范围及幅度</w:t>
      </w:r>
    </w:p>
    <w:p w14:paraId="1F3A3E88">
      <w:pPr>
        <w:spacing w:before="164"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引起价格调整的物价波动风险范围：</w:t>
      </w:r>
      <w:r>
        <w:rPr>
          <w:rFonts w:hint="eastAsia" w:ascii="宋体" w:hAnsi="宋体" w:eastAsia="宋体" w:cs="宋体"/>
          <w:color w:val="auto"/>
          <w:spacing w:val="7"/>
          <w:sz w:val="20"/>
          <w:szCs w:val="20"/>
          <w:highlight w:val="none"/>
          <w:u w:val="single"/>
        </w:rPr>
        <w:t>主要材料(钢筋、混凝土、电缆)及人工风险</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6E6E9E09">
      <w:pPr>
        <w:spacing w:before="162"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引起价格调整的物价波动风险幅度：</w:t>
      </w:r>
      <w:r>
        <w:rPr>
          <w:rFonts w:hint="eastAsia" w:ascii="宋体" w:hAnsi="宋体" w:eastAsia="宋体" w:cs="宋体"/>
          <w:color w:val="auto"/>
          <w:spacing w:val="7"/>
          <w:sz w:val="20"/>
          <w:szCs w:val="20"/>
          <w:highlight w:val="none"/>
          <w:u w:val="single"/>
        </w:rPr>
        <w:t>±6%</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 xml:space="preserve">         </w:t>
      </w:r>
    </w:p>
    <w:p w14:paraId="7D3A368B">
      <w:pPr>
        <w:spacing w:before="162"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16.1.2.2   物价波动引起价格调整的风险幅度的计算方法</w:t>
      </w:r>
    </w:p>
    <w:p w14:paraId="55096C34">
      <w:pPr>
        <w:spacing w:before="162" w:line="360" w:lineRule="auto"/>
        <w:ind w:left="658"/>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（1）投标报价基准期：</w:t>
      </w:r>
      <w:r>
        <w:rPr>
          <w:rFonts w:hint="eastAsia" w:ascii="宋体" w:hAnsi="宋体" w:eastAsia="宋体" w:cs="宋体"/>
          <w:color w:val="auto"/>
          <w:spacing w:val="-7"/>
          <w:sz w:val="20"/>
          <w:szCs w:val="20"/>
          <w:highlight w:val="none"/>
          <w:u w:val="single" w:color="auto"/>
        </w:rPr>
        <w:t>2025</w:t>
      </w:r>
      <w:r>
        <w:rPr>
          <w:rFonts w:hint="eastAsia" w:ascii="宋体" w:hAnsi="宋体" w:eastAsia="宋体" w:cs="宋体"/>
          <w:color w:val="auto"/>
          <w:spacing w:val="-80"/>
          <w:sz w:val="20"/>
          <w:szCs w:val="20"/>
          <w:highlight w:val="none"/>
        </w:rPr>
        <w:t xml:space="preserve"> </w:t>
      </w:r>
      <w:r>
        <w:rPr>
          <w:rFonts w:hint="eastAsia" w:ascii="宋体" w:hAnsi="宋体" w:eastAsia="宋体" w:cs="宋体"/>
          <w:color w:val="auto"/>
          <w:spacing w:val="5"/>
          <w:sz w:val="20"/>
          <w:szCs w:val="20"/>
          <w:highlight w:val="none"/>
        </w:rPr>
        <w:t>年</w:t>
      </w:r>
      <w:r>
        <w:rPr>
          <w:rFonts w:hint="eastAsia" w:ascii="宋体" w:hAnsi="宋体" w:eastAsia="宋体" w:cs="宋体"/>
          <w:color w:val="auto"/>
          <w:spacing w:val="-7"/>
          <w:sz w:val="20"/>
          <w:szCs w:val="20"/>
          <w:highlight w:val="none"/>
          <w:u w:val="single" w:color="auto"/>
          <w:lang w:val="en-US" w:eastAsia="zh-CN"/>
        </w:rPr>
        <w:t>10</w:t>
      </w:r>
      <w:r>
        <w:rPr>
          <w:rFonts w:hint="eastAsia" w:ascii="宋体" w:hAnsi="宋体" w:eastAsia="宋体" w:cs="宋体"/>
          <w:color w:val="auto"/>
          <w:sz w:val="20"/>
          <w:szCs w:val="20"/>
          <w:highlight w:val="none"/>
        </w:rPr>
        <w:t>月</w:t>
      </w:r>
      <w:r>
        <w:rPr>
          <w:rFonts w:hint="eastAsia" w:ascii="宋体" w:hAnsi="宋体" w:eastAsia="宋体" w:cs="宋体"/>
          <w:color w:val="auto"/>
          <w:spacing w:val="5"/>
          <w:sz w:val="20"/>
          <w:szCs w:val="20"/>
          <w:highlight w:val="none"/>
        </w:rPr>
        <w:t>。</w:t>
      </w:r>
    </w:p>
    <w:p w14:paraId="305653A1">
      <w:pPr>
        <w:spacing w:before="162" w:line="360" w:lineRule="auto"/>
        <w:ind w:left="658"/>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 xml:space="preserve">（2）《北京工程造价信息》中工程造价信息价没有的，基准价的确定方法： </w:t>
      </w:r>
      <w:r>
        <w:rPr>
          <w:rFonts w:hint="eastAsia" w:ascii="宋体" w:hAnsi="宋体" w:eastAsia="宋体" w:cs="宋体"/>
          <w:color w:val="auto"/>
          <w:spacing w:val="7"/>
          <w:sz w:val="20"/>
          <w:szCs w:val="20"/>
          <w:highlight w:val="none"/>
          <w:u w:val="single"/>
        </w:rPr>
        <w:t>造价信息价格缺项时，应以发包人、承包人共同确认的市场价格为依据确定</w:t>
      </w:r>
      <w:r>
        <w:rPr>
          <w:rFonts w:hint="eastAsia" w:ascii="宋体" w:hAnsi="宋体" w:eastAsia="宋体" w:cs="宋体"/>
          <w:color w:val="auto"/>
          <w:spacing w:val="7"/>
          <w:sz w:val="20"/>
          <w:szCs w:val="20"/>
          <w:highlight w:val="none"/>
          <w:u w:val="single"/>
          <w:lang w:eastAsia="zh-CN"/>
        </w:rPr>
        <w:t>。</w:t>
      </w:r>
    </w:p>
    <w:p w14:paraId="15A6E50E">
      <w:pPr>
        <w:spacing w:before="162" w:line="360" w:lineRule="auto"/>
        <w:ind w:left="658"/>
        <w:jc w:val="left"/>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8"/>
          <w:sz w:val="20"/>
          <w:szCs w:val="20"/>
          <w:highlight w:val="none"/>
        </w:rPr>
        <w:t>（3）合同履行期间价格的确定方法：</w:t>
      </w:r>
      <w:r>
        <w:rPr>
          <w:rFonts w:hint="eastAsia" w:ascii="宋体" w:hAnsi="宋体" w:eastAsia="宋体" w:cs="宋体"/>
          <w:color w:val="auto"/>
          <w:spacing w:val="7"/>
          <w:sz w:val="20"/>
          <w:szCs w:val="20"/>
          <w:highlight w:val="none"/>
          <w:u w:val="single"/>
        </w:rPr>
        <w:t>应以发包人、承包人共同确认的价格为准。若发包人、承包人未能就施工期市场价格达成一致，可以参考施工期的造价信息价格</w:t>
      </w:r>
      <w:r>
        <w:rPr>
          <w:rFonts w:hint="eastAsia" w:ascii="宋体" w:hAnsi="宋体" w:eastAsia="宋体" w:cs="宋体"/>
          <w:color w:val="auto"/>
          <w:spacing w:val="7"/>
          <w:sz w:val="20"/>
          <w:szCs w:val="20"/>
          <w:highlight w:val="none"/>
          <w:u w:val="single"/>
          <w:lang w:eastAsia="zh-CN"/>
        </w:rPr>
        <w:t>。</w:t>
      </w:r>
    </w:p>
    <w:p w14:paraId="719CEFE2">
      <w:pPr>
        <w:spacing w:before="164" w:line="360" w:lineRule="auto"/>
        <w:ind w:left="658"/>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（4）风险幅度的计算方法：</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77280D1F">
      <w:pPr>
        <w:spacing w:before="162"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16.1.2.3  物价波动引起价格调整的方法</w:t>
      </w:r>
    </w:p>
    <w:p w14:paraId="7DC2CFF4">
      <w:pPr>
        <w:spacing w:before="163" w:line="360" w:lineRule="auto"/>
        <w:ind w:left="658"/>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（1）价格调整方法：</w:t>
      </w:r>
    </w:p>
    <w:p w14:paraId="167C50B8">
      <w:pPr>
        <w:pStyle w:val="17"/>
        <w:tabs>
          <w:tab w:val="left" w:pos="8322"/>
          <w:tab w:val="clear" w:pos="567"/>
        </w:tabs>
        <w:spacing w:before="169" w:line="360" w:lineRule="auto"/>
        <w:ind w:left="640"/>
        <w:jc w:val="left"/>
        <w:rPr>
          <w:rFonts w:hint="eastAsia" w:ascii="宋体" w:hAnsi="宋体" w:eastAsia="宋体" w:cs="宋体"/>
          <w:color w:val="auto"/>
          <w:highlight w:val="none"/>
        </w:rPr>
      </w:pPr>
      <w:r>
        <w:rPr>
          <w:rFonts w:hint="eastAsia" w:ascii="宋体" w:hAnsi="宋体" w:eastAsia="宋体" w:cs="宋体"/>
          <w:snapToGrid w:val="0"/>
          <w:color w:val="auto"/>
          <w:spacing w:val="7"/>
          <w:kern w:val="0"/>
          <w:sz w:val="20"/>
          <w:szCs w:val="20"/>
          <w:highlight w:val="none"/>
          <w:u w:val="single"/>
          <w:lang w:val="en-US" w:eastAsia="en-US" w:bidi="ar-SA"/>
        </w:rPr>
        <w:t>本工程单价调整方法采用加权平均法</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1.依据本章17.1.3项约定所确定的计量周期以及本章专用部分16.1.2.1中约定的能够引起价格调整的物价波动风险范围和幅度</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2.第16.1.2.1中约定的人工的物价波动变化幅度超过风险幅度时，应当计算全部价格差额</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其价格差额由发包人承担或受益，价格差额只计取税金</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3.第16.1.2.1中约定的材料的物价波动变化幅度超过风险幅度时，应当计算超过部分的价格差额，其价格差额由发包人承担或受益，价格差额只计取税金</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4.人工、材料消耗量的确定</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(1)当承包人报价中的人工、材料消耗量低于《北京市房屋修缮工程计价依据——预算消耗量标准》（2021 年）相应定额消耗量时，以承包人报价中的消耗量为计量依据</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(2)当承包人报价中的人工、材料消耗量高于《北京市房屋修缮工程计价依据——预算消耗量标准》（2021 年）相应定额消耗量时，以定额消耗量为计量依据</w:t>
      </w:r>
      <w:r>
        <w:rPr>
          <w:rFonts w:hint="eastAsia" w:ascii="宋体" w:hAnsi="宋体" w:eastAsia="宋体" w:cs="宋体"/>
          <w:snapToGrid w:val="0"/>
          <w:color w:val="auto"/>
          <w:spacing w:val="7"/>
          <w:kern w:val="0"/>
          <w:sz w:val="20"/>
          <w:szCs w:val="20"/>
          <w:highlight w:val="none"/>
          <w:u w:val="single"/>
          <w:lang w:val="en-US" w:eastAsia="zh-CN" w:bidi="ar-SA"/>
        </w:rPr>
        <w:t>；</w:t>
      </w:r>
      <w:r>
        <w:rPr>
          <w:rFonts w:hint="eastAsia" w:ascii="宋体" w:hAnsi="宋体" w:eastAsia="宋体" w:cs="宋体"/>
          <w:snapToGrid w:val="0"/>
          <w:color w:val="auto"/>
          <w:spacing w:val="7"/>
          <w:kern w:val="0"/>
          <w:sz w:val="20"/>
          <w:szCs w:val="20"/>
          <w:highlight w:val="none"/>
          <w:u w:val="single"/>
          <w:lang w:val="en-US" w:eastAsia="en-US" w:bidi="ar-SA"/>
        </w:rPr>
        <w:t>(3)对于没有相应或相近定额的项目，以施工现场实际测定消耗量为依据(并经承包人认可 ) 。</w:t>
      </w:r>
      <w:r>
        <w:rPr>
          <w:rFonts w:hint="eastAsia" w:ascii="宋体" w:hAnsi="宋体" w:eastAsia="宋体" w:cs="宋体"/>
          <w:color w:val="auto"/>
          <w:highlight w:val="none"/>
          <w:u w:val="single" w:color="auto"/>
        </w:rPr>
        <w:tab/>
      </w:r>
    </w:p>
    <w:p w14:paraId="2ACD6A52">
      <w:pPr>
        <w:spacing w:before="162" w:line="360" w:lineRule="auto"/>
        <w:ind w:left="664"/>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16.1.2.4  其他约定：</w:t>
      </w:r>
      <w:r>
        <w:rPr>
          <w:rFonts w:hint="eastAsia" w:ascii="宋体" w:hAnsi="宋体" w:eastAsia="宋体" w:cs="宋体"/>
          <w:color w:val="auto"/>
          <w:spacing w:val="7"/>
          <w:sz w:val="20"/>
          <w:szCs w:val="20"/>
          <w:highlight w:val="none"/>
          <w:u w:val="single"/>
        </w:rPr>
        <w:t>风险范围以外的措施项目费的调整方法</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1.措施项目：以项计量的措施项目费用结算时不再调整</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rPr>
        <w:t>2.措施项目如有整项不发生的，该项费用金额整项扣除</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z w:val="20"/>
          <w:szCs w:val="20"/>
          <w:highlight w:val="none"/>
          <w:u w:val="single" w:color="auto"/>
        </w:rPr>
        <w:t xml:space="preserve">                                                        </w:t>
      </w:r>
    </w:p>
    <w:p w14:paraId="6F982957">
      <w:pPr>
        <w:spacing w:before="159"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16.1.3  其他价格调整方法</w:t>
      </w:r>
    </w:p>
    <w:p w14:paraId="1636D6F9">
      <w:pPr>
        <w:pStyle w:val="17"/>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3393B5C">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278130</wp:posOffset>
                </wp:positionH>
                <wp:positionV relativeFrom="paragraph">
                  <wp:posOffset>37465</wp:posOffset>
                </wp:positionV>
                <wp:extent cx="5008880" cy="6350"/>
                <wp:effectExtent l="0" t="0" r="0" b="0"/>
                <wp:wrapNone/>
                <wp:docPr id="92" name="任意多边形 92"/>
                <wp:cNvGraphicFramePr/>
                <a:graphic xmlns:a="http://schemas.openxmlformats.org/drawingml/2006/main">
                  <a:graphicData uri="http://schemas.microsoft.com/office/word/2010/wordprocessingShape">
                    <wps:wsp>
                      <wps:cNvSpPr/>
                      <wps:spPr>
                        <a:xfrm>
                          <a:off x="0" y="0"/>
                          <a:ext cx="5008880" cy="6350"/>
                        </a:xfrm>
                        <a:custGeom>
                          <a:avLst/>
                          <a:gdLst/>
                          <a:ahLst/>
                          <a:cxnLst/>
                          <a:pathLst>
                            <a:path w="7887" h="10">
                              <a:moveTo>
                                <a:pt x="0" y="4"/>
                              </a:moveTo>
                              <a:lnTo>
                                <a:pt x="788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9pt;margin-top:2.95pt;height:0.5pt;width:394.4pt;z-index:251660288;mso-width-relative:page;mso-height-relative:page;" filled="f" stroked="t" coordsize="7887,10" o:gfxdata="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TmJl9UAAAAGAQAADwAAAAAAAAABACAAAAAiAAAAZHJzL2Rv&#10;d25yZXYueG1sUEsBAhQAFAAAAAgAh07iQG8T6Vo9AgAAmAQAAA4AAAAAAAAAAQAgAAAAJAEAAGRy&#10;cy9lMm9Eb2MueG1sUEsFBgAAAAAGAAYAWQEAANMFAAAAAA==&#10;" path="m0,4l7887,4e">
                <v:fill on="f" focussize="0,0"/>
                <v:stroke weight="0.48pt" color="#000000" joinstyle="bevel"/>
                <v:imagedata o:title=""/>
                <o:lock v:ext="edit" aspectratio="f"/>
              </v:shape>
            </w:pict>
          </mc:Fallback>
        </mc:AlternateContent>
      </w:r>
    </w:p>
    <w:p w14:paraId="3F7280CC">
      <w:pPr>
        <w:spacing w:before="92" w:line="360" w:lineRule="auto"/>
        <w:ind w:left="43"/>
        <w:jc w:val="left"/>
        <w:outlineLvl w:val="1"/>
        <w:rPr>
          <w:rFonts w:hint="eastAsia" w:ascii="宋体" w:hAnsi="宋体" w:eastAsia="宋体" w:cs="宋体"/>
          <w:color w:val="auto"/>
          <w:sz w:val="28"/>
          <w:szCs w:val="28"/>
          <w:highlight w:val="none"/>
        </w:rPr>
      </w:pPr>
      <w:bookmarkStart w:id="775" w:name="bookmark50"/>
      <w:bookmarkEnd w:id="775"/>
      <w:r>
        <w:rPr>
          <w:rFonts w:hint="eastAsia" w:ascii="宋体" w:hAnsi="宋体" w:eastAsia="宋体" w:cs="宋体"/>
          <w:color w:val="auto"/>
          <w:spacing w:val="-4"/>
          <w:sz w:val="28"/>
          <w:szCs w:val="28"/>
          <w:highlight w:val="none"/>
        </w:rPr>
        <w:t>17.计量与支付</w:t>
      </w:r>
    </w:p>
    <w:p w14:paraId="5F76E611">
      <w:pPr>
        <w:pStyle w:val="17"/>
        <w:spacing w:line="360" w:lineRule="auto"/>
        <w:jc w:val="left"/>
        <w:rPr>
          <w:rFonts w:hint="eastAsia" w:ascii="宋体" w:hAnsi="宋体" w:eastAsia="宋体" w:cs="宋体"/>
          <w:color w:val="auto"/>
          <w:highlight w:val="none"/>
        </w:rPr>
      </w:pPr>
    </w:p>
    <w:p w14:paraId="049F5345">
      <w:pPr>
        <w:spacing w:before="78"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计量</w:t>
      </w:r>
    </w:p>
    <w:p w14:paraId="5B7222CB">
      <w:pPr>
        <w:spacing w:before="295"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17.1.3  计量周期</w:t>
      </w:r>
    </w:p>
    <w:p w14:paraId="00579600">
      <w:pPr>
        <w:spacing w:before="160" w:line="360" w:lineRule="auto"/>
        <w:ind w:left="440"/>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本工程的计量周期：</w:t>
      </w:r>
      <w:r>
        <w:rPr>
          <w:rFonts w:hint="eastAsia" w:ascii="宋体" w:hAnsi="宋体" w:eastAsia="宋体" w:cs="宋体"/>
          <w:color w:val="auto"/>
          <w:spacing w:val="4"/>
          <w:sz w:val="20"/>
          <w:szCs w:val="20"/>
          <w:highlight w:val="none"/>
          <w:u w:val="single" w:color="auto"/>
        </w:rPr>
        <w:t xml:space="preserve">                                                          </w:t>
      </w:r>
    </w:p>
    <w:p w14:paraId="2E201F39">
      <w:pPr>
        <w:spacing w:before="162" w:line="360" w:lineRule="auto"/>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（1）每月</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25</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51"/>
          <w:sz w:val="20"/>
          <w:szCs w:val="20"/>
          <w:highlight w:val="none"/>
        </w:rPr>
        <w:t xml:space="preserve"> </w:t>
      </w:r>
      <w:r>
        <w:rPr>
          <w:rFonts w:hint="eastAsia" w:ascii="宋体" w:hAnsi="宋体" w:eastAsia="宋体" w:cs="宋体"/>
          <w:color w:val="auto"/>
          <w:spacing w:val="5"/>
          <w:sz w:val="20"/>
          <w:szCs w:val="20"/>
          <w:highlight w:val="none"/>
        </w:rPr>
        <w:t>日为当月计量截止日期（不含当日）和</w:t>
      </w:r>
      <w:r>
        <w:rPr>
          <w:rFonts w:hint="eastAsia" w:ascii="宋体" w:hAnsi="宋体" w:eastAsia="宋体" w:cs="宋体"/>
          <w:color w:val="auto"/>
          <w:spacing w:val="4"/>
          <w:sz w:val="20"/>
          <w:szCs w:val="20"/>
          <w:highlight w:val="none"/>
        </w:rPr>
        <w:t>下月计量起始日期（含当日）。</w:t>
      </w:r>
    </w:p>
    <w:p w14:paraId="49B430C2">
      <w:pPr>
        <w:spacing w:before="160" w:line="360" w:lineRule="auto"/>
        <w:ind w:left="124" w:firstLine="325"/>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（2）本合同</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u w:val="single"/>
        </w:rPr>
        <w:t>不执行</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rPr>
        <w:t>（执行（采用单价合</w:t>
      </w:r>
      <w:r>
        <w:rPr>
          <w:rFonts w:hint="eastAsia" w:ascii="宋体" w:hAnsi="宋体" w:eastAsia="宋体" w:cs="宋体"/>
          <w:color w:val="auto"/>
          <w:spacing w:val="6"/>
          <w:sz w:val="20"/>
          <w:szCs w:val="20"/>
          <w:highlight w:val="none"/>
        </w:rPr>
        <w:t>同形式时）/不执行（采用总价合同形式时</w:t>
      </w:r>
      <w:r>
        <w:rPr>
          <w:rFonts w:hint="eastAsia" w:ascii="宋体" w:hAnsi="宋体" w:eastAsia="宋体" w:cs="宋体"/>
          <w:color w:val="auto"/>
          <w:spacing w:val="-7"/>
          <w:sz w:val="20"/>
          <w:szCs w:val="20"/>
          <w:highlight w:val="none"/>
        </w:rPr>
        <w:t>））</w:t>
      </w:r>
      <w:r>
        <w:rPr>
          <w:rFonts w:hint="eastAsia" w:ascii="宋体" w:hAnsi="宋体" w:eastAsia="宋体" w:cs="宋体"/>
          <w:color w:val="auto"/>
          <w:spacing w:val="8"/>
          <w:sz w:val="20"/>
          <w:szCs w:val="20"/>
          <w:highlight w:val="none"/>
        </w:rPr>
        <w:t>单价项目已完成工程量按月计量。</w:t>
      </w:r>
    </w:p>
    <w:p w14:paraId="13D8F35C">
      <w:pPr>
        <w:spacing w:before="161" w:line="360" w:lineRule="auto"/>
        <w:ind w:left="124" w:right="87" w:firstLine="325"/>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（3）总价项目计量方式采用</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7"/>
          <w:sz w:val="20"/>
          <w:szCs w:val="20"/>
          <w:highlight w:val="none"/>
          <w:u w:val="single"/>
        </w:rPr>
        <w:t xml:space="preserve">  按实际完成工程量计量  </w:t>
      </w:r>
      <w:r>
        <w:rPr>
          <w:rFonts w:hint="eastAsia" w:ascii="宋体" w:hAnsi="宋体" w:eastAsia="宋体" w:cs="宋体"/>
          <w:color w:val="auto"/>
          <w:spacing w:val="7"/>
          <w:sz w:val="20"/>
          <w:szCs w:val="20"/>
          <w:highlight w:val="none"/>
        </w:rPr>
        <w:t>（支付分解报告/</w:t>
      </w:r>
      <w:r>
        <w:rPr>
          <w:rFonts w:hint="eastAsia" w:ascii="宋体" w:hAnsi="宋体" w:eastAsia="宋体" w:cs="宋体"/>
          <w:color w:val="auto"/>
          <w:spacing w:val="6"/>
          <w:sz w:val="20"/>
          <w:szCs w:val="20"/>
          <w:highlight w:val="none"/>
        </w:rPr>
        <w:t>按实际完成工程量计量）。</w:t>
      </w:r>
    </w:p>
    <w:p w14:paraId="3A817253">
      <w:pPr>
        <w:spacing w:before="161"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17.1.5  总价项目的计量（适用于采用支付分解报告）</w:t>
      </w:r>
    </w:p>
    <w:p w14:paraId="67435194">
      <w:pPr>
        <w:spacing w:before="162" w:line="360" w:lineRule="auto"/>
        <w:ind w:left="449"/>
        <w:jc w:val="left"/>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rPr>
        <w:t>（1）采用支付分解报告计量方式的，总价项目的价格调整方法：</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p>
    <w:p w14:paraId="06D69ECB">
      <w:pPr>
        <w:spacing w:before="162"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17.1.5  总价项目的计量（适用于采</w:t>
      </w:r>
      <w:r>
        <w:rPr>
          <w:rFonts w:hint="eastAsia" w:ascii="宋体" w:hAnsi="宋体" w:eastAsia="宋体" w:cs="宋体"/>
          <w:color w:val="auto"/>
          <w:spacing w:val="7"/>
          <w:sz w:val="20"/>
          <w:szCs w:val="20"/>
          <w:highlight w:val="none"/>
        </w:rPr>
        <w:t>用按实际完成工程量计量）</w:t>
      </w:r>
    </w:p>
    <w:p w14:paraId="7B4F4788">
      <w:pPr>
        <w:spacing w:before="161"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（1）采用按实际完成工程量计量方式的,总价项目的价格调整方法：</w:t>
      </w:r>
      <w:r>
        <w:rPr>
          <w:rFonts w:hint="eastAsia" w:ascii="宋体" w:hAnsi="宋体" w:eastAsia="宋体" w:cs="宋体"/>
          <w:color w:val="auto"/>
          <w:spacing w:val="7"/>
          <w:sz w:val="20"/>
          <w:szCs w:val="20"/>
          <w:highlight w:val="none"/>
          <w:u w:val="single"/>
        </w:rPr>
        <w:t>不予调整，但整项未实施时，应扣除该整项费用</w:t>
      </w:r>
      <w:r>
        <w:rPr>
          <w:rFonts w:hint="eastAsia" w:ascii="宋体" w:hAnsi="宋体" w:eastAsia="宋体" w:cs="宋体"/>
          <w:color w:val="auto"/>
          <w:spacing w:val="7"/>
          <w:sz w:val="20"/>
          <w:szCs w:val="20"/>
          <w:highlight w:val="none"/>
          <w:u w:val="single"/>
          <w:lang w:eastAsia="zh-CN"/>
        </w:rPr>
        <w:t>。</w:t>
      </w:r>
    </w:p>
    <w:p w14:paraId="15C6679D">
      <w:pPr>
        <w:pStyle w:val="17"/>
        <w:spacing w:line="360" w:lineRule="auto"/>
        <w:jc w:val="left"/>
        <w:rPr>
          <w:rFonts w:hint="eastAsia" w:ascii="宋体" w:hAnsi="宋体" w:eastAsia="宋体" w:cs="宋体"/>
          <w:color w:val="auto"/>
          <w:highlight w:val="none"/>
        </w:rPr>
      </w:pPr>
    </w:p>
    <w:p w14:paraId="6A9B9065">
      <w:pPr>
        <w:spacing w:before="78" w:line="360" w:lineRule="auto"/>
        <w:ind w:left="38"/>
        <w:jc w:val="left"/>
        <w:outlineLvl w:val="2"/>
        <w:rPr>
          <w:rFonts w:hint="eastAsia" w:ascii="宋体" w:hAnsi="宋体" w:eastAsia="宋体" w:cs="宋体"/>
          <w:color w:val="auto"/>
          <w:sz w:val="24"/>
          <w:szCs w:val="24"/>
          <w:highlight w:val="none"/>
        </w:rPr>
      </w:pPr>
      <w:bookmarkStart w:id="776" w:name="bookmark51"/>
      <w:bookmarkEnd w:id="776"/>
      <w:r>
        <w:rPr>
          <w:rFonts w:hint="eastAsia" w:ascii="宋体" w:hAnsi="宋体" w:eastAsia="宋体" w:cs="宋体"/>
          <w:color w:val="auto"/>
          <w:spacing w:val="-6"/>
          <w:sz w:val="24"/>
          <w:szCs w:val="24"/>
          <w:highlight w:val="none"/>
        </w:rPr>
        <w:t>17.2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rPr>
        <w:t>预付款</w:t>
      </w:r>
    </w:p>
    <w:p w14:paraId="2AEBD105">
      <w:pPr>
        <w:spacing w:before="297"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17.2.1</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2"/>
          <w:sz w:val="20"/>
          <w:szCs w:val="20"/>
          <w:highlight w:val="none"/>
        </w:rPr>
        <w:t>预付款</w:t>
      </w:r>
    </w:p>
    <w:p w14:paraId="0711DE4F">
      <w:pPr>
        <w:spacing w:before="161"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（1）预付款额度</w:t>
      </w:r>
    </w:p>
    <w:p w14:paraId="3D1C0C87">
      <w:pPr>
        <w:spacing w:before="159" w:line="360" w:lineRule="auto"/>
        <w:ind w:left="649" w:right="12"/>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预付款额度：</w:t>
      </w:r>
      <w:r>
        <w:rPr>
          <w:rFonts w:hint="eastAsia" w:ascii="宋体" w:hAnsi="宋体" w:eastAsia="宋体" w:cs="宋体"/>
          <w:color w:val="auto"/>
          <w:spacing w:val="7"/>
          <w:sz w:val="20"/>
          <w:szCs w:val="20"/>
          <w:highlight w:val="none"/>
          <w:u w:val="single"/>
          <w:lang w:val="en-US" w:eastAsia="zh-CN"/>
        </w:rPr>
        <w:t xml:space="preserve"> 根据财政本年度资金批复情况支付预付款，￥206.04万元（大写：贰佰零陆万零肆佰元整）。</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7"/>
          <w:sz w:val="20"/>
          <w:szCs w:val="20"/>
          <w:highlight w:val="none"/>
        </w:rPr>
        <w:t>其中：</w:t>
      </w:r>
      <w:r>
        <w:rPr>
          <w:rFonts w:hint="eastAsia" w:ascii="宋体" w:hAnsi="宋体" w:eastAsia="宋体" w:cs="宋体"/>
          <w:color w:val="auto"/>
          <w:spacing w:val="7"/>
          <w:sz w:val="20"/>
          <w:szCs w:val="20"/>
          <w:highlight w:val="none"/>
          <w:u w:val="single"/>
          <w:lang w:val="en-US" w:eastAsia="en-US"/>
        </w:rPr>
        <w:t xml:space="preserve">农民工工伤保险费用的预付款额度:支付合同协议书中约定的农民工工伤保险费用的100% </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7"/>
          <w:sz w:val="20"/>
          <w:szCs w:val="20"/>
          <w:highlight w:val="none"/>
          <w:u w:val="single"/>
          <w:lang w:val="en-US" w:eastAsia="en-US"/>
        </w:rPr>
        <w:t xml:space="preserve">  </w:t>
      </w:r>
      <w:r>
        <w:rPr>
          <w:rFonts w:hint="eastAsia" w:ascii="宋体" w:hAnsi="宋体" w:eastAsia="宋体" w:cs="宋体"/>
          <w:color w:val="auto"/>
          <w:sz w:val="20"/>
          <w:szCs w:val="20"/>
          <w:highlight w:val="none"/>
          <w:u w:val="single" w:color="auto"/>
        </w:rPr>
        <w:t xml:space="preserve">                                                                    </w:t>
      </w:r>
    </w:p>
    <w:p w14:paraId="448E5938">
      <w:pPr>
        <w:spacing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（2）预付办法</w:t>
      </w:r>
    </w:p>
    <w:p w14:paraId="4913692E">
      <w:pPr>
        <w:spacing w:before="160" w:line="360" w:lineRule="auto"/>
        <w:ind w:left="650" w:right="12"/>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预付款预付办法：</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en-US"/>
        </w:rPr>
        <w:t>合同签订后，发包人在收到承包人提交的预付款申请书、增值税</w:t>
      </w:r>
      <w:r>
        <w:rPr>
          <w:rFonts w:hint="eastAsia" w:ascii="宋体" w:hAnsi="宋体" w:eastAsia="宋体" w:cs="宋体"/>
          <w:color w:val="auto"/>
          <w:spacing w:val="7"/>
          <w:sz w:val="20"/>
          <w:szCs w:val="20"/>
          <w:highlight w:val="none"/>
          <w:u w:val="single"/>
          <w:lang w:val="en-US" w:eastAsia="zh-CN"/>
        </w:rPr>
        <w:t>普通发</w:t>
      </w:r>
      <w:r>
        <w:rPr>
          <w:rFonts w:hint="eastAsia" w:ascii="宋体" w:hAnsi="宋体" w:eastAsia="宋体" w:cs="宋体"/>
          <w:color w:val="auto"/>
          <w:spacing w:val="7"/>
          <w:sz w:val="20"/>
          <w:szCs w:val="20"/>
          <w:highlight w:val="none"/>
          <w:u w:val="single"/>
          <w:lang w:val="en-US" w:eastAsia="en-US"/>
        </w:rPr>
        <w:t>票后，发包人向承包人支付预付款(支付形式:银行转账)</w:t>
      </w:r>
      <w:r>
        <w:rPr>
          <w:rFonts w:hint="eastAsia" w:ascii="宋体" w:hAnsi="宋体" w:eastAsia="宋体" w:cs="宋体"/>
          <w:color w:val="auto"/>
          <w:spacing w:val="7"/>
          <w:sz w:val="20"/>
          <w:szCs w:val="20"/>
          <w:highlight w:val="none"/>
          <w:u w:val="single"/>
          <w:lang w:val="en-US" w:eastAsia="zh-CN"/>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rPr>
        <w:t>预付款的支付时间：</w:t>
      </w:r>
      <w:r>
        <w:rPr>
          <w:rFonts w:hint="eastAsia" w:ascii="宋体" w:hAnsi="宋体" w:eastAsia="宋体" w:cs="宋体"/>
          <w:color w:val="auto"/>
          <w:spacing w:val="7"/>
          <w:sz w:val="20"/>
          <w:szCs w:val="20"/>
          <w:highlight w:val="none"/>
          <w:u w:val="single"/>
          <w:lang w:val="en-US" w:eastAsia="en-US"/>
        </w:rPr>
        <w:t>发包人在本合同签订后30天内，</w:t>
      </w:r>
      <w:r>
        <w:rPr>
          <w:rFonts w:hint="eastAsia" w:ascii="宋体" w:hAnsi="宋体" w:eastAsia="宋体" w:cs="宋体"/>
          <w:color w:val="auto"/>
          <w:spacing w:val="7"/>
          <w:sz w:val="20"/>
          <w:szCs w:val="20"/>
          <w:highlight w:val="none"/>
          <w:u w:val="single"/>
          <w:lang w:val="en-US" w:eastAsia="zh-CN"/>
        </w:rPr>
        <w:t>由承包人向发包人递交申请后，</w:t>
      </w:r>
      <w:r>
        <w:rPr>
          <w:rFonts w:hint="eastAsia" w:ascii="宋体" w:hAnsi="宋体" w:eastAsia="宋体" w:cs="宋体"/>
          <w:color w:val="auto"/>
          <w:spacing w:val="7"/>
          <w:sz w:val="20"/>
          <w:szCs w:val="20"/>
          <w:highlight w:val="none"/>
          <w:u w:val="single"/>
          <w:lang w:val="en-US" w:eastAsia="en-US"/>
        </w:rPr>
        <w:t xml:space="preserve">不迟于开工前7天内向承包人支付预付款。  </w:t>
      </w:r>
      <w:r>
        <w:rPr>
          <w:rFonts w:hint="eastAsia" w:ascii="宋体" w:hAnsi="宋体" w:eastAsia="宋体" w:cs="宋体"/>
          <w:color w:val="auto"/>
          <w:spacing w:val="4"/>
          <w:sz w:val="20"/>
          <w:szCs w:val="20"/>
          <w:highlight w:val="none"/>
          <w:u w:val="single" w:color="auto"/>
        </w:rPr>
        <w:t xml:space="preserve">                                                      </w:t>
      </w:r>
    </w:p>
    <w:p w14:paraId="0E5D7959">
      <w:pPr>
        <w:spacing w:before="1"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（3）安全生产标准化措施费用预付额度及方式</w:t>
      </w:r>
    </w:p>
    <w:p w14:paraId="11D159F6">
      <w:pPr>
        <w:spacing w:before="160" w:line="360" w:lineRule="auto"/>
        <w:ind w:left="20" w:right="13" w:firstLine="63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安全生产标准化措施费用的预付不受上述预付办法和支付时间约定的制约。安全生产</w:t>
      </w:r>
      <w:r>
        <w:rPr>
          <w:rFonts w:hint="eastAsia" w:ascii="宋体" w:hAnsi="宋体" w:eastAsia="宋体" w:cs="宋体"/>
          <w:color w:val="auto"/>
          <w:spacing w:val="9"/>
          <w:sz w:val="20"/>
          <w:szCs w:val="20"/>
          <w:highlight w:val="none"/>
        </w:rPr>
        <w:t>标准化措施费用按以下时间节点和金额进行预付：</w:t>
      </w:r>
    </w:p>
    <w:p w14:paraId="694C2FAE">
      <w:pPr>
        <w:spacing w:before="1" w:line="360" w:lineRule="auto"/>
        <w:ind w:left="36" w:right="11" w:firstLine="615"/>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发包人应当在不迟于第</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7"/>
          <w:sz w:val="20"/>
          <w:szCs w:val="20"/>
          <w:highlight w:val="none"/>
        </w:rPr>
        <w:t>11.1.1</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7"/>
          <w:sz w:val="20"/>
          <w:szCs w:val="20"/>
          <w:highlight w:val="none"/>
        </w:rPr>
        <w:t>项约定的开工日期前的</w:t>
      </w:r>
      <w:r>
        <w:rPr>
          <w:rFonts w:hint="eastAsia" w:ascii="宋体" w:hAnsi="宋体" w:eastAsia="宋体" w:cs="宋体"/>
          <w:color w:val="auto"/>
          <w:spacing w:val="-32"/>
          <w:sz w:val="20"/>
          <w:szCs w:val="20"/>
          <w:highlight w:val="none"/>
        </w:rPr>
        <w:t xml:space="preserve"> </w:t>
      </w:r>
      <w:r>
        <w:rPr>
          <w:rFonts w:hint="eastAsia" w:ascii="宋体" w:hAnsi="宋体" w:eastAsia="宋体" w:cs="宋体"/>
          <w:color w:val="auto"/>
          <w:spacing w:val="7"/>
          <w:sz w:val="20"/>
          <w:szCs w:val="20"/>
          <w:highlight w:val="none"/>
        </w:rPr>
        <w:t>7</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7"/>
          <w:sz w:val="20"/>
          <w:szCs w:val="20"/>
          <w:highlight w:val="none"/>
        </w:rPr>
        <w:t>天内，将签约合同价中载明的安全生产标准化措施费用总额的</w:t>
      </w:r>
      <w:r>
        <w:rPr>
          <w:rFonts w:hint="eastAsia" w:ascii="宋体" w:hAnsi="宋体" w:eastAsia="宋体" w:cs="宋体"/>
          <w:color w:val="auto"/>
          <w:spacing w:val="-18"/>
          <w:sz w:val="20"/>
          <w:szCs w:val="20"/>
          <w:highlight w:val="none"/>
        </w:rPr>
        <w:t xml:space="preserve"> </w:t>
      </w:r>
      <w:r>
        <w:rPr>
          <w:rFonts w:hint="eastAsia" w:ascii="宋体" w:hAnsi="宋体" w:eastAsia="宋体" w:cs="宋体"/>
          <w:color w:val="auto"/>
          <w:spacing w:val="7"/>
          <w:sz w:val="20"/>
          <w:szCs w:val="20"/>
          <w:highlight w:val="none"/>
        </w:rPr>
        <w:t>50%一次性预付给承包人。</w:t>
      </w:r>
    </w:p>
    <w:p w14:paraId="6674224D">
      <w:pPr>
        <w:spacing w:before="2" w:line="360" w:lineRule="auto"/>
        <w:ind w:left="19" w:right="13" w:firstLine="632"/>
        <w:jc w:val="lef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发包人应当在±0.00</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10"/>
          <w:sz w:val="20"/>
          <w:szCs w:val="20"/>
          <w:highlight w:val="none"/>
        </w:rPr>
        <w:t>以下主体结构施工完成或签约合同价中分部分项工程项目的完</w:t>
      </w:r>
      <w:r>
        <w:rPr>
          <w:rFonts w:hint="eastAsia" w:ascii="宋体" w:hAnsi="宋体" w:eastAsia="宋体" w:cs="宋体"/>
          <w:color w:val="auto"/>
          <w:spacing w:val="9"/>
          <w:sz w:val="20"/>
          <w:szCs w:val="20"/>
          <w:highlight w:val="none"/>
        </w:rPr>
        <w:t>成价款比例达到</w:t>
      </w:r>
      <w:r>
        <w:rPr>
          <w:rFonts w:hint="eastAsia" w:ascii="宋体" w:hAnsi="宋体" w:eastAsia="宋体" w:cs="宋体"/>
          <w:color w:val="auto"/>
          <w:spacing w:val="-36"/>
          <w:sz w:val="20"/>
          <w:szCs w:val="20"/>
          <w:highlight w:val="none"/>
        </w:rPr>
        <w:t xml:space="preserve"> </w:t>
      </w:r>
      <w:r>
        <w:rPr>
          <w:rFonts w:hint="eastAsia" w:ascii="宋体" w:hAnsi="宋体" w:eastAsia="宋体" w:cs="宋体"/>
          <w:color w:val="auto"/>
          <w:spacing w:val="9"/>
          <w:sz w:val="20"/>
          <w:szCs w:val="20"/>
          <w:highlight w:val="none"/>
        </w:rPr>
        <w:t>30%（两者中以条件先满足的为准）7</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9"/>
          <w:sz w:val="20"/>
          <w:szCs w:val="20"/>
          <w:highlight w:val="none"/>
        </w:rPr>
        <w:t>天内，预付至签约合同价中载明的安</w:t>
      </w:r>
      <w:r>
        <w:rPr>
          <w:rFonts w:hint="eastAsia" w:ascii="宋体" w:hAnsi="宋体" w:eastAsia="宋体" w:cs="宋体"/>
          <w:color w:val="auto"/>
          <w:spacing w:val="7"/>
          <w:sz w:val="20"/>
          <w:szCs w:val="20"/>
          <w:highlight w:val="none"/>
        </w:rPr>
        <w:t>全生产标准化措施费用总额的</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7"/>
          <w:sz w:val="20"/>
          <w:szCs w:val="20"/>
          <w:highlight w:val="none"/>
        </w:rPr>
        <w:t>70%。</w:t>
      </w:r>
    </w:p>
    <w:p w14:paraId="52631266">
      <w:pPr>
        <w:spacing w:before="1" w:line="360" w:lineRule="auto"/>
        <w:ind w:left="19" w:right="11" w:firstLine="63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发包人应当在安全生产标准化考评、评定达到（含整改后达到）或超过合同约定的安全生产标准化管理目标之日起</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7"/>
          <w:sz w:val="20"/>
          <w:szCs w:val="20"/>
          <w:highlight w:val="none"/>
        </w:rPr>
        <w:t>7</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7"/>
          <w:sz w:val="20"/>
          <w:szCs w:val="20"/>
          <w:highlight w:val="none"/>
        </w:rPr>
        <w:t>天内，预付至签约合同价中载明的</w:t>
      </w:r>
      <w:r>
        <w:rPr>
          <w:rFonts w:hint="eastAsia" w:ascii="宋体" w:hAnsi="宋体" w:eastAsia="宋体" w:cs="宋体"/>
          <w:color w:val="auto"/>
          <w:spacing w:val="6"/>
          <w:sz w:val="20"/>
          <w:szCs w:val="20"/>
          <w:highlight w:val="none"/>
        </w:rPr>
        <w:t>安全生产标准化措施费用</w:t>
      </w:r>
      <w:r>
        <w:rPr>
          <w:rFonts w:hint="eastAsia" w:ascii="宋体" w:hAnsi="宋体" w:eastAsia="宋体" w:cs="宋体"/>
          <w:color w:val="auto"/>
          <w:spacing w:val="3"/>
          <w:sz w:val="20"/>
          <w:szCs w:val="20"/>
          <w:highlight w:val="none"/>
        </w:rPr>
        <w:t>总额的</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3"/>
          <w:sz w:val="20"/>
          <w:szCs w:val="20"/>
          <w:highlight w:val="none"/>
        </w:rPr>
        <w:t>90%。</w:t>
      </w:r>
    </w:p>
    <w:p w14:paraId="5C5722AB">
      <w:pPr>
        <w:spacing w:before="1" w:line="360" w:lineRule="auto"/>
        <w:ind w:left="20" w:right="11" w:firstLine="631"/>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发包人应当在工程竣工后，安全生产标准化考评、认定达到或超过合同约定安全生产标准化管理目标并颁发考评证书之日起的</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7"/>
          <w:sz w:val="20"/>
          <w:szCs w:val="20"/>
          <w:highlight w:val="none"/>
        </w:rPr>
        <w:t>7</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7"/>
          <w:sz w:val="20"/>
          <w:szCs w:val="20"/>
          <w:highlight w:val="none"/>
        </w:rPr>
        <w:t>天内，预付至签</w:t>
      </w:r>
      <w:r>
        <w:rPr>
          <w:rFonts w:hint="eastAsia" w:ascii="宋体" w:hAnsi="宋体" w:eastAsia="宋体" w:cs="宋体"/>
          <w:color w:val="auto"/>
          <w:spacing w:val="6"/>
          <w:sz w:val="20"/>
          <w:szCs w:val="20"/>
          <w:highlight w:val="none"/>
        </w:rPr>
        <w:t>约合同价中载明的安全生产标准</w:t>
      </w:r>
      <w:r>
        <w:rPr>
          <w:rFonts w:hint="eastAsia" w:ascii="宋体" w:hAnsi="宋体" w:eastAsia="宋体" w:cs="宋体"/>
          <w:color w:val="auto"/>
          <w:spacing w:val="5"/>
          <w:sz w:val="20"/>
          <w:szCs w:val="20"/>
          <w:highlight w:val="none"/>
        </w:rPr>
        <w:t>化措施费用总额的</w:t>
      </w:r>
      <w:r>
        <w:rPr>
          <w:rFonts w:hint="eastAsia" w:ascii="宋体" w:hAnsi="宋体" w:eastAsia="宋体" w:cs="宋体"/>
          <w:color w:val="auto"/>
          <w:spacing w:val="-24"/>
          <w:sz w:val="20"/>
          <w:szCs w:val="20"/>
          <w:highlight w:val="none"/>
        </w:rPr>
        <w:t xml:space="preserve"> </w:t>
      </w:r>
      <w:r>
        <w:rPr>
          <w:rFonts w:hint="eastAsia" w:ascii="宋体" w:hAnsi="宋体" w:eastAsia="宋体" w:cs="宋体"/>
          <w:color w:val="auto"/>
          <w:spacing w:val="5"/>
          <w:sz w:val="20"/>
          <w:szCs w:val="20"/>
          <w:highlight w:val="none"/>
        </w:rPr>
        <w:t>100%。</w:t>
      </w:r>
    </w:p>
    <w:p w14:paraId="6EBDB3F0">
      <w:pPr>
        <w:spacing w:before="1" w:line="360" w:lineRule="auto"/>
        <w:ind w:left="652"/>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安全生产标准化措施费用的预付不抵扣。</w:t>
      </w:r>
    </w:p>
    <w:p w14:paraId="6F7B6B38">
      <w:pPr>
        <w:spacing w:before="161"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17.2.2  预付款的扣回与还清</w:t>
      </w:r>
    </w:p>
    <w:p w14:paraId="0F3EA2DE">
      <w:pPr>
        <w:spacing w:before="269" w:line="360" w:lineRule="auto"/>
        <w:ind w:left="441"/>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预付款的扣回办法：</w:t>
      </w:r>
      <w:r>
        <w:rPr>
          <w:rFonts w:hint="eastAsia" w:ascii="宋体" w:hAnsi="宋体" w:eastAsia="宋体" w:cs="宋体"/>
          <w:color w:val="auto"/>
          <w:spacing w:val="7"/>
          <w:sz w:val="20"/>
          <w:szCs w:val="20"/>
          <w:highlight w:val="none"/>
          <w:u w:val="single"/>
          <w:lang w:eastAsia="zh-CN"/>
        </w:rPr>
        <w:t xml:space="preserve"> </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34882B80">
      <w:pPr>
        <w:spacing w:before="170" w:line="360" w:lineRule="auto"/>
        <w:ind w:left="38"/>
        <w:jc w:val="left"/>
        <w:outlineLvl w:val="2"/>
        <w:rPr>
          <w:rFonts w:hint="eastAsia" w:ascii="宋体" w:hAnsi="宋体" w:eastAsia="宋体" w:cs="宋体"/>
          <w:color w:val="auto"/>
          <w:sz w:val="24"/>
          <w:szCs w:val="24"/>
          <w:highlight w:val="none"/>
        </w:rPr>
      </w:pPr>
      <w:bookmarkStart w:id="777" w:name="bookmark52"/>
      <w:bookmarkEnd w:id="777"/>
      <w:r>
        <w:rPr>
          <w:rFonts w:hint="eastAsia" w:ascii="宋体" w:hAnsi="宋体" w:eastAsia="宋体" w:cs="宋体"/>
          <w:color w:val="auto"/>
          <w:spacing w:val="-3"/>
          <w:sz w:val="24"/>
          <w:szCs w:val="24"/>
          <w:highlight w:val="none"/>
        </w:rPr>
        <w:t>17.3  工程进度付款</w:t>
      </w:r>
    </w:p>
    <w:p w14:paraId="07F40BBE">
      <w:pPr>
        <w:spacing w:before="295"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17.3.2  进度付款申请单</w:t>
      </w:r>
    </w:p>
    <w:p w14:paraId="0E244F69">
      <w:pPr>
        <w:spacing w:before="160" w:line="360" w:lineRule="auto"/>
        <w:ind w:left="439" w:right="12" w:hanging="1"/>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进度付款申请单的份数：</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4份</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
          <w:sz w:val="20"/>
          <w:szCs w:val="20"/>
          <w:highlight w:val="none"/>
        </w:rPr>
        <w:t>承包人报送监理人的进度付款申请单应包括下列内容：</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1</w:t>
      </w:r>
      <w:r>
        <w:rPr>
          <w:rFonts w:hint="eastAsia" w:ascii="宋体" w:hAnsi="宋体" w:eastAsia="宋体" w:cs="宋体"/>
          <w:color w:val="auto"/>
          <w:spacing w:val="7"/>
          <w:sz w:val="20"/>
          <w:szCs w:val="20"/>
          <w:highlight w:val="none"/>
          <w:u w:val="single"/>
          <w:lang w:eastAsia="zh-CN"/>
        </w:rPr>
        <w:t>）工程款支付报审表（</w:t>
      </w:r>
      <w:r>
        <w:rPr>
          <w:rFonts w:hint="eastAsia" w:ascii="宋体" w:hAnsi="宋体" w:eastAsia="宋体" w:cs="宋体"/>
          <w:color w:val="auto"/>
          <w:spacing w:val="7"/>
          <w:sz w:val="20"/>
          <w:szCs w:val="20"/>
          <w:highlight w:val="none"/>
          <w:u w:val="single"/>
          <w:lang w:val="en-US" w:eastAsia="zh-CN"/>
        </w:rPr>
        <w:t>表C-1</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7"/>
          <w:sz w:val="20"/>
          <w:szCs w:val="20"/>
          <w:highlight w:val="none"/>
          <w:u w:val="single"/>
          <w:lang w:eastAsia="zh-CN"/>
        </w:rPr>
        <w:t>（</w:t>
      </w:r>
      <w:r>
        <w:rPr>
          <w:rFonts w:hint="eastAsia" w:ascii="宋体" w:hAnsi="宋体" w:eastAsia="宋体" w:cs="宋体"/>
          <w:color w:val="auto"/>
          <w:spacing w:val="7"/>
          <w:sz w:val="20"/>
          <w:szCs w:val="20"/>
          <w:highlight w:val="none"/>
          <w:u w:val="single"/>
          <w:lang w:val="en-US" w:eastAsia="zh-CN"/>
        </w:rPr>
        <w:t>2</w:t>
      </w:r>
      <w:r>
        <w:rPr>
          <w:rFonts w:hint="eastAsia" w:ascii="宋体" w:hAnsi="宋体" w:eastAsia="宋体" w:cs="宋体"/>
          <w:color w:val="auto"/>
          <w:spacing w:val="7"/>
          <w:sz w:val="20"/>
          <w:szCs w:val="20"/>
          <w:highlight w:val="none"/>
          <w:u w:val="single"/>
          <w:lang w:eastAsia="zh-CN"/>
        </w:rPr>
        <w:t>）工程款支付证书（B-12)；（</w:t>
      </w:r>
      <w:r>
        <w:rPr>
          <w:rFonts w:hint="eastAsia" w:ascii="宋体" w:hAnsi="宋体" w:eastAsia="宋体" w:cs="宋体"/>
          <w:color w:val="auto"/>
          <w:spacing w:val="7"/>
          <w:sz w:val="20"/>
          <w:szCs w:val="20"/>
          <w:highlight w:val="none"/>
          <w:u w:val="single"/>
          <w:lang w:val="en-US" w:eastAsia="zh-CN"/>
        </w:rPr>
        <w:t>3</w:t>
      </w:r>
      <w:r>
        <w:rPr>
          <w:rFonts w:hint="eastAsia" w:ascii="宋体" w:hAnsi="宋体" w:eastAsia="宋体" w:cs="宋体"/>
          <w:color w:val="auto"/>
          <w:spacing w:val="7"/>
          <w:sz w:val="20"/>
          <w:szCs w:val="20"/>
          <w:highlight w:val="none"/>
          <w:u w:val="single"/>
          <w:lang w:eastAsia="zh-CN"/>
        </w:rPr>
        <w:t xml:space="preserve">）资金支付审批表。 </w:t>
      </w:r>
      <w:r>
        <w:rPr>
          <w:rFonts w:hint="eastAsia" w:ascii="宋体" w:hAnsi="宋体" w:eastAsia="宋体" w:cs="宋体"/>
          <w:color w:val="auto"/>
          <w:sz w:val="20"/>
          <w:szCs w:val="20"/>
          <w:highlight w:val="none"/>
          <w:u w:val="single" w:color="auto"/>
        </w:rPr>
        <w:t xml:space="preserve">                          </w:t>
      </w:r>
    </w:p>
    <w:p w14:paraId="00F486F6">
      <w:pPr>
        <w:numPr>
          <w:ilvl w:val="0"/>
          <w:numId w:val="12"/>
        </w:numPr>
        <w:spacing w:before="1" w:line="360" w:lineRule="auto"/>
        <w:ind w:left="449"/>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9"/>
          <w:sz w:val="20"/>
          <w:szCs w:val="20"/>
          <w:highlight w:val="none"/>
        </w:rPr>
        <w:t>根据合同应增加和（或）扣减的其他内容金额：</w:t>
      </w:r>
    </w:p>
    <w:p w14:paraId="281B323C">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付款次数或编号；</w:t>
      </w:r>
    </w:p>
    <w:p w14:paraId="08DCA278">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firstLine="0" w:firstLineChars="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截止本次付款周期末已实施工程的价款；</w:t>
      </w:r>
    </w:p>
    <w:p w14:paraId="5A1AE2B8">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firstLine="0" w:firstLineChars="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变更金额；</w:t>
      </w:r>
    </w:p>
    <w:p w14:paraId="19790B9C">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firstLine="0" w:firstLineChars="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索赔金额；</w:t>
      </w:r>
    </w:p>
    <w:p w14:paraId="31812A2C">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firstLine="0" w:firstLineChars="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本次应支付的预付款和（或）应扣减的返还预付款；</w:t>
      </w:r>
    </w:p>
    <w:p w14:paraId="4587784D">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firstLine="0" w:firstLineChars="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本次扣减的质量保修金；</w:t>
      </w:r>
    </w:p>
    <w:p w14:paraId="61ECBB5D">
      <w:pPr>
        <w:keepNext w:val="0"/>
        <w:keepLines w:val="0"/>
        <w:pageBreakBefore w:val="0"/>
        <w:widowControl/>
        <w:numPr>
          <w:ilvl w:val="0"/>
          <w:numId w:val="13"/>
        </w:numPr>
        <w:kinsoku w:val="0"/>
        <w:wordWrap/>
        <w:overflowPunct/>
        <w:topLinePunct w:val="0"/>
        <w:autoSpaceDE w:val="0"/>
        <w:autoSpaceDN w:val="0"/>
        <w:bidi w:val="0"/>
        <w:adjustRightInd w:val="0"/>
        <w:snapToGrid w:val="0"/>
        <w:spacing w:before="1" w:line="360" w:lineRule="auto"/>
        <w:ind w:left="420" w:leftChars="200" w:firstLine="0" w:firstLineChars="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根据合同应增加和扣减的其他金额。</w:t>
      </w:r>
    </w:p>
    <w:p w14:paraId="337FF12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补充条款：</w:t>
      </w:r>
    </w:p>
    <w:p w14:paraId="794BD2F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1.需提供广联达软件版的进度款明细和计算底稿；</w:t>
      </w:r>
    </w:p>
    <w:p w14:paraId="5A32271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2.承包人应随月度报告提交工程实际进度和计划进度的对比，并提交监理人审核确认。如因承包人原因，当月实际进度比计划进度延后10天(含)以上，发包人将暂停支付当月进度款，直至承包人实际进度满足工程需要后一并支付；</w:t>
      </w:r>
    </w:p>
    <w:p w14:paraId="220FFB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eastAsia="zh-CN"/>
        </w:rPr>
      </w:pPr>
      <w:r>
        <w:rPr>
          <w:rFonts w:hint="eastAsia" w:ascii="宋体" w:hAnsi="宋体" w:eastAsia="宋体" w:cs="宋体"/>
          <w:color w:val="auto"/>
          <w:spacing w:val="7"/>
          <w:sz w:val="20"/>
          <w:szCs w:val="20"/>
          <w:highlight w:val="none"/>
          <w:u w:val="single"/>
          <w:lang w:val="en-US" w:eastAsia="zh-CN"/>
        </w:rPr>
        <w:t>3.发包人对承包人合同价款的支付，作为本工程的专项建设资金，必须在本项目中专款专用。承包人如有违反本条规定，发包人将予处罚直至暂停支付，同时对承包人的约评价将产生不利影响；</w:t>
      </w:r>
      <w:r>
        <w:rPr>
          <w:rFonts w:hint="eastAsia" w:ascii="宋体" w:hAnsi="宋体" w:eastAsia="宋体" w:cs="宋体"/>
          <w:color w:val="auto"/>
          <w:spacing w:val="7"/>
          <w:sz w:val="20"/>
          <w:szCs w:val="20"/>
          <w:highlight w:val="none"/>
          <w:u w:val="single"/>
          <w:lang w:eastAsia="zh-CN"/>
        </w:rPr>
        <w:t xml:space="preserve"> </w:t>
      </w:r>
    </w:p>
    <w:p w14:paraId="73B2EE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4.承包人获得发包人的合同价款支付后，应当按照同等比例对其为完成本工程签订的采购合同(不限于此)及时结算付款。对于承包人无正当理由，不按照所签合同及时结算并付款而影响工程进展，发包人将视情况在支付时予以扣支；</w:t>
      </w:r>
    </w:p>
    <w:p w14:paraId="1C8332B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5.关于进度款支付详细约定如下:</w:t>
      </w:r>
    </w:p>
    <w:p w14:paraId="30A5CD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(1)承包人应按监理人同意的格式，在提交月度报告的相同时间，向监理人提交请款报告，监理人审核后向发包人提交一式五份的进度款支付月报，说明承包人在该月度内应得到的款额；</w:t>
      </w:r>
    </w:p>
    <w:p w14:paraId="7F1CB3E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(2)发包人以银行转账支付或转账支票的方式支付各类款项，在发包人向承包人支付任何款项之前，承包人应向发包人开具正式的发票；</w:t>
      </w:r>
    </w:p>
    <w:p w14:paraId="6D0800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(3)对于发包人按照本款扣留的或缴纳的质量保证金，发包人不必向承包人支付任何利息或收益；</w:t>
      </w:r>
    </w:p>
    <w:p w14:paraId="053941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(4)进度款支付：专项资金到位、合同签订、项目进度达到90%时，由</w:t>
      </w:r>
      <w:r>
        <w:rPr>
          <w:rFonts w:hint="eastAsia" w:ascii="宋体" w:hAnsi="宋体" w:cs="宋体"/>
          <w:color w:val="auto"/>
          <w:spacing w:val="7"/>
          <w:sz w:val="20"/>
          <w:szCs w:val="20"/>
          <w:highlight w:val="none"/>
          <w:u w:val="single"/>
          <w:lang w:val="en-US" w:eastAsia="zh-CN"/>
        </w:rPr>
        <w:t>承包人</w:t>
      </w:r>
      <w:r>
        <w:rPr>
          <w:rFonts w:hint="eastAsia" w:ascii="宋体" w:hAnsi="宋体" w:eastAsia="宋体" w:cs="宋体"/>
          <w:color w:val="auto"/>
          <w:spacing w:val="7"/>
          <w:sz w:val="20"/>
          <w:szCs w:val="20"/>
          <w:highlight w:val="none"/>
          <w:u w:val="single"/>
          <w:lang w:val="en-US" w:eastAsia="zh-CN"/>
        </w:rPr>
        <w:t>按照进度款支付要求申请支付，</w:t>
      </w:r>
      <w:r>
        <w:rPr>
          <w:rFonts w:hint="eastAsia" w:ascii="宋体" w:hAnsi="宋体" w:cs="宋体"/>
          <w:color w:val="auto"/>
          <w:spacing w:val="7"/>
          <w:sz w:val="20"/>
          <w:szCs w:val="20"/>
          <w:highlight w:val="none"/>
          <w:u w:val="single"/>
          <w:lang w:val="en-US" w:eastAsia="zh-CN"/>
        </w:rPr>
        <w:t>发包人</w:t>
      </w:r>
      <w:r>
        <w:rPr>
          <w:rFonts w:hint="eastAsia" w:ascii="宋体" w:hAnsi="宋体" w:eastAsia="宋体" w:cs="宋体"/>
          <w:color w:val="auto"/>
          <w:spacing w:val="7"/>
          <w:sz w:val="20"/>
          <w:szCs w:val="20"/>
          <w:highlight w:val="none"/>
          <w:u w:val="single"/>
          <w:lang w:val="en-US" w:eastAsia="zh-CN"/>
        </w:rPr>
        <w:t>收到</w:t>
      </w:r>
      <w:r>
        <w:rPr>
          <w:rFonts w:hint="eastAsia" w:ascii="宋体" w:hAnsi="宋体" w:cs="宋体"/>
          <w:color w:val="auto"/>
          <w:spacing w:val="7"/>
          <w:sz w:val="20"/>
          <w:szCs w:val="20"/>
          <w:highlight w:val="none"/>
          <w:u w:val="single"/>
          <w:lang w:val="en-US" w:eastAsia="zh-CN"/>
        </w:rPr>
        <w:t>承包人</w:t>
      </w:r>
      <w:r>
        <w:rPr>
          <w:rFonts w:hint="eastAsia" w:ascii="宋体" w:hAnsi="宋体" w:eastAsia="宋体" w:cs="宋体"/>
          <w:color w:val="auto"/>
          <w:spacing w:val="7"/>
          <w:sz w:val="20"/>
          <w:szCs w:val="20"/>
          <w:highlight w:val="none"/>
          <w:u w:val="single"/>
          <w:lang w:val="en-US" w:eastAsia="zh-CN"/>
        </w:rPr>
        <w:t>等额发票后，</w:t>
      </w:r>
      <w:r>
        <w:rPr>
          <w:rFonts w:hint="eastAsia" w:ascii="宋体" w:hAnsi="宋体" w:cs="宋体"/>
          <w:color w:val="auto"/>
          <w:spacing w:val="7"/>
          <w:sz w:val="20"/>
          <w:szCs w:val="20"/>
          <w:highlight w:val="none"/>
          <w:u w:val="single"/>
          <w:lang w:val="en-US" w:eastAsia="zh-CN"/>
        </w:rPr>
        <w:t>发包人</w:t>
      </w:r>
      <w:r>
        <w:rPr>
          <w:rFonts w:hint="eastAsia" w:ascii="宋体" w:hAnsi="宋体" w:eastAsia="宋体" w:cs="宋体"/>
          <w:color w:val="auto"/>
          <w:spacing w:val="7"/>
          <w:sz w:val="20"/>
          <w:szCs w:val="20"/>
          <w:highlight w:val="none"/>
          <w:u w:val="single"/>
          <w:lang w:val="en-US" w:eastAsia="zh-CN"/>
        </w:rPr>
        <w:t>向</w:t>
      </w:r>
      <w:r>
        <w:rPr>
          <w:rFonts w:hint="eastAsia" w:ascii="宋体" w:hAnsi="宋体" w:cs="宋体"/>
          <w:color w:val="auto"/>
          <w:spacing w:val="7"/>
          <w:sz w:val="20"/>
          <w:szCs w:val="20"/>
          <w:highlight w:val="none"/>
          <w:u w:val="single"/>
          <w:lang w:val="en-US" w:eastAsia="zh-CN"/>
        </w:rPr>
        <w:t>承包人</w:t>
      </w:r>
      <w:r>
        <w:rPr>
          <w:rFonts w:hint="eastAsia" w:ascii="宋体" w:hAnsi="宋体" w:eastAsia="宋体" w:cs="宋体"/>
          <w:color w:val="auto"/>
          <w:spacing w:val="7"/>
          <w:sz w:val="20"/>
          <w:szCs w:val="20"/>
          <w:highlight w:val="none"/>
          <w:u w:val="single"/>
          <w:lang w:val="en-US" w:eastAsia="zh-CN"/>
        </w:rPr>
        <w:t>支付合同的总价90%（¥        元）；</w:t>
      </w:r>
    </w:p>
    <w:p w14:paraId="5FDDACC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（5）尾款支付：尾款支付前，工程完工、竣工验收合格且收到承包人等额增值税普通发票后，</w:t>
      </w:r>
      <w:r>
        <w:rPr>
          <w:rFonts w:hint="eastAsia" w:ascii="宋体" w:hAnsi="宋体" w:cs="宋体"/>
          <w:color w:val="auto"/>
          <w:spacing w:val="7"/>
          <w:sz w:val="20"/>
          <w:szCs w:val="20"/>
          <w:highlight w:val="none"/>
          <w:u w:val="single"/>
          <w:lang w:val="en-US" w:eastAsia="zh-CN"/>
        </w:rPr>
        <w:t>发包人退还承包人合同价款3%的履约保证金，同时承包人提交结算金额3%的质保金后，</w:t>
      </w:r>
      <w:r>
        <w:rPr>
          <w:rFonts w:hint="eastAsia" w:ascii="宋体" w:hAnsi="宋体" w:eastAsia="宋体" w:cs="宋体"/>
          <w:color w:val="auto"/>
          <w:spacing w:val="7"/>
          <w:sz w:val="20"/>
          <w:szCs w:val="20"/>
          <w:highlight w:val="none"/>
          <w:u w:val="single"/>
          <w:lang w:val="en-US" w:eastAsia="zh-CN"/>
        </w:rPr>
        <w:t>发包人向承包人支付</w:t>
      </w:r>
      <w:r>
        <w:rPr>
          <w:rFonts w:hint="eastAsia" w:ascii="宋体" w:hAnsi="宋体" w:cs="宋体"/>
          <w:color w:val="auto"/>
          <w:spacing w:val="7"/>
          <w:sz w:val="20"/>
          <w:szCs w:val="20"/>
          <w:highlight w:val="none"/>
          <w:u w:val="single"/>
          <w:lang w:val="en-US" w:eastAsia="zh-CN"/>
        </w:rPr>
        <w:t>至结算价款的100%</w:t>
      </w:r>
      <w:r>
        <w:rPr>
          <w:rFonts w:hint="eastAsia" w:ascii="宋体" w:hAnsi="宋体" w:eastAsia="宋体" w:cs="宋体"/>
          <w:color w:val="auto"/>
          <w:spacing w:val="7"/>
          <w:sz w:val="20"/>
          <w:szCs w:val="20"/>
          <w:highlight w:val="none"/>
          <w:u w:val="single"/>
          <w:lang w:val="en-US" w:eastAsia="zh-CN"/>
        </w:rPr>
        <w:t>。工程结算审核费用由乙方承担，审核费用为审减金额的8%，最低收费为3000元。</w:t>
      </w:r>
    </w:p>
    <w:p w14:paraId="5EDC648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（6） 履约保证金形式：采用乙方向甲方公对公缴纳的形式，待竣工验收合格后且完成合同约定的所有履约内容，由承包人提交退还履约保证金申请方可退还履约保证金。</w:t>
      </w:r>
    </w:p>
    <w:p w14:paraId="41F4400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left="420" w:leftChars="200" w:firstLine="428" w:firstLineChars="200"/>
        <w:jc w:val="left"/>
        <w:textAlignment w:val="baseline"/>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7"/>
          <w:sz w:val="20"/>
          <w:szCs w:val="20"/>
          <w:highlight w:val="none"/>
          <w:u w:val="single"/>
          <w:lang w:val="en-US" w:eastAsia="zh-CN"/>
        </w:rPr>
        <w:t>（7）质量保证金形式：采用乙方向甲方公对公缴纳的形式，在工程进度尾款支付前，质保期满如无质量问题，在质保期到期后由承包人提交退还质量保证金申请，经发包人审批同意后，方可退还。</w:t>
      </w:r>
    </w:p>
    <w:p w14:paraId="2C421194">
      <w:pPr>
        <w:pStyle w:val="2"/>
        <w:rPr>
          <w:rFonts w:hint="eastAsia"/>
          <w:color w:val="auto"/>
          <w:highlight w:val="none"/>
          <w:lang w:val="en-US" w:eastAsia="zh-CN"/>
        </w:rPr>
      </w:pPr>
    </w:p>
    <w:p w14:paraId="742A4939">
      <w:pPr>
        <w:pStyle w:val="17"/>
        <w:spacing w:line="360" w:lineRule="auto"/>
        <w:ind w:firstLine="832" w:firstLineChars="400"/>
        <w:jc w:val="left"/>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（8）本期应付进度款：</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68398222">
      <w:pPr>
        <w:spacing w:before="65"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17.3.3  进度付款证书和支付时间</w:t>
      </w:r>
    </w:p>
    <w:p w14:paraId="35D0D5F3">
      <w:pPr>
        <w:spacing w:before="161" w:line="360" w:lineRule="auto"/>
        <w:ind w:left="583" w:right="12" w:hanging="134"/>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（2）逾期付款违约金的计算标准：</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6"/>
          <w:sz w:val="20"/>
          <w:szCs w:val="20"/>
          <w:highlight w:val="none"/>
        </w:rPr>
        <w:t>逾期付款违约金的计算方法：</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p>
    <w:p w14:paraId="4E593164">
      <w:pPr>
        <w:pStyle w:val="17"/>
        <w:tabs>
          <w:tab w:val="left" w:pos="8322"/>
          <w:tab w:val="clear" w:pos="567"/>
        </w:tabs>
        <w:spacing w:line="360" w:lineRule="auto"/>
        <w:ind w:left="578"/>
        <w:jc w:val="left"/>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71A6781A">
      <w:pPr>
        <w:spacing w:before="297"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17.4.1  质量保证金处理</w:t>
      </w:r>
    </w:p>
    <w:p w14:paraId="644479D1">
      <w:pPr>
        <w:spacing w:before="159" w:line="360" w:lineRule="auto"/>
        <w:ind w:left="20" w:right="13" w:firstLine="429"/>
        <w:jc w:val="lef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（3）质量保证金形式</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3"/>
          <w:sz w:val="20"/>
          <w:szCs w:val="20"/>
          <w:highlight w:val="none"/>
          <w:u w:val="single"/>
          <w:lang w:eastAsia="zh-CN"/>
        </w:rPr>
        <w:t>公对公缴纳的形式</w:t>
      </w:r>
      <w:r>
        <w:rPr>
          <w:rFonts w:hint="eastAsia" w:ascii="宋体" w:hAnsi="宋体" w:eastAsia="宋体" w:cs="宋体"/>
          <w:color w:val="auto"/>
          <w:spacing w:val="5"/>
          <w:sz w:val="20"/>
          <w:szCs w:val="20"/>
          <w:highlight w:val="none"/>
        </w:rPr>
        <w:t>。</w:t>
      </w:r>
    </w:p>
    <w:p w14:paraId="2940A5EC">
      <w:pPr>
        <w:spacing w:line="360" w:lineRule="auto"/>
        <w:ind w:left="963"/>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质量保证金约定比例：</w:t>
      </w:r>
      <w:r>
        <w:rPr>
          <w:rFonts w:hint="eastAsia" w:ascii="宋体" w:hAnsi="宋体" w:eastAsia="宋体" w:cs="宋体"/>
          <w:color w:val="auto"/>
          <w:spacing w:val="7"/>
          <w:sz w:val="20"/>
          <w:szCs w:val="20"/>
          <w:highlight w:val="none"/>
          <w:u w:val="single"/>
          <w:lang w:val="en-US" w:eastAsia="zh-CN"/>
        </w:rPr>
        <w:t xml:space="preserve"> 3 </w:t>
      </w:r>
      <w:r>
        <w:rPr>
          <w:rFonts w:hint="eastAsia" w:ascii="宋体" w:hAnsi="宋体" w:eastAsia="宋体" w:cs="宋体"/>
          <w:color w:val="auto"/>
          <w:spacing w:val="6"/>
          <w:sz w:val="20"/>
          <w:szCs w:val="20"/>
          <w:highlight w:val="none"/>
        </w:rPr>
        <w:t xml:space="preserve"> %</w:t>
      </w:r>
    </w:p>
    <w:p w14:paraId="1358AE70">
      <w:pPr>
        <w:spacing w:before="284" w:line="360" w:lineRule="auto"/>
        <w:ind w:left="38"/>
        <w:jc w:val="left"/>
        <w:outlineLvl w:val="2"/>
        <w:rPr>
          <w:rFonts w:hint="eastAsia" w:ascii="宋体" w:hAnsi="宋体" w:eastAsia="宋体" w:cs="宋体"/>
          <w:color w:val="auto"/>
          <w:sz w:val="24"/>
          <w:szCs w:val="24"/>
          <w:highlight w:val="none"/>
        </w:rPr>
      </w:pPr>
      <w:bookmarkStart w:id="778" w:name="bookmark54"/>
      <w:bookmarkEnd w:id="778"/>
      <w:r>
        <w:rPr>
          <w:rFonts w:hint="eastAsia" w:ascii="宋体" w:hAnsi="宋体" w:eastAsia="宋体" w:cs="宋体"/>
          <w:color w:val="auto"/>
          <w:spacing w:val="-5"/>
          <w:sz w:val="24"/>
          <w:szCs w:val="24"/>
          <w:highlight w:val="none"/>
        </w:rPr>
        <w:t>17.5</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rPr>
        <w:t>竣工结算</w:t>
      </w:r>
    </w:p>
    <w:p w14:paraId="783859FB">
      <w:pPr>
        <w:spacing w:before="296"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17.5.1  过程结算</w:t>
      </w:r>
    </w:p>
    <w:p w14:paraId="2701D8B5">
      <w:pPr>
        <w:spacing w:before="160" w:line="360" w:lineRule="auto"/>
        <w:ind w:left="440"/>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本工程</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不进行</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rPr>
        <w:t>（进行/不进行）过程结算。</w:t>
      </w:r>
    </w:p>
    <w:p w14:paraId="7AF28B20">
      <w:pPr>
        <w:spacing w:before="164" w:line="360" w:lineRule="auto"/>
        <w:ind w:left="440"/>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过程结算的相关要求：</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45E4FA71">
      <w:pPr>
        <w:spacing w:before="161"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17.5.2  竣工付款申请单</w:t>
      </w:r>
    </w:p>
    <w:p w14:paraId="71C05BE7">
      <w:pPr>
        <w:spacing w:before="160" w:line="360" w:lineRule="auto"/>
        <w:ind w:left="858" w:right="12" w:hanging="409"/>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（1）承包人提交竣工付款申请单的份数：</w:t>
      </w:r>
      <w:r>
        <w:rPr>
          <w:rFonts w:hint="eastAsia" w:ascii="宋体" w:hAnsi="宋体" w:eastAsia="宋体" w:cs="宋体"/>
          <w:color w:val="auto"/>
          <w:spacing w:val="7"/>
          <w:sz w:val="20"/>
          <w:szCs w:val="20"/>
          <w:highlight w:val="none"/>
          <w:u w:val="single"/>
          <w:lang w:val="en-US" w:eastAsia="zh-CN"/>
        </w:rPr>
        <w:t xml:space="preserve">4份  </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
          <w:sz w:val="20"/>
          <w:szCs w:val="20"/>
          <w:highlight w:val="none"/>
        </w:rPr>
        <w:t>承包人提交竣工付款申请单的期限：</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 xml:space="preserve">竣工验收合格后  </w:t>
      </w:r>
      <w:r>
        <w:rPr>
          <w:rFonts w:hint="eastAsia" w:ascii="宋体" w:hAnsi="宋体" w:eastAsia="宋体" w:cs="宋体"/>
          <w:color w:val="auto"/>
          <w:sz w:val="20"/>
          <w:szCs w:val="20"/>
          <w:highlight w:val="none"/>
          <w:u w:val="single" w:color="auto"/>
        </w:rPr>
        <w:t xml:space="preserve">                                       </w:t>
      </w:r>
    </w:p>
    <w:p w14:paraId="4116AC95">
      <w:pPr>
        <w:spacing w:before="163"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（2）竣工付款申请单的其他内容：</w:t>
      </w:r>
      <w:r>
        <w:rPr>
          <w:rFonts w:hint="eastAsia" w:ascii="宋体" w:hAnsi="宋体" w:eastAsia="宋体" w:cs="宋体"/>
          <w:color w:val="auto"/>
          <w:spacing w:val="7"/>
          <w:sz w:val="20"/>
          <w:szCs w:val="20"/>
          <w:highlight w:val="none"/>
          <w:u w:val="single"/>
          <w:lang w:val="en-US" w:eastAsia="zh-CN"/>
        </w:rPr>
        <w:t xml:space="preserve">按照发包人规定的格式和内容填写，应包括但不限于竣工结算合同总价、已支付的工程价款、应扣回的预付款、应扣留的质量保证金、应支付的竣工付款金额等。        </w:t>
      </w:r>
      <w:r>
        <w:rPr>
          <w:rFonts w:hint="eastAsia" w:ascii="宋体" w:hAnsi="宋体" w:eastAsia="宋体" w:cs="宋体"/>
          <w:color w:val="auto"/>
          <w:spacing w:val="4"/>
          <w:sz w:val="20"/>
          <w:szCs w:val="20"/>
          <w:highlight w:val="none"/>
          <w:u w:val="single" w:color="auto"/>
        </w:rPr>
        <w:t xml:space="preserve">                         </w:t>
      </w:r>
    </w:p>
    <w:p w14:paraId="356199F4">
      <w:pPr>
        <w:spacing w:before="285" w:line="360" w:lineRule="auto"/>
        <w:ind w:left="38"/>
        <w:jc w:val="left"/>
        <w:outlineLvl w:val="2"/>
        <w:rPr>
          <w:rFonts w:hint="eastAsia" w:ascii="宋体" w:hAnsi="宋体" w:eastAsia="宋体" w:cs="宋体"/>
          <w:color w:val="auto"/>
          <w:sz w:val="24"/>
          <w:szCs w:val="24"/>
          <w:highlight w:val="none"/>
        </w:rPr>
      </w:pPr>
      <w:bookmarkStart w:id="779" w:name="bookmark55"/>
      <w:bookmarkEnd w:id="779"/>
      <w:r>
        <w:rPr>
          <w:rFonts w:hint="eastAsia" w:ascii="宋体" w:hAnsi="宋体" w:eastAsia="宋体" w:cs="宋体"/>
          <w:color w:val="auto"/>
          <w:spacing w:val="-5"/>
          <w:sz w:val="24"/>
          <w:szCs w:val="24"/>
          <w:highlight w:val="none"/>
        </w:rPr>
        <w:t>17.6</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5"/>
          <w:sz w:val="24"/>
          <w:szCs w:val="24"/>
          <w:highlight w:val="none"/>
        </w:rPr>
        <w:t>最终结清</w:t>
      </w:r>
    </w:p>
    <w:p w14:paraId="55AB8903">
      <w:pPr>
        <w:spacing w:before="296"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17.6.1  最终结清申请单</w:t>
      </w:r>
    </w:p>
    <w:p w14:paraId="54B04DF3">
      <w:pPr>
        <w:spacing w:before="163" w:line="360" w:lineRule="auto"/>
        <w:ind w:left="962" w:right="12" w:hanging="513"/>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（1）承包人提交最终结清申请单的份数：</w:t>
      </w:r>
      <w:r>
        <w:rPr>
          <w:rFonts w:hint="eastAsia" w:ascii="宋体" w:hAnsi="宋体" w:eastAsia="宋体" w:cs="宋体"/>
          <w:color w:val="auto"/>
          <w:spacing w:val="7"/>
          <w:sz w:val="20"/>
          <w:szCs w:val="20"/>
          <w:highlight w:val="none"/>
          <w:u w:val="single"/>
          <w:lang w:val="en-US" w:eastAsia="zh-CN"/>
        </w:rPr>
        <w:t xml:space="preserve">  一式六份 </w:t>
      </w:r>
      <w:r>
        <w:rPr>
          <w:rFonts w:hint="eastAsia" w:ascii="宋体" w:hAnsi="宋体" w:eastAsia="宋体" w:cs="宋体"/>
          <w:b/>
          <w:bCs/>
          <w:color w:val="auto"/>
          <w:spacing w:val="-7"/>
          <w:sz w:val="22"/>
          <w:szCs w:val="22"/>
          <w:highlight w:val="none"/>
          <w:u w:val="single" w:color="auto"/>
          <w:lang w:val="en-US" w:eastAsia="zh-CN"/>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
          <w:sz w:val="20"/>
          <w:szCs w:val="20"/>
          <w:highlight w:val="none"/>
        </w:rPr>
        <w:t>承包人提交最终结清申请单的期限：</w:t>
      </w:r>
      <w:r>
        <w:rPr>
          <w:rFonts w:hint="eastAsia" w:ascii="宋体" w:hAnsi="宋体" w:eastAsia="宋体" w:cs="宋体"/>
          <w:color w:val="auto"/>
          <w:spacing w:val="7"/>
          <w:sz w:val="20"/>
          <w:szCs w:val="20"/>
          <w:highlight w:val="none"/>
          <w:u w:val="single"/>
          <w:lang w:val="en-US" w:eastAsia="zh-CN"/>
        </w:rPr>
        <w:t xml:space="preserve">在缺陷责任期终止证书颁发后28天内  </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8"/>
          <w:sz w:val="20"/>
          <w:szCs w:val="20"/>
          <w:highlight w:val="none"/>
        </w:rPr>
        <w:t>发包人向承包人</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 xml:space="preserve">不支付 </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rPr>
        <w:t>（支付 / 不支付</w:t>
      </w:r>
      <w:r>
        <w:rPr>
          <w:rFonts w:hint="eastAsia" w:ascii="宋体" w:hAnsi="宋体" w:eastAsia="宋体" w:cs="宋体"/>
          <w:color w:val="auto"/>
          <w:spacing w:val="7"/>
          <w:sz w:val="20"/>
          <w:szCs w:val="20"/>
          <w:highlight w:val="none"/>
        </w:rPr>
        <w:t>）质量保证金利息。</w:t>
      </w:r>
    </w:p>
    <w:p w14:paraId="676BF260">
      <w:pPr>
        <w:spacing w:before="161" w:line="360" w:lineRule="auto"/>
        <w:ind w:left="971"/>
        <w:jc w:val="lef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发包人向承包人支付质量保证金利息的，利息计算方法：</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p>
    <w:p w14:paraId="0596D9EF">
      <w:pPr>
        <w:spacing w:before="291" w:line="360" w:lineRule="auto"/>
        <w:ind w:left="43"/>
        <w:jc w:val="left"/>
        <w:outlineLvl w:val="1"/>
        <w:rPr>
          <w:rFonts w:hint="eastAsia" w:ascii="宋体" w:hAnsi="宋体" w:eastAsia="宋体" w:cs="宋体"/>
          <w:color w:val="auto"/>
          <w:sz w:val="28"/>
          <w:szCs w:val="28"/>
          <w:highlight w:val="none"/>
        </w:rPr>
      </w:pPr>
      <w:bookmarkStart w:id="780" w:name="bookmark56"/>
      <w:bookmarkEnd w:id="780"/>
      <w:r>
        <w:rPr>
          <w:rFonts w:hint="eastAsia" w:ascii="宋体" w:hAnsi="宋体" w:eastAsia="宋体" w:cs="宋体"/>
          <w:color w:val="auto"/>
          <w:spacing w:val="-5"/>
          <w:sz w:val="28"/>
          <w:szCs w:val="28"/>
          <w:highlight w:val="none"/>
        </w:rPr>
        <w:t>18.竣工验收</w:t>
      </w:r>
    </w:p>
    <w:p w14:paraId="437EBAE2">
      <w:pPr>
        <w:pStyle w:val="17"/>
        <w:spacing w:line="360" w:lineRule="auto"/>
        <w:jc w:val="left"/>
        <w:rPr>
          <w:rFonts w:hint="eastAsia" w:ascii="宋体" w:hAnsi="宋体" w:eastAsia="宋体" w:cs="宋体"/>
          <w:color w:val="auto"/>
          <w:highlight w:val="none"/>
        </w:rPr>
      </w:pPr>
    </w:p>
    <w:p w14:paraId="5A68F4BE">
      <w:pPr>
        <w:spacing w:before="78"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18.2  竣工验收申请报告</w:t>
      </w:r>
    </w:p>
    <w:p w14:paraId="313A808B">
      <w:pPr>
        <w:spacing w:before="300" w:line="360" w:lineRule="auto"/>
        <w:ind w:left="449"/>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9"/>
          <w:sz w:val="20"/>
          <w:szCs w:val="20"/>
          <w:highlight w:val="none"/>
        </w:rPr>
        <w:t>（2）承包人负责整理和提交的竣工验收资料具体内</w:t>
      </w:r>
      <w:r>
        <w:rPr>
          <w:rFonts w:hint="eastAsia" w:ascii="宋体" w:hAnsi="宋体" w:eastAsia="宋体" w:cs="宋体"/>
          <w:color w:val="auto"/>
          <w:spacing w:val="8"/>
          <w:sz w:val="20"/>
          <w:szCs w:val="20"/>
          <w:highlight w:val="none"/>
        </w:rPr>
        <w:t>容：</w:t>
      </w:r>
      <w:r>
        <w:rPr>
          <w:rFonts w:hint="eastAsia" w:ascii="宋体" w:hAnsi="宋体" w:eastAsia="宋体" w:cs="宋体"/>
          <w:color w:val="auto"/>
          <w:spacing w:val="7"/>
          <w:sz w:val="20"/>
          <w:szCs w:val="20"/>
          <w:highlight w:val="none"/>
          <w:u w:val="single"/>
          <w:lang w:val="en-US" w:eastAsia="zh-CN"/>
        </w:rPr>
        <w:t>合同文件约定的、符合国家及北京市城市建设档案馆存档需要的全部资料及发包人要求的其他资料(包括纸质版及电子版)。</w:t>
      </w:r>
    </w:p>
    <w:p w14:paraId="1123E8A7">
      <w:pPr>
        <w:spacing w:before="300" w:line="360" w:lineRule="auto"/>
        <w:ind w:left="449"/>
        <w:jc w:val="left"/>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竣工验收资料的份数：</w:t>
      </w:r>
      <w:r>
        <w:rPr>
          <w:rFonts w:hint="eastAsia" w:ascii="宋体" w:hAnsi="宋体" w:eastAsia="宋体" w:cs="宋体"/>
          <w:color w:val="auto"/>
          <w:spacing w:val="9"/>
          <w:sz w:val="20"/>
          <w:szCs w:val="20"/>
          <w:highlight w:val="none"/>
          <w:lang w:val="en-US" w:eastAsia="zh-CN"/>
        </w:rPr>
        <w:t xml:space="preserve">竣工验收资料的份数：竣工图及工程档案资料7套(含竣工测量、工程相片册、工程质量可追溯影像资料等，执行档案馆要求),电子版2套，发包人另有需求的，按委托人需求提供。 </w:t>
      </w:r>
      <w:r>
        <w:rPr>
          <w:rFonts w:hint="eastAsia" w:ascii="宋体" w:hAnsi="宋体" w:eastAsia="宋体" w:cs="宋体"/>
          <w:color w:val="auto"/>
          <w:spacing w:val="9"/>
          <w:sz w:val="20"/>
          <w:szCs w:val="20"/>
          <w:highlight w:val="none"/>
        </w:rPr>
        <w:t xml:space="preserve">                                                  </w:t>
      </w:r>
    </w:p>
    <w:p w14:paraId="16AFEE62">
      <w:pPr>
        <w:spacing w:before="300" w:line="360" w:lineRule="auto"/>
        <w:ind w:left="449"/>
        <w:jc w:val="left"/>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竣工验收资料的费用支付方式：</w:t>
      </w:r>
      <w:r>
        <w:rPr>
          <w:rFonts w:hint="eastAsia" w:ascii="宋体" w:hAnsi="宋体" w:eastAsia="宋体" w:cs="宋体"/>
          <w:color w:val="auto"/>
          <w:spacing w:val="9"/>
          <w:sz w:val="20"/>
          <w:szCs w:val="20"/>
          <w:highlight w:val="none"/>
          <w:lang w:val="en-US" w:eastAsia="zh-CN"/>
        </w:rPr>
        <w:t>由承包人承担</w:t>
      </w:r>
      <w:r>
        <w:rPr>
          <w:rFonts w:hint="eastAsia" w:ascii="宋体" w:hAnsi="宋体" w:eastAsia="宋体" w:cs="宋体"/>
          <w:color w:val="auto"/>
          <w:spacing w:val="9"/>
          <w:sz w:val="20"/>
          <w:szCs w:val="20"/>
          <w:highlight w:val="none"/>
          <w:lang w:eastAsia="zh-CN"/>
        </w:rPr>
        <w:t>。</w:t>
      </w:r>
    </w:p>
    <w:p w14:paraId="05BB44CD">
      <w:pPr>
        <w:pStyle w:val="17"/>
        <w:spacing w:line="360" w:lineRule="auto"/>
        <w:jc w:val="left"/>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lang w:eastAsia="zh-CN"/>
        </w:rPr>
        <w:t xml:space="preserve"> </w:t>
      </w:r>
    </w:p>
    <w:p w14:paraId="2D228750">
      <w:pPr>
        <w:spacing w:before="78" w:line="360" w:lineRule="auto"/>
        <w:ind w:left="38"/>
        <w:jc w:val="left"/>
        <w:outlineLvl w:val="2"/>
        <w:rPr>
          <w:rFonts w:hint="eastAsia" w:ascii="宋体" w:hAnsi="宋体" w:eastAsia="宋体" w:cs="宋体"/>
          <w:color w:val="auto"/>
          <w:sz w:val="24"/>
          <w:szCs w:val="24"/>
          <w:highlight w:val="none"/>
        </w:rPr>
      </w:pPr>
      <w:bookmarkStart w:id="781" w:name="bookmark57"/>
      <w:bookmarkEnd w:id="781"/>
      <w:r>
        <w:rPr>
          <w:rFonts w:hint="eastAsia" w:ascii="宋体" w:hAnsi="宋体" w:eastAsia="宋体" w:cs="宋体"/>
          <w:color w:val="auto"/>
          <w:spacing w:val="-3"/>
          <w:sz w:val="24"/>
          <w:szCs w:val="24"/>
          <w:highlight w:val="none"/>
        </w:rPr>
        <w:t>18.5  施工期运行</w:t>
      </w:r>
    </w:p>
    <w:p w14:paraId="16D727E5">
      <w:pPr>
        <w:spacing w:before="296"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18.5.1  需要施工期运行的单位工程或设备安装</w:t>
      </w:r>
      <w:r>
        <w:rPr>
          <w:rFonts w:hint="eastAsia" w:ascii="宋体" w:hAnsi="宋体" w:eastAsia="宋体" w:cs="宋体"/>
          <w:color w:val="auto"/>
          <w:spacing w:val="4"/>
          <w:sz w:val="20"/>
          <w:szCs w:val="20"/>
          <w:highlight w:val="none"/>
        </w:rPr>
        <w:t>工程：</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2AB40B80">
      <w:pPr>
        <w:spacing w:before="284" w:line="360" w:lineRule="auto"/>
        <w:ind w:left="38"/>
        <w:jc w:val="left"/>
        <w:outlineLvl w:val="2"/>
        <w:rPr>
          <w:rFonts w:hint="eastAsia" w:ascii="宋体" w:hAnsi="宋体" w:eastAsia="宋体" w:cs="宋体"/>
          <w:color w:val="auto"/>
          <w:sz w:val="24"/>
          <w:szCs w:val="24"/>
          <w:highlight w:val="none"/>
        </w:rPr>
      </w:pPr>
      <w:bookmarkStart w:id="782" w:name="bookmark58"/>
      <w:bookmarkEnd w:id="782"/>
      <w:r>
        <w:rPr>
          <w:rFonts w:hint="eastAsia" w:ascii="宋体" w:hAnsi="宋体" w:eastAsia="宋体" w:cs="宋体"/>
          <w:color w:val="auto"/>
          <w:spacing w:val="-3"/>
          <w:sz w:val="24"/>
          <w:szCs w:val="24"/>
          <w:highlight w:val="none"/>
        </w:rPr>
        <w:t>18.8  施工队伍的撤离</w:t>
      </w:r>
    </w:p>
    <w:p w14:paraId="339B03D2">
      <w:pPr>
        <w:spacing w:before="296" w:line="360" w:lineRule="auto"/>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18.8.3  缺陷责任期满时，承包人在施工场地保留的人员和施工设备最终撤离的期限：</w:t>
      </w:r>
    </w:p>
    <w:p w14:paraId="540F494D">
      <w:pPr>
        <w:spacing w:before="161" w:line="360" w:lineRule="auto"/>
        <w:ind w:left="963"/>
        <w:jc w:val="left"/>
        <w:rPr>
          <w:rFonts w:hint="eastAsia" w:ascii="宋体" w:hAnsi="宋体" w:eastAsia="宋体" w:cs="宋体"/>
          <w:color w:val="auto"/>
          <w:highlight w:val="none"/>
        </w:rPr>
      </w:pPr>
      <w:r>
        <w:rPr>
          <w:rFonts w:hint="eastAsia" w:ascii="宋体" w:hAnsi="宋体" w:eastAsia="宋体" w:cs="宋体"/>
          <w:snapToGrid w:val="0"/>
          <w:color w:val="auto"/>
          <w:spacing w:val="7"/>
          <w:kern w:val="0"/>
          <w:sz w:val="20"/>
          <w:szCs w:val="20"/>
          <w:highlight w:val="none"/>
          <w:u w:val="single"/>
          <w:lang w:val="en-US" w:eastAsia="zh-CN" w:bidi="ar-SA"/>
        </w:rPr>
        <w:t>工程接收证书颁发后的28天内，除了经发包人</w:t>
      </w:r>
      <w:r>
        <w:rPr>
          <w:rFonts w:hint="eastAsia" w:ascii="宋体" w:hAnsi="宋体" w:eastAsia="宋体" w:cs="宋体"/>
          <w:color w:val="auto"/>
          <w:spacing w:val="7"/>
          <w:sz w:val="20"/>
          <w:szCs w:val="20"/>
          <w:highlight w:val="none"/>
          <w:u w:val="single"/>
          <w:lang w:val="en-US" w:eastAsia="zh-CN"/>
        </w:rPr>
        <w:t>同意</w:t>
      </w:r>
      <w:r>
        <w:rPr>
          <w:rFonts w:hint="eastAsia" w:ascii="宋体" w:hAnsi="宋体" w:eastAsia="宋体" w:cs="宋体"/>
          <w:snapToGrid w:val="0"/>
          <w:color w:val="auto"/>
          <w:spacing w:val="7"/>
          <w:kern w:val="0"/>
          <w:sz w:val="20"/>
          <w:szCs w:val="20"/>
          <w:highlight w:val="none"/>
          <w:u w:val="single"/>
          <w:lang w:val="en-US" w:eastAsia="zh-CN" w:bidi="ar-SA"/>
        </w:rPr>
        <w:t>需在缺陷责任期内继续工作和使用的</w:t>
      </w:r>
      <w:r>
        <w:rPr>
          <w:rFonts w:hint="eastAsia" w:ascii="宋体" w:hAnsi="宋体" w:eastAsia="宋体" w:cs="宋体"/>
          <w:color w:val="auto"/>
          <w:spacing w:val="7"/>
          <w:sz w:val="20"/>
          <w:szCs w:val="20"/>
          <w:highlight w:val="none"/>
          <w:u w:val="single"/>
          <w:lang w:val="en-US" w:eastAsia="zh-CN"/>
        </w:rPr>
        <w:t>人员</w:t>
      </w:r>
      <w:r>
        <w:rPr>
          <w:rFonts w:hint="eastAsia" w:ascii="宋体" w:hAnsi="宋体" w:eastAsia="宋体" w:cs="宋体"/>
          <w:snapToGrid w:val="0"/>
          <w:color w:val="auto"/>
          <w:spacing w:val="7"/>
          <w:kern w:val="0"/>
          <w:sz w:val="20"/>
          <w:szCs w:val="20"/>
          <w:highlight w:val="none"/>
          <w:u w:val="single"/>
          <w:lang w:val="en-US" w:eastAsia="zh-CN" w:bidi="ar-SA"/>
        </w:rPr>
        <w:t>、施工设备和临时工程外，其余的人员、施工设备和临时工程均应拆除并撤离施工场地。承包人在缺陷责任期满后，要求部分人员和施工设备仍留在场内的，承包人应提交其留场人员和设备的明细表及最后撤离时间。延后撤离造成发包人增加的费用，由承包人承担。</w:t>
      </w:r>
    </w:p>
    <w:p w14:paraId="3C3B6DE2">
      <w:pPr>
        <w:spacing w:before="78" w:line="360" w:lineRule="auto"/>
        <w:ind w:left="38"/>
        <w:jc w:val="left"/>
        <w:outlineLvl w:val="2"/>
        <w:rPr>
          <w:rFonts w:hint="eastAsia" w:ascii="宋体" w:hAnsi="宋体" w:eastAsia="宋体" w:cs="宋体"/>
          <w:color w:val="auto"/>
          <w:sz w:val="24"/>
          <w:szCs w:val="24"/>
          <w:highlight w:val="none"/>
        </w:rPr>
      </w:pPr>
      <w:bookmarkStart w:id="783" w:name="bookmark59"/>
      <w:bookmarkEnd w:id="783"/>
      <w:r>
        <w:rPr>
          <w:rFonts w:hint="eastAsia" w:ascii="宋体" w:hAnsi="宋体" w:eastAsia="宋体" w:cs="宋体"/>
          <w:color w:val="auto"/>
          <w:spacing w:val="-8"/>
          <w:sz w:val="24"/>
          <w:szCs w:val="24"/>
          <w:highlight w:val="none"/>
        </w:rPr>
        <w:t>18.9</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8"/>
          <w:sz w:val="24"/>
          <w:szCs w:val="24"/>
          <w:highlight w:val="none"/>
        </w:rPr>
        <w:t>中间验收</w:t>
      </w:r>
    </w:p>
    <w:p w14:paraId="375046B2">
      <w:pPr>
        <w:spacing w:before="297" w:line="360" w:lineRule="auto"/>
        <w:ind w:left="455"/>
        <w:jc w:val="left"/>
        <w:rPr>
          <w:rFonts w:hint="eastAsia" w:ascii="宋体" w:hAnsi="宋体" w:eastAsia="宋体" w:cs="宋体"/>
          <w:color w:val="auto"/>
          <w:highlight w:val="none"/>
        </w:rPr>
      </w:pPr>
      <w:r>
        <w:rPr>
          <w:rFonts w:hint="eastAsia" w:ascii="宋体" w:hAnsi="宋体" w:eastAsia="宋体" w:cs="宋体"/>
          <w:color w:val="auto"/>
          <w:spacing w:val="5"/>
          <w:sz w:val="20"/>
          <w:szCs w:val="20"/>
          <w:highlight w:val="none"/>
        </w:rPr>
        <w:t>18.9.1  本工程需要进行中间验收的部</w:t>
      </w:r>
      <w:r>
        <w:rPr>
          <w:rFonts w:hint="eastAsia" w:ascii="宋体" w:hAnsi="宋体" w:eastAsia="宋体" w:cs="宋体"/>
          <w:color w:val="auto"/>
          <w:spacing w:val="4"/>
          <w:sz w:val="20"/>
          <w:szCs w:val="20"/>
          <w:highlight w:val="none"/>
        </w:rPr>
        <w:t>位：</w:t>
      </w:r>
      <w:r>
        <w:rPr>
          <w:rFonts w:hint="eastAsia" w:ascii="宋体" w:hAnsi="宋体" w:eastAsia="宋体" w:cs="宋体"/>
          <w:color w:val="auto"/>
          <w:spacing w:val="7"/>
          <w:sz w:val="20"/>
          <w:szCs w:val="20"/>
          <w:highlight w:val="none"/>
          <w:u w:val="single"/>
          <w:lang w:val="en-US" w:eastAsia="zh-CN"/>
        </w:rPr>
        <w:t xml:space="preserve">经监理人确定需进行中间验收部位。 </w:t>
      </w:r>
      <w:r>
        <w:rPr>
          <w:rFonts w:hint="eastAsia" w:ascii="宋体" w:hAnsi="宋体" w:eastAsia="宋体" w:cs="宋体"/>
          <w:color w:val="auto"/>
          <w:spacing w:val="4"/>
          <w:sz w:val="20"/>
          <w:szCs w:val="20"/>
          <w:highlight w:val="none"/>
          <w:u w:val="single" w:color="auto"/>
        </w:rPr>
        <w:t xml:space="preserve">                                     </w:t>
      </w:r>
    </w:p>
    <w:p w14:paraId="029C33DF">
      <w:pPr>
        <w:spacing w:before="162" w:line="360" w:lineRule="auto"/>
        <w:ind w:left="455"/>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18.9.2  验收不合格的，承包人在</w:t>
      </w:r>
      <w:r>
        <w:rPr>
          <w:rFonts w:hint="eastAsia" w:ascii="宋体" w:hAnsi="宋体" w:eastAsia="宋体" w:cs="宋体"/>
          <w:color w:val="auto"/>
          <w:spacing w:val="7"/>
          <w:sz w:val="20"/>
          <w:szCs w:val="20"/>
          <w:highlight w:val="none"/>
          <w:u w:val="single"/>
          <w:lang w:val="en-US" w:eastAsia="zh-CN"/>
        </w:rPr>
        <w:t xml:space="preserve"> 7 天  </w:t>
      </w:r>
      <w:r>
        <w:rPr>
          <w:rFonts w:hint="eastAsia" w:ascii="宋体" w:hAnsi="宋体" w:eastAsia="宋体" w:cs="宋体"/>
          <w:color w:val="auto"/>
          <w:spacing w:val="6"/>
          <w:sz w:val="20"/>
          <w:szCs w:val="20"/>
          <w:highlight w:val="none"/>
        </w:rPr>
        <w:t>期限内进行修改后重新验收。</w:t>
      </w:r>
    </w:p>
    <w:p w14:paraId="0DFE05C4">
      <w:pPr>
        <w:spacing w:before="291" w:line="360" w:lineRule="auto"/>
        <w:ind w:left="43"/>
        <w:jc w:val="left"/>
        <w:outlineLvl w:val="1"/>
        <w:rPr>
          <w:rFonts w:hint="eastAsia" w:ascii="宋体" w:hAnsi="宋体" w:eastAsia="宋体" w:cs="宋体"/>
          <w:color w:val="auto"/>
          <w:sz w:val="28"/>
          <w:szCs w:val="28"/>
          <w:highlight w:val="none"/>
        </w:rPr>
      </w:pPr>
      <w:bookmarkStart w:id="784" w:name="bookmark60"/>
      <w:bookmarkEnd w:id="784"/>
      <w:r>
        <w:rPr>
          <w:rFonts w:hint="eastAsia" w:ascii="宋体" w:hAnsi="宋体" w:eastAsia="宋体" w:cs="宋体"/>
          <w:color w:val="auto"/>
          <w:spacing w:val="-3"/>
          <w:sz w:val="28"/>
          <w:szCs w:val="28"/>
          <w:highlight w:val="none"/>
        </w:rPr>
        <w:t>19.缺陷责任与保修责任</w:t>
      </w:r>
    </w:p>
    <w:p w14:paraId="104D6940">
      <w:pPr>
        <w:pStyle w:val="17"/>
        <w:spacing w:line="360" w:lineRule="auto"/>
        <w:jc w:val="left"/>
        <w:rPr>
          <w:rFonts w:hint="eastAsia" w:ascii="宋体" w:hAnsi="宋体" w:eastAsia="宋体" w:cs="宋体"/>
          <w:color w:val="auto"/>
          <w:highlight w:val="none"/>
        </w:rPr>
      </w:pPr>
    </w:p>
    <w:p w14:paraId="562262ED">
      <w:pPr>
        <w:spacing w:before="78" w:line="360" w:lineRule="auto"/>
        <w:ind w:left="38"/>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19.7</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rPr>
        <w:t>保修责任</w:t>
      </w:r>
    </w:p>
    <w:p w14:paraId="0C404D07">
      <w:pPr>
        <w:spacing w:before="296" w:line="360" w:lineRule="auto"/>
        <w:ind w:left="442" w:right="34" w:firstLine="12"/>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4"/>
          <w:sz w:val="20"/>
          <w:szCs w:val="20"/>
          <w:highlight w:val="none"/>
        </w:rPr>
        <w:t>19.7.1  工程质量保修范围：</w:t>
      </w:r>
      <w:r>
        <w:rPr>
          <w:rFonts w:hint="eastAsia" w:ascii="宋体" w:hAnsi="宋体" w:eastAsia="宋体" w:cs="宋体"/>
          <w:color w:val="auto"/>
          <w:spacing w:val="7"/>
          <w:sz w:val="20"/>
          <w:szCs w:val="20"/>
          <w:highlight w:val="none"/>
          <w:u w:val="single"/>
          <w:lang w:val="en-US" w:eastAsia="zh-CN"/>
        </w:rPr>
        <w:t>具体详见合同附格式部分附件七《房屋建筑工程质量保修书》的约定。若国家、北京市对工程保修范围的标准要求更高的，按更高标准执行。</w:t>
      </w:r>
    </w:p>
    <w:p w14:paraId="5CBC8FCC">
      <w:pPr>
        <w:spacing w:before="296" w:line="360" w:lineRule="auto"/>
        <w:ind w:left="442" w:right="34" w:firstLine="12"/>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4"/>
          <w:sz w:val="20"/>
          <w:szCs w:val="20"/>
          <w:highlight w:val="none"/>
        </w:rPr>
        <w:t>工程质量保修期限：</w:t>
      </w:r>
      <w:r>
        <w:rPr>
          <w:rFonts w:hint="eastAsia" w:ascii="宋体" w:hAnsi="宋体" w:eastAsia="宋体" w:cs="宋体"/>
          <w:color w:val="auto"/>
          <w:spacing w:val="7"/>
          <w:sz w:val="20"/>
          <w:szCs w:val="20"/>
          <w:highlight w:val="none"/>
          <w:u w:val="single"/>
          <w:lang w:val="en-US" w:eastAsia="zh-CN"/>
        </w:rPr>
        <w:t>具体详见合同附件格式部分附件七《房屋建筑工程质量保修书》的约定。若国家、北京市对工程保修期限有规定且长于本合同约定保修期限的，按相关规定执行；若承包人采购的材料保修期限长于本合同约定工程质量保修期限的，则相关工程质量保修及材料保修期限均按材料保修期限执行。</w:t>
      </w:r>
    </w:p>
    <w:p w14:paraId="1D37EBCE">
      <w:pPr>
        <w:spacing w:before="1" w:line="360" w:lineRule="auto"/>
        <w:ind w:left="442"/>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4"/>
          <w:sz w:val="20"/>
          <w:szCs w:val="20"/>
          <w:highlight w:val="none"/>
        </w:rPr>
        <w:t>工程质量保修责任：</w:t>
      </w:r>
      <w:r>
        <w:rPr>
          <w:rFonts w:hint="eastAsia" w:ascii="宋体" w:hAnsi="宋体" w:eastAsia="宋体" w:cs="宋体"/>
          <w:color w:val="auto"/>
          <w:spacing w:val="7"/>
          <w:sz w:val="20"/>
          <w:szCs w:val="20"/>
          <w:highlight w:val="none"/>
          <w:u w:val="single"/>
          <w:lang w:val="en-US" w:eastAsia="zh-CN"/>
        </w:rPr>
        <w:t>具体详见合同附件格式部分附件七《房屋建筑工程质量保修书》的约。</w:t>
      </w:r>
    </w:p>
    <w:p w14:paraId="45188AD8">
      <w:pPr>
        <w:spacing w:before="291" w:line="360" w:lineRule="auto"/>
        <w:ind w:left="26"/>
        <w:jc w:val="left"/>
        <w:outlineLvl w:val="1"/>
        <w:rPr>
          <w:rFonts w:hint="eastAsia" w:ascii="宋体" w:hAnsi="宋体" w:eastAsia="宋体" w:cs="宋体"/>
          <w:color w:val="auto"/>
          <w:sz w:val="28"/>
          <w:szCs w:val="28"/>
          <w:highlight w:val="none"/>
        </w:rPr>
      </w:pPr>
      <w:bookmarkStart w:id="785" w:name="bookmark61"/>
      <w:bookmarkEnd w:id="785"/>
      <w:r>
        <w:rPr>
          <w:rFonts w:hint="eastAsia" w:ascii="宋体" w:hAnsi="宋体" w:eastAsia="宋体" w:cs="宋体"/>
          <w:color w:val="auto"/>
          <w:spacing w:val="-3"/>
          <w:sz w:val="28"/>
          <w:szCs w:val="28"/>
          <w:highlight w:val="none"/>
        </w:rPr>
        <w:t>20.保险</w:t>
      </w:r>
    </w:p>
    <w:p w14:paraId="4251C8B2">
      <w:pPr>
        <w:pStyle w:val="17"/>
        <w:spacing w:line="360" w:lineRule="auto"/>
        <w:jc w:val="left"/>
        <w:rPr>
          <w:rFonts w:hint="eastAsia" w:ascii="宋体" w:hAnsi="宋体" w:eastAsia="宋体" w:cs="宋体"/>
          <w:color w:val="auto"/>
          <w:highlight w:val="none"/>
        </w:rPr>
      </w:pPr>
    </w:p>
    <w:p w14:paraId="68C70B53">
      <w:pPr>
        <w:spacing w:before="79" w:line="360" w:lineRule="auto"/>
        <w:ind w:left="23"/>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20.1</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工程保险</w:t>
      </w:r>
    </w:p>
    <w:p w14:paraId="73110141">
      <w:pPr>
        <w:spacing w:before="295" w:line="360" w:lineRule="auto"/>
        <w:ind w:left="21" w:right="33" w:firstLine="419"/>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本工程</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 xml:space="preserve">投保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3"/>
          <w:sz w:val="20"/>
          <w:szCs w:val="20"/>
          <w:highlight w:val="none"/>
        </w:rPr>
        <w:t xml:space="preserve"> </w:t>
      </w:r>
      <w:r>
        <w:rPr>
          <w:rFonts w:hint="eastAsia" w:ascii="宋体" w:hAnsi="宋体" w:eastAsia="宋体" w:cs="宋体"/>
          <w:color w:val="auto"/>
          <w:spacing w:val="5"/>
          <w:sz w:val="20"/>
          <w:szCs w:val="20"/>
          <w:highlight w:val="none"/>
        </w:rPr>
        <w:t>(投保/不投保)工程保险。投保工程保险时，险种为</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7"/>
          <w:sz w:val="20"/>
          <w:szCs w:val="20"/>
          <w:highlight w:val="none"/>
          <w:u w:val="single"/>
          <w:lang w:val="en-US" w:eastAsia="zh-CN"/>
        </w:rPr>
        <w:t>建筑工程一切险和安装工程一切险，</w:t>
      </w:r>
      <w:r>
        <w:rPr>
          <w:rFonts w:hint="eastAsia" w:ascii="宋体" w:hAnsi="宋体" w:eastAsia="宋体" w:cs="宋体"/>
          <w:color w:val="auto"/>
          <w:spacing w:val="5"/>
          <w:sz w:val="20"/>
          <w:szCs w:val="20"/>
          <w:highlight w:val="none"/>
        </w:rPr>
        <w:t>并</w:t>
      </w:r>
      <w:r>
        <w:rPr>
          <w:rFonts w:hint="eastAsia" w:ascii="宋体" w:hAnsi="宋体" w:eastAsia="宋体" w:cs="宋体"/>
          <w:color w:val="auto"/>
          <w:spacing w:val="6"/>
          <w:sz w:val="20"/>
          <w:szCs w:val="20"/>
          <w:highlight w:val="none"/>
        </w:rPr>
        <w:t>符合以下约定：</w:t>
      </w:r>
    </w:p>
    <w:p w14:paraId="2FB43C78">
      <w:pPr>
        <w:spacing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（1）投保人</w:t>
      </w:r>
      <w:r>
        <w:rPr>
          <w:rFonts w:hint="eastAsia" w:ascii="宋体" w:hAnsi="宋体" w:eastAsia="宋体" w:cs="宋体"/>
          <w:color w:val="auto"/>
          <w:spacing w:val="7"/>
          <w:sz w:val="20"/>
          <w:szCs w:val="20"/>
          <w:highlight w:val="none"/>
          <w:u w:val="single"/>
          <w:lang w:val="en-US" w:eastAsia="zh-CN"/>
        </w:rPr>
        <w:t>：承包人。</w:t>
      </w:r>
    </w:p>
    <w:p w14:paraId="7F82469B">
      <w:pPr>
        <w:spacing w:before="161"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（2）投保内容：</w:t>
      </w:r>
      <w:r>
        <w:rPr>
          <w:rFonts w:hint="eastAsia" w:ascii="宋体" w:hAnsi="宋体" w:eastAsia="宋体" w:cs="宋体"/>
          <w:color w:val="auto"/>
          <w:spacing w:val="7"/>
          <w:sz w:val="20"/>
          <w:szCs w:val="20"/>
          <w:highlight w:val="none"/>
          <w:u w:val="single"/>
          <w:lang w:val="en-US" w:eastAsia="zh-CN"/>
        </w:rPr>
        <w:t xml:space="preserve">建筑工程一切险及安装工程一切险。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0DADCA01">
      <w:pPr>
        <w:spacing w:before="163"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（3）保险费率：</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7"/>
          <w:sz w:val="20"/>
          <w:szCs w:val="20"/>
          <w:highlight w:val="none"/>
        </w:rPr>
        <w:t>由投保人与合同双方同意的保险人</w:t>
      </w:r>
      <w:r>
        <w:rPr>
          <w:rFonts w:hint="eastAsia" w:ascii="宋体" w:hAnsi="宋体" w:eastAsia="宋体" w:cs="宋体"/>
          <w:color w:val="auto"/>
          <w:spacing w:val="6"/>
          <w:sz w:val="20"/>
          <w:szCs w:val="20"/>
          <w:highlight w:val="none"/>
        </w:rPr>
        <w:t>商定。</w:t>
      </w:r>
    </w:p>
    <w:p w14:paraId="05B6FA84">
      <w:pPr>
        <w:spacing w:before="161"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（4）保险金额：</w:t>
      </w:r>
      <w:r>
        <w:rPr>
          <w:rFonts w:hint="eastAsia" w:ascii="宋体" w:hAnsi="宋体" w:eastAsia="宋体" w:cs="宋体"/>
          <w:color w:val="auto"/>
          <w:spacing w:val="7"/>
          <w:sz w:val="20"/>
          <w:szCs w:val="20"/>
          <w:highlight w:val="none"/>
          <w:u w:val="single"/>
          <w:lang w:val="en-US" w:eastAsia="zh-CN"/>
        </w:rPr>
        <w:t xml:space="preserve">不低于签约合同价。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2D8DCF79">
      <w:pPr>
        <w:spacing w:before="161" w:line="360" w:lineRule="auto"/>
        <w:ind w:left="449"/>
        <w:jc w:val="left"/>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（5）保险期限：</w:t>
      </w:r>
      <w:r>
        <w:rPr>
          <w:rFonts w:hint="eastAsia" w:ascii="宋体" w:hAnsi="宋体" w:eastAsia="宋体" w:cs="宋体"/>
          <w:color w:val="auto"/>
          <w:spacing w:val="7"/>
          <w:sz w:val="20"/>
          <w:szCs w:val="20"/>
          <w:highlight w:val="none"/>
          <w:u w:val="single"/>
          <w:lang w:val="en-US" w:eastAsia="zh-CN"/>
        </w:rPr>
        <w:t xml:space="preserve">本工程实际开工之日至实际竣工验收合格之日止。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2DECADA4">
      <w:pPr>
        <w:spacing w:before="284" w:line="360" w:lineRule="auto"/>
        <w:ind w:left="23"/>
        <w:jc w:val="left"/>
        <w:outlineLvl w:val="2"/>
        <w:rPr>
          <w:rFonts w:hint="eastAsia" w:ascii="宋体" w:hAnsi="宋体" w:eastAsia="宋体" w:cs="宋体"/>
          <w:color w:val="auto"/>
          <w:sz w:val="24"/>
          <w:szCs w:val="24"/>
          <w:highlight w:val="none"/>
        </w:rPr>
      </w:pPr>
      <w:bookmarkStart w:id="786" w:name="bookmark62"/>
      <w:bookmarkEnd w:id="786"/>
      <w:r>
        <w:rPr>
          <w:rFonts w:hint="eastAsia" w:ascii="宋体" w:hAnsi="宋体" w:eastAsia="宋体" w:cs="宋体"/>
          <w:color w:val="auto"/>
          <w:spacing w:val="-2"/>
          <w:sz w:val="24"/>
          <w:szCs w:val="24"/>
          <w:highlight w:val="none"/>
        </w:rPr>
        <w:t>20.4  第三者责任险</w:t>
      </w:r>
    </w:p>
    <w:p w14:paraId="2FAFC647">
      <w:pPr>
        <w:spacing w:before="297" w:line="360" w:lineRule="auto"/>
        <w:ind w:left="21" w:right="33" w:firstLine="420"/>
        <w:jc w:val="left"/>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20.4.2  保险金额</w:t>
      </w:r>
      <w:r>
        <w:rPr>
          <w:rFonts w:hint="eastAsia" w:ascii="宋体" w:hAnsi="宋体" w:eastAsia="宋体" w:cs="宋体"/>
          <w:color w:val="auto"/>
          <w:spacing w:val="-28"/>
          <w:sz w:val="20"/>
          <w:szCs w:val="20"/>
          <w:highlight w:val="none"/>
        </w:rPr>
        <w:t>：</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28"/>
          <w:sz w:val="20"/>
          <w:szCs w:val="20"/>
          <w:highlight w:val="none"/>
        </w:rPr>
        <w:t>，</w:t>
      </w:r>
      <w:r>
        <w:rPr>
          <w:rFonts w:hint="eastAsia" w:ascii="宋体" w:hAnsi="宋体" w:eastAsia="宋体" w:cs="宋体"/>
          <w:color w:val="auto"/>
          <w:spacing w:val="8"/>
          <w:sz w:val="20"/>
          <w:szCs w:val="20"/>
          <w:highlight w:val="none"/>
        </w:rPr>
        <w:t>保险费率由承包人与发包</w:t>
      </w:r>
      <w:r>
        <w:rPr>
          <w:rFonts w:hint="eastAsia" w:ascii="宋体" w:hAnsi="宋体" w:eastAsia="宋体" w:cs="宋体"/>
          <w:color w:val="auto"/>
          <w:spacing w:val="7"/>
          <w:sz w:val="20"/>
          <w:szCs w:val="20"/>
          <w:highlight w:val="none"/>
        </w:rPr>
        <w:t>人同意的保险人商定，相关保险费由</w:t>
      </w:r>
      <w:r>
        <w:rPr>
          <w:rFonts w:hint="eastAsia" w:ascii="宋体" w:hAnsi="宋体" w:eastAsia="宋体" w:cs="宋体"/>
          <w:color w:val="auto"/>
          <w:spacing w:val="-93"/>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0"/>
          <w:sz w:val="20"/>
          <w:szCs w:val="20"/>
          <w:highlight w:val="none"/>
        </w:rPr>
        <w:t xml:space="preserve"> </w:t>
      </w:r>
      <w:r>
        <w:rPr>
          <w:rFonts w:hint="eastAsia" w:ascii="宋体" w:hAnsi="宋体" w:eastAsia="宋体" w:cs="宋体"/>
          <w:color w:val="auto"/>
          <w:spacing w:val="7"/>
          <w:sz w:val="20"/>
          <w:szCs w:val="20"/>
          <w:highlight w:val="none"/>
        </w:rPr>
        <w:t>承担。</w:t>
      </w:r>
    </w:p>
    <w:p w14:paraId="45D48D13">
      <w:pPr>
        <w:spacing w:before="122" w:line="360" w:lineRule="auto"/>
        <w:ind w:left="23"/>
        <w:jc w:val="left"/>
        <w:outlineLvl w:val="2"/>
        <w:rPr>
          <w:rFonts w:hint="eastAsia" w:ascii="宋体" w:hAnsi="宋体" w:eastAsia="宋体" w:cs="宋体"/>
          <w:color w:val="auto"/>
          <w:sz w:val="24"/>
          <w:szCs w:val="24"/>
          <w:highlight w:val="none"/>
        </w:rPr>
      </w:pPr>
      <w:bookmarkStart w:id="787" w:name="bookmark63"/>
      <w:bookmarkEnd w:id="787"/>
      <w:r>
        <w:rPr>
          <w:rFonts w:hint="eastAsia" w:ascii="宋体" w:hAnsi="宋体" w:eastAsia="宋体" w:cs="宋体"/>
          <w:color w:val="auto"/>
          <w:spacing w:val="-2"/>
          <w:sz w:val="24"/>
          <w:szCs w:val="24"/>
          <w:highlight w:val="none"/>
        </w:rPr>
        <w:t>20.5  其他保险</w:t>
      </w:r>
    </w:p>
    <w:p w14:paraId="3A543CF5">
      <w:pPr>
        <w:spacing w:before="296" w:line="360" w:lineRule="auto"/>
        <w:ind w:left="439"/>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9"/>
          <w:sz w:val="20"/>
          <w:szCs w:val="20"/>
          <w:highlight w:val="none"/>
        </w:rPr>
        <w:t>承包人应为其施工设备、进场材料等办理的保险：</w:t>
      </w:r>
      <w:r>
        <w:rPr>
          <w:rFonts w:hint="eastAsia" w:ascii="宋体" w:hAnsi="宋体" w:eastAsia="宋体" w:cs="宋体"/>
          <w:color w:val="auto"/>
          <w:spacing w:val="7"/>
          <w:sz w:val="20"/>
          <w:szCs w:val="20"/>
          <w:highlight w:val="none"/>
          <w:u w:val="single"/>
          <w:lang w:val="en-US" w:eastAsia="zh-CN"/>
        </w:rPr>
        <w:t>承包人按国家规定自行确定，发包人不承担损失。</w:t>
      </w:r>
    </w:p>
    <w:p w14:paraId="271C28ED">
      <w:pPr>
        <w:pStyle w:val="17"/>
        <w:spacing w:line="360" w:lineRule="auto"/>
        <w:jc w:val="left"/>
        <w:rPr>
          <w:rFonts w:hint="eastAsia" w:ascii="宋体" w:hAnsi="宋体" w:eastAsia="宋体" w:cs="宋体"/>
          <w:color w:val="auto"/>
          <w:highlight w:val="none"/>
        </w:rPr>
      </w:pPr>
    </w:p>
    <w:p w14:paraId="55AF98E8">
      <w:pPr>
        <w:spacing w:before="78" w:line="360" w:lineRule="auto"/>
        <w:ind w:left="23"/>
        <w:jc w:val="left"/>
        <w:outlineLvl w:val="2"/>
        <w:rPr>
          <w:rFonts w:hint="eastAsia" w:ascii="宋体" w:hAnsi="宋体" w:eastAsia="宋体" w:cs="宋体"/>
          <w:color w:val="auto"/>
          <w:sz w:val="24"/>
          <w:szCs w:val="24"/>
          <w:highlight w:val="none"/>
        </w:rPr>
      </w:pPr>
      <w:bookmarkStart w:id="788" w:name="bookmark64"/>
      <w:bookmarkEnd w:id="788"/>
      <w:r>
        <w:rPr>
          <w:rFonts w:hint="eastAsia" w:ascii="宋体" w:hAnsi="宋体" w:eastAsia="宋体" w:cs="宋体"/>
          <w:color w:val="auto"/>
          <w:spacing w:val="-1"/>
          <w:sz w:val="24"/>
          <w:szCs w:val="24"/>
          <w:highlight w:val="none"/>
        </w:rPr>
        <w:t>20.6  对各项保险的一般要求</w:t>
      </w:r>
    </w:p>
    <w:p w14:paraId="19D05C8A">
      <w:pPr>
        <w:spacing w:before="296" w:line="360" w:lineRule="auto"/>
        <w:ind w:left="442"/>
        <w:jc w:val="lef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20.6.1  保险凭证</w:t>
      </w:r>
    </w:p>
    <w:p w14:paraId="3B07C3D3">
      <w:pPr>
        <w:spacing w:before="160" w:line="360" w:lineRule="auto"/>
        <w:ind w:left="439"/>
        <w:jc w:val="left"/>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rPr>
        <w:t>承包人向发包人提交各项保险生效的证据和保险单副本的期限：</w:t>
      </w:r>
      <w:r>
        <w:rPr>
          <w:rFonts w:hint="eastAsia" w:ascii="宋体" w:hAnsi="宋体" w:eastAsia="宋体" w:cs="宋体"/>
          <w:color w:val="auto"/>
          <w:spacing w:val="7"/>
          <w:sz w:val="20"/>
          <w:szCs w:val="20"/>
          <w:highlight w:val="none"/>
          <w:u w:val="single"/>
          <w:lang w:val="en-US" w:eastAsia="zh-CN"/>
        </w:rPr>
        <w:t xml:space="preserve">办理完成后14天内。 </w:t>
      </w:r>
      <w:r>
        <w:rPr>
          <w:rFonts w:hint="eastAsia" w:ascii="宋体" w:hAnsi="宋体" w:eastAsia="宋体" w:cs="宋体"/>
          <w:color w:val="auto"/>
          <w:sz w:val="20"/>
          <w:szCs w:val="20"/>
          <w:highlight w:val="none"/>
          <w:u w:val="single" w:color="auto"/>
        </w:rPr>
        <w:t xml:space="preserve">         </w:t>
      </w:r>
    </w:p>
    <w:p w14:paraId="3DB85BA0">
      <w:pPr>
        <w:spacing w:before="158" w:line="360" w:lineRule="auto"/>
        <w:ind w:left="442"/>
        <w:jc w:val="left"/>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20.6.4  保险金不足的补偿</w:t>
      </w:r>
    </w:p>
    <w:p w14:paraId="14A204AE">
      <w:pPr>
        <w:spacing w:before="163" w:line="360" w:lineRule="auto"/>
        <w:ind w:left="440"/>
        <w:jc w:val="left"/>
        <w:rPr>
          <w:rFonts w:hint="eastAsia" w:ascii="宋体" w:hAnsi="宋体" w:eastAsia="宋体" w:cs="宋体"/>
          <w:color w:val="auto"/>
          <w:spacing w:val="7"/>
          <w:sz w:val="20"/>
          <w:szCs w:val="20"/>
          <w:highlight w:val="none"/>
          <w:u w:val="single"/>
          <w:lang w:val="en-US" w:eastAsia="zh-CN"/>
        </w:rPr>
      </w:pPr>
      <w:r>
        <w:rPr>
          <w:rFonts w:hint="eastAsia" w:ascii="宋体" w:hAnsi="宋体" w:eastAsia="宋体" w:cs="宋体"/>
          <w:color w:val="auto"/>
          <w:spacing w:val="9"/>
          <w:sz w:val="20"/>
          <w:szCs w:val="20"/>
          <w:highlight w:val="none"/>
        </w:rPr>
        <w:t>保险金不足以补偿损失时，承包人和发包人负责补偿的责任分摊：</w:t>
      </w:r>
      <w:r>
        <w:rPr>
          <w:rFonts w:hint="eastAsia" w:ascii="宋体" w:hAnsi="宋体" w:eastAsia="宋体" w:cs="宋体"/>
          <w:color w:val="auto"/>
          <w:spacing w:val="7"/>
          <w:sz w:val="20"/>
          <w:szCs w:val="20"/>
          <w:highlight w:val="none"/>
          <w:u w:val="single"/>
          <w:lang w:val="en-US" w:eastAsia="zh-CN"/>
        </w:rPr>
        <w:t>承包人负责全部补偿，发包人不承担补偿责任。</w:t>
      </w:r>
    </w:p>
    <w:p w14:paraId="3EADBA4B">
      <w:pPr>
        <w:spacing w:before="291" w:line="360" w:lineRule="auto"/>
        <w:ind w:left="26"/>
        <w:jc w:val="left"/>
        <w:outlineLvl w:val="1"/>
        <w:rPr>
          <w:rFonts w:hint="eastAsia" w:ascii="宋体" w:hAnsi="宋体" w:eastAsia="宋体" w:cs="宋体"/>
          <w:color w:val="auto"/>
          <w:sz w:val="28"/>
          <w:szCs w:val="28"/>
          <w:highlight w:val="none"/>
        </w:rPr>
      </w:pPr>
      <w:bookmarkStart w:id="789" w:name="bookmark65"/>
      <w:bookmarkEnd w:id="789"/>
      <w:r>
        <w:rPr>
          <w:rFonts w:hint="eastAsia" w:ascii="宋体" w:hAnsi="宋体" w:eastAsia="宋体" w:cs="宋体"/>
          <w:color w:val="auto"/>
          <w:spacing w:val="-2"/>
          <w:sz w:val="28"/>
          <w:szCs w:val="28"/>
          <w:highlight w:val="none"/>
        </w:rPr>
        <w:t>21.不可抗力</w:t>
      </w:r>
    </w:p>
    <w:p w14:paraId="7CE19D63">
      <w:pPr>
        <w:pStyle w:val="17"/>
        <w:spacing w:line="360" w:lineRule="auto"/>
        <w:jc w:val="left"/>
        <w:rPr>
          <w:rFonts w:hint="eastAsia" w:ascii="宋体" w:hAnsi="宋体" w:eastAsia="宋体" w:cs="宋体"/>
          <w:color w:val="auto"/>
          <w:highlight w:val="none"/>
        </w:rPr>
      </w:pPr>
    </w:p>
    <w:p w14:paraId="37B0284A">
      <w:pPr>
        <w:spacing w:before="78" w:line="360" w:lineRule="auto"/>
        <w:ind w:left="23"/>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21.1  不可抗力的确认</w:t>
      </w:r>
    </w:p>
    <w:p w14:paraId="0C707785">
      <w:pPr>
        <w:spacing w:before="298" w:line="360" w:lineRule="auto"/>
        <w:ind w:left="442"/>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21.1.1  合同条款通用部分第</w:t>
      </w:r>
      <w:r>
        <w:rPr>
          <w:rFonts w:hint="eastAsia" w:ascii="宋体" w:hAnsi="宋体" w:eastAsia="宋体" w:cs="宋体"/>
          <w:color w:val="auto"/>
          <w:spacing w:val="-26"/>
          <w:sz w:val="20"/>
          <w:szCs w:val="20"/>
          <w:highlight w:val="none"/>
        </w:rPr>
        <w:t xml:space="preserve"> </w:t>
      </w:r>
      <w:r>
        <w:rPr>
          <w:rFonts w:hint="eastAsia" w:ascii="宋体" w:hAnsi="宋体" w:eastAsia="宋体" w:cs="宋体"/>
          <w:color w:val="auto"/>
          <w:spacing w:val="7"/>
          <w:sz w:val="20"/>
          <w:szCs w:val="20"/>
          <w:highlight w:val="none"/>
        </w:rPr>
        <w:t>21.1.1</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7"/>
          <w:sz w:val="20"/>
          <w:szCs w:val="20"/>
          <w:highlight w:val="none"/>
        </w:rPr>
        <w:t>项约定的不可抗力以外的其他情形：</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p>
    <w:p w14:paraId="31665F7D">
      <w:pPr>
        <w:pStyle w:val="17"/>
        <w:tabs>
          <w:tab w:val="left" w:pos="8322"/>
          <w:tab w:val="clear" w:pos="567"/>
        </w:tabs>
        <w:spacing w:before="166" w:line="360" w:lineRule="auto"/>
        <w:ind w:left="11"/>
        <w:jc w:val="left"/>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57742412">
      <w:pPr>
        <w:spacing w:before="161" w:line="360" w:lineRule="auto"/>
        <w:ind w:left="443"/>
        <w:jc w:val="left"/>
        <w:rPr>
          <w:rFonts w:hint="eastAsia" w:ascii="宋体" w:hAnsi="宋体" w:eastAsia="宋体" w:cs="宋体"/>
          <w:color w:val="auto"/>
          <w:highlight w:val="none"/>
        </w:rPr>
      </w:pPr>
      <w:r>
        <w:rPr>
          <w:rFonts w:hint="eastAsia" w:ascii="宋体" w:hAnsi="宋体" w:eastAsia="宋体" w:cs="宋体"/>
          <w:color w:val="auto"/>
          <w:spacing w:val="5"/>
          <w:sz w:val="20"/>
          <w:szCs w:val="20"/>
          <w:highlight w:val="none"/>
        </w:rPr>
        <w:t>不可抗力的等级范围约定：</w:t>
      </w:r>
      <w:r>
        <w:rPr>
          <w:rFonts w:hint="eastAsia" w:ascii="宋体" w:hAnsi="宋体" w:eastAsia="宋体" w:cs="宋体"/>
          <w:color w:val="auto"/>
          <w:spacing w:val="7"/>
          <w:sz w:val="20"/>
          <w:szCs w:val="20"/>
          <w:highlight w:val="none"/>
          <w:u w:val="single"/>
          <w:lang w:val="en-US" w:eastAsia="zh-CN"/>
        </w:rPr>
        <w:t xml:space="preserve">烈度7度(不含7度)以上地震(以国际县级以上地震局等专门机构公布为准),洪 水、空中飞物坠落等。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2291C028">
      <w:pPr>
        <w:spacing w:before="291" w:line="360" w:lineRule="auto"/>
        <w:ind w:left="26"/>
        <w:jc w:val="left"/>
        <w:outlineLvl w:val="1"/>
        <w:rPr>
          <w:rFonts w:hint="eastAsia" w:ascii="宋体" w:hAnsi="宋体" w:eastAsia="宋体" w:cs="宋体"/>
          <w:color w:val="auto"/>
          <w:sz w:val="28"/>
          <w:szCs w:val="28"/>
          <w:highlight w:val="none"/>
        </w:rPr>
      </w:pPr>
      <w:bookmarkStart w:id="790" w:name="bookmark66"/>
      <w:bookmarkEnd w:id="790"/>
      <w:r>
        <w:rPr>
          <w:rFonts w:hint="eastAsia" w:ascii="宋体" w:hAnsi="宋体" w:eastAsia="宋体" w:cs="宋体"/>
          <w:color w:val="auto"/>
          <w:spacing w:val="-2"/>
          <w:sz w:val="28"/>
          <w:szCs w:val="28"/>
          <w:highlight w:val="none"/>
        </w:rPr>
        <w:t>24.争议的解决</w:t>
      </w:r>
    </w:p>
    <w:p w14:paraId="552A615F">
      <w:pPr>
        <w:pStyle w:val="17"/>
        <w:spacing w:line="360" w:lineRule="auto"/>
        <w:jc w:val="left"/>
        <w:rPr>
          <w:rFonts w:hint="eastAsia" w:ascii="宋体" w:hAnsi="宋体" w:eastAsia="宋体" w:cs="宋体"/>
          <w:color w:val="auto"/>
          <w:highlight w:val="none"/>
        </w:rPr>
      </w:pPr>
    </w:p>
    <w:p w14:paraId="24EE8940">
      <w:pPr>
        <w:spacing w:before="79" w:line="360" w:lineRule="auto"/>
        <w:ind w:left="23"/>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24.1  争议的解决方式</w:t>
      </w:r>
    </w:p>
    <w:p w14:paraId="574A33A6">
      <w:pPr>
        <w:spacing w:before="297" w:line="360" w:lineRule="auto"/>
        <w:ind w:left="19" w:right="11" w:firstLine="437"/>
        <w:jc w:val="left"/>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因本合同引起的或与本合同有关的任何争议，合同双方友好协商不成、不愿提请争议组</w:t>
      </w:r>
      <w:r>
        <w:rPr>
          <w:rFonts w:hint="eastAsia" w:ascii="宋体" w:hAnsi="宋体" w:eastAsia="宋体" w:cs="宋体"/>
          <w:color w:val="auto"/>
          <w:spacing w:val="9"/>
          <w:sz w:val="20"/>
          <w:szCs w:val="20"/>
          <w:highlight w:val="none"/>
        </w:rPr>
        <w:t>评审或者不愿接受争议评审组意见的，选择下列第</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7"/>
          <w:sz w:val="20"/>
          <w:szCs w:val="20"/>
          <w:highlight w:val="none"/>
          <w:u w:val="single"/>
          <w:lang w:val="en-US" w:eastAsia="zh-CN"/>
        </w:rPr>
        <w:t>贰</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9"/>
          <w:sz w:val="20"/>
          <w:szCs w:val="20"/>
          <w:highlight w:val="none"/>
        </w:rPr>
        <w:t>种方式解</w:t>
      </w:r>
      <w:r>
        <w:rPr>
          <w:rFonts w:hint="eastAsia" w:ascii="宋体" w:hAnsi="宋体" w:eastAsia="宋体" w:cs="宋体"/>
          <w:color w:val="auto"/>
          <w:spacing w:val="8"/>
          <w:sz w:val="20"/>
          <w:szCs w:val="20"/>
          <w:highlight w:val="none"/>
        </w:rPr>
        <w:t>决：</w:t>
      </w:r>
    </w:p>
    <w:p w14:paraId="7AB1F190">
      <w:pPr>
        <w:tabs>
          <w:tab w:val="left" w:pos="549"/>
        </w:tabs>
        <w:spacing w:before="1" w:line="360" w:lineRule="auto"/>
        <w:ind w:left="20" w:right="11" w:firstLine="41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3"/>
          <w:sz w:val="20"/>
          <w:szCs w:val="20"/>
          <w:highlight w:val="none"/>
          <w:u w:val="single" w:color="auto"/>
        </w:rPr>
        <w:t>（壹）</w:t>
      </w:r>
      <w:r>
        <w:rPr>
          <w:rFonts w:hint="eastAsia" w:ascii="宋体" w:hAnsi="宋体" w:eastAsia="宋体" w:cs="宋体"/>
          <w:color w:val="auto"/>
          <w:spacing w:val="3"/>
          <w:sz w:val="20"/>
          <w:szCs w:val="20"/>
          <w:highlight w:val="none"/>
        </w:rPr>
        <w:t>提请</w:t>
      </w:r>
      <w:r>
        <w:rPr>
          <w:rFonts w:hint="eastAsia" w:ascii="宋体" w:hAnsi="宋体" w:eastAsia="宋体" w:cs="宋体"/>
          <w:color w:val="auto"/>
          <w:spacing w:val="-83"/>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3"/>
          <w:sz w:val="20"/>
          <w:szCs w:val="20"/>
          <w:highlight w:val="none"/>
        </w:rPr>
        <w:t xml:space="preserve"> </w:t>
      </w:r>
      <w:r>
        <w:rPr>
          <w:rFonts w:hint="eastAsia" w:ascii="宋体" w:hAnsi="宋体" w:eastAsia="宋体" w:cs="宋体"/>
          <w:color w:val="auto"/>
          <w:spacing w:val="3"/>
          <w:sz w:val="20"/>
          <w:szCs w:val="20"/>
          <w:highlight w:val="none"/>
        </w:rPr>
        <w:t>仲裁委员会按照该会仲裁规则进行仲裁，仲裁裁决是终局的，对</w:t>
      </w:r>
      <w:r>
        <w:rPr>
          <w:rFonts w:hint="eastAsia" w:ascii="宋体" w:hAnsi="宋体" w:eastAsia="宋体" w:cs="宋体"/>
          <w:color w:val="auto"/>
          <w:spacing w:val="7"/>
          <w:sz w:val="20"/>
          <w:szCs w:val="20"/>
          <w:highlight w:val="none"/>
        </w:rPr>
        <w:t>合同双方均有约束力。</w:t>
      </w:r>
    </w:p>
    <w:p w14:paraId="3B43EA79">
      <w:pPr>
        <w:tabs>
          <w:tab w:val="left" w:pos="549"/>
        </w:tabs>
        <w:spacing w:before="160" w:line="360" w:lineRule="auto"/>
        <w:ind w:left="431"/>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z w:val="20"/>
          <w:szCs w:val="20"/>
          <w:highlight w:val="none"/>
          <w:u w:val="single" w:color="auto"/>
        </w:rPr>
        <w:t>（贰）</w:t>
      </w:r>
      <w:r>
        <w:rPr>
          <w:rFonts w:hint="eastAsia" w:ascii="宋体" w:hAnsi="宋体" w:eastAsia="宋体" w:cs="宋体"/>
          <w:color w:val="auto"/>
          <w:spacing w:val="-52"/>
          <w:sz w:val="20"/>
          <w:szCs w:val="20"/>
          <w:highlight w:val="none"/>
          <w:u w:val="single" w:color="auto"/>
        </w:rPr>
        <w:t xml:space="preserve"> </w:t>
      </w:r>
      <w:r>
        <w:rPr>
          <w:rFonts w:hint="eastAsia" w:ascii="宋体" w:hAnsi="宋体" w:eastAsia="宋体" w:cs="宋体"/>
          <w:color w:val="auto"/>
          <w:sz w:val="20"/>
          <w:szCs w:val="20"/>
          <w:highlight w:val="none"/>
        </w:rPr>
        <w:t>向有管辖权的人民法院提起诉讼。</w:t>
      </w:r>
    </w:p>
    <w:p w14:paraId="19807702">
      <w:pPr>
        <w:pStyle w:val="17"/>
        <w:spacing w:line="288" w:lineRule="auto"/>
        <w:rPr>
          <w:color w:val="auto"/>
          <w:highlight w:val="none"/>
        </w:rPr>
      </w:pPr>
      <w:r>
        <w:rPr>
          <w:rFonts w:hint="eastAsia" w:cs="宋体"/>
          <w:color w:val="auto"/>
          <w:sz w:val="20"/>
          <w:szCs w:val="20"/>
          <w:highlight w:val="none"/>
          <w:lang w:eastAsia="zh-CN"/>
        </w:rPr>
        <w:t xml:space="preserve"> </w:t>
      </w:r>
    </w:p>
    <w:p w14:paraId="1D509744">
      <w:pPr>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br w:type="page"/>
      </w:r>
    </w:p>
    <w:p w14:paraId="264DDCB1">
      <w:pPr>
        <w:spacing w:before="78" w:line="219" w:lineRule="auto"/>
        <w:ind w:left="39"/>
        <w:outlineLvl w:val="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附件一：合同协议书</w:t>
      </w:r>
    </w:p>
    <w:p w14:paraId="5780DE7F">
      <w:pPr>
        <w:spacing w:before="308" w:line="220" w:lineRule="auto"/>
        <w:ind w:left="3474"/>
        <w:rPr>
          <w:rFonts w:ascii="宋体" w:hAnsi="宋体" w:eastAsia="宋体" w:cs="宋体"/>
          <w:color w:val="auto"/>
          <w:sz w:val="28"/>
          <w:szCs w:val="28"/>
          <w:highlight w:val="none"/>
        </w:rPr>
      </w:pPr>
      <w:bookmarkStart w:id="791" w:name="bookmark67"/>
      <w:bookmarkEnd w:id="791"/>
      <w:r>
        <w:rPr>
          <w:rFonts w:ascii="宋体" w:hAnsi="宋体" w:eastAsia="宋体" w:cs="宋体"/>
          <w:b/>
          <w:bCs/>
          <w:color w:val="auto"/>
          <w:spacing w:val="-5"/>
          <w:sz w:val="28"/>
          <w:szCs w:val="28"/>
          <w:highlight w:val="none"/>
        </w:rPr>
        <w:t>合同协议书</w:t>
      </w:r>
    </w:p>
    <w:p w14:paraId="000A8107">
      <w:pPr>
        <w:spacing w:before="201" w:line="228" w:lineRule="auto"/>
        <w:ind w:left="548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编号：</w:t>
      </w:r>
      <w:r>
        <w:rPr>
          <w:rFonts w:ascii="宋体" w:hAnsi="宋体" w:eastAsia="宋体" w:cs="宋体"/>
          <w:color w:val="auto"/>
          <w:sz w:val="20"/>
          <w:szCs w:val="20"/>
          <w:highlight w:val="none"/>
          <w:u w:val="single" w:color="auto"/>
        </w:rPr>
        <w:t xml:space="preserve">                    </w:t>
      </w:r>
    </w:p>
    <w:p w14:paraId="5E7B634C">
      <w:pPr>
        <w:spacing w:before="160" w:line="229" w:lineRule="auto"/>
        <w:ind w:left="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发包人（全称</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u w:val="single" w:color="auto"/>
        </w:rPr>
        <w:t xml:space="preserve">                                                                  </w:t>
      </w:r>
    </w:p>
    <w:p w14:paraId="286F7717">
      <w:pPr>
        <w:spacing w:before="160" w:line="228" w:lineRule="auto"/>
        <w:ind w:left="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法 定</w:t>
      </w:r>
      <w:r>
        <w:rPr>
          <w:rFonts w:ascii="宋体" w:hAnsi="宋体" w:eastAsia="宋体" w:cs="宋体"/>
          <w:color w:val="auto"/>
          <w:spacing w:val="-29"/>
          <w:sz w:val="20"/>
          <w:szCs w:val="20"/>
          <w:highlight w:val="none"/>
        </w:rPr>
        <w:t xml:space="preserve"> </w:t>
      </w:r>
      <w:r>
        <w:rPr>
          <w:rFonts w:ascii="宋体" w:hAnsi="宋体" w:eastAsia="宋体" w:cs="宋体"/>
          <w:color w:val="auto"/>
          <w:spacing w:val="-2"/>
          <w:sz w:val="20"/>
          <w:szCs w:val="20"/>
          <w:highlight w:val="none"/>
        </w:rPr>
        <w:t>代</w:t>
      </w:r>
      <w:r>
        <w:rPr>
          <w:rFonts w:ascii="宋体" w:hAnsi="宋体" w:eastAsia="宋体" w:cs="宋体"/>
          <w:color w:val="auto"/>
          <w:spacing w:val="-25"/>
          <w:sz w:val="20"/>
          <w:szCs w:val="20"/>
          <w:highlight w:val="none"/>
        </w:rPr>
        <w:t xml:space="preserve"> </w:t>
      </w:r>
      <w:r>
        <w:rPr>
          <w:rFonts w:ascii="宋体" w:hAnsi="宋体" w:eastAsia="宋体" w:cs="宋体"/>
          <w:color w:val="auto"/>
          <w:spacing w:val="-2"/>
          <w:sz w:val="20"/>
          <w:szCs w:val="20"/>
          <w:highlight w:val="none"/>
        </w:rPr>
        <w:t>表</w:t>
      </w:r>
      <w:r>
        <w:rPr>
          <w:rFonts w:ascii="宋体" w:hAnsi="宋体" w:eastAsia="宋体" w:cs="宋体"/>
          <w:color w:val="auto"/>
          <w:spacing w:val="-26"/>
          <w:sz w:val="20"/>
          <w:szCs w:val="20"/>
          <w:highlight w:val="none"/>
        </w:rPr>
        <w:t xml:space="preserve"> </w:t>
      </w:r>
      <w:r>
        <w:rPr>
          <w:rFonts w:ascii="宋体" w:hAnsi="宋体" w:eastAsia="宋体" w:cs="宋体"/>
          <w:color w:val="auto"/>
          <w:spacing w:val="-2"/>
          <w:sz w:val="20"/>
          <w:szCs w:val="20"/>
          <w:highlight w:val="none"/>
        </w:rPr>
        <w:t>人</w:t>
      </w:r>
      <w:r>
        <w:rPr>
          <w:rFonts w:ascii="宋体" w:hAnsi="宋体" w:eastAsia="宋体" w:cs="宋体"/>
          <w:color w:val="auto"/>
          <w:spacing w:val="-74"/>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u w:val="single" w:color="auto"/>
        </w:rPr>
        <w:t xml:space="preserve">                                                                  </w:t>
      </w:r>
    </w:p>
    <w:p w14:paraId="0B600550">
      <w:pPr>
        <w:spacing w:before="163" w:line="229" w:lineRule="auto"/>
        <w:ind w:left="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法定注册地址：</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8DE847F">
      <w:pPr>
        <w:spacing w:before="160" w:line="228" w:lineRule="auto"/>
        <w:ind w:left="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承包人（全称</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u w:val="single" w:color="auto"/>
        </w:rPr>
        <w:t xml:space="preserve">                                                                  </w:t>
      </w:r>
    </w:p>
    <w:p w14:paraId="230B7B09">
      <w:pPr>
        <w:spacing w:before="161" w:line="228" w:lineRule="auto"/>
        <w:ind w:left="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法 定</w:t>
      </w:r>
      <w:r>
        <w:rPr>
          <w:rFonts w:ascii="宋体" w:hAnsi="宋体" w:eastAsia="宋体" w:cs="宋体"/>
          <w:color w:val="auto"/>
          <w:spacing w:val="-29"/>
          <w:sz w:val="20"/>
          <w:szCs w:val="20"/>
          <w:highlight w:val="none"/>
        </w:rPr>
        <w:t xml:space="preserve"> </w:t>
      </w:r>
      <w:r>
        <w:rPr>
          <w:rFonts w:ascii="宋体" w:hAnsi="宋体" w:eastAsia="宋体" w:cs="宋体"/>
          <w:color w:val="auto"/>
          <w:spacing w:val="-2"/>
          <w:sz w:val="20"/>
          <w:szCs w:val="20"/>
          <w:highlight w:val="none"/>
        </w:rPr>
        <w:t>代</w:t>
      </w:r>
      <w:r>
        <w:rPr>
          <w:rFonts w:ascii="宋体" w:hAnsi="宋体" w:eastAsia="宋体" w:cs="宋体"/>
          <w:color w:val="auto"/>
          <w:spacing w:val="-25"/>
          <w:sz w:val="20"/>
          <w:szCs w:val="20"/>
          <w:highlight w:val="none"/>
        </w:rPr>
        <w:t xml:space="preserve"> </w:t>
      </w:r>
      <w:r>
        <w:rPr>
          <w:rFonts w:ascii="宋体" w:hAnsi="宋体" w:eastAsia="宋体" w:cs="宋体"/>
          <w:color w:val="auto"/>
          <w:spacing w:val="-2"/>
          <w:sz w:val="20"/>
          <w:szCs w:val="20"/>
          <w:highlight w:val="none"/>
        </w:rPr>
        <w:t>表</w:t>
      </w:r>
      <w:r>
        <w:rPr>
          <w:rFonts w:ascii="宋体" w:hAnsi="宋体" w:eastAsia="宋体" w:cs="宋体"/>
          <w:color w:val="auto"/>
          <w:spacing w:val="-26"/>
          <w:sz w:val="20"/>
          <w:szCs w:val="20"/>
          <w:highlight w:val="none"/>
        </w:rPr>
        <w:t xml:space="preserve"> </w:t>
      </w:r>
      <w:r>
        <w:rPr>
          <w:rFonts w:ascii="宋体" w:hAnsi="宋体" w:eastAsia="宋体" w:cs="宋体"/>
          <w:color w:val="auto"/>
          <w:spacing w:val="-2"/>
          <w:sz w:val="20"/>
          <w:szCs w:val="20"/>
          <w:highlight w:val="none"/>
        </w:rPr>
        <w:t>人</w:t>
      </w:r>
      <w:r>
        <w:rPr>
          <w:rFonts w:ascii="宋体" w:hAnsi="宋体" w:eastAsia="宋体" w:cs="宋体"/>
          <w:color w:val="auto"/>
          <w:spacing w:val="-74"/>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u w:val="single" w:color="auto"/>
        </w:rPr>
        <w:t xml:space="preserve">                                                                  </w:t>
      </w:r>
    </w:p>
    <w:p w14:paraId="15C1EF9D">
      <w:pPr>
        <w:spacing w:before="161" w:line="229" w:lineRule="auto"/>
        <w:ind w:left="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法定注册地址</w:t>
      </w:r>
      <w:r>
        <w:rPr>
          <w:rFonts w:ascii="宋体" w:hAnsi="宋体" w:eastAsia="宋体" w:cs="宋体"/>
          <w:b/>
          <w:bCs/>
          <w:color w:val="auto"/>
          <w:spacing w:val="4"/>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E9AAEAA">
      <w:pPr>
        <w:pStyle w:val="17"/>
        <w:spacing w:line="250" w:lineRule="auto"/>
        <w:rPr>
          <w:color w:val="auto"/>
          <w:highlight w:val="none"/>
        </w:rPr>
      </w:pPr>
    </w:p>
    <w:p w14:paraId="4192631E">
      <w:pPr>
        <w:pStyle w:val="17"/>
        <w:spacing w:line="250" w:lineRule="auto"/>
        <w:rPr>
          <w:color w:val="auto"/>
          <w:highlight w:val="none"/>
        </w:rPr>
      </w:pPr>
    </w:p>
    <w:p w14:paraId="78CB9B84">
      <w:pPr>
        <w:spacing w:before="65" w:line="377" w:lineRule="auto"/>
        <w:ind w:left="19"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发包人为建设</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（以下简称“本工程</w:t>
      </w:r>
      <w:r>
        <w:rPr>
          <w:rFonts w:ascii="宋体" w:hAnsi="宋体" w:eastAsia="宋体" w:cs="宋体"/>
          <w:color w:val="auto"/>
          <w:spacing w:val="-69"/>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10"/>
          <w:sz w:val="20"/>
          <w:szCs w:val="20"/>
          <w:highlight w:val="none"/>
        </w:rPr>
        <w:t>），</w:t>
      </w:r>
      <w:r>
        <w:rPr>
          <w:rFonts w:ascii="宋体" w:hAnsi="宋体" w:eastAsia="宋体" w:cs="宋体"/>
          <w:color w:val="auto"/>
          <w:spacing w:val="6"/>
          <w:sz w:val="20"/>
          <w:szCs w:val="20"/>
          <w:highlight w:val="none"/>
        </w:rPr>
        <w:t>已接受承</w:t>
      </w:r>
      <w:r>
        <w:rPr>
          <w:rFonts w:ascii="宋体" w:hAnsi="宋体" w:eastAsia="宋体" w:cs="宋体"/>
          <w:color w:val="auto"/>
          <w:spacing w:val="8"/>
          <w:sz w:val="20"/>
          <w:szCs w:val="20"/>
          <w:highlight w:val="none"/>
        </w:rPr>
        <w:t>包人提出的承担本工程的施工、竣工、交付</w:t>
      </w:r>
      <w:r>
        <w:rPr>
          <w:rFonts w:ascii="宋体" w:hAnsi="宋体" w:eastAsia="宋体" w:cs="宋体"/>
          <w:color w:val="auto"/>
          <w:spacing w:val="7"/>
          <w:sz w:val="20"/>
          <w:szCs w:val="20"/>
          <w:highlight w:val="none"/>
        </w:rPr>
        <w:t>并维修其任何缺陷的投标。依照《中华人民共和</w:t>
      </w:r>
      <w:r>
        <w:rPr>
          <w:rFonts w:ascii="宋体" w:hAnsi="宋体" w:eastAsia="宋体" w:cs="宋体"/>
          <w:color w:val="auto"/>
          <w:spacing w:val="8"/>
          <w:sz w:val="20"/>
          <w:szCs w:val="20"/>
          <w:highlight w:val="none"/>
        </w:rPr>
        <w:t>国招标投标法》、《中华人民共和国民法典</w:t>
      </w:r>
      <w:r>
        <w:rPr>
          <w:rFonts w:ascii="宋体" w:hAnsi="宋体" w:eastAsia="宋体" w:cs="宋体"/>
          <w:color w:val="auto"/>
          <w:spacing w:val="7"/>
          <w:sz w:val="20"/>
          <w:szCs w:val="20"/>
          <w:highlight w:val="none"/>
        </w:rPr>
        <w:t>》、《中华人民共和国建筑法》、及其他有关法</w:t>
      </w:r>
      <w:r>
        <w:rPr>
          <w:rFonts w:ascii="宋体" w:hAnsi="宋体" w:eastAsia="宋体" w:cs="宋体"/>
          <w:color w:val="auto"/>
          <w:spacing w:val="8"/>
          <w:sz w:val="20"/>
          <w:szCs w:val="20"/>
          <w:highlight w:val="none"/>
        </w:rPr>
        <w:t>律、行政法规，遵循平等、</w:t>
      </w:r>
      <w:r>
        <w:rPr>
          <w:rFonts w:ascii="宋体" w:hAnsi="宋体" w:eastAsia="宋体" w:cs="宋体"/>
          <w:color w:val="auto"/>
          <w:spacing w:val="-50"/>
          <w:sz w:val="20"/>
          <w:szCs w:val="20"/>
          <w:highlight w:val="none"/>
        </w:rPr>
        <w:t xml:space="preserve"> </w:t>
      </w:r>
      <w:r>
        <w:rPr>
          <w:rFonts w:ascii="宋体" w:hAnsi="宋体" w:eastAsia="宋体" w:cs="宋体"/>
          <w:color w:val="auto"/>
          <w:spacing w:val="8"/>
          <w:sz w:val="20"/>
          <w:szCs w:val="20"/>
          <w:highlight w:val="none"/>
        </w:rPr>
        <w:t>自愿、公平和诚实信用的原</w:t>
      </w:r>
      <w:r>
        <w:rPr>
          <w:rFonts w:ascii="宋体" w:hAnsi="宋体" w:eastAsia="宋体" w:cs="宋体"/>
          <w:color w:val="auto"/>
          <w:spacing w:val="7"/>
          <w:sz w:val="20"/>
          <w:szCs w:val="20"/>
          <w:highlight w:val="none"/>
        </w:rPr>
        <w:t>则，双方共同达成并订立如下协议。</w:t>
      </w:r>
    </w:p>
    <w:p w14:paraId="328DA2F9">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一、工程概况</w:t>
      </w:r>
    </w:p>
    <w:p w14:paraId="66283821">
      <w:pPr>
        <w:spacing w:before="163" w:line="229"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工程名称：</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5DE9586D">
      <w:pPr>
        <w:spacing w:before="160" w:line="229"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工程地点：</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2E3107E9">
      <w:pPr>
        <w:spacing w:before="159" w:line="377" w:lineRule="auto"/>
        <w:ind w:left="439" w:right="53" w:firstLine="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工程内容：</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
          <w:sz w:val="20"/>
          <w:szCs w:val="20"/>
          <w:highlight w:val="none"/>
        </w:rPr>
        <w:t>群体工程应附“承包人承揽工程项目一览表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”（附件</w:t>
      </w:r>
      <w:r>
        <w:rPr>
          <w:rFonts w:ascii="宋体" w:hAnsi="宋体" w:eastAsia="宋体" w:cs="宋体"/>
          <w:color w:val="auto"/>
          <w:spacing w:val="7"/>
          <w:sz w:val="20"/>
          <w:szCs w:val="20"/>
          <w:highlight w:val="none"/>
        </w:rPr>
        <w:t>二）</w:t>
      </w:r>
    </w:p>
    <w:p w14:paraId="3906659C">
      <w:pPr>
        <w:spacing w:before="1" w:line="377" w:lineRule="auto"/>
        <w:ind w:left="448" w:right="53" w:hanging="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工程立项批准文号：</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3"/>
          <w:sz w:val="20"/>
          <w:szCs w:val="20"/>
          <w:highlight w:val="none"/>
        </w:rPr>
        <w:t>资金来源：</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4909DC0C">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二、工程承包范围</w:t>
      </w:r>
    </w:p>
    <w:p w14:paraId="5015D119">
      <w:pPr>
        <w:spacing w:before="159" w:line="377" w:lineRule="auto"/>
        <w:ind w:left="441" w:right="53" w:hanging="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承包范围：</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
          <w:sz w:val="20"/>
          <w:szCs w:val="20"/>
          <w:highlight w:val="none"/>
        </w:rPr>
        <w:t>详细承包范围见第五章“技术标准和要求</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w:t>
      </w:r>
    </w:p>
    <w:p w14:paraId="23272EA3">
      <w:pPr>
        <w:spacing w:line="229"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三、合同工期</w:t>
      </w:r>
    </w:p>
    <w:p w14:paraId="166450CF">
      <w:pPr>
        <w:spacing w:before="163"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计划开工日期：</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5"/>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5"/>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日</w:t>
      </w:r>
    </w:p>
    <w:p w14:paraId="5643A1E4">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计划竣工日期：</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5"/>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5"/>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日</w:t>
      </w:r>
    </w:p>
    <w:p w14:paraId="7A796E7F">
      <w:pPr>
        <w:spacing w:before="160" w:line="378" w:lineRule="auto"/>
        <w:ind w:left="55" w:right="52" w:firstLine="38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工期总日历天数</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1"/>
          <w:sz w:val="20"/>
          <w:szCs w:val="20"/>
          <w:highlight w:val="none"/>
        </w:rPr>
        <w:t xml:space="preserve"> </w:t>
      </w:r>
      <w:r>
        <w:rPr>
          <w:rFonts w:ascii="宋体" w:hAnsi="宋体" w:eastAsia="宋体" w:cs="宋体"/>
          <w:color w:val="auto"/>
          <w:spacing w:val="5"/>
          <w:sz w:val="20"/>
          <w:szCs w:val="20"/>
          <w:highlight w:val="none"/>
        </w:rPr>
        <w:t>天，自监理人发出的开工通知中载明的开工</w:t>
      </w:r>
      <w:r>
        <w:rPr>
          <w:rFonts w:ascii="宋体" w:hAnsi="宋体" w:eastAsia="宋体" w:cs="宋体"/>
          <w:color w:val="auto"/>
          <w:spacing w:val="-2"/>
          <w:sz w:val="20"/>
          <w:szCs w:val="20"/>
          <w:highlight w:val="none"/>
        </w:rPr>
        <w:t>日期起算。</w:t>
      </w:r>
    </w:p>
    <w:p w14:paraId="17E72168">
      <w:pPr>
        <w:spacing w:line="229" w:lineRule="auto"/>
        <w:ind w:left="45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四、质量标准</w:t>
      </w:r>
    </w:p>
    <w:p w14:paraId="39DB9BE1">
      <w:pPr>
        <w:spacing w:before="160" w:line="229"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工程质量标准：</w:t>
      </w:r>
      <w:r>
        <w:rPr>
          <w:rFonts w:ascii="宋体" w:hAnsi="宋体" w:eastAsia="宋体" w:cs="宋体"/>
          <w:color w:val="auto"/>
          <w:spacing w:val="4"/>
          <w:sz w:val="20"/>
          <w:szCs w:val="20"/>
          <w:highlight w:val="none"/>
          <w:u w:val="single" w:color="auto"/>
        </w:rPr>
        <w:t xml:space="preserve">                                                              </w:t>
      </w:r>
    </w:p>
    <w:p w14:paraId="58336B0A">
      <w:pPr>
        <w:spacing w:before="160"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五、施工现场安全生产标准化管理目标等级要求</w:t>
      </w:r>
    </w:p>
    <w:p w14:paraId="7717617A">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施工现场安全生产标准化管理目标等级：</w:t>
      </w:r>
      <w:r>
        <w:rPr>
          <w:rFonts w:ascii="宋体" w:hAnsi="宋体" w:eastAsia="宋体" w:cs="宋体"/>
          <w:color w:val="auto"/>
          <w:sz w:val="20"/>
          <w:szCs w:val="20"/>
          <w:highlight w:val="none"/>
          <w:u w:val="single" w:color="auto"/>
        </w:rPr>
        <w:t xml:space="preserve">                                          </w:t>
      </w:r>
    </w:p>
    <w:p w14:paraId="75E23DCB">
      <w:pPr>
        <w:pStyle w:val="17"/>
        <w:spacing w:line="270" w:lineRule="auto"/>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8890</wp:posOffset>
                </wp:positionV>
                <wp:extent cx="5278755" cy="9525"/>
                <wp:effectExtent l="0" t="0" r="0" b="0"/>
                <wp:wrapNone/>
                <wp:docPr id="95" name="任意多边形 95"/>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55pt;margin-top:0.7pt;height:0.75pt;width:415.65pt;z-index:251661312;mso-width-relative:page;mso-height-relative:page;" fillcolor="#000000" filled="t" stroked="f" coordsize="8312,15" o:gfxdata="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DIy61AAAAAUBAAAPAAAAAAAAAAEAIAAA&#10;ACIAAABkcnMvZG93bnJldi54bWxQSwECFAAUAAAACACHTuJAjVnhuRACAAB9BAAADgAAAAAAAAAB&#10;ACAAAAAjAQAAZHJzL2Uyb0RvYy54bWxQSwUGAAAAAAYABgBZAQAApQUAAAAA&#10;" path="m0,0l8312,0,8312,14,0,14,0,0xe">
                <v:fill on="t" focussize="0,0"/>
                <v:stroke on="f"/>
                <v:imagedata o:title=""/>
                <o:lock v:ext="edit" aspectratio="f"/>
              </v:shape>
            </w:pict>
          </mc:Fallback>
        </mc:AlternateContent>
      </w:r>
      <w:r>
        <w:rPr>
          <w:rFonts w:hint="eastAsia" w:cs="宋体"/>
          <w:color w:val="auto"/>
          <w:sz w:val="20"/>
          <w:szCs w:val="20"/>
          <w:highlight w:val="none"/>
          <w:lang w:eastAsia="zh-CN"/>
        </w:rPr>
        <w:t xml:space="preserve"> </w:t>
      </w:r>
    </w:p>
    <w:p w14:paraId="240A1E23">
      <w:pPr>
        <w:spacing w:before="65" w:line="230" w:lineRule="auto"/>
        <w:ind w:left="44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六、合同形式</w:t>
      </w:r>
    </w:p>
    <w:p w14:paraId="78A59B6D">
      <w:pPr>
        <w:spacing w:before="158"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 xml:space="preserve">本合同采用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3"/>
          <w:sz w:val="20"/>
          <w:szCs w:val="20"/>
          <w:highlight w:val="none"/>
        </w:rPr>
        <w:t>合同形式。</w:t>
      </w:r>
    </w:p>
    <w:p w14:paraId="2571FBC9">
      <w:pPr>
        <w:spacing w:before="163" w:line="227"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七、签约合同价</w:t>
      </w:r>
    </w:p>
    <w:p w14:paraId="68F99147">
      <w:pPr>
        <w:spacing w:before="161" w:line="377" w:lineRule="auto"/>
        <w:ind w:left="42" w:right="71" w:firstLine="398"/>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金额（含税</w:t>
      </w:r>
      <w:r>
        <w:rPr>
          <w:rFonts w:ascii="宋体" w:hAnsi="宋体" w:eastAsia="宋体" w:cs="宋体"/>
          <w:color w:val="auto"/>
          <w:spacing w:val="-16"/>
          <w:sz w:val="20"/>
          <w:szCs w:val="20"/>
          <w:highlight w:val="none"/>
        </w:rPr>
        <w:t>）（</w:t>
      </w:r>
      <w:r>
        <w:rPr>
          <w:rFonts w:ascii="宋体" w:hAnsi="宋体" w:eastAsia="宋体" w:cs="宋体"/>
          <w:color w:val="auto"/>
          <w:spacing w:val="13"/>
          <w:sz w:val="20"/>
          <w:szCs w:val="20"/>
          <w:highlight w:val="none"/>
        </w:rPr>
        <w:t>大写</w:t>
      </w:r>
      <w:r>
        <w:rPr>
          <w:rFonts w:ascii="宋体" w:hAnsi="宋体" w:eastAsia="宋体" w:cs="宋体"/>
          <w:color w:val="auto"/>
          <w:spacing w:val="-16"/>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6"/>
          <w:sz w:val="20"/>
          <w:szCs w:val="20"/>
          <w:highlight w:val="none"/>
        </w:rPr>
        <w:t>（</w:t>
      </w:r>
      <w:r>
        <w:rPr>
          <w:rFonts w:ascii="宋体" w:hAnsi="宋体" w:eastAsia="宋体" w:cs="宋体"/>
          <w:color w:val="auto"/>
          <w:spacing w:val="13"/>
          <w:sz w:val="20"/>
          <w:szCs w:val="20"/>
          <w:highlight w:val="none"/>
        </w:rPr>
        <w:t>人民</w:t>
      </w:r>
      <w:r>
        <w:rPr>
          <w:rFonts w:ascii="宋体" w:hAnsi="宋体" w:eastAsia="宋体" w:cs="宋体"/>
          <w:color w:val="auto"/>
          <w:spacing w:val="-11"/>
          <w:sz w:val="20"/>
          <w:szCs w:val="20"/>
          <w:highlight w:val="none"/>
        </w:rPr>
        <w:t>币）</w:t>
      </w:r>
    </w:p>
    <w:p w14:paraId="7B1C2735">
      <w:pPr>
        <w:spacing w:before="1" w:line="377" w:lineRule="auto"/>
        <w:ind w:left="648" w:right="70" w:hanging="19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（小写）¥：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3"/>
          <w:sz w:val="20"/>
          <w:szCs w:val="20"/>
          <w:highlight w:val="none"/>
        </w:rPr>
        <w:t>元</w:t>
      </w:r>
      <w:r>
        <w:rPr>
          <w:rFonts w:ascii="宋体" w:hAnsi="宋体" w:eastAsia="宋体" w:cs="宋体"/>
          <w:color w:val="auto"/>
          <w:spacing w:val="11"/>
          <w:sz w:val="20"/>
          <w:szCs w:val="20"/>
          <w:highlight w:val="none"/>
        </w:rPr>
        <w:t>其中：安全生产标准化措施费（含税</w:t>
      </w:r>
      <w:r>
        <w:rPr>
          <w:rFonts w:ascii="宋体" w:hAnsi="宋体" w:eastAsia="宋体" w:cs="宋体"/>
          <w:color w:val="auto"/>
          <w:spacing w:val="-4"/>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u w:val="single" w:color="auto"/>
        </w:rPr>
        <w:t xml:space="preserve">                                       </w:t>
      </w:r>
    </w:p>
    <w:p w14:paraId="5909FA45">
      <w:pPr>
        <w:spacing w:line="229" w:lineRule="auto"/>
        <w:ind w:left="1281"/>
        <w:rPr>
          <w:rFonts w:ascii="宋体" w:hAnsi="宋体" w:eastAsia="宋体" w:cs="宋体"/>
          <w:color w:val="auto"/>
          <w:sz w:val="20"/>
          <w:szCs w:val="20"/>
          <w:highlight w:val="none"/>
        </w:rPr>
      </w:pPr>
      <w:r>
        <w:rPr>
          <w:rFonts w:ascii="宋体" w:hAnsi="宋体" w:eastAsia="宋体" w:cs="宋体"/>
          <w:color w:val="auto"/>
          <w:sz w:val="20"/>
          <w:szCs w:val="20"/>
          <w:highlight w:val="none"/>
        </w:rPr>
        <w:t>元</w:t>
      </w:r>
    </w:p>
    <w:p w14:paraId="7FA6638A">
      <w:pPr>
        <w:spacing w:before="161" w:line="228" w:lineRule="auto"/>
        <w:ind w:left="128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建筑垃圾运输处置费（含税</w:t>
      </w:r>
      <w:r>
        <w:rPr>
          <w:rFonts w:ascii="宋体" w:hAnsi="宋体" w:eastAsia="宋体" w:cs="宋体"/>
          <w:color w:val="auto"/>
          <w:spacing w:val="-14"/>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75"/>
          <w:sz w:val="20"/>
          <w:szCs w:val="20"/>
          <w:highlight w:val="none"/>
        </w:rPr>
        <w:t xml:space="preserve"> </w:t>
      </w:r>
      <w:r>
        <w:rPr>
          <w:rFonts w:ascii="宋体" w:hAnsi="宋体" w:eastAsia="宋体" w:cs="宋体"/>
          <w:color w:val="auto"/>
          <w:spacing w:val="5"/>
          <w:sz w:val="20"/>
          <w:szCs w:val="20"/>
          <w:highlight w:val="none"/>
        </w:rPr>
        <w:t>元</w:t>
      </w:r>
    </w:p>
    <w:p w14:paraId="23DBC5BB">
      <w:pPr>
        <w:spacing w:before="161" w:line="228" w:lineRule="auto"/>
        <w:ind w:left="128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暂列金额（含税</w:t>
      </w:r>
      <w:r>
        <w:rPr>
          <w:rFonts w:ascii="宋体" w:hAnsi="宋体" w:eastAsia="宋体" w:cs="宋体"/>
          <w:color w:val="auto"/>
          <w:spacing w:val="-15"/>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2"/>
          <w:sz w:val="20"/>
          <w:szCs w:val="20"/>
          <w:highlight w:val="none"/>
        </w:rPr>
        <w:t>元</w:t>
      </w:r>
    </w:p>
    <w:p w14:paraId="0988F108">
      <w:pPr>
        <w:spacing w:before="162" w:line="377" w:lineRule="auto"/>
        <w:ind w:left="1306" w:right="69" w:hanging="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专业工程暂估价（含税</w:t>
      </w:r>
      <w:r>
        <w:rPr>
          <w:rFonts w:ascii="宋体" w:hAnsi="宋体" w:eastAsia="宋体" w:cs="宋体"/>
          <w:color w:val="auto"/>
          <w:spacing w:val="-21"/>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4"/>
          <w:sz w:val="20"/>
          <w:szCs w:val="20"/>
          <w:highlight w:val="none"/>
        </w:rPr>
        <w:t>元</w:t>
      </w:r>
      <w:r>
        <w:rPr>
          <w:rFonts w:ascii="宋体" w:hAnsi="宋体" w:eastAsia="宋体" w:cs="宋体"/>
          <w:color w:val="auto"/>
          <w:spacing w:val="-2"/>
          <w:sz w:val="20"/>
          <w:szCs w:val="20"/>
          <w:highlight w:val="none"/>
        </w:rPr>
        <w:t>……</w:t>
      </w:r>
    </w:p>
    <w:p w14:paraId="20CD61B0">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八、承包人项目经理：</w:t>
      </w:r>
    </w:p>
    <w:p w14:paraId="25BA3B82">
      <w:pPr>
        <w:spacing w:before="161"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姓名</w:t>
      </w:r>
      <w:r>
        <w:rPr>
          <w:rFonts w:ascii="宋体" w:hAnsi="宋体" w:eastAsia="宋体" w:cs="宋体"/>
          <w:color w:val="auto"/>
          <w:spacing w:val="-43"/>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35"/>
          <w:sz w:val="20"/>
          <w:szCs w:val="20"/>
          <w:highlight w:val="none"/>
        </w:rPr>
        <w:t xml:space="preserve"> </w:t>
      </w:r>
      <w:r>
        <w:rPr>
          <w:rFonts w:ascii="宋体" w:hAnsi="宋体" w:eastAsia="宋体" w:cs="宋体"/>
          <w:color w:val="auto"/>
          <w:spacing w:val="-43"/>
          <w:sz w:val="20"/>
          <w:szCs w:val="20"/>
          <w:highlight w:val="none"/>
        </w:rPr>
        <w:t>；</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职称</w:t>
      </w:r>
      <w:r>
        <w:rPr>
          <w:rFonts w:ascii="宋体" w:hAnsi="宋体" w:eastAsia="宋体" w:cs="宋体"/>
          <w:color w:val="auto"/>
          <w:spacing w:val="-43"/>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3"/>
          <w:sz w:val="20"/>
          <w:szCs w:val="20"/>
          <w:highlight w:val="none"/>
        </w:rPr>
        <w:t>；</w:t>
      </w:r>
    </w:p>
    <w:p w14:paraId="2832CF2B">
      <w:pPr>
        <w:spacing w:before="160"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身份证号</w:t>
      </w:r>
      <w:r>
        <w:rPr>
          <w:rFonts w:ascii="宋体" w:hAnsi="宋体" w:eastAsia="宋体" w:cs="宋体"/>
          <w:color w:val="auto"/>
          <w:spacing w:val="-40"/>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9"/>
          <w:sz w:val="20"/>
          <w:szCs w:val="20"/>
          <w:highlight w:val="none"/>
        </w:rPr>
        <w:t xml:space="preserve"> </w:t>
      </w:r>
      <w:r>
        <w:rPr>
          <w:rFonts w:ascii="宋体" w:hAnsi="宋体" w:eastAsia="宋体" w:cs="宋体"/>
          <w:color w:val="auto"/>
          <w:spacing w:val="-40"/>
          <w:sz w:val="20"/>
          <w:szCs w:val="20"/>
          <w:highlight w:val="none"/>
        </w:rPr>
        <w:t>；</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建造师执业资格证书号</w:t>
      </w:r>
      <w:r>
        <w:rPr>
          <w:rFonts w:ascii="宋体" w:hAnsi="宋体" w:eastAsia="宋体" w:cs="宋体"/>
          <w:color w:val="auto"/>
          <w:spacing w:val="-40"/>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0"/>
          <w:sz w:val="20"/>
          <w:szCs w:val="20"/>
          <w:highlight w:val="none"/>
        </w:rPr>
        <w:t>；</w:t>
      </w:r>
    </w:p>
    <w:p w14:paraId="15E64A28">
      <w:pPr>
        <w:spacing w:before="161"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建造师注册证书号：</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
          <w:sz w:val="20"/>
          <w:szCs w:val="20"/>
          <w:highlight w:val="none"/>
        </w:rPr>
        <w:t>。</w:t>
      </w:r>
    </w:p>
    <w:p w14:paraId="6AF4A197">
      <w:pPr>
        <w:spacing w:before="163" w:line="377" w:lineRule="auto"/>
        <w:ind w:left="443" w:hanging="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建造师执业印章号：</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1"/>
          <w:sz w:val="20"/>
          <w:szCs w:val="20"/>
          <w:highlight w:val="none"/>
        </w:rPr>
        <w:t>安全生产考核合格证书号：</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z w:val="20"/>
          <w:szCs w:val="20"/>
          <w:highlight w:val="none"/>
        </w:rPr>
        <w:t>。</w:t>
      </w:r>
    </w:p>
    <w:p w14:paraId="45A014A9">
      <w:pPr>
        <w:spacing w:before="1"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九、合同文件的组成</w:t>
      </w:r>
    </w:p>
    <w:p w14:paraId="53561A49">
      <w:pPr>
        <w:spacing w:before="161" w:line="228" w:lineRule="auto"/>
        <w:ind w:left="44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下列文件共同构成合同文件：</w:t>
      </w:r>
    </w:p>
    <w:p w14:paraId="7BD39736">
      <w:pPr>
        <w:spacing w:before="162" w:line="228"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1、本协议书；</w:t>
      </w:r>
    </w:p>
    <w:p w14:paraId="64219AE3">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2、中标通知书；</w:t>
      </w:r>
    </w:p>
    <w:p w14:paraId="7484E0AD">
      <w:pPr>
        <w:spacing w:before="161" w:line="228" w:lineRule="auto"/>
        <w:ind w:left="4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3、投标函及投标函附录；</w:t>
      </w:r>
    </w:p>
    <w:p w14:paraId="2A0E86E9">
      <w:pPr>
        <w:spacing w:before="162" w:line="228"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4、合同条款专用部分；</w:t>
      </w:r>
    </w:p>
    <w:p w14:paraId="3DC99EB0">
      <w:pPr>
        <w:spacing w:before="161" w:line="228" w:lineRule="auto"/>
        <w:ind w:left="4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5、合同条款通用部分；</w:t>
      </w:r>
    </w:p>
    <w:p w14:paraId="64DE0C7B">
      <w:pPr>
        <w:spacing w:before="161" w:line="228" w:lineRule="auto"/>
        <w:ind w:left="44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6、技术标准和要求；</w:t>
      </w:r>
    </w:p>
    <w:p w14:paraId="2B3F6329">
      <w:pPr>
        <w:spacing w:before="163" w:line="230" w:lineRule="auto"/>
        <w:ind w:left="44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7、图纸；</w:t>
      </w:r>
    </w:p>
    <w:p w14:paraId="5DEEEED8">
      <w:pPr>
        <w:spacing w:before="159" w:line="229" w:lineRule="auto"/>
        <w:ind w:left="44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8、合同清单；</w:t>
      </w:r>
    </w:p>
    <w:p w14:paraId="491201B0">
      <w:pPr>
        <w:spacing w:before="160" w:line="228" w:lineRule="auto"/>
        <w:ind w:left="44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9、其他合同文件。</w:t>
      </w:r>
    </w:p>
    <w:p w14:paraId="1D7AAA87">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在合同订立及履行过程中形成的与合同有关的文件均构成合同文件组成部分。</w:t>
      </w:r>
    </w:p>
    <w:p w14:paraId="59F927BF">
      <w:pPr>
        <w:spacing w:before="163" w:line="377" w:lineRule="auto"/>
        <w:ind w:left="36" w:right="69" w:firstLine="4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上述各项合同文件包括合同双方就该项合同文件所作出的补充和修改，属于同一类内容的文件，应以最新签署的为准。</w:t>
      </w:r>
    </w:p>
    <w:p w14:paraId="7E0E8946">
      <w:pPr>
        <w:spacing w:line="228" w:lineRule="auto"/>
        <w:ind w:left="4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上述文件互相补充和解释，如有不明确或不一致之处，以合同约定次序在先者为准。</w:t>
      </w:r>
    </w:p>
    <w:p w14:paraId="47624CE0">
      <w:pPr>
        <w:spacing w:before="163"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十、本协议书中有关词语定义与合同条款中的定义相同。</w:t>
      </w:r>
    </w:p>
    <w:p w14:paraId="1EDED558">
      <w:pPr>
        <w:pStyle w:val="17"/>
        <w:spacing w:line="296" w:lineRule="auto"/>
        <w:rPr>
          <w:color w:val="auto"/>
          <w:highlight w:val="none"/>
        </w:rPr>
      </w:pPr>
      <w:r>
        <w:rPr>
          <w:rFonts w:hint="eastAsia" w:cs="宋体"/>
          <w:color w:val="auto"/>
          <w:sz w:val="20"/>
          <w:szCs w:val="20"/>
          <w:highlight w:val="none"/>
          <w:lang w:eastAsia="zh-CN"/>
        </w:rPr>
        <w:t xml:space="preserve"> </w:t>
      </w:r>
    </w:p>
    <w:p w14:paraId="68919937">
      <w:pPr>
        <w:spacing w:before="65"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十一、承包人承诺按照合同约定进行施工、竣工、交付并承担质量缺陷保修责任。</w:t>
      </w:r>
    </w:p>
    <w:p w14:paraId="699E218B">
      <w:pPr>
        <w:spacing w:before="160"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十二、发包人承诺按照合同约定的条件、期限和方式向承包人支付合同价款。</w:t>
      </w:r>
    </w:p>
    <w:p w14:paraId="5645A585">
      <w:pPr>
        <w:spacing w:before="163" w:line="303" w:lineRule="auto"/>
        <w:ind w:left="19" w:right="19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十三、本协议书连同其他合同文件正本一式两份，合同双方各执一份；副本一式</w:t>
      </w:r>
      <w:r>
        <w:rPr>
          <w:rFonts w:ascii="宋体" w:hAnsi="宋体" w:eastAsia="宋体" w:cs="宋体"/>
          <w:color w:val="auto"/>
          <w:spacing w:val="9"/>
          <w:sz w:val="20"/>
          <w:szCs w:val="20"/>
          <w:highlight w:val="none"/>
          <w:u w:val="single" w:color="auto"/>
        </w:rPr>
        <w:t xml:space="preserve">    </w:t>
      </w:r>
      <w:r>
        <w:rPr>
          <w:rFonts w:ascii="宋体" w:hAnsi="宋体" w:eastAsia="宋体" w:cs="宋体"/>
          <w:color w:val="auto"/>
          <w:sz w:val="20"/>
          <w:szCs w:val="20"/>
          <w:highlight w:val="none"/>
        </w:rPr>
        <w:t>份。</w:t>
      </w:r>
    </w:p>
    <w:p w14:paraId="54269BCE">
      <w:pPr>
        <w:spacing w:before="159" w:line="303" w:lineRule="auto"/>
        <w:ind w:left="21" w:right="68"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十四、合同未尽事宜，双方另行签订补充协议，但不得背离本协议第九条所约定的合同</w:t>
      </w:r>
      <w:r>
        <w:rPr>
          <w:rFonts w:ascii="宋体" w:hAnsi="宋体" w:eastAsia="宋体" w:cs="宋体"/>
          <w:color w:val="auto"/>
          <w:spacing w:val="9"/>
          <w:sz w:val="20"/>
          <w:szCs w:val="20"/>
          <w:highlight w:val="none"/>
        </w:rPr>
        <w:t>文件的实质性内容。补充协议是合同文件的组成部分。</w:t>
      </w:r>
    </w:p>
    <w:p w14:paraId="64707602">
      <w:pPr>
        <w:pStyle w:val="17"/>
        <w:spacing w:line="302" w:lineRule="auto"/>
        <w:rPr>
          <w:color w:val="auto"/>
          <w:highlight w:val="none"/>
        </w:rPr>
      </w:pPr>
    </w:p>
    <w:p w14:paraId="75CF27C4">
      <w:pPr>
        <w:pStyle w:val="17"/>
        <w:spacing w:line="303" w:lineRule="auto"/>
        <w:rPr>
          <w:color w:val="auto"/>
          <w:highlight w:val="none"/>
        </w:rPr>
      </w:pPr>
    </w:p>
    <w:p w14:paraId="44494367">
      <w:pPr>
        <w:pStyle w:val="17"/>
        <w:spacing w:line="303" w:lineRule="auto"/>
        <w:rPr>
          <w:color w:val="auto"/>
          <w:highlight w:val="none"/>
        </w:rPr>
      </w:pPr>
    </w:p>
    <w:p w14:paraId="53EE40B1">
      <w:pPr>
        <w:spacing w:before="65" w:line="228" w:lineRule="auto"/>
        <w:jc w:val="right"/>
        <w:rPr>
          <w:rFonts w:ascii="宋体" w:hAnsi="宋体" w:eastAsia="宋体" w:cs="宋体"/>
          <w:sz w:val="20"/>
          <w:szCs w:val="20"/>
          <w:highlight w:val="none"/>
        </w:rPr>
      </w:pPr>
      <w:r>
        <w:rPr>
          <w:rFonts w:ascii="宋体" w:hAnsi="宋体" w:eastAsia="宋体" w:cs="宋体"/>
          <w:color w:val="auto"/>
          <w:spacing w:val="11"/>
          <w:sz w:val="20"/>
          <w:szCs w:val="20"/>
          <w:highlight w:val="none"/>
        </w:rPr>
        <w:t>发包人</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盖单位章） 承包人</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盖单</w:t>
      </w:r>
      <w:r>
        <w:rPr>
          <w:rFonts w:ascii="宋体" w:hAnsi="宋体" w:eastAsia="宋体" w:cs="宋体"/>
          <w:spacing w:val="11"/>
          <w:sz w:val="20"/>
          <w:szCs w:val="20"/>
          <w:highlight w:val="none"/>
        </w:rPr>
        <w:t>位章）</w:t>
      </w:r>
    </w:p>
    <w:p w14:paraId="25927FCD">
      <w:pPr>
        <w:pStyle w:val="17"/>
        <w:spacing w:line="252" w:lineRule="auto"/>
        <w:rPr>
          <w:highlight w:val="none"/>
        </w:rPr>
      </w:pPr>
    </w:p>
    <w:p w14:paraId="55F00AF4">
      <w:pPr>
        <w:pStyle w:val="17"/>
        <w:spacing w:line="252" w:lineRule="auto"/>
        <w:rPr>
          <w:highlight w:val="none"/>
        </w:rPr>
      </w:pPr>
    </w:p>
    <w:p w14:paraId="6B27CA41">
      <w:pPr>
        <w:spacing w:before="65" w:line="228" w:lineRule="auto"/>
        <w:ind w:left="20"/>
        <w:rPr>
          <w:rFonts w:ascii="宋体" w:hAnsi="宋体" w:eastAsia="宋体" w:cs="宋体"/>
          <w:sz w:val="20"/>
          <w:szCs w:val="20"/>
          <w:highlight w:val="none"/>
        </w:rPr>
      </w:pPr>
      <w:r>
        <w:rPr>
          <w:rFonts w:ascii="宋体" w:hAnsi="宋体" w:eastAsia="宋体" w:cs="宋体"/>
          <w:spacing w:val="6"/>
          <w:sz w:val="20"/>
          <w:szCs w:val="20"/>
          <w:highlight w:val="none"/>
        </w:rPr>
        <w:t>法定代表人或其                           法定代表人或其</w:t>
      </w:r>
    </w:p>
    <w:p w14:paraId="1E224F00">
      <w:pPr>
        <w:spacing w:before="161" w:line="228" w:lineRule="auto"/>
        <w:jc w:val="right"/>
        <w:rPr>
          <w:rFonts w:ascii="宋体" w:hAnsi="宋体" w:eastAsia="宋体" w:cs="宋体"/>
          <w:sz w:val="20"/>
          <w:szCs w:val="20"/>
          <w:highlight w:val="none"/>
        </w:rPr>
      </w:pPr>
      <w:r>
        <w:rPr>
          <w:rFonts w:ascii="宋体" w:hAnsi="宋体" w:eastAsia="宋体" w:cs="宋体"/>
          <w:spacing w:val="11"/>
          <w:sz w:val="20"/>
          <w:szCs w:val="20"/>
          <w:highlight w:val="none"/>
        </w:rPr>
        <w:t>委托代理人</w:t>
      </w:r>
      <w:r>
        <w:rPr>
          <w:rFonts w:ascii="宋体" w:hAnsi="宋体" w:eastAsia="宋体" w:cs="宋体"/>
          <w:spacing w:val="-5"/>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5"/>
          <w:sz w:val="20"/>
          <w:szCs w:val="20"/>
          <w:highlight w:val="none"/>
        </w:rPr>
        <w:t>（</w:t>
      </w:r>
      <w:r>
        <w:rPr>
          <w:rFonts w:ascii="宋体" w:hAnsi="宋体" w:eastAsia="宋体" w:cs="宋体"/>
          <w:spacing w:val="11"/>
          <w:sz w:val="20"/>
          <w:szCs w:val="20"/>
          <w:highlight w:val="none"/>
        </w:rPr>
        <w:t>签字）  委托代理人</w:t>
      </w:r>
      <w:r>
        <w:rPr>
          <w:rFonts w:ascii="宋体" w:hAnsi="宋体" w:eastAsia="宋体" w:cs="宋体"/>
          <w:spacing w:val="-5"/>
          <w:sz w:val="20"/>
          <w:szCs w:val="20"/>
          <w:highlight w:val="none"/>
        </w:rPr>
        <w:t>：</w:t>
      </w:r>
      <w:r>
        <w:rPr>
          <w:rFonts w:ascii="宋体" w:hAnsi="宋体" w:eastAsia="宋体" w:cs="宋体"/>
          <w:spacing w:val="5"/>
          <w:sz w:val="20"/>
          <w:szCs w:val="20"/>
          <w:highlight w:val="none"/>
          <w:u w:val="single" w:color="auto"/>
        </w:rPr>
        <w:t xml:space="preserve">                   </w:t>
      </w:r>
      <w:r>
        <w:rPr>
          <w:rFonts w:ascii="宋体" w:hAnsi="宋体" w:eastAsia="宋体" w:cs="宋体"/>
          <w:spacing w:val="-5"/>
          <w:sz w:val="20"/>
          <w:szCs w:val="20"/>
          <w:highlight w:val="none"/>
        </w:rPr>
        <w:t>（</w:t>
      </w:r>
      <w:r>
        <w:rPr>
          <w:rFonts w:ascii="宋体" w:hAnsi="宋体" w:eastAsia="宋体" w:cs="宋体"/>
          <w:spacing w:val="11"/>
          <w:sz w:val="20"/>
          <w:szCs w:val="20"/>
          <w:highlight w:val="none"/>
        </w:rPr>
        <w:t>签字）</w:t>
      </w:r>
    </w:p>
    <w:p w14:paraId="2BFF67E5">
      <w:pPr>
        <w:pStyle w:val="17"/>
        <w:spacing w:line="250" w:lineRule="auto"/>
        <w:rPr>
          <w:highlight w:val="none"/>
        </w:rPr>
      </w:pPr>
    </w:p>
    <w:p w14:paraId="63E6D820">
      <w:pPr>
        <w:pStyle w:val="17"/>
        <w:spacing w:line="250" w:lineRule="auto"/>
        <w:rPr>
          <w:highlight w:val="none"/>
        </w:rPr>
      </w:pPr>
    </w:p>
    <w:p w14:paraId="52E3F7D5">
      <w:pPr>
        <w:tabs>
          <w:tab w:val="left" w:pos="1060"/>
        </w:tabs>
        <w:spacing w:before="66" w:line="228" w:lineRule="auto"/>
        <w:ind w:left="11"/>
        <w:rPr>
          <w:rFonts w:ascii="宋体" w:hAnsi="宋体" w:eastAsia="宋体" w:cs="宋体"/>
          <w:sz w:val="20"/>
          <w:szCs w:val="20"/>
          <w:highlight w:val="none"/>
        </w:rPr>
      </w:pPr>
      <w:r>
        <w:rPr>
          <w:rFonts w:ascii="宋体" w:hAnsi="宋体" w:eastAsia="宋体" w:cs="宋体"/>
          <w:sz w:val="20"/>
          <w:szCs w:val="20"/>
          <w:highlight w:val="none"/>
          <w:u w:val="single" w:color="auto"/>
        </w:rPr>
        <w:tab/>
      </w:r>
      <w:r>
        <w:rPr>
          <w:rFonts w:ascii="宋体" w:hAnsi="宋体" w:eastAsia="宋体" w:cs="宋体"/>
          <w:spacing w:val="-88"/>
          <w:sz w:val="20"/>
          <w:szCs w:val="20"/>
          <w:highlight w:val="none"/>
        </w:rPr>
        <w:t xml:space="preserve"> </w:t>
      </w:r>
      <w:r>
        <w:rPr>
          <w:rFonts w:ascii="宋体" w:hAnsi="宋体" w:eastAsia="宋体" w:cs="宋体"/>
          <w:spacing w:val="-6"/>
          <w:sz w:val="20"/>
          <w:szCs w:val="20"/>
          <w:highlight w:val="none"/>
        </w:rPr>
        <w:t>年</w:t>
      </w:r>
      <w:r>
        <w:rPr>
          <w:rFonts w:ascii="宋体" w:hAnsi="宋体" w:eastAsia="宋体" w:cs="宋体"/>
          <w:spacing w:val="-98"/>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87"/>
          <w:sz w:val="20"/>
          <w:szCs w:val="20"/>
          <w:highlight w:val="none"/>
        </w:rPr>
        <w:t xml:space="preserve"> </w:t>
      </w:r>
      <w:r>
        <w:rPr>
          <w:rFonts w:ascii="宋体" w:hAnsi="宋体" w:eastAsia="宋体" w:cs="宋体"/>
          <w:spacing w:val="-6"/>
          <w:sz w:val="20"/>
          <w:szCs w:val="20"/>
          <w:highlight w:val="none"/>
        </w:rPr>
        <w:t xml:space="preserve">月 </w:t>
      </w:r>
      <w:r>
        <w:rPr>
          <w:rFonts w:ascii="宋体" w:hAnsi="宋体" w:eastAsia="宋体" w:cs="宋体"/>
          <w:spacing w:val="5"/>
          <w:sz w:val="20"/>
          <w:szCs w:val="20"/>
          <w:highlight w:val="none"/>
          <w:u w:val="single" w:color="auto"/>
        </w:rPr>
        <w:t xml:space="preserve">    </w:t>
      </w:r>
      <w:r>
        <w:rPr>
          <w:rFonts w:ascii="宋体" w:hAnsi="宋体" w:eastAsia="宋体" w:cs="宋体"/>
          <w:spacing w:val="50"/>
          <w:sz w:val="20"/>
          <w:szCs w:val="20"/>
          <w:highlight w:val="none"/>
        </w:rPr>
        <w:t xml:space="preserve"> </w:t>
      </w:r>
      <w:r>
        <w:rPr>
          <w:rFonts w:ascii="宋体" w:hAnsi="宋体" w:eastAsia="宋体" w:cs="宋体"/>
          <w:spacing w:val="-6"/>
          <w:sz w:val="20"/>
          <w:szCs w:val="20"/>
          <w:highlight w:val="none"/>
        </w:rPr>
        <w:t>日</w:t>
      </w:r>
      <w:r>
        <w:rPr>
          <w:rFonts w:ascii="宋体" w:hAnsi="宋体" w:eastAsia="宋体" w:cs="宋体"/>
          <w:spacing w:val="1"/>
          <w:sz w:val="20"/>
          <w:szCs w:val="20"/>
          <w:highlight w:val="none"/>
        </w:rPr>
        <w:t xml:space="preserve">                             </w:t>
      </w:r>
      <w:r>
        <w:rPr>
          <w:rFonts w:ascii="宋体" w:hAnsi="宋体" w:eastAsia="宋体" w:cs="宋体"/>
          <w:spacing w:val="6"/>
          <w:sz w:val="20"/>
          <w:szCs w:val="20"/>
          <w:highlight w:val="none"/>
          <w:u w:val="single" w:color="auto"/>
        </w:rPr>
        <w:t xml:space="preserve">         </w:t>
      </w:r>
      <w:r>
        <w:rPr>
          <w:rFonts w:ascii="宋体" w:hAnsi="宋体" w:eastAsia="宋体" w:cs="宋体"/>
          <w:spacing w:val="-89"/>
          <w:sz w:val="20"/>
          <w:szCs w:val="20"/>
          <w:highlight w:val="none"/>
        </w:rPr>
        <w:t xml:space="preserve"> </w:t>
      </w:r>
      <w:r>
        <w:rPr>
          <w:rFonts w:ascii="宋体" w:hAnsi="宋体" w:eastAsia="宋体" w:cs="宋体"/>
          <w:spacing w:val="-6"/>
          <w:sz w:val="20"/>
          <w:szCs w:val="20"/>
          <w:highlight w:val="none"/>
        </w:rPr>
        <w:t>年</w:t>
      </w:r>
      <w:r>
        <w:rPr>
          <w:rFonts w:ascii="宋体" w:hAnsi="宋体" w:eastAsia="宋体" w:cs="宋体"/>
          <w:spacing w:val="4"/>
          <w:sz w:val="20"/>
          <w:szCs w:val="20"/>
          <w:highlight w:val="none"/>
          <w:u w:val="single" w:color="auto"/>
        </w:rPr>
        <w:t xml:space="preserve">    </w:t>
      </w:r>
      <w:r>
        <w:rPr>
          <w:rFonts w:ascii="宋体" w:hAnsi="宋体" w:eastAsia="宋体" w:cs="宋体"/>
          <w:spacing w:val="-83"/>
          <w:sz w:val="20"/>
          <w:szCs w:val="20"/>
          <w:highlight w:val="none"/>
        </w:rPr>
        <w:t xml:space="preserve"> </w:t>
      </w:r>
      <w:r>
        <w:rPr>
          <w:rFonts w:ascii="宋体" w:hAnsi="宋体" w:eastAsia="宋体" w:cs="宋体"/>
          <w:spacing w:val="-6"/>
          <w:sz w:val="20"/>
          <w:szCs w:val="20"/>
          <w:highlight w:val="none"/>
        </w:rPr>
        <w:t>月</w:t>
      </w:r>
      <w:r>
        <w:rPr>
          <w:rFonts w:ascii="宋体" w:hAnsi="宋体" w:eastAsia="宋体" w:cs="宋体"/>
          <w:spacing w:val="8"/>
          <w:sz w:val="20"/>
          <w:szCs w:val="20"/>
          <w:highlight w:val="none"/>
        </w:rPr>
        <w:t xml:space="preserve"> </w:t>
      </w:r>
      <w:r>
        <w:rPr>
          <w:rFonts w:ascii="宋体" w:hAnsi="宋体" w:eastAsia="宋体" w:cs="宋体"/>
          <w:spacing w:val="5"/>
          <w:sz w:val="20"/>
          <w:szCs w:val="20"/>
          <w:highlight w:val="none"/>
          <w:u w:val="single" w:color="auto"/>
        </w:rPr>
        <w:t xml:space="preserve">    </w:t>
      </w:r>
      <w:r>
        <w:rPr>
          <w:rFonts w:ascii="宋体" w:hAnsi="宋体" w:eastAsia="宋体" w:cs="宋体"/>
          <w:spacing w:val="-56"/>
          <w:sz w:val="20"/>
          <w:szCs w:val="20"/>
          <w:highlight w:val="none"/>
        </w:rPr>
        <w:t xml:space="preserve"> </w:t>
      </w:r>
      <w:r>
        <w:rPr>
          <w:rFonts w:ascii="宋体" w:hAnsi="宋体" w:eastAsia="宋体" w:cs="宋体"/>
          <w:spacing w:val="-6"/>
          <w:sz w:val="20"/>
          <w:szCs w:val="20"/>
          <w:highlight w:val="none"/>
        </w:rPr>
        <w:t>日</w:t>
      </w:r>
    </w:p>
    <w:p w14:paraId="41B3DA2F">
      <w:pPr>
        <w:pStyle w:val="17"/>
        <w:spacing w:line="250" w:lineRule="auto"/>
        <w:rPr>
          <w:highlight w:val="none"/>
        </w:rPr>
      </w:pPr>
    </w:p>
    <w:p w14:paraId="401EB2D4">
      <w:pPr>
        <w:pStyle w:val="17"/>
        <w:spacing w:line="250" w:lineRule="auto"/>
        <w:rPr>
          <w:highlight w:val="none"/>
        </w:rPr>
      </w:pPr>
    </w:p>
    <w:p w14:paraId="31FF77A2">
      <w:pPr>
        <w:spacing w:before="65" w:line="233" w:lineRule="auto"/>
        <w:ind w:left="19"/>
        <w:outlineLvl w:val="1"/>
        <w:rPr>
          <w:rFonts w:ascii="宋体" w:hAnsi="宋体" w:eastAsia="宋体" w:cs="宋体"/>
          <w:sz w:val="20"/>
          <w:szCs w:val="20"/>
          <w:highlight w:val="none"/>
        </w:rPr>
      </w:pPr>
      <w:r>
        <w:rPr>
          <w:rFonts w:ascii="宋体" w:hAnsi="宋体" w:eastAsia="宋体" w:cs="宋体"/>
          <w:spacing w:val="4"/>
          <w:sz w:val="20"/>
          <w:szCs w:val="20"/>
          <w:highlight w:val="none"/>
        </w:rPr>
        <w:t>签约地点：</w:t>
      </w:r>
      <w:r>
        <w:rPr>
          <w:rFonts w:ascii="宋体" w:hAnsi="宋体" w:eastAsia="宋体" w:cs="宋体"/>
          <w:spacing w:val="4"/>
          <w:sz w:val="20"/>
          <w:szCs w:val="20"/>
          <w:highlight w:val="none"/>
          <w:u w:val="single" w:color="auto"/>
        </w:rPr>
        <w:t xml:space="preserve">                                                    </w:t>
      </w:r>
      <w:r>
        <w:rPr>
          <w:rFonts w:ascii="宋体" w:hAnsi="宋体" w:eastAsia="宋体" w:cs="宋体"/>
          <w:spacing w:val="3"/>
          <w:sz w:val="20"/>
          <w:szCs w:val="20"/>
          <w:highlight w:val="none"/>
          <w:u w:val="single" w:color="auto"/>
        </w:rPr>
        <w:t xml:space="preserve">                 </w:t>
      </w:r>
    </w:p>
    <w:p w14:paraId="4F2FE5FD">
      <w:pPr>
        <w:pStyle w:val="17"/>
        <w:spacing w:line="382" w:lineRule="auto"/>
        <w:rPr>
          <w:highlight w:val="none"/>
        </w:rPr>
      </w:pPr>
      <w:r>
        <w:rPr>
          <w:rFonts w:hint="eastAsia" w:cs="宋体"/>
          <w:sz w:val="20"/>
          <w:szCs w:val="20"/>
          <w:highlight w:val="none"/>
          <w:lang w:eastAsia="zh-CN"/>
        </w:rPr>
        <w:t xml:space="preserve"> </w:t>
      </w:r>
    </w:p>
    <w:p w14:paraId="68B93C3F">
      <w:pPr>
        <w:rPr>
          <w:rFonts w:ascii="宋体" w:hAnsi="宋体" w:eastAsia="宋体" w:cs="宋体"/>
          <w:spacing w:val="-2"/>
          <w:sz w:val="24"/>
          <w:szCs w:val="24"/>
          <w:highlight w:val="none"/>
        </w:rPr>
      </w:pPr>
      <w:r>
        <w:rPr>
          <w:rFonts w:ascii="宋体" w:hAnsi="宋体" w:eastAsia="宋体" w:cs="宋体"/>
          <w:spacing w:val="-2"/>
          <w:sz w:val="24"/>
          <w:szCs w:val="24"/>
          <w:highlight w:val="none"/>
        </w:rPr>
        <w:br w:type="page"/>
      </w:r>
    </w:p>
    <w:p w14:paraId="1002F277">
      <w:pPr>
        <w:spacing w:before="78" w:line="219" w:lineRule="auto"/>
        <w:ind w:left="284"/>
        <w:rPr>
          <w:rFonts w:ascii="宋体" w:hAnsi="宋体" w:eastAsia="宋体" w:cs="宋体"/>
          <w:sz w:val="24"/>
          <w:szCs w:val="24"/>
          <w:highlight w:val="none"/>
        </w:rPr>
      </w:pPr>
      <w:r>
        <w:rPr>
          <w:rFonts w:ascii="宋体" w:hAnsi="宋体" w:eastAsia="宋体" w:cs="宋体"/>
          <w:spacing w:val="-2"/>
          <w:sz w:val="24"/>
          <w:szCs w:val="24"/>
          <w:highlight w:val="none"/>
        </w:rPr>
        <w:t>附件二：承包人承揽工程项目一览表</w:t>
      </w:r>
    </w:p>
    <w:p w14:paraId="151E097A">
      <w:pPr>
        <w:spacing w:before="308" w:line="221" w:lineRule="auto"/>
        <w:ind w:left="2734"/>
        <w:rPr>
          <w:rFonts w:ascii="宋体" w:hAnsi="宋体" w:eastAsia="宋体" w:cs="宋体"/>
          <w:sz w:val="28"/>
          <w:szCs w:val="28"/>
          <w:highlight w:val="none"/>
        </w:rPr>
      </w:pPr>
      <w:bookmarkStart w:id="792" w:name="bookmark68"/>
      <w:bookmarkEnd w:id="792"/>
      <w:r>
        <w:rPr>
          <w:rFonts w:ascii="宋体" w:hAnsi="宋体" w:eastAsia="宋体" w:cs="宋体"/>
          <w:b/>
          <w:bCs/>
          <w:spacing w:val="-3"/>
          <w:sz w:val="28"/>
          <w:szCs w:val="28"/>
          <w:highlight w:val="none"/>
        </w:rPr>
        <w:t>承包人承揽工程项目一览表</w:t>
      </w:r>
    </w:p>
    <w:p w14:paraId="55A360FA">
      <w:pPr>
        <w:spacing w:line="168" w:lineRule="exact"/>
        <w:rPr>
          <w:highlight w:val="none"/>
        </w:rPr>
      </w:pPr>
    </w:p>
    <w:tbl>
      <w:tblPr>
        <w:tblStyle w:val="260"/>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733"/>
        <w:gridCol w:w="1232"/>
        <w:gridCol w:w="484"/>
        <w:gridCol w:w="616"/>
        <w:gridCol w:w="816"/>
        <w:gridCol w:w="1082"/>
        <w:gridCol w:w="945"/>
        <w:gridCol w:w="735"/>
        <w:gridCol w:w="739"/>
      </w:tblGrid>
      <w:tr w14:paraId="22019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404" w:type="dxa"/>
            <w:vAlign w:val="top"/>
          </w:tcPr>
          <w:p w14:paraId="4B7ADBE7">
            <w:pPr>
              <w:spacing w:line="457" w:lineRule="auto"/>
              <w:rPr>
                <w:rFonts w:ascii="Arial"/>
                <w:sz w:val="21"/>
                <w:highlight w:val="none"/>
              </w:rPr>
            </w:pPr>
          </w:p>
          <w:p w14:paraId="558A82F6">
            <w:pPr>
              <w:pStyle w:val="255"/>
              <w:spacing w:before="65" w:line="229" w:lineRule="auto"/>
              <w:ind w:left="242"/>
              <w:rPr>
                <w:highlight w:val="none"/>
              </w:rPr>
            </w:pPr>
            <w:r>
              <w:rPr>
                <w:spacing w:val="24"/>
                <w:highlight w:val="none"/>
              </w:rPr>
              <w:t>单位工程</w:t>
            </w:r>
          </w:p>
          <w:p w14:paraId="165E7DF4">
            <w:pPr>
              <w:pStyle w:val="255"/>
              <w:spacing w:before="291" w:line="231" w:lineRule="auto"/>
              <w:ind w:left="218"/>
              <w:rPr>
                <w:highlight w:val="none"/>
              </w:rPr>
            </w:pPr>
            <w:r>
              <w:rPr>
                <w:highlight w:val="none"/>
              </w:rPr>
              <w:t>名</w:t>
            </w:r>
            <w:r>
              <w:rPr>
                <w:spacing w:val="9"/>
                <w:highlight w:val="none"/>
              </w:rPr>
              <w:t xml:space="preserve">     </w:t>
            </w:r>
            <w:r>
              <w:rPr>
                <w:highlight w:val="none"/>
              </w:rPr>
              <w:t>称</w:t>
            </w:r>
          </w:p>
        </w:tc>
        <w:tc>
          <w:tcPr>
            <w:tcW w:w="733" w:type="dxa"/>
            <w:vAlign w:val="top"/>
          </w:tcPr>
          <w:p w14:paraId="1A0B6926">
            <w:pPr>
              <w:spacing w:line="457" w:lineRule="auto"/>
              <w:rPr>
                <w:rFonts w:ascii="Arial"/>
                <w:sz w:val="21"/>
                <w:highlight w:val="none"/>
              </w:rPr>
            </w:pPr>
          </w:p>
          <w:p w14:paraId="5A08DB73">
            <w:pPr>
              <w:pStyle w:val="255"/>
              <w:spacing w:before="65" w:line="230" w:lineRule="auto"/>
              <w:ind w:left="137"/>
              <w:rPr>
                <w:highlight w:val="none"/>
              </w:rPr>
            </w:pPr>
            <w:r>
              <w:rPr>
                <w:spacing w:val="15"/>
                <w:highlight w:val="none"/>
              </w:rPr>
              <w:t>建设</w:t>
            </w:r>
          </w:p>
          <w:p w14:paraId="3F7DD5EB">
            <w:pPr>
              <w:pStyle w:val="255"/>
              <w:spacing w:before="291" w:line="228" w:lineRule="auto"/>
              <w:ind w:left="135"/>
              <w:rPr>
                <w:highlight w:val="none"/>
              </w:rPr>
            </w:pPr>
            <w:r>
              <w:rPr>
                <w:spacing w:val="16"/>
                <w:highlight w:val="none"/>
              </w:rPr>
              <w:t>规模</w:t>
            </w:r>
          </w:p>
        </w:tc>
        <w:tc>
          <w:tcPr>
            <w:tcW w:w="1232" w:type="dxa"/>
            <w:vAlign w:val="top"/>
          </w:tcPr>
          <w:p w14:paraId="4D82F0F3">
            <w:pPr>
              <w:spacing w:line="457" w:lineRule="auto"/>
              <w:rPr>
                <w:rFonts w:ascii="Arial"/>
                <w:sz w:val="21"/>
                <w:highlight w:val="none"/>
              </w:rPr>
            </w:pPr>
          </w:p>
          <w:p w14:paraId="6E83446C">
            <w:pPr>
              <w:pStyle w:val="255"/>
              <w:spacing w:before="65" w:line="229" w:lineRule="auto"/>
              <w:ind w:left="155"/>
              <w:rPr>
                <w:highlight w:val="none"/>
              </w:rPr>
            </w:pPr>
            <w:r>
              <w:rPr>
                <w:spacing w:val="24"/>
                <w:highlight w:val="none"/>
              </w:rPr>
              <w:t>建筑面积</w:t>
            </w:r>
          </w:p>
          <w:p w14:paraId="5D054A6B">
            <w:pPr>
              <w:pStyle w:val="255"/>
              <w:spacing w:before="292" w:line="228" w:lineRule="auto"/>
              <w:ind w:left="189"/>
              <w:rPr>
                <w:highlight w:val="none"/>
              </w:rPr>
            </w:pPr>
            <w:r>
              <w:rPr>
                <w:spacing w:val="16"/>
                <w:highlight w:val="none"/>
              </w:rPr>
              <w:t>(平方米)</w:t>
            </w:r>
          </w:p>
        </w:tc>
        <w:tc>
          <w:tcPr>
            <w:tcW w:w="484" w:type="dxa"/>
            <w:textDirection w:val="tbRlV"/>
            <w:vAlign w:val="top"/>
          </w:tcPr>
          <w:p w14:paraId="0493773F">
            <w:pPr>
              <w:pStyle w:val="255"/>
              <w:spacing w:before="147" w:line="214" w:lineRule="auto"/>
              <w:ind w:left="525"/>
              <w:rPr>
                <w:highlight w:val="none"/>
              </w:rPr>
            </w:pPr>
            <w:r>
              <w:rPr>
                <w:spacing w:val="9"/>
                <w:highlight w:val="none"/>
              </w:rPr>
              <w:t>结</w:t>
            </w:r>
            <w:r>
              <w:rPr>
                <w:spacing w:val="10"/>
                <w:highlight w:val="none"/>
              </w:rPr>
              <w:t xml:space="preserve">   </w:t>
            </w:r>
            <w:r>
              <w:rPr>
                <w:spacing w:val="9"/>
                <w:highlight w:val="none"/>
              </w:rPr>
              <w:t>构</w:t>
            </w:r>
          </w:p>
        </w:tc>
        <w:tc>
          <w:tcPr>
            <w:tcW w:w="616" w:type="dxa"/>
            <w:textDirection w:val="tbRlV"/>
            <w:vAlign w:val="top"/>
          </w:tcPr>
          <w:p w14:paraId="363ED560">
            <w:pPr>
              <w:pStyle w:val="255"/>
              <w:spacing w:before="213" w:line="216" w:lineRule="auto"/>
              <w:ind w:left="525"/>
              <w:rPr>
                <w:highlight w:val="none"/>
              </w:rPr>
            </w:pPr>
            <w:r>
              <w:rPr>
                <w:spacing w:val="9"/>
                <w:highlight w:val="none"/>
              </w:rPr>
              <w:t>层</w:t>
            </w:r>
            <w:r>
              <w:rPr>
                <w:spacing w:val="10"/>
                <w:highlight w:val="none"/>
              </w:rPr>
              <w:t xml:space="preserve">   </w:t>
            </w:r>
            <w:r>
              <w:rPr>
                <w:spacing w:val="9"/>
                <w:highlight w:val="none"/>
              </w:rPr>
              <w:t>数</w:t>
            </w:r>
          </w:p>
        </w:tc>
        <w:tc>
          <w:tcPr>
            <w:tcW w:w="816" w:type="dxa"/>
            <w:vAlign w:val="top"/>
          </w:tcPr>
          <w:p w14:paraId="4DBE7744">
            <w:pPr>
              <w:spacing w:line="457" w:lineRule="auto"/>
              <w:rPr>
                <w:rFonts w:ascii="Arial"/>
                <w:sz w:val="21"/>
                <w:highlight w:val="none"/>
              </w:rPr>
            </w:pPr>
          </w:p>
          <w:p w14:paraId="4B271148">
            <w:pPr>
              <w:pStyle w:val="255"/>
              <w:spacing w:before="65" w:line="229" w:lineRule="auto"/>
              <w:ind w:left="177"/>
              <w:rPr>
                <w:highlight w:val="none"/>
              </w:rPr>
            </w:pPr>
            <w:r>
              <w:rPr>
                <w:spacing w:val="16"/>
                <w:highlight w:val="none"/>
              </w:rPr>
              <w:t>跨度</w:t>
            </w:r>
          </w:p>
          <w:p w14:paraId="03791236">
            <w:pPr>
              <w:pStyle w:val="255"/>
              <w:spacing w:before="292" w:line="228" w:lineRule="auto"/>
              <w:ind w:left="214"/>
              <w:rPr>
                <w:highlight w:val="none"/>
              </w:rPr>
            </w:pPr>
            <w:r>
              <w:rPr>
                <w:spacing w:val="5"/>
                <w:highlight w:val="none"/>
              </w:rPr>
              <w:t>(米)</w:t>
            </w:r>
          </w:p>
        </w:tc>
        <w:tc>
          <w:tcPr>
            <w:tcW w:w="1082" w:type="dxa"/>
            <w:vAlign w:val="top"/>
          </w:tcPr>
          <w:p w14:paraId="40C5B367">
            <w:pPr>
              <w:pStyle w:val="255"/>
              <w:spacing w:before="256" w:line="230" w:lineRule="auto"/>
              <w:ind w:left="315"/>
              <w:rPr>
                <w:highlight w:val="none"/>
              </w:rPr>
            </w:pPr>
            <w:r>
              <w:rPr>
                <w:spacing w:val="15"/>
                <w:highlight w:val="none"/>
              </w:rPr>
              <w:t>设备</w:t>
            </w:r>
          </w:p>
          <w:p w14:paraId="38CC098F">
            <w:pPr>
              <w:pStyle w:val="255"/>
              <w:spacing w:before="291" w:line="229" w:lineRule="auto"/>
              <w:ind w:left="316"/>
              <w:rPr>
                <w:highlight w:val="none"/>
              </w:rPr>
            </w:pPr>
            <w:r>
              <w:rPr>
                <w:spacing w:val="14"/>
                <w:highlight w:val="none"/>
              </w:rPr>
              <w:t>安装</w:t>
            </w:r>
          </w:p>
          <w:p w14:paraId="5A3CA44E">
            <w:pPr>
              <w:pStyle w:val="255"/>
              <w:spacing w:before="292" w:line="228" w:lineRule="auto"/>
              <w:ind w:left="337"/>
              <w:rPr>
                <w:highlight w:val="none"/>
              </w:rPr>
            </w:pPr>
            <w:r>
              <w:rPr>
                <w:spacing w:val="4"/>
                <w:highlight w:val="none"/>
              </w:rPr>
              <w:t>内容</w:t>
            </w:r>
          </w:p>
        </w:tc>
        <w:tc>
          <w:tcPr>
            <w:tcW w:w="945" w:type="dxa"/>
            <w:vAlign w:val="top"/>
          </w:tcPr>
          <w:p w14:paraId="5091B021">
            <w:pPr>
              <w:pStyle w:val="255"/>
              <w:spacing w:before="256" w:line="229" w:lineRule="auto"/>
              <w:ind w:left="247"/>
              <w:rPr>
                <w:highlight w:val="none"/>
              </w:rPr>
            </w:pPr>
            <w:r>
              <w:rPr>
                <w:spacing w:val="15"/>
                <w:highlight w:val="none"/>
              </w:rPr>
              <w:t>工程</w:t>
            </w:r>
          </w:p>
          <w:p w14:paraId="1F6E65B0">
            <w:pPr>
              <w:pStyle w:val="255"/>
              <w:spacing w:before="291" w:line="227" w:lineRule="auto"/>
              <w:ind w:left="244"/>
              <w:rPr>
                <w:highlight w:val="none"/>
              </w:rPr>
            </w:pPr>
            <w:r>
              <w:rPr>
                <w:spacing w:val="17"/>
                <w:highlight w:val="none"/>
              </w:rPr>
              <w:t>造价</w:t>
            </w:r>
          </w:p>
          <w:p w14:paraId="53E8E2C9">
            <w:pPr>
              <w:pStyle w:val="255"/>
              <w:spacing w:before="294" w:line="229" w:lineRule="auto"/>
              <w:ind w:left="282"/>
              <w:rPr>
                <w:highlight w:val="none"/>
              </w:rPr>
            </w:pPr>
            <w:r>
              <w:rPr>
                <w:spacing w:val="3"/>
                <w:highlight w:val="none"/>
              </w:rPr>
              <w:t>(元)</w:t>
            </w:r>
          </w:p>
        </w:tc>
        <w:tc>
          <w:tcPr>
            <w:tcW w:w="735" w:type="dxa"/>
            <w:vAlign w:val="top"/>
          </w:tcPr>
          <w:p w14:paraId="347CE7CD">
            <w:pPr>
              <w:spacing w:line="457" w:lineRule="auto"/>
              <w:rPr>
                <w:rFonts w:ascii="Arial"/>
                <w:sz w:val="21"/>
                <w:highlight w:val="none"/>
              </w:rPr>
            </w:pPr>
          </w:p>
          <w:p w14:paraId="7932B378">
            <w:pPr>
              <w:pStyle w:val="255"/>
              <w:spacing w:before="65" w:line="230" w:lineRule="auto"/>
              <w:ind w:left="141"/>
              <w:rPr>
                <w:highlight w:val="none"/>
              </w:rPr>
            </w:pPr>
            <w:r>
              <w:rPr>
                <w:spacing w:val="16"/>
                <w:highlight w:val="none"/>
              </w:rPr>
              <w:t>开工</w:t>
            </w:r>
          </w:p>
          <w:p w14:paraId="32AADF56">
            <w:pPr>
              <w:pStyle w:val="255"/>
              <w:spacing w:before="291" w:line="229" w:lineRule="auto"/>
              <w:ind w:left="176"/>
              <w:rPr>
                <w:highlight w:val="none"/>
              </w:rPr>
            </w:pPr>
            <w:r>
              <w:rPr>
                <w:spacing w:val="-2"/>
                <w:highlight w:val="none"/>
              </w:rPr>
              <w:t>日期</w:t>
            </w:r>
          </w:p>
        </w:tc>
        <w:tc>
          <w:tcPr>
            <w:tcW w:w="739" w:type="dxa"/>
            <w:vAlign w:val="top"/>
          </w:tcPr>
          <w:p w14:paraId="5F00B02A">
            <w:pPr>
              <w:spacing w:line="457" w:lineRule="auto"/>
              <w:rPr>
                <w:rFonts w:ascii="Arial"/>
                <w:sz w:val="21"/>
                <w:highlight w:val="none"/>
              </w:rPr>
            </w:pPr>
          </w:p>
          <w:p w14:paraId="7FFCEB67">
            <w:pPr>
              <w:pStyle w:val="255"/>
              <w:spacing w:before="65" w:line="228" w:lineRule="auto"/>
              <w:ind w:left="140"/>
              <w:rPr>
                <w:highlight w:val="none"/>
              </w:rPr>
            </w:pPr>
            <w:r>
              <w:rPr>
                <w:spacing w:val="16"/>
                <w:highlight w:val="none"/>
              </w:rPr>
              <w:t>竣工</w:t>
            </w:r>
          </w:p>
          <w:p w14:paraId="52ACFFBD">
            <w:pPr>
              <w:pStyle w:val="255"/>
              <w:spacing w:before="292" w:line="229" w:lineRule="auto"/>
              <w:ind w:left="175"/>
              <w:rPr>
                <w:highlight w:val="none"/>
              </w:rPr>
            </w:pPr>
            <w:r>
              <w:rPr>
                <w:spacing w:val="-2"/>
                <w:highlight w:val="none"/>
              </w:rPr>
              <w:t>日期</w:t>
            </w:r>
          </w:p>
        </w:tc>
      </w:tr>
      <w:tr w14:paraId="0411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0CE6A36B">
            <w:pPr>
              <w:rPr>
                <w:rFonts w:ascii="Arial"/>
                <w:sz w:val="21"/>
                <w:highlight w:val="none"/>
              </w:rPr>
            </w:pPr>
          </w:p>
        </w:tc>
        <w:tc>
          <w:tcPr>
            <w:tcW w:w="733" w:type="dxa"/>
            <w:vAlign w:val="top"/>
          </w:tcPr>
          <w:p w14:paraId="77A34E7B">
            <w:pPr>
              <w:rPr>
                <w:rFonts w:ascii="Arial"/>
                <w:sz w:val="21"/>
                <w:highlight w:val="none"/>
              </w:rPr>
            </w:pPr>
          </w:p>
        </w:tc>
        <w:tc>
          <w:tcPr>
            <w:tcW w:w="1232" w:type="dxa"/>
            <w:vAlign w:val="top"/>
          </w:tcPr>
          <w:p w14:paraId="57A5ED96">
            <w:pPr>
              <w:rPr>
                <w:rFonts w:ascii="Arial"/>
                <w:sz w:val="21"/>
                <w:highlight w:val="none"/>
              </w:rPr>
            </w:pPr>
          </w:p>
        </w:tc>
        <w:tc>
          <w:tcPr>
            <w:tcW w:w="484" w:type="dxa"/>
            <w:vAlign w:val="top"/>
          </w:tcPr>
          <w:p w14:paraId="349C2EA4">
            <w:pPr>
              <w:rPr>
                <w:rFonts w:ascii="Arial"/>
                <w:sz w:val="21"/>
                <w:highlight w:val="none"/>
              </w:rPr>
            </w:pPr>
          </w:p>
        </w:tc>
        <w:tc>
          <w:tcPr>
            <w:tcW w:w="616" w:type="dxa"/>
            <w:vAlign w:val="top"/>
          </w:tcPr>
          <w:p w14:paraId="744CBAAB">
            <w:pPr>
              <w:rPr>
                <w:rFonts w:ascii="Arial"/>
                <w:sz w:val="21"/>
                <w:highlight w:val="none"/>
              </w:rPr>
            </w:pPr>
          </w:p>
        </w:tc>
        <w:tc>
          <w:tcPr>
            <w:tcW w:w="816" w:type="dxa"/>
            <w:vAlign w:val="top"/>
          </w:tcPr>
          <w:p w14:paraId="086879BD">
            <w:pPr>
              <w:rPr>
                <w:rFonts w:ascii="Arial"/>
                <w:sz w:val="21"/>
                <w:highlight w:val="none"/>
              </w:rPr>
            </w:pPr>
          </w:p>
        </w:tc>
        <w:tc>
          <w:tcPr>
            <w:tcW w:w="1082" w:type="dxa"/>
            <w:vAlign w:val="top"/>
          </w:tcPr>
          <w:p w14:paraId="57AD958A">
            <w:pPr>
              <w:rPr>
                <w:rFonts w:ascii="Arial"/>
                <w:sz w:val="21"/>
                <w:highlight w:val="none"/>
              </w:rPr>
            </w:pPr>
          </w:p>
        </w:tc>
        <w:tc>
          <w:tcPr>
            <w:tcW w:w="945" w:type="dxa"/>
            <w:vAlign w:val="top"/>
          </w:tcPr>
          <w:p w14:paraId="20FD6C15">
            <w:pPr>
              <w:rPr>
                <w:rFonts w:ascii="Arial"/>
                <w:sz w:val="21"/>
                <w:highlight w:val="none"/>
              </w:rPr>
            </w:pPr>
          </w:p>
        </w:tc>
        <w:tc>
          <w:tcPr>
            <w:tcW w:w="735" w:type="dxa"/>
            <w:vAlign w:val="top"/>
          </w:tcPr>
          <w:p w14:paraId="5E46B683">
            <w:pPr>
              <w:rPr>
                <w:rFonts w:ascii="Arial"/>
                <w:sz w:val="21"/>
                <w:highlight w:val="none"/>
              </w:rPr>
            </w:pPr>
          </w:p>
        </w:tc>
        <w:tc>
          <w:tcPr>
            <w:tcW w:w="739" w:type="dxa"/>
            <w:vAlign w:val="top"/>
          </w:tcPr>
          <w:p w14:paraId="42EDDF19">
            <w:pPr>
              <w:rPr>
                <w:rFonts w:ascii="Arial"/>
                <w:sz w:val="21"/>
                <w:highlight w:val="none"/>
              </w:rPr>
            </w:pPr>
          </w:p>
        </w:tc>
      </w:tr>
      <w:tr w14:paraId="2E7E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33BA2B3E">
            <w:pPr>
              <w:rPr>
                <w:rFonts w:ascii="Arial"/>
                <w:sz w:val="21"/>
                <w:highlight w:val="none"/>
              </w:rPr>
            </w:pPr>
          </w:p>
        </w:tc>
        <w:tc>
          <w:tcPr>
            <w:tcW w:w="733" w:type="dxa"/>
            <w:vAlign w:val="top"/>
          </w:tcPr>
          <w:p w14:paraId="00A22037">
            <w:pPr>
              <w:rPr>
                <w:rFonts w:ascii="Arial"/>
                <w:sz w:val="21"/>
                <w:highlight w:val="none"/>
              </w:rPr>
            </w:pPr>
          </w:p>
        </w:tc>
        <w:tc>
          <w:tcPr>
            <w:tcW w:w="1232" w:type="dxa"/>
            <w:vAlign w:val="top"/>
          </w:tcPr>
          <w:p w14:paraId="2662EAC0">
            <w:pPr>
              <w:rPr>
                <w:rFonts w:ascii="Arial"/>
                <w:sz w:val="21"/>
                <w:highlight w:val="none"/>
              </w:rPr>
            </w:pPr>
          </w:p>
        </w:tc>
        <w:tc>
          <w:tcPr>
            <w:tcW w:w="484" w:type="dxa"/>
            <w:vAlign w:val="top"/>
          </w:tcPr>
          <w:p w14:paraId="28B8F102">
            <w:pPr>
              <w:rPr>
                <w:rFonts w:ascii="Arial"/>
                <w:sz w:val="21"/>
                <w:highlight w:val="none"/>
              </w:rPr>
            </w:pPr>
          </w:p>
        </w:tc>
        <w:tc>
          <w:tcPr>
            <w:tcW w:w="616" w:type="dxa"/>
            <w:vAlign w:val="top"/>
          </w:tcPr>
          <w:p w14:paraId="0F1E4EC9">
            <w:pPr>
              <w:rPr>
                <w:rFonts w:ascii="Arial"/>
                <w:sz w:val="21"/>
                <w:highlight w:val="none"/>
              </w:rPr>
            </w:pPr>
          </w:p>
        </w:tc>
        <w:tc>
          <w:tcPr>
            <w:tcW w:w="816" w:type="dxa"/>
            <w:vAlign w:val="top"/>
          </w:tcPr>
          <w:p w14:paraId="734A2C8F">
            <w:pPr>
              <w:rPr>
                <w:rFonts w:ascii="Arial"/>
                <w:sz w:val="21"/>
                <w:highlight w:val="none"/>
              </w:rPr>
            </w:pPr>
          </w:p>
        </w:tc>
        <w:tc>
          <w:tcPr>
            <w:tcW w:w="1082" w:type="dxa"/>
            <w:vAlign w:val="top"/>
          </w:tcPr>
          <w:p w14:paraId="010CFDD0">
            <w:pPr>
              <w:rPr>
                <w:rFonts w:ascii="Arial"/>
                <w:sz w:val="21"/>
                <w:highlight w:val="none"/>
              </w:rPr>
            </w:pPr>
          </w:p>
        </w:tc>
        <w:tc>
          <w:tcPr>
            <w:tcW w:w="945" w:type="dxa"/>
            <w:vAlign w:val="top"/>
          </w:tcPr>
          <w:p w14:paraId="162FF4FC">
            <w:pPr>
              <w:rPr>
                <w:rFonts w:ascii="Arial"/>
                <w:sz w:val="21"/>
                <w:highlight w:val="none"/>
              </w:rPr>
            </w:pPr>
          </w:p>
        </w:tc>
        <w:tc>
          <w:tcPr>
            <w:tcW w:w="735" w:type="dxa"/>
            <w:vAlign w:val="top"/>
          </w:tcPr>
          <w:p w14:paraId="2E122755">
            <w:pPr>
              <w:rPr>
                <w:rFonts w:ascii="Arial"/>
                <w:sz w:val="21"/>
                <w:highlight w:val="none"/>
              </w:rPr>
            </w:pPr>
          </w:p>
        </w:tc>
        <w:tc>
          <w:tcPr>
            <w:tcW w:w="739" w:type="dxa"/>
            <w:vAlign w:val="top"/>
          </w:tcPr>
          <w:p w14:paraId="2BEC9DF3">
            <w:pPr>
              <w:rPr>
                <w:rFonts w:ascii="Arial"/>
                <w:sz w:val="21"/>
                <w:highlight w:val="none"/>
              </w:rPr>
            </w:pPr>
          </w:p>
        </w:tc>
      </w:tr>
      <w:tr w14:paraId="14566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6F7A596D">
            <w:pPr>
              <w:rPr>
                <w:rFonts w:ascii="Arial"/>
                <w:sz w:val="21"/>
                <w:highlight w:val="none"/>
              </w:rPr>
            </w:pPr>
          </w:p>
        </w:tc>
        <w:tc>
          <w:tcPr>
            <w:tcW w:w="733" w:type="dxa"/>
            <w:vAlign w:val="top"/>
          </w:tcPr>
          <w:p w14:paraId="361E67FE">
            <w:pPr>
              <w:rPr>
                <w:rFonts w:ascii="Arial"/>
                <w:sz w:val="21"/>
                <w:highlight w:val="none"/>
              </w:rPr>
            </w:pPr>
          </w:p>
        </w:tc>
        <w:tc>
          <w:tcPr>
            <w:tcW w:w="1232" w:type="dxa"/>
            <w:vAlign w:val="top"/>
          </w:tcPr>
          <w:p w14:paraId="76C68273">
            <w:pPr>
              <w:rPr>
                <w:rFonts w:ascii="Arial"/>
                <w:sz w:val="21"/>
                <w:highlight w:val="none"/>
              </w:rPr>
            </w:pPr>
          </w:p>
        </w:tc>
        <w:tc>
          <w:tcPr>
            <w:tcW w:w="484" w:type="dxa"/>
            <w:vAlign w:val="top"/>
          </w:tcPr>
          <w:p w14:paraId="3DD3CECE">
            <w:pPr>
              <w:rPr>
                <w:rFonts w:ascii="Arial"/>
                <w:sz w:val="21"/>
                <w:highlight w:val="none"/>
              </w:rPr>
            </w:pPr>
          </w:p>
        </w:tc>
        <w:tc>
          <w:tcPr>
            <w:tcW w:w="616" w:type="dxa"/>
            <w:vAlign w:val="top"/>
          </w:tcPr>
          <w:p w14:paraId="41BB6916">
            <w:pPr>
              <w:rPr>
                <w:rFonts w:ascii="Arial"/>
                <w:sz w:val="21"/>
                <w:highlight w:val="none"/>
              </w:rPr>
            </w:pPr>
          </w:p>
        </w:tc>
        <w:tc>
          <w:tcPr>
            <w:tcW w:w="816" w:type="dxa"/>
            <w:vAlign w:val="top"/>
          </w:tcPr>
          <w:p w14:paraId="0712A3D0">
            <w:pPr>
              <w:rPr>
                <w:rFonts w:ascii="Arial"/>
                <w:sz w:val="21"/>
                <w:highlight w:val="none"/>
              </w:rPr>
            </w:pPr>
          </w:p>
        </w:tc>
        <w:tc>
          <w:tcPr>
            <w:tcW w:w="1082" w:type="dxa"/>
            <w:vAlign w:val="top"/>
          </w:tcPr>
          <w:p w14:paraId="55C4AA0D">
            <w:pPr>
              <w:rPr>
                <w:rFonts w:ascii="Arial"/>
                <w:sz w:val="21"/>
                <w:highlight w:val="none"/>
              </w:rPr>
            </w:pPr>
          </w:p>
        </w:tc>
        <w:tc>
          <w:tcPr>
            <w:tcW w:w="945" w:type="dxa"/>
            <w:vAlign w:val="top"/>
          </w:tcPr>
          <w:p w14:paraId="63D32098">
            <w:pPr>
              <w:rPr>
                <w:rFonts w:ascii="Arial"/>
                <w:sz w:val="21"/>
                <w:highlight w:val="none"/>
              </w:rPr>
            </w:pPr>
          </w:p>
        </w:tc>
        <w:tc>
          <w:tcPr>
            <w:tcW w:w="735" w:type="dxa"/>
            <w:vAlign w:val="top"/>
          </w:tcPr>
          <w:p w14:paraId="53FA2DCF">
            <w:pPr>
              <w:rPr>
                <w:rFonts w:ascii="Arial"/>
                <w:sz w:val="21"/>
                <w:highlight w:val="none"/>
              </w:rPr>
            </w:pPr>
          </w:p>
        </w:tc>
        <w:tc>
          <w:tcPr>
            <w:tcW w:w="739" w:type="dxa"/>
            <w:vAlign w:val="top"/>
          </w:tcPr>
          <w:p w14:paraId="52BE7969">
            <w:pPr>
              <w:rPr>
                <w:rFonts w:ascii="Arial"/>
                <w:sz w:val="21"/>
                <w:highlight w:val="none"/>
              </w:rPr>
            </w:pPr>
          </w:p>
        </w:tc>
      </w:tr>
      <w:tr w14:paraId="0831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355B5B14">
            <w:pPr>
              <w:rPr>
                <w:rFonts w:ascii="Arial"/>
                <w:sz w:val="21"/>
                <w:highlight w:val="none"/>
              </w:rPr>
            </w:pPr>
          </w:p>
        </w:tc>
        <w:tc>
          <w:tcPr>
            <w:tcW w:w="733" w:type="dxa"/>
            <w:vAlign w:val="top"/>
          </w:tcPr>
          <w:p w14:paraId="6C105D9B">
            <w:pPr>
              <w:rPr>
                <w:rFonts w:ascii="Arial"/>
                <w:sz w:val="21"/>
                <w:highlight w:val="none"/>
              </w:rPr>
            </w:pPr>
          </w:p>
        </w:tc>
        <w:tc>
          <w:tcPr>
            <w:tcW w:w="1232" w:type="dxa"/>
            <w:vAlign w:val="top"/>
          </w:tcPr>
          <w:p w14:paraId="797E32E7">
            <w:pPr>
              <w:rPr>
                <w:rFonts w:ascii="Arial"/>
                <w:sz w:val="21"/>
                <w:highlight w:val="none"/>
              </w:rPr>
            </w:pPr>
          </w:p>
        </w:tc>
        <w:tc>
          <w:tcPr>
            <w:tcW w:w="484" w:type="dxa"/>
            <w:vAlign w:val="top"/>
          </w:tcPr>
          <w:p w14:paraId="39FF4968">
            <w:pPr>
              <w:rPr>
                <w:rFonts w:ascii="Arial"/>
                <w:sz w:val="21"/>
                <w:highlight w:val="none"/>
              </w:rPr>
            </w:pPr>
          </w:p>
        </w:tc>
        <w:tc>
          <w:tcPr>
            <w:tcW w:w="616" w:type="dxa"/>
            <w:vAlign w:val="top"/>
          </w:tcPr>
          <w:p w14:paraId="58AA9BB0">
            <w:pPr>
              <w:rPr>
                <w:rFonts w:ascii="Arial"/>
                <w:sz w:val="21"/>
                <w:highlight w:val="none"/>
              </w:rPr>
            </w:pPr>
          </w:p>
        </w:tc>
        <w:tc>
          <w:tcPr>
            <w:tcW w:w="816" w:type="dxa"/>
            <w:vAlign w:val="top"/>
          </w:tcPr>
          <w:p w14:paraId="58E908F8">
            <w:pPr>
              <w:rPr>
                <w:rFonts w:ascii="Arial"/>
                <w:sz w:val="21"/>
                <w:highlight w:val="none"/>
              </w:rPr>
            </w:pPr>
          </w:p>
        </w:tc>
        <w:tc>
          <w:tcPr>
            <w:tcW w:w="1082" w:type="dxa"/>
            <w:vAlign w:val="top"/>
          </w:tcPr>
          <w:p w14:paraId="41DCABD7">
            <w:pPr>
              <w:rPr>
                <w:rFonts w:ascii="Arial"/>
                <w:sz w:val="21"/>
                <w:highlight w:val="none"/>
              </w:rPr>
            </w:pPr>
          </w:p>
        </w:tc>
        <w:tc>
          <w:tcPr>
            <w:tcW w:w="945" w:type="dxa"/>
            <w:vAlign w:val="top"/>
          </w:tcPr>
          <w:p w14:paraId="4D5672F3">
            <w:pPr>
              <w:rPr>
                <w:rFonts w:ascii="Arial"/>
                <w:sz w:val="21"/>
                <w:highlight w:val="none"/>
              </w:rPr>
            </w:pPr>
          </w:p>
        </w:tc>
        <w:tc>
          <w:tcPr>
            <w:tcW w:w="735" w:type="dxa"/>
            <w:vAlign w:val="top"/>
          </w:tcPr>
          <w:p w14:paraId="11F08E66">
            <w:pPr>
              <w:rPr>
                <w:rFonts w:ascii="Arial"/>
                <w:sz w:val="21"/>
                <w:highlight w:val="none"/>
              </w:rPr>
            </w:pPr>
          </w:p>
        </w:tc>
        <w:tc>
          <w:tcPr>
            <w:tcW w:w="739" w:type="dxa"/>
            <w:vAlign w:val="top"/>
          </w:tcPr>
          <w:p w14:paraId="362242B2">
            <w:pPr>
              <w:rPr>
                <w:rFonts w:ascii="Arial"/>
                <w:sz w:val="21"/>
                <w:highlight w:val="none"/>
              </w:rPr>
            </w:pPr>
          </w:p>
        </w:tc>
      </w:tr>
      <w:tr w14:paraId="141E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01BF417C">
            <w:pPr>
              <w:rPr>
                <w:rFonts w:ascii="Arial"/>
                <w:sz w:val="21"/>
                <w:highlight w:val="none"/>
              </w:rPr>
            </w:pPr>
          </w:p>
        </w:tc>
        <w:tc>
          <w:tcPr>
            <w:tcW w:w="733" w:type="dxa"/>
            <w:vAlign w:val="top"/>
          </w:tcPr>
          <w:p w14:paraId="773D46F4">
            <w:pPr>
              <w:rPr>
                <w:rFonts w:ascii="Arial"/>
                <w:sz w:val="21"/>
                <w:highlight w:val="none"/>
              </w:rPr>
            </w:pPr>
          </w:p>
        </w:tc>
        <w:tc>
          <w:tcPr>
            <w:tcW w:w="1232" w:type="dxa"/>
            <w:vAlign w:val="top"/>
          </w:tcPr>
          <w:p w14:paraId="60B80013">
            <w:pPr>
              <w:rPr>
                <w:rFonts w:ascii="Arial"/>
                <w:sz w:val="21"/>
                <w:highlight w:val="none"/>
              </w:rPr>
            </w:pPr>
          </w:p>
        </w:tc>
        <w:tc>
          <w:tcPr>
            <w:tcW w:w="484" w:type="dxa"/>
            <w:vAlign w:val="top"/>
          </w:tcPr>
          <w:p w14:paraId="02009E2A">
            <w:pPr>
              <w:rPr>
                <w:rFonts w:ascii="Arial"/>
                <w:sz w:val="21"/>
                <w:highlight w:val="none"/>
              </w:rPr>
            </w:pPr>
          </w:p>
        </w:tc>
        <w:tc>
          <w:tcPr>
            <w:tcW w:w="616" w:type="dxa"/>
            <w:vAlign w:val="top"/>
          </w:tcPr>
          <w:p w14:paraId="35414150">
            <w:pPr>
              <w:rPr>
                <w:rFonts w:ascii="Arial"/>
                <w:sz w:val="21"/>
                <w:highlight w:val="none"/>
              </w:rPr>
            </w:pPr>
          </w:p>
        </w:tc>
        <w:tc>
          <w:tcPr>
            <w:tcW w:w="816" w:type="dxa"/>
            <w:vAlign w:val="top"/>
          </w:tcPr>
          <w:p w14:paraId="092B9399">
            <w:pPr>
              <w:rPr>
                <w:rFonts w:ascii="Arial"/>
                <w:sz w:val="21"/>
                <w:highlight w:val="none"/>
              </w:rPr>
            </w:pPr>
          </w:p>
        </w:tc>
        <w:tc>
          <w:tcPr>
            <w:tcW w:w="1082" w:type="dxa"/>
            <w:vAlign w:val="top"/>
          </w:tcPr>
          <w:p w14:paraId="102ED11F">
            <w:pPr>
              <w:rPr>
                <w:rFonts w:ascii="Arial"/>
                <w:sz w:val="21"/>
                <w:highlight w:val="none"/>
              </w:rPr>
            </w:pPr>
          </w:p>
        </w:tc>
        <w:tc>
          <w:tcPr>
            <w:tcW w:w="945" w:type="dxa"/>
            <w:vAlign w:val="top"/>
          </w:tcPr>
          <w:p w14:paraId="049C26F1">
            <w:pPr>
              <w:rPr>
                <w:rFonts w:ascii="Arial"/>
                <w:sz w:val="21"/>
                <w:highlight w:val="none"/>
              </w:rPr>
            </w:pPr>
          </w:p>
        </w:tc>
        <w:tc>
          <w:tcPr>
            <w:tcW w:w="735" w:type="dxa"/>
            <w:vAlign w:val="top"/>
          </w:tcPr>
          <w:p w14:paraId="37116DBF">
            <w:pPr>
              <w:rPr>
                <w:rFonts w:ascii="Arial"/>
                <w:sz w:val="21"/>
                <w:highlight w:val="none"/>
              </w:rPr>
            </w:pPr>
          </w:p>
        </w:tc>
        <w:tc>
          <w:tcPr>
            <w:tcW w:w="739" w:type="dxa"/>
            <w:vAlign w:val="top"/>
          </w:tcPr>
          <w:p w14:paraId="2948CF09">
            <w:pPr>
              <w:rPr>
                <w:rFonts w:ascii="Arial"/>
                <w:sz w:val="21"/>
                <w:highlight w:val="none"/>
              </w:rPr>
            </w:pPr>
          </w:p>
        </w:tc>
      </w:tr>
      <w:tr w14:paraId="790F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3FE0566A">
            <w:pPr>
              <w:rPr>
                <w:rFonts w:ascii="Arial"/>
                <w:sz w:val="21"/>
                <w:highlight w:val="none"/>
              </w:rPr>
            </w:pPr>
          </w:p>
        </w:tc>
        <w:tc>
          <w:tcPr>
            <w:tcW w:w="733" w:type="dxa"/>
            <w:vAlign w:val="top"/>
          </w:tcPr>
          <w:p w14:paraId="39B9041E">
            <w:pPr>
              <w:rPr>
                <w:rFonts w:ascii="Arial"/>
                <w:sz w:val="21"/>
                <w:highlight w:val="none"/>
              </w:rPr>
            </w:pPr>
          </w:p>
        </w:tc>
        <w:tc>
          <w:tcPr>
            <w:tcW w:w="1232" w:type="dxa"/>
            <w:vAlign w:val="top"/>
          </w:tcPr>
          <w:p w14:paraId="1AA3620F">
            <w:pPr>
              <w:rPr>
                <w:rFonts w:ascii="Arial"/>
                <w:sz w:val="21"/>
                <w:highlight w:val="none"/>
              </w:rPr>
            </w:pPr>
          </w:p>
        </w:tc>
        <w:tc>
          <w:tcPr>
            <w:tcW w:w="484" w:type="dxa"/>
            <w:vAlign w:val="top"/>
          </w:tcPr>
          <w:p w14:paraId="77745329">
            <w:pPr>
              <w:rPr>
                <w:rFonts w:ascii="Arial"/>
                <w:sz w:val="21"/>
                <w:highlight w:val="none"/>
              </w:rPr>
            </w:pPr>
          </w:p>
        </w:tc>
        <w:tc>
          <w:tcPr>
            <w:tcW w:w="616" w:type="dxa"/>
            <w:vAlign w:val="top"/>
          </w:tcPr>
          <w:p w14:paraId="4420AA89">
            <w:pPr>
              <w:rPr>
                <w:rFonts w:ascii="Arial"/>
                <w:sz w:val="21"/>
                <w:highlight w:val="none"/>
              </w:rPr>
            </w:pPr>
          </w:p>
        </w:tc>
        <w:tc>
          <w:tcPr>
            <w:tcW w:w="816" w:type="dxa"/>
            <w:vAlign w:val="top"/>
          </w:tcPr>
          <w:p w14:paraId="7697A7AC">
            <w:pPr>
              <w:rPr>
                <w:rFonts w:ascii="Arial"/>
                <w:sz w:val="21"/>
                <w:highlight w:val="none"/>
              </w:rPr>
            </w:pPr>
          </w:p>
        </w:tc>
        <w:tc>
          <w:tcPr>
            <w:tcW w:w="1082" w:type="dxa"/>
            <w:vAlign w:val="top"/>
          </w:tcPr>
          <w:p w14:paraId="2E90F858">
            <w:pPr>
              <w:rPr>
                <w:rFonts w:ascii="Arial"/>
                <w:sz w:val="21"/>
                <w:highlight w:val="none"/>
              </w:rPr>
            </w:pPr>
          </w:p>
        </w:tc>
        <w:tc>
          <w:tcPr>
            <w:tcW w:w="945" w:type="dxa"/>
            <w:vAlign w:val="top"/>
          </w:tcPr>
          <w:p w14:paraId="7ECECC71">
            <w:pPr>
              <w:rPr>
                <w:rFonts w:ascii="Arial"/>
                <w:sz w:val="21"/>
                <w:highlight w:val="none"/>
              </w:rPr>
            </w:pPr>
          </w:p>
        </w:tc>
        <w:tc>
          <w:tcPr>
            <w:tcW w:w="735" w:type="dxa"/>
            <w:vAlign w:val="top"/>
          </w:tcPr>
          <w:p w14:paraId="28DBB593">
            <w:pPr>
              <w:rPr>
                <w:rFonts w:ascii="Arial"/>
                <w:sz w:val="21"/>
                <w:highlight w:val="none"/>
              </w:rPr>
            </w:pPr>
          </w:p>
        </w:tc>
        <w:tc>
          <w:tcPr>
            <w:tcW w:w="739" w:type="dxa"/>
            <w:vAlign w:val="top"/>
          </w:tcPr>
          <w:p w14:paraId="7211AEDF">
            <w:pPr>
              <w:rPr>
                <w:rFonts w:ascii="Arial"/>
                <w:sz w:val="21"/>
                <w:highlight w:val="none"/>
              </w:rPr>
            </w:pPr>
          </w:p>
        </w:tc>
      </w:tr>
      <w:tr w14:paraId="1FA2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706D7B95">
            <w:pPr>
              <w:rPr>
                <w:rFonts w:ascii="Arial"/>
                <w:sz w:val="21"/>
                <w:highlight w:val="none"/>
              </w:rPr>
            </w:pPr>
          </w:p>
        </w:tc>
        <w:tc>
          <w:tcPr>
            <w:tcW w:w="733" w:type="dxa"/>
            <w:vAlign w:val="top"/>
          </w:tcPr>
          <w:p w14:paraId="4C762152">
            <w:pPr>
              <w:rPr>
                <w:rFonts w:ascii="Arial"/>
                <w:sz w:val="21"/>
                <w:highlight w:val="none"/>
              </w:rPr>
            </w:pPr>
          </w:p>
        </w:tc>
        <w:tc>
          <w:tcPr>
            <w:tcW w:w="1232" w:type="dxa"/>
            <w:vAlign w:val="top"/>
          </w:tcPr>
          <w:p w14:paraId="7D7540B0">
            <w:pPr>
              <w:rPr>
                <w:rFonts w:ascii="Arial"/>
                <w:sz w:val="21"/>
                <w:highlight w:val="none"/>
              </w:rPr>
            </w:pPr>
          </w:p>
        </w:tc>
        <w:tc>
          <w:tcPr>
            <w:tcW w:w="484" w:type="dxa"/>
            <w:vAlign w:val="top"/>
          </w:tcPr>
          <w:p w14:paraId="288E749F">
            <w:pPr>
              <w:rPr>
                <w:rFonts w:ascii="Arial"/>
                <w:sz w:val="21"/>
                <w:highlight w:val="none"/>
              </w:rPr>
            </w:pPr>
          </w:p>
        </w:tc>
        <w:tc>
          <w:tcPr>
            <w:tcW w:w="616" w:type="dxa"/>
            <w:vAlign w:val="top"/>
          </w:tcPr>
          <w:p w14:paraId="0EAEE934">
            <w:pPr>
              <w:rPr>
                <w:rFonts w:ascii="Arial"/>
                <w:sz w:val="21"/>
                <w:highlight w:val="none"/>
              </w:rPr>
            </w:pPr>
          </w:p>
        </w:tc>
        <w:tc>
          <w:tcPr>
            <w:tcW w:w="816" w:type="dxa"/>
            <w:vAlign w:val="top"/>
          </w:tcPr>
          <w:p w14:paraId="37FC04DA">
            <w:pPr>
              <w:rPr>
                <w:rFonts w:ascii="Arial"/>
                <w:sz w:val="21"/>
                <w:highlight w:val="none"/>
              </w:rPr>
            </w:pPr>
          </w:p>
        </w:tc>
        <w:tc>
          <w:tcPr>
            <w:tcW w:w="1082" w:type="dxa"/>
            <w:vAlign w:val="top"/>
          </w:tcPr>
          <w:p w14:paraId="5469A24A">
            <w:pPr>
              <w:rPr>
                <w:rFonts w:ascii="Arial"/>
                <w:sz w:val="21"/>
                <w:highlight w:val="none"/>
              </w:rPr>
            </w:pPr>
          </w:p>
        </w:tc>
        <w:tc>
          <w:tcPr>
            <w:tcW w:w="945" w:type="dxa"/>
            <w:vAlign w:val="top"/>
          </w:tcPr>
          <w:p w14:paraId="12E38853">
            <w:pPr>
              <w:rPr>
                <w:rFonts w:ascii="Arial"/>
                <w:sz w:val="21"/>
                <w:highlight w:val="none"/>
              </w:rPr>
            </w:pPr>
          </w:p>
        </w:tc>
        <w:tc>
          <w:tcPr>
            <w:tcW w:w="735" w:type="dxa"/>
            <w:vAlign w:val="top"/>
          </w:tcPr>
          <w:p w14:paraId="1DE559FF">
            <w:pPr>
              <w:rPr>
                <w:rFonts w:ascii="Arial"/>
                <w:sz w:val="21"/>
                <w:highlight w:val="none"/>
              </w:rPr>
            </w:pPr>
          </w:p>
        </w:tc>
        <w:tc>
          <w:tcPr>
            <w:tcW w:w="739" w:type="dxa"/>
            <w:vAlign w:val="top"/>
          </w:tcPr>
          <w:p w14:paraId="211A9839">
            <w:pPr>
              <w:rPr>
                <w:rFonts w:ascii="Arial"/>
                <w:sz w:val="21"/>
                <w:highlight w:val="none"/>
              </w:rPr>
            </w:pPr>
          </w:p>
        </w:tc>
      </w:tr>
      <w:tr w14:paraId="324BB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1B328934">
            <w:pPr>
              <w:rPr>
                <w:rFonts w:ascii="Arial"/>
                <w:sz w:val="21"/>
                <w:highlight w:val="none"/>
              </w:rPr>
            </w:pPr>
          </w:p>
        </w:tc>
        <w:tc>
          <w:tcPr>
            <w:tcW w:w="733" w:type="dxa"/>
            <w:vAlign w:val="top"/>
          </w:tcPr>
          <w:p w14:paraId="76B420FB">
            <w:pPr>
              <w:rPr>
                <w:rFonts w:ascii="Arial"/>
                <w:sz w:val="21"/>
                <w:highlight w:val="none"/>
              </w:rPr>
            </w:pPr>
          </w:p>
        </w:tc>
        <w:tc>
          <w:tcPr>
            <w:tcW w:w="1232" w:type="dxa"/>
            <w:vAlign w:val="top"/>
          </w:tcPr>
          <w:p w14:paraId="5EADBE09">
            <w:pPr>
              <w:rPr>
                <w:rFonts w:ascii="Arial"/>
                <w:sz w:val="21"/>
                <w:highlight w:val="none"/>
              </w:rPr>
            </w:pPr>
          </w:p>
        </w:tc>
        <w:tc>
          <w:tcPr>
            <w:tcW w:w="484" w:type="dxa"/>
            <w:vAlign w:val="top"/>
          </w:tcPr>
          <w:p w14:paraId="7D76B4F5">
            <w:pPr>
              <w:rPr>
                <w:rFonts w:ascii="Arial"/>
                <w:sz w:val="21"/>
                <w:highlight w:val="none"/>
              </w:rPr>
            </w:pPr>
          </w:p>
        </w:tc>
        <w:tc>
          <w:tcPr>
            <w:tcW w:w="616" w:type="dxa"/>
            <w:vAlign w:val="top"/>
          </w:tcPr>
          <w:p w14:paraId="6DB53272">
            <w:pPr>
              <w:rPr>
                <w:rFonts w:ascii="Arial"/>
                <w:sz w:val="21"/>
                <w:highlight w:val="none"/>
              </w:rPr>
            </w:pPr>
          </w:p>
        </w:tc>
        <w:tc>
          <w:tcPr>
            <w:tcW w:w="816" w:type="dxa"/>
            <w:vAlign w:val="top"/>
          </w:tcPr>
          <w:p w14:paraId="16CC9653">
            <w:pPr>
              <w:rPr>
                <w:rFonts w:ascii="Arial"/>
                <w:sz w:val="21"/>
                <w:highlight w:val="none"/>
              </w:rPr>
            </w:pPr>
          </w:p>
        </w:tc>
        <w:tc>
          <w:tcPr>
            <w:tcW w:w="1082" w:type="dxa"/>
            <w:vAlign w:val="top"/>
          </w:tcPr>
          <w:p w14:paraId="23A18472">
            <w:pPr>
              <w:rPr>
                <w:rFonts w:ascii="Arial"/>
                <w:sz w:val="21"/>
                <w:highlight w:val="none"/>
              </w:rPr>
            </w:pPr>
          </w:p>
        </w:tc>
        <w:tc>
          <w:tcPr>
            <w:tcW w:w="945" w:type="dxa"/>
            <w:vAlign w:val="top"/>
          </w:tcPr>
          <w:p w14:paraId="5DE06C08">
            <w:pPr>
              <w:rPr>
                <w:rFonts w:ascii="Arial"/>
                <w:sz w:val="21"/>
                <w:highlight w:val="none"/>
              </w:rPr>
            </w:pPr>
          </w:p>
        </w:tc>
        <w:tc>
          <w:tcPr>
            <w:tcW w:w="735" w:type="dxa"/>
            <w:vAlign w:val="top"/>
          </w:tcPr>
          <w:p w14:paraId="7C8A1346">
            <w:pPr>
              <w:rPr>
                <w:rFonts w:ascii="Arial"/>
                <w:sz w:val="21"/>
                <w:highlight w:val="none"/>
              </w:rPr>
            </w:pPr>
          </w:p>
        </w:tc>
        <w:tc>
          <w:tcPr>
            <w:tcW w:w="739" w:type="dxa"/>
            <w:vAlign w:val="top"/>
          </w:tcPr>
          <w:p w14:paraId="181E7FEB">
            <w:pPr>
              <w:rPr>
                <w:rFonts w:ascii="Arial"/>
                <w:sz w:val="21"/>
                <w:highlight w:val="none"/>
              </w:rPr>
            </w:pPr>
          </w:p>
        </w:tc>
      </w:tr>
      <w:tr w14:paraId="0290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653ACFA3">
            <w:pPr>
              <w:rPr>
                <w:rFonts w:ascii="Arial"/>
                <w:sz w:val="21"/>
                <w:highlight w:val="none"/>
              </w:rPr>
            </w:pPr>
          </w:p>
        </w:tc>
        <w:tc>
          <w:tcPr>
            <w:tcW w:w="733" w:type="dxa"/>
            <w:vAlign w:val="top"/>
          </w:tcPr>
          <w:p w14:paraId="41B78968">
            <w:pPr>
              <w:rPr>
                <w:rFonts w:ascii="Arial"/>
                <w:sz w:val="21"/>
                <w:highlight w:val="none"/>
              </w:rPr>
            </w:pPr>
          </w:p>
        </w:tc>
        <w:tc>
          <w:tcPr>
            <w:tcW w:w="1232" w:type="dxa"/>
            <w:vAlign w:val="top"/>
          </w:tcPr>
          <w:p w14:paraId="62454546">
            <w:pPr>
              <w:rPr>
                <w:rFonts w:ascii="Arial"/>
                <w:sz w:val="21"/>
                <w:highlight w:val="none"/>
              </w:rPr>
            </w:pPr>
          </w:p>
        </w:tc>
        <w:tc>
          <w:tcPr>
            <w:tcW w:w="484" w:type="dxa"/>
            <w:vAlign w:val="top"/>
          </w:tcPr>
          <w:p w14:paraId="27EC0086">
            <w:pPr>
              <w:rPr>
                <w:rFonts w:ascii="Arial"/>
                <w:sz w:val="21"/>
                <w:highlight w:val="none"/>
              </w:rPr>
            </w:pPr>
          </w:p>
        </w:tc>
        <w:tc>
          <w:tcPr>
            <w:tcW w:w="616" w:type="dxa"/>
            <w:vAlign w:val="top"/>
          </w:tcPr>
          <w:p w14:paraId="189E9AD3">
            <w:pPr>
              <w:rPr>
                <w:rFonts w:ascii="Arial"/>
                <w:sz w:val="21"/>
                <w:highlight w:val="none"/>
              </w:rPr>
            </w:pPr>
          </w:p>
        </w:tc>
        <w:tc>
          <w:tcPr>
            <w:tcW w:w="816" w:type="dxa"/>
            <w:vAlign w:val="top"/>
          </w:tcPr>
          <w:p w14:paraId="555106DE">
            <w:pPr>
              <w:rPr>
                <w:rFonts w:ascii="Arial"/>
                <w:sz w:val="21"/>
                <w:highlight w:val="none"/>
              </w:rPr>
            </w:pPr>
          </w:p>
        </w:tc>
        <w:tc>
          <w:tcPr>
            <w:tcW w:w="1082" w:type="dxa"/>
            <w:vAlign w:val="top"/>
          </w:tcPr>
          <w:p w14:paraId="08238419">
            <w:pPr>
              <w:rPr>
                <w:rFonts w:ascii="Arial"/>
                <w:sz w:val="21"/>
                <w:highlight w:val="none"/>
              </w:rPr>
            </w:pPr>
          </w:p>
        </w:tc>
        <w:tc>
          <w:tcPr>
            <w:tcW w:w="945" w:type="dxa"/>
            <w:vAlign w:val="top"/>
          </w:tcPr>
          <w:p w14:paraId="535F4834">
            <w:pPr>
              <w:rPr>
                <w:rFonts w:ascii="Arial"/>
                <w:sz w:val="21"/>
                <w:highlight w:val="none"/>
              </w:rPr>
            </w:pPr>
          </w:p>
        </w:tc>
        <w:tc>
          <w:tcPr>
            <w:tcW w:w="735" w:type="dxa"/>
            <w:vAlign w:val="top"/>
          </w:tcPr>
          <w:p w14:paraId="387AB00E">
            <w:pPr>
              <w:rPr>
                <w:rFonts w:ascii="Arial"/>
                <w:sz w:val="21"/>
                <w:highlight w:val="none"/>
              </w:rPr>
            </w:pPr>
          </w:p>
        </w:tc>
        <w:tc>
          <w:tcPr>
            <w:tcW w:w="739" w:type="dxa"/>
            <w:vAlign w:val="top"/>
          </w:tcPr>
          <w:p w14:paraId="375D02B0">
            <w:pPr>
              <w:rPr>
                <w:rFonts w:ascii="Arial"/>
                <w:sz w:val="21"/>
                <w:highlight w:val="none"/>
              </w:rPr>
            </w:pPr>
          </w:p>
        </w:tc>
      </w:tr>
      <w:tr w14:paraId="523A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5D3B5CD1">
            <w:pPr>
              <w:rPr>
                <w:rFonts w:ascii="Arial"/>
                <w:sz w:val="21"/>
                <w:highlight w:val="none"/>
              </w:rPr>
            </w:pPr>
          </w:p>
        </w:tc>
        <w:tc>
          <w:tcPr>
            <w:tcW w:w="733" w:type="dxa"/>
            <w:vAlign w:val="top"/>
          </w:tcPr>
          <w:p w14:paraId="56653E05">
            <w:pPr>
              <w:rPr>
                <w:rFonts w:ascii="Arial"/>
                <w:sz w:val="21"/>
                <w:highlight w:val="none"/>
              </w:rPr>
            </w:pPr>
          </w:p>
        </w:tc>
        <w:tc>
          <w:tcPr>
            <w:tcW w:w="1232" w:type="dxa"/>
            <w:vAlign w:val="top"/>
          </w:tcPr>
          <w:p w14:paraId="0FCD2B10">
            <w:pPr>
              <w:rPr>
                <w:rFonts w:ascii="Arial"/>
                <w:sz w:val="21"/>
                <w:highlight w:val="none"/>
              </w:rPr>
            </w:pPr>
          </w:p>
        </w:tc>
        <w:tc>
          <w:tcPr>
            <w:tcW w:w="484" w:type="dxa"/>
            <w:vAlign w:val="top"/>
          </w:tcPr>
          <w:p w14:paraId="22E13478">
            <w:pPr>
              <w:rPr>
                <w:rFonts w:ascii="Arial"/>
                <w:sz w:val="21"/>
                <w:highlight w:val="none"/>
              </w:rPr>
            </w:pPr>
          </w:p>
        </w:tc>
        <w:tc>
          <w:tcPr>
            <w:tcW w:w="616" w:type="dxa"/>
            <w:vAlign w:val="top"/>
          </w:tcPr>
          <w:p w14:paraId="6455A3BA">
            <w:pPr>
              <w:rPr>
                <w:rFonts w:ascii="Arial"/>
                <w:sz w:val="21"/>
                <w:highlight w:val="none"/>
              </w:rPr>
            </w:pPr>
          </w:p>
        </w:tc>
        <w:tc>
          <w:tcPr>
            <w:tcW w:w="816" w:type="dxa"/>
            <w:vAlign w:val="top"/>
          </w:tcPr>
          <w:p w14:paraId="1D891FCA">
            <w:pPr>
              <w:rPr>
                <w:rFonts w:ascii="Arial"/>
                <w:sz w:val="21"/>
                <w:highlight w:val="none"/>
              </w:rPr>
            </w:pPr>
          </w:p>
        </w:tc>
        <w:tc>
          <w:tcPr>
            <w:tcW w:w="1082" w:type="dxa"/>
            <w:vAlign w:val="top"/>
          </w:tcPr>
          <w:p w14:paraId="3F2B727B">
            <w:pPr>
              <w:rPr>
                <w:rFonts w:ascii="Arial"/>
                <w:sz w:val="21"/>
                <w:highlight w:val="none"/>
              </w:rPr>
            </w:pPr>
          </w:p>
        </w:tc>
        <w:tc>
          <w:tcPr>
            <w:tcW w:w="945" w:type="dxa"/>
            <w:vAlign w:val="top"/>
          </w:tcPr>
          <w:p w14:paraId="038E55AA">
            <w:pPr>
              <w:rPr>
                <w:rFonts w:ascii="Arial"/>
                <w:sz w:val="21"/>
                <w:highlight w:val="none"/>
              </w:rPr>
            </w:pPr>
          </w:p>
        </w:tc>
        <w:tc>
          <w:tcPr>
            <w:tcW w:w="735" w:type="dxa"/>
            <w:vAlign w:val="top"/>
          </w:tcPr>
          <w:p w14:paraId="3FE5F6A9">
            <w:pPr>
              <w:rPr>
                <w:rFonts w:ascii="Arial"/>
                <w:sz w:val="21"/>
                <w:highlight w:val="none"/>
              </w:rPr>
            </w:pPr>
          </w:p>
        </w:tc>
        <w:tc>
          <w:tcPr>
            <w:tcW w:w="739" w:type="dxa"/>
            <w:vAlign w:val="top"/>
          </w:tcPr>
          <w:p w14:paraId="3D6FBDFE">
            <w:pPr>
              <w:rPr>
                <w:rFonts w:ascii="Arial"/>
                <w:sz w:val="21"/>
                <w:highlight w:val="none"/>
              </w:rPr>
            </w:pPr>
          </w:p>
        </w:tc>
      </w:tr>
      <w:tr w14:paraId="6C51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65EB610E">
            <w:pPr>
              <w:rPr>
                <w:rFonts w:ascii="Arial"/>
                <w:sz w:val="21"/>
                <w:highlight w:val="none"/>
              </w:rPr>
            </w:pPr>
          </w:p>
        </w:tc>
        <w:tc>
          <w:tcPr>
            <w:tcW w:w="733" w:type="dxa"/>
            <w:vAlign w:val="top"/>
          </w:tcPr>
          <w:p w14:paraId="4B12B5C6">
            <w:pPr>
              <w:rPr>
                <w:rFonts w:ascii="Arial"/>
                <w:sz w:val="21"/>
                <w:highlight w:val="none"/>
              </w:rPr>
            </w:pPr>
          </w:p>
        </w:tc>
        <w:tc>
          <w:tcPr>
            <w:tcW w:w="1232" w:type="dxa"/>
            <w:vAlign w:val="top"/>
          </w:tcPr>
          <w:p w14:paraId="29A24053">
            <w:pPr>
              <w:rPr>
                <w:rFonts w:ascii="Arial"/>
                <w:sz w:val="21"/>
                <w:highlight w:val="none"/>
              </w:rPr>
            </w:pPr>
          </w:p>
        </w:tc>
        <w:tc>
          <w:tcPr>
            <w:tcW w:w="484" w:type="dxa"/>
            <w:vAlign w:val="top"/>
          </w:tcPr>
          <w:p w14:paraId="52FF6D2D">
            <w:pPr>
              <w:rPr>
                <w:rFonts w:ascii="Arial"/>
                <w:sz w:val="21"/>
                <w:highlight w:val="none"/>
              </w:rPr>
            </w:pPr>
          </w:p>
        </w:tc>
        <w:tc>
          <w:tcPr>
            <w:tcW w:w="616" w:type="dxa"/>
            <w:vAlign w:val="top"/>
          </w:tcPr>
          <w:p w14:paraId="5508A3D6">
            <w:pPr>
              <w:rPr>
                <w:rFonts w:ascii="Arial"/>
                <w:sz w:val="21"/>
                <w:highlight w:val="none"/>
              </w:rPr>
            </w:pPr>
          </w:p>
        </w:tc>
        <w:tc>
          <w:tcPr>
            <w:tcW w:w="816" w:type="dxa"/>
            <w:vAlign w:val="top"/>
          </w:tcPr>
          <w:p w14:paraId="628A04AB">
            <w:pPr>
              <w:rPr>
                <w:rFonts w:ascii="Arial"/>
                <w:sz w:val="21"/>
                <w:highlight w:val="none"/>
              </w:rPr>
            </w:pPr>
          </w:p>
        </w:tc>
        <w:tc>
          <w:tcPr>
            <w:tcW w:w="1082" w:type="dxa"/>
            <w:vAlign w:val="top"/>
          </w:tcPr>
          <w:p w14:paraId="73F3C29E">
            <w:pPr>
              <w:rPr>
                <w:rFonts w:ascii="Arial"/>
                <w:sz w:val="21"/>
                <w:highlight w:val="none"/>
              </w:rPr>
            </w:pPr>
          </w:p>
        </w:tc>
        <w:tc>
          <w:tcPr>
            <w:tcW w:w="945" w:type="dxa"/>
            <w:vAlign w:val="top"/>
          </w:tcPr>
          <w:p w14:paraId="73B98DB2">
            <w:pPr>
              <w:rPr>
                <w:rFonts w:ascii="Arial"/>
                <w:sz w:val="21"/>
                <w:highlight w:val="none"/>
              </w:rPr>
            </w:pPr>
          </w:p>
        </w:tc>
        <w:tc>
          <w:tcPr>
            <w:tcW w:w="735" w:type="dxa"/>
            <w:vAlign w:val="top"/>
          </w:tcPr>
          <w:p w14:paraId="6DAD81F1">
            <w:pPr>
              <w:rPr>
                <w:rFonts w:ascii="Arial"/>
                <w:sz w:val="21"/>
                <w:highlight w:val="none"/>
              </w:rPr>
            </w:pPr>
          </w:p>
        </w:tc>
        <w:tc>
          <w:tcPr>
            <w:tcW w:w="739" w:type="dxa"/>
            <w:vAlign w:val="top"/>
          </w:tcPr>
          <w:p w14:paraId="27851476">
            <w:pPr>
              <w:rPr>
                <w:rFonts w:ascii="Arial"/>
                <w:sz w:val="21"/>
                <w:highlight w:val="none"/>
              </w:rPr>
            </w:pPr>
          </w:p>
        </w:tc>
      </w:tr>
      <w:tr w14:paraId="06E0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54AA1497">
            <w:pPr>
              <w:rPr>
                <w:rFonts w:ascii="Arial"/>
                <w:sz w:val="21"/>
                <w:highlight w:val="none"/>
              </w:rPr>
            </w:pPr>
          </w:p>
        </w:tc>
        <w:tc>
          <w:tcPr>
            <w:tcW w:w="733" w:type="dxa"/>
            <w:vAlign w:val="top"/>
          </w:tcPr>
          <w:p w14:paraId="768F527A">
            <w:pPr>
              <w:rPr>
                <w:rFonts w:ascii="Arial"/>
                <w:sz w:val="21"/>
                <w:highlight w:val="none"/>
              </w:rPr>
            </w:pPr>
          </w:p>
        </w:tc>
        <w:tc>
          <w:tcPr>
            <w:tcW w:w="1232" w:type="dxa"/>
            <w:vAlign w:val="top"/>
          </w:tcPr>
          <w:p w14:paraId="24EA4673">
            <w:pPr>
              <w:rPr>
                <w:rFonts w:ascii="Arial"/>
                <w:sz w:val="21"/>
                <w:highlight w:val="none"/>
              </w:rPr>
            </w:pPr>
          </w:p>
        </w:tc>
        <w:tc>
          <w:tcPr>
            <w:tcW w:w="484" w:type="dxa"/>
            <w:vAlign w:val="top"/>
          </w:tcPr>
          <w:p w14:paraId="4FFC8C42">
            <w:pPr>
              <w:rPr>
                <w:rFonts w:ascii="Arial"/>
                <w:sz w:val="21"/>
                <w:highlight w:val="none"/>
              </w:rPr>
            </w:pPr>
          </w:p>
        </w:tc>
        <w:tc>
          <w:tcPr>
            <w:tcW w:w="616" w:type="dxa"/>
            <w:vAlign w:val="top"/>
          </w:tcPr>
          <w:p w14:paraId="53D790E8">
            <w:pPr>
              <w:rPr>
                <w:rFonts w:ascii="Arial"/>
                <w:sz w:val="21"/>
                <w:highlight w:val="none"/>
              </w:rPr>
            </w:pPr>
          </w:p>
        </w:tc>
        <w:tc>
          <w:tcPr>
            <w:tcW w:w="816" w:type="dxa"/>
            <w:vAlign w:val="top"/>
          </w:tcPr>
          <w:p w14:paraId="168B8143">
            <w:pPr>
              <w:rPr>
                <w:rFonts w:ascii="Arial"/>
                <w:sz w:val="21"/>
                <w:highlight w:val="none"/>
              </w:rPr>
            </w:pPr>
          </w:p>
        </w:tc>
        <w:tc>
          <w:tcPr>
            <w:tcW w:w="1082" w:type="dxa"/>
            <w:vAlign w:val="top"/>
          </w:tcPr>
          <w:p w14:paraId="387E4111">
            <w:pPr>
              <w:rPr>
                <w:rFonts w:ascii="Arial"/>
                <w:sz w:val="21"/>
                <w:highlight w:val="none"/>
              </w:rPr>
            </w:pPr>
          </w:p>
        </w:tc>
        <w:tc>
          <w:tcPr>
            <w:tcW w:w="945" w:type="dxa"/>
            <w:vAlign w:val="top"/>
          </w:tcPr>
          <w:p w14:paraId="42DAA677">
            <w:pPr>
              <w:rPr>
                <w:rFonts w:ascii="Arial"/>
                <w:sz w:val="21"/>
                <w:highlight w:val="none"/>
              </w:rPr>
            </w:pPr>
          </w:p>
        </w:tc>
        <w:tc>
          <w:tcPr>
            <w:tcW w:w="735" w:type="dxa"/>
            <w:vAlign w:val="top"/>
          </w:tcPr>
          <w:p w14:paraId="7C4B4D15">
            <w:pPr>
              <w:rPr>
                <w:rFonts w:ascii="Arial"/>
                <w:sz w:val="21"/>
                <w:highlight w:val="none"/>
              </w:rPr>
            </w:pPr>
          </w:p>
        </w:tc>
        <w:tc>
          <w:tcPr>
            <w:tcW w:w="739" w:type="dxa"/>
            <w:vAlign w:val="top"/>
          </w:tcPr>
          <w:p w14:paraId="05A32CA7">
            <w:pPr>
              <w:rPr>
                <w:rFonts w:ascii="Arial"/>
                <w:sz w:val="21"/>
                <w:highlight w:val="none"/>
              </w:rPr>
            </w:pPr>
          </w:p>
        </w:tc>
      </w:tr>
      <w:tr w14:paraId="2ABD8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25FCAC7A">
            <w:pPr>
              <w:rPr>
                <w:rFonts w:ascii="Arial"/>
                <w:sz w:val="21"/>
                <w:highlight w:val="none"/>
              </w:rPr>
            </w:pPr>
          </w:p>
        </w:tc>
        <w:tc>
          <w:tcPr>
            <w:tcW w:w="733" w:type="dxa"/>
            <w:vAlign w:val="top"/>
          </w:tcPr>
          <w:p w14:paraId="2590E681">
            <w:pPr>
              <w:rPr>
                <w:rFonts w:ascii="Arial"/>
                <w:sz w:val="21"/>
                <w:highlight w:val="none"/>
              </w:rPr>
            </w:pPr>
          </w:p>
        </w:tc>
        <w:tc>
          <w:tcPr>
            <w:tcW w:w="1232" w:type="dxa"/>
            <w:vAlign w:val="top"/>
          </w:tcPr>
          <w:p w14:paraId="67DDAE3F">
            <w:pPr>
              <w:rPr>
                <w:rFonts w:ascii="Arial"/>
                <w:sz w:val="21"/>
                <w:highlight w:val="none"/>
              </w:rPr>
            </w:pPr>
          </w:p>
        </w:tc>
        <w:tc>
          <w:tcPr>
            <w:tcW w:w="484" w:type="dxa"/>
            <w:vAlign w:val="top"/>
          </w:tcPr>
          <w:p w14:paraId="526FB6E3">
            <w:pPr>
              <w:rPr>
                <w:rFonts w:ascii="Arial"/>
                <w:sz w:val="21"/>
                <w:highlight w:val="none"/>
              </w:rPr>
            </w:pPr>
          </w:p>
        </w:tc>
        <w:tc>
          <w:tcPr>
            <w:tcW w:w="616" w:type="dxa"/>
            <w:vAlign w:val="top"/>
          </w:tcPr>
          <w:p w14:paraId="164B9B71">
            <w:pPr>
              <w:rPr>
                <w:rFonts w:ascii="Arial"/>
                <w:sz w:val="21"/>
                <w:highlight w:val="none"/>
              </w:rPr>
            </w:pPr>
          </w:p>
        </w:tc>
        <w:tc>
          <w:tcPr>
            <w:tcW w:w="816" w:type="dxa"/>
            <w:vAlign w:val="top"/>
          </w:tcPr>
          <w:p w14:paraId="686C8360">
            <w:pPr>
              <w:rPr>
                <w:rFonts w:ascii="Arial"/>
                <w:sz w:val="21"/>
                <w:highlight w:val="none"/>
              </w:rPr>
            </w:pPr>
          </w:p>
        </w:tc>
        <w:tc>
          <w:tcPr>
            <w:tcW w:w="1082" w:type="dxa"/>
            <w:vAlign w:val="top"/>
          </w:tcPr>
          <w:p w14:paraId="05D74A7C">
            <w:pPr>
              <w:rPr>
                <w:rFonts w:ascii="Arial"/>
                <w:sz w:val="21"/>
                <w:highlight w:val="none"/>
              </w:rPr>
            </w:pPr>
          </w:p>
        </w:tc>
        <w:tc>
          <w:tcPr>
            <w:tcW w:w="945" w:type="dxa"/>
            <w:vAlign w:val="top"/>
          </w:tcPr>
          <w:p w14:paraId="43CA582D">
            <w:pPr>
              <w:rPr>
                <w:rFonts w:ascii="Arial"/>
                <w:sz w:val="21"/>
                <w:highlight w:val="none"/>
              </w:rPr>
            </w:pPr>
          </w:p>
        </w:tc>
        <w:tc>
          <w:tcPr>
            <w:tcW w:w="735" w:type="dxa"/>
            <w:vAlign w:val="top"/>
          </w:tcPr>
          <w:p w14:paraId="19D4DA79">
            <w:pPr>
              <w:rPr>
                <w:rFonts w:ascii="Arial"/>
                <w:sz w:val="21"/>
                <w:highlight w:val="none"/>
              </w:rPr>
            </w:pPr>
          </w:p>
        </w:tc>
        <w:tc>
          <w:tcPr>
            <w:tcW w:w="739" w:type="dxa"/>
            <w:vAlign w:val="top"/>
          </w:tcPr>
          <w:p w14:paraId="2F44D6E5">
            <w:pPr>
              <w:rPr>
                <w:rFonts w:ascii="Arial"/>
                <w:sz w:val="21"/>
                <w:highlight w:val="none"/>
              </w:rPr>
            </w:pPr>
          </w:p>
        </w:tc>
      </w:tr>
      <w:tr w14:paraId="1B0E0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6D4F8DF2">
            <w:pPr>
              <w:rPr>
                <w:rFonts w:ascii="Arial"/>
                <w:sz w:val="21"/>
                <w:highlight w:val="none"/>
              </w:rPr>
            </w:pPr>
          </w:p>
        </w:tc>
        <w:tc>
          <w:tcPr>
            <w:tcW w:w="733" w:type="dxa"/>
            <w:vAlign w:val="top"/>
          </w:tcPr>
          <w:p w14:paraId="68D6F2BB">
            <w:pPr>
              <w:rPr>
                <w:rFonts w:ascii="Arial"/>
                <w:sz w:val="21"/>
                <w:highlight w:val="none"/>
              </w:rPr>
            </w:pPr>
          </w:p>
        </w:tc>
        <w:tc>
          <w:tcPr>
            <w:tcW w:w="1232" w:type="dxa"/>
            <w:vAlign w:val="top"/>
          </w:tcPr>
          <w:p w14:paraId="1BA3EADF">
            <w:pPr>
              <w:rPr>
                <w:rFonts w:ascii="Arial"/>
                <w:sz w:val="21"/>
                <w:highlight w:val="none"/>
              </w:rPr>
            </w:pPr>
          </w:p>
        </w:tc>
        <w:tc>
          <w:tcPr>
            <w:tcW w:w="484" w:type="dxa"/>
            <w:vAlign w:val="top"/>
          </w:tcPr>
          <w:p w14:paraId="2A1450A5">
            <w:pPr>
              <w:rPr>
                <w:rFonts w:ascii="Arial"/>
                <w:sz w:val="21"/>
                <w:highlight w:val="none"/>
              </w:rPr>
            </w:pPr>
          </w:p>
        </w:tc>
        <w:tc>
          <w:tcPr>
            <w:tcW w:w="616" w:type="dxa"/>
            <w:vAlign w:val="top"/>
          </w:tcPr>
          <w:p w14:paraId="2F78AD8C">
            <w:pPr>
              <w:rPr>
                <w:rFonts w:ascii="Arial"/>
                <w:sz w:val="21"/>
                <w:highlight w:val="none"/>
              </w:rPr>
            </w:pPr>
          </w:p>
        </w:tc>
        <w:tc>
          <w:tcPr>
            <w:tcW w:w="816" w:type="dxa"/>
            <w:vAlign w:val="top"/>
          </w:tcPr>
          <w:p w14:paraId="2AE3C21D">
            <w:pPr>
              <w:rPr>
                <w:rFonts w:ascii="Arial"/>
                <w:sz w:val="21"/>
                <w:highlight w:val="none"/>
              </w:rPr>
            </w:pPr>
          </w:p>
        </w:tc>
        <w:tc>
          <w:tcPr>
            <w:tcW w:w="1082" w:type="dxa"/>
            <w:vAlign w:val="top"/>
          </w:tcPr>
          <w:p w14:paraId="10616547">
            <w:pPr>
              <w:rPr>
                <w:rFonts w:ascii="Arial"/>
                <w:sz w:val="21"/>
                <w:highlight w:val="none"/>
              </w:rPr>
            </w:pPr>
          </w:p>
        </w:tc>
        <w:tc>
          <w:tcPr>
            <w:tcW w:w="945" w:type="dxa"/>
            <w:vAlign w:val="top"/>
          </w:tcPr>
          <w:p w14:paraId="33F47A27">
            <w:pPr>
              <w:rPr>
                <w:rFonts w:ascii="Arial"/>
                <w:sz w:val="21"/>
                <w:highlight w:val="none"/>
              </w:rPr>
            </w:pPr>
          </w:p>
        </w:tc>
        <w:tc>
          <w:tcPr>
            <w:tcW w:w="735" w:type="dxa"/>
            <w:vAlign w:val="top"/>
          </w:tcPr>
          <w:p w14:paraId="650AD15D">
            <w:pPr>
              <w:rPr>
                <w:rFonts w:ascii="Arial"/>
                <w:sz w:val="21"/>
                <w:highlight w:val="none"/>
              </w:rPr>
            </w:pPr>
          </w:p>
        </w:tc>
        <w:tc>
          <w:tcPr>
            <w:tcW w:w="739" w:type="dxa"/>
            <w:vAlign w:val="top"/>
          </w:tcPr>
          <w:p w14:paraId="239F3C70">
            <w:pPr>
              <w:rPr>
                <w:rFonts w:ascii="Arial"/>
                <w:sz w:val="21"/>
                <w:highlight w:val="none"/>
              </w:rPr>
            </w:pPr>
          </w:p>
        </w:tc>
      </w:tr>
      <w:tr w14:paraId="0BA3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5805B19B">
            <w:pPr>
              <w:rPr>
                <w:rFonts w:ascii="Arial"/>
                <w:sz w:val="21"/>
                <w:highlight w:val="none"/>
              </w:rPr>
            </w:pPr>
          </w:p>
        </w:tc>
        <w:tc>
          <w:tcPr>
            <w:tcW w:w="733" w:type="dxa"/>
            <w:vAlign w:val="top"/>
          </w:tcPr>
          <w:p w14:paraId="4004BFBE">
            <w:pPr>
              <w:rPr>
                <w:rFonts w:ascii="Arial"/>
                <w:sz w:val="21"/>
                <w:highlight w:val="none"/>
              </w:rPr>
            </w:pPr>
          </w:p>
        </w:tc>
        <w:tc>
          <w:tcPr>
            <w:tcW w:w="1232" w:type="dxa"/>
            <w:vAlign w:val="top"/>
          </w:tcPr>
          <w:p w14:paraId="64977D5A">
            <w:pPr>
              <w:rPr>
                <w:rFonts w:ascii="Arial"/>
                <w:sz w:val="21"/>
                <w:highlight w:val="none"/>
              </w:rPr>
            </w:pPr>
          </w:p>
        </w:tc>
        <w:tc>
          <w:tcPr>
            <w:tcW w:w="484" w:type="dxa"/>
            <w:vAlign w:val="top"/>
          </w:tcPr>
          <w:p w14:paraId="36F9825F">
            <w:pPr>
              <w:rPr>
                <w:rFonts w:ascii="Arial"/>
                <w:sz w:val="21"/>
                <w:highlight w:val="none"/>
              </w:rPr>
            </w:pPr>
          </w:p>
        </w:tc>
        <w:tc>
          <w:tcPr>
            <w:tcW w:w="616" w:type="dxa"/>
            <w:vAlign w:val="top"/>
          </w:tcPr>
          <w:p w14:paraId="53D0CA6C">
            <w:pPr>
              <w:rPr>
                <w:rFonts w:ascii="Arial"/>
                <w:sz w:val="21"/>
                <w:highlight w:val="none"/>
              </w:rPr>
            </w:pPr>
          </w:p>
        </w:tc>
        <w:tc>
          <w:tcPr>
            <w:tcW w:w="816" w:type="dxa"/>
            <w:vAlign w:val="top"/>
          </w:tcPr>
          <w:p w14:paraId="0F383CFE">
            <w:pPr>
              <w:rPr>
                <w:rFonts w:ascii="Arial"/>
                <w:sz w:val="21"/>
                <w:highlight w:val="none"/>
              </w:rPr>
            </w:pPr>
          </w:p>
        </w:tc>
        <w:tc>
          <w:tcPr>
            <w:tcW w:w="1082" w:type="dxa"/>
            <w:vAlign w:val="top"/>
          </w:tcPr>
          <w:p w14:paraId="50E81098">
            <w:pPr>
              <w:rPr>
                <w:rFonts w:ascii="Arial"/>
                <w:sz w:val="21"/>
                <w:highlight w:val="none"/>
              </w:rPr>
            </w:pPr>
          </w:p>
        </w:tc>
        <w:tc>
          <w:tcPr>
            <w:tcW w:w="945" w:type="dxa"/>
            <w:vAlign w:val="top"/>
          </w:tcPr>
          <w:p w14:paraId="2199DA20">
            <w:pPr>
              <w:rPr>
                <w:rFonts w:ascii="Arial"/>
                <w:sz w:val="21"/>
                <w:highlight w:val="none"/>
              </w:rPr>
            </w:pPr>
          </w:p>
        </w:tc>
        <w:tc>
          <w:tcPr>
            <w:tcW w:w="735" w:type="dxa"/>
            <w:vAlign w:val="top"/>
          </w:tcPr>
          <w:p w14:paraId="507A711A">
            <w:pPr>
              <w:rPr>
                <w:rFonts w:ascii="Arial"/>
                <w:sz w:val="21"/>
                <w:highlight w:val="none"/>
              </w:rPr>
            </w:pPr>
          </w:p>
        </w:tc>
        <w:tc>
          <w:tcPr>
            <w:tcW w:w="739" w:type="dxa"/>
            <w:vAlign w:val="top"/>
          </w:tcPr>
          <w:p w14:paraId="3205EC2F">
            <w:pPr>
              <w:rPr>
                <w:rFonts w:ascii="Arial"/>
                <w:sz w:val="21"/>
                <w:highlight w:val="none"/>
              </w:rPr>
            </w:pPr>
          </w:p>
        </w:tc>
      </w:tr>
      <w:tr w14:paraId="310C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40CBECC1">
            <w:pPr>
              <w:rPr>
                <w:rFonts w:ascii="Arial"/>
                <w:sz w:val="21"/>
                <w:highlight w:val="none"/>
              </w:rPr>
            </w:pPr>
          </w:p>
        </w:tc>
        <w:tc>
          <w:tcPr>
            <w:tcW w:w="733" w:type="dxa"/>
            <w:vAlign w:val="top"/>
          </w:tcPr>
          <w:p w14:paraId="42312C18">
            <w:pPr>
              <w:rPr>
                <w:rFonts w:ascii="Arial"/>
                <w:sz w:val="21"/>
                <w:highlight w:val="none"/>
              </w:rPr>
            </w:pPr>
          </w:p>
        </w:tc>
        <w:tc>
          <w:tcPr>
            <w:tcW w:w="1232" w:type="dxa"/>
            <w:vAlign w:val="top"/>
          </w:tcPr>
          <w:p w14:paraId="0FE62E45">
            <w:pPr>
              <w:rPr>
                <w:rFonts w:ascii="Arial"/>
                <w:sz w:val="21"/>
                <w:highlight w:val="none"/>
              </w:rPr>
            </w:pPr>
          </w:p>
        </w:tc>
        <w:tc>
          <w:tcPr>
            <w:tcW w:w="484" w:type="dxa"/>
            <w:vAlign w:val="top"/>
          </w:tcPr>
          <w:p w14:paraId="7F9756A1">
            <w:pPr>
              <w:rPr>
                <w:rFonts w:ascii="Arial"/>
                <w:sz w:val="21"/>
                <w:highlight w:val="none"/>
              </w:rPr>
            </w:pPr>
          </w:p>
        </w:tc>
        <w:tc>
          <w:tcPr>
            <w:tcW w:w="616" w:type="dxa"/>
            <w:vAlign w:val="top"/>
          </w:tcPr>
          <w:p w14:paraId="54113A4D">
            <w:pPr>
              <w:rPr>
                <w:rFonts w:ascii="Arial"/>
                <w:sz w:val="21"/>
                <w:highlight w:val="none"/>
              </w:rPr>
            </w:pPr>
          </w:p>
        </w:tc>
        <w:tc>
          <w:tcPr>
            <w:tcW w:w="816" w:type="dxa"/>
            <w:vAlign w:val="top"/>
          </w:tcPr>
          <w:p w14:paraId="245EFB74">
            <w:pPr>
              <w:rPr>
                <w:rFonts w:ascii="Arial"/>
                <w:sz w:val="21"/>
                <w:highlight w:val="none"/>
              </w:rPr>
            </w:pPr>
          </w:p>
        </w:tc>
        <w:tc>
          <w:tcPr>
            <w:tcW w:w="1082" w:type="dxa"/>
            <w:vAlign w:val="top"/>
          </w:tcPr>
          <w:p w14:paraId="4EFBB680">
            <w:pPr>
              <w:rPr>
                <w:rFonts w:ascii="Arial"/>
                <w:sz w:val="21"/>
                <w:highlight w:val="none"/>
              </w:rPr>
            </w:pPr>
          </w:p>
        </w:tc>
        <w:tc>
          <w:tcPr>
            <w:tcW w:w="945" w:type="dxa"/>
            <w:vAlign w:val="top"/>
          </w:tcPr>
          <w:p w14:paraId="62BDA867">
            <w:pPr>
              <w:rPr>
                <w:rFonts w:ascii="Arial"/>
                <w:sz w:val="21"/>
                <w:highlight w:val="none"/>
              </w:rPr>
            </w:pPr>
          </w:p>
        </w:tc>
        <w:tc>
          <w:tcPr>
            <w:tcW w:w="735" w:type="dxa"/>
            <w:vAlign w:val="top"/>
          </w:tcPr>
          <w:p w14:paraId="5F0BB647">
            <w:pPr>
              <w:rPr>
                <w:rFonts w:ascii="Arial"/>
                <w:sz w:val="21"/>
                <w:highlight w:val="none"/>
              </w:rPr>
            </w:pPr>
          </w:p>
        </w:tc>
        <w:tc>
          <w:tcPr>
            <w:tcW w:w="739" w:type="dxa"/>
            <w:vAlign w:val="top"/>
          </w:tcPr>
          <w:p w14:paraId="6CFE9723">
            <w:pPr>
              <w:rPr>
                <w:rFonts w:ascii="Arial"/>
                <w:sz w:val="21"/>
                <w:highlight w:val="none"/>
              </w:rPr>
            </w:pPr>
          </w:p>
        </w:tc>
      </w:tr>
      <w:tr w14:paraId="2709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1A4F1276">
            <w:pPr>
              <w:rPr>
                <w:rFonts w:ascii="Arial"/>
                <w:sz w:val="21"/>
                <w:highlight w:val="none"/>
              </w:rPr>
            </w:pPr>
          </w:p>
        </w:tc>
        <w:tc>
          <w:tcPr>
            <w:tcW w:w="733" w:type="dxa"/>
            <w:vAlign w:val="top"/>
          </w:tcPr>
          <w:p w14:paraId="3E5AA884">
            <w:pPr>
              <w:rPr>
                <w:rFonts w:ascii="Arial"/>
                <w:sz w:val="21"/>
                <w:highlight w:val="none"/>
              </w:rPr>
            </w:pPr>
          </w:p>
        </w:tc>
        <w:tc>
          <w:tcPr>
            <w:tcW w:w="1232" w:type="dxa"/>
            <w:vAlign w:val="top"/>
          </w:tcPr>
          <w:p w14:paraId="5E0BDC8C">
            <w:pPr>
              <w:rPr>
                <w:rFonts w:ascii="Arial"/>
                <w:sz w:val="21"/>
                <w:highlight w:val="none"/>
              </w:rPr>
            </w:pPr>
          </w:p>
        </w:tc>
        <w:tc>
          <w:tcPr>
            <w:tcW w:w="484" w:type="dxa"/>
            <w:vAlign w:val="top"/>
          </w:tcPr>
          <w:p w14:paraId="17EF32C2">
            <w:pPr>
              <w:rPr>
                <w:rFonts w:ascii="Arial"/>
                <w:sz w:val="21"/>
                <w:highlight w:val="none"/>
              </w:rPr>
            </w:pPr>
          </w:p>
        </w:tc>
        <w:tc>
          <w:tcPr>
            <w:tcW w:w="616" w:type="dxa"/>
            <w:vAlign w:val="top"/>
          </w:tcPr>
          <w:p w14:paraId="51375F49">
            <w:pPr>
              <w:rPr>
                <w:rFonts w:ascii="Arial"/>
                <w:sz w:val="21"/>
                <w:highlight w:val="none"/>
              </w:rPr>
            </w:pPr>
          </w:p>
        </w:tc>
        <w:tc>
          <w:tcPr>
            <w:tcW w:w="816" w:type="dxa"/>
            <w:vAlign w:val="top"/>
          </w:tcPr>
          <w:p w14:paraId="6F35CBD6">
            <w:pPr>
              <w:rPr>
                <w:rFonts w:ascii="Arial"/>
                <w:sz w:val="21"/>
                <w:highlight w:val="none"/>
              </w:rPr>
            </w:pPr>
          </w:p>
        </w:tc>
        <w:tc>
          <w:tcPr>
            <w:tcW w:w="1082" w:type="dxa"/>
            <w:vAlign w:val="top"/>
          </w:tcPr>
          <w:p w14:paraId="4C0E006B">
            <w:pPr>
              <w:rPr>
                <w:rFonts w:ascii="Arial"/>
                <w:sz w:val="21"/>
                <w:highlight w:val="none"/>
              </w:rPr>
            </w:pPr>
          </w:p>
        </w:tc>
        <w:tc>
          <w:tcPr>
            <w:tcW w:w="945" w:type="dxa"/>
            <w:vAlign w:val="top"/>
          </w:tcPr>
          <w:p w14:paraId="5BFA48B4">
            <w:pPr>
              <w:rPr>
                <w:rFonts w:ascii="Arial"/>
                <w:sz w:val="21"/>
                <w:highlight w:val="none"/>
              </w:rPr>
            </w:pPr>
          </w:p>
        </w:tc>
        <w:tc>
          <w:tcPr>
            <w:tcW w:w="735" w:type="dxa"/>
            <w:vAlign w:val="top"/>
          </w:tcPr>
          <w:p w14:paraId="308427BC">
            <w:pPr>
              <w:rPr>
                <w:rFonts w:ascii="Arial"/>
                <w:sz w:val="21"/>
                <w:highlight w:val="none"/>
              </w:rPr>
            </w:pPr>
          </w:p>
        </w:tc>
        <w:tc>
          <w:tcPr>
            <w:tcW w:w="739" w:type="dxa"/>
            <w:vAlign w:val="top"/>
          </w:tcPr>
          <w:p w14:paraId="35132FC4">
            <w:pPr>
              <w:rPr>
                <w:rFonts w:ascii="Arial"/>
                <w:sz w:val="21"/>
                <w:highlight w:val="none"/>
              </w:rPr>
            </w:pPr>
          </w:p>
        </w:tc>
      </w:tr>
      <w:tr w14:paraId="77E4F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05745DA5">
            <w:pPr>
              <w:rPr>
                <w:rFonts w:ascii="Arial"/>
                <w:sz w:val="21"/>
                <w:highlight w:val="none"/>
              </w:rPr>
            </w:pPr>
          </w:p>
        </w:tc>
        <w:tc>
          <w:tcPr>
            <w:tcW w:w="733" w:type="dxa"/>
            <w:vAlign w:val="top"/>
          </w:tcPr>
          <w:p w14:paraId="5BEDF9A9">
            <w:pPr>
              <w:rPr>
                <w:rFonts w:ascii="Arial"/>
                <w:sz w:val="21"/>
                <w:highlight w:val="none"/>
              </w:rPr>
            </w:pPr>
          </w:p>
        </w:tc>
        <w:tc>
          <w:tcPr>
            <w:tcW w:w="1232" w:type="dxa"/>
            <w:vAlign w:val="top"/>
          </w:tcPr>
          <w:p w14:paraId="7DA510ED">
            <w:pPr>
              <w:rPr>
                <w:rFonts w:ascii="Arial"/>
                <w:sz w:val="21"/>
                <w:highlight w:val="none"/>
              </w:rPr>
            </w:pPr>
          </w:p>
        </w:tc>
        <w:tc>
          <w:tcPr>
            <w:tcW w:w="484" w:type="dxa"/>
            <w:vAlign w:val="top"/>
          </w:tcPr>
          <w:p w14:paraId="3390EDA4">
            <w:pPr>
              <w:rPr>
                <w:rFonts w:ascii="Arial"/>
                <w:sz w:val="21"/>
                <w:highlight w:val="none"/>
              </w:rPr>
            </w:pPr>
          </w:p>
        </w:tc>
        <w:tc>
          <w:tcPr>
            <w:tcW w:w="616" w:type="dxa"/>
            <w:vAlign w:val="top"/>
          </w:tcPr>
          <w:p w14:paraId="09F5750A">
            <w:pPr>
              <w:rPr>
                <w:rFonts w:ascii="Arial"/>
                <w:sz w:val="21"/>
                <w:highlight w:val="none"/>
              </w:rPr>
            </w:pPr>
          </w:p>
        </w:tc>
        <w:tc>
          <w:tcPr>
            <w:tcW w:w="816" w:type="dxa"/>
            <w:vAlign w:val="top"/>
          </w:tcPr>
          <w:p w14:paraId="7A6FC50B">
            <w:pPr>
              <w:rPr>
                <w:rFonts w:ascii="Arial"/>
                <w:sz w:val="21"/>
                <w:highlight w:val="none"/>
              </w:rPr>
            </w:pPr>
          </w:p>
        </w:tc>
        <w:tc>
          <w:tcPr>
            <w:tcW w:w="1082" w:type="dxa"/>
            <w:vAlign w:val="top"/>
          </w:tcPr>
          <w:p w14:paraId="4E828C51">
            <w:pPr>
              <w:rPr>
                <w:rFonts w:ascii="Arial"/>
                <w:sz w:val="21"/>
                <w:highlight w:val="none"/>
              </w:rPr>
            </w:pPr>
          </w:p>
        </w:tc>
        <w:tc>
          <w:tcPr>
            <w:tcW w:w="945" w:type="dxa"/>
            <w:vAlign w:val="top"/>
          </w:tcPr>
          <w:p w14:paraId="7C096F77">
            <w:pPr>
              <w:rPr>
                <w:rFonts w:ascii="Arial"/>
                <w:sz w:val="21"/>
                <w:highlight w:val="none"/>
              </w:rPr>
            </w:pPr>
          </w:p>
        </w:tc>
        <w:tc>
          <w:tcPr>
            <w:tcW w:w="735" w:type="dxa"/>
            <w:vAlign w:val="top"/>
          </w:tcPr>
          <w:p w14:paraId="798D020F">
            <w:pPr>
              <w:rPr>
                <w:rFonts w:ascii="Arial"/>
                <w:sz w:val="21"/>
                <w:highlight w:val="none"/>
              </w:rPr>
            </w:pPr>
          </w:p>
        </w:tc>
        <w:tc>
          <w:tcPr>
            <w:tcW w:w="739" w:type="dxa"/>
            <w:vAlign w:val="top"/>
          </w:tcPr>
          <w:p w14:paraId="31E84A7D">
            <w:pPr>
              <w:rPr>
                <w:rFonts w:ascii="Arial"/>
                <w:sz w:val="21"/>
                <w:highlight w:val="none"/>
              </w:rPr>
            </w:pPr>
          </w:p>
        </w:tc>
      </w:tr>
      <w:tr w14:paraId="1673B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0A9ED554">
            <w:pPr>
              <w:rPr>
                <w:rFonts w:ascii="Arial"/>
                <w:sz w:val="21"/>
                <w:highlight w:val="none"/>
              </w:rPr>
            </w:pPr>
          </w:p>
        </w:tc>
        <w:tc>
          <w:tcPr>
            <w:tcW w:w="733" w:type="dxa"/>
            <w:vAlign w:val="top"/>
          </w:tcPr>
          <w:p w14:paraId="66937979">
            <w:pPr>
              <w:rPr>
                <w:rFonts w:ascii="Arial"/>
                <w:sz w:val="21"/>
                <w:highlight w:val="none"/>
              </w:rPr>
            </w:pPr>
          </w:p>
        </w:tc>
        <w:tc>
          <w:tcPr>
            <w:tcW w:w="1232" w:type="dxa"/>
            <w:vAlign w:val="top"/>
          </w:tcPr>
          <w:p w14:paraId="60169881">
            <w:pPr>
              <w:rPr>
                <w:rFonts w:ascii="Arial"/>
                <w:sz w:val="21"/>
                <w:highlight w:val="none"/>
              </w:rPr>
            </w:pPr>
          </w:p>
        </w:tc>
        <w:tc>
          <w:tcPr>
            <w:tcW w:w="484" w:type="dxa"/>
            <w:vAlign w:val="top"/>
          </w:tcPr>
          <w:p w14:paraId="5E76E6D2">
            <w:pPr>
              <w:rPr>
                <w:rFonts w:ascii="Arial"/>
                <w:sz w:val="21"/>
                <w:highlight w:val="none"/>
              </w:rPr>
            </w:pPr>
          </w:p>
        </w:tc>
        <w:tc>
          <w:tcPr>
            <w:tcW w:w="616" w:type="dxa"/>
            <w:vAlign w:val="top"/>
          </w:tcPr>
          <w:p w14:paraId="227C0AC8">
            <w:pPr>
              <w:rPr>
                <w:rFonts w:ascii="Arial"/>
                <w:sz w:val="21"/>
                <w:highlight w:val="none"/>
              </w:rPr>
            </w:pPr>
          </w:p>
        </w:tc>
        <w:tc>
          <w:tcPr>
            <w:tcW w:w="816" w:type="dxa"/>
            <w:vAlign w:val="top"/>
          </w:tcPr>
          <w:p w14:paraId="193BEB96">
            <w:pPr>
              <w:rPr>
                <w:rFonts w:ascii="Arial"/>
                <w:sz w:val="21"/>
                <w:highlight w:val="none"/>
              </w:rPr>
            </w:pPr>
          </w:p>
        </w:tc>
        <w:tc>
          <w:tcPr>
            <w:tcW w:w="1082" w:type="dxa"/>
            <w:vAlign w:val="top"/>
          </w:tcPr>
          <w:p w14:paraId="395709ED">
            <w:pPr>
              <w:rPr>
                <w:rFonts w:ascii="Arial"/>
                <w:sz w:val="21"/>
                <w:highlight w:val="none"/>
              </w:rPr>
            </w:pPr>
          </w:p>
        </w:tc>
        <w:tc>
          <w:tcPr>
            <w:tcW w:w="945" w:type="dxa"/>
            <w:vAlign w:val="top"/>
          </w:tcPr>
          <w:p w14:paraId="5A0C8D3D">
            <w:pPr>
              <w:rPr>
                <w:rFonts w:ascii="Arial"/>
                <w:sz w:val="21"/>
                <w:highlight w:val="none"/>
              </w:rPr>
            </w:pPr>
          </w:p>
        </w:tc>
        <w:tc>
          <w:tcPr>
            <w:tcW w:w="735" w:type="dxa"/>
            <w:vAlign w:val="top"/>
          </w:tcPr>
          <w:p w14:paraId="0F4F28C4">
            <w:pPr>
              <w:rPr>
                <w:rFonts w:ascii="Arial"/>
                <w:sz w:val="21"/>
                <w:highlight w:val="none"/>
              </w:rPr>
            </w:pPr>
          </w:p>
        </w:tc>
        <w:tc>
          <w:tcPr>
            <w:tcW w:w="739" w:type="dxa"/>
            <w:vAlign w:val="top"/>
          </w:tcPr>
          <w:p w14:paraId="68C9D965">
            <w:pPr>
              <w:rPr>
                <w:rFonts w:ascii="Arial"/>
                <w:sz w:val="21"/>
                <w:highlight w:val="none"/>
              </w:rPr>
            </w:pPr>
          </w:p>
        </w:tc>
      </w:tr>
    </w:tbl>
    <w:p w14:paraId="2D2EF100">
      <w:pPr>
        <w:pStyle w:val="17"/>
        <w:rPr>
          <w:highlight w:val="none"/>
        </w:rPr>
      </w:pPr>
    </w:p>
    <w:p w14:paraId="4B43CB34">
      <w:pPr>
        <w:pStyle w:val="17"/>
        <w:spacing w:line="288" w:lineRule="auto"/>
        <w:rPr>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25400</wp:posOffset>
                </wp:positionV>
                <wp:extent cx="5278755" cy="9525"/>
                <wp:effectExtent l="0" t="0" r="0" b="0"/>
                <wp:wrapNone/>
                <wp:docPr id="107" name="任意多边形 107"/>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55pt;margin-top:2pt;height:0.75pt;width:415.65pt;z-index:251662336;mso-width-relative:page;mso-height-relative:page;" fillcolor="#000000" filled="t" stroked="f" coordsize="8312,15" o:gfxdata="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1lu57VAAAABQEAAA8AAAAAAAAA&#10;AQAgAAAAIgAAAGRycy9kb3ducmV2LnhtbFBLAQIUABQAAAAIAIdO4kAsH9JfFAIAAH8EAAAOAAAA&#10;AAAAAAEAIAAAACQBAABkcnMvZTJvRG9jLnhtbFBLBQYAAAAABgAGAFkBAACqBQAAAAA=&#10;" path="m0,0l8312,0,8312,14,0,14,0,0xe">
                <v:fill on="t" focussize="0,0"/>
                <v:stroke on="f"/>
                <v:imagedata o:title=""/>
                <o:lock v:ext="edit" aspectratio="f"/>
              </v:shape>
            </w:pict>
          </mc:Fallback>
        </mc:AlternateContent>
      </w:r>
      <w:r>
        <w:rPr>
          <w:rFonts w:hint="eastAsia"/>
          <w:highlight w:val="none"/>
          <w:lang w:eastAsia="zh-CN"/>
        </w:rPr>
        <w:t xml:space="preserve"> </w:t>
      </w:r>
    </w:p>
    <w:p w14:paraId="18321579">
      <w:pPr>
        <w:spacing w:before="78" w:line="219" w:lineRule="auto"/>
        <w:ind w:left="39"/>
        <w:outlineLvl w:val="1"/>
        <w:rPr>
          <w:rFonts w:ascii="宋体" w:hAnsi="宋体" w:eastAsia="宋体" w:cs="宋体"/>
          <w:sz w:val="24"/>
          <w:szCs w:val="24"/>
          <w:highlight w:val="none"/>
        </w:rPr>
      </w:pPr>
      <w:r>
        <w:rPr>
          <w:rFonts w:ascii="宋体" w:hAnsi="宋体" w:eastAsia="宋体" w:cs="宋体"/>
          <w:spacing w:val="-2"/>
          <w:sz w:val="24"/>
          <w:szCs w:val="24"/>
          <w:highlight w:val="none"/>
        </w:rPr>
        <w:t>附件三：承包人提供的材料一览表</w:t>
      </w:r>
    </w:p>
    <w:p w14:paraId="6F97C8A6">
      <w:pPr>
        <w:spacing w:before="308" w:line="220" w:lineRule="auto"/>
        <w:ind w:left="2631"/>
        <w:rPr>
          <w:rFonts w:ascii="宋体" w:hAnsi="宋体" w:eastAsia="宋体" w:cs="宋体"/>
          <w:sz w:val="28"/>
          <w:szCs w:val="28"/>
          <w:highlight w:val="none"/>
        </w:rPr>
      </w:pPr>
      <w:bookmarkStart w:id="793" w:name="bookmark69"/>
      <w:bookmarkEnd w:id="793"/>
      <w:r>
        <w:rPr>
          <w:rFonts w:ascii="宋体" w:hAnsi="宋体" w:eastAsia="宋体" w:cs="宋体"/>
          <w:b/>
          <w:bCs/>
          <w:spacing w:val="-3"/>
          <w:sz w:val="28"/>
          <w:szCs w:val="28"/>
          <w:highlight w:val="none"/>
        </w:rPr>
        <w:t>承包人提供的材料一览表</w:t>
      </w:r>
    </w:p>
    <w:p w14:paraId="7B17A13C">
      <w:pPr>
        <w:spacing w:line="169" w:lineRule="exact"/>
        <w:rPr>
          <w:highlight w:val="none"/>
        </w:rPr>
      </w:pPr>
    </w:p>
    <w:tbl>
      <w:tblPr>
        <w:tblStyle w:val="260"/>
        <w:tblW w:w="7939"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35"/>
        <w:gridCol w:w="839"/>
        <w:gridCol w:w="839"/>
        <w:gridCol w:w="735"/>
        <w:gridCol w:w="949"/>
      </w:tblGrid>
      <w:tr w14:paraId="0A88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84" w:type="dxa"/>
            <w:textDirection w:val="tbRlV"/>
            <w:vAlign w:val="top"/>
          </w:tcPr>
          <w:p w14:paraId="6936746F">
            <w:pPr>
              <w:pStyle w:val="255"/>
              <w:spacing w:before="135" w:line="218" w:lineRule="auto"/>
              <w:ind w:left="282"/>
              <w:rPr>
                <w:highlight w:val="none"/>
              </w:rPr>
            </w:pPr>
            <w:r>
              <w:rPr>
                <w:spacing w:val="9"/>
                <w:highlight w:val="none"/>
              </w:rPr>
              <w:t>序</w:t>
            </w:r>
            <w:r>
              <w:rPr>
                <w:spacing w:val="98"/>
                <w:highlight w:val="none"/>
              </w:rPr>
              <w:t xml:space="preserve"> </w:t>
            </w:r>
            <w:r>
              <w:rPr>
                <w:spacing w:val="9"/>
                <w:highlight w:val="none"/>
              </w:rPr>
              <w:t>号</w:t>
            </w:r>
          </w:p>
        </w:tc>
        <w:tc>
          <w:tcPr>
            <w:tcW w:w="1154" w:type="dxa"/>
            <w:vAlign w:val="top"/>
          </w:tcPr>
          <w:p w14:paraId="0A97FD79">
            <w:pPr>
              <w:pStyle w:val="255"/>
              <w:spacing w:before="282" w:line="379" w:lineRule="auto"/>
              <w:ind w:left="161" w:right="157" w:hanging="2"/>
              <w:rPr>
                <w:highlight w:val="none"/>
              </w:rPr>
            </w:pPr>
            <w:r>
              <w:rPr>
                <w:spacing w:val="7"/>
                <w:highlight w:val="none"/>
              </w:rPr>
              <w:t>材料设备</w:t>
            </w:r>
            <w:r>
              <w:rPr>
                <w:highlight w:val="none"/>
              </w:rPr>
              <w:t>名</w:t>
            </w:r>
            <w:r>
              <w:rPr>
                <w:spacing w:val="7"/>
                <w:highlight w:val="none"/>
              </w:rPr>
              <w:t xml:space="preserve">    </w:t>
            </w:r>
            <w:r>
              <w:rPr>
                <w:highlight w:val="none"/>
              </w:rPr>
              <w:t>称</w:t>
            </w:r>
          </w:p>
        </w:tc>
        <w:tc>
          <w:tcPr>
            <w:tcW w:w="1049" w:type="dxa"/>
            <w:vAlign w:val="top"/>
          </w:tcPr>
          <w:p w14:paraId="3EA703CA">
            <w:pPr>
              <w:pStyle w:val="255"/>
              <w:spacing w:before="282" w:line="379" w:lineRule="auto"/>
              <w:ind w:left="326" w:right="313" w:hanging="5"/>
              <w:rPr>
                <w:highlight w:val="none"/>
              </w:rPr>
            </w:pPr>
            <w:r>
              <w:rPr>
                <w:spacing w:val="4"/>
                <w:highlight w:val="none"/>
              </w:rPr>
              <w:t>规格</w:t>
            </w:r>
            <w:r>
              <w:rPr>
                <w:spacing w:val="1"/>
                <w:highlight w:val="none"/>
              </w:rPr>
              <w:t>型号</w:t>
            </w:r>
          </w:p>
        </w:tc>
        <w:tc>
          <w:tcPr>
            <w:tcW w:w="630" w:type="dxa"/>
            <w:textDirection w:val="tbRlV"/>
            <w:vAlign w:val="top"/>
          </w:tcPr>
          <w:p w14:paraId="43993E81">
            <w:pPr>
              <w:pStyle w:val="255"/>
              <w:spacing w:before="209" w:line="216" w:lineRule="auto"/>
              <w:ind w:left="282"/>
              <w:rPr>
                <w:highlight w:val="none"/>
              </w:rPr>
            </w:pPr>
            <w:r>
              <w:rPr>
                <w:spacing w:val="9"/>
                <w:highlight w:val="none"/>
              </w:rPr>
              <w:t>单</w:t>
            </w:r>
            <w:r>
              <w:rPr>
                <w:spacing w:val="98"/>
                <w:highlight w:val="none"/>
              </w:rPr>
              <w:t xml:space="preserve"> </w:t>
            </w:r>
            <w:r>
              <w:rPr>
                <w:spacing w:val="9"/>
                <w:highlight w:val="none"/>
              </w:rPr>
              <w:t>位</w:t>
            </w:r>
          </w:p>
        </w:tc>
        <w:tc>
          <w:tcPr>
            <w:tcW w:w="525" w:type="dxa"/>
            <w:textDirection w:val="tbRlV"/>
            <w:vAlign w:val="top"/>
          </w:tcPr>
          <w:p w14:paraId="7FB188AA">
            <w:pPr>
              <w:pStyle w:val="255"/>
              <w:spacing w:before="155" w:line="216" w:lineRule="auto"/>
              <w:ind w:left="282"/>
              <w:rPr>
                <w:highlight w:val="none"/>
              </w:rPr>
            </w:pPr>
            <w:r>
              <w:rPr>
                <w:spacing w:val="9"/>
                <w:highlight w:val="none"/>
              </w:rPr>
              <w:t>数</w:t>
            </w:r>
            <w:r>
              <w:rPr>
                <w:spacing w:val="98"/>
                <w:highlight w:val="none"/>
              </w:rPr>
              <w:t xml:space="preserve"> </w:t>
            </w:r>
            <w:r>
              <w:rPr>
                <w:spacing w:val="9"/>
                <w:highlight w:val="none"/>
              </w:rPr>
              <w:t>量</w:t>
            </w:r>
          </w:p>
        </w:tc>
        <w:tc>
          <w:tcPr>
            <w:tcW w:w="735" w:type="dxa"/>
            <w:textDirection w:val="tbRlV"/>
            <w:vAlign w:val="top"/>
          </w:tcPr>
          <w:p w14:paraId="531924B0">
            <w:pPr>
              <w:pStyle w:val="255"/>
              <w:spacing w:before="262" w:line="213" w:lineRule="auto"/>
              <w:ind w:left="282"/>
              <w:rPr>
                <w:highlight w:val="none"/>
              </w:rPr>
            </w:pPr>
            <w:r>
              <w:rPr>
                <w:spacing w:val="9"/>
                <w:highlight w:val="none"/>
              </w:rPr>
              <w:t>单</w:t>
            </w:r>
            <w:r>
              <w:rPr>
                <w:spacing w:val="98"/>
                <w:highlight w:val="none"/>
              </w:rPr>
              <w:t xml:space="preserve"> </w:t>
            </w:r>
            <w:r>
              <w:rPr>
                <w:spacing w:val="9"/>
                <w:highlight w:val="none"/>
              </w:rPr>
              <w:t>价</w:t>
            </w:r>
          </w:p>
        </w:tc>
        <w:tc>
          <w:tcPr>
            <w:tcW w:w="839" w:type="dxa"/>
            <w:vAlign w:val="top"/>
          </w:tcPr>
          <w:p w14:paraId="52524616">
            <w:pPr>
              <w:pStyle w:val="255"/>
              <w:spacing w:before="282" w:line="379" w:lineRule="auto"/>
              <w:ind w:left="217" w:right="208" w:firstLine="3"/>
              <w:rPr>
                <w:highlight w:val="none"/>
              </w:rPr>
            </w:pPr>
            <w:r>
              <w:rPr>
                <w:spacing w:val="2"/>
                <w:highlight w:val="none"/>
              </w:rPr>
              <w:t>交货</w:t>
            </w:r>
            <w:r>
              <w:rPr>
                <w:spacing w:val="4"/>
                <w:highlight w:val="none"/>
              </w:rPr>
              <w:t>方式</w:t>
            </w:r>
          </w:p>
        </w:tc>
        <w:tc>
          <w:tcPr>
            <w:tcW w:w="839" w:type="dxa"/>
            <w:vAlign w:val="top"/>
          </w:tcPr>
          <w:p w14:paraId="1B5DD1FD">
            <w:pPr>
              <w:pStyle w:val="255"/>
              <w:spacing w:before="283" w:line="380" w:lineRule="auto"/>
              <w:ind w:left="217" w:right="207" w:firstLine="4"/>
              <w:rPr>
                <w:highlight w:val="none"/>
              </w:rPr>
            </w:pPr>
            <w:r>
              <w:rPr>
                <w:spacing w:val="2"/>
                <w:highlight w:val="none"/>
              </w:rPr>
              <w:t>交货</w:t>
            </w:r>
            <w:r>
              <w:rPr>
                <w:spacing w:val="4"/>
                <w:highlight w:val="none"/>
              </w:rPr>
              <w:t>地点</w:t>
            </w:r>
          </w:p>
        </w:tc>
        <w:tc>
          <w:tcPr>
            <w:tcW w:w="735" w:type="dxa"/>
            <w:vAlign w:val="top"/>
          </w:tcPr>
          <w:p w14:paraId="0B5D3288">
            <w:pPr>
              <w:pStyle w:val="255"/>
              <w:spacing w:before="78" w:line="230" w:lineRule="auto"/>
              <w:ind w:left="165"/>
              <w:rPr>
                <w:highlight w:val="none"/>
              </w:rPr>
            </w:pPr>
            <w:r>
              <w:rPr>
                <w:spacing w:val="4"/>
                <w:highlight w:val="none"/>
              </w:rPr>
              <w:t>计划</w:t>
            </w:r>
          </w:p>
          <w:p w14:paraId="5672527C">
            <w:pPr>
              <w:pStyle w:val="255"/>
              <w:spacing w:before="158" w:line="228" w:lineRule="auto"/>
              <w:ind w:left="169"/>
              <w:rPr>
                <w:highlight w:val="none"/>
              </w:rPr>
            </w:pPr>
            <w:r>
              <w:rPr>
                <w:spacing w:val="2"/>
                <w:highlight w:val="none"/>
              </w:rPr>
              <w:t>交货</w:t>
            </w:r>
          </w:p>
          <w:p w14:paraId="09374F51">
            <w:pPr>
              <w:pStyle w:val="255"/>
              <w:spacing w:before="163" w:line="231" w:lineRule="auto"/>
              <w:ind w:left="175"/>
              <w:rPr>
                <w:highlight w:val="none"/>
              </w:rPr>
            </w:pPr>
            <w:r>
              <w:rPr>
                <w:spacing w:val="-1"/>
                <w:highlight w:val="none"/>
              </w:rPr>
              <w:t>时间</w:t>
            </w:r>
          </w:p>
        </w:tc>
        <w:tc>
          <w:tcPr>
            <w:tcW w:w="949" w:type="dxa"/>
            <w:vAlign w:val="top"/>
          </w:tcPr>
          <w:p w14:paraId="0E927288">
            <w:pPr>
              <w:spacing w:line="421" w:lineRule="auto"/>
              <w:rPr>
                <w:rFonts w:ascii="Arial"/>
                <w:sz w:val="21"/>
                <w:highlight w:val="none"/>
              </w:rPr>
            </w:pPr>
          </w:p>
          <w:p w14:paraId="215D3F8C">
            <w:pPr>
              <w:pStyle w:val="255"/>
              <w:spacing w:before="65" w:line="230" w:lineRule="auto"/>
              <w:ind w:left="273"/>
              <w:rPr>
                <w:highlight w:val="none"/>
              </w:rPr>
            </w:pPr>
            <w:r>
              <w:rPr>
                <w:spacing w:val="3"/>
                <w:highlight w:val="none"/>
              </w:rPr>
              <w:t>备注</w:t>
            </w:r>
          </w:p>
        </w:tc>
      </w:tr>
      <w:tr w14:paraId="254E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03B99A34">
            <w:pPr>
              <w:rPr>
                <w:rFonts w:ascii="Arial"/>
                <w:sz w:val="21"/>
                <w:highlight w:val="none"/>
              </w:rPr>
            </w:pPr>
          </w:p>
        </w:tc>
        <w:tc>
          <w:tcPr>
            <w:tcW w:w="1154" w:type="dxa"/>
            <w:vAlign w:val="top"/>
          </w:tcPr>
          <w:p w14:paraId="7136A77D">
            <w:pPr>
              <w:rPr>
                <w:rFonts w:ascii="Arial"/>
                <w:sz w:val="21"/>
                <w:highlight w:val="none"/>
              </w:rPr>
            </w:pPr>
          </w:p>
        </w:tc>
        <w:tc>
          <w:tcPr>
            <w:tcW w:w="1049" w:type="dxa"/>
            <w:vAlign w:val="top"/>
          </w:tcPr>
          <w:p w14:paraId="0B7737EE">
            <w:pPr>
              <w:rPr>
                <w:rFonts w:ascii="Arial"/>
                <w:sz w:val="21"/>
                <w:highlight w:val="none"/>
              </w:rPr>
            </w:pPr>
          </w:p>
        </w:tc>
        <w:tc>
          <w:tcPr>
            <w:tcW w:w="630" w:type="dxa"/>
            <w:vAlign w:val="top"/>
          </w:tcPr>
          <w:p w14:paraId="20E2B81E">
            <w:pPr>
              <w:rPr>
                <w:rFonts w:ascii="Arial"/>
                <w:sz w:val="21"/>
                <w:highlight w:val="none"/>
              </w:rPr>
            </w:pPr>
          </w:p>
        </w:tc>
        <w:tc>
          <w:tcPr>
            <w:tcW w:w="525" w:type="dxa"/>
            <w:vAlign w:val="top"/>
          </w:tcPr>
          <w:p w14:paraId="2BFFDB63">
            <w:pPr>
              <w:rPr>
                <w:rFonts w:ascii="Arial"/>
                <w:sz w:val="21"/>
                <w:highlight w:val="none"/>
              </w:rPr>
            </w:pPr>
          </w:p>
        </w:tc>
        <w:tc>
          <w:tcPr>
            <w:tcW w:w="735" w:type="dxa"/>
            <w:vAlign w:val="top"/>
          </w:tcPr>
          <w:p w14:paraId="60791C68">
            <w:pPr>
              <w:rPr>
                <w:rFonts w:ascii="Arial"/>
                <w:sz w:val="21"/>
                <w:highlight w:val="none"/>
              </w:rPr>
            </w:pPr>
          </w:p>
        </w:tc>
        <w:tc>
          <w:tcPr>
            <w:tcW w:w="839" w:type="dxa"/>
            <w:vAlign w:val="top"/>
          </w:tcPr>
          <w:p w14:paraId="78518BE6">
            <w:pPr>
              <w:rPr>
                <w:rFonts w:ascii="Arial"/>
                <w:sz w:val="21"/>
                <w:highlight w:val="none"/>
              </w:rPr>
            </w:pPr>
          </w:p>
        </w:tc>
        <w:tc>
          <w:tcPr>
            <w:tcW w:w="839" w:type="dxa"/>
            <w:vAlign w:val="top"/>
          </w:tcPr>
          <w:p w14:paraId="11D31073">
            <w:pPr>
              <w:rPr>
                <w:rFonts w:ascii="Arial"/>
                <w:sz w:val="21"/>
                <w:highlight w:val="none"/>
              </w:rPr>
            </w:pPr>
          </w:p>
        </w:tc>
        <w:tc>
          <w:tcPr>
            <w:tcW w:w="735" w:type="dxa"/>
            <w:vAlign w:val="top"/>
          </w:tcPr>
          <w:p w14:paraId="412C3F15">
            <w:pPr>
              <w:rPr>
                <w:rFonts w:ascii="Arial"/>
                <w:sz w:val="21"/>
                <w:highlight w:val="none"/>
              </w:rPr>
            </w:pPr>
          </w:p>
        </w:tc>
        <w:tc>
          <w:tcPr>
            <w:tcW w:w="949" w:type="dxa"/>
            <w:vAlign w:val="top"/>
          </w:tcPr>
          <w:p w14:paraId="6DD02E1A">
            <w:pPr>
              <w:rPr>
                <w:rFonts w:ascii="Arial"/>
                <w:sz w:val="21"/>
                <w:highlight w:val="none"/>
              </w:rPr>
            </w:pPr>
          </w:p>
        </w:tc>
      </w:tr>
      <w:tr w14:paraId="50921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6E431B5A">
            <w:pPr>
              <w:rPr>
                <w:rFonts w:ascii="Arial"/>
                <w:sz w:val="21"/>
                <w:highlight w:val="none"/>
              </w:rPr>
            </w:pPr>
          </w:p>
        </w:tc>
        <w:tc>
          <w:tcPr>
            <w:tcW w:w="1154" w:type="dxa"/>
            <w:vAlign w:val="top"/>
          </w:tcPr>
          <w:p w14:paraId="322A99D7">
            <w:pPr>
              <w:rPr>
                <w:rFonts w:ascii="Arial"/>
                <w:sz w:val="21"/>
                <w:highlight w:val="none"/>
              </w:rPr>
            </w:pPr>
          </w:p>
        </w:tc>
        <w:tc>
          <w:tcPr>
            <w:tcW w:w="1049" w:type="dxa"/>
            <w:vAlign w:val="top"/>
          </w:tcPr>
          <w:p w14:paraId="35667E76">
            <w:pPr>
              <w:rPr>
                <w:rFonts w:ascii="Arial"/>
                <w:sz w:val="21"/>
                <w:highlight w:val="none"/>
              </w:rPr>
            </w:pPr>
          </w:p>
        </w:tc>
        <w:tc>
          <w:tcPr>
            <w:tcW w:w="630" w:type="dxa"/>
            <w:vAlign w:val="top"/>
          </w:tcPr>
          <w:p w14:paraId="4B6BD9DF">
            <w:pPr>
              <w:rPr>
                <w:rFonts w:ascii="Arial"/>
                <w:sz w:val="21"/>
                <w:highlight w:val="none"/>
              </w:rPr>
            </w:pPr>
          </w:p>
        </w:tc>
        <w:tc>
          <w:tcPr>
            <w:tcW w:w="525" w:type="dxa"/>
            <w:vAlign w:val="top"/>
          </w:tcPr>
          <w:p w14:paraId="5DBBC743">
            <w:pPr>
              <w:rPr>
                <w:rFonts w:ascii="Arial"/>
                <w:sz w:val="21"/>
                <w:highlight w:val="none"/>
              </w:rPr>
            </w:pPr>
          </w:p>
        </w:tc>
        <w:tc>
          <w:tcPr>
            <w:tcW w:w="735" w:type="dxa"/>
            <w:vAlign w:val="top"/>
          </w:tcPr>
          <w:p w14:paraId="5139C63E">
            <w:pPr>
              <w:rPr>
                <w:rFonts w:ascii="Arial"/>
                <w:sz w:val="21"/>
                <w:highlight w:val="none"/>
              </w:rPr>
            </w:pPr>
          </w:p>
        </w:tc>
        <w:tc>
          <w:tcPr>
            <w:tcW w:w="839" w:type="dxa"/>
            <w:vAlign w:val="top"/>
          </w:tcPr>
          <w:p w14:paraId="31EAE6C1">
            <w:pPr>
              <w:rPr>
                <w:rFonts w:ascii="Arial"/>
                <w:sz w:val="21"/>
                <w:highlight w:val="none"/>
              </w:rPr>
            </w:pPr>
          </w:p>
        </w:tc>
        <w:tc>
          <w:tcPr>
            <w:tcW w:w="839" w:type="dxa"/>
            <w:vAlign w:val="top"/>
          </w:tcPr>
          <w:p w14:paraId="7C2F5605">
            <w:pPr>
              <w:rPr>
                <w:rFonts w:ascii="Arial"/>
                <w:sz w:val="21"/>
                <w:highlight w:val="none"/>
              </w:rPr>
            </w:pPr>
          </w:p>
        </w:tc>
        <w:tc>
          <w:tcPr>
            <w:tcW w:w="735" w:type="dxa"/>
            <w:vAlign w:val="top"/>
          </w:tcPr>
          <w:p w14:paraId="30D863BE">
            <w:pPr>
              <w:rPr>
                <w:rFonts w:ascii="Arial"/>
                <w:sz w:val="21"/>
                <w:highlight w:val="none"/>
              </w:rPr>
            </w:pPr>
          </w:p>
        </w:tc>
        <w:tc>
          <w:tcPr>
            <w:tcW w:w="949" w:type="dxa"/>
            <w:vAlign w:val="top"/>
          </w:tcPr>
          <w:p w14:paraId="5084DFCD">
            <w:pPr>
              <w:rPr>
                <w:rFonts w:ascii="Arial"/>
                <w:sz w:val="21"/>
                <w:highlight w:val="none"/>
              </w:rPr>
            </w:pPr>
          </w:p>
        </w:tc>
      </w:tr>
      <w:tr w14:paraId="62BCC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32BA626A">
            <w:pPr>
              <w:rPr>
                <w:rFonts w:ascii="Arial"/>
                <w:sz w:val="21"/>
                <w:highlight w:val="none"/>
              </w:rPr>
            </w:pPr>
          </w:p>
        </w:tc>
        <w:tc>
          <w:tcPr>
            <w:tcW w:w="1154" w:type="dxa"/>
            <w:vAlign w:val="top"/>
          </w:tcPr>
          <w:p w14:paraId="6F9319C6">
            <w:pPr>
              <w:rPr>
                <w:rFonts w:ascii="Arial"/>
                <w:sz w:val="21"/>
                <w:highlight w:val="none"/>
              </w:rPr>
            </w:pPr>
          </w:p>
        </w:tc>
        <w:tc>
          <w:tcPr>
            <w:tcW w:w="1049" w:type="dxa"/>
            <w:vAlign w:val="top"/>
          </w:tcPr>
          <w:p w14:paraId="19D63A96">
            <w:pPr>
              <w:rPr>
                <w:rFonts w:ascii="Arial"/>
                <w:sz w:val="21"/>
                <w:highlight w:val="none"/>
              </w:rPr>
            </w:pPr>
          </w:p>
        </w:tc>
        <w:tc>
          <w:tcPr>
            <w:tcW w:w="630" w:type="dxa"/>
            <w:vAlign w:val="top"/>
          </w:tcPr>
          <w:p w14:paraId="03C3B075">
            <w:pPr>
              <w:rPr>
                <w:rFonts w:ascii="Arial"/>
                <w:sz w:val="21"/>
                <w:highlight w:val="none"/>
              </w:rPr>
            </w:pPr>
          </w:p>
        </w:tc>
        <w:tc>
          <w:tcPr>
            <w:tcW w:w="525" w:type="dxa"/>
            <w:vAlign w:val="top"/>
          </w:tcPr>
          <w:p w14:paraId="3E1A971E">
            <w:pPr>
              <w:rPr>
                <w:rFonts w:ascii="Arial"/>
                <w:sz w:val="21"/>
                <w:highlight w:val="none"/>
              </w:rPr>
            </w:pPr>
          </w:p>
        </w:tc>
        <w:tc>
          <w:tcPr>
            <w:tcW w:w="735" w:type="dxa"/>
            <w:vAlign w:val="top"/>
          </w:tcPr>
          <w:p w14:paraId="4D6074D1">
            <w:pPr>
              <w:rPr>
                <w:rFonts w:ascii="Arial"/>
                <w:sz w:val="21"/>
                <w:highlight w:val="none"/>
              </w:rPr>
            </w:pPr>
          </w:p>
        </w:tc>
        <w:tc>
          <w:tcPr>
            <w:tcW w:w="839" w:type="dxa"/>
            <w:vAlign w:val="top"/>
          </w:tcPr>
          <w:p w14:paraId="2CB9C9F9">
            <w:pPr>
              <w:rPr>
                <w:rFonts w:ascii="Arial"/>
                <w:sz w:val="21"/>
                <w:highlight w:val="none"/>
              </w:rPr>
            </w:pPr>
          </w:p>
        </w:tc>
        <w:tc>
          <w:tcPr>
            <w:tcW w:w="839" w:type="dxa"/>
            <w:vAlign w:val="top"/>
          </w:tcPr>
          <w:p w14:paraId="5BA215A0">
            <w:pPr>
              <w:rPr>
                <w:rFonts w:ascii="Arial"/>
                <w:sz w:val="21"/>
                <w:highlight w:val="none"/>
              </w:rPr>
            </w:pPr>
          </w:p>
        </w:tc>
        <w:tc>
          <w:tcPr>
            <w:tcW w:w="735" w:type="dxa"/>
            <w:vAlign w:val="top"/>
          </w:tcPr>
          <w:p w14:paraId="69811281">
            <w:pPr>
              <w:rPr>
                <w:rFonts w:ascii="Arial"/>
                <w:sz w:val="21"/>
                <w:highlight w:val="none"/>
              </w:rPr>
            </w:pPr>
          </w:p>
        </w:tc>
        <w:tc>
          <w:tcPr>
            <w:tcW w:w="949" w:type="dxa"/>
            <w:vAlign w:val="top"/>
          </w:tcPr>
          <w:p w14:paraId="5D2E3D07">
            <w:pPr>
              <w:rPr>
                <w:rFonts w:ascii="Arial"/>
                <w:sz w:val="21"/>
                <w:highlight w:val="none"/>
              </w:rPr>
            </w:pPr>
          </w:p>
        </w:tc>
      </w:tr>
      <w:tr w14:paraId="09EE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vAlign w:val="top"/>
          </w:tcPr>
          <w:p w14:paraId="7A842A03">
            <w:pPr>
              <w:rPr>
                <w:rFonts w:ascii="Arial"/>
                <w:sz w:val="21"/>
                <w:highlight w:val="none"/>
              </w:rPr>
            </w:pPr>
          </w:p>
        </w:tc>
        <w:tc>
          <w:tcPr>
            <w:tcW w:w="1154" w:type="dxa"/>
            <w:vAlign w:val="top"/>
          </w:tcPr>
          <w:p w14:paraId="491318EE">
            <w:pPr>
              <w:rPr>
                <w:rFonts w:ascii="Arial"/>
                <w:sz w:val="21"/>
                <w:highlight w:val="none"/>
              </w:rPr>
            </w:pPr>
          </w:p>
        </w:tc>
        <w:tc>
          <w:tcPr>
            <w:tcW w:w="1049" w:type="dxa"/>
            <w:vAlign w:val="top"/>
          </w:tcPr>
          <w:p w14:paraId="39756BC4">
            <w:pPr>
              <w:rPr>
                <w:rFonts w:ascii="Arial"/>
                <w:sz w:val="21"/>
                <w:highlight w:val="none"/>
              </w:rPr>
            </w:pPr>
          </w:p>
        </w:tc>
        <w:tc>
          <w:tcPr>
            <w:tcW w:w="630" w:type="dxa"/>
            <w:vAlign w:val="top"/>
          </w:tcPr>
          <w:p w14:paraId="2F8EB9D5">
            <w:pPr>
              <w:rPr>
                <w:rFonts w:ascii="Arial"/>
                <w:sz w:val="21"/>
                <w:highlight w:val="none"/>
              </w:rPr>
            </w:pPr>
          </w:p>
        </w:tc>
        <w:tc>
          <w:tcPr>
            <w:tcW w:w="525" w:type="dxa"/>
            <w:vAlign w:val="top"/>
          </w:tcPr>
          <w:p w14:paraId="55E3721C">
            <w:pPr>
              <w:rPr>
                <w:rFonts w:ascii="Arial"/>
                <w:sz w:val="21"/>
                <w:highlight w:val="none"/>
              </w:rPr>
            </w:pPr>
          </w:p>
        </w:tc>
        <w:tc>
          <w:tcPr>
            <w:tcW w:w="735" w:type="dxa"/>
            <w:vAlign w:val="top"/>
          </w:tcPr>
          <w:p w14:paraId="28C2DF46">
            <w:pPr>
              <w:rPr>
                <w:rFonts w:ascii="Arial"/>
                <w:sz w:val="21"/>
                <w:highlight w:val="none"/>
              </w:rPr>
            </w:pPr>
          </w:p>
        </w:tc>
        <w:tc>
          <w:tcPr>
            <w:tcW w:w="839" w:type="dxa"/>
            <w:vAlign w:val="top"/>
          </w:tcPr>
          <w:p w14:paraId="423034D2">
            <w:pPr>
              <w:rPr>
                <w:rFonts w:ascii="Arial"/>
                <w:sz w:val="21"/>
                <w:highlight w:val="none"/>
              </w:rPr>
            </w:pPr>
          </w:p>
        </w:tc>
        <w:tc>
          <w:tcPr>
            <w:tcW w:w="839" w:type="dxa"/>
            <w:vAlign w:val="top"/>
          </w:tcPr>
          <w:p w14:paraId="10CB0E43">
            <w:pPr>
              <w:rPr>
                <w:rFonts w:ascii="Arial"/>
                <w:sz w:val="21"/>
                <w:highlight w:val="none"/>
              </w:rPr>
            </w:pPr>
          </w:p>
        </w:tc>
        <w:tc>
          <w:tcPr>
            <w:tcW w:w="735" w:type="dxa"/>
            <w:vAlign w:val="top"/>
          </w:tcPr>
          <w:p w14:paraId="6147F2CF">
            <w:pPr>
              <w:rPr>
                <w:rFonts w:ascii="Arial"/>
                <w:sz w:val="21"/>
                <w:highlight w:val="none"/>
              </w:rPr>
            </w:pPr>
          </w:p>
        </w:tc>
        <w:tc>
          <w:tcPr>
            <w:tcW w:w="949" w:type="dxa"/>
            <w:vAlign w:val="top"/>
          </w:tcPr>
          <w:p w14:paraId="5D9D1074">
            <w:pPr>
              <w:rPr>
                <w:rFonts w:ascii="Arial"/>
                <w:sz w:val="21"/>
                <w:highlight w:val="none"/>
              </w:rPr>
            </w:pPr>
          </w:p>
        </w:tc>
      </w:tr>
      <w:tr w14:paraId="266A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0619E931">
            <w:pPr>
              <w:rPr>
                <w:rFonts w:ascii="Arial"/>
                <w:sz w:val="21"/>
                <w:highlight w:val="none"/>
              </w:rPr>
            </w:pPr>
          </w:p>
        </w:tc>
        <w:tc>
          <w:tcPr>
            <w:tcW w:w="1154" w:type="dxa"/>
            <w:vAlign w:val="top"/>
          </w:tcPr>
          <w:p w14:paraId="24181A01">
            <w:pPr>
              <w:rPr>
                <w:rFonts w:ascii="Arial"/>
                <w:sz w:val="21"/>
                <w:highlight w:val="none"/>
              </w:rPr>
            </w:pPr>
          </w:p>
        </w:tc>
        <w:tc>
          <w:tcPr>
            <w:tcW w:w="1049" w:type="dxa"/>
            <w:vAlign w:val="top"/>
          </w:tcPr>
          <w:p w14:paraId="38D07C4D">
            <w:pPr>
              <w:rPr>
                <w:rFonts w:ascii="Arial"/>
                <w:sz w:val="21"/>
                <w:highlight w:val="none"/>
              </w:rPr>
            </w:pPr>
          </w:p>
        </w:tc>
        <w:tc>
          <w:tcPr>
            <w:tcW w:w="630" w:type="dxa"/>
            <w:vAlign w:val="top"/>
          </w:tcPr>
          <w:p w14:paraId="7CEB5553">
            <w:pPr>
              <w:rPr>
                <w:rFonts w:ascii="Arial"/>
                <w:sz w:val="21"/>
                <w:highlight w:val="none"/>
              </w:rPr>
            </w:pPr>
          </w:p>
        </w:tc>
        <w:tc>
          <w:tcPr>
            <w:tcW w:w="525" w:type="dxa"/>
            <w:vAlign w:val="top"/>
          </w:tcPr>
          <w:p w14:paraId="70C6CB2A">
            <w:pPr>
              <w:rPr>
                <w:rFonts w:ascii="Arial"/>
                <w:sz w:val="21"/>
                <w:highlight w:val="none"/>
              </w:rPr>
            </w:pPr>
          </w:p>
        </w:tc>
        <w:tc>
          <w:tcPr>
            <w:tcW w:w="735" w:type="dxa"/>
            <w:vAlign w:val="top"/>
          </w:tcPr>
          <w:p w14:paraId="19BE9C4A">
            <w:pPr>
              <w:rPr>
                <w:rFonts w:ascii="Arial"/>
                <w:sz w:val="21"/>
                <w:highlight w:val="none"/>
              </w:rPr>
            </w:pPr>
          </w:p>
        </w:tc>
        <w:tc>
          <w:tcPr>
            <w:tcW w:w="839" w:type="dxa"/>
            <w:vAlign w:val="top"/>
          </w:tcPr>
          <w:p w14:paraId="20EDE9EA">
            <w:pPr>
              <w:rPr>
                <w:rFonts w:ascii="Arial"/>
                <w:sz w:val="21"/>
                <w:highlight w:val="none"/>
              </w:rPr>
            </w:pPr>
          </w:p>
        </w:tc>
        <w:tc>
          <w:tcPr>
            <w:tcW w:w="839" w:type="dxa"/>
            <w:vAlign w:val="top"/>
          </w:tcPr>
          <w:p w14:paraId="1BBDB55E">
            <w:pPr>
              <w:rPr>
                <w:rFonts w:ascii="Arial"/>
                <w:sz w:val="21"/>
                <w:highlight w:val="none"/>
              </w:rPr>
            </w:pPr>
          </w:p>
        </w:tc>
        <w:tc>
          <w:tcPr>
            <w:tcW w:w="735" w:type="dxa"/>
            <w:vAlign w:val="top"/>
          </w:tcPr>
          <w:p w14:paraId="004D030B">
            <w:pPr>
              <w:rPr>
                <w:rFonts w:ascii="Arial"/>
                <w:sz w:val="21"/>
                <w:highlight w:val="none"/>
              </w:rPr>
            </w:pPr>
          </w:p>
        </w:tc>
        <w:tc>
          <w:tcPr>
            <w:tcW w:w="949" w:type="dxa"/>
            <w:vAlign w:val="top"/>
          </w:tcPr>
          <w:p w14:paraId="1FC99D41">
            <w:pPr>
              <w:rPr>
                <w:rFonts w:ascii="Arial"/>
                <w:sz w:val="21"/>
                <w:highlight w:val="none"/>
              </w:rPr>
            </w:pPr>
          </w:p>
        </w:tc>
      </w:tr>
      <w:tr w14:paraId="6C1F6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60AF1DC8">
            <w:pPr>
              <w:rPr>
                <w:rFonts w:ascii="Arial"/>
                <w:sz w:val="21"/>
                <w:highlight w:val="none"/>
              </w:rPr>
            </w:pPr>
          </w:p>
        </w:tc>
        <w:tc>
          <w:tcPr>
            <w:tcW w:w="1154" w:type="dxa"/>
            <w:vAlign w:val="top"/>
          </w:tcPr>
          <w:p w14:paraId="5A1B7945">
            <w:pPr>
              <w:rPr>
                <w:rFonts w:ascii="Arial"/>
                <w:sz w:val="21"/>
                <w:highlight w:val="none"/>
              </w:rPr>
            </w:pPr>
          </w:p>
        </w:tc>
        <w:tc>
          <w:tcPr>
            <w:tcW w:w="1049" w:type="dxa"/>
            <w:vAlign w:val="top"/>
          </w:tcPr>
          <w:p w14:paraId="745FD2EB">
            <w:pPr>
              <w:rPr>
                <w:rFonts w:ascii="Arial"/>
                <w:sz w:val="21"/>
                <w:highlight w:val="none"/>
              </w:rPr>
            </w:pPr>
          </w:p>
        </w:tc>
        <w:tc>
          <w:tcPr>
            <w:tcW w:w="630" w:type="dxa"/>
            <w:vAlign w:val="top"/>
          </w:tcPr>
          <w:p w14:paraId="24789768">
            <w:pPr>
              <w:rPr>
                <w:rFonts w:ascii="Arial"/>
                <w:sz w:val="21"/>
                <w:highlight w:val="none"/>
              </w:rPr>
            </w:pPr>
          </w:p>
        </w:tc>
        <w:tc>
          <w:tcPr>
            <w:tcW w:w="525" w:type="dxa"/>
            <w:vAlign w:val="top"/>
          </w:tcPr>
          <w:p w14:paraId="4E715135">
            <w:pPr>
              <w:rPr>
                <w:rFonts w:ascii="Arial"/>
                <w:sz w:val="21"/>
                <w:highlight w:val="none"/>
              </w:rPr>
            </w:pPr>
          </w:p>
        </w:tc>
        <w:tc>
          <w:tcPr>
            <w:tcW w:w="735" w:type="dxa"/>
            <w:vAlign w:val="top"/>
          </w:tcPr>
          <w:p w14:paraId="504FD127">
            <w:pPr>
              <w:rPr>
                <w:rFonts w:ascii="Arial"/>
                <w:sz w:val="21"/>
                <w:highlight w:val="none"/>
              </w:rPr>
            </w:pPr>
          </w:p>
        </w:tc>
        <w:tc>
          <w:tcPr>
            <w:tcW w:w="839" w:type="dxa"/>
            <w:vAlign w:val="top"/>
          </w:tcPr>
          <w:p w14:paraId="42593AE4">
            <w:pPr>
              <w:rPr>
                <w:rFonts w:ascii="Arial"/>
                <w:sz w:val="21"/>
                <w:highlight w:val="none"/>
              </w:rPr>
            </w:pPr>
          </w:p>
        </w:tc>
        <w:tc>
          <w:tcPr>
            <w:tcW w:w="839" w:type="dxa"/>
            <w:vAlign w:val="top"/>
          </w:tcPr>
          <w:p w14:paraId="7E65F9A2">
            <w:pPr>
              <w:rPr>
                <w:rFonts w:ascii="Arial"/>
                <w:sz w:val="21"/>
                <w:highlight w:val="none"/>
              </w:rPr>
            </w:pPr>
          </w:p>
        </w:tc>
        <w:tc>
          <w:tcPr>
            <w:tcW w:w="735" w:type="dxa"/>
            <w:vAlign w:val="top"/>
          </w:tcPr>
          <w:p w14:paraId="21B4B5B6">
            <w:pPr>
              <w:rPr>
                <w:rFonts w:ascii="Arial"/>
                <w:sz w:val="21"/>
                <w:highlight w:val="none"/>
              </w:rPr>
            </w:pPr>
          </w:p>
        </w:tc>
        <w:tc>
          <w:tcPr>
            <w:tcW w:w="949" w:type="dxa"/>
            <w:vAlign w:val="top"/>
          </w:tcPr>
          <w:p w14:paraId="34850EE8">
            <w:pPr>
              <w:rPr>
                <w:rFonts w:ascii="Arial"/>
                <w:sz w:val="21"/>
                <w:highlight w:val="none"/>
              </w:rPr>
            </w:pPr>
          </w:p>
        </w:tc>
      </w:tr>
      <w:tr w14:paraId="5807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43DA7E2D">
            <w:pPr>
              <w:rPr>
                <w:rFonts w:ascii="Arial"/>
                <w:sz w:val="21"/>
                <w:highlight w:val="none"/>
              </w:rPr>
            </w:pPr>
          </w:p>
        </w:tc>
        <w:tc>
          <w:tcPr>
            <w:tcW w:w="1154" w:type="dxa"/>
            <w:vAlign w:val="top"/>
          </w:tcPr>
          <w:p w14:paraId="50F83F2C">
            <w:pPr>
              <w:rPr>
                <w:rFonts w:ascii="Arial"/>
                <w:sz w:val="21"/>
                <w:highlight w:val="none"/>
              </w:rPr>
            </w:pPr>
          </w:p>
        </w:tc>
        <w:tc>
          <w:tcPr>
            <w:tcW w:w="1049" w:type="dxa"/>
            <w:vAlign w:val="top"/>
          </w:tcPr>
          <w:p w14:paraId="6F672387">
            <w:pPr>
              <w:rPr>
                <w:rFonts w:ascii="Arial"/>
                <w:sz w:val="21"/>
                <w:highlight w:val="none"/>
              </w:rPr>
            </w:pPr>
          </w:p>
        </w:tc>
        <w:tc>
          <w:tcPr>
            <w:tcW w:w="630" w:type="dxa"/>
            <w:vAlign w:val="top"/>
          </w:tcPr>
          <w:p w14:paraId="40BDE386">
            <w:pPr>
              <w:rPr>
                <w:rFonts w:ascii="Arial"/>
                <w:sz w:val="21"/>
                <w:highlight w:val="none"/>
              </w:rPr>
            </w:pPr>
          </w:p>
        </w:tc>
        <w:tc>
          <w:tcPr>
            <w:tcW w:w="525" w:type="dxa"/>
            <w:vAlign w:val="top"/>
          </w:tcPr>
          <w:p w14:paraId="64C34D62">
            <w:pPr>
              <w:rPr>
                <w:rFonts w:ascii="Arial"/>
                <w:sz w:val="21"/>
                <w:highlight w:val="none"/>
              </w:rPr>
            </w:pPr>
          </w:p>
        </w:tc>
        <w:tc>
          <w:tcPr>
            <w:tcW w:w="735" w:type="dxa"/>
            <w:vAlign w:val="top"/>
          </w:tcPr>
          <w:p w14:paraId="748DF8C0">
            <w:pPr>
              <w:rPr>
                <w:rFonts w:ascii="Arial"/>
                <w:sz w:val="21"/>
                <w:highlight w:val="none"/>
              </w:rPr>
            </w:pPr>
          </w:p>
        </w:tc>
        <w:tc>
          <w:tcPr>
            <w:tcW w:w="839" w:type="dxa"/>
            <w:vAlign w:val="top"/>
          </w:tcPr>
          <w:p w14:paraId="2A3CB34E">
            <w:pPr>
              <w:rPr>
                <w:rFonts w:ascii="Arial"/>
                <w:sz w:val="21"/>
                <w:highlight w:val="none"/>
              </w:rPr>
            </w:pPr>
          </w:p>
        </w:tc>
        <w:tc>
          <w:tcPr>
            <w:tcW w:w="839" w:type="dxa"/>
            <w:vAlign w:val="top"/>
          </w:tcPr>
          <w:p w14:paraId="5880937A">
            <w:pPr>
              <w:rPr>
                <w:rFonts w:ascii="Arial"/>
                <w:sz w:val="21"/>
                <w:highlight w:val="none"/>
              </w:rPr>
            </w:pPr>
          </w:p>
        </w:tc>
        <w:tc>
          <w:tcPr>
            <w:tcW w:w="735" w:type="dxa"/>
            <w:vAlign w:val="top"/>
          </w:tcPr>
          <w:p w14:paraId="0BF73A7D">
            <w:pPr>
              <w:rPr>
                <w:rFonts w:ascii="Arial"/>
                <w:sz w:val="21"/>
                <w:highlight w:val="none"/>
              </w:rPr>
            </w:pPr>
          </w:p>
        </w:tc>
        <w:tc>
          <w:tcPr>
            <w:tcW w:w="949" w:type="dxa"/>
            <w:vAlign w:val="top"/>
          </w:tcPr>
          <w:p w14:paraId="34E74084">
            <w:pPr>
              <w:rPr>
                <w:rFonts w:ascii="Arial"/>
                <w:sz w:val="21"/>
                <w:highlight w:val="none"/>
              </w:rPr>
            </w:pPr>
          </w:p>
        </w:tc>
      </w:tr>
      <w:tr w14:paraId="080DE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6C23FD85">
            <w:pPr>
              <w:rPr>
                <w:rFonts w:ascii="Arial"/>
                <w:sz w:val="21"/>
                <w:highlight w:val="none"/>
              </w:rPr>
            </w:pPr>
          </w:p>
        </w:tc>
        <w:tc>
          <w:tcPr>
            <w:tcW w:w="1154" w:type="dxa"/>
            <w:vAlign w:val="top"/>
          </w:tcPr>
          <w:p w14:paraId="02C511D5">
            <w:pPr>
              <w:rPr>
                <w:rFonts w:ascii="Arial"/>
                <w:sz w:val="21"/>
                <w:highlight w:val="none"/>
              </w:rPr>
            </w:pPr>
          </w:p>
        </w:tc>
        <w:tc>
          <w:tcPr>
            <w:tcW w:w="1049" w:type="dxa"/>
            <w:vAlign w:val="top"/>
          </w:tcPr>
          <w:p w14:paraId="44FC3E6A">
            <w:pPr>
              <w:rPr>
                <w:rFonts w:ascii="Arial"/>
                <w:sz w:val="21"/>
                <w:highlight w:val="none"/>
              </w:rPr>
            </w:pPr>
          </w:p>
        </w:tc>
        <w:tc>
          <w:tcPr>
            <w:tcW w:w="630" w:type="dxa"/>
            <w:vAlign w:val="top"/>
          </w:tcPr>
          <w:p w14:paraId="78F942E9">
            <w:pPr>
              <w:rPr>
                <w:rFonts w:ascii="Arial"/>
                <w:sz w:val="21"/>
                <w:highlight w:val="none"/>
              </w:rPr>
            </w:pPr>
          </w:p>
        </w:tc>
        <w:tc>
          <w:tcPr>
            <w:tcW w:w="525" w:type="dxa"/>
            <w:vAlign w:val="top"/>
          </w:tcPr>
          <w:p w14:paraId="200C9866">
            <w:pPr>
              <w:rPr>
                <w:rFonts w:ascii="Arial"/>
                <w:sz w:val="21"/>
                <w:highlight w:val="none"/>
              </w:rPr>
            </w:pPr>
          </w:p>
        </w:tc>
        <w:tc>
          <w:tcPr>
            <w:tcW w:w="735" w:type="dxa"/>
            <w:vAlign w:val="top"/>
          </w:tcPr>
          <w:p w14:paraId="22B44EBB">
            <w:pPr>
              <w:rPr>
                <w:rFonts w:ascii="Arial"/>
                <w:sz w:val="21"/>
                <w:highlight w:val="none"/>
              </w:rPr>
            </w:pPr>
          </w:p>
        </w:tc>
        <w:tc>
          <w:tcPr>
            <w:tcW w:w="839" w:type="dxa"/>
            <w:vAlign w:val="top"/>
          </w:tcPr>
          <w:p w14:paraId="5967C612">
            <w:pPr>
              <w:rPr>
                <w:rFonts w:ascii="Arial"/>
                <w:sz w:val="21"/>
                <w:highlight w:val="none"/>
              </w:rPr>
            </w:pPr>
          </w:p>
        </w:tc>
        <w:tc>
          <w:tcPr>
            <w:tcW w:w="839" w:type="dxa"/>
            <w:vAlign w:val="top"/>
          </w:tcPr>
          <w:p w14:paraId="393CEF70">
            <w:pPr>
              <w:rPr>
                <w:rFonts w:ascii="Arial"/>
                <w:sz w:val="21"/>
                <w:highlight w:val="none"/>
              </w:rPr>
            </w:pPr>
          </w:p>
        </w:tc>
        <w:tc>
          <w:tcPr>
            <w:tcW w:w="735" w:type="dxa"/>
            <w:vAlign w:val="top"/>
          </w:tcPr>
          <w:p w14:paraId="5E7BEE3C">
            <w:pPr>
              <w:rPr>
                <w:rFonts w:ascii="Arial"/>
                <w:sz w:val="21"/>
                <w:highlight w:val="none"/>
              </w:rPr>
            </w:pPr>
          </w:p>
        </w:tc>
        <w:tc>
          <w:tcPr>
            <w:tcW w:w="949" w:type="dxa"/>
            <w:vAlign w:val="top"/>
          </w:tcPr>
          <w:p w14:paraId="3ED8CEE5">
            <w:pPr>
              <w:rPr>
                <w:rFonts w:ascii="Arial"/>
                <w:sz w:val="21"/>
                <w:highlight w:val="none"/>
              </w:rPr>
            </w:pPr>
          </w:p>
        </w:tc>
      </w:tr>
      <w:tr w14:paraId="6568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851082D">
            <w:pPr>
              <w:rPr>
                <w:rFonts w:ascii="Arial"/>
                <w:sz w:val="21"/>
                <w:highlight w:val="none"/>
              </w:rPr>
            </w:pPr>
          </w:p>
        </w:tc>
        <w:tc>
          <w:tcPr>
            <w:tcW w:w="1154" w:type="dxa"/>
            <w:vAlign w:val="top"/>
          </w:tcPr>
          <w:p w14:paraId="46B9942F">
            <w:pPr>
              <w:rPr>
                <w:rFonts w:ascii="Arial"/>
                <w:sz w:val="21"/>
                <w:highlight w:val="none"/>
              </w:rPr>
            </w:pPr>
          </w:p>
        </w:tc>
        <w:tc>
          <w:tcPr>
            <w:tcW w:w="1049" w:type="dxa"/>
            <w:vAlign w:val="top"/>
          </w:tcPr>
          <w:p w14:paraId="483EE31C">
            <w:pPr>
              <w:rPr>
                <w:rFonts w:ascii="Arial"/>
                <w:sz w:val="21"/>
                <w:highlight w:val="none"/>
              </w:rPr>
            </w:pPr>
          </w:p>
        </w:tc>
        <w:tc>
          <w:tcPr>
            <w:tcW w:w="630" w:type="dxa"/>
            <w:vAlign w:val="top"/>
          </w:tcPr>
          <w:p w14:paraId="44BF4229">
            <w:pPr>
              <w:rPr>
                <w:rFonts w:ascii="Arial"/>
                <w:sz w:val="21"/>
                <w:highlight w:val="none"/>
              </w:rPr>
            </w:pPr>
          </w:p>
        </w:tc>
        <w:tc>
          <w:tcPr>
            <w:tcW w:w="525" w:type="dxa"/>
            <w:vAlign w:val="top"/>
          </w:tcPr>
          <w:p w14:paraId="2A8458A3">
            <w:pPr>
              <w:rPr>
                <w:rFonts w:ascii="Arial"/>
                <w:sz w:val="21"/>
                <w:highlight w:val="none"/>
              </w:rPr>
            </w:pPr>
          </w:p>
        </w:tc>
        <w:tc>
          <w:tcPr>
            <w:tcW w:w="735" w:type="dxa"/>
            <w:vAlign w:val="top"/>
          </w:tcPr>
          <w:p w14:paraId="4485F125">
            <w:pPr>
              <w:rPr>
                <w:rFonts w:ascii="Arial"/>
                <w:sz w:val="21"/>
                <w:highlight w:val="none"/>
              </w:rPr>
            </w:pPr>
          </w:p>
        </w:tc>
        <w:tc>
          <w:tcPr>
            <w:tcW w:w="839" w:type="dxa"/>
            <w:vAlign w:val="top"/>
          </w:tcPr>
          <w:p w14:paraId="52BC7E9D">
            <w:pPr>
              <w:rPr>
                <w:rFonts w:ascii="Arial"/>
                <w:sz w:val="21"/>
                <w:highlight w:val="none"/>
              </w:rPr>
            </w:pPr>
          </w:p>
        </w:tc>
        <w:tc>
          <w:tcPr>
            <w:tcW w:w="839" w:type="dxa"/>
            <w:vAlign w:val="top"/>
          </w:tcPr>
          <w:p w14:paraId="2BE241E5">
            <w:pPr>
              <w:rPr>
                <w:rFonts w:ascii="Arial"/>
                <w:sz w:val="21"/>
                <w:highlight w:val="none"/>
              </w:rPr>
            </w:pPr>
          </w:p>
        </w:tc>
        <w:tc>
          <w:tcPr>
            <w:tcW w:w="735" w:type="dxa"/>
            <w:vAlign w:val="top"/>
          </w:tcPr>
          <w:p w14:paraId="7D629A6C">
            <w:pPr>
              <w:rPr>
                <w:rFonts w:ascii="Arial"/>
                <w:sz w:val="21"/>
                <w:highlight w:val="none"/>
              </w:rPr>
            </w:pPr>
          </w:p>
        </w:tc>
        <w:tc>
          <w:tcPr>
            <w:tcW w:w="949" w:type="dxa"/>
            <w:vAlign w:val="top"/>
          </w:tcPr>
          <w:p w14:paraId="3A7F6F0A">
            <w:pPr>
              <w:rPr>
                <w:rFonts w:ascii="Arial"/>
                <w:sz w:val="21"/>
                <w:highlight w:val="none"/>
              </w:rPr>
            </w:pPr>
          </w:p>
        </w:tc>
      </w:tr>
      <w:tr w14:paraId="0412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110477EE">
            <w:pPr>
              <w:rPr>
                <w:rFonts w:ascii="Arial"/>
                <w:sz w:val="21"/>
                <w:highlight w:val="none"/>
              </w:rPr>
            </w:pPr>
          </w:p>
        </w:tc>
        <w:tc>
          <w:tcPr>
            <w:tcW w:w="1154" w:type="dxa"/>
            <w:vAlign w:val="top"/>
          </w:tcPr>
          <w:p w14:paraId="6FFB730B">
            <w:pPr>
              <w:rPr>
                <w:rFonts w:ascii="Arial"/>
                <w:sz w:val="21"/>
                <w:highlight w:val="none"/>
              </w:rPr>
            </w:pPr>
          </w:p>
        </w:tc>
        <w:tc>
          <w:tcPr>
            <w:tcW w:w="1049" w:type="dxa"/>
            <w:vAlign w:val="top"/>
          </w:tcPr>
          <w:p w14:paraId="6752D03B">
            <w:pPr>
              <w:rPr>
                <w:rFonts w:ascii="Arial"/>
                <w:sz w:val="21"/>
                <w:highlight w:val="none"/>
              </w:rPr>
            </w:pPr>
          </w:p>
        </w:tc>
        <w:tc>
          <w:tcPr>
            <w:tcW w:w="630" w:type="dxa"/>
            <w:vAlign w:val="top"/>
          </w:tcPr>
          <w:p w14:paraId="7FC230B9">
            <w:pPr>
              <w:rPr>
                <w:rFonts w:ascii="Arial"/>
                <w:sz w:val="21"/>
                <w:highlight w:val="none"/>
              </w:rPr>
            </w:pPr>
          </w:p>
        </w:tc>
        <w:tc>
          <w:tcPr>
            <w:tcW w:w="525" w:type="dxa"/>
            <w:vAlign w:val="top"/>
          </w:tcPr>
          <w:p w14:paraId="0ECBF943">
            <w:pPr>
              <w:rPr>
                <w:rFonts w:ascii="Arial"/>
                <w:sz w:val="21"/>
                <w:highlight w:val="none"/>
              </w:rPr>
            </w:pPr>
          </w:p>
        </w:tc>
        <w:tc>
          <w:tcPr>
            <w:tcW w:w="735" w:type="dxa"/>
            <w:vAlign w:val="top"/>
          </w:tcPr>
          <w:p w14:paraId="7FC0274C">
            <w:pPr>
              <w:rPr>
                <w:rFonts w:ascii="Arial"/>
                <w:sz w:val="21"/>
                <w:highlight w:val="none"/>
              </w:rPr>
            </w:pPr>
          </w:p>
        </w:tc>
        <w:tc>
          <w:tcPr>
            <w:tcW w:w="839" w:type="dxa"/>
            <w:vAlign w:val="top"/>
          </w:tcPr>
          <w:p w14:paraId="67116F89">
            <w:pPr>
              <w:rPr>
                <w:rFonts w:ascii="Arial"/>
                <w:sz w:val="21"/>
                <w:highlight w:val="none"/>
              </w:rPr>
            </w:pPr>
          </w:p>
        </w:tc>
        <w:tc>
          <w:tcPr>
            <w:tcW w:w="839" w:type="dxa"/>
            <w:vAlign w:val="top"/>
          </w:tcPr>
          <w:p w14:paraId="6DC33376">
            <w:pPr>
              <w:rPr>
                <w:rFonts w:ascii="Arial"/>
                <w:sz w:val="21"/>
                <w:highlight w:val="none"/>
              </w:rPr>
            </w:pPr>
          </w:p>
        </w:tc>
        <w:tc>
          <w:tcPr>
            <w:tcW w:w="735" w:type="dxa"/>
            <w:vAlign w:val="top"/>
          </w:tcPr>
          <w:p w14:paraId="4C0A56D0">
            <w:pPr>
              <w:rPr>
                <w:rFonts w:ascii="Arial"/>
                <w:sz w:val="21"/>
                <w:highlight w:val="none"/>
              </w:rPr>
            </w:pPr>
          </w:p>
        </w:tc>
        <w:tc>
          <w:tcPr>
            <w:tcW w:w="949" w:type="dxa"/>
            <w:vAlign w:val="top"/>
          </w:tcPr>
          <w:p w14:paraId="3F95FA4D">
            <w:pPr>
              <w:rPr>
                <w:rFonts w:ascii="Arial"/>
                <w:sz w:val="21"/>
                <w:highlight w:val="none"/>
              </w:rPr>
            </w:pPr>
          </w:p>
        </w:tc>
      </w:tr>
      <w:tr w14:paraId="28E11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752B81A7">
            <w:pPr>
              <w:rPr>
                <w:rFonts w:ascii="Arial"/>
                <w:sz w:val="21"/>
                <w:highlight w:val="none"/>
              </w:rPr>
            </w:pPr>
          </w:p>
        </w:tc>
        <w:tc>
          <w:tcPr>
            <w:tcW w:w="1154" w:type="dxa"/>
            <w:vAlign w:val="top"/>
          </w:tcPr>
          <w:p w14:paraId="1E692C0C">
            <w:pPr>
              <w:rPr>
                <w:rFonts w:ascii="Arial"/>
                <w:sz w:val="21"/>
                <w:highlight w:val="none"/>
              </w:rPr>
            </w:pPr>
          </w:p>
        </w:tc>
        <w:tc>
          <w:tcPr>
            <w:tcW w:w="1049" w:type="dxa"/>
            <w:vAlign w:val="top"/>
          </w:tcPr>
          <w:p w14:paraId="47422080">
            <w:pPr>
              <w:rPr>
                <w:rFonts w:ascii="Arial"/>
                <w:sz w:val="21"/>
                <w:highlight w:val="none"/>
              </w:rPr>
            </w:pPr>
          </w:p>
        </w:tc>
        <w:tc>
          <w:tcPr>
            <w:tcW w:w="630" w:type="dxa"/>
            <w:vAlign w:val="top"/>
          </w:tcPr>
          <w:p w14:paraId="0E0B1899">
            <w:pPr>
              <w:rPr>
                <w:rFonts w:ascii="Arial"/>
                <w:sz w:val="21"/>
                <w:highlight w:val="none"/>
              </w:rPr>
            </w:pPr>
          </w:p>
        </w:tc>
        <w:tc>
          <w:tcPr>
            <w:tcW w:w="525" w:type="dxa"/>
            <w:vAlign w:val="top"/>
          </w:tcPr>
          <w:p w14:paraId="42D48D92">
            <w:pPr>
              <w:rPr>
                <w:rFonts w:ascii="Arial"/>
                <w:sz w:val="21"/>
                <w:highlight w:val="none"/>
              </w:rPr>
            </w:pPr>
          </w:p>
        </w:tc>
        <w:tc>
          <w:tcPr>
            <w:tcW w:w="735" w:type="dxa"/>
            <w:vAlign w:val="top"/>
          </w:tcPr>
          <w:p w14:paraId="0C307892">
            <w:pPr>
              <w:rPr>
                <w:rFonts w:ascii="Arial"/>
                <w:sz w:val="21"/>
                <w:highlight w:val="none"/>
              </w:rPr>
            </w:pPr>
          </w:p>
        </w:tc>
        <w:tc>
          <w:tcPr>
            <w:tcW w:w="839" w:type="dxa"/>
            <w:vAlign w:val="top"/>
          </w:tcPr>
          <w:p w14:paraId="1947D45B">
            <w:pPr>
              <w:rPr>
                <w:rFonts w:ascii="Arial"/>
                <w:sz w:val="21"/>
                <w:highlight w:val="none"/>
              </w:rPr>
            </w:pPr>
          </w:p>
        </w:tc>
        <w:tc>
          <w:tcPr>
            <w:tcW w:w="839" w:type="dxa"/>
            <w:vAlign w:val="top"/>
          </w:tcPr>
          <w:p w14:paraId="67D70AF4">
            <w:pPr>
              <w:rPr>
                <w:rFonts w:ascii="Arial"/>
                <w:sz w:val="21"/>
                <w:highlight w:val="none"/>
              </w:rPr>
            </w:pPr>
          </w:p>
        </w:tc>
        <w:tc>
          <w:tcPr>
            <w:tcW w:w="735" w:type="dxa"/>
            <w:vAlign w:val="top"/>
          </w:tcPr>
          <w:p w14:paraId="62A14790">
            <w:pPr>
              <w:rPr>
                <w:rFonts w:ascii="Arial"/>
                <w:sz w:val="21"/>
                <w:highlight w:val="none"/>
              </w:rPr>
            </w:pPr>
          </w:p>
        </w:tc>
        <w:tc>
          <w:tcPr>
            <w:tcW w:w="949" w:type="dxa"/>
            <w:vAlign w:val="top"/>
          </w:tcPr>
          <w:p w14:paraId="7281FFD2">
            <w:pPr>
              <w:rPr>
                <w:rFonts w:ascii="Arial"/>
                <w:sz w:val="21"/>
                <w:highlight w:val="none"/>
              </w:rPr>
            </w:pPr>
          </w:p>
        </w:tc>
      </w:tr>
      <w:tr w14:paraId="2763C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B8C9B5E">
            <w:pPr>
              <w:rPr>
                <w:rFonts w:ascii="Arial"/>
                <w:sz w:val="21"/>
                <w:highlight w:val="none"/>
              </w:rPr>
            </w:pPr>
          </w:p>
        </w:tc>
        <w:tc>
          <w:tcPr>
            <w:tcW w:w="1154" w:type="dxa"/>
            <w:vAlign w:val="top"/>
          </w:tcPr>
          <w:p w14:paraId="4938B61A">
            <w:pPr>
              <w:rPr>
                <w:rFonts w:ascii="Arial"/>
                <w:sz w:val="21"/>
                <w:highlight w:val="none"/>
              </w:rPr>
            </w:pPr>
          </w:p>
        </w:tc>
        <w:tc>
          <w:tcPr>
            <w:tcW w:w="1049" w:type="dxa"/>
            <w:vAlign w:val="top"/>
          </w:tcPr>
          <w:p w14:paraId="7ADC024E">
            <w:pPr>
              <w:rPr>
                <w:rFonts w:ascii="Arial"/>
                <w:sz w:val="21"/>
                <w:highlight w:val="none"/>
              </w:rPr>
            </w:pPr>
          </w:p>
        </w:tc>
        <w:tc>
          <w:tcPr>
            <w:tcW w:w="630" w:type="dxa"/>
            <w:vAlign w:val="top"/>
          </w:tcPr>
          <w:p w14:paraId="67FF1527">
            <w:pPr>
              <w:rPr>
                <w:rFonts w:ascii="Arial"/>
                <w:sz w:val="21"/>
                <w:highlight w:val="none"/>
              </w:rPr>
            </w:pPr>
          </w:p>
        </w:tc>
        <w:tc>
          <w:tcPr>
            <w:tcW w:w="525" w:type="dxa"/>
            <w:vAlign w:val="top"/>
          </w:tcPr>
          <w:p w14:paraId="533AAC30">
            <w:pPr>
              <w:rPr>
                <w:rFonts w:ascii="Arial"/>
                <w:sz w:val="21"/>
                <w:highlight w:val="none"/>
              </w:rPr>
            </w:pPr>
          </w:p>
        </w:tc>
        <w:tc>
          <w:tcPr>
            <w:tcW w:w="735" w:type="dxa"/>
            <w:vAlign w:val="top"/>
          </w:tcPr>
          <w:p w14:paraId="71AA2087">
            <w:pPr>
              <w:rPr>
                <w:rFonts w:ascii="Arial"/>
                <w:sz w:val="21"/>
                <w:highlight w:val="none"/>
              </w:rPr>
            </w:pPr>
          </w:p>
        </w:tc>
        <w:tc>
          <w:tcPr>
            <w:tcW w:w="839" w:type="dxa"/>
            <w:vAlign w:val="top"/>
          </w:tcPr>
          <w:p w14:paraId="3A9B245C">
            <w:pPr>
              <w:rPr>
                <w:rFonts w:ascii="Arial"/>
                <w:sz w:val="21"/>
                <w:highlight w:val="none"/>
              </w:rPr>
            </w:pPr>
          </w:p>
        </w:tc>
        <w:tc>
          <w:tcPr>
            <w:tcW w:w="839" w:type="dxa"/>
            <w:vAlign w:val="top"/>
          </w:tcPr>
          <w:p w14:paraId="3A4145E1">
            <w:pPr>
              <w:rPr>
                <w:rFonts w:ascii="Arial"/>
                <w:sz w:val="21"/>
                <w:highlight w:val="none"/>
              </w:rPr>
            </w:pPr>
          </w:p>
        </w:tc>
        <w:tc>
          <w:tcPr>
            <w:tcW w:w="735" w:type="dxa"/>
            <w:vAlign w:val="top"/>
          </w:tcPr>
          <w:p w14:paraId="310F13F8">
            <w:pPr>
              <w:rPr>
                <w:rFonts w:ascii="Arial"/>
                <w:sz w:val="21"/>
                <w:highlight w:val="none"/>
              </w:rPr>
            </w:pPr>
          </w:p>
        </w:tc>
        <w:tc>
          <w:tcPr>
            <w:tcW w:w="949" w:type="dxa"/>
            <w:vAlign w:val="top"/>
          </w:tcPr>
          <w:p w14:paraId="5EC5F617">
            <w:pPr>
              <w:rPr>
                <w:rFonts w:ascii="Arial"/>
                <w:sz w:val="21"/>
                <w:highlight w:val="none"/>
              </w:rPr>
            </w:pPr>
          </w:p>
        </w:tc>
      </w:tr>
      <w:tr w14:paraId="7319A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71D26585">
            <w:pPr>
              <w:rPr>
                <w:rFonts w:ascii="Arial"/>
                <w:sz w:val="21"/>
                <w:highlight w:val="none"/>
              </w:rPr>
            </w:pPr>
          </w:p>
        </w:tc>
        <w:tc>
          <w:tcPr>
            <w:tcW w:w="1154" w:type="dxa"/>
            <w:vAlign w:val="top"/>
          </w:tcPr>
          <w:p w14:paraId="259B11F0">
            <w:pPr>
              <w:rPr>
                <w:rFonts w:ascii="Arial"/>
                <w:sz w:val="21"/>
                <w:highlight w:val="none"/>
              </w:rPr>
            </w:pPr>
          </w:p>
        </w:tc>
        <w:tc>
          <w:tcPr>
            <w:tcW w:w="1049" w:type="dxa"/>
            <w:vAlign w:val="top"/>
          </w:tcPr>
          <w:p w14:paraId="4D6B8BEF">
            <w:pPr>
              <w:rPr>
                <w:rFonts w:ascii="Arial"/>
                <w:sz w:val="21"/>
                <w:highlight w:val="none"/>
              </w:rPr>
            </w:pPr>
          </w:p>
        </w:tc>
        <w:tc>
          <w:tcPr>
            <w:tcW w:w="630" w:type="dxa"/>
            <w:vAlign w:val="top"/>
          </w:tcPr>
          <w:p w14:paraId="3F3D6902">
            <w:pPr>
              <w:rPr>
                <w:rFonts w:ascii="Arial"/>
                <w:sz w:val="21"/>
                <w:highlight w:val="none"/>
              </w:rPr>
            </w:pPr>
          </w:p>
        </w:tc>
        <w:tc>
          <w:tcPr>
            <w:tcW w:w="525" w:type="dxa"/>
            <w:vAlign w:val="top"/>
          </w:tcPr>
          <w:p w14:paraId="33E6F6BD">
            <w:pPr>
              <w:rPr>
                <w:rFonts w:ascii="Arial"/>
                <w:sz w:val="21"/>
                <w:highlight w:val="none"/>
              </w:rPr>
            </w:pPr>
          </w:p>
        </w:tc>
        <w:tc>
          <w:tcPr>
            <w:tcW w:w="735" w:type="dxa"/>
            <w:vAlign w:val="top"/>
          </w:tcPr>
          <w:p w14:paraId="59EB2090">
            <w:pPr>
              <w:rPr>
                <w:rFonts w:ascii="Arial"/>
                <w:sz w:val="21"/>
                <w:highlight w:val="none"/>
              </w:rPr>
            </w:pPr>
          </w:p>
        </w:tc>
        <w:tc>
          <w:tcPr>
            <w:tcW w:w="839" w:type="dxa"/>
            <w:vAlign w:val="top"/>
          </w:tcPr>
          <w:p w14:paraId="1BE5B0F9">
            <w:pPr>
              <w:rPr>
                <w:rFonts w:ascii="Arial"/>
                <w:sz w:val="21"/>
                <w:highlight w:val="none"/>
              </w:rPr>
            </w:pPr>
          </w:p>
        </w:tc>
        <w:tc>
          <w:tcPr>
            <w:tcW w:w="839" w:type="dxa"/>
            <w:vAlign w:val="top"/>
          </w:tcPr>
          <w:p w14:paraId="2EE79CD0">
            <w:pPr>
              <w:rPr>
                <w:rFonts w:ascii="Arial"/>
                <w:sz w:val="21"/>
                <w:highlight w:val="none"/>
              </w:rPr>
            </w:pPr>
          </w:p>
        </w:tc>
        <w:tc>
          <w:tcPr>
            <w:tcW w:w="735" w:type="dxa"/>
            <w:vAlign w:val="top"/>
          </w:tcPr>
          <w:p w14:paraId="1111B560">
            <w:pPr>
              <w:rPr>
                <w:rFonts w:ascii="Arial"/>
                <w:sz w:val="21"/>
                <w:highlight w:val="none"/>
              </w:rPr>
            </w:pPr>
          </w:p>
        </w:tc>
        <w:tc>
          <w:tcPr>
            <w:tcW w:w="949" w:type="dxa"/>
            <w:vAlign w:val="top"/>
          </w:tcPr>
          <w:p w14:paraId="4F5D3C9E">
            <w:pPr>
              <w:rPr>
                <w:rFonts w:ascii="Arial"/>
                <w:sz w:val="21"/>
                <w:highlight w:val="none"/>
              </w:rPr>
            </w:pPr>
          </w:p>
        </w:tc>
      </w:tr>
      <w:tr w14:paraId="4DC2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2A60D71C">
            <w:pPr>
              <w:rPr>
                <w:rFonts w:ascii="Arial"/>
                <w:sz w:val="21"/>
                <w:highlight w:val="none"/>
              </w:rPr>
            </w:pPr>
          </w:p>
        </w:tc>
        <w:tc>
          <w:tcPr>
            <w:tcW w:w="1154" w:type="dxa"/>
            <w:vAlign w:val="top"/>
          </w:tcPr>
          <w:p w14:paraId="0F8EF6AB">
            <w:pPr>
              <w:rPr>
                <w:rFonts w:ascii="Arial"/>
                <w:sz w:val="21"/>
                <w:highlight w:val="none"/>
              </w:rPr>
            </w:pPr>
          </w:p>
        </w:tc>
        <w:tc>
          <w:tcPr>
            <w:tcW w:w="1049" w:type="dxa"/>
            <w:vAlign w:val="top"/>
          </w:tcPr>
          <w:p w14:paraId="53205231">
            <w:pPr>
              <w:rPr>
                <w:rFonts w:ascii="Arial"/>
                <w:sz w:val="21"/>
                <w:highlight w:val="none"/>
              </w:rPr>
            </w:pPr>
          </w:p>
        </w:tc>
        <w:tc>
          <w:tcPr>
            <w:tcW w:w="630" w:type="dxa"/>
            <w:vAlign w:val="top"/>
          </w:tcPr>
          <w:p w14:paraId="2A782F50">
            <w:pPr>
              <w:rPr>
                <w:rFonts w:ascii="Arial"/>
                <w:sz w:val="21"/>
                <w:highlight w:val="none"/>
              </w:rPr>
            </w:pPr>
          </w:p>
        </w:tc>
        <w:tc>
          <w:tcPr>
            <w:tcW w:w="525" w:type="dxa"/>
            <w:vAlign w:val="top"/>
          </w:tcPr>
          <w:p w14:paraId="257B478E">
            <w:pPr>
              <w:rPr>
                <w:rFonts w:ascii="Arial"/>
                <w:sz w:val="21"/>
                <w:highlight w:val="none"/>
              </w:rPr>
            </w:pPr>
          </w:p>
        </w:tc>
        <w:tc>
          <w:tcPr>
            <w:tcW w:w="735" w:type="dxa"/>
            <w:vAlign w:val="top"/>
          </w:tcPr>
          <w:p w14:paraId="1AC7C1F2">
            <w:pPr>
              <w:rPr>
                <w:rFonts w:ascii="Arial"/>
                <w:sz w:val="21"/>
                <w:highlight w:val="none"/>
              </w:rPr>
            </w:pPr>
          </w:p>
        </w:tc>
        <w:tc>
          <w:tcPr>
            <w:tcW w:w="839" w:type="dxa"/>
            <w:vAlign w:val="top"/>
          </w:tcPr>
          <w:p w14:paraId="575616A7">
            <w:pPr>
              <w:rPr>
                <w:rFonts w:ascii="Arial"/>
                <w:sz w:val="21"/>
                <w:highlight w:val="none"/>
              </w:rPr>
            </w:pPr>
          </w:p>
        </w:tc>
        <w:tc>
          <w:tcPr>
            <w:tcW w:w="839" w:type="dxa"/>
            <w:vAlign w:val="top"/>
          </w:tcPr>
          <w:p w14:paraId="117D31FF">
            <w:pPr>
              <w:rPr>
                <w:rFonts w:ascii="Arial"/>
                <w:sz w:val="21"/>
                <w:highlight w:val="none"/>
              </w:rPr>
            </w:pPr>
          </w:p>
        </w:tc>
        <w:tc>
          <w:tcPr>
            <w:tcW w:w="735" w:type="dxa"/>
            <w:vAlign w:val="top"/>
          </w:tcPr>
          <w:p w14:paraId="0E53D319">
            <w:pPr>
              <w:rPr>
                <w:rFonts w:ascii="Arial"/>
                <w:sz w:val="21"/>
                <w:highlight w:val="none"/>
              </w:rPr>
            </w:pPr>
          </w:p>
        </w:tc>
        <w:tc>
          <w:tcPr>
            <w:tcW w:w="949" w:type="dxa"/>
            <w:vAlign w:val="top"/>
          </w:tcPr>
          <w:p w14:paraId="4E42751E">
            <w:pPr>
              <w:rPr>
                <w:rFonts w:ascii="Arial"/>
                <w:sz w:val="21"/>
                <w:highlight w:val="none"/>
              </w:rPr>
            </w:pPr>
          </w:p>
        </w:tc>
      </w:tr>
      <w:tr w14:paraId="0EBF1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BF49FE4">
            <w:pPr>
              <w:rPr>
                <w:rFonts w:ascii="Arial"/>
                <w:sz w:val="21"/>
                <w:highlight w:val="none"/>
              </w:rPr>
            </w:pPr>
          </w:p>
        </w:tc>
        <w:tc>
          <w:tcPr>
            <w:tcW w:w="1154" w:type="dxa"/>
            <w:vAlign w:val="top"/>
          </w:tcPr>
          <w:p w14:paraId="1DC9777A">
            <w:pPr>
              <w:rPr>
                <w:rFonts w:ascii="Arial"/>
                <w:sz w:val="21"/>
                <w:highlight w:val="none"/>
              </w:rPr>
            </w:pPr>
          </w:p>
        </w:tc>
        <w:tc>
          <w:tcPr>
            <w:tcW w:w="1049" w:type="dxa"/>
            <w:vAlign w:val="top"/>
          </w:tcPr>
          <w:p w14:paraId="67FBE44F">
            <w:pPr>
              <w:rPr>
                <w:rFonts w:ascii="Arial"/>
                <w:sz w:val="21"/>
                <w:highlight w:val="none"/>
              </w:rPr>
            </w:pPr>
          </w:p>
        </w:tc>
        <w:tc>
          <w:tcPr>
            <w:tcW w:w="630" w:type="dxa"/>
            <w:vAlign w:val="top"/>
          </w:tcPr>
          <w:p w14:paraId="200E6AAA">
            <w:pPr>
              <w:rPr>
                <w:rFonts w:ascii="Arial"/>
                <w:sz w:val="21"/>
                <w:highlight w:val="none"/>
              </w:rPr>
            </w:pPr>
          </w:p>
        </w:tc>
        <w:tc>
          <w:tcPr>
            <w:tcW w:w="525" w:type="dxa"/>
            <w:vAlign w:val="top"/>
          </w:tcPr>
          <w:p w14:paraId="20DCBDC2">
            <w:pPr>
              <w:rPr>
                <w:rFonts w:ascii="Arial"/>
                <w:sz w:val="21"/>
                <w:highlight w:val="none"/>
              </w:rPr>
            </w:pPr>
          </w:p>
        </w:tc>
        <w:tc>
          <w:tcPr>
            <w:tcW w:w="735" w:type="dxa"/>
            <w:vAlign w:val="top"/>
          </w:tcPr>
          <w:p w14:paraId="67FF41FF">
            <w:pPr>
              <w:rPr>
                <w:rFonts w:ascii="Arial"/>
                <w:sz w:val="21"/>
                <w:highlight w:val="none"/>
              </w:rPr>
            </w:pPr>
          </w:p>
        </w:tc>
        <w:tc>
          <w:tcPr>
            <w:tcW w:w="839" w:type="dxa"/>
            <w:vAlign w:val="top"/>
          </w:tcPr>
          <w:p w14:paraId="427B65BE">
            <w:pPr>
              <w:rPr>
                <w:rFonts w:ascii="Arial"/>
                <w:sz w:val="21"/>
                <w:highlight w:val="none"/>
              </w:rPr>
            </w:pPr>
          </w:p>
        </w:tc>
        <w:tc>
          <w:tcPr>
            <w:tcW w:w="839" w:type="dxa"/>
            <w:vAlign w:val="top"/>
          </w:tcPr>
          <w:p w14:paraId="6FEA73FB">
            <w:pPr>
              <w:rPr>
                <w:rFonts w:ascii="Arial"/>
                <w:sz w:val="21"/>
                <w:highlight w:val="none"/>
              </w:rPr>
            </w:pPr>
          </w:p>
        </w:tc>
        <w:tc>
          <w:tcPr>
            <w:tcW w:w="735" w:type="dxa"/>
            <w:vAlign w:val="top"/>
          </w:tcPr>
          <w:p w14:paraId="3D9AC8F8">
            <w:pPr>
              <w:rPr>
                <w:rFonts w:ascii="Arial"/>
                <w:sz w:val="21"/>
                <w:highlight w:val="none"/>
              </w:rPr>
            </w:pPr>
          </w:p>
        </w:tc>
        <w:tc>
          <w:tcPr>
            <w:tcW w:w="949" w:type="dxa"/>
            <w:vAlign w:val="top"/>
          </w:tcPr>
          <w:p w14:paraId="66240066">
            <w:pPr>
              <w:rPr>
                <w:rFonts w:ascii="Arial"/>
                <w:sz w:val="21"/>
                <w:highlight w:val="none"/>
              </w:rPr>
            </w:pPr>
          </w:p>
        </w:tc>
      </w:tr>
      <w:tr w14:paraId="70180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056860DC">
            <w:pPr>
              <w:rPr>
                <w:rFonts w:ascii="Arial"/>
                <w:sz w:val="21"/>
                <w:highlight w:val="none"/>
              </w:rPr>
            </w:pPr>
          </w:p>
        </w:tc>
        <w:tc>
          <w:tcPr>
            <w:tcW w:w="1154" w:type="dxa"/>
            <w:vAlign w:val="top"/>
          </w:tcPr>
          <w:p w14:paraId="7268FAA6">
            <w:pPr>
              <w:rPr>
                <w:rFonts w:ascii="Arial"/>
                <w:sz w:val="21"/>
                <w:highlight w:val="none"/>
              </w:rPr>
            </w:pPr>
          </w:p>
        </w:tc>
        <w:tc>
          <w:tcPr>
            <w:tcW w:w="1049" w:type="dxa"/>
            <w:vAlign w:val="top"/>
          </w:tcPr>
          <w:p w14:paraId="040228E1">
            <w:pPr>
              <w:rPr>
                <w:rFonts w:ascii="Arial"/>
                <w:sz w:val="21"/>
                <w:highlight w:val="none"/>
              </w:rPr>
            </w:pPr>
          </w:p>
        </w:tc>
        <w:tc>
          <w:tcPr>
            <w:tcW w:w="630" w:type="dxa"/>
            <w:vAlign w:val="top"/>
          </w:tcPr>
          <w:p w14:paraId="46A4D405">
            <w:pPr>
              <w:rPr>
                <w:rFonts w:ascii="Arial"/>
                <w:sz w:val="21"/>
                <w:highlight w:val="none"/>
              </w:rPr>
            </w:pPr>
          </w:p>
        </w:tc>
        <w:tc>
          <w:tcPr>
            <w:tcW w:w="525" w:type="dxa"/>
            <w:vAlign w:val="top"/>
          </w:tcPr>
          <w:p w14:paraId="0891CB50">
            <w:pPr>
              <w:rPr>
                <w:rFonts w:ascii="Arial"/>
                <w:sz w:val="21"/>
                <w:highlight w:val="none"/>
              </w:rPr>
            </w:pPr>
          </w:p>
        </w:tc>
        <w:tc>
          <w:tcPr>
            <w:tcW w:w="735" w:type="dxa"/>
            <w:vAlign w:val="top"/>
          </w:tcPr>
          <w:p w14:paraId="0D787A3E">
            <w:pPr>
              <w:rPr>
                <w:rFonts w:ascii="Arial"/>
                <w:sz w:val="21"/>
                <w:highlight w:val="none"/>
              </w:rPr>
            </w:pPr>
          </w:p>
        </w:tc>
        <w:tc>
          <w:tcPr>
            <w:tcW w:w="839" w:type="dxa"/>
            <w:vAlign w:val="top"/>
          </w:tcPr>
          <w:p w14:paraId="224401D7">
            <w:pPr>
              <w:rPr>
                <w:rFonts w:ascii="Arial"/>
                <w:sz w:val="21"/>
                <w:highlight w:val="none"/>
              </w:rPr>
            </w:pPr>
          </w:p>
        </w:tc>
        <w:tc>
          <w:tcPr>
            <w:tcW w:w="839" w:type="dxa"/>
            <w:vAlign w:val="top"/>
          </w:tcPr>
          <w:p w14:paraId="58062A2A">
            <w:pPr>
              <w:rPr>
                <w:rFonts w:ascii="Arial"/>
                <w:sz w:val="21"/>
                <w:highlight w:val="none"/>
              </w:rPr>
            </w:pPr>
          </w:p>
        </w:tc>
        <w:tc>
          <w:tcPr>
            <w:tcW w:w="735" w:type="dxa"/>
            <w:vAlign w:val="top"/>
          </w:tcPr>
          <w:p w14:paraId="14D60D52">
            <w:pPr>
              <w:rPr>
                <w:rFonts w:ascii="Arial"/>
                <w:sz w:val="21"/>
                <w:highlight w:val="none"/>
              </w:rPr>
            </w:pPr>
          </w:p>
        </w:tc>
        <w:tc>
          <w:tcPr>
            <w:tcW w:w="949" w:type="dxa"/>
            <w:vAlign w:val="top"/>
          </w:tcPr>
          <w:p w14:paraId="46B8B3BF">
            <w:pPr>
              <w:rPr>
                <w:rFonts w:ascii="Arial"/>
                <w:sz w:val="21"/>
                <w:highlight w:val="none"/>
              </w:rPr>
            </w:pPr>
          </w:p>
        </w:tc>
      </w:tr>
      <w:tr w14:paraId="0256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84" w:type="dxa"/>
            <w:vAlign w:val="top"/>
          </w:tcPr>
          <w:p w14:paraId="67984758">
            <w:pPr>
              <w:rPr>
                <w:rFonts w:ascii="Arial"/>
                <w:sz w:val="21"/>
                <w:highlight w:val="none"/>
              </w:rPr>
            </w:pPr>
          </w:p>
        </w:tc>
        <w:tc>
          <w:tcPr>
            <w:tcW w:w="1154" w:type="dxa"/>
            <w:vAlign w:val="top"/>
          </w:tcPr>
          <w:p w14:paraId="703E177B">
            <w:pPr>
              <w:rPr>
                <w:rFonts w:ascii="Arial"/>
                <w:sz w:val="21"/>
                <w:highlight w:val="none"/>
              </w:rPr>
            </w:pPr>
          </w:p>
        </w:tc>
        <w:tc>
          <w:tcPr>
            <w:tcW w:w="1049" w:type="dxa"/>
            <w:vAlign w:val="top"/>
          </w:tcPr>
          <w:p w14:paraId="5422DD35">
            <w:pPr>
              <w:rPr>
                <w:rFonts w:ascii="Arial"/>
                <w:sz w:val="21"/>
                <w:highlight w:val="none"/>
              </w:rPr>
            </w:pPr>
          </w:p>
        </w:tc>
        <w:tc>
          <w:tcPr>
            <w:tcW w:w="630" w:type="dxa"/>
            <w:vAlign w:val="top"/>
          </w:tcPr>
          <w:p w14:paraId="39AFC63C">
            <w:pPr>
              <w:rPr>
                <w:rFonts w:ascii="Arial"/>
                <w:sz w:val="21"/>
                <w:highlight w:val="none"/>
              </w:rPr>
            </w:pPr>
          </w:p>
        </w:tc>
        <w:tc>
          <w:tcPr>
            <w:tcW w:w="525" w:type="dxa"/>
            <w:vAlign w:val="top"/>
          </w:tcPr>
          <w:p w14:paraId="2F0444E9">
            <w:pPr>
              <w:rPr>
                <w:rFonts w:ascii="Arial"/>
                <w:sz w:val="21"/>
                <w:highlight w:val="none"/>
              </w:rPr>
            </w:pPr>
          </w:p>
        </w:tc>
        <w:tc>
          <w:tcPr>
            <w:tcW w:w="735" w:type="dxa"/>
            <w:vAlign w:val="top"/>
          </w:tcPr>
          <w:p w14:paraId="0CB5599F">
            <w:pPr>
              <w:rPr>
                <w:rFonts w:ascii="Arial"/>
                <w:sz w:val="21"/>
                <w:highlight w:val="none"/>
              </w:rPr>
            </w:pPr>
          </w:p>
        </w:tc>
        <w:tc>
          <w:tcPr>
            <w:tcW w:w="839" w:type="dxa"/>
            <w:vAlign w:val="top"/>
          </w:tcPr>
          <w:p w14:paraId="196046DA">
            <w:pPr>
              <w:rPr>
                <w:rFonts w:ascii="Arial"/>
                <w:sz w:val="21"/>
                <w:highlight w:val="none"/>
              </w:rPr>
            </w:pPr>
          </w:p>
        </w:tc>
        <w:tc>
          <w:tcPr>
            <w:tcW w:w="839" w:type="dxa"/>
            <w:vAlign w:val="top"/>
          </w:tcPr>
          <w:p w14:paraId="04EC8890">
            <w:pPr>
              <w:rPr>
                <w:rFonts w:ascii="Arial"/>
                <w:sz w:val="21"/>
                <w:highlight w:val="none"/>
              </w:rPr>
            </w:pPr>
          </w:p>
        </w:tc>
        <w:tc>
          <w:tcPr>
            <w:tcW w:w="735" w:type="dxa"/>
            <w:vAlign w:val="top"/>
          </w:tcPr>
          <w:p w14:paraId="7A99EC9B">
            <w:pPr>
              <w:rPr>
                <w:rFonts w:ascii="Arial"/>
                <w:sz w:val="21"/>
                <w:highlight w:val="none"/>
              </w:rPr>
            </w:pPr>
          </w:p>
        </w:tc>
        <w:tc>
          <w:tcPr>
            <w:tcW w:w="949" w:type="dxa"/>
            <w:vAlign w:val="top"/>
          </w:tcPr>
          <w:p w14:paraId="683F2939">
            <w:pPr>
              <w:rPr>
                <w:rFonts w:ascii="Arial"/>
                <w:sz w:val="21"/>
                <w:highlight w:val="none"/>
              </w:rPr>
            </w:pPr>
          </w:p>
        </w:tc>
      </w:tr>
    </w:tbl>
    <w:p w14:paraId="2A35E3A2">
      <w:pPr>
        <w:pStyle w:val="17"/>
        <w:rPr>
          <w:highlight w:val="none"/>
        </w:rPr>
      </w:pPr>
    </w:p>
    <w:p w14:paraId="406A13AA">
      <w:pPr>
        <w:pStyle w:val="17"/>
        <w:spacing w:line="382" w:lineRule="auto"/>
        <w:rPr>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416560</wp:posOffset>
                </wp:positionH>
                <wp:positionV relativeFrom="paragraph">
                  <wp:posOffset>8890</wp:posOffset>
                </wp:positionV>
                <wp:extent cx="5278755" cy="9525"/>
                <wp:effectExtent l="0" t="0" r="0" b="0"/>
                <wp:wrapNone/>
                <wp:docPr id="108" name="任意多边形 108"/>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32.8pt;margin-top:0.7pt;height:0.75pt;width:415.65pt;z-index:251663360;mso-width-relative:page;mso-height-relative:page;" fillcolor="#000000" filled="t" stroked="f" coordsize="8312,15" o:gfxdata="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Zl+o1gAAAAYBAAAPAAAAAAAA&#10;AAEAIAAAACIAAABkcnMvZG93bnJldi54bWxQSwECFAAUAAAACACHTuJAUwLctRQCAAB/BAAADgAA&#10;AAAAAAABACAAAAAlAQAAZHJzL2Uyb0RvYy54bWxQSwUGAAAAAAYABgBZAQAAqwUAAAAA&#10;" path="m0,0l8312,0,8312,14,0,14,0,0xe">
                <v:fill on="t" focussize="0,0"/>
                <v:stroke on="f"/>
                <v:imagedata o:title=""/>
                <o:lock v:ext="edit" aspectratio="f"/>
              </v:shape>
            </w:pict>
          </mc:Fallback>
        </mc:AlternateContent>
      </w:r>
      <w:r>
        <w:rPr>
          <w:rFonts w:hint="eastAsia"/>
          <w:highlight w:val="none"/>
          <w:lang w:eastAsia="zh-CN"/>
        </w:rPr>
        <w:t xml:space="preserve"> </w:t>
      </w:r>
    </w:p>
    <w:p w14:paraId="44A103E9">
      <w:pPr>
        <w:spacing w:before="78" w:line="219" w:lineRule="auto"/>
        <w:ind w:left="685"/>
        <w:rPr>
          <w:rFonts w:ascii="宋体" w:hAnsi="宋体" w:eastAsia="宋体" w:cs="宋体"/>
          <w:sz w:val="24"/>
          <w:szCs w:val="24"/>
          <w:highlight w:val="none"/>
        </w:rPr>
      </w:pPr>
      <w:r>
        <w:rPr>
          <w:rFonts w:ascii="宋体" w:hAnsi="宋体" w:eastAsia="宋体" w:cs="宋体"/>
          <w:spacing w:val="-2"/>
          <w:sz w:val="24"/>
          <w:szCs w:val="24"/>
          <w:highlight w:val="none"/>
        </w:rPr>
        <w:t>附件四：发包人提供的材料一览表</w:t>
      </w:r>
    </w:p>
    <w:p w14:paraId="1A137D6F">
      <w:pPr>
        <w:spacing w:before="308" w:line="220" w:lineRule="auto"/>
        <w:ind w:left="3281"/>
        <w:rPr>
          <w:rFonts w:ascii="宋体" w:hAnsi="宋体" w:eastAsia="宋体" w:cs="宋体"/>
          <w:sz w:val="28"/>
          <w:szCs w:val="28"/>
          <w:highlight w:val="none"/>
        </w:rPr>
      </w:pPr>
      <w:bookmarkStart w:id="794" w:name="bookmark70"/>
      <w:bookmarkEnd w:id="794"/>
      <w:r>
        <w:rPr>
          <w:rFonts w:ascii="宋体" w:hAnsi="宋体" w:eastAsia="宋体" w:cs="宋体"/>
          <w:b/>
          <w:bCs/>
          <w:spacing w:val="-4"/>
          <w:sz w:val="28"/>
          <w:szCs w:val="28"/>
          <w:highlight w:val="none"/>
        </w:rPr>
        <w:t>发包人提供的材料一览表</w:t>
      </w:r>
    </w:p>
    <w:p w14:paraId="1065319E">
      <w:pPr>
        <w:spacing w:line="169" w:lineRule="exact"/>
        <w:rPr>
          <w:highlight w:val="none"/>
        </w:rPr>
      </w:pPr>
    </w:p>
    <w:tbl>
      <w:tblPr>
        <w:tblStyle w:val="260"/>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81"/>
        <w:gridCol w:w="850"/>
        <w:gridCol w:w="849"/>
        <w:gridCol w:w="773"/>
        <w:gridCol w:w="840"/>
        <w:gridCol w:w="735"/>
        <w:gridCol w:w="949"/>
      </w:tblGrid>
      <w:tr w14:paraId="736C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3" w:hRule="atLeast"/>
        </w:trPr>
        <w:tc>
          <w:tcPr>
            <w:tcW w:w="484" w:type="dxa"/>
            <w:textDirection w:val="tbRlV"/>
            <w:vAlign w:val="top"/>
          </w:tcPr>
          <w:p w14:paraId="1F288A6F">
            <w:pPr>
              <w:pStyle w:val="255"/>
              <w:spacing w:before="135" w:line="218" w:lineRule="auto"/>
              <w:ind w:left="443"/>
              <w:rPr>
                <w:highlight w:val="none"/>
              </w:rPr>
            </w:pPr>
            <w:r>
              <w:rPr>
                <w:spacing w:val="9"/>
                <w:highlight w:val="none"/>
              </w:rPr>
              <w:t>序</w:t>
            </w:r>
            <w:r>
              <w:rPr>
                <w:spacing w:val="98"/>
                <w:highlight w:val="none"/>
              </w:rPr>
              <w:t xml:space="preserve"> </w:t>
            </w:r>
            <w:r>
              <w:rPr>
                <w:spacing w:val="9"/>
                <w:highlight w:val="none"/>
              </w:rPr>
              <w:t>号</w:t>
            </w:r>
          </w:p>
        </w:tc>
        <w:tc>
          <w:tcPr>
            <w:tcW w:w="1154" w:type="dxa"/>
            <w:vAlign w:val="top"/>
          </w:tcPr>
          <w:p w14:paraId="0957FD7C">
            <w:pPr>
              <w:spacing w:line="375" w:lineRule="auto"/>
              <w:rPr>
                <w:rFonts w:ascii="Arial"/>
                <w:sz w:val="21"/>
                <w:highlight w:val="none"/>
              </w:rPr>
            </w:pPr>
          </w:p>
          <w:p w14:paraId="5935D2B8">
            <w:pPr>
              <w:pStyle w:val="255"/>
              <w:spacing w:before="65" w:line="228" w:lineRule="auto"/>
              <w:ind w:left="159"/>
              <w:rPr>
                <w:highlight w:val="none"/>
              </w:rPr>
            </w:pPr>
            <w:r>
              <w:rPr>
                <w:spacing w:val="7"/>
                <w:highlight w:val="none"/>
              </w:rPr>
              <w:t>材料设备</w:t>
            </w:r>
          </w:p>
          <w:p w14:paraId="74623200">
            <w:pPr>
              <w:pStyle w:val="255"/>
              <w:spacing w:before="160" w:line="231" w:lineRule="auto"/>
              <w:ind w:left="162"/>
              <w:outlineLvl w:val="1"/>
              <w:rPr>
                <w:highlight w:val="none"/>
              </w:rPr>
            </w:pPr>
            <w:r>
              <w:rPr>
                <w:highlight w:val="none"/>
              </w:rPr>
              <w:t>名</w:t>
            </w:r>
            <w:r>
              <w:rPr>
                <w:spacing w:val="7"/>
                <w:highlight w:val="none"/>
              </w:rPr>
              <w:t xml:space="preserve">    </w:t>
            </w:r>
            <w:r>
              <w:rPr>
                <w:highlight w:val="none"/>
              </w:rPr>
              <w:t>称</w:t>
            </w:r>
          </w:p>
        </w:tc>
        <w:tc>
          <w:tcPr>
            <w:tcW w:w="1049" w:type="dxa"/>
            <w:vAlign w:val="top"/>
          </w:tcPr>
          <w:p w14:paraId="40C6DBC0">
            <w:pPr>
              <w:spacing w:line="375" w:lineRule="auto"/>
              <w:rPr>
                <w:rFonts w:ascii="Arial"/>
                <w:sz w:val="21"/>
                <w:highlight w:val="none"/>
              </w:rPr>
            </w:pPr>
          </w:p>
          <w:p w14:paraId="5690B5B2">
            <w:pPr>
              <w:pStyle w:val="255"/>
              <w:spacing w:before="65" w:line="379" w:lineRule="auto"/>
              <w:ind w:left="326" w:right="313" w:hanging="5"/>
              <w:rPr>
                <w:highlight w:val="none"/>
              </w:rPr>
            </w:pPr>
            <w:r>
              <w:rPr>
                <w:spacing w:val="4"/>
                <w:highlight w:val="none"/>
              </w:rPr>
              <w:t>规格</w:t>
            </w:r>
            <w:r>
              <w:rPr>
                <w:spacing w:val="1"/>
                <w:highlight w:val="none"/>
              </w:rPr>
              <w:t>型号</w:t>
            </w:r>
          </w:p>
        </w:tc>
        <w:tc>
          <w:tcPr>
            <w:tcW w:w="630" w:type="dxa"/>
            <w:textDirection w:val="tbRlV"/>
            <w:vAlign w:val="top"/>
          </w:tcPr>
          <w:p w14:paraId="29414857">
            <w:pPr>
              <w:pStyle w:val="255"/>
              <w:spacing w:before="209" w:line="216" w:lineRule="auto"/>
              <w:ind w:left="443"/>
              <w:rPr>
                <w:highlight w:val="none"/>
              </w:rPr>
            </w:pPr>
            <w:r>
              <w:rPr>
                <w:spacing w:val="9"/>
                <w:highlight w:val="none"/>
              </w:rPr>
              <w:t>单</w:t>
            </w:r>
            <w:r>
              <w:rPr>
                <w:spacing w:val="98"/>
                <w:highlight w:val="none"/>
              </w:rPr>
              <w:t xml:space="preserve"> </w:t>
            </w:r>
            <w:r>
              <w:rPr>
                <w:spacing w:val="9"/>
                <w:highlight w:val="none"/>
              </w:rPr>
              <w:t>位</w:t>
            </w:r>
          </w:p>
        </w:tc>
        <w:tc>
          <w:tcPr>
            <w:tcW w:w="525" w:type="dxa"/>
            <w:textDirection w:val="tbRlV"/>
            <w:vAlign w:val="top"/>
          </w:tcPr>
          <w:p w14:paraId="33D630E3">
            <w:pPr>
              <w:pStyle w:val="255"/>
              <w:spacing w:before="155" w:line="216" w:lineRule="auto"/>
              <w:ind w:left="443"/>
              <w:rPr>
                <w:highlight w:val="none"/>
              </w:rPr>
            </w:pPr>
            <w:r>
              <w:rPr>
                <w:spacing w:val="9"/>
                <w:highlight w:val="none"/>
              </w:rPr>
              <w:t>数</w:t>
            </w:r>
            <w:r>
              <w:rPr>
                <w:spacing w:val="98"/>
                <w:highlight w:val="none"/>
              </w:rPr>
              <w:t xml:space="preserve"> </w:t>
            </w:r>
            <w:r>
              <w:rPr>
                <w:spacing w:val="9"/>
                <w:highlight w:val="none"/>
              </w:rPr>
              <w:t>量</w:t>
            </w:r>
          </w:p>
        </w:tc>
        <w:tc>
          <w:tcPr>
            <w:tcW w:w="781" w:type="dxa"/>
            <w:vAlign w:val="top"/>
          </w:tcPr>
          <w:p w14:paraId="50AE8448">
            <w:pPr>
              <w:spacing w:line="376" w:lineRule="auto"/>
              <w:rPr>
                <w:rFonts w:ascii="Arial"/>
                <w:sz w:val="21"/>
                <w:highlight w:val="none"/>
              </w:rPr>
            </w:pPr>
          </w:p>
          <w:p w14:paraId="45D89E68">
            <w:pPr>
              <w:pStyle w:val="255"/>
              <w:spacing w:before="65" w:line="378" w:lineRule="auto"/>
              <w:ind w:left="123" w:right="59" w:firstLine="63"/>
              <w:rPr>
                <w:highlight w:val="none"/>
              </w:rPr>
            </w:pPr>
            <w:r>
              <w:rPr>
                <w:spacing w:val="3"/>
                <w:highlight w:val="none"/>
              </w:rPr>
              <w:t>单价</w:t>
            </w:r>
            <w:r>
              <w:rPr>
                <w:spacing w:val="-3"/>
                <w:highlight w:val="none"/>
              </w:rPr>
              <w:t>（元）</w:t>
            </w:r>
          </w:p>
        </w:tc>
        <w:tc>
          <w:tcPr>
            <w:tcW w:w="850" w:type="dxa"/>
            <w:vAlign w:val="top"/>
          </w:tcPr>
          <w:p w14:paraId="73B633C3">
            <w:pPr>
              <w:spacing w:line="376" w:lineRule="auto"/>
              <w:rPr>
                <w:rFonts w:ascii="Arial"/>
                <w:sz w:val="21"/>
                <w:highlight w:val="none"/>
              </w:rPr>
            </w:pPr>
          </w:p>
          <w:p w14:paraId="5587E11A">
            <w:pPr>
              <w:pStyle w:val="255"/>
              <w:spacing w:before="65" w:line="378" w:lineRule="auto"/>
              <w:ind w:left="125" w:right="127" w:firstLine="96"/>
              <w:rPr>
                <w:highlight w:val="none"/>
              </w:rPr>
            </w:pPr>
            <w:r>
              <w:rPr>
                <w:spacing w:val="4"/>
                <w:highlight w:val="none"/>
              </w:rPr>
              <w:t>合价</w:t>
            </w:r>
            <w:r>
              <w:rPr>
                <w:spacing w:val="-3"/>
                <w:highlight w:val="none"/>
              </w:rPr>
              <w:t>（元）</w:t>
            </w:r>
          </w:p>
        </w:tc>
        <w:tc>
          <w:tcPr>
            <w:tcW w:w="849" w:type="dxa"/>
            <w:vAlign w:val="top"/>
          </w:tcPr>
          <w:p w14:paraId="3D4ACAA4">
            <w:pPr>
              <w:pStyle w:val="255"/>
              <w:spacing w:before="35" w:line="229" w:lineRule="auto"/>
              <w:ind w:left="117"/>
              <w:rPr>
                <w:highlight w:val="none"/>
              </w:rPr>
            </w:pPr>
            <w:r>
              <w:rPr>
                <w:spacing w:val="2"/>
                <w:highlight w:val="none"/>
              </w:rPr>
              <w:t>其中：</w:t>
            </w:r>
          </w:p>
          <w:p w14:paraId="795DA6BD">
            <w:pPr>
              <w:pStyle w:val="255"/>
              <w:spacing w:before="159" w:line="229" w:lineRule="auto"/>
              <w:ind w:left="117"/>
              <w:rPr>
                <w:highlight w:val="none"/>
              </w:rPr>
            </w:pPr>
            <w:r>
              <w:rPr>
                <w:spacing w:val="6"/>
                <w:highlight w:val="none"/>
              </w:rPr>
              <w:t>有效损</w:t>
            </w:r>
          </w:p>
          <w:p w14:paraId="5C143CB9">
            <w:pPr>
              <w:pStyle w:val="255"/>
              <w:spacing w:before="160" w:line="228" w:lineRule="auto"/>
              <w:ind w:left="223"/>
              <w:rPr>
                <w:highlight w:val="none"/>
              </w:rPr>
            </w:pPr>
            <w:r>
              <w:rPr>
                <w:spacing w:val="4"/>
                <w:highlight w:val="none"/>
              </w:rPr>
              <w:t>耗率</w:t>
            </w:r>
          </w:p>
          <w:p w14:paraId="6F414C59">
            <w:pPr>
              <w:pStyle w:val="255"/>
              <w:spacing w:before="160" w:line="241" w:lineRule="auto"/>
              <w:ind w:left="180"/>
              <w:rPr>
                <w:highlight w:val="none"/>
              </w:rPr>
            </w:pPr>
            <w:r>
              <w:rPr>
                <w:spacing w:val="-2"/>
                <w:highlight w:val="none"/>
              </w:rPr>
              <w:t>（%）</w:t>
            </w:r>
          </w:p>
        </w:tc>
        <w:tc>
          <w:tcPr>
            <w:tcW w:w="773" w:type="dxa"/>
            <w:vAlign w:val="top"/>
          </w:tcPr>
          <w:p w14:paraId="33104417">
            <w:pPr>
              <w:spacing w:line="375" w:lineRule="auto"/>
              <w:rPr>
                <w:rFonts w:ascii="Arial"/>
                <w:sz w:val="21"/>
                <w:highlight w:val="none"/>
              </w:rPr>
            </w:pPr>
          </w:p>
          <w:p w14:paraId="27F027EC">
            <w:pPr>
              <w:pStyle w:val="255"/>
              <w:spacing w:before="65" w:line="379" w:lineRule="auto"/>
              <w:ind w:left="185" w:right="173" w:firstLine="3"/>
              <w:rPr>
                <w:highlight w:val="none"/>
              </w:rPr>
            </w:pPr>
            <w:r>
              <w:rPr>
                <w:spacing w:val="2"/>
                <w:highlight w:val="none"/>
              </w:rPr>
              <w:t>交货</w:t>
            </w:r>
            <w:r>
              <w:rPr>
                <w:spacing w:val="4"/>
                <w:highlight w:val="none"/>
              </w:rPr>
              <w:t>方式</w:t>
            </w:r>
          </w:p>
        </w:tc>
        <w:tc>
          <w:tcPr>
            <w:tcW w:w="840" w:type="dxa"/>
            <w:vAlign w:val="top"/>
          </w:tcPr>
          <w:p w14:paraId="25AE0B17">
            <w:pPr>
              <w:spacing w:line="376" w:lineRule="auto"/>
              <w:rPr>
                <w:rFonts w:ascii="Arial"/>
                <w:sz w:val="21"/>
                <w:highlight w:val="none"/>
              </w:rPr>
            </w:pPr>
          </w:p>
          <w:p w14:paraId="2BA2F89D">
            <w:pPr>
              <w:pStyle w:val="255"/>
              <w:spacing w:before="65" w:line="380" w:lineRule="auto"/>
              <w:ind w:left="218" w:right="207" w:firstLine="4"/>
              <w:rPr>
                <w:highlight w:val="none"/>
              </w:rPr>
            </w:pPr>
            <w:r>
              <w:rPr>
                <w:spacing w:val="2"/>
                <w:highlight w:val="none"/>
              </w:rPr>
              <w:t>交货</w:t>
            </w:r>
            <w:r>
              <w:rPr>
                <w:spacing w:val="4"/>
                <w:highlight w:val="none"/>
              </w:rPr>
              <w:t>地点</w:t>
            </w:r>
          </w:p>
        </w:tc>
        <w:tc>
          <w:tcPr>
            <w:tcW w:w="735" w:type="dxa"/>
            <w:vAlign w:val="top"/>
          </w:tcPr>
          <w:p w14:paraId="48F4D221">
            <w:pPr>
              <w:pStyle w:val="255"/>
              <w:spacing w:before="238" w:line="377" w:lineRule="auto"/>
              <w:ind w:left="169" w:right="154" w:hanging="4"/>
              <w:rPr>
                <w:highlight w:val="none"/>
              </w:rPr>
            </w:pPr>
            <w:r>
              <w:rPr>
                <w:spacing w:val="4"/>
                <w:highlight w:val="none"/>
              </w:rPr>
              <w:t>计划</w:t>
            </w:r>
            <w:r>
              <w:rPr>
                <w:spacing w:val="2"/>
                <w:highlight w:val="none"/>
              </w:rPr>
              <w:t>交货</w:t>
            </w:r>
          </w:p>
          <w:p w14:paraId="23AFF8A9">
            <w:pPr>
              <w:pStyle w:val="255"/>
              <w:spacing w:line="230" w:lineRule="auto"/>
              <w:ind w:left="175"/>
              <w:rPr>
                <w:highlight w:val="none"/>
              </w:rPr>
            </w:pPr>
            <w:r>
              <w:rPr>
                <w:spacing w:val="-1"/>
                <w:highlight w:val="none"/>
              </w:rPr>
              <w:t>时间</w:t>
            </w:r>
          </w:p>
        </w:tc>
        <w:tc>
          <w:tcPr>
            <w:tcW w:w="949" w:type="dxa"/>
            <w:vAlign w:val="top"/>
          </w:tcPr>
          <w:p w14:paraId="48991438">
            <w:pPr>
              <w:spacing w:line="289" w:lineRule="auto"/>
              <w:rPr>
                <w:rFonts w:ascii="Arial"/>
                <w:sz w:val="21"/>
                <w:highlight w:val="none"/>
              </w:rPr>
            </w:pPr>
          </w:p>
          <w:p w14:paraId="60CF1919">
            <w:pPr>
              <w:spacing w:line="289" w:lineRule="auto"/>
              <w:rPr>
                <w:rFonts w:ascii="Arial"/>
                <w:sz w:val="21"/>
                <w:highlight w:val="none"/>
              </w:rPr>
            </w:pPr>
          </w:p>
          <w:p w14:paraId="7E8E3866">
            <w:pPr>
              <w:pStyle w:val="255"/>
              <w:spacing w:before="65" w:line="230" w:lineRule="auto"/>
              <w:ind w:left="273"/>
              <w:rPr>
                <w:highlight w:val="none"/>
              </w:rPr>
            </w:pPr>
            <w:r>
              <w:rPr>
                <w:spacing w:val="3"/>
                <w:highlight w:val="none"/>
              </w:rPr>
              <w:t>备注</w:t>
            </w:r>
          </w:p>
        </w:tc>
      </w:tr>
      <w:tr w14:paraId="5A58C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vAlign w:val="top"/>
          </w:tcPr>
          <w:p w14:paraId="4B02A082">
            <w:pPr>
              <w:rPr>
                <w:rFonts w:ascii="Arial"/>
                <w:sz w:val="21"/>
                <w:highlight w:val="none"/>
              </w:rPr>
            </w:pPr>
          </w:p>
        </w:tc>
        <w:tc>
          <w:tcPr>
            <w:tcW w:w="1154" w:type="dxa"/>
            <w:vAlign w:val="top"/>
          </w:tcPr>
          <w:p w14:paraId="72829DF1">
            <w:pPr>
              <w:rPr>
                <w:rFonts w:ascii="Arial"/>
                <w:sz w:val="21"/>
                <w:highlight w:val="none"/>
              </w:rPr>
            </w:pPr>
          </w:p>
        </w:tc>
        <w:tc>
          <w:tcPr>
            <w:tcW w:w="1049" w:type="dxa"/>
            <w:vAlign w:val="top"/>
          </w:tcPr>
          <w:p w14:paraId="268466E8">
            <w:pPr>
              <w:rPr>
                <w:rFonts w:ascii="Arial"/>
                <w:sz w:val="21"/>
                <w:highlight w:val="none"/>
              </w:rPr>
            </w:pPr>
          </w:p>
        </w:tc>
        <w:tc>
          <w:tcPr>
            <w:tcW w:w="630" w:type="dxa"/>
            <w:vAlign w:val="top"/>
          </w:tcPr>
          <w:p w14:paraId="6CA44375">
            <w:pPr>
              <w:rPr>
                <w:rFonts w:ascii="Arial"/>
                <w:sz w:val="21"/>
                <w:highlight w:val="none"/>
              </w:rPr>
            </w:pPr>
          </w:p>
        </w:tc>
        <w:tc>
          <w:tcPr>
            <w:tcW w:w="525" w:type="dxa"/>
            <w:vAlign w:val="top"/>
          </w:tcPr>
          <w:p w14:paraId="7CDBF9B8">
            <w:pPr>
              <w:rPr>
                <w:rFonts w:ascii="Arial"/>
                <w:sz w:val="21"/>
                <w:highlight w:val="none"/>
              </w:rPr>
            </w:pPr>
          </w:p>
        </w:tc>
        <w:tc>
          <w:tcPr>
            <w:tcW w:w="781" w:type="dxa"/>
            <w:vAlign w:val="top"/>
          </w:tcPr>
          <w:p w14:paraId="36EA38D3">
            <w:pPr>
              <w:rPr>
                <w:rFonts w:ascii="Arial"/>
                <w:sz w:val="21"/>
                <w:highlight w:val="none"/>
              </w:rPr>
            </w:pPr>
          </w:p>
        </w:tc>
        <w:tc>
          <w:tcPr>
            <w:tcW w:w="850" w:type="dxa"/>
            <w:vAlign w:val="top"/>
          </w:tcPr>
          <w:p w14:paraId="0472A316">
            <w:pPr>
              <w:rPr>
                <w:rFonts w:ascii="Arial"/>
                <w:sz w:val="21"/>
                <w:highlight w:val="none"/>
              </w:rPr>
            </w:pPr>
          </w:p>
        </w:tc>
        <w:tc>
          <w:tcPr>
            <w:tcW w:w="849" w:type="dxa"/>
            <w:vAlign w:val="top"/>
          </w:tcPr>
          <w:p w14:paraId="3AFF0539">
            <w:pPr>
              <w:rPr>
                <w:rFonts w:ascii="Arial"/>
                <w:sz w:val="21"/>
                <w:highlight w:val="none"/>
              </w:rPr>
            </w:pPr>
          </w:p>
        </w:tc>
        <w:tc>
          <w:tcPr>
            <w:tcW w:w="773" w:type="dxa"/>
            <w:vAlign w:val="top"/>
          </w:tcPr>
          <w:p w14:paraId="7CE69BCC">
            <w:pPr>
              <w:rPr>
                <w:rFonts w:ascii="Arial"/>
                <w:sz w:val="21"/>
                <w:highlight w:val="none"/>
              </w:rPr>
            </w:pPr>
          </w:p>
        </w:tc>
        <w:tc>
          <w:tcPr>
            <w:tcW w:w="840" w:type="dxa"/>
            <w:vAlign w:val="top"/>
          </w:tcPr>
          <w:p w14:paraId="25FE4CE4">
            <w:pPr>
              <w:rPr>
                <w:rFonts w:ascii="Arial"/>
                <w:sz w:val="21"/>
                <w:highlight w:val="none"/>
              </w:rPr>
            </w:pPr>
          </w:p>
        </w:tc>
        <w:tc>
          <w:tcPr>
            <w:tcW w:w="735" w:type="dxa"/>
            <w:vAlign w:val="top"/>
          </w:tcPr>
          <w:p w14:paraId="094CCB62">
            <w:pPr>
              <w:rPr>
                <w:rFonts w:ascii="Arial"/>
                <w:sz w:val="21"/>
                <w:highlight w:val="none"/>
              </w:rPr>
            </w:pPr>
          </w:p>
        </w:tc>
        <w:tc>
          <w:tcPr>
            <w:tcW w:w="949" w:type="dxa"/>
            <w:vAlign w:val="top"/>
          </w:tcPr>
          <w:p w14:paraId="4B6F9B38">
            <w:pPr>
              <w:rPr>
                <w:rFonts w:ascii="Arial"/>
                <w:sz w:val="21"/>
                <w:highlight w:val="none"/>
              </w:rPr>
            </w:pPr>
          </w:p>
        </w:tc>
      </w:tr>
      <w:tr w14:paraId="6280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757F108">
            <w:pPr>
              <w:rPr>
                <w:rFonts w:ascii="Arial"/>
                <w:sz w:val="21"/>
                <w:highlight w:val="none"/>
              </w:rPr>
            </w:pPr>
          </w:p>
        </w:tc>
        <w:tc>
          <w:tcPr>
            <w:tcW w:w="1154" w:type="dxa"/>
            <w:vAlign w:val="top"/>
          </w:tcPr>
          <w:p w14:paraId="07F3D2D5">
            <w:pPr>
              <w:rPr>
                <w:rFonts w:ascii="Arial"/>
                <w:sz w:val="21"/>
                <w:highlight w:val="none"/>
              </w:rPr>
            </w:pPr>
          </w:p>
        </w:tc>
        <w:tc>
          <w:tcPr>
            <w:tcW w:w="1049" w:type="dxa"/>
            <w:vAlign w:val="top"/>
          </w:tcPr>
          <w:p w14:paraId="79342374">
            <w:pPr>
              <w:rPr>
                <w:rFonts w:ascii="Arial"/>
                <w:sz w:val="21"/>
                <w:highlight w:val="none"/>
              </w:rPr>
            </w:pPr>
          </w:p>
        </w:tc>
        <w:tc>
          <w:tcPr>
            <w:tcW w:w="630" w:type="dxa"/>
            <w:vAlign w:val="top"/>
          </w:tcPr>
          <w:p w14:paraId="772DE4AC">
            <w:pPr>
              <w:rPr>
                <w:rFonts w:ascii="Arial"/>
                <w:sz w:val="21"/>
                <w:highlight w:val="none"/>
              </w:rPr>
            </w:pPr>
          </w:p>
        </w:tc>
        <w:tc>
          <w:tcPr>
            <w:tcW w:w="525" w:type="dxa"/>
            <w:vAlign w:val="top"/>
          </w:tcPr>
          <w:p w14:paraId="0D9FC1F0">
            <w:pPr>
              <w:rPr>
                <w:rFonts w:ascii="Arial"/>
                <w:sz w:val="21"/>
                <w:highlight w:val="none"/>
              </w:rPr>
            </w:pPr>
          </w:p>
        </w:tc>
        <w:tc>
          <w:tcPr>
            <w:tcW w:w="781" w:type="dxa"/>
            <w:vAlign w:val="top"/>
          </w:tcPr>
          <w:p w14:paraId="76D45C81">
            <w:pPr>
              <w:rPr>
                <w:rFonts w:ascii="Arial"/>
                <w:sz w:val="21"/>
                <w:highlight w:val="none"/>
              </w:rPr>
            </w:pPr>
          </w:p>
        </w:tc>
        <w:tc>
          <w:tcPr>
            <w:tcW w:w="850" w:type="dxa"/>
            <w:vAlign w:val="top"/>
          </w:tcPr>
          <w:p w14:paraId="0F8D61D4">
            <w:pPr>
              <w:rPr>
                <w:rFonts w:ascii="Arial"/>
                <w:sz w:val="21"/>
                <w:highlight w:val="none"/>
              </w:rPr>
            </w:pPr>
          </w:p>
        </w:tc>
        <w:tc>
          <w:tcPr>
            <w:tcW w:w="849" w:type="dxa"/>
            <w:vAlign w:val="top"/>
          </w:tcPr>
          <w:p w14:paraId="4CAA4CD4">
            <w:pPr>
              <w:rPr>
                <w:rFonts w:ascii="Arial"/>
                <w:sz w:val="21"/>
                <w:highlight w:val="none"/>
              </w:rPr>
            </w:pPr>
          </w:p>
        </w:tc>
        <w:tc>
          <w:tcPr>
            <w:tcW w:w="773" w:type="dxa"/>
            <w:vAlign w:val="top"/>
          </w:tcPr>
          <w:p w14:paraId="48A61AB8">
            <w:pPr>
              <w:rPr>
                <w:rFonts w:ascii="Arial"/>
                <w:sz w:val="21"/>
                <w:highlight w:val="none"/>
              </w:rPr>
            </w:pPr>
          </w:p>
        </w:tc>
        <w:tc>
          <w:tcPr>
            <w:tcW w:w="840" w:type="dxa"/>
            <w:vAlign w:val="top"/>
          </w:tcPr>
          <w:p w14:paraId="07AEE55D">
            <w:pPr>
              <w:rPr>
                <w:rFonts w:ascii="Arial"/>
                <w:sz w:val="21"/>
                <w:highlight w:val="none"/>
              </w:rPr>
            </w:pPr>
          </w:p>
        </w:tc>
        <w:tc>
          <w:tcPr>
            <w:tcW w:w="735" w:type="dxa"/>
            <w:vAlign w:val="top"/>
          </w:tcPr>
          <w:p w14:paraId="7E149254">
            <w:pPr>
              <w:rPr>
                <w:rFonts w:ascii="Arial"/>
                <w:sz w:val="21"/>
                <w:highlight w:val="none"/>
              </w:rPr>
            </w:pPr>
          </w:p>
        </w:tc>
        <w:tc>
          <w:tcPr>
            <w:tcW w:w="949" w:type="dxa"/>
            <w:vAlign w:val="top"/>
          </w:tcPr>
          <w:p w14:paraId="536AEE84">
            <w:pPr>
              <w:rPr>
                <w:rFonts w:ascii="Arial"/>
                <w:sz w:val="21"/>
                <w:highlight w:val="none"/>
              </w:rPr>
            </w:pPr>
          </w:p>
        </w:tc>
      </w:tr>
      <w:tr w14:paraId="6650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4039C782">
            <w:pPr>
              <w:rPr>
                <w:rFonts w:ascii="Arial"/>
                <w:sz w:val="21"/>
                <w:highlight w:val="none"/>
              </w:rPr>
            </w:pPr>
          </w:p>
        </w:tc>
        <w:tc>
          <w:tcPr>
            <w:tcW w:w="1154" w:type="dxa"/>
            <w:vAlign w:val="top"/>
          </w:tcPr>
          <w:p w14:paraId="38CA10C0">
            <w:pPr>
              <w:rPr>
                <w:rFonts w:ascii="Arial"/>
                <w:sz w:val="21"/>
                <w:highlight w:val="none"/>
              </w:rPr>
            </w:pPr>
          </w:p>
        </w:tc>
        <w:tc>
          <w:tcPr>
            <w:tcW w:w="1049" w:type="dxa"/>
            <w:vAlign w:val="top"/>
          </w:tcPr>
          <w:p w14:paraId="094E1861">
            <w:pPr>
              <w:rPr>
                <w:rFonts w:ascii="Arial"/>
                <w:sz w:val="21"/>
                <w:highlight w:val="none"/>
              </w:rPr>
            </w:pPr>
          </w:p>
        </w:tc>
        <w:tc>
          <w:tcPr>
            <w:tcW w:w="630" w:type="dxa"/>
            <w:vAlign w:val="top"/>
          </w:tcPr>
          <w:p w14:paraId="07447F86">
            <w:pPr>
              <w:rPr>
                <w:rFonts w:ascii="Arial"/>
                <w:sz w:val="21"/>
                <w:highlight w:val="none"/>
              </w:rPr>
            </w:pPr>
          </w:p>
        </w:tc>
        <w:tc>
          <w:tcPr>
            <w:tcW w:w="525" w:type="dxa"/>
            <w:vAlign w:val="top"/>
          </w:tcPr>
          <w:p w14:paraId="120C6032">
            <w:pPr>
              <w:rPr>
                <w:rFonts w:ascii="Arial"/>
                <w:sz w:val="21"/>
                <w:highlight w:val="none"/>
              </w:rPr>
            </w:pPr>
          </w:p>
        </w:tc>
        <w:tc>
          <w:tcPr>
            <w:tcW w:w="781" w:type="dxa"/>
            <w:vAlign w:val="top"/>
          </w:tcPr>
          <w:p w14:paraId="632357CE">
            <w:pPr>
              <w:rPr>
                <w:rFonts w:ascii="Arial"/>
                <w:sz w:val="21"/>
                <w:highlight w:val="none"/>
              </w:rPr>
            </w:pPr>
          </w:p>
        </w:tc>
        <w:tc>
          <w:tcPr>
            <w:tcW w:w="850" w:type="dxa"/>
            <w:vAlign w:val="top"/>
          </w:tcPr>
          <w:p w14:paraId="2C1E66FE">
            <w:pPr>
              <w:rPr>
                <w:rFonts w:ascii="Arial"/>
                <w:sz w:val="21"/>
                <w:highlight w:val="none"/>
              </w:rPr>
            </w:pPr>
          </w:p>
        </w:tc>
        <w:tc>
          <w:tcPr>
            <w:tcW w:w="849" w:type="dxa"/>
            <w:vAlign w:val="top"/>
          </w:tcPr>
          <w:p w14:paraId="5429DE31">
            <w:pPr>
              <w:rPr>
                <w:rFonts w:ascii="Arial"/>
                <w:sz w:val="21"/>
                <w:highlight w:val="none"/>
              </w:rPr>
            </w:pPr>
          </w:p>
        </w:tc>
        <w:tc>
          <w:tcPr>
            <w:tcW w:w="773" w:type="dxa"/>
            <w:vAlign w:val="top"/>
          </w:tcPr>
          <w:p w14:paraId="4903A685">
            <w:pPr>
              <w:rPr>
                <w:rFonts w:ascii="Arial"/>
                <w:sz w:val="21"/>
                <w:highlight w:val="none"/>
              </w:rPr>
            </w:pPr>
          </w:p>
        </w:tc>
        <w:tc>
          <w:tcPr>
            <w:tcW w:w="840" w:type="dxa"/>
            <w:vAlign w:val="top"/>
          </w:tcPr>
          <w:p w14:paraId="405AB471">
            <w:pPr>
              <w:rPr>
                <w:rFonts w:ascii="Arial"/>
                <w:sz w:val="21"/>
                <w:highlight w:val="none"/>
              </w:rPr>
            </w:pPr>
          </w:p>
        </w:tc>
        <w:tc>
          <w:tcPr>
            <w:tcW w:w="735" w:type="dxa"/>
            <w:vAlign w:val="top"/>
          </w:tcPr>
          <w:p w14:paraId="62991985">
            <w:pPr>
              <w:rPr>
                <w:rFonts w:ascii="Arial"/>
                <w:sz w:val="21"/>
                <w:highlight w:val="none"/>
              </w:rPr>
            </w:pPr>
          </w:p>
        </w:tc>
        <w:tc>
          <w:tcPr>
            <w:tcW w:w="949" w:type="dxa"/>
            <w:vAlign w:val="top"/>
          </w:tcPr>
          <w:p w14:paraId="726EA598">
            <w:pPr>
              <w:rPr>
                <w:rFonts w:ascii="Arial"/>
                <w:sz w:val="21"/>
                <w:highlight w:val="none"/>
              </w:rPr>
            </w:pPr>
          </w:p>
        </w:tc>
      </w:tr>
      <w:tr w14:paraId="78E5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2D6E8CE1">
            <w:pPr>
              <w:rPr>
                <w:rFonts w:ascii="Arial"/>
                <w:sz w:val="21"/>
                <w:highlight w:val="none"/>
              </w:rPr>
            </w:pPr>
          </w:p>
        </w:tc>
        <w:tc>
          <w:tcPr>
            <w:tcW w:w="1154" w:type="dxa"/>
            <w:vAlign w:val="top"/>
          </w:tcPr>
          <w:p w14:paraId="29CB7355">
            <w:pPr>
              <w:rPr>
                <w:rFonts w:ascii="Arial"/>
                <w:sz w:val="21"/>
                <w:highlight w:val="none"/>
              </w:rPr>
            </w:pPr>
          </w:p>
        </w:tc>
        <w:tc>
          <w:tcPr>
            <w:tcW w:w="1049" w:type="dxa"/>
            <w:vAlign w:val="top"/>
          </w:tcPr>
          <w:p w14:paraId="1ABF831E">
            <w:pPr>
              <w:rPr>
                <w:rFonts w:ascii="Arial"/>
                <w:sz w:val="21"/>
                <w:highlight w:val="none"/>
              </w:rPr>
            </w:pPr>
          </w:p>
        </w:tc>
        <w:tc>
          <w:tcPr>
            <w:tcW w:w="630" w:type="dxa"/>
            <w:vAlign w:val="top"/>
          </w:tcPr>
          <w:p w14:paraId="430995E4">
            <w:pPr>
              <w:rPr>
                <w:rFonts w:ascii="Arial"/>
                <w:sz w:val="21"/>
                <w:highlight w:val="none"/>
              </w:rPr>
            </w:pPr>
          </w:p>
        </w:tc>
        <w:tc>
          <w:tcPr>
            <w:tcW w:w="525" w:type="dxa"/>
            <w:vAlign w:val="top"/>
          </w:tcPr>
          <w:p w14:paraId="52FDCAE3">
            <w:pPr>
              <w:rPr>
                <w:rFonts w:ascii="Arial"/>
                <w:sz w:val="21"/>
                <w:highlight w:val="none"/>
              </w:rPr>
            </w:pPr>
          </w:p>
        </w:tc>
        <w:tc>
          <w:tcPr>
            <w:tcW w:w="781" w:type="dxa"/>
            <w:vAlign w:val="top"/>
          </w:tcPr>
          <w:p w14:paraId="41FE07C2">
            <w:pPr>
              <w:rPr>
                <w:rFonts w:ascii="Arial"/>
                <w:sz w:val="21"/>
                <w:highlight w:val="none"/>
              </w:rPr>
            </w:pPr>
          </w:p>
        </w:tc>
        <w:tc>
          <w:tcPr>
            <w:tcW w:w="850" w:type="dxa"/>
            <w:vAlign w:val="top"/>
          </w:tcPr>
          <w:p w14:paraId="487B4FC1">
            <w:pPr>
              <w:rPr>
                <w:rFonts w:ascii="Arial"/>
                <w:sz w:val="21"/>
                <w:highlight w:val="none"/>
              </w:rPr>
            </w:pPr>
          </w:p>
        </w:tc>
        <w:tc>
          <w:tcPr>
            <w:tcW w:w="849" w:type="dxa"/>
            <w:vAlign w:val="top"/>
          </w:tcPr>
          <w:p w14:paraId="72BEA258">
            <w:pPr>
              <w:rPr>
                <w:rFonts w:ascii="Arial"/>
                <w:sz w:val="21"/>
                <w:highlight w:val="none"/>
              </w:rPr>
            </w:pPr>
          </w:p>
        </w:tc>
        <w:tc>
          <w:tcPr>
            <w:tcW w:w="773" w:type="dxa"/>
            <w:vAlign w:val="top"/>
          </w:tcPr>
          <w:p w14:paraId="3C89EDB1">
            <w:pPr>
              <w:rPr>
                <w:rFonts w:ascii="Arial"/>
                <w:sz w:val="21"/>
                <w:highlight w:val="none"/>
              </w:rPr>
            </w:pPr>
          </w:p>
        </w:tc>
        <w:tc>
          <w:tcPr>
            <w:tcW w:w="840" w:type="dxa"/>
            <w:vAlign w:val="top"/>
          </w:tcPr>
          <w:p w14:paraId="7A58FB7C">
            <w:pPr>
              <w:rPr>
                <w:rFonts w:ascii="Arial"/>
                <w:sz w:val="21"/>
                <w:highlight w:val="none"/>
              </w:rPr>
            </w:pPr>
          </w:p>
        </w:tc>
        <w:tc>
          <w:tcPr>
            <w:tcW w:w="735" w:type="dxa"/>
            <w:vAlign w:val="top"/>
          </w:tcPr>
          <w:p w14:paraId="51C80D08">
            <w:pPr>
              <w:rPr>
                <w:rFonts w:ascii="Arial"/>
                <w:sz w:val="21"/>
                <w:highlight w:val="none"/>
              </w:rPr>
            </w:pPr>
          </w:p>
        </w:tc>
        <w:tc>
          <w:tcPr>
            <w:tcW w:w="949" w:type="dxa"/>
            <w:vAlign w:val="top"/>
          </w:tcPr>
          <w:p w14:paraId="75670777">
            <w:pPr>
              <w:rPr>
                <w:rFonts w:ascii="Arial"/>
                <w:sz w:val="21"/>
                <w:highlight w:val="none"/>
              </w:rPr>
            </w:pPr>
          </w:p>
        </w:tc>
      </w:tr>
      <w:tr w14:paraId="72F5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47C6D8B1">
            <w:pPr>
              <w:rPr>
                <w:rFonts w:ascii="Arial"/>
                <w:sz w:val="21"/>
                <w:highlight w:val="none"/>
              </w:rPr>
            </w:pPr>
          </w:p>
        </w:tc>
        <w:tc>
          <w:tcPr>
            <w:tcW w:w="1154" w:type="dxa"/>
            <w:vAlign w:val="top"/>
          </w:tcPr>
          <w:p w14:paraId="53D5F4B9">
            <w:pPr>
              <w:rPr>
                <w:rFonts w:ascii="Arial"/>
                <w:sz w:val="21"/>
                <w:highlight w:val="none"/>
              </w:rPr>
            </w:pPr>
          </w:p>
        </w:tc>
        <w:tc>
          <w:tcPr>
            <w:tcW w:w="1049" w:type="dxa"/>
            <w:vAlign w:val="top"/>
          </w:tcPr>
          <w:p w14:paraId="06DD95FF">
            <w:pPr>
              <w:rPr>
                <w:rFonts w:ascii="Arial"/>
                <w:sz w:val="21"/>
                <w:highlight w:val="none"/>
              </w:rPr>
            </w:pPr>
          </w:p>
        </w:tc>
        <w:tc>
          <w:tcPr>
            <w:tcW w:w="630" w:type="dxa"/>
            <w:vAlign w:val="top"/>
          </w:tcPr>
          <w:p w14:paraId="48B6D8EF">
            <w:pPr>
              <w:rPr>
                <w:rFonts w:ascii="Arial"/>
                <w:sz w:val="21"/>
                <w:highlight w:val="none"/>
              </w:rPr>
            </w:pPr>
          </w:p>
        </w:tc>
        <w:tc>
          <w:tcPr>
            <w:tcW w:w="525" w:type="dxa"/>
            <w:vAlign w:val="top"/>
          </w:tcPr>
          <w:p w14:paraId="5E7C02EC">
            <w:pPr>
              <w:rPr>
                <w:rFonts w:ascii="Arial"/>
                <w:sz w:val="21"/>
                <w:highlight w:val="none"/>
              </w:rPr>
            </w:pPr>
          </w:p>
        </w:tc>
        <w:tc>
          <w:tcPr>
            <w:tcW w:w="781" w:type="dxa"/>
            <w:vAlign w:val="top"/>
          </w:tcPr>
          <w:p w14:paraId="21098C45">
            <w:pPr>
              <w:rPr>
                <w:rFonts w:ascii="Arial"/>
                <w:sz w:val="21"/>
                <w:highlight w:val="none"/>
              </w:rPr>
            </w:pPr>
          </w:p>
        </w:tc>
        <w:tc>
          <w:tcPr>
            <w:tcW w:w="850" w:type="dxa"/>
            <w:vAlign w:val="top"/>
          </w:tcPr>
          <w:p w14:paraId="1C7581E1">
            <w:pPr>
              <w:rPr>
                <w:rFonts w:ascii="Arial"/>
                <w:sz w:val="21"/>
                <w:highlight w:val="none"/>
              </w:rPr>
            </w:pPr>
          </w:p>
        </w:tc>
        <w:tc>
          <w:tcPr>
            <w:tcW w:w="849" w:type="dxa"/>
            <w:vAlign w:val="top"/>
          </w:tcPr>
          <w:p w14:paraId="5AF87308">
            <w:pPr>
              <w:rPr>
                <w:rFonts w:ascii="Arial"/>
                <w:sz w:val="21"/>
                <w:highlight w:val="none"/>
              </w:rPr>
            </w:pPr>
          </w:p>
        </w:tc>
        <w:tc>
          <w:tcPr>
            <w:tcW w:w="773" w:type="dxa"/>
            <w:vAlign w:val="top"/>
          </w:tcPr>
          <w:p w14:paraId="317B8525">
            <w:pPr>
              <w:rPr>
                <w:rFonts w:ascii="Arial"/>
                <w:sz w:val="21"/>
                <w:highlight w:val="none"/>
              </w:rPr>
            </w:pPr>
          </w:p>
        </w:tc>
        <w:tc>
          <w:tcPr>
            <w:tcW w:w="840" w:type="dxa"/>
            <w:vAlign w:val="top"/>
          </w:tcPr>
          <w:p w14:paraId="681968EC">
            <w:pPr>
              <w:rPr>
                <w:rFonts w:ascii="Arial"/>
                <w:sz w:val="21"/>
                <w:highlight w:val="none"/>
              </w:rPr>
            </w:pPr>
          </w:p>
        </w:tc>
        <w:tc>
          <w:tcPr>
            <w:tcW w:w="735" w:type="dxa"/>
            <w:vAlign w:val="top"/>
          </w:tcPr>
          <w:p w14:paraId="5DFC28C3">
            <w:pPr>
              <w:rPr>
                <w:rFonts w:ascii="Arial"/>
                <w:sz w:val="21"/>
                <w:highlight w:val="none"/>
              </w:rPr>
            </w:pPr>
          </w:p>
        </w:tc>
        <w:tc>
          <w:tcPr>
            <w:tcW w:w="949" w:type="dxa"/>
            <w:vAlign w:val="top"/>
          </w:tcPr>
          <w:p w14:paraId="77B1EB48">
            <w:pPr>
              <w:rPr>
                <w:rFonts w:ascii="Arial"/>
                <w:sz w:val="21"/>
                <w:highlight w:val="none"/>
              </w:rPr>
            </w:pPr>
          </w:p>
        </w:tc>
      </w:tr>
      <w:tr w14:paraId="6EAD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5C36BF4F">
            <w:pPr>
              <w:rPr>
                <w:rFonts w:ascii="Arial"/>
                <w:sz w:val="21"/>
                <w:highlight w:val="none"/>
              </w:rPr>
            </w:pPr>
          </w:p>
        </w:tc>
        <w:tc>
          <w:tcPr>
            <w:tcW w:w="1154" w:type="dxa"/>
            <w:vAlign w:val="top"/>
          </w:tcPr>
          <w:p w14:paraId="729ED20C">
            <w:pPr>
              <w:rPr>
                <w:rFonts w:ascii="Arial"/>
                <w:sz w:val="21"/>
                <w:highlight w:val="none"/>
              </w:rPr>
            </w:pPr>
          </w:p>
        </w:tc>
        <w:tc>
          <w:tcPr>
            <w:tcW w:w="1049" w:type="dxa"/>
            <w:vAlign w:val="top"/>
          </w:tcPr>
          <w:p w14:paraId="7F996B0E">
            <w:pPr>
              <w:rPr>
                <w:rFonts w:ascii="Arial"/>
                <w:sz w:val="21"/>
                <w:highlight w:val="none"/>
              </w:rPr>
            </w:pPr>
          </w:p>
        </w:tc>
        <w:tc>
          <w:tcPr>
            <w:tcW w:w="630" w:type="dxa"/>
            <w:vAlign w:val="top"/>
          </w:tcPr>
          <w:p w14:paraId="6306CF1E">
            <w:pPr>
              <w:rPr>
                <w:rFonts w:ascii="Arial"/>
                <w:sz w:val="21"/>
                <w:highlight w:val="none"/>
              </w:rPr>
            </w:pPr>
          </w:p>
        </w:tc>
        <w:tc>
          <w:tcPr>
            <w:tcW w:w="525" w:type="dxa"/>
            <w:vAlign w:val="top"/>
          </w:tcPr>
          <w:p w14:paraId="4919051B">
            <w:pPr>
              <w:rPr>
                <w:rFonts w:ascii="Arial"/>
                <w:sz w:val="21"/>
                <w:highlight w:val="none"/>
              </w:rPr>
            </w:pPr>
          </w:p>
        </w:tc>
        <w:tc>
          <w:tcPr>
            <w:tcW w:w="781" w:type="dxa"/>
            <w:vAlign w:val="top"/>
          </w:tcPr>
          <w:p w14:paraId="03941E39">
            <w:pPr>
              <w:rPr>
                <w:rFonts w:ascii="Arial"/>
                <w:sz w:val="21"/>
                <w:highlight w:val="none"/>
              </w:rPr>
            </w:pPr>
          </w:p>
        </w:tc>
        <w:tc>
          <w:tcPr>
            <w:tcW w:w="850" w:type="dxa"/>
            <w:vAlign w:val="top"/>
          </w:tcPr>
          <w:p w14:paraId="0D4DC61B">
            <w:pPr>
              <w:rPr>
                <w:rFonts w:ascii="Arial"/>
                <w:sz w:val="21"/>
                <w:highlight w:val="none"/>
              </w:rPr>
            </w:pPr>
          </w:p>
        </w:tc>
        <w:tc>
          <w:tcPr>
            <w:tcW w:w="849" w:type="dxa"/>
            <w:vAlign w:val="top"/>
          </w:tcPr>
          <w:p w14:paraId="2E1330B0">
            <w:pPr>
              <w:rPr>
                <w:rFonts w:ascii="Arial"/>
                <w:sz w:val="21"/>
                <w:highlight w:val="none"/>
              </w:rPr>
            </w:pPr>
          </w:p>
        </w:tc>
        <w:tc>
          <w:tcPr>
            <w:tcW w:w="773" w:type="dxa"/>
            <w:vAlign w:val="top"/>
          </w:tcPr>
          <w:p w14:paraId="5784D3B4">
            <w:pPr>
              <w:rPr>
                <w:rFonts w:ascii="Arial"/>
                <w:sz w:val="21"/>
                <w:highlight w:val="none"/>
              </w:rPr>
            </w:pPr>
          </w:p>
        </w:tc>
        <w:tc>
          <w:tcPr>
            <w:tcW w:w="840" w:type="dxa"/>
            <w:vAlign w:val="top"/>
          </w:tcPr>
          <w:p w14:paraId="7176B087">
            <w:pPr>
              <w:rPr>
                <w:rFonts w:ascii="Arial"/>
                <w:sz w:val="21"/>
                <w:highlight w:val="none"/>
              </w:rPr>
            </w:pPr>
          </w:p>
        </w:tc>
        <w:tc>
          <w:tcPr>
            <w:tcW w:w="735" w:type="dxa"/>
            <w:vAlign w:val="top"/>
          </w:tcPr>
          <w:p w14:paraId="4746FF74">
            <w:pPr>
              <w:rPr>
                <w:rFonts w:ascii="Arial"/>
                <w:sz w:val="21"/>
                <w:highlight w:val="none"/>
              </w:rPr>
            </w:pPr>
          </w:p>
        </w:tc>
        <w:tc>
          <w:tcPr>
            <w:tcW w:w="949" w:type="dxa"/>
            <w:vAlign w:val="top"/>
          </w:tcPr>
          <w:p w14:paraId="217B8189">
            <w:pPr>
              <w:rPr>
                <w:rFonts w:ascii="Arial"/>
                <w:sz w:val="21"/>
                <w:highlight w:val="none"/>
              </w:rPr>
            </w:pPr>
          </w:p>
        </w:tc>
      </w:tr>
      <w:tr w14:paraId="44DE5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452C0A4B">
            <w:pPr>
              <w:rPr>
                <w:rFonts w:ascii="Arial"/>
                <w:sz w:val="21"/>
                <w:highlight w:val="none"/>
              </w:rPr>
            </w:pPr>
          </w:p>
        </w:tc>
        <w:tc>
          <w:tcPr>
            <w:tcW w:w="1154" w:type="dxa"/>
            <w:vAlign w:val="top"/>
          </w:tcPr>
          <w:p w14:paraId="379EF79A">
            <w:pPr>
              <w:rPr>
                <w:rFonts w:ascii="Arial"/>
                <w:sz w:val="21"/>
                <w:highlight w:val="none"/>
              </w:rPr>
            </w:pPr>
          </w:p>
        </w:tc>
        <w:tc>
          <w:tcPr>
            <w:tcW w:w="1049" w:type="dxa"/>
            <w:vAlign w:val="top"/>
          </w:tcPr>
          <w:p w14:paraId="41622F72">
            <w:pPr>
              <w:rPr>
                <w:rFonts w:ascii="Arial"/>
                <w:sz w:val="21"/>
                <w:highlight w:val="none"/>
              </w:rPr>
            </w:pPr>
          </w:p>
        </w:tc>
        <w:tc>
          <w:tcPr>
            <w:tcW w:w="630" w:type="dxa"/>
            <w:vAlign w:val="top"/>
          </w:tcPr>
          <w:p w14:paraId="5E8814E8">
            <w:pPr>
              <w:rPr>
                <w:rFonts w:ascii="Arial"/>
                <w:sz w:val="21"/>
                <w:highlight w:val="none"/>
              </w:rPr>
            </w:pPr>
          </w:p>
        </w:tc>
        <w:tc>
          <w:tcPr>
            <w:tcW w:w="525" w:type="dxa"/>
            <w:vAlign w:val="top"/>
          </w:tcPr>
          <w:p w14:paraId="0885B205">
            <w:pPr>
              <w:rPr>
                <w:rFonts w:ascii="Arial"/>
                <w:sz w:val="21"/>
                <w:highlight w:val="none"/>
              </w:rPr>
            </w:pPr>
          </w:p>
        </w:tc>
        <w:tc>
          <w:tcPr>
            <w:tcW w:w="781" w:type="dxa"/>
            <w:vAlign w:val="top"/>
          </w:tcPr>
          <w:p w14:paraId="66E4355E">
            <w:pPr>
              <w:rPr>
                <w:rFonts w:ascii="Arial"/>
                <w:sz w:val="21"/>
                <w:highlight w:val="none"/>
              </w:rPr>
            </w:pPr>
          </w:p>
        </w:tc>
        <w:tc>
          <w:tcPr>
            <w:tcW w:w="850" w:type="dxa"/>
            <w:vAlign w:val="top"/>
          </w:tcPr>
          <w:p w14:paraId="01E1C120">
            <w:pPr>
              <w:rPr>
                <w:rFonts w:ascii="Arial"/>
                <w:sz w:val="21"/>
                <w:highlight w:val="none"/>
              </w:rPr>
            </w:pPr>
          </w:p>
        </w:tc>
        <w:tc>
          <w:tcPr>
            <w:tcW w:w="849" w:type="dxa"/>
            <w:vAlign w:val="top"/>
          </w:tcPr>
          <w:p w14:paraId="1C102042">
            <w:pPr>
              <w:rPr>
                <w:rFonts w:ascii="Arial"/>
                <w:sz w:val="21"/>
                <w:highlight w:val="none"/>
              </w:rPr>
            </w:pPr>
          </w:p>
        </w:tc>
        <w:tc>
          <w:tcPr>
            <w:tcW w:w="773" w:type="dxa"/>
            <w:vAlign w:val="top"/>
          </w:tcPr>
          <w:p w14:paraId="23671546">
            <w:pPr>
              <w:rPr>
                <w:rFonts w:ascii="Arial"/>
                <w:sz w:val="21"/>
                <w:highlight w:val="none"/>
              </w:rPr>
            </w:pPr>
          </w:p>
        </w:tc>
        <w:tc>
          <w:tcPr>
            <w:tcW w:w="840" w:type="dxa"/>
            <w:vAlign w:val="top"/>
          </w:tcPr>
          <w:p w14:paraId="3D7F61DE">
            <w:pPr>
              <w:rPr>
                <w:rFonts w:ascii="Arial"/>
                <w:sz w:val="21"/>
                <w:highlight w:val="none"/>
              </w:rPr>
            </w:pPr>
          </w:p>
        </w:tc>
        <w:tc>
          <w:tcPr>
            <w:tcW w:w="735" w:type="dxa"/>
            <w:vAlign w:val="top"/>
          </w:tcPr>
          <w:p w14:paraId="36B2AD4F">
            <w:pPr>
              <w:rPr>
                <w:rFonts w:ascii="Arial"/>
                <w:sz w:val="21"/>
                <w:highlight w:val="none"/>
              </w:rPr>
            </w:pPr>
          </w:p>
        </w:tc>
        <w:tc>
          <w:tcPr>
            <w:tcW w:w="949" w:type="dxa"/>
            <w:vAlign w:val="top"/>
          </w:tcPr>
          <w:p w14:paraId="75D54645">
            <w:pPr>
              <w:rPr>
                <w:rFonts w:ascii="Arial"/>
                <w:sz w:val="21"/>
                <w:highlight w:val="none"/>
              </w:rPr>
            </w:pPr>
          </w:p>
        </w:tc>
      </w:tr>
      <w:tr w14:paraId="46458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2C763DBB">
            <w:pPr>
              <w:rPr>
                <w:rFonts w:ascii="Arial"/>
                <w:sz w:val="21"/>
                <w:highlight w:val="none"/>
              </w:rPr>
            </w:pPr>
          </w:p>
        </w:tc>
        <w:tc>
          <w:tcPr>
            <w:tcW w:w="1154" w:type="dxa"/>
            <w:vAlign w:val="top"/>
          </w:tcPr>
          <w:p w14:paraId="772C4013">
            <w:pPr>
              <w:rPr>
                <w:rFonts w:ascii="Arial"/>
                <w:sz w:val="21"/>
                <w:highlight w:val="none"/>
              </w:rPr>
            </w:pPr>
          </w:p>
        </w:tc>
        <w:tc>
          <w:tcPr>
            <w:tcW w:w="1049" w:type="dxa"/>
            <w:vAlign w:val="top"/>
          </w:tcPr>
          <w:p w14:paraId="5C55B9C2">
            <w:pPr>
              <w:rPr>
                <w:rFonts w:ascii="Arial"/>
                <w:sz w:val="21"/>
                <w:highlight w:val="none"/>
              </w:rPr>
            </w:pPr>
          </w:p>
        </w:tc>
        <w:tc>
          <w:tcPr>
            <w:tcW w:w="630" w:type="dxa"/>
            <w:vAlign w:val="top"/>
          </w:tcPr>
          <w:p w14:paraId="38B91FAA">
            <w:pPr>
              <w:rPr>
                <w:rFonts w:ascii="Arial"/>
                <w:sz w:val="21"/>
                <w:highlight w:val="none"/>
              </w:rPr>
            </w:pPr>
          </w:p>
        </w:tc>
        <w:tc>
          <w:tcPr>
            <w:tcW w:w="525" w:type="dxa"/>
            <w:vAlign w:val="top"/>
          </w:tcPr>
          <w:p w14:paraId="55170074">
            <w:pPr>
              <w:rPr>
                <w:rFonts w:ascii="Arial"/>
                <w:sz w:val="21"/>
                <w:highlight w:val="none"/>
              </w:rPr>
            </w:pPr>
          </w:p>
        </w:tc>
        <w:tc>
          <w:tcPr>
            <w:tcW w:w="781" w:type="dxa"/>
            <w:vAlign w:val="top"/>
          </w:tcPr>
          <w:p w14:paraId="6DB1E6A8">
            <w:pPr>
              <w:rPr>
                <w:rFonts w:ascii="Arial"/>
                <w:sz w:val="21"/>
                <w:highlight w:val="none"/>
              </w:rPr>
            </w:pPr>
          </w:p>
        </w:tc>
        <w:tc>
          <w:tcPr>
            <w:tcW w:w="850" w:type="dxa"/>
            <w:vAlign w:val="top"/>
          </w:tcPr>
          <w:p w14:paraId="1F7A29D9">
            <w:pPr>
              <w:rPr>
                <w:rFonts w:ascii="Arial"/>
                <w:sz w:val="21"/>
                <w:highlight w:val="none"/>
              </w:rPr>
            </w:pPr>
          </w:p>
        </w:tc>
        <w:tc>
          <w:tcPr>
            <w:tcW w:w="849" w:type="dxa"/>
            <w:vAlign w:val="top"/>
          </w:tcPr>
          <w:p w14:paraId="725029FD">
            <w:pPr>
              <w:rPr>
                <w:rFonts w:ascii="Arial"/>
                <w:sz w:val="21"/>
                <w:highlight w:val="none"/>
              </w:rPr>
            </w:pPr>
          </w:p>
        </w:tc>
        <w:tc>
          <w:tcPr>
            <w:tcW w:w="773" w:type="dxa"/>
            <w:vAlign w:val="top"/>
          </w:tcPr>
          <w:p w14:paraId="3753B6D8">
            <w:pPr>
              <w:rPr>
                <w:rFonts w:ascii="Arial"/>
                <w:sz w:val="21"/>
                <w:highlight w:val="none"/>
              </w:rPr>
            </w:pPr>
          </w:p>
        </w:tc>
        <w:tc>
          <w:tcPr>
            <w:tcW w:w="840" w:type="dxa"/>
            <w:vAlign w:val="top"/>
          </w:tcPr>
          <w:p w14:paraId="2DB18DBC">
            <w:pPr>
              <w:rPr>
                <w:rFonts w:ascii="Arial"/>
                <w:sz w:val="21"/>
                <w:highlight w:val="none"/>
              </w:rPr>
            </w:pPr>
          </w:p>
        </w:tc>
        <w:tc>
          <w:tcPr>
            <w:tcW w:w="735" w:type="dxa"/>
            <w:vAlign w:val="top"/>
          </w:tcPr>
          <w:p w14:paraId="452704A0">
            <w:pPr>
              <w:rPr>
                <w:rFonts w:ascii="Arial"/>
                <w:sz w:val="21"/>
                <w:highlight w:val="none"/>
              </w:rPr>
            </w:pPr>
          </w:p>
        </w:tc>
        <w:tc>
          <w:tcPr>
            <w:tcW w:w="949" w:type="dxa"/>
            <w:vAlign w:val="top"/>
          </w:tcPr>
          <w:p w14:paraId="751BEF48">
            <w:pPr>
              <w:rPr>
                <w:rFonts w:ascii="Arial"/>
                <w:sz w:val="21"/>
                <w:highlight w:val="none"/>
              </w:rPr>
            </w:pPr>
          </w:p>
        </w:tc>
      </w:tr>
      <w:tr w14:paraId="47AD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0C044C11">
            <w:pPr>
              <w:rPr>
                <w:rFonts w:ascii="Arial"/>
                <w:sz w:val="21"/>
                <w:highlight w:val="none"/>
              </w:rPr>
            </w:pPr>
          </w:p>
        </w:tc>
        <w:tc>
          <w:tcPr>
            <w:tcW w:w="1154" w:type="dxa"/>
            <w:vAlign w:val="top"/>
          </w:tcPr>
          <w:p w14:paraId="2FEAAFED">
            <w:pPr>
              <w:rPr>
                <w:rFonts w:ascii="Arial"/>
                <w:sz w:val="21"/>
                <w:highlight w:val="none"/>
              </w:rPr>
            </w:pPr>
          </w:p>
        </w:tc>
        <w:tc>
          <w:tcPr>
            <w:tcW w:w="1049" w:type="dxa"/>
            <w:vAlign w:val="top"/>
          </w:tcPr>
          <w:p w14:paraId="478997DE">
            <w:pPr>
              <w:rPr>
                <w:rFonts w:ascii="Arial"/>
                <w:sz w:val="21"/>
                <w:highlight w:val="none"/>
              </w:rPr>
            </w:pPr>
          </w:p>
        </w:tc>
        <w:tc>
          <w:tcPr>
            <w:tcW w:w="630" w:type="dxa"/>
            <w:vAlign w:val="top"/>
          </w:tcPr>
          <w:p w14:paraId="0DAE0ADF">
            <w:pPr>
              <w:rPr>
                <w:rFonts w:ascii="Arial"/>
                <w:sz w:val="21"/>
                <w:highlight w:val="none"/>
              </w:rPr>
            </w:pPr>
          </w:p>
        </w:tc>
        <w:tc>
          <w:tcPr>
            <w:tcW w:w="525" w:type="dxa"/>
            <w:vAlign w:val="top"/>
          </w:tcPr>
          <w:p w14:paraId="3B13AF26">
            <w:pPr>
              <w:rPr>
                <w:rFonts w:ascii="Arial"/>
                <w:sz w:val="21"/>
                <w:highlight w:val="none"/>
              </w:rPr>
            </w:pPr>
          </w:p>
        </w:tc>
        <w:tc>
          <w:tcPr>
            <w:tcW w:w="781" w:type="dxa"/>
            <w:vAlign w:val="top"/>
          </w:tcPr>
          <w:p w14:paraId="5A0273A3">
            <w:pPr>
              <w:rPr>
                <w:rFonts w:ascii="Arial"/>
                <w:sz w:val="21"/>
                <w:highlight w:val="none"/>
              </w:rPr>
            </w:pPr>
          </w:p>
        </w:tc>
        <w:tc>
          <w:tcPr>
            <w:tcW w:w="850" w:type="dxa"/>
            <w:vAlign w:val="top"/>
          </w:tcPr>
          <w:p w14:paraId="7B6AE198">
            <w:pPr>
              <w:rPr>
                <w:rFonts w:ascii="Arial"/>
                <w:sz w:val="21"/>
                <w:highlight w:val="none"/>
              </w:rPr>
            </w:pPr>
          </w:p>
        </w:tc>
        <w:tc>
          <w:tcPr>
            <w:tcW w:w="849" w:type="dxa"/>
            <w:vAlign w:val="top"/>
          </w:tcPr>
          <w:p w14:paraId="0364FCC6">
            <w:pPr>
              <w:rPr>
                <w:rFonts w:ascii="Arial"/>
                <w:sz w:val="21"/>
                <w:highlight w:val="none"/>
              </w:rPr>
            </w:pPr>
          </w:p>
        </w:tc>
        <w:tc>
          <w:tcPr>
            <w:tcW w:w="773" w:type="dxa"/>
            <w:vAlign w:val="top"/>
          </w:tcPr>
          <w:p w14:paraId="31936A4A">
            <w:pPr>
              <w:rPr>
                <w:rFonts w:ascii="Arial"/>
                <w:sz w:val="21"/>
                <w:highlight w:val="none"/>
              </w:rPr>
            </w:pPr>
          </w:p>
        </w:tc>
        <w:tc>
          <w:tcPr>
            <w:tcW w:w="840" w:type="dxa"/>
            <w:vAlign w:val="top"/>
          </w:tcPr>
          <w:p w14:paraId="7F7CE057">
            <w:pPr>
              <w:rPr>
                <w:rFonts w:ascii="Arial"/>
                <w:sz w:val="21"/>
                <w:highlight w:val="none"/>
              </w:rPr>
            </w:pPr>
          </w:p>
        </w:tc>
        <w:tc>
          <w:tcPr>
            <w:tcW w:w="735" w:type="dxa"/>
            <w:vAlign w:val="top"/>
          </w:tcPr>
          <w:p w14:paraId="7F604406">
            <w:pPr>
              <w:rPr>
                <w:rFonts w:ascii="Arial"/>
                <w:sz w:val="21"/>
                <w:highlight w:val="none"/>
              </w:rPr>
            </w:pPr>
          </w:p>
        </w:tc>
        <w:tc>
          <w:tcPr>
            <w:tcW w:w="949" w:type="dxa"/>
            <w:vAlign w:val="top"/>
          </w:tcPr>
          <w:p w14:paraId="7599A678">
            <w:pPr>
              <w:rPr>
                <w:rFonts w:ascii="Arial"/>
                <w:sz w:val="21"/>
                <w:highlight w:val="none"/>
              </w:rPr>
            </w:pPr>
          </w:p>
        </w:tc>
      </w:tr>
      <w:tr w14:paraId="1565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5EF810D1">
            <w:pPr>
              <w:rPr>
                <w:rFonts w:ascii="Arial"/>
                <w:sz w:val="21"/>
                <w:highlight w:val="none"/>
              </w:rPr>
            </w:pPr>
          </w:p>
        </w:tc>
        <w:tc>
          <w:tcPr>
            <w:tcW w:w="1154" w:type="dxa"/>
            <w:vAlign w:val="top"/>
          </w:tcPr>
          <w:p w14:paraId="2535A4CC">
            <w:pPr>
              <w:rPr>
                <w:rFonts w:ascii="Arial"/>
                <w:sz w:val="21"/>
                <w:highlight w:val="none"/>
              </w:rPr>
            </w:pPr>
          </w:p>
        </w:tc>
        <w:tc>
          <w:tcPr>
            <w:tcW w:w="1049" w:type="dxa"/>
            <w:vAlign w:val="top"/>
          </w:tcPr>
          <w:p w14:paraId="37032F7C">
            <w:pPr>
              <w:rPr>
                <w:rFonts w:ascii="Arial"/>
                <w:sz w:val="21"/>
                <w:highlight w:val="none"/>
              </w:rPr>
            </w:pPr>
          </w:p>
        </w:tc>
        <w:tc>
          <w:tcPr>
            <w:tcW w:w="630" w:type="dxa"/>
            <w:vAlign w:val="top"/>
          </w:tcPr>
          <w:p w14:paraId="6B569AFC">
            <w:pPr>
              <w:rPr>
                <w:rFonts w:ascii="Arial"/>
                <w:sz w:val="21"/>
                <w:highlight w:val="none"/>
              </w:rPr>
            </w:pPr>
          </w:p>
        </w:tc>
        <w:tc>
          <w:tcPr>
            <w:tcW w:w="525" w:type="dxa"/>
            <w:vAlign w:val="top"/>
          </w:tcPr>
          <w:p w14:paraId="458D7355">
            <w:pPr>
              <w:rPr>
                <w:rFonts w:ascii="Arial"/>
                <w:sz w:val="21"/>
                <w:highlight w:val="none"/>
              </w:rPr>
            </w:pPr>
          </w:p>
        </w:tc>
        <w:tc>
          <w:tcPr>
            <w:tcW w:w="781" w:type="dxa"/>
            <w:vAlign w:val="top"/>
          </w:tcPr>
          <w:p w14:paraId="7987885A">
            <w:pPr>
              <w:rPr>
                <w:rFonts w:ascii="Arial"/>
                <w:sz w:val="21"/>
                <w:highlight w:val="none"/>
              </w:rPr>
            </w:pPr>
          </w:p>
        </w:tc>
        <w:tc>
          <w:tcPr>
            <w:tcW w:w="850" w:type="dxa"/>
            <w:vAlign w:val="top"/>
          </w:tcPr>
          <w:p w14:paraId="794A6217">
            <w:pPr>
              <w:rPr>
                <w:rFonts w:ascii="Arial"/>
                <w:sz w:val="21"/>
                <w:highlight w:val="none"/>
              </w:rPr>
            </w:pPr>
          </w:p>
        </w:tc>
        <w:tc>
          <w:tcPr>
            <w:tcW w:w="849" w:type="dxa"/>
            <w:vAlign w:val="top"/>
          </w:tcPr>
          <w:p w14:paraId="01140869">
            <w:pPr>
              <w:rPr>
                <w:rFonts w:ascii="Arial"/>
                <w:sz w:val="21"/>
                <w:highlight w:val="none"/>
              </w:rPr>
            </w:pPr>
          </w:p>
        </w:tc>
        <w:tc>
          <w:tcPr>
            <w:tcW w:w="773" w:type="dxa"/>
            <w:vAlign w:val="top"/>
          </w:tcPr>
          <w:p w14:paraId="15203989">
            <w:pPr>
              <w:rPr>
                <w:rFonts w:ascii="Arial"/>
                <w:sz w:val="21"/>
                <w:highlight w:val="none"/>
              </w:rPr>
            </w:pPr>
          </w:p>
        </w:tc>
        <w:tc>
          <w:tcPr>
            <w:tcW w:w="840" w:type="dxa"/>
            <w:vAlign w:val="top"/>
          </w:tcPr>
          <w:p w14:paraId="445BEF92">
            <w:pPr>
              <w:rPr>
                <w:rFonts w:ascii="Arial"/>
                <w:sz w:val="21"/>
                <w:highlight w:val="none"/>
              </w:rPr>
            </w:pPr>
          </w:p>
        </w:tc>
        <w:tc>
          <w:tcPr>
            <w:tcW w:w="735" w:type="dxa"/>
            <w:vAlign w:val="top"/>
          </w:tcPr>
          <w:p w14:paraId="0A808174">
            <w:pPr>
              <w:rPr>
                <w:rFonts w:ascii="Arial"/>
                <w:sz w:val="21"/>
                <w:highlight w:val="none"/>
              </w:rPr>
            </w:pPr>
          </w:p>
        </w:tc>
        <w:tc>
          <w:tcPr>
            <w:tcW w:w="949" w:type="dxa"/>
            <w:vAlign w:val="top"/>
          </w:tcPr>
          <w:p w14:paraId="6A6BCD91">
            <w:pPr>
              <w:rPr>
                <w:rFonts w:ascii="Arial"/>
                <w:sz w:val="21"/>
                <w:highlight w:val="none"/>
              </w:rPr>
            </w:pPr>
          </w:p>
        </w:tc>
      </w:tr>
      <w:tr w14:paraId="4E49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4A961965">
            <w:pPr>
              <w:rPr>
                <w:rFonts w:ascii="Arial"/>
                <w:sz w:val="21"/>
                <w:highlight w:val="none"/>
              </w:rPr>
            </w:pPr>
          </w:p>
        </w:tc>
        <w:tc>
          <w:tcPr>
            <w:tcW w:w="1154" w:type="dxa"/>
            <w:vAlign w:val="top"/>
          </w:tcPr>
          <w:p w14:paraId="60AFB1CE">
            <w:pPr>
              <w:rPr>
                <w:rFonts w:ascii="Arial"/>
                <w:sz w:val="21"/>
                <w:highlight w:val="none"/>
              </w:rPr>
            </w:pPr>
          </w:p>
        </w:tc>
        <w:tc>
          <w:tcPr>
            <w:tcW w:w="1049" w:type="dxa"/>
            <w:vAlign w:val="top"/>
          </w:tcPr>
          <w:p w14:paraId="24A988BF">
            <w:pPr>
              <w:rPr>
                <w:rFonts w:ascii="Arial"/>
                <w:sz w:val="21"/>
                <w:highlight w:val="none"/>
              </w:rPr>
            </w:pPr>
          </w:p>
        </w:tc>
        <w:tc>
          <w:tcPr>
            <w:tcW w:w="630" w:type="dxa"/>
            <w:vAlign w:val="top"/>
          </w:tcPr>
          <w:p w14:paraId="158BA2DA">
            <w:pPr>
              <w:rPr>
                <w:rFonts w:ascii="Arial"/>
                <w:sz w:val="21"/>
                <w:highlight w:val="none"/>
              </w:rPr>
            </w:pPr>
          </w:p>
        </w:tc>
        <w:tc>
          <w:tcPr>
            <w:tcW w:w="525" w:type="dxa"/>
            <w:vAlign w:val="top"/>
          </w:tcPr>
          <w:p w14:paraId="45DD5650">
            <w:pPr>
              <w:rPr>
                <w:rFonts w:ascii="Arial"/>
                <w:sz w:val="21"/>
                <w:highlight w:val="none"/>
              </w:rPr>
            </w:pPr>
          </w:p>
        </w:tc>
        <w:tc>
          <w:tcPr>
            <w:tcW w:w="781" w:type="dxa"/>
            <w:vAlign w:val="top"/>
          </w:tcPr>
          <w:p w14:paraId="21F8DBFF">
            <w:pPr>
              <w:rPr>
                <w:rFonts w:ascii="Arial"/>
                <w:sz w:val="21"/>
                <w:highlight w:val="none"/>
              </w:rPr>
            </w:pPr>
          </w:p>
        </w:tc>
        <w:tc>
          <w:tcPr>
            <w:tcW w:w="850" w:type="dxa"/>
            <w:vAlign w:val="top"/>
          </w:tcPr>
          <w:p w14:paraId="457D56D1">
            <w:pPr>
              <w:rPr>
                <w:rFonts w:ascii="Arial"/>
                <w:sz w:val="21"/>
                <w:highlight w:val="none"/>
              </w:rPr>
            </w:pPr>
          </w:p>
        </w:tc>
        <w:tc>
          <w:tcPr>
            <w:tcW w:w="849" w:type="dxa"/>
            <w:vAlign w:val="top"/>
          </w:tcPr>
          <w:p w14:paraId="4F90880C">
            <w:pPr>
              <w:rPr>
                <w:rFonts w:ascii="Arial"/>
                <w:sz w:val="21"/>
                <w:highlight w:val="none"/>
              </w:rPr>
            </w:pPr>
          </w:p>
        </w:tc>
        <w:tc>
          <w:tcPr>
            <w:tcW w:w="773" w:type="dxa"/>
            <w:vAlign w:val="top"/>
          </w:tcPr>
          <w:p w14:paraId="5E420FF6">
            <w:pPr>
              <w:rPr>
                <w:rFonts w:ascii="Arial"/>
                <w:sz w:val="21"/>
                <w:highlight w:val="none"/>
              </w:rPr>
            </w:pPr>
          </w:p>
        </w:tc>
        <w:tc>
          <w:tcPr>
            <w:tcW w:w="840" w:type="dxa"/>
            <w:vAlign w:val="top"/>
          </w:tcPr>
          <w:p w14:paraId="3E4252F3">
            <w:pPr>
              <w:rPr>
                <w:rFonts w:ascii="Arial"/>
                <w:sz w:val="21"/>
                <w:highlight w:val="none"/>
              </w:rPr>
            </w:pPr>
          </w:p>
        </w:tc>
        <w:tc>
          <w:tcPr>
            <w:tcW w:w="735" w:type="dxa"/>
            <w:vAlign w:val="top"/>
          </w:tcPr>
          <w:p w14:paraId="0D6E1638">
            <w:pPr>
              <w:rPr>
                <w:rFonts w:ascii="Arial"/>
                <w:sz w:val="21"/>
                <w:highlight w:val="none"/>
              </w:rPr>
            </w:pPr>
          </w:p>
        </w:tc>
        <w:tc>
          <w:tcPr>
            <w:tcW w:w="949" w:type="dxa"/>
            <w:vAlign w:val="top"/>
          </w:tcPr>
          <w:p w14:paraId="6899AC03">
            <w:pPr>
              <w:rPr>
                <w:rFonts w:ascii="Arial"/>
                <w:sz w:val="21"/>
                <w:highlight w:val="none"/>
              </w:rPr>
            </w:pPr>
          </w:p>
        </w:tc>
      </w:tr>
      <w:tr w14:paraId="64CB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1C22FA92">
            <w:pPr>
              <w:rPr>
                <w:rFonts w:ascii="Arial"/>
                <w:sz w:val="21"/>
                <w:highlight w:val="none"/>
              </w:rPr>
            </w:pPr>
          </w:p>
        </w:tc>
        <w:tc>
          <w:tcPr>
            <w:tcW w:w="1154" w:type="dxa"/>
            <w:vAlign w:val="top"/>
          </w:tcPr>
          <w:p w14:paraId="2FCDDBCF">
            <w:pPr>
              <w:rPr>
                <w:rFonts w:ascii="Arial"/>
                <w:sz w:val="21"/>
                <w:highlight w:val="none"/>
              </w:rPr>
            </w:pPr>
          </w:p>
        </w:tc>
        <w:tc>
          <w:tcPr>
            <w:tcW w:w="1049" w:type="dxa"/>
            <w:vAlign w:val="top"/>
          </w:tcPr>
          <w:p w14:paraId="42C06BB8">
            <w:pPr>
              <w:rPr>
                <w:rFonts w:ascii="Arial"/>
                <w:sz w:val="21"/>
                <w:highlight w:val="none"/>
              </w:rPr>
            </w:pPr>
          </w:p>
        </w:tc>
        <w:tc>
          <w:tcPr>
            <w:tcW w:w="630" w:type="dxa"/>
            <w:vAlign w:val="top"/>
          </w:tcPr>
          <w:p w14:paraId="33325081">
            <w:pPr>
              <w:rPr>
                <w:rFonts w:ascii="Arial"/>
                <w:sz w:val="21"/>
                <w:highlight w:val="none"/>
              </w:rPr>
            </w:pPr>
          </w:p>
        </w:tc>
        <w:tc>
          <w:tcPr>
            <w:tcW w:w="525" w:type="dxa"/>
            <w:vAlign w:val="top"/>
          </w:tcPr>
          <w:p w14:paraId="32B0A234">
            <w:pPr>
              <w:rPr>
                <w:rFonts w:ascii="Arial"/>
                <w:sz w:val="21"/>
                <w:highlight w:val="none"/>
              </w:rPr>
            </w:pPr>
          </w:p>
        </w:tc>
        <w:tc>
          <w:tcPr>
            <w:tcW w:w="781" w:type="dxa"/>
            <w:vAlign w:val="top"/>
          </w:tcPr>
          <w:p w14:paraId="5A0ADF32">
            <w:pPr>
              <w:rPr>
                <w:rFonts w:ascii="Arial"/>
                <w:sz w:val="21"/>
                <w:highlight w:val="none"/>
              </w:rPr>
            </w:pPr>
          </w:p>
        </w:tc>
        <w:tc>
          <w:tcPr>
            <w:tcW w:w="850" w:type="dxa"/>
            <w:vAlign w:val="top"/>
          </w:tcPr>
          <w:p w14:paraId="4A9254C8">
            <w:pPr>
              <w:rPr>
                <w:rFonts w:ascii="Arial"/>
                <w:sz w:val="21"/>
                <w:highlight w:val="none"/>
              </w:rPr>
            </w:pPr>
          </w:p>
        </w:tc>
        <w:tc>
          <w:tcPr>
            <w:tcW w:w="849" w:type="dxa"/>
            <w:vAlign w:val="top"/>
          </w:tcPr>
          <w:p w14:paraId="7321332A">
            <w:pPr>
              <w:rPr>
                <w:rFonts w:ascii="Arial"/>
                <w:sz w:val="21"/>
                <w:highlight w:val="none"/>
              </w:rPr>
            </w:pPr>
          </w:p>
        </w:tc>
        <w:tc>
          <w:tcPr>
            <w:tcW w:w="773" w:type="dxa"/>
            <w:vAlign w:val="top"/>
          </w:tcPr>
          <w:p w14:paraId="137B9913">
            <w:pPr>
              <w:rPr>
                <w:rFonts w:ascii="Arial"/>
                <w:sz w:val="21"/>
                <w:highlight w:val="none"/>
              </w:rPr>
            </w:pPr>
          </w:p>
        </w:tc>
        <w:tc>
          <w:tcPr>
            <w:tcW w:w="840" w:type="dxa"/>
            <w:vAlign w:val="top"/>
          </w:tcPr>
          <w:p w14:paraId="399A500D">
            <w:pPr>
              <w:rPr>
                <w:rFonts w:ascii="Arial"/>
                <w:sz w:val="21"/>
                <w:highlight w:val="none"/>
              </w:rPr>
            </w:pPr>
          </w:p>
        </w:tc>
        <w:tc>
          <w:tcPr>
            <w:tcW w:w="735" w:type="dxa"/>
            <w:vAlign w:val="top"/>
          </w:tcPr>
          <w:p w14:paraId="0D4B5D2E">
            <w:pPr>
              <w:rPr>
                <w:rFonts w:ascii="Arial"/>
                <w:sz w:val="21"/>
                <w:highlight w:val="none"/>
              </w:rPr>
            </w:pPr>
          </w:p>
        </w:tc>
        <w:tc>
          <w:tcPr>
            <w:tcW w:w="949" w:type="dxa"/>
            <w:vAlign w:val="top"/>
          </w:tcPr>
          <w:p w14:paraId="5585D3AF">
            <w:pPr>
              <w:rPr>
                <w:rFonts w:ascii="Arial"/>
                <w:sz w:val="21"/>
                <w:highlight w:val="none"/>
              </w:rPr>
            </w:pPr>
          </w:p>
        </w:tc>
      </w:tr>
      <w:tr w14:paraId="4C39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C610D13">
            <w:pPr>
              <w:rPr>
                <w:rFonts w:ascii="Arial"/>
                <w:sz w:val="21"/>
                <w:highlight w:val="none"/>
              </w:rPr>
            </w:pPr>
          </w:p>
        </w:tc>
        <w:tc>
          <w:tcPr>
            <w:tcW w:w="1154" w:type="dxa"/>
            <w:vAlign w:val="top"/>
          </w:tcPr>
          <w:p w14:paraId="408C26C7">
            <w:pPr>
              <w:rPr>
                <w:rFonts w:ascii="Arial"/>
                <w:sz w:val="21"/>
                <w:highlight w:val="none"/>
              </w:rPr>
            </w:pPr>
          </w:p>
        </w:tc>
        <w:tc>
          <w:tcPr>
            <w:tcW w:w="1049" w:type="dxa"/>
            <w:vAlign w:val="top"/>
          </w:tcPr>
          <w:p w14:paraId="21F08A9A">
            <w:pPr>
              <w:rPr>
                <w:rFonts w:ascii="Arial"/>
                <w:sz w:val="21"/>
                <w:highlight w:val="none"/>
              </w:rPr>
            </w:pPr>
          </w:p>
        </w:tc>
        <w:tc>
          <w:tcPr>
            <w:tcW w:w="630" w:type="dxa"/>
            <w:vAlign w:val="top"/>
          </w:tcPr>
          <w:p w14:paraId="186DD192">
            <w:pPr>
              <w:rPr>
                <w:rFonts w:ascii="Arial"/>
                <w:sz w:val="21"/>
                <w:highlight w:val="none"/>
              </w:rPr>
            </w:pPr>
          </w:p>
        </w:tc>
        <w:tc>
          <w:tcPr>
            <w:tcW w:w="525" w:type="dxa"/>
            <w:vAlign w:val="top"/>
          </w:tcPr>
          <w:p w14:paraId="730BF3F1">
            <w:pPr>
              <w:rPr>
                <w:rFonts w:ascii="Arial"/>
                <w:sz w:val="21"/>
                <w:highlight w:val="none"/>
              </w:rPr>
            </w:pPr>
          </w:p>
        </w:tc>
        <w:tc>
          <w:tcPr>
            <w:tcW w:w="781" w:type="dxa"/>
            <w:vAlign w:val="top"/>
          </w:tcPr>
          <w:p w14:paraId="1761B02E">
            <w:pPr>
              <w:rPr>
                <w:rFonts w:ascii="Arial"/>
                <w:sz w:val="21"/>
                <w:highlight w:val="none"/>
              </w:rPr>
            </w:pPr>
          </w:p>
        </w:tc>
        <w:tc>
          <w:tcPr>
            <w:tcW w:w="850" w:type="dxa"/>
            <w:vAlign w:val="top"/>
          </w:tcPr>
          <w:p w14:paraId="56BDBAA6">
            <w:pPr>
              <w:rPr>
                <w:rFonts w:ascii="Arial"/>
                <w:sz w:val="21"/>
                <w:highlight w:val="none"/>
              </w:rPr>
            </w:pPr>
          </w:p>
        </w:tc>
        <w:tc>
          <w:tcPr>
            <w:tcW w:w="849" w:type="dxa"/>
            <w:vAlign w:val="top"/>
          </w:tcPr>
          <w:p w14:paraId="572BFCF0">
            <w:pPr>
              <w:rPr>
                <w:rFonts w:ascii="Arial"/>
                <w:sz w:val="21"/>
                <w:highlight w:val="none"/>
              </w:rPr>
            </w:pPr>
          </w:p>
        </w:tc>
        <w:tc>
          <w:tcPr>
            <w:tcW w:w="773" w:type="dxa"/>
            <w:vAlign w:val="top"/>
          </w:tcPr>
          <w:p w14:paraId="50D03602">
            <w:pPr>
              <w:rPr>
                <w:rFonts w:ascii="Arial"/>
                <w:sz w:val="21"/>
                <w:highlight w:val="none"/>
              </w:rPr>
            </w:pPr>
          </w:p>
        </w:tc>
        <w:tc>
          <w:tcPr>
            <w:tcW w:w="840" w:type="dxa"/>
            <w:vAlign w:val="top"/>
          </w:tcPr>
          <w:p w14:paraId="4B9CF1F0">
            <w:pPr>
              <w:rPr>
                <w:rFonts w:ascii="Arial"/>
                <w:sz w:val="21"/>
                <w:highlight w:val="none"/>
              </w:rPr>
            </w:pPr>
          </w:p>
        </w:tc>
        <w:tc>
          <w:tcPr>
            <w:tcW w:w="735" w:type="dxa"/>
            <w:vAlign w:val="top"/>
          </w:tcPr>
          <w:p w14:paraId="20E47C49">
            <w:pPr>
              <w:rPr>
                <w:rFonts w:ascii="Arial"/>
                <w:sz w:val="21"/>
                <w:highlight w:val="none"/>
              </w:rPr>
            </w:pPr>
          </w:p>
        </w:tc>
        <w:tc>
          <w:tcPr>
            <w:tcW w:w="949" w:type="dxa"/>
            <w:vAlign w:val="top"/>
          </w:tcPr>
          <w:p w14:paraId="576C4EA7">
            <w:pPr>
              <w:rPr>
                <w:rFonts w:ascii="Arial"/>
                <w:sz w:val="21"/>
                <w:highlight w:val="none"/>
              </w:rPr>
            </w:pPr>
          </w:p>
        </w:tc>
      </w:tr>
      <w:tr w14:paraId="6EDD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0FDA2FB2">
            <w:pPr>
              <w:rPr>
                <w:rFonts w:ascii="Arial"/>
                <w:sz w:val="21"/>
                <w:highlight w:val="none"/>
              </w:rPr>
            </w:pPr>
          </w:p>
        </w:tc>
        <w:tc>
          <w:tcPr>
            <w:tcW w:w="1154" w:type="dxa"/>
            <w:vAlign w:val="top"/>
          </w:tcPr>
          <w:p w14:paraId="4F02EF08">
            <w:pPr>
              <w:rPr>
                <w:rFonts w:ascii="Arial"/>
                <w:sz w:val="21"/>
                <w:highlight w:val="none"/>
              </w:rPr>
            </w:pPr>
          </w:p>
        </w:tc>
        <w:tc>
          <w:tcPr>
            <w:tcW w:w="1049" w:type="dxa"/>
            <w:vAlign w:val="top"/>
          </w:tcPr>
          <w:p w14:paraId="149E1EDE">
            <w:pPr>
              <w:rPr>
                <w:rFonts w:ascii="Arial"/>
                <w:sz w:val="21"/>
                <w:highlight w:val="none"/>
              </w:rPr>
            </w:pPr>
          </w:p>
        </w:tc>
        <w:tc>
          <w:tcPr>
            <w:tcW w:w="630" w:type="dxa"/>
            <w:vAlign w:val="top"/>
          </w:tcPr>
          <w:p w14:paraId="5B9D560F">
            <w:pPr>
              <w:rPr>
                <w:rFonts w:ascii="Arial"/>
                <w:sz w:val="21"/>
                <w:highlight w:val="none"/>
              </w:rPr>
            </w:pPr>
          </w:p>
        </w:tc>
        <w:tc>
          <w:tcPr>
            <w:tcW w:w="525" w:type="dxa"/>
            <w:vAlign w:val="top"/>
          </w:tcPr>
          <w:p w14:paraId="577DA2EB">
            <w:pPr>
              <w:rPr>
                <w:rFonts w:ascii="Arial"/>
                <w:sz w:val="21"/>
                <w:highlight w:val="none"/>
              </w:rPr>
            </w:pPr>
          </w:p>
        </w:tc>
        <w:tc>
          <w:tcPr>
            <w:tcW w:w="781" w:type="dxa"/>
            <w:vAlign w:val="top"/>
          </w:tcPr>
          <w:p w14:paraId="739A771C">
            <w:pPr>
              <w:rPr>
                <w:rFonts w:ascii="Arial"/>
                <w:sz w:val="21"/>
                <w:highlight w:val="none"/>
              </w:rPr>
            </w:pPr>
          </w:p>
        </w:tc>
        <w:tc>
          <w:tcPr>
            <w:tcW w:w="850" w:type="dxa"/>
            <w:vAlign w:val="top"/>
          </w:tcPr>
          <w:p w14:paraId="0EAC4E70">
            <w:pPr>
              <w:rPr>
                <w:rFonts w:ascii="Arial"/>
                <w:sz w:val="21"/>
                <w:highlight w:val="none"/>
              </w:rPr>
            </w:pPr>
          </w:p>
        </w:tc>
        <w:tc>
          <w:tcPr>
            <w:tcW w:w="849" w:type="dxa"/>
            <w:vAlign w:val="top"/>
          </w:tcPr>
          <w:p w14:paraId="5441F099">
            <w:pPr>
              <w:rPr>
                <w:rFonts w:ascii="Arial"/>
                <w:sz w:val="21"/>
                <w:highlight w:val="none"/>
              </w:rPr>
            </w:pPr>
          </w:p>
        </w:tc>
        <w:tc>
          <w:tcPr>
            <w:tcW w:w="773" w:type="dxa"/>
            <w:vAlign w:val="top"/>
          </w:tcPr>
          <w:p w14:paraId="4882BB5F">
            <w:pPr>
              <w:rPr>
                <w:rFonts w:ascii="Arial"/>
                <w:sz w:val="21"/>
                <w:highlight w:val="none"/>
              </w:rPr>
            </w:pPr>
          </w:p>
        </w:tc>
        <w:tc>
          <w:tcPr>
            <w:tcW w:w="840" w:type="dxa"/>
            <w:vAlign w:val="top"/>
          </w:tcPr>
          <w:p w14:paraId="55B84D97">
            <w:pPr>
              <w:rPr>
                <w:rFonts w:ascii="Arial"/>
                <w:sz w:val="21"/>
                <w:highlight w:val="none"/>
              </w:rPr>
            </w:pPr>
          </w:p>
        </w:tc>
        <w:tc>
          <w:tcPr>
            <w:tcW w:w="735" w:type="dxa"/>
            <w:vAlign w:val="top"/>
          </w:tcPr>
          <w:p w14:paraId="1BB12E33">
            <w:pPr>
              <w:rPr>
                <w:rFonts w:ascii="Arial"/>
                <w:sz w:val="21"/>
                <w:highlight w:val="none"/>
              </w:rPr>
            </w:pPr>
          </w:p>
        </w:tc>
        <w:tc>
          <w:tcPr>
            <w:tcW w:w="949" w:type="dxa"/>
            <w:vAlign w:val="top"/>
          </w:tcPr>
          <w:p w14:paraId="47FF7D06">
            <w:pPr>
              <w:rPr>
                <w:rFonts w:ascii="Arial"/>
                <w:sz w:val="21"/>
                <w:highlight w:val="none"/>
              </w:rPr>
            </w:pPr>
          </w:p>
        </w:tc>
      </w:tr>
      <w:tr w14:paraId="7933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84" w:type="dxa"/>
            <w:vAlign w:val="top"/>
          </w:tcPr>
          <w:p w14:paraId="7FB0F8CC">
            <w:pPr>
              <w:rPr>
                <w:rFonts w:ascii="Arial"/>
                <w:sz w:val="21"/>
                <w:highlight w:val="none"/>
              </w:rPr>
            </w:pPr>
          </w:p>
        </w:tc>
        <w:tc>
          <w:tcPr>
            <w:tcW w:w="1154" w:type="dxa"/>
            <w:vAlign w:val="top"/>
          </w:tcPr>
          <w:p w14:paraId="36C2559C">
            <w:pPr>
              <w:rPr>
                <w:rFonts w:ascii="Arial"/>
                <w:sz w:val="21"/>
                <w:highlight w:val="none"/>
              </w:rPr>
            </w:pPr>
          </w:p>
        </w:tc>
        <w:tc>
          <w:tcPr>
            <w:tcW w:w="1049" w:type="dxa"/>
            <w:vAlign w:val="top"/>
          </w:tcPr>
          <w:p w14:paraId="0D6ED84D">
            <w:pPr>
              <w:rPr>
                <w:rFonts w:ascii="Arial"/>
                <w:sz w:val="21"/>
                <w:highlight w:val="none"/>
              </w:rPr>
            </w:pPr>
          </w:p>
        </w:tc>
        <w:tc>
          <w:tcPr>
            <w:tcW w:w="630" w:type="dxa"/>
            <w:vAlign w:val="top"/>
          </w:tcPr>
          <w:p w14:paraId="53874E65">
            <w:pPr>
              <w:rPr>
                <w:rFonts w:ascii="Arial"/>
                <w:sz w:val="21"/>
                <w:highlight w:val="none"/>
              </w:rPr>
            </w:pPr>
          </w:p>
        </w:tc>
        <w:tc>
          <w:tcPr>
            <w:tcW w:w="525" w:type="dxa"/>
            <w:vAlign w:val="top"/>
          </w:tcPr>
          <w:p w14:paraId="3263B52A">
            <w:pPr>
              <w:rPr>
                <w:rFonts w:ascii="Arial"/>
                <w:sz w:val="21"/>
                <w:highlight w:val="none"/>
              </w:rPr>
            </w:pPr>
          </w:p>
        </w:tc>
        <w:tc>
          <w:tcPr>
            <w:tcW w:w="781" w:type="dxa"/>
            <w:vAlign w:val="top"/>
          </w:tcPr>
          <w:p w14:paraId="4CF58FE0">
            <w:pPr>
              <w:rPr>
                <w:rFonts w:ascii="Arial"/>
                <w:sz w:val="21"/>
                <w:highlight w:val="none"/>
              </w:rPr>
            </w:pPr>
          </w:p>
        </w:tc>
        <w:tc>
          <w:tcPr>
            <w:tcW w:w="850" w:type="dxa"/>
            <w:vAlign w:val="top"/>
          </w:tcPr>
          <w:p w14:paraId="1442202E">
            <w:pPr>
              <w:rPr>
                <w:rFonts w:ascii="Arial"/>
                <w:sz w:val="21"/>
                <w:highlight w:val="none"/>
              </w:rPr>
            </w:pPr>
          </w:p>
        </w:tc>
        <w:tc>
          <w:tcPr>
            <w:tcW w:w="849" w:type="dxa"/>
            <w:vAlign w:val="top"/>
          </w:tcPr>
          <w:p w14:paraId="65947EC2">
            <w:pPr>
              <w:rPr>
                <w:rFonts w:ascii="Arial"/>
                <w:sz w:val="21"/>
                <w:highlight w:val="none"/>
              </w:rPr>
            </w:pPr>
          </w:p>
        </w:tc>
        <w:tc>
          <w:tcPr>
            <w:tcW w:w="773" w:type="dxa"/>
            <w:vAlign w:val="top"/>
          </w:tcPr>
          <w:p w14:paraId="6682C0F9">
            <w:pPr>
              <w:rPr>
                <w:rFonts w:ascii="Arial"/>
                <w:sz w:val="21"/>
                <w:highlight w:val="none"/>
              </w:rPr>
            </w:pPr>
          </w:p>
        </w:tc>
        <w:tc>
          <w:tcPr>
            <w:tcW w:w="840" w:type="dxa"/>
            <w:vAlign w:val="top"/>
          </w:tcPr>
          <w:p w14:paraId="7BB935DC">
            <w:pPr>
              <w:rPr>
                <w:rFonts w:ascii="Arial"/>
                <w:sz w:val="21"/>
                <w:highlight w:val="none"/>
              </w:rPr>
            </w:pPr>
          </w:p>
        </w:tc>
        <w:tc>
          <w:tcPr>
            <w:tcW w:w="735" w:type="dxa"/>
            <w:vAlign w:val="top"/>
          </w:tcPr>
          <w:p w14:paraId="29C33563">
            <w:pPr>
              <w:rPr>
                <w:rFonts w:ascii="Arial"/>
                <w:sz w:val="21"/>
                <w:highlight w:val="none"/>
              </w:rPr>
            </w:pPr>
          </w:p>
        </w:tc>
        <w:tc>
          <w:tcPr>
            <w:tcW w:w="949" w:type="dxa"/>
            <w:vAlign w:val="top"/>
          </w:tcPr>
          <w:p w14:paraId="5DB179CA">
            <w:pPr>
              <w:rPr>
                <w:rFonts w:ascii="Arial"/>
                <w:sz w:val="21"/>
                <w:highlight w:val="none"/>
              </w:rPr>
            </w:pPr>
          </w:p>
        </w:tc>
      </w:tr>
    </w:tbl>
    <w:p w14:paraId="6D9D6388">
      <w:pPr>
        <w:pStyle w:val="17"/>
        <w:rPr>
          <w:highlight w:val="none"/>
        </w:rPr>
      </w:pPr>
    </w:p>
    <w:p w14:paraId="791132E2">
      <w:pPr>
        <w:pStyle w:val="17"/>
        <w:spacing w:line="407" w:lineRule="auto"/>
        <w:rPr>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25400</wp:posOffset>
                </wp:positionV>
                <wp:extent cx="5278755" cy="9525"/>
                <wp:effectExtent l="0" t="0" r="0" b="0"/>
                <wp:wrapNone/>
                <wp:docPr id="111" name="任意多边形 111"/>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55pt;margin-top:2pt;height:0.75pt;width:415.65pt;z-index:251664384;mso-width-relative:page;mso-height-relative:page;" fillcolor="#000000" filled="t" stroked="f" coordsize="8312,15" o:gfxdata="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WW7ntUAAAAFAQAADwAAAAAAAAAB&#10;ACAAAAAiAAAAZHJzL2Rvd25yZXYueG1sUEsBAhQAFAAAAAgAh07iQJqyJCQTAgAAfwQAAA4AAAAA&#10;AAAAAQAgAAAAJAEAAGRycy9lMm9Eb2MueG1sUEsFBgAAAAAGAAYAWQEAAKkFAAAAAA==&#10;" path="m0,0l8312,0,8312,14,0,14,0,0xe">
                <v:fill on="t" focussize="0,0"/>
                <v:stroke on="f"/>
                <v:imagedata o:title=""/>
                <o:lock v:ext="edit" aspectratio="f"/>
              </v:shape>
            </w:pict>
          </mc:Fallback>
        </mc:AlternateContent>
      </w:r>
      <w:r>
        <w:rPr>
          <w:rFonts w:hint="eastAsia"/>
          <w:highlight w:val="none"/>
          <w:lang w:eastAsia="zh-CN"/>
        </w:rPr>
        <w:t xml:space="preserve"> </w:t>
      </w:r>
    </w:p>
    <w:p w14:paraId="5680B665">
      <w:pPr>
        <w:rPr>
          <w:rFonts w:ascii="宋体" w:hAnsi="宋体" w:eastAsia="宋体" w:cs="宋体"/>
          <w:spacing w:val="-3"/>
          <w:sz w:val="24"/>
          <w:szCs w:val="24"/>
          <w:highlight w:val="none"/>
        </w:rPr>
      </w:pPr>
      <w:bookmarkStart w:id="795" w:name="bookmark71"/>
      <w:bookmarkEnd w:id="795"/>
      <w:r>
        <w:rPr>
          <w:rFonts w:ascii="宋体" w:hAnsi="宋体" w:eastAsia="宋体" w:cs="宋体"/>
          <w:spacing w:val="-3"/>
          <w:sz w:val="24"/>
          <w:szCs w:val="24"/>
          <w:highlight w:val="none"/>
        </w:rPr>
        <w:br w:type="page"/>
      </w:r>
    </w:p>
    <w:p w14:paraId="1C378E16">
      <w:pPr>
        <w:spacing w:before="78" w:line="219" w:lineRule="auto"/>
        <w:ind w:left="39"/>
        <w:outlineLvl w:val="1"/>
        <w:rPr>
          <w:rFonts w:ascii="宋体" w:hAnsi="宋体" w:eastAsia="宋体" w:cs="宋体"/>
          <w:sz w:val="24"/>
          <w:szCs w:val="24"/>
          <w:highlight w:val="none"/>
        </w:rPr>
      </w:pPr>
      <w:r>
        <w:rPr>
          <w:rFonts w:ascii="宋体" w:hAnsi="宋体" w:eastAsia="宋体" w:cs="宋体"/>
          <w:spacing w:val="-3"/>
          <w:sz w:val="24"/>
          <w:szCs w:val="24"/>
          <w:highlight w:val="none"/>
        </w:rPr>
        <w:t>附件五：承包人履约担保格式</w:t>
      </w:r>
    </w:p>
    <w:p w14:paraId="42FDF125">
      <w:pPr>
        <w:spacing w:before="297" w:line="228" w:lineRule="auto"/>
        <w:ind w:left="19"/>
        <w:rPr>
          <w:rFonts w:ascii="宋体" w:hAnsi="宋体" w:eastAsia="宋体" w:cs="宋体"/>
          <w:sz w:val="20"/>
          <w:szCs w:val="20"/>
          <w:highlight w:val="none"/>
        </w:rPr>
      </w:pPr>
      <w:r>
        <w:rPr>
          <w:rFonts w:ascii="宋体" w:hAnsi="宋体" w:eastAsia="宋体" w:cs="宋体"/>
          <w:spacing w:val="9"/>
          <w:sz w:val="20"/>
          <w:szCs w:val="20"/>
          <w:highlight w:val="none"/>
        </w:rPr>
        <w:t>注：此处履约担保格式，由承包人依据现行法规政策要求自行补充。</w:t>
      </w:r>
    </w:p>
    <w:p w14:paraId="49CED93D">
      <w:pPr>
        <w:rPr>
          <w:rFonts w:ascii="宋体" w:hAnsi="宋体" w:eastAsia="宋体" w:cs="宋体"/>
          <w:spacing w:val="-3"/>
          <w:sz w:val="24"/>
          <w:szCs w:val="24"/>
          <w:highlight w:val="none"/>
        </w:rPr>
      </w:pPr>
      <w:bookmarkStart w:id="796" w:name="bookmark72"/>
      <w:bookmarkEnd w:id="796"/>
      <w:r>
        <w:rPr>
          <w:rFonts w:ascii="宋体" w:hAnsi="宋体" w:eastAsia="宋体" w:cs="宋体"/>
          <w:spacing w:val="-3"/>
          <w:sz w:val="24"/>
          <w:szCs w:val="24"/>
          <w:highlight w:val="none"/>
        </w:rPr>
        <w:br w:type="page"/>
      </w:r>
    </w:p>
    <w:p w14:paraId="7B70E119">
      <w:pPr>
        <w:spacing w:before="78" w:line="219" w:lineRule="auto"/>
        <w:ind w:left="39"/>
        <w:rPr>
          <w:rFonts w:ascii="宋体" w:hAnsi="宋体" w:eastAsia="宋体" w:cs="宋体"/>
          <w:sz w:val="24"/>
          <w:szCs w:val="24"/>
          <w:highlight w:val="none"/>
        </w:rPr>
      </w:pPr>
      <w:r>
        <w:rPr>
          <w:rFonts w:ascii="宋体" w:hAnsi="宋体" w:eastAsia="宋体" w:cs="宋体"/>
          <w:spacing w:val="-3"/>
          <w:sz w:val="24"/>
          <w:szCs w:val="24"/>
          <w:highlight w:val="none"/>
        </w:rPr>
        <w:t>附件六：支付担保格式</w:t>
      </w:r>
    </w:p>
    <w:p w14:paraId="6C85336A">
      <w:pPr>
        <w:spacing w:before="297" w:line="228" w:lineRule="auto"/>
        <w:ind w:left="19"/>
        <w:rPr>
          <w:rFonts w:ascii="宋体" w:hAnsi="宋体" w:eastAsia="宋体" w:cs="宋体"/>
          <w:sz w:val="20"/>
          <w:szCs w:val="20"/>
          <w:highlight w:val="none"/>
        </w:rPr>
      </w:pPr>
      <w:r>
        <w:rPr>
          <w:rFonts w:ascii="宋体" w:hAnsi="宋体" w:eastAsia="宋体" w:cs="宋体"/>
          <w:spacing w:val="9"/>
          <w:sz w:val="20"/>
          <w:szCs w:val="20"/>
          <w:highlight w:val="none"/>
        </w:rPr>
        <w:t>注：此处支付担保格式，由发包人依据现行法规政策要求自行补充。</w:t>
      </w:r>
    </w:p>
    <w:p w14:paraId="6B09C463">
      <w:pPr>
        <w:pStyle w:val="17"/>
        <w:spacing w:line="324" w:lineRule="auto"/>
        <w:rPr>
          <w:highlight w:val="none"/>
        </w:rPr>
      </w:pPr>
      <w:r>
        <w:rPr>
          <w:rFonts w:hint="eastAsia" w:cs="宋体"/>
          <w:sz w:val="20"/>
          <w:szCs w:val="20"/>
          <w:highlight w:val="none"/>
          <w:lang w:eastAsia="zh-CN"/>
        </w:rPr>
        <w:t xml:space="preserve"> </w:t>
      </w:r>
    </w:p>
    <w:p w14:paraId="7084393C">
      <w:pPr>
        <w:pStyle w:val="17"/>
        <w:spacing w:line="324" w:lineRule="auto"/>
        <w:rPr>
          <w:highlight w:val="none"/>
        </w:rPr>
      </w:pPr>
    </w:p>
    <w:p w14:paraId="29BD3903">
      <w:pPr>
        <w:rPr>
          <w:rFonts w:ascii="宋体" w:hAnsi="宋体" w:eastAsia="宋体" w:cs="宋体"/>
          <w:spacing w:val="-3"/>
          <w:sz w:val="24"/>
          <w:szCs w:val="24"/>
        </w:rPr>
      </w:pPr>
      <w:r>
        <w:rPr>
          <w:rFonts w:ascii="宋体" w:hAnsi="宋体" w:eastAsia="宋体" w:cs="宋体"/>
          <w:spacing w:val="-3"/>
          <w:sz w:val="24"/>
          <w:szCs w:val="24"/>
          <w:highlight w:val="none"/>
        </w:rPr>
        <w:br w:type="page"/>
      </w:r>
    </w:p>
    <w:p w14:paraId="113FD165">
      <w:pPr>
        <w:spacing w:before="78" w:line="219" w:lineRule="auto"/>
        <w:ind w:left="39"/>
        <w:outlineLvl w:val="1"/>
        <w:rPr>
          <w:rFonts w:ascii="宋体" w:hAnsi="宋体" w:eastAsia="宋体" w:cs="宋体"/>
          <w:sz w:val="24"/>
          <w:szCs w:val="24"/>
        </w:rPr>
      </w:pPr>
      <w:r>
        <w:rPr>
          <w:rFonts w:ascii="宋体" w:hAnsi="宋体" w:eastAsia="宋体" w:cs="宋体"/>
          <w:spacing w:val="-3"/>
          <w:sz w:val="24"/>
          <w:szCs w:val="24"/>
        </w:rPr>
        <w:t>附件七：质量保修书格式</w:t>
      </w:r>
    </w:p>
    <w:p w14:paraId="017F141C">
      <w:pPr>
        <w:pStyle w:val="17"/>
        <w:spacing w:line="252" w:lineRule="auto"/>
      </w:pPr>
    </w:p>
    <w:p w14:paraId="1DABC700">
      <w:pPr>
        <w:pStyle w:val="17"/>
        <w:spacing w:line="252" w:lineRule="auto"/>
      </w:pPr>
    </w:p>
    <w:p w14:paraId="6DDC4B3A">
      <w:pPr>
        <w:pStyle w:val="17"/>
        <w:spacing w:line="253" w:lineRule="auto"/>
      </w:pPr>
    </w:p>
    <w:p w14:paraId="25FDE908">
      <w:pPr>
        <w:spacing w:before="91" w:line="220" w:lineRule="auto"/>
        <w:ind w:left="2913"/>
        <w:rPr>
          <w:rFonts w:ascii="宋体" w:hAnsi="宋体" w:eastAsia="宋体" w:cs="宋体"/>
          <w:sz w:val="28"/>
          <w:szCs w:val="28"/>
        </w:rPr>
      </w:pPr>
      <w:bookmarkStart w:id="797" w:name="bookmark73"/>
      <w:bookmarkEnd w:id="797"/>
      <w:r>
        <w:rPr>
          <w:rFonts w:ascii="宋体" w:hAnsi="宋体" w:eastAsia="宋体" w:cs="宋体"/>
          <w:b/>
          <w:bCs/>
          <w:spacing w:val="-4"/>
          <w:sz w:val="28"/>
          <w:szCs w:val="28"/>
        </w:rPr>
        <w:t>房屋建筑工程质量保修书</w:t>
      </w:r>
    </w:p>
    <w:p w14:paraId="46D2CBF5">
      <w:pPr>
        <w:pStyle w:val="17"/>
        <w:spacing w:line="270" w:lineRule="auto"/>
      </w:pPr>
    </w:p>
    <w:p w14:paraId="740B40D5">
      <w:pPr>
        <w:pStyle w:val="17"/>
        <w:spacing w:line="270" w:lineRule="auto"/>
      </w:pPr>
    </w:p>
    <w:p w14:paraId="70BAF25F">
      <w:pPr>
        <w:spacing w:before="65" w:line="229" w:lineRule="auto"/>
        <w:ind w:left="23"/>
        <w:rPr>
          <w:rFonts w:ascii="宋体" w:hAnsi="宋体" w:eastAsia="宋体" w:cs="宋体"/>
          <w:sz w:val="20"/>
          <w:szCs w:val="20"/>
        </w:rPr>
      </w:pPr>
      <w:r>
        <w:rPr>
          <w:rFonts w:ascii="宋体" w:hAnsi="宋体" w:eastAsia="宋体" w:cs="宋体"/>
          <w:spacing w:val="4"/>
          <w:sz w:val="20"/>
          <w:szCs w:val="20"/>
        </w:rPr>
        <w:t>发包人：</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220A6CA1">
      <w:pPr>
        <w:spacing w:before="160" w:line="228" w:lineRule="auto"/>
        <w:ind w:left="19"/>
        <w:rPr>
          <w:rFonts w:ascii="宋体" w:hAnsi="宋体" w:eastAsia="宋体" w:cs="宋体"/>
          <w:sz w:val="20"/>
          <w:szCs w:val="20"/>
        </w:rPr>
      </w:pPr>
      <w:r>
        <w:rPr>
          <w:rFonts w:ascii="宋体" w:hAnsi="宋体" w:eastAsia="宋体" w:cs="宋体"/>
          <w:spacing w:val="4"/>
          <w:sz w:val="20"/>
          <w:szCs w:val="20"/>
        </w:rPr>
        <w:t>承包人：</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E55555">
      <w:pPr>
        <w:pStyle w:val="17"/>
        <w:spacing w:line="250" w:lineRule="auto"/>
      </w:pPr>
    </w:p>
    <w:p w14:paraId="2D3101BB">
      <w:pPr>
        <w:pStyle w:val="17"/>
        <w:spacing w:line="251" w:lineRule="auto"/>
      </w:pPr>
    </w:p>
    <w:p w14:paraId="15D51247">
      <w:pPr>
        <w:spacing w:before="65" w:line="377" w:lineRule="auto"/>
        <w:ind w:left="22" w:right="68" w:firstLine="420"/>
        <w:jc w:val="both"/>
        <w:rPr>
          <w:rFonts w:ascii="宋体" w:hAnsi="宋体" w:eastAsia="宋体" w:cs="宋体"/>
          <w:sz w:val="20"/>
          <w:szCs w:val="20"/>
        </w:rPr>
      </w:pPr>
      <w:r>
        <w:rPr>
          <w:rFonts w:ascii="宋体" w:hAnsi="宋体" w:eastAsia="宋体" w:cs="宋体"/>
          <w:spacing w:val="7"/>
          <w:sz w:val="20"/>
          <w:szCs w:val="20"/>
        </w:rPr>
        <w:t>发包人、承包人根据《中华人民共和国建筑法》、《建设工程质量管理条例》和《房屋</w:t>
      </w:r>
      <w:r>
        <w:rPr>
          <w:rFonts w:ascii="宋体" w:hAnsi="宋体" w:eastAsia="宋体" w:cs="宋体"/>
          <w:spacing w:val="8"/>
          <w:sz w:val="20"/>
          <w:szCs w:val="20"/>
        </w:rPr>
        <w:t>建筑工程质量保修办法》，经协商一致，对</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（工程名称）签</w:t>
      </w:r>
      <w:r>
        <w:rPr>
          <w:rFonts w:ascii="宋体" w:hAnsi="宋体" w:eastAsia="宋体" w:cs="宋体"/>
          <w:spacing w:val="5"/>
          <w:sz w:val="20"/>
          <w:szCs w:val="20"/>
        </w:rPr>
        <w:t>订保修书。</w:t>
      </w:r>
    </w:p>
    <w:p w14:paraId="0709FD1F">
      <w:pPr>
        <w:spacing w:before="1" w:line="228" w:lineRule="auto"/>
        <w:ind w:left="443"/>
        <w:rPr>
          <w:rFonts w:ascii="宋体" w:hAnsi="宋体" w:eastAsia="宋体" w:cs="宋体"/>
          <w:sz w:val="20"/>
          <w:szCs w:val="20"/>
        </w:rPr>
      </w:pPr>
      <w:r>
        <w:rPr>
          <w:rFonts w:ascii="宋体" w:hAnsi="宋体" w:eastAsia="宋体" w:cs="宋体"/>
          <w:spacing w:val="8"/>
          <w:sz w:val="20"/>
          <w:szCs w:val="20"/>
        </w:rPr>
        <w:t>一、工程保修范围和内容</w:t>
      </w:r>
    </w:p>
    <w:p w14:paraId="42D90ABA">
      <w:pPr>
        <w:spacing w:before="159" w:line="377" w:lineRule="auto"/>
        <w:ind w:left="19" w:right="70" w:firstLine="420"/>
        <w:rPr>
          <w:rFonts w:ascii="宋体" w:hAnsi="宋体" w:eastAsia="宋体" w:cs="宋体"/>
          <w:sz w:val="20"/>
          <w:szCs w:val="20"/>
        </w:rPr>
      </w:pPr>
      <w:r>
        <w:rPr>
          <w:rFonts w:ascii="宋体" w:hAnsi="宋体" w:eastAsia="宋体" w:cs="宋体"/>
          <w:spacing w:val="7"/>
          <w:sz w:val="20"/>
          <w:szCs w:val="20"/>
        </w:rPr>
        <w:t>承包人在保修期内，按照有关法律、法规、规章的管理规定和双方约定，承担本工程保</w:t>
      </w:r>
      <w:r>
        <w:rPr>
          <w:rFonts w:ascii="宋体" w:hAnsi="宋体" w:eastAsia="宋体" w:cs="宋体"/>
          <w:spacing w:val="5"/>
          <w:sz w:val="20"/>
          <w:szCs w:val="20"/>
        </w:rPr>
        <w:t>修责任。</w:t>
      </w:r>
    </w:p>
    <w:p w14:paraId="506D6505">
      <w:pPr>
        <w:spacing w:before="2" w:line="378" w:lineRule="auto"/>
        <w:ind w:left="20" w:firstLine="420"/>
        <w:jc w:val="both"/>
        <w:rPr>
          <w:rFonts w:ascii="宋体" w:hAnsi="宋体" w:eastAsia="宋体" w:cs="宋体"/>
          <w:sz w:val="20"/>
          <w:szCs w:val="20"/>
        </w:rPr>
      </w:pPr>
      <w:r>
        <w:rPr>
          <w:rFonts w:ascii="宋体" w:hAnsi="宋体" w:eastAsia="宋体" w:cs="宋体"/>
          <w:spacing w:val="4"/>
          <w:sz w:val="20"/>
          <w:szCs w:val="20"/>
        </w:rPr>
        <w:t>保修责任范围包括地基基础工程、主体结构工程，屋面防水工程、有防水</w:t>
      </w:r>
      <w:r>
        <w:rPr>
          <w:rFonts w:ascii="宋体" w:hAnsi="宋体" w:eastAsia="宋体" w:cs="宋体"/>
          <w:spacing w:val="3"/>
          <w:sz w:val="20"/>
          <w:szCs w:val="20"/>
        </w:rPr>
        <w:t>要求的卫生间、</w:t>
      </w:r>
      <w:r>
        <w:rPr>
          <w:rFonts w:ascii="宋体" w:hAnsi="宋体" w:eastAsia="宋体" w:cs="宋体"/>
          <w:spacing w:val="9"/>
          <w:sz w:val="20"/>
          <w:szCs w:val="20"/>
        </w:rPr>
        <w:t>房间和外墙面的防渗漏，供热与供冷系统，电气管线、给排水管道、设备安装和装修工程，以及双方约定的其他项目。具体保修的内容，双方约定如下：</w:t>
      </w:r>
    </w:p>
    <w:p w14:paraId="59862ABB">
      <w:pPr>
        <w:pStyle w:val="17"/>
        <w:spacing w:line="264" w:lineRule="auto"/>
      </w:pPr>
      <w: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125095</wp:posOffset>
                </wp:positionV>
                <wp:extent cx="5277485" cy="6350"/>
                <wp:effectExtent l="0" t="0" r="0" b="0"/>
                <wp:wrapNone/>
                <wp:docPr id="94" name="任意多边形 94"/>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9.85pt;height:0.5pt;width:415.55pt;z-index:251667456;mso-width-relative:page;mso-height-relative:page;" filled="f" stroked="t" coordsize="8310,10" o:gfxdata="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owmkbWAAAABwEAAA8AAAAAAAAAAQAgAAAAIgAAAGRycy9k&#10;b3ducmV2LnhtbFBLAQIUABQAAAAIAIdO4kDXvU5MPQIAAJgEAAAOAAAAAAAAAAEAIAAAACUBAABk&#10;cnMvZTJvRG9jLnhtbFBLBQYAAAAABgAGAFkBAADUBQAAAAA=&#10;" path="m0,4l8310,4e">
                <v:fill on="f" focussize="0,0"/>
                <v:stroke weight="0.48pt" color="#000000" joinstyle="bevel"/>
                <v:imagedata o:title=""/>
                <o:lock v:ext="edit" aspectratio="f"/>
              </v:shape>
            </w:pict>
          </mc:Fallback>
        </mc:AlternateContent>
      </w:r>
    </w:p>
    <w:p w14:paraId="6FC931D5">
      <w:pPr>
        <w:pStyle w:val="17"/>
        <w:spacing w:line="265" w:lineRule="auto"/>
      </w:pPr>
    </w:p>
    <w:p w14:paraId="072B5312">
      <w:pPr>
        <w:pStyle w:val="17"/>
        <w:spacing w:line="265" w:lineRule="auto"/>
      </w:pPr>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46355</wp:posOffset>
                </wp:positionV>
                <wp:extent cx="5277485" cy="6350"/>
                <wp:effectExtent l="0" t="0" r="0" b="0"/>
                <wp:wrapNone/>
                <wp:docPr id="99" name="任意多边形 99"/>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3.65pt;height:0.5pt;width:415.55pt;z-index:251665408;mso-width-relative:page;mso-height-relative:page;" filled="f" stroked="t" coordsize="8310,10" o:gfxdata="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lZ1AAAAAUBAAAPAAAAAAAAAAEAIAAAACIAAABkcnMvZG93&#10;bnJldi54bWxQSwECFAAUAAAACACHTuJAGcfnsD0CAACYBAAADgAAAAAAAAABACAAAAAjAQAAZHJz&#10;L2Uyb0RvYy54bWxQSwUGAAAAAAYABgBZAQAA0gUAAAAA&#10;" path="m0,4l8310,4e">
                <v:fill on="f" focussize="0,0"/>
                <v:stroke weight="0.48pt" color="#000000" joinstyle="bevel"/>
                <v:imagedata o:title=""/>
                <o:lock v:ext="edit" aspectratio="f"/>
              </v:shape>
            </w:pict>
          </mc:Fallback>
        </mc:AlternateContent>
      </w:r>
    </w:p>
    <w:p w14:paraId="38672E47">
      <w:pPr>
        <w:pStyle w:val="17"/>
        <w:spacing w:line="265" w:lineRule="auto"/>
      </w:pPr>
      <w: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137795</wp:posOffset>
                </wp:positionV>
                <wp:extent cx="5267325" cy="6350"/>
                <wp:effectExtent l="0" t="0" r="0" b="0"/>
                <wp:wrapNone/>
                <wp:docPr id="104" name="任意多边形 104"/>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10.85pt;height:0.5pt;width:414.75pt;z-index:251668480;mso-width-relative:page;mso-height-relative:page;" filled="f" stroked="t" coordsize="8295,10" o:gfxdata="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aAUnl1wAAAAcBAAAPAAAAAAAAAAEAIAAAACIAAABkcnMv&#10;ZG93bnJldi54bWxQSwECFAAUAAAACACHTuJAiN87zD0CAACaBAAADgAAAAAAAAABACAAAAAmAQAA&#10;ZHJzL2Uyb0RvYy54bWxQSwUGAAAAAAYABgBZAQAA1QUAAAAA&#10;" path="m0,4l8295,4e">
                <v:fill on="f" focussize="0,0"/>
                <v:stroke weight="0.48pt" color="#000000" joinstyle="bevel"/>
                <v:imagedata o:title=""/>
                <o:lock v:ext="edit" aspectratio="f"/>
              </v:shape>
            </w:pict>
          </mc:Fallback>
        </mc:AlternateContent>
      </w:r>
    </w:p>
    <w:p w14:paraId="3066BE64">
      <w:pPr>
        <w:pStyle w:val="17"/>
        <w:spacing w:line="265" w:lineRule="auto"/>
      </w:pPr>
    </w:p>
    <w:p w14:paraId="2377CD0B">
      <w:pPr>
        <w:tabs>
          <w:tab w:val="left" w:pos="8200"/>
        </w:tabs>
        <w:spacing w:before="24" w:line="177" w:lineRule="auto"/>
        <w:ind w:left="11"/>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1"/>
          <w:sz w:val="7"/>
          <w:szCs w:val="7"/>
        </w:rPr>
        <w:t>。</w:t>
      </w:r>
    </w:p>
    <w:p w14:paraId="25166E10">
      <w:pPr>
        <w:spacing w:before="208" w:line="228" w:lineRule="auto"/>
        <w:ind w:left="443"/>
        <w:rPr>
          <w:rFonts w:ascii="宋体" w:hAnsi="宋体" w:eastAsia="宋体" w:cs="宋体"/>
          <w:sz w:val="20"/>
          <w:szCs w:val="20"/>
        </w:rPr>
      </w:pPr>
      <w:r>
        <w:rPr>
          <w:rFonts w:ascii="宋体" w:hAnsi="宋体" w:eastAsia="宋体" w:cs="宋体"/>
          <w:spacing w:val="7"/>
          <w:sz w:val="20"/>
          <w:szCs w:val="20"/>
        </w:rPr>
        <w:t>二、保修期</w:t>
      </w:r>
    </w:p>
    <w:p w14:paraId="37D8250F">
      <w:pPr>
        <w:spacing w:before="160" w:line="228" w:lineRule="auto"/>
        <w:ind w:left="439"/>
        <w:rPr>
          <w:rFonts w:ascii="宋体" w:hAnsi="宋体" w:eastAsia="宋体" w:cs="宋体"/>
          <w:sz w:val="20"/>
          <w:szCs w:val="20"/>
        </w:rPr>
      </w:pPr>
      <w:r>
        <w:rPr>
          <w:rFonts w:ascii="宋体" w:hAnsi="宋体" w:eastAsia="宋体" w:cs="宋体"/>
          <w:spacing w:val="9"/>
          <w:sz w:val="20"/>
          <w:szCs w:val="20"/>
        </w:rPr>
        <w:t>双方根据《建设工程质量管理条例》及有关规定，约定本工程的保修期如下：</w:t>
      </w:r>
    </w:p>
    <w:p w14:paraId="77F67405">
      <w:pPr>
        <w:spacing w:before="162" w:line="228" w:lineRule="auto"/>
        <w:ind w:left="439"/>
        <w:rPr>
          <w:rFonts w:ascii="宋体" w:hAnsi="宋体" w:eastAsia="宋体" w:cs="宋体"/>
          <w:sz w:val="20"/>
          <w:szCs w:val="20"/>
        </w:rPr>
      </w:pPr>
      <w:r>
        <w:rPr>
          <w:rFonts w:ascii="宋体" w:hAnsi="宋体" w:eastAsia="宋体" w:cs="宋体"/>
          <w:spacing w:val="9"/>
          <w:sz w:val="20"/>
          <w:szCs w:val="20"/>
        </w:rPr>
        <w:t>地基基础工程和主体结构工程为设计文件规定的该工程合理使用年限；</w:t>
      </w:r>
    </w:p>
    <w:p w14:paraId="1F602027">
      <w:pPr>
        <w:spacing w:before="163" w:line="228" w:lineRule="auto"/>
        <w:ind w:left="441"/>
        <w:rPr>
          <w:rFonts w:ascii="宋体" w:hAnsi="宋体" w:eastAsia="宋体" w:cs="宋体"/>
          <w:sz w:val="20"/>
          <w:szCs w:val="20"/>
        </w:rPr>
      </w:pPr>
      <w:r>
        <w:rPr>
          <w:rFonts w:ascii="宋体" w:hAnsi="宋体" w:eastAsia="宋体" w:cs="宋体"/>
          <w:spacing w:val="9"/>
          <w:sz w:val="20"/>
          <w:szCs w:val="20"/>
        </w:rPr>
        <w:t>屋面防水工程、有防水要求的卫生间、房间和外墙面的防渗</w:t>
      </w:r>
      <w:r>
        <w:rPr>
          <w:rFonts w:ascii="宋体" w:hAnsi="宋体" w:eastAsia="宋体" w:cs="宋体"/>
          <w:spacing w:val="8"/>
          <w:sz w:val="20"/>
          <w:szCs w:val="20"/>
        </w:rPr>
        <w:t>漏为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8"/>
          <w:sz w:val="20"/>
          <w:szCs w:val="20"/>
        </w:rPr>
        <w:t>年；</w:t>
      </w:r>
    </w:p>
    <w:p w14:paraId="1F94DC12">
      <w:pPr>
        <w:spacing w:before="161" w:line="228" w:lineRule="auto"/>
        <w:ind w:left="444"/>
        <w:rPr>
          <w:rFonts w:ascii="宋体" w:hAnsi="宋体" w:eastAsia="宋体" w:cs="宋体"/>
          <w:sz w:val="20"/>
          <w:szCs w:val="20"/>
        </w:rPr>
      </w:pPr>
      <w:r>
        <w:rPr>
          <w:rFonts w:ascii="宋体" w:hAnsi="宋体" w:eastAsia="宋体" w:cs="宋体"/>
          <w:spacing w:val="6"/>
          <w:sz w:val="20"/>
          <w:szCs w:val="20"/>
        </w:rPr>
        <w:t>外窗工程为</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年，外窗防渗漏为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年；</w:t>
      </w:r>
    </w:p>
    <w:p w14:paraId="2ECB7D3D">
      <w:pPr>
        <w:spacing w:before="161" w:line="228" w:lineRule="auto"/>
        <w:ind w:left="439"/>
        <w:rPr>
          <w:rFonts w:ascii="宋体" w:hAnsi="宋体" w:eastAsia="宋体" w:cs="宋体"/>
          <w:sz w:val="20"/>
          <w:szCs w:val="20"/>
        </w:rPr>
      </w:pPr>
      <w:r>
        <w:rPr>
          <w:rFonts w:ascii="宋体" w:hAnsi="宋体" w:eastAsia="宋体" w:cs="宋体"/>
          <w:spacing w:val="5"/>
          <w:sz w:val="20"/>
          <w:szCs w:val="20"/>
        </w:rPr>
        <w:t>装修工程为</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年；</w:t>
      </w:r>
    </w:p>
    <w:p w14:paraId="73C0BE2B">
      <w:pPr>
        <w:spacing w:before="161" w:line="228" w:lineRule="auto"/>
        <w:ind w:left="464"/>
        <w:rPr>
          <w:rFonts w:ascii="宋体" w:hAnsi="宋体" w:eastAsia="宋体" w:cs="宋体"/>
          <w:sz w:val="20"/>
          <w:szCs w:val="20"/>
        </w:rPr>
      </w:pPr>
      <w:r>
        <w:rPr>
          <w:rFonts w:ascii="宋体" w:hAnsi="宋体" w:eastAsia="宋体" w:cs="宋体"/>
          <w:spacing w:val="7"/>
          <w:sz w:val="20"/>
          <w:szCs w:val="20"/>
        </w:rPr>
        <w:t>电气管线、给排水管道、设备安装工程为</w:t>
      </w:r>
      <w:r>
        <w:rPr>
          <w:rFonts w:ascii="宋体" w:hAnsi="宋体" w:eastAsia="宋体" w:cs="宋体"/>
          <w:spacing w:val="-95"/>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年；</w:t>
      </w:r>
    </w:p>
    <w:p w14:paraId="4131778C">
      <w:pPr>
        <w:spacing w:before="163" w:line="228" w:lineRule="auto"/>
        <w:ind w:left="439"/>
        <w:rPr>
          <w:rFonts w:ascii="宋体" w:hAnsi="宋体" w:eastAsia="宋体" w:cs="宋体"/>
          <w:sz w:val="20"/>
          <w:szCs w:val="20"/>
        </w:rPr>
      </w:pPr>
      <w:r>
        <w:rPr>
          <w:rFonts w:ascii="宋体" w:hAnsi="宋体" w:eastAsia="宋体" w:cs="宋体"/>
          <w:spacing w:val="8"/>
          <w:sz w:val="20"/>
          <w:szCs w:val="20"/>
        </w:rPr>
        <w:t>供热与供冷系统为</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8"/>
          <w:sz w:val="20"/>
          <w:szCs w:val="20"/>
        </w:rPr>
        <w:t>个采暖期、供冷期；</w:t>
      </w:r>
    </w:p>
    <w:p w14:paraId="2417DA2D">
      <w:pPr>
        <w:spacing w:before="162" w:line="228" w:lineRule="auto"/>
        <w:ind w:left="439"/>
        <w:rPr>
          <w:rFonts w:ascii="宋体" w:hAnsi="宋体" w:eastAsia="宋体" w:cs="宋体"/>
          <w:sz w:val="20"/>
          <w:szCs w:val="20"/>
        </w:rPr>
      </w:pPr>
      <w:r>
        <w:rPr>
          <w:rFonts w:ascii="宋体" w:hAnsi="宋体" w:eastAsia="宋体" w:cs="宋体"/>
          <w:spacing w:val="8"/>
          <w:sz w:val="20"/>
          <w:szCs w:val="20"/>
        </w:rPr>
        <w:t>住宅小区内的给排水设施、道路等配套工程为</w:t>
      </w:r>
      <w:r>
        <w:rPr>
          <w:rFonts w:ascii="宋体" w:hAnsi="宋体" w:eastAsia="宋体" w:cs="宋体"/>
          <w:spacing w:val="-85"/>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8"/>
          <w:sz w:val="20"/>
          <w:szCs w:val="20"/>
        </w:rPr>
        <w:t>年；</w:t>
      </w:r>
    </w:p>
    <w:p w14:paraId="461AC7F2">
      <w:pPr>
        <w:spacing w:before="161" w:line="228" w:lineRule="auto"/>
        <w:ind w:left="440"/>
        <w:rPr>
          <w:rFonts w:ascii="宋体" w:hAnsi="宋体" w:eastAsia="宋体" w:cs="宋体"/>
          <w:sz w:val="20"/>
          <w:szCs w:val="20"/>
        </w:rPr>
      </w:pPr>
      <w:r>
        <w:rPr>
          <w:rFonts w:ascii="宋体" w:hAnsi="宋体" w:eastAsia="宋体" w:cs="宋体"/>
          <w:spacing w:val="8"/>
          <w:sz w:val="20"/>
          <w:szCs w:val="20"/>
        </w:rPr>
        <w:t>其他项目保修期限约定如下：</w:t>
      </w:r>
    </w:p>
    <w:p w14:paraId="647991F4">
      <w:pPr>
        <w:pStyle w:val="17"/>
        <w:tabs>
          <w:tab w:val="left" w:pos="8322"/>
          <w:tab w:val="clear" w:pos="567"/>
        </w:tabs>
        <w:spacing w:before="165"/>
        <w:ind w:left="11"/>
      </w:pPr>
      <w: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490855</wp:posOffset>
                </wp:positionV>
                <wp:extent cx="5277485" cy="6350"/>
                <wp:effectExtent l="0" t="0" r="0" b="0"/>
                <wp:wrapNone/>
                <wp:docPr id="105" name="任意多边形 105"/>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38.65pt;height:0.5pt;width:415.55pt;z-index:251666432;mso-width-relative:page;mso-height-relative:page;" filled="f" stroked="t" coordsize="8310,10" o:gfxdata="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45+501QAAAAcBAAAPAAAAAAAAAAEAIAAAACIAAABkcnMvZG93&#10;bnJldi54bWxQSwECFAAUAAAACACHTuJAlUAekTwCAACaBAAADgAAAAAAAAABACAAAAAkAQAAZHJz&#10;L2Uyb0RvYy54bWxQSwUGAAAAAAYABgBZAQAA0gUAAAAA&#10;" path="m0,4l8310,4e">
                <v:fill on="f" focussize="0,0"/>
                <v:stroke weight="0.48pt" color="#000000" joinstyle="bevel"/>
                <v:imagedata o:title=""/>
                <o:lock v:ext="edit" aspectratio="f"/>
              </v:shape>
            </w:pict>
          </mc:Fallback>
        </mc:AlternateContent>
      </w:r>
      <w:r>
        <w:rPr>
          <w:u w:val="single" w:color="auto"/>
        </w:rPr>
        <w:tab/>
      </w:r>
    </w:p>
    <w:p w14:paraId="692BCBE9">
      <w:pPr>
        <w:pStyle w:val="17"/>
        <w:spacing w:line="269" w:lineRule="auto"/>
      </w:pPr>
      <w:r>
        <w:rPr>
          <w:rFonts w:hint="eastAsia"/>
          <w:lang w:eastAsia="zh-CN"/>
        </w:rPr>
        <w:t xml:space="preserve"> </w:t>
      </w:r>
    </w:p>
    <w:p w14:paraId="752E5113">
      <w:pPr>
        <w:pStyle w:val="17"/>
        <w:spacing w:line="269" w:lineRule="auto"/>
      </w:pPr>
      <w: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172085</wp:posOffset>
                </wp:positionV>
                <wp:extent cx="5267325" cy="6350"/>
                <wp:effectExtent l="0" t="0" r="0" b="0"/>
                <wp:wrapNone/>
                <wp:docPr id="100" name="任意多边形 100"/>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13.55pt;height:0.5pt;width:414.75pt;z-index:251669504;mso-width-relative:page;mso-height-relative:page;" filled="f" stroked="t" coordsize="8295,10" o:gfxdata="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sjglLXAAAABwEAAA8AAAAAAAAAAQAgAAAAIgAAAGRycy9k&#10;b3ducmV2LnhtbFBLAQIUABQAAAAIAIdO4kDqzQpjPAIAAJoEAAAOAAAAAAAAAAEAIAAAACYBAABk&#10;cnMvZTJvRG9jLnhtbFBLBQYAAAAABgAGAFkBAADUBQAAAAA=&#10;" path="m0,4l8295,4e">
                <v:fill on="f" focussize="0,0"/>
                <v:stroke weight="0.48pt" color="#000000" joinstyle="bevel"/>
                <v:imagedata o:title=""/>
                <o:lock v:ext="edit" aspectratio="f"/>
              </v:shape>
            </w:pict>
          </mc:Fallback>
        </mc:AlternateContent>
      </w:r>
    </w:p>
    <w:p w14:paraId="47299C58">
      <w:pPr>
        <w:pStyle w:val="17"/>
        <w:spacing w:line="270" w:lineRule="auto"/>
      </w:pPr>
    </w:p>
    <w:p w14:paraId="6EC9B51C">
      <w:pPr>
        <w:tabs>
          <w:tab w:val="left" w:pos="8200"/>
        </w:tabs>
        <w:spacing w:before="65" w:line="96" w:lineRule="auto"/>
        <w:ind w:left="1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5"/>
          <w:sz w:val="20"/>
          <w:szCs w:val="20"/>
        </w:rPr>
        <w:t>。</w:t>
      </w:r>
    </w:p>
    <w:p w14:paraId="2D8C03FF">
      <w:pPr>
        <w:spacing w:before="173" w:line="228" w:lineRule="auto"/>
        <w:ind w:left="439"/>
        <w:rPr>
          <w:rFonts w:ascii="宋体" w:hAnsi="宋体" w:eastAsia="宋体" w:cs="宋体"/>
          <w:sz w:val="20"/>
          <w:szCs w:val="20"/>
        </w:rPr>
      </w:pPr>
      <w:r>
        <w:rPr>
          <w:rFonts w:ascii="宋体" w:hAnsi="宋体" w:eastAsia="宋体" w:cs="宋体"/>
          <w:spacing w:val="8"/>
          <w:sz w:val="20"/>
          <w:szCs w:val="20"/>
        </w:rPr>
        <w:t>三、保修责任</w:t>
      </w:r>
    </w:p>
    <w:p w14:paraId="5799A0AE">
      <w:pPr>
        <w:spacing w:before="159" w:line="303" w:lineRule="auto"/>
        <w:ind w:left="19" w:right="104" w:firstLine="435"/>
        <w:rPr>
          <w:rFonts w:ascii="宋体" w:hAnsi="宋体" w:eastAsia="宋体" w:cs="宋体"/>
          <w:sz w:val="20"/>
          <w:szCs w:val="20"/>
        </w:rPr>
      </w:pPr>
      <w:r>
        <w:rPr>
          <w:rFonts w:ascii="宋体" w:hAnsi="宋体" w:eastAsia="宋体" w:cs="宋体"/>
          <w:spacing w:val="7"/>
          <w:sz w:val="20"/>
          <w:szCs w:val="20"/>
        </w:rPr>
        <w:t>1、属于责任范围、</w:t>
      </w:r>
      <w:r>
        <w:rPr>
          <w:rFonts w:ascii="宋体" w:hAnsi="宋体" w:eastAsia="宋体" w:cs="宋体"/>
          <w:spacing w:val="-59"/>
          <w:sz w:val="20"/>
          <w:szCs w:val="20"/>
        </w:rPr>
        <w:t xml:space="preserve"> </w:t>
      </w:r>
      <w:r>
        <w:rPr>
          <w:rFonts w:ascii="宋体" w:hAnsi="宋体" w:eastAsia="宋体" w:cs="宋体"/>
          <w:spacing w:val="7"/>
          <w:sz w:val="20"/>
          <w:szCs w:val="20"/>
        </w:rPr>
        <w:t>内容的项目，承包人应当在接到保修通</w:t>
      </w:r>
      <w:r>
        <w:rPr>
          <w:rFonts w:ascii="宋体" w:hAnsi="宋体" w:eastAsia="宋体" w:cs="宋体"/>
          <w:spacing w:val="6"/>
          <w:sz w:val="20"/>
          <w:szCs w:val="20"/>
        </w:rPr>
        <w:t>知之日起</w:t>
      </w:r>
      <w:r>
        <w:rPr>
          <w:rFonts w:ascii="宋体" w:hAnsi="宋体" w:eastAsia="宋体" w:cs="宋体"/>
          <w:spacing w:val="-31"/>
          <w:sz w:val="20"/>
          <w:szCs w:val="20"/>
        </w:rPr>
        <w:t xml:space="preserve"> </w:t>
      </w:r>
      <w:r>
        <w:rPr>
          <w:rFonts w:ascii="宋体" w:hAnsi="宋体" w:eastAsia="宋体" w:cs="宋体"/>
          <w:spacing w:val="6"/>
          <w:sz w:val="20"/>
          <w:szCs w:val="20"/>
        </w:rPr>
        <w:t>7</w:t>
      </w:r>
      <w:r>
        <w:rPr>
          <w:rFonts w:ascii="宋体" w:hAnsi="宋体" w:eastAsia="宋体" w:cs="宋体"/>
          <w:spacing w:val="-34"/>
          <w:sz w:val="20"/>
          <w:szCs w:val="20"/>
        </w:rPr>
        <w:t xml:space="preserve"> </w:t>
      </w:r>
      <w:r>
        <w:rPr>
          <w:rFonts w:ascii="宋体" w:hAnsi="宋体" w:eastAsia="宋体" w:cs="宋体"/>
          <w:spacing w:val="6"/>
          <w:sz w:val="20"/>
          <w:szCs w:val="20"/>
        </w:rPr>
        <w:t>天内派人保修。</w:t>
      </w:r>
      <w:r>
        <w:rPr>
          <w:rFonts w:ascii="宋体" w:hAnsi="宋体" w:eastAsia="宋体" w:cs="宋体"/>
          <w:spacing w:val="9"/>
          <w:sz w:val="20"/>
          <w:szCs w:val="20"/>
        </w:rPr>
        <w:t>承包人不在约定期限内派人保修的，发包人可以委托他人修理。</w:t>
      </w:r>
    </w:p>
    <w:p w14:paraId="53595E52">
      <w:pPr>
        <w:spacing w:before="161" w:line="228" w:lineRule="auto"/>
        <w:ind w:left="442"/>
        <w:rPr>
          <w:rFonts w:ascii="宋体" w:hAnsi="宋体" w:eastAsia="宋体" w:cs="宋体"/>
          <w:sz w:val="20"/>
          <w:szCs w:val="20"/>
        </w:rPr>
      </w:pPr>
      <w:r>
        <w:rPr>
          <w:rFonts w:ascii="宋体" w:hAnsi="宋体" w:eastAsia="宋体" w:cs="宋体"/>
          <w:spacing w:val="9"/>
          <w:sz w:val="20"/>
          <w:szCs w:val="20"/>
        </w:rPr>
        <w:t>2、发生紧急抢修事故的，承包人在接到事故通知后，应当立即到达事故现场抢修。</w:t>
      </w:r>
    </w:p>
    <w:p w14:paraId="20B94962">
      <w:pPr>
        <w:spacing w:before="163" w:line="327" w:lineRule="auto"/>
        <w:ind w:left="19" w:right="68" w:firstLine="424"/>
        <w:rPr>
          <w:rFonts w:ascii="宋体" w:hAnsi="宋体" w:eastAsia="宋体" w:cs="宋体"/>
          <w:sz w:val="20"/>
          <w:szCs w:val="20"/>
        </w:rPr>
      </w:pPr>
      <w:r>
        <w:rPr>
          <w:rFonts w:ascii="宋体" w:hAnsi="宋体" w:eastAsia="宋体" w:cs="宋体"/>
          <w:spacing w:val="10"/>
          <w:sz w:val="20"/>
          <w:szCs w:val="20"/>
        </w:rPr>
        <w:t>3、对于涉及结构安全的质量问题，应当按照《房屋建筑工程质量保修办法》的</w:t>
      </w:r>
      <w:r>
        <w:rPr>
          <w:rFonts w:ascii="宋体" w:hAnsi="宋体" w:eastAsia="宋体" w:cs="宋体"/>
          <w:spacing w:val="9"/>
          <w:sz w:val="20"/>
          <w:szCs w:val="20"/>
        </w:rPr>
        <w:t>规定，</w:t>
      </w:r>
      <w:r>
        <w:rPr>
          <w:rFonts w:ascii="宋体" w:hAnsi="宋体" w:eastAsia="宋体" w:cs="宋体"/>
          <w:spacing w:val="8"/>
          <w:sz w:val="20"/>
          <w:szCs w:val="20"/>
        </w:rPr>
        <w:t>立即向当地建设行政主管部门报告，采取安全防范</w:t>
      </w:r>
      <w:r>
        <w:rPr>
          <w:rFonts w:ascii="宋体" w:hAnsi="宋体" w:eastAsia="宋体" w:cs="宋体"/>
          <w:spacing w:val="7"/>
          <w:sz w:val="20"/>
          <w:szCs w:val="20"/>
        </w:rPr>
        <w:t>措施；由原设计人或者具有相应资质等级</w:t>
      </w:r>
      <w:r>
        <w:rPr>
          <w:rFonts w:ascii="宋体" w:hAnsi="宋体" w:eastAsia="宋体" w:cs="宋体"/>
          <w:spacing w:val="8"/>
          <w:sz w:val="20"/>
          <w:szCs w:val="20"/>
        </w:rPr>
        <w:t>的设计人提出保修方案，承包人实施保修。</w:t>
      </w:r>
    </w:p>
    <w:p w14:paraId="005F85A3">
      <w:pPr>
        <w:spacing w:before="161" w:line="228" w:lineRule="auto"/>
        <w:ind w:left="439"/>
        <w:rPr>
          <w:rFonts w:ascii="宋体" w:hAnsi="宋体" w:eastAsia="宋体" w:cs="宋体"/>
          <w:sz w:val="20"/>
          <w:szCs w:val="20"/>
        </w:rPr>
      </w:pPr>
      <w:r>
        <w:rPr>
          <w:rFonts w:ascii="宋体" w:hAnsi="宋体" w:eastAsia="宋体" w:cs="宋体"/>
          <w:spacing w:val="8"/>
          <w:sz w:val="20"/>
          <w:szCs w:val="20"/>
        </w:rPr>
        <w:t>4、质量保修完成后，由发包人组织验收。</w:t>
      </w:r>
    </w:p>
    <w:p w14:paraId="7F19E892">
      <w:pPr>
        <w:spacing w:before="163" w:line="228" w:lineRule="auto"/>
        <w:ind w:left="459"/>
        <w:rPr>
          <w:rFonts w:ascii="宋体" w:hAnsi="宋体" w:eastAsia="宋体" w:cs="宋体"/>
          <w:sz w:val="20"/>
          <w:szCs w:val="20"/>
        </w:rPr>
      </w:pPr>
      <w:r>
        <w:rPr>
          <w:rFonts w:ascii="宋体" w:hAnsi="宋体" w:eastAsia="宋体" w:cs="宋体"/>
          <w:spacing w:val="4"/>
          <w:sz w:val="20"/>
          <w:szCs w:val="20"/>
        </w:rPr>
        <w:t>四、保修费用</w:t>
      </w:r>
    </w:p>
    <w:p w14:paraId="3CC36D85">
      <w:pPr>
        <w:spacing w:before="161" w:line="228" w:lineRule="auto"/>
        <w:ind w:left="440"/>
        <w:rPr>
          <w:rFonts w:ascii="宋体" w:hAnsi="宋体" w:eastAsia="宋体" w:cs="宋体"/>
          <w:sz w:val="20"/>
          <w:szCs w:val="20"/>
        </w:rPr>
      </w:pPr>
      <w:r>
        <w:rPr>
          <w:rFonts w:ascii="宋体" w:hAnsi="宋体" w:eastAsia="宋体" w:cs="宋体"/>
          <w:spacing w:val="8"/>
          <w:sz w:val="20"/>
          <w:szCs w:val="20"/>
        </w:rPr>
        <w:t>保修费用由造成质量缺陷的责任方承担。</w:t>
      </w:r>
    </w:p>
    <w:p w14:paraId="5EA5A3FA">
      <w:pPr>
        <w:spacing w:before="161" w:line="229" w:lineRule="auto"/>
        <w:ind w:left="443"/>
        <w:rPr>
          <w:rFonts w:ascii="宋体" w:hAnsi="宋体" w:eastAsia="宋体" w:cs="宋体"/>
          <w:sz w:val="20"/>
          <w:szCs w:val="20"/>
        </w:rPr>
      </w:pPr>
      <w:r>
        <w:rPr>
          <w:rFonts w:ascii="宋体" w:hAnsi="宋体" w:eastAsia="宋体" w:cs="宋体"/>
          <w:spacing w:val="-2"/>
          <w:sz w:val="20"/>
          <w:szCs w:val="20"/>
        </w:rPr>
        <w:t>五</w:t>
      </w:r>
      <w:r>
        <w:rPr>
          <w:rFonts w:ascii="宋体" w:hAnsi="宋体" w:eastAsia="宋体" w:cs="宋体"/>
          <w:spacing w:val="-75"/>
          <w:sz w:val="20"/>
          <w:szCs w:val="20"/>
        </w:rPr>
        <w:t xml:space="preserve"> </w:t>
      </w:r>
      <w:r>
        <w:rPr>
          <w:rFonts w:ascii="宋体" w:hAnsi="宋体" w:eastAsia="宋体" w:cs="宋体"/>
          <w:spacing w:val="-2"/>
          <w:sz w:val="20"/>
          <w:szCs w:val="20"/>
        </w:rPr>
        <w:t>、其</w:t>
      </w:r>
      <w:r>
        <w:rPr>
          <w:rFonts w:ascii="宋体" w:hAnsi="宋体" w:eastAsia="宋体" w:cs="宋体"/>
          <w:spacing w:val="13"/>
          <w:sz w:val="20"/>
          <w:szCs w:val="20"/>
        </w:rPr>
        <w:t xml:space="preserve"> </w:t>
      </w:r>
      <w:r>
        <w:rPr>
          <w:rFonts w:ascii="宋体" w:hAnsi="宋体" w:eastAsia="宋体" w:cs="宋体"/>
          <w:spacing w:val="-2"/>
          <w:sz w:val="20"/>
          <w:szCs w:val="20"/>
        </w:rPr>
        <w:t>他</w:t>
      </w:r>
    </w:p>
    <w:p w14:paraId="30563E05">
      <w:pPr>
        <w:spacing w:before="160" w:line="228" w:lineRule="auto"/>
        <w:ind w:left="439"/>
        <w:rPr>
          <w:rFonts w:ascii="宋体" w:hAnsi="宋体" w:eastAsia="宋体" w:cs="宋体"/>
          <w:sz w:val="20"/>
          <w:szCs w:val="20"/>
        </w:rPr>
      </w:pPr>
      <w:r>
        <w:rPr>
          <w:rFonts w:ascii="宋体" w:hAnsi="宋体" w:eastAsia="宋体" w:cs="宋体"/>
          <w:spacing w:val="8"/>
          <w:sz w:val="20"/>
          <w:szCs w:val="20"/>
        </w:rPr>
        <w:t>双方约定的其他工程保修责任事项：</w:t>
      </w:r>
    </w:p>
    <w:p w14:paraId="02CFB11A">
      <w:pPr>
        <w:pStyle w:val="17"/>
        <w:tabs>
          <w:tab w:val="left" w:pos="8322"/>
          <w:tab w:val="clear" w:pos="567"/>
        </w:tabs>
        <w:spacing w:before="168"/>
        <w:ind w:left="11"/>
      </w:pPr>
      <w:r>
        <w:rPr>
          <w:u w:val="single" w:color="auto"/>
        </w:rPr>
        <w:tab/>
      </w:r>
    </w:p>
    <w:p w14:paraId="0F702DCD">
      <w:pPr>
        <w:pStyle w:val="17"/>
        <w:tabs>
          <w:tab w:val="left" w:pos="8322"/>
          <w:tab w:val="clear" w:pos="567"/>
        </w:tabs>
        <w:spacing w:before="167"/>
        <w:ind w:left="11"/>
      </w:pPr>
      <w:r>
        <w:rPr>
          <w:u w:val="single" w:color="auto"/>
        </w:rPr>
        <w:tab/>
      </w:r>
    </w:p>
    <w:p w14:paraId="3F6645C6">
      <w:pPr>
        <w:pStyle w:val="17"/>
        <w:tabs>
          <w:tab w:val="left" w:pos="8305"/>
          <w:tab w:val="clear" w:pos="567"/>
        </w:tabs>
        <w:spacing w:before="166"/>
        <w:ind w:left="11"/>
      </w:pPr>
      <w:r>
        <w:rPr>
          <w:u w:val="single" w:color="auto"/>
        </w:rPr>
        <w:tab/>
      </w:r>
    </w:p>
    <w:p w14:paraId="0C5BAEBA">
      <w:pPr>
        <w:pStyle w:val="17"/>
        <w:spacing w:line="270" w:lineRule="auto"/>
      </w:pPr>
    </w:p>
    <w:p w14:paraId="5EE97A8E">
      <w:pPr>
        <w:tabs>
          <w:tab w:val="left" w:pos="8200"/>
        </w:tabs>
        <w:spacing w:before="23" w:line="177" w:lineRule="auto"/>
        <w:ind w:left="11"/>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1"/>
          <w:sz w:val="7"/>
          <w:szCs w:val="7"/>
        </w:rPr>
        <w:t>。</w:t>
      </w:r>
    </w:p>
    <w:p w14:paraId="128FEA8B">
      <w:pPr>
        <w:spacing w:before="207" w:line="378" w:lineRule="auto"/>
        <w:ind w:left="36" w:right="70" w:firstLine="404"/>
        <w:rPr>
          <w:rFonts w:ascii="宋体" w:hAnsi="宋体" w:eastAsia="宋体" w:cs="宋体"/>
          <w:sz w:val="20"/>
          <w:szCs w:val="20"/>
        </w:rPr>
      </w:pPr>
      <w:r>
        <w:rPr>
          <w:rFonts w:ascii="宋体" w:hAnsi="宋体" w:eastAsia="宋体" w:cs="宋体"/>
          <w:spacing w:val="7"/>
          <w:sz w:val="20"/>
          <w:szCs w:val="20"/>
        </w:rPr>
        <w:t>本工程保修书，由施工合同发包人、承包人双方在竣工验收前共同签署，作为施工合同附件，其有效期限至保修期满。</w:t>
      </w:r>
    </w:p>
    <w:p w14:paraId="278F5333">
      <w:pPr>
        <w:pStyle w:val="17"/>
        <w:spacing w:line="340" w:lineRule="auto"/>
      </w:pPr>
    </w:p>
    <w:p w14:paraId="560B211D">
      <w:pPr>
        <w:spacing w:before="66" w:line="228" w:lineRule="auto"/>
        <w:jc w:val="right"/>
        <w:rPr>
          <w:rFonts w:ascii="宋体" w:hAnsi="宋体" w:eastAsia="宋体" w:cs="宋体"/>
          <w:sz w:val="20"/>
          <w:szCs w:val="20"/>
        </w:rPr>
      </w:pPr>
      <w:r>
        <w:rPr>
          <w:rFonts w:ascii="宋体" w:hAnsi="宋体" w:eastAsia="宋体" w:cs="宋体"/>
          <w:spacing w:val="10"/>
          <w:sz w:val="20"/>
          <w:szCs w:val="20"/>
        </w:rPr>
        <w:t>发包人</w:t>
      </w:r>
      <w:r>
        <w:rPr>
          <w:rFonts w:ascii="宋体" w:hAnsi="宋体" w:eastAsia="宋体" w:cs="宋体"/>
          <w:spacing w:val="-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0"/>
          <w:sz w:val="20"/>
          <w:szCs w:val="20"/>
        </w:rPr>
        <w:t>公章）   承包人</w:t>
      </w:r>
      <w:r>
        <w:rPr>
          <w:rFonts w:ascii="宋体" w:hAnsi="宋体" w:eastAsia="宋体" w:cs="宋体"/>
          <w:spacing w:val="-3"/>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0"/>
          <w:sz w:val="20"/>
          <w:szCs w:val="20"/>
        </w:rPr>
        <w:t>公章）</w:t>
      </w:r>
    </w:p>
    <w:p w14:paraId="4F52C18C">
      <w:pPr>
        <w:spacing w:before="161" w:line="229" w:lineRule="auto"/>
        <w:ind w:left="20"/>
        <w:rPr>
          <w:rFonts w:ascii="宋体" w:hAnsi="宋体" w:eastAsia="宋体" w:cs="宋体"/>
          <w:sz w:val="20"/>
          <w:szCs w:val="20"/>
        </w:rPr>
      </w:pPr>
      <w:r>
        <w:rPr>
          <w:rFonts w:ascii="宋体" w:hAnsi="宋体" w:eastAsia="宋体" w:cs="宋体"/>
          <w:spacing w:val="4"/>
          <w:sz w:val="20"/>
          <w:szCs w:val="20"/>
        </w:rPr>
        <w:t>法定地址：</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法定地址：</w:t>
      </w:r>
      <w:r>
        <w:rPr>
          <w:rFonts w:ascii="宋体" w:hAnsi="宋体" w:eastAsia="宋体" w:cs="宋体"/>
          <w:spacing w:val="4"/>
          <w:sz w:val="20"/>
          <w:szCs w:val="20"/>
          <w:u w:val="single" w:color="auto"/>
        </w:rPr>
        <w:t xml:space="preserve">                                 </w:t>
      </w:r>
    </w:p>
    <w:p w14:paraId="1A98B5F8">
      <w:pPr>
        <w:spacing w:before="161" w:line="228" w:lineRule="auto"/>
        <w:ind w:left="20"/>
        <w:rPr>
          <w:rFonts w:ascii="宋体" w:hAnsi="宋体" w:eastAsia="宋体" w:cs="宋体"/>
          <w:sz w:val="20"/>
          <w:szCs w:val="20"/>
        </w:rPr>
      </w:pPr>
      <w:r>
        <w:rPr>
          <w:rFonts w:ascii="宋体" w:hAnsi="宋体" w:eastAsia="宋体" w:cs="宋体"/>
          <w:spacing w:val="7"/>
          <w:sz w:val="20"/>
          <w:szCs w:val="20"/>
        </w:rPr>
        <w:t xml:space="preserve">法定代表人或其             </w:t>
      </w:r>
      <w:r>
        <w:rPr>
          <w:rFonts w:ascii="宋体" w:hAnsi="宋体" w:eastAsia="宋体" w:cs="宋体"/>
          <w:spacing w:val="6"/>
          <w:sz w:val="20"/>
          <w:szCs w:val="20"/>
        </w:rPr>
        <w:t xml:space="preserve">          法定代表人或其</w:t>
      </w:r>
    </w:p>
    <w:p w14:paraId="62BAB9C7">
      <w:pPr>
        <w:spacing w:before="161" w:line="228" w:lineRule="auto"/>
        <w:jc w:val="right"/>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签字）  委托代理人</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签字）</w:t>
      </w:r>
    </w:p>
    <w:p w14:paraId="50D7E038">
      <w:pPr>
        <w:spacing w:before="160" w:line="231" w:lineRule="auto"/>
        <w:ind w:left="44"/>
        <w:rPr>
          <w:rFonts w:ascii="宋体" w:hAnsi="宋体" w:eastAsia="宋体" w:cs="宋体"/>
          <w:sz w:val="20"/>
          <w:szCs w:val="20"/>
        </w:rPr>
      </w:pPr>
      <w:r>
        <w:rPr>
          <w:rFonts w:ascii="宋体" w:hAnsi="宋体" w:eastAsia="宋体" w:cs="宋体"/>
          <w:spacing w:val="-1"/>
          <w:sz w:val="20"/>
          <w:szCs w:val="20"/>
        </w:rPr>
        <w:t>电话：</w:t>
      </w:r>
      <w:r>
        <w:rPr>
          <w:rFonts w:ascii="宋体" w:hAnsi="宋体" w:eastAsia="宋体" w:cs="宋体"/>
          <w:spacing w:val="1"/>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1"/>
          <w:sz w:val="20"/>
          <w:szCs w:val="20"/>
        </w:rPr>
        <w:t>电话：</w:t>
      </w:r>
      <w:r>
        <w:rPr>
          <w:rFonts w:ascii="宋体" w:hAnsi="宋体" w:eastAsia="宋体" w:cs="宋体"/>
          <w:sz w:val="20"/>
          <w:szCs w:val="20"/>
          <w:u w:val="single" w:color="auto"/>
        </w:rPr>
        <w:t xml:space="preserve">                                      </w:t>
      </w:r>
    </w:p>
    <w:p w14:paraId="1F286A6D">
      <w:pPr>
        <w:spacing w:before="160" w:line="228" w:lineRule="auto"/>
        <w:ind w:left="18"/>
        <w:rPr>
          <w:rFonts w:ascii="宋体" w:hAnsi="宋体" w:eastAsia="宋体" w:cs="宋体"/>
          <w:sz w:val="20"/>
          <w:szCs w:val="20"/>
        </w:rPr>
      </w:pPr>
      <w:r>
        <w:rPr>
          <w:rFonts w:ascii="宋体" w:hAnsi="宋体" w:eastAsia="宋体" w:cs="宋体"/>
          <w:spacing w:val="4"/>
          <w:sz w:val="20"/>
          <w:szCs w:val="20"/>
        </w:rPr>
        <w:t>传真：</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4"/>
          <w:sz w:val="20"/>
          <w:szCs w:val="20"/>
        </w:rPr>
        <w:t>传真：</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3FD6DE11">
      <w:pPr>
        <w:spacing w:before="162" w:line="229" w:lineRule="auto"/>
        <w:ind w:left="44"/>
        <w:rPr>
          <w:rFonts w:ascii="宋体" w:hAnsi="宋体" w:eastAsia="宋体" w:cs="宋体"/>
          <w:sz w:val="20"/>
          <w:szCs w:val="20"/>
        </w:rPr>
      </w:pPr>
      <w:r>
        <w:rPr>
          <w:rFonts w:ascii="宋体" w:hAnsi="宋体" w:eastAsia="宋体" w:cs="宋体"/>
          <w:spacing w:val="3"/>
          <w:sz w:val="20"/>
          <w:szCs w:val="20"/>
        </w:rPr>
        <w:t>电子邮箱：</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3"/>
          <w:sz w:val="20"/>
          <w:szCs w:val="20"/>
        </w:rPr>
        <w:t>电子邮箱：</w:t>
      </w:r>
      <w:r>
        <w:rPr>
          <w:rFonts w:ascii="宋体" w:hAnsi="宋体" w:eastAsia="宋体" w:cs="宋体"/>
          <w:sz w:val="20"/>
          <w:szCs w:val="20"/>
          <w:u w:val="single" w:color="auto"/>
        </w:rPr>
        <w:t xml:space="preserve">                                  </w:t>
      </w:r>
    </w:p>
    <w:p w14:paraId="7DBECBE1">
      <w:pPr>
        <w:spacing w:before="159" w:line="229" w:lineRule="auto"/>
        <w:ind w:left="20"/>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p>
    <w:p w14:paraId="440B6016">
      <w:pPr>
        <w:spacing w:before="160" w:line="229" w:lineRule="auto"/>
        <w:ind w:left="28"/>
        <w:rPr>
          <w:rFonts w:ascii="宋体" w:hAnsi="宋体" w:eastAsia="宋体" w:cs="宋体"/>
          <w:sz w:val="20"/>
          <w:szCs w:val="20"/>
        </w:rPr>
      </w:pPr>
      <w:r>
        <w:rPr>
          <w:rFonts w:ascii="宋体" w:hAnsi="宋体" w:eastAsia="宋体" w:cs="宋体"/>
          <w:spacing w:val="4"/>
          <w:sz w:val="20"/>
          <w:szCs w:val="20"/>
        </w:rPr>
        <w:t>帐号：</w:t>
      </w:r>
      <w:r>
        <w:rPr>
          <w:rFonts w:ascii="宋体" w:hAnsi="宋体" w:eastAsia="宋体" w:cs="宋体"/>
          <w:spacing w:val="1"/>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4"/>
          <w:sz w:val="20"/>
          <w:szCs w:val="20"/>
        </w:rPr>
        <w:t>帐号：</w:t>
      </w:r>
      <w:r>
        <w:rPr>
          <w:rFonts w:ascii="宋体" w:hAnsi="宋体" w:eastAsia="宋体" w:cs="宋体"/>
          <w:sz w:val="20"/>
          <w:szCs w:val="20"/>
          <w:u w:val="single" w:color="auto"/>
        </w:rPr>
        <w:t xml:space="preserve">                                      </w:t>
      </w:r>
    </w:p>
    <w:p w14:paraId="7F955E4D">
      <w:pPr>
        <w:spacing w:before="163" w:line="228" w:lineRule="auto"/>
        <w:ind w:left="35"/>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3"/>
          <w:sz w:val="20"/>
          <w:szCs w:val="20"/>
        </w:rPr>
        <w:t xml:space="preserve">   </w:t>
      </w:r>
      <w:r>
        <w:rPr>
          <w:rFonts w:ascii="宋体" w:hAnsi="宋体" w:eastAsia="宋体" w:cs="宋体"/>
          <w:spacing w:val="3"/>
          <w:sz w:val="20"/>
          <w:szCs w:val="20"/>
        </w:rPr>
        <w:t>邮政编码：</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p>
    <w:p w14:paraId="5D0CBAE9">
      <w:pPr>
        <w:pStyle w:val="17"/>
        <w:spacing w:line="407" w:lineRule="auto"/>
      </w:pPr>
      <w:r>
        <w:rPr>
          <w:rFonts w:hint="eastAsia" w:cs="宋体"/>
          <w:sz w:val="20"/>
          <w:szCs w:val="20"/>
          <w:lang w:eastAsia="zh-CN"/>
        </w:rPr>
        <w:t xml:space="preserve"> </w:t>
      </w:r>
    </w:p>
    <w:p w14:paraId="33736652">
      <w:pPr>
        <w:rPr>
          <w:rFonts w:ascii="宋体" w:hAnsi="宋体" w:eastAsia="宋体" w:cs="宋体"/>
          <w:spacing w:val="-3"/>
          <w:sz w:val="24"/>
          <w:szCs w:val="24"/>
        </w:rPr>
      </w:pPr>
      <w:r>
        <w:rPr>
          <w:rFonts w:ascii="宋体" w:hAnsi="宋体" w:eastAsia="宋体" w:cs="宋体"/>
          <w:spacing w:val="-3"/>
          <w:sz w:val="24"/>
          <w:szCs w:val="24"/>
        </w:rPr>
        <w:br w:type="page"/>
      </w:r>
    </w:p>
    <w:p w14:paraId="01C42A32">
      <w:pPr>
        <w:spacing w:before="78" w:line="219" w:lineRule="auto"/>
        <w:ind w:left="39"/>
        <w:rPr>
          <w:rFonts w:ascii="宋体" w:hAnsi="宋体" w:eastAsia="宋体" w:cs="宋体"/>
          <w:sz w:val="24"/>
          <w:szCs w:val="24"/>
        </w:rPr>
      </w:pPr>
      <w:r>
        <w:rPr>
          <w:rFonts w:ascii="宋体" w:hAnsi="宋体" w:eastAsia="宋体" w:cs="宋体"/>
          <w:spacing w:val="-3"/>
          <w:sz w:val="24"/>
          <w:szCs w:val="24"/>
        </w:rPr>
        <w:t>附件八：廉政责任书格式</w:t>
      </w:r>
    </w:p>
    <w:p w14:paraId="02878286">
      <w:pPr>
        <w:pStyle w:val="17"/>
        <w:spacing w:line="310" w:lineRule="auto"/>
      </w:pPr>
    </w:p>
    <w:p w14:paraId="25101810">
      <w:pPr>
        <w:pStyle w:val="17"/>
        <w:spacing w:line="311" w:lineRule="auto"/>
      </w:pPr>
    </w:p>
    <w:p w14:paraId="41642F60">
      <w:pPr>
        <w:spacing w:before="91" w:line="220" w:lineRule="auto"/>
        <w:ind w:left="2915"/>
        <w:rPr>
          <w:rFonts w:ascii="宋体" w:hAnsi="宋体" w:eastAsia="宋体" w:cs="宋体"/>
          <w:sz w:val="28"/>
          <w:szCs w:val="28"/>
        </w:rPr>
      </w:pPr>
      <w:bookmarkStart w:id="798" w:name="bookmark74"/>
      <w:bookmarkEnd w:id="798"/>
      <w:r>
        <w:rPr>
          <w:rFonts w:ascii="宋体" w:hAnsi="宋体" w:eastAsia="宋体" w:cs="宋体"/>
          <w:b/>
          <w:bCs/>
          <w:spacing w:val="-4"/>
          <w:sz w:val="28"/>
          <w:szCs w:val="28"/>
        </w:rPr>
        <w:t>建设工程廉政责任书</w:t>
      </w:r>
    </w:p>
    <w:p w14:paraId="7DDBF241">
      <w:pPr>
        <w:pStyle w:val="17"/>
        <w:spacing w:line="270" w:lineRule="auto"/>
      </w:pPr>
    </w:p>
    <w:p w14:paraId="1A780AA6">
      <w:pPr>
        <w:pStyle w:val="17"/>
        <w:spacing w:line="270" w:lineRule="auto"/>
      </w:pPr>
    </w:p>
    <w:p w14:paraId="071579EA">
      <w:pPr>
        <w:spacing w:before="65" w:line="229" w:lineRule="auto"/>
        <w:ind w:left="23"/>
        <w:rPr>
          <w:rFonts w:ascii="宋体" w:hAnsi="宋体" w:eastAsia="宋体" w:cs="宋体"/>
          <w:sz w:val="20"/>
          <w:szCs w:val="20"/>
        </w:rPr>
      </w:pPr>
      <w:r>
        <w:rPr>
          <w:rFonts w:ascii="宋体" w:hAnsi="宋体" w:eastAsia="宋体" w:cs="宋体"/>
          <w:spacing w:val="6"/>
          <w:sz w:val="20"/>
          <w:szCs w:val="20"/>
        </w:rPr>
        <w:t>发包人：</w:t>
      </w:r>
      <w:r>
        <w:rPr>
          <w:rFonts w:ascii="宋体" w:hAnsi="宋体" w:eastAsia="宋体" w:cs="宋体"/>
          <w:sz w:val="20"/>
          <w:szCs w:val="20"/>
          <w:u w:val="single" w:color="auto"/>
        </w:rPr>
        <w:t xml:space="preserve">                                                                          </w:t>
      </w:r>
    </w:p>
    <w:p w14:paraId="67DC7000">
      <w:pPr>
        <w:spacing w:before="162" w:line="228" w:lineRule="auto"/>
        <w:ind w:left="19"/>
        <w:rPr>
          <w:rFonts w:ascii="宋体" w:hAnsi="宋体" w:eastAsia="宋体" w:cs="宋体"/>
          <w:sz w:val="20"/>
          <w:szCs w:val="20"/>
        </w:rPr>
      </w:pPr>
      <w:r>
        <w:rPr>
          <w:rFonts w:ascii="宋体" w:hAnsi="宋体" w:eastAsia="宋体" w:cs="宋体"/>
          <w:spacing w:val="4"/>
          <w:sz w:val="20"/>
          <w:szCs w:val="20"/>
        </w:rPr>
        <w:t>承包人：</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3AA679E3">
      <w:pPr>
        <w:pStyle w:val="17"/>
        <w:spacing w:line="249" w:lineRule="auto"/>
      </w:pPr>
    </w:p>
    <w:p w14:paraId="00D82730">
      <w:pPr>
        <w:pStyle w:val="17"/>
        <w:spacing w:line="250" w:lineRule="auto"/>
      </w:pPr>
    </w:p>
    <w:p w14:paraId="7468A78E">
      <w:pPr>
        <w:spacing w:before="65" w:line="377" w:lineRule="auto"/>
        <w:ind w:left="22" w:right="69" w:firstLine="420"/>
        <w:jc w:val="both"/>
        <w:rPr>
          <w:rFonts w:ascii="宋体" w:hAnsi="宋体" w:eastAsia="宋体" w:cs="宋体"/>
          <w:sz w:val="20"/>
          <w:szCs w:val="20"/>
        </w:rPr>
      </w:pPr>
      <w:r>
        <w:rPr>
          <w:rFonts w:ascii="宋体" w:hAnsi="宋体" w:eastAsia="宋体" w:cs="宋体"/>
          <w:spacing w:val="7"/>
          <w:sz w:val="20"/>
          <w:szCs w:val="20"/>
        </w:rPr>
        <w:t>为加强建设工程廉政建设，规范建设工程各项活动中发包人承包人双方的行为，防止谋取不正当利益的违法违纪现象的发生，保护国家、集体和当事人的合法权益，根据国家有关</w:t>
      </w:r>
      <w:r>
        <w:rPr>
          <w:rFonts w:ascii="宋体" w:hAnsi="宋体" w:eastAsia="宋体" w:cs="宋体"/>
          <w:spacing w:val="9"/>
          <w:sz w:val="20"/>
          <w:szCs w:val="20"/>
        </w:rPr>
        <w:t>工程建设的法律法规和廉政建设的有关规定，订立本廉政责任书。</w:t>
      </w:r>
    </w:p>
    <w:p w14:paraId="74867EF6">
      <w:pPr>
        <w:spacing w:before="1" w:line="228" w:lineRule="auto"/>
        <w:ind w:left="443"/>
        <w:rPr>
          <w:rFonts w:ascii="宋体" w:hAnsi="宋体" w:eastAsia="宋体" w:cs="宋体"/>
          <w:sz w:val="20"/>
          <w:szCs w:val="20"/>
        </w:rPr>
      </w:pPr>
      <w:r>
        <w:rPr>
          <w:rFonts w:ascii="宋体" w:hAnsi="宋体" w:eastAsia="宋体" w:cs="宋体"/>
          <w:spacing w:val="8"/>
          <w:sz w:val="20"/>
          <w:szCs w:val="20"/>
        </w:rPr>
        <w:t>一、双方的责任</w:t>
      </w:r>
    </w:p>
    <w:p w14:paraId="43AA7B27">
      <w:pPr>
        <w:spacing w:before="163" w:line="303" w:lineRule="auto"/>
        <w:ind w:left="20" w:right="69" w:firstLine="434"/>
        <w:rPr>
          <w:rFonts w:ascii="宋体" w:hAnsi="宋体" w:eastAsia="宋体" w:cs="宋体"/>
          <w:sz w:val="20"/>
          <w:szCs w:val="20"/>
        </w:rPr>
      </w:pPr>
      <w:r>
        <w:rPr>
          <w:rFonts w:ascii="宋体" w:hAnsi="宋体" w:eastAsia="宋体" w:cs="宋体"/>
          <w:spacing w:val="7"/>
          <w:sz w:val="20"/>
          <w:szCs w:val="20"/>
        </w:rPr>
        <w:t>1.1 应严格遵守国家关于建设工程的有关法律、法规，</w:t>
      </w:r>
      <w:r>
        <w:rPr>
          <w:rFonts w:ascii="宋体" w:hAnsi="宋体" w:eastAsia="宋体" w:cs="宋体"/>
          <w:spacing w:val="6"/>
          <w:sz w:val="20"/>
          <w:szCs w:val="20"/>
        </w:rPr>
        <w:t>相关政策，以及廉政建设的各项</w:t>
      </w:r>
      <w:r>
        <w:rPr>
          <w:rFonts w:ascii="宋体" w:hAnsi="宋体" w:eastAsia="宋体" w:cs="宋体"/>
          <w:spacing w:val="2"/>
          <w:sz w:val="20"/>
          <w:szCs w:val="20"/>
        </w:rPr>
        <w:t>规定。</w:t>
      </w:r>
    </w:p>
    <w:p w14:paraId="453B2030">
      <w:pPr>
        <w:spacing w:before="160" w:line="228" w:lineRule="auto"/>
        <w:ind w:left="455"/>
        <w:rPr>
          <w:rFonts w:ascii="宋体" w:hAnsi="宋体" w:eastAsia="宋体" w:cs="宋体"/>
          <w:sz w:val="20"/>
          <w:szCs w:val="20"/>
        </w:rPr>
      </w:pPr>
      <w:r>
        <w:rPr>
          <w:rFonts w:ascii="宋体" w:hAnsi="宋体" w:eastAsia="宋体" w:cs="宋体"/>
          <w:spacing w:val="6"/>
          <w:sz w:val="20"/>
          <w:szCs w:val="20"/>
        </w:rPr>
        <w:t>1.2 严格执行建设工程合同文件，</w:t>
      </w:r>
      <w:r>
        <w:rPr>
          <w:rFonts w:ascii="宋体" w:hAnsi="宋体" w:eastAsia="宋体" w:cs="宋体"/>
          <w:spacing w:val="-52"/>
          <w:sz w:val="20"/>
          <w:szCs w:val="20"/>
        </w:rPr>
        <w:t xml:space="preserve"> </w:t>
      </w:r>
      <w:r>
        <w:rPr>
          <w:rFonts w:ascii="宋体" w:hAnsi="宋体" w:eastAsia="宋体" w:cs="宋体"/>
          <w:spacing w:val="6"/>
          <w:sz w:val="20"/>
          <w:szCs w:val="20"/>
        </w:rPr>
        <w:t>自觉按</w:t>
      </w:r>
      <w:r>
        <w:rPr>
          <w:rFonts w:ascii="宋体" w:hAnsi="宋体" w:eastAsia="宋体" w:cs="宋体"/>
          <w:spacing w:val="5"/>
          <w:sz w:val="20"/>
          <w:szCs w:val="20"/>
        </w:rPr>
        <w:t>合同办事。</w:t>
      </w:r>
    </w:p>
    <w:p w14:paraId="13D80413">
      <w:pPr>
        <w:spacing w:before="159" w:line="328" w:lineRule="auto"/>
        <w:ind w:left="24" w:right="71" w:firstLine="431"/>
        <w:rPr>
          <w:rFonts w:ascii="宋体" w:hAnsi="宋体" w:eastAsia="宋体" w:cs="宋体"/>
          <w:sz w:val="20"/>
          <w:szCs w:val="20"/>
        </w:rPr>
      </w:pPr>
      <w:r>
        <w:rPr>
          <w:rFonts w:ascii="宋体" w:hAnsi="宋体" w:eastAsia="宋体" w:cs="宋体"/>
          <w:spacing w:val="7"/>
          <w:sz w:val="20"/>
          <w:szCs w:val="20"/>
        </w:rPr>
        <w:t>1.3 各项活动必须坚持公开、公平、公正、诚信、</w:t>
      </w:r>
      <w:r>
        <w:rPr>
          <w:rFonts w:ascii="宋体" w:hAnsi="宋体" w:eastAsia="宋体" w:cs="宋体"/>
          <w:spacing w:val="6"/>
          <w:sz w:val="20"/>
          <w:szCs w:val="20"/>
        </w:rPr>
        <w:t>透明的原则（除法律法规另有规定者</w:t>
      </w:r>
      <w:r>
        <w:rPr>
          <w:rFonts w:ascii="宋体" w:hAnsi="宋体" w:eastAsia="宋体" w:cs="宋体"/>
          <w:spacing w:val="8"/>
          <w:sz w:val="20"/>
          <w:szCs w:val="20"/>
        </w:rPr>
        <w:t>外</w:t>
      </w:r>
      <w:r>
        <w:rPr>
          <w:rFonts w:ascii="宋体" w:hAnsi="宋体" w:eastAsia="宋体" w:cs="宋体"/>
          <w:spacing w:val="-3"/>
          <w:sz w:val="20"/>
          <w:szCs w:val="20"/>
        </w:rPr>
        <w:t>），</w:t>
      </w:r>
      <w:r>
        <w:rPr>
          <w:rFonts w:ascii="宋体" w:hAnsi="宋体" w:eastAsia="宋体" w:cs="宋体"/>
          <w:spacing w:val="8"/>
          <w:sz w:val="20"/>
          <w:szCs w:val="20"/>
        </w:rPr>
        <w:t>不得为获取不正当的利益，损害国家、集体和对方利益，不得违反建设工程</w:t>
      </w:r>
      <w:r>
        <w:rPr>
          <w:rFonts w:ascii="宋体" w:hAnsi="宋体" w:eastAsia="宋体" w:cs="宋体"/>
          <w:spacing w:val="7"/>
          <w:sz w:val="20"/>
          <w:szCs w:val="20"/>
        </w:rPr>
        <w:t>管理的规</w:t>
      </w:r>
      <w:r>
        <w:rPr>
          <w:rFonts w:ascii="宋体" w:hAnsi="宋体" w:eastAsia="宋体" w:cs="宋体"/>
          <w:spacing w:val="4"/>
          <w:sz w:val="20"/>
          <w:szCs w:val="20"/>
        </w:rPr>
        <w:t>章制度。</w:t>
      </w:r>
    </w:p>
    <w:p w14:paraId="0EFA738D">
      <w:pPr>
        <w:spacing w:before="162" w:line="302" w:lineRule="auto"/>
        <w:ind w:left="19" w:right="15" w:firstLine="435"/>
        <w:rPr>
          <w:rFonts w:ascii="宋体" w:hAnsi="宋体" w:eastAsia="宋体" w:cs="宋体"/>
          <w:sz w:val="20"/>
          <w:szCs w:val="20"/>
        </w:rPr>
      </w:pPr>
      <w:r>
        <w:rPr>
          <w:rFonts w:ascii="宋体" w:hAnsi="宋体" w:eastAsia="宋体" w:cs="宋体"/>
          <w:spacing w:val="3"/>
          <w:sz w:val="20"/>
          <w:szCs w:val="20"/>
        </w:rPr>
        <w:t>1.4 发现对方在业务活动中有违规、违纪、违法行为的，应及时提醒对方，情节严</w:t>
      </w:r>
      <w:r>
        <w:rPr>
          <w:rFonts w:ascii="宋体" w:hAnsi="宋体" w:eastAsia="宋体" w:cs="宋体"/>
          <w:spacing w:val="2"/>
          <w:sz w:val="20"/>
          <w:szCs w:val="20"/>
        </w:rPr>
        <w:t>重的，</w:t>
      </w:r>
      <w:r>
        <w:rPr>
          <w:rFonts w:ascii="宋体" w:hAnsi="宋体" w:eastAsia="宋体" w:cs="宋体"/>
          <w:spacing w:val="9"/>
          <w:sz w:val="20"/>
          <w:szCs w:val="20"/>
        </w:rPr>
        <w:t>应向其上级主管部门或纪检监察、司法等有关机关举报。</w:t>
      </w:r>
    </w:p>
    <w:p w14:paraId="3454931F">
      <w:pPr>
        <w:spacing w:before="162" w:line="228" w:lineRule="auto"/>
        <w:ind w:left="443"/>
        <w:rPr>
          <w:rFonts w:ascii="宋体" w:hAnsi="宋体" w:eastAsia="宋体" w:cs="宋体"/>
          <w:sz w:val="20"/>
          <w:szCs w:val="20"/>
        </w:rPr>
      </w:pPr>
      <w:r>
        <w:rPr>
          <w:rFonts w:ascii="宋体" w:hAnsi="宋体" w:eastAsia="宋体" w:cs="宋体"/>
          <w:spacing w:val="8"/>
          <w:sz w:val="20"/>
          <w:szCs w:val="20"/>
        </w:rPr>
        <w:t>二、发包人责任</w:t>
      </w:r>
    </w:p>
    <w:p w14:paraId="51B8EC8F">
      <w:pPr>
        <w:spacing w:before="160" w:line="378" w:lineRule="auto"/>
        <w:ind w:left="26" w:right="71" w:firstLine="416"/>
        <w:rPr>
          <w:rFonts w:ascii="宋体" w:hAnsi="宋体" w:eastAsia="宋体" w:cs="宋体"/>
          <w:sz w:val="20"/>
          <w:szCs w:val="20"/>
        </w:rPr>
      </w:pPr>
      <w:r>
        <w:rPr>
          <w:rFonts w:ascii="宋体" w:hAnsi="宋体" w:eastAsia="宋体" w:cs="宋体"/>
          <w:spacing w:val="7"/>
          <w:sz w:val="20"/>
          <w:szCs w:val="20"/>
        </w:rPr>
        <w:t>发包人的领导和从事该建设工程项目的工作人员，在工程建设的事前、事中、事后应遵</w:t>
      </w:r>
      <w:r>
        <w:rPr>
          <w:rFonts w:ascii="宋体" w:hAnsi="宋体" w:eastAsia="宋体" w:cs="宋体"/>
          <w:spacing w:val="5"/>
          <w:sz w:val="20"/>
          <w:szCs w:val="20"/>
        </w:rPr>
        <w:t>守以下规定：</w:t>
      </w:r>
    </w:p>
    <w:p w14:paraId="6EBD0994">
      <w:pPr>
        <w:spacing w:before="1" w:line="302" w:lineRule="auto"/>
        <w:ind w:left="20" w:right="70" w:firstLine="421"/>
        <w:rPr>
          <w:rFonts w:ascii="宋体" w:hAnsi="宋体" w:eastAsia="宋体" w:cs="宋体"/>
          <w:sz w:val="20"/>
          <w:szCs w:val="20"/>
        </w:rPr>
      </w:pPr>
      <w:r>
        <w:rPr>
          <w:rFonts w:ascii="宋体" w:hAnsi="宋体" w:eastAsia="宋体" w:cs="宋体"/>
          <w:spacing w:val="8"/>
          <w:sz w:val="20"/>
          <w:szCs w:val="20"/>
        </w:rPr>
        <w:t>2.1</w:t>
      </w:r>
      <w:r>
        <w:rPr>
          <w:rFonts w:ascii="宋体" w:hAnsi="宋体" w:eastAsia="宋体" w:cs="宋体"/>
          <w:spacing w:val="-34"/>
          <w:sz w:val="20"/>
          <w:szCs w:val="20"/>
        </w:rPr>
        <w:t xml:space="preserve"> </w:t>
      </w:r>
      <w:r>
        <w:rPr>
          <w:rFonts w:ascii="宋体" w:hAnsi="宋体" w:eastAsia="宋体" w:cs="宋体"/>
          <w:spacing w:val="8"/>
          <w:sz w:val="20"/>
          <w:szCs w:val="20"/>
        </w:rPr>
        <w:t>不得向承包人和相关单位索要或接受回扣、礼金、有价证券、贵重物品和好处费、</w:t>
      </w:r>
      <w:r>
        <w:rPr>
          <w:rFonts w:ascii="宋体" w:hAnsi="宋体" w:eastAsia="宋体" w:cs="宋体"/>
          <w:spacing w:val="5"/>
          <w:sz w:val="20"/>
          <w:szCs w:val="20"/>
        </w:rPr>
        <w:t>感谢费等。</w:t>
      </w:r>
    </w:p>
    <w:p w14:paraId="0C0D3964">
      <w:pPr>
        <w:spacing w:before="161" w:line="228" w:lineRule="auto"/>
        <w:ind w:left="442"/>
        <w:rPr>
          <w:rFonts w:ascii="宋体" w:hAnsi="宋体" w:eastAsia="宋体" w:cs="宋体"/>
          <w:sz w:val="20"/>
          <w:szCs w:val="20"/>
        </w:rPr>
      </w:pPr>
      <w:r>
        <w:rPr>
          <w:rFonts w:ascii="宋体" w:hAnsi="宋体" w:eastAsia="宋体" w:cs="宋体"/>
          <w:spacing w:val="9"/>
          <w:sz w:val="20"/>
          <w:szCs w:val="20"/>
        </w:rPr>
        <w:t>2.2 不得在承包人和相关单位报销任何应由</w:t>
      </w:r>
      <w:r>
        <w:rPr>
          <w:rFonts w:ascii="宋体" w:hAnsi="宋体" w:eastAsia="宋体" w:cs="宋体"/>
          <w:spacing w:val="8"/>
          <w:sz w:val="20"/>
          <w:szCs w:val="20"/>
        </w:rPr>
        <w:t>发包人或个人支付的费用。</w:t>
      </w:r>
    </w:p>
    <w:p w14:paraId="0993E72F">
      <w:pPr>
        <w:spacing w:before="163" w:line="302" w:lineRule="auto"/>
        <w:ind w:left="22" w:right="69" w:firstLine="420"/>
        <w:rPr>
          <w:rFonts w:ascii="宋体" w:hAnsi="宋体" w:eastAsia="宋体" w:cs="宋体"/>
          <w:sz w:val="20"/>
          <w:szCs w:val="20"/>
        </w:rPr>
      </w:pPr>
      <w:r>
        <w:rPr>
          <w:rFonts w:ascii="宋体" w:hAnsi="宋体" w:eastAsia="宋体" w:cs="宋体"/>
          <w:spacing w:val="7"/>
          <w:sz w:val="20"/>
          <w:szCs w:val="20"/>
        </w:rPr>
        <w:t>2.3 不得要求、暗示或接受承包人和相关单位为个人装修住房、婚丧嫁娶、配偶子女的</w:t>
      </w:r>
      <w:r>
        <w:rPr>
          <w:rFonts w:ascii="宋体" w:hAnsi="宋体" w:eastAsia="宋体" w:cs="宋体"/>
          <w:spacing w:val="8"/>
          <w:sz w:val="20"/>
          <w:szCs w:val="20"/>
        </w:rPr>
        <w:t>工作安排以及出国（境）、旅游等提供方便。</w:t>
      </w:r>
    </w:p>
    <w:p w14:paraId="5D2CD4F7">
      <w:pPr>
        <w:spacing w:before="162" w:line="228" w:lineRule="auto"/>
        <w:jc w:val="right"/>
        <w:rPr>
          <w:rFonts w:ascii="宋体" w:hAnsi="宋体" w:eastAsia="宋体" w:cs="宋体"/>
          <w:sz w:val="20"/>
          <w:szCs w:val="20"/>
        </w:rPr>
      </w:pPr>
      <w:r>
        <w:rPr>
          <w:rFonts w:ascii="宋体" w:hAnsi="宋体" w:eastAsia="宋体" w:cs="宋体"/>
          <w:spacing w:val="4"/>
          <w:sz w:val="20"/>
          <w:szCs w:val="20"/>
        </w:rPr>
        <w:t>2.4 不得参加有可能影响公正执行公务的承包人和相</w:t>
      </w:r>
      <w:r>
        <w:rPr>
          <w:rFonts w:ascii="宋体" w:hAnsi="宋体" w:eastAsia="宋体" w:cs="宋体"/>
          <w:spacing w:val="3"/>
          <w:sz w:val="20"/>
          <w:szCs w:val="20"/>
        </w:rPr>
        <w:t>关单位的宴请、健身、娱乐等活动。</w:t>
      </w:r>
    </w:p>
    <w:p w14:paraId="33091D91">
      <w:pPr>
        <w:spacing w:before="161" w:line="303" w:lineRule="auto"/>
        <w:ind w:left="40" w:right="69" w:firstLine="402"/>
        <w:rPr>
          <w:rFonts w:ascii="宋体" w:hAnsi="宋体" w:eastAsia="宋体" w:cs="宋体"/>
          <w:sz w:val="20"/>
          <w:szCs w:val="20"/>
        </w:rPr>
      </w:pPr>
      <w:r>
        <w:rPr>
          <w:rFonts w:ascii="宋体" w:hAnsi="宋体" w:eastAsia="宋体" w:cs="宋体"/>
          <w:spacing w:val="7"/>
          <w:sz w:val="20"/>
          <w:szCs w:val="20"/>
        </w:rPr>
        <w:t>2.5 不得向承包人和相关单位介绍或为配偶、子女、亲属参与同发包人工程建设管理合</w:t>
      </w:r>
      <w:r>
        <w:rPr>
          <w:rFonts w:ascii="宋体" w:hAnsi="宋体" w:eastAsia="宋体" w:cs="宋体"/>
          <w:spacing w:val="9"/>
          <w:sz w:val="20"/>
          <w:szCs w:val="20"/>
        </w:rPr>
        <w:t>同有关的业务活动；不得以任何理由要求承包人和相关单位使用某种产品、材料</w:t>
      </w:r>
      <w:r>
        <w:rPr>
          <w:rFonts w:ascii="宋体" w:hAnsi="宋体" w:eastAsia="宋体" w:cs="宋体"/>
          <w:spacing w:val="8"/>
          <w:sz w:val="20"/>
          <w:szCs w:val="20"/>
        </w:rPr>
        <w:t>和设备。</w:t>
      </w:r>
    </w:p>
    <w:p w14:paraId="2E6EAD6F">
      <w:pPr>
        <w:spacing w:before="162" w:line="228" w:lineRule="auto"/>
        <w:ind w:left="439"/>
        <w:rPr>
          <w:rFonts w:ascii="宋体" w:hAnsi="宋体" w:eastAsia="宋体" w:cs="宋体"/>
          <w:sz w:val="20"/>
          <w:szCs w:val="20"/>
        </w:rPr>
      </w:pPr>
      <w:r>
        <w:rPr>
          <w:rFonts w:ascii="宋体" w:hAnsi="宋体" w:eastAsia="宋体" w:cs="宋体"/>
          <w:spacing w:val="8"/>
          <w:sz w:val="20"/>
          <w:szCs w:val="20"/>
        </w:rPr>
        <w:t>三、承包人责任</w:t>
      </w:r>
    </w:p>
    <w:p w14:paraId="0410C868">
      <w:pPr>
        <w:spacing w:before="160" w:line="378" w:lineRule="auto"/>
        <w:ind w:left="19" w:right="69" w:firstLine="420"/>
        <w:rPr>
          <w:rFonts w:ascii="宋体" w:hAnsi="宋体" w:eastAsia="宋体" w:cs="宋体"/>
          <w:sz w:val="20"/>
          <w:szCs w:val="20"/>
        </w:rPr>
      </w:pPr>
      <w:r>
        <w:rPr>
          <w:rFonts w:ascii="宋体" w:hAnsi="宋体" w:eastAsia="宋体" w:cs="宋体"/>
          <w:spacing w:val="7"/>
          <w:sz w:val="20"/>
          <w:szCs w:val="20"/>
        </w:rPr>
        <w:t>应与发包人保持正常的业务交往，按照有关法律法规和程序开展业务工作，严格执行工</w:t>
      </w:r>
      <w:r>
        <w:rPr>
          <w:rFonts w:ascii="宋体" w:hAnsi="宋体" w:eastAsia="宋体" w:cs="宋体"/>
          <w:spacing w:val="9"/>
          <w:sz w:val="20"/>
          <w:szCs w:val="20"/>
        </w:rPr>
        <w:t>程建设的有关方针、政策，执行工程建设强制性标准，并遵守以下规定：</w:t>
      </w:r>
    </w:p>
    <w:p w14:paraId="556B8327">
      <w:pPr>
        <w:spacing w:before="65" w:line="303" w:lineRule="auto"/>
        <w:ind w:left="36" w:right="84" w:firstLine="407"/>
        <w:rPr>
          <w:rFonts w:ascii="宋体" w:hAnsi="宋体" w:eastAsia="宋体" w:cs="宋体"/>
          <w:sz w:val="20"/>
          <w:szCs w:val="20"/>
        </w:rPr>
      </w:pPr>
      <w:r>
        <w:rPr>
          <w:rFonts w:ascii="宋体" w:hAnsi="宋体" w:eastAsia="宋体" w:cs="宋体"/>
          <w:spacing w:val="7"/>
          <w:sz w:val="20"/>
          <w:szCs w:val="20"/>
        </w:rPr>
        <w:t>3.1 不得以任何理由向发包人及其工作人员索要、接受或赠送礼金、有价证券、贵</w:t>
      </w:r>
      <w:r>
        <w:rPr>
          <w:rFonts w:ascii="宋体" w:hAnsi="宋体" w:eastAsia="宋体" w:cs="宋体"/>
          <w:spacing w:val="6"/>
          <w:sz w:val="20"/>
          <w:szCs w:val="20"/>
        </w:rPr>
        <w:t>重物</w:t>
      </w:r>
      <w:r>
        <w:rPr>
          <w:rFonts w:ascii="宋体" w:hAnsi="宋体" w:eastAsia="宋体" w:cs="宋体"/>
          <w:spacing w:val="7"/>
          <w:sz w:val="20"/>
          <w:szCs w:val="20"/>
        </w:rPr>
        <w:t>品及回扣、好处费、感谢费等。</w:t>
      </w:r>
    </w:p>
    <w:p w14:paraId="751E45A0">
      <w:pPr>
        <w:spacing w:before="163" w:line="228" w:lineRule="auto"/>
        <w:ind w:left="444"/>
        <w:rPr>
          <w:rFonts w:ascii="宋体" w:hAnsi="宋体" w:eastAsia="宋体" w:cs="宋体"/>
          <w:sz w:val="20"/>
          <w:szCs w:val="20"/>
        </w:rPr>
      </w:pPr>
      <w:r>
        <w:rPr>
          <w:rFonts w:ascii="宋体" w:hAnsi="宋体" w:eastAsia="宋体" w:cs="宋体"/>
          <w:spacing w:val="8"/>
          <w:sz w:val="20"/>
          <w:szCs w:val="20"/>
        </w:rPr>
        <w:t>3.2</w:t>
      </w:r>
      <w:r>
        <w:rPr>
          <w:rFonts w:ascii="宋体" w:hAnsi="宋体" w:eastAsia="宋体" w:cs="宋体"/>
          <w:spacing w:val="-21"/>
          <w:sz w:val="20"/>
          <w:szCs w:val="20"/>
        </w:rPr>
        <w:t xml:space="preserve"> </w:t>
      </w:r>
      <w:r>
        <w:rPr>
          <w:rFonts w:ascii="宋体" w:hAnsi="宋体" w:eastAsia="宋体" w:cs="宋体"/>
          <w:spacing w:val="8"/>
          <w:sz w:val="20"/>
          <w:szCs w:val="20"/>
        </w:rPr>
        <w:t>不得以任何理由为发包人和相关单位报销应由对方或个人支付的费用。</w:t>
      </w:r>
    </w:p>
    <w:p w14:paraId="2CC50FA5">
      <w:pPr>
        <w:spacing w:before="160" w:line="302" w:lineRule="auto"/>
        <w:ind w:left="24" w:right="84" w:firstLine="420"/>
        <w:rPr>
          <w:rFonts w:ascii="宋体" w:hAnsi="宋体" w:eastAsia="宋体" w:cs="宋体"/>
          <w:sz w:val="20"/>
          <w:szCs w:val="20"/>
        </w:rPr>
      </w:pPr>
      <w:r>
        <w:rPr>
          <w:rFonts w:ascii="宋体" w:hAnsi="宋体" w:eastAsia="宋体" w:cs="宋体"/>
          <w:spacing w:val="8"/>
          <w:sz w:val="20"/>
          <w:szCs w:val="20"/>
        </w:rPr>
        <w:t>3.3</w:t>
      </w:r>
      <w:r>
        <w:rPr>
          <w:rFonts w:ascii="宋体" w:hAnsi="宋体" w:eastAsia="宋体" w:cs="宋体"/>
          <w:spacing w:val="-34"/>
          <w:sz w:val="20"/>
          <w:szCs w:val="20"/>
        </w:rPr>
        <w:t xml:space="preserve"> </w:t>
      </w:r>
      <w:r>
        <w:rPr>
          <w:rFonts w:ascii="宋体" w:hAnsi="宋体" w:eastAsia="宋体" w:cs="宋体"/>
          <w:spacing w:val="8"/>
          <w:sz w:val="20"/>
          <w:szCs w:val="20"/>
        </w:rPr>
        <w:t>不得接受或暗示为发包人、相关单位或个人装修住房、婚丧嫁娶、配偶子女的工作安排以及出国（境）、旅游等提供方便。</w:t>
      </w:r>
    </w:p>
    <w:p w14:paraId="41B4660C">
      <w:pPr>
        <w:spacing w:before="160" w:line="304" w:lineRule="auto"/>
        <w:ind w:left="19" w:right="86" w:firstLine="424"/>
        <w:rPr>
          <w:rFonts w:ascii="宋体" w:hAnsi="宋体" w:eastAsia="宋体" w:cs="宋体"/>
          <w:sz w:val="20"/>
          <w:szCs w:val="20"/>
        </w:rPr>
      </w:pPr>
      <w:r>
        <w:rPr>
          <w:rFonts w:ascii="宋体" w:hAnsi="宋体" w:eastAsia="宋体" w:cs="宋体"/>
          <w:spacing w:val="8"/>
          <w:sz w:val="20"/>
          <w:szCs w:val="20"/>
        </w:rPr>
        <w:t>3.4</w:t>
      </w:r>
      <w:r>
        <w:rPr>
          <w:rFonts w:ascii="宋体" w:hAnsi="宋体" w:eastAsia="宋体" w:cs="宋体"/>
          <w:spacing w:val="-35"/>
          <w:sz w:val="20"/>
          <w:szCs w:val="20"/>
        </w:rPr>
        <w:t xml:space="preserve"> </w:t>
      </w:r>
      <w:r>
        <w:rPr>
          <w:rFonts w:ascii="宋体" w:hAnsi="宋体" w:eastAsia="宋体" w:cs="宋体"/>
          <w:spacing w:val="8"/>
          <w:sz w:val="20"/>
          <w:szCs w:val="20"/>
        </w:rPr>
        <w:t>不得以任何理由为发包人、相关单位或个人组织有可能影响公正执行公务的宴请、</w:t>
      </w:r>
      <w:r>
        <w:rPr>
          <w:rFonts w:ascii="宋体" w:hAnsi="宋体" w:eastAsia="宋体" w:cs="宋体"/>
          <w:spacing w:val="7"/>
          <w:sz w:val="20"/>
          <w:szCs w:val="20"/>
        </w:rPr>
        <w:t>健身、娱乐等活动。</w:t>
      </w:r>
    </w:p>
    <w:p w14:paraId="215C6AE4">
      <w:pPr>
        <w:spacing w:before="161" w:line="228" w:lineRule="auto"/>
        <w:ind w:left="459"/>
        <w:rPr>
          <w:rFonts w:ascii="宋体" w:hAnsi="宋体" w:eastAsia="宋体" w:cs="宋体"/>
          <w:sz w:val="20"/>
          <w:szCs w:val="20"/>
        </w:rPr>
      </w:pPr>
      <w:r>
        <w:rPr>
          <w:rFonts w:ascii="宋体" w:hAnsi="宋体" w:eastAsia="宋体" w:cs="宋体"/>
          <w:spacing w:val="4"/>
          <w:sz w:val="20"/>
          <w:szCs w:val="20"/>
        </w:rPr>
        <w:t>四、违约责任</w:t>
      </w:r>
    </w:p>
    <w:p w14:paraId="4A3110DF">
      <w:pPr>
        <w:spacing w:before="161" w:line="328" w:lineRule="auto"/>
        <w:ind w:left="19" w:right="87" w:firstLine="420"/>
        <w:rPr>
          <w:rFonts w:ascii="宋体" w:hAnsi="宋体" w:eastAsia="宋体" w:cs="宋体"/>
          <w:sz w:val="20"/>
          <w:szCs w:val="20"/>
        </w:rPr>
      </w:pPr>
      <w:r>
        <w:rPr>
          <w:rFonts w:ascii="宋体" w:hAnsi="宋体" w:eastAsia="宋体" w:cs="宋体"/>
          <w:spacing w:val="8"/>
          <w:sz w:val="20"/>
          <w:szCs w:val="20"/>
        </w:rPr>
        <w:t>4.1</w:t>
      </w:r>
      <w:r>
        <w:rPr>
          <w:rFonts w:ascii="宋体" w:hAnsi="宋体" w:eastAsia="宋体" w:cs="宋体"/>
          <w:spacing w:val="-32"/>
          <w:sz w:val="20"/>
          <w:szCs w:val="20"/>
        </w:rPr>
        <w:t xml:space="preserve"> </w:t>
      </w:r>
      <w:r>
        <w:rPr>
          <w:rFonts w:ascii="宋体" w:hAnsi="宋体" w:eastAsia="宋体" w:cs="宋体"/>
          <w:spacing w:val="8"/>
          <w:sz w:val="20"/>
          <w:szCs w:val="20"/>
        </w:rPr>
        <w:t>发包人工作人员有违反本责任书第一、二条责任行为的，依据有关法律、法规给予处理；涉嫌犯罪的，移交司法机关追究刑事责</w:t>
      </w:r>
      <w:r>
        <w:rPr>
          <w:rFonts w:ascii="宋体" w:hAnsi="宋体" w:eastAsia="宋体" w:cs="宋体"/>
          <w:spacing w:val="7"/>
          <w:sz w:val="20"/>
          <w:szCs w:val="20"/>
        </w:rPr>
        <w:t>任；给承包人单位造成经济损失的，应予以赔</w:t>
      </w:r>
      <w:r>
        <w:rPr>
          <w:rFonts w:ascii="宋体" w:hAnsi="宋体" w:eastAsia="宋体" w:cs="宋体"/>
          <w:sz w:val="20"/>
          <w:szCs w:val="20"/>
        </w:rPr>
        <w:t>偿。</w:t>
      </w:r>
    </w:p>
    <w:p w14:paraId="67DED852">
      <w:pPr>
        <w:spacing w:before="160" w:line="302" w:lineRule="auto"/>
        <w:ind w:left="21" w:right="51" w:firstLine="417"/>
        <w:rPr>
          <w:rFonts w:ascii="宋体" w:hAnsi="宋体" w:eastAsia="宋体" w:cs="宋体"/>
          <w:sz w:val="20"/>
          <w:szCs w:val="20"/>
        </w:rPr>
      </w:pPr>
      <w:r>
        <w:rPr>
          <w:rFonts w:ascii="宋体" w:hAnsi="宋体" w:eastAsia="宋体" w:cs="宋体"/>
          <w:spacing w:val="8"/>
          <w:sz w:val="20"/>
          <w:szCs w:val="20"/>
        </w:rPr>
        <w:t>4.2 承包人工作人员有违反本责任书第一、三条责任行为的，依据有关法律法</w:t>
      </w:r>
      <w:r>
        <w:rPr>
          <w:rFonts w:ascii="宋体" w:hAnsi="宋体" w:eastAsia="宋体" w:cs="宋体"/>
          <w:spacing w:val="7"/>
          <w:sz w:val="20"/>
          <w:szCs w:val="20"/>
        </w:rPr>
        <w:t>规处理；</w:t>
      </w:r>
      <w:r>
        <w:rPr>
          <w:rFonts w:ascii="宋体" w:hAnsi="宋体" w:eastAsia="宋体" w:cs="宋体"/>
          <w:spacing w:val="9"/>
          <w:sz w:val="20"/>
          <w:szCs w:val="20"/>
        </w:rPr>
        <w:t>涉嫌犯罪的，移交司法机关追究刑事责任；给发包人单位造成经济损失的，应予以赔偿。</w:t>
      </w:r>
    </w:p>
    <w:p w14:paraId="2ADB878B">
      <w:pPr>
        <w:spacing w:before="161" w:line="303" w:lineRule="auto"/>
        <w:ind w:left="20" w:right="87" w:firstLine="418"/>
        <w:rPr>
          <w:rFonts w:ascii="宋体" w:hAnsi="宋体" w:eastAsia="宋体" w:cs="宋体"/>
          <w:sz w:val="20"/>
          <w:szCs w:val="20"/>
        </w:rPr>
      </w:pPr>
      <w:r>
        <w:rPr>
          <w:rFonts w:ascii="宋体" w:hAnsi="宋体" w:eastAsia="宋体" w:cs="宋体"/>
          <w:spacing w:val="7"/>
          <w:sz w:val="20"/>
          <w:szCs w:val="20"/>
        </w:rPr>
        <w:t>4.3 本责任书作为建设工程合同的组成部分，与建设工程合同具有同等法律效力。经双方签署后立即生效。</w:t>
      </w:r>
    </w:p>
    <w:p w14:paraId="79E63D44">
      <w:pPr>
        <w:spacing w:before="160" w:line="228" w:lineRule="auto"/>
        <w:ind w:left="443"/>
        <w:rPr>
          <w:rFonts w:ascii="宋体" w:hAnsi="宋体" w:eastAsia="宋体" w:cs="宋体"/>
          <w:sz w:val="20"/>
          <w:szCs w:val="20"/>
        </w:rPr>
      </w:pPr>
      <w:r>
        <w:rPr>
          <w:rFonts w:ascii="宋体" w:hAnsi="宋体" w:eastAsia="宋体" w:cs="宋体"/>
          <w:spacing w:val="8"/>
          <w:sz w:val="20"/>
          <w:szCs w:val="20"/>
        </w:rPr>
        <w:t>五、责任书有效期</w:t>
      </w:r>
    </w:p>
    <w:p w14:paraId="17157B13">
      <w:pPr>
        <w:spacing w:before="163" w:line="228" w:lineRule="auto"/>
        <w:ind w:left="440"/>
        <w:rPr>
          <w:rFonts w:ascii="宋体" w:hAnsi="宋体" w:eastAsia="宋体" w:cs="宋体"/>
          <w:sz w:val="20"/>
          <w:szCs w:val="20"/>
        </w:rPr>
      </w:pPr>
      <w:r>
        <w:rPr>
          <w:rFonts w:ascii="宋体" w:hAnsi="宋体" w:eastAsia="宋体" w:cs="宋体"/>
          <w:spacing w:val="9"/>
          <w:sz w:val="20"/>
          <w:szCs w:val="20"/>
        </w:rPr>
        <w:t>本责任书的有效期为双方签署之日起至该工程项目竣工验收合格时止。</w:t>
      </w:r>
    </w:p>
    <w:p w14:paraId="2BC7B8E3">
      <w:pPr>
        <w:spacing w:before="161" w:line="228" w:lineRule="auto"/>
        <w:ind w:left="441"/>
        <w:rPr>
          <w:rFonts w:ascii="宋体" w:hAnsi="宋体" w:eastAsia="宋体" w:cs="宋体"/>
          <w:sz w:val="20"/>
          <w:szCs w:val="20"/>
        </w:rPr>
      </w:pPr>
      <w:r>
        <w:rPr>
          <w:rFonts w:ascii="宋体" w:hAnsi="宋体" w:eastAsia="宋体" w:cs="宋体"/>
          <w:spacing w:val="8"/>
          <w:sz w:val="20"/>
          <w:szCs w:val="20"/>
        </w:rPr>
        <w:t>六、责任书份数</w:t>
      </w:r>
    </w:p>
    <w:p w14:paraId="2F90228F">
      <w:pPr>
        <w:spacing w:before="161" w:line="228" w:lineRule="auto"/>
        <w:ind w:left="440"/>
        <w:rPr>
          <w:rFonts w:ascii="宋体" w:hAnsi="宋体" w:eastAsia="宋体" w:cs="宋体"/>
          <w:sz w:val="20"/>
          <w:szCs w:val="20"/>
        </w:rPr>
      </w:pPr>
      <w:r>
        <w:rPr>
          <w:rFonts w:ascii="宋体" w:hAnsi="宋体" w:eastAsia="宋体" w:cs="宋体"/>
          <w:spacing w:val="9"/>
          <w:sz w:val="20"/>
          <w:szCs w:val="20"/>
        </w:rPr>
        <w:t>本责任书一式二份，发包人承包人各执一份，具有同等效力。</w:t>
      </w:r>
    </w:p>
    <w:p w14:paraId="1929779C">
      <w:pPr>
        <w:pStyle w:val="17"/>
        <w:spacing w:line="251" w:lineRule="auto"/>
      </w:pPr>
    </w:p>
    <w:p w14:paraId="04E1D7B9">
      <w:pPr>
        <w:pStyle w:val="17"/>
        <w:spacing w:line="252" w:lineRule="auto"/>
      </w:pPr>
    </w:p>
    <w:p w14:paraId="1BBF0C62">
      <w:pPr>
        <w:spacing w:before="66" w:line="228" w:lineRule="auto"/>
        <w:ind w:left="23"/>
        <w:rPr>
          <w:rFonts w:ascii="宋体" w:hAnsi="宋体" w:eastAsia="宋体" w:cs="宋体"/>
          <w:sz w:val="20"/>
          <w:szCs w:val="20"/>
        </w:rPr>
      </w:pPr>
      <w:r>
        <w:rPr>
          <w:rFonts w:ascii="宋体" w:hAnsi="宋体" w:eastAsia="宋体" w:cs="宋体"/>
          <w:spacing w:val="11"/>
          <w:sz w:val="20"/>
          <w:szCs w:val="20"/>
        </w:rPr>
        <w:t>发包人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1"/>
          <w:sz w:val="20"/>
          <w:szCs w:val="20"/>
        </w:rPr>
        <w:t>公章）   承包人</w:t>
      </w:r>
      <w:r>
        <w:rPr>
          <w:rFonts w:ascii="宋体" w:hAnsi="宋体" w:eastAsia="宋体" w:cs="宋体"/>
          <w:spacing w:val="-4"/>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1"/>
          <w:sz w:val="20"/>
          <w:szCs w:val="20"/>
        </w:rPr>
        <w:t>公章）</w:t>
      </w:r>
    </w:p>
    <w:p w14:paraId="46D38294">
      <w:pPr>
        <w:spacing w:before="161" w:line="229" w:lineRule="auto"/>
        <w:ind w:left="20"/>
        <w:rPr>
          <w:rFonts w:ascii="宋体" w:hAnsi="宋体" w:eastAsia="宋体" w:cs="宋体"/>
          <w:sz w:val="20"/>
          <w:szCs w:val="20"/>
        </w:rPr>
      </w:pPr>
      <w:r>
        <w:rPr>
          <w:rFonts w:ascii="宋体" w:hAnsi="宋体" w:eastAsia="宋体" w:cs="宋体"/>
          <w:spacing w:val="4"/>
          <w:sz w:val="20"/>
          <w:szCs w:val="20"/>
        </w:rPr>
        <w:t>法定地址：</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法定地址：</w:t>
      </w:r>
      <w:r>
        <w:rPr>
          <w:rFonts w:ascii="宋体" w:hAnsi="宋体" w:eastAsia="宋体" w:cs="宋体"/>
          <w:spacing w:val="4"/>
          <w:sz w:val="20"/>
          <w:szCs w:val="20"/>
          <w:u w:val="single" w:color="auto"/>
        </w:rPr>
        <w:t xml:space="preserve">                                 </w:t>
      </w:r>
    </w:p>
    <w:p w14:paraId="06AD0B6D">
      <w:pPr>
        <w:spacing w:before="160" w:line="228" w:lineRule="auto"/>
        <w:ind w:left="20"/>
        <w:rPr>
          <w:rFonts w:ascii="宋体" w:hAnsi="宋体" w:eastAsia="宋体" w:cs="宋体"/>
          <w:sz w:val="20"/>
          <w:szCs w:val="20"/>
        </w:rPr>
      </w:pPr>
      <w:r>
        <w:rPr>
          <w:rFonts w:ascii="宋体" w:hAnsi="宋体" w:eastAsia="宋体" w:cs="宋体"/>
          <w:spacing w:val="7"/>
          <w:sz w:val="20"/>
          <w:szCs w:val="20"/>
        </w:rPr>
        <w:t xml:space="preserve">法定代表人或其             </w:t>
      </w:r>
      <w:r>
        <w:rPr>
          <w:rFonts w:ascii="宋体" w:hAnsi="宋体" w:eastAsia="宋体" w:cs="宋体"/>
          <w:spacing w:val="6"/>
          <w:sz w:val="20"/>
          <w:szCs w:val="20"/>
        </w:rPr>
        <w:t xml:space="preserve">          法定代表人或其</w:t>
      </w:r>
    </w:p>
    <w:p w14:paraId="6B7D2BF8">
      <w:pPr>
        <w:spacing w:before="161" w:line="228" w:lineRule="auto"/>
        <w:ind w:left="19"/>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签字）  委托代理人</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签字）</w:t>
      </w:r>
    </w:p>
    <w:p w14:paraId="71B7AF9D">
      <w:pPr>
        <w:spacing w:before="160" w:line="231" w:lineRule="auto"/>
        <w:ind w:left="44"/>
        <w:rPr>
          <w:rFonts w:ascii="宋体" w:hAnsi="宋体" w:eastAsia="宋体" w:cs="宋体"/>
          <w:sz w:val="20"/>
          <w:szCs w:val="20"/>
        </w:rPr>
      </w:pPr>
      <w:r>
        <w:rPr>
          <w:rFonts w:ascii="宋体" w:hAnsi="宋体" w:eastAsia="宋体" w:cs="宋体"/>
          <w:spacing w:val="-1"/>
          <w:sz w:val="20"/>
          <w:szCs w:val="20"/>
        </w:rPr>
        <w:t>电话：</w:t>
      </w:r>
      <w:r>
        <w:rPr>
          <w:rFonts w:ascii="宋体" w:hAnsi="宋体" w:eastAsia="宋体" w:cs="宋体"/>
          <w:spacing w:val="1"/>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1"/>
          <w:sz w:val="20"/>
          <w:szCs w:val="20"/>
        </w:rPr>
        <w:t>电话：</w:t>
      </w:r>
      <w:r>
        <w:rPr>
          <w:rFonts w:ascii="宋体" w:hAnsi="宋体" w:eastAsia="宋体" w:cs="宋体"/>
          <w:sz w:val="20"/>
          <w:szCs w:val="20"/>
          <w:u w:val="single" w:color="auto"/>
        </w:rPr>
        <w:t xml:space="preserve">                                      </w:t>
      </w:r>
    </w:p>
    <w:p w14:paraId="364AAAB7">
      <w:pPr>
        <w:spacing w:before="158" w:line="228" w:lineRule="auto"/>
        <w:ind w:left="18"/>
        <w:rPr>
          <w:rFonts w:ascii="宋体" w:hAnsi="宋体" w:eastAsia="宋体" w:cs="宋体"/>
          <w:sz w:val="20"/>
          <w:szCs w:val="20"/>
        </w:rPr>
      </w:pPr>
      <w:r>
        <w:rPr>
          <w:rFonts w:ascii="宋体" w:hAnsi="宋体" w:eastAsia="宋体" w:cs="宋体"/>
          <w:spacing w:val="4"/>
          <w:sz w:val="20"/>
          <w:szCs w:val="20"/>
        </w:rPr>
        <w:t>传真：</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4"/>
          <w:sz w:val="20"/>
          <w:szCs w:val="20"/>
        </w:rPr>
        <w:t>传真：</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BE4741F">
      <w:pPr>
        <w:spacing w:before="164" w:line="229" w:lineRule="auto"/>
        <w:ind w:left="44"/>
        <w:rPr>
          <w:rFonts w:ascii="宋体" w:hAnsi="宋体" w:eastAsia="宋体" w:cs="宋体"/>
          <w:sz w:val="20"/>
          <w:szCs w:val="20"/>
        </w:rPr>
      </w:pPr>
      <w:r>
        <w:rPr>
          <w:rFonts w:ascii="宋体" w:hAnsi="宋体" w:eastAsia="宋体" w:cs="宋体"/>
          <w:spacing w:val="3"/>
          <w:sz w:val="20"/>
          <w:szCs w:val="20"/>
        </w:rPr>
        <w:t>电子邮箱：</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3"/>
          <w:sz w:val="20"/>
          <w:szCs w:val="20"/>
        </w:rPr>
        <w:t>电子邮箱：</w:t>
      </w:r>
      <w:r>
        <w:rPr>
          <w:rFonts w:ascii="宋体" w:hAnsi="宋体" w:eastAsia="宋体" w:cs="宋体"/>
          <w:sz w:val="20"/>
          <w:szCs w:val="20"/>
          <w:u w:val="single" w:color="auto"/>
        </w:rPr>
        <w:t xml:space="preserve">                                  </w:t>
      </w:r>
    </w:p>
    <w:p w14:paraId="7383D2FE">
      <w:pPr>
        <w:spacing w:before="160" w:line="229" w:lineRule="auto"/>
        <w:ind w:left="20"/>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p>
    <w:p w14:paraId="73072E01">
      <w:pPr>
        <w:spacing w:before="160" w:line="229" w:lineRule="auto"/>
        <w:ind w:left="28"/>
        <w:rPr>
          <w:rFonts w:ascii="宋体" w:hAnsi="宋体" w:eastAsia="宋体" w:cs="宋体"/>
          <w:sz w:val="20"/>
          <w:szCs w:val="20"/>
        </w:rPr>
      </w:pPr>
      <w:r>
        <w:rPr>
          <w:rFonts w:ascii="宋体" w:hAnsi="宋体" w:eastAsia="宋体" w:cs="宋体"/>
          <w:spacing w:val="4"/>
          <w:sz w:val="20"/>
          <w:szCs w:val="20"/>
        </w:rPr>
        <w:t>帐号：</w:t>
      </w:r>
      <w:r>
        <w:rPr>
          <w:rFonts w:ascii="宋体" w:hAnsi="宋体" w:eastAsia="宋体" w:cs="宋体"/>
          <w:spacing w:val="1"/>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4"/>
          <w:sz w:val="20"/>
          <w:szCs w:val="20"/>
        </w:rPr>
        <w:t>帐号：</w:t>
      </w:r>
      <w:r>
        <w:rPr>
          <w:rFonts w:ascii="宋体" w:hAnsi="宋体" w:eastAsia="宋体" w:cs="宋体"/>
          <w:sz w:val="20"/>
          <w:szCs w:val="20"/>
          <w:u w:val="single" w:color="auto"/>
        </w:rPr>
        <w:t xml:space="preserve">                                      </w:t>
      </w:r>
    </w:p>
    <w:p w14:paraId="6F573D9B">
      <w:pPr>
        <w:spacing w:before="159" w:line="380" w:lineRule="auto"/>
        <w:ind w:left="20" w:firstLine="14"/>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3"/>
          <w:sz w:val="20"/>
          <w:szCs w:val="20"/>
        </w:rPr>
        <w:t xml:space="preserve">   </w:t>
      </w:r>
      <w:r>
        <w:rPr>
          <w:rFonts w:ascii="宋体" w:hAnsi="宋体" w:eastAsia="宋体" w:cs="宋体"/>
          <w:spacing w:val="5"/>
          <w:sz w:val="20"/>
          <w:szCs w:val="20"/>
        </w:rPr>
        <w:t>邮政编码：</w:t>
      </w:r>
      <w:r>
        <w:rPr>
          <w:rFonts w:ascii="宋体" w:hAnsi="宋体" w:eastAsia="宋体" w:cs="宋体"/>
          <w:spacing w:val="2"/>
          <w:sz w:val="20"/>
          <w:szCs w:val="20"/>
          <w:u w:val="single" w:color="auto"/>
        </w:rPr>
        <w:t xml:space="preserve">                                 </w:t>
      </w:r>
      <w:r>
        <w:rPr>
          <w:rFonts w:ascii="宋体" w:hAnsi="宋体" w:eastAsia="宋体" w:cs="宋体"/>
          <w:spacing w:val="10"/>
          <w:sz w:val="20"/>
          <w:szCs w:val="20"/>
        </w:rPr>
        <w:t>监督单位</w:t>
      </w:r>
      <w:r>
        <w:rPr>
          <w:rFonts w:ascii="宋体" w:hAnsi="宋体" w:eastAsia="宋体" w:cs="宋体"/>
          <w:spacing w:val="-4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2"/>
          <w:sz w:val="20"/>
          <w:szCs w:val="20"/>
        </w:rPr>
        <w:t>（</w:t>
      </w:r>
      <w:r>
        <w:rPr>
          <w:rFonts w:ascii="宋体" w:hAnsi="宋体" w:eastAsia="宋体" w:cs="宋体"/>
          <w:spacing w:val="10"/>
          <w:sz w:val="20"/>
          <w:szCs w:val="20"/>
        </w:rPr>
        <w:t>盖章）</w:t>
      </w:r>
      <w:r>
        <w:rPr>
          <w:rFonts w:ascii="宋体" w:hAnsi="宋体" w:eastAsia="宋体" w:cs="宋体"/>
          <w:spacing w:val="93"/>
          <w:sz w:val="20"/>
          <w:szCs w:val="20"/>
        </w:rPr>
        <w:t xml:space="preserve"> </w:t>
      </w:r>
      <w:r>
        <w:rPr>
          <w:rFonts w:ascii="宋体" w:hAnsi="宋体" w:eastAsia="宋体" w:cs="宋体"/>
          <w:spacing w:val="10"/>
          <w:sz w:val="20"/>
          <w:szCs w:val="20"/>
        </w:rPr>
        <w:t>监督单位</w:t>
      </w:r>
      <w:r>
        <w:rPr>
          <w:rFonts w:ascii="宋体" w:hAnsi="宋体" w:eastAsia="宋体" w:cs="宋体"/>
          <w:spacing w:val="-4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42"/>
          <w:sz w:val="20"/>
          <w:szCs w:val="20"/>
        </w:rPr>
        <w:t>（</w:t>
      </w:r>
      <w:r>
        <w:rPr>
          <w:rFonts w:ascii="宋体" w:hAnsi="宋体" w:eastAsia="宋体" w:cs="宋体"/>
          <w:spacing w:val="10"/>
          <w:sz w:val="20"/>
          <w:szCs w:val="20"/>
        </w:rPr>
        <w:t>盖章）</w:t>
      </w:r>
    </w:p>
    <w:p w14:paraId="449247CC">
      <w:pPr>
        <w:rPr>
          <w:rFonts w:ascii="Times New Roman" w:hAnsi="Times New Roman" w:eastAsia="宋体" w:cs="Times New Roman"/>
          <w:b/>
          <w:color w:val="auto"/>
          <w:sz w:val="36"/>
          <w:szCs w:val="36"/>
          <w:highlight w:val="none"/>
        </w:rPr>
      </w:pPr>
      <w:r>
        <w:rPr>
          <w:rFonts w:ascii="Times New Roman" w:hAnsi="Times New Roman" w:eastAsia="宋体" w:cs="Times New Roman"/>
          <w:b/>
          <w:color w:val="auto"/>
          <w:sz w:val="36"/>
          <w:szCs w:val="36"/>
          <w:highlight w:val="none"/>
        </w:rPr>
        <w:br w:type="page"/>
      </w:r>
    </w:p>
    <w:p w14:paraId="5478EE48">
      <w:pPr>
        <w:spacing w:before="78" w:line="219" w:lineRule="auto"/>
        <w:ind w:left="39"/>
        <w:rPr>
          <w:rFonts w:ascii="宋体" w:hAnsi="宋体" w:eastAsia="宋体" w:cs="宋体"/>
          <w:sz w:val="24"/>
          <w:szCs w:val="24"/>
        </w:rPr>
      </w:pPr>
      <w:r>
        <w:rPr>
          <w:rFonts w:ascii="宋体" w:hAnsi="宋体" w:eastAsia="宋体" w:cs="宋体"/>
          <w:spacing w:val="-3"/>
          <w:sz w:val="24"/>
          <w:szCs w:val="24"/>
        </w:rPr>
        <w:t>附件</w:t>
      </w:r>
      <w:r>
        <w:rPr>
          <w:rFonts w:hint="eastAsia" w:ascii="宋体" w:hAnsi="宋体" w:eastAsia="宋体" w:cs="宋体"/>
          <w:spacing w:val="-3"/>
          <w:sz w:val="24"/>
          <w:szCs w:val="24"/>
          <w:lang w:val="en-US" w:eastAsia="zh-CN"/>
        </w:rPr>
        <w:t>九</w:t>
      </w:r>
      <w:r>
        <w:rPr>
          <w:rFonts w:ascii="宋体" w:hAnsi="宋体" w:eastAsia="宋体" w:cs="宋体"/>
          <w:spacing w:val="-3"/>
          <w:sz w:val="24"/>
          <w:szCs w:val="24"/>
        </w:rPr>
        <w:t>：</w:t>
      </w:r>
      <w:r>
        <w:rPr>
          <w:rFonts w:hint="eastAsia" w:ascii="宋体" w:hAnsi="宋体" w:eastAsia="宋体" w:cs="宋体"/>
          <w:b w:val="0"/>
          <w:bCs w:val="0"/>
          <w:color w:val="auto"/>
          <w:sz w:val="24"/>
          <w:szCs w:val="24"/>
          <w:highlight w:val="none"/>
          <w:u w:val="none"/>
          <w:lang w:val="en-US" w:eastAsia="zh-CN"/>
        </w:rPr>
        <w:t>安全生产</w:t>
      </w:r>
      <w:r>
        <w:rPr>
          <w:rFonts w:hint="eastAsia" w:ascii="宋体" w:hAnsi="宋体" w:eastAsia="宋体" w:cs="宋体"/>
          <w:b w:val="0"/>
          <w:bCs w:val="0"/>
          <w:color w:val="auto"/>
          <w:sz w:val="24"/>
          <w:szCs w:val="24"/>
          <w:highlight w:val="none"/>
        </w:rPr>
        <w:t>管理协议书</w:t>
      </w:r>
    </w:p>
    <w:p w14:paraId="171D9545">
      <w:pPr>
        <w:keepNext w:val="0"/>
        <w:keepLines w:val="0"/>
        <w:pageBreakBefore w:val="0"/>
        <w:kinsoku/>
        <w:wordWrap/>
        <w:overflowPunct/>
        <w:topLinePunct w:val="0"/>
        <w:autoSpaceDE/>
        <w:autoSpaceDN/>
        <w:bidi w:val="0"/>
        <w:adjustRightInd/>
        <w:spacing w:line="580" w:lineRule="exact"/>
        <w:ind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中共</w:t>
      </w:r>
      <w:r>
        <w:rPr>
          <w:rFonts w:hint="eastAsia" w:ascii="宋体" w:hAnsi="宋体" w:eastAsia="宋体" w:cs="宋体"/>
          <w:b w:val="0"/>
          <w:bCs w:val="0"/>
          <w:color w:val="auto"/>
          <w:sz w:val="24"/>
          <w:szCs w:val="24"/>
          <w:highlight w:val="none"/>
        </w:rPr>
        <w:t>北京市</w:t>
      </w:r>
      <w:r>
        <w:rPr>
          <w:rFonts w:hint="eastAsia" w:ascii="宋体" w:hAnsi="宋体" w:eastAsia="宋体" w:cs="宋体"/>
          <w:b w:val="0"/>
          <w:bCs w:val="0"/>
          <w:color w:val="auto"/>
          <w:sz w:val="24"/>
          <w:szCs w:val="24"/>
          <w:highlight w:val="none"/>
          <w:lang w:eastAsia="zh-CN"/>
        </w:rPr>
        <w:t>卫生健康委员会党校</w:t>
      </w:r>
    </w:p>
    <w:p w14:paraId="1CE8E6BF">
      <w:pPr>
        <w:keepNext w:val="0"/>
        <w:keepLines w:val="0"/>
        <w:pageBreakBefore w:val="0"/>
        <w:tabs>
          <w:tab w:val="left" w:pos="180"/>
          <w:tab w:val="left" w:pos="360"/>
        </w:tabs>
        <w:kinsoku/>
        <w:wordWrap/>
        <w:overflowPunct/>
        <w:topLinePunct w:val="0"/>
        <w:autoSpaceDE/>
        <w:autoSpaceDN/>
        <w:bidi w:val="0"/>
        <w:adjustRightInd/>
        <w:spacing w:line="580" w:lineRule="exact"/>
        <w:ind w:right="0" w:rightChars="0"/>
        <w:jc w:val="center"/>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 xml:space="preserve">                      项目</w:t>
      </w:r>
    </w:p>
    <w:p w14:paraId="76426B2F">
      <w:pPr>
        <w:keepNext w:val="0"/>
        <w:keepLines w:val="0"/>
        <w:pageBreakBefore w:val="0"/>
        <w:tabs>
          <w:tab w:val="left" w:pos="180"/>
          <w:tab w:val="left" w:pos="360"/>
        </w:tabs>
        <w:kinsoku/>
        <w:wordWrap/>
        <w:overflowPunct/>
        <w:topLinePunct w:val="0"/>
        <w:autoSpaceDE/>
        <w:autoSpaceDN/>
        <w:bidi w:val="0"/>
        <w:adjustRightInd/>
        <w:spacing w:line="580" w:lineRule="exact"/>
        <w:ind w:right="0" w:righ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安全生产</w:t>
      </w:r>
      <w:r>
        <w:rPr>
          <w:rFonts w:hint="eastAsia" w:ascii="宋体" w:hAnsi="宋体" w:eastAsia="宋体" w:cs="宋体"/>
          <w:b w:val="0"/>
          <w:bCs w:val="0"/>
          <w:color w:val="auto"/>
          <w:sz w:val="24"/>
          <w:szCs w:val="24"/>
          <w:highlight w:val="none"/>
        </w:rPr>
        <w:t>管理协议书</w:t>
      </w:r>
    </w:p>
    <w:p w14:paraId="43E92915">
      <w:pPr>
        <w:keepNext w:val="0"/>
        <w:keepLines w:val="0"/>
        <w:pageBreakBefore w:val="0"/>
        <w:kinsoku/>
        <w:wordWrap/>
        <w:overflowPunct/>
        <w:topLinePunct w:val="0"/>
        <w:autoSpaceDE/>
        <w:autoSpaceDN/>
        <w:bidi w:val="0"/>
        <w:adjustRightInd/>
        <w:snapToGrid w:val="0"/>
        <w:spacing w:line="580" w:lineRule="exact"/>
        <w:ind w:right="0" w:rightChars="0"/>
        <w:jc w:val="center"/>
        <w:textAlignment w:val="auto"/>
        <w:rPr>
          <w:rFonts w:hint="eastAsia" w:ascii="宋体" w:hAnsi="宋体" w:eastAsia="宋体" w:cs="宋体"/>
          <w:color w:val="auto"/>
          <w:sz w:val="24"/>
          <w:szCs w:val="24"/>
          <w:highlight w:val="none"/>
        </w:rPr>
      </w:pPr>
    </w:p>
    <w:p w14:paraId="2805825E">
      <w:pPr>
        <w:keepNext w:val="0"/>
        <w:keepLines w:val="0"/>
        <w:pageBreakBefore w:val="0"/>
        <w:kinsoku/>
        <w:wordWrap/>
        <w:overflowPunct/>
        <w:topLinePunct w:val="0"/>
        <w:autoSpaceDE/>
        <w:autoSpaceDN/>
        <w:bidi w:val="0"/>
        <w:adjustRightInd/>
        <w:spacing w:line="58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总包单位</w:t>
      </w:r>
      <w:r>
        <w:rPr>
          <w:rFonts w:hint="eastAsia" w:ascii="宋体" w:hAnsi="宋体" w:eastAsia="宋体" w:cs="宋体"/>
          <w:color w:val="auto"/>
          <w:sz w:val="24"/>
          <w:szCs w:val="24"/>
          <w:highlight w:val="none"/>
        </w:rPr>
        <w:t>（以下简称甲方）：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89E003B">
      <w:pPr>
        <w:keepNext w:val="0"/>
        <w:keepLines w:val="0"/>
        <w:pageBreakBefore w:val="0"/>
        <w:kinsoku/>
        <w:wordWrap/>
        <w:overflowPunct/>
        <w:topLinePunct w:val="0"/>
        <w:autoSpaceDE/>
        <w:autoSpaceDN/>
        <w:bidi w:val="0"/>
        <w:adjustRightInd/>
        <w:spacing w:line="5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分包单位</w:t>
      </w:r>
      <w:r>
        <w:rPr>
          <w:rFonts w:hint="eastAsia" w:ascii="宋体" w:hAnsi="宋体" w:eastAsia="宋体" w:cs="宋体"/>
          <w:color w:val="auto"/>
          <w:sz w:val="24"/>
          <w:szCs w:val="24"/>
          <w:highlight w:val="none"/>
        </w:rPr>
        <w:t>（以下简称乙方）：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3B12900">
      <w:pPr>
        <w:keepNext w:val="0"/>
        <w:keepLines w:val="0"/>
        <w:pageBreakBefore w:val="0"/>
        <w:kinsoku/>
        <w:wordWrap/>
        <w:overflowPunct/>
        <w:topLinePunct w:val="0"/>
        <w:autoSpaceDE/>
        <w:autoSpaceDN/>
        <w:bidi w:val="0"/>
        <w:adjustRightInd/>
        <w:spacing w:line="580" w:lineRule="exact"/>
        <w:ind w:right="0" w:righ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lang w:eastAsia="zh-CN"/>
        </w:rPr>
        <w:t>中共北京市卫生健康委员会党校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w:t>
      </w:r>
    </w:p>
    <w:p w14:paraId="3B4CD087">
      <w:pPr>
        <w:keepNext w:val="0"/>
        <w:keepLines w:val="0"/>
        <w:pageBreakBefore w:val="0"/>
        <w:kinsoku/>
        <w:wordWrap/>
        <w:overflowPunct/>
        <w:topLinePunct w:val="0"/>
        <w:autoSpaceDE/>
        <w:autoSpaceDN/>
        <w:bidi w:val="0"/>
        <w:adjustRightInd/>
        <w:spacing w:line="580" w:lineRule="exact"/>
        <w:ind w:left="2317" w:leftChars="532" w:right="0" w:rightChars="0" w:hanging="1200" w:hanging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承包形式：劳务专业承包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63BEB98">
      <w:pPr>
        <w:keepNext w:val="0"/>
        <w:keepLines w:val="0"/>
        <w:pageBreakBefore w:val="0"/>
        <w:kinsoku/>
        <w:wordWrap/>
        <w:overflowPunct/>
        <w:topLinePunct w:val="0"/>
        <w:autoSpaceDE/>
        <w:autoSpaceDN/>
        <w:bidi w:val="0"/>
        <w:adjustRightInd/>
        <w:spacing w:line="580" w:lineRule="exact"/>
        <w:ind w:left="2314" w:leftChars="1102"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其他专业承包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103147C">
      <w:pPr>
        <w:keepNext w:val="0"/>
        <w:keepLines w:val="0"/>
        <w:pageBreakBefore w:val="0"/>
        <w:kinsoku/>
        <w:wordWrap/>
        <w:overflowPunct/>
        <w:topLinePunct w:val="0"/>
        <w:autoSpaceDE/>
        <w:autoSpaceDN/>
        <w:bidi w:val="0"/>
        <w:adjustRightInd/>
        <w:spacing w:line="580" w:lineRule="exact"/>
        <w:ind w:right="0" w:righ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现场从事生产经营的人员总数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p w14:paraId="07E1D24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left"/>
        <w:textAlignment w:val="auto"/>
        <w:outlineLvl w:val="9"/>
        <w:rPr>
          <w:rStyle w:val="46"/>
          <w:rFonts w:hint="eastAsia" w:ascii="宋体" w:hAnsi="宋体" w:eastAsia="宋体" w:cs="宋体"/>
          <w:b/>
          <w:bCs w:val="0"/>
          <w:sz w:val="24"/>
          <w:szCs w:val="24"/>
          <w:highlight w:val="none"/>
          <w:u w:val="single"/>
          <w:lang w:val="en-US" w:eastAsia="zh-CN"/>
        </w:rPr>
      </w:pPr>
      <w:r>
        <w:rPr>
          <w:rStyle w:val="46"/>
          <w:rFonts w:hint="eastAsia" w:ascii="宋体" w:hAnsi="宋体" w:eastAsia="宋体" w:cs="宋体"/>
          <w:b/>
          <w:bCs w:val="0"/>
          <w:sz w:val="24"/>
          <w:szCs w:val="24"/>
          <w:highlight w:val="none"/>
          <w:lang w:val="en-US" w:eastAsia="zh-CN"/>
        </w:rPr>
        <w:t>1.姓名</w:t>
      </w:r>
      <w:r>
        <w:rPr>
          <w:rStyle w:val="46"/>
          <w:rFonts w:hint="eastAsia" w:ascii="宋体" w:hAnsi="宋体" w:eastAsia="宋体" w:cs="宋体"/>
          <w:b w:val="0"/>
          <w:bCs/>
          <w:sz w:val="24"/>
          <w:szCs w:val="24"/>
          <w:highlight w:val="none"/>
          <w:lang w:val="en-US" w:eastAsia="zh-CN"/>
        </w:rPr>
        <w:t>：</w:t>
      </w:r>
      <w:r>
        <w:rPr>
          <w:rStyle w:val="46"/>
          <w:rFonts w:hint="eastAsia" w:ascii="宋体" w:hAnsi="宋体" w:eastAsia="宋体" w:cs="宋体"/>
          <w:b w:val="0"/>
          <w:bCs/>
          <w:sz w:val="24"/>
          <w:szCs w:val="24"/>
          <w:highlight w:val="none"/>
          <w:u w:val="single"/>
          <w:lang w:val="en-US" w:eastAsia="zh-CN"/>
        </w:rPr>
        <w:t xml:space="preserve">                  </w:t>
      </w:r>
      <w:r>
        <w:rPr>
          <w:rStyle w:val="46"/>
          <w:rFonts w:hint="eastAsia" w:ascii="宋体" w:hAnsi="宋体" w:eastAsia="宋体" w:cs="宋体"/>
          <w:b/>
          <w:bCs w:val="0"/>
          <w:sz w:val="24"/>
          <w:szCs w:val="24"/>
          <w:highlight w:val="none"/>
          <w:lang w:val="en-US" w:eastAsia="zh-CN"/>
        </w:rPr>
        <w:t xml:space="preserve"> 联系方式：</w:t>
      </w:r>
      <w:r>
        <w:rPr>
          <w:rStyle w:val="46"/>
          <w:rFonts w:hint="eastAsia" w:ascii="宋体" w:hAnsi="宋体" w:eastAsia="宋体" w:cs="宋体"/>
          <w:b w:val="0"/>
          <w:bCs/>
          <w:sz w:val="24"/>
          <w:szCs w:val="24"/>
          <w:highlight w:val="none"/>
          <w:u w:val="single"/>
          <w:lang w:val="en-US" w:eastAsia="zh-CN"/>
        </w:rPr>
        <w:t xml:space="preserve">                      </w:t>
      </w:r>
    </w:p>
    <w:p w14:paraId="64524BF1">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Chars="0" w:right="0" w:rightChars="0"/>
        <w:jc w:val="left"/>
        <w:textAlignment w:val="auto"/>
        <w:outlineLvl w:val="9"/>
        <w:rPr>
          <w:rFonts w:hint="eastAsia" w:ascii="宋体" w:hAnsi="宋体" w:eastAsia="宋体" w:cs="宋体"/>
          <w:color w:val="auto"/>
          <w:sz w:val="24"/>
          <w:szCs w:val="24"/>
          <w:highlight w:val="none"/>
          <w:lang w:val="en-US" w:eastAsia="zh-CN"/>
        </w:rPr>
      </w:pPr>
      <w:r>
        <w:rPr>
          <w:rStyle w:val="46"/>
          <w:rFonts w:hint="eastAsia" w:ascii="宋体" w:hAnsi="宋体" w:eastAsia="宋体" w:cs="宋体"/>
          <w:b/>
          <w:bCs w:val="0"/>
          <w:sz w:val="24"/>
          <w:szCs w:val="24"/>
          <w:highlight w:val="none"/>
          <w:lang w:val="en-US" w:eastAsia="zh-CN"/>
        </w:rPr>
        <w:t>2.姓名：</w:t>
      </w:r>
      <w:r>
        <w:rPr>
          <w:rStyle w:val="46"/>
          <w:rFonts w:hint="eastAsia" w:ascii="宋体" w:hAnsi="宋体" w:eastAsia="宋体" w:cs="宋体"/>
          <w:b w:val="0"/>
          <w:bCs/>
          <w:sz w:val="24"/>
          <w:szCs w:val="24"/>
          <w:highlight w:val="none"/>
          <w:u w:val="single"/>
          <w:lang w:val="en-US" w:eastAsia="zh-CN"/>
        </w:rPr>
        <w:t xml:space="preserve">                  </w:t>
      </w:r>
      <w:r>
        <w:rPr>
          <w:rStyle w:val="46"/>
          <w:rFonts w:hint="eastAsia" w:ascii="宋体" w:hAnsi="宋体" w:eastAsia="宋体" w:cs="宋体"/>
          <w:b w:val="0"/>
          <w:bCs/>
          <w:sz w:val="24"/>
          <w:szCs w:val="24"/>
          <w:highlight w:val="none"/>
          <w:lang w:val="en-US" w:eastAsia="zh-CN"/>
        </w:rPr>
        <w:t xml:space="preserve"> </w:t>
      </w:r>
      <w:r>
        <w:rPr>
          <w:rStyle w:val="46"/>
          <w:rFonts w:hint="eastAsia" w:ascii="宋体" w:hAnsi="宋体" w:eastAsia="宋体" w:cs="宋体"/>
          <w:b/>
          <w:bCs w:val="0"/>
          <w:sz w:val="24"/>
          <w:szCs w:val="24"/>
          <w:highlight w:val="none"/>
          <w:lang w:val="en-US" w:eastAsia="zh-CN"/>
        </w:rPr>
        <w:t>联系方式：</w:t>
      </w:r>
      <w:r>
        <w:rPr>
          <w:rStyle w:val="46"/>
          <w:rFonts w:hint="eastAsia" w:ascii="宋体" w:hAnsi="宋体" w:eastAsia="宋体" w:cs="宋体"/>
          <w:b w:val="0"/>
          <w:bCs/>
          <w:sz w:val="24"/>
          <w:szCs w:val="24"/>
          <w:highlight w:val="none"/>
          <w:u w:val="single"/>
          <w:lang w:val="en-US" w:eastAsia="zh-CN"/>
        </w:rPr>
        <w:t xml:space="preserve">                      </w:t>
      </w:r>
    </w:p>
    <w:p w14:paraId="525FE3F0">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p>
    <w:p w14:paraId="1A1B960E">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了切实加强作业现场安全生产管理，依照《中华人民共和国民法典》、《中华人民共和国安全生产法》、《中华人民共和国建筑法》、《北京市消防条例》、《限额以下小型工程施工安全管理办法》、《北京市严格施工动火作业消防安全管理的若干措施（试行）》、《</w:t>
      </w:r>
      <w:bookmarkStart w:id="799" w:name="OLE_LINK4"/>
      <w:r>
        <w:rPr>
          <w:rFonts w:hint="eastAsia" w:ascii="宋体" w:hAnsi="宋体" w:eastAsia="宋体" w:cs="宋体"/>
          <w:color w:val="auto"/>
          <w:kern w:val="2"/>
          <w:sz w:val="24"/>
          <w:szCs w:val="24"/>
          <w:highlight w:val="none"/>
          <w:lang w:val="en-US" w:eastAsia="zh-CN" w:bidi="ar-SA"/>
        </w:rPr>
        <w:t>医疗机构消防安全管理九项规定（2020年版）</w:t>
      </w:r>
      <w:bookmarkEnd w:id="799"/>
      <w:r>
        <w:rPr>
          <w:rFonts w:hint="eastAsia" w:ascii="宋体" w:hAnsi="宋体" w:eastAsia="宋体" w:cs="宋体"/>
          <w:color w:val="auto"/>
          <w:kern w:val="2"/>
          <w:sz w:val="24"/>
          <w:szCs w:val="24"/>
          <w:highlight w:val="none"/>
          <w:lang w:val="en-US" w:eastAsia="zh-CN" w:bidi="ar-SA"/>
        </w:rPr>
        <w:t>》、《北京市单位消防安全主体责任规定》、《关于加强人员密集场所动火作业安全管理的若干措施》、《关于加强新质生产力企业安全生产工作的指导意见（试行）》、《消防安全“不起火、不扩大、不亡人”九项硬措施》、《安全生产和自然灾害风险隐患排查整治专项行动方案》、《医疗机构重大事故隐患判定清单》、《关于进一步压实电动自行车电动三轮车使用火灾防范责任的指导意见》、《北京市生产安全事故责任划分试行办法》、北京市房屋建筑和市政基础设施工程有限空间作业安全管理规定--京建法〔2019〕14号、北京市深入开展燃气安全隐患大排查大整治专项工作方案的有关规定、北京市卫生健康委员会关于加强交通安全管理工作的通知、北京市安全生产委员会电力安全生产专业委员会关于进一步开展电力安全隐患排查治理工作的通知、《房屋市政工程生产安全重大事故隐患判定标准（2024版）》等要求，双方本着平等、自愿的原则，签订本协议书。甲方和乙方均严格遵守本协议书规定的权力、责任和义务，确保作业现场的安全生产。</w:t>
      </w:r>
    </w:p>
    <w:p w14:paraId="79D66A71">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eastAsia="zh-CN"/>
        </w:rPr>
      </w:pPr>
    </w:p>
    <w:p w14:paraId="62217425">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一、甲乙双方责任</w:t>
      </w:r>
    </w:p>
    <w:p w14:paraId="32679D7B">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（一）甲乙双方共同遵守国家和地方有关安全生产的法律、法规和规定，认真执行国家、行业、企业安全技术标准。</w:t>
      </w:r>
    </w:p>
    <w:p w14:paraId="07BCD24F">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（二）定期召开安全工作会议，制定各项安全生产规章和安全生产目标责任，形成一体化的安全生产监督管理体系和保证体系，并按照职责分工抓好落实工作。</w:t>
      </w:r>
    </w:p>
    <w:p w14:paraId="2FC6CF26">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（三）坚持“安全第一，预防为主”的方针，不得违章指挥和违章作业。在组织施工生产时先落实安全保护措施，防止事故发生。</w:t>
      </w:r>
    </w:p>
    <w:p w14:paraId="36F74C2A">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（四）抓好安全教育，严肃安全纪律，规范安全行为，净化作业环境，禁止野蛮施工，防止施工扰民。</w:t>
      </w:r>
    </w:p>
    <w:p w14:paraId="448DD224">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（五）发生事故时，应立即采取措施保护现场，抢救伤员，防止事故扩大，并及时报告上级主管部门，查明事故原因，确定事故责任，拟订改进措施，提出对事故责任者的处理意见。</w:t>
      </w:r>
    </w:p>
    <w:p w14:paraId="417CC859">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（六）甲、乙双方严格遵守本协议条款，履行各自管理范围内的安全职责，做好安全管理工作。</w:t>
      </w:r>
    </w:p>
    <w:p w14:paraId="580E9D1C">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二、甲方的权利、责任和义务：</w:t>
      </w:r>
    </w:p>
    <w:p w14:paraId="4A6DBA7B">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1、贯彻落实国家及北京市有关作业现场安全生产、文明作业的法规和管理规定，对作业现场进行全面的安全生产管理和监督检查。</w:t>
      </w:r>
    </w:p>
    <w:p w14:paraId="67517DF5">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2、甲方有权审查乙方提供服务的相关资质。</w:t>
      </w:r>
    </w:p>
    <w:p w14:paraId="7063AFF5">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提供作业现场安全生产条件。安全防护设施由甲方提供的，交付使用前双方要到现场进行确认，并签署交接单，乙方进行日常使用管理，损坏赔偿。如乙方在安全生产防护措施不符合相关标准，甲方有权要求乙方停工，整改合格后方可继续开展生产工作。</w:t>
      </w:r>
    </w:p>
    <w:p w14:paraId="0CBD3F5D">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提供作业用电，并保证符合安全标准。负责提供符合安全标准的作业用电电源到B级配电箱。按照有关安全用电标准对乙方的作业用电设施设备进行监督检查，发现隐患责成乙方予以整改。</w:t>
      </w:r>
    </w:p>
    <w:p w14:paraId="7A702143">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4、督促乙方特殊工种操作人员建立档案并在甲方备案。</w:t>
      </w:r>
    </w:p>
    <w:p w14:paraId="2ED13852">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5、对乙方作业区域进行安全生产和文明作业检查；及时纠正乙方作业人员违章指挥和违章作业行为，并按照有关规定予以查处。对乙方作业区域内的重大安全事故隐患，应立即告知并责令限时整改。</w:t>
      </w:r>
    </w:p>
    <w:p w14:paraId="075DAC57">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6、对乙方的安全生产培训、劳动保护用品的使用和危险预知工作提出指导意见，并监督落实情况。</w:t>
      </w:r>
    </w:p>
    <w:p w14:paraId="1FF7FDC4">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7、甲方有权对乙方的安全管理工作及质量进行监督检查，发现问题及时告知乙方，并有权要求乙方及时改正，直到乙方达到标准。</w:t>
      </w:r>
    </w:p>
    <w:p w14:paraId="555C4537">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8、甲方有权要求乙方按照合同约定提供对应的服务（如设备设施维护保养），并对乙方的服务进行监督，确保服务质量达标。</w:t>
      </w:r>
    </w:p>
    <w:p w14:paraId="2D03DAA8">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9、甲方有权对乙方提供的货物进行抽查检验，以确保货品质量，并要求乙方对不合格产品进行调换。</w:t>
      </w:r>
    </w:p>
    <w:p w14:paraId="7D671B99">
      <w:pPr>
        <w:keepNext w:val="0"/>
        <w:keepLines w:val="0"/>
        <w:pageBreakBefore w:val="0"/>
        <w:numPr>
          <w:ilvl w:val="0"/>
          <w:numId w:val="0"/>
        </w:numPr>
        <w:tabs>
          <w:tab w:val="left" w:pos="1440"/>
        </w:tabs>
        <w:kinsoku/>
        <w:wordWrap/>
        <w:overflowPunct/>
        <w:topLinePunct w:val="0"/>
        <w:autoSpaceDE/>
        <w:autoSpaceDN/>
        <w:bidi w:val="0"/>
        <w:adjustRightInd/>
        <w:snapToGrid/>
        <w:spacing w:line="420" w:lineRule="exact"/>
        <w:ind w:left="630" w:leftChars="0" w:right="0" w:rightChars="0"/>
        <w:textAlignment w:val="auto"/>
        <w:rPr>
          <w:rFonts w:hint="eastAsia" w:ascii="宋体" w:hAnsi="宋体" w:eastAsia="宋体" w:cs="宋体"/>
          <w:color w:val="auto"/>
          <w:sz w:val="28"/>
          <w:szCs w:val="28"/>
          <w:highlight w:val="none"/>
          <w:lang w:eastAsia="zh-CN"/>
        </w:rPr>
      </w:pPr>
    </w:p>
    <w:p w14:paraId="2E841A5C">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三、乙方的权利、责任和义务：</w:t>
      </w:r>
    </w:p>
    <w:p w14:paraId="5FC2F059">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1、贯彻落实国家及北京市有关作业现场安全生产的法规和管理制度，建立健全安全生产责任制和安全生产管理制度，并向甲方备案。</w:t>
      </w:r>
    </w:p>
    <w:p w14:paraId="72BD5037">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2、接受甲方的作业资质审查，并负责提供相关资质、营业执照、特种作业证等有关资料。严格按照营业资质范围作业，不得承接超资质范围的作业任务。</w:t>
      </w:r>
    </w:p>
    <w:p w14:paraId="66603FB2">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是安全生产现场的安全责任主体，应对生产施工安全全面负责，对该项目的全部人员的安全负责。乙方应服从甲方安全生产管理，须对所属人员进行安全注意事项、措施交底等安全教育，落实相关法规规定的安全技术措施和人身防护用品以及防止高空坠物的安全措施。</w:t>
      </w:r>
    </w:p>
    <w:p w14:paraId="7CF75723">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4、乙方负责教育和监管所属人员不得随意进入非该作业项目区域外的场所及触摸、启动机械、电器、控制阀等设备，由此而引起的事故，乙方负全部责任。</w:t>
      </w:r>
    </w:p>
    <w:p w14:paraId="635DED8D">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5、乙方须按照合同内容履行相应义务，确保服务项目、服务水平、工程质量、货品质量、维修保养质量等内容达到合同约定标准。</w:t>
      </w:r>
    </w:p>
    <w:p w14:paraId="12E317DA">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6、乙方必须保证特种作业人员持证上岗，并依照国家相关规定进行操作。不得安排非特殊工种的人员从事特殊工种作业，不得安排不适于高处作业的人员从事高处作业。非操作人员不得使用机械设备。</w:t>
      </w:r>
    </w:p>
    <w:p w14:paraId="070E1325">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7、乙方所携带的相应生产器械设备、工具等须符合国家标准，且机械性能良好，安全防护装置有效齐全，并向甲方报告，并经甲方同意后，按甲方要求管理。大型设备须经具有资质的单位检验合格后方可使用。</w:t>
      </w:r>
    </w:p>
    <w:p w14:paraId="49510F35">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8、需使用甲方的机械、电器等设备、设施，必须事先经得甲方书面同意，并对其安全防护措施负责和承担安全责任。</w:t>
      </w:r>
    </w:p>
    <w:p w14:paraId="438337A7">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9、对特殊工种作业人员进行安全管理，保证特殊工种作业人员持证上岗，负责建立特殊工种作业人员档案，并向甲方备案。</w:t>
      </w:r>
    </w:p>
    <w:p w14:paraId="0ABFECE5">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10、按照《中华人民共和国安全生产法》和北京市有关安全管理规定，及时将《生产安全事故应急救援预案》报甲方备案。</w:t>
      </w:r>
    </w:p>
    <w:p w14:paraId="57630B67">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11、按照北京市有关安全管理规定，定期组织对所辖作业区域进行安全生产检查，发现问题隐患必须及时整改。在安全检查中发现甲方管辖范围内的事故隐患，应向甲方及时报告。</w:t>
      </w:r>
    </w:p>
    <w:p w14:paraId="0047C504">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12、乙方需编制本单位承包范围内的安全施工方案和安全技术措施，按规定提出和使用安全技术措施费。</w:t>
      </w:r>
    </w:p>
    <w:p w14:paraId="6F0FC18C">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13、乙方有违章操作、违反规章制度等，经指出后仍不改的，甲方有权对其进行处罚。</w:t>
      </w:r>
    </w:p>
    <w:p w14:paraId="72F738BF">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14、由于乙方责任造成生产安全事故，导致甲方或第三方人员伤亡时，由乙方承担相应的事故责任和经济责任。甲方或第三方有义务负责协助处理善后事宜。</w:t>
      </w:r>
    </w:p>
    <w:p w14:paraId="545C8E5A">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15、由于双方责任造成的生产安全事故，根据市政府有关部门的责任划分承担相应的事故责任和经济责任。</w:t>
      </w:r>
    </w:p>
    <w:p w14:paraId="24B3B793">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16、发生生产安全事故后，必须在10分钟内向甲方报告，并按照北京市有关规定向有关主管部门报告。迟报或者隐瞒不报生产安全事故，承担事故的相应责任。</w:t>
      </w:r>
    </w:p>
    <w:p w14:paraId="3AB33195">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17、乙方在甲方住宿人员，需遵守甲方相关要求，不得使用违禁物品和设备，包括但不限于电动自行车充电、做饭等，因乙方住宿人员引起的任何问题，由乙方承担全部责任及甲方经济处罚。</w:t>
      </w:r>
    </w:p>
    <w:p w14:paraId="4569DFC7">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18、因乙方工作失误造成的甲方财产损失，由乙方负责维修或赔偿。</w:t>
      </w:r>
    </w:p>
    <w:p w14:paraId="39440D21">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四、补充条款</w:t>
      </w:r>
    </w:p>
    <w:p w14:paraId="69378920">
      <w:pPr>
        <w:pStyle w:val="18"/>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bookmarkStart w:id="800" w:name="OLE_LINK7"/>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双方按照北京市《北京市严格作业动火作业消防安全管理的若干措施（试行）》--京消〔2023〕131号和甲方作业现场动火作业审批制度执行。</w:t>
      </w:r>
    </w:p>
    <w:bookmarkEnd w:id="800"/>
    <w:p w14:paraId="34511B9F">
      <w:pPr>
        <w:pStyle w:val="3"/>
        <w:keepNext w:val="0"/>
        <w:keepLines w:val="0"/>
        <w:pageBreakBefore w:val="0"/>
        <w:widowControl/>
        <w:suppressLineNumbers w:val="0"/>
        <w:tabs>
          <w:tab w:val="left" w:pos="432"/>
        </w:tabs>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left"/>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作业单位应提前办理动火申请，申请前应针对动火作业内容、作业环境、作业人员资质等方面进行风险评估，根据风险评估的结果制定相应控制措施；项目可结合实际情况，可在节假日、国家重要活动期间，以及项目认为对生产有重大影响的重点部位、关键环节和存在重大危害的作业，实行动火作业审批升级管理和现场作业升级管理；每次动火完毕，必须检查确认现场工完料尽、无火患后，动火人员方可离开现场；动火证签发时限，每次准许动火的时间不得超过1个签发班，若期限已到尚需继续动火，则重新办理；如果动火作业进行到一半需要就餐，应在现场留下一名人员看护，如果现场未留下人员看护，就餐后要重新签发动火作业许可证；动火结束后半小时内，监火人员应在动火地点继续监视，包括楼上楼下相关区域，彻底检查是否有火星、余烬或任何冒烟现象，防止闷燃。</w:t>
      </w:r>
    </w:p>
    <w:p w14:paraId="5D993C03">
      <w:pPr>
        <w:pStyle w:val="18"/>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u w:val="none"/>
          <w:lang w:val="en-US" w:eastAsia="zh-CN" w:bidi="ar-SA"/>
        </w:rPr>
        <w:t>2、</w:t>
      </w:r>
      <w:r>
        <w:rPr>
          <w:rFonts w:hint="eastAsia" w:ascii="宋体" w:hAnsi="宋体" w:eastAsia="宋体" w:cs="宋体"/>
          <w:color w:val="auto"/>
          <w:kern w:val="2"/>
          <w:sz w:val="24"/>
          <w:szCs w:val="24"/>
          <w:highlight w:val="none"/>
          <w:u w:val="single"/>
          <w:lang w:val="en-US" w:eastAsia="zh-CN" w:bidi="ar-SA"/>
        </w:rPr>
        <w:t>双方按照北京市房屋建筑和市政基础设施工程有限空间作业安全管理规定--京建法〔2019〕14号和中共北京市卫生健康委员会党校关于有限空间作业安全生产管理规定执行。</w:t>
      </w:r>
    </w:p>
    <w:p w14:paraId="50C7AAE3">
      <w:pPr>
        <w:pStyle w:val="3"/>
        <w:keepNext w:val="0"/>
        <w:keepLines w:val="0"/>
        <w:pageBreakBefore w:val="0"/>
        <w:widowControl/>
        <w:suppressLineNumbers w:val="0"/>
        <w:tabs>
          <w:tab w:val="left" w:pos="432"/>
        </w:tabs>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left"/>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有限空间作业人员必须持证上岗，严禁无证人员擅自上岗作业；按照规定制定有限空间作业方案；未经审批不得擅自作业；有限空间作业场所须设置明显的安全警示标志；作业人员必须穿戴符合国家标准或者行业标准的安全帽、全身式安全带、安全绳、呼吸防护等劳动防护用品。</w:t>
      </w:r>
    </w:p>
    <w:p w14:paraId="4F6938B7">
      <w:pPr>
        <w:pStyle w:val="18"/>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480" w:firstLineChars="200"/>
        <w:jc w:val="left"/>
        <w:textAlignment w:val="auto"/>
        <w:outlineLvl w:val="9"/>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u w:val="single"/>
          <w:lang w:val="en-US" w:eastAsia="zh-CN" w:bidi="ar-SA"/>
        </w:rPr>
        <w:t>双方按照《中华人民共和国安全生产法》、《中华人民共和国劳动法》、《高处作业分级》规定、《特种作业人员安全技术培训考核管理规定》 、京安监发〔2009〕53号《北京市高处悬吊作业安全生产规定》执行。</w:t>
      </w:r>
    </w:p>
    <w:p w14:paraId="6D005B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高处作业人员须持证上岗，穿戴符合国家标准或者行业标准的安全帽、全身式安全带、安全绳、呼吸防护等劳动防护用品；生产经营单位应当依法对从业人员进行安全生产教育和培训；作业场所须设置明显的安全警示标志；悬吊设备应当符合行业标准， 施工前，应当向施工作业班组、作业人员说明安全施工的技术要求，如实告知存在的危险因素、防范措施及事故应急救援措施。</w:t>
      </w:r>
    </w:p>
    <w:p w14:paraId="02A27B00">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五、违约责任</w:t>
      </w:r>
    </w:p>
    <w:p w14:paraId="407E8110">
      <w:pPr>
        <w:pStyle w:val="3"/>
        <w:keepNext w:val="0"/>
        <w:keepLines w:val="0"/>
        <w:pageBreakBefore w:val="0"/>
        <w:widowControl/>
        <w:suppressLineNumbers w:val="0"/>
        <w:tabs>
          <w:tab w:val="left" w:pos="432"/>
        </w:tabs>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left"/>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乙方违反本协议的相关条款，甲方有权按次/天要求乙方承担合同总金额1%的违约责任。违约金累计达到合同总金额的5%，甲方有权解除合同，并要求乙方承担合同总金额的50%的违约金，违约金的金额不足以赔偿甲方损失，以甲方实际产生的损失为准，乙方应当予以补足。</w:t>
      </w:r>
    </w:p>
    <w:p w14:paraId="2DD66AE2">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六、管辖</w:t>
      </w:r>
    </w:p>
    <w:p w14:paraId="62A23C54">
      <w:pPr>
        <w:pStyle w:val="3"/>
        <w:keepNext w:val="0"/>
        <w:keepLines w:val="0"/>
        <w:pageBreakBefore w:val="0"/>
        <w:widowControl/>
        <w:suppressLineNumbers w:val="0"/>
        <w:tabs>
          <w:tab w:val="left" w:pos="432"/>
        </w:tabs>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left"/>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因本协议书发生争议，由双方协商解决，协商不成，应提交甲方所在地人民法院诉讼解决，所产生的全部费用由乙方承担，包括但不限于诉讼费、律师费、保险费、赔付第三方的资金等。</w:t>
      </w:r>
    </w:p>
    <w:p w14:paraId="79AB499C">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七、其他约定</w:t>
      </w:r>
    </w:p>
    <w:p w14:paraId="6641FEB9">
      <w:pPr>
        <w:pStyle w:val="3"/>
        <w:keepNext w:val="0"/>
        <w:keepLines w:val="0"/>
        <w:pageBreakBefore w:val="0"/>
        <w:widowControl/>
        <w:suppressLineNumbers w:val="0"/>
        <w:tabs>
          <w:tab w:val="left" w:pos="432"/>
        </w:tabs>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left"/>
        <w:textAlignment w:val="auto"/>
        <w:outlineLvl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kern w:val="2"/>
          <w:sz w:val="24"/>
          <w:szCs w:val="24"/>
          <w:highlight w:val="none"/>
          <w:u w:val="single"/>
          <w:lang w:val="en-US" w:eastAsia="zh-CN" w:bidi="ar-SA"/>
        </w:rPr>
        <w:t>在施工过程中，如遇施工工艺、施工环境等发生变化，可能影响安全生产的情况，乙方应及时向甲方报告，未经说明或说明不清不得盲目施工。乙方应定期组织员工进行安全生产培训与教育活动，对于涉及本项目特定的安全操作规程、技术要求及风险防范要点等内容，要提前进行专项培训。</w:t>
      </w:r>
    </w:p>
    <w:p w14:paraId="663D97B5">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2" w:firstLineChars="200"/>
        <w:textAlignment w:val="auto"/>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八、其他</w:t>
      </w:r>
    </w:p>
    <w:p w14:paraId="2B4A0968">
      <w:pPr>
        <w:pStyle w:val="36"/>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（一）本协议未尽事宜，双方协商一致后可另行签署补充协议，该补充协议是本协议不可分割的一部分，与本协议具有同等效力。</w:t>
      </w:r>
    </w:p>
    <w:p w14:paraId="2044D75E">
      <w:pPr>
        <w:pStyle w:val="36"/>
        <w:keepNext w:val="0"/>
        <w:keepLines w:val="0"/>
        <w:pageBreakBefore w:val="0"/>
        <w:numPr>
          <w:ilvl w:val="0"/>
          <w:numId w:val="14"/>
        </w:numPr>
        <w:kinsoku/>
        <w:wordWrap/>
        <w:overflowPunct/>
        <w:topLinePunct w:val="0"/>
        <w:autoSpaceDE/>
        <w:autoSpaceDN/>
        <w:bidi w:val="0"/>
        <w:adjustRightInd/>
        <w:snapToGrid/>
        <w:spacing w:line="420" w:lineRule="exact"/>
        <w:ind w:left="0" w:leftChars="0" w:right="0" w:rightChars="0" w:firstLine="482"/>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本协议自双方签字并盖章后生效，</w:t>
      </w:r>
      <w:r>
        <w:rPr>
          <w:rFonts w:hint="eastAsia" w:ascii="宋体" w:hAnsi="宋体" w:eastAsia="宋体" w:cs="宋体"/>
          <w:color w:val="auto"/>
          <w:kern w:val="2"/>
          <w:sz w:val="24"/>
          <w:szCs w:val="24"/>
          <w:highlight w:val="none"/>
          <w:u w:val="single"/>
          <w:lang w:val="en-US" w:eastAsia="zh-CN" w:bidi="ar-SA"/>
        </w:rPr>
        <w:t>一式贰份，甲、乙方各执壹份</w:t>
      </w:r>
      <w:r>
        <w:rPr>
          <w:rFonts w:hint="eastAsia" w:ascii="宋体" w:hAnsi="宋体" w:eastAsia="宋体" w:cs="宋体"/>
          <w:b w:val="0"/>
          <w:bCs w:val="0"/>
          <w:color w:val="auto"/>
          <w:kern w:val="2"/>
          <w:sz w:val="24"/>
          <w:szCs w:val="24"/>
          <w:highlight w:val="none"/>
          <w:lang w:val="en-US" w:eastAsia="zh-CN" w:bidi="ar-SA"/>
        </w:rPr>
        <w:t>，具有同等效力。</w:t>
      </w:r>
    </w:p>
    <w:p w14:paraId="6E475C76">
      <w:pPr>
        <w:keepNext w:val="0"/>
        <w:keepLines w:val="0"/>
        <w:pageBreakBefore w:val="0"/>
        <w:tabs>
          <w:tab w:val="left" w:pos="1440"/>
        </w:tabs>
        <w:kinsoku/>
        <w:wordWrap/>
        <w:overflowPunct/>
        <w:topLinePunct w:val="0"/>
        <w:autoSpaceDE/>
        <w:autoSpaceDN/>
        <w:bidi w:val="0"/>
        <w:adjustRightInd/>
        <w:snapToGrid/>
        <w:spacing w:line="580" w:lineRule="exact"/>
        <w:ind w:left="0" w:leftChars="0" w:right="0" w:rightChars="0"/>
        <w:textAlignment w:val="auto"/>
        <w:outlineLvl w:val="9"/>
        <w:rPr>
          <w:rFonts w:hint="eastAsia" w:ascii="宋体" w:hAnsi="宋体" w:eastAsia="宋体" w:cs="宋体"/>
          <w:color w:val="auto"/>
          <w:kern w:val="2"/>
          <w:sz w:val="28"/>
          <w:szCs w:val="28"/>
          <w:highlight w:val="none"/>
          <w:lang w:val="en-US" w:eastAsia="zh-CN" w:bidi="ar-SA"/>
        </w:rPr>
      </w:pPr>
    </w:p>
    <w:p w14:paraId="6A2CE203">
      <w:pPr>
        <w:keepNext w:val="0"/>
        <w:keepLines w:val="0"/>
        <w:pageBreakBefore w:val="0"/>
        <w:tabs>
          <w:tab w:val="left" w:pos="1440"/>
        </w:tabs>
        <w:kinsoku/>
        <w:wordWrap/>
        <w:overflowPunct/>
        <w:topLinePunct w:val="0"/>
        <w:autoSpaceDE/>
        <w:autoSpaceDN/>
        <w:bidi w:val="0"/>
        <w:adjustRightInd/>
        <w:spacing w:line="580" w:lineRule="exact"/>
        <w:ind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甲方单位（章）                           乙方单位（章）</w:t>
      </w:r>
    </w:p>
    <w:p w14:paraId="5AA43560">
      <w:pPr>
        <w:keepNext w:val="0"/>
        <w:keepLines w:val="0"/>
        <w:pageBreakBefore w:val="0"/>
        <w:tabs>
          <w:tab w:val="left" w:pos="1440"/>
        </w:tabs>
        <w:kinsoku/>
        <w:wordWrap/>
        <w:overflowPunct/>
        <w:topLinePunct w:val="0"/>
        <w:autoSpaceDE/>
        <w:autoSpaceDN/>
        <w:bidi w:val="0"/>
        <w:adjustRightInd/>
        <w:spacing w:line="580" w:lineRule="exact"/>
        <w:ind w:right="0" w:rightChars="0"/>
        <w:textAlignment w:val="auto"/>
        <w:rPr>
          <w:rFonts w:hint="eastAsia" w:ascii="宋体" w:hAnsi="宋体" w:eastAsia="宋体" w:cs="宋体"/>
          <w:color w:val="auto"/>
          <w:kern w:val="2"/>
          <w:sz w:val="28"/>
          <w:szCs w:val="28"/>
          <w:highlight w:val="none"/>
          <w:lang w:val="en-US" w:eastAsia="zh-CN" w:bidi="ar-SA"/>
        </w:rPr>
      </w:pPr>
    </w:p>
    <w:p w14:paraId="0F8245FC">
      <w:pPr>
        <w:keepNext w:val="0"/>
        <w:keepLines w:val="0"/>
        <w:pageBreakBefore w:val="0"/>
        <w:tabs>
          <w:tab w:val="left" w:pos="1440"/>
        </w:tabs>
        <w:kinsoku/>
        <w:wordWrap/>
        <w:overflowPunct/>
        <w:topLinePunct w:val="0"/>
        <w:autoSpaceDE/>
        <w:autoSpaceDN/>
        <w:bidi w:val="0"/>
        <w:adjustRightInd/>
        <w:spacing w:line="580" w:lineRule="exact"/>
        <w:ind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项目负责人：                             项目负责人：</w:t>
      </w:r>
    </w:p>
    <w:p w14:paraId="264EC859">
      <w:pPr>
        <w:keepNext w:val="0"/>
        <w:keepLines w:val="0"/>
        <w:pageBreakBefore w:val="0"/>
        <w:tabs>
          <w:tab w:val="left" w:pos="1440"/>
        </w:tabs>
        <w:kinsoku/>
        <w:wordWrap/>
        <w:overflowPunct/>
        <w:topLinePunct w:val="0"/>
        <w:autoSpaceDE/>
        <w:autoSpaceDN/>
        <w:bidi w:val="0"/>
        <w:adjustRightInd/>
        <w:spacing w:line="580" w:lineRule="exact"/>
        <w:ind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年    月    日                     年    月    日</w:t>
      </w:r>
    </w:p>
    <w:p w14:paraId="3A3F4577">
      <w:pPr>
        <w:keepNext w:val="0"/>
        <w:keepLines w:val="0"/>
        <w:pageBreakBefore w:val="0"/>
        <w:tabs>
          <w:tab w:val="left" w:pos="1440"/>
        </w:tabs>
        <w:kinsoku/>
        <w:wordWrap/>
        <w:overflowPunct/>
        <w:topLinePunct w:val="0"/>
        <w:autoSpaceDE/>
        <w:autoSpaceDN/>
        <w:bidi w:val="0"/>
        <w:adjustRightInd/>
        <w:spacing w:line="580" w:lineRule="exact"/>
        <w:ind w:right="0" w:rightChars="0"/>
        <w:textAlignment w:val="auto"/>
        <w:rPr>
          <w:rFonts w:hint="eastAsia" w:ascii="宋体" w:hAnsi="宋体" w:eastAsia="宋体" w:cs="宋体"/>
          <w:b w:val="0"/>
          <w:bCs w:val="0"/>
          <w:color w:val="auto"/>
          <w:kern w:val="2"/>
          <w:sz w:val="24"/>
          <w:szCs w:val="24"/>
          <w:highlight w:val="none"/>
          <w:lang w:val="en-US" w:eastAsia="zh-CN" w:bidi="ar-SA"/>
        </w:rPr>
      </w:pPr>
    </w:p>
    <w:p w14:paraId="56AEA0DF">
      <w:pPr>
        <w:rPr>
          <w:rFonts w:hint="eastAsia" w:ascii="宋体" w:hAnsi="宋体" w:eastAsia="宋体" w:cs="宋体"/>
          <w:highlight w:val="none"/>
          <w:lang w:val="en-US" w:eastAsia="zh-CN"/>
        </w:rPr>
      </w:pPr>
    </w:p>
    <w:p w14:paraId="637B1CEC">
      <w:pPr>
        <w:pStyle w:val="2"/>
      </w:pPr>
    </w:p>
    <w:p w14:paraId="5EFB16D6">
      <w:pPr>
        <w:spacing w:after="0" w:line="240" w:lineRule="auto"/>
        <w:jc w:val="center"/>
        <w:outlineLvl w:val="0"/>
        <w:rPr>
          <w:b/>
          <w:color w:val="auto"/>
          <w:sz w:val="36"/>
          <w:szCs w:val="36"/>
          <w:highlight w:val="none"/>
        </w:rPr>
      </w:pPr>
      <w:bookmarkStart w:id="801" w:name="_Toc19387"/>
      <w:r>
        <w:rPr>
          <w:rFonts w:ascii="Times New Roman" w:hAnsi="Times New Roman" w:eastAsia="宋体" w:cs="Times New Roman"/>
          <w:b/>
          <w:color w:val="auto"/>
          <w:sz w:val="36"/>
          <w:szCs w:val="36"/>
          <w:highlight w:val="none"/>
        </w:rPr>
        <w:t>第</w:t>
      </w:r>
      <w:r>
        <w:rPr>
          <w:rFonts w:hint="eastAsia" w:cs="Times New Roman"/>
          <w:b/>
          <w:color w:val="auto"/>
          <w:sz w:val="36"/>
          <w:szCs w:val="36"/>
          <w:highlight w:val="none"/>
          <w:lang w:val="en-US" w:eastAsia="zh-CN"/>
        </w:rPr>
        <w:t>六</w:t>
      </w:r>
      <w:r>
        <w:rPr>
          <w:rFonts w:ascii="Times New Roman" w:hAnsi="Times New Roman" w:eastAsia="宋体" w:cs="Times New Roman"/>
          <w:b/>
          <w:color w:val="auto"/>
          <w:sz w:val="36"/>
          <w:szCs w:val="36"/>
          <w:highlight w:val="none"/>
        </w:rPr>
        <w:t>章   响应文件格式</w:t>
      </w:r>
      <w:bookmarkEnd w:id="801"/>
    </w:p>
    <w:p w14:paraId="284E964E">
      <w:pPr>
        <w:widowControl/>
        <w:spacing w:after="0" w:line="360" w:lineRule="auto"/>
        <w:jc w:val="left"/>
        <w:rPr>
          <w:b/>
          <w:color w:val="auto"/>
          <w:sz w:val="24"/>
          <w:highlight w:val="none"/>
        </w:rPr>
      </w:pPr>
    </w:p>
    <w:p w14:paraId="710EEE1F">
      <w:pPr>
        <w:widowControl/>
        <w:spacing w:after="0" w:line="360" w:lineRule="auto"/>
        <w:jc w:val="left"/>
        <w:rPr>
          <w:b/>
          <w:color w:val="auto"/>
          <w:sz w:val="24"/>
          <w:highlight w:val="none"/>
        </w:rPr>
      </w:pPr>
    </w:p>
    <w:p w14:paraId="684C3CA6">
      <w:pPr>
        <w:tabs>
          <w:tab w:val="left" w:pos="900"/>
          <w:tab w:val="left" w:pos="1980"/>
        </w:tabs>
        <w:snapToGrid w:val="0"/>
        <w:spacing w:after="0" w:line="360" w:lineRule="auto"/>
        <w:ind w:left="142"/>
        <w:rPr>
          <w:b/>
          <w:color w:val="auto"/>
          <w:kern w:val="0"/>
          <w:sz w:val="24"/>
          <w:highlight w:val="none"/>
        </w:rPr>
      </w:pPr>
      <w:r>
        <w:rPr>
          <w:rFonts w:hint="eastAsia"/>
          <w:b/>
          <w:color w:val="auto"/>
          <w:kern w:val="0"/>
          <w:sz w:val="24"/>
          <w:highlight w:val="none"/>
        </w:rPr>
        <w:t>供应商编制文件须知</w:t>
      </w:r>
    </w:p>
    <w:p w14:paraId="51136D99">
      <w:pPr>
        <w:tabs>
          <w:tab w:val="left" w:pos="900"/>
          <w:tab w:val="left" w:pos="1980"/>
        </w:tabs>
        <w:snapToGrid w:val="0"/>
        <w:spacing w:after="0" w:line="360" w:lineRule="auto"/>
        <w:ind w:left="142"/>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7B362767">
      <w:pPr>
        <w:tabs>
          <w:tab w:val="left" w:pos="900"/>
          <w:tab w:val="left" w:pos="1980"/>
        </w:tabs>
        <w:snapToGrid w:val="0"/>
        <w:spacing w:after="0" w:line="360" w:lineRule="auto"/>
        <w:ind w:left="142"/>
        <w:rPr>
          <w:color w:val="auto"/>
          <w:kern w:val="0"/>
          <w:sz w:val="24"/>
          <w:highlight w:val="none"/>
        </w:rPr>
      </w:pPr>
      <w:r>
        <w:rPr>
          <w:color w:val="auto"/>
          <w:sz w:val="24"/>
          <w:highlight w:val="none"/>
        </w:rPr>
        <w:t>2、</w:t>
      </w:r>
      <w:r>
        <w:rPr>
          <w:color w:val="auto"/>
          <w:kern w:val="0"/>
          <w:sz w:val="24"/>
          <w:highlight w:val="none"/>
        </w:rPr>
        <w:t>对于竞争性磋商文件中标记了“实质性格式”文件的，供应商</w:t>
      </w:r>
      <w:r>
        <w:rPr>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4B79D149">
      <w:pPr>
        <w:tabs>
          <w:tab w:val="left" w:pos="900"/>
          <w:tab w:val="left" w:pos="1980"/>
        </w:tabs>
        <w:snapToGrid w:val="0"/>
        <w:spacing w:after="0" w:line="360" w:lineRule="auto"/>
        <w:ind w:left="142"/>
        <w:rPr>
          <w:color w:val="auto"/>
          <w:sz w:val="24"/>
          <w:highlight w:val="none"/>
        </w:rPr>
      </w:pPr>
      <w:r>
        <w:rPr>
          <w:color w:val="auto"/>
          <w:sz w:val="24"/>
          <w:highlight w:val="none"/>
        </w:rPr>
        <w:t>3、全部声明和问题的回答及所附材料必须是真实的、准确的和完整的。</w:t>
      </w:r>
    </w:p>
    <w:p w14:paraId="7D526F76">
      <w:pPr>
        <w:tabs>
          <w:tab w:val="left" w:pos="900"/>
          <w:tab w:val="left" w:pos="1980"/>
        </w:tabs>
        <w:snapToGrid w:val="0"/>
        <w:spacing w:after="0" w:line="360" w:lineRule="auto"/>
        <w:ind w:left="142"/>
        <w:rPr>
          <w:color w:val="auto"/>
          <w:sz w:val="24"/>
          <w:highlight w:val="none"/>
        </w:rPr>
      </w:pPr>
    </w:p>
    <w:p w14:paraId="41969695">
      <w:pPr>
        <w:widowControl/>
        <w:spacing w:after="0"/>
        <w:jc w:val="left"/>
        <w:rPr>
          <w:color w:val="auto"/>
          <w:sz w:val="24"/>
          <w:highlight w:val="none"/>
        </w:rPr>
      </w:pPr>
      <w:r>
        <w:rPr>
          <w:color w:val="auto"/>
          <w:sz w:val="24"/>
          <w:highlight w:val="none"/>
        </w:rPr>
        <w:br w:type="page"/>
      </w:r>
    </w:p>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14:paraId="4834A080">
      <w:pPr>
        <w:spacing w:after="0"/>
        <w:rPr>
          <w:b/>
          <w:color w:val="auto"/>
          <w:spacing w:val="20"/>
          <w:szCs w:val="21"/>
          <w:highlight w:val="none"/>
        </w:rPr>
      </w:pPr>
    </w:p>
    <w:p w14:paraId="0E7D8E29">
      <w:pPr>
        <w:spacing w:after="0"/>
        <w:rPr>
          <w:b/>
          <w:color w:val="auto"/>
          <w:sz w:val="24"/>
          <w:highlight w:val="none"/>
        </w:rPr>
      </w:pPr>
      <w:r>
        <w:rPr>
          <w:b/>
          <w:color w:val="auto"/>
          <w:spacing w:val="20"/>
          <w:sz w:val="24"/>
          <w:highlight w:val="none"/>
        </w:rPr>
        <w:t>响应文件</w:t>
      </w:r>
      <w:r>
        <w:rPr>
          <w:b/>
          <w:color w:val="auto"/>
          <w:sz w:val="24"/>
          <w:highlight w:val="none"/>
        </w:rPr>
        <w:t>封面（非实质性格式）</w:t>
      </w:r>
    </w:p>
    <w:p w14:paraId="5A3BA77D">
      <w:pPr>
        <w:spacing w:after="0"/>
        <w:jc w:val="center"/>
        <w:rPr>
          <w:color w:val="auto"/>
          <w:szCs w:val="21"/>
          <w:highlight w:val="none"/>
        </w:rPr>
      </w:pPr>
    </w:p>
    <w:p w14:paraId="288689B4">
      <w:pPr>
        <w:spacing w:after="0"/>
        <w:jc w:val="center"/>
        <w:rPr>
          <w:rFonts w:hint="eastAsia"/>
          <w:b/>
          <w:color w:val="auto"/>
          <w:spacing w:val="20"/>
          <w:sz w:val="32"/>
          <w:szCs w:val="32"/>
          <w:highlight w:val="none"/>
        </w:rPr>
      </w:pPr>
    </w:p>
    <w:p w14:paraId="2EF2AEC1">
      <w:pPr>
        <w:spacing w:after="0"/>
        <w:jc w:val="center"/>
        <w:rPr>
          <w:rFonts w:hint="eastAsia"/>
          <w:b/>
          <w:color w:val="auto"/>
          <w:spacing w:val="20"/>
          <w:sz w:val="32"/>
          <w:szCs w:val="32"/>
          <w:highlight w:val="none"/>
        </w:rPr>
      </w:pPr>
    </w:p>
    <w:p w14:paraId="4358D9CD">
      <w:pPr>
        <w:spacing w:after="0"/>
        <w:jc w:val="center"/>
        <w:rPr>
          <w:rFonts w:hint="eastAsia"/>
          <w:b/>
          <w:color w:val="auto"/>
          <w:spacing w:val="20"/>
          <w:sz w:val="32"/>
          <w:szCs w:val="32"/>
          <w:highlight w:val="none"/>
        </w:rPr>
      </w:pPr>
    </w:p>
    <w:p w14:paraId="0B65F0ED">
      <w:pPr>
        <w:spacing w:after="0"/>
        <w:jc w:val="center"/>
        <w:rPr>
          <w:rFonts w:hint="eastAsia"/>
          <w:b/>
          <w:color w:val="auto"/>
          <w:spacing w:val="60"/>
          <w:sz w:val="84"/>
          <w:szCs w:val="84"/>
          <w:highlight w:val="none"/>
        </w:rPr>
      </w:pPr>
      <w:r>
        <w:rPr>
          <w:b/>
          <w:color w:val="auto"/>
          <w:spacing w:val="20"/>
          <w:sz w:val="32"/>
          <w:szCs w:val="32"/>
          <w:highlight w:val="none"/>
        </w:rPr>
        <w:t>（项目名称）</w:t>
      </w:r>
    </w:p>
    <w:p w14:paraId="790388D0">
      <w:pPr>
        <w:spacing w:after="0"/>
        <w:jc w:val="center"/>
        <w:rPr>
          <w:rFonts w:hint="eastAsia"/>
          <w:b/>
          <w:color w:val="auto"/>
          <w:spacing w:val="60"/>
          <w:sz w:val="84"/>
          <w:szCs w:val="84"/>
          <w:highlight w:val="none"/>
        </w:rPr>
      </w:pPr>
    </w:p>
    <w:p w14:paraId="358F8ADA">
      <w:pPr>
        <w:spacing w:after="0"/>
        <w:jc w:val="center"/>
        <w:rPr>
          <w:rFonts w:hint="eastAsia"/>
          <w:b/>
          <w:color w:val="auto"/>
          <w:spacing w:val="60"/>
          <w:sz w:val="84"/>
          <w:szCs w:val="84"/>
          <w:highlight w:val="none"/>
        </w:rPr>
      </w:pPr>
    </w:p>
    <w:p w14:paraId="06ED4647">
      <w:pPr>
        <w:spacing w:after="0"/>
        <w:jc w:val="center"/>
        <w:rPr>
          <w:b/>
          <w:color w:val="auto"/>
          <w:spacing w:val="60"/>
          <w:sz w:val="84"/>
          <w:szCs w:val="84"/>
          <w:highlight w:val="none"/>
        </w:rPr>
      </w:pPr>
      <w:r>
        <w:rPr>
          <w:b/>
          <w:color w:val="auto"/>
          <w:spacing w:val="60"/>
          <w:sz w:val="84"/>
          <w:szCs w:val="84"/>
          <w:highlight w:val="none"/>
        </w:rPr>
        <w:t>响 应 文 件</w:t>
      </w:r>
    </w:p>
    <w:p w14:paraId="49491484">
      <w:pPr>
        <w:spacing w:after="0"/>
        <w:jc w:val="center"/>
        <w:rPr>
          <w:b/>
          <w:color w:val="auto"/>
          <w:spacing w:val="60"/>
          <w:sz w:val="52"/>
          <w:szCs w:val="52"/>
          <w:highlight w:val="none"/>
        </w:rPr>
      </w:pPr>
    </w:p>
    <w:p w14:paraId="69E08E4E">
      <w:pPr>
        <w:spacing w:after="0"/>
        <w:ind w:firstLine="542" w:firstLineChars="150"/>
        <w:rPr>
          <w:b/>
          <w:color w:val="auto"/>
          <w:spacing w:val="20"/>
          <w:sz w:val="32"/>
          <w:szCs w:val="32"/>
          <w:highlight w:val="none"/>
        </w:rPr>
      </w:pPr>
    </w:p>
    <w:p w14:paraId="4E782B45">
      <w:pPr>
        <w:spacing w:after="0"/>
        <w:ind w:firstLine="542" w:firstLineChars="150"/>
        <w:rPr>
          <w:b/>
          <w:color w:val="auto"/>
          <w:spacing w:val="20"/>
          <w:sz w:val="32"/>
          <w:szCs w:val="32"/>
          <w:highlight w:val="none"/>
        </w:rPr>
      </w:pPr>
    </w:p>
    <w:p w14:paraId="7F1E8D03">
      <w:pPr>
        <w:spacing w:after="0"/>
        <w:ind w:firstLine="542" w:firstLineChars="150"/>
        <w:rPr>
          <w:rFonts w:hint="eastAsia"/>
          <w:b/>
          <w:color w:val="auto"/>
          <w:spacing w:val="20"/>
          <w:sz w:val="32"/>
          <w:szCs w:val="32"/>
          <w:highlight w:val="none"/>
        </w:rPr>
      </w:pPr>
    </w:p>
    <w:p w14:paraId="4102E5E6">
      <w:pPr>
        <w:spacing w:after="0"/>
        <w:ind w:firstLine="542" w:firstLineChars="150"/>
        <w:rPr>
          <w:rFonts w:hint="eastAsia"/>
          <w:b/>
          <w:color w:val="auto"/>
          <w:spacing w:val="20"/>
          <w:sz w:val="32"/>
          <w:szCs w:val="32"/>
          <w:highlight w:val="none"/>
        </w:rPr>
      </w:pPr>
    </w:p>
    <w:p w14:paraId="25B2F0AF">
      <w:pPr>
        <w:spacing w:after="0"/>
        <w:ind w:firstLine="542" w:firstLineChars="150"/>
        <w:rPr>
          <w:rFonts w:hint="eastAsia"/>
          <w:b/>
          <w:color w:val="auto"/>
          <w:spacing w:val="20"/>
          <w:sz w:val="32"/>
          <w:szCs w:val="32"/>
          <w:highlight w:val="none"/>
        </w:rPr>
      </w:pPr>
    </w:p>
    <w:p w14:paraId="2E99E48E">
      <w:pPr>
        <w:spacing w:after="0"/>
        <w:ind w:firstLine="542" w:firstLineChars="150"/>
        <w:rPr>
          <w:b/>
          <w:color w:val="auto"/>
          <w:spacing w:val="20"/>
          <w:sz w:val="32"/>
          <w:szCs w:val="32"/>
          <w:highlight w:val="none"/>
        </w:rPr>
      </w:pPr>
    </w:p>
    <w:p w14:paraId="04AE3969">
      <w:pPr>
        <w:spacing w:after="0"/>
        <w:ind w:firstLine="1264" w:firstLineChars="350"/>
        <w:rPr>
          <w:rFonts w:hint="eastAsia" w:eastAsia="宋体"/>
          <w:b/>
          <w:color w:val="auto"/>
          <w:spacing w:val="20"/>
          <w:sz w:val="32"/>
          <w:szCs w:val="32"/>
          <w:highlight w:val="none"/>
          <w:lang w:eastAsia="zh-CN"/>
        </w:rPr>
      </w:pPr>
      <w:r>
        <w:rPr>
          <w:b/>
          <w:color w:val="auto"/>
          <w:spacing w:val="20"/>
          <w:sz w:val="32"/>
          <w:szCs w:val="32"/>
          <w:highlight w:val="none"/>
        </w:rPr>
        <w:t>项目编号：</w:t>
      </w:r>
    </w:p>
    <w:p w14:paraId="363982B1">
      <w:pPr>
        <w:spacing w:after="0"/>
        <w:ind w:firstLine="542" w:firstLineChars="150"/>
        <w:rPr>
          <w:b/>
          <w:color w:val="auto"/>
          <w:spacing w:val="20"/>
          <w:sz w:val="32"/>
          <w:szCs w:val="32"/>
          <w:highlight w:val="none"/>
        </w:rPr>
      </w:pPr>
    </w:p>
    <w:p w14:paraId="04E7BABA">
      <w:pPr>
        <w:spacing w:after="0"/>
        <w:ind w:firstLine="542" w:firstLineChars="150"/>
        <w:rPr>
          <w:b/>
          <w:color w:val="auto"/>
          <w:spacing w:val="20"/>
          <w:sz w:val="32"/>
          <w:szCs w:val="32"/>
          <w:highlight w:val="none"/>
        </w:rPr>
      </w:pPr>
    </w:p>
    <w:p w14:paraId="539D2A20">
      <w:pPr>
        <w:spacing w:after="0"/>
        <w:jc w:val="center"/>
        <w:rPr>
          <w:b/>
          <w:color w:val="auto"/>
          <w:sz w:val="32"/>
          <w:szCs w:val="32"/>
          <w:highlight w:val="none"/>
        </w:rPr>
      </w:pPr>
    </w:p>
    <w:p w14:paraId="47369BFA">
      <w:pPr>
        <w:spacing w:after="0"/>
        <w:jc w:val="center"/>
        <w:rPr>
          <w:b/>
          <w:color w:val="auto"/>
          <w:sz w:val="32"/>
          <w:szCs w:val="32"/>
          <w:highlight w:val="none"/>
        </w:rPr>
      </w:pPr>
    </w:p>
    <w:p w14:paraId="05D5F3A5">
      <w:pPr>
        <w:spacing w:after="0"/>
        <w:jc w:val="center"/>
        <w:rPr>
          <w:b/>
          <w:color w:val="auto"/>
          <w:sz w:val="32"/>
          <w:szCs w:val="32"/>
          <w:highlight w:val="none"/>
        </w:rPr>
      </w:pPr>
    </w:p>
    <w:p w14:paraId="0C865697">
      <w:pPr>
        <w:spacing w:after="0"/>
        <w:jc w:val="center"/>
        <w:rPr>
          <w:b/>
          <w:color w:val="auto"/>
          <w:spacing w:val="20"/>
          <w:sz w:val="32"/>
          <w:szCs w:val="32"/>
          <w:highlight w:val="none"/>
        </w:rPr>
      </w:pPr>
    </w:p>
    <w:p w14:paraId="41CF9FB6">
      <w:pPr>
        <w:spacing w:after="0"/>
        <w:jc w:val="center"/>
        <w:rPr>
          <w:b/>
          <w:color w:val="auto"/>
          <w:spacing w:val="20"/>
          <w:sz w:val="32"/>
          <w:szCs w:val="32"/>
          <w:highlight w:val="none"/>
        </w:rPr>
      </w:pPr>
    </w:p>
    <w:p w14:paraId="629CFDBB">
      <w:pPr>
        <w:spacing w:after="0" w:line="360" w:lineRule="auto"/>
        <w:ind w:firstLine="1445" w:firstLineChars="400"/>
        <w:jc w:val="left"/>
        <w:rPr>
          <w:b/>
          <w:color w:val="auto"/>
          <w:spacing w:val="20"/>
          <w:sz w:val="32"/>
          <w:szCs w:val="32"/>
          <w:highlight w:val="none"/>
        </w:rPr>
      </w:pPr>
      <w:r>
        <w:rPr>
          <w:b/>
          <w:color w:val="auto"/>
          <w:spacing w:val="20"/>
          <w:sz w:val="32"/>
          <w:szCs w:val="32"/>
          <w:highlight w:val="none"/>
        </w:rPr>
        <w:t>供应商名称：</w:t>
      </w:r>
    </w:p>
    <w:p w14:paraId="3D0C4D14">
      <w:pPr>
        <w:spacing w:after="0"/>
        <w:jc w:val="center"/>
        <w:rPr>
          <w:b/>
          <w:color w:val="auto"/>
          <w:sz w:val="32"/>
          <w:szCs w:val="32"/>
          <w:highlight w:val="none"/>
        </w:rPr>
      </w:pPr>
    </w:p>
    <w:p w14:paraId="6D0378F5">
      <w:pPr>
        <w:spacing w:after="0"/>
        <w:rPr>
          <w:b/>
          <w:color w:val="auto"/>
          <w:spacing w:val="20"/>
          <w:sz w:val="32"/>
          <w:szCs w:val="32"/>
          <w:highlight w:val="none"/>
        </w:rPr>
      </w:pPr>
      <w:r>
        <w:rPr>
          <w:b/>
          <w:color w:val="auto"/>
          <w:spacing w:val="20"/>
          <w:sz w:val="32"/>
          <w:szCs w:val="32"/>
          <w:highlight w:val="none"/>
        </w:rPr>
        <w:br w:type="page"/>
      </w:r>
    </w:p>
    <w:p w14:paraId="19015B7C">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rPr>
        <w:t>1 满足《中华人民共和国政府采购法》第二十二条规定及法律法规的其他规定</w:t>
      </w:r>
    </w:p>
    <w:p w14:paraId="2B1D2B46">
      <w:pPr>
        <w:spacing w:after="0" w:line="360" w:lineRule="auto"/>
        <w:ind w:firstLine="657" w:firstLineChars="274"/>
        <w:rPr>
          <w:rFonts w:hint="eastAsia" w:ascii="宋体" w:hAnsi="宋体" w:cs="宋体"/>
          <w:bCs/>
          <w:color w:val="auto"/>
          <w:sz w:val="24"/>
          <w:highlight w:val="none"/>
        </w:rPr>
      </w:pPr>
      <w:r>
        <w:rPr>
          <w:rFonts w:hint="eastAsia" w:ascii="宋体" w:hAnsi="宋体" w:cs="宋体"/>
          <w:bCs/>
          <w:color w:val="auto"/>
          <w:sz w:val="24"/>
          <w:highlight w:val="none"/>
        </w:rPr>
        <w:t>1-1营业执照等证明文件</w:t>
      </w:r>
    </w:p>
    <w:p w14:paraId="6321532A">
      <w:pPr>
        <w:spacing w:after="0" w:line="360" w:lineRule="auto"/>
        <w:ind w:firstLine="657" w:firstLineChars="274"/>
        <w:rPr>
          <w:rFonts w:hint="eastAsia" w:ascii="宋体" w:hAnsi="宋体" w:cs="宋体"/>
          <w:bCs/>
          <w:color w:val="auto"/>
          <w:sz w:val="24"/>
          <w:highlight w:val="none"/>
        </w:rPr>
      </w:pPr>
      <w:r>
        <w:rPr>
          <w:rFonts w:hint="eastAsia" w:ascii="宋体" w:hAnsi="宋体" w:cs="宋体"/>
          <w:bCs/>
          <w:color w:val="auto"/>
          <w:sz w:val="24"/>
          <w:highlight w:val="none"/>
        </w:rPr>
        <w:t>1-2 供应商资格声明书</w:t>
      </w:r>
    </w:p>
    <w:p w14:paraId="02F8E17C">
      <w:pPr>
        <w:spacing w:after="0" w:line="360" w:lineRule="auto"/>
        <w:ind w:firstLine="420" w:firstLineChars="0"/>
        <w:rPr>
          <w:color w:val="auto"/>
          <w:sz w:val="24"/>
          <w:highlight w:val="none"/>
        </w:rPr>
      </w:pPr>
      <w:r>
        <w:rPr>
          <w:rFonts w:hint="eastAsia" w:ascii="宋体" w:hAnsi="宋体" w:cs="宋体"/>
          <w:bCs/>
          <w:color w:val="auto"/>
          <w:sz w:val="24"/>
          <w:highlight w:val="none"/>
        </w:rPr>
        <w:t xml:space="preserve">2 </w:t>
      </w:r>
      <w:r>
        <w:rPr>
          <w:color w:val="auto"/>
          <w:sz w:val="24"/>
          <w:highlight w:val="none"/>
        </w:rPr>
        <w:t>落实政府采购政策需满足的资格要求</w:t>
      </w:r>
    </w:p>
    <w:p w14:paraId="0654C4F1">
      <w:pPr>
        <w:spacing w:after="0" w:line="360" w:lineRule="auto"/>
        <w:ind w:firstLine="420" w:firstLineChars="0"/>
        <w:rPr>
          <w:rFonts w:hint="default" w:eastAsia="宋体"/>
          <w:color w:val="auto"/>
          <w:sz w:val="24"/>
          <w:highlight w:val="none"/>
          <w:lang w:val="en-US" w:eastAsia="zh-CN"/>
        </w:rPr>
      </w:pPr>
      <w:r>
        <w:rPr>
          <w:rFonts w:hint="eastAsia"/>
          <w:color w:val="auto"/>
          <w:sz w:val="24"/>
          <w:highlight w:val="none"/>
          <w:lang w:val="en-US" w:eastAsia="zh-CN"/>
        </w:rPr>
        <w:t xml:space="preserve">3 </w:t>
      </w:r>
      <w:r>
        <w:rPr>
          <w:color w:val="auto"/>
          <w:sz w:val="24"/>
          <w:highlight w:val="none"/>
        </w:rPr>
        <w:t>本项目的特定资格要求</w:t>
      </w:r>
    </w:p>
    <w:p w14:paraId="3188E575">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 xml:space="preserve">  响应书</w:t>
      </w:r>
    </w:p>
    <w:p w14:paraId="1575CA22">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 xml:space="preserve">  授权委托书</w:t>
      </w:r>
    </w:p>
    <w:p w14:paraId="0D5819A8">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 xml:space="preserve">  报价一览表</w:t>
      </w:r>
    </w:p>
    <w:p w14:paraId="1E8329C8">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 xml:space="preserve">  分项报价表</w:t>
      </w:r>
    </w:p>
    <w:p w14:paraId="76F4CCBC">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 xml:space="preserve">  合同条款偏离表</w:t>
      </w:r>
    </w:p>
    <w:p w14:paraId="512A10F4">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 xml:space="preserve">  采购需求偏离表</w:t>
      </w:r>
    </w:p>
    <w:p w14:paraId="098B194A">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 xml:space="preserve">  竞争性磋商文件要求提供或供应商认为应附的其他材料</w:t>
      </w:r>
    </w:p>
    <w:p w14:paraId="0922EC47">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 xml:space="preserve">1  </w:t>
      </w:r>
      <w:r>
        <w:rPr>
          <w:rFonts w:hint="eastAsia" w:ascii="宋体" w:hAnsi="宋体" w:cs="宋体"/>
          <w:bCs/>
          <w:color w:val="auto"/>
          <w:sz w:val="24"/>
          <w:highlight w:val="none"/>
        </w:rPr>
        <w:t>最后报价一览表</w:t>
      </w:r>
    </w:p>
    <w:p w14:paraId="48A3E16B">
      <w:pPr>
        <w:spacing w:after="0" w:line="360" w:lineRule="auto"/>
        <w:ind w:firstLine="420" w:firstLineChars="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 xml:space="preserve">2 </w:t>
      </w:r>
      <w:r>
        <w:rPr>
          <w:rFonts w:hint="eastAsia" w:ascii="宋体" w:hAnsi="宋体" w:cs="宋体"/>
          <w:bCs/>
          <w:color w:val="auto"/>
          <w:sz w:val="24"/>
          <w:highlight w:val="none"/>
        </w:rPr>
        <w:t xml:space="preserve"> 最后分项报价表</w:t>
      </w:r>
    </w:p>
    <w:p w14:paraId="22BFEEF3">
      <w:pPr>
        <w:spacing w:after="0"/>
        <w:rPr>
          <w:b/>
          <w:color w:val="auto"/>
          <w:highlight w:val="none"/>
        </w:rPr>
      </w:pPr>
    </w:p>
    <w:p w14:paraId="4FEED1F3">
      <w:pPr>
        <w:bidi w:val="0"/>
        <w:spacing w:after="0"/>
        <w:rPr>
          <w:color w:val="auto"/>
          <w:highlight w:val="none"/>
        </w:rPr>
      </w:pPr>
    </w:p>
    <w:p w14:paraId="418EEB70">
      <w:pPr>
        <w:bidi w:val="0"/>
        <w:spacing w:after="0"/>
        <w:rPr>
          <w:color w:val="auto"/>
          <w:highlight w:val="none"/>
        </w:rPr>
      </w:pPr>
    </w:p>
    <w:p w14:paraId="788A9338">
      <w:pPr>
        <w:bidi w:val="0"/>
        <w:spacing w:after="0"/>
        <w:rPr>
          <w:color w:val="auto"/>
          <w:highlight w:val="none"/>
        </w:rPr>
      </w:pPr>
    </w:p>
    <w:p w14:paraId="5A263FA4">
      <w:pPr>
        <w:bidi w:val="0"/>
        <w:spacing w:after="0"/>
        <w:rPr>
          <w:color w:val="auto"/>
          <w:highlight w:val="none"/>
        </w:rPr>
      </w:pPr>
    </w:p>
    <w:p w14:paraId="5377B915">
      <w:pPr>
        <w:bidi w:val="0"/>
        <w:spacing w:after="0"/>
        <w:rPr>
          <w:color w:val="auto"/>
          <w:highlight w:val="none"/>
        </w:rPr>
      </w:pPr>
    </w:p>
    <w:p w14:paraId="6DB5A839">
      <w:pPr>
        <w:bidi w:val="0"/>
        <w:spacing w:after="0"/>
        <w:rPr>
          <w:color w:val="auto"/>
          <w:highlight w:val="none"/>
        </w:rPr>
      </w:pPr>
    </w:p>
    <w:p w14:paraId="10C55709">
      <w:pPr>
        <w:bidi w:val="0"/>
        <w:spacing w:after="0"/>
        <w:rPr>
          <w:color w:val="auto"/>
          <w:highlight w:val="none"/>
        </w:rPr>
      </w:pPr>
    </w:p>
    <w:p w14:paraId="10461652">
      <w:pPr>
        <w:bidi w:val="0"/>
        <w:spacing w:after="0"/>
        <w:rPr>
          <w:color w:val="auto"/>
          <w:highlight w:val="none"/>
        </w:rPr>
      </w:pPr>
    </w:p>
    <w:p w14:paraId="09EB0E50">
      <w:pPr>
        <w:bidi w:val="0"/>
        <w:spacing w:after="0"/>
        <w:rPr>
          <w:color w:val="auto"/>
          <w:highlight w:val="none"/>
        </w:rPr>
      </w:pPr>
    </w:p>
    <w:p w14:paraId="14167A69">
      <w:pPr>
        <w:bidi w:val="0"/>
        <w:spacing w:after="0"/>
        <w:rPr>
          <w:color w:val="auto"/>
          <w:highlight w:val="none"/>
        </w:rPr>
      </w:pPr>
    </w:p>
    <w:p w14:paraId="361DA5C3">
      <w:pPr>
        <w:bidi w:val="0"/>
        <w:spacing w:after="0"/>
        <w:rPr>
          <w:color w:val="auto"/>
          <w:highlight w:val="none"/>
        </w:rPr>
      </w:pPr>
    </w:p>
    <w:p w14:paraId="20E05EA2">
      <w:pPr>
        <w:bidi w:val="0"/>
        <w:spacing w:after="0"/>
        <w:rPr>
          <w:color w:val="auto"/>
          <w:highlight w:val="none"/>
        </w:rPr>
      </w:pPr>
    </w:p>
    <w:p w14:paraId="6EEF46EA">
      <w:pPr>
        <w:bidi w:val="0"/>
        <w:spacing w:after="0"/>
        <w:rPr>
          <w:color w:val="auto"/>
          <w:highlight w:val="none"/>
        </w:rPr>
      </w:pPr>
    </w:p>
    <w:p w14:paraId="6CA335B3">
      <w:pPr>
        <w:bidi w:val="0"/>
        <w:spacing w:after="0"/>
        <w:rPr>
          <w:color w:val="auto"/>
          <w:highlight w:val="none"/>
        </w:rPr>
      </w:pPr>
    </w:p>
    <w:p w14:paraId="12580DEE">
      <w:pPr>
        <w:bidi w:val="0"/>
        <w:spacing w:after="0"/>
        <w:rPr>
          <w:color w:val="auto"/>
          <w:highlight w:val="none"/>
        </w:rPr>
      </w:pPr>
    </w:p>
    <w:p w14:paraId="1986B645">
      <w:pPr>
        <w:spacing w:after="0"/>
        <w:rPr>
          <w:color w:val="auto"/>
          <w:sz w:val="24"/>
          <w:highlight w:val="none"/>
        </w:rPr>
      </w:pPr>
      <w:r>
        <w:rPr>
          <w:color w:val="auto"/>
          <w:sz w:val="24"/>
          <w:highlight w:val="none"/>
        </w:rPr>
        <w:br w:type="page"/>
      </w:r>
    </w:p>
    <w:p w14:paraId="4E07096C">
      <w:pPr>
        <w:tabs>
          <w:tab w:val="left" w:pos="360"/>
        </w:tabs>
        <w:snapToGrid w:val="0"/>
        <w:spacing w:after="0" w:line="360" w:lineRule="auto"/>
        <w:outlineLvl w:val="1"/>
        <w:rPr>
          <w:color w:val="auto"/>
          <w:sz w:val="24"/>
          <w:highlight w:val="none"/>
        </w:rPr>
      </w:pPr>
      <w:r>
        <w:rPr>
          <w:color w:val="auto"/>
          <w:sz w:val="24"/>
          <w:highlight w:val="none"/>
        </w:rPr>
        <w:t>1 满足《中华人民共和国政府采购法》第二十二条规定及法律法规的其他规定</w:t>
      </w:r>
    </w:p>
    <w:p w14:paraId="26B5FFE5">
      <w:pPr>
        <w:spacing w:after="0" w:line="360" w:lineRule="auto"/>
        <w:outlineLvl w:val="2"/>
        <w:rPr>
          <w:color w:val="auto"/>
          <w:sz w:val="24"/>
          <w:highlight w:val="none"/>
        </w:rPr>
      </w:pPr>
      <w:r>
        <w:rPr>
          <w:color w:val="auto"/>
          <w:sz w:val="24"/>
          <w:highlight w:val="none"/>
        </w:rPr>
        <w:t>1-1营业执照等证明文件</w:t>
      </w:r>
    </w:p>
    <w:p w14:paraId="2B3A5490">
      <w:pPr>
        <w:tabs>
          <w:tab w:val="left" w:pos="1080"/>
        </w:tabs>
        <w:snapToGrid w:val="0"/>
        <w:spacing w:after="0"/>
        <w:rPr>
          <w:color w:val="auto"/>
          <w:sz w:val="24"/>
          <w:highlight w:val="none"/>
        </w:rPr>
      </w:pPr>
    </w:p>
    <w:p w14:paraId="3ACE51BF">
      <w:pPr>
        <w:widowControl/>
        <w:spacing w:after="0"/>
        <w:jc w:val="left"/>
        <w:rPr>
          <w:color w:val="auto"/>
          <w:sz w:val="24"/>
          <w:szCs w:val="20"/>
          <w:highlight w:val="none"/>
        </w:rPr>
      </w:pPr>
    </w:p>
    <w:p w14:paraId="5CAF117B">
      <w:pPr>
        <w:widowControl/>
        <w:spacing w:after="0"/>
        <w:jc w:val="left"/>
        <w:rPr>
          <w:color w:val="auto"/>
          <w:sz w:val="24"/>
          <w:szCs w:val="20"/>
          <w:highlight w:val="none"/>
        </w:rPr>
      </w:pPr>
    </w:p>
    <w:p w14:paraId="76634558">
      <w:pPr>
        <w:widowControl/>
        <w:spacing w:after="0"/>
        <w:jc w:val="left"/>
        <w:rPr>
          <w:color w:val="auto"/>
          <w:sz w:val="24"/>
          <w:szCs w:val="20"/>
          <w:highlight w:val="none"/>
        </w:rPr>
      </w:pPr>
    </w:p>
    <w:p w14:paraId="47032FB8">
      <w:pPr>
        <w:widowControl/>
        <w:spacing w:after="0"/>
        <w:jc w:val="left"/>
        <w:rPr>
          <w:color w:val="auto"/>
          <w:sz w:val="24"/>
          <w:szCs w:val="20"/>
          <w:highlight w:val="none"/>
        </w:rPr>
      </w:pPr>
    </w:p>
    <w:p w14:paraId="58E8A66D">
      <w:pPr>
        <w:widowControl/>
        <w:spacing w:after="0"/>
        <w:jc w:val="left"/>
        <w:rPr>
          <w:color w:val="auto"/>
          <w:sz w:val="24"/>
          <w:szCs w:val="20"/>
          <w:highlight w:val="none"/>
        </w:rPr>
      </w:pPr>
    </w:p>
    <w:p w14:paraId="323B83BD">
      <w:pPr>
        <w:widowControl/>
        <w:spacing w:after="0"/>
        <w:jc w:val="left"/>
        <w:rPr>
          <w:color w:val="auto"/>
          <w:sz w:val="24"/>
          <w:szCs w:val="20"/>
          <w:highlight w:val="none"/>
        </w:rPr>
      </w:pPr>
    </w:p>
    <w:p w14:paraId="497B7975">
      <w:pPr>
        <w:widowControl/>
        <w:spacing w:after="0"/>
        <w:jc w:val="left"/>
        <w:rPr>
          <w:color w:val="auto"/>
          <w:sz w:val="24"/>
          <w:szCs w:val="20"/>
          <w:highlight w:val="none"/>
        </w:rPr>
      </w:pPr>
    </w:p>
    <w:p w14:paraId="2D3F8E8E">
      <w:pPr>
        <w:widowControl/>
        <w:spacing w:after="0"/>
        <w:jc w:val="left"/>
        <w:rPr>
          <w:color w:val="auto"/>
          <w:sz w:val="24"/>
          <w:szCs w:val="20"/>
          <w:highlight w:val="none"/>
        </w:rPr>
      </w:pPr>
    </w:p>
    <w:p w14:paraId="4C099892">
      <w:pPr>
        <w:widowControl/>
        <w:spacing w:after="0"/>
        <w:jc w:val="left"/>
        <w:rPr>
          <w:color w:val="auto"/>
          <w:sz w:val="24"/>
          <w:szCs w:val="20"/>
          <w:highlight w:val="none"/>
        </w:rPr>
      </w:pPr>
    </w:p>
    <w:p w14:paraId="2293B92C">
      <w:pPr>
        <w:widowControl/>
        <w:spacing w:after="0"/>
        <w:jc w:val="left"/>
        <w:rPr>
          <w:color w:val="auto"/>
          <w:sz w:val="24"/>
          <w:szCs w:val="20"/>
          <w:highlight w:val="none"/>
        </w:rPr>
      </w:pPr>
    </w:p>
    <w:p w14:paraId="2ECE58BA">
      <w:pPr>
        <w:widowControl/>
        <w:spacing w:after="0"/>
        <w:jc w:val="left"/>
        <w:rPr>
          <w:color w:val="auto"/>
          <w:sz w:val="24"/>
          <w:szCs w:val="20"/>
          <w:highlight w:val="none"/>
        </w:rPr>
      </w:pPr>
    </w:p>
    <w:p w14:paraId="4B914926">
      <w:pPr>
        <w:widowControl/>
        <w:spacing w:after="0"/>
        <w:jc w:val="left"/>
        <w:rPr>
          <w:color w:val="auto"/>
          <w:sz w:val="24"/>
          <w:szCs w:val="20"/>
          <w:highlight w:val="none"/>
        </w:rPr>
      </w:pPr>
    </w:p>
    <w:p w14:paraId="79260E63">
      <w:pPr>
        <w:widowControl/>
        <w:spacing w:after="0"/>
        <w:jc w:val="left"/>
        <w:rPr>
          <w:color w:val="auto"/>
          <w:sz w:val="24"/>
          <w:szCs w:val="20"/>
          <w:highlight w:val="none"/>
        </w:rPr>
      </w:pPr>
    </w:p>
    <w:p w14:paraId="6B3F0266">
      <w:pPr>
        <w:widowControl/>
        <w:spacing w:after="0"/>
        <w:jc w:val="left"/>
        <w:rPr>
          <w:color w:val="auto"/>
          <w:sz w:val="24"/>
          <w:szCs w:val="20"/>
          <w:highlight w:val="none"/>
        </w:rPr>
      </w:pPr>
    </w:p>
    <w:p w14:paraId="6771DFE3">
      <w:pPr>
        <w:widowControl/>
        <w:spacing w:after="0"/>
        <w:jc w:val="left"/>
        <w:rPr>
          <w:color w:val="auto"/>
          <w:sz w:val="24"/>
          <w:szCs w:val="20"/>
          <w:highlight w:val="none"/>
        </w:rPr>
      </w:pPr>
    </w:p>
    <w:p w14:paraId="5480EE1C">
      <w:pPr>
        <w:widowControl/>
        <w:spacing w:after="0"/>
        <w:jc w:val="left"/>
        <w:rPr>
          <w:color w:val="auto"/>
          <w:sz w:val="24"/>
          <w:szCs w:val="20"/>
          <w:highlight w:val="none"/>
        </w:rPr>
      </w:pPr>
    </w:p>
    <w:p w14:paraId="5C132106">
      <w:pPr>
        <w:widowControl/>
        <w:spacing w:after="0"/>
        <w:jc w:val="left"/>
        <w:rPr>
          <w:color w:val="auto"/>
          <w:sz w:val="24"/>
          <w:szCs w:val="20"/>
          <w:highlight w:val="none"/>
        </w:rPr>
      </w:pPr>
    </w:p>
    <w:p w14:paraId="00805CFD">
      <w:pPr>
        <w:widowControl/>
        <w:spacing w:after="0"/>
        <w:jc w:val="left"/>
        <w:rPr>
          <w:color w:val="auto"/>
          <w:sz w:val="24"/>
          <w:szCs w:val="20"/>
          <w:highlight w:val="none"/>
        </w:rPr>
      </w:pPr>
    </w:p>
    <w:p w14:paraId="48E1E991">
      <w:pPr>
        <w:widowControl/>
        <w:spacing w:after="0"/>
        <w:jc w:val="left"/>
        <w:rPr>
          <w:color w:val="auto"/>
          <w:sz w:val="24"/>
          <w:szCs w:val="20"/>
          <w:highlight w:val="none"/>
        </w:rPr>
      </w:pPr>
    </w:p>
    <w:p w14:paraId="271C24CC">
      <w:pPr>
        <w:widowControl/>
        <w:spacing w:after="0"/>
        <w:jc w:val="left"/>
        <w:rPr>
          <w:color w:val="auto"/>
          <w:sz w:val="24"/>
          <w:szCs w:val="20"/>
          <w:highlight w:val="none"/>
        </w:rPr>
      </w:pPr>
    </w:p>
    <w:p w14:paraId="14C17452">
      <w:pPr>
        <w:widowControl/>
        <w:spacing w:after="0"/>
        <w:jc w:val="left"/>
        <w:rPr>
          <w:color w:val="auto"/>
          <w:sz w:val="24"/>
          <w:szCs w:val="20"/>
          <w:highlight w:val="none"/>
        </w:rPr>
      </w:pPr>
    </w:p>
    <w:p w14:paraId="4D72F491">
      <w:pPr>
        <w:widowControl/>
        <w:spacing w:after="0"/>
        <w:jc w:val="left"/>
        <w:rPr>
          <w:color w:val="auto"/>
          <w:sz w:val="24"/>
          <w:szCs w:val="20"/>
          <w:highlight w:val="none"/>
        </w:rPr>
      </w:pPr>
    </w:p>
    <w:p w14:paraId="03DE5557">
      <w:pPr>
        <w:widowControl/>
        <w:spacing w:after="0"/>
        <w:jc w:val="left"/>
        <w:rPr>
          <w:color w:val="auto"/>
          <w:sz w:val="24"/>
          <w:szCs w:val="20"/>
          <w:highlight w:val="none"/>
        </w:rPr>
      </w:pPr>
    </w:p>
    <w:p w14:paraId="72A63F41">
      <w:pPr>
        <w:widowControl/>
        <w:spacing w:after="0"/>
        <w:jc w:val="left"/>
        <w:rPr>
          <w:color w:val="auto"/>
          <w:sz w:val="24"/>
          <w:szCs w:val="20"/>
          <w:highlight w:val="none"/>
        </w:rPr>
      </w:pPr>
    </w:p>
    <w:p w14:paraId="306BFE86">
      <w:pPr>
        <w:widowControl/>
        <w:spacing w:after="0"/>
        <w:jc w:val="left"/>
        <w:rPr>
          <w:color w:val="auto"/>
          <w:sz w:val="24"/>
          <w:szCs w:val="20"/>
          <w:highlight w:val="none"/>
        </w:rPr>
      </w:pPr>
    </w:p>
    <w:p w14:paraId="726C22EF">
      <w:pPr>
        <w:widowControl/>
        <w:spacing w:after="0"/>
        <w:jc w:val="left"/>
        <w:rPr>
          <w:color w:val="auto"/>
          <w:sz w:val="24"/>
          <w:szCs w:val="20"/>
          <w:highlight w:val="none"/>
        </w:rPr>
      </w:pPr>
    </w:p>
    <w:p w14:paraId="5F933C46">
      <w:pPr>
        <w:widowControl/>
        <w:spacing w:after="0"/>
        <w:jc w:val="left"/>
        <w:rPr>
          <w:color w:val="auto"/>
          <w:sz w:val="24"/>
          <w:szCs w:val="20"/>
          <w:highlight w:val="none"/>
        </w:rPr>
      </w:pPr>
    </w:p>
    <w:p w14:paraId="10828F7B">
      <w:pPr>
        <w:widowControl/>
        <w:spacing w:after="0"/>
        <w:jc w:val="left"/>
        <w:rPr>
          <w:color w:val="auto"/>
          <w:sz w:val="24"/>
          <w:szCs w:val="20"/>
          <w:highlight w:val="none"/>
        </w:rPr>
      </w:pPr>
    </w:p>
    <w:p w14:paraId="4644150E">
      <w:pPr>
        <w:widowControl/>
        <w:spacing w:after="0"/>
        <w:jc w:val="left"/>
        <w:rPr>
          <w:color w:val="auto"/>
          <w:sz w:val="24"/>
          <w:szCs w:val="20"/>
          <w:highlight w:val="none"/>
        </w:rPr>
      </w:pPr>
    </w:p>
    <w:p w14:paraId="2D557B29">
      <w:pPr>
        <w:widowControl/>
        <w:spacing w:after="0"/>
        <w:jc w:val="left"/>
        <w:rPr>
          <w:color w:val="auto"/>
          <w:sz w:val="24"/>
          <w:szCs w:val="20"/>
          <w:highlight w:val="none"/>
        </w:rPr>
      </w:pPr>
    </w:p>
    <w:p w14:paraId="0B71481B">
      <w:pPr>
        <w:widowControl/>
        <w:spacing w:after="0"/>
        <w:jc w:val="left"/>
        <w:rPr>
          <w:color w:val="auto"/>
          <w:sz w:val="24"/>
          <w:szCs w:val="20"/>
          <w:highlight w:val="none"/>
        </w:rPr>
      </w:pPr>
    </w:p>
    <w:p w14:paraId="4BD37AB0">
      <w:pPr>
        <w:widowControl/>
        <w:spacing w:after="0"/>
        <w:jc w:val="left"/>
        <w:rPr>
          <w:color w:val="auto"/>
          <w:sz w:val="24"/>
          <w:szCs w:val="20"/>
          <w:highlight w:val="none"/>
        </w:rPr>
      </w:pPr>
    </w:p>
    <w:p w14:paraId="3D6C7882">
      <w:pPr>
        <w:widowControl/>
        <w:spacing w:after="0"/>
        <w:jc w:val="left"/>
        <w:rPr>
          <w:color w:val="auto"/>
          <w:sz w:val="24"/>
          <w:szCs w:val="20"/>
          <w:highlight w:val="none"/>
        </w:rPr>
      </w:pPr>
    </w:p>
    <w:p w14:paraId="4C36F37A">
      <w:pPr>
        <w:widowControl/>
        <w:spacing w:after="0"/>
        <w:jc w:val="left"/>
        <w:rPr>
          <w:color w:val="auto"/>
          <w:sz w:val="24"/>
          <w:szCs w:val="20"/>
          <w:highlight w:val="none"/>
        </w:rPr>
      </w:pPr>
    </w:p>
    <w:p w14:paraId="680282EE">
      <w:pPr>
        <w:widowControl/>
        <w:spacing w:after="0"/>
        <w:jc w:val="left"/>
        <w:rPr>
          <w:color w:val="auto"/>
          <w:sz w:val="24"/>
          <w:szCs w:val="20"/>
          <w:highlight w:val="none"/>
        </w:rPr>
      </w:pPr>
    </w:p>
    <w:p w14:paraId="04A63ADA">
      <w:pPr>
        <w:widowControl/>
        <w:spacing w:after="0"/>
        <w:jc w:val="left"/>
        <w:rPr>
          <w:color w:val="auto"/>
          <w:sz w:val="24"/>
          <w:szCs w:val="20"/>
          <w:highlight w:val="none"/>
        </w:rPr>
      </w:pPr>
    </w:p>
    <w:p w14:paraId="215432E9">
      <w:pPr>
        <w:widowControl/>
        <w:spacing w:after="0"/>
        <w:jc w:val="left"/>
        <w:rPr>
          <w:color w:val="auto"/>
          <w:sz w:val="24"/>
          <w:szCs w:val="20"/>
          <w:highlight w:val="none"/>
        </w:rPr>
      </w:pPr>
    </w:p>
    <w:p w14:paraId="79DA8BB3">
      <w:pPr>
        <w:widowControl/>
        <w:spacing w:after="0"/>
        <w:jc w:val="left"/>
        <w:rPr>
          <w:color w:val="auto"/>
          <w:sz w:val="24"/>
          <w:szCs w:val="20"/>
          <w:highlight w:val="none"/>
        </w:rPr>
      </w:pPr>
    </w:p>
    <w:p w14:paraId="58249A01">
      <w:pPr>
        <w:widowControl/>
        <w:spacing w:after="0"/>
        <w:jc w:val="left"/>
        <w:rPr>
          <w:color w:val="auto"/>
          <w:sz w:val="24"/>
          <w:szCs w:val="20"/>
          <w:highlight w:val="none"/>
        </w:rPr>
      </w:pPr>
    </w:p>
    <w:p w14:paraId="5FAF739C">
      <w:pPr>
        <w:widowControl/>
        <w:spacing w:after="0"/>
        <w:jc w:val="left"/>
        <w:rPr>
          <w:color w:val="auto"/>
          <w:sz w:val="24"/>
          <w:szCs w:val="20"/>
          <w:highlight w:val="none"/>
        </w:rPr>
      </w:pPr>
    </w:p>
    <w:p w14:paraId="792451FF">
      <w:pPr>
        <w:widowControl/>
        <w:spacing w:after="0"/>
        <w:jc w:val="left"/>
        <w:rPr>
          <w:color w:val="auto"/>
          <w:sz w:val="24"/>
          <w:szCs w:val="20"/>
          <w:highlight w:val="none"/>
        </w:rPr>
      </w:pPr>
    </w:p>
    <w:p w14:paraId="100AC9F8">
      <w:pPr>
        <w:widowControl/>
        <w:spacing w:after="0"/>
        <w:jc w:val="left"/>
        <w:rPr>
          <w:color w:val="auto"/>
          <w:sz w:val="24"/>
          <w:szCs w:val="20"/>
          <w:highlight w:val="none"/>
        </w:rPr>
      </w:pPr>
    </w:p>
    <w:p w14:paraId="57015034">
      <w:pPr>
        <w:widowControl/>
        <w:spacing w:after="0"/>
        <w:jc w:val="left"/>
        <w:rPr>
          <w:color w:val="auto"/>
          <w:sz w:val="24"/>
          <w:szCs w:val="20"/>
          <w:highlight w:val="none"/>
        </w:rPr>
      </w:pPr>
    </w:p>
    <w:p w14:paraId="092648C1">
      <w:pPr>
        <w:widowControl/>
        <w:spacing w:after="0"/>
        <w:jc w:val="left"/>
        <w:rPr>
          <w:color w:val="auto"/>
          <w:sz w:val="24"/>
          <w:szCs w:val="20"/>
          <w:highlight w:val="none"/>
        </w:rPr>
      </w:pPr>
    </w:p>
    <w:p w14:paraId="52E78A6E">
      <w:pPr>
        <w:pStyle w:val="5"/>
        <w:spacing w:after="0"/>
        <w:rPr>
          <w:rFonts w:ascii="Times New Roman"/>
          <w:b w:val="0"/>
          <w:bCs/>
          <w:color w:val="auto"/>
          <w:szCs w:val="24"/>
          <w:highlight w:val="none"/>
          <w:u w:val="none"/>
        </w:rPr>
      </w:pPr>
      <w:r>
        <w:rPr>
          <w:rFonts w:ascii="Times New Roman"/>
          <w:b w:val="0"/>
          <w:color w:val="auto"/>
          <w:szCs w:val="24"/>
          <w:highlight w:val="none"/>
          <w:u w:val="none"/>
        </w:rPr>
        <w:t>1-2 供应商资格声明书（实质性格式）</w:t>
      </w:r>
    </w:p>
    <w:p w14:paraId="321E7A23">
      <w:pPr>
        <w:spacing w:after="0"/>
        <w:jc w:val="center"/>
        <w:rPr>
          <w:b/>
          <w:color w:val="auto"/>
          <w:sz w:val="36"/>
          <w:szCs w:val="36"/>
          <w:highlight w:val="none"/>
        </w:rPr>
      </w:pPr>
      <w:r>
        <w:rPr>
          <w:rFonts w:hint="eastAsia"/>
          <w:b/>
          <w:color w:val="auto"/>
          <w:sz w:val="36"/>
          <w:szCs w:val="36"/>
          <w:highlight w:val="none"/>
        </w:rPr>
        <w:t>供应商资格声明书</w:t>
      </w:r>
    </w:p>
    <w:p w14:paraId="5666DD9B">
      <w:pPr>
        <w:tabs>
          <w:tab w:val="left" w:pos="5580"/>
        </w:tabs>
        <w:spacing w:after="0" w:line="360" w:lineRule="auto"/>
        <w:rPr>
          <w:color w:val="auto"/>
          <w:sz w:val="24"/>
          <w:highlight w:val="none"/>
        </w:rPr>
      </w:pPr>
    </w:p>
    <w:p w14:paraId="5F5EFF9B">
      <w:pPr>
        <w:tabs>
          <w:tab w:val="left" w:pos="5580"/>
        </w:tabs>
        <w:spacing w:after="0"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81DA428">
      <w:pPr>
        <w:spacing w:after="0" w:line="360" w:lineRule="auto"/>
        <w:ind w:firstLine="480" w:firstLineChars="200"/>
        <w:rPr>
          <w:color w:val="auto"/>
          <w:sz w:val="24"/>
          <w:highlight w:val="none"/>
        </w:rPr>
      </w:pPr>
      <w:r>
        <w:rPr>
          <w:color w:val="auto"/>
          <w:sz w:val="24"/>
          <w:highlight w:val="none"/>
        </w:rPr>
        <w:t>在参与本次项目磋商中，我单位承诺：</w:t>
      </w:r>
    </w:p>
    <w:p w14:paraId="093F46DC">
      <w:pPr>
        <w:numPr>
          <w:ilvl w:val="0"/>
          <w:numId w:val="15"/>
        </w:numPr>
        <w:spacing w:after="0" w:line="360" w:lineRule="auto"/>
        <w:ind w:left="1134"/>
        <w:rPr>
          <w:color w:val="auto"/>
          <w:sz w:val="24"/>
          <w:szCs w:val="22"/>
          <w:highlight w:val="none"/>
        </w:rPr>
      </w:pPr>
      <w:r>
        <w:rPr>
          <w:color w:val="auto"/>
          <w:sz w:val="24"/>
          <w:szCs w:val="22"/>
          <w:highlight w:val="none"/>
        </w:rPr>
        <w:t>具有良好的商业信誉和健全的财务会计制度；</w:t>
      </w:r>
    </w:p>
    <w:p w14:paraId="3A3814AB">
      <w:pPr>
        <w:numPr>
          <w:ilvl w:val="0"/>
          <w:numId w:val="15"/>
        </w:numPr>
        <w:spacing w:after="0" w:line="360" w:lineRule="auto"/>
        <w:ind w:left="1134"/>
        <w:rPr>
          <w:color w:val="auto"/>
          <w:sz w:val="24"/>
          <w:szCs w:val="22"/>
          <w:highlight w:val="none"/>
        </w:rPr>
      </w:pPr>
      <w:r>
        <w:rPr>
          <w:color w:val="auto"/>
          <w:sz w:val="24"/>
          <w:szCs w:val="22"/>
          <w:highlight w:val="none"/>
        </w:rPr>
        <w:t>具有履行合同所必需的设备和专业技术能力；</w:t>
      </w:r>
    </w:p>
    <w:p w14:paraId="10148215">
      <w:pPr>
        <w:numPr>
          <w:ilvl w:val="0"/>
          <w:numId w:val="15"/>
        </w:numPr>
        <w:spacing w:after="0" w:line="360" w:lineRule="auto"/>
        <w:ind w:left="1134"/>
        <w:rPr>
          <w:color w:val="auto"/>
          <w:sz w:val="24"/>
          <w:szCs w:val="22"/>
          <w:highlight w:val="none"/>
        </w:rPr>
      </w:pPr>
      <w:r>
        <w:rPr>
          <w:color w:val="auto"/>
          <w:sz w:val="24"/>
          <w:szCs w:val="22"/>
          <w:highlight w:val="none"/>
        </w:rPr>
        <w:t>有依法缴纳税收和社会保障资金的良好记录；</w:t>
      </w:r>
    </w:p>
    <w:p w14:paraId="04AC66BC">
      <w:pPr>
        <w:numPr>
          <w:ilvl w:val="0"/>
          <w:numId w:val="15"/>
        </w:numPr>
        <w:spacing w:after="0"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1824DD">
      <w:pPr>
        <w:numPr>
          <w:ilvl w:val="0"/>
          <w:numId w:val="15"/>
        </w:numPr>
        <w:spacing w:after="0"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78029A6F">
      <w:pPr>
        <w:numPr>
          <w:ilvl w:val="0"/>
          <w:numId w:val="15"/>
        </w:numPr>
        <w:spacing w:after="0"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0BE26082">
      <w:pPr>
        <w:numPr>
          <w:ilvl w:val="0"/>
          <w:numId w:val="15"/>
        </w:numPr>
        <w:spacing w:after="0"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46D8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EC4558F">
            <w:pPr>
              <w:spacing w:after="0"/>
              <w:jc w:val="center"/>
              <w:rPr>
                <w:color w:val="auto"/>
                <w:sz w:val="24"/>
                <w:highlight w:val="none"/>
              </w:rPr>
            </w:pPr>
            <w:r>
              <w:rPr>
                <w:color w:val="auto"/>
                <w:sz w:val="24"/>
                <w:highlight w:val="none"/>
              </w:rPr>
              <w:t>序号</w:t>
            </w:r>
          </w:p>
        </w:tc>
        <w:tc>
          <w:tcPr>
            <w:tcW w:w="4574" w:type="dxa"/>
            <w:noWrap w:val="0"/>
            <w:vAlign w:val="center"/>
          </w:tcPr>
          <w:p w14:paraId="15AA51FB">
            <w:pPr>
              <w:spacing w:after="0"/>
              <w:jc w:val="center"/>
              <w:rPr>
                <w:color w:val="auto"/>
                <w:sz w:val="24"/>
                <w:highlight w:val="none"/>
              </w:rPr>
            </w:pPr>
            <w:r>
              <w:rPr>
                <w:color w:val="auto"/>
                <w:sz w:val="24"/>
                <w:highlight w:val="none"/>
              </w:rPr>
              <w:t>单位名称</w:t>
            </w:r>
          </w:p>
        </w:tc>
        <w:tc>
          <w:tcPr>
            <w:tcW w:w="2976" w:type="dxa"/>
            <w:noWrap w:val="0"/>
            <w:vAlign w:val="center"/>
          </w:tcPr>
          <w:p w14:paraId="66D084DA">
            <w:pPr>
              <w:spacing w:after="0"/>
              <w:jc w:val="center"/>
              <w:rPr>
                <w:color w:val="auto"/>
                <w:sz w:val="24"/>
                <w:highlight w:val="none"/>
              </w:rPr>
            </w:pPr>
            <w:r>
              <w:rPr>
                <w:color w:val="auto"/>
                <w:sz w:val="24"/>
                <w:highlight w:val="none"/>
              </w:rPr>
              <w:t>相互关系</w:t>
            </w:r>
          </w:p>
        </w:tc>
      </w:tr>
      <w:tr w14:paraId="5F6E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9E4AD1">
            <w:pPr>
              <w:spacing w:after="0"/>
              <w:jc w:val="center"/>
              <w:rPr>
                <w:color w:val="auto"/>
                <w:sz w:val="24"/>
                <w:highlight w:val="none"/>
              </w:rPr>
            </w:pPr>
            <w:r>
              <w:rPr>
                <w:color w:val="auto"/>
                <w:sz w:val="24"/>
                <w:highlight w:val="none"/>
              </w:rPr>
              <w:t>1</w:t>
            </w:r>
          </w:p>
        </w:tc>
        <w:tc>
          <w:tcPr>
            <w:tcW w:w="4574" w:type="dxa"/>
            <w:noWrap w:val="0"/>
            <w:vAlign w:val="center"/>
          </w:tcPr>
          <w:p w14:paraId="654C7BAD">
            <w:pPr>
              <w:spacing w:after="0"/>
              <w:jc w:val="center"/>
              <w:rPr>
                <w:color w:val="auto"/>
                <w:sz w:val="24"/>
                <w:highlight w:val="none"/>
              </w:rPr>
            </w:pPr>
          </w:p>
        </w:tc>
        <w:tc>
          <w:tcPr>
            <w:tcW w:w="2976" w:type="dxa"/>
            <w:noWrap w:val="0"/>
            <w:vAlign w:val="center"/>
          </w:tcPr>
          <w:p w14:paraId="19AB8815">
            <w:pPr>
              <w:spacing w:after="0"/>
              <w:jc w:val="center"/>
              <w:rPr>
                <w:color w:val="auto"/>
                <w:sz w:val="24"/>
                <w:highlight w:val="none"/>
              </w:rPr>
            </w:pPr>
          </w:p>
        </w:tc>
      </w:tr>
      <w:tr w14:paraId="6F66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90BEB82">
            <w:pPr>
              <w:spacing w:after="0"/>
              <w:jc w:val="center"/>
              <w:rPr>
                <w:color w:val="auto"/>
                <w:sz w:val="24"/>
                <w:highlight w:val="none"/>
              </w:rPr>
            </w:pPr>
            <w:r>
              <w:rPr>
                <w:color w:val="auto"/>
                <w:sz w:val="24"/>
                <w:highlight w:val="none"/>
              </w:rPr>
              <w:t>2</w:t>
            </w:r>
          </w:p>
        </w:tc>
        <w:tc>
          <w:tcPr>
            <w:tcW w:w="4574" w:type="dxa"/>
            <w:noWrap w:val="0"/>
            <w:vAlign w:val="center"/>
          </w:tcPr>
          <w:p w14:paraId="27B139A8">
            <w:pPr>
              <w:spacing w:after="0"/>
              <w:jc w:val="center"/>
              <w:rPr>
                <w:color w:val="auto"/>
                <w:sz w:val="24"/>
                <w:highlight w:val="none"/>
              </w:rPr>
            </w:pPr>
          </w:p>
        </w:tc>
        <w:tc>
          <w:tcPr>
            <w:tcW w:w="2976" w:type="dxa"/>
            <w:noWrap w:val="0"/>
            <w:vAlign w:val="center"/>
          </w:tcPr>
          <w:p w14:paraId="778629B3">
            <w:pPr>
              <w:spacing w:after="0"/>
              <w:jc w:val="center"/>
              <w:rPr>
                <w:color w:val="auto"/>
                <w:sz w:val="24"/>
                <w:highlight w:val="none"/>
              </w:rPr>
            </w:pPr>
          </w:p>
        </w:tc>
      </w:tr>
      <w:tr w14:paraId="6A0F2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F1D1C3">
            <w:pPr>
              <w:spacing w:after="0"/>
              <w:jc w:val="center"/>
              <w:rPr>
                <w:color w:val="auto"/>
                <w:sz w:val="24"/>
                <w:highlight w:val="none"/>
              </w:rPr>
            </w:pPr>
            <w:r>
              <w:rPr>
                <w:color w:val="auto"/>
                <w:sz w:val="24"/>
                <w:highlight w:val="none"/>
              </w:rPr>
              <w:t>…</w:t>
            </w:r>
          </w:p>
        </w:tc>
        <w:tc>
          <w:tcPr>
            <w:tcW w:w="4574" w:type="dxa"/>
            <w:noWrap w:val="0"/>
            <w:vAlign w:val="center"/>
          </w:tcPr>
          <w:p w14:paraId="472727AF">
            <w:pPr>
              <w:spacing w:after="0"/>
              <w:jc w:val="center"/>
              <w:rPr>
                <w:color w:val="auto"/>
                <w:sz w:val="24"/>
                <w:highlight w:val="none"/>
              </w:rPr>
            </w:pPr>
          </w:p>
        </w:tc>
        <w:tc>
          <w:tcPr>
            <w:tcW w:w="2976" w:type="dxa"/>
            <w:noWrap w:val="0"/>
            <w:vAlign w:val="center"/>
          </w:tcPr>
          <w:p w14:paraId="446637E0">
            <w:pPr>
              <w:spacing w:after="0"/>
              <w:jc w:val="center"/>
              <w:rPr>
                <w:color w:val="auto"/>
                <w:sz w:val="24"/>
                <w:highlight w:val="none"/>
              </w:rPr>
            </w:pPr>
          </w:p>
        </w:tc>
      </w:tr>
    </w:tbl>
    <w:p w14:paraId="47BDD399">
      <w:pPr>
        <w:spacing w:after="0"/>
        <w:rPr>
          <w:color w:val="auto"/>
          <w:highlight w:val="none"/>
        </w:rPr>
      </w:pPr>
    </w:p>
    <w:p w14:paraId="418A6E0F">
      <w:pPr>
        <w:spacing w:after="0"/>
        <w:ind w:firstLine="480" w:firstLineChars="200"/>
        <w:rPr>
          <w:color w:val="auto"/>
          <w:sz w:val="24"/>
          <w:szCs w:val="22"/>
          <w:highlight w:val="none"/>
        </w:rPr>
      </w:pPr>
      <w:r>
        <w:rPr>
          <w:color w:val="auto"/>
          <w:sz w:val="24"/>
          <w:highlight w:val="none"/>
        </w:rPr>
        <w:t>上述声明真实有效，否则我方负全部责任。</w:t>
      </w:r>
    </w:p>
    <w:p w14:paraId="3BF2F597">
      <w:pPr>
        <w:spacing w:after="0" w:line="360" w:lineRule="auto"/>
        <w:rPr>
          <w:color w:val="auto"/>
          <w:sz w:val="24"/>
          <w:highlight w:val="none"/>
        </w:rPr>
      </w:pPr>
    </w:p>
    <w:p w14:paraId="5F4EB970">
      <w:pPr>
        <w:autoSpaceDE w:val="0"/>
        <w:autoSpaceDN w:val="0"/>
        <w:adjustRightInd w:val="0"/>
        <w:snapToGrid w:val="0"/>
        <w:spacing w:before="25" w:after="0" w:line="360" w:lineRule="auto"/>
        <w:ind w:right="360"/>
        <w:jc w:val="right"/>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6F1D6563">
      <w:pPr>
        <w:spacing w:after="0" w:line="360" w:lineRule="auto"/>
        <w:ind w:right="360" w:firstLine="480"/>
        <w:jc w:val="right"/>
        <w:rPr>
          <w:color w:val="auto"/>
          <w:sz w:val="24"/>
          <w:highlight w:val="none"/>
        </w:rPr>
      </w:pPr>
      <w:r>
        <w:rPr>
          <w:color w:val="auto"/>
          <w:sz w:val="24"/>
          <w:szCs w:val="20"/>
          <w:highlight w:val="none"/>
        </w:rPr>
        <w:t xml:space="preserve">日期：____年____月____日   </w:t>
      </w:r>
    </w:p>
    <w:p w14:paraId="4514E137">
      <w:pPr>
        <w:spacing w:after="0" w:line="360" w:lineRule="auto"/>
        <w:rPr>
          <w:color w:val="auto"/>
          <w:sz w:val="24"/>
          <w:highlight w:val="none"/>
        </w:rPr>
      </w:pPr>
      <w:r>
        <w:rPr>
          <w:rFonts w:hint="eastAsia"/>
          <w:color w:val="auto"/>
          <w:sz w:val="24"/>
          <w:highlight w:val="none"/>
        </w:rPr>
        <w:t>说明：供应商承诺不实的，依据《政府采购法》第七十七条“提供虚假材料谋取中标、成交的”有关规定予以处理。</w:t>
      </w:r>
    </w:p>
    <w:p w14:paraId="7AFD072E">
      <w:pPr>
        <w:tabs>
          <w:tab w:val="left" w:pos="360"/>
        </w:tabs>
        <w:snapToGrid w:val="0"/>
        <w:spacing w:after="0" w:line="360" w:lineRule="auto"/>
        <w:outlineLvl w:val="1"/>
        <w:rPr>
          <w:color w:val="auto"/>
          <w:sz w:val="24"/>
          <w:highlight w:val="none"/>
        </w:rPr>
      </w:pPr>
      <w:r>
        <w:rPr>
          <w:rFonts w:hint="eastAsia"/>
          <w:color w:val="auto"/>
          <w:sz w:val="24"/>
          <w:highlight w:val="none"/>
          <w:lang w:eastAsia="zh-CN"/>
        </w:rPr>
        <w:t xml:space="preserve"> </w:t>
      </w:r>
      <w:r>
        <w:rPr>
          <w:color w:val="auto"/>
          <w:sz w:val="24"/>
          <w:highlight w:val="none"/>
        </w:rPr>
        <w:t>2 落实政府采购政策需满足的资格要求（如有）</w:t>
      </w:r>
    </w:p>
    <w:p w14:paraId="13AC6ADB">
      <w:pPr>
        <w:spacing w:after="0" w:line="360" w:lineRule="auto"/>
        <w:outlineLvl w:val="2"/>
        <w:rPr>
          <w:color w:val="auto"/>
          <w:sz w:val="24"/>
          <w:highlight w:val="none"/>
        </w:rPr>
      </w:pPr>
      <w:r>
        <w:rPr>
          <w:color w:val="auto"/>
          <w:sz w:val="24"/>
          <w:szCs w:val="20"/>
          <w:highlight w:val="none"/>
        </w:rPr>
        <w:t>2-1中小企业声明函</w:t>
      </w:r>
    </w:p>
    <w:p w14:paraId="21AF3A56">
      <w:pPr>
        <w:tabs>
          <w:tab w:val="left" w:pos="5580"/>
        </w:tabs>
        <w:spacing w:after="0" w:line="360" w:lineRule="auto"/>
        <w:rPr>
          <w:color w:val="auto"/>
          <w:sz w:val="24"/>
          <w:highlight w:val="none"/>
        </w:rPr>
      </w:pPr>
      <w:r>
        <w:rPr>
          <w:color w:val="auto"/>
          <w:sz w:val="24"/>
          <w:highlight w:val="none"/>
        </w:rPr>
        <w:t>说明：</w:t>
      </w:r>
    </w:p>
    <w:p w14:paraId="72C8B234">
      <w:pPr>
        <w:tabs>
          <w:tab w:val="left" w:pos="5580"/>
        </w:tabs>
        <w:spacing w:after="0"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供应商非必须</w:t>
      </w:r>
      <w:r>
        <w:rPr>
          <w:color w:val="auto"/>
          <w:sz w:val="24"/>
          <w:highlight w:val="none"/>
        </w:rPr>
        <w:t>提供</w:t>
      </w:r>
      <w:r>
        <w:rPr>
          <w:rFonts w:hint="eastAsia"/>
          <w:color w:val="auto"/>
          <w:sz w:val="24"/>
          <w:highlight w:val="none"/>
        </w:rPr>
        <w:t>；当小微企业拟享受中小企业扶持政策时，仍应提供</w:t>
      </w:r>
      <w:r>
        <w:rPr>
          <w:color w:val="auto"/>
          <w:sz w:val="24"/>
          <w:highlight w:val="none"/>
        </w:rPr>
        <w:t>《中小企业声明函》</w:t>
      </w:r>
      <w:r>
        <w:rPr>
          <w:rFonts w:hint="eastAsia"/>
          <w:color w:val="auto"/>
          <w:sz w:val="24"/>
          <w:highlight w:val="none"/>
        </w:rPr>
        <w:t>，</w:t>
      </w:r>
      <w:r>
        <w:rPr>
          <w:color w:val="auto"/>
          <w:sz w:val="24"/>
          <w:highlight w:val="none"/>
        </w:rPr>
        <w:t>否则不得享受相关中小企业扶持政策。</w:t>
      </w:r>
    </w:p>
    <w:p w14:paraId="6BD81DBC">
      <w:pPr>
        <w:tabs>
          <w:tab w:val="left" w:pos="5580"/>
        </w:tabs>
        <w:spacing w:after="0" w:line="360" w:lineRule="auto"/>
        <w:rPr>
          <w:color w:val="auto"/>
          <w:sz w:val="24"/>
          <w:highlight w:val="none"/>
        </w:rPr>
      </w:pPr>
      <w:r>
        <w:rPr>
          <w:color w:val="auto"/>
          <w:sz w:val="24"/>
          <w:highlight w:val="none"/>
        </w:rPr>
        <w:t>（2）如本项目（包）专门面向中小/小微企业采购，须提供《中小企业声明函》（实质性格式）。</w:t>
      </w:r>
    </w:p>
    <w:p w14:paraId="3EF89787">
      <w:pPr>
        <w:tabs>
          <w:tab w:val="left" w:pos="5580"/>
        </w:tabs>
        <w:spacing w:after="0"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FA25F6C">
      <w:pPr>
        <w:tabs>
          <w:tab w:val="left" w:pos="5580"/>
        </w:tabs>
        <w:spacing w:after="0" w:line="360" w:lineRule="auto"/>
        <w:rPr>
          <w:color w:val="auto"/>
          <w:sz w:val="24"/>
          <w:highlight w:val="none"/>
        </w:rPr>
      </w:pPr>
      <w:r>
        <w:rPr>
          <w:color w:val="auto"/>
          <w:sz w:val="24"/>
          <w:highlight w:val="none"/>
        </w:rPr>
        <w:t>（4）其他</w:t>
      </w:r>
    </w:p>
    <w:p w14:paraId="3DA5E61C">
      <w:pPr>
        <w:tabs>
          <w:tab w:val="left" w:pos="5580"/>
        </w:tabs>
        <w:spacing w:after="0" w:line="360" w:lineRule="auto"/>
        <w:rPr>
          <w:color w:val="auto"/>
          <w:sz w:val="24"/>
          <w:highlight w:val="none"/>
        </w:rPr>
      </w:pPr>
      <w:r>
        <w:rPr>
          <w:color w:val="auto"/>
          <w:sz w:val="24"/>
          <w:highlight w:val="none"/>
        </w:rPr>
        <w:t>1）中小企业参加政府采购活动，应当出具此格式文件。《中小企业声明函》由参加政府采购活动的供应商出具。联合体响应的，《中小企业声明函》由牵头人出具。</w:t>
      </w:r>
    </w:p>
    <w:p w14:paraId="5C0572BB">
      <w:pPr>
        <w:tabs>
          <w:tab w:val="left" w:pos="5580"/>
        </w:tabs>
        <w:spacing w:after="0"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DACBE89">
      <w:pPr>
        <w:tabs>
          <w:tab w:val="left" w:pos="5580"/>
        </w:tabs>
        <w:spacing w:after="0" w:line="360" w:lineRule="auto"/>
        <w:rPr>
          <w:color w:val="auto"/>
          <w:sz w:val="24"/>
          <w:highlight w:val="none"/>
        </w:rPr>
      </w:pPr>
      <w:r>
        <w:rPr>
          <w:color w:val="auto"/>
          <w:sz w:val="24"/>
          <w:highlight w:val="none"/>
        </w:rPr>
        <w:t>3）对于多标的的采购项目，供应商应充分、准确地了解所投产品制造企业信息。对相关情况了解不清楚的，不建议填报本声明函。</w:t>
      </w:r>
    </w:p>
    <w:p w14:paraId="657560BA">
      <w:pPr>
        <w:tabs>
          <w:tab w:val="left" w:pos="5580"/>
        </w:tabs>
        <w:spacing w:after="0" w:line="360" w:lineRule="auto"/>
        <w:rPr>
          <w:color w:val="auto"/>
          <w:sz w:val="24"/>
          <w:highlight w:val="none"/>
        </w:rPr>
      </w:pPr>
      <w:r>
        <w:rPr>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870C2AB">
      <w:pPr>
        <w:tabs>
          <w:tab w:val="left" w:pos="5580"/>
        </w:tabs>
        <w:spacing w:after="0" w:line="360" w:lineRule="auto"/>
        <w:rPr>
          <w:color w:val="auto"/>
          <w:sz w:val="24"/>
          <w:highlight w:val="none"/>
        </w:rPr>
      </w:pPr>
    </w:p>
    <w:p w14:paraId="71346829">
      <w:pPr>
        <w:widowControl/>
        <w:spacing w:after="0"/>
        <w:jc w:val="center"/>
        <w:rPr>
          <w:b/>
          <w:bCs/>
          <w:color w:val="auto"/>
          <w:sz w:val="36"/>
          <w:szCs w:val="36"/>
          <w:highlight w:val="none"/>
        </w:rPr>
      </w:pPr>
      <w:r>
        <w:rPr>
          <w:color w:val="auto"/>
          <w:sz w:val="24"/>
          <w:highlight w:val="none"/>
        </w:rPr>
        <w:br w:type="page"/>
      </w:r>
      <w:r>
        <w:rPr>
          <w:b/>
          <w:bCs/>
          <w:color w:val="auto"/>
          <w:sz w:val="36"/>
          <w:szCs w:val="36"/>
          <w:highlight w:val="none"/>
        </w:rPr>
        <w:t>中小企业声明函（工程、服务）格式</w:t>
      </w:r>
    </w:p>
    <w:p w14:paraId="0E3213EF">
      <w:pPr>
        <w:spacing w:after="0"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92807A">
      <w:pPr>
        <w:spacing w:after="0"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 xml:space="preserve"> （标的名称） </w:t>
      </w:r>
      <w:r>
        <w:rPr>
          <w:color w:val="auto"/>
          <w:spacing w:val="6"/>
          <w:sz w:val="24"/>
          <w:highlight w:val="none"/>
        </w:rPr>
        <w:t>，属于</w:t>
      </w:r>
      <w:r>
        <w:rPr>
          <w:color w:val="auto"/>
          <w:spacing w:val="6"/>
          <w:sz w:val="24"/>
          <w:highlight w:val="none"/>
          <w:u w:val="single"/>
        </w:rPr>
        <w:t>（竞争性磋商文件中明确的所属行业）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w:t>
      </w:r>
      <w:r>
        <w:rPr>
          <w:color w:val="auto"/>
          <w:sz w:val="24"/>
          <w:highlight w:val="none"/>
        </w:rPr>
        <w:t>______</w:t>
      </w:r>
      <w:r>
        <w:rPr>
          <w:color w:val="auto"/>
          <w:spacing w:val="6"/>
          <w:sz w:val="24"/>
          <w:highlight w:val="none"/>
        </w:rPr>
        <w:t>人，营业收入为</w:t>
      </w:r>
      <w:r>
        <w:rPr>
          <w:color w:val="auto"/>
          <w:sz w:val="24"/>
          <w:highlight w:val="none"/>
        </w:rPr>
        <w:t>______</w:t>
      </w:r>
      <w:r>
        <w:rPr>
          <w:color w:val="auto"/>
          <w:spacing w:val="6"/>
          <w:sz w:val="24"/>
          <w:highlight w:val="none"/>
        </w:rPr>
        <w:t>万元，资产总额为</w:t>
      </w:r>
      <w:r>
        <w:rPr>
          <w:color w:val="auto"/>
          <w:sz w:val="24"/>
          <w:highlight w:val="none"/>
        </w:rPr>
        <w:t>______</w:t>
      </w:r>
      <w:r>
        <w:rPr>
          <w:color w:val="auto"/>
          <w:spacing w:val="6"/>
          <w:sz w:val="24"/>
          <w:highlight w:val="none"/>
        </w:rPr>
        <w:t>万元</w:t>
      </w:r>
      <w:r>
        <w:rPr>
          <w:color w:val="auto"/>
          <w:spacing w:val="6"/>
          <w:sz w:val="24"/>
          <w:highlight w:val="none"/>
          <w:vertAlign w:val="superscript"/>
        </w:rPr>
        <w:t>1</w:t>
      </w:r>
      <w:r>
        <w:rPr>
          <w:color w:val="auto"/>
          <w:spacing w:val="6"/>
          <w:sz w:val="24"/>
          <w:highlight w:val="none"/>
        </w:rPr>
        <w:t>，属于（中型企业、小型企业、微型企业）；</w:t>
      </w:r>
    </w:p>
    <w:p w14:paraId="117B3E9E">
      <w:pPr>
        <w:spacing w:after="0" w:line="360" w:lineRule="auto"/>
        <w:ind w:firstLine="504"/>
        <w:rPr>
          <w:color w:val="auto"/>
          <w:spacing w:val="6"/>
          <w:sz w:val="24"/>
          <w:highlight w:val="none"/>
        </w:rPr>
      </w:pPr>
      <w:r>
        <w:rPr>
          <w:color w:val="auto"/>
          <w:spacing w:val="6"/>
          <w:sz w:val="24"/>
          <w:highlight w:val="none"/>
        </w:rPr>
        <w:t xml:space="preserve">2. </w:t>
      </w:r>
      <w:r>
        <w:rPr>
          <w:color w:val="auto"/>
          <w:spacing w:val="6"/>
          <w:sz w:val="24"/>
          <w:highlight w:val="none"/>
          <w:u w:val="single"/>
        </w:rPr>
        <w:t xml:space="preserve">（标的名称） </w:t>
      </w:r>
      <w:r>
        <w:rPr>
          <w:color w:val="auto"/>
          <w:spacing w:val="6"/>
          <w:sz w:val="24"/>
          <w:highlight w:val="none"/>
        </w:rPr>
        <w:t>，属于</w:t>
      </w:r>
      <w:r>
        <w:rPr>
          <w:color w:val="auto"/>
          <w:spacing w:val="6"/>
          <w:sz w:val="24"/>
          <w:highlight w:val="none"/>
          <w:u w:val="single"/>
        </w:rPr>
        <w:t>（竞争性磋商文件中明确的所属行业）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w:t>
      </w:r>
      <w:r>
        <w:rPr>
          <w:color w:val="auto"/>
          <w:sz w:val="24"/>
          <w:highlight w:val="none"/>
        </w:rPr>
        <w:t>______</w:t>
      </w:r>
      <w:r>
        <w:rPr>
          <w:color w:val="auto"/>
          <w:spacing w:val="6"/>
          <w:sz w:val="24"/>
          <w:highlight w:val="none"/>
        </w:rPr>
        <w:t>人，营业收入为</w:t>
      </w:r>
      <w:r>
        <w:rPr>
          <w:color w:val="auto"/>
          <w:sz w:val="24"/>
          <w:highlight w:val="none"/>
        </w:rPr>
        <w:t>______</w:t>
      </w:r>
      <w:r>
        <w:rPr>
          <w:color w:val="auto"/>
          <w:spacing w:val="6"/>
          <w:sz w:val="24"/>
          <w:highlight w:val="none"/>
        </w:rPr>
        <w:t>万元，资产总额为</w:t>
      </w:r>
      <w:r>
        <w:rPr>
          <w:color w:val="auto"/>
          <w:sz w:val="24"/>
          <w:highlight w:val="none"/>
        </w:rPr>
        <w:t>______</w:t>
      </w:r>
      <w:r>
        <w:rPr>
          <w:color w:val="auto"/>
          <w:spacing w:val="6"/>
          <w:sz w:val="24"/>
          <w:highlight w:val="none"/>
        </w:rPr>
        <w:t>万元，属于</w:t>
      </w:r>
      <w:r>
        <w:rPr>
          <w:color w:val="auto"/>
          <w:spacing w:val="6"/>
          <w:sz w:val="24"/>
          <w:highlight w:val="none"/>
          <w:u w:val="single"/>
        </w:rPr>
        <w:t>（中型企业、小型企业、微型企业）</w:t>
      </w:r>
      <w:r>
        <w:rPr>
          <w:color w:val="auto"/>
          <w:spacing w:val="6"/>
          <w:sz w:val="24"/>
          <w:highlight w:val="none"/>
        </w:rPr>
        <w:t>；</w:t>
      </w:r>
    </w:p>
    <w:p w14:paraId="529D87FF">
      <w:pPr>
        <w:spacing w:after="0" w:line="360" w:lineRule="auto"/>
        <w:ind w:firstLine="504"/>
        <w:rPr>
          <w:color w:val="auto"/>
          <w:spacing w:val="6"/>
          <w:sz w:val="24"/>
          <w:highlight w:val="none"/>
        </w:rPr>
      </w:pPr>
    </w:p>
    <w:p w14:paraId="44BB1055">
      <w:pPr>
        <w:spacing w:after="0" w:line="360" w:lineRule="auto"/>
        <w:ind w:firstLine="504"/>
        <w:rPr>
          <w:color w:val="auto"/>
          <w:spacing w:val="6"/>
          <w:sz w:val="24"/>
          <w:highlight w:val="none"/>
        </w:rPr>
      </w:pPr>
      <w:r>
        <w:rPr>
          <w:color w:val="auto"/>
          <w:spacing w:val="6"/>
          <w:sz w:val="24"/>
          <w:highlight w:val="none"/>
        </w:rPr>
        <w:t>……</w:t>
      </w:r>
    </w:p>
    <w:p w14:paraId="2D5C0A95">
      <w:pPr>
        <w:spacing w:after="0"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18173F53">
      <w:pPr>
        <w:spacing w:after="0"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2E821878">
      <w:pPr>
        <w:spacing w:after="0" w:line="360" w:lineRule="auto"/>
        <w:ind w:right="360" w:firstLine="480"/>
        <w:jc w:val="right"/>
        <w:rPr>
          <w:color w:val="auto"/>
          <w:sz w:val="24"/>
          <w:highlight w:val="none"/>
        </w:rPr>
      </w:pPr>
    </w:p>
    <w:p w14:paraId="159B3507">
      <w:pPr>
        <w:spacing w:after="0" w:line="360" w:lineRule="auto"/>
        <w:ind w:right="360" w:firstLine="480"/>
        <w:jc w:val="right"/>
        <w:rPr>
          <w:color w:val="auto"/>
          <w:sz w:val="24"/>
          <w:highlight w:val="none"/>
        </w:rPr>
      </w:pPr>
      <w:r>
        <w:rPr>
          <w:color w:val="auto"/>
          <w:sz w:val="24"/>
          <w:highlight w:val="none"/>
        </w:rPr>
        <w:t>企业名称（盖章）：______</w:t>
      </w:r>
    </w:p>
    <w:p w14:paraId="68DA9D06">
      <w:pPr>
        <w:spacing w:after="0" w:line="360" w:lineRule="auto"/>
        <w:ind w:right="360" w:firstLine="480"/>
        <w:jc w:val="right"/>
        <w:rPr>
          <w:color w:val="auto"/>
          <w:sz w:val="24"/>
          <w:highlight w:val="none"/>
        </w:rPr>
      </w:pPr>
      <w:r>
        <w:rPr>
          <w:color w:val="auto"/>
          <w:sz w:val="24"/>
          <w:highlight w:val="none"/>
        </w:rPr>
        <w:t>日 期：______</w:t>
      </w:r>
    </w:p>
    <w:p w14:paraId="0AAEE22C">
      <w:pPr>
        <w:adjustRightInd w:val="0"/>
        <w:snapToGrid w:val="0"/>
        <w:spacing w:after="0"/>
        <w:jc w:val="left"/>
        <w:rPr>
          <w:color w:val="auto"/>
          <w:sz w:val="24"/>
          <w:szCs w:val="21"/>
          <w:highlight w:val="none"/>
        </w:rPr>
      </w:pPr>
    </w:p>
    <w:p w14:paraId="1D7733B7">
      <w:pPr>
        <w:adjustRightInd w:val="0"/>
        <w:snapToGrid w:val="0"/>
        <w:spacing w:after="0"/>
        <w:jc w:val="left"/>
        <w:rPr>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661B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9BCE3F8">
            <w:pPr>
              <w:adjustRightInd w:val="0"/>
              <w:snapToGrid w:val="0"/>
              <w:spacing w:after="0"/>
              <w:jc w:val="left"/>
              <w:rPr>
                <w:color w:val="auto"/>
                <w:szCs w:val="21"/>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tc>
      </w:tr>
      <w:tr w14:paraId="3392CDF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1B15DE7">
            <w:pPr>
              <w:adjustRightInd w:val="0"/>
              <w:snapToGrid w:val="0"/>
              <w:spacing w:after="0"/>
              <w:jc w:val="left"/>
              <w:rPr>
                <w:rFonts w:hint="eastAsia"/>
                <w:color w:val="auto"/>
                <w:szCs w:val="21"/>
                <w:highlight w:val="none"/>
                <w:vertAlign w:val="superscript"/>
              </w:rPr>
            </w:pPr>
          </w:p>
          <w:p w14:paraId="1C93045B">
            <w:pPr>
              <w:pStyle w:val="41"/>
              <w:spacing w:after="0"/>
              <w:ind w:firstLine="480"/>
              <w:rPr>
                <w:rFonts w:hint="eastAsia"/>
                <w:color w:val="auto"/>
                <w:highlight w:val="none"/>
              </w:rPr>
            </w:pPr>
          </w:p>
          <w:p w14:paraId="50C8E582">
            <w:pPr>
              <w:pStyle w:val="41"/>
              <w:spacing w:after="0"/>
              <w:ind w:firstLine="480"/>
              <w:rPr>
                <w:color w:val="auto"/>
                <w:highlight w:val="none"/>
              </w:rPr>
            </w:pPr>
          </w:p>
        </w:tc>
      </w:tr>
    </w:tbl>
    <w:p w14:paraId="2CC1FD22">
      <w:pPr>
        <w:adjustRightInd w:val="0"/>
        <w:snapToGrid w:val="0"/>
        <w:spacing w:after="0"/>
        <w:jc w:val="left"/>
        <w:rPr>
          <w:color w:val="auto"/>
          <w:szCs w:val="21"/>
          <w:highlight w:val="none"/>
          <w:vertAlign w:val="superscript"/>
        </w:rPr>
      </w:pPr>
    </w:p>
    <w:p w14:paraId="756C6217">
      <w:pPr>
        <w:spacing w:after="0" w:line="360" w:lineRule="auto"/>
        <w:ind w:right="360" w:firstLine="480"/>
        <w:jc w:val="right"/>
        <w:rPr>
          <w:color w:val="auto"/>
          <w:sz w:val="24"/>
          <w:highlight w:val="none"/>
        </w:rPr>
      </w:pPr>
    </w:p>
    <w:p w14:paraId="543EB78C">
      <w:pPr>
        <w:spacing w:after="0" w:line="360" w:lineRule="auto"/>
        <w:ind w:right="360" w:firstLine="480"/>
        <w:jc w:val="right"/>
        <w:rPr>
          <w:color w:val="auto"/>
          <w:sz w:val="24"/>
          <w:highlight w:val="none"/>
        </w:rPr>
      </w:pPr>
    </w:p>
    <w:p w14:paraId="40BBD379">
      <w:pPr>
        <w:spacing w:after="0" w:line="360" w:lineRule="auto"/>
        <w:outlineLvl w:val="2"/>
        <w:rPr>
          <w:rFonts w:hint="eastAsia"/>
          <w:color w:val="auto"/>
          <w:sz w:val="24"/>
          <w:szCs w:val="20"/>
          <w:highlight w:val="none"/>
        </w:rPr>
      </w:pPr>
    </w:p>
    <w:p w14:paraId="79A9D32D">
      <w:pPr>
        <w:pStyle w:val="41"/>
        <w:spacing w:after="0"/>
        <w:ind w:firstLine="480"/>
        <w:rPr>
          <w:color w:val="auto"/>
          <w:highlight w:val="none"/>
        </w:rPr>
      </w:pPr>
    </w:p>
    <w:p w14:paraId="3D62FECF">
      <w:pPr>
        <w:spacing w:before="240" w:beforeLines="100" w:after="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0D9A5928">
      <w:pPr>
        <w:spacing w:after="0"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202E98E7">
      <w:pPr>
        <w:spacing w:after="0"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1A930E9F">
      <w:pPr>
        <w:spacing w:after="0"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w:t>
      </w:r>
      <w:r>
        <w:rPr>
          <w:color w:val="auto"/>
          <w:sz w:val="24"/>
          <w:highlight w:val="none"/>
        </w:rPr>
        <w:t>______</w:t>
      </w:r>
      <w:r>
        <w:rPr>
          <w:color w:val="auto"/>
          <w:spacing w:val="6"/>
          <w:sz w:val="24"/>
          <w:highlight w:val="none"/>
        </w:rPr>
        <w:t>单位的</w:t>
      </w:r>
      <w:r>
        <w:rPr>
          <w:color w:val="auto"/>
          <w:sz w:val="24"/>
          <w:highlight w:val="none"/>
        </w:rPr>
        <w:t>______</w:t>
      </w:r>
      <w:r>
        <w:rPr>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9B6B4A7">
      <w:pPr>
        <w:spacing w:after="0"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50247296">
      <w:pPr>
        <w:spacing w:after="0" w:line="588" w:lineRule="exact"/>
        <w:ind w:firstLine="504" w:firstLineChars="200"/>
        <w:rPr>
          <w:color w:val="auto"/>
          <w:spacing w:val="6"/>
          <w:sz w:val="24"/>
          <w:highlight w:val="none"/>
        </w:rPr>
      </w:pPr>
    </w:p>
    <w:p w14:paraId="27393CFA">
      <w:pPr>
        <w:spacing w:after="0" w:line="588" w:lineRule="exact"/>
        <w:ind w:firstLine="504" w:firstLineChars="200"/>
        <w:rPr>
          <w:color w:val="auto"/>
          <w:spacing w:val="6"/>
          <w:sz w:val="24"/>
          <w:highlight w:val="none"/>
        </w:rPr>
      </w:pPr>
    </w:p>
    <w:p w14:paraId="0E47E9B6">
      <w:pPr>
        <w:tabs>
          <w:tab w:val="left" w:pos="4860"/>
        </w:tabs>
        <w:spacing w:after="0" w:line="588" w:lineRule="exact"/>
        <w:ind w:right="1560" w:firstLine="504" w:firstLineChars="200"/>
        <w:jc w:val="right"/>
        <w:rPr>
          <w:color w:val="auto"/>
          <w:spacing w:val="6"/>
          <w:sz w:val="24"/>
          <w:highlight w:val="none"/>
        </w:rPr>
      </w:pPr>
      <w:r>
        <w:rPr>
          <w:color w:val="auto"/>
          <w:spacing w:val="6"/>
          <w:sz w:val="24"/>
          <w:highlight w:val="none"/>
        </w:rPr>
        <w:t xml:space="preserve">          单位名称（盖章）：</w:t>
      </w:r>
      <w:r>
        <w:rPr>
          <w:color w:val="auto"/>
          <w:sz w:val="24"/>
          <w:highlight w:val="none"/>
        </w:rPr>
        <w:t>______</w:t>
      </w:r>
    </w:p>
    <w:p w14:paraId="4B2388E8">
      <w:pPr>
        <w:tabs>
          <w:tab w:val="left" w:pos="4860"/>
        </w:tabs>
        <w:spacing w:after="0" w:line="588" w:lineRule="exact"/>
        <w:ind w:right="1560" w:firstLine="504" w:firstLineChars="200"/>
        <w:jc w:val="right"/>
        <w:rPr>
          <w:rFonts w:hint="eastAsia"/>
          <w:color w:val="auto"/>
          <w:sz w:val="24"/>
          <w:highlight w:val="none"/>
          <w:lang w:eastAsia="zh-CN"/>
        </w:rPr>
      </w:pPr>
      <w:r>
        <w:rPr>
          <w:color w:val="auto"/>
          <w:spacing w:val="6"/>
          <w:sz w:val="24"/>
          <w:highlight w:val="none"/>
        </w:rPr>
        <w:t xml:space="preserve">       日  期：</w:t>
      </w:r>
      <w:r>
        <w:rPr>
          <w:color w:val="auto"/>
          <w:sz w:val="24"/>
          <w:highlight w:val="none"/>
        </w:rPr>
        <w:t>_____</w:t>
      </w:r>
      <w:r>
        <w:rPr>
          <w:rFonts w:hint="eastAsia"/>
          <w:color w:val="auto"/>
          <w:sz w:val="24"/>
          <w:highlight w:val="none"/>
          <w:lang w:eastAsia="zh-CN"/>
        </w:rPr>
        <w:t xml:space="preserve"> </w:t>
      </w:r>
    </w:p>
    <w:p w14:paraId="7AAB70F6">
      <w:pPr>
        <w:rPr>
          <w:rFonts w:hint="eastAsia"/>
          <w:color w:val="auto"/>
          <w:sz w:val="24"/>
          <w:highlight w:val="none"/>
          <w:lang w:eastAsia="zh-CN"/>
        </w:rPr>
      </w:pPr>
      <w:r>
        <w:rPr>
          <w:rFonts w:hint="eastAsia"/>
          <w:color w:val="auto"/>
          <w:sz w:val="24"/>
          <w:highlight w:val="none"/>
          <w:lang w:eastAsia="zh-CN"/>
        </w:rPr>
        <w:br w:type="page"/>
      </w:r>
    </w:p>
    <w:p w14:paraId="23F5DABE">
      <w:pPr>
        <w:tabs>
          <w:tab w:val="left" w:pos="4860"/>
        </w:tabs>
        <w:spacing w:after="0" w:line="588" w:lineRule="exact"/>
        <w:ind w:right="1560" w:firstLine="480" w:firstLineChars="20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2-2</w:t>
      </w:r>
      <w:r>
        <w:rPr>
          <w:rFonts w:hint="eastAsia" w:ascii="宋体" w:hAnsi="宋体" w:eastAsia="宋体" w:cs="宋体"/>
          <w:color w:val="auto"/>
          <w:spacing w:val="5"/>
          <w:sz w:val="24"/>
          <w:szCs w:val="24"/>
          <w:highlight w:val="none"/>
        </w:rPr>
        <w:t>拟分包情况说明及分包意向协议</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本项目不适用</w:t>
      </w:r>
      <w:r>
        <w:rPr>
          <w:rFonts w:hint="eastAsia" w:ascii="宋体" w:hAnsi="宋体" w:eastAsia="宋体" w:cs="宋体"/>
          <w:color w:val="auto"/>
          <w:spacing w:val="5"/>
          <w:sz w:val="24"/>
          <w:szCs w:val="24"/>
          <w:highlight w:val="none"/>
          <w:lang w:eastAsia="zh-CN"/>
        </w:rPr>
        <w:t>）</w:t>
      </w:r>
    </w:p>
    <w:p w14:paraId="6DC2A67D">
      <w:pPr>
        <w:autoSpaceDE w:val="0"/>
        <w:autoSpaceDN w:val="0"/>
        <w:adjustRightInd w:val="0"/>
        <w:spacing w:after="0"/>
        <w:jc w:val="center"/>
        <w:rPr>
          <w:rFonts w:hint="eastAsia" w:ascii="宋体" w:hAnsi="宋体" w:eastAsia="宋体" w:cs="宋体"/>
          <w:color w:val="auto"/>
          <w:sz w:val="30"/>
          <w:szCs w:val="30"/>
          <w:highlight w:val="none"/>
        </w:rPr>
      </w:pPr>
    </w:p>
    <w:p w14:paraId="702ED201">
      <w:pPr>
        <w:spacing w:after="0"/>
        <w:rPr>
          <w:rFonts w:hint="eastAsia"/>
          <w:color w:val="auto"/>
          <w:sz w:val="24"/>
          <w:highlight w:val="none"/>
        </w:rPr>
      </w:pPr>
      <w:r>
        <w:rPr>
          <w:rFonts w:hint="eastAsia"/>
          <w:color w:val="auto"/>
          <w:sz w:val="24"/>
          <w:highlight w:val="none"/>
        </w:rPr>
        <w:br w:type="page"/>
      </w:r>
    </w:p>
    <w:p w14:paraId="20F35D1F">
      <w:pPr>
        <w:keepNext w:val="0"/>
        <w:keepLines w:val="0"/>
        <w:widowControl/>
        <w:suppressLineNumbers w:val="0"/>
        <w:spacing w:after="0"/>
        <w:jc w:val="left"/>
        <w:rPr>
          <w:color w:val="auto"/>
          <w:highlight w:val="none"/>
        </w:rPr>
      </w:pPr>
      <w:r>
        <w:rPr>
          <w:rFonts w:hint="eastAsia"/>
          <w:color w:val="auto"/>
          <w:sz w:val="24"/>
          <w:highlight w:val="none"/>
        </w:rPr>
        <w:t>2</w:t>
      </w:r>
      <w:r>
        <w:rPr>
          <w:rFonts w:hint="eastAsia"/>
          <w:color w:val="auto"/>
          <w:sz w:val="24"/>
          <w:highlight w:val="none"/>
          <w:lang w:val="en-US" w:eastAsia="zh-CN"/>
        </w:rPr>
        <w:t>-3</w:t>
      </w:r>
      <w:r>
        <w:rPr>
          <w:color w:val="auto"/>
          <w:sz w:val="24"/>
          <w:highlight w:val="none"/>
        </w:rPr>
        <w:t xml:space="preserve"> </w:t>
      </w:r>
      <w:r>
        <w:rPr>
          <w:rFonts w:hint="eastAsia" w:ascii="宋体" w:hAnsi="宋体" w:eastAsia="宋体" w:cs="宋体"/>
          <w:color w:val="auto"/>
          <w:kern w:val="0"/>
          <w:sz w:val="24"/>
          <w:szCs w:val="24"/>
          <w:highlight w:val="none"/>
          <w:lang w:val="en-US" w:eastAsia="zh-CN" w:bidi="ar"/>
        </w:rPr>
        <w:t>其它落实政府采购政策的资格要求（如有）</w:t>
      </w:r>
    </w:p>
    <w:p w14:paraId="58F0C126">
      <w:pPr>
        <w:spacing w:after="0"/>
        <w:rPr>
          <w:color w:val="auto"/>
          <w:sz w:val="24"/>
          <w:highlight w:val="none"/>
        </w:rPr>
      </w:pPr>
      <w:r>
        <w:rPr>
          <w:color w:val="auto"/>
          <w:sz w:val="24"/>
          <w:highlight w:val="none"/>
        </w:rPr>
        <w:br w:type="page"/>
      </w:r>
    </w:p>
    <w:p w14:paraId="07577F84">
      <w:pPr>
        <w:widowControl/>
        <w:spacing w:after="0"/>
        <w:jc w:val="left"/>
        <w:rPr>
          <w:color w:val="auto"/>
          <w:sz w:val="24"/>
          <w:highlight w:val="none"/>
        </w:rPr>
      </w:pPr>
      <w:r>
        <w:rPr>
          <w:rFonts w:hint="eastAsia"/>
          <w:color w:val="auto"/>
          <w:sz w:val="24"/>
          <w:highlight w:val="none"/>
          <w:lang w:val="en-US" w:eastAsia="zh-CN"/>
        </w:rPr>
        <w:t>3</w:t>
      </w:r>
      <w:r>
        <w:rPr>
          <w:color w:val="auto"/>
          <w:sz w:val="24"/>
          <w:highlight w:val="none"/>
        </w:rPr>
        <w:t>本项目的特定资格要求</w:t>
      </w:r>
    </w:p>
    <w:p w14:paraId="7FBB750B">
      <w:pPr>
        <w:tabs>
          <w:tab w:val="left" w:pos="5580"/>
        </w:tabs>
        <w:spacing w:after="0" w:line="360" w:lineRule="auto"/>
        <w:rPr>
          <w:color w:val="auto"/>
          <w:sz w:val="24"/>
          <w:highlight w:val="none"/>
        </w:rPr>
      </w:pPr>
    </w:p>
    <w:p w14:paraId="77F9E541">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b/>
          <w:color w:val="auto"/>
          <w:sz w:val="24"/>
          <w:highlight w:val="none"/>
        </w:rPr>
        <w:br w:type="page"/>
      </w:r>
      <w:bookmarkStart w:id="802" w:name="_Hlt520271212"/>
      <w:bookmarkEnd w:id="802"/>
      <w:bookmarkStart w:id="803" w:name="_Hlt520274407"/>
      <w:bookmarkEnd w:id="803"/>
      <w:bookmarkStart w:id="804" w:name="_Hlt520355504"/>
      <w:bookmarkEnd w:id="804"/>
      <w:bookmarkStart w:id="805" w:name="_Hlt520274065"/>
      <w:bookmarkEnd w:id="805"/>
      <w:bookmarkStart w:id="806" w:name="_Hlt520274393"/>
      <w:bookmarkEnd w:id="806"/>
      <w:bookmarkStart w:id="807" w:name="_Hlt520343000"/>
      <w:bookmarkEnd w:id="807"/>
      <w:bookmarkStart w:id="808" w:name="_Hlt520343392"/>
      <w:bookmarkEnd w:id="808"/>
      <w:bookmarkStart w:id="809" w:name="_Hlt520273711"/>
      <w:bookmarkEnd w:id="809"/>
      <w:bookmarkStart w:id="810" w:name="_Hlt520274121"/>
      <w:bookmarkEnd w:id="810"/>
      <w:bookmarkStart w:id="811" w:name="_Hlt520350918"/>
      <w:bookmarkEnd w:id="811"/>
      <w:bookmarkStart w:id="812" w:name="_Toc480942349"/>
      <w:bookmarkStart w:id="813" w:name="_Ref467988698"/>
      <w:bookmarkStart w:id="814" w:name="_Toc226309800"/>
      <w:bookmarkStart w:id="815" w:name="_Toc142311058"/>
      <w:bookmarkStart w:id="816" w:name="_Toc150480794"/>
      <w:bookmarkStart w:id="817" w:name="_Toc226965829"/>
      <w:bookmarkStart w:id="818" w:name="_Toc520356217"/>
      <w:bookmarkStart w:id="819" w:name="_Toc226337252"/>
      <w:bookmarkStart w:id="820" w:name="_Toc150774761"/>
      <w:bookmarkStart w:id="821" w:name="_Toc195842921"/>
      <w:bookmarkStart w:id="822" w:name="_Toc226965746"/>
      <w:bookmarkStart w:id="823" w:name="_Toc127151556"/>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bookmarkEnd w:id="812"/>
      <w:bookmarkEnd w:id="813"/>
      <w:r>
        <w:rPr>
          <w:rFonts w:hint="eastAsia" w:ascii="宋体" w:hAnsi="宋体" w:eastAsia="宋体" w:cs="宋体"/>
          <w:color w:val="auto"/>
          <w:kern w:val="0"/>
          <w:sz w:val="24"/>
          <w:szCs w:val="24"/>
          <w:lang w:val="en-US" w:eastAsia="zh-CN" w:bidi="ar"/>
        </w:rPr>
        <w:t>磋商保证金凭证/交款单据复印件、开户许可证或基本账户存款信息</w:t>
      </w:r>
      <w:r>
        <w:rPr>
          <w:rFonts w:hint="eastAsia" w:ascii="宋体" w:hAnsi="宋体" w:cs="宋体"/>
          <w:color w:val="auto"/>
          <w:kern w:val="0"/>
          <w:sz w:val="24"/>
          <w:szCs w:val="24"/>
          <w:lang w:val="en-US" w:eastAsia="zh-CN" w:bidi="ar"/>
        </w:rPr>
        <w:t>复印件</w:t>
      </w:r>
    </w:p>
    <w:p w14:paraId="0DE0A1EC">
      <w:pPr>
        <w:keepNext w:val="0"/>
        <w:keepLines w:val="0"/>
        <w:widowControl/>
        <w:suppressLineNumbers w:val="0"/>
        <w:spacing w:after="0"/>
        <w:jc w:val="left"/>
        <w:rPr>
          <w:color w:val="auto"/>
          <w:sz w:val="24"/>
          <w:highlight w:val="none"/>
        </w:rPr>
      </w:pPr>
    </w:p>
    <w:p w14:paraId="32F9F37E">
      <w:pPr>
        <w:rPr>
          <w:rFonts w:hint="eastAsia"/>
          <w:color w:val="auto"/>
          <w:sz w:val="24"/>
          <w:highlight w:val="none"/>
          <w:lang w:val="en-US" w:eastAsia="zh-CN"/>
        </w:rPr>
      </w:pPr>
      <w:r>
        <w:rPr>
          <w:rFonts w:hint="eastAsia"/>
          <w:color w:val="auto"/>
          <w:sz w:val="24"/>
          <w:highlight w:val="none"/>
          <w:lang w:val="en-US" w:eastAsia="zh-CN"/>
        </w:rPr>
        <w:br w:type="page"/>
      </w:r>
    </w:p>
    <w:p w14:paraId="034F5D11">
      <w:pPr>
        <w:keepNext w:val="0"/>
        <w:keepLines w:val="0"/>
        <w:widowControl/>
        <w:suppressLineNumbers w:val="0"/>
        <w:spacing w:after="0"/>
        <w:jc w:val="left"/>
        <w:rPr>
          <w:color w:val="auto"/>
          <w:highlight w:val="none"/>
        </w:rPr>
      </w:pPr>
      <w:r>
        <w:rPr>
          <w:rFonts w:hint="eastAsia"/>
          <w:color w:val="auto"/>
          <w:sz w:val="24"/>
          <w:highlight w:val="none"/>
          <w:lang w:val="en-US" w:eastAsia="zh-CN"/>
        </w:rPr>
        <w:t xml:space="preserve">5  </w:t>
      </w:r>
      <w:r>
        <w:rPr>
          <w:color w:val="auto"/>
          <w:sz w:val="24"/>
          <w:highlight w:val="none"/>
        </w:rPr>
        <w:t>响应书</w:t>
      </w:r>
      <w:bookmarkEnd w:id="814"/>
      <w:bookmarkEnd w:id="815"/>
      <w:bookmarkEnd w:id="816"/>
      <w:bookmarkEnd w:id="817"/>
      <w:bookmarkEnd w:id="818"/>
      <w:bookmarkEnd w:id="819"/>
      <w:bookmarkEnd w:id="820"/>
      <w:bookmarkEnd w:id="821"/>
      <w:bookmarkEnd w:id="822"/>
      <w:bookmarkEnd w:id="823"/>
      <w:r>
        <w:rPr>
          <w:rFonts w:hint="eastAsia" w:ascii="宋体" w:hAnsi="宋体" w:eastAsia="宋体" w:cs="宋体"/>
          <w:color w:val="auto"/>
          <w:kern w:val="0"/>
          <w:sz w:val="24"/>
          <w:szCs w:val="24"/>
          <w:highlight w:val="none"/>
          <w:lang w:val="en-US" w:eastAsia="zh-CN" w:bidi="ar"/>
        </w:rPr>
        <w:t xml:space="preserve">（实质性格式） </w:t>
      </w:r>
    </w:p>
    <w:p w14:paraId="150DD16D">
      <w:pPr>
        <w:widowControl/>
        <w:spacing w:after="0"/>
        <w:jc w:val="left"/>
        <w:rPr>
          <w:color w:val="auto"/>
          <w:sz w:val="24"/>
          <w:highlight w:val="none"/>
        </w:rPr>
      </w:pPr>
    </w:p>
    <w:p w14:paraId="17175B6E">
      <w:pPr>
        <w:tabs>
          <w:tab w:val="left" w:pos="5580"/>
        </w:tabs>
        <w:spacing w:after="0" w:line="360" w:lineRule="auto"/>
        <w:rPr>
          <w:color w:val="auto"/>
          <w:sz w:val="24"/>
          <w:highlight w:val="none"/>
        </w:rPr>
      </w:pPr>
    </w:p>
    <w:p w14:paraId="5157543A">
      <w:pPr>
        <w:spacing w:after="0" w:line="360" w:lineRule="auto"/>
        <w:jc w:val="center"/>
        <w:rPr>
          <w:b/>
          <w:color w:val="auto"/>
          <w:sz w:val="36"/>
          <w:szCs w:val="36"/>
          <w:highlight w:val="none"/>
        </w:rPr>
      </w:pPr>
      <w:r>
        <w:rPr>
          <w:rFonts w:hint="eastAsia"/>
          <w:b/>
          <w:color w:val="auto"/>
          <w:sz w:val="36"/>
          <w:szCs w:val="36"/>
          <w:highlight w:val="none"/>
        </w:rPr>
        <w:t>响应书</w:t>
      </w:r>
    </w:p>
    <w:p w14:paraId="44D05655">
      <w:pPr>
        <w:tabs>
          <w:tab w:val="left" w:pos="5580"/>
        </w:tabs>
        <w:spacing w:after="0"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23E6F84B">
      <w:pPr>
        <w:tabs>
          <w:tab w:val="left" w:pos="5580"/>
        </w:tabs>
        <w:spacing w:after="0" w:line="360" w:lineRule="auto"/>
        <w:rPr>
          <w:color w:val="auto"/>
          <w:sz w:val="24"/>
          <w:szCs w:val="20"/>
          <w:highlight w:val="none"/>
        </w:rPr>
      </w:pPr>
    </w:p>
    <w:p w14:paraId="77836A74">
      <w:pPr>
        <w:tabs>
          <w:tab w:val="left" w:pos="5580"/>
        </w:tabs>
        <w:spacing w:after="0" w:line="360" w:lineRule="auto"/>
        <w:ind w:firstLine="408"/>
        <w:rPr>
          <w:color w:val="auto"/>
          <w:sz w:val="24"/>
          <w:szCs w:val="20"/>
          <w:highlight w:val="none"/>
        </w:rPr>
      </w:pPr>
      <w:r>
        <w:rPr>
          <w:color w:val="auto"/>
          <w:sz w:val="24"/>
          <w:szCs w:val="20"/>
          <w:highlight w:val="none"/>
        </w:rPr>
        <w:t>我方参加你方就</w:t>
      </w:r>
      <w:r>
        <w:rPr>
          <w:color w:val="auto"/>
          <w:sz w:val="24"/>
          <w:highlight w:val="none"/>
        </w:rPr>
        <w:t>______</w:t>
      </w:r>
      <w:r>
        <w:rPr>
          <w:color w:val="auto"/>
          <w:sz w:val="24"/>
          <w:szCs w:val="20"/>
          <w:highlight w:val="none"/>
        </w:rPr>
        <w:t>（项目名称，项目编号）组织的采购活动，并对此项目进行磋商。</w:t>
      </w:r>
    </w:p>
    <w:p w14:paraId="28A0C57F">
      <w:pPr>
        <w:tabs>
          <w:tab w:val="left" w:pos="5580"/>
        </w:tabs>
        <w:spacing w:after="0"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已详细审查全部竞争性磋商文件</w:t>
      </w:r>
      <w:r>
        <w:rPr>
          <w:color w:val="auto"/>
          <w:sz w:val="24"/>
          <w:szCs w:val="20"/>
          <w:highlight w:val="none"/>
        </w:rPr>
        <w:t>，自愿参与磋商并承诺如下：</w:t>
      </w:r>
    </w:p>
    <w:p w14:paraId="0215430B">
      <w:pPr>
        <w:tabs>
          <w:tab w:val="left" w:pos="720"/>
          <w:tab w:val="left" w:pos="900"/>
        </w:tabs>
        <w:spacing w:after="0" w:line="360" w:lineRule="auto"/>
        <w:ind w:left="360" w:firstLine="72" w:firstLineChars="30"/>
        <w:rPr>
          <w:color w:val="auto"/>
          <w:sz w:val="24"/>
          <w:szCs w:val="20"/>
          <w:highlight w:val="none"/>
        </w:rPr>
      </w:pPr>
      <w:r>
        <w:rPr>
          <w:color w:val="auto"/>
          <w:sz w:val="24"/>
          <w:szCs w:val="20"/>
          <w:highlight w:val="none"/>
        </w:rPr>
        <w:t>（1）本响应有效期为自提交响应文件的截止之日起</w:t>
      </w:r>
      <w:r>
        <w:rPr>
          <w:color w:val="auto"/>
          <w:sz w:val="24"/>
          <w:highlight w:val="none"/>
        </w:rPr>
        <w:t>______</w:t>
      </w:r>
      <w:r>
        <w:rPr>
          <w:color w:val="auto"/>
          <w:sz w:val="24"/>
          <w:szCs w:val="20"/>
          <w:highlight w:val="none"/>
        </w:rPr>
        <w:t>个日历日。</w:t>
      </w:r>
    </w:p>
    <w:p w14:paraId="1DFB5344">
      <w:pPr>
        <w:tabs>
          <w:tab w:val="left" w:pos="720"/>
          <w:tab w:val="left" w:pos="900"/>
        </w:tabs>
        <w:spacing w:after="0"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（2）除合同条款及采购需求偏离表列出的偏离外，我方响应竞争性磋商文件的全部要求。</w:t>
      </w:r>
    </w:p>
    <w:p w14:paraId="4E709A50">
      <w:pPr>
        <w:tabs>
          <w:tab w:val="left" w:pos="5580"/>
        </w:tabs>
        <w:spacing w:after="0"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40DFED37">
      <w:pPr>
        <w:tabs>
          <w:tab w:val="left" w:pos="5580"/>
        </w:tabs>
        <w:spacing w:after="0" w:line="360" w:lineRule="auto"/>
        <w:ind w:firstLine="420" w:firstLineChars="175"/>
        <w:rPr>
          <w:color w:val="auto"/>
          <w:sz w:val="24"/>
          <w:highlight w:val="none"/>
        </w:rPr>
      </w:pPr>
      <w:r>
        <w:rPr>
          <w:color w:val="auto"/>
          <w:sz w:val="24"/>
          <w:szCs w:val="20"/>
          <w:highlight w:val="none"/>
        </w:rPr>
        <w:t>（4）如我方成交，我方将在法律规定的期限内与你方签订合同，按照竞争性磋商文件要求提交履约保证金，并在合同约定的期限内完成合同规定的全部义务。</w:t>
      </w:r>
    </w:p>
    <w:p w14:paraId="5D7B542E">
      <w:pPr>
        <w:spacing w:after="0" w:line="360" w:lineRule="auto"/>
        <w:ind w:left="420"/>
        <w:rPr>
          <w:color w:val="auto"/>
          <w:sz w:val="24"/>
          <w:highlight w:val="none"/>
        </w:rPr>
      </w:pPr>
      <w:r>
        <w:rPr>
          <w:color w:val="auto"/>
          <w:sz w:val="24"/>
          <w:highlight w:val="none"/>
        </w:rPr>
        <w:t>2. 其他补充条款（如有）：______。</w:t>
      </w:r>
    </w:p>
    <w:p w14:paraId="06E3F109">
      <w:pPr>
        <w:spacing w:after="0" w:line="360" w:lineRule="auto"/>
        <w:ind w:firstLine="480" w:firstLineChars="200"/>
        <w:rPr>
          <w:color w:val="auto"/>
          <w:sz w:val="24"/>
          <w:highlight w:val="none"/>
        </w:rPr>
      </w:pPr>
      <w:r>
        <w:rPr>
          <w:color w:val="auto"/>
          <w:sz w:val="24"/>
          <w:highlight w:val="none"/>
        </w:rPr>
        <w:t>与本磋商有关的一切正式往来信函请寄：</w:t>
      </w:r>
    </w:p>
    <w:p w14:paraId="25D54A70">
      <w:pPr>
        <w:tabs>
          <w:tab w:val="left" w:pos="5580"/>
        </w:tabs>
        <w:spacing w:after="0" w:line="360" w:lineRule="auto"/>
        <w:ind w:left="420"/>
        <w:rPr>
          <w:color w:val="auto"/>
          <w:sz w:val="24"/>
          <w:szCs w:val="20"/>
          <w:highlight w:val="none"/>
        </w:rPr>
      </w:pPr>
    </w:p>
    <w:p w14:paraId="735E2BC2">
      <w:pPr>
        <w:tabs>
          <w:tab w:val="left" w:pos="5580"/>
        </w:tabs>
        <w:spacing w:after="0" w:line="360" w:lineRule="auto"/>
        <w:ind w:left="420"/>
        <w:rPr>
          <w:color w:val="auto"/>
          <w:sz w:val="24"/>
          <w:szCs w:val="20"/>
          <w:highlight w:val="none"/>
        </w:rPr>
      </w:pPr>
      <w:r>
        <w:rPr>
          <w:color w:val="auto"/>
          <w:sz w:val="24"/>
          <w:szCs w:val="20"/>
          <w:highlight w:val="none"/>
        </w:rPr>
        <w:t>地址</w:t>
      </w:r>
      <w:r>
        <w:rPr>
          <w:bCs/>
          <w:color w:val="auto"/>
          <w:sz w:val="24"/>
          <w:highlight w:val="none"/>
        </w:rPr>
        <w:t>_________________________</w:t>
      </w:r>
      <w:r>
        <w:rPr>
          <w:color w:val="auto"/>
          <w:sz w:val="24"/>
          <w:szCs w:val="20"/>
          <w:highlight w:val="none"/>
        </w:rPr>
        <w:t xml:space="preserve">      传   真</w:t>
      </w:r>
      <w:r>
        <w:rPr>
          <w:bCs/>
          <w:color w:val="auto"/>
          <w:sz w:val="24"/>
          <w:highlight w:val="none"/>
        </w:rPr>
        <w:t>_________________________</w:t>
      </w:r>
    </w:p>
    <w:p w14:paraId="485ED189">
      <w:pPr>
        <w:tabs>
          <w:tab w:val="left" w:pos="5580"/>
        </w:tabs>
        <w:spacing w:after="0" w:line="360" w:lineRule="auto"/>
        <w:ind w:left="420"/>
        <w:rPr>
          <w:color w:val="auto"/>
          <w:sz w:val="24"/>
          <w:szCs w:val="20"/>
          <w:highlight w:val="none"/>
        </w:rPr>
      </w:pPr>
      <w:r>
        <w:rPr>
          <w:color w:val="auto"/>
          <w:sz w:val="24"/>
          <w:szCs w:val="20"/>
          <w:highlight w:val="none"/>
        </w:rPr>
        <w:t>电话</w:t>
      </w:r>
      <w:r>
        <w:rPr>
          <w:bCs/>
          <w:color w:val="auto"/>
          <w:sz w:val="24"/>
          <w:highlight w:val="none"/>
        </w:rPr>
        <w:t>_________________________</w:t>
      </w:r>
      <w:r>
        <w:rPr>
          <w:color w:val="auto"/>
          <w:sz w:val="24"/>
          <w:szCs w:val="20"/>
          <w:highlight w:val="none"/>
        </w:rPr>
        <w:t xml:space="preserve">      电子函件</w:t>
      </w:r>
      <w:r>
        <w:rPr>
          <w:bCs/>
          <w:color w:val="auto"/>
          <w:sz w:val="24"/>
          <w:highlight w:val="none"/>
        </w:rPr>
        <w:t>_________________________</w:t>
      </w:r>
    </w:p>
    <w:p w14:paraId="368036CE">
      <w:pPr>
        <w:tabs>
          <w:tab w:val="left" w:pos="5580"/>
        </w:tabs>
        <w:spacing w:after="0" w:line="360" w:lineRule="auto"/>
        <w:ind w:left="420"/>
        <w:rPr>
          <w:color w:val="auto"/>
          <w:sz w:val="24"/>
          <w:szCs w:val="20"/>
          <w:highlight w:val="none"/>
        </w:rPr>
      </w:pPr>
    </w:p>
    <w:p w14:paraId="022992A9">
      <w:pPr>
        <w:tabs>
          <w:tab w:val="left" w:pos="5580"/>
        </w:tabs>
        <w:spacing w:after="0" w:line="360" w:lineRule="auto"/>
        <w:ind w:left="420"/>
        <w:rPr>
          <w:color w:val="auto"/>
          <w:sz w:val="24"/>
          <w:szCs w:val="20"/>
          <w:highlight w:val="none"/>
        </w:rPr>
      </w:pPr>
    </w:p>
    <w:p w14:paraId="7995A5AA">
      <w:pPr>
        <w:tabs>
          <w:tab w:val="left" w:pos="5580"/>
        </w:tabs>
        <w:spacing w:after="0" w:line="360" w:lineRule="auto"/>
        <w:ind w:left="420"/>
        <w:rPr>
          <w:color w:val="auto"/>
          <w:sz w:val="24"/>
          <w:szCs w:val="20"/>
          <w:highlight w:val="none"/>
        </w:rPr>
      </w:pPr>
    </w:p>
    <w:p w14:paraId="14147FA1">
      <w:pPr>
        <w:autoSpaceDE w:val="0"/>
        <w:autoSpaceDN w:val="0"/>
        <w:adjustRightInd w:val="0"/>
        <w:snapToGrid w:val="0"/>
        <w:spacing w:before="25" w:after="0" w:line="360" w:lineRule="auto"/>
        <w:ind w:right="360" w:firstLine="360" w:firstLineChars="150"/>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1C342C7A">
      <w:pPr>
        <w:tabs>
          <w:tab w:val="left" w:pos="5580"/>
        </w:tabs>
        <w:spacing w:after="0" w:line="360" w:lineRule="auto"/>
        <w:ind w:firstLine="360" w:firstLineChars="150"/>
        <w:rPr>
          <w:color w:val="auto"/>
          <w:sz w:val="24"/>
          <w:szCs w:val="20"/>
          <w:highlight w:val="none"/>
        </w:rPr>
      </w:pPr>
      <w:r>
        <w:rPr>
          <w:color w:val="auto"/>
          <w:sz w:val="24"/>
          <w:szCs w:val="20"/>
          <w:highlight w:val="none"/>
        </w:rPr>
        <w:t xml:space="preserve">日期：____年____月____日  </w:t>
      </w:r>
    </w:p>
    <w:p w14:paraId="3AEBC296">
      <w:pPr>
        <w:tabs>
          <w:tab w:val="left" w:pos="5580"/>
        </w:tabs>
        <w:spacing w:after="0" w:line="360" w:lineRule="auto"/>
        <w:ind w:left="420"/>
        <w:jc w:val="left"/>
        <w:rPr>
          <w:color w:val="auto"/>
          <w:sz w:val="24"/>
          <w:szCs w:val="20"/>
          <w:highlight w:val="none"/>
        </w:rPr>
      </w:pPr>
    </w:p>
    <w:p w14:paraId="7F8298B8">
      <w:pPr>
        <w:keepNext w:val="0"/>
        <w:keepLines w:val="0"/>
        <w:widowControl/>
        <w:suppressLineNumbers w:val="0"/>
        <w:spacing w:after="0"/>
        <w:jc w:val="left"/>
        <w:rPr>
          <w:color w:val="auto"/>
          <w:highlight w:val="none"/>
        </w:rPr>
      </w:pPr>
      <w:r>
        <w:rPr>
          <w:b/>
          <w:color w:val="auto"/>
          <w:sz w:val="24"/>
          <w:szCs w:val="20"/>
          <w:highlight w:val="none"/>
        </w:rPr>
        <w:br w:type="page"/>
      </w:r>
      <w:bookmarkStart w:id="824" w:name="_Hlt520355938"/>
      <w:bookmarkEnd w:id="824"/>
      <w:bookmarkStart w:id="825" w:name="_Hlt520356243"/>
      <w:bookmarkEnd w:id="825"/>
      <w:bookmarkStart w:id="826" w:name="_Toc226309801"/>
      <w:bookmarkStart w:id="827" w:name="_Toc142311059"/>
      <w:bookmarkStart w:id="828" w:name="_Toc226965747"/>
      <w:bookmarkStart w:id="829" w:name="_Toc150480795"/>
      <w:bookmarkStart w:id="830" w:name="_Ref467988705"/>
      <w:bookmarkStart w:id="831" w:name="_Toc305158825"/>
      <w:bookmarkStart w:id="832" w:name="_Toc195842922"/>
      <w:bookmarkStart w:id="833" w:name="_Toc305158899"/>
      <w:bookmarkStart w:id="834" w:name="_Toc264969247"/>
      <w:bookmarkStart w:id="835" w:name="_Toc265228395"/>
      <w:bookmarkStart w:id="836" w:name="_Toc150774762"/>
      <w:bookmarkStart w:id="837" w:name="_Toc127151557"/>
      <w:bookmarkStart w:id="838" w:name="_Toc480942350"/>
      <w:bookmarkStart w:id="839" w:name="_Toc226965830"/>
      <w:bookmarkStart w:id="840" w:name="_Toc226337253"/>
      <w:bookmarkStart w:id="841" w:name="_Toc520356218"/>
      <w:r>
        <w:rPr>
          <w:rFonts w:hint="eastAsia"/>
          <w:color w:val="auto"/>
          <w:sz w:val="24"/>
          <w:highlight w:val="none"/>
          <w:lang w:val="en-US" w:eastAsia="zh-CN"/>
        </w:rPr>
        <w:t>6</w:t>
      </w:r>
      <w:r>
        <w:rPr>
          <w:color w:val="auto"/>
          <w:sz w:val="24"/>
          <w:highlight w:val="none"/>
        </w:rPr>
        <w:t xml:space="preserve">  授权委托书</w:t>
      </w:r>
      <w:r>
        <w:rPr>
          <w:rFonts w:hint="eastAsia" w:ascii="宋体" w:hAnsi="宋体" w:eastAsia="宋体" w:cs="宋体"/>
          <w:color w:val="auto"/>
          <w:kern w:val="0"/>
          <w:sz w:val="24"/>
          <w:szCs w:val="24"/>
          <w:highlight w:val="none"/>
          <w:lang w:val="en-US" w:eastAsia="zh-CN" w:bidi="ar"/>
        </w:rPr>
        <w:t xml:space="preserve">（实质性格式） </w:t>
      </w:r>
    </w:p>
    <w:p w14:paraId="33266B58">
      <w:pPr>
        <w:widowControl/>
        <w:spacing w:after="0"/>
        <w:jc w:val="left"/>
        <w:rPr>
          <w:color w:val="auto"/>
          <w:sz w:val="24"/>
          <w:highlight w:val="none"/>
        </w:rPr>
      </w:pPr>
    </w:p>
    <w:p w14:paraId="669E1EC3">
      <w:pPr>
        <w:autoSpaceDE w:val="0"/>
        <w:autoSpaceDN w:val="0"/>
        <w:adjustRightInd w:val="0"/>
        <w:spacing w:after="0" w:line="360" w:lineRule="auto"/>
        <w:jc w:val="center"/>
        <w:rPr>
          <w:b/>
          <w:color w:val="auto"/>
          <w:sz w:val="36"/>
          <w:szCs w:val="36"/>
          <w:highlight w:val="none"/>
        </w:rPr>
      </w:pPr>
      <w:r>
        <w:rPr>
          <w:rFonts w:hint="eastAsia"/>
          <w:b/>
          <w:color w:val="auto"/>
          <w:sz w:val="36"/>
          <w:szCs w:val="36"/>
          <w:highlight w:val="none"/>
        </w:rPr>
        <w:t>授权委托书</w:t>
      </w:r>
    </w:p>
    <w:p w14:paraId="4D97CC48">
      <w:pPr>
        <w:spacing w:after="0" w:line="360" w:lineRule="auto"/>
        <w:ind w:firstLine="420"/>
        <w:rPr>
          <w:color w:val="auto"/>
          <w:sz w:val="24"/>
          <w:szCs w:val="20"/>
          <w:highlight w:val="none"/>
        </w:rPr>
      </w:pPr>
      <w:r>
        <w:rPr>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F0789B8">
      <w:pPr>
        <w:spacing w:after="0" w:line="360" w:lineRule="auto"/>
        <w:ind w:firstLine="420"/>
        <w:rPr>
          <w:color w:val="auto"/>
          <w:sz w:val="24"/>
          <w:szCs w:val="20"/>
          <w:highlight w:val="none"/>
        </w:rPr>
      </w:pPr>
      <w:r>
        <w:rPr>
          <w:color w:val="auto"/>
          <w:sz w:val="24"/>
          <w:szCs w:val="20"/>
          <w:highlight w:val="none"/>
        </w:rPr>
        <w:t>委托期限：自本授权委托书签署之日起至响应有效期届满之日止。</w:t>
      </w:r>
    </w:p>
    <w:p w14:paraId="45050EDE">
      <w:pPr>
        <w:spacing w:after="0" w:line="360" w:lineRule="auto"/>
        <w:ind w:firstLine="420"/>
        <w:rPr>
          <w:color w:val="auto"/>
          <w:sz w:val="24"/>
          <w:szCs w:val="20"/>
          <w:highlight w:val="none"/>
        </w:rPr>
      </w:pPr>
      <w:r>
        <w:rPr>
          <w:color w:val="auto"/>
          <w:sz w:val="24"/>
          <w:szCs w:val="20"/>
          <w:highlight w:val="none"/>
        </w:rPr>
        <w:t>代理人无转委托权。</w:t>
      </w:r>
    </w:p>
    <w:p w14:paraId="26BDD196">
      <w:pPr>
        <w:spacing w:after="0"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szCs w:val="20"/>
          <w:highlight w:val="none"/>
        </w:rPr>
        <w:t>______________</w:t>
      </w:r>
    </w:p>
    <w:p w14:paraId="5B4AA306">
      <w:pPr>
        <w:spacing w:after="0" w:line="360" w:lineRule="auto"/>
        <w:rPr>
          <w:color w:val="auto"/>
          <w:sz w:val="24"/>
          <w:szCs w:val="20"/>
          <w:highlight w:val="none"/>
        </w:rPr>
      </w:pPr>
      <w:r>
        <w:rPr>
          <w:color w:val="auto"/>
          <w:sz w:val="24"/>
          <w:szCs w:val="20"/>
          <w:highlight w:val="none"/>
        </w:rPr>
        <w:t>法定代表人（单位负责人）（签字</w:t>
      </w:r>
      <w:r>
        <w:rPr>
          <w:rFonts w:hint="eastAsia" w:ascii="宋体" w:hAnsi="宋体"/>
          <w:color w:val="auto"/>
          <w:sz w:val="24"/>
          <w:szCs w:val="20"/>
          <w:highlight w:val="none"/>
          <w:lang w:val="en-US" w:eastAsia="zh-CN"/>
        </w:rPr>
        <w:t>或盖章</w:t>
      </w:r>
      <w:r>
        <w:rPr>
          <w:color w:val="auto"/>
          <w:sz w:val="24"/>
          <w:szCs w:val="20"/>
          <w:highlight w:val="none"/>
        </w:rPr>
        <w:t>）：______________</w:t>
      </w:r>
    </w:p>
    <w:p w14:paraId="654B0A8B">
      <w:pPr>
        <w:autoSpaceDE w:val="0"/>
        <w:autoSpaceDN w:val="0"/>
        <w:adjustRightInd w:val="0"/>
        <w:snapToGrid w:val="0"/>
        <w:spacing w:after="0" w:line="360" w:lineRule="auto"/>
        <w:rPr>
          <w:color w:val="auto"/>
          <w:sz w:val="24"/>
          <w:highlight w:val="none"/>
          <w:lang w:val="zh-CN"/>
        </w:rPr>
      </w:pPr>
      <w:r>
        <w:rPr>
          <w:color w:val="auto"/>
          <w:sz w:val="24"/>
          <w:highlight w:val="none"/>
        </w:rPr>
        <w:t>委托代理人（</w:t>
      </w:r>
      <w:r>
        <w:rPr>
          <w:color w:val="auto"/>
          <w:sz w:val="24"/>
          <w:szCs w:val="20"/>
          <w:highlight w:val="none"/>
        </w:rPr>
        <w:t>签字</w:t>
      </w:r>
      <w:r>
        <w:rPr>
          <w:rFonts w:hint="eastAsia" w:ascii="宋体" w:hAnsi="宋体"/>
          <w:color w:val="auto"/>
          <w:sz w:val="24"/>
          <w:szCs w:val="20"/>
          <w:highlight w:val="none"/>
          <w:lang w:val="en-US" w:eastAsia="zh-CN"/>
        </w:rPr>
        <w:t>或盖章</w:t>
      </w:r>
      <w:r>
        <w:rPr>
          <w:color w:val="auto"/>
          <w:sz w:val="24"/>
          <w:highlight w:val="none"/>
        </w:rPr>
        <w:t>）：</w:t>
      </w:r>
      <w:r>
        <w:rPr>
          <w:color w:val="auto"/>
          <w:sz w:val="24"/>
          <w:szCs w:val="20"/>
          <w:highlight w:val="none"/>
        </w:rPr>
        <w:t>______________</w:t>
      </w:r>
      <w:r>
        <w:rPr>
          <w:color w:val="auto"/>
          <w:sz w:val="24"/>
          <w:highlight w:val="none"/>
          <w:lang w:val="zh-CN"/>
        </w:rPr>
        <w:t xml:space="preserve">        </w:t>
      </w:r>
    </w:p>
    <w:p w14:paraId="0F8D74BE">
      <w:pPr>
        <w:autoSpaceDE w:val="0"/>
        <w:autoSpaceDN w:val="0"/>
        <w:adjustRightInd w:val="0"/>
        <w:snapToGrid w:val="0"/>
        <w:spacing w:after="0" w:line="360" w:lineRule="auto"/>
        <w:rPr>
          <w:color w:val="auto"/>
          <w:sz w:val="24"/>
          <w:highlight w:val="none"/>
          <w:lang w:val="zh-CN"/>
        </w:rPr>
      </w:pPr>
      <w:r>
        <w:rPr>
          <w:color w:val="auto"/>
          <w:sz w:val="24"/>
          <w:highlight w:val="none"/>
        </w:rPr>
        <w:t>日期：</w:t>
      </w:r>
      <w:r>
        <w:rPr>
          <w:color w:val="auto"/>
          <w:sz w:val="24"/>
          <w:szCs w:val="20"/>
          <w:highlight w:val="none"/>
        </w:rPr>
        <w:t>____</w:t>
      </w:r>
      <w:r>
        <w:rPr>
          <w:color w:val="auto"/>
          <w:sz w:val="24"/>
          <w:highlight w:val="none"/>
        </w:rPr>
        <w:t>年</w:t>
      </w:r>
      <w:r>
        <w:rPr>
          <w:color w:val="auto"/>
          <w:sz w:val="24"/>
          <w:szCs w:val="20"/>
          <w:highlight w:val="none"/>
        </w:rPr>
        <w:t>____</w:t>
      </w:r>
      <w:r>
        <w:rPr>
          <w:color w:val="auto"/>
          <w:sz w:val="24"/>
          <w:highlight w:val="none"/>
        </w:rPr>
        <w:t>月</w:t>
      </w:r>
      <w:r>
        <w:rPr>
          <w:color w:val="auto"/>
          <w:sz w:val="24"/>
          <w:szCs w:val="20"/>
          <w:highlight w:val="none"/>
        </w:rPr>
        <w:t>____</w:t>
      </w:r>
      <w:r>
        <w:rPr>
          <w:color w:val="auto"/>
          <w:sz w:val="24"/>
          <w:highlight w:val="none"/>
        </w:rPr>
        <w:t>日</w:t>
      </w:r>
    </w:p>
    <w:p w14:paraId="697FB686">
      <w:pPr>
        <w:tabs>
          <w:tab w:val="left" w:pos="5580"/>
        </w:tabs>
        <w:spacing w:after="0" w:line="360" w:lineRule="auto"/>
        <w:ind w:firstLine="480" w:firstLineChars="200"/>
        <w:rPr>
          <w:color w:val="auto"/>
          <w:sz w:val="24"/>
          <w:szCs w:val="20"/>
          <w:highlight w:val="none"/>
        </w:rPr>
      </w:pPr>
    </w:p>
    <w:p w14:paraId="463C77EB">
      <w:pPr>
        <w:tabs>
          <w:tab w:val="left" w:pos="5580"/>
        </w:tabs>
        <w:spacing w:after="0" w:line="360" w:lineRule="auto"/>
        <w:jc w:val="left"/>
        <w:rPr>
          <w:color w:val="auto"/>
          <w:sz w:val="24"/>
          <w:szCs w:val="20"/>
          <w:highlight w:val="none"/>
        </w:rPr>
      </w:pPr>
      <w:r>
        <w:rPr>
          <w:rFonts w:hint="eastAsia"/>
          <w:color w:val="auto"/>
          <w:sz w:val="24"/>
          <w:szCs w:val="20"/>
          <w:highlight w:val="none"/>
          <w:lang w:val="en-US" w:eastAsia="zh-CN"/>
        </w:rPr>
        <w:t>附：</w:t>
      </w:r>
      <w:r>
        <w:rPr>
          <w:color w:val="auto"/>
          <w:sz w:val="24"/>
          <w:szCs w:val="20"/>
          <w:highlight w:val="none"/>
        </w:rPr>
        <w:t>法定代表人（单位负责人）</w:t>
      </w:r>
      <w:r>
        <w:rPr>
          <w:rFonts w:hint="eastAsia"/>
          <w:color w:val="auto"/>
          <w:sz w:val="24"/>
          <w:szCs w:val="20"/>
          <w:highlight w:val="none"/>
          <w:lang w:val="en-US" w:eastAsia="zh-CN"/>
        </w:rPr>
        <w:t>及委托代理人身份证明文件</w:t>
      </w:r>
      <w:r>
        <w:rPr>
          <w:rFonts w:hint="eastAsia"/>
          <w:b w:val="0"/>
          <w:bCs/>
          <w:color w:val="auto"/>
          <w:sz w:val="24"/>
          <w:szCs w:val="20"/>
          <w:highlight w:val="none"/>
          <w:lang w:val="en-US" w:eastAsia="zh-CN"/>
        </w:rPr>
        <w:t>复印件</w:t>
      </w:r>
      <w:r>
        <w:rPr>
          <w:color w:val="auto"/>
          <w:sz w:val="24"/>
          <w:szCs w:val="20"/>
          <w:highlight w:val="none"/>
        </w:rPr>
        <w:t>：</w:t>
      </w:r>
    </w:p>
    <w:p w14:paraId="37FFADEE">
      <w:pPr>
        <w:tabs>
          <w:tab w:val="left" w:pos="5580"/>
        </w:tabs>
        <w:spacing w:after="0" w:line="360" w:lineRule="auto"/>
        <w:jc w:val="left"/>
        <w:rPr>
          <w:color w:val="auto"/>
          <w:sz w:val="24"/>
          <w:szCs w:val="20"/>
          <w:highlight w:val="none"/>
        </w:rPr>
      </w:pPr>
    </w:p>
    <w:p w14:paraId="70B26D95">
      <w:pPr>
        <w:tabs>
          <w:tab w:val="left" w:pos="5580"/>
        </w:tabs>
        <w:spacing w:after="0" w:line="360" w:lineRule="auto"/>
        <w:jc w:val="left"/>
        <w:rPr>
          <w:color w:val="auto"/>
          <w:sz w:val="24"/>
          <w:szCs w:val="20"/>
          <w:highlight w:val="none"/>
        </w:rPr>
      </w:pPr>
    </w:p>
    <w:p w14:paraId="698E15B1">
      <w:pPr>
        <w:tabs>
          <w:tab w:val="left" w:pos="5580"/>
        </w:tabs>
        <w:spacing w:after="0" w:line="360" w:lineRule="auto"/>
        <w:jc w:val="left"/>
        <w:rPr>
          <w:color w:val="auto"/>
          <w:sz w:val="24"/>
          <w:szCs w:val="20"/>
          <w:highlight w:val="none"/>
        </w:rPr>
      </w:pPr>
    </w:p>
    <w:p w14:paraId="01B68A79">
      <w:pPr>
        <w:tabs>
          <w:tab w:val="left" w:pos="5580"/>
        </w:tabs>
        <w:spacing w:after="0" w:line="360" w:lineRule="auto"/>
        <w:jc w:val="left"/>
        <w:rPr>
          <w:color w:val="auto"/>
          <w:sz w:val="24"/>
          <w:szCs w:val="20"/>
          <w:highlight w:val="none"/>
        </w:rPr>
      </w:pPr>
    </w:p>
    <w:p w14:paraId="0DE7707E">
      <w:pPr>
        <w:tabs>
          <w:tab w:val="left" w:pos="5580"/>
        </w:tabs>
        <w:spacing w:after="0" w:line="360" w:lineRule="auto"/>
        <w:jc w:val="left"/>
        <w:rPr>
          <w:color w:val="auto"/>
          <w:sz w:val="24"/>
          <w:szCs w:val="20"/>
          <w:highlight w:val="none"/>
        </w:rPr>
      </w:pPr>
    </w:p>
    <w:p w14:paraId="5F147452">
      <w:pPr>
        <w:tabs>
          <w:tab w:val="left" w:pos="5580"/>
        </w:tabs>
        <w:spacing w:after="0" w:line="360" w:lineRule="auto"/>
        <w:jc w:val="left"/>
        <w:rPr>
          <w:color w:val="auto"/>
          <w:sz w:val="24"/>
          <w:szCs w:val="20"/>
          <w:highlight w:val="none"/>
        </w:rPr>
      </w:pPr>
    </w:p>
    <w:p w14:paraId="599EE69B">
      <w:pPr>
        <w:tabs>
          <w:tab w:val="left" w:pos="5580"/>
        </w:tabs>
        <w:spacing w:after="0" w:line="360" w:lineRule="auto"/>
        <w:jc w:val="left"/>
        <w:rPr>
          <w:color w:val="auto"/>
          <w:sz w:val="24"/>
          <w:szCs w:val="20"/>
          <w:highlight w:val="none"/>
        </w:rPr>
      </w:pPr>
      <w:r>
        <w:rPr>
          <w:color w:val="auto"/>
          <w:sz w:val="24"/>
          <w:szCs w:val="20"/>
          <w:highlight w:val="none"/>
        </w:rPr>
        <w:t>说明：</w:t>
      </w:r>
    </w:p>
    <w:p w14:paraId="4F44802F">
      <w:pPr>
        <w:tabs>
          <w:tab w:val="left" w:pos="5580"/>
        </w:tabs>
        <w:spacing w:after="0" w:line="360" w:lineRule="auto"/>
        <w:jc w:val="left"/>
        <w:rPr>
          <w:color w:val="auto"/>
          <w:sz w:val="24"/>
          <w:szCs w:val="20"/>
          <w:highlight w:val="none"/>
        </w:rPr>
      </w:pPr>
      <w:r>
        <w:rPr>
          <w:color w:val="auto"/>
          <w:sz w:val="24"/>
          <w:szCs w:val="20"/>
          <w:highlight w:val="none"/>
        </w:rPr>
        <w:t>1.若供应商为事业单位或其他组织或分支机构（仅当磋商文件注明允许分支机构响应的），则法定代表人（单位负责人）处的签署人可为单位负责人。</w:t>
      </w:r>
    </w:p>
    <w:p w14:paraId="32EF5C7F">
      <w:pPr>
        <w:tabs>
          <w:tab w:val="left" w:pos="5580"/>
        </w:tabs>
        <w:spacing w:after="0"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2.若响应文件中签字之处均为法定代表人（单位负责人）本人签署，则可不提供本《授权委托书》，但须提供《法定代表人（单位负责人）身份证明》（实质性格式）。</w:t>
      </w:r>
    </w:p>
    <w:p w14:paraId="5C000515">
      <w:pPr>
        <w:tabs>
          <w:tab w:val="left" w:pos="5580"/>
        </w:tabs>
        <w:spacing w:after="0" w:line="360" w:lineRule="auto"/>
        <w:jc w:val="left"/>
        <w:rPr>
          <w:color w:val="auto"/>
          <w:sz w:val="24"/>
          <w:szCs w:val="20"/>
          <w:highlight w:val="none"/>
        </w:rPr>
      </w:pPr>
      <w:r>
        <w:rPr>
          <w:color w:val="auto"/>
          <w:sz w:val="24"/>
          <w:szCs w:val="20"/>
          <w:highlight w:val="none"/>
        </w:rPr>
        <w:t>3.供应商为自然人的情形，可不提供本《授权委托书》。</w:t>
      </w:r>
    </w:p>
    <w:p w14:paraId="25B078F3">
      <w:pPr>
        <w:tabs>
          <w:tab w:val="left" w:pos="5580"/>
        </w:tabs>
        <w:spacing w:after="0" w:line="360" w:lineRule="auto"/>
        <w:jc w:val="left"/>
        <w:rPr>
          <w:rFonts w:hint="eastAsia"/>
          <w:color w:val="auto"/>
          <w:sz w:val="24"/>
          <w:szCs w:val="20"/>
          <w:highlight w:val="none"/>
        </w:rPr>
      </w:pPr>
      <w:r>
        <w:rPr>
          <w:rFonts w:hint="eastAsia"/>
          <w:color w:val="auto"/>
          <w:sz w:val="24"/>
          <w:szCs w:val="20"/>
          <w:highlight w:val="none"/>
        </w:rPr>
        <w:t>4.供应商应随本《授权委托书》同时</w:t>
      </w:r>
      <w:r>
        <w:rPr>
          <w:rFonts w:hint="eastAsia"/>
          <w:color w:val="auto"/>
          <w:sz w:val="24"/>
          <w:szCs w:val="20"/>
          <w:highlight w:val="none"/>
          <w:lang w:val="en-US" w:eastAsia="zh-CN"/>
        </w:rPr>
        <w:t>提</w:t>
      </w:r>
      <w:r>
        <w:rPr>
          <w:rFonts w:hint="eastAsia"/>
          <w:color w:val="auto"/>
          <w:sz w:val="24"/>
          <w:szCs w:val="20"/>
          <w:highlight w:val="none"/>
        </w:rPr>
        <w:t>供法定代表人（单位负责人）及委托代理人的有</w:t>
      </w:r>
    </w:p>
    <w:p w14:paraId="56C9816C">
      <w:pPr>
        <w:tabs>
          <w:tab w:val="left" w:pos="5580"/>
        </w:tabs>
        <w:spacing w:after="0" w:line="360" w:lineRule="auto"/>
        <w:jc w:val="left"/>
        <w:rPr>
          <w:color w:val="auto"/>
          <w:sz w:val="24"/>
          <w:szCs w:val="20"/>
          <w:highlight w:val="none"/>
        </w:rPr>
      </w:pPr>
      <w:r>
        <w:rPr>
          <w:rFonts w:hint="eastAsia"/>
          <w:color w:val="auto"/>
          <w:sz w:val="24"/>
          <w:szCs w:val="20"/>
          <w:highlight w:val="none"/>
        </w:rPr>
        <w:t>效的身份证、护照等身份证明文件</w:t>
      </w:r>
      <w:r>
        <w:rPr>
          <w:rFonts w:hint="eastAsia"/>
          <w:color w:val="auto"/>
          <w:sz w:val="24"/>
          <w:szCs w:val="20"/>
          <w:highlight w:val="none"/>
          <w:lang w:val="en-US" w:eastAsia="zh-CN"/>
        </w:rPr>
        <w:t>复印件</w:t>
      </w:r>
      <w:r>
        <w:rPr>
          <w:rFonts w:hint="eastAsia"/>
          <w:color w:val="auto"/>
          <w:sz w:val="24"/>
          <w:szCs w:val="20"/>
          <w:highlight w:val="none"/>
        </w:rPr>
        <w:t>。</w:t>
      </w:r>
      <w:r>
        <w:rPr>
          <w:rFonts w:hint="eastAsia"/>
          <w:color w:val="auto"/>
          <w:sz w:val="24"/>
          <w:szCs w:val="20"/>
          <w:highlight w:val="none"/>
          <w:lang w:val="en-US" w:eastAsia="zh-CN"/>
        </w:rPr>
        <w:t>提</w:t>
      </w:r>
      <w:r>
        <w:rPr>
          <w:rFonts w:hint="eastAsia"/>
          <w:color w:val="auto"/>
          <w:sz w:val="24"/>
          <w:szCs w:val="20"/>
          <w:highlight w:val="none"/>
        </w:rPr>
        <w:t>供身份证的，应同时</w:t>
      </w:r>
      <w:r>
        <w:rPr>
          <w:rFonts w:hint="eastAsia"/>
          <w:color w:val="auto"/>
          <w:sz w:val="24"/>
          <w:szCs w:val="20"/>
          <w:highlight w:val="none"/>
          <w:lang w:val="en-US" w:eastAsia="zh-CN"/>
        </w:rPr>
        <w:t>提</w:t>
      </w:r>
      <w:r>
        <w:rPr>
          <w:rFonts w:hint="eastAsia"/>
          <w:color w:val="auto"/>
          <w:sz w:val="24"/>
          <w:szCs w:val="20"/>
          <w:highlight w:val="none"/>
        </w:rPr>
        <w:t>供身份证双面</w:t>
      </w:r>
      <w:r>
        <w:rPr>
          <w:rFonts w:hint="eastAsia"/>
          <w:color w:val="auto"/>
          <w:sz w:val="24"/>
          <w:szCs w:val="20"/>
          <w:highlight w:val="none"/>
          <w:lang w:val="en-US" w:eastAsia="zh-CN"/>
        </w:rPr>
        <w:t>复印件</w:t>
      </w:r>
      <w:r>
        <w:rPr>
          <w:rFonts w:hint="eastAsia"/>
          <w:color w:val="auto"/>
          <w:sz w:val="24"/>
          <w:szCs w:val="20"/>
          <w:highlight w:val="none"/>
        </w:rPr>
        <w:t>。</w:t>
      </w:r>
    </w:p>
    <w:p w14:paraId="1A2F16F1">
      <w:pPr>
        <w:widowControl/>
        <w:spacing w:after="0"/>
        <w:jc w:val="left"/>
        <w:rPr>
          <w:color w:val="auto"/>
          <w:sz w:val="30"/>
          <w:szCs w:val="30"/>
          <w:highlight w:val="none"/>
        </w:rPr>
      </w:pPr>
      <w:r>
        <w:rPr>
          <w:color w:val="auto"/>
          <w:sz w:val="30"/>
          <w:szCs w:val="30"/>
          <w:highlight w:val="none"/>
        </w:rPr>
        <w:br w:type="page"/>
      </w:r>
    </w:p>
    <w:p w14:paraId="634E91F9">
      <w:pPr>
        <w:autoSpaceDE w:val="0"/>
        <w:autoSpaceDN w:val="0"/>
        <w:adjustRightInd w:val="0"/>
        <w:spacing w:after="0" w:line="360" w:lineRule="auto"/>
        <w:jc w:val="center"/>
        <w:rPr>
          <w:b/>
          <w:color w:val="auto"/>
          <w:sz w:val="36"/>
          <w:szCs w:val="36"/>
          <w:highlight w:val="none"/>
        </w:rPr>
      </w:pPr>
      <w:r>
        <w:rPr>
          <w:rFonts w:hint="eastAsia"/>
          <w:b/>
          <w:color w:val="auto"/>
          <w:sz w:val="36"/>
          <w:szCs w:val="36"/>
          <w:highlight w:val="none"/>
        </w:rPr>
        <w:t>附：法定代表人（单位负责人）身份证明</w:t>
      </w:r>
    </w:p>
    <w:p w14:paraId="127ECEA3">
      <w:pPr>
        <w:kinsoku w:val="0"/>
        <w:overflowPunct w:val="0"/>
        <w:spacing w:after="0" w:line="200" w:lineRule="exact"/>
        <w:rPr>
          <w:color w:val="auto"/>
          <w:sz w:val="20"/>
          <w:szCs w:val="20"/>
          <w:highlight w:val="none"/>
        </w:rPr>
      </w:pPr>
    </w:p>
    <w:p w14:paraId="749E24DE">
      <w:pPr>
        <w:tabs>
          <w:tab w:val="left" w:pos="5580"/>
        </w:tabs>
        <w:spacing w:after="0" w:line="360" w:lineRule="auto"/>
        <w:rPr>
          <w:color w:val="auto"/>
          <w:sz w:val="24"/>
          <w:highlight w:val="none"/>
        </w:rPr>
      </w:pPr>
      <w:r>
        <w:rPr>
          <w:color w:val="auto"/>
          <w:sz w:val="24"/>
          <w:highlight w:val="none"/>
        </w:rPr>
        <w:t>致：</w:t>
      </w:r>
      <w:r>
        <w:rPr>
          <w:color w:val="auto"/>
          <w:sz w:val="24"/>
          <w:szCs w:val="20"/>
          <w:highlight w:val="none"/>
        </w:rPr>
        <w:t>____</w:t>
      </w:r>
      <w:r>
        <w:rPr>
          <w:color w:val="auto"/>
          <w:sz w:val="24"/>
          <w:highlight w:val="none"/>
        </w:rPr>
        <w:t>（采购人或采购代理机构）</w:t>
      </w:r>
    </w:p>
    <w:p w14:paraId="337A2C23">
      <w:pPr>
        <w:pStyle w:val="17"/>
        <w:tabs>
          <w:tab w:val="left" w:pos="2412"/>
          <w:tab w:val="left" w:pos="3883"/>
          <w:tab w:val="left" w:pos="5352"/>
          <w:tab w:val="left" w:pos="6821"/>
        </w:tabs>
        <w:kinsoku w:val="0"/>
        <w:overflowPunct w:val="0"/>
        <w:spacing w:after="0"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2D0985FF">
      <w:pPr>
        <w:pStyle w:val="17"/>
        <w:tabs>
          <w:tab w:val="left" w:pos="1690"/>
          <w:tab w:val="left" w:pos="3400"/>
          <w:tab w:val="left" w:pos="5110"/>
          <w:tab w:val="left" w:pos="6821"/>
        </w:tabs>
        <w:kinsoku w:val="0"/>
        <w:overflowPunct w:val="0"/>
        <w:spacing w:after="0" w:line="335"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szCs w:val="20"/>
          <w:highlight w:val="none"/>
        </w:rPr>
        <w:t>____</w:t>
      </w:r>
      <w:r>
        <w:rPr>
          <w:rFonts w:ascii="Times New Roman" w:hAnsi="Times New Roman"/>
          <w:color w:val="auto"/>
          <w:highlight w:val="none"/>
        </w:rPr>
        <w:t>性别：</w:t>
      </w:r>
      <w:r>
        <w:rPr>
          <w:rFonts w:ascii="Times New Roman" w:hAnsi="Times New Roman"/>
          <w:color w:val="auto"/>
          <w:szCs w:val="20"/>
          <w:highlight w:val="none"/>
        </w:rPr>
        <w:t>____</w:t>
      </w:r>
      <w:r>
        <w:rPr>
          <w:rFonts w:ascii="Times New Roman" w:hAnsi="Times New Roman"/>
          <w:color w:val="auto"/>
          <w:highlight w:val="none"/>
        </w:rPr>
        <w:t>年龄：</w:t>
      </w:r>
      <w:r>
        <w:rPr>
          <w:rFonts w:ascii="Times New Roman" w:hAnsi="Times New Roman"/>
          <w:color w:val="auto"/>
          <w:szCs w:val="20"/>
          <w:highlight w:val="none"/>
        </w:rPr>
        <w:t>____</w:t>
      </w:r>
      <w:r>
        <w:rPr>
          <w:rFonts w:ascii="Times New Roman" w:hAnsi="Times New Roman"/>
          <w:color w:val="auto"/>
          <w:highlight w:val="none"/>
        </w:rPr>
        <w:t>职务：</w:t>
      </w:r>
      <w:r>
        <w:rPr>
          <w:rFonts w:ascii="Times New Roman" w:hAnsi="Times New Roman"/>
          <w:color w:val="auto"/>
          <w:szCs w:val="20"/>
          <w:highlight w:val="none"/>
        </w:rPr>
        <w:t>____</w:t>
      </w:r>
    </w:p>
    <w:p w14:paraId="71934581">
      <w:pPr>
        <w:pStyle w:val="17"/>
        <w:tabs>
          <w:tab w:val="left" w:pos="2412"/>
          <w:tab w:val="left" w:pos="3883"/>
          <w:tab w:val="left" w:pos="5352"/>
          <w:tab w:val="left" w:pos="6821"/>
        </w:tabs>
        <w:kinsoku w:val="0"/>
        <w:overflowPunct w:val="0"/>
        <w:spacing w:after="0" w:line="335" w:lineRule="exact"/>
        <w:rPr>
          <w:rFonts w:ascii="Times New Roman" w:hAnsi="Times New Roman"/>
          <w:color w:val="auto"/>
          <w:highlight w:val="none"/>
        </w:rPr>
      </w:pPr>
    </w:p>
    <w:p w14:paraId="76B7292A">
      <w:pPr>
        <w:pStyle w:val="17"/>
        <w:tabs>
          <w:tab w:val="left" w:pos="2250"/>
          <w:tab w:val="left" w:pos="2412"/>
          <w:tab w:val="left" w:pos="3883"/>
          <w:tab w:val="left" w:pos="5352"/>
          <w:tab w:val="left" w:pos="6821"/>
          <w:tab w:val="clear" w:pos="567"/>
        </w:tabs>
        <w:kinsoku w:val="0"/>
        <w:overflowPunct w:val="0"/>
        <w:spacing w:after="0"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szCs w:val="20"/>
          <w:highlight w:val="none"/>
        </w:rPr>
        <w:t>__________</w:t>
      </w:r>
      <w:r>
        <w:rPr>
          <w:rFonts w:ascii="Times New Roman" w:hAnsi="Times New Roman"/>
          <w:color w:val="auto"/>
          <w:highlight w:val="none"/>
        </w:rPr>
        <w:t>（供应商名称）的法定代表人（单位负责人）。</w:t>
      </w:r>
    </w:p>
    <w:p w14:paraId="4883295D">
      <w:pPr>
        <w:pStyle w:val="17"/>
        <w:tabs>
          <w:tab w:val="left" w:pos="2412"/>
          <w:tab w:val="left" w:pos="3883"/>
          <w:tab w:val="left" w:pos="5352"/>
          <w:tab w:val="left" w:pos="6821"/>
        </w:tabs>
        <w:kinsoku w:val="0"/>
        <w:overflowPunct w:val="0"/>
        <w:spacing w:after="0" w:line="335" w:lineRule="exact"/>
        <w:rPr>
          <w:rFonts w:ascii="Times New Roman" w:hAnsi="Times New Roman"/>
          <w:color w:val="auto"/>
          <w:highlight w:val="none"/>
        </w:rPr>
      </w:pPr>
    </w:p>
    <w:p w14:paraId="6C072548">
      <w:pPr>
        <w:pStyle w:val="17"/>
        <w:tabs>
          <w:tab w:val="left" w:pos="2412"/>
          <w:tab w:val="left" w:pos="3883"/>
          <w:tab w:val="left" w:pos="5352"/>
          <w:tab w:val="left" w:pos="6821"/>
        </w:tabs>
        <w:kinsoku w:val="0"/>
        <w:overflowPunct w:val="0"/>
        <w:spacing w:after="0" w:line="335" w:lineRule="exact"/>
        <w:rPr>
          <w:rFonts w:ascii="Times New Roman" w:hAnsi="Times New Roman"/>
          <w:color w:val="auto"/>
          <w:highlight w:val="none"/>
        </w:rPr>
      </w:pPr>
    </w:p>
    <w:p w14:paraId="0767663B">
      <w:pPr>
        <w:pStyle w:val="17"/>
        <w:tabs>
          <w:tab w:val="left" w:pos="2412"/>
          <w:tab w:val="left" w:pos="3883"/>
          <w:tab w:val="left" w:pos="5352"/>
          <w:tab w:val="left" w:pos="6821"/>
        </w:tabs>
        <w:kinsoku w:val="0"/>
        <w:overflowPunct w:val="0"/>
        <w:spacing w:after="0" w:line="335" w:lineRule="exact"/>
        <w:rPr>
          <w:rFonts w:ascii="Times New Roman" w:hAnsi="Times New Roman"/>
          <w:color w:val="auto"/>
          <w:highlight w:val="none"/>
        </w:rPr>
      </w:pPr>
    </w:p>
    <w:p w14:paraId="3F9CA6DB">
      <w:pPr>
        <w:pStyle w:val="17"/>
        <w:kinsoku w:val="0"/>
        <w:overflowPunct w:val="0"/>
        <w:spacing w:after="0" w:line="583" w:lineRule="auto"/>
        <w:ind w:right="-46"/>
        <w:rPr>
          <w:rFonts w:ascii="Times New Roman" w:hAnsi="Times New Roman"/>
          <w:color w:val="auto"/>
          <w:spacing w:val="-3"/>
          <w:highlight w:val="none"/>
        </w:rPr>
      </w:pPr>
      <w:r>
        <w:rPr>
          <w:rFonts w:ascii="Times New Roman" w:hAnsi="Times New Roman"/>
          <w:color w:val="auto"/>
          <w:highlight w:val="none"/>
        </w:rPr>
        <w:t>附：</w:t>
      </w:r>
      <w:r>
        <w:rPr>
          <w:rFonts w:hint="eastAsia" w:ascii="Times New Roman" w:hAnsi="Times New Roman"/>
          <w:color w:val="auto"/>
          <w:highlight w:val="none"/>
        </w:rPr>
        <w:t>法定代表人（单位负责人）身份证或护照等身份证明文件</w:t>
      </w:r>
      <w:r>
        <w:rPr>
          <w:rFonts w:hint="eastAsia" w:ascii="Times New Roman" w:hAnsi="Times New Roman"/>
          <w:color w:val="auto"/>
          <w:highlight w:val="none"/>
          <w:lang w:eastAsia="zh-CN"/>
        </w:rPr>
        <w:t>复印件</w:t>
      </w:r>
      <w:r>
        <w:rPr>
          <w:rFonts w:hint="eastAsia" w:ascii="Times New Roman" w:hAnsi="Times New Roman"/>
          <w:color w:val="auto"/>
          <w:highlight w:val="none"/>
        </w:rPr>
        <w:t>：</w:t>
      </w:r>
    </w:p>
    <w:p w14:paraId="5E034EF3">
      <w:pPr>
        <w:pStyle w:val="17"/>
        <w:kinsoku w:val="0"/>
        <w:overflowPunct w:val="0"/>
        <w:spacing w:after="0" w:line="583" w:lineRule="auto"/>
        <w:ind w:right="4305"/>
        <w:rPr>
          <w:rFonts w:ascii="Times New Roman" w:hAnsi="Times New Roman"/>
          <w:color w:val="auto"/>
          <w:spacing w:val="-3"/>
          <w:highlight w:val="none"/>
        </w:rPr>
      </w:pPr>
    </w:p>
    <w:p w14:paraId="5822E013">
      <w:pPr>
        <w:pStyle w:val="17"/>
        <w:kinsoku w:val="0"/>
        <w:overflowPunct w:val="0"/>
        <w:spacing w:after="0" w:line="583" w:lineRule="auto"/>
        <w:ind w:right="4305"/>
        <w:rPr>
          <w:rFonts w:ascii="Times New Roman" w:hAnsi="Times New Roman"/>
          <w:color w:val="auto"/>
          <w:spacing w:val="-3"/>
          <w:highlight w:val="none"/>
        </w:rPr>
      </w:pPr>
    </w:p>
    <w:p w14:paraId="098C0761">
      <w:pPr>
        <w:pStyle w:val="17"/>
        <w:kinsoku w:val="0"/>
        <w:overflowPunct w:val="0"/>
        <w:spacing w:after="0" w:line="583" w:lineRule="auto"/>
        <w:ind w:right="4305"/>
        <w:rPr>
          <w:rFonts w:ascii="Times New Roman" w:hAnsi="Times New Roman"/>
          <w:color w:val="auto"/>
          <w:spacing w:val="-3"/>
          <w:highlight w:val="none"/>
        </w:rPr>
      </w:pPr>
    </w:p>
    <w:p w14:paraId="0607E994">
      <w:pPr>
        <w:autoSpaceDE w:val="0"/>
        <w:autoSpaceDN w:val="0"/>
        <w:adjustRightInd w:val="0"/>
        <w:snapToGrid w:val="0"/>
        <w:spacing w:after="0"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3B18B43C">
      <w:pPr>
        <w:autoSpaceDE w:val="0"/>
        <w:autoSpaceDN w:val="0"/>
        <w:adjustRightInd w:val="0"/>
        <w:snapToGrid w:val="0"/>
        <w:spacing w:after="0" w:line="360" w:lineRule="auto"/>
        <w:rPr>
          <w:color w:val="auto"/>
          <w:sz w:val="24"/>
          <w:highlight w:val="none"/>
          <w:lang w:val="zh-CN"/>
        </w:rPr>
      </w:pPr>
      <w:r>
        <w:rPr>
          <w:color w:val="auto"/>
          <w:spacing w:val="-3"/>
          <w:sz w:val="24"/>
          <w:highlight w:val="none"/>
        </w:rPr>
        <w:t>法定代表人（</w:t>
      </w:r>
      <w:r>
        <w:rPr>
          <w:color w:val="auto"/>
          <w:sz w:val="24"/>
          <w:highlight w:val="none"/>
        </w:rPr>
        <w:t>单位负责人</w:t>
      </w:r>
      <w:r>
        <w:rPr>
          <w:color w:val="auto"/>
          <w:spacing w:val="-3"/>
          <w:sz w:val="24"/>
          <w:highlight w:val="none"/>
        </w:rPr>
        <w:t>）（</w:t>
      </w:r>
      <w:r>
        <w:rPr>
          <w:rFonts w:hint="eastAsia"/>
          <w:color w:val="auto"/>
          <w:spacing w:val="-3"/>
          <w:sz w:val="24"/>
          <w:highlight w:val="none"/>
        </w:rPr>
        <w:t>签字或</w:t>
      </w:r>
      <w:r>
        <w:rPr>
          <w:rFonts w:hint="eastAsia"/>
          <w:color w:val="auto"/>
          <w:spacing w:val="-3"/>
          <w:sz w:val="24"/>
          <w:highlight w:val="none"/>
          <w:lang w:val="en-US" w:eastAsia="zh-CN"/>
        </w:rPr>
        <w:t>盖</w:t>
      </w:r>
      <w:r>
        <w:rPr>
          <w:rFonts w:hint="eastAsia"/>
          <w:color w:val="auto"/>
          <w:spacing w:val="-3"/>
          <w:sz w:val="24"/>
          <w:highlight w:val="none"/>
        </w:rPr>
        <w:t>章</w:t>
      </w:r>
      <w:r>
        <w:rPr>
          <w:color w:val="auto"/>
          <w:spacing w:val="-3"/>
          <w:sz w:val="24"/>
          <w:highlight w:val="none"/>
        </w:rPr>
        <w:t>）：</w:t>
      </w:r>
      <w:r>
        <w:rPr>
          <w:color w:val="auto"/>
          <w:sz w:val="24"/>
          <w:highlight w:val="none"/>
        </w:rPr>
        <w:t>______</w:t>
      </w:r>
    </w:p>
    <w:p w14:paraId="7F0B89B1">
      <w:pPr>
        <w:autoSpaceDE w:val="0"/>
        <w:autoSpaceDN w:val="0"/>
        <w:adjustRightInd w:val="0"/>
        <w:snapToGrid w:val="0"/>
        <w:spacing w:after="0"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656EC58C">
      <w:pPr>
        <w:widowControl/>
        <w:spacing w:after="0"/>
        <w:jc w:val="left"/>
        <w:rPr>
          <w:i/>
          <w:color w:val="auto"/>
          <w:sz w:val="24"/>
          <w:szCs w:val="20"/>
          <w:highlight w:val="none"/>
          <w:u w:val="single"/>
        </w:rPr>
      </w:pPr>
    </w:p>
    <w:p w14:paraId="2F3952A9">
      <w:pPr>
        <w:widowControl/>
        <w:spacing w:after="0"/>
        <w:jc w:val="left"/>
        <w:rPr>
          <w:color w:val="auto"/>
          <w:sz w:val="24"/>
          <w:szCs w:val="20"/>
          <w:highlight w:val="none"/>
        </w:rPr>
      </w:pPr>
      <w:r>
        <w:rPr>
          <w:color w:val="auto"/>
          <w:sz w:val="24"/>
          <w:szCs w:val="20"/>
          <w:highlight w:val="none"/>
        </w:rPr>
        <w:br w:type="page"/>
      </w:r>
    </w:p>
    <w:p w14:paraId="13D3B483">
      <w:pPr>
        <w:tabs>
          <w:tab w:val="left" w:pos="360"/>
        </w:tabs>
        <w:snapToGrid w:val="0"/>
        <w:spacing w:after="0" w:line="360" w:lineRule="auto"/>
        <w:outlineLvl w:val="1"/>
        <w:rPr>
          <w:color w:val="auto"/>
          <w:sz w:val="24"/>
          <w:highlight w:val="none"/>
        </w:rPr>
      </w:pPr>
      <w:r>
        <w:rPr>
          <w:rFonts w:hint="eastAsia"/>
          <w:color w:val="auto"/>
          <w:sz w:val="24"/>
          <w:highlight w:val="none"/>
          <w:lang w:val="en-US" w:eastAsia="zh-CN"/>
        </w:rPr>
        <w:t>7</w:t>
      </w:r>
      <w:r>
        <w:rPr>
          <w:color w:val="auto"/>
          <w:sz w:val="24"/>
          <w:highlight w:val="none"/>
        </w:rPr>
        <w:t xml:space="preserve">  报价一览表</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7E8BE61A">
      <w:pPr>
        <w:spacing w:after="0" w:line="360" w:lineRule="exact"/>
        <w:jc w:val="center"/>
        <w:rPr>
          <w:b/>
          <w:color w:val="auto"/>
          <w:sz w:val="36"/>
          <w:szCs w:val="36"/>
          <w:highlight w:val="none"/>
        </w:rPr>
      </w:pPr>
      <w:bookmarkStart w:id="842" w:name="_Toc226309802"/>
      <w:bookmarkStart w:id="843" w:name="_Toc305158900"/>
      <w:bookmarkStart w:id="844" w:name="_Toc164608672"/>
      <w:bookmarkStart w:id="845" w:name="_Toc195842923"/>
      <w:bookmarkStart w:id="846" w:name="_Toc265228396"/>
      <w:bookmarkStart w:id="847" w:name="_Toc226337254"/>
      <w:bookmarkStart w:id="848" w:name="_Toc226965748"/>
      <w:bookmarkStart w:id="849" w:name="_Toc264969248"/>
      <w:bookmarkStart w:id="850" w:name="_Toc226965831"/>
      <w:bookmarkStart w:id="851" w:name="_Toc305158826"/>
      <w:bookmarkStart w:id="852" w:name="_Toc164608827"/>
      <w:r>
        <w:rPr>
          <w:rFonts w:hint="eastAsia"/>
          <w:b/>
          <w:color w:val="auto"/>
          <w:sz w:val="36"/>
          <w:szCs w:val="36"/>
          <w:highlight w:val="none"/>
        </w:rPr>
        <w:t>报价一览表</w:t>
      </w:r>
      <w:bookmarkEnd w:id="842"/>
      <w:bookmarkEnd w:id="843"/>
      <w:bookmarkEnd w:id="844"/>
      <w:bookmarkEnd w:id="845"/>
      <w:bookmarkEnd w:id="846"/>
      <w:bookmarkEnd w:id="847"/>
      <w:bookmarkEnd w:id="848"/>
      <w:bookmarkEnd w:id="849"/>
      <w:bookmarkEnd w:id="850"/>
      <w:bookmarkEnd w:id="851"/>
      <w:bookmarkEnd w:id="852"/>
    </w:p>
    <w:p w14:paraId="10618C37">
      <w:pPr>
        <w:tabs>
          <w:tab w:val="left" w:pos="1800"/>
          <w:tab w:val="left" w:pos="5580"/>
        </w:tabs>
        <w:spacing w:after="0" w:line="360" w:lineRule="auto"/>
        <w:jc w:val="left"/>
        <w:rPr>
          <w:color w:val="auto"/>
          <w:sz w:val="24"/>
          <w:highlight w:val="none"/>
        </w:rPr>
      </w:pPr>
    </w:p>
    <w:p w14:paraId="06DE49C1">
      <w:pPr>
        <w:tabs>
          <w:tab w:val="left" w:pos="1800"/>
          <w:tab w:val="left" w:pos="5580"/>
        </w:tabs>
        <w:spacing w:after="0" w:line="360" w:lineRule="auto"/>
        <w:ind w:firstLine="240" w:firstLineChars="100"/>
        <w:jc w:val="left"/>
        <w:rPr>
          <w:color w:val="auto"/>
          <w:sz w:val="24"/>
          <w:highlight w:val="none"/>
          <w:u w:val="single"/>
        </w:rPr>
      </w:pPr>
      <w:r>
        <w:rPr>
          <w:color w:val="auto"/>
          <w:sz w:val="24"/>
          <w:highlight w:val="none"/>
        </w:rPr>
        <w:t>项目编号/包号：___________     项目名称：___________</w:t>
      </w:r>
    </w:p>
    <w:tbl>
      <w:tblPr>
        <w:tblStyle w:val="42"/>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8"/>
        <w:gridCol w:w="810"/>
        <w:gridCol w:w="3213"/>
        <w:gridCol w:w="2030"/>
        <w:gridCol w:w="2139"/>
      </w:tblGrid>
      <w:tr w14:paraId="537D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9" w:type="pct"/>
            <w:vMerge w:val="restart"/>
            <w:tcBorders>
              <w:top w:val="single" w:color="auto" w:sz="4" w:space="0"/>
              <w:left w:val="single" w:color="auto" w:sz="4" w:space="0"/>
              <w:right w:val="single" w:color="auto" w:sz="4" w:space="0"/>
            </w:tcBorders>
            <w:noWrap w:val="0"/>
            <w:vAlign w:val="center"/>
          </w:tcPr>
          <w:p w14:paraId="0E1B5FAB">
            <w:pPr>
              <w:tabs>
                <w:tab w:val="left" w:pos="5580"/>
              </w:tabs>
              <w:spacing w:after="0"/>
              <w:jc w:val="center"/>
              <w:rPr>
                <w:b/>
                <w:color w:val="auto"/>
                <w:sz w:val="24"/>
                <w:highlight w:val="none"/>
              </w:rPr>
            </w:pPr>
            <w:r>
              <w:rPr>
                <w:rFonts w:hint="eastAsia"/>
                <w:b/>
                <w:color w:val="auto"/>
                <w:sz w:val="24"/>
                <w:highlight w:val="none"/>
              </w:rPr>
              <w:t>序号</w:t>
            </w:r>
          </w:p>
        </w:tc>
        <w:tc>
          <w:tcPr>
            <w:tcW w:w="450" w:type="pct"/>
            <w:vMerge w:val="restart"/>
            <w:tcBorders>
              <w:top w:val="single" w:color="auto" w:sz="4" w:space="0"/>
              <w:left w:val="single" w:color="auto" w:sz="4" w:space="0"/>
              <w:bottom w:val="single" w:color="auto" w:sz="4" w:space="0"/>
              <w:right w:val="single" w:color="auto" w:sz="4" w:space="0"/>
            </w:tcBorders>
            <w:noWrap w:val="0"/>
            <w:vAlign w:val="center"/>
          </w:tcPr>
          <w:p w14:paraId="437D624F">
            <w:pPr>
              <w:tabs>
                <w:tab w:val="left" w:pos="5580"/>
              </w:tabs>
              <w:spacing w:after="0"/>
              <w:jc w:val="center"/>
              <w:rPr>
                <w:rFonts w:hint="eastAsia"/>
                <w:b/>
                <w:color w:val="auto"/>
                <w:sz w:val="24"/>
                <w:highlight w:val="none"/>
              </w:rPr>
            </w:pPr>
            <w:r>
              <w:rPr>
                <w:rFonts w:hint="eastAsia"/>
                <w:b/>
                <w:color w:val="auto"/>
                <w:sz w:val="24"/>
                <w:highlight w:val="none"/>
              </w:rPr>
              <w:t>包号</w:t>
            </w:r>
          </w:p>
        </w:tc>
        <w:tc>
          <w:tcPr>
            <w:tcW w:w="1784" w:type="pct"/>
            <w:vMerge w:val="restart"/>
            <w:tcBorders>
              <w:top w:val="single" w:color="auto" w:sz="4" w:space="0"/>
              <w:left w:val="single" w:color="auto" w:sz="4" w:space="0"/>
              <w:bottom w:val="single" w:color="auto" w:sz="4" w:space="0"/>
              <w:right w:val="single" w:color="auto" w:sz="4" w:space="0"/>
            </w:tcBorders>
            <w:noWrap w:val="0"/>
            <w:vAlign w:val="center"/>
          </w:tcPr>
          <w:p w14:paraId="6951D5F3">
            <w:pPr>
              <w:tabs>
                <w:tab w:val="left" w:pos="5580"/>
              </w:tabs>
              <w:spacing w:after="0"/>
              <w:jc w:val="center"/>
              <w:rPr>
                <w:b/>
                <w:color w:val="auto"/>
                <w:sz w:val="24"/>
                <w:highlight w:val="none"/>
              </w:rPr>
            </w:pPr>
            <w:r>
              <w:rPr>
                <w:rFonts w:hint="eastAsia"/>
                <w:b/>
                <w:color w:val="auto"/>
                <w:sz w:val="24"/>
                <w:highlight w:val="none"/>
              </w:rPr>
              <w:t>供应商名称</w:t>
            </w:r>
          </w:p>
        </w:tc>
        <w:tc>
          <w:tcPr>
            <w:tcW w:w="2315" w:type="pct"/>
            <w:gridSpan w:val="2"/>
            <w:tcBorders>
              <w:top w:val="single" w:color="auto" w:sz="4" w:space="0"/>
              <w:left w:val="single" w:color="auto" w:sz="4" w:space="0"/>
              <w:bottom w:val="single" w:color="auto" w:sz="4" w:space="0"/>
              <w:right w:val="single" w:color="auto" w:sz="4" w:space="0"/>
            </w:tcBorders>
            <w:noWrap w:val="0"/>
            <w:vAlign w:val="center"/>
          </w:tcPr>
          <w:p w14:paraId="78BE5A79">
            <w:pPr>
              <w:tabs>
                <w:tab w:val="left" w:pos="5580"/>
              </w:tabs>
              <w:spacing w:after="0"/>
              <w:jc w:val="center"/>
              <w:rPr>
                <w:b/>
                <w:color w:val="auto"/>
                <w:sz w:val="24"/>
                <w:highlight w:val="none"/>
              </w:rPr>
            </w:pPr>
            <w:r>
              <w:rPr>
                <w:rFonts w:hint="eastAsia"/>
                <w:b/>
                <w:color w:val="auto"/>
                <w:sz w:val="24"/>
                <w:highlight w:val="none"/>
              </w:rPr>
              <w:t>报价（元）</w:t>
            </w:r>
          </w:p>
        </w:tc>
      </w:tr>
      <w:tr w14:paraId="2385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9" w:type="pct"/>
            <w:vMerge w:val="continue"/>
            <w:tcBorders>
              <w:left w:val="single" w:color="auto" w:sz="4" w:space="0"/>
              <w:bottom w:val="single" w:color="auto" w:sz="4" w:space="0"/>
              <w:right w:val="single" w:color="auto" w:sz="4" w:space="0"/>
            </w:tcBorders>
            <w:noWrap w:val="0"/>
            <w:vAlign w:val="center"/>
          </w:tcPr>
          <w:p w14:paraId="5263CCAB">
            <w:pPr>
              <w:widowControl/>
              <w:spacing w:after="0"/>
              <w:jc w:val="left"/>
              <w:rPr>
                <w:b/>
                <w:color w:val="auto"/>
                <w:sz w:val="24"/>
                <w:highlight w:val="none"/>
              </w:rPr>
            </w:pPr>
          </w:p>
        </w:tc>
        <w:tc>
          <w:tcPr>
            <w:tcW w:w="450" w:type="pct"/>
            <w:vMerge w:val="continue"/>
            <w:tcBorders>
              <w:top w:val="single" w:color="auto" w:sz="4" w:space="0"/>
              <w:left w:val="single" w:color="auto" w:sz="4" w:space="0"/>
              <w:bottom w:val="single" w:color="auto" w:sz="4" w:space="0"/>
              <w:right w:val="single" w:color="auto" w:sz="4" w:space="0"/>
            </w:tcBorders>
            <w:noWrap w:val="0"/>
            <w:vAlign w:val="center"/>
          </w:tcPr>
          <w:p w14:paraId="4EDF35D6">
            <w:pPr>
              <w:widowControl/>
              <w:spacing w:after="0"/>
              <w:jc w:val="left"/>
              <w:rPr>
                <w:b/>
                <w:color w:val="auto"/>
                <w:sz w:val="24"/>
                <w:highlight w:val="none"/>
              </w:rPr>
            </w:pPr>
          </w:p>
        </w:tc>
        <w:tc>
          <w:tcPr>
            <w:tcW w:w="1784" w:type="pct"/>
            <w:vMerge w:val="continue"/>
            <w:tcBorders>
              <w:top w:val="single" w:color="auto" w:sz="4" w:space="0"/>
              <w:left w:val="single" w:color="auto" w:sz="4" w:space="0"/>
              <w:bottom w:val="single" w:color="auto" w:sz="4" w:space="0"/>
              <w:right w:val="single" w:color="auto" w:sz="4" w:space="0"/>
            </w:tcBorders>
            <w:noWrap w:val="0"/>
            <w:vAlign w:val="center"/>
          </w:tcPr>
          <w:p w14:paraId="78FF2178">
            <w:pPr>
              <w:widowControl/>
              <w:spacing w:after="0"/>
              <w:jc w:val="left"/>
              <w:rPr>
                <w:b/>
                <w:color w:val="auto"/>
                <w:sz w:val="24"/>
                <w:highlight w:val="none"/>
              </w:rPr>
            </w:pPr>
          </w:p>
        </w:tc>
        <w:tc>
          <w:tcPr>
            <w:tcW w:w="1127" w:type="pct"/>
            <w:tcBorders>
              <w:top w:val="single" w:color="auto" w:sz="4" w:space="0"/>
              <w:left w:val="single" w:color="auto" w:sz="4" w:space="0"/>
              <w:bottom w:val="single" w:color="auto" w:sz="4" w:space="0"/>
              <w:right w:val="single" w:color="auto" w:sz="4" w:space="0"/>
            </w:tcBorders>
            <w:noWrap w:val="0"/>
            <w:vAlign w:val="center"/>
          </w:tcPr>
          <w:p w14:paraId="1DED1411">
            <w:pPr>
              <w:tabs>
                <w:tab w:val="left" w:pos="5580"/>
              </w:tabs>
              <w:spacing w:after="0"/>
              <w:jc w:val="center"/>
              <w:rPr>
                <w:b/>
                <w:color w:val="auto"/>
                <w:sz w:val="24"/>
                <w:highlight w:val="none"/>
              </w:rPr>
            </w:pPr>
            <w:r>
              <w:rPr>
                <w:rFonts w:hint="eastAsia"/>
                <w:b/>
                <w:color w:val="auto"/>
                <w:sz w:val="24"/>
                <w:highlight w:val="none"/>
              </w:rPr>
              <w:t>大写</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793425F8">
            <w:pPr>
              <w:tabs>
                <w:tab w:val="left" w:pos="5580"/>
              </w:tabs>
              <w:spacing w:after="0"/>
              <w:jc w:val="center"/>
              <w:rPr>
                <w:b/>
                <w:color w:val="auto"/>
                <w:sz w:val="24"/>
                <w:highlight w:val="none"/>
              </w:rPr>
            </w:pPr>
            <w:r>
              <w:rPr>
                <w:rFonts w:hint="eastAsia"/>
                <w:b/>
                <w:color w:val="auto"/>
                <w:sz w:val="24"/>
                <w:highlight w:val="none"/>
              </w:rPr>
              <w:t>小写</w:t>
            </w:r>
          </w:p>
        </w:tc>
      </w:tr>
      <w:tr w14:paraId="52A6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14:paraId="322D4F05">
            <w:pPr>
              <w:tabs>
                <w:tab w:val="left" w:pos="5580"/>
              </w:tabs>
              <w:spacing w:after="0"/>
              <w:jc w:val="center"/>
              <w:rPr>
                <w:color w:val="auto"/>
                <w:sz w:val="24"/>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6A90C2C8">
            <w:pPr>
              <w:tabs>
                <w:tab w:val="left" w:pos="5580"/>
              </w:tabs>
              <w:spacing w:after="0"/>
              <w:jc w:val="center"/>
              <w:rPr>
                <w:color w:val="auto"/>
                <w:sz w:val="24"/>
                <w:highlight w:val="none"/>
              </w:rPr>
            </w:pPr>
          </w:p>
        </w:tc>
        <w:tc>
          <w:tcPr>
            <w:tcW w:w="1784" w:type="pct"/>
            <w:tcBorders>
              <w:top w:val="single" w:color="auto" w:sz="4" w:space="0"/>
              <w:left w:val="single" w:color="auto" w:sz="4" w:space="0"/>
              <w:bottom w:val="single" w:color="auto" w:sz="4" w:space="0"/>
              <w:right w:val="single" w:color="auto" w:sz="4" w:space="0"/>
            </w:tcBorders>
            <w:noWrap w:val="0"/>
            <w:vAlign w:val="center"/>
          </w:tcPr>
          <w:p w14:paraId="6544106D">
            <w:pPr>
              <w:tabs>
                <w:tab w:val="left" w:pos="5580"/>
              </w:tabs>
              <w:spacing w:after="0"/>
              <w:jc w:val="center"/>
              <w:rPr>
                <w:color w:val="auto"/>
                <w:sz w:val="24"/>
                <w:highlight w:val="none"/>
              </w:rPr>
            </w:pPr>
          </w:p>
        </w:tc>
        <w:tc>
          <w:tcPr>
            <w:tcW w:w="1127" w:type="pct"/>
            <w:tcBorders>
              <w:top w:val="single" w:color="auto" w:sz="4" w:space="0"/>
              <w:left w:val="single" w:color="auto" w:sz="4" w:space="0"/>
              <w:bottom w:val="single" w:color="auto" w:sz="4" w:space="0"/>
              <w:right w:val="single" w:color="auto" w:sz="4" w:space="0"/>
            </w:tcBorders>
            <w:noWrap w:val="0"/>
            <w:vAlign w:val="center"/>
          </w:tcPr>
          <w:p w14:paraId="1DB551D5">
            <w:pPr>
              <w:tabs>
                <w:tab w:val="left" w:pos="5580"/>
              </w:tabs>
              <w:spacing w:after="0"/>
              <w:jc w:val="center"/>
              <w:rPr>
                <w:color w:val="auto"/>
                <w:sz w:val="24"/>
                <w:highlight w:val="none"/>
              </w:rPr>
            </w:pPr>
          </w:p>
        </w:tc>
        <w:tc>
          <w:tcPr>
            <w:tcW w:w="1187" w:type="pct"/>
            <w:tcBorders>
              <w:top w:val="single" w:color="auto" w:sz="4" w:space="0"/>
              <w:left w:val="single" w:color="auto" w:sz="4" w:space="0"/>
              <w:bottom w:val="single" w:color="auto" w:sz="4" w:space="0"/>
              <w:right w:val="single" w:color="auto" w:sz="4" w:space="0"/>
            </w:tcBorders>
            <w:noWrap w:val="0"/>
            <w:vAlign w:val="center"/>
          </w:tcPr>
          <w:p w14:paraId="032DF423">
            <w:pPr>
              <w:tabs>
                <w:tab w:val="left" w:pos="5580"/>
              </w:tabs>
              <w:spacing w:after="0"/>
              <w:jc w:val="center"/>
              <w:rPr>
                <w:color w:val="auto"/>
                <w:sz w:val="24"/>
                <w:highlight w:val="none"/>
              </w:rPr>
            </w:pPr>
          </w:p>
        </w:tc>
      </w:tr>
    </w:tbl>
    <w:p w14:paraId="2A13430C">
      <w:pPr>
        <w:autoSpaceDE w:val="0"/>
        <w:autoSpaceDN w:val="0"/>
        <w:adjustRightInd w:val="0"/>
        <w:spacing w:after="0"/>
        <w:jc w:val="left"/>
        <w:rPr>
          <w:color w:val="auto"/>
          <w:kern w:val="0"/>
          <w:sz w:val="24"/>
          <w:highlight w:val="none"/>
        </w:rPr>
      </w:pPr>
    </w:p>
    <w:p w14:paraId="2B8BD904">
      <w:pPr>
        <w:autoSpaceDE w:val="0"/>
        <w:autoSpaceDN w:val="0"/>
        <w:adjustRightInd w:val="0"/>
        <w:spacing w:after="0"/>
        <w:jc w:val="left"/>
        <w:rPr>
          <w:color w:val="auto"/>
          <w:sz w:val="24"/>
          <w:szCs w:val="20"/>
          <w:highlight w:val="none"/>
        </w:rPr>
      </w:pPr>
      <w:r>
        <w:rPr>
          <w:color w:val="auto"/>
          <w:kern w:val="0"/>
          <w:sz w:val="24"/>
          <w:highlight w:val="none"/>
        </w:rPr>
        <w:t>注：1</w:t>
      </w:r>
      <w:r>
        <w:rPr>
          <w:color w:val="auto"/>
          <w:sz w:val="24"/>
          <w:szCs w:val="20"/>
          <w:highlight w:val="none"/>
        </w:rPr>
        <w:t>.此表中，每包的报价应和《分项报价表》中的总价相一致。</w:t>
      </w:r>
    </w:p>
    <w:p w14:paraId="5246C6EB">
      <w:pPr>
        <w:tabs>
          <w:tab w:val="left" w:pos="5580"/>
        </w:tabs>
        <w:spacing w:after="0"/>
        <w:ind w:firstLine="480" w:firstLineChars="200"/>
        <w:rPr>
          <w:color w:val="auto"/>
          <w:sz w:val="24"/>
          <w:szCs w:val="20"/>
          <w:highlight w:val="none"/>
        </w:rPr>
      </w:pPr>
      <w:r>
        <w:rPr>
          <w:color w:val="auto"/>
          <w:sz w:val="24"/>
          <w:szCs w:val="20"/>
          <w:highlight w:val="none"/>
        </w:rPr>
        <w:t>2.本表必须按包分别填写。</w:t>
      </w:r>
    </w:p>
    <w:p w14:paraId="3C23235D">
      <w:pPr>
        <w:tabs>
          <w:tab w:val="left" w:pos="5580"/>
        </w:tabs>
        <w:spacing w:after="0"/>
        <w:ind w:firstLine="480" w:firstLineChars="200"/>
        <w:rPr>
          <w:color w:val="auto"/>
          <w:sz w:val="24"/>
          <w:szCs w:val="20"/>
          <w:highlight w:val="none"/>
        </w:rPr>
      </w:pPr>
    </w:p>
    <w:p w14:paraId="30627E70">
      <w:pPr>
        <w:autoSpaceDE w:val="0"/>
        <w:autoSpaceDN w:val="0"/>
        <w:adjustRightInd w:val="0"/>
        <w:snapToGrid w:val="0"/>
        <w:spacing w:before="25" w:after="0" w:line="360" w:lineRule="auto"/>
        <w:rPr>
          <w:color w:val="auto"/>
          <w:sz w:val="24"/>
          <w:highlight w:val="none"/>
          <w:lang w:val="zh-CN"/>
        </w:rPr>
      </w:pPr>
    </w:p>
    <w:p w14:paraId="103B1B40">
      <w:pPr>
        <w:autoSpaceDE w:val="0"/>
        <w:autoSpaceDN w:val="0"/>
        <w:adjustRightInd w:val="0"/>
        <w:snapToGrid w:val="0"/>
        <w:spacing w:before="25" w:after="0" w:line="360" w:lineRule="auto"/>
        <w:rPr>
          <w:color w:val="auto"/>
          <w:sz w:val="24"/>
          <w:highlight w:val="none"/>
          <w:lang w:val="zh-CN"/>
        </w:rPr>
      </w:pPr>
      <w:r>
        <w:rPr>
          <w:color w:val="auto"/>
          <w:sz w:val="24"/>
          <w:highlight w:val="none"/>
          <w:lang w:val="zh-CN"/>
        </w:rPr>
        <w:t xml:space="preserve">   </w:t>
      </w:r>
    </w:p>
    <w:p w14:paraId="3BCE3DA9">
      <w:pPr>
        <w:autoSpaceDE w:val="0"/>
        <w:autoSpaceDN w:val="0"/>
        <w:adjustRightInd w:val="0"/>
        <w:snapToGrid w:val="0"/>
        <w:spacing w:before="25" w:after="0"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w:t>
      </w:r>
    </w:p>
    <w:p w14:paraId="17768A1B">
      <w:pPr>
        <w:autoSpaceDE w:val="0"/>
        <w:autoSpaceDN w:val="0"/>
        <w:adjustRightInd w:val="0"/>
        <w:snapToGrid w:val="0"/>
        <w:spacing w:after="0"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62CD36BD">
      <w:pPr>
        <w:autoSpaceDE w:val="0"/>
        <w:autoSpaceDN w:val="0"/>
        <w:adjustRightInd w:val="0"/>
        <w:snapToGrid w:val="0"/>
        <w:spacing w:before="25" w:after="0" w:line="360" w:lineRule="auto"/>
        <w:rPr>
          <w:color w:val="auto"/>
          <w:sz w:val="24"/>
          <w:highlight w:val="none"/>
          <w:lang w:val="zh-CN"/>
        </w:rPr>
      </w:pPr>
      <w:r>
        <w:rPr>
          <w:color w:val="auto"/>
          <w:sz w:val="24"/>
          <w:szCs w:val="20"/>
          <w:highlight w:val="none"/>
        </w:rPr>
        <w:t xml:space="preserve">  </w:t>
      </w:r>
    </w:p>
    <w:p w14:paraId="3461AB6A">
      <w:pPr>
        <w:widowControl/>
        <w:spacing w:after="0"/>
        <w:jc w:val="left"/>
        <w:rPr>
          <w:color w:val="auto"/>
          <w:sz w:val="24"/>
          <w:szCs w:val="20"/>
          <w:highlight w:val="none"/>
        </w:rPr>
      </w:pPr>
      <w:bookmarkStart w:id="853" w:name="_Toc305158901"/>
      <w:bookmarkStart w:id="854" w:name="_Toc226965832"/>
      <w:bookmarkStart w:id="855" w:name="_Toc265228397"/>
      <w:bookmarkStart w:id="856" w:name="_Toc150480796"/>
      <w:bookmarkStart w:id="857" w:name="_Toc150774763"/>
      <w:bookmarkStart w:id="858" w:name="_Toc226309803"/>
      <w:bookmarkStart w:id="859" w:name="_Toc142311060"/>
      <w:bookmarkStart w:id="860" w:name="_Toc195842924"/>
      <w:bookmarkStart w:id="861" w:name="_Toc305158827"/>
      <w:bookmarkStart w:id="862" w:name="_Toc127151558"/>
      <w:bookmarkStart w:id="863" w:name="_Toc226965749"/>
      <w:bookmarkStart w:id="864" w:name="_Toc264969249"/>
      <w:bookmarkStart w:id="865" w:name="_Toc226337255"/>
      <w:r>
        <w:rPr>
          <w:color w:val="auto"/>
          <w:sz w:val="24"/>
          <w:szCs w:val="20"/>
          <w:highlight w:val="none"/>
        </w:rPr>
        <w:br w:type="page"/>
      </w:r>
    </w:p>
    <w:p w14:paraId="66983517">
      <w:pPr>
        <w:tabs>
          <w:tab w:val="left" w:pos="360"/>
        </w:tabs>
        <w:snapToGrid w:val="0"/>
        <w:spacing w:after="0" w:line="360" w:lineRule="auto"/>
        <w:outlineLvl w:val="1"/>
        <w:rPr>
          <w:color w:val="auto"/>
          <w:sz w:val="24"/>
          <w:highlight w:val="none"/>
        </w:rPr>
      </w:pPr>
      <w:r>
        <w:rPr>
          <w:rFonts w:hint="eastAsia"/>
          <w:color w:val="auto"/>
          <w:sz w:val="24"/>
          <w:highlight w:val="none"/>
          <w:lang w:val="en-US" w:eastAsia="zh-CN"/>
        </w:rPr>
        <w:t>8</w:t>
      </w:r>
      <w:r>
        <w:rPr>
          <w:color w:val="auto"/>
          <w:sz w:val="24"/>
          <w:highlight w:val="none"/>
        </w:rPr>
        <w:t xml:space="preserve">  分项报价表</w:t>
      </w:r>
      <w:bookmarkEnd w:id="853"/>
      <w:bookmarkEnd w:id="854"/>
      <w:bookmarkEnd w:id="855"/>
      <w:bookmarkEnd w:id="856"/>
      <w:bookmarkEnd w:id="857"/>
      <w:bookmarkEnd w:id="858"/>
      <w:bookmarkEnd w:id="859"/>
      <w:bookmarkEnd w:id="860"/>
      <w:bookmarkEnd w:id="861"/>
      <w:bookmarkEnd w:id="862"/>
      <w:bookmarkEnd w:id="863"/>
      <w:bookmarkEnd w:id="864"/>
      <w:bookmarkEnd w:id="865"/>
    </w:p>
    <w:p w14:paraId="2604E99D">
      <w:pPr>
        <w:spacing w:before="123" w:line="219" w:lineRule="auto"/>
        <w:ind w:firstLine="3520" w:firstLineChars="1000"/>
        <w:rPr>
          <w:rFonts w:hint="eastAsia" w:ascii="宋体" w:hAnsi="宋体" w:eastAsia="宋体" w:cs="宋体"/>
          <w:color w:val="auto"/>
          <w:sz w:val="36"/>
          <w:szCs w:val="36"/>
          <w:highlight w:val="none"/>
        </w:rPr>
      </w:pPr>
      <w:r>
        <w:rPr>
          <w:rFonts w:hint="eastAsia" w:ascii="宋体" w:hAnsi="宋体" w:eastAsia="宋体" w:cs="宋体"/>
          <w:color w:val="auto"/>
          <w:spacing w:val="-4"/>
          <w:sz w:val="36"/>
          <w:szCs w:val="36"/>
          <w:highlight w:val="none"/>
          <w14:textOutline w14:w="2306" w14:cap="flat" w14:cmpd="sng">
            <w14:solidFill>
              <w14:srgbClr w14:val="000000"/>
            </w14:solidFill>
            <w14:prstDash w14:val="solid"/>
            <w14:miter w14:val="0"/>
          </w14:textOutline>
        </w:rPr>
        <w:t>分项</w:t>
      </w:r>
      <w:r>
        <w:rPr>
          <w:rFonts w:hint="eastAsia" w:ascii="宋体" w:hAnsi="宋体" w:eastAsia="宋体" w:cs="宋体"/>
          <w:color w:val="auto"/>
          <w:spacing w:val="-2"/>
          <w:sz w:val="36"/>
          <w:szCs w:val="36"/>
          <w:highlight w:val="none"/>
          <w14:textOutline w14:w="2306" w14:cap="flat" w14:cmpd="sng">
            <w14:solidFill>
              <w14:srgbClr w14:val="000000"/>
            </w14:solidFill>
            <w14:prstDash w14:val="solid"/>
            <w14:miter w14:val="0"/>
          </w14:textOutline>
        </w:rPr>
        <w:t>报价表</w:t>
      </w:r>
    </w:p>
    <w:p w14:paraId="2C411253">
      <w:pPr>
        <w:spacing w:line="255" w:lineRule="auto"/>
        <w:rPr>
          <w:rFonts w:hint="eastAsia" w:ascii="宋体" w:hAnsi="宋体" w:eastAsia="宋体" w:cs="宋体"/>
          <w:color w:val="auto"/>
          <w:sz w:val="21"/>
          <w:highlight w:val="none"/>
        </w:rPr>
      </w:pPr>
    </w:p>
    <w:p w14:paraId="1A67564A">
      <w:pPr>
        <w:spacing w:line="256" w:lineRule="auto"/>
        <w:rPr>
          <w:rFonts w:hint="eastAsia" w:ascii="宋体" w:hAnsi="宋体" w:eastAsia="宋体" w:cs="宋体"/>
          <w:color w:val="auto"/>
          <w:sz w:val="21"/>
          <w:highlight w:val="none"/>
        </w:rPr>
      </w:pPr>
    </w:p>
    <w:p w14:paraId="26A0F694">
      <w:pPr>
        <w:spacing w:before="81" w:line="211" w:lineRule="auto"/>
        <w:ind w:left="113"/>
        <w:rPr>
          <w:rFonts w:hint="eastAsia" w:ascii="宋体" w:hAnsi="宋体" w:eastAsia="宋体" w:cs="宋体"/>
          <w:color w:val="auto"/>
          <w:sz w:val="25"/>
          <w:szCs w:val="25"/>
          <w:highlight w:val="none"/>
        </w:rPr>
      </w:pPr>
      <w:r>
        <w:rPr>
          <w:rFonts w:hint="eastAsia" w:ascii="宋体" w:hAnsi="宋体" w:eastAsia="宋体" w:cs="宋体"/>
          <w:i/>
          <w:iCs/>
          <w:color w:val="auto"/>
          <w:spacing w:val="-6"/>
          <w:sz w:val="25"/>
          <w:szCs w:val="25"/>
          <w:highlight w:val="none"/>
          <w14:textOutline w14:w="1348" w14:cap="flat" w14:cmpd="sng">
            <w14:solidFill>
              <w14:srgbClr w14:val="FF0000"/>
            </w14:solidFill>
            <w14:prstDash w14:val="solid"/>
            <w14:miter w14:val="0"/>
          </w14:textOutline>
        </w:rPr>
        <w:t>(</w:t>
      </w:r>
      <w:r>
        <w:rPr>
          <w:rFonts w:hint="eastAsia" w:ascii="宋体" w:hAnsi="宋体" w:eastAsia="宋体" w:cs="宋体"/>
          <w:i/>
          <w:iCs/>
          <w:color w:val="auto"/>
          <w:spacing w:val="-6"/>
          <w:sz w:val="25"/>
          <w:szCs w:val="25"/>
          <w:highlight w:val="none"/>
        </w:rPr>
        <w:t>采用工程量清单</w:t>
      </w:r>
      <w:r>
        <w:rPr>
          <w:rFonts w:hint="eastAsia" w:ascii="宋体" w:hAnsi="宋体" w:eastAsia="宋体" w:cs="宋体"/>
          <w:i/>
          <w:iCs/>
          <w:color w:val="auto"/>
          <w:spacing w:val="-3"/>
          <w:sz w:val="25"/>
          <w:szCs w:val="25"/>
          <w:highlight w:val="none"/>
        </w:rPr>
        <w:t>计价方式的采购项目，应在本部分放置清单计价表格</w:t>
      </w:r>
      <w:r>
        <w:rPr>
          <w:rFonts w:hint="eastAsia" w:ascii="宋体" w:hAnsi="宋体" w:eastAsia="宋体" w:cs="宋体"/>
          <w:i/>
          <w:iCs/>
          <w:color w:val="auto"/>
          <w:spacing w:val="-3"/>
          <w:sz w:val="25"/>
          <w:szCs w:val="25"/>
          <w:highlight w:val="none"/>
          <w14:textOutline w14:w="1348" w14:cap="flat" w14:cmpd="sng">
            <w14:solidFill>
              <w14:srgbClr w14:val="FF0000"/>
            </w14:solidFill>
            <w14:prstDash w14:val="solid"/>
            <w14:miter w14:val="0"/>
          </w14:textOutline>
        </w:rPr>
        <w:t>)</w:t>
      </w:r>
    </w:p>
    <w:p w14:paraId="6BE86ECC">
      <w:pPr>
        <w:keepNext w:val="0"/>
        <w:keepLines w:val="0"/>
        <w:widowControl/>
        <w:suppressLineNumbers w:val="0"/>
        <w:jc w:val="left"/>
        <w:rPr>
          <w:rFonts w:ascii="FZShuSong-Z01" w:hAnsi="FZShuSong-Z01" w:eastAsia="FZShuSong-Z01" w:cs="FZShuSong-Z01"/>
          <w:color w:val="auto"/>
          <w:kern w:val="0"/>
          <w:sz w:val="24"/>
          <w:szCs w:val="24"/>
          <w:highlight w:val="none"/>
          <w:lang w:val="en-US" w:eastAsia="zh-CN" w:bidi="ar"/>
        </w:rPr>
      </w:pPr>
    </w:p>
    <w:p w14:paraId="5C0E8FC1">
      <w:pPr>
        <w:keepNext w:val="0"/>
        <w:keepLines w:val="0"/>
        <w:widowControl/>
        <w:suppressLineNumbers w:val="0"/>
        <w:jc w:val="left"/>
        <w:rPr>
          <w:rFonts w:hint="eastAsia" w:ascii="宋体" w:hAnsi="宋体" w:eastAsia="宋体" w:cs="宋体"/>
          <w:color w:val="auto"/>
          <w:highlight w:val="none"/>
        </w:rPr>
      </w:pPr>
      <w:r>
        <w:rPr>
          <w:rFonts w:ascii="FZShuSong-Z01" w:hAnsi="FZShuSong-Z01" w:eastAsia="FZShuSong-Z01" w:cs="FZShuSong-Z01"/>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 xml:space="preserve">1.本表应按包分别填写。 </w:t>
      </w:r>
    </w:p>
    <w:p w14:paraId="5EFBEE4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2.上述各项的详细规格（如有），可另页描述。 </w:t>
      </w:r>
    </w:p>
    <w:p w14:paraId="5B824F1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0360F326">
      <w:pPr>
        <w:spacing w:line="251" w:lineRule="auto"/>
        <w:rPr>
          <w:rFonts w:hint="eastAsia" w:ascii="宋体" w:hAnsi="宋体" w:eastAsia="宋体" w:cs="宋体"/>
          <w:color w:val="auto"/>
          <w:sz w:val="21"/>
          <w:highlight w:val="none"/>
        </w:rPr>
      </w:pPr>
    </w:p>
    <w:p w14:paraId="0DBEF6AA">
      <w:pPr>
        <w:spacing w:line="251" w:lineRule="auto"/>
        <w:rPr>
          <w:rFonts w:hint="eastAsia" w:ascii="宋体" w:hAnsi="宋体" w:eastAsia="宋体" w:cs="宋体"/>
          <w:color w:val="auto"/>
          <w:sz w:val="21"/>
          <w:highlight w:val="none"/>
        </w:rPr>
      </w:pPr>
    </w:p>
    <w:p w14:paraId="5843AC7F">
      <w:pPr>
        <w:autoSpaceDE w:val="0"/>
        <w:autoSpaceDN w:val="0"/>
        <w:adjustRightInd w:val="0"/>
        <w:snapToGrid w:val="0"/>
        <w:spacing w:before="25" w:after="0" w:line="360" w:lineRule="auto"/>
        <w:rPr>
          <w:color w:val="auto"/>
          <w:sz w:val="24"/>
          <w:highlight w:val="none"/>
        </w:rPr>
      </w:pPr>
    </w:p>
    <w:p w14:paraId="41D7DDB9">
      <w:pPr>
        <w:autoSpaceDE w:val="0"/>
        <w:autoSpaceDN w:val="0"/>
        <w:adjustRightInd w:val="0"/>
        <w:snapToGrid w:val="0"/>
        <w:spacing w:before="25" w:after="0" w:line="360" w:lineRule="auto"/>
        <w:rPr>
          <w:color w:val="auto"/>
          <w:sz w:val="24"/>
          <w:highlight w:val="none"/>
        </w:rPr>
      </w:pPr>
    </w:p>
    <w:p w14:paraId="2EDC637A">
      <w:pPr>
        <w:autoSpaceDE w:val="0"/>
        <w:autoSpaceDN w:val="0"/>
        <w:adjustRightInd w:val="0"/>
        <w:snapToGrid w:val="0"/>
        <w:spacing w:before="25" w:after="0" w:line="360" w:lineRule="auto"/>
        <w:ind w:right="360"/>
        <w:jc w:val="left"/>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71BD3CE8">
      <w:pPr>
        <w:autoSpaceDE w:val="0"/>
        <w:autoSpaceDN w:val="0"/>
        <w:adjustRightInd w:val="0"/>
        <w:snapToGrid w:val="0"/>
        <w:spacing w:before="25" w:after="0" w:line="360" w:lineRule="auto"/>
        <w:rPr>
          <w:color w:val="auto"/>
          <w:sz w:val="24"/>
          <w:highlight w:val="none"/>
          <w:lang w:val="zh-CN"/>
        </w:rPr>
      </w:pPr>
      <w:r>
        <w:rPr>
          <w:color w:val="auto"/>
          <w:sz w:val="24"/>
          <w:szCs w:val="20"/>
          <w:highlight w:val="none"/>
        </w:rPr>
        <w:t xml:space="preserve">日期：____年____月____日  </w:t>
      </w:r>
    </w:p>
    <w:p w14:paraId="400C9942">
      <w:pPr>
        <w:keepNext w:val="0"/>
        <w:keepLines w:val="0"/>
        <w:widowControl/>
        <w:suppressLineNumbers w:val="0"/>
        <w:spacing w:after="0"/>
        <w:jc w:val="left"/>
        <w:rPr>
          <w:color w:val="auto"/>
          <w:highlight w:val="none"/>
        </w:rPr>
      </w:pPr>
      <w:bookmarkStart w:id="866" w:name="_Toc226309806"/>
      <w:bookmarkStart w:id="867" w:name="_Toc226965835"/>
      <w:bookmarkStart w:id="868" w:name="_Toc150480798"/>
      <w:bookmarkStart w:id="869" w:name="_Toc305158904"/>
      <w:bookmarkStart w:id="870" w:name="_Toc150774765"/>
      <w:bookmarkStart w:id="871" w:name="_Toc264969252"/>
      <w:bookmarkStart w:id="872" w:name="_Toc226337258"/>
      <w:bookmarkStart w:id="873" w:name="_Toc305158830"/>
      <w:bookmarkStart w:id="874" w:name="_Toc226965752"/>
      <w:bookmarkStart w:id="875" w:name="_Toc127151562"/>
      <w:bookmarkStart w:id="876" w:name="_Toc142311062"/>
      <w:bookmarkStart w:id="877" w:name="_Toc265228400"/>
      <w:bookmarkStart w:id="878" w:name="_Toc195842927"/>
      <w:bookmarkStart w:id="879" w:name="_Toc226309805"/>
      <w:bookmarkStart w:id="880" w:name="_Toc305158903"/>
      <w:bookmarkStart w:id="881" w:name="_Toc264969251"/>
      <w:bookmarkStart w:id="882" w:name="_Toc226965834"/>
      <w:bookmarkStart w:id="883" w:name="_Toc150774764"/>
      <w:bookmarkStart w:id="884" w:name="_Toc150480797"/>
      <w:bookmarkStart w:id="885" w:name="_Toc226337257"/>
      <w:bookmarkStart w:id="886" w:name="_Toc127151561"/>
      <w:bookmarkStart w:id="887" w:name="_Toc142311061"/>
      <w:bookmarkStart w:id="888" w:name="_Toc226965751"/>
      <w:bookmarkStart w:id="889" w:name="_Toc195842926"/>
      <w:bookmarkStart w:id="890" w:name="_Toc265228399"/>
      <w:bookmarkStart w:id="891" w:name="_Toc305158829"/>
      <w:r>
        <w:rPr>
          <w:color w:val="auto"/>
          <w:sz w:val="24"/>
          <w:szCs w:val="20"/>
          <w:highlight w:val="none"/>
        </w:rPr>
        <w:br w:type="page"/>
      </w:r>
      <w:r>
        <w:rPr>
          <w:rFonts w:hint="eastAsia"/>
          <w:color w:val="auto"/>
          <w:sz w:val="24"/>
          <w:highlight w:val="none"/>
          <w:lang w:val="en-US" w:eastAsia="zh-CN"/>
        </w:rPr>
        <w:t>9</w:t>
      </w:r>
      <w:r>
        <w:rPr>
          <w:color w:val="auto"/>
          <w:sz w:val="24"/>
          <w:highlight w:val="none"/>
        </w:rPr>
        <w:t xml:space="preserve">  合同条款偏离表</w:t>
      </w:r>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宋体" w:hAnsi="宋体" w:eastAsia="宋体" w:cs="宋体"/>
          <w:color w:val="auto"/>
          <w:kern w:val="0"/>
          <w:sz w:val="24"/>
          <w:szCs w:val="24"/>
          <w:highlight w:val="none"/>
          <w:lang w:val="en-US" w:eastAsia="zh-CN" w:bidi="ar"/>
        </w:rPr>
        <w:t>（实质性格式）</w:t>
      </w:r>
    </w:p>
    <w:p w14:paraId="5A4C58B0">
      <w:pPr>
        <w:tabs>
          <w:tab w:val="left" w:pos="360"/>
        </w:tabs>
        <w:snapToGrid w:val="0"/>
        <w:spacing w:after="0" w:line="360" w:lineRule="auto"/>
        <w:outlineLvl w:val="1"/>
        <w:rPr>
          <w:color w:val="auto"/>
          <w:sz w:val="24"/>
          <w:szCs w:val="20"/>
          <w:highlight w:val="none"/>
        </w:rPr>
      </w:pPr>
    </w:p>
    <w:p w14:paraId="60D684C1">
      <w:pPr>
        <w:tabs>
          <w:tab w:val="left" w:pos="2775"/>
          <w:tab w:val="center" w:pos="4153"/>
        </w:tabs>
        <w:autoSpaceDE w:val="0"/>
        <w:autoSpaceDN w:val="0"/>
        <w:adjustRightInd w:val="0"/>
        <w:spacing w:after="0" w:line="360" w:lineRule="auto"/>
        <w:jc w:val="left"/>
        <w:rPr>
          <w:b/>
          <w:color w:val="auto"/>
          <w:sz w:val="36"/>
          <w:szCs w:val="36"/>
          <w:highlight w:val="none"/>
        </w:rPr>
      </w:pPr>
      <w:r>
        <w:rPr>
          <w:color w:val="auto"/>
          <w:sz w:val="36"/>
          <w:szCs w:val="36"/>
          <w:highlight w:val="none"/>
        </w:rPr>
        <w:tab/>
      </w:r>
      <w:r>
        <w:rPr>
          <w:b/>
          <w:color w:val="auto"/>
          <w:sz w:val="36"/>
          <w:szCs w:val="36"/>
          <w:highlight w:val="none"/>
        </w:rPr>
        <w:tab/>
      </w:r>
      <w:r>
        <w:rPr>
          <w:rFonts w:hint="eastAsia"/>
          <w:b/>
          <w:color w:val="auto"/>
          <w:sz w:val="36"/>
          <w:szCs w:val="36"/>
          <w:highlight w:val="none"/>
        </w:rPr>
        <w:t>合同条款偏离表</w:t>
      </w:r>
    </w:p>
    <w:p w14:paraId="405A46D9">
      <w:pPr>
        <w:tabs>
          <w:tab w:val="left" w:pos="1800"/>
          <w:tab w:val="left" w:pos="5580"/>
        </w:tabs>
        <w:spacing w:after="0" w:line="360" w:lineRule="auto"/>
        <w:jc w:val="left"/>
        <w:rPr>
          <w:color w:val="auto"/>
          <w:sz w:val="24"/>
          <w:highlight w:val="none"/>
        </w:rPr>
      </w:pPr>
      <w:r>
        <w:rPr>
          <w:color w:val="auto"/>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75"/>
        <w:gridCol w:w="1650"/>
        <w:gridCol w:w="1860"/>
        <w:gridCol w:w="1620"/>
        <w:gridCol w:w="1785"/>
        <w:gridCol w:w="1071"/>
      </w:tblGrid>
      <w:tr w14:paraId="24B1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27" w:type="dxa"/>
            <w:noWrap w:val="0"/>
            <w:vAlign w:val="center"/>
          </w:tcPr>
          <w:p w14:paraId="596DF045">
            <w:pPr>
              <w:adjustRightInd w:val="0"/>
              <w:snapToGrid w:val="0"/>
              <w:spacing w:after="0"/>
              <w:jc w:val="center"/>
              <w:rPr>
                <w:color w:val="auto"/>
                <w:sz w:val="24"/>
                <w:highlight w:val="none"/>
              </w:rPr>
            </w:pPr>
            <w:r>
              <w:rPr>
                <w:color w:val="auto"/>
                <w:sz w:val="24"/>
                <w:highlight w:val="none"/>
              </w:rPr>
              <w:t>序号</w:t>
            </w:r>
          </w:p>
        </w:tc>
        <w:tc>
          <w:tcPr>
            <w:tcW w:w="675" w:type="dxa"/>
            <w:noWrap w:val="0"/>
            <w:vAlign w:val="center"/>
          </w:tcPr>
          <w:p w14:paraId="22B2650A">
            <w:pPr>
              <w:adjustRightInd w:val="0"/>
              <w:snapToGrid w:val="0"/>
              <w:spacing w:after="0"/>
              <w:jc w:val="center"/>
              <w:rPr>
                <w:rFonts w:hint="eastAsia"/>
                <w:color w:val="auto"/>
                <w:sz w:val="24"/>
                <w:highlight w:val="none"/>
              </w:rPr>
            </w:pPr>
            <w:r>
              <w:rPr>
                <w:rFonts w:hint="eastAsia"/>
                <w:color w:val="auto"/>
                <w:sz w:val="24"/>
                <w:highlight w:val="none"/>
              </w:rPr>
              <w:t>包号</w:t>
            </w:r>
          </w:p>
        </w:tc>
        <w:tc>
          <w:tcPr>
            <w:tcW w:w="1650" w:type="dxa"/>
            <w:noWrap w:val="0"/>
            <w:vAlign w:val="center"/>
          </w:tcPr>
          <w:p w14:paraId="3B1E15BB">
            <w:pPr>
              <w:adjustRightInd w:val="0"/>
              <w:snapToGrid w:val="0"/>
              <w:spacing w:after="0"/>
              <w:jc w:val="center"/>
              <w:rPr>
                <w:color w:val="auto"/>
                <w:sz w:val="24"/>
                <w:highlight w:val="none"/>
              </w:rPr>
            </w:pPr>
            <w:r>
              <w:rPr>
                <w:color w:val="auto"/>
                <w:sz w:val="24"/>
                <w:szCs w:val="21"/>
                <w:highlight w:val="none"/>
              </w:rPr>
              <w:t>竞争性磋商文件</w:t>
            </w:r>
            <w:r>
              <w:rPr>
                <w:color w:val="auto"/>
                <w:sz w:val="24"/>
                <w:highlight w:val="none"/>
              </w:rPr>
              <w:t>条目号（页码）</w:t>
            </w:r>
          </w:p>
        </w:tc>
        <w:tc>
          <w:tcPr>
            <w:tcW w:w="1860" w:type="dxa"/>
            <w:noWrap w:val="0"/>
            <w:vAlign w:val="center"/>
          </w:tcPr>
          <w:p w14:paraId="211E2CB1">
            <w:pPr>
              <w:adjustRightInd w:val="0"/>
              <w:snapToGrid w:val="0"/>
              <w:spacing w:after="0"/>
              <w:jc w:val="center"/>
              <w:rPr>
                <w:color w:val="auto"/>
                <w:sz w:val="24"/>
                <w:highlight w:val="none"/>
              </w:rPr>
            </w:pPr>
            <w:r>
              <w:rPr>
                <w:color w:val="auto"/>
                <w:sz w:val="24"/>
                <w:szCs w:val="21"/>
                <w:highlight w:val="none"/>
              </w:rPr>
              <w:t>竞争性磋商文件</w:t>
            </w:r>
            <w:r>
              <w:rPr>
                <w:color w:val="auto"/>
                <w:sz w:val="24"/>
                <w:highlight w:val="none"/>
              </w:rPr>
              <w:t>要求</w:t>
            </w:r>
          </w:p>
        </w:tc>
        <w:tc>
          <w:tcPr>
            <w:tcW w:w="1620" w:type="dxa"/>
            <w:noWrap w:val="0"/>
            <w:vAlign w:val="center"/>
          </w:tcPr>
          <w:p w14:paraId="75D416AC">
            <w:pPr>
              <w:adjustRightInd w:val="0"/>
              <w:snapToGrid w:val="0"/>
              <w:spacing w:after="0"/>
              <w:jc w:val="center"/>
              <w:rPr>
                <w:color w:val="auto"/>
                <w:sz w:val="24"/>
                <w:highlight w:val="none"/>
              </w:rPr>
            </w:pPr>
            <w:r>
              <w:rPr>
                <w:color w:val="auto"/>
                <w:sz w:val="24"/>
                <w:highlight w:val="none"/>
              </w:rPr>
              <w:t>响应文件内容</w:t>
            </w:r>
          </w:p>
        </w:tc>
        <w:tc>
          <w:tcPr>
            <w:tcW w:w="1785" w:type="dxa"/>
            <w:noWrap w:val="0"/>
            <w:vAlign w:val="center"/>
          </w:tcPr>
          <w:p w14:paraId="258002E0">
            <w:pPr>
              <w:adjustRightInd w:val="0"/>
              <w:snapToGrid w:val="0"/>
              <w:spacing w:after="0"/>
              <w:jc w:val="center"/>
              <w:rPr>
                <w:color w:val="auto"/>
                <w:sz w:val="24"/>
                <w:highlight w:val="none"/>
              </w:rPr>
            </w:pPr>
            <w:r>
              <w:rPr>
                <w:color w:val="auto"/>
                <w:sz w:val="24"/>
                <w:highlight w:val="none"/>
              </w:rPr>
              <w:t>偏离情况</w:t>
            </w:r>
          </w:p>
          <w:p w14:paraId="0FFFE270">
            <w:pPr>
              <w:adjustRightInd w:val="0"/>
              <w:snapToGrid w:val="0"/>
              <w:spacing w:after="0"/>
              <w:jc w:val="center"/>
              <w:rPr>
                <w:color w:val="auto"/>
                <w:sz w:val="24"/>
                <w:highlight w:val="none"/>
              </w:rPr>
            </w:pPr>
            <w:r>
              <w:rPr>
                <w:color w:val="auto"/>
                <w:sz w:val="24"/>
                <w:highlight w:val="none"/>
              </w:rPr>
              <w:t>（据实填写）</w:t>
            </w:r>
          </w:p>
        </w:tc>
        <w:tc>
          <w:tcPr>
            <w:tcW w:w="1071" w:type="dxa"/>
            <w:noWrap w:val="0"/>
            <w:vAlign w:val="center"/>
          </w:tcPr>
          <w:p w14:paraId="3C4CE7E0">
            <w:pPr>
              <w:adjustRightInd w:val="0"/>
              <w:snapToGrid w:val="0"/>
              <w:spacing w:after="0"/>
              <w:jc w:val="center"/>
              <w:rPr>
                <w:color w:val="auto"/>
                <w:sz w:val="24"/>
                <w:highlight w:val="none"/>
              </w:rPr>
            </w:pPr>
            <w:r>
              <w:rPr>
                <w:color w:val="auto"/>
                <w:sz w:val="24"/>
                <w:highlight w:val="none"/>
              </w:rPr>
              <w:t>说明</w:t>
            </w:r>
          </w:p>
        </w:tc>
      </w:tr>
      <w:tr w14:paraId="63B4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288" w:type="dxa"/>
            <w:gridSpan w:val="7"/>
            <w:noWrap w:val="0"/>
            <w:vAlign w:val="center"/>
          </w:tcPr>
          <w:p w14:paraId="636B3795">
            <w:pPr>
              <w:pStyle w:val="250"/>
              <w:keepNext w:val="0"/>
              <w:keepLines w:val="0"/>
              <w:pageBreakBefore w:val="0"/>
              <w:widowControl w:val="0"/>
              <w:kinsoku/>
              <w:wordWrap/>
              <w:overflowPunct/>
              <w:topLinePunct w:val="0"/>
              <w:bidi w:val="0"/>
              <w:spacing w:before="1" w:after="0" w:line="360" w:lineRule="auto"/>
              <w:textAlignment w:val="auto"/>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对本项目合同条款的偏离情况（应进行选择，未选择响应无效）：</w:t>
            </w:r>
          </w:p>
          <w:p w14:paraId="23403F60">
            <w:pPr>
              <w:pStyle w:val="250"/>
              <w:keepNext w:val="0"/>
              <w:keepLines w:val="0"/>
              <w:pageBreakBefore w:val="0"/>
              <w:widowControl w:val="0"/>
              <w:kinsoku/>
              <w:wordWrap/>
              <w:overflowPunct/>
              <w:topLinePunct w:val="0"/>
              <w:bidi w:val="0"/>
              <w:spacing w:before="7" w:after="0" w:line="360" w:lineRule="auto"/>
              <w:ind w:right="94"/>
              <w:textAlignment w:val="auto"/>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□无偏离（如无偏离，仅选择无偏离即可；无偏离即为对合同条款中的所有要求，均视作供应商已对之理解和响应。）</w:t>
            </w:r>
          </w:p>
          <w:p w14:paraId="55FD56D0">
            <w:pPr>
              <w:keepNext w:val="0"/>
              <w:keepLines w:val="0"/>
              <w:pageBreakBefore w:val="0"/>
              <w:widowControl w:val="0"/>
              <w:kinsoku/>
              <w:wordWrap/>
              <w:overflowPunct/>
              <w:topLinePunct w:val="0"/>
              <w:bidi w:val="0"/>
              <w:adjustRightInd w:val="0"/>
              <w:snapToGrid w:val="0"/>
              <w:spacing w:after="0" w:line="360" w:lineRule="auto"/>
              <w:jc w:val="left"/>
              <w:textAlignment w:val="auto"/>
              <w:rPr>
                <w:color w:val="auto"/>
                <w:sz w:val="24"/>
                <w:highlight w:val="none"/>
              </w:rPr>
            </w:pPr>
            <w:r>
              <w:rPr>
                <w:rFonts w:hint="eastAsia" w:ascii="Times New Roman" w:hAnsi="Times New Roman" w:eastAsia="宋体" w:cs="Times New Roman"/>
                <w:b w:val="0"/>
                <w:bCs/>
                <w:color w:val="auto"/>
                <w:kern w:val="2"/>
                <w:sz w:val="24"/>
                <w:szCs w:val="24"/>
                <w:highlight w:val="none"/>
                <w:lang w:val="en-US" w:eastAsia="zh-CN" w:bidi="ar-SA"/>
              </w:rPr>
              <w:t>□有偏离（如有偏离，则应在本表中对负偏离项逐一列明，否则响应无效；对合同条款中的所有要求，除本表列明的偏离外，均视作供应商已对之理解和响应。）</w:t>
            </w:r>
          </w:p>
        </w:tc>
      </w:tr>
      <w:tr w14:paraId="5CF5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7" w:type="dxa"/>
            <w:noWrap w:val="0"/>
            <w:vAlign w:val="center"/>
          </w:tcPr>
          <w:p w14:paraId="6F52735E">
            <w:pPr>
              <w:adjustRightInd w:val="0"/>
              <w:snapToGrid w:val="0"/>
              <w:spacing w:after="0"/>
              <w:jc w:val="center"/>
              <w:rPr>
                <w:color w:val="auto"/>
                <w:sz w:val="24"/>
                <w:highlight w:val="none"/>
              </w:rPr>
            </w:pPr>
          </w:p>
        </w:tc>
        <w:tc>
          <w:tcPr>
            <w:tcW w:w="675" w:type="dxa"/>
            <w:noWrap w:val="0"/>
            <w:vAlign w:val="center"/>
          </w:tcPr>
          <w:p w14:paraId="4C1BE0FA">
            <w:pPr>
              <w:adjustRightInd w:val="0"/>
              <w:snapToGrid w:val="0"/>
              <w:spacing w:after="0"/>
              <w:jc w:val="center"/>
              <w:rPr>
                <w:color w:val="auto"/>
                <w:sz w:val="24"/>
                <w:highlight w:val="none"/>
              </w:rPr>
            </w:pPr>
          </w:p>
        </w:tc>
        <w:tc>
          <w:tcPr>
            <w:tcW w:w="1650" w:type="dxa"/>
            <w:noWrap w:val="0"/>
            <w:vAlign w:val="center"/>
          </w:tcPr>
          <w:p w14:paraId="440E4019">
            <w:pPr>
              <w:adjustRightInd w:val="0"/>
              <w:snapToGrid w:val="0"/>
              <w:spacing w:after="0"/>
              <w:jc w:val="center"/>
              <w:rPr>
                <w:color w:val="auto"/>
                <w:sz w:val="24"/>
                <w:highlight w:val="none"/>
              </w:rPr>
            </w:pPr>
          </w:p>
        </w:tc>
        <w:tc>
          <w:tcPr>
            <w:tcW w:w="1860" w:type="dxa"/>
            <w:noWrap w:val="0"/>
            <w:vAlign w:val="center"/>
          </w:tcPr>
          <w:p w14:paraId="55051E6B">
            <w:pPr>
              <w:adjustRightInd w:val="0"/>
              <w:snapToGrid w:val="0"/>
              <w:spacing w:after="0"/>
              <w:jc w:val="center"/>
              <w:rPr>
                <w:color w:val="auto"/>
                <w:sz w:val="24"/>
                <w:highlight w:val="none"/>
              </w:rPr>
            </w:pPr>
          </w:p>
        </w:tc>
        <w:tc>
          <w:tcPr>
            <w:tcW w:w="1620" w:type="dxa"/>
            <w:noWrap w:val="0"/>
            <w:vAlign w:val="center"/>
          </w:tcPr>
          <w:p w14:paraId="4EB8F573">
            <w:pPr>
              <w:adjustRightInd w:val="0"/>
              <w:snapToGrid w:val="0"/>
              <w:spacing w:after="0"/>
              <w:jc w:val="center"/>
              <w:rPr>
                <w:color w:val="auto"/>
                <w:sz w:val="24"/>
                <w:highlight w:val="none"/>
              </w:rPr>
            </w:pPr>
          </w:p>
        </w:tc>
        <w:tc>
          <w:tcPr>
            <w:tcW w:w="1785" w:type="dxa"/>
            <w:noWrap w:val="0"/>
            <w:vAlign w:val="center"/>
          </w:tcPr>
          <w:p w14:paraId="79BD6F6B">
            <w:pPr>
              <w:adjustRightInd w:val="0"/>
              <w:snapToGrid w:val="0"/>
              <w:spacing w:after="0"/>
              <w:jc w:val="center"/>
              <w:rPr>
                <w:color w:val="auto"/>
                <w:sz w:val="24"/>
                <w:highlight w:val="none"/>
              </w:rPr>
            </w:pPr>
          </w:p>
        </w:tc>
        <w:tc>
          <w:tcPr>
            <w:tcW w:w="1071" w:type="dxa"/>
            <w:noWrap w:val="0"/>
            <w:vAlign w:val="center"/>
          </w:tcPr>
          <w:p w14:paraId="202E0F23">
            <w:pPr>
              <w:adjustRightInd w:val="0"/>
              <w:snapToGrid w:val="0"/>
              <w:spacing w:after="0"/>
              <w:jc w:val="center"/>
              <w:rPr>
                <w:color w:val="auto"/>
                <w:sz w:val="24"/>
                <w:highlight w:val="none"/>
              </w:rPr>
            </w:pPr>
          </w:p>
        </w:tc>
      </w:tr>
      <w:tr w14:paraId="16D7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7" w:type="dxa"/>
            <w:noWrap w:val="0"/>
            <w:vAlign w:val="center"/>
          </w:tcPr>
          <w:p w14:paraId="23640DB3">
            <w:pPr>
              <w:adjustRightInd w:val="0"/>
              <w:snapToGrid w:val="0"/>
              <w:spacing w:after="0"/>
              <w:jc w:val="center"/>
              <w:rPr>
                <w:color w:val="auto"/>
                <w:sz w:val="24"/>
                <w:highlight w:val="none"/>
              </w:rPr>
            </w:pPr>
          </w:p>
        </w:tc>
        <w:tc>
          <w:tcPr>
            <w:tcW w:w="675" w:type="dxa"/>
            <w:noWrap w:val="0"/>
            <w:vAlign w:val="center"/>
          </w:tcPr>
          <w:p w14:paraId="66F10F91">
            <w:pPr>
              <w:adjustRightInd w:val="0"/>
              <w:snapToGrid w:val="0"/>
              <w:spacing w:after="0"/>
              <w:jc w:val="center"/>
              <w:rPr>
                <w:color w:val="auto"/>
                <w:sz w:val="24"/>
                <w:highlight w:val="none"/>
              </w:rPr>
            </w:pPr>
          </w:p>
        </w:tc>
        <w:tc>
          <w:tcPr>
            <w:tcW w:w="1650" w:type="dxa"/>
            <w:noWrap w:val="0"/>
            <w:vAlign w:val="center"/>
          </w:tcPr>
          <w:p w14:paraId="49F25587">
            <w:pPr>
              <w:adjustRightInd w:val="0"/>
              <w:snapToGrid w:val="0"/>
              <w:spacing w:after="0"/>
              <w:jc w:val="center"/>
              <w:rPr>
                <w:color w:val="auto"/>
                <w:sz w:val="24"/>
                <w:highlight w:val="none"/>
              </w:rPr>
            </w:pPr>
          </w:p>
        </w:tc>
        <w:tc>
          <w:tcPr>
            <w:tcW w:w="1860" w:type="dxa"/>
            <w:noWrap w:val="0"/>
            <w:vAlign w:val="center"/>
          </w:tcPr>
          <w:p w14:paraId="4B7AC24B">
            <w:pPr>
              <w:adjustRightInd w:val="0"/>
              <w:snapToGrid w:val="0"/>
              <w:spacing w:after="0"/>
              <w:jc w:val="center"/>
              <w:rPr>
                <w:color w:val="auto"/>
                <w:sz w:val="24"/>
                <w:highlight w:val="none"/>
              </w:rPr>
            </w:pPr>
          </w:p>
        </w:tc>
        <w:tc>
          <w:tcPr>
            <w:tcW w:w="1620" w:type="dxa"/>
            <w:noWrap w:val="0"/>
            <w:vAlign w:val="center"/>
          </w:tcPr>
          <w:p w14:paraId="7A8EA135">
            <w:pPr>
              <w:adjustRightInd w:val="0"/>
              <w:snapToGrid w:val="0"/>
              <w:spacing w:after="0"/>
              <w:jc w:val="center"/>
              <w:rPr>
                <w:color w:val="auto"/>
                <w:sz w:val="24"/>
                <w:highlight w:val="none"/>
              </w:rPr>
            </w:pPr>
          </w:p>
        </w:tc>
        <w:tc>
          <w:tcPr>
            <w:tcW w:w="1785" w:type="dxa"/>
            <w:noWrap w:val="0"/>
            <w:vAlign w:val="center"/>
          </w:tcPr>
          <w:p w14:paraId="74A265EB">
            <w:pPr>
              <w:adjustRightInd w:val="0"/>
              <w:snapToGrid w:val="0"/>
              <w:spacing w:after="0"/>
              <w:jc w:val="center"/>
              <w:rPr>
                <w:color w:val="auto"/>
                <w:sz w:val="24"/>
                <w:highlight w:val="none"/>
              </w:rPr>
            </w:pPr>
          </w:p>
        </w:tc>
        <w:tc>
          <w:tcPr>
            <w:tcW w:w="1071" w:type="dxa"/>
            <w:noWrap w:val="0"/>
            <w:vAlign w:val="center"/>
          </w:tcPr>
          <w:p w14:paraId="66C73914">
            <w:pPr>
              <w:adjustRightInd w:val="0"/>
              <w:snapToGrid w:val="0"/>
              <w:spacing w:after="0"/>
              <w:jc w:val="center"/>
              <w:rPr>
                <w:color w:val="auto"/>
                <w:sz w:val="24"/>
                <w:highlight w:val="none"/>
              </w:rPr>
            </w:pPr>
          </w:p>
        </w:tc>
      </w:tr>
      <w:tr w14:paraId="070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7" w:type="dxa"/>
            <w:noWrap w:val="0"/>
            <w:vAlign w:val="center"/>
          </w:tcPr>
          <w:p w14:paraId="2B3A5019">
            <w:pPr>
              <w:adjustRightInd w:val="0"/>
              <w:snapToGrid w:val="0"/>
              <w:spacing w:after="0"/>
              <w:jc w:val="center"/>
              <w:rPr>
                <w:color w:val="auto"/>
                <w:sz w:val="24"/>
                <w:highlight w:val="none"/>
              </w:rPr>
            </w:pPr>
          </w:p>
        </w:tc>
        <w:tc>
          <w:tcPr>
            <w:tcW w:w="675" w:type="dxa"/>
            <w:noWrap w:val="0"/>
            <w:vAlign w:val="center"/>
          </w:tcPr>
          <w:p w14:paraId="4D1AC4F2">
            <w:pPr>
              <w:adjustRightInd w:val="0"/>
              <w:snapToGrid w:val="0"/>
              <w:spacing w:after="0"/>
              <w:jc w:val="center"/>
              <w:rPr>
                <w:color w:val="auto"/>
                <w:sz w:val="24"/>
                <w:highlight w:val="none"/>
              </w:rPr>
            </w:pPr>
          </w:p>
        </w:tc>
        <w:tc>
          <w:tcPr>
            <w:tcW w:w="1650" w:type="dxa"/>
            <w:noWrap w:val="0"/>
            <w:vAlign w:val="center"/>
          </w:tcPr>
          <w:p w14:paraId="230CCD9F">
            <w:pPr>
              <w:adjustRightInd w:val="0"/>
              <w:snapToGrid w:val="0"/>
              <w:spacing w:after="0"/>
              <w:jc w:val="center"/>
              <w:rPr>
                <w:color w:val="auto"/>
                <w:sz w:val="24"/>
                <w:highlight w:val="none"/>
              </w:rPr>
            </w:pPr>
          </w:p>
        </w:tc>
        <w:tc>
          <w:tcPr>
            <w:tcW w:w="1860" w:type="dxa"/>
            <w:noWrap w:val="0"/>
            <w:vAlign w:val="center"/>
          </w:tcPr>
          <w:p w14:paraId="56B3ACE3">
            <w:pPr>
              <w:adjustRightInd w:val="0"/>
              <w:snapToGrid w:val="0"/>
              <w:spacing w:after="0"/>
              <w:jc w:val="center"/>
              <w:rPr>
                <w:color w:val="auto"/>
                <w:sz w:val="24"/>
                <w:highlight w:val="none"/>
              </w:rPr>
            </w:pPr>
          </w:p>
        </w:tc>
        <w:tc>
          <w:tcPr>
            <w:tcW w:w="1620" w:type="dxa"/>
            <w:noWrap w:val="0"/>
            <w:vAlign w:val="center"/>
          </w:tcPr>
          <w:p w14:paraId="2EBAC6D1">
            <w:pPr>
              <w:adjustRightInd w:val="0"/>
              <w:snapToGrid w:val="0"/>
              <w:spacing w:after="0"/>
              <w:jc w:val="center"/>
              <w:rPr>
                <w:color w:val="auto"/>
                <w:sz w:val="24"/>
                <w:highlight w:val="none"/>
              </w:rPr>
            </w:pPr>
          </w:p>
        </w:tc>
        <w:tc>
          <w:tcPr>
            <w:tcW w:w="1785" w:type="dxa"/>
            <w:noWrap w:val="0"/>
            <w:vAlign w:val="center"/>
          </w:tcPr>
          <w:p w14:paraId="75BB6762">
            <w:pPr>
              <w:adjustRightInd w:val="0"/>
              <w:snapToGrid w:val="0"/>
              <w:spacing w:after="0"/>
              <w:jc w:val="center"/>
              <w:rPr>
                <w:color w:val="auto"/>
                <w:sz w:val="24"/>
                <w:highlight w:val="none"/>
              </w:rPr>
            </w:pPr>
          </w:p>
        </w:tc>
        <w:tc>
          <w:tcPr>
            <w:tcW w:w="1071" w:type="dxa"/>
            <w:noWrap w:val="0"/>
            <w:vAlign w:val="center"/>
          </w:tcPr>
          <w:p w14:paraId="47EF46CF">
            <w:pPr>
              <w:adjustRightInd w:val="0"/>
              <w:snapToGrid w:val="0"/>
              <w:spacing w:after="0"/>
              <w:jc w:val="center"/>
              <w:rPr>
                <w:color w:val="auto"/>
                <w:sz w:val="24"/>
                <w:highlight w:val="none"/>
              </w:rPr>
            </w:pPr>
          </w:p>
        </w:tc>
      </w:tr>
      <w:tr w14:paraId="2852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7" w:type="dxa"/>
            <w:noWrap w:val="0"/>
            <w:vAlign w:val="center"/>
          </w:tcPr>
          <w:p w14:paraId="5722D6C0">
            <w:pPr>
              <w:adjustRightInd w:val="0"/>
              <w:snapToGrid w:val="0"/>
              <w:spacing w:after="0"/>
              <w:jc w:val="center"/>
              <w:rPr>
                <w:color w:val="auto"/>
                <w:sz w:val="24"/>
                <w:highlight w:val="none"/>
              </w:rPr>
            </w:pPr>
          </w:p>
        </w:tc>
        <w:tc>
          <w:tcPr>
            <w:tcW w:w="675" w:type="dxa"/>
            <w:noWrap w:val="0"/>
            <w:vAlign w:val="center"/>
          </w:tcPr>
          <w:p w14:paraId="7977912C">
            <w:pPr>
              <w:adjustRightInd w:val="0"/>
              <w:snapToGrid w:val="0"/>
              <w:spacing w:after="0"/>
              <w:jc w:val="center"/>
              <w:rPr>
                <w:color w:val="auto"/>
                <w:sz w:val="24"/>
                <w:highlight w:val="none"/>
              </w:rPr>
            </w:pPr>
          </w:p>
        </w:tc>
        <w:tc>
          <w:tcPr>
            <w:tcW w:w="1650" w:type="dxa"/>
            <w:noWrap w:val="0"/>
            <w:vAlign w:val="center"/>
          </w:tcPr>
          <w:p w14:paraId="06600E0F">
            <w:pPr>
              <w:adjustRightInd w:val="0"/>
              <w:snapToGrid w:val="0"/>
              <w:spacing w:after="0"/>
              <w:jc w:val="center"/>
              <w:rPr>
                <w:color w:val="auto"/>
                <w:sz w:val="24"/>
                <w:highlight w:val="none"/>
              </w:rPr>
            </w:pPr>
          </w:p>
        </w:tc>
        <w:tc>
          <w:tcPr>
            <w:tcW w:w="1860" w:type="dxa"/>
            <w:noWrap w:val="0"/>
            <w:vAlign w:val="center"/>
          </w:tcPr>
          <w:p w14:paraId="44C8736D">
            <w:pPr>
              <w:adjustRightInd w:val="0"/>
              <w:snapToGrid w:val="0"/>
              <w:spacing w:after="0"/>
              <w:jc w:val="center"/>
              <w:rPr>
                <w:color w:val="auto"/>
                <w:sz w:val="24"/>
                <w:highlight w:val="none"/>
              </w:rPr>
            </w:pPr>
          </w:p>
        </w:tc>
        <w:tc>
          <w:tcPr>
            <w:tcW w:w="1620" w:type="dxa"/>
            <w:noWrap w:val="0"/>
            <w:vAlign w:val="center"/>
          </w:tcPr>
          <w:p w14:paraId="429038F3">
            <w:pPr>
              <w:adjustRightInd w:val="0"/>
              <w:snapToGrid w:val="0"/>
              <w:spacing w:after="0"/>
              <w:jc w:val="center"/>
              <w:rPr>
                <w:color w:val="auto"/>
                <w:sz w:val="24"/>
                <w:highlight w:val="none"/>
              </w:rPr>
            </w:pPr>
          </w:p>
        </w:tc>
        <w:tc>
          <w:tcPr>
            <w:tcW w:w="1785" w:type="dxa"/>
            <w:noWrap w:val="0"/>
            <w:vAlign w:val="center"/>
          </w:tcPr>
          <w:p w14:paraId="288876C5">
            <w:pPr>
              <w:adjustRightInd w:val="0"/>
              <w:snapToGrid w:val="0"/>
              <w:spacing w:after="0"/>
              <w:jc w:val="center"/>
              <w:rPr>
                <w:color w:val="auto"/>
                <w:sz w:val="24"/>
                <w:highlight w:val="none"/>
              </w:rPr>
            </w:pPr>
          </w:p>
        </w:tc>
        <w:tc>
          <w:tcPr>
            <w:tcW w:w="1071" w:type="dxa"/>
            <w:noWrap w:val="0"/>
            <w:vAlign w:val="center"/>
          </w:tcPr>
          <w:p w14:paraId="4DE408A7">
            <w:pPr>
              <w:adjustRightInd w:val="0"/>
              <w:snapToGrid w:val="0"/>
              <w:spacing w:after="0"/>
              <w:jc w:val="center"/>
              <w:rPr>
                <w:color w:val="auto"/>
                <w:sz w:val="24"/>
                <w:highlight w:val="none"/>
              </w:rPr>
            </w:pPr>
          </w:p>
        </w:tc>
      </w:tr>
    </w:tbl>
    <w:p w14:paraId="264B14C6">
      <w:pPr>
        <w:tabs>
          <w:tab w:val="left" w:pos="1800"/>
          <w:tab w:val="left" w:pos="5580"/>
        </w:tabs>
        <w:spacing w:after="0"/>
        <w:jc w:val="left"/>
        <w:rPr>
          <w:color w:val="auto"/>
          <w:sz w:val="24"/>
          <w:highlight w:val="none"/>
        </w:rPr>
      </w:pPr>
      <w:r>
        <w:rPr>
          <w:rFonts w:hint="eastAsia"/>
          <w:color w:val="auto"/>
          <w:sz w:val="24"/>
          <w:highlight w:val="none"/>
          <w:lang w:val="en-US" w:eastAsia="zh-CN"/>
        </w:rPr>
        <w:t>注：</w:t>
      </w:r>
      <w:r>
        <w:rPr>
          <w:rFonts w:hint="eastAsia"/>
          <w:color w:val="auto"/>
          <w:sz w:val="24"/>
          <w:highlight w:val="none"/>
        </w:rPr>
        <w:t>“偏离情况”列应据实填写“正偏离”或“负偏离”。</w:t>
      </w:r>
    </w:p>
    <w:p w14:paraId="311AA864">
      <w:pPr>
        <w:spacing w:after="0" w:line="360" w:lineRule="auto"/>
        <w:rPr>
          <w:color w:val="auto"/>
          <w:sz w:val="24"/>
          <w:szCs w:val="20"/>
          <w:highlight w:val="none"/>
        </w:rPr>
      </w:pPr>
    </w:p>
    <w:p w14:paraId="71D184F0">
      <w:pPr>
        <w:autoSpaceDE w:val="0"/>
        <w:autoSpaceDN w:val="0"/>
        <w:adjustRightInd w:val="0"/>
        <w:snapToGrid w:val="0"/>
        <w:spacing w:before="25" w:after="0"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_______________</w:t>
      </w:r>
    </w:p>
    <w:p w14:paraId="4AE930FE">
      <w:pPr>
        <w:autoSpaceDE w:val="0"/>
        <w:autoSpaceDN w:val="0"/>
        <w:adjustRightInd w:val="0"/>
        <w:snapToGrid w:val="0"/>
        <w:spacing w:before="25" w:after="0" w:line="360" w:lineRule="auto"/>
        <w:rPr>
          <w:color w:val="auto"/>
          <w:sz w:val="24"/>
          <w:highlight w:val="none"/>
          <w:lang w:val="zh-CN"/>
        </w:rPr>
      </w:pPr>
      <w:r>
        <w:rPr>
          <w:color w:val="auto"/>
          <w:sz w:val="24"/>
          <w:szCs w:val="20"/>
          <w:highlight w:val="none"/>
        </w:rPr>
        <w:t xml:space="preserve">日期：____年____月____日    </w:t>
      </w:r>
    </w:p>
    <w:p w14:paraId="5C0D4696">
      <w:pPr>
        <w:keepNext w:val="0"/>
        <w:keepLines w:val="0"/>
        <w:widowControl/>
        <w:suppressLineNumbers w:val="0"/>
        <w:spacing w:after="0"/>
        <w:jc w:val="left"/>
        <w:rPr>
          <w:color w:val="auto"/>
          <w:highlight w:val="none"/>
        </w:rPr>
      </w:pPr>
      <w:r>
        <w:rPr>
          <w:color w:val="auto"/>
          <w:sz w:val="24"/>
          <w:szCs w:val="20"/>
          <w:highlight w:val="none"/>
        </w:rPr>
        <w:br w:type="page"/>
      </w:r>
      <w:r>
        <w:rPr>
          <w:rFonts w:hint="eastAsia"/>
          <w:color w:val="auto"/>
          <w:sz w:val="24"/>
          <w:highlight w:val="none"/>
          <w:lang w:val="en-US" w:eastAsia="zh-CN"/>
        </w:rPr>
        <w:t>10</w:t>
      </w:r>
      <w:r>
        <w:rPr>
          <w:color w:val="auto"/>
          <w:sz w:val="24"/>
          <w:highlight w:val="none"/>
        </w:rPr>
        <w:t xml:space="preserve"> </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auto"/>
          <w:sz w:val="24"/>
          <w:highlight w:val="none"/>
        </w:rPr>
        <w:t>采购需求偏离表</w:t>
      </w:r>
      <w:r>
        <w:rPr>
          <w:rFonts w:hint="eastAsia" w:ascii="宋体" w:hAnsi="宋体" w:eastAsia="宋体" w:cs="宋体"/>
          <w:color w:val="auto"/>
          <w:kern w:val="0"/>
          <w:sz w:val="24"/>
          <w:szCs w:val="24"/>
          <w:highlight w:val="none"/>
          <w:lang w:val="en-US" w:eastAsia="zh-CN" w:bidi="ar"/>
        </w:rPr>
        <w:t>（实质性格式）</w:t>
      </w:r>
    </w:p>
    <w:p w14:paraId="00F3F36F">
      <w:pPr>
        <w:tabs>
          <w:tab w:val="left" w:pos="360"/>
        </w:tabs>
        <w:snapToGrid w:val="0"/>
        <w:spacing w:after="0" w:line="360" w:lineRule="auto"/>
        <w:outlineLvl w:val="1"/>
        <w:rPr>
          <w:color w:val="auto"/>
          <w:sz w:val="24"/>
          <w:szCs w:val="20"/>
          <w:highlight w:val="none"/>
        </w:rPr>
      </w:pPr>
    </w:p>
    <w:p w14:paraId="7F024D19">
      <w:pPr>
        <w:autoSpaceDE w:val="0"/>
        <w:autoSpaceDN w:val="0"/>
        <w:adjustRightInd w:val="0"/>
        <w:spacing w:after="0" w:line="360" w:lineRule="auto"/>
        <w:jc w:val="center"/>
        <w:rPr>
          <w:b/>
          <w:color w:val="auto"/>
          <w:sz w:val="36"/>
          <w:szCs w:val="36"/>
          <w:highlight w:val="none"/>
        </w:rPr>
      </w:pPr>
      <w:r>
        <w:rPr>
          <w:rFonts w:hint="eastAsia"/>
          <w:b/>
          <w:color w:val="auto"/>
          <w:sz w:val="36"/>
          <w:szCs w:val="36"/>
          <w:highlight w:val="none"/>
        </w:rPr>
        <w:t>采购需求偏离表</w:t>
      </w:r>
    </w:p>
    <w:p w14:paraId="5FB13C75">
      <w:pPr>
        <w:tabs>
          <w:tab w:val="left" w:pos="1800"/>
          <w:tab w:val="left" w:pos="5580"/>
        </w:tabs>
        <w:spacing w:after="0" w:line="360" w:lineRule="auto"/>
        <w:ind w:firstLine="360" w:firstLineChars="150"/>
        <w:jc w:val="left"/>
        <w:rPr>
          <w:color w:val="auto"/>
          <w:sz w:val="24"/>
          <w:highlight w:val="none"/>
        </w:rPr>
      </w:pPr>
      <w:r>
        <w:rPr>
          <w:color w:val="auto"/>
          <w:sz w:val="24"/>
          <w:highlight w:val="none"/>
        </w:rPr>
        <w:t>项目编号/包号：_______________     项目名称：_______________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717"/>
        <w:gridCol w:w="2064"/>
        <w:gridCol w:w="1973"/>
        <w:gridCol w:w="1358"/>
        <w:gridCol w:w="1618"/>
        <w:gridCol w:w="880"/>
      </w:tblGrid>
      <w:tr w14:paraId="6954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63" w:type="pct"/>
            <w:noWrap w:val="0"/>
            <w:vAlign w:val="center"/>
          </w:tcPr>
          <w:p w14:paraId="00B8AD8C">
            <w:pPr>
              <w:adjustRightInd w:val="0"/>
              <w:snapToGrid w:val="0"/>
              <w:spacing w:after="0"/>
              <w:jc w:val="center"/>
              <w:rPr>
                <w:color w:val="auto"/>
                <w:sz w:val="24"/>
                <w:highlight w:val="none"/>
              </w:rPr>
            </w:pPr>
            <w:r>
              <w:rPr>
                <w:color w:val="auto"/>
                <w:sz w:val="24"/>
                <w:highlight w:val="none"/>
              </w:rPr>
              <w:t>序号</w:t>
            </w:r>
          </w:p>
        </w:tc>
        <w:tc>
          <w:tcPr>
            <w:tcW w:w="386" w:type="pct"/>
            <w:noWrap w:val="0"/>
            <w:vAlign w:val="center"/>
          </w:tcPr>
          <w:p w14:paraId="1D03CA6D">
            <w:pPr>
              <w:adjustRightInd w:val="0"/>
              <w:snapToGrid w:val="0"/>
              <w:spacing w:after="0"/>
              <w:jc w:val="center"/>
              <w:rPr>
                <w:rFonts w:hint="eastAsia"/>
                <w:color w:val="auto"/>
                <w:sz w:val="24"/>
                <w:highlight w:val="none"/>
              </w:rPr>
            </w:pPr>
            <w:r>
              <w:rPr>
                <w:rFonts w:hint="eastAsia"/>
                <w:color w:val="auto"/>
                <w:sz w:val="24"/>
                <w:highlight w:val="none"/>
              </w:rPr>
              <w:t>包号</w:t>
            </w:r>
          </w:p>
        </w:tc>
        <w:tc>
          <w:tcPr>
            <w:tcW w:w="1111" w:type="pct"/>
            <w:noWrap w:val="0"/>
            <w:vAlign w:val="center"/>
          </w:tcPr>
          <w:p w14:paraId="2068CB3A">
            <w:pPr>
              <w:adjustRightInd w:val="0"/>
              <w:snapToGrid w:val="0"/>
              <w:spacing w:after="0"/>
              <w:jc w:val="center"/>
              <w:rPr>
                <w:color w:val="auto"/>
                <w:sz w:val="24"/>
                <w:highlight w:val="none"/>
              </w:rPr>
            </w:pPr>
            <w:r>
              <w:rPr>
                <w:color w:val="auto"/>
                <w:sz w:val="24"/>
                <w:highlight w:val="none"/>
              </w:rPr>
              <w:t>竞争性磋商文件条目号(页码)</w:t>
            </w:r>
          </w:p>
        </w:tc>
        <w:tc>
          <w:tcPr>
            <w:tcW w:w="1062" w:type="pct"/>
            <w:noWrap w:val="0"/>
            <w:vAlign w:val="center"/>
          </w:tcPr>
          <w:p w14:paraId="78F99AC6">
            <w:pPr>
              <w:adjustRightInd w:val="0"/>
              <w:snapToGrid w:val="0"/>
              <w:spacing w:after="0"/>
              <w:jc w:val="center"/>
              <w:rPr>
                <w:color w:val="auto"/>
                <w:sz w:val="24"/>
                <w:highlight w:val="none"/>
              </w:rPr>
            </w:pPr>
            <w:r>
              <w:rPr>
                <w:color w:val="auto"/>
                <w:sz w:val="24"/>
                <w:highlight w:val="none"/>
              </w:rPr>
              <w:t>竞争性磋商文件要求</w:t>
            </w:r>
          </w:p>
        </w:tc>
        <w:tc>
          <w:tcPr>
            <w:tcW w:w="731" w:type="pct"/>
            <w:noWrap w:val="0"/>
            <w:vAlign w:val="center"/>
          </w:tcPr>
          <w:p w14:paraId="3D2EBC7F">
            <w:pPr>
              <w:adjustRightInd w:val="0"/>
              <w:snapToGrid w:val="0"/>
              <w:spacing w:after="0"/>
              <w:jc w:val="center"/>
              <w:rPr>
                <w:color w:val="auto"/>
                <w:sz w:val="24"/>
                <w:highlight w:val="none"/>
              </w:rPr>
            </w:pPr>
            <w:r>
              <w:rPr>
                <w:color w:val="auto"/>
                <w:sz w:val="24"/>
                <w:highlight w:val="none"/>
              </w:rPr>
              <w:t>响应内容</w:t>
            </w:r>
          </w:p>
        </w:tc>
        <w:tc>
          <w:tcPr>
            <w:tcW w:w="871" w:type="pct"/>
            <w:noWrap w:val="0"/>
            <w:vAlign w:val="center"/>
          </w:tcPr>
          <w:p w14:paraId="396B1E16">
            <w:pPr>
              <w:adjustRightInd w:val="0"/>
              <w:snapToGrid w:val="0"/>
              <w:spacing w:after="0"/>
              <w:jc w:val="center"/>
              <w:rPr>
                <w:color w:val="auto"/>
                <w:sz w:val="24"/>
                <w:highlight w:val="none"/>
              </w:rPr>
            </w:pPr>
            <w:r>
              <w:rPr>
                <w:color w:val="auto"/>
                <w:sz w:val="24"/>
                <w:highlight w:val="none"/>
              </w:rPr>
              <w:t>偏离情况</w:t>
            </w:r>
          </w:p>
          <w:p w14:paraId="15916F15">
            <w:pPr>
              <w:adjustRightInd w:val="0"/>
              <w:snapToGrid w:val="0"/>
              <w:spacing w:after="0"/>
              <w:jc w:val="center"/>
              <w:rPr>
                <w:color w:val="auto"/>
                <w:sz w:val="24"/>
                <w:highlight w:val="none"/>
              </w:rPr>
            </w:pPr>
            <w:r>
              <w:rPr>
                <w:color w:val="auto"/>
                <w:sz w:val="24"/>
                <w:szCs w:val="21"/>
                <w:highlight w:val="none"/>
              </w:rPr>
              <w:t>（据实填写）</w:t>
            </w:r>
          </w:p>
        </w:tc>
        <w:tc>
          <w:tcPr>
            <w:tcW w:w="473" w:type="pct"/>
            <w:noWrap w:val="0"/>
            <w:vAlign w:val="center"/>
          </w:tcPr>
          <w:p w14:paraId="5C6D6310">
            <w:pPr>
              <w:adjustRightInd w:val="0"/>
              <w:snapToGrid w:val="0"/>
              <w:spacing w:after="0"/>
              <w:jc w:val="center"/>
              <w:rPr>
                <w:color w:val="auto"/>
                <w:sz w:val="24"/>
                <w:highlight w:val="none"/>
              </w:rPr>
            </w:pPr>
            <w:r>
              <w:rPr>
                <w:color w:val="auto"/>
                <w:sz w:val="24"/>
                <w:highlight w:val="none"/>
              </w:rPr>
              <w:t>说明</w:t>
            </w:r>
          </w:p>
        </w:tc>
      </w:tr>
      <w:tr w14:paraId="1808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noWrap w:val="0"/>
            <w:vAlign w:val="center"/>
          </w:tcPr>
          <w:p w14:paraId="36BFE626">
            <w:pPr>
              <w:adjustRightInd w:val="0"/>
              <w:snapToGrid w:val="0"/>
              <w:spacing w:after="0"/>
              <w:jc w:val="center"/>
              <w:rPr>
                <w:color w:val="auto"/>
                <w:sz w:val="24"/>
                <w:highlight w:val="none"/>
              </w:rPr>
            </w:pPr>
          </w:p>
        </w:tc>
        <w:tc>
          <w:tcPr>
            <w:tcW w:w="386" w:type="pct"/>
            <w:noWrap w:val="0"/>
            <w:vAlign w:val="center"/>
          </w:tcPr>
          <w:p w14:paraId="5EF28D16">
            <w:pPr>
              <w:adjustRightInd w:val="0"/>
              <w:snapToGrid w:val="0"/>
              <w:spacing w:after="0"/>
              <w:jc w:val="center"/>
              <w:rPr>
                <w:color w:val="auto"/>
                <w:sz w:val="24"/>
                <w:highlight w:val="none"/>
              </w:rPr>
            </w:pPr>
          </w:p>
        </w:tc>
        <w:tc>
          <w:tcPr>
            <w:tcW w:w="1111" w:type="pct"/>
            <w:noWrap w:val="0"/>
            <w:vAlign w:val="center"/>
          </w:tcPr>
          <w:p w14:paraId="3D044AF7">
            <w:pPr>
              <w:adjustRightInd w:val="0"/>
              <w:snapToGrid w:val="0"/>
              <w:spacing w:after="0"/>
              <w:jc w:val="center"/>
              <w:rPr>
                <w:color w:val="auto"/>
                <w:sz w:val="24"/>
                <w:highlight w:val="none"/>
              </w:rPr>
            </w:pPr>
          </w:p>
        </w:tc>
        <w:tc>
          <w:tcPr>
            <w:tcW w:w="1062" w:type="pct"/>
            <w:noWrap w:val="0"/>
            <w:vAlign w:val="center"/>
          </w:tcPr>
          <w:p w14:paraId="3A17FC4B">
            <w:pPr>
              <w:adjustRightInd w:val="0"/>
              <w:snapToGrid w:val="0"/>
              <w:spacing w:after="0"/>
              <w:jc w:val="center"/>
              <w:rPr>
                <w:color w:val="auto"/>
                <w:sz w:val="24"/>
                <w:highlight w:val="none"/>
              </w:rPr>
            </w:pPr>
          </w:p>
        </w:tc>
        <w:tc>
          <w:tcPr>
            <w:tcW w:w="731" w:type="pct"/>
            <w:noWrap w:val="0"/>
            <w:vAlign w:val="center"/>
          </w:tcPr>
          <w:p w14:paraId="3BA54286">
            <w:pPr>
              <w:adjustRightInd w:val="0"/>
              <w:snapToGrid w:val="0"/>
              <w:spacing w:after="0"/>
              <w:jc w:val="center"/>
              <w:rPr>
                <w:color w:val="auto"/>
                <w:sz w:val="24"/>
                <w:highlight w:val="none"/>
              </w:rPr>
            </w:pPr>
          </w:p>
        </w:tc>
        <w:tc>
          <w:tcPr>
            <w:tcW w:w="871" w:type="pct"/>
            <w:noWrap w:val="0"/>
            <w:vAlign w:val="center"/>
          </w:tcPr>
          <w:p w14:paraId="34F1C952">
            <w:pPr>
              <w:adjustRightInd w:val="0"/>
              <w:snapToGrid w:val="0"/>
              <w:spacing w:after="0"/>
              <w:jc w:val="center"/>
              <w:rPr>
                <w:color w:val="auto"/>
                <w:sz w:val="24"/>
                <w:highlight w:val="none"/>
              </w:rPr>
            </w:pPr>
          </w:p>
        </w:tc>
        <w:tc>
          <w:tcPr>
            <w:tcW w:w="473" w:type="pct"/>
            <w:noWrap w:val="0"/>
            <w:vAlign w:val="center"/>
          </w:tcPr>
          <w:p w14:paraId="559E5BF6">
            <w:pPr>
              <w:adjustRightInd w:val="0"/>
              <w:snapToGrid w:val="0"/>
              <w:spacing w:after="0"/>
              <w:jc w:val="center"/>
              <w:rPr>
                <w:color w:val="auto"/>
                <w:sz w:val="24"/>
                <w:highlight w:val="none"/>
              </w:rPr>
            </w:pPr>
          </w:p>
        </w:tc>
      </w:tr>
      <w:tr w14:paraId="07D0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noWrap w:val="0"/>
            <w:vAlign w:val="center"/>
          </w:tcPr>
          <w:p w14:paraId="10D0F1C5">
            <w:pPr>
              <w:adjustRightInd w:val="0"/>
              <w:snapToGrid w:val="0"/>
              <w:spacing w:after="0"/>
              <w:jc w:val="center"/>
              <w:rPr>
                <w:color w:val="auto"/>
                <w:sz w:val="24"/>
                <w:highlight w:val="none"/>
              </w:rPr>
            </w:pPr>
          </w:p>
        </w:tc>
        <w:tc>
          <w:tcPr>
            <w:tcW w:w="386" w:type="pct"/>
            <w:noWrap w:val="0"/>
            <w:vAlign w:val="center"/>
          </w:tcPr>
          <w:p w14:paraId="1F5B4A5B">
            <w:pPr>
              <w:adjustRightInd w:val="0"/>
              <w:snapToGrid w:val="0"/>
              <w:spacing w:after="0"/>
              <w:jc w:val="center"/>
              <w:rPr>
                <w:color w:val="auto"/>
                <w:sz w:val="24"/>
                <w:highlight w:val="none"/>
              </w:rPr>
            </w:pPr>
          </w:p>
        </w:tc>
        <w:tc>
          <w:tcPr>
            <w:tcW w:w="1111" w:type="pct"/>
            <w:noWrap w:val="0"/>
            <w:vAlign w:val="center"/>
          </w:tcPr>
          <w:p w14:paraId="3171B633">
            <w:pPr>
              <w:adjustRightInd w:val="0"/>
              <w:snapToGrid w:val="0"/>
              <w:spacing w:after="0"/>
              <w:jc w:val="center"/>
              <w:rPr>
                <w:color w:val="auto"/>
                <w:sz w:val="24"/>
                <w:highlight w:val="none"/>
              </w:rPr>
            </w:pPr>
          </w:p>
        </w:tc>
        <w:tc>
          <w:tcPr>
            <w:tcW w:w="1062" w:type="pct"/>
            <w:noWrap w:val="0"/>
            <w:vAlign w:val="center"/>
          </w:tcPr>
          <w:p w14:paraId="18856431">
            <w:pPr>
              <w:adjustRightInd w:val="0"/>
              <w:snapToGrid w:val="0"/>
              <w:spacing w:after="0"/>
              <w:jc w:val="center"/>
              <w:rPr>
                <w:color w:val="auto"/>
                <w:sz w:val="24"/>
                <w:highlight w:val="none"/>
              </w:rPr>
            </w:pPr>
          </w:p>
        </w:tc>
        <w:tc>
          <w:tcPr>
            <w:tcW w:w="731" w:type="pct"/>
            <w:noWrap w:val="0"/>
            <w:vAlign w:val="center"/>
          </w:tcPr>
          <w:p w14:paraId="7F6B01EE">
            <w:pPr>
              <w:adjustRightInd w:val="0"/>
              <w:snapToGrid w:val="0"/>
              <w:spacing w:after="0"/>
              <w:jc w:val="center"/>
              <w:rPr>
                <w:color w:val="auto"/>
                <w:sz w:val="24"/>
                <w:highlight w:val="none"/>
              </w:rPr>
            </w:pPr>
          </w:p>
        </w:tc>
        <w:tc>
          <w:tcPr>
            <w:tcW w:w="871" w:type="pct"/>
            <w:noWrap w:val="0"/>
            <w:vAlign w:val="center"/>
          </w:tcPr>
          <w:p w14:paraId="62772B38">
            <w:pPr>
              <w:adjustRightInd w:val="0"/>
              <w:snapToGrid w:val="0"/>
              <w:spacing w:after="0"/>
              <w:jc w:val="center"/>
              <w:rPr>
                <w:color w:val="auto"/>
                <w:sz w:val="24"/>
                <w:highlight w:val="none"/>
              </w:rPr>
            </w:pPr>
          </w:p>
        </w:tc>
        <w:tc>
          <w:tcPr>
            <w:tcW w:w="473" w:type="pct"/>
            <w:noWrap w:val="0"/>
            <w:vAlign w:val="center"/>
          </w:tcPr>
          <w:p w14:paraId="150BC391">
            <w:pPr>
              <w:adjustRightInd w:val="0"/>
              <w:snapToGrid w:val="0"/>
              <w:spacing w:after="0"/>
              <w:jc w:val="center"/>
              <w:rPr>
                <w:color w:val="auto"/>
                <w:sz w:val="24"/>
                <w:highlight w:val="none"/>
              </w:rPr>
            </w:pPr>
          </w:p>
        </w:tc>
      </w:tr>
      <w:tr w14:paraId="46A3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noWrap w:val="0"/>
            <w:vAlign w:val="center"/>
          </w:tcPr>
          <w:p w14:paraId="35C694EF">
            <w:pPr>
              <w:adjustRightInd w:val="0"/>
              <w:snapToGrid w:val="0"/>
              <w:spacing w:after="0"/>
              <w:jc w:val="center"/>
              <w:rPr>
                <w:color w:val="auto"/>
                <w:sz w:val="24"/>
                <w:highlight w:val="none"/>
              </w:rPr>
            </w:pPr>
          </w:p>
        </w:tc>
        <w:tc>
          <w:tcPr>
            <w:tcW w:w="386" w:type="pct"/>
            <w:noWrap w:val="0"/>
            <w:vAlign w:val="center"/>
          </w:tcPr>
          <w:p w14:paraId="4790D48F">
            <w:pPr>
              <w:adjustRightInd w:val="0"/>
              <w:snapToGrid w:val="0"/>
              <w:spacing w:after="0"/>
              <w:jc w:val="center"/>
              <w:rPr>
                <w:color w:val="auto"/>
                <w:sz w:val="24"/>
                <w:highlight w:val="none"/>
              </w:rPr>
            </w:pPr>
          </w:p>
        </w:tc>
        <w:tc>
          <w:tcPr>
            <w:tcW w:w="1111" w:type="pct"/>
            <w:noWrap w:val="0"/>
            <w:vAlign w:val="center"/>
          </w:tcPr>
          <w:p w14:paraId="7CDE92F8">
            <w:pPr>
              <w:adjustRightInd w:val="0"/>
              <w:snapToGrid w:val="0"/>
              <w:spacing w:after="0"/>
              <w:jc w:val="center"/>
              <w:rPr>
                <w:color w:val="auto"/>
                <w:sz w:val="24"/>
                <w:highlight w:val="none"/>
              </w:rPr>
            </w:pPr>
          </w:p>
        </w:tc>
        <w:tc>
          <w:tcPr>
            <w:tcW w:w="1062" w:type="pct"/>
            <w:noWrap w:val="0"/>
            <w:vAlign w:val="center"/>
          </w:tcPr>
          <w:p w14:paraId="25529C47">
            <w:pPr>
              <w:adjustRightInd w:val="0"/>
              <w:snapToGrid w:val="0"/>
              <w:spacing w:after="0"/>
              <w:jc w:val="center"/>
              <w:rPr>
                <w:color w:val="auto"/>
                <w:sz w:val="24"/>
                <w:highlight w:val="none"/>
              </w:rPr>
            </w:pPr>
          </w:p>
        </w:tc>
        <w:tc>
          <w:tcPr>
            <w:tcW w:w="731" w:type="pct"/>
            <w:noWrap w:val="0"/>
            <w:vAlign w:val="center"/>
          </w:tcPr>
          <w:p w14:paraId="0C5E50C9">
            <w:pPr>
              <w:adjustRightInd w:val="0"/>
              <w:snapToGrid w:val="0"/>
              <w:spacing w:after="0"/>
              <w:jc w:val="center"/>
              <w:rPr>
                <w:color w:val="auto"/>
                <w:sz w:val="24"/>
                <w:highlight w:val="none"/>
              </w:rPr>
            </w:pPr>
          </w:p>
        </w:tc>
        <w:tc>
          <w:tcPr>
            <w:tcW w:w="871" w:type="pct"/>
            <w:noWrap w:val="0"/>
            <w:vAlign w:val="center"/>
          </w:tcPr>
          <w:p w14:paraId="47C42A8D">
            <w:pPr>
              <w:adjustRightInd w:val="0"/>
              <w:snapToGrid w:val="0"/>
              <w:spacing w:after="0"/>
              <w:jc w:val="center"/>
              <w:rPr>
                <w:color w:val="auto"/>
                <w:sz w:val="24"/>
                <w:highlight w:val="none"/>
              </w:rPr>
            </w:pPr>
          </w:p>
        </w:tc>
        <w:tc>
          <w:tcPr>
            <w:tcW w:w="473" w:type="pct"/>
            <w:noWrap w:val="0"/>
            <w:vAlign w:val="center"/>
          </w:tcPr>
          <w:p w14:paraId="03F95938">
            <w:pPr>
              <w:adjustRightInd w:val="0"/>
              <w:snapToGrid w:val="0"/>
              <w:spacing w:after="0"/>
              <w:jc w:val="center"/>
              <w:rPr>
                <w:color w:val="auto"/>
                <w:sz w:val="24"/>
                <w:highlight w:val="none"/>
              </w:rPr>
            </w:pPr>
          </w:p>
        </w:tc>
      </w:tr>
      <w:tr w14:paraId="7CA8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noWrap w:val="0"/>
            <w:vAlign w:val="center"/>
          </w:tcPr>
          <w:p w14:paraId="53182496">
            <w:pPr>
              <w:adjustRightInd w:val="0"/>
              <w:snapToGrid w:val="0"/>
              <w:spacing w:after="0"/>
              <w:jc w:val="center"/>
              <w:rPr>
                <w:color w:val="auto"/>
                <w:sz w:val="24"/>
                <w:highlight w:val="none"/>
              </w:rPr>
            </w:pPr>
          </w:p>
        </w:tc>
        <w:tc>
          <w:tcPr>
            <w:tcW w:w="386" w:type="pct"/>
            <w:noWrap w:val="0"/>
            <w:vAlign w:val="center"/>
          </w:tcPr>
          <w:p w14:paraId="6629D5F8">
            <w:pPr>
              <w:adjustRightInd w:val="0"/>
              <w:snapToGrid w:val="0"/>
              <w:spacing w:after="0"/>
              <w:jc w:val="center"/>
              <w:rPr>
                <w:color w:val="auto"/>
                <w:sz w:val="24"/>
                <w:highlight w:val="none"/>
              </w:rPr>
            </w:pPr>
          </w:p>
        </w:tc>
        <w:tc>
          <w:tcPr>
            <w:tcW w:w="1111" w:type="pct"/>
            <w:noWrap w:val="0"/>
            <w:vAlign w:val="center"/>
          </w:tcPr>
          <w:p w14:paraId="68737326">
            <w:pPr>
              <w:adjustRightInd w:val="0"/>
              <w:snapToGrid w:val="0"/>
              <w:spacing w:after="0"/>
              <w:jc w:val="center"/>
              <w:rPr>
                <w:color w:val="auto"/>
                <w:sz w:val="24"/>
                <w:highlight w:val="none"/>
              </w:rPr>
            </w:pPr>
          </w:p>
        </w:tc>
        <w:tc>
          <w:tcPr>
            <w:tcW w:w="1062" w:type="pct"/>
            <w:noWrap w:val="0"/>
            <w:vAlign w:val="center"/>
          </w:tcPr>
          <w:p w14:paraId="69C1D970">
            <w:pPr>
              <w:adjustRightInd w:val="0"/>
              <w:snapToGrid w:val="0"/>
              <w:spacing w:after="0"/>
              <w:jc w:val="center"/>
              <w:rPr>
                <w:color w:val="auto"/>
                <w:sz w:val="24"/>
                <w:highlight w:val="none"/>
              </w:rPr>
            </w:pPr>
          </w:p>
        </w:tc>
        <w:tc>
          <w:tcPr>
            <w:tcW w:w="731" w:type="pct"/>
            <w:noWrap w:val="0"/>
            <w:vAlign w:val="center"/>
          </w:tcPr>
          <w:p w14:paraId="18222A7A">
            <w:pPr>
              <w:adjustRightInd w:val="0"/>
              <w:snapToGrid w:val="0"/>
              <w:spacing w:after="0"/>
              <w:jc w:val="center"/>
              <w:rPr>
                <w:color w:val="auto"/>
                <w:sz w:val="24"/>
                <w:highlight w:val="none"/>
              </w:rPr>
            </w:pPr>
          </w:p>
        </w:tc>
        <w:tc>
          <w:tcPr>
            <w:tcW w:w="871" w:type="pct"/>
            <w:noWrap w:val="0"/>
            <w:vAlign w:val="center"/>
          </w:tcPr>
          <w:p w14:paraId="23F93214">
            <w:pPr>
              <w:adjustRightInd w:val="0"/>
              <w:snapToGrid w:val="0"/>
              <w:spacing w:after="0"/>
              <w:jc w:val="center"/>
              <w:rPr>
                <w:color w:val="auto"/>
                <w:sz w:val="24"/>
                <w:highlight w:val="none"/>
              </w:rPr>
            </w:pPr>
          </w:p>
        </w:tc>
        <w:tc>
          <w:tcPr>
            <w:tcW w:w="473" w:type="pct"/>
            <w:noWrap w:val="0"/>
            <w:vAlign w:val="center"/>
          </w:tcPr>
          <w:p w14:paraId="30F983FA">
            <w:pPr>
              <w:adjustRightInd w:val="0"/>
              <w:snapToGrid w:val="0"/>
              <w:spacing w:after="0"/>
              <w:jc w:val="center"/>
              <w:rPr>
                <w:color w:val="auto"/>
                <w:sz w:val="24"/>
                <w:highlight w:val="none"/>
              </w:rPr>
            </w:pPr>
          </w:p>
        </w:tc>
      </w:tr>
      <w:tr w14:paraId="7E28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noWrap w:val="0"/>
            <w:vAlign w:val="center"/>
          </w:tcPr>
          <w:p w14:paraId="72AD9290">
            <w:pPr>
              <w:adjustRightInd w:val="0"/>
              <w:snapToGrid w:val="0"/>
              <w:spacing w:after="0"/>
              <w:jc w:val="center"/>
              <w:rPr>
                <w:color w:val="auto"/>
                <w:sz w:val="24"/>
                <w:highlight w:val="none"/>
              </w:rPr>
            </w:pPr>
          </w:p>
        </w:tc>
        <w:tc>
          <w:tcPr>
            <w:tcW w:w="386" w:type="pct"/>
            <w:noWrap w:val="0"/>
            <w:vAlign w:val="center"/>
          </w:tcPr>
          <w:p w14:paraId="44DCBCC2">
            <w:pPr>
              <w:adjustRightInd w:val="0"/>
              <w:snapToGrid w:val="0"/>
              <w:spacing w:after="0"/>
              <w:jc w:val="center"/>
              <w:rPr>
                <w:color w:val="auto"/>
                <w:sz w:val="24"/>
                <w:highlight w:val="none"/>
              </w:rPr>
            </w:pPr>
          </w:p>
        </w:tc>
        <w:tc>
          <w:tcPr>
            <w:tcW w:w="1111" w:type="pct"/>
            <w:noWrap w:val="0"/>
            <w:vAlign w:val="center"/>
          </w:tcPr>
          <w:p w14:paraId="38D1AFD9">
            <w:pPr>
              <w:adjustRightInd w:val="0"/>
              <w:snapToGrid w:val="0"/>
              <w:spacing w:after="0"/>
              <w:jc w:val="center"/>
              <w:rPr>
                <w:color w:val="auto"/>
                <w:sz w:val="24"/>
                <w:highlight w:val="none"/>
              </w:rPr>
            </w:pPr>
          </w:p>
        </w:tc>
        <w:tc>
          <w:tcPr>
            <w:tcW w:w="1062" w:type="pct"/>
            <w:noWrap w:val="0"/>
            <w:vAlign w:val="center"/>
          </w:tcPr>
          <w:p w14:paraId="0233CEAF">
            <w:pPr>
              <w:adjustRightInd w:val="0"/>
              <w:snapToGrid w:val="0"/>
              <w:spacing w:after="0"/>
              <w:jc w:val="center"/>
              <w:rPr>
                <w:color w:val="auto"/>
                <w:sz w:val="24"/>
                <w:highlight w:val="none"/>
              </w:rPr>
            </w:pPr>
          </w:p>
        </w:tc>
        <w:tc>
          <w:tcPr>
            <w:tcW w:w="731" w:type="pct"/>
            <w:noWrap w:val="0"/>
            <w:vAlign w:val="center"/>
          </w:tcPr>
          <w:p w14:paraId="32A7E43E">
            <w:pPr>
              <w:adjustRightInd w:val="0"/>
              <w:snapToGrid w:val="0"/>
              <w:spacing w:after="0"/>
              <w:jc w:val="center"/>
              <w:rPr>
                <w:color w:val="auto"/>
                <w:sz w:val="24"/>
                <w:highlight w:val="none"/>
              </w:rPr>
            </w:pPr>
          </w:p>
        </w:tc>
        <w:tc>
          <w:tcPr>
            <w:tcW w:w="871" w:type="pct"/>
            <w:noWrap w:val="0"/>
            <w:vAlign w:val="center"/>
          </w:tcPr>
          <w:p w14:paraId="2C1C61C7">
            <w:pPr>
              <w:adjustRightInd w:val="0"/>
              <w:snapToGrid w:val="0"/>
              <w:spacing w:after="0"/>
              <w:jc w:val="center"/>
              <w:rPr>
                <w:color w:val="auto"/>
                <w:sz w:val="24"/>
                <w:highlight w:val="none"/>
              </w:rPr>
            </w:pPr>
          </w:p>
        </w:tc>
        <w:tc>
          <w:tcPr>
            <w:tcW w:w="473" w:type="pct"/>
            <w:noWrap w:val="0"/>
            <w:vAlign w:val="center"/>
          </w:tcPr>
          <w:p w14:paraId="7A7C144C">
            <w:pPr>
              <w:adjustRightInd w:val="0"/>
              <w:snapToGrid w:val="0"/>
              <w:spacing w:after="0"/>
              <w:jc w:val="center"/>
              <w:rPr>
                <w:color w:val="auto"/>
                <w:sz w:val="24"/>
                <w:highlight w:val="none"/>
              </w:rPr>
            </w:pPr>
          </w:p>
        </w:tc>
      </w:tr>
      <w:tr w14:paraId="16EC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noWrap w:val="0"/>
            <w:vAlign w:val="center"/>
          </w:tcPr>
          <w:p w14:paraId="5C15EAF7">
            <w:pPr>
              <w:adjustRightInd w:val="0"/>
              <w:snapToGrid w:val="0"/>
              <w:spacing w:after="0"/>
              <w:jc w:val="center"/>
              <w:rPr>
                <w:color w:val="auto"/>
                <w:sz w:val="24"/>
                <w:highlight w:val="none"/>
              </w:rPr>
            </w:pPr>
          </w:p>
        </w:tc>
        <w:tc>
          <w:tcPr>
            <w:tcW w:w="386" w:type="pct"/>
            <w:noWrap w:val="0"/>
            <w:vAlign w:val="center"/>
          </w:tcPr>
          <w:p w14:paraId="18F8B61A">
            <w:pPr>
              <w:adjustRightInd w:val="0"/>
              <w:snapToGrid w:val="0"/>
              <w:spacing w:after="0"/>
              <w:jc w:val="center"/>
              <w:rPr>
                <w:color w:val="auto"/>
                <w:sz w:val="24"/>
                <w:highlight w:val="none"/>
              </w:rPr>
            </w:pPr>
          </w:p>
        </w:tc>
        <w:tc>
          <w:tcPr>
            <w:tcW w:w="1111" w:type="pct"/>
            <w:noWrap w:val="0"/>
            <w:vAlign w:val="center"/>
          </w:tcPr>
          <w:p w14:paraId="2A819C80">
            <w:pPr>
              <w:adjustRightInd w:val="0"/>
              <w:snapToGrid w:val="0"/>
              <w:spacing w:after="0"/>
              <w:jc w:val="center"/>
              <w:rPr>
                <w:color w:val="auto"/>
                <w:sz w:val="24"/>
                <w:highlight w:val="none"/>
              </w:rPr>
            </w:pPr>
          </w:p>
        </w:tc>
        <w:tc>
          <w:tcPr>
            <w:tcW w:w="1062" w:type="pct"/>
            <w:noWrap w:val="0"/>
            <w:vAlign w:val="center"/>
          </w:tcPr>
          <w:p w14:paraId="6F32617C">
            <w:pPr>
              <w:adjustRightInd w:val="0"/>
              <w:snapToGrid w:val="0"/>
              <w:spacing w:after="0"/>
              <w:jc w:val="center"/>
              <w:rPr>
                <w:color w:val="auto"/>
                <w:sz w:val="24"/>
                <w:highlight w:val="none"/>
              </w:rPr>
            </w:pPr>
          </w:p>
        </w:tc>
        <w:tc>
          <w:tcPr>
            <w:tcW w:w="731" w:type="pct"/>
            <w:noWrap w:val="0"/>
            <w:vAlign w:val="center"/>
          </w:tcPr>
          <w:p w14:paraId="4971F642">
            <w:pPr>
              <w:adjustRightInd w:val="0"/>
              <w:snapToGrid w:val="0"/>
              <w:spacing w:after="0"/>
              <w:jc w:val="center"/>
              <w:rPr>
                <w:color w:val="auto"/>
                <w:sz w:val="24"/>
                <w:highlight w:val="none"/>
              </w:rPr>
            </w:pPr>
          </w:p>
        </w:tc>
        <w:tc>
          <w:tcPr>
            <w:tcW w:w="871" w:type="pct"/>
            <w:noWrap w:val="0"/>
            <w:vAlign w:val="center"/>
          </w:tcPr>
          <w:p w14:paraId="686EEB18">
            <w:pPr>
              <w:adjustRightInd w:val="0"/>
              <w:snapToGrid w:val="0"/>
              <w:spacing w:after="0"/>
              <w:jc w:val="center"/>
              <w:rPr>
                <w:color w:val="auto"/>
                <w:sz w:val="24"/>
                <w:highlight w:val="none"/>
              </w:rPr>
            </w:pPr>
          </w:p>
        </w:tc>
        <w:tc>
          <w:tcPr>
            <w:tcW w:w="473" w:type="pct"/>
            <w:noWrap w:val="0"/>
            <w:vAlign w:val="center"/>
          </w:tcPr>
          <w:p w14:paraId="1CA5FBF0">
            <w:pPr>
              <w:adjustRightInd w:val="0"/>
              <w:snapToGrid w:val="0"/>
              <w:spacing w:after="0"/>
              <w:jc w:val="center"/>
              <w:rPr>
                <w:color w:val="auto"/>
                <w:sz w:val="24"/>
                <w:highlight w:val="none"/>
              </w:rPr>
            </w:pPr>
          </w:p>
        </w:tc>
      </w:tr>
    </w:tbl>
    <w:p w14:paraId="2E02DBDC">
      <w:pPr>
        <w:tabs>
          <w:tab w:val="left" w:pos="1800"/>
          <w:tab w:val="left" w:pos="5580"/>
        </w:tabs>
        <w:spacing w:after="0"/>
        <w:jc w:val="left"/>
        <w:rPr>
          <w:color w:val="auto"/>
          <w:sz w:val="24"/>
          <w:highlight w:val="none"/>
        </w:rPr>
      </w:pPr>
      <w:r>
        <w:rPr>
          <w:color w:val="auto"/>
          <w:sz w:val="24"/>
          <w:highlight w:val="none"/>
        </w:rPr>
        <w:t>注：</w:t>
      </w:r>
    </w:p>
    <w:p w14:paraId="695C6153">
      <w:pPr>
        <w:tabs>
          <w:tab w:val="left" w:pos="1800"/>
          <w:tab w:val="left" w:pos="5580"/>
        </w:tabs>
        <w:spacing w:after="0"/>
        <w:jc w:val="left"/>
        <w:rPr>
          <w:color w:val="auto"/>
          <w:sz w:val="24"/>
          <w:highlight w:val="none"/>
        </w:rPr>
      </w:pPr>
      <w:r>
        <w:rPr>
          <w:rFonts w:hint="eastAsia"/>
          <w:color w:val="auto"/>
          <w:sz w:val="24"/>
          <w:highlight w:val="none"/>
        </w:rPr>
        <w:t>1</w:t>
      </w:r>
      <w:r>
        <w:rPr>
          <w:color w:val="auto"/>
          <w:sz w:val="24"/>
          <w:highlight w:val="none"/>
        </w:rPr>
        <w:t>. 对竞争性磋商文件中的所有商务、技术要求，除本表所列明的所有偏离外，均视作供应商已对之理解和响应。此表中若无任何文字说明，内容为空白的</w:t>
      </w:r>
      <w:r>
        <w:rPr>
          <w:b/>
          <w:color w:val="auto"/>
          <w:sz w:val="24"/>
          <w:highlight w:val="none"/>
        </w:rPr>
        <w:t>响应无效</w:t>
      </w:r>
      <w:r>
        <w:rPr>
          <w:color w:val="auto"/>
          <w:sz w:val="24"/>
          <w:highlight w:val="none"/>
        </w:rPr>
        <w:t>。</w:t>
      </w:r>
    </w:p>
    <w:p w14:paraId="5ADE6340">
      <w:pPr>
        <w:tabs>
          <w:tab w:val="left" w:pos="1800"/>
          <w:tab w:val="left" w:pos="5580"/>
        </w:tabs>
        <w:spacing w:after="0"/>
        <w:jc w:val="left"/>
        <w:rPr>
          <w:color w:val="auto"/>
          <w:sz w:val="24"/>
          <w:highlight w:val="none"/>
        </w:rPr>
      </w:pPr>
      <w:r>
        <w:rPr>
          <w:color w:val="auto"/>
          <w:sz w:val="24"/>
          <w:highlight w:val="none"/>
        </w:rPr>
        <w:t>2.</w:t>
      </w:r>
      <w:r>
        <w:rPr>
          <w:rFonts w:hint="eastAsia"/>
          <w:color w:val="auto"/>
          <w:sz w:val="24"/>
          <w:highlight w:val="none"/>
        </w:rPr>
        <w:t>“偏离情况”列应据实填写“正偏离”或“负偏离”</w:t>
      </w:r>
      <w:r>
        <w:rPr>
          <w:rFonts w:hint="eastAsia"/>
          <w:color w:val="auto"/>
          <w:sz w:val="24"/>
          <w:highlight w:val="none"/>
          <w:lang w:val="en-US" w:eastAsia="zh-CN"/>
        </w:rPr>
        <w:t>或“无偏离”</w:t>
      </w:r>
      <w:r>
        <w:rPr>
          <w:rFonts w:hint="eastAsia"/>
          <w:color w:val="auto"/>
          <w:sz w:val="24"/>
          <w:highlight w:val="none"/>
        </w:rPr>
        <w:t>。</w:t>
      </w:r>
    </w:p>
    <w:p w14:paraId="42410FD8">
      <w:pPr>
        <w:tabs>
          <w:tab w:val="left" w:pos="1800"/>
          <w:tab w:val="left" w:pos="5580"/>
        </w:tabs>
        <w:spacing w:after="0"/>
        <w:jc w:val="left"/>
        <w:rPr>
          <w:color w:val="auto"/>
          <w:sz w:val="24"/>
          <w:highlight w:val="none"/>
        </w:rPr>
      </w:pPr>
    </w:p>
    <w:p w14:paraId="5CFFBC5A">
      <w:pPr>
        <w:spacing w:after="0"/>
        <w:rPr>
          <w:color w:val="auto"/>
          <w:sz w:val="24"/>
          <w:szCs w:val="20"/>
          <w:highlight w:val="none"/>
        </w:rPr>
      </w:pPr>
    </w:p>
    <w:p w14:paraId="14B299B9">
      <w:pPr>
        <w:autoSpaceDE w:val="0"/>
        <w:autoSpaceDN w:val="0"/>
        <w:adjustRightInd w:val="0"/>
        <w:snapToGrid w:val="0"/>
        <w:spacing w:before="25" w:after="0" w:line="360" w:lineRule="auto"/>
        <w:ind w:right="360"/>
        <w:jc w:val="left"/>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1D0C2F3A">
      <w:pPr>
        <w:autoSpaceDE w:val="0"/>
        <w:autoSpaceDN w:val="0"/>
        <w:adjustRightInd w:val="0"/>
        <w:snapToGrid w:val="0"/>
        <w:spacing w:before="25" w:after="0" w:line="360" w:lineRule="auto"/>
        <w:ind w:right="360"/>
        <w:jc w:val="left"/>
        <w:rPr>
          <w:color w:val="auto"/>
          <w:sz w:val="24"/>
          <w:szCs w:val="20"/>
          <w:highlight w:val="none"/>
        </w:rPr>
      </w:pPr>
      <w:r>
        <w:rPr>
          <w:color w:val="auto"/>
          <w:sz w:val="24"/>
          <w:szCs w:val="20"/>
          <w:highlight w:val="none"/>
        </w:rPr>
        <w:t xml:space="preserve">日期：____年____月____日 </w:t>
      </w:r>
    </w:p>
    <w:p w14:paraId="7D39CF93">
      <w:pPr>
        <w:tabs>
          <w:tab w:val="left" w:pos="360"/>
        </w:tabs>
        <w:snapToGrid w:val="0"/>
        <w:spacing w:after="0" w:line="360" w:lineRule="auto"/>
        <w:outlineLvl w:val="1"/>
        <w:rPr>
          <w:rFonts w:hint="eastAsia" w:ascii="宋体" w:hAnsi="宋体" w:eastAsia="宋体" w:cs="宋体"/>
          <w:color w:val="auto"/>
          <w:sz w:val="24"/>
          <w:highlight w:val="none"/>
          <w:lang w:val="en-US" w:eastAsia="zh-CN"/>
        </w:rPr>
      </w:pPr>
      <w:r>
        <w:rPr>
          <w:color w:val="auto"/>
          <w:sz w:val="24"/>
          <w:szCs w:val="20"/>
          <w:highlight w:val="none"/>
        </w:rPr>
        <w:br w:type="page"/>
      </w: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 xml:space="preserve"> </w:t>
      </w:r>
      <w:bookmarkStart w:id="892" w:name="OLE_LINK2"/>
      <w:r>
        <w:rPr>
          <w:rFonts w:hint="eastAsia" w:ascii="宋体" w:hAnsi="宋体" w:eastAsia="宋体" w:cs="宋体"/>
          <w:color w:val="auto"/>
          <w:sz w:val="24"/>
          <w:highlight w:val="none"/>
        </w:rPr>
        <w:t>竞争性磋商文件要求提供或供应商认为应附的其他材</w:t>
      </w:r>
      <w:r>
        <w:rPr>
          <w:rFonts w:hint="eastAsia" w:ascii="宋体" w:hAnsi="宋体" w:eastAsia="宋体" w:cs="宋体"/>
          <w:color w:val="auto"/>
          <w:sz w:val="24"/>
          <w:highlight w:val="none"/>
          <w:lang w:val="en-US" w:eastAsia="zh-CN"/>
        </w:rPr>
        <w:t>料</w:t>
      </w:r>
      <w:bookmarkEnd w:id="892"/>
    </w:p>
    <w:p w14:paraId="735F6669">
      <w:pPr>
        <w:tabs>
          <w:tab w:val="left" w:pos="360"/>
        </w:tabs>
        <w:snapToGrid w:val="0"/>
        <w:spacing w:after="0" w:line="360" w:lineRule="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11-1供应商信息采集表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17DE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5E01D1F4">
            <w:pPr>
              <w:tabs>
                <w:tab w:val="left" w:pos="360"/>
              </w:tabs>
              <w:snapToGrid w:val="0"/>
              <w:spacing w:after="0" w:line="360" w:lineRule="auto"/>
              <w:jc w:val="center"/>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供应商名称</w:t>
            </w:r>
          </w:p>
        </w:tc>
        <w:tc>
          <w:tcPr>
            <w:tcW w:w="3096" w:type="dxa"/>
          </w:tcPr>
          <w:p w14:paraId="3D9AA9D4">
            <w:pPr>
              <w:tabs>
                <w:tab w:val="left" w:pos="360"/>
              </w:tabs>
              <w:snapToGrid w:val="0"/>
              <w:spacing w:after="0" w:line="360" w:lineRule="auto"/>
              <w:jc w:val="center"/>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供应商所属性别</w:t>
            </w:r>
          </w:p>
        </w:tc>
        <w:tc>
          <w:tcPr>
            <w:tcW w:w="3096" w:type="dxa"/>
          </w:tcPr>
          <w:p w14:paraId="5B4A4CEE">
            <w:pPr>
              <w:tabs>
                <w:tab w:val="left" w:pos="360"/>
              </w:tabs>
              <w:snapToGrid w:val="0"/>
              <w:spacing w:after="0" w:line="360" w:lineRule="auto"/>
              <w:jc w:val="center"/>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外商投资类型</w:t>
            </w:r>
          </w:p>
        </w:tc>
      </w:tr>
      <w:tr w14:paraId="01D2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E031D3">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c>
          <w:tcPr>
            <w:tcW w:w="3096" w:type="dxa"/>
          </w:tcPr>
          <w:p w14:paraId="1DEE6F80">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c>
          <w:tcPr>
            <w:tcW w:w="3096" w:type="dxa"/>
          </w:tcPr>
          <w:p w14:paraId="54E28623">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r>
      <w:tr w14:paraId="14E8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E2FDB0">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c>
          <w:tcPr>
            <w:tcW w:w="3096" w:type="dxa"/>
          </w:tcPr>
          <w:p w14:paraId="6B217323">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c>
          <w:tcPr>
            <w:tcW w:w="3096" w:type="dxa"/>
          </w:tcPr>
          <w:p w14:paraId="39D190A6">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r>
      <w:tr w14:paraId="2CBE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61AA2D">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c>
          <w:tcPr>
            <w:tcW w:w="3096" w:type="dxa"/>
          </w:tcPr>
          <w:p w14:paraId="10C45F4F">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c>
          <w:tcPr>
            <w:tcW w:w="3096" w:type="dxa"/>
          </w:tcPr>
          <w:p w14:paraId="58830DC3">
            <w:pPr>
              <w:tabs>
                <w:tab w:val="left" w:pos="360"/>
              </w:tabs>
              <w:snapToGrid w:val="0"/>
              <w:spacing w:after="0" w:line="360" w:lineRule="auto"/>
              <w:outlineLvl w:val="1"/>
              <w:rPr>
                <w:rFonts w:hint="eastAsia" w:ascii="宋体" w:hAnsi="宋体" w:eastAsia="宋体" w:cs="宋体"/>
                <w:color w:val="auto"/>
                <w:sz w:val="24"/>
                <w:szCs w:val="24"/>
                <w:highlight w:val="none"/>
                <w:vertAlign w:val="baseline"/>
                <w:lang w:val="en-US" w:eastAsia="zh-CN"/>
              </w:rPr>
            </w:pPr>
          </w:p>
        </w:tc>
      </w:tr>
    </w:tbl>
    <w:p w14:paraId="21730259">
      <w:pPr>
        <w:tabs>
          <w:tab w:val="left" w:pos="360"/>
        </w:tabs>
        <w:snapToGrid w:val="0"/>
        <w:spacing w:after="0" w:line="360" w:lineRule="auto"/>
        <w:outlineLvl w:val="1"/>
        <w:rPr>
          <w:rFonts w:hint="eastAsia" w:ascii="宋体" w:hAnsi="宋体" w:eastAsia="宋体" w:cs="宋体"/>
          <w:color w:val="auto"/>
          <w:sz w:val="24"/>
          <w:szCs w:val="24"/>
          <w:highlight w:val="none"/>
          <w:lang w:val="en-US" w:eastAsia="zh-CN"/>
        </w:rPr>
      </w:pPr>
    </w:p>
    <w:p w14:paraId="531F93DA">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注:1.供应商如为联合体，则应填写联合体各成员信息。</w:t>
      </w:r>
    </w:p>
    <w:p w14:paraId="2013CB80">
      <w:pPr>
        <w:keepNext w:val="0"/>
        <w:keepLines w:val="0"/>
        <w:pageBreakBefore w:val="0"/>
        <w:widowControl/>
        <w:numPr>
          <w:ilvl w:val="0"/>
          <w:numId w:val="16"/>
        </w:numPr>
        <w:suppressLineNumbers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供应商所属性别请填写“男”或“女”，指拥有供应商51%以上绝对所有权的性别;绝对所有权拥有者可以是一个人，也可以是多人合计计算。</w:t>
      </w:r>
    </w:p>
    <w:p w14:paraId="6D6E42E7">
      <w:pPr>
        <w:keepNext w:val="0"/>
        <w:keepLines w:val="0"/>
        <w:pageBreakBefore w:val="0"/>
        <w:widowControl/>
        <w:numPr>
          <w:ilvl w:val="0"/>
          <w:numId w:val="16"/>
        </w:numPr>
        <w:suppressLineNumbers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外商投资类型请填写“外商单独投资”“外商部分投资”或“内资”。</w:t>
      </w:r>
    </w:p>
    <w:p w14:paraId="6918B172">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62A7D300">
      <w:pPr>
        <w:keepNext w:val="0"/>
        <w:keepLines w:val="0"/>
        <w:widowControl/>
        <w:suppressLineNumbers w:val="0"/>
        <w:spacing w:after="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其他</w:t>
      </w:r>
    </w:p>
    <w:p w14:paraId="6A90DF91">
      <w:pPr>
        <w:rPr>
          <w:rFonts w:hint="eastAsia"/>
          <w:color w:val="auto"/>
          <w:sz w:val="24"/>
          <w:highlight w:val="none"/>
        </w:rPr>
      </w:pPr>
      <w:r>
        <w:rPr>
          <w:rFonts w:hint="eastAsia"/>
          <w:color w:val="auto"/>
          <w:sz w:val="24"/>
          <w:highlight w:val="none"/>
        </w:rPr>
        <w:br w:type="page"/>
      </w:r>
    </w:p>
    <w:p w14:paraId="0D844D19">
      <w:pPr>
        <w:tabs>
          <w:tab w:val="left" w:pos="360"/>
        </w:tabs>
        <w:snapToGrid w:val="0"/>
        <w:spacing w:after="0" w:line="360" w:lineRule="auto"/>
        <w:outlineLvl w:val="1"/>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 xml:space="preserve"> 最后报价一览表（实质性格式，磋商后提交）</w:t>
      </w:r>
    </w:p>
    <w:p w14:paraId="37307849">
      <w:pPr>
        <w:widowControl/>
        <w:spacing w:after="0"/>
        <w:jc w:val="left"/>
        <w:rPr>
          <w:color w:val="auto"/>
          <w:kern w:val="0"/>
          <w:sz w:val="24"/>
          <w:szCs w:val="20"/>
          <w:highlight w:val="none"/>
        </w:rPr>
      </w:pPr>
    </w:p>
    <w:p w14:paraId="67E20E6B">
      <w:pPr>
        <w:spacing w:after="0" w:line="360" w:lineRule="exact"/>
        <w:ind w:firstLine="720"/>
        <w:jc w:val="center"/>
        <w:rPr>
          <w:rFonts w:hint="eastAsia"/>
          <w:b/>
          <w:color w:val="auto"/>
          <w:sz w:val="36"/>
          <w:szCs w:val="36"/>
          <w:highlight w:val="none"/>
        </w:rPr>
      </w:pPr>
    </w:p>
    <w:p w14:paraId="7422714D">
      <w:pPr>
        <w:spacing w:after="0" w:line="360" w:lineRule="exact"/>
        <w:ind w:firstLine="720"/>
        <w:jc w:val="center"/>
        <w:rPr>
          <w:b/>
          <w:color w:val="auto"/>
          <w:sz w:val="36"/>
          <w:szCs w:val="36"/>
          <w:highlight w:val="none"/>
        </w:rPr>
      </w:pPr>
      <w:r>
        <w:rPr>
          <w:rFonts w:hint="eastAsia"/>
          <w:b/>
          <w:color w:val="auto"/>
          <w:sz w:val="36"/>
          <w:szCs w:val="36"/>
          <w:highlight w:val="none"/>
        </w:rPr>
        <w:t>最后报价一览表</w:t>
      </w:r>
    </w:p>
    <w:p w14:paraId="2E177868">
      <w:pPr>
        <w:tabs>
          <w:tab w:val="left" w:pos="1800"/>
          <w:tab w:val="left" w:pos="5580"/>
        </w:tabs>
        <w:spacing w:after="0" w:line="360" w:lineRule="auto"/>
        <w:jc w:val="left"/>
        <w:rPr>
          <w:color w:val="auto"/>
          <w:sz w:val="24"/>
          <w:highlight w:val="none"/>
        </w:rPr>
      </w:pPr>
    </w:p>
    <w:p w14:paraId="1058B594">
      <w:pPr>
        <w:tabs>
          <w:tab w:val="left" w:pos="1800"/>
          <w:tab w:val="left" w:pos="5580"/>
        </w:tabs>
        <w:spacing w:after="0" w:line="360" w:lineRule="auto"/>
        <w:ind w:firstLine="360" w:firstLineChars="150"/>
        <w:jc w:val="left"/>
        <w:rPr>
          <w:color w:val="auto"/>
          <w:sz w:val="24"/>
          <w:highlight w:val="none"/>
        </w:rPr>
      </w:pPr>
      <w:r>
        <w:rPr>
          <w:color w:val="auto"/>
          <w:sz w:val="24"/>
          <w:highlight w:val="none"/>
        </w:rPr>
        <w:t>项目编号/包号：_______________     项目名称：_______________</w:t>
      </w:r>
    </w:p>
    <w:tbl>
      <w:tblPr>
        <w:tblStyle w:val="42"/>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761"/>
        <w:gridCol w:w="2819"/>
        <w:gridCol w:w="1864"/>
        <w:gridCol w:w="1201"/>
        <w:gridCol w:w="1857"/>
      </w:tblGrid>
      <w:tr w14:paraId="312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noWrap w:val="0"/>
            <w:vAlign w:val="center"/>
          </w:tcPr>
          <w:p w14:paraId="77E76D1A">
            <w:pPr>
              <w:tabs>
                <w:tab w:val="left" w:pos="5580"/>
              </w:tabs>
              <w:spacing w:after="0"/>
              <w:jc w:val="center"/>
              <w:rPr>
                <w:b/>
                <w:color w:val="auto"/>
                <w:sz w:val="24"/>
                <w:highlight w:val="none"/>
              </w:rPr>
            </w:pPr>
            <w:r>
              <w:rPr>
                <w:b/>
                <w:color w:val="auto"/>
                <w:sz w:val="24"/>
                <w:highlight w:val="none"/>
              </w:rPr>
              <w:t>序号</w:t>
            </w:r>
          </w:p>
        </w:tc>
        <w:tc>
          <w:tcPr>
            <w:tcW w:w="417" w:type="pct"/>
            <w:vMerge w:val="restart"/>
            <w:noWrap w:val="0"/>
            <w:vAlign w:val="center"/>
          </w:tcPr>
          <w:p w14:paraId="12856F04">
            <w:pPr>
              <w:tabs>
                <w:tab w:val="left" w:pos="5580"/>
              </w:tabs>
              <w:spacing w:after="0"/>
              <w:jc w:val="center"/>
              <w:rPr>
                <w:rFonts w:hint="eastAsia"/>
                <w:b/>
                <w:color w:val="auto"/>
                <w:sz w:val="24"/>
                <w:highlight w:val="none"/>
              </w:rPr>
            </w:pPr>
            <w:r>
              <w:rPr>
                <w:rFonts w:hint="eastAsia"/>
                <w:b/>
                <w:color w:val="auto"/>
                <w:sz w:val="24"/>
                <w:highlight w:val="none"/>
              </w:rPr>
              <w:t>包号</w:t>
            </w:r>
          </w:p>
        </w:tc>
        <w:tc>
          <w:tcPr>
            <w:tcW w:w="1544" w:type="pct"/>
            <w:vMerge w:val="restart"/>
            <w:noWrap w:val="0"/>
            <w:vAlign w:val="center"/>
          </w:tcPr>
          <w:p w14:paraId="7647D72F">
            <w:pPr>
              <w:tabs>
                <w:tab w:val="left" w:pos="5580"/>
              </w:tabs>
              <w:spacing w:after="0"/>
              <w:jc w:val="center"/>
              <w:rPr>
                <w:b/>
                <w:color w:val="auto"/>
                <w:sz w:val="24"/>
                <w:highlight w:val="none"/>
              </w:rPr>
            </w:pPr>
            <w:r>
              <w:rPr>
                <w:b/>
                <w:color w:val="auto"/>
                <w:sz w:val="24"/>
                <w:highlight w:val="none"/>
              </w:rPr>
              <w:t>供应商名称</w:t>
            </w:r>
          </w:p>
        </w:tc>
        <w:tc>
          <w:tcPr>
            <w:tcW w:w="1679" w:type="pct"/>
            <w:gridSpan w:val="2"/>
            <w:noWrap w:val="0"/>
            <w:vAlign w:val="center"/>
          </w:tcPr>
          <w:p w14:paraId="5AFD417D">
            <w:pPr>
              <w:tabs>
                <w:tab w:val="left" w:pos="5580"/>
              </w:tabs>
              <w:spacing w:after="0"/>
              <w:jc w:val="center"/>
              <w:rPr>
                <w:b/>
                <w:color w:val="auto"/>
                <w:sz w:val="24"/>
                <w:highlight w:val="none"/>
              </w:rPr>
            </w:pPr>
            <w:r>
              <w:rPr>
                <w:b/>
                <w:color w:val="auto"/>
                <w:sz w:val="24"/>
                <w:highlight w:val="none"/>
              </w:rPr>
              <w:t>最后报价（元）</w:t>
            </w:r>
          </w:p>
        </w:tc>
        <w:tc>
          <w:tcPr>
            <w:tcW w:w="1017" w:type="pct"/>
            <w:vMerge w:val="restart"/>
            <w:noWrap w:val="0"/>
            <w:vAlign w:val="center"/>
          </w:tcPr>
          <w:p w14:paraId="72DEA413">
            <w:pPr>
              <w:tabs>
                <w:tab w:val="left" w:pos="5580"/>
              </w:tabs>
              <w:spacing w:after="0"/>
              <w:jc w:val="center"/>
              <w:rPr>
                <w:b/>
                <w:color w:val="auto"/>
                <w:sz w:val="24"/>
                <w:highlight w:val="none"/>
              </w:rPr>
            </w:pPr>
            <w:r>
              <w:rPr>
                <w:b/>
                <w:color w:val="auto"/>
                <w:sz w:val="24"/>
                <w:highlight w:val="none"/>
              </w:rPr>
              <w:t>其他</w:t>
            </w:r>
          </w:p>
          <w:p w14:paraId="610E049D">
            <w:pPr>
              <w:tabs>
                <w:tab w:val="left" w:pos="5580"/>
              </w:tabs>
              <w:spacing w:after="0"/>
              <w:jc w:val="center"/>
              <w:rPr>
                <w:b/>
                <w:color w:val="auto"/>
                <w:sz w:val="24"/>
                <w:highlight w:val="none"/>
              </w:rPr>
            </w:pPr>
            <w:r>
              <w:rPr>
                <w:b/>
                <w:color w:val="auto"/>
                <w:sz w:val="24"/>
                <w:highlight w:val="none"/>
              </w:rPr>
              <w:t>声明</w:t>
            </w:r>
          </w:p>
        </w:tc>
      </w:tr>
      <w:tr w14:paraId="63ED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noWrap w:val="0"/>
            <w:vAlign w:val="center"/>
          </w:tcPr>
          <w:p w14:paraId="7291490C">
            <w:pPr>
              <w:tabs>
                <w:tab w:val="left" w:pos="5580"/>
              </w:tabs>
              <w:spacing w:after="0"/>
              <w:jc w:val="center"/>
              <w:rPr>
                <w:color w:val="auto"/>
                <w:sz w:val="24"/>
                <w:highlight w:val="none"/>
              </w:rPr>
            </w:pPr>
          </w:p>
        </w:tc>
        <w:tc>
          <w:tcPr>
            <w:tcW w:w="417" w:type="pct"/>
            <w:vMerge w:val="continue"/>
            <w:noWrap w:val="0"/>
            <w:vAlign w:val="center"/>
          </w:tcPr>
          <w:p w14:paraId="5CEF300D">
            <w:pPr>
              <w:tabs>
                <w:tab w:val="left" w:pos="5580"/>
              </w:tabs>
              <w:spacing w:after="0"/>
              <w:jc w:val="center"/>
              <w:rPr>
                <w:color w:val="auto"/>
                <w:sz w:val="24"/>
                <w:highlight w:val="none"/>
              </w:rPr>
            </w:pPr>
          </w:p>
        </w:tc>
        <w:tc>
          <w:tcPr>
            <w:tcW w:w="1544" w:type="pct"/>
            <w:vMerge w:val="continue"/>
            <w:noWrap w:val="0"/>
            <w:vAlign w:val="center"/>
          </w:tcPr>
          <w:p w14:paraId="0015240B">
            <w:pPr>
              <w:tabs>
                <w:tab w:val="left" w:pos="5580"/>
              </w:tabs>
              <w:spacing w:after="0"/>
              <w:jc w:val="center"/>
              <w:rPr>
                <w:color w:val="auto"/>
                <w:sz w:val="24"/>
                <w:highlight w:val="none"/>
              </w:rPr>
            </w:pPr>
          </w:p>
        </w:tc>
        <w:tc>
          <w:tcPr>
            <w:tcW w:w="1021" w:type="pct"/>
            <w:noWrap w:val="0"/>
            <w:vAlign w:val="center"/>
          </w:tcPr>
          <w:p w14:paraId="19D71407">
            <w:pPr>
              <w:tabs>
                <w:tab w:val="left" w:pos="5580"/>
              </w:tabs>
              <w:spacing w:after="0"/>
              <w:jc w:val="center"/>
              <w:rPr>
                <w:b/>
                <w:color w:val="auto"/>
                <w:sz w:val="24"/>
                <w:highlight w:val="none"/>
              </w:rPr>
            </w:pPr>
            <w:r>
              <w:rPr>
                <w:b/>
                <w:color w:val="auto"/>
                <w:sz w:val="24"/>
                <w:highlight w:val="none"/>
              </w:rPr>
              <w:t>大写</w:t>
            </w:r>
          </w:p>
        </w:tc>
        <w:tc>
          <w:tcPr>
            <w:tcW w:w="657" w:type="pct"/>
            <w:noWrap w:val="0"/>
            <w:vAlign w:val="center"/>
          </w:tcPr>
          <w:p w14:paraId="434FBE6B">
            <w:pPr>
              <w:tabs>
                <w:tab w:val="left" w:pos="5580"/>
              </w:tabs>
              <w:spacing w:after="0"/>
              <w:jc w:val="center"/>
              <w:rPr>
                <w:b/>
                <w:color w:val="auto"/>
                <w:sz w:val="24"/>
                <w:highlight w:val="none"/>
              </w:rPr>
            </w:pPr>
            <w:r>
              <w:rPr>
                <w:b/>
                <w:color w:val="auto"/>
                <w:sz w:val="24"/>
                <w:highlight w:val="none"/>
              </w:rPr>
              <w:t>小写</w:t>
            </w:r>
          </w:p>
        </w:tc>
        <w:tc>
          <w:tcPr>
            <w:tcW w:w="1017" w:type="pct"/>
            <w:vMerge w:val="continue"/>
            <w:noWrap w:val="0"/>
            <w:vAlign w:val="center"/>
          </w:tcPr>
          <w:p w14:paraId="5FEE6B6F">
            <w:pPr>
              <w:tabs>
                <w:tab w:val="left" w:pos="5580"/>
              </w:tabs>
              <w:spacing w:after="0"/>
              <w:ind w:firstLine="482"/>
              <w:jc w:val="center"/>
              <w:rPr>
                <w:b/>
                <w:color w:val="auto"/>
                <w:sz w:val="24"/>
                <w:highlight w:val="none"/>
              </w:rPr>
            </w:pPr>
          </w:p>
        </w:tc>
      </w:tr>
      <w:tr w14:paraId="6734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6" w:hRule="atLeast"/>
          <w:jc w:val="center"/>
        </w:trPr>
        <w:tc>
          <w:tcPr>
            <w:tcW w:w="341" w:type="pct"/>
            <w:noWrap w:val="0"/>
            <w:vAlign w:val="center"/>
          </w:tcPr>
          <w:p w14:paraId="0FB4C074">
            <w:pPr>
              <w:tabs>
                <w:tab w:val="left" w:pos="5580"/>
              </w:tabs>
              <w:spacing w:after="0"/>
              <w:jc w:val="center"/>
              <w:rPr>
                <w:color w:val="auto"/>
                <w:sz w:val="24"/>
                <w:highlight w:val="none"/>
              </w:rPr>
            </w:pPr>
          </w:p>
        </w:tc>
        <w:tc>
          <w:tcPr>
            <w:tcW w:w="417" w:type="pct"/>
            <w:noWrap w:val="0"/>
            <w:vAlign w:val="center"/>
          </w:tcPr>
          <w:p w14:paraId="2DF475E8">
            <w:pPr>
              <w:tabs>
                <w:tab w:val="left" w:pos="5580"/>
              </w:tabs>
              <w:spacing w:after="0"/>
              <w:jc w:val="center"/>
              <w:rPr>
                <w:color w:val="auto"/>
                <w:sz w:val="24"/>
                <w:highlight w:val="none"/>
              </w:rPr>
            </w:pPr>
          </w:p>
        </w:tc>
        <w:tc>
          <w:tcPr>
            <w:tcW w:w="1544" w:type="pct"/>
            <w:noWrap w:val="0"/>
            <w:vAlign w:val="center"/>
          </w:tcPr>
          <w:p w14:paraId="7679407F">
            <w:pPr>
              <w:tabs>
                <w:tab w:val="left" w:pos="5580"/>
              </w:tabs>
              <w:spacing w:after="0"/>
              <w:jc w:val="center"/>
              <w:rPr>
                <w:color w:val="auto"/>
                <w:sz w:val="24"/>
                <w:highlight w:val="none"/>
              </w:rPr>
            </w:pPr>
          </w:p>
        </w:tc>
        <w:tc>
          <w:tcPr>
            <w:tcW w:w="1021" w:type="pct"/>
            <w:noWrap w:val="0"/>
            <w:vAlign w:val="center"/>
          </w:tcPr>
          <w:p w14:paraId="04E9DF94">
            <w:pPr>
              <w:tabs>
                <w:tab w:val="left" w:pos="5580"/>
              </w:tabs>
              <w:spacing w:after="0"/>
              <w:jc w:val="center"/>
              <w:rPr>
                <w:color w:val="auto"/>
                <w:sz w:val="24"/>
                <w:highlight w:val="none"/>
              </w:rPr>
            </w:pPr>
          </w:p>
        </w:tc>
        <w:tc>
          <w:tcPr>
            <w:tcW w:w="657" w:type="pct"/>
            <w:noWrap w:val="0"/>
            <w:vAlign w:val="center"/>
          </w:tcPr>
          <w:p w14:paraId="5C5CBF64">
            <w:pPr>
              <w:tabs>
                <w:tab w:val="left" w:pos="5580"/>
              </w:tabs>
              <w:spacing w:after="0"/>
              <w:jc w:val="center"/>
              <w:rPr>
                <w:color w:val="auto"/>
                <w:sz w:val="24"/>
                <w:highlight w:val="none"/>
              </w:rPr>
            </w:pPr>
          </w:p>
        </w:tc>
        <w:tc>
          <w:tcPr>
            <w:tcW w:w="1017" w:type="pct"/>
            <w:noWrap w:val="0"/>
            <w:vAlign w:val="center"/>
          </w:tcPr>
          <w:p w14:paraId="76C3867C">
            <w:pPr>
              <w:tabs>
                <w:tab w:val="left" w:pos="5580"/>
              </w:tabs>
              <w:spacing w:after="0"/>
              <w:jc w:val="center"/>
              <w:rPr>
                <w:color w:val="auto"/>
                <w:sz w:val="24"/>
                <w:highlight w:val="none"/>
              </w:rPr>
            </w:pPr>
          </w:p>
        </w:tc>
      </w:tr>
    </w:tbl>
    <w:p w14:paraId="56C7CCA1">
      <w:pPr>
        <w:autoSpaceDE w:val="0"/>
        <w:autoSpaceDN w:val="0"/>
        <w:adjustRightInd w:val="0"/>
        <w:spacing w:after="0"/>
        <w:jc w:val="left"/>
        <w:rPr>
          <w:color w:val="auto"/>
          <w:kern w:val="0"/>
          <w:sz w:val="24"/>
          <w:highlight w:val="none"/>
        </w:rPr>
      </w:pPr>
    </w:p>
    <w:p w14:paraId="4347D572">
      <w:pPr>
        <w:autoSpaceDE w:val="0"/>
        <w:autoSpaceDN w:val="0"/>
        <w:adjustRightInd w:val="0"/>
        <w:spacing w:after="0"/>
        <w:jc w:val="left"/>
        <w:rPr>
          <w:color w:val="auto"/>
          <w:sz w:val="24"/>
          <w:szCs w:val="20"/>
          <w:highlight w:val="none"/>
        </w:rPr>
      </w:pPr>
      <w:r>
        <w:rPr>
          <w:color w:val="auto"/>
          <w:kern w:val="0"/>
          <w:sz w:val="24"/>
          <w:highlight w:val="none"/>
        </w:rPr>
        <w:t>注：1</w:t>
      </w:r>
      <w:r>
        <w:rPr>
          <w:color w:val="auto"/>
          <w:sz w:val="24"/>
          <w:szCs w:val="20"/>
          <w:highlight w:val="none"/>
        </w:rPr>
        <w:t>.此表中，每包的报价应和《最后分项报价表》中的总价相一致。</w:t>
      </w:r>
    </w:p>
    <w:p w14:paraId="5767C858">
      <w:pPr>
        <w:tabs>
          <w:tab w:val="left" w:pos="5580"/>
        </w:tabs>
        <w:spacing w:after="0"/>
        <w:ind w:firstLine="480" w:firstLineChars="200"/>
        <w:rPr>
          <w:color w:val="auto"/>
          <w:sz w:val="24"/>
          <w:szCs w:val="20"/>
          <w:highlight w:val="none"/>
        </w:rPr>
      </w:pPr>
      <w:r>
        <w:rPr>
          <w:color w:val="auto"/>
          <w:sz w:val="24"/>
          <w:szCs w:val="20"/>
          <w:highlight w:val="none"/>
        </w:rPr>
        <w:t>2.本表必须按包分别填写。</w:t>
      </w:r>
    </w:p>
    <w:p w14:paraId="23E9AD05">
      <w:pPr>
        <w:tabs>
          <w:tab w:val="left" w:pos="5580"/>
        </w:tabs>
        <w:spacing w:after="0"/>
        <w:ind w:firstLine="480" w:firstLineChars="200"/>
        <w:rPr>
          <w:color w:val="auto"/>
          <w:sz w:val="24"/>
          <w:szCs w:val="20"/>
          <w:highlight w:val="none"/>
        </w:rPr>
      </w:pPr>
      <w:r>
        <w:rPr>
          <w:rFonts w:hint="eastAsia"/>
          <w:color w:val="auto"/>
          <w:sz w:val="24"/>
          <w:szCs w:val="20"/>
          <w:highlight w:val="none"/>
        </w:rPr>
        <w:t>3.此表无需在响应文件中提交，磋商后供应商按磋商小组要求提交。</w:t>
      </w:r>
    </w:p>
    <w:p w14:paraId="76557D5A">
      <w:pPr>
        <w:tabs>
          <w:tab w:val="left" w:pos="5580"/>
        </w:tabs>
        <w:spacing w:after="0"/>
        <w:ind w:firstLine="480" w:firstLineChars="200"/>
        <w:rPr>
          <w:rFonts w:hint="default"/>
          <w:color w:val="auto"/>
          <w:sz w:val="24"/>
          <w:szCs w:val="20"/>
          <w:highlight w:val="none"/>
          <w:lang w:val="en-US" w:eastAsia="zh-CN"/>
        </w:rPr>
      </w:pPr>
    </w:p>
    <w:p w14:paraId="223622A0">
      <w:pPr>
        <w:autoSpaceDE w:val="0"/>
        <w:autoSpaceDN w:val="0"/>
        <w:adjustRightInd w:val="0"/>
        <w:snapToGrid w:val="0"/>
        <w:spacing w:before="25" w:after="0" w:line="360" w:lineRule="auto"/>
        <w:rPr>
          <w:color w:val="auto"/>
          <w:sz w:val="24"/>
          <w:highlight w:val="none"/>
          <w:lang w:val="zh-CN"/>
        </w:rPr>
      </w:pPr>
    </w:p>
    <w:p w14:paraId="3E3CB4A7">
      <w:pPr>
        <w:autoSpaceDE w:val="0"/>
        <w:autoSpaceDN w:val="0"/>
        <w:adjustRightInd w:val="0"/>
        <w:snapToGrid w:val="0"/>
        <w:spacing w:before="25" w:after="0" w:line="360" w:lineRule="auto"/>
        <w:rPr>
          <w:color w:val="auto"/>
          <w:sz w:val="24"/>
          <w:highlight w:val="none"/>
          <w:lang w:val="zh-CN"/>
        </w:rPr>
      </w:pPr>
      <w:r>
        <w:rPr>
          <w:color w:val="auto"/>
          <w:sz w:val="24"/>
          <w:highlight w:val="none"/>
          <w:lang w:val="zh-CN"/>
        </w:rPr>
        <w:t xml:space="preserve">      </w:t>
      </w:r>
    </w:p>
    <w:p w14:paraId="023DEF1B">
      <w:pPr>
        <w:autoSpaceDE w:val="0"/>
        <w:autoSpaceDN w:val="0"/>
        <w:adjustRightInd w:val="0"/>
        <w:snapToGrid w:val="0"/>
        <w:spacing w:before="25" w:after="0" w:line="360" w:lineRule="auto"/>
        <w:rPr>
          <w:color w:val="auto"/>
          <w:sz w:val="24"/>
          <w:highlight w:val="none"/>
          <w:lang w:val="zh-CN"/>
        </w:rPr>
      </w:pPr>
      <w:r>
        <w:rPr>
          <w:color w:val="auto"/>
          <w:sz w:val="24"/>
          <w:highlight w:val="none"/>
        </w:rPr>
        <w:t>供应商授权代表签字（或加盖供应商公章）</w:t>
      </w:r>
      <w:r>
        <w:rPr>
          <w:color w:val="auto"/>
          <w:sz w:val="24"/>
          <w:highlight w:val="none"/>
          <w:lang w:val="zh-CN"/>
        </w:rPr>
        <w:t xml:space="preserve">：___________ </w:t>
      </w:r>
    </w:p>
    <w:p w14:paraId="440EEE42">
      <w:pPr>
        <w:widowControl/>
        <w:spacing w:after="0"/>
        <w:jc w:val="left"/>
        <w:rPr>
          <w:color w:val="auto"/>
          <w:sz w:val="24"/>
          <w:szCs w:val="20"/>
          <w:highlight w:val="none"/>
        </w:rPr>
      </w:pPr>
      <w:r>
        <w:rPr>
          <w:color w:val="auto"/>
          <w:sz w:val="24"/>
          <w:szCs w:val="20"/>
          <w:highlight w:val="none"/>
        </w:rPr>
        <w:t xml:space="preserve">日期：____年____月____日   </w:t>
      </w:r>
    </w:p>
    <w:p w14:paraId="54BD681B">
      <w:pPr>
        <w:widowControl/>
        <w:spacing w:after="0"/>
        <w:jc w:val="left"/>
        <w:rPr>
          <w:color w:val="auto"/>
          <w:sz w:val="24"/>
          <w:szCs w:val="20"/>
          <w:highlight w:val="none"/>
        </w:rPr>
      </w:pPr>
      <w:r>
        <w:rPr>
          <w:color w:val="auto"/>
          <w:sz w:val="24"/>
          <w:szCs w:val="20"/>
          <w:highlight w:val="none"/>
        </w:rPr>
        <w:br w:type="page"/>
      </w:r>
    </w:p>
    <w:p w14:paraId="3829FBF7">
      <w:pPr>
        <w:tabs>
          <w:tab w:val="left" w:pos="360"/>
        </w:tabs>
        <w:snapToGrid w:val="0"/>
        <w:spacing w:after="0" w:line="360" w:lineRule="auto"/>
        <w:outlineLvl w:val="1"/>
        <w:rPr>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最后分项报价表（实质性格式）</w:t>
      </w:r>
    </w:p>
    <w:p w14:paraId="555EF8FA">
      <w:pPr>
        <w:spacing w:after="0" w:line="360" w:lineRule="exact"/>
        <w:jc w:val="center"/>
        <w:rPr>
          <w:color w:val="auto"/>
          <w:sz w:val="36"/>
          <w:szCs w:val="36"/>
          <w:highlight w:val="none"/>
        </w:rPr>
      </w:pPr>
      <w:r>
        <w:rPr>
          <w:color w:val="auto"/>
          <w:sz w:val="36"/>
          <w:szCs w:val="36"/>
          <w:highlight w:val="none"/>
        </w:rPr>
        <w:t>最后分项报价表</w:t>
      </w:r>
    </w:p>
    <w:p w14:paraId="4E064323">
      <w:pPr>
        <w:spacing w:after="0" w:line="260" w:lineRule="exact"/>
        <w:jc w:val="center"/>
        <w:rPr>
          <w:color w:val="auto"/>
          <w:sz w:val="36"/>
          <w:szCs w:val="36"/>
          <w:highlight w:val="none"/>
        </w:rPr>
      </w:pPr>
    </w:p>
    <w:p w14:paraId="4CACF149">
      <w:pPr>
        <w:keepNext w:val="0"/>
        <w:keepLines w:val="0"/>
        <w:widowControl/>
        <w:suppressLineNumbers w:val="0"/>
        <w:jc w:val="left"/>
        <w:rPr>
          <w:color w:val="auto"/>
          <w:highlight w:val="none"/>
        </w:rPr>
      </w:pPr>
      <w:r>
        <w:rPr>
          <w:rFonts w:ascii="FZShuSong-Z01" w:hAnsi="FZShuSong-Z01" w:eastAsia="FZShuSong-Z01" w:cs="FZShuSong-Z01"/>
          <w:b/>
          <w:bCs/>
          <w:i/>
          <w:iCs/>
          <w:color w:val="auto"/>
          <w:kern w:val="0"/>
          <w:sz w:val="24"/>
          <w:szCs w:val="24"/>
          <w:highlight w:val="none"/>
          <w:lang w:val="en-US" w:eastAsia="zh-CN" w:bidi="ar"/>
        </w:rPr>
        <w:t xml:space="preserve">（适用于工程类项目，且现场难以重新按工程量清单提供报价的） </w:t>
      </w:r>
    </w:p>
    <w:p w14:paraId="644EA99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项目编号/包号：_________       项目名称：_________  报价单位：人民币元</w:t>
      </w:r>
    </w:p>
    <w:p w14:paraId="50AA91C6">
      <w:pPr>
        <w:spacing w:line="26" w:lineRule="exact"/>
        <w:rPr>
          <w:rFonts w:hint="eastAsia" w:ascii="宋体" w:hAnsi="宋体" w:eastAsia="宋体" w:cs="宋体"/>
          <w:color w:val="auto"/>
          <w:sz w:val="24"/>
          <w:szCs w:val="24"/>
          <w:highlight w:val="none"/>
        </w:rPr>
      </w:pPr>
    </w:p>
    <w:tbl>
      <w:tblPr>
        <w:tblStyle w:val="26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3"/>
        <w:gridCol w:w="4889"/>
        <w:gridCol w:w="1527"/>
        <w:gridCol w:w="1685"/>
      </w:tblGrid>
      <w:tr w14:paraId="643E8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36" w:type="pct"/>
            <w:vAlign w:val="center"/>
          </w:tcPr>
          <w:p w14:paraId="7E763EBF">
            <w:pPr>
              <w:spacing w:before="78" w:line="222" w:lineRule="auto"/>
              <w:ind w:left="217"/>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w:t>
            </w:r>
            <w:r>
              <w:rPr>
                <w:rFonts w:hint="eastAsia" w:ascii="宋体" w:hAnsi="宋体" w:eastAsia="宋体" w:cs="宋体"/>
                <w:color w:val="auto"/>
                <w:spacing w:val="-2"/>
                <w:sz w:val="24"/>
                <w:szCs w:val="24"/>
                <w:highlight w:val="none"/>
              </w:rPr>
              <w:t>号</w:t>
            </w:r>
          </w:p>
        </w:tc>
        <w:tc>
          <w:tcPr>
            <w:tcW w:w="2692" w:type="pct"/>
            <w:vAlign w:val="center"/>
          </w:tcPr>
          <w:p w14:paraId="0A4AC2B7">
            <w:pPr>
              <w:spacing w:before="42" w:line="193" w:lineRule="auto"/>
              <w:ind w:left="116"/>
              <w:jc w:val="center"/>
              <w:rPr>
                <w:rFonts w:hint="eastAsia" w:ascii="宋体" w:hAnsi="宋体" w:eastAsia="宋体" w:cs="宋体"/>
                <w:color w:val="auto"/>
                <w:sz w:val="24"/>
                <w:szCs w:val="24"/>
                <w:highlight w:val="none"/>
              </w:rPr>
            </w:pPr>
            <w:r>
              <w:rPr>
                <w:rFonts w:hint="eastAsia" w:ascii="宋体" w:hAnsi="宋体" w:eastAsia="宋体" w:cs="宋体"/>
                <w:color w:val="auto"/>
                <w:spacing w:val="32"/>
                <w:sz w:val="24"/>
                <w:szCs w:val="24"/>
                <w:highlight w:val="none"/>
              </w:rPr>
              <w:t>最</w:t>
            </w:r>
            <w:r>
              <w:rPr>
                <w:rFonts w:hint="eastAsia" w:ascii="宋体" w:hAnsi="宋体" w:eastAsia="宋体" w:cs="宋体"/>
                <w:color w:val="auto"/>
                <w:spacing w:val="25"/>
                <w:sz w:val="24"/>
                <w:szCs w:val="24"/>
                <w:highlight w:val="none"/>
              </w:rPr>
              <w:t>后报价计算过程或说明(可以填写按第</w:t>
            </w:r>
            <w:r>
              <w:rPr>
                <w:rFonts w:hint="eastAsia" w:ascii="宋体" w:hAnsi="宋体" w:eastAsia="宋体" w:cs="宋体"/>
                <w:color w:val="auto"/>
                <w:spacing w:val="-1"/>
                <w:position w:val="4"/>
                <w:sz w:val="24"/>
                <w:szCs w:val="24"/>
                <w:highlight w:val="none"/>
              </w:rPr>
              <w:t>一次报价下浮/上浮比例，</w:t>
            </w:r>
            <w:r>
              <w:rPr>
                <w:rFonts w:hint="eastAsia" w:ascii="宋体" w:hAnsi="宋体" w:eastAsia="宋体" w:cs="宋体"/>
                <w:color w:val="auto"/>
                <w:position w:val="4"/>
                <w:sz w:val="24"/>
                <w:szCs w:val="24"/>
                <w:highlight w:val="none"/>
              </w:rPr>
              <w:t xml:space="preserve"> 也可以填写相对</w:t>
            </w:r>
            <w:r>
              <w:rPr>
                <w:rFonts w:hint="eastAsia" w:ascii="宋体" w:hAnsi="宋体" w:eastAsia="宋体" w:cs="宋体"/>
                <w:color w:val="auto"/>
                <w:spacing w:val="8"/>
                <w:sz w:val="24"/>
                <w:szCs w:val="24"/>
                <w:highlight w:val="none"/>
              </w:rPr>
              <w:t>第一次报价某部分价格变化情况</w:t>
            </w:r>
            <w:r>
              <w:rPr>
                <w:rFonts w:hint="eastAsia" w:ascii="宋体" w:hAnsi="宋体" w:eastAsia="宋体" w:cs="宋体"/>
                <w:color w:val="auto"/>
                <w:spacing w:val="7"/>
                <w:sz w:val="24"/>
                <w:szCs w:val="24"/>
                <w:highlight w:val="none"/>
              </w:rPr>
              <w:t>)</w:t>
            </w:r>
          </w:p>
        </w:tc>
        <w:tc>
          <w:tcPr>
            <w:tcW w:w="841" w:type="pct"/>
            <w:vAlign w:val="center"/>
          </w:tcPr>
          <w:p w14:paraId="430F99E0">
            <w:pPr>
              <w:spacing w:before="78" w:line="219" w:lineRule="auto"/>
              <w:ind w:left="119"/>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总</w:t>
            </w:r>
            <w:r>
              <w:rPr>
                <w:rFonts w:hint="eastAsia" w:ascii="宋体" w:hAnsi="宋体" w:eastAsia="宋体" w:cs="宋体"/>
                <w:color w:val="auto"/>
                <w:spacing w:val="18"/>
                <w:sz w:val="24"/>
                <w:szCs w:val="24"/>
                <w:highlight w:val="none"/>
              </w:rPr>
              <w:t>价(元)</w:t>
            </w:r>
          </w:p>
        </w:tc>
        <w:tc>
          <w:tcPr>
            <w:tcW w:w="928" w:type="pct"/>
            <w:vAlign w:val="center"/>
          </w:tcPr>
          <w:p w14:paraId="3D660D94">
            <w:pPr>
              <w:spacing w:before="78" w:line="222" w:lineRule="auto"/>
              <w:ind w:left="550"/>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w:t>
            </w:r>
            <w:r>
              <w:rPr>
                <w:rFonts w:hint="eastAsia" w:ascii="宋体" w:hAnsi="宋体" w:eastAsia="宋体" w:cs="宋体"/>
                <w:color w:val="auto"/>
                <w:spacing w:val="-3"/>
                <w:sz w:val="24"/>
                <w:szCs w:val="24"/>
                <w:highlight w:val="none"/>
              </w:rPr>
              <w:t>注</w:t>
            </w:r>
          </w:p>
        </w:tc>
      </w:tr>
      <w:tr w14:paraId="35419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536" w:type="pct"/>
            <w:vAlign w:val="center"/>
          </w:tcPr>
          <w:p w14:paraId="1DAE5648">
            <w:pPr>
              <w:spacing w:before="69" w:line="199" w:lineRule="auto"/>
              <w:ind w:left="4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92" w:type="pct"/>
            <w:vAlign w:val="center"/>
          </w:tcPr>
          <w:p w14:paraId="37D7D452">
            <w:pPr>
              <w:jc w:val="center"/>
              <w:rPr>
                <w:rFonts w:hint="eastAsia" w:ascii="宋体" w:hAnsi="宋体" w:eastAsia="宋体" w:cs="宋体"/>
                <w:color w:val="auto"/>
                <w:sz w:val="24"/>
                <w:szCs w:val="24"/>
                <w:highlight w:val="none"/>
              </w:rPr>
            </w:pPr>
          </w:p>
        </w:tc>
        <w:tc>
          <w:tcPr>
            <w:tcW w:w="841" w:type="pct"/>
            <w:vAlign w:val="center"/>
          </w:tcPr>
          <w:p w14:paraId="7B59094C">
            <w:pPr>
              <w:jc w:val="center"/>
              <w:rPr>
                <w:rFonts w:hint="eastAsia" w:ascii="宋体" w:hAnsi="宋体" w:eastAsia="宋体" w:cs="宋体"/>
                <w:color w:val="auto"/>
                <w:sz w:val="24"/>
                <w:szCs w:val="24"/>
                <w:highlight w:val="none"/>
              </w:rPr>
            </w:pPr>
          </w:p>
        </w:tc>
        <w:tc>
          <w:tcPr>
            <w:tcW w:w="928" w:type="pct"/>
            <w:vAlign w:val="center"/>
          </w:tcPr>
          <w:p w14:paraId="17E47FC9">
            <w:pPr>
              <w:jc w:val="center"/>
              <w:rPr>
                <w:rFonts w:hint="eastAsia" w:ascii="宋体" w:hAnsi="宋体" w:eastAsia="宋体" w:cs="宋体"/>
                <w:color w:val="auto"/>
                <w:sz w:val="24"/>
                <w:szCs w:val="24"/>
                <w:highlight w:val="none"/>
              </w:rPr>
            </w:pPr>
          </w:p>
        </w:tc>
      </w:tr>
      <w:tr w14:paraId="6AD4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229" w:type="pct"/>
            <w:gridSpan w:val="2"/>
            <w:vAlign w:val="center"/>
          </w:tcPr>
          <w:p w14:paraId="09D4353F">
            <w:pPr>
              <w:spacing w:before="142" w:line="221" w:lineRule="auto"/>
              <w:ind w:left="2127"/>
              <w:jc w:val="center"/>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合</w:t>
            </w:r>
            <w:r>
              <w:rPr>
                <w:rFonts w:hint="eastAsia" w:ascii="宋体" w:hAnsi="宋体" w:eastAsia="宋体" w:cs="宋体"/>
                <w:color w:val="auto"/>
                <w:spacing w:val="18"/>
                <w:sz w:val="24"/>
                <w:szCs w:val="24"/>
                <w:highlight w:val="none"/>
              </w:rPr>
              <w:t>计(元)</w:t>
            </w:r>
          </w:p>
        </w:tc>
        <w:tc>
          <w:tcPr>
            <w:tcW w:w="841" w:type="pct"/>
            <w:vAlign w:val="center"/>
          </w:tcPr>
          <w:p w14:paraId="788FADE8">
            <w:pPr>
              <w:jc w:val="center"/>
              <w:rPr>
                <w:rFonts w:hint="eastAsia" w:ascii="宋体" w:hAnsi="宋体" w:eastAsia="宋体" w:cs="宋体"/>
                <w:color w:val="auto"/>
                <w:sz w:val="21"/>
                <w:highlight w:val="none"/>
              </w:rPr>
            </w:pPr>
          </w:p>
        </w:tc>
        <w:tc>
          <w:tcPr>
            <w:tcW w:w="928" w:type="pct"/>
            <w:vAlign w:val="center"/>
          </w:tcPr>
          <w:p w14:paraId="03168B65">
            <w:pPr>
              <w:jc w:val="center"/>
              <w:rPr>
                <w:rFonts w:hint="eastAsia" w:ascii="宋体" w:hAnsi="宋体" w:eastAsia="宋体" w:cs="宋体"/>
                <w:color w:val="auto"/>
                <w:sz w:val="21"/>
                <w:highlight w:val="none"/>
              </w:rPr>
            </w:pPr>
          </w:p>
        </w:tc>
      </w:tr>
    </w:tbl>
    <w:p w14:paraId="09272C02">
      <w:pPr>
        <w:keepNext w:val="0"/>
        <w:keepLines w:val="0"/>
        <w:widowControl/>
        <w:suppressLineNumbers w:val="0"/>
        <w:jc w:val="left"/>
        <w:rPr>
          <w:rFonts w:hint="default" w:ascii="FZShuSong-Z01" w:hAnsi="FZShuSong-Z01" w:eastAsia="FZShuSong-Z01" w:cs="FZShuSong-Z01"/>
          <w:color w:val="auto"/>
          <w:kern w:val="0"/>
          <w:sz w:val="24"/>
          <w:szCs w:val="24"/>
          <w:highlight w:val="none"/>
          <w:lang w:val="en-US" w:eastAsia="zh-CN" w:bidi="ar"/>
        </w:rPr>
      </w:pPr>
    </w:p>
    <w:p w14:paraId="50FF4F8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注：1.本表应按包分别填写。 </w:t>
      </w:r>
    </w:p>
    <w:p w14:paraId="2777408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2.上述各项的详细规格（如有），可另页描述。 </w:t>
      </w:r>
    </w:p>
    <w:p w14:paraId="7482A2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3.此表无需在响应文件中提交，磋商后供应商按磋商小组要求提交。 </w:t>
      </w:r>
    </w:p>
    <w:p w14:paraId="24D445B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4F0DF9EB">
      <w:pPr>
        <w:pStyle w:val="17"/>
        <w:numPr>
          <w:ilvl w:val="0"/>
          <w:numId w:val="0"/>
        </w:numPr>
        <w:spacing w:after="0"/>
        <w:ind w:firstLine="720" w:firstLineChars="300"/>
        <w:rPr>
          <w:rFonts w:hint="eastAsia"/>
          <w:color w:val="auto"/>
          <w:sz w:val="24"/>
          <w:highlight w:val="none"/>
        </w:rPr>
      </w:pPr>
    </w:p>
    <w:p w14:paraId="08FECF99">
      <w:pPr>
        <w:autoSpaceDE w:val="0"/>
        <w:autoSpaceDN w:val="0"/>
        <w:adjustRightInd w:val="0"/>
        <w:snapToGrid w:val="0"/>
        <w:spacing w:before="25" w:after="0" w:line="360" w:lineRule="auto"/>
        <w:rPr>
          <w:color w:val="auto"/>
          <w:sz w:val="24"/>
          <w:highlight w:val="none"/>
          <w:lang w:val="zh-CN"/>
        </w:rPr>
      </w:pPr>
    </w:p>
    <w:p w14:paraId="286EAB09">
      <w:pPr>
        <w:autoSpaceDE w:val="0"/>
        <w:autoSpaceDN w:val="0"/>
        <w:adjustRightInd w:val="0"/>
        <w:snapToGrid w:val="0"/>
        <w:spacing w:before="25" w:after="0" w:line="360" w:lineRule="auto"/>
        <w:rPr>
          <w:color w:val="auto"/>
          <w:sz w:val="24"/>
          <w:highlight w:val="none"/>
          <w:lang w:val="zh-CN"/>
        </w:rPr>
      </w:pPr>
    </w:p>
    <w:p w14:paraId="111CC83C">
      <w:pPr>
        <w:autoSpaceDE w:val="0"/>
        <w:autoSpaceDN w:val="0"/>
        <w:adjustRightInd w:val="0"/>
        <w:snapToGrid w:val="0"/>
        <w:spacing w:before="25" w:after="0" w:line="360" w:lineRule="auto"/>
        <w:rPr>
          <w:color w:val="auto"/>
          <w:sz w:val="24"/>
          <w:highlight w:val="none"/>
          <w:lang w:val="zh-CN"/>
        </w:rPr>
      </w:pPr>
      <w:r>
        <w:rPr>
          <w:color w:val="auto"/>
          <w:kern w:val="0"/>
          <w:sz w:val="24"/>
          <w:highlight w:val="none"/>
        </w:rPr>
        <w:t>供应商授权代表签字（或加盖供应商公章）</w:t>
      </w:r>
      <w:r>
        <w:rPr>
          <w:color w:val="auto"/>
          <w:sz w:val="24"/>
          <w:highlight w:val="none"/>
          <w:lang w:val="zh-CN"/>
        </w:rPr>
        <w:t xml:space="preserve">：____________ </w:t>
      </w:r>
    </w:p>
    <w:p w14:paraId="75C79989">
      <w:pPr>
        <w:autoSpaceDE w:val="0"/>
        <w:autoSpaceDN w:val="0"/>
        <w:adjustRightInd w:val="0"/>
        <w:snapToGrid w:val="0"/>
        <w:spacing w:before="25" w:after="0" w:line="360" w:lineRule="auto"/>
        <w:rPr>
          <w:color w:val="auto"/>
          <w:sz w:val="24"/>
          <w:highlight w:val="none"/>
          <w:lang w:val="zh-CN"/>
        </w:rPr>
      </w:pPr>
      <w:r>
        <w:rPr>
          <w:color w:val="auto"/>
          <w:sz w:val="24"/>
          <w:szCs w:val="20"/>
          <w:highlight w:val="none"/>
        </w:rPr>
        <w:t xml:space="preserve">日期：____年____月____日   </w:t>
      </w:r>
    </w:p>
    <w:p w14:paraId="33F5183E">
      <w:pPr>
        <w:widowControl/>
        <w:spacing w:after="0"/>
        <w:jc w:val="left"/>
        <w:rPr>
          <w:b/>
          <w:color w:val="auto"/>
          <w:sz w:val="36"/>
          <w:szCs w:val="36"/>
          <w:highlight w:val="none"/>
        </w:rPr>
      </w:pPr>
    </w:p>
    <w:p w14:paraId="04F8C135">
      <w:pPr>
        <w:rPr>
          <w:color w:val="auto"/>
          <w:sz w:val="24"/>
          <w:highlight w:val="none"/>
          <w:lang w:val="zh-CN"/>
        </w:rPr>
      </w:pPr>
      <w:r>
        <w:rPr>
          <w:color w:val="auto"/>
          <w:sz w:val="24"/>
          <w:highlight w:val="none"/>
          <w:lang w:val="zh-CN"/>
        </w:rPr>
        <w:br w:type="page"/>
      </w:r>
    </w:p>
    <w:p w14:paraId="64D33BE0">
      <w:pPr>
        <w:spacing w:before="78" w:line="219" w:lineRule="auto"/>
        <w:ind w:left="27"/>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 xml:space="preserve">14 </w:t>
      </w:r>
      <w:r>
        <w:rPr>
          <w:rFonts w:hint="eastAsia" w:ascii="宋体" w:hAnsi="宋体" w:eastAsia="宋体" w:cs="宋体"/>
          <w:color w:val="auto"/>
          <w:spacing w:val="5"/>
          <w:sz w:val="24"/>
          <w:szCs w:val="24"/>
          <w:highlight w:val="none"/>
        </w:rPr>
        <w:t xml:space="preserve">  最后报价构成表(</w:t>
      </w:r>
      <w:r>
        <w:rPr>
          <w:rFonts w:hint="eastAsia" w:ascii="宋体" w:hAnsi="宋体" w:eastAsia="宋体" w:cs="宋体"/>
          <w:color w:val="auto"/>
          <w:spacing w:val="5"/>
          <w:sz w:val="24"/>
          <w:szCs w:val="24"/>
          <w:highlight w:val="none"/>
          <w:lang w:val="en-US" w:eastAsia="zh-CN"/>
        </w:rPr>
        <w:t>不适用</w:t>
      </w:r>
      <w:r>
        <w:rPr>
          <w:rFonts w:hint="eastAsia" w:ascii="宋体" w:hAnsi="宋体" w:eastAsia="宋体" w:cs="宋体"/>
          <w:color w:val="auto"/>
          <w:spacing w:val="5"/>
          <w:sz w:val="24"/>
          <w:szCs w:val="24"/>
          <w:highlight w:val="none"/>
        </w:rPr>
        <w:t>)</w:t>
      </w:r>
    </w:p>
    <w:p w14:paraId="0219EF20">
      <w:pPr>
        <w:spacing w:before="181" w:line="212" w:lineRule="auto"/>
        <w:ind w:left="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14- 1 </w:t>
      </w:r>
      <w:r>
        <w:rPr>
          <w:rFonts w:hint="eastAsia" w:ascii="宋体" w:hAnsi="宋体" w:eastAsia="宋体" w:cs="宋体"/>
          <w:color w:val="auto"/>
          <w:spacing w:val="1"/>
          <w:sz w:val="24"/>
          <w:szCs w:val="24"/>
          <w:highlight w:val="none"/>
        </w:rPr>
        <w:t>最终报价中分包情况说明</w:t>
      </w:r>
    </w:p>
    <w:tbl>
      <w:tblPr>
        <w:tblStyle w:val="260"/>
        <w:tblW w:w="8680"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931"/>
        <w:gridCol w:w="2164"/>
        <w:gridCol w:w="1877"/>
      </w:tblGrid>
      <w:tr w14:paraId="6461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08" w:type="dxa"/>
            <w:vAlign w:val="top"/>
          </w:tcPr>
          <w:p w14:paraId="7646EF07">
            <w:pPr>
              <w:spacing w:before="195" w:line="222"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w:t>
            </w:r>
            <w:r>
              <w:rPr>
                <w:rFonts w:hint="eastAsia" w:ascii="宋体" w:hAnsi="宋体" w:eastAsia="宋体" w:cs="宋体"/>
                <w:color w:val="auto"/>
                <w:spacing w:val="-2"/>
                <w:sz w:val="24"/>
                <w:szCs w:val="24"/>
                <w:highlight w:val="none"/>
              </w:rPr>
              <w:t>号</w:t>
            </w:r>
          </w:p>
        </w:tc>
        <w:tc>
          <w:tcPr>
            <w:tcW w:w="3931" w:type="dxa"/>
            <w:vAlign w:val="top"/>
          </w:tcPr>
          <w:p w14:paraId="3537BE76">
            <w:pPr>
              <w:spacing w:before="196" w:line="220" w:lineRule="auto"/>
              <w:ind w:left="10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w:t>
            </w:r>
            <w:r>
              <w:rPr>
                <w:rFonts w:hint="eastAsia" w:ascii="宋体" w:hAnsi="宋体" w:eastAsia="宋体" w:cs="宋体"/>
                <w:color w:val="auto"/>
                <w:spacing w:val="-1"/>
                <w:sz w:val="24"/>
                <w:szCs w:val="24"/>
                <w:highlight w:val="none"/>
              </w:rPr>
              <w:t>担主体名称</w:t>
            </w:r>
          </w:p>
        </w:tc>
        <w:tc>
          <w:tcPr>
            <w:tcW w:w="2164" w:type="dxa"/>
            <w:vAlign w:val="top"/>
          </w:tcPr>
          <w:p w14:paraId="29AE6B11">
            <w:pPr>
              <w:spacing w:before="43" w:line="220" w:lineRule="auto"/>
              <w:ind w:left="1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w:t>
            </w:r>
            <w:r>
              <w:rPr>
                <w:rFonts w:hint="eastAsia" w:ascii="宋体" w:hAnsi="宋体" w:eastAsia="宋体" w:cs="宋体"/>
                <w:color w:val="auto"/>
                <w:spacing w:val="-1"/>
                <w:sz w:val="24"/>
                <w:szCs w:val="24"/>
                <w:highlight w:val="none"/>
              </w:rPr>
              <w:t>担主体类型</w:t>
            </w:r>
          </w:p>
          <w:p w14:paraId="7627F64C">
            <w:pPr>
              <w:spacing w:before="23" w:line="215" w:lineRule="auto"/>
              <w:ind w:left="615"/>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(选择)</w:t>
            </w:r>
          </w:p>
        </w:tc>
        <w:tc>
          <w:tcPr>
            <w:tcW w:w="1877" w:type="dxa"/>
            <w:vAlign w:val="top"/>
          </w:tcPr>
          <w:p w14:paraId="74F3C102">
            <w:pPr>
              <w:spacing w:before="43" w:line="219" w:lineRule="auto"/>
              <w:ind w:left="10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拟</w:t>
            </w:r>
            <w:r>
              <w:rPr>
                <w:rFonts w:hint="eastAsia" w:ascii="宋体" w:hAnsi="宋体" w:eastAsia="宋体" w:cs="宋体"/>
                <w:color w:val="auto"/>
                <w:spacing w:val="-1"/>
                <w:sz w:val="24"/>
                <w:szCs w:val="24"/>
                <w:highlight w:val="none"/>
              </w:rPr>
              <w:t>分包合同金额</w:t>
            </w:r>
          </w:p>
          <w:p w14:paraId="7C6D0509">
            <w:pPr>
              <w:spacing w:before="24" w:line="215" w:lineRule="auto"/>
              <w:ind w:left="229"/>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4"/>
                <w:sz w:val="24"/>
                <w:szCs w:val="24"/>
                <w:highlight w:val="none"/>
              </w:rPr>
              <w:t>人民币元)</w:t>
            </w:r>
          </w:p>
        </w:tc>
      </w:tr>
      <w:tr w14:paraId="1179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08" w:type="dxa"/>
            <w:vAlign w:val="top"/>
          </w:tcPr>
          <w:p w14:paraId="5B70379B">
            <w:pPr>
              <w:spacing w:line="299" w:lineRule="auto"/>
              <w:rPr>
                <w:rFonts w:hint="eastAsia" w:ascii="宋体" w:hAnsi="宋体" w:eastAsia="宋体" w:cs="宋体"/>
                <w:color w:val="auto"/>
                <w:sz w:val="21"/>
                <w:highlight w:val="none"/>
              </w:rPr>
            </w:pPr>
          </w:p>
          <w:p w14:paraId="71CCC90D">
            <w:pPr>
              <w:spacing w:before="69" w:line="199" w:lineRule="auto"/>
              <w:ind w:left="3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31" w:type="dxa"/>
            <w:vAlign w:val="top"/>
          </w:tcPr>
          <w:p w14:paraId="107D26B8">
            <w:pPr>
              <w:rPr>
                <w:rFonts w:hint="eastAsia" w:ascii="宋体" w:hAnsi="宋体" w:eastAsia="宋体" w:cs="宋体"/>
                <w:color w:val="auto"/>
                <w:sz w:val="21"/>
                <w:highlight w:val="none"/>
              </w:rPr>
            </w:pPr>
          </w:p>
        </w:tc>
        <w:tc>
          <w:tcPr>
            <w:tcW w:w="2164" w:type="dxa"/>
            <w:vAlign w:val="top"/>
          </w:tcPr>
          <w:p w14:paraId="14DE8AE3">
            <w:pPr>
              <w:spacing w:before="36" w:line="221"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□中型企</w:t>
            </w:r>
            <w:r>
              <w:rPr>
                <w:rFonts w:hint="eastAsia" w:ascii="宋体" w:hAnsi="宋体" w:eastAsia="宋体" w:cs="宋体"/>
                <w:color w:val="auto"/>
                <w:spacing w:val="11"/>
                <w:sz w:val="24"/>
                <w:szCs w:val="24"/>
                <w:highlight w:val="none"/>
              </w:rPr>
              <w:t>业</w:t>
            </w:r>
          </w:p>
          <w:p w14:paraId="6AA56D3F">
            <w:pPr>
              <w:spacing w:before="22" w:line="220"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□小微企</w:t>
            </w:r>
            <w:r>
              <w:rPr>
                <w:rFonts w:hint="eastAsia" w:ascii="宋体" w:hAnsi="宋体" w:eastAsia="宋体" w:cs="宋体"/>
                <w:color w:val="auto"/>
                <w:spacing w:val="11"/>
                <w:sz w:val="24"/>
                <w:szCs w:val="24"/>
                <w:highlight w:val="none"/>
              </w:rPr>
              <w:t>业</w:t>
            </w:r>
          </w:p>
          <w:p w14:paraId="61364520">
            <w:pPr>
              <w:spacing w:before="26" w:line="214" w:lineRule="auto"/>
              <w:ind w:left="702"/>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9"/>
                <w:sz w:val="24"/>
                <w:szCs w:val="24"/>
                <w:highlight w:val="none"/>
              </w:rPr>
              <w:t>其他</w:t>
            </w:r>
          </w:p>
        </w:tc>
        <w:tc>
          <w:tcPr>
            <w:tcW w:w="1877" w:type="dxa"/>
            <w:vAlign w:val="top"/>
          </w:tcPr>
          <w:p w14:paraId="4E6D9D6A">
            <w:pPr>
              <w:rPr>
                <w:rFonts w:hint="eastAsia" w:ascii="宋体" w:hAnsi="宋体" w:eastAsia="宋体" w:cs="宋体"/>
                <w:color w:val="auto"/>
                <w:sz w:val="21"/>
                <w:highlight w:val="none"/>
              </w:rPr>
            </w:pPr>
          </w:p>
        </w:tc>
      </w:tr>
      <w:tr w14:paraId="66D8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8" w:type="dxa"/>
            <w:vAlign w:val="top"/>
          </w:tcPr>
          <w:p w14:paraId="14AE0AB8">
            <w:pPr>
              <w:spacing w:line="300" w:lineRule="auto"/>
              <w:rPr>
                <w:rFonts w:hint="eastAsia" w:ascii="宋体" w:hAnsi="宋体" w:eastAsia="宋体" w:cs="宋体"/>
                <w:color w:val="auto"/>
                <w:sz w:val="21"/>
                <w:highlight w:val="none"/>
              </w:rPr>
            </w:pPr>
          </w:p>
          <w:p w14:paraId="4DB161F0">
            <w:pPr>
              <w:spacing w:before="69" w:line="201" w:lineRule="auto"/>
              <w:ind w:left="2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3931" w:type="dxa"/>
            <w:vAlign w:val="top"/>
          </w:tcPr>
          <w:p w14:paraId="2DF78217">
            <w:pPr>
              <w:rPr>
                <w:rFonts w:hint="eastAsia" w:ascii="宋体" w:hAnsi="宋体" w:eastAsia="宋体" w:cs="宋体"/>
                <w:color w:val="auto"/>
                <w:sz w:val="21"/>
                <w:highlight w:val="none"/>
              </w:rPr>
            </w:pPr>
          </w:p>
        </w:tc>
        <w:tc>
          <w:tcPr>
            <w:tcW w:w="2164" w:type="dxa"/>
            <w:vAlign w:val="top"/>
          </w:tcPr>
          <w:p w14:paraId="3786DABA">
            <w:pPr>
              <w:spacing w:before="38" w:line="221"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□中型企</w:t>
            </w:r>
            <w:r>
              <w:rPr>
                <w:rFonts w:hint="eastAsia" w:ascii="宋体" w:hAnsi="宋体" w:eastAsia="宋体" w:cs="宋体"/>
                <w:color w:val="auto"/>
                <w:spacing w:val="11"/>
                <w:sz w:val="24"/>
                <w:szCs w:val="24"/>
                <w:highlight w:val="none"/>
              </w:rPr>
              <w:t>业</w:t>
            </w:r>
          </w:p>
          <w:p w14:paraId="6A137998">
            <w:pPr>
              <w:spacing w:before="25" w:line="220"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□小微企</w:t>
            </w:r>
            <w:r>
              <w:rPr>
                <w:rFonts w:hint="eastAsia" w:ascii="宋体" w:hAnsi="宋体" w:eastAsia="宋体" w:cs="宋体"/>
                <w:color w:val="auto"/>
                <w:spacing w:val="11"/>
                <w:sz w:val="24"/>
                <w:szCs w:val="24"/>
                <w:highlight w:val="none"/>
              </w:rPr>
              <w:t>业</w:t>
            </w:r>
          </w:p>
          <w:p w14:paraId="6EA741E7">
            <w:pPr>
              <w:spacing w:before="23" w:line="214" w:lineRule="auto"/>
              <w:ind w:left="702"/>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9"/>
                <w:sz w:val="24"/>
                <w:szCs w:val="24"/>
                <w:highlight w:val="none"/>
              </w:rPr>
              <w:t>其他</w:t>
            </w:r>
          </w:p>
        </w:tc>
        <w:tc>
          <w:tcPr>
            <w:tcW w:w="1877" w:type="dxa"/>
            <w:vAlign w:val="top"/>
          </w:tcPr>
          <w:p w14:paraId="030F72EA">
            <w:pPr>
              <w:rPr>
                <w:rFonts w:hint="eastAsia" w:ascii="宋体" w:hAnsi="宋体" w:eastAsia="宋体" w:cs="宋体"/>
                <w:color w:val="auto"/>
                <w:sz w:val="21"/>
                <w:highlight w:val="none"/>
              </w:rPr>
            </w:pPr>
          </w:p>
        </w:tc>
      </w:tr>
      <w:tr w14:paraId="74B3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dxa"/>
            <w:vAlign w:val="top"/>
          </w:tcPr>
          <w:p w14:paraId="510AE7FE">
            <w:pPr>
              <w:spacing w:line="295" w:lineRule="auto"/>
              <w:rPr>
                <w:rFonts w:hint="eastAsia" w:ascii="宋体" w:hAnsi="宋体" w:eastAsia="宋体" w:cs="宋体"/>
                <w:color w:val="auto"/>
                <w:sz w:val="21"/>
                <w:highlight w:val="none"/>
              </w:rPr>
            </w:pPr>
          </w:p>
          <w:p w14:paraId="651C3452">
            <w:pPr>
              <w:spacing w:before="69" w:line="80" w:lineRule="exact"/>
              <w:ind w:left="259"/>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3931" w:type="dxa"/>
            <w:vAlign w:val="top"/>
          </w:tcPr>
          <w:p w14:paraId="2BD239BB">
            <w:pPr>
              <w:rPr>
                <w:rFonts w:hint="eastAsia" w:ascii="宋体" w:hAnsi="宋体" w:eastAsia="宋体" w:cs="宋体"/>
                <w:color w:val="auto"/>
                <w:sz w:val="21"/>
                <w:highlight w:val="none"/>
              </w:rPr>
            </w:pPr>
          </w:p>
        </w:tc>
        <w:tc>
          <w:tcPr>
            <w:tcW w:w="2164" w:type="dxa"/>
            <w:vAlign w:val="top"/>
          </w:tcPr>
          <w:p w14:paraId="4E70DB1F">
            <w:pPr>
              <w:rPr>
                <w:rFonts w:hint="eastAsia" w:ascii="宋体" w:hAnsi="宋体" w:eastAsia="宋体" w:cs="宋体"/>
                <w:color w:val="auto"/>
                <w:sz w:val="21"/>
                <w:highlight w:val="none"/>
              </w:rPr>
            </w:pPr>
          </w:p>
        </w:tc>
        <w:tc>
          <w:tcPr>
            <w:tcW w:w="1877" w:type="dxa"/>
            <w:vAlign w:val="top"/>
          </w:tcPr>
          <w:p w14:paraId="3EA932EF">
            <w:pPr>
              <w:rPr>
                <w:rFonts w:hint="eastAsia" w:ascii="宋体" w:hAnsi="宋体" w:eastAsia="宋体" w:cs="宋体"/>
                <w:color w:val="auto"/>
                <w:sz w:val="21"/>
                <w:highlight w:val="none"/>
              </w:rPr>
            </w:pPr>
          </w:p>
        </w:tc>
      </w:tr>
      <w:tr w14:paraId="12F3B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3" w:type="dxa"/>
            <w:gridSpan w:val="3"/>
            <w:vAlign w:val="top"/>
          </w:tcPr>
          <w:p w14:paraId="7A3A4DCC">
            <w:pPr>
              <w:spacing w:before="193" w:line="222" w:lineRule="auto"/>
              <w:ind w:left="317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合</w:t>
            </w:r>
            <w:r>
              <w:rPr>
                <w:rFonts w:hint="eastAsia" w:ascii="宋体" w:hAnsi="宋体" w:eastAsia="宋体" w:cs="宋体"/>
                <w:color w:val="auto"/>
                <w:spacing w:val="-2"/>
                <w:sz w:val="24"/>
                <w:szCs w:val="24"/>
                <w:highlight w:val="none"/>
              </w:rPr>
              <w:t>计</w:t>
            </w:r>
          </w:p>
        </w:tc>
        <w:tc>
          <w:tcPr>
            <w:tcW w:w="1877" w:type="dxa"/>
            <w:vAlign w:val="top"/>
          </w:tcPr>
          <w:p w14:paraId="50F7408A">
            <w:pPr>
              <w:rPr>
                <w:rFonts w:hint="eastAsia" w:ascii="宋体" w:hAnsi="宋体" w:eastAsia="宋体" w:cs="宋体"/>
                <w:color w:val="auto"/>
                <w:sz w:val="21"/>
                <w:highlight w:val="none"/>
              </w:rPr>
            </w:pPr>
          </w:p>
        </w:tc>
      </w:tr>
    </w:tbl>
    <w:p w14:paraId="6B89E163">
      <w:pPr>
        <w:spacing w:before="316" w:line="211" w:lineRule="auto"/>
        <w:ind w:left="26"/>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14</w:t>
      </w:r>
      <w:r>
        <w:rPr>
          <w:rFonts w:hint="eastAsia" w:ascii="宋体" w:hAnsi="宋体" w:eastAsia="宋体" w:cs="宋体"/>
          <w:color w:val="auto"/>
          <w:spacing w:val="5"/>
          <w:sz w:val="24"/>
          <w:szCs w:val="24"/>
          <w:highlight w:val="none"/>
        </w:rPr>
        <w:t>-2 联合体最终报价情况说明</w:t>
      </w:r>
    </w:p>
    <w:tbl>
      <w:tblPr>
        <w:tblStyle w:val="260"/>
        <w:tblW w:w="8680"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931"/>
        <w:gridCol w:w="2164"/>
        <w:gridCol w:w="1877"/>
      </w:tblGrid>
      <w:tr w14:paraId="3A93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8" w:type="dxa"/>
            <w:vAlign w:val="top"/>
          </w:tcPr>
          <w:p w14:paraId="724C1A38">
            <w:pPr>
              <w:spacing w:before="194" w:line="222"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w:t>
            </w:r>
            <w:r>
              <w:rPr>
                <w:rFonts w:hint="eastAsia" w:ascii="宋体" w:hAnsi="宋体" w:eastAsia="宋体" w:cs="宋体"/>
                <w:color w:val="auto"/>
                <w:spacing w:val="-2"/>
                <w:sz w:val="24"/>
                <w:szCs w:val="24"/>
                <w:highlight w:val="none"/>
              </w:rPr>
              <w:t>号</w:t>
            </w:r>
          </w:p>
        </w:tc>
        <w:tc>
          <w:tcPr>
            <w:tcW w:w="3931" w:type="dxa"/>
            <w:vAlign w:val="top"/>
          </w:tcPr>
          <w:p w14:paraId="36F6838A">
            <w:pPr>
              <w:spacing w:before="194" w:line="222" w:lineRule="auto"/>
              <w:ind w:left="113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联合</w:t>
            </w:r>
            <w:r>
              <w:rPr>
                <w:rFonts w:hint="eastAsia" w:ascii="宋体" w:hAnsi="宋体" w:eastAsia="宋体" w:cs="宋体"/>
                <w:color w:val="auto"/>
                <w:spacing w:val="-1"/>
                <w:sz w:val="24"/>
                <w:szCs w:val="24"/>
                <w:highlight w:val="none"/>
              </w:rPr>
              <w:t>体成员名称</w:t>
            </w:r>
          </w:p>
        </w:tc>
        <w:tc>
          <w:tcPr>
            <w:tcW w:w="2164" w:type="dxa"/>
            <w:vAlign w:val="top"/>
          </w:tcPr>
          <w:p w14:paraId="7DCC798D">
            <w:pPr>
              <w:spacing w:before="42" w:line="220" w:lineRule="auto"/>
              <w:ind w:left="24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联合</w:t>
            </w:r>
            <w:r>
              <w:rPr>
                <w:rFonts w:hint="eastAsia" w:ascii="宋体" w:hAnsi="宋体" w:eastAsia="宋体" w:cs="宋体"/>
                <w:color w:val="auto"/>
                <w:spacing w:val="-1"/>
                <w:sz w:val="24"/>
                <w:szCs w:val="24"/>
                <w:highlight w:val="none"/>
              </w:rPr>
              <w:t>体成员类型</w:t>
            </w:r>
          </w:p>
          <w:p w14:paraId="0B6E302F">
            <w:pPr>
              <w:spacing w:before="23" w:line="215" w:lineRule="auto"/>
              <w:ind w:left="615"/>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(选择)</w:t>
            </w:r>
          </w:p>
        </w:tc>
        <w:tc>
          <w:tcPr>
            <w:tcW w:w="1877" w:type="dxa"/>
            <w:vAlign w:val="top"/>
          </w:tcPr>
          <w:p w14:paraId="3F6DB325">
            <w:pPr>
              <w:spacing w:before="40" w:line="227" w:lineRule="auto"/>
              <w:ind w:left="229" w:right="234" w:firstLine="23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合</w:t>
            </w:r>
            <w:r>
              <w:rPr>
                <w:rFonts w:hint="eastAsia" w:ascii="宋体" w:hAnsi="宋体" w:eastAsia="宋体" w:cs="宋体"/>
                <w:color w:val="auto"/>
                <w:spacing w:val="-3"/>
                <w:sz w:val="24"/>
                <w:szCs w:val="24"/>
                <w:highlight w:val="none"/>
              </w:rPr>
              <w:t>同</w:t>
            </w:r>
            <w:r>
              <w:rPr>
                <w:rFonts w:hint="eastAsia" w:ascii="宋体" w:hAnsi="宋体" w:eastAsia="宋体" w:cs="宋体"/>
                <w:color w:val="auto"/>
                <w:spacing w:val="-2"/>
                <w:sz w:val="24"/>
                <w:szCs w:val="24"/>
                <w:highlight w:val="none"/>
              </w:rPr>
              <w:t>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4"/>
                <w:sz w:val="24"/>
                <w:szCs w:val="24"/>
                <w:highlight w:val="none"/>
              </w:rPr>
              <w:t>人民币元)</w:t>
            </w:r>
          </w:p>
        </w:tc>
      </w:tr>
      <w:tr w14:paraId="38C40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8" w:type="dxa"/>
            <w:vAlign w:val="top"/>
          </w:tcPr>
          <w:p w14:paraId="75BACA92">
            <w:pPr>
              <w:spacing w:line="301" w:lineRule="auto"/>
              <w:rPr>
                <w:rFonts w:hint="eastAsia" w:ascii="宋体" w:hAnsi="宋体" w:eastAsia="宋体" w:cs="宋体"/>
                <w:color w:val="auto"/>
                <w:sz w:val="21"/>
                <w:highlight w:val="none"/>
              </w:rPr>
            </w:pPr>
          </w:p>
          <w:p w14:paraId="661D04CF">
            <w:pPr>
              <w:spacing w:before="69" w:line="199" w:lineRule="auto"/>
              <w:ind w:left="3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31" w:type="dxa"/>
            <w:vAlign w:val="top"/>
          </w:tcPr>
          <w:p w14:paraId="6C838C78">
            <w:pPr>
              <w:rPr>
                <w:rFonts w:hint="eastAsia" w:ascii="宋体" w:hAnsi="宋体" w:eastAsia="宋体" w:cs="宋体"/>
                <w:color w:val="auto"/>
                <w:sz w:val="21"/>
                <w:highlight w:val="none"/>
              </w:rPr>
            </w:pPr>
          </w:p>
        </w:tc>
        <w:tc>
          <w:tcPr>
            <w:tcW w:w="2164" w:type="dxa"/>
            <w:vAlign w:val="top"/>
          </w:tcPr>
          <w:p w14:paraId="175DCC69">
            <w:pPr>
              <w:spacing w:before="36" w:line="221"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□中型企</w:t>
            </w:r>
            <w:r>
              <w:rPr>
                <w:rFonts w:hint="eastAsia" w:ascii="宋体" w:hAnsi="宋体" w:eastAsia="宋体" w:cs="宋体"/>
                <w:color w:val="auto"/>
                <w:spacing w:val="11"/>
                <w:sz w:val="24"/>
                <w:szCs w:val="24"/>
                <w:highlight w:val="none"/>
              </w:rPr>
              <w:t>业</w:t>
            </w:r>
          </w:p>
          <w:p w14:paraId="5DE65153">
            <w:pPr>
              <w:spacing w:before="25" w:line="220"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□小微企</w:t>
            </w:r>
            <w:r>
              <w:rPr>
                <w:rFonts w:hint="eastAsia" w:ascii="宋体" w:hAnsi="宋体" w:eastAsia="宋体" w:cs="宋体"/>
                <w:color w:val="auto"/>
                <w:spacing w:val="11"/>
                <w:sz w:val="24"/>
                <w:szCs w:val="24"/>
                <w:highlight w:val="none"/>
              </w:rPr>
              <w:t>业</w:t>
            </w:r>
          </w:p>
          <w:p w14:paraId="157DA377">
            <w:pPr>
              <w:spacing w:before="23" w:line="215" w:lineRule="auto"/>
              <w:ind w:left="702"/>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9"/>
                <w:sz w:val="24"/>
                <w:szCs w:val="24"/>
                <w:highlight w:val="none"/>
              </w:rPr>
              <w:t>其他</w:t>
            </w:r>
          </w:p>
        </w:tc>
        <w:tc>
          <w:tcPr>
            <w:tcW w:w="1877" w:type="dxa"/>
            <w:vAlign w:val="top"/>
          </w:tcPr>
          <w:p w14:paraId="16A7C5CE">
            <w:pPr>
              <w:rPr>
                <w:rFonts w:hint="eastAsia" w:ascii="宋体" w:hAnsi="宋体" w:eastAsia="宋体" w:cs="宋体"/>
                <w:color w:val="auto"/>
                <w:sz w:val="21"/>
                <w:highlight w:val="none"/>
              </w:rPr>
            </w:pPr>
          </w:p>
        </w:tc>
      </w:tr>
      <w:tr w14:paraId="356C4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8" w:type="dxa"/>
            <w:vAlign w:val="top"/>
          </w:tcPr>
          <w:p w14:paraId="3F5420AD">
            <w:pPr>
              <w:spacing w:line="299" w:lineRule="auto"/>
              <w:rPr>
                <w:rFonts w:hint="eastAsia" w:ascii="宋体" w:hAnsi="宋体" w:eastAsia="宋体" w:cs="宋体"/>
                <w:color w:val="auto"/>
                <w:sz w:val="21"/>
                <w:highlight w:val="none"/>
              </w:rPr>
            </w:pPr>
          </w:p>
          <w:p w14:paraId="41E26B84">
            <w:pPr>
              <w:spacing w:before="69" w:line="201" w:lineRule="auto"/>
              <w:ind w:left="2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3931" w:type="dxa"/>
            <w:vAlign w:val="top"/>
          </w:tcPr>
          <w:p w14:paraId="26FAB9A5">
            <w:pPr>
              <w:rPr>
                <w:rFonts w:hint="eastAsia" w:ascii="宋体" w:hAnsi="宋体" w:eastAsia="宋体" w:cs="宋体"/>
                <w:color w:val="auto"/>
                <w:sz w:val="21"/>
                <w:highlight w:val="none"/>
              </w:rPr>
            </w:pPr>
          </w:p>
        </w:tc>
        <w:tc>
          <w:tcPr>
            <w:tcW w:w="2164" w:type="dxa"/>
            <w:vAlign w:val="top"/>
          </w:tcPr>
          <w:p w14:paraId="50D5E988">
            <w:pPr>
              <w:spacing w:before="39" w:line="221"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□中型企</w:t>
            </w:r>
            <w:r>
              <w:rPr>
                <w:rFonts w:hint="eastAsia" w:ascii="宋体" w:hAnsi="宋体" w:eastAsia="宋体" w:cs="宋体"/>
                <w:color w:val="auto"/>
                <w:spacing w:val="11"/>
                <w:sz w:val="24"/>
                <w:szCs w:val="24"/>
                <w:highlight w:val="none"/>
              </w:rPr>
              <w:t>业</w:t>
            </w:r>
          </w:p>
          <w:p w14:paraId="1A380171">
            <w:pPr>
              <w:spacing w:before="22" w:line="220" w:lineRule="auto"/>
              <w:ind w:left="462"/>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□小微企</w:t>
            </w:r>
            <w:r>
              <w:rPr>
                <w:rFonts w:hint="eastAsia" w:ascii="宋体" w:hAnsi="宋体" w:eastAsia="宋体" w:cs="宋体"/>
                <w:color w:val="auto"/>
                <w:spacing w:val="11"/>
                <w:sz w:val="24"/>
                <w:szCs w:val="24"/>
                <w:highlight w:val="none"/>
              </w:rPr>
              <w:t>业</w:t>
            </w:r>
          </w:p>
          <w:p w14:paraId="79C6D535">
            <w:pPr>
              <w:spacing w:before="25" w:line="213" w:lineRule="auto"/>
              <w:ind w:left="702"/>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9"/>
                <w:sz w:val="24"/>
                <w:szCs w:val="24"/>
                <w:highlight w:val="none"/>
              </w:rPr>
              <w:t>其他</w:t>
            </w:r>
          </w:p>
        </w:tc>
        <w:tc>
          <w:tcPr>
            <w:tcW w:w="1877" w:type="dxa"/>
            <w:vAlign w:val="top"/>
          </w:tcPr>
          <w:p w14:paraId="25E5AF90">
            <w:pPr>
              <w:rPr>
                <w:rFonts w:hint="eastAsia" w:ascii="宋体" w:hAnsi="宋体" w:eastAsia="宋体" w:cs="宋体"/>
                <w:color w:val="auto"/>
                <w:sz w:val="21"/>
                <w:highlight w:val="none"/>
              </w:rPr>
            </w:pPr>
          </w:p>
        </w:tc>
      </w:tr>
      <w:tr w14:paraId="00F3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dxa"/>
            <w:vAlign w:val="top"/>
          </w:tcPr>
          <w:p w14:paraId="778A3A30">
            <w:pPr>
              <w:spacing w:line="294" w:lineRule="auto"/>
              <w:rPr>
                <w:rFonts w:hint="eastAsia" w:ascii="宋体" w:hAnsi="宋体" w:eastAsia="宋体" w:cs="宋体"/>
                <w:color w:val="auto"/>
                <w:sz w:val="21"/>
                <w:highlight w:val="none"/>
              </w:rPr>
            </w:pPr>
          </w:p>
          <w:p w14:paraId="084BEB79">
            <w:pPr>
              <w:spacing w:before="69" w:line="80" w:lineRule="exact"/>
              <w:ind w:left="259"/>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3931" w:type="dxa"/>
            <w:vAlign w:val="top"/>
          </w:tcPr>
          <w:p w14:paraId="07A81434">
            <w:pPr>
              <w:rPr>
                <w:rFonts w:hint="eastAsia" w:ascii="宋体" w:hAnsi="宋体" w:eastAsia="宋体" w:cs="宋体"/>
                <w:color w:val="auto"/>
                <w:sz w:val="21"/>
                <w:highlight w:val="none"/>
              </w:rPr>
            </w:pPr>
          </w:p>
        </w:tc>
        <w:tc>
          <w:tcPr>
            <w:tcW w:w="2164" w:type="dxa"/>
            <w:vAlign w:val="top"/>
          </w:tcPr>
          <w:p w14:paraId="22D4B104">
            <w:pPr>
              <w:rPr>
                <w:rFonts w:hint="eastAsia" w:ascii="宋体" w:hAnsi="宋体" w:eastAsia="宋体" w:cs="宋体"/>
                <w:color w:val="auto"/>
                <w:sz w:val="21"/>
                <w:highlight w:val="none"/>
              </w:rPr>
            </w:pPr>
          </w:p>
        </w:tc>
        <w:tc>
          <w:tcPr>
            <w:tcW w:w="1877" w:type="dxa"/>
            <w:vAlign w:val="top"/>
          </w:tcPr>
          <w:p w14:paraId="5B3F9F46">
            <w:pPr>
              <w:rPr>
                <w:rFonts w:hint="eastAsia" w:ascii="宋体" w:hAnsi="宋体" w:eastAsia="宋体" w:cs="宋体"/>
                <w:color w:val="auto"/>
                <w:sz w:val="21"/>
                <w:highlight w:val="none"/>
              </w:rPr>
            </w:pPr>
          </w:p>
        </w:tc>
      </w:tr>
      <w:tr w14:paraId="304E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3" w:type="dxa"/>
            <w:gridSpan w:val="3"/>
            <w:vAlign w:val="top"/>
          </w:tcPr>
          <w:p w14:paraId="283D276D">
            <w:pPr>
              <w:spacing w:before="192" w:line="222" w:lineRule="auto"/>
              <w:ind w:left="317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合</w:t>
            </w:r>
            <w:r>
              <w:rPr>
                <w:rFonts w:hint="eastAsia" w:ascii="宋体" w:hAnsi="宋体" w:eastAsia="宋体" w:cs="宋体"/>
                <w:color w:val="auto"/>
                <w:spacing w:val="-2"/>
                <w:sz w:val="24"/>
                <w:szCs w:val="24"/>
                <w:highlight w:val="none"/>
              </w:rPr>
              <w:t>计</w:t>
            </w:r>
          </w:p>
        </w:tc>
        <w:tc>
          <w:tcPr>
            <w:tcW w:w="1877" w:type="dxa"/>
            <w:vAlign w:val="top"/>
          </w:tcPr>
          <w:p w14:paraId="79FD00FB">
            <w:pPr>
              <w:rPr>
                <w:rFonts w:hint="eastAsia" w:ascii="宋体" w:hAnsi="宋体" w:eastAsia="宋体" w:cs="宋体"/>
                <w:color w:val="auto"/>
                <w:sz w:val="21"/>
                <w:highlight w:val="none"/>
              </w:rPr>
            </w:pPr>
          </w:p>
        </w:tc>
      </w:tr>
    </w:tbl>
    <w:p w14:paraId="6F2D0A54">
      <w:pPr>
        <w:spacing w:line="255" w:lineRule="auto"/>
        <w:rPr>
          <w:rFonts w:hint="eastAsia" w:ascii="宋体" w:hAnsi="宋体" w:eastAsia="宋体" w:cs="宋体"/>
          <w:color w:val="auto"/>
          <w:sz w:val="21"/>
          <w:highlight w:val="none"/>
        </w:rPr>
      </w:pPr>
    </w:p>
    <w:p w14:paraId="18CE55B8">
      <w:pPr>
        <w:spacing w:line="255" w:lineRule="auto"/>
        <w:rPr>
          <w:rFonts w:hint="eastAsia" w:ascii="宋体" w:hAnsi="宋体" w:eastAsia="宋体" w:cs="宋体"/>
          <w:color w:val="auto"/>
          <w:sz w:val="21"/>
          <w:highlight w:val="none"/>
        </w:rPr>
      </w:pPr>
    </w:p>
    <w:p w14:paraId="1201B5AE">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注： </w:t>
      </w:r>
    </w:p>
    <w:p w14:paraId="3D90AFE6">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1.如供应商为联合体或拟进行合同分包，则必须选择一种表格填报，否则</w:t>
      </w:r>
      <w:r>
        <w:rPr>
          <w:rFonts w:hint="eastAsia" w:ascii="宋体" w:hAnsi="宋体" w:eastAsia="宋体" w:cs="宋体"/>
          <w:b/>
          <w:bCs/>
          <w:color w:val="auto"/>
          <w:kern w:val="0"/>
          <w:sz w:val="24"/>
          <w:szCs w:val="24"/>
          <w:highlight w:val="none"/>
          <w:lang w:val="en-US" w:eastAsia="zh-CN" w:bidi="ar"/>
        </w:rPr>
        <w:t>响应无效</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 </w:t>
      </w:r>
    </w:p>
    <w:p w14:paraId="35F20D2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2.本表应按包分别填写。 </w:t>
      </w:r>
    </w:p>
    <w:p w14:paraId="0704C37B">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3.此表无需在响应文件中提交，磋商后供应商按磋商小组要求提交。</w:t>
      </w:r>
    </w:p>
    <w:p w14:paraId="4394F563">
      <w:pPr>
        <w:spacing w:before="265" w:line="492" w:lineRule="exact"/>
        <w:ind w:left="9"/>
        <w:rPr>
          <w:rFonts w:hint="eastAsia" w:ascii="宋体" w:hAnsi="宋体" w:eastAsia="宋体" w:cs="宋体"/>
          <w:color w:val="auto"/>
          <w:sz w:val="24"/>
          <w:szCs w:val="24"/>
          <w:highlight w:val="none"/>
        </w:rPr>
      </w:pPr>
      <w:r>
        <w:rPr>
          <w:rFonts w:hint="eastAsia" w:ascii="宋体" w:hAnsi="宋体" w:eastAsia="宋体" w:cs="宋体"/>
          <w:color w:val="auto"/>
          <w:spacing w:val="-8"/>
          <w:position w:val="19"/>
          <w:sz w:val="24"/>
          <w:szCs w:val="24"/>
          <w:highlight w:val="none"/>
        </w:rPr>
        <w:t>供应商授权</w:t>
      </w:r>
      <w:r>
        <w:rPr>
          <w:rFonts w:hint="eastAsia" w:ascii="宋体" w:hAnsi="宋体" w:eastAsia="宋体" w:cs="宋体"/>
          <w:color w:val="auto"/>
          <w:spacing w:val="-6"/>
          <w:position w:val="19"/>
          <w:sz w:val="24"/>
          <w:szCs w:val="24"/>
          <w:highlight w:val="none"/>
        </w:rPr>
        <w:t>代</w:t>
      </w:r>
      <w:r>
        <w:rPr>
          <w:rFonts w:hint="eastAsia" w:ascii="宋体" w:hAnsi="宋体" w:eastAsia="宋体" w:cs="宋体"/>
          <w:color w:val="auto"/>
          <w:spacing w:val="-4"/>
          <w:position w:val="19"/>
          <w:sz w:val="24"/>
          <w:szCs w:val="24"/>
          <w:highlight w:val="none"/>
        </w:rPr>
        <w:t>表签字 (或加盖供应商公章) ：____________</w:t>
      </w:r>
    </w:p>
    <w:p w14:paraId="4BD70E26">
      <w:pPr>
        <w:spacing w:before="1" w:line="218"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日</w:t>
      </w:r>
      <w:r>
        <w:rPr>
          <w:rFonts w:hint="eastAsia" w:ascii="宋体" w:hAnsi="宋体" w:eastAsia="宋体" w:cs="宋体"/>
          <w:color w:val="auto"/>
          <w:spacing w:val="-17"/>
          <w:sz w:val="24"/>
          <w:szCs w:val="24"/>
          <w:highlight w:val="none"/>
        </w:rPr>
        <w:t>期： ____年____月____ 日</w:t>
      </w:r>
    </w:p>
    <w:p w14:paraId="6B098677">
      <w:pPr>
        <w:autoSpaceDE w:val="0"/>
        <w:autoSpaceDN w:val="0"/>
        <w:adjustRightInd w:val="0"/>
        <w:snapToGrid w:val="0"/>
        <w:spacing w:before="25" w:after="0" w:line="360" w:lineRule="auto"/>
        <w:rPr>
          <w:color w:val="auto"/>
          <w:sz w:val="24"/>
          <w:highlight w:val="none"/>
          <w:lang w:val="zh-CN"/>
        </w:rPr>
      </w:pPr>
    </w:p>
    <w:p w14:paraId="3C897F79">
      <w:pPr>
        <w:widowControl/>
        <w:spacing w:after="0"/>
        <w:jc w:val="left"/>
        <w:rPr>
          <w:b/>
          <w:color w:val="auto"/>
          <w:sz w:val="36"/>
          <w:szCs w:val="36"/>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FZShuSong-Z01">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F968">
    <w:pPr>
      <w:pStyle w:val="28"/>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CAB1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3CAB1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697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36839F1D">
    <w:pPr>
      <w:pStyle w:val="28"/>
      <w:ind w:right="360"/>
    </w:pPr>
  </w:p>
  <w:p w14:paraId="261A2BD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F97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3B3C">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805B">
    <w:pPr>
      <w:pStyle w:val="29"/>
    </w:pPr>
  </w:p>
  <w:p w14:paraId="7EE37B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B6C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987CC"/>
    <w:multiLevelType w:val="singleLevel"/>
    <w:tmpl w:val="C16987CC"/>
    <w:lvl w:ilvl="0" w:tentative="0">
      <w:start w:val="2"/>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13A64CC"/>
    <w:multiLevelType w:val="singleLevel"/>
    <w:tmpl w:val="413A64CC"/>
    <w:lvl w:ilvl="0" w:tentative="0">
      <w:start w:val="1"/>
      <w:numFmt w:val="decimal"/>
      <w:lvlText w:val="%1."/>
      <w:lvlJc w:val="left"/>
      <w:pPr>
        <w:tabs>
          <w:tab w:val="left" w:pos="312"/>
        </w:tabs>
      </w:pPr>
    </w:lvl>
  </w:abstractNum>
  <w:abstractNum w:abstractNumId="14">
    <w:nsid w:val="5623530E"/>
    <w:multiLevelType w:val="singleLevel"/>
    <w:tmpl w:val="5623530E"/>
    <w:lvl w:ilvl="0" w:tentative="0">
      <w:start w:val="7"/>
      <w:numFmt w:val="decimal"/>
      <w:suff w:val="nothing"/>
      <w:lvlText w:val="（%1）"/>
      <w:lvlJc w:val="left"/>
    </w:lvl>
  </w:abstractNum>
  <w:abstractNum w:abstractNumId="15">
    <w:nsid w:val="625B30E1"/>
    <w:multiLevelType w:val="singleLevel"/>
    <w:tmpl w:val="625B30E1"/>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0"/>
  </w:num>
  <w:num w:numId="11">
    <w:abstractNumId w:val="11"/>
  </w:num>
  <w:num w:numId="12">
    <w:abstractNumId w:val="14"/>
  </w:num>
  <w:num w:numId="13">
    <w:abstractNumId w:val="13"/>
  </w:num>
  <w:num w:numId="14">
    <w:abstractNumId w:val="1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FlMjNiYWNkNzU4MGJjZGEwNzMwMWNlY2ZmMDdkYjc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4FE3"/>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2B"/>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4F8F"/>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70"/>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50F"/>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D3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B6"/>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6F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105"/>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26B"/>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87A"/>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1"/>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C03"/>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B52"/>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66"/>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D41"/>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9C6"/>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9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A7"/>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C9C"/>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EFC"/>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0FBD"/>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46B"/>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0A4"/>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AFA"/>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1C"/>
    <w:rsid w:val="007E4740"/>
    <w:rsid w:val="007E4760"/>
    <w:rsid w:val="007E4853"/>
    <w:rsid w:val="007E4AAA"/>
    <w:rsid w:val="007E4F14"/>
    <w:rsid w:val="007E5284"/>
    <w:rsid w:val="007E53A0"/>
    <w:rsid w:val="007E5A1B"/>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00"/>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BE8"/>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D8"/>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EB2"/>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DB"/>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A59"/>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83"/>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246"/>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F2"/>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0F85"/>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E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AEC"/>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B9C"/>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3B"/>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CA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DFB"/>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A5A"/>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02A"/>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8A3"/>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C39"/>
    <w:rsid w:val="00D36DF4"/>
    <w:rsid w:val="00D36E5C"/>
    <w:rsid w:val="00D36F82"/>
    <w:rsid w:val="00D3727B"/>
    <w:rsid w:val="00D373F2"/>
    <w:rsid w:val="00D376B7"/>
    <w:rsid w:val="00D3793B"/>
    <w:rsid w:val="00D379A6"/>
    <w:rsid w:val="00D37A0F"/>
    <w:rsid w:val="00D37EC3"/>
    <w:rsid w:val="00D37F6B"/>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2F"/>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5E3"/>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2C"/>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4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DA"/>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41C"/>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A3"/>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96"/>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5E2D"/>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6F"/>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9FD"/>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2C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1F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20"/>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65"/>
    <w:rsid w:val="00F213A2"/>
    <w:rsid w:val="00F214D2"/>
    <w:rsid w:val="00F218CD"/>
    <w:rsid w:val="00F21AD9"/>
    <w:rsid w:val="00F21B36"/>
    <w:rsid w:val="00F21EDD"/>
    <w:rsid w:val="00F22402"/>
    <w:rsid w:val="00F2240F"/>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6A"/>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4AA"/>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32B"/>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7310A1"/>
    <w:rsid w:val="03204B80"/>
    <w:rsid w:val="03931EF6"/>
    <w:rsid w:val="03F12F55"/>
    <w:rsid w:val="041A21CD"/>
    <w:rsid w:val="041D5A0D"/>
    <w:rsid w:val="04E569E2"/>
    <w:rsid w:val="070844DC"/>
    <w:rsid w:val="08072FC8"/>
    <w:rsid w:val="081715D5"/>
    <w:rsid w:val="0991139A"/>
    <w:rsid w:val="09D5095F"/>
    <w:rsid w:val="0B660C1A"/>
    <w:rsid w:val="0C7907A2"/>
    <w:rsid w:val="0CAB6307"/>
    <w:rsid w:val="0CBE4E12"/>
    <w:rsid w:val="0CF60553"/>
    <w:rsid w:val="0CFD33F5"/>
    <w:rsid w:val="0D5B0AB3"/>
    <w:rsid w:val="0ED51921"/>
    <w:rsid w:val="0F09718B"/>
    <w:rsid w:val="0F497356"/>
    <w:rsid w:val="0FBE51C6"/>
    <w:rsid w:val="0FDB0BB5"/>
    <w:rsid w:val="123178CD"/>
    <w:rsid w:val="14951E1C"/>
    <w:rsid w:val="14F212EA"/>
    <w:rsid w:val="16B350E4"/>
    <w:rsid w:val="17475459"/>
    <w:rsid w:val="17F93E0B"/>
    <w:rsid w:val="185B17F7"/>
    <w:rsid w:val="18B85D9C"/>
    <w:rsid w:val="1BDD6842"/>
    <w:rsid w:val="1C455CA5"/>
    <w:rsid w:val="1D050AAF"/>
    <w:rsid w:val="1D2C69D2"/>
    <w:rsid w:val="1D700AE3"/>
    <w:rsid w:val="1F46717B"/>
    <w:rsid w:val="22060BCD"/>
    <w:rsid w:val="239E00B4"/>
    <w:rsid w:val="24031971"/>
    <w:rsid w:val="251E74A4"/>
    <w:rsid w:val="25452535"/>
    <w:rsid w:val="2576204C"/>
    <w:rsid w:val="27333C7D"/>
    <w:rsid w:val="27843CE5"/>
    <w:rsid w:val="27D25CB8"/>
    <w:rsid w:val="27D56244"/>
    <w:rsid w:val="297F5A39"/>
    <w:rsid w:val="29DA57F0"/>
    <w:rsid w:val="2ADA57CB"/>
    <w:rsid w:val="2BB55708"/>
    <w:rsid w:val="2D052B0B"/>
    <w:rsid w:val="2DB925F5"/>
    <w:rsid w:val="2DE1549D"/>
    <w:rsid w:val="2E492B94"/>
    <w:rsid w:val="2EB30CB8"/>
    <w:rsid w:val="2F583372"/>
    <w:rsid w:val="2F7D4A73"/>
    <w:rsid w:val="2FE978F3"/>
    <w:rsid w:val="305D30DB"/>
    <w:rsid w:val="30BE0371"/>
    <w:rsid w:val="30EA70A7"/>
    <w:rsid w:val="31266E4C"/>
    <w:rsid w:val="31FA2AD2"/>
    <w:rsid w:val="32EB653A"/>
    <w:rsid w:val="332D1285"/>
    <w:rsid w:val="341679C0"/>
    <w:rsid w:val="342E748A"/>
    <w:rsid w:val="359702D2"/>
    <w:rsid w:val="36B94ACE"/>
    <w:rsid w:val="36F03282"/>
    <w:rsid w:val="384A536F"/>
    <w:rsid w:val="38DD39AF"/>
    <w:rsid w:val="392F37A7"/>
    <w:rsid w:val="3A0719C4"/>
    <w:rsid w:val="3A2616C7"/>
    <w:rsid w:val="3B967ED4"/>
    <w:rsid w:val="3BCB6780"/>
    <w:rsid w:val="3C144092"/>
    <w:rsid w:val="3D76110B"/>
    <w:rsid w:val="3DC60170"/>
    <w:rsid w:val="3E587BDC"/>
    <w:rsid w:val="3E6E3DD7"/>
    <w:rsid w:val="3F77A671"/>
    <w:rsid w:val="3FF5F3AE"/>
    <w:rsid w:val="409D75EA"/>
    <w:rsid w:val="40C15032"/>
    <w:rsid w:val="420F79BB"/>
    <w:rsid w:val="42561C6A"/>
    <w:rsid w:val="42CD0A98"/>
    <w:rsid w:val="431A0C09"/>
    <w:rsid w:val="436B4174"/>
    <w:rsid w:val="44D114D4"/>
    <w:rsid w:val="45CF42F7"/>
    <w:rsid w:val="474F17B0"/>
    <w:rsid w:val="480E2158"/>
    <w:rsid w:val="4B65373A"/>
    <w:rsid w:val="4C2A73E6"/>
    <w:rsid w:val="4D00163A"/>
    <w:rsid w:val="4D664160"/>
    <w:rsid w:val="4E84650D"/>
    <w:rsid w:val="4F0F5BE3"/>
    <w:rsid w:val="501E6ED7"/>
    <w:rsid w:val="51280932"/>
    <w:rsid w:val="51B73E4F"/>
    <w:rsid w:val="51B91CB9"/>
    <w:rsid w:val="52422029"/>
    <w:rsid w:val="524616E9"/>
    <w:rsid w:val="54D1580A"/>
    <w:rsid w:val="55040901"/>
    <w:rsid w:val="56DF05DE"/>
    <w:rsid w:val="56ED52AB"/>
    <w:rsid w:val="57512C12"/>
    <w:rsid w:val="57FC6189"/>
    <w:rsid w:val="57FD2209"/>
    <w:rsid w:val="58FC6B2B"/>
    <w:rsid w:val="59012EF2"/>
    <w:rsid w:val="5BAC3D6C"/>
    <w:rsid w:val="5BDE0E92"/>
    <w:rsid w:val="5F073306"/>
    <w:rsid w:val="5F141B74"/>
    <w:rsid w:val="5F5F73B9"/>
    <w:rsid w:val="5FFB6357"/>
    <w:rsid w:val="60DF2A7D"/>
    <w:rsid w:val="63AE7B14"/>
    <w:rsid w:val="65035B9F"/>
    <w:rsid w:val="654C33D9"/>
    <w:rsid w:val="65DF6543"/>
    <w:rsid w:val="6774582F"/>
    <w:rsid w:val="6838144E"/>
    <w:rsid w:val="68AA7398"/>
    <w:rsid w:val="68C66B75"/>
    <w:rsid w:val="6933534A"/>
    <w:rsid w:val="6C6150F9"/>
    <w:rsid w:val="6E411A7C"/>
    <w:rsid w:val="6EEC60E2"/>
    <w:rsid w:val="6F394D3C"/>
    <w:rsid w:val="6FB46BAA"/>
    <w:rsid w:val="70E412D1"/>
    <w:rsid w:val="71586007"/>
    <w:rsid w:val="719A326F"/>
    <w:rsid w:val="7310203D"/>
    <w:rsid w:val="742C597A"/>
    <w:rsid w:val="74545670"/>
    <w:rsid w:val="75204D65"/>
    <w:rsid w:val="75BB62D2"/>
    <w:rsid w:val="796D68C4"/>
    <w:rsid w:val="79D34FCA"/>
    <w:rsid w:val="7A2E5D1B"/>
    <w:rsid w:val="7A601D17"/>
    <w:rsid w:val="7AB73E3E"/>
    <w:rsid w:val="7AD40D97"/>
    <w:rsid w:val="7C12239B"/>
    <w:rsid w:val="7E51317C"/>
    <w:rsid w:val="7F1D7769"/>
    <w:rsid w:val="7F4F78CB"/>
    <w:rsid w:val="DF7AD8D6"/>
    <w:rsid w:val="F3EFE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8"/>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60"/>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unhideWhenUsed/>
    <w:qFormat/>
    <w:uiPriority w:val="1"/>
  </w:style>
  <w:style w:type="table" w:default="1" w:styleId="42">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link w:val="59"/>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7"/>
    <w:autoRedefine/>
    <w:qFormat/>
    <w:uiPriority w:val="0"/>
    <w:pPr>
      <w:shd w:val="clear" w:color="auto" w:fill="000080"/>
    </w:pPr>
  </w:style>
  <w:style w:type="paragraph" w:styleId="15">
    <w:name w:val="annotation text"/>
    <w:basedOn w:val="1"/>
    <w:link w:val="68"/>
    <w:autoRedefine/>
    <w:qFormat/>
    <w:uiPriority w:val="99"/>
    <w:pPr>
      <w:jc w:val="left"/>
    </w:pPr>
  </w:style>
  <w:style w:type="paragraph" w:styleId="16">
    <w:name w:val="Body Text 3"/>
    <w:basedOn w:val="1"/>
    <w:link w:val="69"/>
    <w:autoRedefine/>
    <w:qFormat/>
    <w:uiPriority w:val="0"/>
    <w:pPr>
      <w:spacing w:after="120"/>
    </w:pPr>
    <w:rPr>
      <w:sz w:val="16"/>
      <w:szCs w:val="16"/>
    </w:rPr>
  </w:style>
  <w:style w:type="paragraph" w:styleId="17">
    <w:name w:val="Body Text"/>
    <w:basedOn w:val="1"/>
    <w:link w:val="70"/>
    <w:autoRedefine/>
    <w:qFormat/>
    <w:uiPriority w:val="0"/>
    <w:pPr>
      <w:tabs>
        <w:tab w:val="left" w:pos="567"/>
      </w:tabs>
      <w:spacing w:before="120" w:line="22" w:lineRule="atLeast"/>
    </w:pPr>
    <w:rPr>
      <w:rFonts w:ascii="宋体" w:hAnsi="宋体"/>
      <w:sz w:val="24"/>
    </w:rPr>
  </w:style>
  <w:style w:type="paragraph" w:styleId="18">
    <w:name w:val="Body Text Indent"/>
    <w:basedOn w:val="1"/>
    <w:link w:val="71"/>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72"/>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3"/>
    <w:autoRedefine/>
    <w:qFormat/>
    <w:uiPriority w:val="0"/>
    <w:pPr>
      <w:ind w:left="100" w:leftChars="2500"/>
    </w:pPr>
    <w:rPr>
      <w:rFonts w:ascii="仿宋_GB2312" w:hAnsi="宋体" w:eastAsia="仿宋_GB2312"/>
      <w:color w:val="000000"/>
      <w:sz w:val="24"/>
    </w:rPr>
  </w:style>
  <w:style w:type="paragraph" w:styleId="26">
    <w:name w:val="Body Text Indent 2"/>
    <w:basedOn w:val="1"/>
    <w:link w:val="74"/>
    <w:autoRedefine/>
    <w:qFormat/>
    <w:uiPriority w:val="0"/>
    <w:pPr>
      <w:ind w:firstLine="480" w:firstLineChars="200"/>
    </w:pPr>
    <w:rPr>
      <w:rFonts w:ascii="仿宋_GB2312" w:eastAsia="仿宋_GB2312"/>
      <w:sz w:val="24"/>
    </w:rPr>
  </w:style>
  <w:style w:type="paragraph" w:styleId="27">
    <w:name w:val="Balloon Text"/>
    <w:basedOn w:val="1"/>
    <w:link w:val="75"/>
    <w:autoRedefine/>
    <w:qFormat/>
    <w:uiPriority w:val="0"/>
    <w:rPr>
      <w:sz w:val="18"/>
      <w:szCs w:val="18"/>
    </w:rPr>
  </w:style>
  <w:style w:type="paragraph" w:styleId="28">
    <w:name w:val="footer"/>
    <w:basedOn w:val="1"/>
    <w:link w:val="76"/>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8"/>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7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80"/>
    <w:autoRedefine/>
    <w:qFormat/>
    <w:uiPriority w:val="0"/>
    <w:pPr>
      <w:jc w:val="center"/>
      <w:outlineLvl w:val="0"/>
    </w:pPr>
    <w:rPr>
      <w:b/>
      <w:sz w:val="32"/>
      <w:szCs w:val="20"/>
    </w:rPr>
  </w:style>
  <w:style w:type="paragraph" w:styleId="40">
    <w:name w:val="annotation subject"/>
    <w:basedOn w:val="15"/>
    <w:next w:val="15"/>
    <w:link w:val="81"/>
    <w:autoRedefine/>
    <w:qFormat/>
    <w:uiPriority w:val="0"/>
    <w:rPr>
      <w:b/>
      <w:bCs/>
    </w:rPr>
  </w:style>
  <w:style w:type="paragraph" w:styleId="41">
    <w:name w:val="Body Text First Indent 2"/>
    <w:basedOn w:val="18"/>
    <w:link w:val="82"/>
    <w:autoRedefine/>
    <w:qFormat/>
    <w:uiPriority w:val="0"/>
    <w:pPr>
      <w:spacing w:after="120" w:line="480" w:lineRule="exact"/>
      <w:ind w:left="420" w:leftChars="200" w:firstLine="420" w:firstLineChars="200"/>
    </w:pPr>
    <w:rPr>
      <w:szCs w:val="20"/>
    </w:rPr>
  </w:style>
  <w:style w:type="table" w:styleId="43">
    <w:name w:val="Table Grid"/>
    <w:basedOn w:val="4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basedOn w:val="45"/>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TML Definition"/>
    <w:basedOn w:val="45"/>
    <w:qFormat/>
    <w:uiPriority w:val="0"/>
  </w:style>
  <w:style w:type="character" w:styleId="51">
    <w:name w:val="HTML Acronym"/>
    <w:basedOn w:val="45"/>
    <w:qFormat/>
    <w:uiPriority w:val="0"/>
  </w:style>
  <w:style w:type="character" w:styleId="52">
    <w:name w:val="HTML Variable"/>
    <w:basedOn w:val="45"/>
    <w:qFormat/>
    <w:uiPriority w:val="0"/>
  </w:style>
  <w:style w:type="character" w:styleId="53">
    <w:name w:val="Hyperlink"/>
    <w:autoRedefine/>
    <w:qFormat/>
    <w:uiPriority w:val="99"/>
    <w:rPr>
      <w:color w:val="0000FF"/>
      <w:u w:val="single"/>
    </w:rPr>
  </w:style>
  <w:style w:type="character" w:styleId="54">
    <w:name w:val="HTML Code"/>
    <w:basedOn w:val="45"/>
    <w:qFormat/>
    <w:uiPriority w:val="0"/>
    <w:rPr>
      <w:rFonts w:ascii="Courier New" w:hAnsi="Courier New"/>
      <w:sz w:val="20"/>
    </w:rPr>
  </w:style>
  <w:style w:type="character" w:styleId="55">
    <w:name w:val="annotation reference"/>
    <w:autoRedefine/>
    <w:qFormat/>
    <w:uiPriority w:val="99"/>
    <w:rPr>
      <w:sz w:val="21"/>
      <w:szCs w:val="21"/>
    </w:rPr>
  </w:style>
  <w:style w:type="character" w:styleId="56">
    <w:name w:val="HTML Cite"/>
    <w:autoRedefine/>
    <w:qFormat/>
    <w:uiPriority w:val="0"/>
    <w:rPr>
      <w:i/>
      <w:iCs/>
    </w:rPr>
  </w:style>
  <w:style w:type="character" w:customStyle="1" w:styleId="57">
    <w:name w:val="标题 1 Char"/>
    <w:link w:val="3"/>
    <w:autoRedefine/>
    <w:qFormat/>
    <w:uiPriority w:val="0"/>
    <w:rPr>
      <w:rFonts w:ascii="宋体"/>
      <w:b/>
      <w:kern w:val="44"/>
      <w:sz w:val="32"/>
    </w:rPr>
  </w:style>
  <w:style w:type="character" w:customStyle="1" w:styleId="58">
    <w:name w:val="标题 2 Char1"/>
    <w:link w:val="4"/>
    <w:autoRedefine/>
    <w:qFormat/>
    <w:uiPriority w:val="0"/>
    <w:rPr>
      <w:rFonts w:ascii="Arial" w:hAnsi="Arial" w:eastAsia="黑体"/>
      <w:b/>
      <w:sz w:val="30"/>
      <w:lang w:val="en-US" w:eastAsia="zh-CN" w:bidi="ar-SA"/>
    </w:rPr>
  </w:style>
  <w:style w:type="character" w:customStyle="1" w:styleId="59">
    <w:name w:val="正文缩进 Char1"/>
    <w:link w:val="2"/>
    <w:autoRedefine/>
    <w:qFormat/>
    <w:uiPriority w:val="0"/>
    <w:rPr>
      <w:rFonts w:ascii="宋体" w:eastAsia="宋体"/>
      <w:kern w:val="2"/>
      <w:sz w:val="24"/>
      <w:szCs w:val="24"/>
      <w:lang w:val="en-US" w:eastAsia="zh-CN" w:bidi="ar-SA"/>
    </w:rPr>
  </w:style>
  <w:style w:type="character" w:customStyle="1" w:styleId="60">
    <w:name w:val="标题 3 Char1"/>
    <w:link w:val="5"/>
    <w:autoRedefine/>
    <w:qFormat/>
    <w:uiPriority w:val="0"/>
    <w:rPr>
      <w:rFonts w:ascii="宋体" w:eastAsia="宋体"/>
      <w:b/>
      <w:sz w:val="24"/>
      <w:u w:val="single"/>
      <w:lang w:val="en-US" w:eastAsia="zh-CN" w:bidi="ar-SA"/>
    </w:rPr>
  </w:style>
  <w:style w:type="character" w:customStyle="1" w:styleId="61">
    <w:name w:val="标题 4 Char"/>
    <w:link w:val="6"/>
    <w:autoRedefine/>
    <w:qFormat/>
    <w:uiPriority w:val="0"/>
    <w:rPr>
      <w:rFonts w:ascii="Arial" w:hAnsi="Arial" w:eastAsia="黑体"/>
      <w:b/>
      <w:sz w:val="28"/>
    </w:rPr>
  </w:style>
  <w:style w:type="character" w:customStyle="1" w:styleId="62">
    <w:name w:val="标题 5 Char"/>
    <w:link w:val="7"/>
    <w:autoRedefine/>
    <w:qFormat/>
    <w:uiPriority w:val="0"/>
    <w:rPr>
      <w:b/>
      <w:sz w:val="28"/>
    </w:rPr>
  </w:style>
  <w:style w:type="character" w:customStyle="1" w:styleId="63">
    <w:name w:val="标题 6 Char"/>
    <w:link w:val="8"/>
    <w:autoRedefine/>
    <w:qFormat/>
    <w:uiPriority w:val="0"/>
    <w:rPr>
      <w:rFonts w:ascii="Arial" w:hAnsi="Arial" w:eastAsia="黑体"/>
      <w:b/>
      <w:sz w:val="24"/>
    </w:rPr>
  </w:style>
  <w:style w:type="character" w:customStyle="1" w:styleId="64">
    <w:name w:val="标题 7 Char"/>
    <w:link w:val="9"/>
    <w:autoRedefine/>
    <w:qFormat/>
    <w:uiPriority w:val="0"/>
    <w:rPr>
      <w:b/>
      <w:sz w:val="24"/>
    </w:rPr>
  </w:style>
  <w:style w:type="character" w:customStyle="1" w:styleId="65">
    <w:name w:val="标题 8 Char"/>
    <w:link w:val="10"/>
    <w:autoRedefine/>
    <w:qFormat/>
    <w:uiPriority w:val="0"/>
    <w:rPr>
      <w:rFonts w:ascii="Arial" w:hAnsi="Arial" w:eastAsia="黑体"/>
      <w:sz w:val="24"/>
    </w:rPr>
  </w:style>
  <w:style w:type="character" w:customStyle="1" w:styleId="66">
    <w:name w:val="标题 9 Char"/>
    <w:link w:val="11"/>
    <w:autoRedefine/>
    <w:qFormat/>
    <w:uiPriority w:val="0"/>
    <w:rPr>
      <w:rFonts w:ascii="Arial" w:hAnsi="Arial" w:eastAsia="黑体"/>
      <w:sz w:val="21"/>
    </w:rPr>
  </w:style>
  <w:style w:type="character" w:customStyle="1" w:styleId="67">
    <w:name w:val="文档结构图 Char"/>
    <w:link w:val="14"/>
    <w:autoRedefine/>
    <w:qFormat/>
    <w:uiPriority w:val="0"/>
    <w:rPr>
      <w:kern w:val="2"/>
      <w:sz w:val="21"/>
      <w:szCs w:val="24"/>
      <w:shd w:val="clear" w:color="auto" w:fill="000080"/>
    </w:rPr>
  </w:style>
  <w:style w:type="character" w:customStyle="1" w:styleId="68">
    <w:name w:val="批注文字 Char1"/>
    <w:link w:val="15"/>
    <w:autoRedefine/>
    <w:qFormat/>
    <w:uiPriority w:val="99"/>
    <w:rPr>
      <w:kern w:val="2"/>
      <w:sz w:val="21"/>
      <w:szCs w:val="24"/>
    </w:rPr>
  </w:style>
  <w:style w:type="character" w:customStyle="1" w:styleId="69">
    <w:name w:val="正文文本 3 Char"/>
    <w:link w:val="16"/>
    <w:autoRedefine/>
    <w:qFormat/>
    <w:uiPriority w:val="0"/>
    <w:rPr>
      <w:kern w:val="2"/>
      <w:sz w:val="16"/>
      <w:szCs w:val="16"/>
    </w:rPr>
  </w:style>
  <w:style w:type="character" w:customStyle="1" w:styleId="70">
    <w:name w:val="正文文本 Char"/>
    <w:link w:val="17"/>
    <w:autoRedefine/>
    <w:qFormat/>
    <w:uiPriority w:val="0"/>
    <w:rPr>
      <w:rFonts w:ascii="宋体" w:hAnsi="宋体"/>
      <w:kern w:val="2"/>
      <w:sz w:val="24"/>
      <w:szCs w:val="24"/>
    </w:rPr>
  </w:style>
  <w:style w:type="character" w:customStyle="1" w:styleId="71">
    <w:name w:val="正文文本缩进 Char2"/>
    <w:link w:val="18"/>
    <w:autoRedefine/>
    <w:qFormat/>
    <w:uiPriority w:val="0"/>
    <w:rPr>
      <w:rFonts w:eastAsia="宋体"/>
      <w:kern w:val="2"/>
      <w:sz w:val="24"/>
      <w:szCs w:val="24"/>
      <w:lang w:val="en-US" w:eastAsia="zh-CN" w:bidi="ar-SA"/>
    </w:rPr>
  </w:style>
  <w:style w:type="character" w:customStyle="1" w:styleId="72">
    <w:name w:val="纯文本 Char"/>
    <w:link w:val="23"/>
    <w:autoRedefine/>
    <w:qFormat/>
    <w:uiPriority w:val="0"/>
    <w:rPr>
      <w:rFonts w:hint="eastAsia" w:ascii="宋体" w:hAnsi="Courier New" w:eastAsia="宋体" w:cs="宋体"/>
      <w:kern w:val="2"/>
      <w:sz w:val="21"/>
    </w:rPr>
  </w:style>
  <w:style w:type="character" w:customStyle="1" w:styleId="73">
    <w:name w:val="日期 Char"/>
    <w:link w:val="25"/>
    <w:autoRedefine/>
    <w:qFormat/>
    <w:uiPriority w:val="0"/>
    <w:rPr>
      <w:rFonts w:ascii="仿宋_GB2312" w:hAnsi="宋体" w:eastAsia="仿宋_GB2312"/>
      <w:color w:val="000000"/>
      <w:kern w:val="2"/>
      <w:sz w:val="24"/>
      <w:szCs w:val="24"/>
    </w:rPr>
  </w:style>
  <w:style w:type="character" w:customStyle="1" w:styleId="74">
    <w:name w:val="正文文本缩进 2 Char"/>
    <w:link w:val="26"/>
    <w:autoRedefine/>
    <w:qFormat/>
    <w:uiPriority w:val="0"/>
    <w:rPr>
      <w:rFonts w:ascii="仿宋_GB2312" w:eastAsia="仿宋_GB2312"/>
      <w:kern w:val="2"/>
      <w:sz w:val="24"/>
      <w:szCs w:val="24"/>
    </w:rPr>
  </w:style>
  <w:style w:type="character" w:customStyle="1" w:styleId="75">
    <w:name w:val="批注框文本 Char"/>
    <w:link w:val="27"/>
    <w:autoRedefine/>
    <w:qFormat/>
    <w:uiPriority w:val="0"/>
    <w:rPr>
      <w:kern w:val="2"/>
      <w:sz w:val="18"/>
      <w:szCs w:val="18"/>
    </w:rPr>
  </w:style>
  <w:style w:type="character" w:customStyle="1" w:styleId="76">
    <w:name w:val="页脚 Char1"/>
    <w:link w:val="28"/>
    <w:autoRedefine/>
    <w:qFormat/>
    <w:uiPriority w:val="99"/>
    <w:rPr>
      <w:rFonts w:ascii="宋体" w:eastAsia="宋体"/>
      <w:sz w:val="18"/>
      <w:lang w:val="en-US" w:eastAsia="zh-CN" w:bidi="ar-SA"/>
    </w:rPr>
  </w:style>
  <w:style w:type="character" w:customStyle="1" w:styleId="77">
    <w:name w:val="页眉 Char1"/>
    <w:link w:val="29"/>
    <w:autoRedefine/>
    <w:qFormat/>
    <w:uiPriority w:val="99"/>
    <w:rPr>
      <w:rFonts w:eastAsia="宋体"/>
      <w:kern w:val="2"/>
      <w:sz w:val="18"/>
      <w:szCs w:val="18"/>
      <w:lang w:val="en-US" w:eastAsia="zh-CN" w:bidi="ar-SA"/>
    </w:rPr>
  </w:style>
  <w:style w:type="character" w:customStyle="1" w:styleId="78">
    <w:name w:val="正文文本缩进 3 Char"/>
    <w:link w:val="33"/>
    <w:autoRedefine/>
    <w:qFormat/>
    <w:uiPriority w:val="0"/>
    <w:rPr>
      <w:rFonts w:ascii="宋体"/>
      <w:sz w:val="24"/>
    </w:rPr>
  </w:style>
  <w:style w:type="character" w:customStyle="1" w:styleId="79">
    <w:name w:val="HTML 预设格式 Char"/>
    <w:link w:val="36"/>
    <w:autoRedefine/>
    <w:qFormat/>
    <w:uiPriority w:val="0"/>
    <w:rPr>
      <w:rFonts w:ascii="宋体" w:hAnsi="宋体" w:cs="宋体"/>
      <w:sz w:val="24"/>
      <w:szCs w:val="24"/>
    </w:rPr>
  </w:style>
  <w:style w:type="character" w:customStyle="1" w:styleId="80">
    <w:name w:val="标题 Char1"/>
    <w:link w:val="39"/>
    <w:autoRedefine/>
    <w:qFormat/>
    <w:uiPriority w:val="0"/>
    <w:rPr>
      <w:b/>
      <w:kern w:val="2"/>
      <w:sz w:val="32"/>
    </w:rPr>
  </w:style>
  <w:style w:type="character" w:customStyle="1" w:styleId="81">
    <w:name w:val="批注主题 Char"/>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Char"/>
    <w:link w:val="41"/>
    <w:autoRedefine/>
    <w:qFormat/>
    <w:uiPriority w:val="0"/>
    <w:rPr>
      <w:rFonts w:eastAsia="宋体"/>
      <w:kern w:val="2"/>
      <w:sz w:val="24"/>
      <w:szCs w:val="24"/>
      <w:lang w:val="en-US" w:eastAsia="zh-CN" w:bidi="ar-SA"/>
    </w:rPr>
  </w:style>
  <w:style w:type="character" w:customStyle="1" w:styleId="83">
    <w:name w:val="批注文字 字符"/>
    <w:autoRedefine/>
    <w:qFormat/>
    <w:uiPriority w:val="99"/>
    <w:rPr>
      <w:rFonts w:ascii="Times New Roman" w:hAnsi="Times New Roman" w:eastAsia="宋体" w:cs="Times New Roman"/>
      <w:sz w:val="24"/>
      <w:lang w:val="en-US" w:eastAsia="zh-CN" w:bidi="ar-SA"/>
    </w:rPr>
  </w:style>
  <w:style w:type="character" w:customStyle="1" w:styleId="84">
    <w:name w:val="c21"/>
    <w:autoRedefine/>
    <w:qFormat/>
    <w:uiPriority w:val="0"/>
    <w:rPr>
      <w:rFonts w:hint="default" w:ascii="ˎ̥" w:hAnsi="ˎ̥"/>
      <w:color w:val="000000"/>
      <w:sz w:val="20"/>
      <w:szCs w:val="20"/>
      <w:u w:val="none"/>
    </w:rPr>
  </w:style>
  <w:style w:type="character" w:customStyle="1" w:styleId="85">
    <w:name w:val="title4"/>
    <w:autoRedefine/>
    <w:qFormat/>
    <w:uiPriority w:val="0"/>
    <w:rPr>
      <w:b/>
      <w:bCs/>
      <w:color w:val="1D87B3"/>
      <w:sz w:val="15"/>
      <w:szCs w:val="15"/>
    </w:rPr>
  </w:style>
  <w:style w:type="character" w:customStyle="1" w:styleId="86">
    <w:name w:val="标题 2 Char Char"/>
    <w:autoRedefine/>
    <w:qFormat/>
    <w:uiPriority w:val="0"/>
    <w:rPr>
      <w:rFonts w:ascii="Arial" w:hAnsi="Arial" w:eastAsia="黑体"/>
      <w:b/>
      <w:bCs/>
      <w:kern w:val="2"/>
      <w:sz w:val="32"/>
      <w:szCs w:val="32"/>
      <w:lang w:val="en-US" w:eastAsia="zh-CN" w:bidi="ar-SA"/>
    </w:rPr>
  </w:style>
  <w:style w:type="character" w:customStyle="1" w:styleId="87">
    <w:name w:val="black1"/>
    <w:autoRedefine/>
    <w:qFormat/>
    <w:uiPriority w:val="0"/>
    <w:rPr>
      <w:color w:val="000000"/>
    </w:rPr>
  </w:style>
  <w:style w:type="character" w:customStyle="1" w:styleId="88">
    <w:name w:val="street-address"/>
    <w:autoRedefine/>
    <w:qFormat/>
    <w:uiPriority w:val="0"/>
  </w:style>
  <w:style w:type="character" w:customStyle="1" w:styleId="89">
    <w:name w:val="locality"/>
    <w:autoRedefine/>
    <w:qFormat/>
    <w:uiPriority w:val="0"/>
  </w:style>
  <w:style w:type="character" w:customStyle="1" w:styleId="90">
    <w:name w:val="正文文本缩进 Char1"/>
    <w:link w:val="91"/>
    <w:autoRedefine/>
    <w:qFormat/>
    <w:uiPriority w:val="0"/>
    <w:rPr>
      <w:rFonts w:ascii="宋体" w:hAnsi="宋体" w:eastAsia="宋体"/>
      <w:sz w:val="24"/>
      <w:szCs w:val="24"/>
      <w:lang w:bidi="ar-SA"/>
    </w:rPr>
  </w:style>
  <w:style w:type="paragraph" w:customStyle="1" w:styleId="91">
    <w:name w:val="正文文本缩进1"/>
    <w:basedOn w:val="1"/>
    <w:link w:val="90"/>
    <w:autoRedefine/>
    <w:qFormat/>
    <w:uiPriority w:val="0"/>
    <w:pPr>
      <w:spacing w:line="480" w:lineRule="exact"/>
      <w:ind w:firstLine="480" w:firstLineChars="200"/>
    </w:pPr>
    <w:rPr>
      <w:rFonts w:ascii="宋体" w:hAnsi="宋体"/>
      <w:kern w:val="0"/>
      <w:sz w:val="24"/>
    </w:rPr>
  </w:style>
  <w:style w:type="character" w:customStyle="1" w:styleId="92">
    <w:name w:val="Char Char11"/>
    <w:autoRedefine/>
    <w:qFormat/>
    <w:uiPriority w:val="0"/>
    <w:rPr>
      <w:rFonts w:ascii="宋体" w:eastAsia="宋体"/>
      <w:b/>
      <w:sz w:val="24"/>
      <w:u w:val="single"/>
      <w:lang w:val="en-US" w:eastAsia="zh-CN" w:bidi="ar-SA"/>
    </w:rPr>
  </w:style>
  <w:style w:type="character" w:customStyle="1" w:styleId="93">
    <w:name w:val="txt"/>
    <w:autoRedefine/>
    <w:qFormat/>
    <w:uiPriority w:val="0"/>
  </w:style>
  <w:style w:type="character" w:customStyle="1" w:styleId="94">
    <w:name w:val="正文缩进 Char Char"/>
    <w:link w:val="95"/>
    <w:autoRedefine/>
    <w:qFormat/>
    <w:uiPriority w:val="0"/>
    <w:rPr>
      <w:rFonts w:ascii="宋体" w:eastAsia="宋体"/>
      <w:snapToGrid w:val="0"/>
      <w:color w:val="000000"/>
      <w:kern w:val="28"/>
      <w:sz w:val="28"/>
      <w:lang w:bidi="ar-SA"/>
    </w:rPr>
  </w:style>
  <w:style w:type="paragraph" w:customStyle="1" w:styleId="95">
    <w:name w:val="正文缩进1"/>
    <w:basedOn w:val="1"/>
    <w:link w:val="94"/>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autoRedefine/>
    <w:qFormat/>
    <w:uiPriority w:val="0"/>
    <w:rPr>
      <w:rFonts w:ascii="宋体" w:hAnsi="Courier New" w:eastAsia="宋体"/>
      <w:kern w:val="2"/>
      <w:sz w:val="21"/>
      <w:lang w:val="en-US" w:eastAsia="zh-CN" w:bidi="ar-SA"/>
    </w:rPr>
  </w:style>
  <w:style w:type="character" w:customStyle="1" w:styleId="97">
    <w:name w:val="chanpin1"/>
    <w:autoRedefine/>
    <w:qFormat/>
    <w:uiPriority w:val="0"/>
    <w:rPr>
      <w:rFonts w:hint="default" w:ascii="ˎ̥" w:hAnsi="ˎ̥"/>
      <w:color w:val="000000"/>
      <w:sz w:val="20"/>
      <w:szCs w:val="20"/>
      <w:u w:val="none"/>
    </w:rPr>
  </w:style>
  <w:style w:type="character" w:customStyle="1" w:styleId="98">
    <w:name w:val="列出段落 Char1"/>
    <w:link w:val="99"/>
    <w:autoRedefine/>
    <w:qFormat/>
    <w:uiPriority w:val="34"/>
    <w:rPr>
      <w:rFonts w:ascii="Calibri" w:hAnsi="Calibri" w:eastAsia="宋体"/>
      <w:kern w:val="2"/>
      <w:sz w:val="21"/>
      <w:szCs w:val="22"/>
      <w:lang w:val="en-US" w:eastAsia="zh-CN" w:bidi="ar-SA"/>
    </w:rPr>
  </w:style>
  <w:style w:type="paragraph" w:styleId="99">
    <w:name w:val="List Paragraph"/>
    <w:basedOn w:val="1"/>
    <w:link w:val="98"/>
    <w:autoRedefine/>
    <w:qFormat/>
    <w:uiPriority w:val="34"/>
    <w:pPr>
      <w:ind w:firstLine="420" w:firstLineChars="200"/>
    </w:pPr>
    <w:rPr>
      <w:rFonts w:ascii="Calibri" w:hAnsi="Calibri"/>
      <w:szCs w:val="22"/>
    </w:rPr>
  </w:style>
  <w:style w:type="character" w:customStyle="1" w:styleId="100">
    <w:name w:val="标题 3 Char Char"/>
    <w:autoRedefine/>
    <w:qFormat/>
    <w:uiPriority w:val="0"/>
    <w:rPr>
      <w:rFonts w:eastAsia="宋体"/>
      <w:b/>
      <w:bCs/>
      <w:kern w:val="2"/>
      <w:sz w:val="32"/>
      <w:szCs w:val="32"/>
      <w:lang w:val="en-US" w:eastAsia="zh-CN" w:bidi="ar-SA"/>
    </w:rPr>
  </w:style>
  <w:style w:type="character" w:customStyle="1" w:styleId="101">
    <w:name w:val="段1 Char"/>
    <w:autoRedefine/>
    <w:qFormat/>
    <w:uiPriority w:val="0"/>
    <w:rPr>
      <w:rFonts w:ascii="宋体" w:eastAsia="宋体"/>
      <w:sz w:val="24"/>
      <w:lang w:val="en-US" w:eastAsia="zh-CN" w:bidi="ar-SA"/>
    </w:rPr>
  </w:style>
  <w:style w:type="character" w:customStyle="1" w:styleId="102">
    <w:name w:val="chanpin拷贝"/>
    <w:autoRedefine/>
    <w:qFormat/>
    <w:uiPriority w:val="0"/>
  </w:style>
  <w:style w:type="character" w:customStyle="1" w:styleId="103">
    <w:name w:val="纯文本 Char1"/>
    <w:autoRedefine/>
    <w:qFormat/>
    <w:uiPriority w:val="0"/>
    <w:rPr>
      <w:rFonts w:ascii="宋体" w:hAnsi="Courier New" w:eastAsia="宋体"/>
      <w:kern w:val="2"/>
      <w:sz w:val="21"/>
      <w:lang w:val="en-US" w:eastAsia="zh-CN" w:bidi="ar-SA"/>
    </w:rPr>
  </w:style>
  <w:style w:type="character" w:customStyle="1" w:styleId="104">
    <w:name w:val="apple-style-span"/>
    <w:autoRedefine/>
    <w:qFormat/>
    <w:uiPriority w:val="0"/>
    <w:rPr>
      <w:rFonts w:cs="Times New Roman"/>
    </w:rPr>
  </w:style>
  <w:style w:type="paragraph" w:customStyle="1" w:styleId="105">
    <w:name w:val="二级条标题"/>
    <w:basedOn w:val="106"/>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autoRedefine/>
    <w:qFormat/>
    <w:uiPriority w:val="0"/>
    <w:pPr>
      <w:numPr>
        <w:ilvl w:val="1"/>
      </w:numPr>
      <w:tabs>
        <w:tab w:val="left" w:pos="360"/>
        <w:tab w:val="left" w:pos="840"/>
      </w:tabs>
      <w:ind w:left="0" w:hanging="840"/>
      <w:outlineLvl w:val="1"/>
    </w:pPr>
  </w:style>
  <w:style w:type="paragraph" w:customStyle="1" w:styleId="107">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autoRedefine/>
    <w:qFormat/>
    <w:uiPriority w:val="0"/>
    <w:rPr>
      <w:rFonts w:ascii="Tahoma" w:hAnsi="Tahoma"/>
      <w:sz w:val="24"/>
      <w:szCs w:val="20"/>
    </w:rPr>
  </w:style>
  <w:style w:type="paragraph" w:customStyle="1" w:styleId="110">
    <w:name w:val="Char3 Char Char Char"/>
    <w:basedOn w:val="1"/>
    <w:autoRedefine/>
    <w:qFormat/>
    <w:uiPriority w:val="0"/>
    <w:rPr>
      <w:rFonts w:ascii="Tahoma" w:hAnsi="Tahoma"/>
      <w:sz w:val="24"/>
      <w:szCs w:val="20"/>
    </w:rPr>
  </w:style>
  <w:style w:type="paragraph" w:customStyle="1" w:styleId="111">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autoRedefine/>
    <w:qFormat/>
    <w:uiPriority w:val="0"/>
    <w:pPr>
      <w:numPr>
        <w:numId w:val="2"/>
      </w:numPr>
    </w:pPr>
  </w:style>
  <w:style w:type="paragraph" w:customStyle="1" w:styleId="113">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autoRedefine/>
    <w:qFormat/>
    <w:uiPriority w:val="0"/>
    <w:pPr>
      <w:adjustRightInd w:val="0"/>
      <w:snapToGrid w:val="0"/>
      <w:spacing w:line="0" w:lineRule="atLeast"/>
      <w:jc w:val="center"/>
    </w:pPr>
    <w:rPr>
      <w:sz w:val="24"/>
      <w:szCs w:val="20"/>
    </w:rPr>
  </w:style>
  <w:style w:type="paragraph" w:customStyle="1" w:styleId="11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autoRedefine/>
    <w:qFormat/>
    <w:uiPriority w:val="0"/>
    <w:rPr>
      <w:rFonts w:ascii="Tahoma" w:hAnsi="Tahoma"/>
      <w:sz w:val="24"/>
      <w:szCs w:val="20"/>
    </w:rPr>
  </w:style>
  <w:style w:type="paragraph" w:customStyle="1" w:styleId="118">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autoRedefine/>
    <w:qFormat/>
    <w:uiPriority w:val="0"/>
    <w:pPr>
      <w:widowControl/>
      <w:spacing w:before="100" w:beforeAutospacing="1" w:after="100" w:afterAutospacing="1"/>
      <w:jc w:val="left"/>
    </w:pPr>
    <w:rPr>
      <w:kern w:val="0"/>
      <w:sz w:val="36"/>
      <w:szCs w:val="36"/>
    </w:rPr>
  </w:style>
  <w:style w:type="paragraph" w:customStyle="1" w:styleId="132">
    <w:name w:val="Char"/>
    <w:basedOn w:val="1"/>
    <w:autoRedefine/>
    <w:qFormat/>
    <w:uiPriority w:val="0"/>
    <w:pPr>
      <w:tabs>
        <w:tab w:val="left" w:pos="360"/>
      </w:tabs>
    </w:pPr>
    <w:rPr>
      <w:sz w:val="24"/>
    </w:rPr>
  </w:style>
  <w:style w:type="paragraph" w:customStyle="1" w:styleId="13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4"/>
    <w:autoRedefine/>
    <w:qFormat/>
    <w:uiPriority w:val="0"/>
    <w:rPr>
      <w:rFonts w:ascii="Tahoma" w:hAnsi="Tahoma"/>
      <w:sz w:val="24"/>
    </w:rPr>
  </w:style>
  <w:style w:type="paragraph" w:customStyle="1" w:styleId="13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1">
    <w:name w:val="Char1 Char Char Char1"/>
    <w:basedOn w:val="1"/>
    <w:autoRedefine/>
    <w:qFormat/>
    <w:uiPriority w:val="0"/>
    <w:rPr>
      <w:rFonts w:ascii="Tahoma" w:hAnsi="Tahoma" w:cs="仿宋_GB2312"/>
      <w:sz w:val="24"/>
      <w:szCs w:val="28"/>
    </w:rPr>
  </w:style>
  <w:style w:type="paragraph" w:customStyle="1" w:styleId="142">
    <w:name w:val="四级条标题"/>
    <w:basedOn w:val="143"/>
    <w:next w:val="1"/>
    <w:autoRedefine/>
    <w:qFormat/>
    <w:uiPriority w:val="0"/>
    <w:pPr>
      <w:numPr>
        <w:ilvl w:val="4"/>
      </w:numPr>
      <w:tabs>
        <w:tab w:val="left" w:pos="360"/>
        <w:tab w:val="left" w:pos="840"/>
      </w:tabs>
      <w:ind w:left="0" w:hanging="840"/>
      <w:outlineLvl w:val="4"/>
    </w:pPr>
  </w:style>
  <w:style w:type="paragraph" w:customStyle="1" w:styleId="143">
    <w:name w:val="三级条标题"/>
    <w:basedOn w:val="105"/>
    <w:next w:val="1"/>
    <w:autoRedefine/>
    <w:qFormat/>
    <w:uiPriority w:val="0"/>
    <w:pPr>
      <w:numPr>
        <w:ilvl w:val="3"/>
        <w:numId w:val="1"/>
      </w:numPr>
      <w:ind w:left="0" w:hanging="840"/>
      <w:outlineLvl w:val="3"/>
    </w:pPr>
  </w:style>
  <w:style w:type="paragraph" w:customStyle="1" w:styleId="14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autoRedefine/>
    <w:qFormat/>
    <w:uiPriority w:val="0"/>
    <w:pPr>
      <w:ind w:firstLine="420" w:firstLineChars="200"/>
    </w:pPr>
    <w:rPr>
      <w:rFonts w:ascii="Calibri" w:hAnsi="Calibri"/>
      <w:szCs w:val="22"/>
    </w:rPr>
  </w:style>
  <w:style w:type="paragraph" w:customStyle="1" w:styleId="147">
    <w:name w:val="项目符号1"/>
    <w:basedOn w:val="148"/>
    <w:autoRedefine/>
    <w:qFormat/>
    <w:uiPriority w:val="0"/>
    <w:pPr>
      <w:ind w:left="-25" w:firstLine="0"/>
    </w:pPr>
  </w:style>
  <w:style w:type="paragraph" w:customStyle="1" w:styleId="148">
    <w:name w:val="正文文本样式"/>
    <w:basedOn w:val="1"/>
    <w:autoRedefine/>
    <w:qFormat/>
    <w:uiPriority w:val="0"/>
    <w:pPr>
      <w:spacing w:line="360" w:lineRule="auto"/>
      <w:ind w:firstLine="482"/>
    </w:pPr>
    <w:rPr>
      <w:rFonts w:cs="宋体"/>
      <w:sz w:val="24"/>
      <w:szCs w:val="20"/>
    </w:rPr>
  </w:style>
  <w:style w:type="paragraph" w:customStyle="1" w:styleId="14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autoRedefine/>
    <w:qFormat/>
    <w:uiPriority w:val="0"/>
    <w:pPr>
      <w:numPr>
        <w:ilvl w:val="5"/>
      </w:numPr>
      <w:ind w:left="0" w:hanging="840"/>
      <w:outlineLvl w:val="5"/>
    </w:p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autoRedefine/>
    <w:qFormat/>
    <w:uiPriority w:val="0"/>
    <w:pPr>
      <w:snapToGrid w:val="0"/>
      <w:spacing w:before="120" w:after="120" w:line="180" w:lineRule="auto"/>
    </w:pPr>
    <w:rPr>
      <w:rFonts w:ascii="Arial" w:hAnsi="Arial"/>
      <w:szCs w:val="20"/>
    </w:rPr>
  </w:style>
  <w:style w:type="paragraph" w:customStyle="1" w:styleId="15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autoRedefine/>
    <w:qFormat/>
    <w:uiPriority w:val="0"/>
    <w:rPr>
      <w:rFonts w:ascii="Tahoma" w:hAnsi="Tahoma"/>
      <w:sz w:val="24"/>
      <w:szCs w:val="20"/>
    </w:rPr>
  </w:style>
  <w:style w:type="paragraph" w:customStyle="1" w:styleId="15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autoRedefine/>
    <w:qFormat/>
    <w:uiPriority w:val="0"/>
    <w:pPr>
      <w:numPr>
        <w:ilvl w:val="0"/>
        <w:numId w:val="5"/>
      </w:numPr>
      <w:spacing w:before="120"/>
    </w:pPr>
    <w:rPr>
      <w:rFonts w:ascii="宋体"/>
      <w:sz w:val="28"/>
      <w:szCs w:val="20"/>
    </w:rPr>
  </w:style>
  <w:style w:type="paragraph" w:customStyle="1" w:styleId="159">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autoRedefine/>
    <w:qFormat/>
    <w:uiPriority w:val="0"/>
    <w:rPr>
      <w:rFonts w:ascii="Tahoma" w:hAnsi="Tahoma"/>
      <w:sz w:val="24"/>
      <w:szCs w:val="20"/>
    </w:rPr>
  </w:style>
  <w:style w:type="paragraph" w:customStyle="1" w:styleId="161">
    <w:name w:val="Char Char Char Char Char Char Char Char Char Char"/>
    <w:basedOn w:val="1"/>
    <w:autoRedefine/>
    <w:qFormat/>
    <w:uiPriority w:val="0"/>
  </w:style>
  <w:style w:type="paragraph" w:customStyle="1" w:styleId="16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autoRedefine/>
    <w:qFormat/>
    <w:uiPriority w:val="0"/>
    <w:pPr>
      <w:tabs>
        <w:tab w:val="left" w:pos="360"/>
      </w:tabs>
    </w:pPr>
    <w:rPr>
      <w:sz w:val="24"/>
    </w:rPr>
  </w:style>
  <w:style w:type="paragraph" w:customStyle="1" w:styleId="164">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autoRedefine/>
    <w:qFormat/>
    <w:uiPriority w:val="0"/>
    <w:rPr>
      <w:rFonts w:ascii="Arial" w:hAnsi="Arial" w:cs="Arial"/>
      <w:szCs w:val="21"/>
    </w:rPr>
  </w:style>
  <w:style w:type="paragraph" w:customStyle="1" w:styleId="16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autoRedefine/>
    <w:qFormat/>
    <w:uiPriority w:val="0"/>
    <w:rPr>
      <w:rFonts w:ascii="Tahoma" w:hAnsi="Tahoma"/>
      <w:sz w:val="24"/>
      <w:szCs w:val="20"/>
    </w:rPr>
  </w:style>
  <w:style w:type="paragraph" w:customStyle="1" w:styleId="17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autoRedefine/>
    <w:qFormat/>
    <w:uiPriority w:val="0"/>
    <w:pPr>
      <w:autoSpaceDE w:val="0"/>
      <w:autoSpaceDN w:val="0"/>
      <w:adjustRightInd w:val="0"/>
      <w:jc w:val="left"/>
    </w:pPr>
    <w:rPr>
      <w:kern w:val="0"/>
      <w:sz w:val="24"/>
    </w:rPr>
  </w:style>
  <w:style w:type="paragraph" w:customStyle="1" w:styleId="174">
    <w:name w:val="Char Char Char1"/>
    <w:basedOn w:val="1"/>
    <w:autoRedefine/>
    <w:qFormat/>
    <w:uiPriority w:val="0"/>
    <w:rPr>
      <w:rFonts w:ascii="Tahoma" w:hAnsi="Tahoma"/>
      <w:sz w:val="24"/>
      <w:szCs w:val="20"/>
    </w:rPr>
  </w:style>
  <w:style w:type="paragraph" w:customStyle="1" w:styleId="17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8"/>
    <w:autoRedefine/>
    <w:qFormat/>
    <w:uiPriority w:val="0"/>
    <w:pPr>
      <w:spacing w:line="360" w:lineRule="auto"/>
      <w:jc w:val="center"/>
    </w:pPr>
    <w:rPr>
      <w:sz w:val="24"/>
    </w:rPr>
  </w:style>
  <w:style w:type="paragraph" w:customStyle="1" w:styleId="1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autoRedefine/>
    <w:qFormat/>
    <w:uiPriority w:val="0"/>
    <w:pPr>
      <w:widowControl/>
      <w:jc w:val="left"/>
    </w:pPr>
    <w:rPr>
      <w:rFonts w:ascii="楷体_GB2312" w:eastAsia="楷体_GB2312" w:cs="Arial"/>
      <w:kern w:val="0"/>
      <w:sz w:val="24"/>
    </w:rPr>
  </w:style>
  <w:style w:type="paragraph" w:customStyle="1" w:styleId="18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autoRedefine/>
    <w:qFormat/>
    <w:uiPriority w:val="0"/>
    <w:rPr>
      <w:rFonts w:ascii="Tahoma" w:hAnsi="Tahoma"/>
      <w:sz w:val="24"/>
      <w:szCs w:val="20"/>
    </w:rPr>
  </w:style>
  <w:style w:type="paragraph" w:customStyle="1" w:styleId="18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autoRedefine/>
    <w:qFormat/>
    <w:uiPriority w:val="0"/>
    <w:pPr>
      <w:ind w:firstLine="420" w:firstLineChars="200"/>
    </w:pPr>
    <w:rPr>
      <w:rFonts w:ascii="Calibri" w:hAnsi="Calibri"/>
      <w:szCs w:val="22"/>
    </w:rPr>
  </w:style>
  <w:style w:type="paragraph" w:customStyle="1" w:styleId="185">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autoRedefine/>
    <w:qFormat/>
    <w:uiPriority w:val="0"/>
    <w:rPr>
      <w:rFonts w:ascii="Tahoma" w:hAnsi="Tahoma"/>
      <w:sz w:val="24"/>
      <w:szCs w:val="20"/>
    </w:rPr>
  </w:style>
  <w:style w:type="paragraph" w:customStyle="1" w:styleId="18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autoRedefine/>
    <w:qFormat/>
    <w:uiPriority w:val="0"/>
    <w:pPr>
      <w:numPr>
        <w:ilvl w:val="0"/>
        <w:numId w:val="6"/>
      </w:numPr>
    </w:pPr>
  </w:style>
  <w:style w:type="paragraph" w:customStyle="1" w:styleId="189">
    <w:name w:val="Char21"/>
    <w:basedOn w:val="1"/>
    <w:autoRedefine/>
    <w:qFormat/>
    <w:uiPriority w:val="0"/>
    <w:rPr>
      <w:rFonts w:ascii="Tahoma" w:hAnsi="Tahoma"/>
      <w:sz w:val="24"/>
      <w:szCs w:val="20"/>
    </w:rPr>
  </w:style>
  <w:style w:type="paragraph" w:customStyle="1" w:styleId="190">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autoRedefine/>
    <w:qFormat/>
    <w:uiPriority w:val="0"/>
    <w:rPr>
      <w:rFonts w:ascii="宋体" w:hAnsi="宋体" w:cs="Courier New"/>
      <w:sz w:val="32"/>
      <w:szCs w:val="32"/>
    </w:rPr>
  </w:style>
  <w:style w:type="paragraph" w:customStyle="1" w:styleId="192">
    <w:name w:val="正文文本样式 加粗"/>
    <w:basedOn w:val="148"/>
    <w:autoRedefine/>
    <w:qFormat/>
    <w:uiPriority w:val="0"/>
    <w:rPr>
      <w:b/>
    </w:rPr>
  </w:style>
  <w:style w:type="paragraph" w:customStyle="1" w:styleId="193">
    <w:name w:val="Char2 Char Char Char Char Char Char"/>
    <w:basedOn w:val="1"/>
    <w:autoRedefine/>
    <w:qFormat/>
    <w:uiPriority w:val="0"/>
    <w:pPr>
      <w:widowControl/>
      <w:spacing w:line="400" w:lineRule="exact"/>
      <w:jc w:val="center"/>
    </w:pPr>
  </w:style>
  <w:style w:type="paragraph" w:customStyle="1" w:styleId="194">
    <w:name w:val="Char Char4"/>
    <w:basedOn w:val="1"/>
    <w:autoRedefine/>
    <w:qFormat/>
    <w:uiPriority w:val="0"/>
    <w:pPr>
      <w:widowControl/>
      <w:spacing w:line="400" w:lineRule="exact"/>
      <w:jc w:val="center"/>
    </w:pPr>
  </w:style>
  <w:style w:type="paragraph" w:customStyle="1" w:styleId="195">
    <w:name w:val="Char3 Char Char Char1"/>
    <w:basedOn w:val="1"/>
    <w:autoRedefine/>
    <w:qFormat/>
    <w:uiPriority w:val="0"/>
    <w:rPr>
      <w:rFonts w:ascii="Tahoma" w:hAnsi="Tahoma"/>
      <w:sz w:val="24"/>
      <w:szCs w:val="20"/>
    </w:rPr>
  </w:style>
  <w:style w:type="paragraph" w:styleId="19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autoRedefine/>
    <w:qFormat/>
    <w:uiPriority w:val="0"/>
    <w:rPr>
      <w:kern w:val="2"/>
      <w:sz w:val="21"/>
      <w:szCs w:val="24"/>
      <w:lang w:val="zh-CN" w:eastAsia="zh-CN"/>
    </w:rPr>
  </w:style>
  <w:style w:type="paragraph" w:customStyle="1" w:styleId="199">
    <w:name w:val="1"/>
    <w:link w:val="198"/>
    <w:autoRedefine/>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autoRedefine/>
    <w:qFormat/>
    <w:uiPriority w:val="0"/>
    <w:pPr>
      <w:adjustRightInd w:val="0"/>
      <w:snapToGrid w:val="0"/>
      <w:spacing w:after="50" w:line="360" w:lineRule="auto"/>
    </w:pPr>
    <w:rPr>
      <w:sz w:val="24"/>
    </w:rPr>
  </w:style>
  <w:style w:type="paragraph" w:customStyle="1" w:styleId="201">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autoRedefine/>
    <w:qFormat/>
    <w:uiPriority w:val="0"/>
    <w:pPr>
      <w:adjustRightInd w:val="0"/>
      <w:snapToGrid w:val="0"/>
      <w:jc w:val="left"/>
    </w:pPr>
    <w:rPr>
      <w:rFonts w:ascii="宋体" w:hAnsi="宋体"/>
      <w:color w:val="000000"/>
      <w:szCs w:val="21"/>
    </w:rPr>
  </w:style>
  <w:style w:type="character" w:customStyle="1" w:styleId="203">
    <w:name w:val="正文表格 Char"/>
    <w:link w:val="202"/>
    <w:autoRedefine/>
    <w:qFormat/>
    <w:uiPriority w:val="0"/>
    <w:rPr>
      <w:rFonts w:ascii="宋体" w:hAnsi="宋体"/>
      <w:color w:val="000000"/>
      <w:kern w:val="2"/>
      <w:sz w:val="21"/>
      <w:szCs w:val="21"/>
    </w:rPr>
  </w:style>
  <w:style w:type="paragraph" w:customStyle="1" w:styleId="204">
    <w:name w:val="正文重点"/>
    <w:basedOn w:val="1"/>
    <w:link w:val="205"/>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autoRedefine/>
    <w:qFormat/>
    <w:uiPriority w:val="0"/>
    <w:rPr>
      <w:b/>
      <w:sz w:val="24"/>
    </w:rPr>
  </w:style>
  <w:style w:type="paragraph" w:customStyle="1" w:styleId="206">
    <w:name w:val="标题1-附件"/>
    <w:basedOn w:val="3"/>
    <w:autoRedefine/>
    <w:qFormat/>
    <w:uiPriority w:val="0"/>
    <w:pPr>
      <w:jc w:val="left"/>
    </w:pPr>
    <w:rPr>
      <w:sz w:val="24"/>
      <w:szCs w:val="24"/>
    </w:rPr>
  </w:style>
  <w:style w:type="paragraph" w:customStyle="1" w:styleId="207">
    <w:name w:val="正文小标题"/>
    <w:basedOn w:val="1"/>
    <w:next w:val="2"/>
    <w:link w:val="20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autoRedefine/>
    <w:qFormat/>
    <w:uiPriority w:val="0"/>
    <w:rPr>
      <w:rFonts w:ascii="宋体" w:hAnsi="宋体"/>
      <w:b/>
      <w:i/>
      <w:color w:val="FF0000"/>
      <w:kern w:val="2"/>
      <w:sz w:val="24"/>
    </w:rPr>
  </w:style>
  <w:style w:type="paragraph" w:customStyle="1" w:styleId="209">
    <w:name w:val="正文大标题"/>
    <w:basedOn w:val="207"/>
    <w:next w:val="2"/>
    <w:link w:val="210"/>
    <w:autoRedefine/>
    <w:qFormat/>
    <w:uiPriority w:val="0"/>
    <w:pPr>
      <w:jc w:val="center"/>
    </w:pPr>
    <w:rPr>
      <w:i w:val="0"/>
      <w:color w:val="000000"/>
      <w:sz w:val="28"/>
      <w:szCs w:val="21"/>
    </w:rPr>
  </w:style>
  <w:style w:type="character" w:customStyle="1" w:styleId="210">
    <w:name w:val="正文大标题 Char"/>
    <w:link w:val="209"/>
    <w:autoRedefine/>
    <w:qFormat/>
    <w:uiPriority w:val="0"/>
    <w:rPr>
      <w:rFonts w:ascii="宋体" w:hAnsi="宋体"/>
      <w:b/>
      <w:color w:val="000000"/>
      <w:kern w:val="2"/>
      <w:sz w:val="28"/>
      <w:szCs w:val="21"/>
    </w:rPr>
  </w:style>
  <w:style w:type="paragraph" w:customStyle="1" w:styleId="211">
    <w:name w:val="注释"/>
    <w:basedOn w:val="1"/>
    <w:link w:val="212"/>
    <w:autoRedefine/>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autoRedefine/>
    <w:qFormat/>
    <w:uiPriority w:val="0"/>
    <w:rPr>
      <w:rFonts w:ascii="宋体" w:hAnsi="宋体"/>
      <w:kern w:val="2"/>
      <w:sz w:val="21"/>
      <w:szCs w:val="21"/>
    </w:rPr>
  </w:style>
  <w:style w:type="paragraph" w:customStyle="1" w:styleId="21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7">
    <w:name w:val="表格1"/>
    <w:basedOn w:val="1"/>
    <w:autoRedefine/>
    <w:qFormat/>
    <w:uiPriority w:val="0"/>
    <w:pPr>
      <w:ind w:firstLine="480" w:firstLineChars="200"/>
      <w:jc w:val="center"/>
    </w:pPr>
    <w:rPr>
      <w:sz w:val="24"/>
      <w:szCs w:val="20"/>
    </w:rPr>
  </w:style>
  <w:style w:type="character" w:customStyle="1" w:styleId="218">
    <w:name w:val="纯文本 字符1"/>
    <w:autoRedefine/>
    <w:qFormat/>
    <w:uiPriority w:val="0"/>
    <w:rPr>
      <w:rFonts w:ascii="宋体" w:hAnsi="Courier New"/>
    </w:rPr>
  </w:style>
  <w:style w:type="character" w:customStyle="1" w:styleId="219">
    <w:name w:val="bjh-p"/>
    <w:autoRedefine/>
    <w:qFormat/>
    <w:uiPriority w:val="0"/>
  </w:style>
  <w:style w:type="paragraph" w:customStyle="1" w:styleId="220">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autoRedefine/>
    <w:qFormat/>
    <w:locked/>
    <w:uiPriority w:val="0"/>
    <w:rPr>
      <w:rFonts w:ascii="宋体" w:hAnsi="宋体"/>
      <w:sz w:val="24"/>
      <w:szCs w:val="24"/>
      <w:lang w:val="en-GB"/>
    </w:rPr>
  </w:style>
  <w:style w:type="paragraph" w:customStyle="1" w:styleId="222">
    <w:name w:val="正文格式"/>
    <w:basedOn w:val="1"/>
    <w:link w:val="221"/>
    <w:autoRedefine/>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autoRedefine/>
    <w:qFormat/>
    <w:uiPriority w:val="0"/>
    <w:rPr>
      <w:rFonts w:ascii="宋体" w:eastAsia="宋体"/>
      <w:b/>
      <w:sz w:val="24"/>
      <w:u w:val="single"/>
      <w:lang w:val="en-US" w:eastAsia="zh-CN" w:bidi="ar-SA"/>
    </w:rPr>
  </w:style>
  <w:style w:type="character" w:customStyle="1" w:styleId="224">
    <w:name w:val="正文缩进 Char"/>
    <w:autoRedefine/>
    <w:qFormat/>
    <w:uiPriority w:val="0"/>
    <w:rPr>
      <w:rFonts w:ascii="宋体" w:eastAsia="宋体"/>
      <w:kern w:val="2"/>
      <w:sz w:val="24"/>
      <w:szCs w:val="24"/>
      <w:lang w:val="en-US" w:eastAsia="zh-CN" w:bidi="ar-SA"/>
    </w:rPr>
  </w:style>
  <w:style w:type="character" w:customStyle="1" w:styleId="225">
    <w:name w:val="Char Char111"/>
    <w:autoRedefine/>
    <w:qFormat/>
    <w:uiPriority w:val="0"/>
    <w:rPr>
      <w:rFonts w:ascii="宋体" w:eastAsia="宋体"/>
      <w:b/>
      <w:sz w:val="24"/>
      <w:u w:val="single"/>
      <w:lang w:val="en-US" w:eastAsia="zh-CN" w:bidi="ar-SA"/>
    </w:rPr>
  </w:style>
  <w:style w:type="character" w:customStyle="1" w:styleId="226">
    <w:name w:val="正文文本缩进 Char"/>
    <w:autoRedefine/>
    <w:qFormat/>
    <w:uiPriority w:val="0"/>
    <w:rPr>
      <w:rFonts w:eastAsia="宋体"/>
      <w:kern w:val="2"/>
      <w:sz w:val="24"/>
      <w:szCs w:val="24"/>
      <w:lang w:val="en-US" w:eastAsia="zh-CN" w:bidi="ar-SA"/>
    </w:rPr>
  </w:style>
  <w:style w:type="character" w:customStyle="1" w:styleId="227">
    <w:name w:val="列出段落 Char"/>
    <w:autoRedefine/>
    <w:qFormat/>
    <w:uiPriority w:val="0"/>
    <w:rPr>
      <w:rFonts w:ascii="Calibri" w:hAnsi="Calibri" w:eastAsia="宋体"/>
      <w:kern w:val="2"/>
      <w:sz w:val="21"/>
      <w:szCs w:val="22"/>
      <w:lang w:val="en-US" w:eastAsia="zh-CN" w:bidi="ar-SA"/>
    </w:rPr>
  </w:style>
  <w:style w:type="character" w:customStyle="1" w:styleId="228">
    <w:name w:val="页眉 Char"/>
    <w:autoRedefine/>
    <w:qFormat/>
    <w:uiPriority w:val="0"/>
    <w:rPr>
      <w:rFonts w:eastAsia="宋体"/>
      <w:kern w:val="2"/>
      <w:sz w:val="18"/>
      <w:szCs w:val="18"/>
      <w:lang w:val="en-US" w:eastAsia="zh-CN" w:bidi="ar-SA"/>
    </w:rPr>
  </w:style>
  <w:style w:type="character" w:customStyle="1" w:styleId="229">
    <w:name w:val="标题 2 Char"/>
    <w:autoRedefine/>
    <w:qFormat/>
    <w:uiPriority w:val="0"/>
    <w:rPr>
      <w:rFonts w:ascii="Arial" w:hAnsi="Arial" w:eastAsia="黑体"/>
      <w:b/>
      <w:sz w:val="30"/>
      <w:lang w:val="en-US" w:eastAsia="zh-CN" w:bidi="ar-SA"/>
    </w:rPr>
  </w:style>
  <w:style w:type="paragraph" w:customStyle="1" w:styleId="230">
    <w:name w:val="字元 字元2"/>
    <w:basedOn w:val="1"/>
    <w:autoRedefine/>
    <w:qFormat/>
    <w:uiPriority w:val="0"/>
    <w:rPr>
      <w:rFonts w:ascii="Tahoma" w:hAnsi="Tahoma"/>
      <w:sz w:val="24"/>
      <w:szCs w:val="20"/>
    </w:rPr>
  </w:style>
  <w:style w:type="paragraph" w:customStyle="1" w:styleId="231">
    <w:name w:val="Char3 Char Char Char2"/>
    <w:basedOn w:val="1"/>
    <w:autoRedefine/>
    <w:qFormat/>
    <w:uiPriority w:val="0"/>
    <w:rPr>
      <w:rFonts w:ascii="Tahoma" w:hAnsi="Tahoma"/>
      <w:sz w:val="24"/>
      <w:szCs w:val="20"/>
    </w:rPr>
  </w:style>
  <w:style w:type="paragraph" w:customStyle="1" w:styleId="232">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3">
    <w:name w:val="Char3"/>
    <w:basedOn w:val="1"/>
    <w:autoRedefine/>
    <w:qFormat/>
    <w:uiPriority w:val="0"/>
    <w:pPr>
      <w:tabs>
        <w:tab w:val="left" w:pos="360"/>
      </w:tabs>
    </w:pPr>
    <w:rPr>
      <w:sz w:val="24"/>
    </w:rPr>
  </w:style>
  <w:style w:type="paragraph" w:customStyle="1" w:styleId="234">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autoRedefine/>
    <w:qFormat/>
    <w:uiPriority w:val="0"/>
    <w:pPr>
      <w:ind w:firstLine="420" w:firstLineChars="200"/>
    </w:pPr>
    <w:rPr>
      <w:rFonts w:ascii="Calibri" w:hAnsi="Calibri"/>
      <w:szCs w:val="22"/>
    </w:rPr>
  </w:style>
  <w:style w:type="paragraph" w:customStyle="1" w:styleId="237">
    <w:name w:val="Char Char Char1 Char2"/>
    <w:basedOn w:val="1"/>
    <w:autoRedefine/>
    <w:qFormat/>
    <w:uiPriority w:val="0"/>
    <w:rPr>
      <w:rFonts w:ascii="Tahoma" w:hAnsi="Tahoma"/>
      <w:sz w:val="24"/>
      <w:szCs w:val="20"/>
    </w:rPr>
  </w:style>
  <w:style w:type="paragraph" w:customStyle="1" w:styleId="238">
    <w:name w:val="Char Char Char2"/>
    <w:basedOn w:val="1"/>
    <w:autoRedefine/>
    <w:qFormat/>
    <w:uiPriority w:val="0"/>
    <w:rPr>
      <w:rFonts w:ascii="Tahoma" w:hAnsi="Tahoma"/>
      <w:sz w:val="24"/>
      <w:szCs w:val="20"/>
    </w:rPr>
  </w:style>
  <w:style w:type="paragraph" w:customStyle="1" w:styleId="239">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0">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1">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autoRedefine/>
    <w:qFormat/>
    <w:uiPriority w:val="0"/>
    <w:rPr>
      <w:rFonts w:ascii="Tahoma" w:hAnsi="Tahoma"/>
      <w:sz w:val="24"/>
      <w:szCs w:val="20"/>
    </w:rPr>
  </w:style>
  <w:style w:type="paragraph" w:customStyle="1" w:styleId="243">
    <w:name w:val="Char Char Char Char Char Char Char Char Char Char2"/>
    <w:basedOn w:val="1"/>
    <w:autoRedefine/>
    <w:qFormat/>
    <w:uiPriority w:val="0"/>
    <w:rPr>
      <w:rFonts w:ascii="宋体" w:hAnsi="宋体" w:cs="Courier New"/>
      <w:sz w:val="32"/>
      <w:szCs w:val="32"/>
    </w:rPr>
  </w:style>
  <w:style w:type="paragraph" w:customStyle="1" w:styleId="244">
    <w:name w:val="Char2 Char Char Char Char Char Char1"/>
    <w:basedOn w:val="1"/>
    <w:autoRedefine/>
    <w:qFormat/>
    <w:uiPriority w:val="0"/>
    <w:pPr>
      <w:widowControl/>
      <w:spacing w:line="400" w:lineRule="exact"/>
      <w:jc w:val="center"/>
    </w:pPr>
  </w:style>
  <w:style w:type="character" w:customStyle="1" w:styleId="245">
    <w:name w:val="页脚 Char"/>
    <w:autoRedefine/>
    <w:qFormat/>
    <w:uiPriority w:val="0"/>
    <w:rPr>
      <w:rFonts w:ascii="宋体" w:eastAsia="宋体"/>
      <w:sz w:val="18"/>
      <w:lang w:val="en-US" w:eastAsia="zh-CN" w:bidi="ar-SA"/>
    </w:rPr>
  </w:style>
  <w:style w:type="paragraph" w:customStyle="1" w:styleId="246">
    <w:name w:val="Char Char41"/>
    <w:basedOn w:val="1"/>
    <w:autoRedefine/>
    <w:qFormat/>
    <w:uiPriority w:val="0"/>
    <w:pPr>
      <w:widowControl/>
      <w:spacing w:line="400" w:lineRule="exact"/>
      <w:jc w:val="center"/>
    </w:pPr>
  </w:style>
  <w:style w:type="character" w:customStyle="1" w:styleId="247">
    <w:name w:val="批注文字 Char"/>
    <w:autoRedefine/>
    <w:qFormat/>
    <w:uiPriority w:val="99"/>
    <w:rPr>
      <w:kern w:val="2"/>
      <w:sz w:val="21"/>
      <w:szCs w:val="24"/>
    </w:rPr>
  </w:style>
  <w:style w:type="character" w:customStyle="1" w:styleId="248">
    <w:name w:val="标题 Char"/>
    <w:autoRedefine/>
    <w:qFormat/>
    <w:uiPriority w:val="0"/>
    <w:rPr>
      <w:b/>
      <w:kern w:val="2"/>
      <w:sz w:val="32"/>
    </w:rPr>
  </w:style>
  <w:style w:type="paragraph" w:customStyle="1" w:styleId="249">
    <w:name w:val="图例"/>
    <w:basedOn w:val="1"/>
    <w:autoRedefine/>
    <w:qFormat/>
    <w:uiPriority w:val="0"/>
    <w:pPr>
      <w:spacing w:before="120" w:after="120" w:line="360" w:lineRule="auto"/>
      <w:jc w:val="center"/>
    </w:pPr>
    <w:rPr>
      <w:rFonts w:eastAsia="仿宋_GB2312"/>
      <w:b/>
      <w:sz w:val="24"/>
      <w:szCs w:val="20"/>
    </w:r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51">
    <w:name w:val="Table Normal_0"/>
    <w:autoRedefine/>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2">
    <w:name w:val="列出段落3"/>
    <w:basedOn w:val="1"/>
    <w:autoRedefine/>
    <w:qFormat/>
    <w:uiPriority w:val="34"/>
    <w:pPr>
      <w:ind w:firstLine="420" w:firstLineChars="200"/>
    </w:pPr>
    <w:rPr>
      <w:rFonts w:ascii="Calibri" w:hAnsi="Calibri"/>
      <w:szCs w:val="22"/>
    </w:rPr>
  </w:style>
  <w:style w:type="paragraph" w:customStyle="1" w:styleId="253">
    <w:name w:val="列表段落1"/>
    <w:basedOn w:val="1"/>
    <w:autoRedefine/>
    <w:qFormat/>
    <w:uiPriority w:val="0"/>
    <w:pPr>
      <w:ind w:firstLine="420" w:firstLineChars="200"/>
    </w:pPr>
    <w:rPr>
      <w:rFonts w:ascii="Calibri" w:hAnsi="Calibri"/>
    </w:rPr>
  </w:style>
  <w:style w:type="character" w:customStyle="1" w:styleId="254">
    <w:name w:val="font01"/>
    <w:basedOn w:val="45"/>
    <w:autoRedefine/>
    <w:qFormat/>
    <w:uiPriority w:val="0"/>
    <w:rPr>
      <w:rFonts w:hint="eastAsia" w:ascii="宋体" w:hAnsi="宋体" w:eastAsia="宋体" w:cs="宋体"/>
      <w:color w:val="000000"/>
      <w:sz w:val="24"/>
      <w:szCs w:val="24"/>
      <w:u w:val="single"/>
    </w:rPr>
  </w:style>
  <w:style w:type="paragraph" w:customStyle="1" w:styleId="255">
    <w:name w:val="Table Text"/>
    <w:basedOn w:val="1"/>
    <w:semiHidden/>
    <w:qFormat/>
    <w:uiPriority w:val="0"/>
    <w:rPr>
      <w:rFonts w:ascii="宋体" w:hAnsi="宋体" w:eastAsia="宋体" w:cs="宋体"/>
      <w:sz w:val="22"/>
      <w:szCs w:val="22"/>
      <w:lang w:val="en-US" w:eastAsia="en-US" w:bidi="ar-SA"/>
    </w:rPr>
  </w:style>
  <w:style w:type="table" w:customStyle="1" w:styleId="256">
    <w:name w:val="Table Grid_0"/>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1"/>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2"/>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3"/>
    <w:basedOn w:val="42"/>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162</Pages>
  <Words>13562</Words>
  <Characters>14760</Characters>
  <Lines>223</Lines>
  <Paragraphs>62</Paragraphs>
  <TotalTime>8</TotalTime>
  <ScaleCrop>false</ScaleCrop>
  <LinksUpToDate>false</LinksUpToDate>
  <CharactersWithSpaces>15270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2022-04-15T23:13:00Z</dcterms:created>
  <dc:creator>Yin Hao</dc:creator>
  <cp:lastModifiedBy>詹杰</cp:lastModifiedBy>
  <cp:lastPrinted>2023-03-10T22:46:00Z</cp:lastPrinted>
  <dcterms:modified xsi:type="dcterms:W3CDTF">2025-12-04T09:26:57Z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DBA13BA829E746289AD5A5DF2E8C8480_13</vt:lpwstr>
  </property>
  <property fmtid="{D5CDD505-2E9C-101B-9397-08002B2CF9AE}" pid="3" name="KSOProductBuildVer">
    <vt:lpwstr>2052-12.1.0.23542</vt:lpwstr>
  </property>
  <property fmtid="{D5CDD505-2E9C-101B-9397-08002B2CF9AE}" pid="4" name="KSOTemplateDocerSaveRecord">
    <vt:lpwstr>eyJoZGlkIjoiY2EyZTE3MmEzZjUzODE5ODdhYTAzNzE0YTY5ODZjMWIiLCJ1c2VySWQiOiI3MTI0MzAxODAifQ==</vt:lpwstr>
  </property>
</Properties>
</file>