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BJJQ-2025-1134</w:t>
      </w:r>
    </w:p>
    <w:p w14:paraId="6341C6F8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北交落户台湖开办费-四至栅栏及座椅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三、中标（成交）信息</w:t>
      </w:r>
    </w:p>
    <w:p w14:paraId="21AB8379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北京晨洲建设集团有限公司</w:t>
      </w:r>
    </w:p>
    <w:p w14:paraId="496C4A2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北京市丰台区风格与林苑甲9号楼3层302室</w:t>
      </w:r>
    </w:p>
    <w:p w14:paraId="554FAFFF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成交金额：</w:t>
      </w:r>
    </w:p>
    <w:p w14:paraId="2653DBC1">
      <w:pPr>
        <w:spacing w:line="360" w:lineRule="auto"/>
        <w:ind w:left="1996" w:leftChars="836" w:hanging="240" w:hangingChars="100"/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肆拾捌万伍仟零壹拾叁元柒角柒分</w:t>
      </w:r>
    </w:p>
    <w:p w14:paraId="499474B4">
      <w:pPr>
        <w:spacing w:line="360" w:lineRule="auto"/>
        <w:ind w:left="1996" w:leftChars="836" w:hanging="240" w:hangingChars="1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人民币小写：￥485013.77</w:t>
      </w:r>
    </w:p>
    <w:tbl>
      <w:tblPr>
        <w:tblStyle w:val="9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北交落户台湖开办费-四至栅栏及座椅</w:t>
            </w:r>
          </w:p>
          <w:p w14:paraId="0F770605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sz w:val="24"/>
                <w:szCs w:val="24"/>
                <w:highlight w:val="none"/>
              </w:rPr>
              <w:t>施工范围：详见磋商文件</w:t>
            </w:r>
          </w:p>
          <w:p w14:paraId="396CB291">
            <w:pPr>
              <w:shd w:val="clear"/>
              <w:spacing w:line="360" w:lineRule="auto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施工工期：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日历天</w:t>
            </w:r>
          </w:p>
          <w:p w14:paraId="68176B1E">
            <w:pPr>
              <w:shd w:val="clear"/>
              <w:spacing w:line="360" w:lineRule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项目经理：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高栋</w:t>
            </w:r>
          </w:p>
          <w:p w14:paraId="179A5F88">
            <w:pPr>
              <w:shd w:val="clear"/>
              <w:spacing w:line="360" w:lineRule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执业证书信息：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京11122018201908563</w:t>
            </w:r>
          </w:p>
          <w:p w14:paraId="7AD1EE92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其余详见响应文件</w:t>
            </w:r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p w14:paraId="12826446">
      <w:pPr>
        <w:spacing w:line="360" w:lineRule="auto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陈隽岩、朱彦、曹少艺</w:t>
      </w:r>
    </w:p>
    <w:p w14:paraId="2F4D8C8D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六、代理服务收费</w:t>
      </w:r>
      <w:r>
        <w:rPr>
          <w:rFonts w:ascii="Times New Roman" w:hAnsi="Times New Roman" w:eastAsia="宋体"/>
          <w:color w:val="auto"/>
          <w:sz w:val="24"/>
          <w:szCs w:val="24"/>
        </w:rPr>
        <w:t>标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0.6548</w:t>
      </w:r>
      <w:bookmarkStart w:id="2" w:name="_GoBack"/>
      <w:bookmarkEnd w:id="2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万元（收费标准详见磋商文件）</w:t>
      </w:r>
    </w:p>
    <w:p w14:paraId="4D15BCC3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七、公告期限</w:t>
      </w:r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BJJQ-2025-1134</w:t>
      </w:r>
    </w:p>
    <w:p w14:paraId="3D2E12A8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8.3成交</w:t>
      </w:r>
      <w:r>
        <w:rPr>
          <w:rFonts w:ascii="Times New Roman" w:hAnsi="Times New Roman" w:eastAsia="宋体"/>
          <w:color w:val="auto"/>
          <w:sz w:val="24"/>
          <w:szCs w:val="24"/>
        </w:rPr>
        <w:t>供应商得分：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75.15 </w:t>
      </w:r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19DE12B1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sz w:val="24"/>
        </w:rPr>
        <w:t>　　　</w:t>
      </w:r>
      <w:r>
        <w:rPr>
          <w:rFonts w:ascii="Times New Roman" w:hAnsi="Times New Roman" w:eastAsia="宋体"/>
          <w:b/>
          <w:sz w:val="24"/>
        </w:rPr>
        <w:t>1.采购人信息</w:t>
      </w:r>
    </w:p>
    <w:p w14:paraId="5F0EFF19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称：北京交响乐团</w:t>
      </w:r>
    </w:p>
    <w:p w14:paraId="09DAAAED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址：北京市通州区台湖镇胡家垡村甲9号院3号楼</w:t>
      </w:r>
    </w:p>
    <w:p w14:paraId="2B31F26F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联系方式：崔兵，010-69500093</w:t>
      </w:r>
    </w:p>
    <w:p w14:paraId="6F6F91F4">
      <w:pPr>
        <w:spacing w:line="360" w:lineRule="auto"/>
        <w:ind w:firstLine="723" w:firstLineChars="300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2.采购代理机构信息</w:t>
      </w:r>
    </w:p>
    <w:p w14:paraId="51BC341A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176E8D9E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　　址：北京市东城区朝内大街南竹杆胡同6号北京INN3号楼9层</w:t>
      </w:r>
    </w:p>
    <w:p w14:paraId="5E4E3358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联系方式：雷天宠、孙银萍，010-65170699、65173108</w:t>
      </w:r>
    </w:p>
    <w:p w14:paraId="799DDE6C">
      <w:pPr>
        <w:spacing w:line="360" w:lineRule="auto"/>
        <w:ind w:firstLine="723" w:firstLineChars="300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3.项目联系方式</w:t>
      </w:r>
    </w:p>
    <w:p w14:paraId="5BB35ADC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项目联系人：雷天宠、孙银萍</w:t>
      </w:r>
    </w:p>
    <w:p w14:paraId="2DE7A121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电      话：</w:t>
      </w:r>
      <w:r>
        <w:rPr>
          <w:rFonts w:hint="default" w:ascii="Times New Roman" w:hAnsi="Times New Roman"/>
          <w:sz w:val="24"/>
          <w:szCs w:val="24"/>
        </w:rPr>
        <w:t>010-65170699、65173108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D70BFD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6990642F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C4A99"/>
    <w:rsid w:val="00FF7D1A"/>
    <w:rsid w:val="04A24CDA"/>
    <w:rsid w:val="04F95927"/>
    <w:rsid w:val="07D653C6"/>
    <w:rsid w:val="0BCA0BBD"/>
    <w:rsid w:val="0CCE6862"/>
    <w:rsid w:val="0CF9542B"/>
    <w:rsid w:val="11F501BE"/>
    <w:rsid w:val="14220A4E"/>
    <w:rsid w:val="159C3F83"/>
    <w:rsid w:val="18735819"/>
    <w:rsid w:val="19CF1150"/>
    <w:rsid w:val="1C8B111C"/>
    <w:rsid w:val="1F4C72C9"/>
    <w:rsid w:val="215761DF"/>
    <w:rsid w:val="232657CD"/>
    <w:rsid w:val="2421450C"/>
    <w:rsid w:val="250626F6"/>
    <w:rsid w:val="27A65BFC"/>
    <w:rsid w:val="290E41A6"/>
    <w:rsid w:val="29D5218B"/>
    <w:rsid w:val="29FB0865"/>
    <w:rsid w:val="2ADC21EF"/>
    <w:rsid w:val="2BC053BA"/>
    <w:rsid w:val="311241F9"/>
    <w:rsid w:val="31B5579D"/>
    <w:rsid w:val="345D7336"/>
    <w:rsid w:val="34922C11"/>
    <w:rsid w:val="365113D3"/>
    <w:rsid w:val="37526F92"/>
    <w:rsid w:val="37DB2EEE"/>
    <w:rsid w:val="3A0E27DB"/>
    <w:rsid w:val="3E6C2BB1"/>
    <w:rsid w:val="3F4B0753"/>
    <w:rsid w:val="438F7409"/>
    <w:rsid w:val="45266BAF"/>
    <w:rsid w:val="45751B56"/>
    <w:rsid w:val="457C737D"/>
    <w:rsid w:val="459E22AD"/>
    <w:rsid w:val="4B2077D3"/>
    <w:rsid w:val="4C2511CC"/>
    <w:rsid w:val="4EB70B7E"/>
    <w:rsid w:val="55187ACF"/>
    <w:rsid w:val="58A121EF"/>
    <w:rsid w:val="5B4D010C"/>
    <w:rsid w:val="5D4B6E32"/>
    <w:rsid w:val="62C86514"/>
    <w:rsid w:val="6718785A"/>
    <w:rsid w:val="6CB87DDC"/>
    <w:rsid w:val="6D053B08"/>
    <w:rsid w:val="72AE12BE"/>
    <w:rsid w:val="74DF73DB"/>
    <w:rsid w:val="751253DE"/>
    <w:rsid w:val="76ED7D94"/>
    <w:rsid w:val="7AB66EC6"/>
    <w:rsid w:val="7AE17CE9"/>
    <w:rsid w:val="7EA7228D"/>
    <w:rsid w:val="7F49042E"/>
    <w:rsid w:val="7FF8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24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6"/>
    <w:autoRedefine/>
    <w:semiHidden/>
    <w:qFormat/>
    <w:uiPriority w:val="99"/>
    <w:rPr>
      <w:kern w:val="0"/>
      <w:sz w:val="0"/>
      <w:szCs w:val="0"/>
    </w:rPr>
  </w:style>
  <w:style w:type="paragraph" w:styleId="7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locked/>
    <w:uiPriority w:val="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  <w:rPr>
      <w:u w:val="none"/>
    </w:rPr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character" w:customStyle="1" w:styleId="22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25">
    <w:name w:val="批注文字 字符"/>
    <w:basedOn w:val="11"/>
    <w:link w:val="4"/>
    <w:autoRedefine/>
    <w:semiHidden/>
    <w:qFormat/>
    <w:uiPriority w:val="99"/>
  </w:style>
  <w:style w:type="character" w:customStyle="1" w:styleId="26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7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9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0">
    <w:name w:val="hover3"/>
    <w:basedOn w:val="11"/>
    <w:autoRedefine/>
    <w:qFormat/>
    <w:uiPriority w:val="0"/>
    <w:rPr>
      <w:color w:val="0063BA"/>
    </w:rPr>
  </w:style>
  <w:style w:type="character" w:customStyle="1" w:styleId="31">
    <w:name w:val="margin_right202"/>
    <w:basedOn w:val="11"/>
    <w:autoRedefine/>
    <w:qFormat/>
    <w:uiPriority w:val="0"/>
  </w:style>
  <w:style w:type="character" w:customStyle="1" w:styleId="32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4">
    <w:name w:val="margin_right20"/>
    <w:basedOn w:val="11"/>
    <w:autoRedefine/>
    <w:qFormat/>
    <w:uiPriority w:val="0"/>
  </w:style>
  <w:style w:type="character" w:customStyle="1" w:styleId="35">
    <w:name w:val="active5"/>
    <w:basedOn w:val="1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691</Characters>
  <Lines>4</Lines>
  <Paragraphs>1</Paragraphs>
  <TotalTime>3</TotalTime>
  <ScaleCrop>false</ScaleCrop>
  <LinksUpToDate>false</LinksUpToDate>
  <CharactersWithSpaces>715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Lenovo</cp:lastModifiedBy>
  <dcterms:modified xsi:type="dcterms:W3CDTF">2025-12-01T03:44:30Z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eyJoZGlkIjoiZTIwY2QwY2Y3MzI2ZDVlZmU2OTU4NDBmODdkMDNmZjIiLCJ1c2VySWQiOiIyNzU1NTQ1ODQifQ==</vt:lpwstr>
  </property>
</Properties>
</file>