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A039C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bookmarkStart w:id="10" w:name="_GoBack"/>
      <w:bookmarkEnd w:id="10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7AC84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4"/>
          <w:szCs w:val="24"/>
        </w:rPr>
      </w:pPr>
    </w:p>
    <w:p w14:paraId="2F76763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0701-25410709R018</w:t>
      </w:r>
    </w:p>
    <w:p w14:paraId="24C0BC89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2025年度创新型企业全链条支持服务体系构建及企业研发机构认定项目</w:t>
      </w:r>
    </w:p>
    <w:p w14:paraId="5D2B61C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58474785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第1包</w:t>
      </w:r>
    </w:p>
    <w:p w14:paraId="203245B6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>北京方迪经济发展研究院</w:t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</w:p>
    <w:p w14:paraId="20BB7649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>北京市西城区北三环中路乙6号京版大厦B座1301室</w:t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</w:p>
    <w:p w14:paraId="0A67B9B8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</w:t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>1,210,000.00元人民币</w:t>
      </w:r>
    </w:p>
    <w:p w14:paraId="1752F6E0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第2包</w:t>
      </w:r>
    </w:p>
    <w:p w14:paraId="2F5EC540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>北京伟世通经济咨询有限责任公司</w:t>
      </w:r>
    </w:p>
    <w:p w14:paraId="2257B5E1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>北京市西城区金泰鑫侨大厦7a</w:t>
      </w:r>
    </w:p>
    <w:p w14:paraId="521EC9A4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</w:t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>350,000.00元人民币</w:t>
      </w:r>
    </w:p>
    <w:p w14:paraId="0A3F8AE3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第3包</w:t>
      </w:r>
    </w:p>
    <w:p w14:paraId="4F5124D7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>北京国际工程咨询有限公司</w:t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</w:p>
    <w:p w14:paraId="0DCF26D4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>北京市西城区广安门外大街甲275号</w:t>
      </w:r>
    </w:p>
    <w:p w14:paraId="3702B801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</w:t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>615,000.00元人民币</w:t>
      </w:r>
    </w:p>
    <w:p w14:paraId="41191BC0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23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004B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 w14:paraId="0BEE87EE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4BBD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 w14:paraId="0AEBEA3B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独角兽企业和企业研发机构发展评估服务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共性技术平台管理服务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科技领军企业发展评估服务</w:t>
            </w:r>
          </w:p>
          <w:p w14:paraId="256A521B">
            <w:pPr>
              <w:pStyle w:val="56"/>
              <w:spacing w:line="360" w:lineRule="auto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</w:p>
          <w:p w14:paraId="04C8EF6F">
            <w:pPr>
              <w:pStyle w:val="56"/>
              <w:spacing w:line="360" w:lineRule="auto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第1包：面向北京国际科技创新中心建设需求，更新完善独角兽企业名单，梳理独角兽企业族谱，跟踪监测重点独角兽企业创新发展情况，协助开展企业调研工作。</w:t>
            </w:r>
          </w:p>
          <w:p w14:paraId="513E3312">
            <w:pPr>
              <w:pStyle w:val="56"/>
              <w:spacing w:line="360" w:lineRule="auto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落实北京市鼓励企业设立科技研究开发机构相关文件要求，协助开展企业科技研究开发机构管理服务工作，跟踪梳理企业科技研发机构发展情况，提供企业科技研发机构业务数据支撑服务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</w:p>
          <w:p w14:paraId="04FD206C">
            <w:pPr>
              <w:pStyle w:val="56"/>
              <w:spacing w:line="360" w:lineRule="auto"/>
              <w:ind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第2包：面向未来产业发展需求，跟踪服务一批共性技术平台，开展共性技术平台建设成效、发展问题等方面的分析，推动平台高效有序完成建设任务。推动平台与园区的协同联动发展，组织开展对接交流活动，推动平台更好地赋能产业发展。</w:t>
            </w:r>
          </w:p>
          <w:p w14:paraId="34567DA4">
            <w:pPr>
              <w:pStyle w:val="56"/>
              <w:spacing w:line="360" w:lineRule="auto"/>
              <w:ind w:firstLine="0" w:firstLineChars="0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第3包：协助做好科技领军企业的分析评价工作，收集整理国内外科技领军企业发展形势；协助动态调整“规升强”企业清单，同步形成重点高新技术企业画像。协助开展重点高新技术企业行业发展态势跟踪，协助开展科技领军企业主导的产学研深度融合咨询评估；持续跟踪企业所在高精尖领域产业发展形势，形成企业发展动态。</w:t>
            </w:r>
          </w:p>
          <w:p w14:paraId="517827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服务要求：</w:t>
            </w:r>
          </w:p>
          <w:p w14:paraId="016045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第1包：协助开展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独角兽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企业精准画像；协助开展独角兽企业发展动态监测；协助开展独角兽企业调研分析；协助开展独角兽企业规律探究和支持政策探索；协助开展企业科技研发机构资质管理及年报报送等相关工作；协助开展企业科技研发机构常态化联系及跟踪指导工作；协助开展企业科技研发机构发展动态监测；协助开展企业科技研发机构基础业务数据支撑工作等。</w:t>
            </w:r>
          </w:p>
          <w:p w14:paraId="56A8E1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第2包：借鉴先进地区未来产业细分赛道共性技术平台建设经验，以及政府在推进共性技术平台建设的过程中采取的相关措施，包括政策支持、资金投入、人才培养、知识产权保护等方面的具体做法。通过这些案例的分析，更好地理解共性技术平台建设的复杂性和挑战性，以及如何有效地整合资源，推动产业的持续健康发展。</w:t>
            </w:r>
          </w:p>
          <w:p w14:paraId="7EC56E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第3包：协助做好科技领军企业的分析评价工作；协助动态调整“规升强”企业清单，同步形成重点高新技术企业画像；协助开展重点高新技术企业行业发展态势跟踪，协助开展科技领军企业主导的产学研深度融合咨询评估；持续跟踪企业所在高精尖领域产业发展形势，形成企业发展动态等。</w:t>
            </w:r>
          </w:p>
          <w:p w14:paraId="3276AD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服务时间：自合同签订之日起至2025年11月30日。</w:t>
            </w:r>
          </w:p>
          <w:p w14:paraId="46F52C9B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服务标准：按照合同及采购需求进行验收。</w:t>
            </w:r>
          </w:p>
        </w:tc>
      </w:tr>
    </w:tbl>
    <w:p w14:paraId="58313B88">
      <w:pPr>
        <w:rPr>
          <w:rFonts w:hint="default" w:ascii="仿宋" w:hAnsi="仿宋" w:eastAsia="黑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</w:t>
      </w:r>
      <w:r>
        <w:rPr>
          <w:rFonts w:hint="eastAsia" w:ascii="黑体" w:hAnsi="黑体" w:eastAsia="黑体"/>
          <w:sz w:val="28"/>
          <w:szCs w:val="28"/>
          <w:highlight w:val="none"/>
        </w:rPr>
        <w:t>家名单：陈蓓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陈向前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郑艳春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程杰</w:t>
      </w:r>
    </w:p>
    <w:p w14:paraId="2C31986C"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：采购代理机构按照如下标准，采用差额累进方式计算服务费。详情</w:t>
      </w:r>
      <w:r>
        <w:rPr>
          <w:rFonts w:hint="eastAsia" w:ascii="仿宋" w:hAnsi="仿宋" w:eastAsia="仿宋"/>
          <w:kern w:val="0"/>
          <w:sz w:val="28"/>
          <w:szCs w:val="28"/>
        </w:rPr>
        <w:t>见其他补充事宜。</w:t>
      </w:r>
    </w:p>
    <w:p w14:paraId="1258ED06">
      <w:pPr>
        <w:pStyle w:val="21"/>
        <w:ind w:left="0" w:leftChars="0" w:firstLine="0" w:firstLineChars="0"/>
        <w:rPr>
          <w:rFonts w:eastAsia="仿宋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收费金额：包1：1.668万元人民币；包2：0.525万元人民币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>包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：0.9225万元人民币。</w:t>
      </w:r>
    </w:p>
    <w:p w14:paraId="7A65821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F55CA26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5A49302E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tbl>
      <w:tblPr>
        <w:tblStyle w:val="2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2012"/>
        <w:gridCol w:w="1828"/>
        <w:gridCol w:w="1828"/>
      </w:tblGrid>
      <w:tr w14:paraId="4ABC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6882E">
            <w:pPr>
              <w:ind w:firstLine="1275"/>
              <w:rPr>
                <w:rFonts w:ascii="仿宋" w:hAnsi="仿宋" w:eastAsia="仿宋" w:cs="仿宋"/>
                <w:bCs/>
              </w:rPr>
            </w:pPr>
            <w:r>
              <w:rPr>
                <w:rFonts w:ascii="仿宋" w:hAnsi="仿宋" w:eastAsia="仿宋" w:cs="仿宋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-5080</wp:posOffset>
                      </wp:positionV>
                      <wp:extent cx="1225550" cy="953135"/>
                      <wp:effectExtent l="3175" t="3810" r="5715" b="18415"/>
                      <wp:wrapNone/>
                      <wp:docPr id="2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25550" cy="9531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flip:x y;margin-left:38.5pt;margin-top:-0.4pt;height:75.05pt;width:96.5pt;z-index:251660288;mso-width-relative:page;mso-height-relative:page;" filled="f" stroked="t" coordsize="21600,21600" o:gfxdata="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cg+brSAAAACAEAAA8A&#10;AAAAAAAAAQAgAAAAIgAAAGRycy9kb3ducmV2LnhtbFBLAQIUABQAAAAIAIdO4kCjRV8x5AEAAPQD&#10;AAAOAAAAAAAAAAEAIAAAACE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仿宋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-5080</wp:posOffset>
                      </wp:positionV>
                      <wp:extent cx="1270" cy="1270"/>
                      <wp:effectExtent l="0" t="0" r="0" b="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2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-8.9pt;margin-top:-0.4pt;height:0.1pt;width:0.1pt;z-index:251659264;mso-width-relative:page;mso-height-relative:page;" filled="f" stroked="t" coordsize="21600,21600" o:gfxdata="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Y3qL0wAAAAcBAAAPAAAAAAAAAAEAIAAAACIA&#10;AABkcnMvZG93bnJldi54bWxQSwECFAAUAAAACACHTuJAXa7+rtUBAADb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</w:rPr>
              <w:t>服</w:t>
            </w:r>
          </w:p>
          <w:p w14:paraId="34B79464">
            <w:pPr>
              <w:ind w:firstLine="210" w:firstLineChars="100"/>
              <w:rPr>
                <w:rFonts w:ascii="仿宋" w:hAnsi="仿宋" w:eastAsia="仿宋" w:cs="仿宋"/>
                <w:bCs/>
              </w:rPr>
            </w:pPr>
            <w:r>
              <w:rPr>
                <w:rFonts w:ascii="仿宋" w:hAnsi="仿宋" w:eastAsia="仿宋" w:cs="仿宋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168910</wp:posOffset>
                      </wp:positionV>
                      <wp:extent cx="1515110" cy="831215"/>
                      <wp:effectExtent l="2540" t="4445" r="6350" b="17780"/>
                      <wp:wrapNone/>
                      <wp:docPr id="3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15110" cy="8312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o:spt="20" style="position:absolute;left:0pt;flip:x y;margin-left:-6.15pt;margin-top:13.3pt;height:65.45pt;width:119.3pt;z-index:251661312;mso-width-relative:page;mso-height-relative:page;" filled="f" stroked="t" coordsize="21600,21600" o:gfxdata="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afHuI1QAAAAoB&#10;AAAPAAAAAAAAAAEAIAAAACIAAABkcnMvZG93bnJldi54bWxQSwECFAAUAAAACACHTuJABWtuA+UB&#10;AAD0AwAADgAAAAAAAAABACAAAAAk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</w:rPr>
              <w:t>费　　　　　务</w:t>
            </w:r>
          </w:p>
          <w:p w14:paraId="7E0FB15D">
            <w:pPr>
              <w:ind w:firstLine="1050" w:firstLineChars="50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　　　类</w:t>
            </w:r>
          </w:p>
          <w:p w14:paraId="33DBA5C4">
            <w:pPr>
              <w:ind w:firstLine="1050" w:firstLineChars="50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率　　　型</w:t>
            </w:r>
          </w:p>
          <w:p w14:paraId="29FA427A">
            <w:pPr>
              <w:ind w:firstLine="1050" w:firstLineChars="50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　　　　</w:t>
            </w:r>
          </w:p>
          <w:p w14:paraId="36DCB329">
            <w:pPr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计费基数（万元）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0E5C"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货物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D99A"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服务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D2DD"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工程</w:t>
            </w:r>
          </w:p>
        </w:tc>
      </w:tr>
      <w:tr w14:paraId="3B97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7740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100以下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2CBD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1.5%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598C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1.5%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0C41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1.0%</w:t>
            </w:r>
          </w:p>
        </w:tc>
      </w:tr>
      <w:tr w14:paraId="326F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7A3D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100-500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546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B8D8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CA03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0.7%</w:t>
            </w:r>
          </w:p>
        </w:tc>
      </w:tr>
      <w:tr w14:paraId="10DB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75D2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500-1000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C8A5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6A77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0.45%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7E93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0.55%</w:t>
            </w:r>
          </w:p>
        </w:tc>
      </w:tr>
      <w:tr w14:paraId="6CF7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A42B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1000-5000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7D50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0.5%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7584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0.25%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7762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0.35%</w:t>
            </w:r>
          </w:p>
        </w:tc>
      </w:tr>
    </w:tbl>
    <w:p w14:paraId="35A7E427">
      <w:pPr>
        <w:pStyle w:val="21"/>
        <w:ind w:left="0" w:leftChars="0" w:firstLine="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第1包中标人的评审总得分：83.20</w:t>
      </w:r>
    </w:p>
    <w:p w14:paraId="4954E18A">
      <w:pPr>
        <w:pStyle w:val="21"/>
        <w:ind w:left="0" w:leftChars="0" w:firstLine="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第2包中标人的评审总得分：85.60</w:t>
      </w:r>
    </w:p>
    <w:p w14:paraId="5760BE6B">
      <w:pPr>
        <w:pStyle w:val="21"/>
        <w:ind w:left="0" w:leftChars="0" w:firstLine="0" w:firstLineChars="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第3包中标人的评审总得分：90.00</w:t>
      </w:r>
    </w:p>
    <w:p w14:paraId="31F5083D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7445AA49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163A73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名    称：　　中关村高科技产业促进中心</w:t>
      </w:r>
    </w:p>
    <w:p w14:paraId="3E79BBC4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地    址：　　北京市海淀区阜成路73号裕惠大厦C座</w:t>
      </w:r>
    </w:p>
    <w:p w14:paraId="5A9886AC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联系方式：　　15010456301</w:t>
      </w:r>
    </w:p>
    <w:p w14:paraId="00ECD62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2.采购代理机构信息</w:t>
      </w:r>
    </w:p>
    <w:p w14:paraId="628ADA1D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bookmarkStart w:id="6" w:name="_Toc35393643"/>
      <w:bookmarkStart w:id="7" w:name="_Toc35393812"/>
      <w:bookmarkStart w:id="8" w:name="_Toc28359025"/>
      <w:bookmarkStart w:id="9" w:name="_Toc28359102"/>
      <w:r>
        <w:rPr>
          <w:rFonts w:hint="eastAsia" w:ascii="仿宋" w:hAnsi="仿宋" w:eastAsia="仿宋" w:cs="宋体"/>
          <w:bCs/>
          <w:sz w:val="28"/>
          <w:szCs w:val="28"/>
        </w:rPr>
        <w:t>名    称：　　中技国际招标有限公司</w:t>
      </w:r>
    </w:p>
    <w:p w14:paraId="24041500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地　　址：　　北京市丰台区丽泽通用时代中心C座</w:t>
      </w:r>
    </w:p>
    <w:p w14:paraId="2118C38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联系方式：　　010-81168634、010-81168702</w:t>
      </w:r>
    </w:p>
    <w:p w14:paraId="53D7965D">
      <w:pPr>
        <w:spacing w:line="360" w:lineRule="auto"/>
        <w:ind w:left="1129" w:leftChars="371" w:hanging="350" w:hangingChars="125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3.项目联系方式</w:t>
      </w:r>
      <w:bookmarkEnd w:id="6"/>
      <w:bookmarkEnd w:id="7"/>
      <w:bookmarkEnd w:id="8"/>
      <w:bookmarkEnd w:id="9"/>
    </w:p>
    <w:p w14:paraId="42B002C9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项目联系人：　张蕊、赵博文</w:t>
      </w:r>
    </w:p>
    <w:p w14:paraId="7ACA729A">
      <w:pPr>
        <w:spacing w:line="360" w:lineRule="auto"/>
        <w:ind w:left="1129" w:leftChars="371" w:hanging="350" w:hangingChars="125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电　  话：　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Cs/>
          <w:sz w:val="28"/>
          <w:szCs w:val="28"/>
        </w:rPr>
        <w:t>010-81168634、010-81168702　</w:t>
      </w:r>
    </w:p>
    <w:p w14:paraId="57407B86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 w14:paraId="7B5AEC41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</w:t>
      </w:r>
    </w:p>
    <w:p w14:paraId="2CC485C7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8422460"/>
    </w:sdtPr>
    <w:sdtContent>
      <w:p w14:paraId="2DE57484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1C89A39C"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NWEyZmE3NWMxZTc4MjZhODA0YmZjNGZkZDk2NmYifQ=="/>
  </w:docVars>
  <w:rsids>
    <w:rsidRoot w:val="00244094"/>
    <w:rsid w:val="000312DE"/>
    <w:rsid w:val="0005737B"/>
    <w:rsid w:val="000726D8"/>
    <w:rsid w:val="000A6769"/>
    <w:rsid w:val="000A725E"/>
    <w:rsid w:val="000D3B95"/>
    <w:rsid w:val="000D5040"/>
    <w:rsid w:val="000D6508"/>
    <w:rsid w:val="00110BD8"/>
    <w:rsid w:val="001150C5"/>
    <w:rsid w:val="00151C8B"/>
    <w:rsid w:val="001775AA"/>
    <w:rsid w:val="00244094"/>
    <w:rsid w:val="00246690"/>
    <w:rsid w:val="002E79D8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7E63DA"/>
    <w:rsid w:val="0080774A"/>
    <w:rsid w:val="00877C6E"/>
    <w:rsid w:val="008974EE"/>
    <w:rsid w:val="008A1192"/>
    <w:rsid w:val="008A2FE7"/>
    <w:rsid w:val="0090581E"/>
    <w:rsid w:val="0093300C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4D15"/>
    <w:rsid w:val="00DA7067"/>
    <w:rsid w:val="00DC09FA"/>
    <w:rsid w:val="00E457B7"/>
    <w:rsid w:val="00E457E1"/>
    <w:rsid w:val="00E533D5"/>
    <w:rsid w:val="00E702D6"/>
    <w:rsid w:val="00E75E92"/>
    <w:rsid w:val="00ED7C2A"/>
    <w:rsid w:val="00EE3266"/>
    <w:rsid w:val="00F53A4B"/>
    <w:rsid w:val="03372E09"/>
    <w:rsid w:val="05694046"/>
    <w:rsid w:val="056C04DD"/>
    <w:rsid w:val="06244305"/>
    <w:rsid w:val="099A16D7"/>
    <w:rsid w:val="0A933149"/>
    <w:rsid w:val="0DA173DF"/>
    <w:rsid w:val="12BC506B"/>
    <w:rsid w:val="14351AEA"/>
    <w:rsid w:val="1CC7132A"/>
    <w:rsid w:val="1F197111"/>
    <w:rsid w:val="217C6D52"/>
    <w:rsid w:val="27CB7AB8"/>
    <w:rsid w:val="2861114D"/>
    <w:rsid w:val="29580F12"/>
    <w:rsid w:val="2A1A3861"/>
    <w:rsid w:val="2B5C6DFE"/>
    <w:rsid w:val="2CB3763B"/>
    <w:rsid w:val="2EB73AA7"/>
    <w:rsid w:val="33582862"/>
    <w:rsid w:val="33E35F82"/>
    <w:rsid w:val="35D627A9"/>
    <w:rsid w:val="38BF39E1"/>
    <w:rsid w:val="3A281202"/>
    <w:rsid w:val="3B4E14F1"/>
    <w:rsid w:val="3C342DA5"/>
    <w:rsid w:val="3F135C26"/>
    <w:rsid w:val="3F8D4DAC"/>
    <w:rsid w:val="42EB33BC"/>
    <w:rsid w:val="43AB73A6"/>
    <w:rsid w:val="43C97EC2"/>
    <w:rsid w:val="45D02C29"/>
    <w:rsid w:val="487C31B1"/>
    <w:rsid w:val="4F9D00F9"/>
    <w:rsid w:val="50306C0B"/>
    <w:rsid w:val="58037705"/>
    <w:rsid w:val="5839086E"/>
    <w:rsid w:val="58575E7F"/>
    <w:rsid w:val="593E0123"/>
    <w:rsid w:val="5A6E3E00"/>
    <w:rsid w:val="5AE8032E"/>
    <w:rsid w:val="5AF80757"/>
    <w:rsid w:val="5BDD878C"/>
    <w:rsid w:val="5DA50620"/>
    <w:rsid w:val="61691E79"/>
    <w:rsid w:val="641365DF"/>
    <w:rsid w:val="642A1742"/>
    <w:rsid w:val="676D5AF1"/>
    <w:rsid w:val="67F16D83"/>
    <w:rsid w:val="6A831998"/>
    <w:rsid w:val="71F261C8"/>
    <w:rsid w:val="72AE0661"/>
    <w:rsid w:val="767918C7"/>
    <w:rsid w:val="76FFEDF7"/>
    <w:rsid w:val="775E6C2B"/>
    <w:rsid w:val="779D5946"/>
    <w:rsid w:val="79930C21"/>
    <w:rsid w:val="7A414F6B"/>
    <w:rsid w:val="7AA813DC"/>
    <w:rsid w:val="7AE457CB"/>
    <w:rsid w:val="7CA760F0"/>
    <w:rsid w:val="7DD807E8"/>
    <w:rsid w:val="7E6F1AEC"/>
    <w:rsid w:val="7EFD50E7"/>
    <w:rsid w:val="AFEF00CD"/>
    <w:rsid w:val="E7FF634D"/>
    <w:rsid w:val="FFBF4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outlineLvl w:val="2"/>
    </w:pPr>
  </w:style>
  <w:style w:type="character" w:default="1" w:styleId="24">
    <w:name w:val="Default Paragraph Font"/>
    <w:unhideWhenUsed/>
    <w:qFormat/>
    <w:uiPriority w:val="1"/>
  </w:style>
  <w:style w:type="table" w:default="1" w:styleId="2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Normal Indent"/>
    <w:basedOn w:val="1"/>
    <w:autoRedefine/>
    <w:qFormat/>
    <w:uiPriority w:val="0"/>
    <w:pPr>
      <w:ind w:firstLine="200" w:firstLineChars="200"/>
    </w:pPr>
  </w:style>
  <w:style w:type="paragraph" w:styleId="7">
    <w:name w:val="annotation text"/>
    <w:basedOn w:val="1"/>
    <w:link w:val="34"/>
    <w:autoRedefine/>
    <w:unhideWhenUsed/>
    <w:qFormat/>
    <w:uiPriority w:val="99"/>
    <w:pPr>
      <w:jc w:val="left"/>
    </w:pPr>
  </w:style>
  <w:style w:type="paragraph" w:styleId="8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Plain Text"/>
    <w:basedOn w:val="1"/>
    <w:next w:val="1"/>
    <w:link w:val="35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Date"/>
    <w:basedOn w:val="1"/>
    <w:next w:val="1"/>
    <w:link w:val="36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2">
    <w:name w:val="Body Text Indent 2"/>
    <w:basedOn w:val="1"/>
    <w:autoRedefine/>
    <w:qFormat/>
    <w:uiPriority w:val="0"/>
    <w:pPr>
      <w:spacing w:line="360" w:lineRule="auto"/>
      <w:ind w:firstLine="560" w:firstLineChars="200"/>
    </w:pPr>
    <w:rPr>
      <w:rFonts w:ascii="楷体_GB2312" w:eastAsia="楷体_GB2312"/>
      <w:kern w:val="0"/>
      <w:sz w:val="28"/>
    </w:rPr>
  </w:style>
  <w:style w:type="paragraph" w:styleId="13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8">
    <w:name w:val="Body Text 2"/>
    <w:basedOn w:val="1"/>
    <w:link w:val="38"/>
    <w:qFormat/>
    <w:uiPriority w:val="0"/>
    <w:pPr>
      <w:spacing w:after="120" w:line="480" w:lineRule="auto"/>
    </w:p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annotation subject"/>
    <w:basedOn w:val="7"/>
    <w:next w:val="7"/>
    <w:link w:val="39"/>
    <w:unhideWhenUsed/>
    <w:qFormat/>
    <w:uiPriority w:val="99"/>
    <w:rPr>
      <w:b/>
      <w:bCs/>
    </w:rPr>
  </w:style>
  <w:style w:type="paragraph" w:styleId="21">
    <w:name w:val="Body Text First Indent 2"/>
    <w:basedOn w:val="8"/>
    <w:qFormat/>
    <w:uiPriority w:val="99"/>
    <w:pPr>
      <w:ind w:firstLine="420" w:firstLineChars="200"/>
    </w:p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FollowedHyperlink"/>
    <w:basedOn w:val="24"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26">
    <w:name w:val="Hyperlink"/>
    <w:basedOn w:val="2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basedOn w:val="24"/>
    <w:autoRedefine/>
    <w:unhideWhenUsed/>
    <w:qFormat/>
    <w:uiPriority w:val="99"/>
    <w:rPr>
      <w:sz w:val="21"/>
      <w:szCs w:val="21"/>
    </w:rPr>
  </w:style>
  <w:style w:type="paragraph" w:customStyle="1" w:styleId="28">
    <w:name w:val="Default"/>
    <w:autoRedefine/>
    <w:qFormat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9">
    <w:name w:val="样式 10 磅13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页眉 字符"/>
    <w:basedOn w:val="24"/>
    <w:link w:val="15"/>
    <w:autoRedefine/>
    <w:qFormat/>
    <w:uiPriority w:val="99"/>
    <w:rPr>
      <w:sz w:val="18"/>
      <w:szCs w:val="18"/>
    </w:rPr>
  </w:style>
  <w:style w:type="character" w:customStyle="1" w:styleId="31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3">
    <w:name w:val="标题 2 字符"/>
    <w:basedOn w:val="24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4">
    <w:name w:val="批注文字 字符"/>
    <w:basedOn w:val="24"/>
    <w:link w:val="7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5">
    <w:name w:val="纯文本 字符1"/>
    <w:basedOn w:val="24"/>
    <w:link w:val="10"/>
    <w:qFormat/>
    <w:uiPriority w:val="0"/>
    <w:rPr>
      <w:rFonts w:ascii="宋体" w:hAnsi="Courier New"/>
    </w:rPr>
  </w:style>
  <w:style w:type="character" w:customStyle="1" w:styleId="36">
    <w:name w:val="日期 字符"/>
    <w:basedOn w:val="24"/>
    <w:link w:val="11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7">
    <w:name w:val="批注框文本 字符"/>
    <w:basedOn w:val="24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正文文本 2 字符"/>
    <w:basedOn w:val="24"/>
    <w:link w:val="18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9">
    <w:name w:val="批注主题 字符"/>
    <w:basedOn w:val="34"/>
    <w:link w:val="20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40">
    <w:name w:val="纯文本 字符"/>
    <w:basedOn w:val="24"/>
    <w:autoRedefine/>
    <w:semiHidden/>
    <w:qFormat/>
    <w:uiPriority w:val="99"/>
    <w:rPr>
      <w:rFonts w:hAnsi="Courier New" w:cs="Courier New" w:asciiTheme="minorEastAsia"/>
      <w:szCs w:val="21"/>
    </w:rPr>
  </w:style>
  <w:style w:type="paragraph" w:customStyle="1" w:styleId="41">
    <w:name w:val="列出段落1"/>
    <w:basedOn w:val="1"/>
    <w:qFormat/>
    <w:uiPriority w:val="34"/>
    <w:pPr>
      <w:ind w:firstLine="420" w:firstLineChars="200"/>
    </w:pPr>
  </w:style>
  <w:style w:type="paragraph" w:customStyle="1" w:styleId="4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4">
    <w:name w:val="TOC 标题2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5">
    <w:name w:val="qowt-font10-gbk"/>
    <w:basedOn w:val="24"/>
    <w:qFormat/>
    <w:uiPriority w:val="0"/>
  </w:style>
  <w:style w:type="character" w:customStyle="1" w:styleId="46">
    <w:name w:val="prev2"/>
    <w:basedOn w:val="24"/>
    <w:qFormat/>
    <w:uiPriority w:val="0"/>
    <w:rPr>
      <w:color w:val="888888"/>
    </w:rPr>
  </w:style>
  <w:style w:type="character" w:customStyle="1" w:styleId="47">
    <w:name w:val="next"/>
    <w:basedOn w:val="24"/>
    <w:qFormat/>
    <w:uiPriority w:val="0"/>
    <w:rPr>
      <w:color w:val="888888"/>
    </w:rPr>
  </w:style>
  <w:style w:type="character" w:customStyle="1" w:styleId="48">
    <w:name w:val="next1"/>
    <w:basedOn w:val="24"/>
    <w:qFormat/>
    <w:uiPriority w:val="0"/>
    <w:rPr>
      <w:rFonts w:ascii="微软雅黑" w:hAnsi="微软雅黑" w:eastAsia="微软雅黑" w:cs="微软雅黑"/>
      <w:sz w:val="16"/>
      <w:szCs w:val="16"/>
    </w:rPr>
  </w:style>
  <w:style w:type="character" w:customStyle="1" w:styleId="49">
    <w:name w:val="gjfg"/>
    <w:basedOn w:val="24"/>
    <w:qFormat/>
    <w:uiPriority w:val="0"/>
  </w:style>
  <w:style w:type="character" w:customStyle="1" w:styleId="50">
    <w:name w:val="cfdate"/>
    <w:basedOn w:val="24"/>
    <w:qFormat/>
    <w:uiPriority w:val="0"/>
    <w:rPr>
      <w:color w:val="333333"/>
      <w:sz w:val="14"/>
      <w:szCs w:val="14"/>
    </w:rPr>
  </w:style>
  <w:style w:type="character" w:customStyle="1" w:styleId="51">
    <w:name w:val="qxdate"/>
    <w:basedOn w:val="24"/>
    <w:qFormat/>
    <w:uiPriority w:val="0"/>
    <w:rPr>
      <w:color w:val="333333"/>
      <w:sz w:val="14"/>
      <w:szCs w:val="14"/>
    </w:rPr>
  </w:style>
  <w:style w:type="character" w:customStyle="1" w:styleId="52">
    <w:name w:val="redfilefwwh"/>
    <w:basedOn w:val="24"/>
    <w:qFormat/>
    <w:uiPriority w:val="0"/>
    <w:rPr>
      <w:color w:val="BA2636"/>
      <w:sz w:val="14"/>
      <w:szCs w:val="14"/>
    </w:rPr>
  </w:style>
  <w:style w:type="character" w:customStyle="1" w:styleId="53">
    <w:name w:val="redfilenumber"/>
    <w:basedOn w:val="24"/>
    <w:qFormat/>
    <w:uiPriority w:val="0"/>
    <w:rPr>
      <w:color w:val="BA2636"/>
      <w:sz w:val="14"/>
      <w:szCs w:val="14"/>
    </w:rPr>
  </w:style>
  <w:style w:type="character" w:customStyle="1" w:styleId="54">
    <w:name w:val="displayarti"/>
    <w:basedOn w:val="24"/>
    <w:qFormat/>
    <w:uiPriority w:val="0"/>
    <w:rPr>
      <w:color w:val="FFFFFF"/>
      <w:shd w:val="clear" w:color="auto" w:fill="A00000"/>
    </w:rPr>
  </w:style>
  <w:style w:type="character" w:customStyle="1" w:styleId="55">
    <w:name w:val="prev3"/>
    <w:basedOn w:val="24"/>
    <w:qFormat/>
    <w:uiPriority w:val="0"/>
    <w:rPr>
      <w:color w:val="888888"/>
    </w:rPr>
  </w:style>
  <w:style w:type="paragraph" w:customStyle="1" w:styleId="56">
    <w:name w:val="_Style 78"/>
    <w:basedOn w:val="1"/>
    <w:next w:val="4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1961</Words>
  <Characters>2224</Characters>
  <Lines>8</Lines>
  <Paragraphs>2</Paragraphs>
  <TotalTime>0</TotalTime>
  <ScaleCrop>false</ScaleCrop>
  <LinksUpToDate>false</LinksUpToDate>
  <CharactersWithSpaces>2298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2020-03-18T19:22:00Z</dcterms:created>
  <dc:creator>赵璧</dc:creator>
  <cp:lastModifiedBy>吴家豪</cp:lastModifiedBy>
  <cp:lastPrinted>2022-09-05T07:03:00Z</cp:lastPrinted>
  <dcterms:modified xsi:type="dcterms:W3CDTF">2025-04-18T09:27:07Z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7F0925CBD24F4681AC35584706B0FBF1_13</vt:lpwstr>
  </property>
  <property fmtid="{D5CDD505-2E9C-101B-9397-08002B2CF9AE}" pid="4" name="commondata">
    <vt:lpwstr>eyJoZGlkIjoiOGJjNjcxYjdjNjgzMDQ2ZTkzYzYzYTRmM2QxOGM1ZDAifQ==</vt:lpwstr>
  </property>
  <property fmtid="{D5CDD505-2E9C-101B-9397-08002B2CF9AE}" pid="5" name="KSOTemplateDocerSaveRecord">
    <vt:lpwstr>eyJoZGlkIjoiZGZlOTljNDE3Y2FmYThhMjgxY2Y3ODVlZmZjODA3NzkiLCJ1c2VySWQiOiI1MjIyMjE0NTMifQ==</vt:lpwstr>
  </property>
</Properties>
</file>