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2CD2D">
      <w:pPr>
        <w:spacing w:line="360" w:lineRule="auto"/>
        <w:ind w:firstLine="300" w:firstLineChars="50"/>
        <w:rPr>
          <w:rFonts w:hint="default" w:ascii="Times New Roman" w:hAnsi="Times New Roman" w:eastAsia="宋体" w:cs="Times New Roman"/>
          <w:sz w:val="60"/>
          <w:szCs w:val="60"/>
        </w:rPr>
      </w:pPr>
    </w:p>
    <w:p w14:paraId="37C6DD00">
      <w:pPr>
        <w:spacing w:line="360" w:lineRule="auto"/>
        <w:ind w:firstLine="300" w:firstLineChars="50"/>
        <w:rPr>
          <w:rFonts w:hint="default" w:ascii="Times New Roman" w:hAnsi="Times New Roman" w:eastAsia="宋体" w:cs="Times New Roman"/>
          <w:sz w:val="60"/>
          <w:szCs w:val="60"/>
        </w:rPr>
      </w:pPr>
    </w:p>
    <w:p w14:paraId="536562AF">
      <w:pPr>
        <w:jc w:val="center"/>
        <w:rPr>
          <w:rFonts w:hint="default" w:ascii="Times New Roman" w:hAnsi="Times New Roman" w:eastAsia="宋体" w:cs="Times New Roman"/>
          <w:b/>
          <w:bCs/>
          <w:sz w:val="60"/>
          <w:szCs w:val="60"/>
        </w:rPr>
      </w:pPr>
      <w:r>
        <w:rPr>
          <w:rFonts w:hint="default" w:ascii="Times New Roman" w:hAnsi="Times New Roman" w:eastAsia="宋体" w:cs="Times New Roman"/>
          <w:b/>
          <w:bCs/>
          <w:sz w:val="60"/>
          <w:szCs w:val="60"/>
        </w:rPr>
        <w:t>北京市政府采购项目</w:t>
      </w:r>
    </w:p>
    <w:p w14:paraId="5D7B776D">
      <w:pPr>
        <w:jc w:val="center"/>
        <w:rPr>
          <w:rFonts w:hint="default" w:ascii="Times New Roman" w:hAnsi="Times New Roman" w:eastAsia="宋体" w:cs="Times New Roman"/>
          <w:b/>
          <w:bCs/>
          <w:sz w:val="60"/>
          <w:szCs w:val="60"/>
        </w:rPr>
      </w:pPr>
      <w:r>
        <w:rPr>
          <w:rFonts w:hint="default" w:ascii="Times New Roman" w:hAnsi="Times New Roman" w:eastAsia="宋体" w:cs="Times New Roman"/>
          <w:b/>
          <w:bCs/>
          <w:sz w:val="60"/>
          <w:szCs w:val="60"/>
        </w:rPr>
        <w:t>竞争性磋商文件</w:t>
      </w:r>
    </w:p>
    <w:p w14:paraId="3111A9A9">
      <w:pPr>
        <w:spacing w:line="360" w:lineRule="auto"/>
        <w:jc w:val="center"/>
        <w:rPr>
          <w:rFonts w:hint="default" w:ascii="Times New Roman" w:hAnsi="Times New Roman" w:eastAsia="宋体" w:cs="Times New Roman"/>
          <w:b/>
          <w:bCs/>
          <w:sz w:val="60"/>
          <w:szCs w:val="60"/>
        </w:rPr>
      </w:pPr>
    </w:p>
    <w:p w14:paraId="30AFB206">
      <w:pPr>
        <w:spacing w:line="360" w:lineRule="auto"/>
        <w:jc w:val="center"/>
        <w:rPr>
          <w:rFonts w:hint="default" w:ascii="Times New Roman" w:hAnsi="Times New Roman" w:eastAsia="宋体" w:cs="Times New Roman"/>
          <w:b/>
          <w:bCs/>
          <w:sz w:val="60"/>
          <w:szCs w:val="60"/>
        </w:rPr>
      </w:pPr>
    </w:p>
    <w:p w14:paraId="1622191E">
      <w:pPr>
        <w:tabs>
          <w:tab w:val="left" w:pos="5609"/>
        </w:tabs>
        <w:spacing w:line="360" w:lineRule="auto"/>
        <w:ind w:left="2535" w:leftChars="441" w:hanging="1609" w:hangingChars="447"/>
        <w:jc w:val="left"/>
        <w:rPr>
          <w:rFonts w:hint="default" w:ascii="Times New Roman" w:hAnsi="Times New Roman" w:eastAsia="宋体" w:cs="Times New Roman"/>
          <w:bCs/>
          <w:sz w:val="36"/>
          <w:szCs w:val="36"/>
        </w:rPr>
      </w:pPr>
      <w:r>
        <w:rPr>
          <w:rFonts w:hint="default" w:ascii="Times New Roman" w:hAnsi="Times New Roman" w:eastAsia="宋体" w:cs="Times New Roman"/>
          <w:bCs/>
          <w:sz w:val="36"/>
          <w:szCs w:val="36"/>
        </w:rPr>
        <w:t>项目名称：2025年度北京市司法局指挥中心及视频会议系统运维服务项目</w:t>
      </w:r>
    </w:p>
    <w:p w14:paraId="33740301">
      <w:pPr>
        <w:tabs>
          <w:tab w:val="left" w:pos="3240"/>
          <w:tab w:val="left" w:pos="3420"/>
        </w:tabs>
        <w:spacing w:line="360" w:lineRule="auto"/>
        <w:ind w:left="2832" w:leftChars="444" w:hanging="1900" w:hangingChars="528"/>
        <w:jc w:val="left"/>
        <w:rPr>
          <w:rFonts w:hint="default" w:ascii="Times New Roman" w:hAnsi="Times New Roman" w:eastAsia="宋体" w:cs="Times New Roman"/>
          <w:bCs/>
          <w:sz w:val="36"/>
          <w:szCs w:val="36"/>
          <w:lang w:val="en-US" w:eastAsia="zh-CN"/>
        </w:rPr>
      </w:pPr>
      <w:r>
        <w:rPr>
          <w:rFonts w:hint="default" w:ascii="Times New Roman" w:hAnsi="Times New Roman" w:eastAsia="宋体" w:cs="Times New Roman"/>
          <w:bCs/>
          <w:sz w:val="36"/>
          <w:szCs w:val="36"/>
        </w:rPr>
        <w:t>项目编号/包号：BJJQ-202</w:t>
      </w:r>
      <w:r>
        <w:rPr>
          <w:rFonts w:hint="default" w:ascii="Times New Roman" w:hAnsi="Times New Roman" w:eastAsia="宋体" w:cs="Times New Roman"/>
          <w:bCs/>
          <w:sz w:val="36"/>
          <w:szCs w:val="36"/>
          <w:lang w:val="en-US" w:eastAsia="zh-CN"/>
        </w:rPr>
        <w:t>5</w:t>
      </w:r>
      <w:r>
        <w:rPr>
          <w:rFonts w:hint="default" w:ascii="Times New Roman" w:hAnsi="Times New Roman" w:eastAsia="宋体" w:cs="Times New Roman"/>
          <w:bCs/>
          <w:sz w:val="36"/>
          <w:szCs w:val="36"/>
        </w:rPr>
        <w:t>-</w:t>
      </w:r>
      <w:r>
        <w:rPr>
          <w:rFonts w:hint="eastAsia" w:cs="Times New Roman"/>
          <w:bCs/>
          <w:sz w:val="36"/>
          <w:szCs w:val="36"/>
          <w:lang w:val="en-US" w:eastAsia="zh-CN"/>
        </w:rPr>
        <w:t>438</w:t>
      </w:r>
    </w:p>
    <w:p w14:paraId="0D9F9D37">
      <w:pPr>
        <w:tabs>
          <w:tab w:val="left" w:pos="3240"/>
          <w:tab w:val="left" w:pos="3420"/>
        </w:tabs>
        <w:spacing w:line="360" w:lineRule="auto"/>
        <w:ind w:left="2832" w:leftChars="444" w:hanging="1900" w:hangingChars="528"/>
        <w:jc w:val="left"/>
        <w:rPr>
          <w:rFonts w:hint="default" w:ascii="Times New Roman" w:hAnsi="Times New Roman" w:eastAsia="宋体" w:cs="Times New Roman"/>
          <w:bCs/>
          <w:sz w:val="36"/>
          <w:szCs w:val="36"/>
          <w:lang w:val="en-US" w:eastAsia="zh-CN"/>
        </w:rPr>
      </w:pPr>
      <w:r>
        <w:rPr>
          <w:rFonts w:hint="default" w:ascii="Times New Roman" w:hAnsi="Times New Roman" w:eastAsia="宋体" w:cs="Times New Roman"/>
          <w:bCs/>
          <w:sz w:val="36"/>
          <w:szCs w:val="36"/>
        </w:rPr>
        <w:t>采 购 人：</w:t>
      </w:r>
      <w:r>
        <w:rPr>
          <w:rFonts w:hint="eastAsia" w:cs="Times New Roman"/>
          <w:bCs/>
          <w:sz w:val="36"/>
          <w:szCs w:val="36"/>
          <w:lang w:val="en-US" w:eastAsia="zh-CN"/>
        </w:rPr>
        <w:t>北京市司法局</w:t>
      </w:r>
    </w:p>
    <w:p w14:paraId="134D8334">
      <w:pPr>
        <w:tabs>
          <w:tab w:val="left" w:pos="3240"/>
          <w:tab w:val="left" w:pos="3420"/>
        </w:tabs>
        <w:spacing w:line="360" w:lineRule="auto"/>
        <w:ind w:left="2832" w:leftChars="444" w:hanging="1900" w:hangingChars="528"/>
        <w:jc w:val="left"/>
        <w:rPr>
          <w:rFonts w:hint="default" w:ascii="Times New Roman" w:hAnsi="Times New Roman" w:eastAsia="宋体" w:cs="Times New Roman"/>
          <w:bCs/>
          <w:sz w:val="36"/>
          <w:szCs w:val="36"/>
        </w:rPr>
      </w:pPr>
      <w:r>
        <w:rPr>
          <w:rFonts w:hint="default" w:ascii="Times New Roman" w:hAnsi="Times New Roman" w:eastAsia="宋体" w:cs="Times New Roman"/>
          <w:bCs/>
          <w:sz w:val="36"/>
          <w:szCs w:val="36"/>
        </w:rPr>
        <w:t xml:space="preserve">采购代理机构：北京汇诚金桥国际招标咨询有限公司 </w:t>
      </w:r>
    </w:p>
    <w:p w14:paraId="0DEC97E5">
      <w:pPr>
        <w:widowControl/>
        <w:jc w:val="left"/>
        <w:rPr>
          <w:rFonts w:hint="default" w:ascii="Times New Roman" w:hAnsi="Times New Roman" w:eastAsia="宋体" w:cs="Times New Roman"/>
        </w:rPr>
        <w:sectPr>
          <w:headerReference r:id="rId3" w:type="default"/>
          <w:footerReference r:id="rId4" w:type="default"/>
          <w:type w:val="nextColumn"/>
          <w:pgSz w:w="11906" w:h="16838"/>
          <w:pgMar w:top="1418" w:right="1134" w:bottom="1418" w:left="1701" w:header="851" w:footer="992" w:gutter="0"/>
          <w:pgNumType w:fmt="decimal"/>
          <w:cols w:space="425" w:num="1"/>
          <w:docGrid w:linePitch="312" w:charSpace="0"/>
        </w:sectPr>
      </w:pPr>
      <w:r>
        <w:rPr>
          <w:rFonts w:hint="default" w:ascii="Times New Roman" w:hAnsi="Times New Roman" w:eastAsia="宋体" w:cs="Times New Roman"/>
          <w:b/>
          <w:bCs/>
          <w:sz w:val="44"/>
        </w:rPr>
        <w:br w:type="page"/>
      </w:r>
    </w:p>
    <w:p w14:paraId="6B9FDB1D">
      <w:pPr>
        <w:spacing w:line="360" w:lineRule="auto"/>
        <w:jc w:val="center"/>
        <w:outlineLvl w:val="0"/>
        <w:rPr>
          <w:rFonts w:hint="default" w:ascii="Times New Roman" w:hAnsi="Times New Roman" w:eastAsia="宋体" w:cs="Times New Roman"/>
          <w:b/>
          <w:sz w:val="36"/>
          <w:szCs w:val="36"/>
        </w:rPr>
      </w:pPr>
      <w:bookmarkStart w:id="0" w:name="_Toc30685"/>
      <w:bookmarkStart w:id="1" w:name="_Toc28618"/>
      <w:r>
        <w:rPr>
          <w:rFonts w:hint="default" w:ascii="Times New Roman" w:hAnsi="Times New Roman" w:eastAsia="宋体" w:cs="Times New Roman"/>
          <w:b/>
          <w:sz w:val="36"/>
          <w:szCs w:val="36"/>
        </w:rPr>
        <w:t>目      录</w:t>
      </w:r>
      <w:bookmarkEnd w:id="0"/>
      <w:bookmarkEnd w:id="1"/>
    </w:p>
    <w:p w14:paraId="1C5DA318">
      <w:pPr>
        <w:rPr>
          <w:rFonts w:hint="default" w:ascii="Times New Roman" w:hAnsi="Times New Roman" w:eastAsia="宋体" w:cs="Times New Roman"/>
        </w:rPr>
      </w:pPr>
    </w:p>
    <w:p w14:paraId="7A1AF702">
      <w:pPr>
        <w:rPr>
          <w:rFonts w:hint="default" w:ascii="Times New Roman" w:hAnsi="Times New Roman" w:eastAsia="宋体" w:cs="Times New Roman"/>
        </w:rPr>
      </w:pPr>
    </w:p>
    <w:p w14:paraId="6EF6AED7">
      <w:pPr>
        <w:rPr>
          <w:rFonts w:hint="default" w:ascii="Times New Roman" w:hAnsi="Times New Roman" w:eastAsia="宋体" w:cs="Times New Roman"/>
        </w:rPr>
      </w:pPr>
    </w:p>
    <w:p w14:paraId="718DBF7A">
      <w:pPr>
        <w:rPr>
          <w:rFonts w:hint="default" w:ascii="Times New Roman" w:hAnsi="Times New Roman" w:eastAsia="宋体" w:cs="Times New Roman"/>
        </w:rPr>
      </w:pPr>
    </w:p>
    <w:p w14:paraId="64A2933C">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 w:val="0"/>
        </w:rPr>
        <w:fldChar w:fldCharType="begin"/>
      </w:r>
      <w:r>
        <w:rPr>
          <w:rFonts w:hint="default" w:ascii="Times New Roman" w:hAnsi="Times New Roman" w:eastAsia="宋体" w:cs="Times New Roman"/>
          <w:b w:val="0"/>
        </w:rPr>
        <w:instrText xml:space="preserve"> TOC \o "1-1" \h \z \u </w:instrText>
      </w:r>
      <w:r>
        <w:rPr>
          <w:rFonts w:hint="default" w:ascii="Times New Roman" w:hAnsi="Times New Roman" w:eastAsia="宋体" w:cs="Times New Roman"/>
          <w:b w:val="0"/>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"_Toc23636"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第一章   采购邀请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_Toc23636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A1FEB4A">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"_Toc19418"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第二章   供应商须知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C3A99F6">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"_Toc6772"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第三章   评审方法和评审标准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_Toc6772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0F5E3FB">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"_Toc25422"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第四章   采购需求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_Toc25422 \h </w:instrText>
      </w:r>
      <w:r>
        <w:rPr>
          <w:rFonts w:hint="default" w:ascii="Times New Roman" w:hAnsi="Times New Roman" w:eastAsia="宋体" w:cs="Times New Roman"/>
        </w:rPr>
        <w:fldChar w:fldCharType="separate"/>
      </w:r>
      <w:r>
        <w:rPr>
          <w:rFonts w:hint="default" w:ascii="Times New Roman" w:hAnsi="Times New Roman" w:eastAsia="宋体" w:cs="Times New Roman"/>
        </w:rPr>
        <w:t>35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DA0EC2D">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"_Toc543"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第五章   合同草案条款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9F07638">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"_Toc30083"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第六章   响应文件格式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_Toc30083 \h </w:instrText>
      </w:r>
      <w:r>
        <w:rPr>
          <w:rFonts w:hint="default" w:ascii="Times New Roman" w:hAnsi="Times New Roman" w:eastAsia="宋体" w:cs="Times New Roman"/>
        </w:rPr>
        <w:fldChar w:fldCharType="separate"/>
      </w:r>
      <w:r>
        <w:rPr>
          <w:rFonts w:hint="default" w:ascii="Times New Roman" w:hAnsi="Times New Roman" w:eastAsia="宋体" w:cs="Times New Roman"/>
        </w:rPr>
        <w:t>58</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E8E8A02">
      <w:pPr>
        <w:pStyle w:val="31"/>
        <w:spacing w:line="360" w:lineRule="auto"/>
        <w:rPr>
          <w:rFonts w:hint="default" w:ascii="Times New Roman" w:hAnsi="Times New Roman" w:eastAsia="宋体" w:cs="Times New Roman"/>
          <w:b w:val="0"/>
        </w:rPr>
      </w:pPr>
      <w:r>
        <w:rPr>
          <w:rFonts w:hint="default" w:ascii="Times New Roman" w:hAnsi="Times New Roman" w:eastAsia="宋体" w:cs="Times New Roman"/>
        </w:rPr>
        <w:fldChar w:fldCharType="end"/>
      </w:r>
    </w:p>
    <w:p w14:paraId="6039392D"/>
    <w:p w14:paraId="28B44D5B">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25BFFA02">
      <w:pPr>
        <w:spacing w:line="360" w:lineRule="auto"/>
        <w:jc w:val="center"/>
        <w:outlineLvl w:val="0"/>
        <w:rPr>
          <w:rFonts w:hint="default" w:ascii="Times New Roman" w:hAnsi="Times New Roman" w:eastAsia="宋体" w:cs="Times New Roman"/>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fmt="decimal"/>
          <w:cols w:space="720" w:num="1"/>
          <w:titlePg/>
          <w:docGrid w:linePitch="462" w:charSpace="0"/>
        </w:sectPr>
      </w:pPr>
    </w:p>
    <w:p w14:paraId="50292473">
      <w:pPr>
        <w:spacing w:line="360" w:lineRule="auto"/>
        <w:jc w:val="center"/>
        <w:outlineLvl w:val="0"/>
        <w:rPr>
          <w:rFonts w:hint="default" w:ascii="Times New Roman" w:hAnsi="Times New Roman" w:eastAsia="宋体" w:cs="Times New Roman"/>
          <w:b/>
          <w:sz w:val="36"/>
          <w:szCs w:val="36"/>
        </w:rPr>
      </w:pPr>
      <w:bookmarkStart w:id="2" w:name="_Toc23636"/>
      <w:r>
        <w:rPr>
          <w:rFonts w:hint="default" w:ascii="Times New Roman" w:hAnsi="Times New Roman" w:eastAsia="宋体" w:cs="Times New Roman"/>
          <w:b/>
          <w:sz w:val="36"/>
          <w:szCs w:val="36"/>
        </w:rPr>
        <w:t>第一章   采购邀请</w:t>
      </w:r>
      <w:bookmarkEnd w:id="2"/>
      <w:bookmarkStart w:id="3" w:name="_Toc28359002"/>
      <w:bookmarkStart w:id="4" w:name="_Toc35393790"/>
      <w:bookmarkStart w:id="5" w:name="_Toc35393621"/>
      <w:bookmarkStart w:id="6" w:name="_Toc28359079"/>
      <w:bookmarkStart w:id="7" w:name="_Hlk24379207"/>
    </w:p>
    <w:p w14:paraId="08C8B3A0">
      <w:pPr>
        <w:spacing w:line="360" w:lineRule="auto"/>
        <w:ind w:firstLine="480" w:firstLineChars="200"/>
        <w:rPr>
          <w:rFonts w:hint="default" w:ascii="Times New Roman" w:hAnsi="Times New Roman" w:eastAsia="宋体" w:cs="Times New Roman"/>
          <w:sz w:val="24"/>
        </w:rPr>
      </w:pPr>
    </w:p>
    <w:p w14:paraId="08594C6C">
      <w:pPr>
        <w:pStyle w:val="4"/>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一、项目基本情况</w:t>
      </w:r>
      <w:bookmarkEnd w:id="3"/>
      <w:bookmarkEnd w:id="4"/>
      <w:bookmarkEnd w:id="5"/>
      <w:bookmarkEnd w:id="6"/>
    </w:p>
    <w:p w14:paraId="66CA611C">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1.项目编号：BJJQ-202</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w:t>
      </w:r>
      <w:r>
        <w:rPr>
          <w:rFonts w:hint="eastAsia" w:cs="Times New Roman"/>
          <w:sz w:val="24"/>
          <w:lang w:val="en-US" w:eastAsia="zh-CN"/>
        </w:rPr>
        <w:t>438</w:t>
      </w:r>
    </w:p>
    <w:p w14:paraId="1BCBA3FC">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2.项目名称：2025年度北京市司法局指挥中心及视频会议系统运维服务项目</w:t>
      </w:r>
    </w:p>
    <w:p w14:paraId="3CCD1991">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3.采购方式：竞争性磋商</w:t>
      </w:r>
    </w:p>
    <w:bookmarkEnd w:id="7"/>
    <w:p w14:paraId="5D721011">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4.项目预算金额：</w:t>
      </w:r>
      <w:r>
        <w:rPr>
          <w:rFonts w:hint="eastAsia" w:cs="Times New Roman"/>
          <w:sz w:val="24"/>
          <w:lang w:val="en-US" w:eastAsia="zh-CN"/>
        </w:rPr>
        <w:t>68.8</w:t>
      </w:r>
      <w:r>
        <w:rPr>
          <w:rFonts w:hint="default" w:ascii="Times New Roman" w:hAnsi="Times New Roman" w:eastAsia="宋体" w:cs="Times New Roman"/>
          <w:sz w:val="24"/>
        </w:rPr>
        <w:t>万元、项目最高限价（如有）：/万元</w:t>
      </w:r>
    </w:p>
    <w:p w14:paraId="0ED13CAD">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5.采购需求</w:t>
      </w:r>
      <w:r>
        <w:rPr>
          <w:rFonts w:hint="default" w:ascii="Times New Roman" w:hAnsi="Times New Roman" w:eastAsia="宋体" w:cs="Times New Roman"/>
          <w:sz w:val="24"/>
          <w:lang w:eastAsia="zh-CN"/>
        </w:rPr>
        <w:t>：</w:t>
      </w:r>
      <w:r>
        <w:rPr>
          <w:rFonts w:hint="eastAsia" w:cs="Times New Roman"/>
          <w:sz w:val="24"/>
          <w:lang w:val="en-US" w:eastAsia="zh-CN"/>
        </w:rPr>
        <w:t>为北京市司法局提供指挥中心及视频会议系统运维服务。</w:t>
      </w:r>
      <w:r>
        <w:rPr>
          <w:rFonts w:hint="default" w:ascii="Times New Roman" w:hAnsi="Times New Roman" w:eastAsia="宋体" w:cs="Times New Roman"/>
          <w:sz w:val="24"/>
          <w:lang w:val="en-US" w:eastAsia="zh-CN"/>
        </w:rPr>
        <w:t>（详见采购需求）。</w:t>
      </w:r>
    </w:p>
    <w:p w14:paraId="210D51A2">
      <w:pPr>
        <w:spacing w:line="360" w:lineRule="auto"/>
        <w:ind w:firstLine="480" w:firstLineChars="200"/>
        <w:rPr>
          <w:rFonts w:hint="default" w:ascii="Times New Roman" w:hAnsi="Times New Roman" w:eastAsia="宋体" w:cs="Times New Roman"/>
          <w:sz w:val="24"/>
          <w:u w:val="single"/>
        </w:rPr>
      </w:pPr>
      <w:r>
        <w:rPr>
          <w:rFonts w:hint="default" w:ascii="Times New Roman" w:hAnsi="Times New Roman" w:eastAsia="宋体" w:cs="Times New Roman"/>
          <w:sz w:val="24"/>
        </w:rPr>
        <w:t>6.合同履行期限：自合同签订之日起</w:t>
      </w:r>
      <w:r>
        <w:rPr>
          <w:rFonts w:hint="eastAsia" w:cs="Times New Roman"/>
          <w:sz w:val="24"/>
          <w:lang w:val="en-US" w:eastAsia="zh-CN"/>
        </w:rPr>
        <w:t>12个月</w:t>
      </w:r>
      <w:r>
        <w:rPr>
          <w:rFonts w:hint="default" w:ascii="Times New Roman" w:hAnsi="Times New Roman" w:eastAsia="宋体" w:cs="Times New Roman"/>
          <w:sz w:val="24"/>
        </w:rPr>
        <w:t>。</w:t>
      </w:r>
    </w:p>
    <w:p w14:paraId="71B52DD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7.本项目是否接受联合体：</w:t>
      </w:r>
      <w:r>
        <w:rPr>
          <w:rFonts w:hint="default" w:ascii="Times New Roman" w:hAnsi="Times New Roman" w:eastAsia="宋体" w:cs="Times New Roman"/>
        </w:rPr>
        <w:t>□</w:t>
      </w:r>
      <w:r>
        <w:rPr>
          <w:rFonts w:hint="default" w:ascii="Times New Roman" w:hAnsi="Times New Roman" w:eastAsia="宋体" w:cs="Times New Roman"/>
          <w:sz w:val="24"/>
        </w:rPr>
        <w:t xml:space="preserve">是  </w:t>
      </w: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否。</w:t>
      </w:r>
    </w:p>
    <w:p w14:paraId="096F4605">
      <w:pPr>
        <w:spacing w:line="360" w:lineRule="auto"/>
        <w:ind w:firstLine="480" w:firstLineChars="200"/>
        <w:rPr>
          <w:rFonts w:hint="default" w:ascii="Times New Roman" w:hAnsi="Times New Roman" w:eastAsia="宋体" w:cs="Times New Roman"/>
          <w:sz w:val="24"/>
        </w:rPr>
      </w:pPr>
    </w:p>
    <w:p w14:paraId="1F82984B">
      <w:pPr>
        <w:pStyle w:val="4"/>
        <w:spacing w:before="0" w:line="360" w:lineRule="auto"/>
        <w:jc w:val="left"/>
        <w:rPr>
          <w:rFonts w:hint="default" w:ascii="Times New Roman" w:hAnsi="Times New Roman" w:eastAsia="宋体" w:cs="Times New Roman"/>
          <w:sz w:val="24"/>
          <w:szCs w:val="24"/>
        </w:rPr>
      </w:pPr>
      <w:bookmarkStart w:id="8" w:name="_Toc28359003"/>
      <w:bookmarkStart w:id="9" w:name="_Toc35393791"/>
      <w:bookmarkStart w:id="10" w:name="_Toc28359080"/>
      <w:bookmarkStart w:id="11" w:name="_Toc35393622"/>
      <w:r>
        <w:rPr>
          <w:rFonts w:hint="default" w:ascii="Times New Roman" w:hAnsi="Times New Roman" w:eastAsia="宋体" w:cs="Times New Roman"/>
          <w:sz w:val="24"/>
          <w:szCs w:val="24"/>
        </w:rPr>
        <w:t>二、申请人的资格要求（须同时满足）</w:t>
      </w:r>
      <w:bookmarkEnd w:id="8"/>
      <w:bookmarkEnd w:id="9"/>
      <w:bookmarkEnd w:id="10"/>
      <w:bookmarkEnd w:id="11"/>
    </w:p>
    <w:p w14:paraId="4E7283CC">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1.满足《中华人民共和国政府采购法》第二十二条规定；</w:t>
      </w:r>
    </w:p>
    <w:p w14:paraId="1F392BCB">
      <w:pPr>
        <w:spacing w:line="360" w:lineRule="auto"/>
        <w:ind w:firstLine="480" w:firstLineChars="200"/>
        <w:rPr>
          <w:rFonts w:hint="default" w:ascii="Times New Roman" w:hAnsi="Times New Roman" w:eastAsia="宋体" w:cs="Times New Roman"/>
          <w:sz w:val="24"/>
        </w:rPr>
      </w:pPr>
      <w:bookmarkStart w:id="12" w:name="_Toc28359081"/>
      <w:bookmarkStart w:id="13" w:name="_Toc28359004"/>
      <w:r>
        <w:rPr>
          <w:rFonts w:hint="default" w:ascii="Times New Roman" w:hAnsi="Times New Roman" w:eastAsia="宋体" w:cs="Times New Roman"/>
          <w:sz w:val="24"/>
        </w:rPr>
        <w:t>2.落实政府采购政策需满足的资格要求：</w:t>
      </w:r>
    </w:p>
    <w:p w14:paraId="4D8AA36F">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 中小企业政策</w:t>
      </w:r>
    </w:p>
    <w:p w14:paraId="1D0B9847">
      <w:pPr>
        <w:spacing w:line="360" w:lineRule="auto"/>
        <w:ind w:firstLine="420" w:firstLineChars="20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本项目不专门面向中小企业预留采购份额。</w:t>
      </w:r>
    </w:p>
    <w:p w14:paraId="074F0C61">
      <w:pPr>
        <w:spacing w:line="360" w:lineRule="auto"/>
        <w:ind w:firstLine="482" w:firstLineChars="200"/>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 xml:space="preserve">本项目专门面向  </w:t>
      </w:r>
      <w:r>
        <w:rPr>
          <w:rFonts w:hint="default" w:ascii="Times New Roman" w:hAnsi="Times New Roman" w:eastAsia="宋体" w:cs="Times New Roman"/>
        </w:rPr>
        <w:t>□</w:t>
      </w:r>
      <w:r>
        <w:rPr>
          <w:rFonts w:hint="default" w:ascii="Times New Roman" w:hAnsi="Times New Roman" w:eastAsia="宋体" w:cs="Times New Roman"/>
          <w:sz w:val="24"/>
          <w:highlight w:val="none"/>
        </w:rPr>
        <w:t xml:space="preserve">中小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小微企业  采购。即：提供的货物全部由符合政策要求的小微企业制造、服务全部由符合政策要求的小微企业承接。</w:t>
      </w:r>
    </w:p>
    <w:p w14:paraId="206DBD75">
      <w:pPr>
        <w:spacing w:line="360" w:lineRule="auto"/>
        <w:ind w:firstLine="420" w:firstLineChars="20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p>
    <w:p w14:paraId="746FDD52">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 其它落实政府采购政策的资格要求（如有）：</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4D71A10B">
      <w:pPr>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sz w:val="24"/>
        </w:rPr>
        <w:t>3.本项目的特定资格要求：</w:t>
      </w:r>
    </w:p>
    <w:p w14:paraId="0A22647B">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3.1本项目是否属于政府购买服务：</w:t>
      </w:r>
    </w:p>
    <w:p w14:paraId="7309E573">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否</w:t>
      </w:r>
    </w:p>
    <w:p w14:paraId="08010195">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是，公益一类事业单位、使用事业编制且由财政拨款保障的群团组织，不得作为承接主体；</w:t>
      </w:r>
    </w:p>
    <w:p w14:paraId="6BE4782A">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3.2其他特定资格要求：</w:t>
      </w:r>
      <w:r>
        <w:rPr>
          <w:rFonts w:hint="eastAsia" w:cs="Times New Roman"/>
          <w:sz w:val="24"/>
          <w:highlight w:val="none"/>
          <w:u w:val="single"/>
          <w:lang w:val="en-US" w:eastAsia="zh-CN"/>
        </w:rPr>
        <w:t>无</w:t>
      </w:r>
      <w:r>
        <w:rPr>
          <w:rFonts w:hint="default" w:ascii="Times New Roman" w:hAnsi="Times New Roman" w:eastAsia="宋体" w:cs="Times New Roman"/>
          <w:sz w:val="24"/>
        </w:rPr>
        <w:t>。</w:t>
      </w:r>
    </w:p>
    <w:p w14:paraId="0ACD893C">
      <w:pPr>
        <w:spacing w:line="360" w:lineRule="auto"/>
        <w:ind w:firstLine="480" w:firstLineChars="200"/>
        <w:rPr>
          <w:rFonts w:hint="default" w:ascii="Times New Roman" w:hAnsi="Times New Roman" w:eastAsia="宋体" w:cs="Times New Roman"/>
          <w:i/>
          <w:iCs/>
          <w:sz w:val="24"/>
          <w:u w:val="single"/>
        </w:rPr>
      </w:pPr>
    </w:p>
    <w:bookmarkEnd w:id="12"/>
    <w:bookmarkEnd w:id="13"/>
    <w:p w14:paraId="19061386">
      <w:pPr>
        <w:pStyle w:val="4"/>
        <w:widowControl/>
        <w:spacing w:before="0" w:line="360" w:lineRule="auto"/>
        <w:jc w:val="left"/>
        <w:rPr>
          <w:rFonts w:hint="default" w:ascii="Times New Roman" w:hAnsi="Times New Roman" w:eastAsia="宋体" w:cs="Times New Roman"/>
          <w:color w:val="auto"/>
          <w:sz w:val="24"/>
          <w:szCs w:val="24"/>
        </w:rPr>
      </w:pPr>
      <w:bookmarkStart w:id="14" w:name="_Toc35393623"/>
      <w:bookmarkStart w:id="15" w:name="_Toc35393792"/>
      <w:r>
        <w:rPr>
          <w:rFonts w:hint="default" w:ascii="Times New Roman" w:hAnsi="Times New Roman" w:eastAsia="宋体" w:cs="Times New Roman"/>
          <w:sz w:val="24"/>
          <w:szCs w:val="24"/>
        </w:rPr>
        <w:t>三、获</w:t>
      </w:r>
      <w:r>
        <w:rPr>
          <w:rFonts w:hint="default" w:ascii="Times New Roman" w:hAnsi="Times New Roman" w:eastAsia="宋体" w:cs="Times New Roman"/>
          <w:color w:val="auto"/>
          <w:sz w:val="24"/>
          <w:szCs w:val="24"/>
        </w:rPr>
        <w:t>取采购文件</w:t>
      </w:r>
      <w:bookmarkEnd w:id="14"/>
      <w:bookmarkEnd w:id="15"/>
    </w:p>
    <w:p w14:paraId="6BFD243A">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1.时间：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eastAsia" w:cs="Times New Roman"/>
          <w:color w:val="auto"/>
          <w:sz w:val="24"/>
          <w:lang w:val="en-US" w:eastAsia="zh-CN"/>
        </w:rPr>
        <w:t>04</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18</w:t>
      </w:r>
      <w:r>
        <w:rPr>
          <w:rFonts w:hint="default" w:ascii="Times New Roman" w:hAnsi="Times New Roman" w:eastAsia="宋体" w:cs="Times New Roman"/>
          <w:color w:val="auto"/>
          <w:sz w:val="24"/>
          <w:lang w:bidi="ar"/>
        </w:rPr>
        <w:t>日至</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eastAsia" w:cs="Times New Roman"/>
          <w:color w:val="auto"/>
          <w:sz w:val="24"/>
          <w:lang w:val="en-US" w:eastAsia="zh-CN" w:bidi="ar"/>
        </w:rPr>
        <w:t>04</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25</w:t>
      </w:r>
      <w:r>
        <w:rPr>
          <w:rFonts w:hint="default" w:ascii="Times New Roman" w:hAnsi="Times New Roman" w:eastAsia="宋体" w:cs="Times New Roman"/>
          <w:color w:val="auto"/>
          <w:sz w:val="24"/>
          <w:lang w:bidi="ar"/>
        </w:rPr>
        <w:t>日，每天上午</w:t>
      </w:r>
      <w:r>
        <w:rPr>
          <w:rFonts w:hint="default" w:ascii="Times New Roman" w:hAnsi="Times New Roman" w:eastAsia="宋体" w:cs="Times New Roman"/>
          <w:color w:val="auto"/>
          <w:sz w:val="24"/>
        </w:rPr>
        <w:t>09:00</w:t>
      </w:r>
      <w:r>
        <w:rPr>
          <w:rFonts w:hint="default" w:ascii="Times New Roman" w:hAnsi="Times New Roman" w:eastAsia="宋体" w:cs="Times New Roman"/>
          <w:color w:val="auto"/>
          <w:sz w:val="24"/>
          <w:lang w:bidi="ar"/>
        </w:rPr>
        <w:t>至</w:t>
      </w:r>
      <w:r>
        <w:rPr>
          <w:rFonts w:hint="default" w:ascii="Times New Roman" w:hAnsi="Times New Roman" w:eastAsia="宋体" w:cs="Times New Roman"/>
          <w:color w:val="auto"/>
          <w:sz w:val="24"/>
        </w:rPr>
        <w:t>12:00</w:t>
      </w:r>
      <w:r>
        <w:rPr>
          <w:rFonts w:hint="default" w:ascii="Times New Roman" w:hAnsi="Times New Roman" w:eastAsia="宋体" w:cs="Times New Roman"/>
          <w:color w:val="auto"/>
          <w:sz w:val="24"/>
          <w:lang w:bidi="ar"/>
        </w:rPr>
        <w:t>，下午</w:t>
      </w:r>
      <w:r>
        <w:rPr>
          <w:rFonts w:hint="default" w:ascii="Times New Roman" w:hAnsi="Times New Roman" w:eastAsia="宋体" w:cs="Times New Roman"/>
          <w:color w:val="auto"/>
          <w:sz w:val="24"/>
        </w:rPr>
        <w:t>12:00</w:t>
      </w:r>
      <w:r>
        <w:rPr>
          <w:rFonts w:hint="default" w:ascii="Times New Roman" w:hAnsi="Times New Roman" w:eastAsia="宋体" w:cs="Times New Roman"/>
          <w:color w:val="auto"/>
          <w:sz w:val="24"/>
          <w:lang w:bidi="ar"/>
        </w:rPr>
        <w:t>至</w:t>
      </w:r>
      <w:r>
        <w:rPr>
          <w:rFonts w:hint="default" w:ascii="Times New Roman" w:hAnsi="Times New Roman" w:eastAsia="宋体" w:cs="Times New Roman"/>
          <w:color w:val="auto"/>
          <w:sz w:val="24"/>
        </w:rPr>
        <w:t>17:00</w:t>
      </w:r>
      <w:r>
        <w:rPr>
          <w:rFonts w:hint="default" w:ascii="Times New Roman" w:hAnsi="Times New Roman" w:eastAsia="宋体" w:cs="Times New Roman"/>
          <w:color w:val="auto"/>
          <w:sz w:val="24"/>
          <w:lang w:bidi="ar"/>
        </w:rPr>
        <w:t>（北京时间，法定节假日除外）。</w:t>
      </w:r>
    </w:p>
    <w:p w14:paraId="432B173D">
      <w:pPr>
        <w:adjustRightInd w:val="0"/>
        <w:snapToGrid w:val="0"/>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2.地点：北京市政府采购电子交易平台</w:t>
      </w:r>
    </w:p>
    <w:p w14:paraId="2ED1DAD6">
      <w:pPr>
        <w:widowControl/>
        <w:adjustRightInd w:val="0"/>
        <w:snapToGrid w:val="0"/>
        <w:spacing w:line="360" w:lineRule="auto"/>
        <w:ind w:firstLine="480" w:firstLineChars="200"/>
        <w:jc w:val="left"/>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3.方式：供应商使用CA数字证书或电子营业执照登录北京市政府采购电子交易平台（http://zbcg-bjzc.zhongcy.com/bjczj-portal-site/index.html#/home）获取电子版竞争性磋商文件。</w:t>
      </w:r>
    </w:p>
    <w:p w14:paraId="73443C90">
      <w:pPr>
        <w:widowControl/>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bidi="ar"/>
        </w:rPr>
        <w:t>4.售价：</w:t>
      </w:r>
      <w:r>
        <w:rPr>
          <w:rFonts w:hint="default" w:ascii="Times New Roman" w:hAnsi="Times New Roman" w:eastAsia="宋体" w:cs="Times New Roman"/>
          <w:color w:val="auto"/>
          <w:sz w:val="24"/>
        </w:rPr>
        <w:t>0元（含电子版）</w:t>
      </w:r>
      <w:r>
        <w:rPr>
          <w:rFonts w:hint="default" w:ascii="Times New Roman" w:hAnsi="Times New Roman" w:eastAsia="宋体" w:cs="Times New Roman"/>
          <w:color w:val="auto"/>
          <w:sz w:val="24"/>
          <w:lang w:bidi="ar"/>
        </w:rPr>
        <w:t>。</w:t>
      </w:r>
    </w:p>
    <w:p w14:paraId="43779C76">
      <w:pPr>
        <w:tabs>
          <w:tab w:val="left" w:pos="900"/>
          <w:tab w:val="left" w:pos="1980"/>
        </w:tabs>
        <w:snapToGrid w:val="0"/>
        <w:spacing w:line="360" w:lineRule="auto"/>
        <w:ind w:left="840"/>
        <w:rPr>
          <w:rFonts w:hint="default" w:ascii="Times New Roman" w:hAnsi="Times New Roman" w:eastAsia="宋体" w:cs="Times New Roman"/>
          <w:color w:val="auto"/>
          <w:sz w:val="24"/>
        </w:rPr>
      </w:pPr>
    </w:p>
    <w:p w14:paraId="6FBB4BDC">
      <w:pPr>
        <w:pStyle w:val="4"/>
        <w:widowControl/>
        <w:spacing w:before="0" w:line="360" w:lineRule="auto"/>
        <w:jc w:val="left"/>
        <w:rPr>
          <w:rFonts w:hint="default" w:ascii="Times New Roman" w:hAnsi="Times New Roman" w:eastAsia="宋体" w:cs="Times New Roman"/>
          <w:color w:val="auto"/>
          <w:sz w:val="24"/>
          <w:szCs w:val="24"/>
        </w:rPr>
      </w:pPr>
      <w:bookmarkStart w:id="16" w:name="_Toc28359005"/>
      <w:bookmarkStart w:id="17" w:name="_Toc35393624"/>
      <w:bookmarkStart w:id="18" w:name="_Toc28359082"/>
      <w:bookmarkStart w:id="19" w:name="_Toc35393793"/>
      <w:r>
        <w:rPr>
          <w:rFonts w:hint="default" w:ascii="Times New Roman" w:hAnsi="Times New Roman" w:eastAsia="宋体" w:cs="Times New Roman"/>
          <w:color w:val="auto"/>
          <w:sz w:val="24"/>
          <w:szCs w:val="24"/>
        </w:rPr>
        <w:t>四、</w:t>
      </w:r>
      <w:bookmarkEnd w:id="16"/>
      <w:bookmarkEnd w:id="17"/>
      <w:bookmarkEnd w:id="18"/>
      <w:bookmarkEnd w:id="19"/>
      <w:r>
        <w:rPr>
          <w:rFonts w:hint="default" w:ascii="Times New Roman" w:hAnsi="Times New Roman" w:eastAsia="宋体" w:cs="Times New Roman"/>
          <w:color w:val="auto"/>
          <w:sz w:val="24"/>
          <w:szCs w:val="24"/>
        </w:rPr>
        <w:t>响应文件提交</w:t>
      </w:r>
    </w:p>
    <w:p w14:paraId="62E94DFB">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截止时间：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eastAsia" w:cs="Times New Roman"/>
          <w:color w:val="auto"/>
          <w:sz w:val="24"/>
          <w:lang w:val="en-US" w:eastAsia="zh-CN"/>
        </w:rPr>
        <w:t>04</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29</w:t>
      </w:r>
      <w:r>
        <w:rPr>
          <w:rFonts w:hint="default" w:ascii="Times New Roman" w:hAnsi="Times New Roman" w:eastAsia="宋体" w:cs="Times New Roman"/>
          <w:color w:val="auto"/>
          <w:sz w:val="24"/>
          <w:lang w:bidi="ar"/>
        </w:rPr>
        <w:t>日</w:t>
      </w:r>
      <w:r>
        <w:rPr>
          <w:rFonts w:hint="eastAsia" w:cs="Times New Roman"/>
          <w:color w:val="auto"/>
          <w:sz w:val="24"/>
          <w:lang w:val="en-US" w:eastAsia="zh-CN"/>
        </w:rPr>
        <w:t>13</w:t>
      </w:r>
      <w:r>
        <w:rPr>
          <w:rFonts w:hint="default" w:ascii="Times New Roman" w:hAnsi="Times New Roman" w:eastAsia="宋体" w:cs="Times New Roman"/>
          <w:color w:val="auto"/>
          <w:sz w:val="24"/>
          <w:lang w:bidi="ar"/>
        </w:rPr>
        <w:t>点</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64B62BFF">
      <w:pPr>
        <w:spacing w:line="360" w:lineRule="auto"/>
        <w:ind w:firstLine="480" w:firstLineChars="200"/>
        <w:rPr>
          <w:rFonts w:hint="default" w:ascii="Times New Roman" w:hAnsi="Times New Roman" w:eastAsia="宋体" w:cs="Times New Roman"/>
          <w:color w:val="auto"/>
          <w:sz w:val="24"/>
          <w:lang w:val="zh-TW" w:bidi="ar"/>
        </w:rPr>
      </w:pPr>
      <w:r>
        <w:rPr>
          <w:rFonts w:hint="default" w:ascii="Times New Roman" w:hAnsi="Times New Roman" w:eastAsia="宋体" w:cs="Times New Roman"/>
          <w:color w:val="auto"/>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lang w:val="zh-TW" w:bidi="ar"/>
        </w:rPr>
        <w:t>。</w:t>
      </w:r>
    </w:p>
    <w:p w14:paraId="4DC276A8">
      <w:pPr>
        <w:pStyle w:val="4"/>
        <w:spacing w:before="0" w:line="360" w:lineRule="auto"/>
        <w:jc w:val="left"/>
        <w:rPr>
          <w:rFonts w:hint="default" w:ascii="Times New Roman" w:hAnsi="Times New Roman" w:eastAsia="宋体" w:cs="Times New Roman"/>
          <w:color w:val="auto"/>
          <w:sz w:val="24"/>
          <w:szCs w:val="24"/>
        </w:rPr>
      </w:pPr>
    </w:p>
    <w:p w14:paraId="718FCD04">
      <w:pPr>
        <w:pStyle w:val="4"/>
        <w:spacing w:before="0"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五、开启</w:t>
      </w:r>
    </w:p>
    <w:p w14:paraId="4CF676C8">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eastAsia" w:cs="Times New Roman"/>
          <w:color w:val="auto"/>
          <w:sz w:val="24"/>
          <w:lang w:val="en-US" w:eastAsia="zh-CN"/>
        </w:rPr>
        <w:t>04</w:t>
      </w:r>
      <w:r>
        <w:rPr>
          <w:rFonts w:hint="default" w:ascii="Times New Roman" w:hAnsi="Times New Roman" w:eastAsia="宋体" w:cs="Times New Roman"/>
          <w:color w:val="auto"/>
          <w:sz w:val="24"/>
          <w:lang w:bidi="ar"/>
        </w:rPr>
        <w:t>月</w:t>
      </w:r>
      <w:r>
        <w:rPr>
          <w:rFonts w:hint="eastAsia" w:cs="Times New Roman"/>
          <w:color w:val="auto"/>
          <w:sz w:val="24"/>
          <w:lang w:val="en-US" w:eastAsia="zh-CN" w:bidi="ar"/>
        </w:rPr>
        <w:t>29</w:t>
      </w:r>
      <w:r>
        <w:rPr>
          <w:rFonts w:hint="default" w:ascii="Times New Roman" w:hAnsi="Times New Roman" w:eastAsia="宋体" w:cs="Times New Roman"/>
          <w:color w:val="auto"/>
          <w:sz w:val="24"/>
          <w:lang w:bidi="ar"/>
        </w:rPr>
        <w:t>日</w:t>
      </w:r>
      <w:r>
        <w:rPr>
          <w:rFonts w:hint="default" w:ascii="Times New Roman" w:hAnsi="Times New Roman" w:eastAsia="宋体" w:cs="Times New Roman"/>
          <w:color w:val="auto"/>
          <w:sz w:val="24"/>
          <w:lang w:val="en-US" w:eastAsia="zh-CN"/>
        </w:rPr>
        <w:t>1</w:t>
      </w:r>
      <w:r>
        <w:rPr>
          <w:rFonts w:hint="eastAsia" w:cs="Times New Roman"/>
          <w:color w:val="auto"/>
          <w:sz w:val="24"/>
          <w:lang w:val="en-US" w:eastAsia="zh-CN"/>
        </w:rPr>
        <w:t>3</w:t>
      </w:r>
      <w:r>
        <w:rPr>
          <w:rFonts w:hint="default" w:ascii="Times New Roman" w:hAnsi="Times New Roman" w:eastAsia="宋体" w:cs="Times New Roman"/>
          <w:color w:val="auto"/>
          <w:sz w:val="24"/>
          <w:lang w:bidi="ar"/>
        </w:rPr>
        <w:t>点</w:t>
      </w: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70AF0EF6">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lang w:val="zh-TW" w:bidi="ar"/>
        </w:rPr>
        <w:t>。</w:t>
      </w:r>
    </w:p>
    <w:p w14:paraId="0F910A09">
      <w:pPr>
        <w:pStyle w:val="4"/>
        <w:spacing w:before="0" w:line="360" w:lineRule="auto"/>
        <w:jc w:val="left"/>
        <w:rPr>
          <w:rFonts w:hint="default" w:ascii="Times New Roman" w:hAnsi="Times New Roman" w:eastAsia="宋体" w:cs="Times New Roman"/>
          <w:sz w:val="24"/>
          <w:szCs w:val="24"/>
        </w:rPr>
      </w:pPr>
      <w:bookmarkStart w:id="20" w:name="_Toc35393625"/>
      <w:bookmarkStart w:id="21" w:name="_Toc35393794"/>
      <w:bookmarkStart w:id="22" w:name="_Toc28359084"/>
      <w:bookmarkStart w:id="23" w:name="_Toc28359007"/>
    </w:p>
    <w:p w14:paraId="5CD8140E">
      <w:pPr>
        <w:pStyle w:val="4"/>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六、公告期限</w:t>
      </w:r>
      <w:bookmarkEnd w:id="20"/>
      <w:bookmarkEnd w:id="21"/>
      <w:bookmarkEnd w:id="22"/>
      <w:bookmarkEnd w:id="23"/>
    </w:p>
    <w:p w14:paraId="0E207BEB">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自本公告发布之日起3个工作日。</w:t>
      </w:r>
    </w:p>
    <w:p w14:paraId="5483E8E6">
      <w:pPr>
        <w:spacing w:line="360" w:lineRule="auto"/>
        <w:ind w:firstLine="480" w:firstLineChars="200"/>
        <w:rPr>
          <w:rFonts w:hint="default" w:ascii="Times New Roman" w:hAnsi="Times New Roman" w:eastAsia="宋体" w:cs="Times New Roman"/>
          <w:kern w:val="0"/>
          <w:sz w:val="24"/>
        </w:rPr>
      </w:pPr>
    </w:p>
    <w:p w14:paraId="00E3E5D2">
      <w:pPr>
        <w:pStyle w:val="4"/>
        <w:spacing w:before="0" w:line="360" w:lineRule="auto"/>
        <w:jc w:val="left"/>
        <w:rPr>
          <w:rFonts w:hint="default" w:ascii="Times New Roman" w:hAnsi="Times New Roman" w:eastAsia="宋体" w:cs="Times New Roman"/>
          <w:sz w:val="24"/>
          <w:szCs w:val="24"/>
        </w:rPr>
      </w:pPr>
      <w:bookmarkStart w:id="24" w:name="_Toc35393795"/>
      <w:bookmarkStart w:id="25" w:name="_Toc35393626"/>
      <w:r>
        <w:rPr>
          <w:rFonts w:hint="default" w:ascii="Times New Roman" w:hAnsi="Times New Roman" w:eastAsia="宋体" w:cs="Times New Roman"/>
          <w:sz w:val="24"/>
          <w:szCs w:val="24"/>
        </w:rPr>
        <w:t>七、其他补充事宜</w:t>
      </w:r>
      <w:bookmarkEnd w:id="24"/>
      <w:bookmarkEnd w:id="25"/>
    </w:p>
    <w:p w14:paraId="117F023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1.本项目需要落实的政府采购政策：</w:t>
      </w:r>
    </w:p>
    <w:p w14:paraId="12DF889D">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（1）节能产品强制采购</w:t>
      </w:r>
    </w:p>
    <w:p w14:paraId="68366B2C">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（2）节能产品、环境标志产品优先采购</w:t>
      </w:r>
    </w:p>
    <w:p w14:paraId="06071116">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（3）政府采购促进中小企业发展</w:t>
      </w:r>
    </w:p>
    <w:p w14:paraId="5896757C">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（4）政府采购支持监狱企业发展</w:t>
      </w:r>
    </w:p>
    <w:p w14:paraId="2B2D7BA2">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（5）政府采购促进残疾人就业</w:t>
      </w:r>
    </w:p>
    <w:p w14:paraId="6D9D5EB8">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（6）进口产品管理</w:t>
      </w:r>
    </w:p>
    <w:p w14:paraId="73A7987F">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2.本项目采用</w:t>
      </w:r>
      <w:r>
        <w:rPr>
          <w:rFonts w:hint="default" w:ascii="Times New Roman" w:hAnsi="Times New Roman" w:eastAsia="宋体" w:cs="Times New Roman"/>
          <w:sz w:val="24"/>
          <w:lang w:bidi="ar"/>
        </w:rPr>
        <w:t>电子化采购方式（线上线下相结合形式）</w:t>
      </w:r>
      <w:r>
        <w:rPr>
          <w:rFonts w:hint="default" w:ascii="Times New Roman" w:hAnsi="Times New Roman" w:eastAsia="宋体" w:cs="Times New Roman"/>
          <w:sz w:val="24"/>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D1C7266">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CA数字证书服务热线 010-58511086</w:t>
      </w:r>
    </w:p>
    <w:p w14:paraId="7CF23119">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电子营业执照服务热线 400-699-7000</w:t>
      </w:r>
    </w:p>
    <w:p w14:paraId="37FE21E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技术支持服务热线 010-86483801</w:t>
      </w:r>
    </w:p>
    <w:p w14:paraId="0A1D84A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2.1办理CA数字证书或电子营业执照</w:t>
      </w:r>
    </w:p>
    <w:p w14:paraId="1C4DD1A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供应商登录北京市政府采购电子交易平台查阅 “用户指南”—“操作指南”—“市场主体CA办理操作流程指引” /“电子营业执照使用指南”，按照程序要求办理。</w:t>
      </w:r>
    </w:p>
    <w:p w14:paraId="172C17C4">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2.2注册</w:t>
      </w:r>
    </w:p>
    <w:p w14:paraId="0C4A404E">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供应商登录北京市政府采购电子交易平台“用户指南”—“操作指南”—“市场主体注册入库操作流程指引”进行自助注册绑定。</w:t>
      </w:r>
    </w:p>
    <w:p w14:paraId="1FB37997">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2.3驱动、客户端下载</w:t>
      </w:r>
    </w:p>
    <w:p w14:paraId="25822ABD">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供应商登录北京市政府采购电子交易平台“用户指南”—“工具下载”—“招标采购系统文件驱动安装包”下载相关驱动。</w:t>
      </w:r>
    </w:p>
    <w:p w14:paraId="524FBA1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供应商登录北京市政府采购电子交易平台“用户指南”—“工具下载”—“投标文件编制工具”下载相关客户端。</w:t>
      </w:r>
    </w:p>
    <w:p w14:paraId="3A15B6EE">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2.4 获取电子竞争性磋商文件</w:t>
      </w:r>
    </w:p>
    <w:p w14:paraId="2682B2F6">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供应商使用CA数字证书或电子营业执照登录北京市政府采购电子交易平台获取电子竞争性磋商文件。</w:t>
      </w:r>
    </w:p>
    <w:p w14:paraId="465205CB">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供应商如计划参与多个采购包的响应，应在登录北京市政府采购电子交易平台后，在【我的项目】栏目依次选择对应采购包，进入项目工作台招标/采购文件环节分别按采购包下载采购文件电子版。</w:t>
      </w:r>
    </w:p>
    <w:p w14:paraId="268948B6">
      <w:pPr>
        <w:spacing w:line="360" w:lineRule="auto"/>
        <w:ind w:firstLine="480" w:firstLineChars="200"/>
        <w:rPr>
          <w:rFonts w:hint="default" w:ascii="Times New Roman" w:hAnsi="Times New Roman" w:eastAsia="宋体" w:cs="Times New Roman"/>
          <w:color w:val="0000FF"/>
          <w:sz w:val="24"/>
          <w:highlight w:val="yellow"/>
        </w:rPr>
      </w:pPr>
      <w:r>
        <w:rPr>
          <w:rFonts w:hint="default" w:ascii="Times New Roman" w:hAnsi="Times New Roman" w:eastAsia="宋体" w:cs="Times New Roman"/>
          <w:sz w:val="24"/>
        </w:rPr>
        <w:t>供应商在北京市政府采购电子交易平台成功下载磋商文件后，请扫描以下二维码，录入详细信息。</w:t>
      </w:r>
    </w:p>
    <w:p w14:paraId="0C6F750D">
      <w:pPr>
        <w:spacing w:line="360" w:lineRule="auto"/>
        <w:ind w:firstLine="480" w:firstLineChars="200"/>
        <w:jc w:val="center"/>
        <w:rPr>
          <w:rFonts w:hint="default" w:ascii="Times New Roman" w:hAnsi="Times New Roman" w:eastAsia="宋体" w:cs="Times New Roman"/>
          <w:color w:val="0000FF"/>
          <w:sz w:val="24"/>
          <w:lang w:val="en-US" w:eastAsia="zh-CN"/>
        </w:rPr>
      </w:pPr>
      <w:r>
        <w:rPr>
          <w:rFonts w:hint="default" w:ascii="Times New Roman" w:hAnsi="Times New Roman" w:eastAsia="宋体" w:cs="Times New Roman"/>
          <w:color w:val="0000FF"/>
          <w:sz w:val="24"/>
          <w:lang w:val="en-US" w:eastAsia="zh-CN"/>
        </w:rPr>
        <w:drawing>
          <wp:inline distT="0" distB="0" distL="114300" distR="114300">
            <wp:extent cx="1158240" cy="1200150"/>
            <wp:effectExtent l="0" t="0" r="3810" b="0"/>
            <wp:docPr id="10" name="图片 10" descr="174496222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44962229125"/>
                    <pic:cNvPicPr>
                      <a:picLocks noChangeAspect="1"/>
                    </pic:cNvPicPr>
                  </pic:nvPicPr>
                  <pic:blipFill>
                    <a:blip r:embed="rId32"/>
                    <a:stretch>
                      <a:fillRect/>
                    </a:stretch>
                  </pic:blipFill>
                  <pic:spPr>
                    <a:xfrm>
                      <a:off x="0" y="0"/>
                      <a:ext cx="1158240" cy="1200150"/>
                    </a:xfrm>
                    <a:prstGeom prst="rect">
                      <a:avLst/>
                    </a:prstGeom>
                  </pic:spPr>
                </pic:pic>
              </a:graphicData>
            </a:graphic>
          </wp:inline>
        </w:drawing>
      </w:r>
    </w:p>
    <w:p w14:paraId="2324FE68">
      <w:pPr>
        <w:numPr>
          <w:ilvl w:val="0"/>
          <w:numId w:val="0"/>
        </w:num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3.</w:t>
      </w:r>
      <w:r>
        <w:rPr>
          <w:rFonts w:hint="default" w:ascii="Times New Roman" w:hAnsi="Times New Roman" w:eastAsia="宋体" w:cs="Times New Roman"/>
          <w:sz w:val="24"/>
          <w:lang w:bidi="ar"/>
        </w:rPr>
        <w:t>本公告同时在中国政府采购网（http://www.ccgp.gov.cn）、北京市政府采购网（http://www.ccgp-beijing.gov.cn/）发布。</w:t>
      </w:r>
    </w:p>
    <w:p w14:paraId="44B54AE3">
      <w:pPr>
        <w:numPr>
          <w:ilvl w:val="0"/>
          <w:numId w:val="0"/>
        </w:num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.采购代理机构项目编号：BJJQ-202</w:t>
      </w:r>
      <w:r>
        <w:rPr>
          <w:rFonts w:hint="default" w:ascii="Times New Roman" w:hAnsi="Times New Roman" w:eastAsia="宋体" w:cs="Times New Roman"/>
          <w:sz w:val="24"/>
          <w:lang w:val="en-US" w:eastAsia="zh-CN"/>
        </w:rPr>
        <w:t>5</w:t>
      </w:r>
      <w:r>
        <w:rPr>
          <w:rFonts w:hint="default" w:ascii="Times New Roman" w:hAnsi="Times New Roman" w:eastAsia="宋体" w:cs="Times New Roman"/>
          <w:sz w:val="24"/>
        </w:rPr>
        <w:t>-</w:t>
      </w:r>
      <w:r>
        <w:rPr>
          <w:rFonts w:hint="eastAsia" w:cs="Times New Roman"/>
          <w:sz w:val="24"/>
          <w:lang w:val="en-US" w:eastAsia="zh-CN"/>
        </w:rPr>
        <w:t>438</w:t>
      </w:r>
    </w:p>
    <w:p w14:paraId="25EF1A37">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val="en-US" w:eastAsia="zh-CN" w:bidi="ar"/>
        </w:rPr>
        <w:t>5</w:t>
      </w:r>
      <w:r>
        <w:rPr>
          <w:rFonts w:hint="default" w:ascii="Times New Roman" w:hAnsi="Times New Roman" w:eastAsia="宋体" w:cs="Times New Roman"/>
          <w:sz w:val="24"/>
          <w:lang w:bidi="ar"/>
        </w:rPr>
        <w:t>.采购代理机构项目联系邮箱：yw01@hcjq.net</w:t>
      </w:r>
    </w:p>
    <w:p w14:paraId="3A823D0A">
      <w:pPr>
        <w:spacing w:line="360" w:lineRule="auto"/>
        <w:ind w:firstLine="480" w:firstLineChars="200"/>
        <w:rPr>
          <w:rFonts w:hint="default" w:ascii="Times New Roman" w:hAnsi="Times New Roman" w:eastAsia="宋体" w:cs="Times New Roman"/>
          <w:sz w:val="24"/>
        </w:rPr>
      </w:pPr>
    </w:p>
    <w:p w14:paraId="58B21A56">
      <w:pPr>
        <w:pStyle w:val="4"/>
        <w:spacing w:before="0" w:line="360" w:lineRule="auto"/>
        <w:jc w:val="left"/>
        <w:rPr>
          <w:rFonts w:hint="default" w:ascii="Times New Roman" w:hAnsi="Times New Roman" w:eastAsia="宋体" w:cs="Times New Roman"/>
          <w:sz w:val="24"/>
          <w:szCs w:val="24"/>
        </w:rPr>
      </w:pPr>
      <w:bookmarkStart w:id="26" w:name="_Toc35393627"/>
      <w:bookmarkStart w:id="27" w:name="_Toc35393796"/>
      <w:bookmarkStart w:id="28" w:name="_Toc28359085"/>
      <w:bookmarkStart w:id="29" w:name="_Toc28359008"/>
      <w:r>
        <w:rPr>
          <w:rFonts w:hint="default" w:ascii="Times New Roman" w:hAnsi="Times New Roman" w:eastAsia="宋体" w:cs="Times New Roman"/>
          <w:sz w:val="24"/>
          <w:szCs w:val="24"/>
        </w:rPr>
        <w:t>八、对本次采购提出询问，请按以下方式联系。</w:t>
      </w:r>
      <w:bookmarkEnd w:id="26"/>
      <w:bookmarkEnd w:id="27"/>
      <w:bookmarkEnd w:id="28"/>
      <w:bookmarkEnd w:id="29"/>
    </w:p>
    <w:p w14:paraId="48BDACC0">
      <w:pPr>
        <w:widowControl/>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sz w:val="24"/>
        </w:rPr>
        <w:t>　　　</w:t>
      </w:r>
      <w:r>
        <w:rPr>
          <w:rFonts w:hint="default" w:ascii="Times New Roman" w:hAnsi="Times New Roman" w:eastAsia="宋体" w:cs="Times New Roman"/>
          <w:b/>
          <w:sz w:val="24"/>
        </w:rPr>
        <w:t>1.采购人信息</w:t>
      </w:r>
    </w:p>
    <w:p w14:paraId="7F8781F2">
      <w:pPr>
        <w:spacing w:line="360" w:lineRule="auto"/>
        <w:ind w:left="1079" w:leftChars="371" w:hanging="300" w:hangingChars="125"/>
        <w:jc w:val="left"/>
        <w:rPr>
          <w:rFonts w:hint="default" w:ascii="Times New Roman" w:hAnsi="Times New Roman" w:eastAsia="宋体" w:cs="Times New Roman"/>
          <w:sz w:val="24"/>
        </w:rPr>
      </w:pPr>
      <w:bookmarkStart w:id="30" w:name="_Toc28359086"/>
      <w:bookmarkStart w:id="31" w:name="_Toc28359009"/>
      <w:r>
        <w:rPr>
          <w:rFonts w:hint="default" w:ascii="Times New Roman" w:hAnsi="Times New Roman" w:eastAsia="宋体" w:cs="Times New Roman"/>
          <w:sz w:val="24"/>
        </w:rPr>
        <w:t>名    称：</w:t>
      </w:r>
      <w:r>
        <w:rPr>
          <w:rFonts w:hint="eastAsia" w:cs="Times New Roman" w:eastAsiaTheme="minorEastAsia"/>
          <w:sz w:val="24"/>
          <w:lang w:val="en-US" w:eastAsia="zh-CN"/>
        </w:rPr>
        <w:t>北京市司法局</w:t>
      </w:r>
      <w:r>
        <w:rPr>
          <w:rFonts w:hint="default" w:ascii="Times New Roman" w:hAnsi="Times New Roman" w:eastAsia="宋体" w:cs="Times New Roman"/>
          <w:sz w:val="24"/>
        </w:rPr>
        <w:t xml:space="preserve"> </w:t>
      </w:r>
    </w:p>
    <w:p w14:paraId="5EA93B7A">
      <w:pPr>
        <w:spacing w:line="360" w:lineRule="auto"/>
        <w:ind w:left="1079" w:leftChars="371" w:hanging="300" w:hangingChars="125"/>
        <w:jc w:val="left"/>
        <w:rPr>
          <w:rFonts w:hint="default" w:ascii="Times New Roman" w:hAnsi="Times New Roman" w:eastAsia="宋体" w:cs="Times New Roman"/>
          <w:sz w:val="24"/>
        </w:rPr>
      </w:pPr>
      <w:r>
        <w:rPr>
          <w:rFonts w:hint="default" w:ascii="Times New Roman" w:hAnsi="Times New Roman" w:eastAsia="宋体" w:cs="Times New Roman"/>
          <w:sz w:val="24"/>
        </w:rPr>
        <w:t>地    址：</w:t>
      </w:r>
      <w:r>
        <w:rPr>
          <w:rFonts w:hint="default" w:ascii="Times New Roman" w:hAnsi="Times New Roman" w:cs="Times New Roman"/>
          <w:sz w:val="24"/>
        </w:rPr>
        <w:t>北京市通州区运河东大街 57号院 6号楼</w:t>
      </w:r>
    </w:p>
    <w:p w14:paraId="6E25B671">
      <w:pPr>
        <w:spacing w:line="360" w:lineRule="auto"/>
        <w:ind w:left="1079" w:leftChars="371" w:hanging="300" w:hangingChars="125"/>
        <w:jc w:val="left"/>
        <w:rPr>
          <w:rFonts w:hint="eastAsia" w:ascii="Times New Roman" w:hAnsi="Times New Roman" w:eastAsia="宋体" w:cs="Times New Roman"/>
          <w:sz w:val="24"/>
          <w:highlight w:val="none"/>
          <w:u w:val="none"/>
          <w:lang w:val="en-US" w:eastAsia="zh-CN"/>
        </w:rPr>
      </w:pPr>
      <w:r>
        <w:rPr>
          <w:rFonts w:hint="default" w:ascii="Times New Roman" w:hAnsi="Times New Roman" w:eastAsia="宋体" w:cs="Times New Roman"/>
          <w:sz w:val="24"/>
        </w:rPr>
        <w:t>联系方式：</w:t>
      </w:r>
      <w:r>
        <w:rPr>
          <w:rFonts w:hint="eastAsia" w:cs="Times New Roman"/>
          <w:sz w:val="24"/>
          <w:lang w:val="en-US" w:eastAsia="zh-CN"/>
        </w:rPr>
        <w:t>马老师，010-55578718</w:t>
      </w:r>
    </w:p>
    <w:p w14:paraId="5CD15D2D">
      <w:pPr>
        <w:spacing w:line="360" w:lineRule="auto"/>
        <w:ind w:left="1078" w:leftChars="371" w:hanging="299" w:hangingChars="124"/>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30"/>
      <w:bookmarkEnd w:id="31"/>
    </w:p>
    <w:p w14:paraId="20FF9CED">
      <w:pPr>
        <w:spacing w:line="360" w:lineRule="auto"/>
        <w:ind w:left="1076" w:leftChars="371" w:hanging="297" w:hangingChars="124"/>
        <w:jc w:val="left"/>
        <w:rPr>
          <w:rFonts w:hint="default" w:ascii="Times New Roman" w:hAnsi="Times New Roman" w:eastAsia="宋体" w:cs="Times New Roman"/>
          <w:sz w:val="24"/>
        </w:rPr>
      </w:pPr>
      <w:bookmarkStart w:id="32" w:name="_Toc28359010"/>
      <w:bookmarkStart w:id="33" w:name="_Toc28359087"/>
      <w:r>
        <w:rPr>
          <w:rFonts w:hint="default" w:ascii="Times New Roman" w:hAnsi="Times New Roman" w:eastAsia="宋体" w:cs="Times New Roman"/>
          <w:sz w:val="24"/>
        </w:rPr>
        <w:t>名    称：北京汇诚金桥国际招标咨询有限公司</w:t>
      </w:r>
    </w:p>
    <w:p w14:paraId="2E3AF6ED">
      <w:pPr>
        <w:spacing w:line="360" w:lineRule="auto"/>
        <w:ind w:left="1076" w:leftChars="371" w:hanging="297" w:hangingChars="124"/>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址：北京市东城区朝内大街南竹杆胡同6号北京INN3号楼9层</w:t>
      </w:r>
    </w:p>
    <w:p w14:paraId="42B8682B">
      <w:pPr>
        <w:spacing w:line="360" w:lineRule="auto"/>
        <w:ind w:left="1076" w:leftChars="371" w:hanging="297" w:hangingChars="124"/>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联系方式：</w:t>
      </w:r>
      <w:r>
        <w:rPr>
          <w:rFonts w:hint="eastAsia" w:cs="Times New Roman"/>
          <w:sz w:val="24"/>
          <w:lang w:val="en-US" w:eastAsia="zh-CN"/>
        </w:rPr>
        <w:t>孟羽娉、张微</w:t>
      </w:r>
      <w:r>
        <w:rPr>
          <w:rFonts w:hint="default" w:ascii="Times New Roman" w:hAnsi="Times New Roman" w:cs="Times New Roman"/>
          <w:sz w:val="24"/>
        </w:rPr>
        <w:t>，010-65244876、65699706</w:t>
      </w:r>
    </w:p>
    <w:p w14:paraId="79D21B43">
      <w:pPr>
        <w:spacing w:line="360" w:lineRule="auto"/>
        <w:ind w:left="1078" w:leftChars="371" w:hanging="299" w:hangingChars="124"/>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bookmarkEnd w:id="32"/>
      <w:bookmarkEnd w:id="33"/>
    </w:p>
    <w:p w14:paraId="30D40C0F">
      <w:pPr>
        <w:pStyle w:val="24"/>
        <w:spacing w:line="360" w:lineRule="auto"/>
        <w:ind w:left="1076" w:leftChars="371" w:hanging="297" w:hangingChars="124"/>
        <w:rPr>
          <w:rFonts w:hint="default" w:ascii="Times New Roman" w:hAnsi="Times New Roman" w:eastAsia="宋体" w:cs="Times New Roman"/>
          <w:sz w:val="24"/>
          <w:u w:val="single"/>
          <w:lang w:val="en-US" w:eastAsia="zh-CN" w:bidi="ar"/>
        </w:rPr>
      </w:pPr>
      <w:r>
        <w:rPr>
          <w:rFonts w:hint="default" w:ascii="Times New Roman" w:hAnsi="Times New Roman" w:eastAsia="宋体" w:cs="Times New Roman"/>
          <w:sz w:val="24"/>
          <w:szCs w:val="24"/>
        </w:rPr>
        <w:t>项目联系人：</w:t>
      </w:r>
      <w:r>
        <w:rPr>
          <w:rFonts w:hint="eastAsia" w:ascii="Times New Roman" w:hAnsi="Times New Roman" w:cs="Times New Roman"/>
          <w:sz w:val="24"/>
          <w:szCs w:val="24"/>
          <w:lang w:val="en-US" w:eastAsia="zh-CN"/>
        </w:rPr>
        <w:t>孟羽娉、张微</w:t>
      </w:r>
    </w:p>
    <w:p w14:paraId="2CE782FF">
      <w:pPr>
        <w:pStyle w:val="24"/>
        <w:spacing w:line="360" w:lineRule="auto"/>
        <w:ind w:left="1076" w:leftChars="371" w:hanging="297" w:hangingChars="124"/>
        <w:rPr>
          <w:rFonts w:hint="default" w:ascii="Times New Roman" w:hAnsi="Times New Roman" w:eastAsia="宋体" w:cs="Times New Roman"/>
          <w:sz w:val="24"/>
          <w:szCs w:val="24"/>
        </w:rPr>
      </w:pPr>
      <w:r>
        <w:rPr>
          <w:rFonts w:hint="default" w:ascii="Times New Roman" w:hAnsi="Times New Roman" w:eastAsia="宋体" w:cs="Times New Roman"/>
          <w:sz w:val="24"/>
        </w:rPr>
        <w:t>电      话：</w:t>
      </w:r>
      <w:r>
        <w:rPr>
          <w:rFonts w:hint="default" w:ascii="Times New Roman" w:hAnsi="Times New Roman" w:cs="Times New Roman"/>
          <w:sz w:val="24"/>
          <w:szCs w:val="24"/>
        </w:rPr>
        <w:t>010-65244876、65699706</w:t>
      </w:r>
      <w:r>
        <w:rPr>
          <w:rFonts w:hint="default" w:ascii="Times New Roman" w:hAnsi="Times New Roman" w:eastAsia="宋体" w:cs="Times New Roman"/>
          <w:sz w:val="24"/>
          <w:szCs w:val="24"/>
        </w:rPr>
        <w:t xml:space="preserve"> </w:t>
      </w:r>
    </w:p>
    <w:p w14:paraId="2647F9B0">
      <w:pPr>
        <w:spacing w:line="360" w:lineRule="auto"/>
        <w:ind w:firstLine="5880" w:firstLineChars="2450"/>
        <w:jc w:val="right"/>
        <w:rPr>
          <w:rFonts w:hint="default" w:ascii="Times New Roman" w:hAnsi="Times New Roman" w:eastAsia="宋体" w:cs="Times New Roman"/>
          <w:sz w:val="24"/>
        </w:rPr>
      </w:pPr>
    </w:p>
    <w:p w14:paraId="7D270E31">
      <w:pPr>
        <w:spacing w:line="360" w:lineRule="auto"/>
        <w:jc w:val="center"/>
        <w:outlineLvl w:val="0"/>
        <w:rPr>
          <w:rFonts w:hint="default" w:ascii="Times New Roman" w:hAnsi="Times New Roman" w:eastAsia="宋体" w:cs="Times New Roman"/>
          <w:b/>
          <w:sz w:val="32"/>
          <w:szCs w:val="32"/>
        </w:rPr>
      </w:pPr>
      <w:r>
        <w:rPr>
          <w:rFonts w:hint="default" w:ascii="Times New Roman" w:hAnsi="Times New Roman" w:eastAsia="宋体" w:cs="Times New Roman"/>
          <w:sz w:val="24"/>
        </w:rPr>
        <w:br w:type="page"/>
      </w:r>
      <w:bookmarkStart w:id="34" w:name="_Toc305158928"/>
      <w:bookmarkStart w:id="35" w:name="_Toc195842950"/>
      <w:bookmarkStart w:id="36" w:name="_Toc19418"/>
      <w:bookmarkStart w:id="37" w:name="_Toc127151777"/>
      <w:bookmarkStart w:id="38" w:name="_Toc150774783"/>
      <w:bookmarkStart w:id="39" w:name="_Toc353873938"/>
      <w:bookmarkStart w:id="40" w:name="_Toc512937850"/>
      <w:bookmarkStart w:id="41" w:name="_Toc265228423"/>
      <w:bookmarkStart w:id="42" w:name="_Toc305158854"/>
      <w:bookmarkStart w:id="43" w:name="_Toc127161488"/>
      <w:bookmarkStart w:id="44" w:name="_Toc226965856"/>
      <w:bookmarkStart w:id="45" w:name="_Toc264969275"/>
      <w:bookmarkStart w:id="46" w:name="_Toc353825548"/>
      <w:r>
        <w:rPr>
          <w:rFonts w:hint="default" w:ascii="Times New Roman" w:hAnsi="Times New Roman" w:eastAsia="宋体" w:cs="Times New Roman"/>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010856CE">
      <w:pPr>
        <w:pStyle w:val="4"/>
        <w:tabs>
          <w:tab w:val="center" w:pos="4592"/>
          <w:tab w:val="left" w:pos="7860"/>
        </w:tabs>
        <w:spacing w:before="0" w:line="360" w:lineRule="auto"/>
        <w:rPr>
          <w:rFonts w:hint="default" w:ascii="Times New Roman" w:hAnsi="Times New Roman" w:eastAsia="宋体" w:cs="Times New Roman"/>
          <w:b w:val="0"/>
          <w:sz w:val="28"/>
        </w:rPr>
      </w:pPr>
      <w:bookmarkStart w:id="47" w:name="_Toc150774619"/>
      <w:bookmarkStart w:id="48" w:name="_Toc164608788"/>
      <w:bookmarkStart w:id="49" w:name="_Toc142311021"/>
      <w:bookmarkStart w:id="50" w:name="_Toc151193907"/>
      <w:bookmarkStart w:id="51" w:name="_Toc150774724"/>
      <w:bookmarkStart w:id="52" w:name="_Toc226965709"/>
      <w:bookmarkStart w:id="53" w:name="_Toc127161433"/>
      <w:bookmarkStart w:id="54" w:name="_Toc226337215"/>
      <w:bookmarkStart w:id="55" w:name="_Toc150509270"/>
      <w:bookmarkStart w:id="56" w:name="_Toc127151720"/>
      <w:bookmarkStart w:id="57" w:name="_Toc226309763"/>
      <w:bookmarkStart w:id="58" w:name="_Toc151193617"/>
      <w:bookmarkStart w:id="59" w:name="_Toc151193833"/>
      <w:bookmarkStart w:id="60" w:name="_Toc226965792"/>
      <w:bookmarkStart w:id="61" w:name="_Toc150480757"/>
      <w:bookmarkStart w:id="62" w:name="_Toc127151519"/>
      <w:bookmarkStart w:id="63" w:name="_Toc164229214"/>
      <w:bookmarkStart w:id="64" w:name="_Toc151193689"/>
      <w:bookmarkStart w:id="65" w:name="_Toc149720812"/>
      <w:bookmarkStart w:id="66" w:name="_Toc164351613"/>
      <w:bookmarkStart w:id="67" w:name="_Toc151190146"/>
      <w:bookmarkStart w:id="68" w:name="_Toc164229360"/>
      <w:bookmarkStart w:id="69" w:name="_Toc520356144"/>
      <w:bookmarkStart w:id="70" w:name="_Toc195842884"/>
      <w:bookmarkStart w:id="71" w:name="_Toc151193761"/>
      <w:bookmarkStart w:id="72" w:name="_Toc164608633"/>
      <w:r>
        <w:rPr>
          <w:rFonts w:hint="default" w:ascii="Times New Roman" w:hAnsi="Times New Roman" w:eastAsia="宋体" w:cs="Times New Roman"/>
          <w:sz w:val="28"/>
        </w:rPr>
        <w:t>供应商须知资料表</w:t>
      </w:r>
    </w:p>
    <w:p w14:paraId="09894402">
      <w:pPr>
        <w:jc w:val="center"/>
        <w:rPr>
          <w:rFonts w:hint="default" w:ascii="Times New Roman" w:hAnsi="Times New Roman" w:eastAsia="宋体" w:cs="Times New Roman"/>
          <w:b/>
          <w:sz w:val="28"/>
          <w:szCs w:val="28"/>
        </w:rPr>
      </w:pPr>
    </w:p>
    <w:p w14:paraId="06FE706B">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本表是对供应商须知的具体补充和修改，如有矛盾，均以本资料表为准。</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D00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60594A0">
            <w:pPr>
              <w:jc w:val="center"/>
              <w:rPr>
                <w:rFonts w:hint="default" w:ascii="Times New Roman" w:hAnsi="Times New Roman" w:eastAsia="宋体" w:cs="Times New Roman"/>
                <w:b/>
                <w:bCs/>
                <w:sz w:val="24"/>
              </w:rPr>
            </w:pPr>
            <w:r>
              <w:rPr>
                <w:rFonts w:hint="default" w:ascii="Times New Roman" w:hAnsi="Times New Roman" w:eastAsia="宋体" w:cs="Times New Roman"/>
                <w:b/>
                <w:sz w:val="24"/>
              </w:rPr>
              <w:t>条款号</w:t>
            </w:r>
          </w:p>
        </w:tc>
        <w:tc>
          <w:tcPr>
            <w:tcW w:w="1701" w:type="dxa"/>
            <w:vAlign w:val="center"/>
          </w:tcPr>
          <w:p w14:paraId="48B9F9ED">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条目</w:t>
            </w:r>
          </w:p>
        </w:tc>
        <w:tc>
          <w:tcPr>
            <w:tcW w:w="7253" w:type="dxa"/>
            <w:vAlign w:val="center"/>
          </w:tcPr>
          <w:p w14:paraId="2A532143">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内容</w:t>
            </w:r>
          </w:p>
        </w:tc>
      </w:tr>
      <w:tr w14:paraId="730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AE0A7E6">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w:t>
            </w:r>
          </w:p>
        </w:tc>
        <w:tc>
          <w:tcPr>
            <w:tcW w:w="1701" w:type="dxa"/>
            <w:vAlign w:val="center"/>
          </w:tcPr>
          <w:p w14:paraId="1218CC0B">
            <w:pPr>
              <w:jc w:val="center"/>
              <w:rPr>
                <w:rFonts w:hint="default" w:ascii="Times New Roman" w:hAnsi="Times New Roman" w:eastAsia="宋体" w:cs="Times New Roman"/>
                <w:sz w:val="24"/>
              </w:rPr>
            </w:pPr>
            <w:r>
              <w:rPr>
                <w:rFonts w:hint="default" w:ascii="Times New Roman" w:hAnsi="Times New Roman" w:eastAsia="宋体" w:cs="Times New Roman"/>
                <w:sz w:val="24"/>
              </w:rPr>
              <w:t>项目属性</w:t>
            </w:r>
          </w:p>
        </w:tc>
        <w:tc>
          <w:tcPr>
            <w:tcW w:w="7253" w:type="dxa"/>
            <w:vAlign w:val="center"/>
          </w:tcPr>
          <w:p w14:paraId="00B1620D">
            <w:pPr>
              <w:jc w:val="left"/>
              <w:rPr>
                <w:rFonts w:hint="default" w:ascii="Times New Roman" w:hAnsi="Times New Roman" w:eastAsia="宋体" w:cs="Times New Roman"/>
                <w:sz w:val="24"/>
              </w:rPr>
            </w:pPr>
            <w:r>
              <w:rPr>
                <w:rFonts w:hint="default" w:ascii="Times New Roman" w:hAnsi="Times New Roman" w:eastAsia="宋体" w:cs="Times New Roman"/>
                <w:sz w:val="24"/>
              </w:rPr>
              <w:t>项目属性：</w:t>
            </w:r>
          </w:p>
          <w:p w14:paraId="069AD131">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服务</w:t>
            </w:r>
          </w:p>
          <w:p w14:paraId="3CB845C3">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货物</w:t>
            </w:r>
          </w:p>
          <w:p w14:paraId="3834D102">
            <w:pPr>
              <w:jc w:val="left"/>
              <w:rPr>
                <w:rFonts w:hint="default" w:ascii="Times New Roman" w:hAnsi="Times New Roman" w:eastAsia="宋体" w:cs="Times New Roman"/>
                <w:sz w:val="24"/>
              </w:rPr>
            </w:pPr>
            <w:r>
              <w:rPr>
                <w:rFonts w:hint="default" w:ascii="Times New Roman" w:hAnsi="Times New Roman" w:eastAsia="宋体" w:cs="Times New Roman"/>
                <w:sz w:val="24"/>
              </w:rPr>
              <w:t>□工程</w:t>
            </w:r>
          </w:p>
        </w:tc>
      </w:tr>
      <w:tr w14:paraId="5AED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F8E34F7">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w:t>
            </w:r>
          </w:p>
        </w:tc>
        <w:tc>
          <w:tcPr>
            <w:tcW w:w="1701" w:type="dxa"/>
            <w:vAlign w:val="center"/>
          </w:tcPr>
          <w:p w14:paraId="598C15EA">
            <w:pPr>
              <w:jc w:val="center"/>
              <w:rPr>
                <w:rFonts w:hint="default" w:ascii="Times New Roman" w:hAnsi="Times New Roman" w:eastAsia="宋体" w:cs="Times New Roman"/>
                <w:sz w:val="24"/>
              </w:rPr>
            </w:pPr>
            <w:r>
              <w:rPr>
                <w:rFonts w:hint="default" w:ascii="Times New Roman" w:hAnsi="Times New Roman" w:eastAsia="宋体" w:cs="Times New Roman"/>
                <w:sz w:val="24"/>
              </w:rPr>
              <w:t>科研仪器设备</w:t>
            </w:r>
          </w:p>
        </w:tc>
        <w:tc>
          <w:tcPr>
            <w:tcW w:w="7253" w:type="dxa"/>
            <w:vAlign w:val="center"/>
          </w:tcPr>
          <w:p w14:paraId="55B400A3">
            <w:pPr>
              <w:jc w:val="left"/>
              <w:rPr>
                <w:rFonts w:hint="default" w:ascii="Times New Roman" w:hAnsi="Times New Roman" w:eastAsia="宋体" w:cs="Times New Roman"/>
                <w:sz w:val="24"/>
              </w:rPr>
            </w:pPr>
            <w:r>
              <w:rPr>
                <w:rFonts w:hint="default" w:ascii="Times New Roman" w:hAnsi="Times New Roman" w:eastAsia="宋体" w:cs="Times New Roman"/>
                <w:sz w:val="24"/>
              </w:rPr>
              <w:t>是否属于科研仪器设备采购项目：</w:t>
            </w:r>
          </w:p>
          <w:p w14:paraId="1D2F3ECE">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是</w:t>
            </w:r>
          </w:p>
          <w:p w14:paraId="24E7A38F">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否</w:t>
            </w:r>
          </w:p>
        </w:tc>
      </w:tr>
      <w:tr w14:paraId="0D39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342928CC">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w:t>
            </w:r>
          </w:p>
        </w:tc>
        <w:tc>
          <w:tcPr>
            <w:tcW w:w="1701" w:type="dxa"/>
            <w:vAlign w:val="center"/>
          </w:tcPr>
          <w:p w14:paraId="2F3E4C55">
            <w:pPr>
              <w:jc w:val="center"/>
              <w:rPr>
                <w:rFonts w:hint="default" w:ascii="Times New Roman" w:hAnsi="Times New Roman" w:eastAsia="宋体" w:cs="Times New Roman"/>
                <w:sz w:val="24"/>
              </w:rPr>
            </w:pPr>
            <w:r>
              <w:rPr>
                <w:rFonts w:hint="default" w:ascii="Times New Roman" w:hAnsi="Times New Roman" w:eastAsia="宋体" w:cs="Times New Roman"/>
                <w:sz w:val="24"/>
              </w:rPr>
              <w:t>现场考察</w:t>
            </w:r>
          </w:p>
        </w:tc>
        <w:tc>
          <w:tcPr>
            <w:tcW w:w="7253" w:type="dxa"/>
            <w:vAlign w:val="center"/>
          </w:tcPr>
          <w:p w14:paraId="605BF2B6">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不组织</w:t>
            </w:r>
          </w:p>
          <w:p w14:paraId="4CE30515">
            <w:pPr>
              <w:jc w:val="left"/>
              <w:rPr>
                <w:rFonts w:hint="default" w:ascii="Times New Roman" w:hAnsi="Times New Roman" w:eastAsia="宋体" w:cs="Times New Roman"/>
                <w:bCs/>
                <w:sz w:val="24"/>
              </w:rPr>
            </w:pPr>
            <w:r>
              <w:rPr>
                <w:rFonts w:hint="default" w:ascii="Times New Roman" w:hAnsi="Times New Roman" w:eastAsia="宋体" w:cs="Times New Roman"/>
              </w:rPr>
              <w:t>□</w:t>
            </w:r>
            <w:r>
              <w:rPr>
                <w:rFonts w:hint="default" w:ascii="Times New Roman" w:hAnsi="Times New Roman" w:eastAsia="宋体" w:cs="Times New Roman"/>
                <w:sz w:val="24"/>
              </w:rPr>
              <w:t>组织，考察时间：___</w:t>
            </w:r>
            <w:r>
              <w:rPr>
                <w:rFonts w:hint="default" w:ascii="Times New Roman" w:hAnsi="Times New Roman" w:eastAsia="宋体" w:cs="Times New Roman"/>
                <w:sz w:val="24"/>
                <w:lang w:bidi="ar"/>
              </w:rPr>
              <w:t>年</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月</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日</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点</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分</w:t>
            </w:r>
          </w:p>
          <w:p w14:paraId="465AC801">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考察地点：___________。</w:t>
            </w:r>
          </w:p>
        </w:tc>
      </w:tr>
      <w:tr w14:paraId="7BFA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595CC722">
            <w:pPr>
              <w:pStyle w:val="24"/>
              <w:adjustRightInd w:val="0"/>
              <w:snapToGrid w:val="0"/>
              <w:jc w:val="center"/>
              <w:rPr>
                <w:rFonts w:hint="default" w:ascii="Times New Roman" w:hAnsi="Times New Roman" w:eastAsia="宋体" w:cs="Times New Roman"/>
                <w:sz w:val="24"/>
                <w:szCs w:val="24"/>
              </w:rPr>
            </w:pPr>
          </w:p>
        </w:tc>
        <w:tc>
          <w:tcPr>
            <w:tcW w:w="1701" w:type="dxa"/>
            <w:vAlign w:val="center"/>
          </w:tcPr>
          <w:p w14:paraId="560F9071">
            <w:pPr>
              <w:jc w:val="center"/>
              <w:rPr>
                <w:rFonts w:hint="default" w:ascii="Times New Roman" w:hAnsi="Times New Roman" w:eastAsia="宋体" w:cs="Times New Roman"/>
                <w:sz w:val="24"/>
              </w:rPr>
            </w:pPr>
            <w:r>
              <w:rPr>
                <w:rFonts w:hint="default" w:ascii="Times New Roman" w:hAnsi="Times New Roman" w:eastAsia="宋体" w:cs="Times New Roman"/>
                <w:sz w:val="24"/>
              </w:rPr>
              <w:t>磋商前答疑会</w:t>
            </w:r>
          </w:p>
        </w:tc>
        <w:tc>
          <w:tcPr>
            <w:tcW w:w="7253" w:type="dxa"/>
            <w:vAlign w:val="center"/>
          </w:tcPr>
          <w:p w14:paraId="2509FE17">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不召开</w:t>
            </w:r>
          </w:p>
          <w:p w14:paraId="280CF614">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召开，召开时间：___</w:t>
            </w:r>
            <w:r>
              <w:rPr>
                <w:rFonts w:hint="default" w:ascii="Times New Roman" w:hAnsi="Times New Roman" w:eastAsia="宋体" w:cs="Times New Roman"/>
                <w:sz w:val="24"/>
                <w:lang w:bidi="ar"/>
              </w:rPr>
              <w:t>年</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月</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日</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点</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分</w:t>
            </w:r>
          </w:p>
          <w:p w14:paraId="1B75903D">
            <w:pPr>
              <w:jc w:val="left"/>
              <w:rPr>
                <w:rFonts w:hint="default" w:ascii="Times New Roman" w:hAnsi="Times New Roman" w:eastAsia="宋体" w:cs="Times New Roman"/>
                <w:sz w:val="24"/>
              </w:rPr>
            </w:pPr>
            <w:r>
              <w:rPr>
                <w:rFonts w:hint="default" w:ascii="Times New Roman" w:hAnsi="Times New Roman" w:eastAsia="宋体" w:cs="Times New Roman"/>
                <w:sz w:val="24"/>
              </w:rPr>
              <w:t>召开地点：___________。</w:t>
            </w:r>
          </w:p>
        </w:tc>
      </w:tr>
      <w:tr w14:paraId="1128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17AC116">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4.2.5</w:t>
            </w:r>
          </w:p>
        </w:tc>
        <w:tc>
          <w:tcPr>
            <w:tcW w:w="1701" w:type="dxa"/>
            <w:vAlign w:val="center"/>
          </w:tcPr>
          <w:p w14:paraId="7B2749C2">
            <w:pPr>
              <w:jc w:val="center"/>
              <w:rPr>
                <w:rFonts w:hint="default" w:ascii="Times New Roman" w:hAnsi="Times New Roman" w:eastAsia="宋体" w:cs="Times New Roman"/>
                <w:sz w:val="24"/>
              </w:rPr>
            </w:pPr>
            <w:r>
              <w:rPr>
                <w:rFonts w:hint="default" w:ascii="Times New Roman" w:hAnsi="Times New Roman" w:eastAsia="宋体" w:cs="Times New Roman"/>
                <w:sz w:val="24"/>
              </w:rPr>
              <w:t>标的所属行业</w:t>
            </w:r>
          </w:p>
        </w:tc>
        <w:tc>
          <w:tcPr>
            <w:tcW w:w="7253" w:type="dxa"/>
            <w:vAlign w:val="center"/>
          </w:tcPr>
          <w:p w14:paraId="6D566EE7">
            <w:pPr>
              <w:jc w:val="left"/>
              <w:rPr>
                <w:rFonts w:hint="default" w:ascii="Times New Roman" w:hAnsi="Times New Roman" w:eastAsia="宋体" w:cs="Times New Roman"/>
                <w:sz w:val="24"/>
              </w:rPr>
            </w:pPr>
            <w:r>
              <w:rPr>
                <w:rFonts w:hint="default" w:ascii="Times New Roman" w:hAnsi="Times New Roman" w:eastAsia="宋体" w:cs="Times New Roman"/>
                <w:sz w:val="24"/>
              </w:rPr>
              <w:t>本项目采购标的对应的中小企业划分标准所属行业：</w:t>
            </w:r>
          </w:p>
          <w:tbl>
            <w:tblPr>
              <w:tblStyle w:val="44"/>
              <w:tblW w:w="6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132"/>
              <w:gridCol w:w="3118"/>
            </w:tblGrid>
            <w:tr w14:paraId="4B3E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6F95A327">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包号</w:t>
                  </w:r>
                </w:p>
              </w:tc>
              <w:tc>
                <w:tcPr>
                  <w:tcW w:w="3132" w:type="dxa"/>
                  <w:tcBorders>
                    <w:top w:val="single" w:color="auto" w:sz="4" w:space="0"/>
                    <w:left w:val="single" w:color="auto" w:sz="4" w:space="0"/>
                    <w:bottom w:val="single" w:color="auto" w:sz="4" w:space="0"/>
                    <w:right w:val="single" w:color="auto" w:sz="4" w:space="0"/>
                  </w:tcBorders>
                  <w:vAlign w:val="center"/>
                </w:tcPr>
                <w:p w14:paraId="6A05AF96">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标的名称</w:t>
                  </w:r>
                </w:p>
              </w:tc>
              <w:tc>
                <w:tcPr>
                  <w:tcW w:w="3118" w:type="dxa"/>
                  <w:tcBorders>
                    <w:top w:val="single" w:color="auto" w:sz="4" w:space="0"/>
                    <w:left w:val="single" w:color="auto" w:sz="4" w:space="0"/>
                    <w:bottom w:val="single" w:color="auto" w:sz="4" w:space="0"/>
                    <w:right w:val="single" w:color="auto" w:sz="4" w:space="0"/>
                  </w:tcBorders>
                  <w:vAlign w:val="center"/>
                </w:tcPr>
                <w:p w14:paraId="581F7D31">
                  <w:pPr>
                    <w:jc w:val="center"/>
                    <w:rPr>
                      <w:rFonts w:hint="default" w:ascii="Times New Roman" w:hAnsi="Times New Roman" w:eastAsia="宋体" w:cs="Times New Roman"/>
                      <w:sz w:val="24"/>
                    </w:rPr>
                  </w:pPr>
                  <w:r>
                    <w:rPr>
                      <w:rFonts w:hint="default" w:ascii="Times New Roman" w:hAnsi="Times New Roman" w:eastAsia="宋体" w:cs="Times New Roman"/>
                      <w:sz w:val="24"/>
                    </w:rPr>
                    <w:t>中小企业划分标准所属行业</w:t>
                  </w:r>
                </w:p>
              </w:tc>
            </w:tr>
            <w:tr w14:paraId="6EF6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3748CAD3">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w:t>
                  </w:r>
                </w:p>
              </w:tc>
              <w:tc>
                <w:tcPr>
                  <w:tcW w:w="3132" w:type="dxa"/>
                  <w:tcBorders>
                    <w:top w:val="single" w:color="auto" w:sz="4" w:space="0"/>
                    <w:left w:val="single" w:color="auto" w:sz="4" w:space="0"/>
                    <w:bottom w:val="single" w:color="auto" w:sz="4" w:space="0"/>
                    <w:right w:val="single" w:color="auto" w:sz="4" w:space="0"/>
                  </w:tcBorders>
                  <w:vAlign w:val="center"/>
                </w:tcPr>
                <w:p w14:paraId="73184173">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指挥中心及视频会议系统运维服务</w:t>
                  </w:r>
                </w:p>
              </w:tc>
              <w:tc>
                <w:tcPr>
                  <w:tcW w:w="3118" w:type="dxa"/>
                  <w:tcBorders>
                    <w:top w:val="single" w:color="auto" w:sz="4" w:space="0"/>
                    <w:left w:val="single" w:color="auto" w:sz="4" w:space="0"/>
                    <w:bottom w:val="single" w:color="auto" w:sz="4" w:space="0"/>
                    <w:right w:val="single" w:color="auto" w:sz="4" w:space="0"/>
                  </w:tcBorders>
                  <w:vAlign w:val="center"/>
                </w:tcPr>
                <w:p w14:paraId="1BAB27FB">
                  <w:pPr>
                    <w:jc w:val="center"/>
                    <w:rPr>
                      <w:rFonts w:hint="default" w:ascii="Times New Roman" w:hAnsi="Times New Roman" w:eastAsia="宋体" w:cs="Times New Roman"/>
                      <w:kern w:val="0"/>
                      <w:sz w:val="24"/>
                      <w:lang w:val="en-US"/>
                    </w:rPr>
                  </w:pPr>
                  <w:r>
                    <w:rPr>
                      <w:rFonts w:hint="eastAsia" w:cs="Times New Roman"/>
                      <w:kern w:val="0"/>
                      <w:sz w:val="24"/>
                      <w:lang w:val="en-US" w:eastAsia="zh-CN"/>
                    </w:rPr>
                    <w:t>软件和信息技术服务业</w:t>
                  </w:r>
                </w:p>
              </w:tc>
            </w:tr>
          </w:tbl>
          <w:p w14:paraId="7A202DA7">
            <w:pPr>
              <w:jc w:val="left"/>
              <w:rPr>
                <w:rFonts w:hint="default" w:ascii="Times New Roman" w:hAnsi="Times New Roman" w:eastAsia="宋体" w:cs="Times New Roman"/>
                <w:sz w:val="24"/>
              </w:rPr>
            </w:pPr>
          </w:p>
        </w:tc>
      </w:tr>
      <w:tr w14:paraId="282A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7793AD10">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10.2</w:t>
            </w:r>
          </w:p>
        </w:tc>
        <w:tc>
          <w:tcPr>
            <w:tcW w:w="1701" w:type="dxa"/>
            <w:vAlign w:val="center"/>
          </w:tcPr>
          <w:p w14:paraId="43C284BD">
            <w:pPr>
              <w:jc w:val="center"/>
              <w:rPr>
                <w:rFonts w:hint="default" w:ascii="Times New Roman" w:hAnsi="Times New Roman" w:eastAsia="宋体" w:cs="Times New Roman"/>
                <w:sz w:val="24"/>
              </w:rPr>
            </w:pPr>
            <w:r>
              <w:rPr>
                <w:rFonts w:hint="default" w:ascii="Times New Roman" w:hAnsi="Times New Roman" w:eastAsia="宋体" w:cs="Times New Roman"/>
                <w:sz w:val="24"/>
              </w:rPr>
              <w:t>报价</w:t>
            </w:r>
          </w:p>
        </w:tc>
        <w:tc>
          <w:tcPr>
            <w:tcW w:w="7253" w:type="dxa"/>
            <w:vAlign w:val="center"/>
          </w:tcPr>
          <w:p w14:paraId="5A847629">
            <w:pPr>
              <w:jc w:val="left"/>
              <w:rPr>
                <w:rFonts w:hint="default" w:ascii="Times New Roman" w:hAnsi="Times New Roman" w:eastAsia="宋体" w:cs="Times New Roman"/>
                <w:sz w:val="24"/>
              </w:rPr>
            </w:pPr>
            <w:r>
              <w:rPr>
                <w:rFonts w:hint="default" w:ascii="Times New Roman" w:hAnsi="Times New Roman" w:eastAsia="宋体" w:cs="Times New Roman"/>
                <w:sz w:val="24"/>
              </w:rPr>
              <w:t>报价的特殊规定：</w:t>
            </w:r>
          </w:p>
          <w:p w14:paraId="2FFA619B">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无</w:t>
            </w:r>
          </w:p>
          <w:p w14:paraId="582A7E43">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有，具体情形：___________。</w:t>
            </w:r>
          </w:p>
        </w:tc>
      </w:tr>
      <w:tr w14:paraId="2CF7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A8E944">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11.1</w:t>
            </w:r>
          </w:p>
        </w:tc>
        <w:tc>
          <w:tcPr>
            <w:tcW w:w="1701" w:type="dxa"/>
            <w:vMerge w:val="restart"/>
            <w:vAlign w:val="center"/>
          </w:tcPr>
          <w:p w14:paraId="0B9B3F5F">
            <w:pPr>
              <w:jc w:val="center"/>
              <w:rPr>
                <w:rFonts w:hint="default" w:ascii="Times New Roman" w:hAnsi="Times New Roman" w:eastAsia="宋体" w:cs="Times New Roman"/>
                <w:sz w:val="24"/>
              </w:rPr>
            </w:pPr>
            <w:r>
              <w:rPr>
                <w:rFonts w:hint="default" w:ascii="Times New Roman" w:hAnsi="Times New Roman" w:eastAsia="宋体" w:cs="Times New Roman"/>
                <w:sz w:val="24"/>
              </w:rPr>
              <w:t>磋商保证金</w:t>
            </w:r>
          </w:p>
        </w:tc>
        <w:tc>
          <w:tcPr>
            <w:tcW w:w="7253" w:type="dxa"/>
            <w:vAlign w:val="center"/>
          </w:tcPr>
          <w:p w14:paraId="36DBC0B4">
            <w:pPr>
              <w:pStyle w:val="24"/>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磋商保证金金额：人民币</w:t>
            </w:r>
            <w:r>
              <w:rPr>
                <w:rFonts w:hint="eastAsia" w:ascii="Times New Roman" w:hAnsi="Times New Roman" w:cs="Times New Roman"/>
                <w:sz w:val="24"/>
                <w:szCs w:val="24"/>
                <w:lang w:val="en-US" w:eastAsia="zh-CN"/>
              </w:rPr>
              <w:t>1.3</w:t>
            </w:r>
            <w:r>
              <w:rPr>
                <w:rFonts w:hint="default" w:ascii="Times New Roman" w:hAnsi="Times New Roman" w:eastAsia="宋体" w:cs="Times New Roman"/>
                <w:sz w:val="24"/>
                <w:szCs w:val="24"/>
              </w:rPr>
              <w:t>万元</w:t>
            </w:r>
          </w:p>
          <w:p w14:paraId="08A70169">
            <w:pPr>
              <w:jc w:val="left"/>
              <w:rPr>
                <w:rFonts w:hint="default" w:ascii="Times New Roman" w:hAnsi="Times New Roman" w:eastAsia="宋体" w:cs="Times New Roman"/>
                <w:sz w:val="24"/>
              </w:rPr>
            </w:pPr>
            <w:r>
              <w:rPr>
                <w:rFonts w:hint="default" w:ascii="Times New Roman" w:hAnsi="Times New Roman" w:eastAsia="宋体" w:cs="Times New Roman"/>
                <w:sz w:val="24"/>
              </w:rPr>
              <w:t>磋商保证金收受人信息：</w:t>
            </w:r>
          </w:p>
          <w:p w14:paraId="2CE312D0">
            <w:pPr>
              <w:jc w:val="left"/>
              <w:rPr>
                <w:rFonts w:hint="default" w:ascii="Times New Roman" w:hAnsi="Times New Roman" w:eastAsia="宋体" w:cs="Times New Roman"/>
                <w:sz w:val="24"/>
              </w:rPr>
            </w:pPr>
            <w:r>
              <w:rPr>
                <w:rFonts w:hint="default" w:ascii="Times New Roman" w:hAnsi="Times New Roman" w:eastAsia="宋体" w:cs="Times New Roman"/>
                <w:sz w:val="24"/>
              </w:rPr>
              <w:t>收款单位：北京汇诚金桥国际招标咨询有限公司</w:t>
            </w:r>
          </w:p>
          <w:p w14:paraId="48B0E766">
            <w:pPr>
              <w:jc w:val="left"/>
              <w:rPr>
                <w:rFonts w:hint="default" w:ascii="Times New Roman" w:hAnsi="Times New Roman" w:eastAsia="宋体" w:cs="Times New Roman"/>
                <w:sz w:val="24"/>
              </w:rPr>
            </w:pPr>
            <w:r>
              <w:rPr>
                <w:rFonts w:hint="default" w:ascii="Times New Roman" w:hAnsi="Times New Roman" w:eastAsia="宋体" w:cs="Times New Roman"/>
                <w:sz w:val="24"/>
              </w:rPr>
              <w:t>账号：10000010172011</w:t>
            </w:r>
          </w:p>
          <w:p w14:paraId="175C42C8">
            <w:pPr>
              <w:jc w:val="left"/>
              <w:rPr>
                <w:rFonts w:hint="default" w:ascii="Times New Roman" w:hAnsi="Times New Roman" w:eastAsia="宋体" w:cs="Times New Roman"/>
                <w:sz w:val="24"/>
              </w:rPr>
            </w:pPr>
            <w:r>
              <w:rPr>
                <w:rFonts w:hint="default" w:ascii="Times New Roman" w:hAnsi="Times New Roman" w:eastAsia="宋体" w:cs="Times New Roman"/>
                <w:sz w:val="24"/>
              </w:rPr>
              <w:t>开户银行：浙商银行股份有限公司北京分行营业部</w:t>
            </w:r>
          </w:p>
          <w:p w14:paraId="49A3678C">
            <w:pPr>
              <w:jc w:val="left"/>
              <w:rPr>
                <w:rFonts w:hint="default" w:ascii="Times New Roman" w:hAnsi="Times New Roman" w:eastAsia="宋体" w:cs="Times New Roman"/>
                <w:sz w:val="24"/>
              </w:rPr>
            </w:pPr>
            <w:r>
              <w:rPr>
                <w:rFonts w:hint="default" w:ascii="Times New Roman" w:hAnsi="Times New Roman" w:eastAsia="宋体" w:cs="Times New Roman"/>
                <w:sz w:val="24"/>
              </w:rPr>
              <w:t>开户行行号：316100000025</w:t>
            </w:r>
          </w:p>
          <w:p w14:paraId="0A4A4276">
            <w:pPr>
              <w:jc w:val="left"/>
              <w:rPr>
                <w:rFonts w:hint="default" w:ascii="Times New Roman" w:hAnsi="Times New Roman" w:eastAsia="宋体" w:cs="Times New Roman"/>
                <w:sz w:val="24"/>
              </w:rPr>
            </w:pPr>
            <w:r>
              <w:rPr>
                <w:rFonts w:hint="default" w:ascii="Times New Roman" w:hAnsi="Times New Roman" w:eastAsia="宋体" w:cs="Times New Roman"/>
                <w:sz w:val="24"/>
              </w:rPr>
              <w:t>（汇款时，请输入开户银行全称“浙商银行股份有限公司北京分行营业部”，以避免出现汇款不成功）</w:t>
            </w:r>
          </w:p>
          <w:p w14:paraId="665E4F55">
            <w:pPr>
              <w:jc w:val="left"/>
              <w:rPr>
                <w:rFonts w:hint="default" w:ascii="Times New Roman" w:hAnsi="Times New Roman" w:eastAsia="宋体" w:cs="Times New Roman"/>
                <w:sz w:val="24"/>
              </w:rPr>
            </w:pPr>
            <w:r>
              <w:rPr>
                <w:rFonts w:hint="default" w:ascii="Times New Roman" w:hAnsi="Times New Roman" w:eastAsia="宋体" w:cs="Times New Roman"/>
                <w:b/>
                <w:bCs/>
                <w:sz w:val="24"/>
              </w:rPr>
              <w:t>磋商保证金形式</w:t>
            </w:r>
            <w:r>
              <w:rPr>
                <w:rFonts w:hint="default" w:ascii="Times New Roman" w:hAnsi="Times New Roman" w:eastAsia="宋体" w:cs="Times New Roman"/>
                <w:sz w:val="24"/>
              </w:rPr>
              <w:t>：政府采购法律法规接受的支票、汇票、本票、网上银行支付或者金融机构、担保机构出具的保函等非现金形式。</w:t>
            </w:r>
          </w:p>
          <w:p w14:paraId="47DBFEAD">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b/>
                <w:bCs/>
                <w:sz w:val="24"/>
                <w:szCs w:val="24"/>
              </w:rPr>
              <w:t>磋商保证金提交截止时间</w:t>
            </w:r>
            <w:r>
              <w:rPr>
                <w:rFonts w:hint="default" w:ascii="Times New Roman" w:hAnsi="Times New Roman" w:eastAsia="宋体" w:cs="Times New Roman"/>
                <w:sz w:val="24"/>
                <w:szCs w:val="24"/>
              </w:rPr>
              <w:t>：</w:t>
            </w:r>
            <w:r>
              <w:rPr>
                <w:rFonts w:hint="default" w:ascii="Times New Roman" w:hAnsi="Times New Roman" w:eastAsia="宋体" w:cs="Times New Roman"/>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以电子保函形式提交磋商保证金的，应在首次响应文件提交截止时间前通过</w:t>
            </w:r>
            <w:r>
              <w:rPr>
                <w:rFonts w:hint="default" w:ascii="Times New Roman" w:hAnsi="Times New Roman" w:eastAsia="宋体" w:cs="Times New Roman"/>
                <w:sz w:val="24"/>
                <w:lang w:bidi="ar"/>
              </w:rPr>
              <w:t>北京市政府采购电子交易平台完成电子保函在线办理。</w:t>
            </w:r>
            <w:r>
              <w:rPr>
                <w:rFonts w:hint="default" w:ascii="Times New Roman" w:hAnsi="Times New Roman" w:eastAsia="宋体" w:cs="Times New Roman"/>
                <w:sz w:val="24"/>
              </w:rPr>
              <w:t>未按上述要求缴纳保证金的，其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r>
              <w:rPr>
                <w:rFonts w:hint="default" w:ascii="Times New Roman" w:hAnsi="Times New Roman" w:eastAsia="宋体" w:cs="Times New Roman"/>
                <w:sz w:val="24"/>
                <w:szCs w:val="24"/>
              </w:rPr>
              <w:t>（采用电汇或网上银行支付的，须注明项目编号：BJJQ-202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438</w:t>
            </w:r>
            <w:r>
              <w:rPr>
                <w:rFonts w:hint="default" w:ascii="Times New Roman" w:hAnsi="Times New Roman" w:eastAsia="宋体" w:cs="Times New Roman"/>
                <w:sz w:val="24"/>
                <w:szCs w:val="24"/>
              </w:rPr>
              <w:t>。）</w:t>
            </w:r>
          </w:p>
        </w:tc>
      </w:tr>
      <w:tr w14:paraId="35CD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8FA23E">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.5</w:t>
            </w:r>
          </w:p>
        </w:tc>
        <w:tc>
          <w:tcPr>
            <w:tcW w:w="1701" w:type="dxa"/>
            <w:vMerge w:val="continue"/>
            <w:vAlign w:val="center"/>
          </w:tcPr>
          <w:p w14:paraId="55D2D9F1">
            <w:pPr>
              <w:jc w:val="center"/>
              <w:rPr>
                <w:rFonts w:hint="default" w:ascii="Times New Roman" w:hAnsi="Times New Roman" w:eastAsia="宋体" w:cs="Times New Roman"/>
                <w:sz w:val="24"/>
              </w:rPr>
            </w:pPr>
          </w:p>
        </w:tc>
        <w:tc>
          <w:tcPr>
            <w:tcW w:w="7253" w:type="dxa"/>
            <w:vAlign w:val="center"/>
          </w:tcPr>
          <w:p w14:paraId="427EF863">
            <w:pPr>
              <w:jc w:val="left"/>
              <w:rPr>
                <w:rFonts w:hint="default" w:ascii="Times New Roman" w:hAnsi="Times New Roman" w:eastAsia="宋体" w:cs="Times New Roman"/>
                <w:sz w:val="24"/>
              </w:rPr>
            </w:pPr>
            <w:r>
              <w:rPr>
                <w:rFonts w:hint="default" w:ascii="Times New Roman" w:hAnsi="Times New Roman" w:eastAsia="宋体" w:cs="Times New Roman"/>
                <w:sz w:val="24"/>
              </w:rPr>
              <w:t>磋商保证金不予退还的其他情形：</w:t>
            </w:r>
          </w:p>
          <w:p w14:paraId="493051E5">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无</w:t>
            </w:r>
          </w:p>
          <w:p w14:paraId="13327B31">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有，具体情形：</w:t>
            </w:r>
          </w:p>
          <w:p w14:paraId="7442A964">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不按规定与采购人签订合同的；</w:t>
            </w:r>
          </w:p>
          <w:p w14:paraId="00DEFC55">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不按规定提交履约保证金的（如需）；</w:t>
            </w:r>
          </w:p>
          <w:p w14:paraId="162E1FCD">
            <w:pPr>
              <w:pStyle w:val="24"/>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rPr>
              <w:t>（3）</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擅自放弃</w:t>
            </w:r>
            <w:r>
              <w:rPr>
                <w:rFonts w:hint="default" w:ascii="Times New Roman" w:hAnsi="Times New Roman" w:eastAsia="宋体" w:cs="Times New Roman"/>
                <w:sz w:val="24"/>
                <w:lang w:val="en-US" w:eastAsia="zh-CN"/>
              </w:rPr>
              <w:t>成交</w:t>
            </w:r>
            <w:r>
              <w:rPr>
                <w:rFonts w:hint="default" w:ascii="Times New Roman" w:hAnsi="Times New Roman" w:eastAsia="宋体" w:cs="Times New Roman"/>
                <w:sz w:val="24"/>
              </w:rPr>
              <w:t>的。</w:t>
            </w:r>
          </w:p>
        </w:tc>
      </w:tr>
      <w:tr w14:paraId="60FA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D8C148B">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12.1</w:t>
            </w:r>
          </w:p>
        </w:tc>
        <w:tc>
          <w:tcPr>
            <w:tcW w:w="1701" w:type="dxa"/>
            <w:vAlign w:val="center"/>
          </w:tcPr>
          <w:p w14:paraId="44FF5345">
            <w:pPr>
              <w:jc w:val="center"/>
              <w:rPr>
                <w:rFonts w:hint="default" w:ascii="Times New Roman" w:hAnsi="Times New Roman" w:eastAsia="宋体" w:cs="Times New Roman"/>
                <w:sz w:val="24"/>
              </w:rPr>
            </w:pPr>
            <w:r>
              <w:rPr>
                <w:rFonts w:hint="default" w:ascii="Times New Roman" w:hAnsi="Times New Roman" w:eastAsia="宋体" w:cs="Times New Roman"/>
                <w:sz w:val="24"/>
              </w:rPr>
              <w:t>响应有效期</w:t>
            </w:r>
          </w:p>
        </w:tc>
        <w:tc>
          <w:tcPr>
            <w:tcW w:w="7253" w:type="dxa"/>
            <w:vAlign w:val="center"/>
          </w:tcPr>
          <w:p w14:paraId="57014D3E">
            <w:pPr>
              <w:jc w:val="left"/>
              <w:rPr>
                <w:rFonts w:hint="default" w:ascii="Times New Roman" w:hAnsi="Times New Roman" w:eastAsia="宋体" w:cs="Times New Roman"/>
                <w:sz w:val="24"/>
              </w:rPr>
            </w:pPr>
            <w:r>
              <w:rPr>
                <w:rFonts w:hint="default" w:ascii="Times New Roman" w:hAnsi="Times New Roman" w:eastAsia="宋体" w:cs="Times New Roman"/>
                <w:sz w:val="24"/>
              </w:rPr>
              <w:t>自响应文件提交截止之日起算90日历天。</w:t>
            </w:r>
          </w:p>
        </w:tc>
      </w:tr>
      <w:tr w14:paraId="4F88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C938048">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13.1</w:t>
            </w:r>
          </w:p>
        </w:tc>
        <w:tc>
          <w:tcPr>
            <w:tcW w:w="1701" w:type="dxa"/>
            <w:vAlign w:val="center"/>
          </w:tcPr>
          <w:p w14:paraId="02461DD0">
            <w:pPr>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响应文件的份数</w:t>
            </w:r>
          </w:p>
        </w:tc>
        <w:tc>
          <w:tcPr>
            <w:tcW w:w="7253" w:type="dxa"/>
            <w:vAlign w:val="center"/>
          </w:tcPr>
          <w:p w14:paraId="32410E61">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响应文件份数： </w:t>
            </w:r>
            <w:r>
              <w:rPr>
                <w:rFonts w:hint="default" w:ascii="Times New Roman" w:hAnsi="Times New Roman" w:eastAsia="宋体" w:cs="Times New Roman"/>
                <w:sz w:val="24"/>
                <w:u w:val="single"/>
              </w:rPr>
              <w:t>1</w:t>
            </w:r>
            <w:r>
              <w:rPr>
                <w:rFonts w:hint="default" w:ascii="Times New Roman" w:hAnsi="Times New Roman" w:eastAsia="宋体" w:cs="Times New Roman"/>
                <w:sz w:val="24"/>
              </w:rPr>
              <w:t>份正本、</w:t>
            </w:r>
            <w:r>
              <w:rPr>
                <w:rFonts w:hint="default" w:ascii="Times New Roman" w:hAnsi="Times New Roman" w:eastAsia="宋体" w:cs="Times New Roman"/>
                <w:sz w:val="24"/>
                <w:u w:val="single"/>
              </w:rPr>
              <w:t>3</w:t>
            </w:r>
            <w:r>
              <w:rPr>
                <w:rFonts w:hint="default" w:ascii="Times New Roman" w:hAnsi="Times New Roman" w:eastAsia="宋体" w:cs="Times New Roman"/>
                <w:sz w:val="24"/>
              </w:rPr>
              <w:t>份副本、</w:t>
            </w:r>
            <w:r>
              <w:rPr>
                <w:rFonts w:hint="default" w:ascii="Times New Roman" w:hAnsi="Times New Roman" w:eastAsia="宋体" w:cs="Times New Roman"/>
                <w:sz w:val="24"/>
                <w:u w:val="single"/>
              </w:rPr>
              <w:t>1</w:t>
            </w:r>
            <w:r>
              <w:rPr>
                <w:rFonts w:hint="default" w:ascii="Times New Roman" w:hAnsi="Times New Roman" w:eastAsia="宋体" w:cs="Times New Roman"/>
                <w:sz w:val="24"/>
              </w:rPr>
              <w:t>份电子版</w:t>
            </w:r>
          </w:p>
          <w:p w14:paraId="056A5632">
            <w:pPr>
              <w:jc w:val="left"/>
              <w:rPr>
                <w:rFonts w:hint="default" w:ascii="Times New Roman" w:hAnsi="Times New Roman" w:eastAsia="宋体" w:cs="Times New Roman"/>
                <w:sz w:val="24"/>
              </w:rPr>
            </w:pPr>
            <w:r>
              <w:rPr>
                <w:rFonts w:hint="default" w:ascii="Times New Roman" w:hAnsi="Times New Roman" w:eastAsia="宋体" w:cs="Times New Roman"/>
                <w:sz w:val="24"/>
              </w:rPr>
              <w:t>供应商递交的电子版文件应为响应文件正本PDF扫描版及WORD版本，包含纸质响应文件全部内容，存储载体为U盘。</w:t>
            </w:r>
          </w:p>
        </w:tc>
      </w:tr>
      <w:tr w14:paraId="5F93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302767C">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w:t>
            </w:r>
          </w:p>
        </w:tc>
        <w:tc>
          <w:tcPr>
            <w:tcW w:w="1701" w:type="dxa"/>
            <w:vAlign w:val="center"/>
          </w:tcPr>
          <w:p w14:paraId="0CF03015">
            <w:pPr>
              <w:jc w:val="center"/>
              <w:rPr>
                <w:rFonts w:hint="default" w:ascii="Times New Roman" w:hAnsi="Times New Roman" w:eastAsia="宋体" w:cs="Times New Roman"/>
                <w:sz w:val="24"/>
              </w:rPr>
            </w:pPr>
            <w:r>
              <w:rPr>
                <w:rFonts w:hint="default" w:ascii="Times New Roman" w:hAnsi="Times New Roman" w:eastAsia="宋体" w:cs="Times New Roman"/>
                <w:sz w:val="24"/>
              </w:rPr>
              <w:t>确定成交供应商</w:t>
            </w:r>
          </w:p>
        </w:tc>
        <w:tc>
          <w:tcPr>
            <w:tcW w:w="7253" w:type="dxa"/>
            <w:vAlign w:val="center"/>
          </w:tcPr>
          <w:p w14:paraId="4300A8DA">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采购人是否</w:t>
            </w:r>
            <w:r>
              <w:rPr>
                <w:rFonts w:hint="default" w:ascii="Times New Roman" w:hAnsi="Times New Roman" w:eastAsia="宋体" w:cs="Times New Roman"/>
                <w:color w:val="000000"/>
                <w:sz w:val="24"/>
              </w:rPr>
              <w:t>授权磋商小组直接确定成交供应商</w:t>
            </w:r>
            <w:r>
              <w:rPr>
                <w:rFonts w:hint="default" w:ascii="Times New Roman" w:hAnsi="Times New Roman" w:eastAsia="宋体" w:cs="Times New Roman"/>
                <w:sz w:val="24"/>
              </w:rPr>
              <w:t>：</w:t>
            </w:r>
          </w:p>
          <w:p w14:paraId="01011247">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rPr>
              <w:t>否</w:t>
            </w:r>
          </w:p>
          <w:p w14:paraId="7DAEDA02">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是</w:t>
            </w:r>
          </w:p>
          <w:p w14:paraId="4A35ACDC">
            <w:pPr>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成交候选人并列的，按照以下方式确定成交供应商：</w:t>
            </w:r>
            <w:r>
              <w:rPr>
                <w:rFonts w:hint="default" w:ascii="Times New Roman" w:hAnsi="Times New Roman" w:eastAsia="宋体" w:cs="Times New Roman"/>
                <w:sz w:val="24"/>
                <w:lang w:val="en-US" w:eastAsia="zh-CN"/>
              </w:rPr>
              <w:t>综合得分相同的，按报价低者为成交供应商；</w:t>
            </w:r>
            <w:r>
              <w:rPr>
                <w:rFonts w:hint="default" w:ascii="Times New Roman" w:hAnsi="Times New Roman" w:eastAsia="宋体" w:cs="Times New Roman"/>
                <w:sz w:val="24"/>
              </w:rPr>
              <w:t>得分且报价均相同的，以</w:t>
            </w:r>
            <w:r>
              <w:rPr>
                <w:rFonts w:hint="eastAsia" w:cs="Times New Roman"/>
                <w:sz w:val="24"/>
                <w:lang w:eastAsia="zh-CN"/>
              </w:rPr>
              <w:t>项目</w:t>
            </w:r>
            <w:r>
              <w:rPr>
                <w:rFonts w:hint="default" w:ascii="Times New Roman" w:hAnsi="Times New Roman" w:eastAsia="宋体" w:cs="Times New Roman"/>
                <w:sz w:val="24"/>
              </w:rPr>
              <w:t>方案得分高者为</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；得分、报价、</w:t>
            </w:r>
            <w:r>
              <w:rPr>
                <w:rFonts w:hint="eastAsia" w:cs="Times New Roman"/>
                <w:sz w:val="24"/>
                <w:lang w:eastAsia="zh-CN"/>
              </w:rPr>
              <w:t>项目</w:t>
            </w:r>
            <w:r>
              <w:rPr>
                <w:rFonts w:hint="default" w:ascii="Times New Roman" w:hAnsi="Times New Roman" w:eastAsia="宋体" w:cs="Times New Roman"/>
                <w:sz w:val="24"/>
              </w:rPr>
              <w:t>方案得分均相同的，随机抽取。</w:t>
            </w:r>
          </w:p>
        </w:tc>
      </w:tr>
      <w:tr w14:paraId="4FBA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CC230B2">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23.5</w:t>
            </w:r>
          </w:p>
        </w:tc>
        <w:tc>
          <w:tcPr>
            <w:tcW w:w="1701" w:type="dxa"/>
            <w:vAlign w:val="center"/>
          </w:tcPr>
          <w:p w14:paraId="51DA44F4">
            <w:pPr>
              <w:jc w:val="center"/>
              <w:rPr>
                <w:rFonts w:hint="default" w:ascii="Times New Roman" w:hAnsi="Times New Roman" w:eastAsia="宋体" w:cs="Times New Roman"/>
                <w:sz w:val="24"/>
              </w:rPr>
            </w:pPr>
            <w:r>
              <w:rPr>
                <w:rFonts w:hint="default" w:ascii="Times New Roman" w:hAnsi="Times New Roman" w:eastAsia="宋体" w:cs="Times New Roman"/>
                <w:sz w:val="24"/>
              </w:rPr>
              <w:t>分包</w:t>
            </w:r>
          </w:p>
        </w:tc>
        <w:tc>
          <w:tcPr>
            <w:tcW w:w="7253" w:type="dxa"/>
            <w:vAlign w:val="center"/>
          </w:tcPr>
          <w:p w14:paraId="56A9332C">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本项目是否允许分包： </w:t>
            </w:r>
          </w:p>
          <w:p w14:paraId="404E4F37">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不允许</w:t>
            </w:r>
          </w:p>
          <w:p w14:paraId="78E201D2">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允许，具体要求：_______。</w:t>
            </w:r>
          </w:p>
          <w:p w14:paraId="7C70876B">
            <w:pPr>
              <w:jc w:val="left"/>
              <w:rPr>
                <w:rFonts w:hint="default" w:ascii="Times New Roman" w:hAnsi="Times New Roman" w:eastAsia="宋体" w:cs="Times New Roman"/>
                <w:sz w:val="24"/>
              </w:rPr>
            </w:pPr>
            <w:r>
              <w:rPr>
                <w:rFonts w:hint="default" w:ascii="Times New Roman" w:hAnsi="Times New Roman" w:eastAsia="宋体" w:cs="Times New Roman"/>
                <w:sz w:val="24"/>
              </w:rPr>
              <w:t>（1）可以分包履行的具体内容：_______；</w:t>
            </w:r>
          </w:p>
          <w:p w14:paraId="0D0F0880">
            <w:pPr>
              <w:jc w:val="left"/>
              <w:rPr>
                <w:rFonts w:hint="default" w:ascii="Times New Roman" w:hAnsi="Times New Roman" w:eastAsia="宋体" w:cs="Times New Roman"/>
                <w:sz w:val="24"/>
              </w:rPr>
            </w:pPr>
            <w:r>
              <w:rPr>
                <w:rFonts w:hint="default" w:ascii="Times New Roman" w:hAnsi="Times New Roman" w:eastAsia="宋体" w:cs="Times New Roman"/>
                <w:sz w:val="24"/>
              </w:rPr>
              <w:t>（2）允许分包的金额或者比例：_______；</w:t>
            </w:r>
          </w:p>
          <w:p w14:paraId="2F51B8D2">
            <w:pPr>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（3）其他要求：_______。</w:t>
            </w:r>
          </w:p>
        </w:tc>
      </w:tr>
      <w:tr w14:paraId="65B7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EA33173">
            <w:pPr>
              <w:pStyle w:val="24"/>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23.6</w:t>
            </w:r>
          </w:p>
        </w:tc>
        <w:tc>
          <w:tcPr>
            <w:tcW w:w="1701" w:type="dxa"/>
            <w:vAlign w:val="center"/>
          </w:tcPr>
          <w:p w14:paraId="3DECC14B">
            <w:pPr>
              <w:jc w:val="center"/>
              <w:rPr>
                <w:rFonts w:hint="default" w:ascii="Times New Roman" w:hAnsi="Times New Roman" w:eastAsia="宋体" w:cs="Times New Roman"/>
                <w:sz w:val="24"/>
              </w:rPr>
            </w:pPr>
            <w:r>
              <w:rPr>
                <w:rFonts w:hint="default" w:ascii="Times New Roman" w:hAnsi="Times New Roman" w:eastAsia="宋体" w:cs="Times New Roman"/>
                <w:sz w:val="24"/>
              </w:rPr>
              <w:t>政采贷</w:t>
            </w:r>
          </w:p>
        </w:tc>
        <w:tc>
          <w:tcPr>
            <w:tcW w:w="7253" w:type="dxa"/>
            <w:vAlign w:val="center"/>
          </w:tcPr>
          <w:p w14:paraId="33E0B587">
            <w:pPr>
              <w:jc w:val="left"/>
              <w:rPr>
                <w:rFonts w:hint="default" w:ascii="Times New Roman" w:hAnsi="Times New Roman" w:eastAsia="宋体" w:cs="Times New Roman"/>
                <w:sz w:val="24"/>
              </w:rPr>
            </w:pPr>
            <w:r>
              <w:rPr>
                <w:rFonts w:hint="default" w:ascii="Times New Roman" w:hAnsi="Times New Roman" w:eastAsia="宋体" w:cs="Times New Roman"/>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47D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2577EAE">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24.1.1</w:t>
            </w:r>
          </w:p>
        </w:tc>
        <w:tc>
          <w:tcPr>
            <w:tcW w:w="1701" w:type="dxa"/>
            <w:vAlign w:val="center"/>
          </w:tcPr>
          <w:p w14:paraId="4F4E851F">
            <w:pPr>
              <w:jc w:val="center"/>
              <w:rPr>
                <w:rFonts w:hint="default" w:ascii="Times New Roman" w:hAnsi="Times New Roman" w:eastAsia="宋体" w:cs="Times New Roman"/>
                <w:sz w:val="24"/>
              </w:rPr>
            </w:pPr>
            <w:r>
              <w:rPr>
                <w:rFonts w:hint="default" w:ascii="Times New Roman" w:hAnsi="Times New Roman" w:eastAsia="宋体" w:cs="Times New Roman"/>
                <w:sz w:val="24"/>
              </w:rPr>
              <w:t>询问</w:t>
            </w:r>
          </w:p>
        </w:tc>
        <w:tc>
          <w:tcPr>
            <w:tcW w:w="7253" w:type="dxa"/>
            <w:vAlign w:val="center"/>
          </w:tcPr>
          <w:p w14:paraId="48511EB7">
            <w:pPr>
              <w:jc w:val="left"/>
              <w:rPr>
                <w:rFonts w:hint="default" w:ascii="Times New Roman" w:hAnsi="Times New Roman" w:eastAsia="宋体" w:cs="Times New Roman"/>
                <w:sz w:val="24"/>
              </w:rPr>
            </w:pPr>
            <w:r>
              <w:rPr>
                <w:rFonts w:hint="default" w:ascii="Times New Roman" w:hAnsi="Times New Roman" w:eastAsia="宋体" w:cs="Times New Roman"/>
                <w:sz w:val="24"/>
              </w:rPr>
              <w:t>询问送达形式：</w:t>
            </w:r>
            <w:r>
              <w:rPr>
                <w:rFonts w:hint="default" w:ascii="Times New Roman" w:hAnsi="Times New Roman" w:eastAsia="宋体" w:cs="Times New Roman"/>
                <w:sz w:val="24"/>
                <w:u w:val="single"/>
              </w:rPr>
              <w:t>书面形式，现场或邮寄方式递交</w:t>
            </w:r>
            <w:r>
              <w:rPr>
                <w:rFonts w:hint="default" w:ascii="Times New Roman" w:hAnsi="Times New Roman" w:eastAsia="宋体" w:cs="Times New Roman"/>
                <w:sz w:val="24"/>
              </w:rPr>
              <w:t>。</w:t>
            </w:r>
          </w:p>
        </w:tc>
      </w:tr>
      <w:tr w14:paraId="11AD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941E46">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24.3</w:t>
            </w:r>
          </w:p>
        </w:tc>
        <w:tc>
          <w:tcPr>
            <w:tcW w:w="1701" w:type="dxa"/>
            <w:vAlign w:val="center"/>
          </w:tcPr>
          <w:p w14:paraId="394C0ECA">
            <w:pPr>
              <w:jc w:val="center"/>
              <w:rPr>
                <w:rFonts w:hint="default" w:ascii="Times New Roman" w:hAnsi="Times New Roman" w:eastAsia="宋体" w:cs="Times New Roman"/>
                <w:sz w:val="24"/>
              </w:rPr>
            </w:pPr>
            <w:r>
              <w:rPr>
                <w:rFonts w:hint="default" w:ascii="Times New Roman" w:hAnsi="Times New Roman" w:eastAsia="宋体" w:cs="Times New Roman"/>
                <w:sz w:val="24"/>
              </w:rPr>
              <w:t>接收询问和质疑的联系方式</w:t>
            </w:r>
          </w:p>
        </w:tc>
        <w:tc>
          <w:tcPr>
            <w:tcW w:w="7253" w:type="dxa"/>
            <w:vAlign w:val="center"/>
          </w:tcPr>
          <w:p w14:paraId="0762DC6A">
            <w:pPr>
              <w:jc w:val="left"/>
              <w:rPr>
                <w:rFonts w:hint="default" w:ascii="Times New Roman" w:hAnsi="Times New Roman" w:eastAsia="宋体" w:cs="Times New Roman"/>
                <w:sz w:val="24"/>
              </w:rPr>
            </w:pPr>
            <w:r>
              <w:rPr>
                <w:rFonts w:hint="default" w:ascii="Times New Roman" w:hAnsi="Times New Roman" w:eastAsia="宋体" w:cs="Times New Roman"/>
                <w:sz w:val="24"/>
              </w:rPr>
              <w:t>1、询问</w:t>
            </w:r>
          </w:p>
          <w:p w14:paraId="0534F8AA">
            <w:pPr>
              <w:rPr>
                <w:rFonts w:hint="default" w:ascii="Times New Roman" w:hAnsi="Times New Roman" w:eastAsia="宋体" w:cs="Times New Roman"/>
                <w:sz w:val="24"/>
              </w:rPr>
            </w:pPr>
            <w:r>
              <w:rPr>
                <w:rFonts w:hint="default" w:ascii="Times New Roman" w:hAnsi="Times New Roman" w:eastAsia="宋体" w:cs="Times New Roman"/>
                <w:sz w:val="24"/>
              </w:rPr>
              <w:t>联系部门、联系电话、通讯地址：见第一章《投标邀请》中的采购代理机构信息和项目联系方式。</w:t>
            </w:r>
          </w:p>
          <w:p w14:paraId="1A80A47C">
            <w:pPr>
              <w:jc w:val="left"/>
              <w:rPr>
                <w:rFonts w:hint="default" w:ascii="Times New Roman" w:hAnsi="Times New Roman" w:eastAsia="宋体" w:cs="Times New Roman"/>
                <w:sz w:val="24"/>
              </w:rPr>
            </w:pPr>
            <w:r>
              <w:rPr>
                <w:rFonts w:hint="default" w:ascii="Times New Roman" w:hAnsi="Times New Roman" w:eastAsia="宋体" w:cs="Times New Roman"/>
                <w:sz w:val="24"/>
              </w:rPr>
              <w:t>2、质疑</w:t>
            </w:r>
          </w:p>
          <w:p w14:paraId="77B495F0">
            <w:pPr>
              <w:jc w:val="left"/>
              <w:rPr>
                <w:rFonts w:hint="default" w:ascii="Times New Roman" w:hAnsi="Times New Roman" w:eastAsia="宋体" w:cs="Times New Roman"/>
                <w:sz w:val="24"/>
              </w:rPr>
            </w:pPr>
            <w:r>
              <w:rPr>
                <w:rFonts w:hint="default" w:ascii="Times New Roman" w:hAnsi="Times New Roman" w:eastAsia="宋体" w:cs="Times New Roman"/>
                <w:sz w:val="24"/>
              </w:rPr>
              <w:t>联系部门：北京汇诚金桥国际招标咨询有限公司综合法务部；</w:t>
            </w:r>
          </w:p>
          <w:p w14:paraId="4BF74B7F">
            <w:pPr>
              <w:jc w:val="left"/>
              <w:rPr>
                <w:rFonts w:hint="default" w:ascii="Times New Roman" w:hAnsi="Times New Roman" w:eastAsia="宋体" w:cs="Times New Roman"/>
                <w:sz w:val="24"/>
              </w:rPr>
            </w:pPr>
            <w:r>
              <w:rPr>
                <w:rFonts w:hint="default" w:ascii="Times New Roman" w:hAnsi="Times New Roman" w:eastAsia="宋体" w:cs="Times New Roman"/>
                <w:sz w:val="24"/>
              </w:rPr>
              <w:t>联系电话：010-65244876；</w:t>
            </w:r>
          </w:p>
          <w:p w14:paraId="32209660">
            <w:pPr>
              <w:jc w:val="left"/>
              <w:rPr>
                <w:rFonts w:hint="default" w:ascii="Times New Roman" w:hAnsi="Times New Roman" w:eastAsia="宋体" w:cs="Times New Roman"/>
                <w:sz w:val="24"/>
              </w:rPr>
            </w:pPr>
            <w:r>
              <w:rPr>
                <w:rFonts w:hint="default" w:ascii="Times New Roman" w:hAnsi="Times New Roman" w:eastAsia="宋体" w:cs="Times New Roman"/>
                <w:sz w:val="24"/>
              </w:rPr>
              <w:t>通讯地址：北京市东城区朝内大街南竹杆胡同 6 号北京 INN 3 号楼 9层。</w:t>
            </w:r>
          </w:p>
        </w:tc>
      </w:tr>
      <w:tr w14:paraId="55CA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A81F64">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w:t>
            </w:r>
          </w:p>
        </w:tc>
        <w:tc>
          <w:tcPr>
            <w:tcW w:w="1701" w:type="dxa"/>
            <w:vAlign w:val="center"/>
          </w:tcPr>
          <w:p w14:paraId="06ED0B02">
            <w:pPr>
              <w:jc w:val="center"/>
              <w:rPr>
                <w:rFonts w:hint="default" w:ascii="Times New Roman" w:hAnsi="Times New Roman" w:eastAsia="宋体" w:cs="Times New Roman"/>
                <w:sz w:val="24"/>
              </w:rPr>
            </w:pPr>
            <w:r>
              <w:rPr>
                <w:rFonts w:hint="default" w:ascii="Times New Roman" w:hAnsi="Times New Roman" w:eastAsia="宋体" w:cs="Times New Roman"/>
                <w:sz w:val="24"/>
              </w:rPr>
              <w:t>代理费</w:t>
            </w:r>
          </w:p>
        </w:tc>
        <w:tc>
          <w:tcPr>
            <w:tcW w:w="7253" w:type="dxa"/>
            <w:vAlign w:val="center"/>
          </w:tcPr>
          <w:p w14:paraId="7E7A4854">
            <w:pPr>
              <w:jc w:val="left"/>
              <w:rPr>
                <w:rFonts w:hint="default" w:ascii="Times New Roman" w:hAnsi="Times New Roman" w:eastAsia="宋体" w:cs="Times New Roman"/>
                <w:sz w:val="24"/>
              </w:rPr>
            </w:pPr>
            <w:r>
              <w:rPr>
                <w:rFonts w:hint="default" w:ascii="Times New Roman" w:hAnsi="Times New Roman" w:eastAsia="宋体" w:cs="Times New Roman"/>
                <w:sz w:val="24"/>
              </w:rPr>
              <w:t>收费对象：</w:t>
            </w:r>
          </w:p>
          <w:p w14:paraId="2E3295CC">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采购人</w:t>
            </w:r>
          </w:p>
          <w:p w14:paraId="2830A8BF">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成交供应商</w:t>
            </w:r>
          </w:p>
          <w:p w14:paraId="1DF9C30E">
            <w:pPr>
              <w:jc w:val="left"/>
              <w:rPr>
                <w:rFonts w:hint="default" w:ascii="Times New Roman" w:hAnsi="Times New Roman" w:eastAsia="宋体" w:cs="Times New Roman"/>
                <w:sz w:val="24"/>
              </w:rPr>
            </w:pPr>
            <w:r>
              <w:rPr>
                <w:rFonts w:hint="default" w:ascii="Times New Roman" w:hAnsi="Times New Roman" w:eastAsia="宋体" w:cs="Times New Roman"/>
                <w:sz w:val="24"/>
              </w:rPr>
              <w:t>收费标准：本项目成交服务费以成交金额为基准、按差额定率累进法计算。</w:t>
            </w:r>
          </w:p>
          <w:tbl>
            <w:tblPr>
              <w:tblStyle w:val="44"/>
              <w:tblW w:w="6459" w:type="dxa"/>
              <w:jc w:val="center"/>
              <w:tblLayout w:type="fixed"/>
              <w:tblCellMar>
                <w:top w:w="0" w:type="dxa"/>
                <w:left w:w="108" w:type="dxa"/>
                <w:bottom w:w="0" w:type="dxa"/>
                <w:right w:w="108" w:type="dxa"/>
              </w:tblCellMar>
            </w:tblPr>
            <w:tblGrid>
              <w:gridCol w:w="4491"/>
              <w:gridCol w:w="1968"/>
            </w:tblGrid>
            <w:tr w14:paraId="5C1D5386">
              <w:tblPrEx>
                <w:tblCellMar>
                  <w:top w:w="0" w:type="dxa"/>
                  <w:left w:w="108" w:type="dxa"/>
                  <w:bottom w:w="0" w:type="dxa"/>
                  <w:right w:w="108" w:type="dxa"/>
                </w:tblCellMar>
              </w:tblPrEx>
              <w:trPr>
                <w:trHeight w:val="75" w:hRule="atLeast"/>
                <w:jc w:val="center"/>
              </w:trPr>
              <w:tc>
                <w:tcPr>
                  <w:tcW w:w="4491" w:type="dxa"/>
                  <w:tcBorders>
                    <w:top w:val="single" w:color="000000" w:sz="2" w:space="0"/>
                    <w:left w:val="single" w:color="000000" w:sz="2" w:space="0"/>
                    <w:bottom w:val="single" w:color="000000" w:sz="2" w:space="0"/>
                    <w:right w:val="single" w:color="000000" w:sz="2" w:space="0"/>
                  </w:tcBorders>
                  <w:vAlign w:val="center"/>
                </w:tcPr>
                <w:p w14:paraId="43BA13CF">
                  <w:pPr>
                    <w:snapToGrid w:val="0"/>
                    <w:contextualSpacing/>
                    <w:jc w:val="center"/>
                    <w:rPr>
                      <w:rFonts w:hint="default" w:ascii="Times New Roman" w:hAnsi="Times New Roman" w:eastAsia="宋体" w:cs="Times New Roman"/>
                      <w:sz w:val="24"/>
                    </w:rPr>
                  </w:pPr>
                  <w:r>
                    <w:rPr>
                      <w:rFonts w:hint="default" w:ascii="Times New Roman" w:hAnsi="Times New Roman" w:eastAsia="宋体" w:cs="Times New Roman"/>
                      <w:sz w:val="24"/>
                    </w:rPr>
                    <w:t>成交金额（人民币）</w:t>
                  </w:r>
                </w:p>
              </w:tc>
              <w:tc>
                <w:tcPr>
                  <w:tcW w:w="1968" w:type="dxa"/>
                  <w:tcBorders>
                    <w:top w:val="single" w:color="000000" w:sz="2" w:space="0"/>
                    <w:left w:val="single" w:color="000000" w:sz="2" w:space="0"/>
                    <w:bottom w:val="single" w:color="000000" w:sz="2" w:space="0"/>
                    <w:right w:val="single" w:color="000000" w:sz="2" w:space="0"/>
                  </w:tcBorders>
                  <w:vAlign w:val="center"/>
                </w:tcPr>
                <w:p w14:paraId="4C65FE27">
                  <w:pPr>
                    <w:snapToGrid w:val="0"/>
                    <w:contextualSpacing/>
                    <w:jc w:val="center"/>
                    <w:rPr>
                      <w:rFonts w:hint="default" w:ascii="Times New Roman" w:hAnsi="Times New Roman" w:eastAsia="宋体" w:cs="Times New Roman"/>
                      <w:sz w:val="24"/>
                    </w:rPr>
                  </w:pPr>
                  <w:r>
                    <w:rPr>
                      <w:rFonts w:hint="default" w:ascii="Times New Roman" w:hAnsi="Times New Roman" w:eastAsia="宋体" w:cs="Times New Roman"/>
                      <w:sz w:val="24"/>
                    </w:rPr>
                    <w:t>费率</w:t>
                  </w:r>
                </w:p>
              </w:tc>
            </w:tr>
            <w:tr w14:paraId="40658FCB">
              <w:tblPrEx>
                <w:tblCellMar>
                  <w:top w:w="0" w:type="dxa"/>
                  <w:left w:w="108" w:type="dxa"/>
                  <w:bottom w:w="0" w:type="dxa"/>
                  <w:right w:w="108" w:type="dxa"/>
                </w:tblCellMar>
              </w:tblPrEx>
              <w:trPr>
                <w:trHeight w:val="75" w:hRule="atLeast"/>
                <w:jc w:val="center"/>
              </w:trPr>
              <w:tc>
                <w:tcPr>
                  <w:tcW w:w="4491" w:type="dxa"/>
                  <w:tcBorders>
                    <w:top w:val="single" w:color="000000" w:sz="2" w:space="0"/>
                    <w:left w:val="single" w:color="000000" w:sz="2" w:space="0"/>
                    <w:bottom w:val="single" w:color="000000" w:sz="2" w:space="0"/>
                    <w:right w:val="single" w:color="000000" w:sz="2" w:space="0"/>
                  </w:tcBorders>
                  <w:vAlign w:val="center"/>
                </w:tcPr>
                <w:p w14:paraId="7379B3AB">
                  <w:pPr>
                    <w:snapToGrid w:val="0"/>
                    <w:contextualSpacing/>
                    <w:jc w:val="center"/>
                    <w:rPr>
                      <w:rFonts w:hint="default" w:ascii="Times New Roman" w:hAnsi="Times New Roman" w:eastAsia="宋体" w:cs="Times New Roman"/>
                      <w:sz w:val="24"/>
                    </w:rPr>
                  </w:pPr>
                  <w:r>
                    <w:rPr>
                      <w:rFonts w:hint="default" w:ascii="Times New Roman" w:hAnsi="Times New Roman" w:eastAsia="宋体" w:cs="Times New Roman"/>
                      <w:color w:val="auto"/>
                      <w:sz w:val="24"/>
                    </w:rPr>
                    <w:t>200万元以下</w:t>
                  </w:r>
                </w:p>
              </w:tc>
              <w:tc>
                <w:tcPr>
                  <w:tcW w:w="1968" w:type="dxa"/>
                  <w:tcBorders>
                    <w:top w:val="single" w:color="000000" w:sz="2" w:space="0"/>
                    <w:left w:val="single" w:color="000000" w:sz="2" w:space="0"/>
                    <w:bottom w:val="single" w:color="000000" w:sz="2" w:space="0"/>
                    <w:right w:val="single" w:color="000000" w:sz="2" w:space="0"/>
                  </w:tcBorders>
                  <w:vAlign w:val="center"/>
                </w:tcPr>
                <w:p w14:paraId="5C379C6E">
                  <w:pPr>
                    <w:snapToGrid w:val="0"/>
                    <w:contextualSpacing/>
                    <w:jc w:val="center"/>
                    <w:rPr>
                      <w:rFonts w:hint="default" w:ascii="Times New Roman" w:hAnsi="Times New Roman" w:eastAsia="宋体" w:cs="Times New Roman"/>
                      <w:sz w:val="24"/>
                    </w:rPr>
                  </w:pPr>
                  <w:r>
                    <w:rPr>
                      <w:rFonts w:hint="default" w:ascii="Times New Roman" w:hAnsi="Times New Roman" w:eastAsia="宋体" w:cs="Times New Roman"/>
                      <w:color w:val="auto"/>
                      <w:sz w:val="24"/>
                    </w:rPr>
                    <w:t>1.5%</w:t>
                  </w:r>
                </w:p>
              </w:tc>
            </w:tr>
            <w:tr w14:paraId="34EA8246">
              <w:tblPrEx>
                <w:tblCellMar>
                  <w:top w:w="0" w:type="dxa"/>
                  <w:left w:w="108" w:type="dxa"/>
                  <w:bottom w:w="0" w:type="dxa"/>
                  <w:right w:w="108" w:type="dxa"/>
                </w:tblCellMar>
              </w:tblPrEx>
              <w:trPr>
                <w:trHeight w:val="281" w:hRule="atLeast"/>
                <w:jc w:val="center"/>
              </w:trPr>
              <w:tc>
                <w:tcPr>
                  <w:tcW w:w="4491" w:type="dxa"/>
                  <w:tcBorders>
                    <w:top w:val="single" w:color="000000" w:sz="2" w:space="0"/>
                    <w:left w:val="single" w:color="000000" w:sz="2" w:space="0"/>
                    <w:bottom w:val="single" w:color="000000" w:sz="2" w:space="0"/>
                    <w:right w:val="single" w:color="000000" w:sz="2" w:space="0"/>
                  </w:tcBorders>
                  <w:vAlign w:val="center"/>
                </w:tcPr>
                <w:p w14:paraId="48AAF7A7">
                  <w:pPr>
                    <w:snapToGrid w:val="0"/>
                    <w:contextualSpacing/>
                    <w:jc w:val="center"/>
                    <w:rPr>
                      <w:rFonts w:hint="default" w:ascii="Times New Roman" w:hAnsi="Times New Roman" w:eastAsia="宋体" w:cs="Times New Roman"/>
                      <w:sz w:val="24"/>
                    </w:rPr>
                  </w:pPr>
                  <w:r>
                    <w:rPr>
                      <w:rFonts w:hint="default" w:ascii="Times New Roman" w:hAnsi="Times New Roman" w:eastAsia="宋体" w:cs="Times New Roman"/>
                      <w:color w:val="auto"/>
                      <w:sz w:val="24"/>
                    </w:rPr>
                    <w:t>200～500万元（含500万元）</w:t>
                  </w:r>
                </w:p>
              </w:tc>
              <w:tc>
                <w:tcPr>
                  <w:tcW w:w="1968" w:type="dxa"/>
                  <w:tcBorders>
                    <w:top w:val="single" w:color="000000" w:sz="2" w:space="0"/>
                    <w:left w:val="single" w:color="000000" w:sz="2" w:space="0"/>
                    <w:bottom w:val="single" w:color="000000" w:sz="2" w:space="0"/>
                    <w:right w:val="single" w:color="000000" w:sz="2" w:space="0"/>
                  </w:tcBorders>
                  <w:vAlign w:val="center"/>
                </w:tcPr>
                <w:p w14:paraId="0173DFA5">
                  <w:pPr>
                    <w:snapToGrid w:val="0"/>
                    <w:contextualSpacing/>
                    <w:jc w:val="center"/>
                    <w:rPr>
                      <w:rFonts w:hint="default" w:ascii="Times New Roman" w:hAnsi="Times New Roman" w:eastAsia="宋体" w:cs="Times New Roman"/>
                      <w:sz w:val="24"/>
                    </w:rPr>
                  </w:pPr>
                  <w:r>
                    <w:rPr>
                      <w:rFonts w:hint="default" w:ascii="Times New Roman" w:hAnsi="Times New Roman" w:eastAsia="宋体" w:cs="Times New Roman"/>
                      <w:color w:val="auto"/>
                      <w:sz w:val="24"/>
                    </w:rPr>
                    <w:t>1.1%</w:t>
                  </w:r>
                </w:p>
              </w:tc>
            </w:tr>
          </w:tbl>
          <w:p w14:paraId="2B7276C9">
            <w:pPr>
              <w:jc w:val="left"/>
              <w:rPr>
                <w:rFonts w:hint="default" w:ascii="Times New Roman" w:hAnsi="Times New Roman" w:eastAsia="宋体" w:cs="Times New Roman"/>
                <w:sz w:val="24"/>
              </w:rPr>
            </w:pPr>
            <w:r>
              <w:rPr>
                <w:rFonts w:hint="default" w:ascii="Times New Roman" w:hAnsi="Times New Roman" w:cs="Times New Roman"/>
                <w:sz w:val="24"/>
                <w:lang w:val="en-US" w:eastAsia="zh-CN"/>
              </w:rPr>
              <w:t>成交</w:t>
            </w:r>
            <w:r>
              <w:rPr>
                <w:rFonts w:hint="default" w:ascii="Times New Roman" w:hAnsi="Times New Roman" w:eastAsia="宋体" w:cs="Times New Roman"/>
                <w:sz w:val="24"/>
              </w:rPr>
              <w:t>后，非因</w:t>
            </w:r>
            <w:r>
              <w:rPr>
                <w:rFonts w:hint="default" w:ascii="Times New Roman" w:hAnsi="Times New Roman" w:cs="Times New Roman"/>
                <w:sz w:val="24"/>
                <w:lang w:val="en-US" w:eastAsia="zh-CN"/>
              </w:rPr>
              <w:t>成交供应商</w:t>
            </w:r>
            <w:r>
              <w:rPr>
                <w:rFonts w:hint="default" w:ascii="Times New Roman" w:hAnsi="Times New Roman" w:eastAsia="宋体" w:cs="Times New Roman"/>
                <w:sz w:val="24"/>
              </w:rPr>
              <w:t>原因导致项目未执行、需退还代理费的，采购代理机构按代理费总额的30%收取项目执行成本费用，低于1万的按1万收取，高于5万的按5万收取。代理费不足1万的，按实际代理费收取。</w:t>
            </w:r>
          </w:p>
          <w:p w14:paraId="1FE7836B">
            <w:pPr>
              <w:jc w:val="left"/>
              <w:rPr>
                <w:rFonts w:hint="default" w:ascii="Times New Roman" w:hAnsi="Times New Roman" w:eastAsia="宋体" w:cs="Times New Roman"/>
                <w:sz w:val="24"/>
              </w:rPr>
            </w:pPr>
            <w:r>
              <w:rPr>
                <w:rFonts w:hint="default" w:ascii="Times New Roman" w:hAnsi="Times New Roman" w:eastAsia="宋体" w:cs="Times New Roman"/>
                <w:sz w:val="24"/>
              </w:rPr>
              <w:t>代理费收受人信息：</w:t>
            </w:r>
          </w:p>
          <w:p w14:paraId="67375CA6">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收款单位：北京汇诚金桥国际招标咨询有限公司  </w:t>
            </w:r>
          </w:p>
          <w:p w14:paraId="0A0AA56E">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开 户 行：中国农业银行股份有限公司北京朝阳门支行  </w:t>
            </w:r>
          </w:p>
          <w:p w14:paraId="4265D66A">
            <w:pPr>
              <w:jc w:val="left"/>
              <w:rPr>
                <w:rFonts w:hint="default" w:ascii="Times New Roman" w:hAnsi="Times New Roman" w:eastAsia="宋体" w:cs="Times New Roman"/>
                <w:sz w:val="24"/>
              </w:rPr>
            </w:pPr>
            <w:r>
              <w:rPr>
                <w:rFonts w:hint="default" w:ascii="Times New Roman" w:hAnsi="Times New Roman" w:eastAsia="宋体" w:cs="Times New Roman"/>
                <w:sz w:val="24"/>
              </w:rPr>
              <w:t>银行账号：1119  1701  0400  02067</w:t>
            </w:r>
          </w:p>
          <w:p w14:paraId="66B9B4B0">
            <w:pPr>
              <w:jc w:val="left"/>
              <w:rPr>
                <w:rFonts w:hint="default" w:ascii="Times New Roman" w:hAnsi="Times New Roman" w:eastAsia="宋体" w:cs="Times New Roman"/>
                <w:sz w:val="24"/>
              </w:rPr>
            </w:pPr>
            <w:r>
              <w:rPr>
                <w:rFonts w:hint="default" w:ascii="Times New Roman" w:hAnsi="Times New Roman" w:eastAsia="宋体" w:cs="Times New Roman"/>
                <w:sz w:val="24"/>
              </w:rPr>
              <w:t>开户行行号：1031  0001  9176</w:t>
            </w:r>
          </w:p>
          <w:p w14:paraId="0DDB9924">
            <w:pPr>
              <w:jc w:val="left"/>
              <w:rPr>
                <w:rFonts w:hint="default" w:ascii="Times New Roman" w:hAnsi="Times New Roman" w:eastAsia="宋体" w:cs="Times New Roman"/>
                <w:sz w:val="24"/>
              </w:rPr>
            </w:pPr>
            <w:r>
              <w:rPr>
                <w:rFonts w:hint="default" w:ascii="Times New Roman" w:hAnsi="Times New Roman" w:eastAsia="宋体" w:cs="Times New Roman"/>
                <w:sz w:val="24"/>
              </w:rPr>
              <w:t>缴纳时间：领取成交通知书时。</w:t>
            </w:r>
          </w:p>
        </w:tc>
      </w:tr>
    </w:tbl>
    <w:p w14:paraId="3EB5C6CA">
      <w:pPr>
        <w:tabs>
          <w:tab w:val="left" w:pos="5580"/>
        </w:tabs>
        <w:adjustRightInd w:val="0"/>
        <w:spacing w:line="360" w:lineRule="auto"/>
        <w:jc w:val="distribute"/>
        <w:rPr>
          <w:rFonts w:hint="default" w:ascii="Times New Roman" w:hAnsi="Times New Roman" w:eastAsia="宋体" w:cs="Times New Roman"/>
          <w:sz w:val="24"/>
        </w:rPr>
        <w:sectPr>
          <w:footerReference r:id="rId11" w:type="first"/>
          <w:footerReference r:id="rId10" w:type="default"/>
          <w:pgSz w:w="11907" w:h="16840"/>
          <w:pgMar w:top="1418" w:right="966" w:bottom="1418" w:left="1501" w:header="851" w:footer="851" w:gutter="0"/>
          <w:pgNumType w:fmt="decimal"/>
          <w:cols w:space="720" w:num="1"/>
          <w:titlePg/>
          <w:docGrid w:linePitch="462" w:charSpace="0"/>
        </w:sectPr>
      </w:pPr>
    </w:p>
    <w:p w14:paraId="27D1B50D">
      <w:pPr>
        <w:spacing w:before="312" w:beforeLines="100" w:after="312" w:afterLines="100"/>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供应商须知</w:t>
      </w:r>
    </w:p>
    <w:p w14:paraId="42161EE6">
      <w:pPr>
        <w:pStyle w:val="4"/>
        <w:tabs>
          <w:tab w:val="center" w:pos="4592"/>
          <w:tab w:val="left" w:pos="7860"/>
        </w:tabs>
        <w:spacing w:before="0" w:line="360" w:lineRule="auto"/>
        <w:jc w:val="left"/>
        <w:rPr>
          <w:rFonts w:hint="default" w:ascii="Times New Roman" w:hAnsi="Times New Roman" w:eastAsia="宋体" w:cs="Times New Roman"/>
          <w:sz w:val="28"/>
        </w:rPr>
      </w:pPr>
      <w:bookmarkStart w:id="73" w:name="_Toc127151518"/>
      <w:bookmarkStart w:id="74" w:name="_Toc520356143"/>
      <w:r>
        <w:rPr>
          <w:rFonts w:hint="default" w:ascii="Times New Roman" w:hAnsi="Times New Roman" w:eastAsia="宋体" w:cs="Times New Roman"/>
          <w:sz w:val="28"/>
        </w:rPr>
        <w:tab/>
      </w:r>
      <w:bookmarkStart w:id="75" w:name="_Toc150480756"/>
      <w:bookmarkStart w:id="76" w:name="_Toc151193906"/>
      <w:bookmarkStart w:id="77" w:name="_Toc142311020"/>
      <w:bookmarkStart w:id="78" w:name="_Toc151193760"/>
      <w:bookmarkStart w:id="79" w:name="_Toc305158860"/>
      <w:bookmarkStart w:id="80" w:name="_Toc150774723"/>
      <w:bookmarkStart w:id="81" w:name="_Toc305158786"/>
      <w:bookmarkStart w:id="82" w:name="_Toc265228356"/>
      <w:bookmarkStart w:id="83" w:name="_Toc264969208"/>
      <w:bookmarkStart w:id="84" w:name="_Toc150774618"/>
      <w:bookmarkStart w:id="85" w:name="_Toc226965708"/>
      <w:bookmarkStart w:id="86" w:name="_Toc151190145"/>
      <w:bookmarkStart w:id="87" w:name="_Toc226965791"/>
      <w:bookmarkStart w:id="88" w:name="_Toc151193688"/>
      <w:bookmarkStart w:id="89" w:name="_Toc150509269"/>
      <w:bookmarkStart w:id="90" w:name="_Toc226309762"/>
      <w:bookmarkStart w:id="91" w:name="_Toc226337214"/>
      <w:bookmarkStart w:id="92" w:name="_Toc195842883"/>
      <w:bookmarkStart w:id="93" w:name="_Toc151193832"/>
      <w:bookmarkStart w:id="94" w:name="_Toc151193616"/>
      <w:r>
        <w:rPr>
          <w:rFonts w:hint="default" w:ascii="Times New Roman" w:hAnsi="Times New Roman" w:eastAsia="宋体" w:cs="Times New Roman"/>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default" w:ascii="Times New Roman" w:hAnsi="Times New Roman" w:eastAsia="宋体" w:cs="Times New Roman"/>
          <w:sz w:val="28"/>
        </w:rPr>
        <w:tab/>
      </w:r>
    </w:p>
    <w:p w14:paraId="1ED7379F">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bookmarkStart w:id="95" w:name="_Toc264969209"/>
      <w:bookmarkStart w:id="96" w:name="_Toc305158787"/>
      <w:bookmarkStart w:id="97" w:name="_Toc265228357"/>
      <w:bookmarkStart w:id="98" w:name="_Toc305158861"/>
      <w:r>
        <w:rPr>
          <w:rFonts w:hint="default" w:ascii="Times New Roman" w:hAnsi="Times New Roman" w:eastAsia="宋体" w:cs="Times New Roman"/>
          <w:sz w:val="24"/>
        </w:rPr>
        <w:t>采购人、采购代理机构、供应商</w:t>
      </w:r>
      <w:bookmarkEnd w:id="95"/>
      <w:bookmarkEnd w:id="96"/>
      <w:bookmarkEnd w:id="97"/>
      <w:bookmarkEnd w:id="98"/>
      <w:r>
        <w:rPr>
          <w:rFonts w:hint="default" w:ascii="Times New Roman" w:hAnsi="Times New Roman" w:eastAsia="宋体" w:cs="Times New Roman"/>
          <w:sz w:val="24"/>
        </w:rPr>
        <w:t>、联合体</w:t>
      </w:r>
    </w:p>
    <w:p w14:paraId="0FB48967">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采购人、采购代理机构：指依法进行政府采购的国家机关、事业单位、团体组织，及其委托的采购代理机构。本项目采购人、采购代理机构见第一章《采购邀请》。</w:t>
      </w:r>
    </w:p>
    <w:p w14:paraId="34CB89E4">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供应商（也称“申请人”）：指向采购人提供货物、工程或者服务的法人、其他组织或者自然人。</w:t>
      </w:r>
    </w:p>
    <w:p w14:paraId="05735E42">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联合体：指两个以上的自然人、法人或者其他组织组成一个联合体，以一个供应商的身份共同参加政府采购。</w:t>
      </w:r>
    </w:p>
    <w:p w14:paraId="53EF6C75">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bookmarkStart w:id="99" w:name="_Toc195842885"/>
      <w:bookmarkStart w:id="100" w:name="_Toc164229361"/>
      <w:bookmarkStart w:id="101" w:name="_Toc150774620"/>
      <w:bookmarkStart w:id="102" w:name="_Toc164229215"/>
      <w:bookmarkStart w:id="103" w:name="_Toc127151520"/>
      <w:bookmarkStart w:id="104" w:name="_Toc151193762"/>
      <w:bookmarkStart w:id="105" w:name="_Toc150774725"/>
      <w:bookmarkStart w:id="106" w:name="_Toc127151721"/>
      <w:bookmarkStart w:id="107" w:name="_Toc226965710"/>
      <w:bookmarkStart w:id="108" w:name="_Toc164608634"/>
      <w:bookmarkStart w:id="109" w:name="_Toc226337216"/>
      <w:bookmarkStart w:id="110" w:name="_Toc150480758"/>
      <w:bookmarkStart w:id="111" w:name="_Toc265228358"/>
      <w:bookmarkStart w:id="112" w:name="_Toc151193690"/>
      <w:bookmarkStart w:id="113" w:name="_Toc226965793"/>
      <w:bookmarkStart w:id="114" w:name="_Toc164608789"/>
      <w:bookmarkStart w:id="115" w:name="_Toc226309764"/>
      <w:bookmarkStart w:id="116" w:name="_Toc127161434"/>
      <w:bookmarkStart w:id="117" w:name="_Toc305158862"/>
      <w:bookmarkStart w:id="118" w:name="_Toc151193908"/>
      <w:bookmarkStart w:id="119" w:name="_Toc151193618"/>
      <w:bookmarkStart w:id="120" w:name="_Toc151193834"/>
      <w:bookmarkStart w:id="121" w:name="_Toc164351614"/>
      <w:bookmarkStart w:id="122" w:name="_Toc264969210"/>
      <w:bookmarkStart w:id="123" w:name="_Toc305158788"/>
      <w:bookmarkStart w:id="124" w:name="_Toc150509271"/>
      <w:bookmarkStart w:id="125" w:name="_Toc142311022"/>
      <w:bookmarkStart w:id="126" w:name="_Toc149720813"/>
      <w:bookmarkStart w:id="127" w:name="_Toc151190147"/>
      <w:r>
        <w:rPr>
          <w:rFonts w:hint="default" w:ascii="Times New Roman" w:hAnsi="Times New Roman" w:eastAsia="宋体" w:cs="Times New Roman"/>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default" w:ascii="Times New Roman" w:hAnsi="Times New Roman" w:eastAsia="宋体" w:cs="Times New Roman"/>
          <w:sz w:val="24"/>
        </w:rPr>
        <w:t>、项目属性、科研仪器设备采购</w:t>
      </w:r>
    </w:p>
    <w:p w14:paraId="6D0CA8E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资金来源为财政性资金和/或本项目采购中无法与财政性资金分割的非财政性资金。</w:t>
      </w:r>
    </w:p>
    <w:p w14:paraId="164034C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项目属性见《供应商须知资料表》。</w:t>
      </w:r>
    </w:p>
    <w:p w14:paraId="36F0FCD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是否属于科研仪器设备采购见《供应商须知资料表》。</w:t>
      </w:r>
    </w:p>
    <w:p w14:paraId="393073F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现场考察、磋商前答疑会</w:t>
      </w:r>
    </w:p>
    <w:p w14:paraId="6C4FFFC7">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8"/>
        </w:rPr>
      </w:pPr>
      <w:r>
        <w:rPr>
          <w:rFonts w:hint="default" w:ascii="Times New Roman" w:hAnsi="Times New Roman" w:eastAsia="宋体" w:cs="Times New Roman"/>
          <w:sz w:val="24"/>
        </w:rPr>
        <w:t>若《供应商须知资料表》中规定了组织现场考察、召开磋商前答疑会，则供应商应按要求在规定的时间和地点参加。</w:t>
      </w:r>
      <w:bookmarkStart w:id="128" w:name="_Toc127151522"/>
      <w:bookmarkStart w:id="129" w:name="_Toc305158790"/>
      <w:bookmarkStart w:id="130" w:name="_Toc226337218"/>
      <w:bookmarkStart w:id="131" w:name="_Toc265228360"/>
      <w:bookmarkStart w:id="132" w:name="_Toc150480760"/>
      <w:bookmarkStart w:id="133" w:name="_Toc151190149"/>
      <w:bookmarkStart w:id="134" w:name="_Toc151193764"/>
      <w:bookmarkStart w:id="135" w:name="_Toc151193620"/>
      <w:bookmarkStart w:id="136" w:name="_Toc150509273"/>
      <w:bookmarkStart w:id="137" w:name="_Toc305158864"/>
      <w:bookmarkStart w:id="138" w:name="_Toc264969212"/>
      <w:bookmarkStart w:id="139" w:name="_Toc151193836"/>
      <w:bookmarkStart w:id="140" w:name="_Toc151193910"/>
      <w:bookmarkStart w:id="141" w:name="_Toc142311024"/>
      <w:bookmarkStart w:id="142" w:name="_Toc195842887"/>
      <w:bookmarkStart w:id="143" w:name="_Toc226965712"/>
      <w:bookmarkStart w:id="144" w:name="_Toc520356146"/>
      <w:bookmarkStart w:id="145" w:name="_Toc150774727"/>
      <w:bookmarkStart w:id="146" w:name="_Toc226965795"/>
      <w:bookmarkStart w:id="147" w:name="_Toc226309766"/>
      <w:bookmarkStart w:id="148" w:name="_Toc150774622"/>
      <w:bookmarkStart w:id="149" w:name="_Toc151193692"/>
    </w:p>
    <w:p w14:paraId="2CCC46CE">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由于未参加现场考察或磋商前答疑会而导致对项目实际情况不了解，影响响应文件编制、报价准确性、综合因素响应不全面等问题的，由供应商自行承担不利评审后果。</w:t>
      </w:r>
    </w:p>
    <w:p w14:paraId="2178CACA">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政府采购政策（包括但不限于下列具体政策要求）</w:t>
      </w:r>
    </w:p>
    <w:p w14:paraId="526FA67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采购本国货物、工程和服务</w:t>
      </w:r>
    </w:p>
    <w:p w14:paraId="501F8AE7">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kern w:val="0"/>
          <w:sz w:val="24"/>
        </w:rPr>
        <w:t>政府采购应当采购本国货物、工程和服务。但有《</w:t>
      </w:r>
      <w:r>
        <w:rPr>
          <w:rFonts w:hint="default" w:ascii="Times New Roman" w:hAnsi="Times New Roman" w:eastAsia="宋体" w:cs="Times New Roman"/>
          <w:b/>
          <w:kern w:val="0"/>
          <w:sz w:val="24"/>
        </w:rPr>
        <w:t>中华人民共和国政府采购法</w:t>
      </w:r>
      <w:r>
        <w:rPr>
          <w:rFonts w:hint="default" w:ascii="Times New Roman" w:hAnsi="Times New Roman" w:eastAsia="宋体" w:cs="Times New Roman"/>
          <w:kern w:val="0"/>
          <w:sz w:val="24"/>
        </w:rPr>
        <w:t>》第十条规定情形的除外。</w:t>
      </w:r>
    </w:p>
    <w:p w14:paraId="097FD2BC">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本项目如接受非本国货物、工程、服务参与响应，则具体要求见第四章《采购需求》。</w:t>
      </w:r>
    </w:p>
    <w:p w14:paraId="3AEF4DFF">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329241A">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中小企业、监狱企业及残疾人福利性单位</w:t>
      </w:r>
    </w:p>
    <w:p w14:paraId="3AB7BBDE">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中小企业定义：</w:t>
      </w:r>
    </w:p>
    <w:p w14:paraId="19F250D5">
      <w:pPr>
        <w:numPr>
          <w:ilvl w:val="3"/>
          <w:numId w:val="0"/>
        </w:numPr>
        <w:tabs>
          <w:tab w:val="left" w:pos="1980"/>
          <w:tab w:val="left" w:pos="2035"/>
          <w:tab w:val="left" w:pos="2885"/>
          <w:tab w:val="left" w:pos="2977"/>
        </w:tabs>
        <w:snapToGrid w:val="0"/>
        <w:spacing w:line="360" w:lineRule="auto"/>
        <w:ind w:left="2061" w:leftChars="570" w:hanging="864" w:hangingChars="3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4.2.1.1</w:t>
      </w: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7AEC8C3C">
      <w:pPr>
        <w:numPr>
          <w:ilvl w:val="3"/>
          <w:numId w:val="0"/>
        </w:numPr>
        <w:tabs>
          <w:tab w:val="left" w:pos="1980"/>
          <w:tab w:val="left" w:pos="2035"/>
          <w:tab w:val="left" w:pos="2885"/>
          <w:tab w:val="left" w:pos="2977"/>
        </w:tabs>
        <w:snapToGrid w:val="0"/>
        <w:spacing w:line="360" w:lineRule="auto"/>
        <w:ind w:left="1678" w:leftChars="456" w:hanging="720" w:hangingChars="3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4.2.1.2</w:t>
      </w:r>
      <w:r>
        <w:rPr>
          <w:rFonts w:hint="default" w:ascii="Times New Roman" w:hAnsi="Times New Roman" w:eastAsia="宋体" w:cs="Times New Roman"/>
          <w:sz w:val="24"/>
        </w:rPr>
        <w:t>供应商提供的货物、工程或者服务符合下列情形的，享受中小企业扶持政策：</w:t>
      </w:r>
    </w:p>
    <w:p w14:paraId="63595818">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（1）在货物采购项目中，货物由中小企业制造，即货物由中小企业生产且使用该中小企业商号或者注册商标；</w:t>
      </w:r>
    </w:p>
    <w:p w14:paraId="329771E7">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（2）在工程采购项目中，工程由中小企业承建，即工程施工单位为中小企业；</w:t>
      </w:r>
    </w:p>
    <w:p w14:paraId="7BF4CBE2">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81AF35B">
      <w:pPr>
        <w:numPr>
          <w:ilvl w:val="3"/>
          <w:numId w:val="0"/>
        </w:numPr>
        <w:tabs>
          <w:tab w:val="left" w:pos="1980"/>
          <w:tab w:val="left" w:pos="2035"/>
          <w:tab w:val="left" w:pos="2885"/>
          <w:tab w:val="left" w:pos="2977"/>
        </w:tabs>
        <w:snapToGrid w:val="0"/>
        <w:spacing w:line="360" w:lineRule="auto"/>
        <w:ind w:left="1678" w:leftChars="456" w:hanging="720" w:hangingChars="300"/>
        <w:rPr>
          <w:rFonts w:hint="default" w:ascii="Times New Roman" w:hAnsi="Times New Roman" w:eastAsia="宋体" w:cs="Times New Roman"/>
          <w:sz w:val="24"/>
        </w:rPr>
      </w:pPr>
      <w:r>
        <w:rPr>
          <w:rFonts w:hint="default" w:ascii="Times New Roman" w:hAnsi="Times New Roman" w:eastAsia="宋体" w:cs="Times New Roman"/>
          <w:sz w:val="24"/>
        </w:rPr>
        <w:t>4.2.1.3在货物采购项目中，供应商提供的货物既有中小企业制造货物，也有大型企业制造货物的，不享受中小企业扶持政策。</w:t>
      </w:r>
    </w:p>
    <w:p w14:paraId="018E71FC">
      <w:pPr>
        <w:numPr>
          <w:ilvl w:val="3"/>
          <w:numId w:val="0"/>
        </w:numPr>
        <w:tabs>
          <w:tab w:val="left" w:pos="1980"/>
          <w:tab w:val="left" w:pos="2035"/>
          <w:tab w:val="left" w:pos="2885"/>
          <w:tab w:val="left" w:pos="2977"/>
        </w:tabs>
        <w:snapToGrid w:val="0"/>
        <w:spacing w:line="360" w:lineRule="auto"/>
        <w:ind w:left="1678" w:leftChars="456" w:hanging="720" w:hangingChars="300"/>
        <w:rPr>
          <w:rFonts w:hint="default" w:ascii="Times New Roman" w:hAnsi="Times New Roman" w:eastAsia="宋体" w:cs="Times New Roman"/>
          <w:sz w:val="24"/>
        </w:rPr>
      </w:pPr>
      <w:r>
        <w:rPr>
          <w:rFonts w:hint="default" w:ascii="Times New Roman" w:hAnsi="Times New Roman" w:eastAsia="宋体" w:cs="Times New Roman"/>
          <w:sz w:val="24"/>
        </w:rPr>
        <w:t>4.2.1.4</w:t>
      </w:r>
      <w:r>
        <w:rPr>
          <w:rFonts w:hint="default" w:ascii="Times New Roman" w:hAnsi="Times New Roman" w:eastAsia="宋体" w:cs="Times New Roman"/>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2C9DF3E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DF07D1">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0B56699">
      <w:pPr>
        <w:numPr>
          <w:ilvl w:val="3"/>
          <w:numId w:val="0"/>
        </w:numPr>
        <w:tabs>
          <w:tab w:val="left" w:pos="1980"/>
          <w:tab w:val="left" w:pos="2035"/>
          <w:tab w:val="left" w:pos="2740"/>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4.2.3.1安置的残疾人占本单位在职职工人数的比例不低于25%（含25%），并且安置的残疾人人数不少于10 人（含10 人）；</w:t>
      </w:r>
    </w:p>
    <w:p w14:paraId="17F739BA">
      <w:pPr>
        <w:numPr>
          <w:ilvl w:val="3"/>
          <w:numId w:val="0"/>
        </w:numPr>
        <w:tabs>
          <w:tab w:val="left" w:pos="1980"/>
          <w:tab w:val="left" w:pos="2035"/>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4.2.3.2</w:t>
      </w:r>
      <w:r>
        <w:rPr>
          <w:rFonts w:hint="default" w:ascii="Times New Roman" w:hAnsi="Times New Roman" w:eastAsia="宋体" w:cs="Times New Roman"/>
          <w:sz w:val="24"/>
        </w:rPr>
        <w:t>依法与安置的每位残疾人签订了一年以上（含一年）的劳动合同或服务协议；</w:t>
      </w:r>
    </w:p>
    <w:p w14:paraId="7F85E603">
      <w:pPr>
        <w:numPr>
          <w:ilvl w:val="3"/>
          <w:numId w:val="0"/>
        </w:numPr>
        <w:tabs>
          <w:tab w:val="left" w:pos="1980"/>
          <w:tab w:val="left" w:pos="2035"/>
          <w:tab w:val="left" w:pos="2740"/>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4.2.3.3</w:t>
      </w:r>
      <w:r>
        <w:rPr>
          <w:rFonts w:hint="default" w:ascii="Times New Roman" w:hAnsi="Times New Roman" w:eastAsia="宋体" w:cs="Times New Roman"/>
          <w:sz w:val="24"/>
        </w:rPr>
        <w:t>为安置的每位残疾人按月足额缴纳了基本养老保险、基本医疗保险、失业保险、工伤保险和生育保险等社会保险费；</w:t>
      </w:r>
    </w:p>
    <w:p w14:paraId="6850AB85">
      <w:pPr>
        <w:numPr>
          <w:ilvl w:val="3"/>
          <w:numId w:val="0"/>
        </w:numPr>
        <w:tabs>
          <w:tab w:val="left" w:pos="1980"/>
          <w:tab w:val="left" w:pos="2035"/>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4.2.3.4</w:t>
      </w:r>
      <w:r>
        <w:rPr>
          <w:rFonts w:hint="default" w:ascii="Times New Roman" w:hAnsi="Times New Roman" w:eastAsia="宋体" w:cs="Times New Roman"/>
          <w:sz w:val="24"/>
        </w:rPr>
        <w:t>通过银行等金融机构向安置的每位残疾人，按月支付了不低于单位所在区县适用的经省级人民政府批准的月最低工资标准的工资；</w:t>
      </w:r>
    </w:p>
    <w:p w14:paraId="161943C2">
      <w:pPr>
        <w:numPr>
          <w:ilvl w:val="3"/>
          <w:numId w:val="0"/>
        </w:numPr>
        <w:tabs>
          <w:tab w:val="left" w:pos="1980"/>
          <w:tab w:val="left" w:pos="2035"/>
          <w:tab w:val="left" w:pos="2740"/>
        </w:tabs>
        <w:snapToGrid w:val="0"/>
        <w:spacing w:line="360" w:lineRule="auto"/>
        <w:ind w:left="2733" w:leftChars="904" w:hanging="835" w:hangingChars="348"/>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4.2.3.5</w:t>
      </w:r>
      <w:r>
        <w:rPr>
          <w:rFonts w:hint="default" w:ascii="Times New Roman" w:hAnsi="Times New Roman" w:eastAsia="宋体" w:cs="Times New Roman"/>
          <w:sz w:val="24"/>
        </w:rPr>
        <w:t>提供本单位制造的货物、承担的工程或者服务（以下简称产品），或者提供其他残疾人福利性单位制造的货物（不包括使用非残疾人福利性单位注册商标的货物）；</w:t>
      </w:r>
    </w:p>
    <w:p w14:paraId="5088A597">
      <w:pPr>
        <w:numPr>
          <w:ilvl w:val="3"/>
          <w:numId w:val="0"/>
        </w:numPr>
        <w:tabs>
          <w:tab w:val="left" w:pos="1980"/>
          <w:tab w:val="left" w:pos="2035"/>
          <w:tab w:val="left" w:pos="2977"/>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4.2.3.6</w:t>
      </w:r>
      <w:r>
        <w:rPr>
          <w:rFonts w:hint="default" w:ascii="Times New Roman" w:hAnsi="Times New Roman" w:eastAsia="宋体" w:cs="Times New Roman"/>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23C35F4">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本项目是否专门面向中小企业预留采购份额见第一章《采购邀请》。</w:t>
      </w:r>
    </w:p>
    <w:p w14:paraId="43270CC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采购标的对应的中小企业划分标准所属行业见《供应商须知资料表》。</w:t>
      </w:r>
    </w:p>
    <w:p w14:paraId="1847DE71">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小微企业价格评审优惠的政策调整：见第三章《评审方法和评审标准》。</w:t>
      </w:r>
    </w:p>
    <w:p w14:paraId="2AF661FF">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政府采购节能产品、环境标志产品</w:t>
      </w:r>
    </w:p>
    <w:p w14:paraId="435E2E6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165853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2AA2B5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如本项目采购产品属于实施政府强制采购品目清单范围的节能产品，则供应商所报产品必须获得国家确定的认证机构出具的、处于有效期之内的节能产品认证证书，</w:t>
      </w:r>
      <w:r>
        <w:rPr>
          <w:rFonts w:hint="default" w:ascii="Times New Roman" w:hAnsi="Times New Roman" w:eastAsia="宋体" w:cs="Times New Roman"/>
          <w:kern w:val="0"/>
          <w:sz w:val="24"/>
        </w:rPr>
        <w:t>否则</w:t>
      </w:r>
      <w:r>
        <w:rPr>
          <w:rFonts w:hint="default" w:ascii="Times New Roman" w:hAnsi="Times New Roman" w:eastAsia="宋体" w:cs="Times New Roman"/>
          <w:b/>
          <w:kern w:val="0"/>
          <w:sz w:val="24"/>
        </w:rPr>
        <w:t>响应无效</w:t>
      </w:r>
      <w:r>
        <w:rPr>
          <w:rFonts w:hint="default" w:ascii="Times New Roman" w:hAnsi="Times New Roman" w:eastAsia="宋体" w:cs="Times New Roman"/>
          <w:sz w:val="24"/>
        </w:rPr>
        <w:t>；</w:t>
      </w:r>
    </w:p>
    <w:p w14:paraId="05729D4A">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非政府强制采购的节能产品或环境标志产品，依据品目清单和认证证书实施政府优先采购。优先采购的具体规定见第三章《评审方法和评审标准》（如涉及）。</w:t>
      </w:r>
    </w:p>
    <w:p w14:paraId="1F87154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正版软件</w:t>
      </w:r>
    </w:p>
    <w:p w14:paraId="6D081BA8">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75D37B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网络安全专用产品</w:t>
      </w:r>
    </w:p>
    <w:p w14:paraId="064161E8">
      <w:pPr>
        <w:numPr>
          <w:ilvl w:val="2"/>
          <w:numId w:val="8"/>
        </w:numPr>
        <w:tabs>
          <w:tab w:val="left" w:pos="900"/>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E480EC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推广使用低挥发性有机化合物（VOCs）</w:t>
      </w:r>
    </w:p>
    <w:p w14:paraId="71B4C54E">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default" w:ascii="Times New Roman" w:hAnsi="Times New Roman" w:eastAsia="宋体" w:cs="Times New Roman"/>
          <w:kern w:val="0"/>
          <w:sz w:val="24"/>
        </w:rPr>
        <w:t>否则</w:t>
      </w:r>
      <w:r>
        <w:rPr>
          <w:rFonts w:hint="default" w:ascii="Times New Roman" w:hAnsi="Times New Roman" w:eastAsia="宋体" w:cs="Times New Roman"/>
          <w:b/>
          <w:kern w:val="0"/>
          <w:sz w:val="24"/>
        </w:rPr>
        <w:t>响应无效</w:t>
      </w:r>
      <w:r>
        <w:rPr>
          <w:rFonts w:hint="default" w:ascii="Times New Roman" w:hAnsi="Times New Roman" w:eastAsia="宋体" w:cs="Times New Roman"/>
          <w:sz w:val="24"/>
        </w:rPr>
        <w:t>；属于推荐性标准的，优先采购，具体见第三章《评审方法和评审标准》。</w:t>
      </w:r>
    </w:p>
    <w:p w14:paraId="09C391A7">
      <w:pPr>
        <w:numPr>
          <w:ilvl w:val="1"/>
          <w:numId w:val="8"/>
        </w:num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采购需求标准</w:t>
      </w:r>
    </w:p>
    <w:p w14:paraId="3D6F3438">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商品包装、快递包装政府采购需求标准（试行）</w:t>
      </w:r>
    </w:p>
    <w:p w14:paraId="55D7654B">
      <w:pPr>
        <w:tabs>
          <w:tab w:val="left" w:pos="900"/>
          <w:tab w:val="left" w:pos="1980"/>
        </w:tabs>
        <w:snapToGrid w:val="0"/>
        <w:spacing w:line="360" w:lineRule="auto"/>
        <w:ind w:left="1985"/>
        <w:rPr>
          <w:rFonts w:hint="default" w:ascii="Times New Roman" w:hAnsi="Times New Roman" w:eastAsia="宋体" w:cs="Times New Roman"/>
          <w:sz w:val="24"/>
        </w:rPr>
      </w:pPr>
      <w:r>
        <w:rPr>
          <w:rFonts w:hint="default" w:ascii="Times New Roman" w:hAnsi="Times New Roman" w:eastAsia="宋体" w:cs="Times New Roman"/>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4F77296B">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其他政府采购需求标准 </w:t>
      </w:r>
    </w:p>
    <w:p w14:paraId="03FCF0CC">
      <w:pPr>
        <w:tabs>
          <w:tab w:val="left" w:pos="900"/>
          <w:tab w:val="left" w:pos="1980"/>
        </w:tabs>
        <w:snapToGrid w:val="0"/>
        <w:spacing w:line="360" w:lineRule="auto"/>
        <w:ind w:left="1980"/>
        <w:rPr>
          <w:rFonts w:hint="default" w:ascii="Times New Roman" w:hAnsi="Times New Roman" w:eastAsia="宋体" w:cs="Times New Roman"/>
          <w:sz w:val="24"/>
        </w:rPr>
      </w:pPr>
      <w:r>
        <w:rPr>
          <w:rFonts w:hint="default" w:ascii="Times New Roman" w:hAnsi="Times New Roman" w:eastAsia="宋体" w:cs="Times New Roman"/>
          <w:sz w:val="24"/>
        </w:rPr>
        <w:t>为贯彻落实《深化政府采购制度改革方案》有关要求，推动政府采购需求标准建设，</w:t>
      </w:r>
      <w:bookmarkStart w:id="150" w:name="_Hlk168431650"/>
      <w:r>
        <w:rPr>
          <w:rFonts w:hint="default" w:ascii="Times New Roman" w:hAnsi="Times New Roman" w:eastAsia="宋体" w:cs="Times New Roman"/>
          <w:sz w:val="24"/>
        </w:rPr>
        <w:t>财政部门会同有关部门制定发布的</w:t>
      </w:r>
      <w:bookmarkEnd w:id="150"/>
      <w:r>
        <w:rPr>
          <w:rFonts w:hint="default" w:ascii="Times New Roman" w:hAnsi="Times New Roman" w:eastAsia="宋体" w:cs="Times New Roman"/>
          <w:sz w:val="24"/>
        </w:rPr>
        <w:t>其他政府采购需求标准，本项目如涉及，则具体要求见第四章《采购需求》。</w:t>
      </w:r>
    </w:p>
    <w:p w14:paraId="6674615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响应费用</w:t>
      </w:r>
    </w:p>
    <w:p w14:paraId="2775444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供应商应自行承担所有与准备和参加磋商有关的费用，无论磋商的结果如何，采购人或采购代理机构在任何情况下均无承担这些费用的义务和责任。</w:t>
      </w:r>
    </w:p>
    <w:p w14:paraId="04F6B93C">
      <w:pPr>
        <w:tabs>
          <w:tab w:val="left" w:pos="1080"/>
        </w:tabs>
        <w:snapToGrid w:val="0"/>
        <w:spacing w:line="360" w:lineRule="auto"/>
        <w:ind w:left="1080"/>
        <w:rPr>
          <w:rFonts w:hint="default" w:ascii="Times New Roman" w:hAnsi="Times New Roman" w:eastAsia="宋体" w:cs="Times New Roman"/>
          <w:sz w:val="28"/>
        </w:rPr>
      </w:pPr>
      <w:bookmarkStart w:id="151" w:name="_1.8_计量单位"/>
      <w:bookmarkEnd w:id="151"/>
    </w:p>
    <w:p w14:paraId="6221DE00">
      <w:pPr>
        <w:pStyle w:val="4"/>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33114C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152" w:name="_Toc195842888"/>
      <w:bookmarkStart w:id="153" w:name="_Toc164608792"/>
      <w:bookmarkStart w:id="154" w:name="_Toc226965713"/>
      <w:bookmarkStart w:id="155" w:name="_Toc226965796"/>
      <w:bookmarkStart w:id="156" w:name="_Toc150774728"/>
      <w:bookmarkStart w:id="157" w:name="_Toc305158865"/>
      <w:bookmarkStart w:id="158" w:name="_Toc164229218"/>
      <w:bookmarkStart w:id="159" w:name="_Toc127161437"/>
      <w:bookmarkStart w:id="160" w:name="_Toc164608637"/>
      <w:bookmarkStart w:id="161" w:name="_Toc151193911"/>
      <w:bookmarkStart w:id="162" w:name="_Toc127151724"/>
      <w:bookmarkStart w:id="163" w:name="_Toc164229364"/>
      <w:bookmarkStart w:id="164" w:name="_Toc142311025"/>
      <w:bookmarkStart w:id="165" w:name="_Toc151193837"/>
      <w:bookmarkStart w:id="166" w:name="_Toc151193765"/>
      <w:bookmarkStart w:id="167" w:name="_Toc264969213"/>
      <w:bookmarkStart w:id="168" w:name="_Toc151193693"/>
      <w:bookmarkStart w:id="169" w:name="_Toc150480761"/>
      <w:bookmarkStart w:id="170" w:name="_Toc305158791"/>
      <w:bookmarkStart w:id="171" w:name="_Toc150774623"/>
      <w:bookmarkStart w:id="172" w:name="_Toc226337219"/>
      <w:bookmarkStart w:id="173" w:name="_Toc149720816"/>
      <w:bookmarkStart w:id="174" w:name="_Toc520356147"/>
      <w:bookmarkStart w:id="175" w:name="_Toc164351617"/>
      <w:bookmarkStart w:id="176" w:name="_Toc127151523"/>
      <w:bookmarkStart w:id="177" w:name="_Toc151193621"/>
      <w:bookmarkStart w:id="178" w:name="_Toc151190150"/>
      <w:bookmarkStart w:id="179" w:name="_Toc265228361"/>
      <w:bookmarkStart w:id="180" w:name="_Toc226309767"/>
      <w:bookmarkStart w:id="181" w:name="_Toc150509274"/>
      <w:r>
        <w:rPr>
          <w:rFonts w:hint="default" w:ascii="Times New Roman" w:hAnsi="Times New Roman" w:eastAsia="宋体" w:cs="Times New Roman"/>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default" w:ascii="Times New Roman" w:hAnsi="Times New Roman" w:eastAsia="宋体" w:cs="Times New Roman"/>
          <w:sz w:val="24"/>
        </w:rPr>
        <w:t>成</w:t>
      </w:r>
    </w:p>
    <w:p w14:paraId="38F83B7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竞争性磋商文件包括以下部分：</w:t>
      </w:r>
    </w:p>
    <w:p w14:paraId="1EE10B47">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采购邀请</w:t>
      </w:r>
    </w:p>
    <w:p w14:paraId="0BFED171">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供应商须知</w:t>
      </w:r>
    </w:p>
    <w:p w14:paraId="7CDD7797">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4F95149E">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采购需求</w:t>
      </w:r>
    </w:p>
    <w:p w14:paraId="1823BC94">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合同草案条款</w:t>
      </w:r>
    </w:p>
    <w:p w14:paraId="3C159D6C">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响应文件格式</w:t>
      </w:r>
    </w:p>
    <w:p w14:paraId="49AEFD8F">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供应商应认真阅读竞争性磋商文件的全部内容。供应商应按照竞争性磋商文件要求提交响应文件并保证所提供的全部资料的真实性，并对竞争性磋商文件做出实质性响应，否则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0B28360A">
      <w:pPr>
        <w:numPr>
          <w:ilvl w:val="0"/>
          <w:numId w:val="8"/>
        </w:numPr>
        <w:tabs>
          <w:tab w:val="left" w:pos="1080"/>
          <w:tab w:val="left" w:pos="2014"/>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对竞争性磋商文件的澄清或修改</w:t>
      </w:r>
    </w:p>
    <w:p w14:paraId="2DD8F780">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473B870">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上述书面通知，按照获取竞争性磋商文件的潜在供应商提供的联系方式发出，因提供的信息有误导致通知延迟或无法通知的，采购人或采购代理机构不承担责任。</w:t>
      </w:r>
    </w:p>
    <w:p w14:paraId="32DBA963">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截止时间。</w:t>
      </w:r>
    </w:p>
    <w:p w14:paraId="72DA1424">
      <w:pPr>
        <w:tabs>
          <w:tab w:val="left" w:pos="1080"/>
          <w:tab w:val="left" w:pos="1561"/>
        </w:tabs>
        <w:snapToGrid w:val="0"/>
        <w:spacing w:line="360" w:lineRule="auto"/>
        <w:ind w:left="1080"/>
        <w:rPr>
          <w:rFonts w:hint="default" w:ascii="Times New Roman" w:hAnsi="Times New Roman" w:eastAsia="宋体" w:cs="Times New Roman"/>
          <w:sz w:val="28"/>
        </w:rPr>
      </w:pPr>
      <w:bookmarkStart w:id="182" w:name="_Toc516367020"/>
      <w:bookmarkStart w:id="183" w:name="_Toc151193914"/>
      <w:bookmarkStart w:id="184" w:name="_Toc150774731"/>
      <w:bookmarkStart w:id="185" w:name="_Toc226965716"/>
      <w:bookmarkStart w:id="186" w:name="_Toc150480764"/>
      <w:bookmarkStart w:id="187" w:name="_Toc151193840"/>
      <w:bookmarkStart w:id="188" w:name="_Toc226337222"/>
      <w:bookmarkStart w:id="189" w:name="_Toc150774626"/>
      <w:bookmarkStart w:id="190" w:name="_Toc305158868"/>
      <w:bookmarkStart w:id="191" w:name="_Toc226965799"/>
      <w:bookmarkStart w:id="192" w:name="_Toc305158794"/>
      <w:bookmarkStart w:id="193" w:name="_Toc151193768"/>
      <w:bookmarkStart w:id="194" w:name="_Toc264969216"/>
      <w:bookmarkStart w:id="195" w:name="_Toc195842891"/>
      <w:bookmarkStart w:id="196" w:name="_Toc142311028"/>
      <w:bookmarkStart w:id="197" w:name="_Toc226309770"/>
      <w:bookmarkStart w:id="198" w:name="_Toc151193624"/>
      <w:bookmarkStart w:id="199" w:name="_Toc520356150"/>
      <w:bookmarkStart w:id="200" w:name="_Toc150509277"/>
      <w:bookmarkStart w:id="201" w:name="_Toc151190153"/>
      <w:bookmarkStart w:id="202" w:name="_Toc151193696"/>
      <w:bookmarkStart w:id="203" w:name="_Toc265228364"/>
      <w:bookmarkStart w:id="204" w:name="_Toc127151526"/>
    </w:p>
    <w:p w14:paraId="2856C95C">
      <w:pPr>
        <w:pStyle w:val="4"/>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三   响应文件</w:t>
      </w:r>
      <w:bookmarkEnd w:id="182"/>
      <w:r>
        <w:rPr>
          <w:rFonts w:hint="default" w:ascii="Times New Roman" w:hAnsi="Times New Roman" w:eastAsia="宋体" w:cs="Times New Roman"/>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7B4AA4E">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05" w:name="_Toc164608796"/>
      <w:bookmarkStart w:id="206" w:name="_Toc151193697"/>
      <w:bookmarkStart w:id="207" w:name="_Toc305158795"/>
      <w:bookmarkStart w:id="208" w:name="_Toc265228365"/>
      <w:bookmarkStart w:id="209" w:name="_Toc150774732"/>
      <w:bookmarkStart w:id="210" w:name="_Toc164351621"/>
      <w:bookmarkStart w:id="211" w:name="_Toc226337223"/>
      <w:bookmarkStart w:id="212" w:name="_Toc164229222"/>
      <w:bookmarkStart w:id="213" w:name="_Toc226965717"/>
      <w:bookmarkStart w:id="214" w:name="_Toc195842892"/>
      <w:bookmarkStart w:id="215" w:name="_Toc226309771"/>
      <w:bookmarkStart w:id="216" w:name="_Toc127151728"/>
      <w:bookmarkStart w:id="217" w:name="_Toc264969217"/>
      <w:bookmarkStart w:id="218" w:name="_Toc151193769"/>
      <w:bookmarkStart w:id="219" w:name="_Toc127151527"/>
      <w:bookmarkStart w:id="220" w:name="_Toc151193915"/>
      <w:bookmarkStart w:id="221" w:name="_Toc149720820"/>
      <w:bookmarkStart w:id="222" w:name="_Toc151193625"/>
      <w:bookmarkStart w:id="223" w:name="_Toc151190154"/>
      <w:bookmarkStart w:id="224" w:name="_Toc520356151"/>
      <w:bookmarkStart w:id="225" w:name="_Toc127161441"/>
      <w:bookmarkStart w:id="226" w:name="_Toc151193841"/>
      <w:bookmarkStart w:id="227" w:name="_Toc150509278"/>
      <w:bookmarkStart w:id="228" w:name="_Toc164229368"/>
      <w:bookmarkStart w:id="229" w:name="_Toc305158869"/>
      <w:bookmarkStart w:id="230" w:name="_Toc150774627"/>
      <w:bookmarkStart w:id="231" w:name="_Toc516367021"/>
      <w:bookmarkStart w:id="232" w:name="_Toc150480765"/>
      <w:bookmarkStart w:id="233" w:name="_Toc164608641"/>
      <w:bookmarkStart w:id="234" w:name="_Toc226965800"/>
      <w:bookmarkStart w:id="235" w:name="_Toc142311029"/>
      <w:r>
        <w:rPr>
          <w:rFonts w:hint="default" w:ascii="Times New Roman" w:hAnsi="Times New Roman" w:eastAsia="宋体" w:cs="Times New Roman"/>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default" w:ascii="Times New Roman" w:hAnsi="Times New Roman" w:eastAsia="宋体" w:cs="Times New Roman"/>
          <w:sz w:val="24"/>
        </w:rPr>
        <w:t>及磋商语言</w:t>
      </w:r>
    </w:p>
    <w:p w14:paraId="6BC456D3">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hint="default" w:ascii="Times New Roman" w:hAnsi="Times New Roman" w:eastAsia="宋体" w:cs="Times New Roman"/>
          <w:b/>
          <w:sz w:val="24"/>
        </w:rPr>
        <w:t>无效响应</w:t>
      </w:r>
      <w:r>
        <w:rPr>
          <w:rFonts w:hint="default" w:ascii="Times New Roman" w:hAnsi="Times New Roman" w:eastAsia="宋体" w:cs="Times New Roman"/>
          <w:sz w:val="24"/>
        </w:rPr>
        <w:t>。</w:t>
      </w:r>
    </w:p>
    <w:p w14:paraId="039CC0D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除竞争性磋商文件有特殊要求外，本项目磋商所使用的计量单位，应采用中华人民共和国法定计量单位。</w:t>
      </w:r>
    </w:p>
    <w:p w14:paraId="262A96FE">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245ACD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36" w:name="_Toc516367022"/>
      <w:bookmarkStart w:id="237" w:name="_Ref467306195"/>
      <w:bookmarkStart w:id="238" w:name="_Ref467306676"/>
      <w:bookmarkStart w:id="239" w:name="_Toc127161442"/>
      <w:bookmarkStart w:id="240" w:name="_Toc127151528"/>
      <w:bookmarkStart w:id="241" w:name="_Toc520356152"/>
      <w:bookmarkStart w:id="242" w:name="_Toc151190155"/>
      <w:bookmarkStart w:id="243" w:name="_Toc226309772"/>
      <w:bookmarkStart w:id="244" w:name="_Toc142311030"/>
      <w:bookmarkStart w:id="245" w:name="_Toc226337224"/>
      <w:bookmarkStart w:id="246" w:name="_Toc305158870"/>
      <w:bookmarkStart w:id="247" w:name="_Toc305158796"/>
      <w:bookmarkStart w:id="248" w:name="_Toc127151729"/>
      <w:bookmarkStart w:id="249" w:name="_Toc164229369"/>
      <w:bookmarkStart w:id="250" w:name="_Toc265228366"/>
      <w:bookmarkStart w:id="251" w:name="_Toc195842893"/>
      <w:bookmarkStart w:id="252" w:name="_Toc226965801"/>
      <w:bookmarkStart w:id="253" w:name="_Toc150774733"/>
      <w:bookmarkStart w:id="254" w:name="_Toc164351622"/>
      <w:bookmarkStart w:id="255" w:name="_Toc149720821"/>
      <w:bookmarkStart w:id="256" w:name="_Toc164608642"/>
      <w:bookmarkStart w:id="257" w:name="_Toc151193842"/>
      <w:bookmarkStart w:id="258" w:name="_Toc151193698"/>
      <w:bookmarkStart w:id="259" w:name="_Toc151193916"/>
      <w:bookmarkStart w:id="260" w:name="_Toc150774628"/>
      <w:bookmarkStart w:id="261" w:name="_Toc151193626"/>
      <w:bookmarkStart w:id="262" w:name="_Toc150509279"/>
      <w:bookmarkStart w:id="263" w:name="_Toc150480766"/>
      <w:bookmarkStart w:id="264" w:name="_Toc151193770"/>
      <w:bookmarkStart w:id="265" w:name="_Toc164608797"/>
      <w:bookmarkStart w:id="266" w:name="_Toc264969218"/>
      <w:bookmarkStart w:id="267" w:name="_Toc164229223"/>
      <w:bookmarkStart w:id="268" w:name="_Toc226965718"/>
      <w:r>
        <w:rPr>
          <w:rFonts w:hint="default" w:ascii="Times New Roman" w:hAnsi="Times New Roman" w:eastAsia="宋体" w:cs="Times New Roman"/>
          <w:sz w:val="24"/>
        </w:rPr>
        <w:t>响应文件</w:t>
      </w:r>
      <w:bookmarkEnd w:id="236"/>
      <w:bookmarkEnd w:id="237"/>
      <w:bookmarkEnd w:id="238"/>
      <w:r>
        <w:rPr>
          <w:rFonts w:hint="default" w:ascii="Times New Roman" w:hAnsi="Times New Roman" w:eastAsia="宋体" w:cs="Times New Roman"/>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5ADC1CB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269" w:name="_Ref467052588"/>
      <w:r>
        <w:rPr>
          <w:rFonts w:hint="default" w:ascii="Times New Roman" w:hAnsi="Times New Roman" w:eastAsia="宋体" w:cs="Times New Roman"/>
          <w:sz w:val="24"/>
        </w:rPr>
        <w:t>供应商应当按照竞争性磋商文件的要求编制响应文件，</w:t>
      </w:r>
      <w:r>
        <w:rPr>
          <w:rFonts w:hint="default" w:ascii="Times New Roman" w:hAnsi="Times New Roman" w:eastAsia="宋体" w:cs="Times New Roman"/>
          <w:kern w:val="0"/>
          <w:sz w:val="24"/>
        </w:rPr>
        <w:t>并对其提交的响应文件的真实性、合法性承担法律责任</w:t>
      </w:r>
      <w:r>
        <w:rPr>
          <w:rFonts w:hint="default" w:ascii="Times New Roman" w:hAnsi="Times New Roman" w:eastAsia="宋体" w:cs="Times New Roman"/>
          <w:sz w:val="24"/>
        </w:rPr>
        <w:t>。响应文件的部分格式要求，见第六章《响应文件格式》。</w:t>
      </w:r>
    </w:p>
    <w:p w14:paraId="6F6D00B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rPr>
        <w:t>对于竞争性磋商文件中标记了“实质性格式”文件的，</w:t>
      </w:r>
      <w:r>
        <w:rPr>
          <w:rFonts w:hint="default" w:ascii="Times New Roman" w:hAnsi="Times New Roman" w:eastAsia="宋体" w:cs="Times New Roman"/>
          <w:sz w:val="24"/>
        </w:rPr>
        <w:t>供应商不得改变格式中给定的文字所表达的含义，不得删减格式中的实质性内容，不得自行添加与格式中给定的文字内容相矛盾的内容，不得对应当填写的空格不填写或不实质性响应，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b/>
          <w:kern w:val="0"/>
          <w:sz w:val="24"/>
        </w:rPr>
        <w:t>否则响应无效</w:t>
      </w:r>
      <w:r>
        <w:rPr>
          <w:rFonts w:hint="default" w:ascii="Times New Roman" w:hAnsi="Times New Roman" w:eastAsia="宋体" w:cs="Times New Roman"/>
          <w:kern w:val="0"/>
          <w:sz w:val="24"/>
        </w:rPr>
        <w:t>。未标记“实质性格式”的文件和竞争性磋商文件未提供格式的内容，可由供应商自行编写。</w:t>
      </w:r>
    </w:p>
    <w:p w14:paraId="1EDF9D0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第三章《评审方法和评审标准》中涉及的证明文件。</w:t>
      </w:r>
    </w:p>
    <w:p w14:paraId="40BA7F9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05B6D7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供应商认为应附的其他材料。</w:t>
      </w:r>
      <w:bookmarkEnd w:id="269"/>
    </w:p>
    <w:p w14:paraId="4DA2D5DC">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70" w:name="_Toc150509281"/>
      <w:bookmarkStart w:id="271" w:name="_Toc151193700"/>
      <w:bookmarkStart w:id="272" w:name="_Toc195842895"/>
      <w:bookmarkStart w:id="273" w:name="_Toc151193844"/>
      <w:bookmarkStart w:id="274" w:name="_Toc127151731"/>
      <w:bookmarkStart w:id="275" w:name="_Toc164351624"/>
      <w:bookmarkStart w:id="276" w:name="_Toc150774630"/>
      <w:bookmarkStart w:id="277" w:name="_Toc520356155"/>
      <w:bookmarkStart w:id="278" w:name="_Toc164229225"/>
      <w:bookmarkStart w:id="279" w:name="_Toc150480768"/>
      <w:bookmarkStart w:id="280" w:name="_Toc150774735"/>
      <w:bookmarkStart w:id="281" w:name="_Toc127151530"/>
      <w:bookmarkStart w:id="282" w:name="_Toc151193628"/>
      <w:bookmarkStart w:id="283" w:name="_Toc127161444"/>
      <w:bookmarkStart w:id="284" w:name="_Toc142311032"/>
      <w:bookmarkStart w:id="285" w:name="_Toc149720823"/>
      <w:bookmarkStart w:id="286" w:name="_Toc164608799"/>
      <w:bookmarkStart w:id="287" w:name="_Toc151193918"/>
      <w:bookmarkStart w:id="288" w:name="_Toc164608644"/>
      <w:bookmarkStart w:id="289" w:name="_Toc164229371"/>
      <w:bookmarkStart w:id="290" w:name="_Toc151193772"/>
      <w:bookmarkStart w:id="291" w:name="_Toc151190157"/>
      <w:r>
        <w:rPr>
          <w:rFonts w:hint="default" w:ascii="Times New Roman" w:hAnsi="Times New Roman" w:eastAsia="宋体" w:cs="Times New Roman"/>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7A3FB3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所有响应均以人民币为计价货币。</w:t>
      </w:r>
    </w:p>
    <w:p w14:paraId="5A9EBF8A">
      <w:pPr>
        <w:numPr>
          <w:ilvl w:val="1"/>
          <w:numId w:val="8"/>
        </w:num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供应商的报价应包括为完成本项目所发生的一切费用和税费，采购人将不再支付报价以外的任何费用。供应商的报价应包括但不限于下列内容，《供应商须知资料表》中有特殊规定的，从其规定。</w:t>
      </w:r>
    </w:p>
    <w:p w14:paraId="71525A5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02429F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按照竞争性磋商文件要求完成本项目的全部相关费用。</w:t>
      </w:r>
    </w:p>
    <w:p w14:paraId="2C139BC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采购人不得向供应商索要或者接受其给予的赠品、回扣或者与采购无关的其他商品、服务。</w:t>
      </w:r>
    </w:p>
    <w:p w14:paraId="56EBD95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供应商不能提供任何有选择性或可调整的最后报价（</w:t>
      </w:r>
      <w:r>
        <w:rPr>
          <w:rFonts w:hint="default" w:ascii="Times New Roman" w:hAnsi="Times New Roman" w:eastAsia="宋体" w:cs="Times New Roman"/>
          <w:color w:val="000000"/>
          <w:kern w:val="0"/>
          <w:sz w:val="24"/>
        </w:rPr>
        <w:t>竞争性磋商文件</w:t>
      </w:r>
      <w:r>
        <w:rPr>
          <w:rFonts w:hint="default" w:ascii="Times New Roman" w:hAnsi="Times New Roman" w:eastAsia="宋体" w:cs="Times New Roman"/>
          <w:sz w:val="24"/>
        </w:rPr>
        <w:t>另有规定的除外），否则其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A9D181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磋商保证金</w:t>
      </w:r>
    </w:p>
    <w:p w14:paraId="68D1200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292" w:name="_Ref467306302"/>
      <w:r>
        <w:rPr>
          <w:rFonts w:hint="default" w:ascii="Times New Roman" w:hAnsi="Times New Roman" w:eastAsia="宋体" w:cs="Times New Roman"/>
          <w:sz w:val="24"/>
        </w:rPr>
        <w:t>供应商应按《供应商须知资料表》中规定的金额及要求交纳磋商保证金</w:t>
      </w:r>
      <w:bookmarkEnd w:id="292"/>
      <w:r>
        <w:rPr>
          <w:rFonts w:hint="default" w:ascii="Times New Roman" w:hAnsi="Times New Roman" w:eastAsia="宋体" w:cs="Times New Roman"/>
          <w:sz w:val="24"/>
        </w:rPr>
        <w:t>。供应商自愿超额缴纳磋商保证金的，响应文件不做无效处理。</w:t>
      </w:r>
    </w:p>
    <w:p w14:paraId="66D3E2F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交纳磋商保证金可采用的形式：政府采购法律法规接受的支票、汇票、本票、网上银行支付或者金融机构、担保机构出具的保函等非现金形式。</w:t>
      </w:r>
    </w:p>
    <w:p w14:paraId="56AAFC4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w:t>
      </w:r>
      <w:bookmarkStart w:id="293" w:name="_Hlk164959831"/>
      <w:r>
        <w:rPr>
          <w:rFonts w:hint="default" w:ascii="Times New Roman" w:hAnsi="Times New Roman" w:eastAsia="宋体" w:cs="Times New Roman"/>
          <w:sz w:val="24"/>
        </w:rPr>
        <w:t>以电子保函形式提交磋商保证金的，应在首次响应文件提交截止时间前通过</w:t>
      </w:r>
      <w:r>
        <w:rPr>
          <w:rFonts w:hint="default" w:ascii="Times New Roman" w:hAnsi="Times New Roman" w:eastAsia="宋体" w:cs="Times New Roman"/>
          <w:sz w:val="24"/>
          <w:lang w:bidi="ar"/>
        </w:rPr>
        <w:t>北京市政府采购电子交易平台完成电子保函在线办理。</w:t>
      </w:r>
      <w:bookmarkEnd w:id="293"/>
      <w:r>
        <w:rPr>
          <w:rFonts w:hint="default" w:ascii="Times New Roman" w:hAnsi="Times New Roman" w:eastAsia="宋体" w:cs="Times New Roman"/>
          <w:sz w:val="24"/>
        </w:rPr>
        <w:t>未按上述要求缴纳保证金的，其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D1A1DD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w:t>
      </w:r>
      <w:r>
        <w:rPr>
          <w:rFonts w:hint="default" w:ascii="Times New Roman" w:hAnsi="Times New Roman" w:eastAsia="宋体" w:cs="Times New Roman"/>
          <w:color w:val="000000"/>
          <w:sz w:val="24"/>
        </w:rPr>
        <w:t>需在响应文件中提供“</w:t>
      </w:r>
      <w:r>
        <w:rPr>
          <w:rFonts w:hint="default" w:ascii="Times New Roman" w:hAnsi="Times New Roman" w:eastAsia="宋体" w:cs="Times New Roman"/>
          <w:color w:val="000000"/>
          <w:sz w:val="24"/>
          <w:szCs w:val="20"/>
        </w:rPr>
        <w:t>磋商保证金凭证/交款单据电子件</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eastAsia="zh-CN"/>
        </w:rPr>
        <w:t>。</w:t>
      </w:r>
    </w:p>
    <w:p w14:paraId="095A92D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磋商保证金有效期同响应有效期。</w:t>
      </w:r>
    </w:p>
    <w:p w14:paraId="369B0A1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供应商为联合体的，可以由联合体中的一方或者多方共同交纳磋商保证金，其交纳的保证金对联合体各方均具有约束力。</w:t>
      </w:r>
    </w:p>
    <w:p w14:paraId="6032AE9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68A431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napToGrid w:val="0"/>
          <w:kern w:val="0"/>
          <w:sz w:val="24"/>
        </w:rPr>
        <w:t>已提交响应文件的供应商，在提交最后报价之前，可以根据磋商情况退出磋商。采购人、采购代理机构将退还退出磋商的供应商的磋商保证金；</w:t>
      </w:r>
    </w:p>
    <w:p w14:paraId="1EED66C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成交供应商的磋商保证金，在采购合同签订后5个工作日内退还成交供应商；</w:t>
      </w:r>
    </w:p>
    <w:p w14:paraId="06679766">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未成交供应商的磋商保证金，在成交通知书发出后5个工作日内退还。</w:t>
      </w:r>
    </w:p>
    <w:p w14:paraId="68D3E62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有下列情形之一的，采购人或采购代理机构不予退还磋商保证金：</w:t>
      </w:r>
    </w:p>
    <w:p w14:paraId="370A4AD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供应商在响应文件提交截止时间后撤回响应文件的；</w:t>
      </w:r>
    </w:p>
    <w:p w14:paraId="7E9552A6">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供应商在响应文件中提供虚假材料的；</w:t>
      </w:r>
    </w:p>
    <w:p w14:paraId="115AC650">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除因不可抗力或磋商文件认可的情形以外，成交供应商不与采购人签订合同的；</w:t>
      </w:r>
    </w:p>
    <w:p w14:paraId="7E7CC3CE">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供应商与采购人、其他供应商或者采购代理机构恶意串通的；</w:t>
      </w:r>
    </w:p>
    <w:p w14:paraId="728034AB">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《供应商须知资料表》规定的其他情形。</w:t>
      </w:r>
    </w:p>
    <w:p w14:paraId="23F5B66F">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响应有效期</w:t>
      </w:r>
    </w:p>
    <w:p w14:paraId="5040066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响应文件应在本竞争性磋商文件《供应商须知资料表》中规定的响应有效期内保持有效，响应有效期少于竞争性磋商文件规定期限的，其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5445E2E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94" w:name="_Toc150774633"/>
      <w:bookmarkStart w:id="295" w:name="_Toc151193703"/>
      <w:bookmarkStart w:id="296" w:name="_Toc226965806"/>
      <w:bookmarkStart w:id="297" w:name="_Toc265228371"/>
      <w:bookmarkStart w:id="298" w:name="_Toc164229374"/>
      <w:bookmarkStart w:id="299" w:name="_Toc151193631"/>
      <w:bookmarkStart w:id="300" w:name="_Toc164229228"/>
      <w:bookmarkStart w:id="301" w:name="_Toc164608802"/>
      <w:bookmarkStart w:id="302" w:name="_Toc150509284"/>
      <w:bookmarkStart w:id="303" w:name="_Toc305158801"/>
      <w:bookmarkStart w:id="304" w:name="_Toc195842898"/>
      <w:bookmarkStart w:id="305" w:name="_Toc142311035"/>
      <w:bookmarkStart w:id="306" w:name="_Toc264969223"/>
      <w:bookmarkStart w:id="307" w:name="_Toc150774738"/>
      <w:bookmarkStart w:id="308" w:name="_Toc127151734"/>
      <w:bookmarkStart w:id="309" w:name="_Toc151193775"/>
      <w:bookmarkStart w:id="310" w:name="_Toc151193921"/>
      <w:bookmarkStart w:id="311" w:name="_Toc164608647"/>
      <w:bookmarkStart w:id="312" w:name="_Toc127161447"/>
      <w:bookmarkStart w:id="313" w:name="_Toc151190160"/>
      <w:bookmarkStart w:id="314" w:name="_Toc226337229"/>
      <w:bookmarkStart w:id="315" w:name="_Toc149720826"/>
      <w:bookmarkStart w:id="316" w:name="_Toc305158875"/>
      <w:bookmarkStart w:id="317" w:name="_Toc164351627"/>
      <w:bookmarkStart w:id="318" w:name="_Toc150480771"/>
      <w:bookmarkStart w:id="319" w:name="_Toc520356158"/>
      <w:bookmarkStart w:id="320" w:name="_Toc226309777"/>
      <w:bookmarkStart w:id="321" w:name="_Toc127151533"/>
      <w:bookmarkStart w:id="322" w:name="_Toc151193847"/>
      <w:bookmarkStart w:id="323" w:name="_Toc226965723"/>
      <w:r>
        <w:rPr>
          <w:rFonts w:hint="default" w:ascii="Times New Roman" w:hAnsi="Times New Roman" w:eastAsia="宋体" w:cs="Times New Roman"/>
          <w:sz w:val="24"/>
        </w:rPr>
        <w:t>响应文件的份数及签署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hint="default" w:ascii="Times New Roman" w:hAnsi="Times New Roman" w:eastAsia="宋体" w:cs="Times New Roman"/>
          <w:sz w:val="24"/>
        </w:rPr>
        <w:t>、盖章</w:t>
      </w:r>
    </w:p>
    <w:p w14:paraId="7A397909">
      <w:pPr>
        <w:numPr>
          <w:ilvl w:val="1"/>
          <w:numId w:val="8"/>
        </w:numPr>
        <w:tabs>
          <w:tab w:val="left" w:pos="1080"/>
        </w:tabs>
        <w:snapToGrid w:val="0"/>
        <w:spacing w:line="360" w:lineRule="auto"/>
        <w:ind w:left="1055" w:leftChars="199" w:hanging="637"/>
        <w:rPr>
          <w:rFonts w:hint="default" w:ascii="Times New Roman" w:hAnsi="Times New Roman" w:eastAsia="宋体" w:cs="Times New Roman"/>
          <w:sz w:val="24"/>
        </w:rPr>
      </w:pPr>
      <w:bookmarkStart w:id="324" w:name="_Toc151193632"/>
      <w:bookmarkStart w:id="325" w:name="_Toc151193848"/>
      <w:bookmarkStart w:id="326" w:name="_Toc150774634"/>
      <w:bookmarkStart w:id="327" w:name="_Toc305158802"/>
      <w:bookmarkStart w:id="328" w:name="_Toc226965724"/>
      <w:bookmarkStart w:id="329" w:name="_Toc265228372"/>
      <w:bookmarkStart w:id="330" w:name="_Toc226337230"/>
      <w:bookmarkStart w:id="331" w:name="_Toc151190161"/>
      <w:bookmarkStart w:id="332" w:name="_Toc151193776"/>
      <w:bookmarkStart w:id="333" w:name="_Toc305158876"/>
      <w:bookmarkStart w:id="334" w:name="_Toc264969224"/>
      <w:bookmarkStart w:id="335" w:name="_Toc151193922"/>
      <w:bookmarkStart w:id="336" w:name="_Toc151193704"/>
      <w:bookmarkStart w:id="337" w:name="_Toc150774739"/>
      <w:bookmarkStart w:id="338" w:name="_Toc226309778"/>
      <w:bookmarkStart w:id="339" w:name="_Toc226965807"/>
      <w:bookmarkStart w:id="340" w:name="_Toc150480772"/>
      <w:bookmarkStart w:id="341" w:name="_Toc127151534"/>
      <w:bookmarkStart w:id="342" w:name="_Toc150509285"/>
      <w:bookmarkStart w:id="343" w:name="_Toc142311036"/>
      <w:bookmarkStart w:id="344" w:name="_Toc195842899"/>
      <w:bookmarkStart w:id="345" w:name="_Toc520356159"/>
      <w:r>
        <w:rPr>
          <w:rFonts w:hint="default" w:ascii="Times New Roman" w:hAnsi="Times New Roman" w:eastAsia="宋体" w:cs="Times New Roman"/>
          <w:sz w:val="24"/>
        </w:rPr>
        <w:t>供应商应按照磋商文件 “供应商须知资料表”规定的份数提交响应文件正本、副本和电子版，每本响应文件须清楚地标明“正本”或“副本”或“电子版”。若正本和副本或电子版不符，以正本为准。</w:t>
      </w:r>
    </w:p>
    <w:p w14:paraId="7755CB22">
      <w:pPr>
        <w:numPr>
          <w:ilvl w:val="1"/>
          <w:numId w:val="8"/>
        </w:numPr>
        <w:tabs>
          <w:tab w:val="left" w:pos="1080"/>
        </w:tabs>
        <w:snapToGrid w:val="0"/>
        <w:spacing w:line="360" w:lineRule="auto"/>
        <w:ind w:left="1055" w:leftChars="199" w:hanging="637"/>
        <w:rPr>
          <w:rFonts w:hint="default" w:ascii="Times New Roman" w:hAnsi="Times New Roman" w:eastAsia="宋体" w:cs="Times New Roman"/>
          <w:sz w:val="24"/>
        </w:rPr>
      </w:pPr>
      <w:r>
        <w:rPr>
          <w:rFonts w:hint="default" w:ascii="Times New Roman" w:hAnsi="Times New Roman" w:eastAsia="宋体" w:cs="Times New Roman"/>
          <w:sz w:val="24"/>
        </w:rPr>
        <w:t>响应文件的正本需打印或用不褪色墨水书写，并由供应商的法定代表人/负责人或经其正式授权的代表在响应文件上签字或签章或印鉴，并加盖供应商单位公章。法定代表人/负责人签署响应文件的，应提交法定代表人/负责人身份证明；授权代表签署响应文件的，应提交法定代表人/负责人身份证明以及 “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14:paraId="416449FB">
      <w:pPr>
        <w:numPr>
          <w:ilvl w:val="1"/>
          <w:numId w:val="8"/>
        </w:numPr>
        <w:tabs>
          <w:tab w:val="left" w:pos="1080"/>
        </w:tabs>
        <w:snapToGrid w:val="0"/>
        <w:spacing w:line="360" w:lineRule="auto"/>
        <w:ind w:left="1055" w:leftChars="199" w:hanging="637"/>
        <w:rPr>
          <w:rFonts w:hint="default" w:ascii="Times New Roman" w:hAnsi="Times New Roman" w:eastAsia="宋体" w:cs="Times New Roman"/>
          <w:sz w:val="24"/>
        </w:rPr>
      </w:pPr>
      <w:r>
        <w:rPr>
          <w:rFonts w:hint="default" w:ascii="Times New Roman" w:hAnsi="Times New Roman" w:eastAsia="宋体" w:cs="Times New Roman"/>
          <w:sz w:val="24"/>
        </w:rPr>
        <w:t>任何行间插字、涂改和增删，必须由供应商法定代表人/负责人或经其正式授权的代表签字或盖章后才有效。</w:t>
      </w:r>
    </w:p>
    <w:p w14:paraId="6D11D699">
      <w:pPr>
        <w:numPr>
          <w:ilvl w:val="1"/>
          <w:numId w:val="8"/>
        </w:numPr>
        <w:tabs>
          <w:tab w:val="left" w:pos="1080"/>
        </w:tabs>
        <w:snapToGrid w:val="0"/>
        <w:spacing w:line="360" w:lineRule="auto"/>
        <w:ind w:left="1055" w:leftChars="199" w:hanging="637"/>
        <w:rPr>
          <w:rFonts w:hint="default" w:ascii="Times New Roman" w:hAnsi="Times New Roman" w:eastAsia="宋体" w:cs="Times New Roman"/>
          <w:sz w:val="24"/>
        </w:rPr>
      </w:pPr>
      <w:r>
        <w:rPr>
          <w:rFonts w:hint="default" w:ascii="Times New Roman" w:hAnsi="Times New Roman" w:eastAsia="宋体" w:cs="Times New Roman"/>
          <w:sz w:val="24"/>
        </w:rPr>
        <w:t>响应文件因字迹潦草或表达不清所引起的后果由供应商负责。</w:t>
      </w:r>
    </w:p>
    <w:p w14:paraId="488B8BF7">
      <w:pPr>
        <w:numPr>
          <w:ilvl w:val="1"/>
          <w:numId w:val="8"/>
        </w:numPr>
        <w:tabs>
          <w:tab w:val="left" w:pos="1080"/>
        </w:tabs>
        <w:snapToGrid w:val="0"/>
        <w:spacing w:line="360" w:lineRule="auto"/>
        <w:ind w:left="1055" w:leftChars="199" w:hanging="637"/>
        <w:rPr>
          <w:rFonts w:hint="default" w:ascii="Times New Roman" w:hAnsi="Times New Roman" w:eastAsia="宋体" w:cs="Times New Roman"/>
          <w:sz w:val="24"/>
        </w:rPr>
      </w:pPr>
      <w:r>
        <w:rPr>
          <w:rFonts w:hint="default" w:ascii="Times New Roman" w:hAnsi="Times New Roman" w:eastAsia="宋体" w:cs="Times New Roman"/>
          <w:sz w:val="24"/>
        </w:rPr>
        <w:t>本磋商文件中所要求加盖的供应商公章是指与供应商名称全称相一致的“行政公章”，不得加盖其它“合同专用章、投标专用章、财务专用章”等非行政公章；“签字”是指供应商法定代表人（单位负责人）在磋商文件规定处亲笔写上本人姓名；“法定代表人（单位负责人）</w:t>
      </w:r>
      <w:r>
        <w:rPr>
          <w:rFonts w:hint="default" w:ascii="Times New Roman" w:hAnsi="Times New Roman" w:eastAsia="宋体" w:cs="Times New Roman"/>
          <w:color w:val="000000"/>
          <w:sz w:val="24"/>
          <w:szCs w:val="20"/>
        </w:rPr>
        <w:t>签章或印鉴</w:t>
      </w:r>
      <w:r>
        <w:rPr>
          <w:rFonts w:hint="default" w:ascii="Times New Roman" w:hAnsi="Times New Roman" w:eastAsia="宋体" w:cs="Times New Roman"/>
          <w:sz w:val="24"/>
        </w:rPr>
        <w:t>”是指供应商法定代表人（单位负责人）在磋商文件规定处加盖个人名章、手签章、印鉴等。</w:t>
      </w:r>
    </w:p>
    <w:p w14:paraId="148C93BE">
      <w:pPr>
        <w:tabs>
          <w:tab w:val="left" w:pos="1080"/>
        </w:tabs>
        <w:snapToGrid w:val="0"/>
        <w:spacing w:line="360" w:lineRule="auto"/>
        <w:ind w:left="1136" w:leftChars="541"/>
        <w:rPr>
          <w:rFonts w:hint="default" w:ascii="Times New Roman" w:hAnsi="Times New Roman" w:eastAsia="宋体" w:cs="Times New Roman"/>
          <w:sz w:val="24"/>
        </w:rPr>
      </w:pPr>
      <w:r>
        <w:rPr>
          <w:rFonts w:hint="default" w:ascii="Times New Roman" w:hAnsi="Times New Roman" w:eastAsia="宋体" w:cs="Times New Roman"/>
          <w:sz w:val="24"/>
        </w:rPr>
        <w:t>“法定代表人（单位负责人）”指供应商营业执照或登记证书载明的“法定代表人”、“负责人”、“执行事务合伙人”、“投资人”等。</w:t>
      </w:r>
    </w:p>
    <w:p w14:paraId="583251A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以联合体参加的，除磋商文件格式中要求外，磋商文件要求的供应商盖章处应按加盖联合体协议中约定的联合体牵头人公章或所有联合体成员公章。</w:t>
      </w:r>
    </w:p>
    <w:p w14:paraId="41E82982">
      <w:pPr>
        <w:tabs>
          <w:tab w:val="left" w:pos="900"/>
          <w:tab w:val="left" w:pos="1080"/>
        </w:tabs>
        <w:snapToGrid w:val="0"/>
        <w:spacing w:line="360" w:lineRule="auto"/>
        <w:ind w:left="357"/>
        <w:rPr>
          <w:rFonts w:hint="default" w:ascii="Times New Roman" w:hAnsi="Times New Roman" w:eastAsia="宋体" w:cs="Times New Roman"/>
        </w:rPr>
      </w:pPr>
    </w:p>
    <w:p w14:paraId="4641C548">
      <w:pPr>
        <w:pStyle w:val="4"/>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四   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2143E0FE">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346" w:name="_Toc226309779"/>
      <w:bookmarkStart w:id="347" w:name="_Toc164351629"/>
      <w:bookmarkStart w:id="348" w:name="_Toc226965808"/>
      <w:bookmarkStart w:id="349" w:name="_Toc127151736"/>
      <w:bookmarkStart w:id="350" w:name="_Toc151193705"/>
      <w:bookmarkStart w:id="351" w:name="_Toc520356160"/>
      <w:bookmarkStart w:id="352" w:name="_Toc127151535"/>
      <w:bookmarkStart w:id="353" w:name="_Toc142311037"/>
      <w:bookmarkStart w:id="354" w:name="_Toc164608804"/>
      <w:bookmarkStart w:id="355" w:name="_Toc265228373"/>
      <w:bookmarkStart w:id="356" w:name="_Toc150774740"/>
      <w:bookmarkStart w:id="357" w:name="_Toc151193923"/>
      <w:bookmarkStart w:id="358" w:name="_Toc264969225"/>
      <w:bookmarkStart w:id="359" w:name="_Toc127161449"/>
      <w:bookmarkStart w:id="360" w:name="_Toc305158877"/>
      <w:bookmarkStart w:id="361" w:name="_Toc305158803"/>
      <w:bookmarkStart w:id="362" w:name="_Toc151190162"/>
      <w:bookmarkStart w:id="363" w:name="_Toc164229230"/>
      <w:bookmarkStart w:id="364" w:name="_Toc150774635"/>
      <w:bookmarkStart w:id="365" w:name="_Toc226337231"/>
      <w:bookmarkStart w:id="366" w:name="_Toc151193633"/>
      <w:bookmarkStart w:id="367" w:name="_Toc150480773"/>
      <w:bookmarkStart w:id="368" w:name="_Toc151193777"/>
      <w:bookmarkStart w:id="369" w:name="_Toc149720828"/>
      <w:bookmarkStart w:id="370" w:name="_Toc195842900"/>
      <w:bookmarkStart w:id="371" w:name="_Toc151193849"/>
      <w:bookmarkStart w:id="372" w:name="_Toc164229376"/>
      <w:bookmarkStart w:id="373" w:name="_Toc164608649"/>
      <w:bookmarkStart w:id="374" w:name="_Toc226965725"/>
      <w:bookmarkStart w:id="375" w:name="_Toc150509286"/>
      <w:r>
        <w:rPr>
          <w:rFonts w:hint="default" w:ascii="Times New Roman" w:hAnsi="Times New Roman" w:eastAsia="宋体" w:cs="Times New Roman"/>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default" w:ascii="Times New Roman" w:hAnsi="Times New Roman" w:eastAsia="宋体" w:cs="Times New Roman"/>
          <w:sz w:val="24"/>
        </w:rPr>
        <w:t>密封和标记</w:t>
      </w:r>
    </w:p>
    <w:p w14:paraId="735D332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提交首次响应文件时，供应商应将响应文件正本、所有的副本、电子版密封提交。</w:t>
      </w:r>
    </w:p>
    <w:p w14:paraId="077EF35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所有信封或纸箱上均应：</w:t>
      </w:r>
    </w:p>
    <w:p w14:paraId="00EEACCC">
      <w:pPr>
        <w:tabs>
          <w:tab w:val="left" w:pos="1080"/>
          <w:tab w:val="left" w:pos="2014"/>
        </w:tabs>
        <w:snapToGrid w:val="0"/>
        <w:spacing w:line="360" w:lineRule="auto"/>
        <w:ind w:left="357"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1）清楚标明递交至磋商文件中所要求的地址。</w:t>
      </w:r>
    </w:p>
    <w:p w14:paraId="04E9A668">
      <w:pPr>
        <w:tabs>
          <w:tab w:val="left" w:pos="1080"/>
          <w:tab w:val="left" w:pos="2014"/>
        </w:tabs>
        <w:snapToGrid w:val="0"/>
        <w:spacing w:line="360" w:lineRule="auto"/>
        <w:ind w:left="1075" w:leftChars="512"/>
        <w:rPr>
          <w:rFonts w:hint="default" w:ascii="Times New Roman" w:hAnsi="Times New Roman" w:eastAsia="宋体" w:cs="Times New Roman"/>
          <w:sz w:val="24"/>
        </w:rPr>
      </w:pPr>
      <w:r>
        <w:rPr>
          <w:rFonts w:hint="default" w:ascii="Times New Roman" w:hAnsi="Times New Roman" w:eastAsia="宋体" w:cs="Times New Roman"/>
          <w:sz w:val="24"/>
        </w:rPr>
        <w:t>2）注明项目名称、项目编号和</w:t>
      </w:r>
      <w:r>
        <w:rPr>
          <w:rFonts w:hint="default" w:ascii="Times New Roman" w:hAnsi="Times New Roman" w:eastAsia="宋体" w:cs="Times New Roman"/>
          <w:b/>
          <w:bCs/>
          <w:sz w:val="24"/>
        </w:rPr>
        <w:t>“在  （          时间）之前不得启封”</w:t>
      </w:r>
      <w:r>
        <w:rPr>
          <w:rFonts w:hint="default" w:ascii="Times New Roman" w:hAnsi="Times New Roman" w:eastAsia="宋体" w:cs="Times New Roman"/>
          <w:sz w:val="24"/>
        </w:rPr>
        <w:t>的字样（填入规定的提交首次响应文件递交截止日期和时间）。</w:t>
      </w:r>
    </w:p>
    <w:p w14:paraId="3DEFB1AD">
      <w:pPr>
        <w:tabs>
          <w:tab w:val="left" w:pos="1080"/>
          <w:tab w:val="left" w:pos="2014"/>
        </w:tabs>
        <w:snapToGrid w:val="0"/>
        <w:spacing w:line="360" w:lineRule="auto"/>
        <w:ind w:left="1075" w:leftChars="512"/>
        <w:rPr>
          <w:rFonts w:hint="default" w:ascii="Times New Roman" w:hAnsi="Times New Roman" w:eastAsia="宋体" w:cs="Times New Roman"/>
          <w:sz w:val="24"/>
        </w:rPr>
      </w:pPr>
      <w:r>
        <w:rPr>
          <w:rFonts w:hint="default" w:ascii="Times New Roman" w:hAnsi="Times New Roman" w:eastAsia="宋体" w:cs="Times New Roman"/>
          <w:sz w:val="24"/>
        </w:rPr>
        <w:t>3）在信封或纸箱的封装处加盖供应商公章，也可由法定代表人/负责人或其授权代表签字或盖章。</w:t>
      </w:r>
    </w:p>
    <w:p w14:paraId="74F6365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所有信封或纸箱上还应写明供应商名称和地址，以便若其文件被宣布为“迟到”响应文件时，能原封退回。</w:t>
      </w:r>
    </w:p>
    <w:p w14:paraId="534B03F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如果供应商未按上述要求密封及加写标记，采购单位对响应文件的误投或过早启封概不负责。</w:t>
      </w:r>
    </w:p>
    <w:p w14:paraId="3E38F47E">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376" w:name="_Toc127161450"/>
      <w:bookmarkStart w:id="377" w:name="_Toc226309780"/>
      <w:bookmarkStart w:id="378" w:name="_Toc305158878"/>
      <w:bookmarkStart w:id="379" w:name="_Toc164229231"/>
      <w:bookmarkStart w:id="380" w:name="_Toc151190163"/>
      <w:bookmarkStart w:id="381" w:name="_Toc226337232"/>
      <w:bookmarkStart w:id="382" w:name="_Toc520356161"/>
      <w:bookmarkStart w:id="383" w:name="_Toc149720829"/>
      <w:bookmarkStart w:id="384" w:name="_Toc127151737"/>
      <w:bookmarkStart w:id="385" w:name="_Toc164608650"/>
      <w:bookmarkStart w:id="386" w:name="_Toc305158804"/>
      <w:bookmarkStart w:id="387" w:name="_Toc127151536"/>
      <w:bookmarkStart w:id="388" w:name="_Toc142311038"/>
      <w:bookmarkStart w:id="389" w:name="_Toc150774741"/>
      <w:bookmarkStart w:id="390" w:name="_Toc164229377"/>
      <w:bookmarkStart w:id="391" w:name="_Toc164351630"/>
      <w:bookmarkStart w:id="392" w:name="_Toc151193706"/>
      <w:bookmarkStart w:id="393" w:name="_Toc151193634"/>
      <w:bookmarkStart w:id="394" w:name="_Toc226965809"/>
      <w:bookmarkStart w:id="395" w:name="_Toc151193850"/>
      <w:bookmarkStart w:id="396" w:name="_Toc195842901"/>
      <w:bookmarkStart w:id="397" w:name="_Toc150509287"/>
      <w:bookmarkStart w:id="398" w:name="_Toc151193924"/>
      <w:bookmarkStart w:id="399" w:name="_Toc150480774"/>
      <w:bookmarkStart w:id="400" w:name="_Toc264969226"/>
      <w:bookmarkStart w:id="401" w:name="_Toc226965726"/>
      <w:bookmarkStart w:id="402" w:name="_Toc151193778"/>
      <w:bookmarkStart w:id="403" w:name="_Toc164608805"/>
      <w:bookmarkStart w:id="404" w:name="_Toc265228374"/>
      <w:bookmarkStart w:id="405" w:name="_Toc150774636"/>
      <w:r>
        <w:rPr>
          <w:rFonts w:hint="default" w:ascii="Times New Roman" w:hAnsi="Times New Roman" w:eastAsia="宋体" w:cs="Times New Roman"/>
          <w:sz w:val="24"/>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default" w:ascii="Times New Roman" w:hAnsi="Times New Roman" w:eastAsia="宋体" w:cs="Times New Roman"/>
          <w:sz w:val="24"/>
        </w:rPr>
        <w:t>时间</w:t>
      </w:r>
    </w:p>
    <w:p w14:paraId="4494396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供应商应按磋商文件规定的提交响应文件截止日期、时间和地点，将响应文件密封递交采购代理机构。</w:t>
      </w:r>
    </w:p>
    <w:p w14:paraId="39836D1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采购单位有权按本须知的规定，通过修改磋商文件延长提交响应文件截止时间。在此情况下，采购单位和供应商受提交响应文件截止时间制约的所有权利和义务均应延长至新的截止期。</w:t>
      </w:r>
    </w:p>
    <w:p w14:paraId="6F5766B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在提交响应文件截止时间后送达的任何响应文件为无效文件，采购单位或磋商小组有权拒收并原封退回。</w:t>
      </w:r>
    </w:p>
    <w:p w14:paraId="5780F0E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406" w:name="_Toc151190164"/>
      <w:bookmarkStart w:id="407" w:name="_Toc151193707"/>
      <w:bookmarkStart w:id="408" w:name="_Toc150509288"/>
      <w:bookmarkStart w:id="409" w:name="_Toc305158879"/>
      <w:bookmarkStart w:id="410" w:name="_Toc151193779"/>
      <w:bookmarkStart w:id="411" w:name="_Toc127161451"/>
      <w:bookmarkStart w:id="412" w:name="_Toc142311039"/>
      <w:bookmarkStart w:id="413" w:name="_Toc164229378"/>
      <w:bookmarkStart w:id="414" w:name="_Toc151193925"/>
      <w:bookmarkStart w:id="415" w:name="_Toc151193851"/>
      <w:bookmarkStart w:id="416" w:name="_Toc164229232"/>
      <w:bookmarkStart w:id="417" w:name="_Toc150774742"/>
      <w:bookmarkStart w:id="418" w:name="_Toc520356162"/>
      <w:bookmarkStart w:id="419" w:name="_Toc164608806"/>
      <w:bookmarkStart w:id="420" w:name="_Toc127151537"/>
      <w:bookmarkStart w:id="421" w:name="_Toc265228375"/>
      <w:bookmarkStart w:id="422" w:name="_Toc226337233"/>
      <w:bookmarkStart w:id="423" w:name="_Toc226965810"/>
      <w:bookmarkStart w:id="424" w:name="_Toc151193635"/>
      <w:bookmarkStart w:id="425" w:name="_Toc195842902"/>
      <w:bookmarkStart w:id="426" w:name="_Toc264969227"/>
      <w:bookmarkStart w:id="427" w:name="_Toc226965727"/>
      <w:bookmarkStart w:id="428" w:name="_Toc150774637"/>
      <w:bookmarkStart w:id="429" w:name="_Toc127151738"/>
      <w:bookmarkStart w:id="430" w:name="_Toc305158805"/>
      <w:bookmarkStart w:id="431" w:name="_Toc164608651"/>
      <w:bookmarkStart w:id="432" w:name="_Toc149720830"/>
      <w:bookmarkStart w:id="433" w:name="_Toc226309781"/>
      <w:bookmarkStart w:id="434" w:name="_Toc164351631"/>
      <w:bookmarkStart w:id="435" w:name="_Toc150480775"/>
      <w:r>
        <w:rPr>
          <w:rFonts w:hint="default" w:ascii="Times New Roman" w:hAnsi="Times New Roman" w:eastAsia="宋体" w:cs="Times New Roman"/>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7A98B2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提交响应文件截止时间前，供应商可以对所提交的响应文件进行补充、修改或者撤回。</w:t>
      </w:r>
    </w:p>
    <w:p w14:paraId="2EE3E66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供应商对响应文件的补充、修改的内容应当按照竞争性磋商文件要求签署、盖章，作为响应文件的组成部分。</w:t>
      </w:r>
      <w:r>
        <w:rPr>
          <w:rFonts w:hint="default" w:ascii="Times New Roman" w:hAnsi="Times New Roman" w:eastAsia="宋体" w:cs="Times New Roman"/>
          <w:kern w:val="0"/>
          <w:sz w:val="24"/>
        </w:rPr>
        <w:t>补充、修改的内容与响应文件不一致的，以补充、修改的内容为准。</w:t>
      </w:r>
    </w:p>
    <w:p w14:paraId="3879FB6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供应商对响应文件的补充、修改或者撤回的要求应采用书面形式，并应按本须知规定编制、密封、标记和发送。</w:t>
      </w:r>
    </w:p>
    <w:p w14:paraId="4335CCF7">
      <w:pPr>
        <w:tabs>
          <w:tab w:val="left" w:pos="900"/>
          <w:tab w:val="left" w:pos="1080"/>
          <w:tab w:val="left" w:pos="1589"/>
        </w:tabs>
        <w:snapToGrid w:val="0"/>
        <w:spacing w:line="360" w:lineRule="auto"/>
        <w:ind w:left="357"/>
        <w:rPr>
          <w:rFonts w:hint="default" w:ascii="Times New Roman" w:hAnsi="Times New Roman" w:eastAsia="宋体" w:cs="Times New Roman"/>
          <w:sz w:val="24"/>
        </w:rPr>
      </w:pPr>
    </w:p>
    <w:p w14:paraId="18438EE7">
      <w:pPr>
        <w:pStyle w:val="4"/>
        <w:spacing w:before="0" w:line="360" w:lineRule="auto"/>
        <w:rPr>
          <w:rFonts w:hint="default" w:ascii="Times New Roman" w:hAnsi="Times New Roman" w:eastAsia="宋体" w:cs="Times New Roman"/>
          <w:sz w:val="28"/>
        </w:rPr>
      </w:pPr>
      <w:bookmarkStart w:id="436" w:name="_Toc265228376"/>
      <w:bookmarkStart w:id="437" w:name="_Toc151193852"/>
      <w:bookmarkStart w:id="438" w:name="_Toc226965811"/>
      <w:bookmarkStart w:id="439" w:name="_Toc127151538"/>
      <w:bookmarkStart w:id="440" w:name="_Toc151190165"/>
      <w:bookmarkStart w:id="441" w:name="_Toc305158880"/>
      <w:bookmarkStart w:id="442" w:name="_Toc264969228"/>
      <w:bookmarkStart w:id="443" w:name="_Toc520356163"/>
      <w:bookmarkStart w:id="444" w:name="_Toc226309782"/>
      <w:bookmarkStart w:id="445" w:name="_Toc150774743"/>
      <w:bookmarkStart w:id="446" w:name="_Toc151193636"/>
      <w:bookmarkStart w:id="447" w:name="_Toc195842903"/>
      <w:bookmarkStart w:id="448" w:name="_Toc151193708"/>
      <w:bookmarkStart w:id="449" w:name="_Toc150509289"/>
      <w:bookmarkStart w:id="450" w:name="_Toc305158806"/>
      <w:bookmarkStart w:id="451" w:name="_Toc226337234"/>
      <w:bookmarkStart w:id="452" w:name="_Toc151193926"/>
      <w:bookmarkStart w:id="453" w:name="_Toc150774638"/>
      <w:bookmarkStart w:id="454" w:name="_Toc151193780"/>
      <w:bookmarkStart w:id="455" w:name="_Toc150480776"/>
      <w:bookmarkStart w:id="456" w:name="_Toc226965728"/>
      <w:bookmarkStart w:id="457" w:name="_Toc142311040"/>
      <w:r>
        <w:rPr>
          <w:rFonts w:hint="default" w:ascii="Times New Roman" w:hAnsi="Times New Roman" w:eastAsia="宋体" w:cs="Times New Roman"/>
          <w:sz w:val="28"/>
        </w:rPr>
        <w:t xml:space="preserve">五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hint="default" w:ascii="Times New Roman" w:hAnsi="Times New Roman" w:eastAsia="宋体" w:cs="Times New Roman"/>
          <w:sz w:val="28"/>
        </w:rPr>
        <w:t>评审</w:t>
      </w:r>
    </w:p>
    <w:p w14:paraId="3328D2D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磋商仪式</w:t>
      </w:r>
    </w:p>
    <w:p w14:paraId="1D9E820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代理机构应当按磋商文件的规定，在提交首次响应文件截止时间的同一时间和地点组织磋商仪式。磋商仪式邀请供应商代表、采购人和专家等有关方面代表参加。参加磋商仪式的代表人应签名报到以证明其出席。</w:t>
      </w:r>
    </w:p>
    <w:p w14:paraId="3603B1A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磋商仪式开始时，采购代理机构宣读致辞，由供应商代表或监察人员或公证人员检查响应文件的密封情况，经确认无误后，供应商退场。</w:t>
      </w:r>
    </w:p>
    <w:p w14:paraId="736062B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磋商仪式中，除了按照本须知的规定原封退回迟到的响应文件之外，采购代理机构不得拒绝任何响应文件。</w:t>
      </w:r>
    </w:p>
    <w:p w14:paraId="5614E5B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7484A5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458" w:name="_Toc520356165"/>
      <w:r>
        <w:rPr>
          <w:rFonts w:hint="default" w:ascii="Times New Roman" w:hAnsi="Times New Roman" w:eastAsia="宋体" w:cs="Times New Roman"/>
          <w:sz w:val="24"/>
        </w:rPr>
        <w:t>本项目不公开报价。</w:t>
      </w:r>
    </w:p>
    <w:bookmarkEnd w:id="458"/>
    <w:p w14:paraId="0F47A75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磋商小组</w:t>
      </w:r>
    </w:p>
    <w:p w14:paraId="1B8951F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磋商小组根据政府采购有关规定和本次采购项目的特点进行组建，并负责具体评审与磋商事务，独立履行职责。</w:t>
      </w:r>
      <w:bookmarkStart w:id="459" w:name="_Toc520356166"/>
    </w:p>
    <w:p w14:paraId="7874FDC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9"/>
      <w:bookmarkStart w:id="460" w:name="_Toc520356169"/>
    </w:p>
    <w:p w14:paraId="2A2E96D5">
      <w:pPr>
        <w:numPr>
          <w:ilvl w:val="0"/>
          <w:numId w:val="8"/>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392895E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见第三章《评审方法和评审标准》。</w:t>
      </w:r>
    </w:p>
    <w:p w14:paraId="77B4E85C">
      <w:pPr>
        <w:tabs>
          <w:tab w:val="left" w:pos="360"/>
          <w:tab w:val="left" w:pos="1080"/>
        </w:tabs>
        <w:snapToGrid w:val="0"/>
        <w:spacing w:line="360" w:lineRule="auto"/>
        <w:ind w:left="1080"/>
        <w:rPr>
          <w:rFonts w:hint="default" w:ascii="Times New Roman" w:hAnsi="Times New Roman" w:eastAsia="宋体" w:cs="Times New Roman"/>
          <w:sz w:val="24"/>
        </w:rPr>
      </w:pPr>
    </w:p>
    <w:p w14:paraId="5B0478E5">
      <w:pPr>
        <w:pStyle w:val="4"/>
        <w:spacing w:before="0" w:line="360" w:lineRule="auto"/>
        <w:rPr>
          <w:rFonts w:hint="default" w:ascii="Times New Roman" w:hAnsi="Times New Roman" w:eastAsia="宋体" w:cs="Times New Roman"/>
          <w:sz w:val="28"/>
        </w:rPr>
      </w:pPr>
      <w:bookmarkStart w:id="461" w:name="_Toc226309789"/>
      <w:bookmarkStart w:id="462" w:name="_Toc226965818"/>
      <w:bookmarkStart w:id="463" w:name="_Toc151190172"/>
      <w:bookmarkStart w:id="464" w:name="_Toc150774645"/>
      <w:bookmarkStart w:id="465" w:name="_Toc142311047"/>
      <w:bookmarkStart w:id="466" w:name="_Toc151193933"/>
      <w:bookmarkStart w:id="467" w:name="_Toc150480783"/>
      <w:bookmarkStart w:id="468" w:name="_Toc226965735"/>
      <w:bookmarkStart w:id="469" w:name="_Toc151193643"/>
      <w:bookmarkStart w:id="470" w:name="_Toc305158813"/>
      <w:bookmarkStart w:id="471" w:name="_Toc226337241"/>
      <w:bookmarkStart w:id="472" w:name="_Toc305158887"/>
      <w:bookmarkStart w:id="473" w:name="_Toc264969235"/>
      <w:bookmarkStart w:id="474" w:name="_Toc265228383"/>
      <w:bookmarkStart w:id="475" w:name="_Toc151193787"/>
      <w:bookmarkStart w:id="476" w:name="_Toc151193859"/>
      <w:bookmarkStart w:id="477" w:name="_Toc150774750"/>
      <w:bookmarkStart w:id="478" w:name="_Toc150509296"/>
      <w:bookmarkStart w:id="479" w:name="_Toc195842910"/>
      <w:bookmarkStart w:id="480" w:name="_Toc127151545"/>
      <w:bookmarkStart w:id="481" w:name="_Toc151193715"/>
      <w:r>
        <w:rPr>
          <w:rFonts w:hint="default" w:ascii="Times New Roman" w:hAnsi="Times New Roman" w:eastAsia="宋体" w:cs="Times New Roman"/>
          <w:sz w:val="28"/>
        </w:rPr>
        <w:t xml:space="preserve">六   </w:t>
      </w:r>
      <w:bookmarkEnd w:id="460"/>
      <w:r>
        <w:rPr>
          <w:rFonts w:hint="default" w:ascii="Times New Roman" w:hAnsi="Times New Roman" w:eastAsia="宋体" w:cs="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default" w:ascii="Times New Roman" w:hAnsi="Times New Roman" w:eastAsia="宋体" w:cs="Times New Roman"/>
          <w:sz w:val="28"/>
        </w:rPr>
        <w:t>成交</w:t>
      </w:r>
    </w:p>
    <w:p w14:paraId="7FA8DCD1">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482" w:name="_Toc264969237"/>
      <w:bookmarkStart w:id="483" w:name="_Toc151193789"/>
      <w:bookmarkStart w:id="484" w:name="_Toc151190174"/>
      <w:bookmarkStart w:id="485" w:name="_Toc305158815"/>
      <w:bookmarkStart w:id="486" w:name="_Toc164608661"/>
      <w:bookmarkStart w:id="487" w:name="_Toc127151748"/>
      <w:bookmarkStart w:id="488" w:name="_Toc164608816"/>
      <w:bookmarkStart w:id="489" w:name="_Toc150774752"/>
      <w:bookmarkStart w:id="490" w:name="_Toc226309791"/>
      <w:bookmarkStart w:id="491" w:name="_Toc149720840"/>
      <w:bookmarkStart w:id="492" w:name="_Toc164351641"/>
      <w:bookmarkStart w:id="493" w:name="_Toc127151547"/>
      <w:bookmarkStart w:id="494" w:name="_Toc195842912"/>
      <w:bookmarkStart w:id="495" w:name="_Toc151193935"/>
      <w:bookmarkStart w:id="496" w:name="_Toc150480785"/>
      <w:bookmarkStart w:id="497" w:name="_Toc151193645"/>
      <w:bookmarkStart w:id="498" w:name="_Toc265228385"/>
      <w:bookmarkStart w:id="499" w:name="_Toc164229242"/>
      <w:bookmarkStart w:id="500" w:name="_Toc151193717"/>
      <w:bookmarkStart w:id="501" w:name="_Toc226965737"/>
      <w:bookmarkStart w:id="502" w:name="_Toc226965820"/>
      <w:bookmarkStart w:id="503" w:name="_Toc151193861"/>
      <w:bookmarkStart w:id="504" w:name="_Toc226337243"/>
      <w:bookmarkStart w:id="505" w:name="_Toc150774647"/>
      <w:bookmarkStart w:id="506" w:name="_Toc150509298"/>
      <w:bookmarkStart w:id="507" w:name="_Toc127161461"/>
      <w:bookmarkStart w:id="508" w:name="_Toc305158889"/>
      <w:bookmarkStart w:id="509" w:name="_Toc164229388"/>
      <w:bookmarkStart w:id="510" w:name="_Toc142311049"/>
      <w:r>
        <w:rPr>
          <w:rFonts w:hint="default" w:ascii="Times New Roman" w:hAnsi="Times New Roman" w:eastAsia="宋体" w:cs="Times New Roman"/>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379003E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3C14197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511" w:name="_Toc305158817"/>
      <w:bookmarkStart w:id="512" w:name="_Toc305158891"/>
      <w:bookmarkStart w:id="513" w:name="_Toc164608818"/>
      <w:bookmarkStart w:id="514" w:name="_Toc151193863"/>
      <w:bookmarkStart w:id="515" w:name="_Toc226337245"/>
      <w:bookmarkStart w:id="516" w:name="_Toc226965822"/>
      <w:bookmarkStart w:id="517" w:name="_Toc127161463"/>
      <w:bookmarkStart w:id="518" w:name="_Toc164229244"/>
      <w:bookmarkStart w:id="519" w:name="_Toc150774754"/>
      <w:bookmarkStart w:id="520" w:name="_Toc149720842"/>
      <w:bookmarkStart w:id="521" w:name="_Toc151193937"/>
      <w:bookmarkStart w:id="522" w:name="_Toc150480787"/>
      <w:bookmarkStart w:id="523" w:name="_Toc150774649"/>
      <w:bookmarkStart w:id="524" w:name="_Toc151193791"/>
      <w:bookmarkStart w:id="525" w:name="_Toc142311051"/>
      <w:bookmarkStart w:id="526" w:name="_Toc151193719"/>
      <w:bookmarkStart w:id="527" w:name="_Toc195842914"/>
      <w:bookmarkStart w:id="528" w:name="_Toc164608663"/>
      <w:bookmarkStart w:id="529" w:name="_Toc265228387"/>
      <w:bookmarkStart w:id="530" w:name="_Toc127151549"/>
      <w:bookmarkStart w:id="531" w:name="_Toc226965739"/>
      <w:bookmarkStart w:id="532" w:name="_Toc226309793"/>
      <w:bookmarkStart w:id="533" w:name="_Toc151193647"/>
      <w:bookmarkStart w:id="534" w:name="_Toc127151750"/>
      <w:bookmarkStart w:id="535" w:name="_Toc150509300"/>
      <w:bookmarkStart w:id="536" w:name="_Toc264969239"/>
      <w:bookmarkStart w:id="537" w:name="_Toc164351643"/>
      <w:bookmarkStart w:id="538" w:name="_Toc151190176"/>
      <w:bookmarkStart w:id="539" w:name="_Toc164229390"/>
      <w:bookmarkStart w:id="540" w:name="_Toc520356176"/>
      <w:bookmarkStart w:id="541" w:name="_Ref467307090"/>
      <w:bookmarkStart w:id="542" w:name="_Ref467306425"/>
      <w:r>
        <w:rPr>
          <w:rFonts w:hint="default" w:ascii="Times New Roman" w:hAnsi="Times New Roman" w:eastAsia="宋体" w:cs="Times New Roman"/>
          <w:sz w:val="24"/>
        </w:rPr>
        <w:t>成交公告与成交通知书</w:t>
      </w:r>
      <w:bookmarkEnd w:id="511"/>
      <w:bookmarkEnd w:id="512"/>
    </w:p>
    <w:p w14:paraId="7C1637B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采购人或采购代理机构将</w:t>
      </w:r>
      <w:r>
        <w:rPr>
          <w:rFonts w:hint="default" w:ascii="Times New Roman" w:hAnsi="Times New Roman" w:eastAsia="宋体" w:cs="Times New Roman"/>
          <w:kern w:val="0"/>
          <w:sz w:val="24"/>
        </w:rPr>
        <w:t>在成交供应商确定后2个工作日内，在</w:t>
      </w:r>
      <w:r>
        <w:rPr>
          <w:rFonts w:hint="default" w:ascii="Times New Roman" w:hAnsi="Times New Roman" w:eastAsia="宋体" w:cs="Times New Roman"/>
          <w:sz w:val="24"/>
        </w:rPr>
        <w:t>北京市政府采购网</w:t>
      </w:r>
      <w:r>
        <w:rPr>
          <w:rFonts w:hint="default" w:ascii="Times New Roman" w:hAnsi="Times New Roman" w:eastAsia="宋体" w:cs="Times New Roman"/>
          <w:kern w:val="0"/>
          <w:sz w:val="24"/>
        </w:rPr>
        <w:t>公告成交结果，同时向成交供应商发出成交通知书，</w:t>
      </w:r>
      <w:r>
        <w:rPr>
          <w:rFonts w:hint="default" w:ascii="Times New Roman" w:hAnsi="Times New Roman" w:eastAsia="宋体" w:cs="Times New Roman"/>
          <w:sz w:val="24"/>
        </w:rPr>
        <w:t>成交公告期限为1个工作日。</w:t>
      </w:r>
    </w:p>
    <w:p w14:paraId="0D397413">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成交通知书对采购人和成交供应商均具有法律效力。成交通知书发出后，采购人改变成交结果的，或者成交供应商放弃成交项目的，应当依法承担法律责任。</w:t>
      </w:r>
    </w:p>
    <w:p w14:paraId="5E54A5F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终止</w:t>
      </w:r>
    </w:p>
    <w:p w14:paraId="584525A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出现下列情形之一的，采购人或采购代理机构将终止竞争性磋商采购活动，发布项目终止公告并说明原因，重新开展采购活动：</w:t>
      </w:r>
    </w:p>
    <w:p w14:paraId="56CCF6EE">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因情况变化，不再符合规定的竞争性磋商采购方式适用情形的；</w:t>
      </w:r>
    </w:p>
    <w:p w14:paraId="2BAF7CAA">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出现影响采购公正的违法、违规行为的；</w:t>
      </w:r>
    </w:p>
    <w:p w14:paraId="49C2A210">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4592874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543" w:name="_Ref467306377"/>
      <w:bookmarkStart w:id="544" w:name="_Toc226965740"/>
      <w:bookmarkStart w:id="545" w:name="_Toc150509301"/>
      <w:bookmarkStart w:id="546" w:name="_Toc151193864"/>
      <w:bookmarkStart w:id="547" w:name="_Toc164608664"/>
      <w:bookmarkStart w:id="548" w:name="_Toc151193720"/>
      <w:bookmarkStart w:id="549" w:name="_Toc127161464"/>
      <w:bookmarkStart w:id="550" w:name="_Toc520356175"/>
      <w:bookmarkStart w:id="551" w:name="_Toc226337246"/>
      <w:bookmarkStart w:id="552" w:name="_Toc265228388"/>
      <w:bookmarkStart w:id="553" w:name="_Toc151193938"/>
      <w:bookmarkStart w:id="554" w:name="_Toc127151550"/>
      <w:bookmarkStart w:id="555" w:name="_Toc226309794"/>
      <w:bookmarkStart w:id="556" w:name="_Toc195842915"/>
      <w:bookmarkStart w:id="557" w:name="_Toc164229391"/>
      <w:bookmarkStart w:id="558" w:name="_Toc305158818"/>
      <w:bookmarkStart w:id="559" w:name="_Toc151193792"/>
      <w:bookmarkStart w:id="560" w:name="_Toc150774650"/>
      <w:bookmarkStart w:id="561" w:name="_Toc150774755"/>
      <w:bookmarkStart w:id="562" w:name="_Toc151190177"/>
      <w:bookmarkStart w:id="563" w:name="_Toc226965823"/>
      <w:bookmarkStart w:id="564" w:name="_Toc142311052"/>
      <w:bookmarkStart w:id="565" w:name="_Toc264969240"/>
      <w:bookmarkStart w:id="566" w:name="_Toc150480788"/>
      <w:bookmarkStart w:id="567" w:name="_Toc164351644"/>
      <w:bookmarkStart w:id="568" w:name="_Toc305158892"/>
      <w:bookmarkStart w:id="569" w:name="_Ref467306978"/>
      <w:bookmarkStart w:id="570" w:name="_Ref467307204"/>
      <w:bookmarkStart w:id="571" w:name="_Toc151193648"/>
      <w:bookmarkStart w:id="572" w:name="_Toc164229245"/>
      <w:bookmarkStart w:id="573" w:name="_Toc127151751"/>
      <w:bookmarkStart w:id="574" w:name="_Toc164608819"/>
      <w:bookmarkStart w:id="575" w:name="_Ref467307062"/>
      <w:bookmarkStart w:id="576" w:name="_Toc149720843"/>
      <w:r>
        <w:rPr>
          <w:rFonts w:hint="default" w:ascii="Times New Roman" w:hAnsi="Times New Roman" w:eastAsia="宋体" w:cs="Times New Roman"/>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45C6267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采购人与成交供应商应当在成交通知书发出之日起30日内，按照磋商文件确定的合同文本以及采购标的、规格型号、采购金额、采购数量、技术和服务要求等事项签订政府采购合同。</w:t>
      </w:r>
    </w:p>
    <w:p w14:paraId="741D389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A6F856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联合体成交的，联合体各方应当共同与采购人签订合同，就采购合同约定的事项向采购人承担连带责任。</w:t>
      </w:r>
    </w:p>
    <w:p w14:paraId="100AF08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政府采购合同不能转包。</w:t>
      </w:r>
    </w:p>
    <w:p w14:paraId="4EA9A85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default" w:ascii="Times New Roman" w:hAnsi="Times New Roman" w:eastAsia="宋体" w:cs="Times New Roman"/>
          <w:b/>
          <w:sz w:val="24"/>
        </w:rPr>
        <w:t>否则响应无效</w:t>
      </w:r>
      <w:r>
        <w:rPr>
          <w:rFonts w:hint="default" w:ascii="Times New Roman" w:hAnsi="Times New Roman" w:eastAsia="宋体" w:cs="Times New Roman"/>
          <w:sz w:val="24"/>
        </w:rPr>
        <w:t>。成交供应商就采购项目和分包项目向采购人负责，分包供应商就分包项目承担责任。</w:t>
      </w:r>
    </w:p>
    <w:p w14:paraId="41C6999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“政采贷”融资指引：详见《供应商须知资料表》。</w:t>
      </w:r>
    </w:p>
    <w:bookmarkEnd w:id="540"/>
    <w:bookmarkEnd w:id="541"/>
    <w:bookmarkEnd w:id="542"/>
    <w:p w14:paraId="3929124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询问与质疑</w:t>
      </w:r>
    </w:p>
    <w:p w14:paraId="7CF2F0D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询问</w:t>
      </w:r>
    </w:p>
    <w:p w14:paraId="0055A6B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供应商对政府采购活动事项有疑问的，可依法向采购人或采购代理机构提出询问，提出形式见《供应商须知资料表》。</w:t>
      </w:r>
    </w:p>
    <w:p w14:paraId="7D8C0332">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采购人或采购代理机构对供应商依法提出的询问，在3个工作日内作出答复，但答复的内容不得涉及商业秘密。</w:t>
      </w:r>
    </w:p>
    <w:p w14:paraId="354E986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质疑</w:t>
      </w:r>
    </w:p>
    <w:p w14:paraId="0187CFF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24820D49">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5040A498">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765C10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供应商应在法定质疑期内一次性提出针对同一采购程序环节的质疑，法定质疑期内针对同一采购程序环节再次提出的质疑，采购人、采购代理机构有权不予答复。</w:t>
      </w:r>
    </w:p>
    <w:p w14:paraId="03F9E40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接收询问和质疑的联系部门、联系电话和通讯地址见《供应商须知资料表》。</w:t>
      </w:r>
    </w:p>
    <w:p w14:paraId="64961E8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代理费</w:t>
      </w:r>
    </w:p>
    <w:p w14:paraId="5D556E5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收费对象、收费标准及缴纳时间见《供应商须知资料表》。由成交供应商支付的，成交供应商须一次性向采购代理机构缴纳代理费，报价应包含代理费用。</w:t>
      </w:r>
    </w:p>
    <w:p w14:paraId="420D1B30">
      <w:pPr>
        <w:tabs>
          <w:tab w:val="left" w:pos="360"/>
          <w:tab w:val="left" w:pos="1080"/>
        </w:tabs>
        <w:snapToGrid w:val="0"/>
        <w:spacing w:line="360" w:lineRule="auto"/>
        <w:ind w:left="360"/>
        <w:rPr>
          <w:rFonts w:hint="default" w:ascii="Times New Roman" w:hAnsi="Times New Roman" w:eastAsia="宋体" w:cs="Times New Roman"/>
          <w:sz w:val="24"/>
        </w:rPr>
      </w:pPr>
    </w:p>
    <w:p w14:paraId="5BB5C1E3">
      <w:pPr>
        <w:spacing w:line="360" w:lineRule="auto"/>
        <w:jc w:val="center"/>
        <w:outlineLvl w:val="0"/>
        <w:rPr>
          <w:rFonts w:hint="default" w:ascii="Times New Roman" w:hAnsi="Times New Roman" w:eastAsia="宋体" w:cs="Times New Roman"/>
          <w:b/>
          <w:sz w:val="36"/>
          <w:szCs w:val="36"/>
        </w:rPr>
      </w:pPr>
      <w:bookmarkStart w:id="577" w:name="_Toc127151554"/>
      <w:bookmarkStart w:id="578" w:name="_Toc305158896"/>
      <w:bookmarkStart w:id="579" w:name="_Toc150774759"/>
      <w:bookmarkStart w:id="580" w:name="_Toc264969244"/>
      <w:bookmarkStart w:id="581" w:name="_Toc226337250"/>
      <w:bookmarkStart w:id="582" w:name="_Toc265228392"/>
      <w:bookmarkStart w:id="583" w:name="_Toc353873934"/>
      <w:bookmarkStart w:id="584" w:name="_Toc353825544"/>
      <w:bookmarkStart w:id="585" w:name="_Toc305158822"/>
      <w:bookmarkStart w:id="586" w:name="_Toc353873664"/>
      <w:bookmarkStart w:id="587" w:name="_Toc150480792"/>
      <w:bookmarkStart w:id="588" w:name="_Toc226965827"/>
      <w:bookmarkStart w:id="589" w:name="_Toc142311056"/>
      <w:r>
        <w:rPr>
          <w:rFonts w:hint="default" w:ascii="Times New Roman" w:hAnsi="Times New Roman" w:eastAsia="宋体" w:cs="Times New Roman"/>
          <w:sz w:val="24"/>
        </w:rPr>
        <w:br w:type="page"/>
      </w:r>
      <w:bookmarkStart w:id="590" w:name="_Toc6772"/>
      <w:r>
        <w:rPr>
          <w:rFonts w:hint="default" w:ascii="Times New Roman" w:hAnsi="Times New Roman" w:eastAsia="宋体" w:cs="Times New Roman"/>
          <w:b/>
          <w:sz w:val="36"/>
          <w:szCs w:val="36"/>
        </w:rPr>
        <w:t xml:space="preserve">第三章   </w:t>
      </w:r>
      <w:bookmarkEnd w:id="577"/>
      <w:bookmarkEnd w:id="578"/>
      <w:bookmarkEnd w:id="579"/>
      <w:bookmarkEnd w:id="580"/>
      <w:bookmarkEnd w:id="581"/>
      <w:bookmarkEnd w:id="582"/>
      <w:bookmarkEnd w:id="583"/>
      <w:bookmarkEnd w:id="584"/>
      <w:bookmarkEnd w:id="585"/>
      <w:bookmarkEnd w:id="586"/>
      <w:bookmarkEnd w:id="587"/>
      <w:bookmarkEnd w:id="588"/>
      <w:bookmarkEnd w:id="589"/>
      <w:r>
        <w:rPr>
          <w:rFonts w:hint="default" w:ascii="Times New Roman" w:hAnsi="Times New Roman" w:eastAsia="宋体" w:cs="Times New Roman"/>
          <w:b/>
          <w:sz w:val="36"/>
          <w:szCs w:val="36"/>
        </w:rPr>
        <w:t>评审方法和评审标准</w:t>
      </w:r>
      <w:bookmarkEnd w:id="590"/>
      <w:bookmarkStart w:id="591" w:name="_Toc487900382"/>
    </w:p>
    <w:p w14:paraId="4E4E34DB">
      <w:pPr>
        <w:pStyle w:val="4"/>
        <w:spacing w:before="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一、评审程序和方法</w:t>
      </w:r>
    </w:p>
    <w:p w14:paraId="65A8568C">
      <w:pPr>
        <w:tabs>
          <w:tab w:val="left" w:pos="1080"/>
        </w:tabs>
        <w:snapToGrid w:val="0"/>
        <w:jc w:val="left"/>
        <w:rPr>
          <w:rFonts w:hint="default" w:ascii="Times New Roman" w:hAnsi="Times New Roman" w:eastAsia="宋体" w:cs="Times New Roman"/>
          <w:b/>
          <w:sz w:val="24"/>
        </w:rPr>
      </w:pPr>
      <w:r>
        <w:rPr>
          <w:rFonts w:hint="default" w:ascii="Times New Roman" w:hAnsi="Times New Roman" w:eastAsia="宋体" w:cs="Times New Roman"/>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91"/>
    <w:p w14:paraId="3296EA7C">
      <w:pPr>
        <w:numPr>
          <w:ilvl w:val="0"/>
          <w:numId w:val="10"/>
        </w:numPr>
        <w:tabs>
          <w:tab w:val="left" w:pos="360"/>
        </w:tabs>
        <w:snapToGrid w:val="0"/>
        <w:spacing w:line="360" w:lineRule="auto"/>
        <w:outlineLvl w:val="1"/>
        <w:rPr>
          <w:rFonts w:hint="default" w:ascii="Times New Roman" w:hAnsi="Times New Roman" w:eastAsia="宋体" w:cs="Times New Roman"/>
          <w:sz w:val="24"/>
        </w:rPr>
      </w:pPr>
      <w:bookmarkStart w:id="592" w:name="_Toc149720834"/>
      <w:bookmarkStart w:id="593" w:name="_Toc305158809"/>
      <w:bookmarkStart w:id="594" w:name="_Toc127151541"/>
      <w:bookmarkStart w:id="595" w:name="_Toc264969231"/>
      <w:bookmarkStart w:id="596" w:name="_Toc164351635"/>
      <w:bookmarkStart w:id="597" w:name="_Toc164229382"/>
      <w:bookmarkStart w:id="598" w:name="_Toc151190168"/>
      <w:bookmarkStart w:id="599" w:name="_Toc265228379"/>
      <w:bookmarkStart w:id="600" w:name="_Toc164229236"/>
      <w:bookmarkStart w:id="601" w:name="_Toc195842906"/>
      <w:bookmarkStart w:id="602" w:name="_Toc151193929"/>
      <w:bookmarkStart w:id="603" w:name="_Toc164608655"/>
      <w:bookmarkStart w:id="604" w:name="_Toc151193855"/>
      <w:bookmarkStart w:id="605" w:name="_Toc150774746"/>
      <w:bookmarkStart w:id="606" w:name="_Toc127161455"/>
      <w:bookmarkStart w:id="607" w:name="_Toc151193711"/>
      <w:bookmarkStart w:id="608" w:name="_Toc226337237"/>
      <w:bookmarkStart w:id="609" w:name="_Toc151193639"/>
      <w:bookmarkStart w:id="610" w:name="_Toc150774641"/>
      <w:bookmarkStart w:id="611" w:name="_Toc226965731"/>
      <w:bookmarkStart w:id="612" w:name="_Toc226965814"/>
      <w:bookmarkStart w:id="613" w:name="_Toc151193783"/>
      <w:bookmarkStart w:id="614" w:name="_Toc150480779"/>
      <w:bookmarkStart w:id="615" w:name="_Toc226309785"/>
      <w:bookmarkStart w:id="616" w:name="_Toc142311043"/>
      <w:bookmarkStart w:id="617" w:name="_Toc164608810"/>
      <w:bookmarkStart w:id="618" w:name="_Toc150509292"/>
      <w:bookmarkStart w:id="619" w:name="_Toc127151742"/>
      <w:bookmarkStart w:id="620" w:name="_Toc305158883"/>
      <w:bookmarkStart w:id="621" w:name="_Toc353873941"/>
      <w:bookmarkStart w:id="622" w:name="_Toc353825551"/>
      <w:bookmarkStart w:id="623" w:name="_Toc195842920"/>
      <w:bookmarkStart w:id="624" w:name="_Toc264969245"/>
      <w:bookmarkStart w:id="625" w:name="_Toc353873935"/>
      <w:bookmarkStart w:id="626" w:name="_Toc265228393"/>
      <w:bookmarkStart w:id="627" w:name="_Toc305158897"/>
      <w:bookmarkStart w:id="628" w:name="_Toc150480793"/>
      <w:bookmarkStart w:id="629" w:name="_Toc305158823"/>
      <w:bookmarkStart w:id="630" w:name="_Toc226337251"/>
      <w:bookmarkStart w:id="631" w:name="_Toc142311057"/>
      <w:bookmarkStart w:id="632" w:name="_Toc226965828"/>
      <w:bookmarkStart w:id="633" w:name="_Toc353873665"/>
      <w:bookmarkStart w:id="634" w:name="_Toc150774760"/>
      <w:bookmarkStart w:id="635" w:name="_Toc127151555"/>
      <w:bookmarkStart w:id="636" w:name="_Toc353825545"/>
      <w:r>
        <w:rPr>
          <w:rFonts w:hint="default" w:ascii="Times New Roman" w:hAnsi="Times New Roman" w:eastAsia="宋体" w:cs="Times New Roman"/>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default" w:ascii="Times New Roman" w:hAnsi="Times New Roman" w:eastAsia="宋体" w:cs="Times New Roman"/>
          <w:sz w:val="24"/>
        </w:rPr>
        <w:t>资格审查和符合性审查</w:t>
      </w:r>
    </w:p>
    <w:p w14:paraId="5383B1D7">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default" w:ascii="Times New Roman" w:hAnsi="Times New Roman" w:eastAsia="宋体" w:cs="Times New Roman"/>
          <w:b/>
          <w:sz w:val="24"/>
        </w:rPr>
        <w:t>无效响应</w:t>
      </w:r>
      <w:r>
        <w:rPr>
          <w:rFonts w:hint="default" w:ascii="Times New Roman" w:hAnsi="Times New Roman" w:eastAsia="宋体" w:cs="Times New Roman"/>
          <w:sz w:val="24"/>
        </w:rPr>
        <w:t>处理，磋商小组应当告知提交响应文件的供应商。</w:t>
      </w:r>
    </w:p>
    <w:p w14:paraId="0B742480">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《资格审查要求》中对格式有要求的，除竞争性磋商文件另有规定外，均为“实质性格式”文件。</w:t>
      </w:r>
    </w:p>
    <w:p w14:paraId="233FCDB6">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《资格审查要求》见下表：</w:t>
      </w:r>
    </w:p>
    <w:p w14:paraId="16459CB8">
      <w:pPr>
        <w:tabs>
          <w:tab w:val="left" w:pos="900"/>
          <w:tab w:val="left" w:pos="1080"/>
        </w:tabs>
        <w:snapToGrid w:val="0"/>
        <w:spacing w:line="360" w:lineRule="auto"/>
        <w:ind w:left="1077" w:firstLine="2650" w:firstLineChars="1100"/>
        <w:rPr>
          <w:rFonts w:hint="default" w:ascii="Times New Roman" w:hAnsi="Times New Roman" w:eastAsia="宋体" w:cs="Times New Roman"/>
          <w:b/>
          <w:sz w:val="24"/>
        </w:rPr>
      </w:pPr>
      <w:r>
        <w:rPr>
          <w:rFonts w:hint="default" w:ascii="Times New Roman" w:hAnsi="Times New Roman" w:eastAsia="宋体" w:cs="Times New Roman"/>
          <w:b/>
          <w:sz w:val="24"/>
        </w:rPr>
        <w:t>资格审查要求</w:t>
      </w:r>
    </w:p>
    <w:tbl>
      <w:tblPr>
        <w:tblStyle w:val="44"/>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2"/>
        <w:gridCol w:w="4791"/>
        <w:gridCol w:w="1909"/>
      </w:tblGrid>
      <w:tr w14:paraId="6DF89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jc w:val="center"/>
        </w:trPr>
        <w:tc>
          <w:tcPr>
            <w:tcW w:w="846" w:type="dxa"/>
            <w:vAlign w:val="center"/>
          </w:tcPr>
          <w:p w14:paraId="69A4ED9F">
            <w:pPr>
              <w:tabs>
                <w:tab w:val="left" w:pos="1080"/>
              </w:tabs>
              <w:snapToGrid w:val="0"/>
              <w:jc w:val="center"/>
              <w:rPr>
                <w:rFonts w:hint="default" w:ascii="Times New Roman" w:hAnsi="Times New Roman" w:eastAsia="宋体" w:cs="Times New Roman"/>
                <w:b/>
                <w:sz w:val="24"/>
              </w:rPr>
            </w:pPr>
            <w:bookmarkStart w:id="637" w:name="_Hlt487972895"/>
            <w:bookmarkEnd w:id="637"/>
            <w:r>
              <w:rPr>
                <w:rFonts w:hint="default" w:ascii="Times New Roman" w:hAnsi="Times New Roman" w:eastAsia="宋体" w:cs="Times New Roman"/>
                <w:b/>
                <w:sz w:val="24"/>
              </w:rPr>
              <w:t>序号</w:t>
            </w:r>
          </w:p>
        </w:tc>
        <w:tc>
          <w:tcPr>
            <w:tcW w:w="1742" w:type="dxa"/>
            <w:vAlign w:val="center"/>
          </w:tcPr>
          <w:p w14:paraId="6D09F94C">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检查因素</w:t>
            </w:r>
          </w:p>
        </w:tc>
        <w:tc>
          <w:tcPr>
            <w:tcW w:w="4791" w:type="dxa"/>
            <w:vAlign w:val="center"/>
          </w:tcPr>
          <w:p w14:paraId="2E6CD28E">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检查内容</w:t>
            </w:r>
          </w:p>
        </w:tc>
        <w:tc>
          <w:tcPr>
            <w:tcW w:w="1909" w:type="dxa"/>
            <w:vAlign w:val="center"/>
          </w:tcPr>
          <w:p w14:paraId="3C56C13C">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格式要求</w:t>
            </w:r>
          </w:p>
        </w:tc>
      </w:tr>
      <w:tr w14:paraId="10708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EA46015">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42" w:type="dxa"/>
            <w:vAlign w:val="center"/>
          </w:tcPr>
          <w:p w14:paraId="0318C7C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满足《中华人民共和国政府采购法》第二十二条规定</w:t>
            </w:r>
          </w:p>
        </w:tc>
        <w:tc>
          <w:tcPr>
            <w:tcW w:w="4791" w:type="dxa"/>
            <w:vAlign w:val="center"/>
          </w:tcPr>
          <w:p w14:paraId="25181F23">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具体规定见第一章《采购邀请》</w:t>
            </w:r>
          </w:p>
        </w:tc>
        <w:tc>
          <w:tcPr>
            <w:tcW w:w="1909" w:type="dxa"/>
            <w:vAlign w:val="center"/>
          </w:tcPr>
          <w:p w14:paraId="774A2C66">
            <w:pPr>
              <w:tabs>
                <w:tab w:val="left" w:pos="1080"/>
              </w:tabs>
              <w:snapToGrid w:val="0"/>
              <w:jc w:val="left"/>
              <w:rPr>
                <w:rFonts w:hint="default" w:ascii="Times New Roman" w:hAnsi="Times New Roman" w:eastAsia="宋体" w:cs="Times New Roman"/>
                <w:sz w:val="24"/>
              </w:rPr>
            </w:pPr>
          </w:p>
        </w:tc>
      </w:tr>
      <w:tr w14:paraId="67D88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C71BFDE">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1-1</w:t>
            </w:r>
          </w:p>
        </w:tc>
        <w:tc>
          <w:tcPr>
            <w:tcW w:w="1742" w:type="dxa"/>
            <w:vAlign w:val="center"/>
          </w:tcPr>
          <w:p w14:paraId="4824C2EB">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营业执照等证明文件</w:t>
            </w:r>
          </w:p>
        </w:tc>
        <w:tc>
          <w:tcPr>
            <w:tcW w:w="4791" w:type="dxa"/>
            <w:vAlign w:val="center"/>
          </w:tcPr>
          <w:p w14:paraId="410AE3F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供应商为企业（包括合伙企业）的，应提供有效的“营业执照”；</w:t>
            </w:r>
          </w:p>
          <w:p w14:paraId="013D01A9">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供应商为事业单位的，应提供有效的“事业单位法人证书”；</w:t>
            </w:r>
          </w:p>
          <w:p w14:paraId="17E2C38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供应商是非企业机构的，应提供有效的“执业许可证”、“登记证书”等证明文件；</w:t>
            </w:r>
          </w:p>
          <w:p w14:paraId="20626AF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供应商是个体工商户的，应提供有效的“个体工商户营业执照”；</w:t>
            </w:r>
          </w:p>
          <w:p w14:paraId="6AD1F82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供应商是自然人的，应提供有效的自然人身份证明。</w:t>
            </w:r>
          </w:p>
          <w:p w14:paraId="67D21497">
            <w:pPr>
              <w:tabs>
                <w:tab w:val="left" w:pos="1080"/>
              </w:tabs>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分支机构参加响应的，应提供该分支机构或其所属法人/其他组织的相应证明文件；同时还应提供其所属法人/其他组织出具的授权其参与本项目的授权书（格式自拟，须加</w:t>
            </w:r>
            <w:r>
              <w:rPr>
                <w:rFonts w:hint="default" w:ascii="Times New Roman" w:hAnsi="Times New Roman" w:eastAsia="宋体" w:cs="Times New Roman"/>
                <w:sz w:val="24"/>
              </w:rPr>
              <w:t>盖其所属法人/其他组织的公章）；对于</w:t>
            </w:r>
            <w:r>
              <w:rPr>
                <w:rFonts w:hint="default" w:ascii="Times New Roman" w:hAnsi="Times New Roman" w:eastAsia="宋体" w:cs="Times New Roman"/>
                <w:iCs/>
                <w:sz w:val="24"/>
              </w:rPr>
              <w:t>银行、保险、石油石化、电力、电信等行业的分支机构，可以提供上述</w:t>
            </w:r>
            <w:r>
              <w:rPr>
                <w:rFonts w:hint="default" w:ascii="Times New Roman" w:hAnsi="Times New Roman" w:eastAsia="宋体" w:cs="Times New Roman"/>
                <w:sz w:val="24"/>
              </w:rPr>
              <w:t>授权，也</w:t>
            </w:r>
            <w:r>
              <w:rPr>
                <w:rFonts w:hint="default" w:ascii="Times New Roman" w:hAnsi="Times New Roman" w:eastAsia="宋体" w:cs="Times New Roman"/>
                <w:color w:val="000000"/>
                <w:sz w:val="24"/>
              </w:rPr>
              <w:t>可以提供其所属法人/其他组织的有关文件或制度等能够证明授权其独立开展业务的证明材料。</w:t>
            </w:r>
          </w:p>
        </w:tc>
        <w:tc>
          <w:tcPr>
            <w:tcW w:w="1909" w:type="dxa"/>
            <w:vAlign w:val="center"/>
          </w:tcPr>
          <w:p w14:paraId="38AD5E1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6DC2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363E604E">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1-2</w:t>
            </w:r>
          </w:p>
        </w:tc>
        <w:tc>
          <w:tcPr>
            <w:tcW w:w="1742" w:type="dxa"/>
            <w:vAlign w:val="center"/>
          </w:tcPr>
          <w:p w14:paraId="7CEAA27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供应商资格声明书</w:t>
            </w:r>
          </w:p>
        </w:tc>
        <w:tc>
          <w:tcPr>
            <w:tcW w:w="4791" w:type="dxa"/>
            <w:vAlign w:val="center"/>
          </w:tcPr>
          <w:p w14:paraId="75B3E2E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提供了符合竞争性磋商文件要求的《供应商资格声明书》。</w:t>
            </w:r>
          </w:p>
        </w:tc>
        <w:tc>
          <w:tcPr>
            <w:tcW w:w="1909" w:type="dxa"/>
            <w:vAlign w:val="center"/>
          </w:tcPr>
          <w:p w14:paraId="36A8BB44">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394E9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18C45672">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1-3</w:t>
            </w:r>
          </w:p>
        </w:tc>
        <w:tc>
          <w:tcPr>
            <w:tcW w:w="1742" w:type="dxa"/>
            <w:vAlign w:val="center"/>
          </w:tcPr>
          <w:p w14:paraId="16547612">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供应商信用记录</w:t>
            </w:r>
          </w:p>
        </w:tc>
        <w:tc>
          <w:tcPr>
            <w:tcW w:w="4791" w:type="dxa"/>
            <w:vAlign w:val="center"/>
          </w:tcPr>
          <w:p w14:paraId="65E31F56">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查询渠道：信用中国网站和中国政府采购网（</w:t>
            </w:r>
            <w:r>
              <w:rPr>
                <w:rFonts w:hint="default" w:ascii="Times New Roman" w:hAnsi="Times New Roman" w:eastAsia="宋体" w:cs="Times New Roman"/>
              </w:rPr>
              <w:t>www.creditchina.gov.cn</w:t>
            </w:r>
            <w:r>
              <w:rPr>
                <w:rFonts w:hint="default" w:ascii="Times New Roman" w:hAnsi="Times New Roman" w:eastAsia="宋体" w:cs="Times New Roman"/>
                <w:sz w:val="24"/>
              </w:rPr>
              <w:t>、</w:t>
            </w:r>
            <w:r>
              <w:rPr>
                <w:rFonts w:hint="default" w:ascii="Times New Roman" w:hAnsi="Times New Roman" w:eastAsia="宋体" w:cs="Times New Roman"/>
              </w:rPr>
              <w:t>www.ccgp.gov.cn</w:t>
            </w:r>
            <w:r>
              <w:rPr>
                <w:rFonts w:hint="default" w:ascii="Times New Roman" w:hAnsi="Times New Roman" w:eastAsia="宋体" w:cs="Times New Roman"/>
                <w:sz w:val="24"/>
              </w:rPr>
              <w:t>）；</w:t>
            </w:r>
          </w:p>
          <w:p w14:paraId="586F30A5">
            <w:pPr>
              <w:tabs>
                <w:tab w:val="left" w:pos="900"/>
                <w:tab w:val="left" w:pos="19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截止时点：</w:t>
            </w:r>
            <w:r>
              <w:rPr>
                <w:rFonts w:hint="default" w:ascii="Times New Roman" w:hAnsi="Times New Roman" w:eastAsia="宋体" w:cs="Times New Roman"/>
                <w:color w:val="000000"/>
                <w:kern w:val="0"/>
                <w:sz w:val="24"/>
                <w:szCs w:val="20"/>
              </w:rPr>
              <w:t>首次响应文件提交截止时间以后</w:t>
            </w:r>
            <w:r>
              <w:rPr>
                <w:rFonts w:hint="default" w:ascii="Times New Roman" w:hAnsi="Times New Roman" w:eastAsia="宋体" w:cs="Times New Roman"/>
                <w:sz w:val="24"/>
              </w:rPr>
              <w:t>、资格审查阶段采购人或采购代理机构的实际查询时间；</w:t>
            </w:r>
          </w:p>
          <w:p w14:paraId="37321CDB">
            <w:pPr>
              <w:tabs>
                <w:tab w:val="left" w:pos="900"/>
                <w:tab w:val="left" w:pos="19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信用信息查询记录和证据留存具体方式：查询结果网页打印页作为查询记录和证据，与其他竞争性磋商文件一并保存；</w:t>
            </w:r>
          </w:p>
          <w:p w14:paraId="20763B6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信用信息的使用原则：经认定的被列入失信被执行人、重大税收违法案件当事人名单、政府采购严重违法失信行为记录名单的供应商，其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。联合体形式磋商的，联合体成员存在不良信用记录，视同联合体存在不良信用记录。</w:t>
            </w:r>
          </w:p>
        </w:tc>
        <w:tc>
          <w:tcPr>
            <w:tcW w:w="1909" w:type="dxa"/>
            <w:vAlign w:val="center"/>
          </w:tcPr>
          <w:p w14:paraId="45A5F618">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无须供应商提供，由采购人或采购代理机构查询。</w:t>
            </w:r>
          </w:p>
        </w:tc>
      </w:tr>
      <w:tr w14:paraId="6A1F6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7A3AC30D">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1-4</w:t>
            </w:r>
          </w:p>
        </w:tc>
        <w:tc>
          <w:tcPr>
            <w:tcW w:w="1742" w:type="dxa"/>
            <w:vAlign w:val="center"/>
          </w:tcPr>
          <w:p w14:paraId="5EBC20CF">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4791" w:type="dxa"/>
            <w:vAlign w:val="center"/>
          </w:tcPr>
          <w:p w14:paraId="705D9F50">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1909" w:type="dxa"/>
            <w:vAlign w:val="center"/>
          </w:tcPr>
          <w:p w14:paraId="1F05FAB1">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r>
      <w:tr w14:paraId="6C497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7E0632BF">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42" w:type="dxa"/>
            <w:vAlign w:val="center"/>
          </w:tcPr>
          <w:p w14:paraId="15901C85">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落实政府采购政策需满足的资格要求</w:t>
            </w:r>
          </w:p>
        </w:tc>
        <w:tc>
          <w:tcPr>
            <w:tcW w:w="4791" w:type="dxa"/>
            <w:vAlign w:val="center"/>
          </w:tcPr>
          <w:p w14:paraId="3481130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具体要求见第一章《采购邀请》</w:t>
            </w:r>
          </w:p>
        </w:tc>
        <w:tc>
          <w:tcPr>
            <w:tcW w:w="1909" w:type="dxa"/>
            <w:vAlign w:val="center"/>
          </w:tcPr>
          <w:p w14:paraId="08D97D9F">
            <w:pPr>
              <w:tabs>
                <w:tab w:val="left" w:pos="1080"/>
              </w:tabs>
              <w:snapToGrid w:val="0"/>
              <w:jc w:val="left"/>
              <w:rPr>
                <w:rFonts w:hint="default" w:ascii="Times New Roman" w:hAnsi="Times New Roman" w:eastAsia="宋体" w:cs="Times New Roman"/>
                <w:sz w:val="24"/>
              </w:rPr>
            </w:pPr>
          </w:p>
        </w:tc>
      </w:tr>
      <w:tr w14:paraId="417C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60CDADD9">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w:t>
            </w:r>
          </w:p>
        </w:tc>
        <w:tc>
          <w:tcPr>
            <w:tcW w:w="1742" w:type="dxa"/>
            <w:vAlign w:val="center"/>
          </w:tcPr>
          <w:p w14:paraId="1E8DE18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中小企业政策证明文件</w:t>
            </w:r>
          </w:p>
        </w:tc>
        <w:tc>
          <w:tcPr>
            <w:tcW w:w="4791" w:type="dxa"/>
            <w:vAlign w:val="center"/>
          </w:tcPr>
          <w:p w14:paraId="3162282E">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具体要求见第一章《采购邀请》</w:t>
            </w:r>
          </w:p>
        </w:tc>
        <w:tc>
          <w:tcPr>
            <w:tcW w:w="1909" w:type="dxa"/>
            <w:vAlign w:val="center"/>
          </w:tcPr>
          <w:p w14:paraId="7ED642C8">
            <w:pPr>
              <w:tabs>
                <w:tab w:val="left" w:pos="1080"/>
              </w:tabs>
              <w:snapToGrid w:val="0"/>
              <w:jc w:val="left"/>
              <w:rPr>
                <w:rFonts w:hint="default" w:ascii="Times New Roman" w:hAnsi="Times New Roman" w:eastAsia="宋体" w:cs="Times New Roman"/>
                <w:sz w:val="24"/>
              </w:rPr>
            </w:pPr>
          </w:p>
        </w:tc>
      </w:tr>
      <w:tr w14:paraId="0A25F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2A8EA0D6">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2-1-1</w:t>
            </w:r>
          </w:p>
        </w:tc>
        <w:tc>
          <w:tcPr>
            <w:tcW w:w="1742" w:type="dxa"/>
            <w:vAlign w:val="center"/>
          </w:tcPr>
          <w:p w14:paraId="1ACE4503">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中</w:t>
            </w:r>
            <w:r>
              <w:rPr>
                <w:rFonts w:hint="default" w:ascii="Times New Roman" w:hAnsi="Times New Roman" w:eastAsia="宋体" w:cs="Times New Roman"/>
                <w:sz w:val="24"/>
                <w:highlight w:val="none"/>
              </w:rPr>
              <w:t>小企业证明文件</w:t>
            </w:r>
            <w:r>
              <w:rPr>
                <w:rFonts w:hint="default" w:ascii="Times New Roman" w:hAnsi="Times New Roman" w:eastAsia="宋体" w:cs="Times New Roman"/>
                <w:b/>
                <w:bCs/>
                <w:sz w:val="24"/>
                <w:highlight w:val="none"/>
              </w:rPr>
              <w:t>（本项目专门面向</w:t>
            </w:r>
            <w:r>
              <w:rPr>
                <w:rFonts w:hint="eastAsia" w:cs="Times New Roman"/>
                <w:b/>
                <w:bCs/>
                <w:sz w:val="24"/>
                <w:highlight w:val="none"/>
                <w:lang w:val="en-US" w:eastAsia="zh-CN"/>
              </w:rPr>
              <w:t>小微</w:t>
            </w:r>
            <w:r>
              <w:rPr>
                <w:rFonts w:hint="default" w:ascii="Times New Roman" w:hAnsi="Times New Roman" w:eastAsia="宋体" w:cs="Times New Roman"/>
                <w:b/>
                <w:bCs/>
                <w:sz w:val="24"/>
                <w:highlight w:val="none"/>
              </w:rPr>
              <w:t>企业采购）</w:t>
            </w:r>
          </w:p>
        </w:tc>
        <w:tc>
          <w:tcPr>
            <w:tcW w:w="4791" w:type="dxa"/>
            <w:vAlign w:val="center"/>
          </w:tcPr>
          <w:p w14:paraId="5E2B3ECE">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当本项目（包）涉及预留份额专门面向中小企业采购，提供如下资料： </w:t>
            </w:r>
          </w:p>
          <w:p w14:paraId="3D25D40C">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1、供应商单独响应的，应提供《中小企业声明函》或《残疾人福利性单位声明函》或由省级以上监狱管理局、戒毒管理局（含新疆生产建设兵团）出具的属于监狱企业的证明文件。</w:t>
            </w:r>
          </w:p>
          <w:p w14:paraId="11A64302">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09" w:type="dxa"/>
            <w:vAlign w:val="center"/>
          </w:tcPr>
          <w:p w14:paraId="42CEDDD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1ADBD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7CCE33CE">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2-1-2</w:t>
            </w:r>
          </w:p>
        </w:tc>
        <w:tc>
          <w:tcPr>
            <w:tcW w:w="1742" w:type="dxa"/>
            <w:vAlign w:val="center"/>
          </w:tcPr>
          <w:p w14:paraId="4AB5A93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拟分包情况说明及分包意向协议</w:t>
            </w:r>
            <w:r>
              <w:rPr>
                <w:rFonts w:hint="default" w:ascii="Times New Roman" w:hAnsi="Times New Roman" w:eastAsia="宋体" w:cs="Times New Roman"/>
                <w:b/>
                <w:bCs/>
                <w:sz w:val="24"/>
              </w:rPr>
              <w:t>（本项目不允许分包）</w:t>
            </w:r>
          </w:p>
        </w:tc>
        <w:tc>
          <w:tcPr>
            <w:tcW w:w="4791" w:type="dxa"/>
            <w:vAlign w:val="center"/>
          </w:tcPr>
          <w:p w14:paraId="16D5985D">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如本项目（包）要求通过分包措施预留部分采购份额面向中小企业采购、且供应商因落实政府采购政策拟进行分包的，必须提供；否则无须提供。</w:t>
            </w:r>
          </w:p>
          <w:p w14:paraId="6B526F5D">
            <w:pPr>
              <w:tabs>
                <w:tab w:val="left" w:pos="1080"/>
              </w:tabs>
              <w:snapToGrid w:val="0"/>
              <w:jc w:val="left"/>
              <w:rPr>
                <w:rFonts w:hint="default" w:ascii="Times New Roman" w:hAnsi="Times New Roman" w:eastAsia="宋体" w:cs="Times New Roman"/>
                <w:b/>
                <w:sz w:val="24"/>
              </w:rPr>
            </w:pPr>
            <w:r>
              <w:rPr>
                <w:rFonts w:hint="default" w:ascii="Times New Roman" w:hAnsi="Times New Roman" w:eastAsia="宋体" w:cs="Times New Roman"/>
                <w:sz w:val="24"/>
              </w:rPr>
              <w:t>对于预留份额专门面向中小企业采购的项目（包），组成联合体或者接受分包合同的中小企业与联合体内其他企业、分包企业之间不得存在直接控股、管理关系。</w:t>
            </w:r>
          </w:p>
        </w:tc>
        <w:tc>
          <w:tcPr>
            <w:tcW w:w="1909" w:type="dxa"/>
            <w:vAlign w:val="center"/>
          </w:tcPr>
          <w:p w14:paraId="5B9CFB4E">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3C715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6F78F2C">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2-2</w:t>
            </w:r>
          </w:p>
        </w:tc>
        <w:tc>
          <w:tcPr>
            <w:tcW w:w="1742" w:type="dxa"/>
            <w:vAlign w:val="center"/>
          </w:tcPr>
          <w:p w14:paraId="4B07EE64">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其它落实政府采购政策的资格要求</w:t>
            </w:r>
          </w:p>
        </w:tc>
        <w:tc>
          <w:tcPr>
            <w:tcW w:w="4791" w:type="dxa"/>
            <w:vAlign w:val="center"/>
          </w:tcPr>
          <w:p w14:paraId="3752DFE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如有，见第一章《采购邀请》</w:t>
            </w:r>
          </w:p>
        </w:tc>
        <w:tc>
          <w:tcPr>
            <w:tcW w:w="1909" w:type="dxa"/>
            <w:vAlign w:val="center"/>
          </w:tcPr>
          <w:p w14:paraId="1534654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150D7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4D019B33">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42" w:type="dxa"/>
            <w:vAlign w:val="center"/>
          </w:tcPr>
          <w:p w14:paraId="1E95D3D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本项目的特定资格要求</w:t>
            </w:r>
          </w:p>
        </w:tc>
        <w:tc>
          <w:tcPr>
            <w:tcW w:w="4791" w:type="dxa"/>
            <w:vAlign w:val="center"/>
          </w:tcPr>
          <w:p w14:paraId="3331BEA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如有，见第一章《采购邀请》</w:t>
            </w:r>
          </w:p>
        </w:tc>
        <w:tc>
          <w:tcPr>
            <w:tcW w:w="1909" w:type="dxa"/>
            <w:vAlign w:val="center"/>
          </w:tcPr>
          <w:p w14:paraId="42E76E27">
            <w:pPr>
              <w:tabs>
                <w:tab w:val="left" w:pos="1080"/>
              </w:tabs>
              <w:snapToGrid w:val="0"/>
              <w:jc w:val="left"/>
              <w:rPr>
                <w:rFonts w:hint="default" w:ascii="Times New Roman" w:hAnsi="Times New Roman" w:eastAsia="宋体" w:cs="Times New Roman"/>
                <w:sz w:val="24"/>
              </w:rPr>
            </w:pPr>
          </w:p>
        </w:tc>
      </w:tr>
      <w:tr w14:paraId="1B16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4252CAA5">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3-1</w:t>
            </w:r>
          </w:p>
        </w:tc>
        <w:tc>
          <w:tcPr>
            <w:tcW w:w="1742" w:type="dxa"/>
            <w:vAlign w:val="center"/>
          </w:tcPr>
          <w:p w14:paraId="04724DD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本项目对于联合体的要求</w:t>
            </w:r>
            <w:r>
              <w:rPr>
                <w:rFonts w:hint="default" w:ascii="Times New Roman" w:hAnsi="Times New Roman" w:eastAsia="宋体" w:cs="Times New Roman"/>
                <w:b/>
                <w:bCs/>
                <w:sz w:val="24"/>
              </w:rPr>
              <w:t>（本项目不允许联合体参加）</w:t>
            </w:r>
          </w:p>
        </w:tc>
        <w:tc>
          <w:tcPr>
            <w:tcW w:w="4791" w:type="dxa"/>
            <w:vAlign w:val="center"/>
          </w:tcPr>
          <w:p w14:paraId="785E7EA1">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7A9F7AD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2、联合体各成员单位均须提供本表中序号1-1、1-2的证明文件。联合体各成员单位均应满足本表3-2项规定。</w:t>
            </w:r>
          </w:p>
          <w:p w14:paraId="0FAB5BDC">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3、本表序号3-3项规定的其他特定资格要求中的每一小项要求，联合体各方中至少应当有一方符合本表中其他资格要求并提供证明文件。</w:t>
            </w:r>
          </w:p>
          <w:p w14:paraId="0F34EF04">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4、联合体中有同类资质的供应商按照联合体分工承担相同工作的，应当按照资质等级较低的供应商确定资质等级。</w:t>
            </w:r>
          </w:p>
          <w:p w14:paraId="475A53A0">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5、以联合体形式参加政府采购活动的，联合体各方不得再单独参加或者与其他供应商另外组成联合体参加同一合同项下的政府采购活动。</w:t>
            </w:r>
          </w:p>
          <w:p w14:paraId="58E91DC3">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6、若联合体中任一成员单位中途退出，则该联合体的响应无效。</w:t>
            </w:r>
          </w:p>
          <w:p w14:paraId="70D5B0AF">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 xml:space="preserve">7、本项目不接受联合体响应时，供应商不得为联合体。 </w:t>
            </w:r>
          </w:p>
        </w:tc>
        <w:tc>
          <w:tcPr>
            <w:tcW w:w="1909" w:type="dxa"/>
            <w:vAlign w:val="center"/>
          </w:tcPr>
          <w:p w14:paraId="60EFC723">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提供《联合协议》原件或该原件的复印件</w:t>
            </w:r>
          </w:p>
          <w:p w14:paraId="167A8318">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38638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6E8C4E28">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3-2</w:t>
            </w:r>
          </w:p>
        </w:tc>
        <w:tc>
          <w:tcPr>
            <w:tcW w:w="1742" w:type="dxa"/>
            <w:vAlign w:val="center"/>
          </w:tcPr>
          <w:p w14:paraId="59CBAC48">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政府购买服务承接主体的要求</w:t>
            </w:r>
          </w:p>
        </w:tc>
        <w:tc>
          <w:tcPr>
            <w:tcW w:w="4791" w:type="dxa"/>
            <w:vAlign w:val="center"/>
          </w:tcPr>
          <w:p w14:paraId="1E16B78B">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如本项目属于政府购买服务，供应商不属于公益一类事业单位、使用事业编制且由财政拨款保障的群团组织。</w:t>
            </w:r>
          </w:p>
        </w:tc>
        <w:tc>
          <w:tcPr>
            <w:tcW w:w="1909" w:type="dxa"/>
            <w:vAlign w:val="center"/>
          </w:tcPr>
          <w:p w14:paraId="4813A9DA">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格式见《响应文件格式》“1-2 供应商资格声明书”</w:t>
            </w:r>
          </w:p>
        </w:tc>
      </w:tr>
      <w:tr w14:paraId="4117F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846" w:type="dxa"/>
            <w:vAlign w:val="center"/>
          </w:tcPr>
          <w:p w14:paraId="6ADF4F85">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3-3</w:t>
            </w:r>
          </w:p>
        </w:tc>
        <w:tc>
          <w:tcPr>
            <w:tcW w:w="1742" w:type="dxa"/>
            <w:vAlign w:val="center"/>
          </w:tcPr>
          <w:p w14:paraId="6706AB9D">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其他特定资格要求</w:t>
            </w:r>
          </w:p>
        </w:tc>
        <w:tc>
          <w:tcPr>
            <w:tcW w:w="4791" w:type="dxa"/>
            <w:vAlign w:val="center"/>
          </w:tcPr>
          <w:p w14:paraId="753CF43B">
            <w:pPr>
              <w:tabs>
                <w:tab w:val="left" w:pos="1080"/>
              </w:tabs>
              <w:snapToGrid w:val="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如有，见</w:t>
            </w:r>
            <w:r>
              <w:rPr>
                <w:rFonts w:hint="default" w:ascii="Times New Roman" w:hAnsi="Times New Roman" w:eastAsia="宋体" w:cs="Times New Roman"/>
                <w:sz w:val="24"/>
              </w:rPr>
              <w:t>第一章《采购邀请》</w:t>
            </w:r>
          </w:p>
        </w:tc>
        <w:tc>
          <w:tcPr>
            <w:tcW w:w="1909" w:type="dxa"/>
            <w:vAlign w:val="center"/>
          </w:tcPr>
          <w:p w14:paraId="3429FF4C">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0D269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2153F659">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1742" w:type="dxa"/>
            <w:vAlign w:val="center"/>
          </w:tcPr>
          <w:p w14:paraId="271F2AB0">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color w:val="000000"/>
                <w:kern w:val="0"/>
                <w:sz w:val="24"/>
              </w:rPr>
              <w:t>磋商保证金</w:t>
            </w:r>
          </w:p>
        </w:tc>
        <w:tc>
          <w:tcPr>
            <w:tcW w:w="4791" w:type="dxa"/>
            <w:vAlign w:val="center"/>
          </w:tcPr>
          <w:p w14:paraId="49D47859">
            <w:pPr>
              <w:tabs>
                <w:tab w:val="left" w:pos="1080"/>
              </w:tabs>
              <w:snapToGrid w:val="0"/>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rPr>
              <w:t>按照竞争性磋商文件的要求提交磋商保证金。</w:t>
            </w:r>
          </w:p>
        </w:tc>
        <w:tc>
          <w:tcPr>
            <w:tcW w:w="1909" w:type="dxa"/>
            <w:vAlign w:val="center"/>
          </w:tcPr>
          <w:p w14:paraId="49BC58AD">
            <w:pPr>
              <w:tabs>
                <w:tab w:val="left" w:pos="1080"/>
              </w:tabs>
              <w:snapToGrid w:val="0"/>
              <w:rPr>
                <w:rFonts w:hint="default" w:ascii="Times New Roman" w:hAnsi="Times New Roman" w:eastAsia="宋体" w:cs="Times New Roman"/>
                <w:sz w:val="24"/>
              </w:rPr>
            </w:pPr>
          </w:p>
        </w:tc>
      </w:tr>
      <w:tr w14:paraId="7AC3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3F930AA3">
            <w:pPr>
              <w:tabs>
                <w:tab w:val="left" w:pos="1080"/>
              </w:tabs>
              <w:snapToGrid w:val="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w:t>
            </w:r>
          </w:p>
        </w:tc>
        <w:tc>
          <w:tcPr>
            <w:tcW w:w="1742" w:type="dxa"/>
            <w:vAlign w:val="center"/>
          </w:tcPr>
          <w:p w14:paraId="02D40C8D">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获取磋商文件</w:t>
            </w:r>
          </w:p>
        </w:tc>
        <w:tc>
          <w:tcPr>
            <w:tcW w:w="4791" w:type="dxa"/>
            <w:vAlign w:val="center"/>
          </w:tcPr>
          <w:p w14:paraId="3D8D48C2">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在规定期限内通过北京市政府采购电子交易平台获取所参与包的磋商文件。</w:t>
            </w:r>
          </w:p>
          <w:p w14:paraId="4302F68B">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注：如本项目接受联合体，且供应商为联合体时，联合体中任一成员获取文件即视为满足要求。</w:t>
            </w:r>
          </w:p>
        </w:tc>
        <w:tc>
          <w:tcPr>
            <w:tcW w:w="1909" w:type="dxa"/>
            <w:vAlign w:val="center"/>
          </w:tcPr>
          <w:p w14:paraId="0E65BE6B">
            <w:pPr>
              <w:tabs>
                <w:tab w:val="left" w:pos="1080"/>
              </w:tabs>
              <w:snapToGrid w:val="0"/>
              <w:rPr>
                <w:rFonts w:hint="default" w:ascii="Times New Roman" w:hAnsi="Times New Roman" w:eastAsia="宋体" w:cs="Times New Roman"/>
                <w:sz w:val="24"/>
              </w:rPr>
            </w:pPr>
          </w:p>
        </w:tc>
      </w:tr>
    </w:tbl>
    <w:p w14:paraId="1E132C24">
      <w:pPr>
        <w:widowControl/>
        <w:jc w:val="left"/>
        <w:rPr>
          <w:rFonts w:hint="default" w:ascii="Times New Roman" w:hAnsi="Times New Roman" w:eastAsia="宋体" w:cs="Times New Roman"/>
          <w:sz w:val="24"/>
        </w:rPr>
      </w:pPr>
    </w:p>
    <w:p w14:paraId="74794AA1">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《符合性审查要求》见下表：</w:t>
      </w:r>
    </w:p>
    <w:p w14:paraId="2BDEAEA4">
      <w:pPr>
        <w:widowControl/>
        <w:spacing w:line="360" w:lineRule="auto"/>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符合性审查要求</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711"/>
        <w:gridCol w:w="2941"/>
        <w:gridCol w:w="3624"/>
      </w:tblGrid>
      <w:tr w14:paraId="5CEA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451D5BC0">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序号</w:t>
            </w:r>
          </w:p>
        </w:tc>
        <w:tc>
          <w:tcPr>
            <w:tcW w:w="1711" w:type="dxa"/>
            <w:shd w:val="clear" w:color="000000" w:fill="FFFFFF"/>
            <w:vAlign w:val="center"/>
          </w:tcPr>
          <w:p w14:paraId="2F020878">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sz w:val="24"/>
              </w:rPr>
              <w:t>检查</w:t>
            </w:r>
            <w:r>
              <w:rPr>
                <w:rFonts w:hint="default" w:ascii="Times New Roman" w:hAnsi="Times New Roman" w:eastAsia="宋体" w:cs="Times New Roman"/>
                <w:b/>
                <w:color w:val="000000"/>
                <w:kern w:val="0"/>
                <w:sz w:val="24"/>
              </w:rPr>
              <w:t>因素</w:t>
            </w:r>
          </w:p>
        </w:tc>
        <w:tc>
          <w:tcPr>
            <w:tcW w:w="2941" w:type="dxa"/>
            <w:shd w:val="clear" w:color="000000" w:fill="FFFFFF"/>
            <w:vAlign w:val="center"/>
          </w:tcPr>
          <w:p w14:paraId="27B11A69">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sz w:val="24"/>
              </w:rPr>
              <w:t>检查</w:t>
            </w:r>
            <w:r>
              <w:rPr>
                <w:rFonts w:hint="default" w:ascii="Times New Roman" w:hAnsi="Times New Roman" w:eastAsia="宋体" w:cs="Times New Roman"/>
                <w:b/>
                <w:color w:val="000000"/>
                <w:kern w:val="0"/>
                <w:sz w:val="24"/>
              </w:rPr>
              <w:t>内容</w:t>
            </w:r>
          </w:p>
        </w:tc>
        <w:tc>
          <w:tcPr>
            <w:tcW w:w="3624" w:type="dxa"/>
            <w:shd w:val="clear" w:color="000000" w:fill="FFFFFF"/>
            <w:vAlign w:val="center"/>
          </w:tcPr>
          <w:p w14:paraId="68A81445">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是否允许澄清、说明或者更正</w:t>
            </w:r>
          </w:p>
        </w:tc>
      </w:tr>
      <w:tr w14:paraId="7274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63648FAA">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w:t>
            </w:r>
          </w:p>
        </w:tc>
        <w:tc>
          <w:tcPr>
            <w:tcW w:w="1711" w:type="dxa"/>
            <w:shd w:val="clear" w:color="000000" w:fill="FFFFFF"/>
            <w:vAlign w:val="center"/>
          </w:tcPr>
          <w:p w14:paraId="55C5800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授权委托书</w:t>
            </w:r>
          </w:p>
        </w:tc>
        <w:tc>
          <w:tcPr>
            <w:tcW w:w="2941" w:type="dxa"/>
            <w:shd w:val="clear" w:color="000000" w:fill="FFFFFF"/>
            <w:vAlign w:val="center"/>
          </w:tcPr>
          <w:p w14:paraId="0E1B8E23">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按照磋商文件要求提供授权委托书</w:t>
            </w:r>
          </w:p>
        </w:tc>
        <w:tc>
          <w:tcPr>
            <w:tcW w:w="3624" w:type="dxa"/>
            <w:shd w:val="clear" w:color="000000" w:fill="FFFFFF"/>
            <w:vAlign w:val="center"/>
          </w:tcPr>
          <w:p w14:paraId="1041430F">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3BE2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7B2F9B2C">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w:t>
            </w:r>
          </w:p>
        </w:tc>
        <w:tc>
          <w:tcPr>
            <w:tcW w:w="1711" w:type="dxa"/>
            <w:shd w:val="clear" w:color="000000" w:fill="FFFFFF"/>
            <w:vAlign w:val="center"/>
          </w:tcPr>
          <w:p w14:paraId="689D0845">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签署、盖章</w:t>
            </w:r>
          </w:p>
        </w:tc>
        <w:tc>
          <w:tcPr>
            <w:tcW w:w="2941" w:type="dxa"/>
            <w:shd w:val="clear" w:color="000000" w:fill="FFFFFF"/>
            <w:vAlign w:val="center"/>
          </w:tcPr>
          <w:p w14:paraId="23439B3C">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按照磋商文件规定要求签署、盖章</w:t>
            </w:r>
          </w:p>
        </w:tc>
        <w:tc>
          <w:tcPr>
            <w:tcW w:w="3624" w:type="dxa"/>
            <w:shd w:val="clear" w:color="000000" w:fill="FFFFFF"/>
            <w:vAlign w:val="center"/>
          </w:tcPr>
          <w:p w14:paraId="7F305461">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1AC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76799207">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w:t>
            </w:r>
          </w:p>
        </w:tc>
        <w:tc>
          <w:tcPr>
            <w:tcW w:w="1711" w:type="dxa"/>
            <w:shd w:val="clear" w:color="000000" w:fill="FFFFFF"/>
            <w:vAlign w:val="center"/>
          </w:tcPr>
          <w:p w14:paraId="7FE6F25C">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响应报价</w:t>
            </w:r>
          </w:p>
        </w:tc>
        <w:tc>
          <w:tcPr>
            <w:tcW w:w="2941" w:type="dxa"/>
            <w:shd w:val="clear" w:color="000000" w:fill="FFFFFF"/>
            <w:vAlign w:val="center"/>
          </w:tcPr>
          <w:p w14:paraId="4AB988C1">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最后</w:t>
            </w:r>
            <w:r>
              <w:rPr>
                <w:rFonts w:hint="default" w:ascii="Times New Roman" w:hAnsi="Times New Roman" w:eastAsia="宋体" w:cs="Times New Roman"/>
                <w:sz w:val="24"/>
                <w:szCs w:val="21"/>
              </w:rPr>
              <w:t>报价未超过磋商文件中规定的预算金额</w:t>
            </w:r>
          </w:p>
        </w:tc>
        <w:tc>
          <w:tcPr>
            <w:tcW w:w="3624" w:type="dxa"/>
            <w:shd w:val="clear" w:color="000000" w:fill="FFFFFF"/>
            <w:vAlign w:val="center"/>
          </w:tcPr>
          <w:p w14:paraId="3E92FB9F">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4A46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59ABB093">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4</w:t>
            </w:r>
          </w:p>
        </w:tc>
        <w:tc>
          <w:tcPr>
            <w:tcW w:w="1711" w:type="dxa"/>
            <w:shd w:val="clear" w:color="000000" w:fill="FFFFFF"/>
            <w:vAlign w:val="center"/>
          </w:tcPr>
          <w:p w14:paraId="1FF3CB09">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附加条件</w:t>
            </w:r>
          </w:p>
        </w:tc>
        <w:tc>
          <w:tcPr>
            <w:tcW w:w="2941" w:type="dxa"/>
            <w:shd w:val="clear" w:color="000000" w:fill="FFFFFF"/>
            <w:vAlign w:val="center"/>
          </w:tcPr>
          <w:p w14:paraId="1C4AA67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响应文件未含有采购人不能接受的附加条件</w:t>
            </w:r>
          </w:p>
        </w:tc>
        <w:tc>
          <w:tcPr>
            <w:tcW w:w="3624" w:type="dxa"/>
            <w:shd w:val="clear" w:color="000000" w:fill="FFFFFF"/>
            <w:vAlign w:val="center"/>
          </w:tcPr>
          <w:p w14:paraId="353C112B">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26B6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012" w:type="dxa"/>
            <w:shd w:val="clear" w:color="000000" w:fill="FFFFFF"/>
            <w:vAlign w:val="center"/>
          </w:tcPr>
          <w:p w14:paraId="0855E7C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w:t>
            </w:r>
          </w:p>
        </w:tc>
        <w:tc>
          <w:tcPr>
            <w:tcW w:w="1711" w:type="dxa"/>
            <w:shd w:val="clear" w:color="000000" w:fill="FFFFFF"/>
            <w:vAlign w:val="center"/>
          </w:tcPr>
          <w:p w14:paraId="1BE49D2F">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其他无效情形</w:t>
            </w:r>
          </w:p>
        </w:tc>
        <w:tc>
          <w:tcPr>
            <w:tcW w:w="2941" w:type="dxa"/>
            <w:shd w:val="clear" w:color="000000" w:fill="FFFFFF"/>
            <w:vAlign w:val="center"/>
          </w:tcPr>
          <w:p w14:paraId="30156CCC">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不存在</w:t>
            </w:r>
            <w:r>
              <w:rPr>
                <w:rFonts w:hint="default" w:ascii="Times New Roman" w:hAnsi="Times New Roman" w:eastAsia="宋体" w:cs="Times New Roman"/>
                <w:sz w:val="24"/>
                <w:szCs w:val="21"/>
              </w:rPr>
              <w:t>法律、法规和磋商文件规定的其他无效情形</w:t>
            </w:r>
          </w:p>
        </w:tc>
        <w:tc>
          <w:tcPr>
            <w:tcW w:w="3624" w:type="dxa"/>
            <w:shd w:val="clear" w:color="000000" w:fill="FFFFFF"/>
            <w:vAlign w:val="center"/>
          </w:tcPr>
          <w:p w14:paraId="20CBE8EF">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bl>
    <w:p w14:paraId="1D6D4A0C">
      <w:pPr>
        <w:tabs>
          <w:tab w:val="left" w:pos="900"/>
          <w:tab w:val="left" w:pos="1080"/>
          <w:tab w:val="left" w:pos="1589"/>
        </w:tabs>
        <w:snapToGrid w:val="0"/>
        <w:spacing w:line="360" w:lineRule="auto"/>
        <w:rPr>
          <w:rFonts w:hint="default" w:ascii="Times New Roman" w:hAnsi="Times New Roman" w:eastAsia="宋体" w:cs="Times New Roman"/>
          <w:sz w:val="24"/>
        </w:rPr>
      </w:pPr>
    </w:p>
    <w:p w14:paraId="34F04044">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磋商、响应文件有关事项的澄清、说明或者更正和最后报价</w:t>
      </w:r>
    </w:p>
    <w:p w14:paraId="41EB055A">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磋商小组所有成员将集中与单一供应商分别进行磋商，并给予所有参加磋商的供应商平等的磋商机会。</w:t>
      </w:r>
    </w:p>
    <w:p w14:paraId="1C80F2A2">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CF279CC">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kern w:val="0"/>
          <w:sz w:val="24"/>
        </w:rPr>
      </w:pPr>
      <w:r>
        <w:rPr>
          <w:rFonts w:hint="default" w:ascii="Times New Roman" w:hAnsi="Times New Roman" w:eastAsia="宋体" w:cs="Times New Roman"/>
          <w:kern w:val="0"/>
          <w:sz w:val="24"/>
        </w:rPr>
        <w:t>对磋商文件作出的实质性变动是磋商文件的有效组成部分，磋商小组应当及时以书面形式同时通知所有参加磋商的供应商。</w:t>
      </w:r>
    </w:p>
    <w:p w14:paraId="65CFE07C">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kern w:val="0"/>
          <w:sz w:val="24"/>
        </w:rPr>
      </w:pPr>
      <w:r>
        <w:rPr>
          <w:rFonts w:hint="default" w:ascii="Times New Roman" w:hAnsi="Times New Roman" w:eastAsia="宋体" w:cs="Times New Roman"/>
          <w:kern w:val="0"/>
          <w:sz w:val="24"/>
        </w:rPr>
        <w:t>供应商应当按照磋商文件的变动情况和磋商小组的要求重新提交响应文件，并由其法定代表人（</w:t>
      </w:r>
      <w:r>
        <w:rPr>
          <w:rFonts w:hint="default" w:ascii="Times New Roman" w:hAnsi="Times New Roman" w:eastAsia="宋体" w:cs="Times New Roman"/>
          <w:color w:val="000000"/>
          <w:sz w:val="24"/>
          <w:szCs w:val="20"/>
        </w:rPr>
        <w:t>若供应商为事业单位或其他组织或分支机构，可为单位负责人</w:t>
      </w:r>
      <w:r>
        <w:rPr>
          <w:rFonts w:hint="default" w:ascii="Times New Roman" w:hAnsi="Times New Roman" w:eastAsia="宋体" w:cs="Times New Roman"/>
          <w:kern w:val="0"/>
          <w:sz w:val="24"/>
        </w:rPr>
        <w:t>）或授权代表签字或者加盖公章。由授权代表签字的，应当附授权委托书。供应商为自然人的，应当由本人签字并附身份证明。</w:t>
      </w:r>
    </w:p>
    <w:p w14:paraId="34F19845">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响应文件的澄清、说明或者更正：</w:t>
      </w:r>
    </w:p>
    <w:p w14:paraId="07E9F702">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CFE8437">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磋商小组对响应文件进行审查，如发现供应商提交的响应文件存在不满足《符合性审查要求》的内容，如属于表中“不允许”澄清、说明或者更正的内容，则供应商响应文件按</w:t>
      </w:r>
      <w:r>
        <w:rPr>
          <w:rFonts w:hint="default" w:ascii="Times New Roman" w:hAnsi="Times New Roman" w:eastAsia="宋体" w:cs="Times New Roman"/>
          <w:b/>
          <w:sz w:val="24"/>
        </w:rPr>
        <w:t>无效处理</w:t>
      </w:r>
      <w:r>
        <w:rPr>
          <w:rFonts w:hint="default" w:ascii="Times New Roman" w:hAnsi="Times New Roman" w:eastAsia="宋体" w:cs="Times New Roman"/>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default" w:ascii="Times New Roman" w:hAnsi="Times New Roman" w:eastAsia="宋体" w:cs="Times New Roman"/>
          <w:b/>
          <w:sz w:val="24"/>
        </w:rPr>
        <w:t>无效处理</w:t>
      </w:r>
      <w:r>
        <w:rPr>
          <w:rFonts w:hint="default" w:ascii="Times New Roman" w:hAnsi="Times New Roman" w:eastAsia="宋体" w:cs="Times New Roman"/>
          <w:sz w:val="24"/>
        </w:rPr>
        <w:t>。</w:t>
      </w:r>
    </w:p>
    <w:p w14:paraId="5EA4246E">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hint="default" w:ascii="Times New Roman" w:hAnsi="Times New Roman" w:eastAsia="宋体" w:cs="Times New Roman"/>
          <w:kern w:val="0"/>
          <w:sz w:val="24"/>
        </w:rPr>
        <w:t>（</w:t>
      </w:r>
      <w:r>
        <w:rPr>
          <w:rFonts w:hint="default" w:ascii="Times New Roman" w:hAnsi="Times New Roman" w:eastAsia="宋体" w:cs="Times New Roman"/>
          <w:color w:val="000000"/>
          <w:sz w:val="24"/>
          <w:szCs w:val="20"/>
        </w:rPr>
        <w:t>若供应商为事业单位或其他组织或分支机构，可为单位负责人</w:t>
      </w:r>
      <w:r>
        <w:rPr>
          <w:rFonts w:hint="default" w:ascii="Times New Roman" w:hAnsi="Times New Roman" w:eastAsia="宋体" w:cs="Times New Roman"/>
          <w:kern w:val="0"/>
          <w:sz w:val="24"/>
        </w:rPr>
        <w:t>）</w:t>
      </w:r>
      <w:r>
        <w:rPr>
          <w:rFonts w:hint="default" w:ascii="Times New Roman" w:hAnsi="Times New Roman" w:eastAsia="宋体" w:cs="Times New Roman"/>
          <w:sz w:val="24"/>
        </w:rPr>
        <w:t>或其授权代表签字或者加盖公章。由授权代表签字的，应当附授权委托书。供应商为自然人的，应当由本人签字并附身份证明。澄清、说明或者更正文件将作为响应文件内容的一部分。</w:t>
      </w:r>
    </w:p>
    <w:p w14:paraId="2A05E2B5">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磋商结束后，磋商小组将要求所有实质性响应的供应商在规定时间内提交最后报价。最后报价时间为磋商小组指定的时间，具体时间根据磋商进度另行通知。</w:t>
      </w:r>
    </w:p>
    <w:p w14:paraId="395A085E">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default" w:ascii="Times New Roman" w:hAnsi="Times New Roman" w:eastAsia="宋体" w:cs="Times New Roman"/>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105D61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最后报价是供应商响应文件的有效组成部分。</w:t>
      </w:r>
    </w:p>
    <w:p w14:paraId="41EAE789">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已提交响应文件的供应商，在提交最后报价之前，可以根据磋商情况退出磋商。</w:t>
      </w:r>
    </w:p>
    <w:p w14:paraId="0272AC6B">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最后报价的算术修正及政策调整</w:t>
      </w:r>
    </w:p>
    <w:p w14:paraId="502B9763">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288F20F">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最后报价出现前后不一致的，按照下列规定修正：</w:t>
      </w:r>
    </w:p>
    <w:p w14:paraId="67EFB394">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竞争性磋商文件对于报价修正是否另有规定：</w:t>
      </w:r>
    </w:p>
    <w:p w14:paraId="192A4F5C">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u w:val="single"/>
        </w:rPr>
      </w:pPr>
      <w:r>
        <w:rPr>
          <w:rFonts w:hint="default" w:ascii="Times New Roman" w:hAnsi="Times New Roman" w:eastAsia="宋体" w:cs="Times New Roman"/>
          <w:sz w:val="24"/>
        </w:rPr>
        <w:t>□有，具体规定为：___________</w:t>
      </w:r>
    </w:p>
    <w:p w14:paraId="39C4A368">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无，按下述3.2.2-3.2.6项规定修正。</w:t>
      </w:r>
    </w:p>
    <w:p w14:paraId="3C5D5414">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大写金额和小写金额不一致的，以大写金额为准；</w:t>
      </w:r>
    </w:p>
    <w:p w14:paraId="221F88DD">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单价金额小数点或者百分比有明显错位的，以总价为准，并修改单价；</w:t>
      </w:r>
    </w:p>
    <w:p w14:paraId="3E666E9D">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总价金额与按单价汇总金额不一致的，以单价金额计算结果为准。</w:t>
      </w:r>
    </w:p>
    <w:p w14:paraId="1B87CBC5">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同时出现两种以上不一致的，按照前款规定的顺序修正。</w:t>
      </w:r>
    </w:p>
    <w:p w14:paraId="4CC484DF">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修正后的报价经供应商书面确认后产生约束力，供应商不确认的，</w:t>
      </w:r>
      <w:r>
        <w:rPr>
          <w:rFonts w:hint="default" w:ascii="Times New Roman" w:hAnsi="Times New Roman" w:eastAsia="宋体" w:cs="Times New Roman"/>
          <w:b/>
          <w:sz w:val="24"/>
        </w:rPr>
        <w:t>其响应无效</w:t>
      </w:r>
      <w:r>
        <w:rPr>
          <w:rFonts w:hint="default" w:ascii="Times New Roman" w:hAnsi="Times New Roman" w:eastAsia="宋体" w:cs="Times New Roman"/>
          <w:sz w:val="24"/>
        </w:rPr>
        <w:t>。</w:t>
      </w:r>
    </w:p>
    <w:p w14:paraId="22F53711">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落实政府采购政策的价格调整：只有符合第二章《供应商须知》4.2条规定情形的，可以享受中小企业扶持政策，用扣除后的价格参加评审；否则，评审时价格不予扣除。</w:t>
      </w:r>
    </w:p>
    <w:p w14:paraId="3038AD32">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rPr>
        <w:t>对于未预留份额专门面向中小企业采购的采购项目，以及预留份额项目中的非预留部分采购包，对小微</w:t>
      </w:r>
      <w:r>
        <w:rPr>
          <w:rFonts w:hint="default" w:ascii="Times New Roman" w:hAnsi="Times New Roman" w:eastAsia="宋体" w:cs="Times New Roman"/>
          <w:sz w:val="24"/>
          <w:highlight w:val="none"/>
        </w:rPr>
        <w:t>企业报价给予</w:t>
      </w:r>
      <w:r>
        <w:rPr>
          <w:rFonts w:hint="default" w:ascii="Times New Roman" w:hAnsi="Times New Roman" w:eastAsia="宋体" w:cs="Times New Roman"/>
          <w:sz w:val="24"/>
          <w:highlight w:val="none"/>
          <w:u w:val="single"/>
        </w:rPr>
        <w:t>/%</w:t>
      </w:r>
      <w:r>
        <w:rPr>
          <w:rFonts w:hint="default" w:ascii="Times New Roman" w:hAnsi="Times New Roman" w:eastAsia="宋体" w:cs="Times New Roman"/>
          <w:sz w:val="24"/>
          <w:highlight w:val="none"/>
        </w:rPr>
        <w:t>的扣除，用扣除后的价格参加评审。</w:t>
      </w:r>
    </w:p>
    <w:p w14:paraId="5D97B90C">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default" w:ascii="Times New Roman" w:hAnsi="Times New Roman" w:eastAsia="宋体" w:cs="Times New Roman"/>
          <w:sz w:val="24"/>
          <w:u w:val="single"/>
        </w:rPr>
        <w:t>/</w:t>
      </w:r>
      <w:r>
        <w:rPr>
          <w:rFonts w:hint="default" w:ascii="Times New Roman" w:hAnsi="Times New Roman" w:eastAsia="宋体" w:cs="Times New Roman"/>
          <w:sz w:val="24"/>
        </w:rPr>
        <w:t>%的扣除，用扣除后的价格参加评审。</w:t>
      </w:r>
    </w:p>
    <w:p w14:paraId="3BDAE9E8">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组成联合体或者接受分包的小微企业与联合体内其他企业、分包企业之间存在直接控股、管理关系的，不享受价格扣除优惠政策。</w:t>
      </w:r>
    </w:p>
    <w:p w14:paraId="261FB20F">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价格扣除比例对小型企业和微型企业同等对待，不作区分。</w:t>
      </w:r>
    </w:p>
    <w:p w14:paraId="79A71C13">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1F50FFF7">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监狱企业提供了由省级以上监狱管理局、戒毒管理局（含新疆生产建设兵团）出具的属于监狱企业的证明文件的，视同小微企业。</w:t>
      </w:r>
    </w:p>
    <w:p w14:paraId="7541E42C">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残疾人福利性单位按竞争性磋商文件要求提供了《残疾人福利性单位声明函》的，视同小微企业。</w:t>
      </w:r>
    </w:p>
    <w:p w14:paraId="275A7715">
      <w:pPr>
        <w:numPr>
          <w:ilvl w:val="2"/>
          <w:numId w:val="10"/>
        </w:numPr>
        <w:tabs>
          <w:tab w:val="left" w:pos="1080"/>
          <w:tab w:val="left" w:pos="1589"/>
          <w:tab w:val="left" w:pos="20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若供应商同时属于小型或微型企业、监狱企业、残疾人福利性单位中的两种及以上，将不重复享受小微企业价格扣减的优惠政策。</w:t>
      </w:r>
    </w:p>
    <w:p w14:paraId="4F93DEB1">
      <w:pPr>
        <w:numPr>
          <w:ilvl w:val="2"/>
          <w:numId w:val="10"/>
        </w:numPr>
        <w:tabs>
          <w:tab w:val="left" w:pos="1080"/>
          <w:tab w:val="left" w:pos="1589"/>
          <w:tab w:val="left" w:pos="20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其他为落实政府采购政策实施的优先采购：</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1B517856">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磋商环节及提交最后报价后如出现以下情况的，供应商的</w:t>
      </w:r>
      <w:r>
        <w:rPr>
          <w:rFonts w:hint="default" w:ascii="Times New Roman" w:hAnsi="Times New Roman" w:eastAsia="宋体" w:cs="Times New Roman"/>
          <w:b/>
          <w:sz w:val="24"/>
        </w:rPr>
        <w:t>响应文件无效</w:t>
      </w:r>
      <w:r>
        <w:rPr>
          <w:rFonts w:hint="default" w:ascii="Times New Roman" w:hAnsi="Times New Roman" w:eastAsia="宋体" w:cs="Times New Roman"/>
          <w:sz w:val="24"/>
        </w:rPr>
        <w:t>：</w:t>
      </w:r>
    </w:p>
    <w:p w14:paraId="39BEFE8A">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供应商对实质性变动不予确认的；</w:t>
      </w:r>
    </w:p>
    <w:p w14:paraId="1A54F5D3">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不满足磋商文件★号条款或磋商文件技术指标超出磋商文件《采购需求》中主要技术参数允许偏差的最大范围的（如有）；</w:t>
      </w:r>
    </w:p>
    <w:p w14:paraId="20FFC9EC">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未按照磋商小组规定的时间、逾期提交最后报价的；</w:t>
      </w:r>
    </w:p>
    <w:p w14:paraId="40E9FCCD">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如供应商的最后报价超过竞争性磋商文件中规定的项目/采购包预算金额或者项目/采购包最高限价的；</w:t>
      </w:r>
    </w:p>
    <w:p w14:paraId="5980DC71">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响应文件中出现可选择性或可调整的报价的（竞争性磋商文件另有规定的除外）；</w:t>
      </w:r>
    </w:p>
    <w:p w14:paraId="4B25702D">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最后报价出现前后不一致，供应商对修正后的报价不予确认的；</w:t>
      </w:r>
    </w:p>
    <w:p w14:paraId="3638A3DE">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其他：</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bookmarkEnd w:id="621"/>
    <w:bookmarkEnd w:id="622"/>
    <w:p w14:paraId="0FDB5067">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0A1FB97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06660EC4">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竞争性磋商文件中没有规定的评审标准不得作为评审依据。</w:t>
      </w:r>
    </w:p>
    <w:p w14:paraId="10B5BC71">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非政府强制采购的节能产品或环境标志产品，依据品目清单和认证证书实施政府优先采购。优先采购的具体规定（如涉及）</w:t>
      </w:r>
      <w:r>
        <w:rPr>
          <w:rFonts w:hint="default" w:ascii="Times New Roman" w:hAnsi="Times New Roman" w:eastAsia="宋体" w:cs="Times New Roman"/>
          <w:sz w:val="24"/>
          <w:u w:val="single"/>
        </w:rPr>
        <w:t>/</w:t>
      </w:r>
      <w:r>
        <w:rPr>
          <w:rFonts w:hint="default" w:ascii="Times New Roman" w:hAnsi="Times New Roman" w:eastAsia="宋体" w:cs="Times New Roman"/>
          <w:sz w:val="24"/>
        </w:rPr>
        <w:t>。</w:t>
      </w:r>
    </w:p>
    <w:p w14:paraId="2EE00672">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确定</w:t>
      </w:r>
      <w:bookmarkStart w:id="638" w:name="_Toc151190173"/>
      <w:bookmarkStart w:id="639" w:name="_Toc127151546"/>
      <w:bookmarkStart w:id="640" w:name="_Toc226337242"/>
      <w:bookmarkStart w:id="641" w:name="_Toc305158814"/>
      <w:bookmarkStart w:id="642" w:name="_Toc164608815"/>
      <w:bookmarkStart w:id="643" w:name="_Toc151193788"/>
      <w:bookmarkStart w:id="644" w:name="_Toc305158888"/>
      <w:bookmarkStart w:id="645" w:name="_Toc151193934"/>
      <w:bookmarkStart w:id="646" w:name="_Toc149720839"/>
      <w:bookmarkStart w:id="647" w:name="_Toc151193860"/>
      <w:bookmarkStart w:id="648" w:name="_Toc226965819"/>
      <w:bookmarkStart w:id="649" w:name="_Toc151193644"/>
      <w:bookmarkStart w:id="650" w:name="_Ref467307010"/>
      <w:bookmarkStart w:id="651" w:name="_Toc151193716"/>
      <w:bookmarkStart w:id="652" w:name="_Toc164608660"/>
      <w:bookmarkStart w:id="653" w:name="_Toc150774751"/>
      <w:bookmarkStart w:id="654" w:name="_Toc264969236"/>
      <w:bookmarkStart w:id="655" w:name="_Toc226965736"/>
      <w:bookmarkStart w:id="656" w:name="_Toc265228384"/>
      <w:bookmarkStart w:id="657" w:name="_Toc195842911"/>
      <w:bookmarkStart w:id="658" w:name="_Toc150480784"/>
      <w:bookmarkStart w:id="659" w:name="_Toc520356170"/>
      <w:bookmarkStart w:id="660" w:name="_Toc164351640"/>
      <w:bookmarkStart w:id="661" w:name="_Toc150509297"/>
      <w:bookmarkStart w:id="662" w:name="_Toc164229241"/>
      <w:bookmarkStart w:id="663" w:name="_Toc150774646"/>
      <w:bookmarkStart w:id="664" w:name="_Toc226309790"/>
      <w:bookmarkStart w:id="665" w:name="_Toc127161460"/>
      <w:bookmarkStart w:id="666" w:name="_Toc127151747"/>
      <w:bookmarkStart w:id="667" w:name="_Toc164229387"/>
      <w:bookmarkStart w:id="668" w:name="_Toc142311048"/>
      <w:r>
        <w:rPr>
          <w:rFonts w:hint="default" w:ascii="Times New Roman" w:hAnsi="Times New Roman" w:eastAsia="宋体" w:cs="Times New Roman"/>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41789342">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9CE9199">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szCs w:val="20"/>
        </w:rPr>
        <w:t>磋商小组根据上述供应商排序，依次推荐排序前</w:t>
      </w:r>
      <w:r>
        <w:rPr>
          <w:rFonts w:hint="default" w:ascii="Times New Roman" w:hAnsi="Times New Roman" w:eastAsia="宋体" w:cs="Times New Roman"/>
          <w:sz w:val="24"/>
          <w:u w:val="single"/>
        </w:rPr>
        <w:t>3</w:t>
      </w:r>
      <w:r>
        <w:rPr>
          <w:rFonts w:hint="default" w:ascii="Times New Roman" w:hAnsi="Times New Roman" w:eastAsia="宋体" w:cs="Times New Roman"/>
          <w:sz w:val="24"/>
        </w:rPr>
        <w:t>名</w:t>
      </w:r>
      <w:r>
        <w:rPr>
          <w:rFonts w:hint="default" w:ascii="Times New Roman" w:hAnsi="Times New Roman" w:eastAsia="宋体" w:cs="Times New Roman"/>
          <w:kern w:val="0"/>
          <w:sz w:val="24"/>
          <w:szCs w:val="20"/>
        </w:rPr>
        <w:t>的供应商为</w:t>
      </w:r>
      <w:r>
        <w:rPr>
          <w:rFonts w:hint="default" w:ascii="Times New Roman" w:hAnsi="Times New Roman" w:eastAsia="宋体" w:cs="Times New Roman"/>
          <w:snapToGrid w:val="0"/>
          <w:kern w:val="0"/>
          <w:sz w:val="24"/>
          <w:szCs w:val="21"/>
        </w:rPr>
        <w:t>成交候选供应商</w:t>
      </w:r>
      <w:r>
        <w:rPr>
          <w:rFonts w:hint="default" w:ascii="Times New Roman" w:hAnsi="Times New Roman" w:eastAsia="宋体" w:cs="Times New Roman"/>
          <w:kern w:val="0"/>
          <w:sz w:val="24"/>
          <w:szCs w:val="20"/>
        </w:rPr>
        <w:t>（若在磋商文件允许的情形下提交最后报价的供应商为二家，则依次推荐二名供应商为成交候选供应商），并编写评审报告。</w:t>
      </w:r>
    </w:p>
    <w:p w14:paraId="240C1D41">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磋商小组要对评分汇总情况进行复核，特别是对排名第一的、报价最低的、响应文件被认定为无效的情形进行重点复核。</w:t>
      </w:r>
    </w:p>
    <w:p w14:paraId="34C7EA15">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报告违法行为</w:t>
      </w:r>
    </w:p>
    <w:p w14:paraId="39DF1939">
      <w:pPr>
        <w:widowControl/>
        <w:numPr>
          <w:ilvl w:val="1"/>
          <w:numId w:val="10"/>
        </w:numPr>
        <w:tabs>
          <w:tab w:val="left" w:pos="1080"/>
          <w:tab w:val="left" w:pos="1872"/>
        </w:tabs>
        <w:snapToGrid w:val="0"/>
        <w:spacing w:line="360" w:lineRule="auto"/>
        <w:ind w:left="1077" w:hanging="720"/>
        <w:jc w:val="left"/>
        <w:rPr>
          <w:rFonts w:hint="default" w:ascii="Times New Roman" w:hAnsi="Times New Roman" w:eastAsia="宋体" w:cs="Times New Roman"/>
          <w:b/>
          <w:sz w:val="24"/>
        </w:rPr>
      </w:pPr>
      <w:r>
        <w:rPr>
          <w:rFonts w:hint="default" w:ascii="Times New Roman" w:hAnsi="Times New Roman" w:eastAsia="宋体" w:cs="Times New Roman"/>
          <w:sz w:val="24"/>
        </w:rPr>
        <w:t>磋商小组在评审过程中发现供应商有行贿、提供虚假材料或者串通等违法行为时，应当及时向财政部门报告。</w:t>
      </w:r>
      <w:r>
        <w:rPr>
          <w:rFonts w:hint="default" w:ascii="Times New Roman" w:hAnsi="Times New Roman" w:eastAsia="宋体" w:cs="Times New Roman"/>
          <w:b/>
          <w:sz w:val="24"/>
        </w:rPr>
        <w:br w:type="page"/>
      </w:r>
    </w:p>
    <w:p w14:paraId="3DE6BD64">
      <w:pPr>
        <w:pStyle w:val="4"/>
        <w:spacing w:before="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二、评审标准</w:t>
      </w:r>
    </w:p>
    <w:tbl>
      <w:tblPr>
        <w:tblStyle w:val="44"/>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18"/>
        <w:gridCol w:w="1192"/>
        <w:gridCol w:w="6511"/>
      </w:tblGrid>
      <w:tr w14:paraId="6369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527EE1B">
            <w:pPr>
              <w:pStyle w:val="2"/>
              <w:ind w:firstLine="0"/>
              <w:rPr>
                <w:rFonts w:ascii="Times New Roman"/>
                <w:b/>
              </w:rPr>
            </w:pPr>
            <w:r>
              <w:rPr>
                <w:rFonts w:ascii="Times New Roman"/>
                <w:b/>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5BAE7266">
            <w:pPr>
              <w:pStyle w:val="2"/>
              <w:ind w:firstLine="0"/>
              <w:jc w:val="center"/>
              <w:rPr>
                <w:rFonts w:ascii="Times New Roman"/>
                <w:b/>
              </w:rPr>
            </w:pPr>
            <w:r>
              <w:rPr>
                <w:rFonts w:ascii="Times New Roman"/>
                <w:b/>
              </w:rPr>
              <w:t>评分</w:t>
            </w:r>
          </w:p>
          <w:p w14:paraId="0015DFE3">
            <w:pPr>
              <w:pStyle w:val="2"/>
              <w:ind w:firstLine="0"/>
              <w:jc w:val="center"/>
              <w:rPr>
                <w:rFonts w:ascii="Times New Roman"/>
                <w:b/>
              </w:rPr>
            </w:pPr>
            <w:r>
              <w:rPr>
                <w:rFonts w:ascii="Times New Roman"/>
                <w:b/>
              </w:rPr>
              <w:t>因素</w:t>
            </w:r>
          </w:p>
        </w:tc>
        <w:tc>
          <w:tcPr>
            <w:tcW w:w="7703" w:type="dxa"/>
            <w:gridSpan w:val="2"/>
            <w:tcBorders>
              <w:top w:val="single" w:color="auto" w:sz="4" w:space="0"/>
              <w:left w:val="single" w:color="auto" w:sz="4" w:space="0"/>
              <w:bottom w:val="single" w:color="auto" w:sz="4" w:space="0"/>
              <w:right w:val="single" w:color="auto" w:sz="4" w:space="0"/>
            </w:tcBorders>
            <w:vAlign w:val="center"/>
          </w:tcPr>
          <w:p w14:paraId="1C9FD925">
            <w:pPr>
              <w:pStyle w:val="2"/>
              <w:ind w:firstLine="482"/>
              <w:jc w:val="center"/>
              <w:rPr>
                <w:rFonts w:ascii="Times New Roman"/>
                <w:b/>
              </w:rPr>
            </w:pPr>
            <w:r>
              <w:rPr>
                <w:rFonts w:ascii="Times New Roman"/>
                <w:b/>
              </w:rPr>
              <w:t>评价指标和分值</w:t>
            </w:r>
          </w:p>
        </w:tc>
      </w:tr>
      <w:tr w14:paraId="240E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4" w:type="dxa"/>
            <w:tcBorders>
              <w:top w:val="single" w:color="auto" w:sz="4" w:space="0"/>
              <w:left w:val="single" w:color="auto" w:sz="4" w:space="0"/>
              <w:right w:val="single" w:color="auto" w:sz="4" w:space="0"/>
            </w:tcBorders>
            <w:vAlign w:val="center"/>
          </w:tcPr>
          <w:p w14:paraId="02558E77">
            <w:pPr>
              <w:pStyle w:val="2"/>
              <w:ind w:firstLine="120" w:firstLineChars="50"/>
              <w:jc w:val="center"/>
              <w:rPr>
                <w:rFonts w:ascii="Times New Roman"/>
              </w:rPr>
            </w:pPr>
            <w:r>
              <w:rPr>
                <w:rFonts w:ascii="Times New Roman"/>
              </w:rPr>
              <w:t>1</w:t>
            </w:r>
          </w:p>
        </w:tc>
        <w:tc>
          <w:tcPr>
            <w:tcW w:w="1218" w:type="dxa"/>
            <w:tcBorders>
              <w:top w:val="single" w:color="auto" w:sz="4" w:space="0"/>
              <w:left w:val="single" w:color="auto" w:sz="4" w:space="0"/>
              <w:right w:val="single" w:color="auto" w:sz="4" w:space="0"/>
            </w:tcBorders>
            <w:vAlign w:val="center"/>
          </w:tcPr>
          <w:p w14:paraId="3443CE88">
            <w:pPr>
              <w:pStyle w:val="2"/>
              <w:ind w:firstLine="0"/>
              <w:jc w:val="center"/>
              <w:rPr>
                <w:rFonts w:ascii="Times New Roman"/>
              </w:rPr>
            </w:pPr>
            <w:r>
              <w:rPr>
                <w:rFonts w:ascii="Times New Roman"/>
              </w:rPr>
              <w:t>商务</w:t>
            </w:r>
          </w:p>
          <w:p w14:paraId="59C24659">
            <w:pPr>
              <w:pStyle w:val="2"/>
              <w:ind w:firstLine="0"/>
              <w:rPr>
                <w:rFonts w:ascii="Times New Roman"/>
                <w:kern w:val="0"/>
              </w:rPr>
            </w:pPr>
            <w:r>
              <w:rPr>
                <w:rFonts w:ascii="Times New Roman"/>
                <w:kern w:val="0"/>
              </w:rPr>
              <w:t>（</w:t>
            </w:r>
            <w:r>
              <w:rPr>
                <w:rFonts w:hint="eastAsia" w:ascii="Times New Roman"/>
                <w:lang w:val="en-US" w:eastAsia="zh-CN"/>
              </w:rPr>
              <w:t>15</w:t>
            </w:r>
            <w:r>
              <w:rPr>
                <w:rFonts w:ascii="Times New Roman"/>
              </w:rPr>
              <w:t>分</w:t>
            </w:r>
            <w:r>
              <w:rPr>
                <w:rFonts w:ascii="Times New Roman"/>
                <w:kern w:val="0"/>
              </w:rPr>
              <w:t>）</w:t>
            </w:r>
          </w:p>
        </w:tc>
        <w:tc>
          <w:tcPr>
            <w:tcW w:w="1192" w:type="dxa"/>
            <w:tcBorders>
              <w:top w:val="single" w:color="auto" w:sz="4" w:space="0"/>
              <w:left w:val="single" w:color="auto" w:sz="4" w:space="0"/>
              <w:bottom w:val="single" w:color="auto" w:sz="4" w:space="0"/>
              <w:right w:val="single" w:color="auto" w:sz="4" w:space="0"/>
            </w:tcBorders>
            <w:vAlign w:val="center"/>
          </w:tcPr>
          <w:p w14:paraId="3C877892">
            <w:pPr>
              <w:jc w:val="center"/>
              <w:rPr>
                <w:kern w:val="0"/>
                <w:sz w:val="24"/>
              </w:rPr>
            </w:pPr>
            <w:r>
              <w:rPr>
                <w:kern w:val="0"/>
                <w:sz w:val="24"/>
              </w:rPr>
              <w:t>业绩</w:t>
            </w:r>
          </w:p>
          <w:p w14:paraId="1464E30C">
            <w:pPr>
              <w:pStyle w:val="2"/>
              <w:ind w:firstLine="0"/>
              <w:jc w:val="center"/>
              <w:rPr>
                <w:rFonts w:ascii="Times New Roman"/>
              </w:rPr>
            </w:pPr>
            <w:r>
              <w:rPr>
                <w:rFonts w:ascii="Times New Roman"/>
                <w:kern w:val="0"/>
              </w:rPr>
              <w:t>（</w:t>
            </w:r>
            <w:r>
              <w:rPr>
                <w:rFonts w:hint="eastAsia" w:ascii="Times New Roman"/>
                <w:kern w:val="0"/>
                <w:lang w:val="en-US" w:eastAsia="zh-CN"/>
              </w:rPr>
              <w:t>15</w:t>
            </w:r>
            <w:r>
              <w:rPr>
                <w:rFonts w:ascii="Times New Roman"/>
                <w:kern w:val="0"/>
              </w:rPr>
              <w:t>分）</w:t>
            </w:r>
          </w:p>
        </w:tc>
        <w:tc>
          <w:tcPr>
            <w:tcW w:w="6511" w:type="dxa"/>
            <w:tcBorders>
              <w:top w:val="single" w:color="auto" w:sz="4" w:space="0"/>
              <w:left w:val="single" w:color="auto" w:sz="4" w:space="0"/>
              <w:bottom w:val="single" w:color="auto" w:sz="4" w:space="0"/>
              <w:right w:val="single" w:color="auto" w:sz="4" w:space="0"/>
            </w:tcBorders>
            <w:vAlign w:val="center"/>
          </w:tcPr>
          <w:p w14:paraId="176633C2">
            <w:pPr>
              <w:pStyle w:val="2"/>
              <w:ind w:firstLine="0"/>
              <w:rPr>
                <w:rFonts w:ascii="Times New Roman"/>
              </w:rPr>
            </w:pPr>
            <w:r>
              <w:rPr>
                <w:rFonts w:ascii="Times New Roman"/>
              </w:rPr>
              <w:t>综合考虑</w:t>
            </w:r>
            <w:r>
              <w:rPr>
                <w:rFonts w:hint="eastAsia" w:ascii="Times New Roman"/>
                <w:lang w:val="en-US" w:eastAsia="zh-CN"/>
              </w:rPr>
              <w:t>供应商</w:t>
            </w:r>
            <w:r>
              <w:rPr>
                <w:rFonts w:ascii="Times New Roman"/>
              </w:rPr>
              <w:t>自202</w:t>
            </w:r>
            <w:r>
              <w:rPr>
                <w:rFonts w:hint="eastAsia" w:ascii="Times New Roman"/>
                <w:lang w:val="en-US" w:eastAsia="zh-CN"/>
              </w:rPr>
              <w:t>2</w:t>
            </w:r>
            <w:r>
              <w:rPr>
                <w:rFonts w:ascii="Times New Roman"/>
              </w:rPr>
              <w:t>年1月1日起至</w:t>
            </w:r>
            <w:r>
              <w:rPr>
                <w:rFonts w:hint="eastAsia" w:ascii="Times New Roman"/>
                <w:lang w:val="en-US" w:eastAsia="zh-CN"/>
              </w:rPr>
              <w:t>响应</w:t>
            </w:r>
            <w:r>
              <w:rPr>
                <w:rFonts w:hint="eastAsia" w:ascii="Times New Roman"/>
              </w:rPr>
              <w:t>文件递交截止时间止</w:t>
            </w:r>
            <w:r>
              <w:rPr>
                <w:rFonts w:ascii="Times New Roman"/>
              </w:rPr>
              <w:t>（以合同签订时间为准）承担的类似服务业绩，每个业绩得</w:t>
            </w:r>
            <w:r>
              <w:rPr>
                <w:rFonts w:hint="eastAsia" w:ascii="Times New Roman"/>
                <w:lang w:val="en-US" w:eastAsia="zh-CN"/>
              </w:rPr>
              <w:t>3</w:t>
            </w:r>
            <w:r>
              <w:rPr>
                <w:rFonts w:ascii="Times New Roman"/>
              </w:rPr>
              <w:t>分，该项最高得</w:t>
            </w:r>
            <w:r>
              <w:rPr>
                <w:rFonts w:hint="eastAsia" w:ascii="Times New Roman"/>
                <w:lang w:val="en-US" w:eastAsia="zh-CN"/>
              </w:rPr>
              <w:t>15</w:t>
            </w:r>
            <w:r>
              <w:rPr>
                <w:rFonts w:ascii="Times New Roman"/>
              </w:rPr>
              <w:t>分</w:t>
            </w:r>
            <w:r>
              <w:rPr>
                <w:rFonts w:hint="eastAsia" w:ascii="Times New Roman"/>
              </w:rPr>
              <w:t>。</w:t>
            </w:r>
          </w:p>
          <w:p w14:paraId="228AE9B9">
            <w:pPr>
              <w:pStyle w:val="2"/>
              <w:ind w:firstLine="0"/>
              <w:rPr>
                <w:rFonts w:ascii="Times New Roman"/>
              </w:rPr>
            </w:pPr>
            <w:r>
              <w:rPr>
                <w:rFonts w:hint="eastAsia" w:ascii="Times New Roman"/>
                <w:b/>
                <w:bCs/>
              </w:rPr>
              <w:t>注：合同</w:t>
            </w:r>
            <w:r>
              <w:rPr>
                <w:rFonts w:ascii="Times New Roman"/>
                <w:b/>
                <w:bCs/>
              </w:rPr>
              <w:t>须</w:t>
            </w:r>
            <w:r>
              <w:rPr>
                <w:rFonts w:hint="eastAsia" w:ascii="Times New Roman"/>
                <w:b/>
                <w:bCs/>
              </w:rPr>
              <w:t>提供</w:t>
            </w:r>
            <w:r>
              <w:rPr>
                <w:rFonts w:ascii="Times New Roman"/>
                <w:b/>
                <w:bCs/>
              </w:rPr>
              <w:t>关键内容页复印件</w:t>
            </w:r>
            <w:r>
              <w:rPr>
                <w:rFonts w:hint="eastAsia" w:ascii="Times New Roman"/>
                <w:b/>
                <w:bCs/>
              </w:rPr>
              <w:t>，包含但不限于甲乙双方名称</w:t>
            </w:r>
            <w:r>
              <w:rPr>
                <w:rFonts w:ascii="Times New Roman"/>
                <w:b/>
                <w:bCs/>
              </w:rPr>
              <w:t>、</w:t>
            </w:r>
            <w:r>
              <w:rPr>
                <w:rFonts w:hint="eastAsia" w:ascii="Times New Roman"/>
                <w:b/>
                <w:bCs/>
              </w:rPr>
              <w:t>项目名称、工作内容、合同金额、签订日期、</w:t>
            </w:r>
            <w:r>
              <w:rPr>
                <w:rFonts w:ascii="Times New Roman"/>
                <w:b/>
                <w:bCs/>
              </w:rPr>
              <w:t>签字盖章页，否则不予得分</w:t>
            </w:r>
            <w:r>
              <w:rPr>
                <w:rFonts w:hint="eastAsia" w:ascii="Times New Roman"/>
                <w:b/>
                <w:bCs/>
                <w:lang w:eastAsia="zh-CN"/>
              </w:rPr>
              <w:t>，</w:t>
            </w:r>
            <w:r>
              <w:rPr>
                <w:rFonts w:hint="eastAsia" w:ascii="Times New Roman"/>
                <w:b/>
                <w:bCs/>
                <w:lang w:val="en-US" w:eastAsia="zh-CN"/>
              </w:rPr>
              <w:t>未明确签订合同日期的业绩不得分</w:t>
            </w:r>
            <w:r>
              <w:rPr>
                <w:rFonts w:ascii="Times New Roman"/>
                <w:b/>
                <w:bCs/>
              </w:rPr>
              <w:t>）</w:t>
            </w:r>
          </w:p>
        </w:tc>
      </w:tr>
      <w:tr w14:paraId="040F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restart"/>
            <w:tcBorders>
              <w:top w:val="single" w:color="auto" w:sz="4" w:space="0"/>
              <w:left w:val="single" w:color="auto" w:sz="4" w:space="0"/>
              <w:right w:val="single" w:color="auto" w:sz="4" w:space="0"/>
            </w:tcBorders>
            <w:vAlign w:val="center"/>
          </w:tcPr>
          <w:p w14:paraId="72A87641">
            <w:pPr>
              <w:pStyle w:val="2"/>
              <w:ind w:firstLine="0"/>
              <w:jc w:val="center"/>
              <w:rPr>
                <w:rFonts w:ascii="Times New Roman"/>
              </w:rPr>
            </w:pPr>
            <w:r>
              <w:rPr>
                <w:rFonts w:ascii="Times New Roman"/>
              </w:rPr>
              <w:t>2</w:t>
            </w:r>
          </w:p>
        </w:tc>
        <w:tc>
          <w:tcPr>
            <w:tcW w:w="1218" w:type="dxa"/>
            <w:vMerge w:val="restart"/>
            <w:tcBorders>
              <w:top w:val="single" w:color="auto" w:sz="4" w:space="0"/>
              <w:left w:val="single" w:color="auto" w:sz="4" w:space="0"/>
              <w:right w:val="single" w:color="auto" w:sz="4" w:space="0"/>
            </w:tcBorders>
            <w:vAlign w:val="center"/>
          </w:tcPr>
          <w:p w14:paraId="1FB91653">
            <w:pPr>
              <w:pStyle w:val="2"/>
              <w:ind w:firstLine="0"/>
              <w:jc w:val="center"/>
              <w:rPr>
                <w:rFonts w:ascii="Times New Roman"/>
              </w:rPr>
            </w:pPr>
            <w:r>
              <w:rPr>
                <w:rFonts w:ascii="Times New Roman"/>
              </w:rPr>
              <w:t>项目</w:t>
            </w:r>
          </w:p>
          <w:p w14:paraId="0EFC8824">
            <w:pPr>
              <w:pStyle w:val="2"/>
              <w:ind w:firstLine="0"/>
              <w:jc w:val="center"/>
              <w:rPr>
                <w:rFonts w:ascii="Times New Roman"/>
                <w:kern w:val="0"/>
              </w:rPr>
            </w:pPr>
            <w:r>
              <w:rPr>
                <w:rFonts w:ascii="Times New Roman"/>
              </w:rPr>
              <w:t>方案</w:t>
            </w:r>
          </w:p>
          <w:p w14:paraId="535E1083">
            <w:pPr>
              <w:pStyle w:val="2"/>
              <w:ind w:firstLine="0"/>
              <w:jc w:val="center"/>
              <w:rPr>
                <w:rFonts w:ascii="Times New Roman"/>
              </w:rPr>
            </w:pPr>
            <w:r>
              <w:rPr>
                <w:rFonts w:ascii="Times New Roman"/>
              </w:rPr>
              <w:t>（</w:t>
            </w:r>
            <w:r>
              <w:rPr>
                <w:rFonts w:hint="eastAsia" w:ascii="Times New Roman"/>
                <w:lang w:val="en-US" w:eastAsia="zh-CN"/>
              </w:rPr>
              <w:t>75</w:t>
            </w:r>
            <w:r>
              <w:rPr>
                <w:rFonts w:ascii="Times New Roman"/>
              </w:rPr>
              <w:t>分）</w:t>
            </w:r>
          </w:p>
        </w:tc>
        <w:tc>
          <w:tcPr>
            <w:tcW w:w="1192" w:type="dxa"/>
            <w:tcBorders>
              <w:top w:val="single" w:color="auto" w:sz="4" w:space="0"/>
              <w:left w:val="single" w:color="auto" w:sz="4" w:space="0"/>
              <w:bottom w:val="single" w:color="auto" w:sz="4" w:space="0"/>
              <w:right w:val="single" w:color="auto" w:sz="4" w:space="0"/>
            </w:tcBorders>
            <w:vAlign w:val="center"/>
          </w:tcPr>
          <w:p w14:paraId="1436E777">
            <w:pPr>
              <w:pStyle w:val="2"/>
              <w:ind w:firstLine="0"/>
              <w:jc w:val="center"/>
              <w:rPr>
                <w:rFonts w:hint="eastAsia" w:ascii="Times New Roman" w:eastAsia="宋体"/>
                <w:lang w:val="en-US" w:eastAsia="zh-CN"/>
              </w:rPr>
            </w:pPr>
            <w:r>
              <w:rPr>
                <w:rFonts w:ascii="Times New Roman"/>
              </w:rPr>
              <w:t>项目</w:t>
            </w:r>
            <w:r>
              <w:rPr>
                <w:rFonts w:hint="eastAsia" w:ascii="Times New Roman"/>
                <w:lang w:val="en-US" w:eastAsia="zh-CN"/>
              </w:rPr>
              <w:t>理解</w:t>
            </w:r>
          </w:p>
          <w:p w14:paraId="05EF42FE">
            <w:pPr>
              <w:pStyle w:val="2"/>
              <w:ind w:firstLine="0"/>
              <w:jc w:val="center"/>
              <w:rPr>
                <w:rFonts w:ascii="Times New Roman"/>
              </w:rPr>
            </w:pPr>
            <w:r>
              <w:rPr>
                <w:rFonts w:hint="eastAsia" w:ascii="Times New Roman"/>
                <w:lang w:val="en-US" w:eastAsia="zh-CN"/>
              </w:rPr>
              <w:t>及重难点</w:t>
            </w:r>
            <w:r>
              <w:rPr>
                <w:rFonts w:ascii="Times New Roman"/>
              </w:rPr>
              <w:t>分析</w:t>
            </w:r>
          </w:p>
          <w:p w14:paraId="5B10AB48">
            <w:pPr>
              <w:pStyle w:val="2"/>
              <w:ind w:firstLine="0"/>
              <w:jc w:val="center"/>
              <w:rPr>
                <w:rFonts w:ascii="Times New Roman"/>
              </w:rPr>
            </w:pPr>
            <w:r>
              <w:rPr>
                <w:rFonts w:ascii="Times New Roman"/>
              </w:rPr>
              <w:t>（</w:t>
            </w:r>
            <w:r>
              <w:rPr>
                <w:rFonts w:hint="eastAsia" w:ascii="Times New Roman"/>
                <w:lang w:val="en-US" w:eastAsia="zh-CN"/>
              </w:rPr>
              <w:t>15</w:t>
            </w:r>
            <w:r>
              <w:rPr>
                <w:rFonts w:ascii="Times New Roman"/>
              </w:rPr>
              <w:t>分）</w:t>
            </w:r>
          </w:p>
        </w:tc>
        <w:tc>
          <w:tcPr>
            <w:tcW w:w="6511" w:type="dxa"/>
            <w:tcBorders>
              <w:top w:val="single" w:color="auto" w:sz="4" w:space="0"/>
              <w:left w:val="single" w:color="auto" w:sz="4" w:space="0"/>
              <w:bottom w:val="single" w:color="auto" w:sz="4" w:space="0"/>
              <w:right w:val="single" w:color="auto" w:sz="4" w:space="0"/>
            </w:tcBorders>
            <w:vAlign w:val="center"/>
          </w:tcPr>
          <w:p w14:paraId="0A82FF0B">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综合考虑供应商结合本项目情况及采购人实际需求特点等，对项目的总体理解及重难点分析。</w:t>
            </w:r>
          </w:p>
          <w:p w14:paraId="47CFB823">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具有详细的项目需求分析，对项目理解透彻、思路清晰，</w:t>
            </w:r>
            <w:r>
              <w:rPr>
                <w:rFonts w:hint="default" w:ascii="Times New Roman" w:hAnsi="Times New Roman" w:eastAsia="宋体" w:cs="Times New Roman"/>
                <w:bCs/>
                <w:iCs/>
                <w:sz w:val="24"/>
              </w:rPr>
              <w:t>重点及难点归纳分析透彻、理解准确完整，建议或措施得当、针对性强的，</w:t>
            </w:r>
            <w:r>
              <w:rPr>
                <w:rFonts w:hint="default" w:ascii="Times New Roman" w:hAnsi="Times New Roman" w:eastAsia="宋体" w:cs="Times New Roman"/>
                <w:color w:val="000000"/>
                <w:kern w:val="0"/>
                <w:sz w:val="24"/>
              </w:rPr>
              <w:t>得</w:t>
            </w:r>
            <w:r>
              <w:rPr>
                <w:rFonts w:hint="eastAsia" w:cs="Times New Roman"/>
                <w:color w:val="000000"/>
                <w:kern w:val="0"/>
                <w:sz w:val="24"/>
                <w:lang w:val="en-US" w:eastAsia="zh-CN"/>
              </w:rPr>
              <w:t>15</w:t>
            </w:r>
            <w:r>
              <w:rPr>
                <w:rFonts w:hint="default" w:ascii="Times New Roman" w:hAnsi="Times New Roman" w:eastAsia="宋体" w:cs="Times New Roman"/>
                <w:color w:val="000000"/>
                <w:kern w:val="0"/>
                <w:sz w:val="24"/>
              </w:rPr>
              <w:t>分；</w:t>
            </w:r>
          </w:p>
          <w:p w14:paraId="3F69D701">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具有项目需求分析，对项目理解</w:t>
            </w:r>
            <w:r>
              <w:rPr>
                <w:rFonts w:hint="default" w:ascii="Times New Roman" w:hAnsi="Times New Roman" w:cs="Times New Roman"/>
                <w:color w:val="000000"/>
                <w:kern w:val="0"/>
                <w:sz w:val="24"/>
                <w:lang w:val="en-US" w:eastAsia="zh-CN"/>
              </w:rPr>
              <w:t>具有针对性</w:t>
            </w:r>
            <w:r>
              <w:rPr>
                <w:rFonts w:hint="default" w:ascii="Times New Roman" w:hAnsi="Times New Roman" w:eastAsia="宋体" w:cs="Times New Roman"/>
                <w:color w:val="000000"/>
                <w:kern w:val="0"/>
                <w:sz w:val="24"/>
              </w:rPr>
              <w:t>、思路清晰，</w:t>
            </w:r>
            <w:r>
              <w:rPr>
                <w:rFonts w:hint="default" w:ascii="Times New Roman" w:hAnsi="Times New Roman" w:eastAsia="宋体" w:cs="Times New Roman"/>
                <w:bCs/>
                <w:iCs/>
                <w:sz w:val="24"/>
              </w:rPr>
              <w:t>重点及难点归纳分析及理解基本准确，建议或措施</w:t>
            </w:r>
            <w:r>
              <w:rPr>
                <w:rFonts w:hint="default" w:ascii="Times New Roman" w:hAnsi="Times New Roman" w:cs="Times New Roman"/>
                <w:bCs/>
                <w:iCs/>
                <w:sz w:val="24"/>
                <w:lang w:val="en-US" w:eastAsia="zh-CN"/>
              </w:rPr>
              <w:t>具有一定针对性</w:t>
            </w:r>
            <w:r>
              <w:rPr>
                <w:rFonts w:hint="default" w:ascii="Times New Roman" w:hAnsi="Times New Roman" w:eastAsia="宋体" w:cs="Times New Roman"/>
                <w:bCs/>
                <w:iCs/>
                <w:sz w:val="24"/>
              </w:rPr>
              <w:t>的，</w:t>
            </w:r>
            <w:r>
              <w:rPr>
                <w:rFonts w:hint="default" w:ascii="Times New Roman" w:hAnsi="Times New Roman" w:eastAsia="宋体" w:cs="Times New Roman"/>
                <w:color w:val="000000"/>
                <w:kern w:val="0"/>
                <w:sz w:val="24"/>
              </w:rPr>
              <w:t>得</w:t>
            </w:r>
            <w:r>
              <w:rPr>
                <w:rFonts w:hint="eastAsia" w:cs="Times New Roman"/>
                <w:color w:val="000000"/>
                <w:kern w:val="0"/>
                <w:sz w:val="24"/>
                <w:lang w:val="en-US" w:eastAsia="zh-CN"/>
              </w:rPr>
              <w:t>10</w:t>
            </w:r>
            <w:r>
              <w:rPr>
                <w:rFonts w:hint="default" w:ascii="Times New Roman" w:hAnsi="Times New Roman" w:eastAsia="宋体" w:cs="Times New Roman"/>
                <w:color w:val="000000"/>
                <w:kern w:val="0"/>
                <w:sz w:val="24"/>
              </w:rPr>
              <w:t>分；</w:t>
            </w:r>
          </w:p>
          <w:p w14:paraId="5D5B0FFA">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对项目需求分析及理解程度一般，</w:t>
            </w:r>
            <w:r>
              <w:rPr>
                <w:rFonts w:hint="default" w:ascii="Times New Roman" w:hAnsi="Times New Roman" w:eastAsia="宋体" w:cs="Times New Roman"/>
                <w:bCs/>
                <w:iCs/>
                <w:sz w:val="24"/>
              </w:rPr>
              <w:t>重点及难点归纳分析及理解基本准确，建议或措施一般的，</w:t>
            </w:r>
            <w:r>
              <w:rPr>
                <w:rFonts w:hint="default" w:ascii="Times New Roman" w:hAnsi="Times New Roman" w:eastAsia="宋体" w:cs="Times New Roman"/>
                <w:bCs/>
                <w:iCs/>
                <w:sz w:val="24"/>
                <w:lang w:eastAsia="zh-CN"/>
              </w:rPr>
              <w:t>或内容有缺失的，</w:t>
            </w:r>
            <w:r>
              <w:rPr>
                <w:rFonts w:hint="default" w:ascii="Times New Roman" w:hAnsi="Times New Roman" w:eastAsia="宋体" w:cs="Times New Roman"/>
                <w:color w:val="000000"/>
                <w:kern w:val="0"/>
                <w:sz w:val="24"/>
              </w:rPr>
              <w:t>得</w:t>
            </w:r>
            <w:r>
              <w:rPr>
                <w:rFonts w:hint="eastAsia" w:cs="Times New Roman"/>
                <w:color w:val="000000"/>
                <w:kern w:val="0"/>
                <w:sz w:val="24"/>
                <w:lang w:val="en-US" w:eastAsia="zh-CN"/>
              </w:rPr>
              <w:t>5</w:t>
            </w:r>
            <w:r>
              <w:rPr>
                <w:rFonts w:hint="default" w:ascii="Times New Roman" w:hAnsi="Times New Roman" w:eastAsia="宋体" w:cs="Times New Roman"/>
                <w:color w:val="000000"/>
                <w:kern w:val="0"/>
                <w:sz w:val="24"/>
              </w:rPr>
              <w:t xml:space="preserve">分； </w:t>
            </w:r>
          </w:p>
          <w:p w14:paraId="0B3DA967">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项目需求分析差，思路混乱，</w:t>
            </w:r>
            <w:r>
              <w:rPr>
                <w:rFonts w:hint="default" w:ascii="Times New Roman" w:hAnsi="Times New Roman" w:eastAsia="宋体" w:cs="Times New Roman"/>
                <w:color w:val="000000"/>
                <w:kern w:val="0"/>
                <w:sz w:val="24"/>
                <w:lang w:eastAsia="zh-CN"/>
              </w:rPr>
              <w:t>或内容有严重缺失的，</w:t>
            </w:r>
            <w:r>
              <w:rPr>
                <w:rFonts w:hint="default" w:ascii="Times New Roman" w:hAnsi="Times New Roman" w:eastAsia="宋体" w:cs="Times New Roman"/>
                <w:color w:val="000000"/>
                <w:kern w:val="0"/>
                <w:sz w:val="24"/>
              </w:rPr>
              <w:t>得1分；</w:t>
            </w:r>
          </w:p>
          <w:p w14:paraId="138FEBE0">
            <w:pPr>
              <w:pStyle w:val="2"/>
              <w:ind w:firstLine="0"/>
              <w:rPr>
                <w:rFonts w:ascii="Times New Roman"/>
              </w:rPr>
            </w:pPr>
            <w:r>
              <w:rPr>
                <w:rFonts w:hint="default" w:ascii="Times New Roman" w:hAnsi="Times New Roman" w:eastAsia="宋体" w:cs="Times New Roman"/>
                <w:color w:val="000000"/>
                <w:kern w:val="0"/>
                <w:sz w:val="24"/>
              </w:rPr>
              <w:t>未提供</w:t>
            </w:r>
            <w:r>
              <w:rPr>
                <w:rFonts w:hint="default" w:ascii="Times New Roman" w:hAnsi="Times New Roman" w:eastAsia="宋体" w:cs="Times New Roman"/>
                <w:color w:val="000000"/>
                <w:kern w:val="0"/>
                <w:sz w:val="24"/>
                <w:lang w:eastAsia="zh-CN"/>
              </w:rPr>
              <w:t>，</w:t>
            </w:r>
            <w:r>
              <w:rPr>
                <w:rFonts w:hint="default" w:ascii="Times New Roman" w:hAnsi="Times New Roman" w:eastAsia="宋体" w:cs="Times New Roman"/>
                <w:color w:val="000000"/>
                <w:kern w:val="0"/>
                <w:sz w:val="24"/>
              </w:rPr>
              <w:t>得0分。</w:t>
            </w:r>
          </w:p>
        </w:tc>
      </w:tr>
      <w:tr w14:paraId="1635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14:paraId="68F03017">
            <w:pPr>
              <w:pStyle w:val="2"/>
              <w:ind w:firstLine="0"/>
              <w:jc w:val="center"/>
              <w:rPr>
                <w:rFonts w:ascii="Times New Roman"/>
              </w:rPr>
            </w:pPr>
          </w:p>
        </w:tc>
        <w:tc>
          <w:tcPr>
            <w:tcW w:w="1218" w:type="dxa"/>
            <w:vMerge w:val="continue"/>
            <w:tcBorders>
              <w:left w:val="single" w:color="auto" w:sz="4" w:space="0"/>
              <w:right w:val="single" w:color="auto" w:sz="4" w:space="0"/>
            </w:tcBorders>
            <w:vAlign w:val="center"/>
          </w:tcPr>
          <w:p w14:paraId="56203E10">
            <w:pPr>
              <w:pStyle w:val="2"/>
              <w:ind w:firstLine="0"/>
              <w:jc w:val="center"/>
              <w:rPr>
                <w:rFonts w:ascii="Times New Roman"/>
              </w:rPr>
            </w:pPr>
          </w:p>
        </w:tc>
        <w:tc>
          <w:tcPr>
            <w:tcW w:w="1192" w:type="dxa"/>
            <w:tcBorders>
              <w:left w:val="single" w:color="auto" w:sz="4" w:space="0"/>
              <w:right w:val="single" w:color="auto" w:sz="4" w:space="0"/>
            </w:tcBorders>
            <w:vAlign w:val="center"/>
          </w:tcPr>
          <w:p w14:paraId="4142FE10">
            <w:pPr>
              <w:pStyle w:val="2"/>
              <w:ind w:firstLine="0"/>
              <w:jc w:val="center"/>
              <w:rPr>
                <w:rFonts w:ascii="Times New Roman"/>
              </w:rPr>
            </w:pPr>
            <w:r>
              <w:rPr>
                <w:rFonts w:hint="eastAsia" w:ascii="Times New Roman"/>
              </w:rPr>
              <w:t>服务</w:t>
            </w:r>
          </w:p>
          <w:p w14:paraId="5C259E12">
            <w:pPr>
              <w:pStyle w:val="2"/>
              <w:ind w:firstLine="0"/>
              <w:jc w:val="center"/>
              <w:rPr>
                <w:rFonts w:ascii="Times New Roman"/>
              </w:rPr>
            </w:pPr>
            <w:r>
              <w:rPr>
                <w:rFonts w:ascii="Times New Roman"/>
              </w:rPr>
              <w:t>方案</w:t>
            </w:r>
          </w:p>
          <w:p w14:paraId="695D424D">
            <w:pPr>
              <w:pStyle w:val="2"/>
              <w:ind w:firstLine="0"/>
              <w:jc w:val="center"/>
              <w:rPr>
                <w:rFonts w:ascii="Times New Roman"/>
              </w:rPr>
            </w:pPr>
            <w:r>
              <w:rPr>
                <w:rFonts w:ascii="Times New Roman"/>
              </w:rPr>
              <w:t>（</w:t>
            </w:r>
            <w:r>
              <w:rPr>
                <w:rFonts w:hint="eastAsia" w:ascii="Times New Roman"/>
                <w:lang w:val="en-US" w:eastAsia="zh-CN"/>
              </w:rPr>
              <w:t>20</w:t>
            </w:r>
            <w:r>
              <w:rPr>
                <w:rFonts w:ascii="Times New Roman"/>
              </w:rPr>
              <w:t>分）</w:t>
            </w:r>
          </w:p>
        </w:tc>
        <w:tc>
          <w:tcPr>
            <w:tcW w:w="6511" w:type="dxa"/>
            <w:tcBorders>
              <w:top w:val="single" w:color="auto" w:sz="4" w:space="0"/>
              <w:left w:val="single" w:color="auto" w:sz="4" w:space="0"/>
              <w:bottom w:val="single" w:color="auto" w:sz="4" w:space="0"/>
              <w:right w:val="single" w:color="auto" w:sz="4" w:space="0"/>
            </w:tcBorders>
            <w:vAlign w:val="center"/>
          </w:tcPr>
          <w:p w14:paraId="01A808F8">
            <w:pPr>
              <w:rPr>
                <w:rFonts w:eastAsia="新宋体"/>
                <w:kern w:val="0"/>
                <w:sz w:val="24"/>
              </w:rPr>
            </w:pPr>
            <w:r>
              <w:rPr>
                <w:rFonts w:hint="eastAsia" w:eastAsia="新宋体"/>
                <w:kern w:val="0"/>
                <w:sz w:val="24"/>
              </w:rPr>
              <w:t>综合考虑</w:t>
            </w:r>
            <w:r>
              <w:rPr>
                <w:rFonts w:hint="eastAsia" w:eastAsia="新宋体"/>
                <w:kern w:val="0"/>
                <w:sz w:val="24"/>
                <w:lang w:val="en-US" w:eastAsia="zh-CN"/>
              </w:rPr>
              <w:t>供应商</w:t>
            </w:r>
            <w:r>
              <w:rPr>
                <w:rFonts w:hint="eastAsia" w:eastAsia="新宋体"/>
                <w:kern w:val="0"/>
                <w:sz w:val="24"/>
              </w:rPr>
              <w:t>针对本项目</w:t>
            </w:r>
            <w:r>
              <w:rPr>
                <w:rFonts w:hint="eastAsia" w:eastAsia="新宋体"/>
                <w:kern w:val="0"/>
                <w:sz w:val="24"/>
                <w:lang w:val="en-US" w:eastAsia="zh-CN"/>
              </w:rPr>
              <w:t>磋商</w:t>
            </w:r>
            <w:r>
              <w:rPr>
                <w:rFonts w:hint="eastAsia" w:eastAsia="新宋体"/>
                <w:kern w:val="0"/>
                <w:sz w:val="24"/>
              </w:rPr>
              <w:t>文件</w:t>
            </w:r>
            <w:r>
              <w:rPr>
                <w:rFonts w:hint="eastAsia" w:eastAsia="新宋体"/>
                <w:b/>
                <w:bCs/>
                <w:kern w:val="0"/>
                <w:sz w:val="24"/>
              </w:rPr>
              <w:t>“第</w:t>
            </w:r>
            <w:r>
              <w:rPr>
                <w:rFonts w:hint="eastAsia" w:eastAsia="新宋体"/>
                <w:b/>
                <w:bCs/>
                <w:kern w:val="0"/>
                <w:sz w:val="24"/>
                <w:lang w:val="en-US" w:eastAsia="zh-CN"/>
              </w:rPr>
              <w:t>四</w:t>
            </w:r>
            <w:r>
              <w:rPr>
                <w:rFonts w:hint="eastAsia" w:eastAsia="新宋体"/>
                <w:b/>
                <w:bCs/>
                <w:kern w:val="0"/>
                <w:sz w:val="24"/>
              </w:rPr>
              <w:t xml:space="preserve">章 采购需求 </w:t>
            </w:r>
            <w:r>
              <w:rPr>
                <w:rFonts w:hint="eastAsia" w:eastAsia="新宋体"/>
                <w:b/>
                <w:bCs/>
                <w:kern w:val="0"/>
                <w:sz w:val="24"/>
                <w:lang w:val="en-US" w:eastAsia="zh-CN"/>
              </w:rPr>
              <w:t>1.3.1服务要求1.3.1.1-1.3.1.5</w:t>
            </w:r>
            <w:r>
              <w:rPr>
                <w:rFonts w:hint="eastAsia" w:eastAsia="新宋体"/>
                <w:b/>
                <w:bCs/>
                <w:kern w:val="0"/>
                <w:sz w:val="24"/>
              </w:rPr>
              <w:t>”</w:t>
            </w:r>
            <w:r>
              <w:rPr>
                <w:rFonts w:hint="eastAsia" w:eastAsia="新宋体"/>
                <w:kern w:val="0"/>
                <w:sz w:val="24"/>
                <w:lang w:val="en-US" w:eastAsia="zh-CN"/>
              </w:rPr>
              <w:t>内容</w:t>
            </w:r>
            <w:r>
              <w:rPr>
                <w:rFonts w:hint="eastAsia" w:eastAsia="新宋体"/>
                <w:kern w:val="0"/>
                <w:sz w:val="24"/>
              </w:rPr>
              <w:t>进行评分，</w:t>
            </w:r>
            <w:r>
              <w:rPr>
                <w:rFonts w:hint="eastAsia" w:eastAsia="新宋体"/>
                <w:kern w:val="0"/>
                <w:sz w:val="24"/>
                <w:lang w:val="en-US" w:eastAsia="zh-CN"/>
              </w:rPr>
              <w:t>供应商需对每项内容进行阐述，</w:t>
            </w:r>
            <w:r>
              <w:rPr>
                <w:rFonts w:hint="eastAsia" w:eastAsia="新宋体"/>
                <w:b/>
                <w:bCs/>
                <w:kern w:val="0"/>
                <w:sz w:val="24"/>
                <w:lang w:val="en-US" w:eastAsia="zh-CN"/>
              </w:rPr>
              <w:t>每项内容服务方案</w:t>
            </w:r>
            <w:r>
              <w:rPr>
                <w:rFonts w:hint="eastAsia" w:eastAsia="新宋体"/>
                <w:kern w:val="0"/>
                <w:sz w:val="24"/>
              </w:rPr>
              <w:t>评分标准如下：</w:t>
            </w:r>
          </w:p>
          <w:p w14:paraId="0D8CE028">
            <w:pPr>
              <w:rPr>
                <w:rFonts w:eastAsia="新宋体"/>
                <w:kern w:val="0"/>
                <w:sz w:val="24"/>
              </w:rPr>
            </w:pPr>
            <w:r>
              <w:rPr>
                <w:rFonts w:eastAsia="新宋体"/>
                <w:kern w:val="0"/>
                <w:sz w:val="24"/>
              </w:rPr>
              <w:t>方案对内容进行了详细描述且完全满足采购需求，</w:t>
            </w:r>
            <w:r>
              <w:rPr>
                <w:rFonts w:hint="eastAsia" w:eastAsia="新宋体"/>
                <w:kern w:val="0"/>
                <w:sz w:val="24"/>
              </w:rPr>
              <w:t>得</w:t>
            </w:r>
            <w:r>
              <w:rPr>
                <w:rFonts w:hint="eastAsia" w:eastAsia="新宋体"/>
                <w:kern w:val="0"/>
                <w:sz w:val="24"/>
                <w:lang w:val="en-US" w:eastAsia="zh-CN"/>
              </w:rPr>
              <w:t>4</w:t>
            </w:r>
            <w:r>
              <w:rPr>
                <w:rFonts w:eastAsia="新宋体"/>
                <w:kern w:val="0"/>
                <w:sz w:val="24"/>
              </w:rPr>
              <w:t>分；</w:t>
            </w:r>
          </w:p>
          <w:p w14:paraId="43AB7D73">
            <w:pPr>
              <w:rPr>
                <w:rFonts w:eastAsia="新宋体"/>
                <w:kern w:val="0"/>
                <w:sz w:val="24"/>
              </w:rPr>
            </w:pPr>
            <w:r>
              <w:rPr>
                <w:rFonts w:eastAsia="新宋体"/>
                <w:kern w:val="0"/>
                <w:sz w:val="24"/>
              </w:rPr>
              <w:t>方案对内容虽然进行了阐述但阐述的内容未包括细节、缺少具体措施描述，</w:t>
            </w:r>
            <w:r>
              <w:rPr>
                <w:rFonts w:hint="eastAsia" w:eastAsia="新宋体"/>
                <w:kern w:val="0"/>
                <w:sz w:val="24"/>
              </w:rPr>
              <w:t>得</w:t>
            </w:r>
            <w:r>
              <w:rPr>
                <w:rFonts w:hint="eastAsia" w:eastAsia="新宋体"/>
                <w:kern w:val="0"/>
                <w:sz w:val="24"/>
                <w:lang w:val="en-US" w:eastAsia="zh-CN"/>
              </w:rPr>
              <w:t>3</w:t>
            </w:r>
            <w:r>
              <w:rPr>
                <w:rFonts w:eastAsia="新宋体"/>
                <w:kern w:val="0"/>
                <w:sz w:val="24"/>
              </w:rPr>
              <w:t>分；</w:t>
            </w:r>
          </w:p>
          <w:p w14:paraId="167EEACF">
            <w:pPr>
              <w:rPr>
                <w:rFonts w:eastAsia="新宋体"/>
                <w:kern w:val="0"/>
                <w:sz w:val="24"/>
              </w:rPr>
            </w:pPr>
            <w:r>
              <w:rPr>
                <w:rFonts w:eastAsia="新宋体"/>
                <w:kern w:val="0"/>
                <w:sz w:val="24"/>
              </w:rPr>
              <w:t>方案对内容虽然进行了阐述但并未完全贴合项目情况，或阐述的内容存在偏差，</w:t>
            </w:r>
            <w:r>
              <w:rPr>
                <w:rFonts w:hint="eastAsia" w:eastAsia="新宋体"/>
                <w:kern w:val="0"/>
                <w:sz w:val="24"/>
              </w:rPr>
              <w:t>得2</w:t>
            </w:r>
            <w:r>
              <w:rPr>
                <w:rFonts w:eastAsia="新宋体"/>
                <w:kern w:val="0"/>
                <w:sz w:val="24"/>
              </w:rPr>
              <w:t>分；</w:t>
            </w:r>
          </w:p>
          <w:p w14:paraId="08AF0652">
            <w:pPr>
              <w:rPr>
                <w:rFonts w:eastAsia="新宋体"/>
                <w:kern w:val="0"/>
                <w:sz w:val="24"/>
              </w:rPr>
            </w:pPr>
            <w:r>
              <w:rPr>
                <w:rFonts w:eastAsia="新宋体"/>
                <w:kern w:val="0"/>
                <w:sz w:val="24"/>
              </w:rPr>
              <w:t>方案</w:t>
            </w:r>
            <w:r>
              <w:rPr>
                <w:rFonts w:hint="eastAsia" w:eastAsia="新宋体"/>
                <w:kern w:val="0"/>
                <w:sz w:val="24"/>
              </w:rPr>
              <w:t>未完全阐述内容</w:t>
            </w:r>
            <w:r>
              <w:rPr>
                <w:rFonts w:eastAsia="新宋体"/>
                <w:kern w:val="0"/>
                <w:sz w:val="24"/>
              </w:rPr>
              <w:t>，</w:t>
            </w:r>
            <w:r>
              <w:rPr>
                <w:rFonts w:hint="eastAsia" w:eastAsia="新宋体"/>
                <w:kern w:val="0"/>
                <w:sz w:val="24"/>
              </w:rPr>
              <w:t>或</w:t>
            </w:r>
            <w:r>
              <w:rPr>
                <w:rFonts w:eastAsia="新宋体"/>
                <w:kern w:val="0"/>
                <w:sz w:val="24"/>
              </w:rPr>
              <w:t>存在</w:t>
            </w:r>
            <w:r>
              <w:rPr>
                <w:rFonts w:hint="eastAsia" w:eastAsia="新宋体"/>
                <w:kern w:val="0"/>
                <w:sz w:val="24"/>
              </w:rPr>
              <w:t>较大</w:t>
            </w:r>
            <w:r>
              <w:rPr>
                <w:rFonts w:eastAsia="新宋体"/>
                <w:kern w:val="0"/>
                <w:sz w:val="24"/>
              </w:rPr>
              <w:t>偏差，得</w:t>
            </w:r>
            <w:r>
              <w:rPr>
                <w:rFonts w:hint="eastAsia" w:eastAsia="新宋体"/>
                <w:kern w:val="0"/>
                <w:sz w:val="24"/>
              </w:rPr>
              <w:t>1</w:t>
            </w:r>
            <w:r>
              <w:rPr>
                <w:rFonts w:eastAsia="新宋体"/>
                <w:kern w:val="0"/>
                <w:sz w:val="24"/>
              </w:rPr>
              <w:t>分；</w:t>
            </w:r>
          </w:p>
          <w:p w14:paraId="4D8607B8">
            <w:r>
              <w:rPr>
                <w:rFonts w:eastAsia="新宋体"/>
                <w:kern w:val="0"/>
                <w:sz w:val="24"/>
              </w:rPr>
              <w:t>未</w:t>
            </w:r>
            <w:r>
              <w:rPr>
                <w:rFonts w:hint="eastAsia" w:eastAsia="新宋体"/>
                <w:kern w:val="0"/>
                <w:sz w:val="24"/>
              </w:rPr>
              <w:t>提供</w:t>
            </w:r>
            <w:r>
              <w:rPr>
                <w:rFonts w:eastAsia="新宋体"/>
                <w:kern w:val="0"/>
                <w:sz w:val="24"/>
              </w:rPr>
              <w:t>，</w:t>
            </w:r>
            <w:r>
              <w:rPr>
                <w:rFonts w:hint="eastAsia" w:eastAsia="新宋体"/>
                <w:kern w:val="0"/>
                <w:sz w:val="24"/>
                <w:lang w:val="en-US" w:eastAsia="zh-CN"/>
              </w:rPr>
              <w:t>得</w:t>
            </w:r>
            <w:r>
              <w:rPr>
                <w:rFonts w:eastAsia="新宋体"/>
                <w:kern w:val="0"/>
                <w:sz w:val="24"/>
              </w:rPr>
              <w:t>0分。</w:t>
            </w:r>
          </w:p>
        </w:tc>
      </w:tr>
      <w:tr w14:paraId="4E20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14:paraId="05C6AA05">
            <w:pPr>
              <w:pStyle w:val="2"/>
              <w:ind w:firstLine="0"/>
              <w:jc w:val="center"/>
              <w:rPr>
                <w:rFonts w:ascii="Times New Roman"/>
              </w:rPr>
            </w:pPr>
          </w:p>
        </w:tc>
        <w:tc>
          <w:tcPr>
            <w:tcW w:w="1218" w:type="dxa"/>
            <w:vMerge w:val="continue"/>
            <w:tcBorders>
              <w:left w:val="single" w:color="auto" w:sz="4" w:space="0"/>
              <w:right w:val="single" w:color="auto" w:sz="4" w:space="0"/>
            </w:tcBorders>
            <w:vAlign w:val="center"/>
          </w:tcPr>
          <w:p w14:paraId="188ABF57">
            <w:pPr>
              <w:pStyle w:val="2"/>
              <w:ind w:firstLine="0"/>
              <w:jc w:val="center"/>
              <w:rPr>
                <w:rFonts w:ascii="Times New Roman"/>
              </w:rPr>
            </w:pPr>
          </w:p>
        </w:tc>
        <w:tc>
          <w:tcPr>
            <w:tcW w:w="1192" w:type="dxa"/>
            <w:tcBorders>
              <w:left w:val="single" w:color="auto" w:sz="4" w:space="0"/>
              <w:right w:val="single" w:color="auto" w:sz="4" w:space="0"/>
            </w:tcBorders>
            <w:vAlign w:val="center"/>
          </w:tcPr>
          <w:p w14:paraId="6EEB67B6">
            <w:pPr>
              <w:pStyle w:val="2"/>
              <w:ind w:firstLine="0"/>
              <w:jc w:val="center"/>
              <w:rPr>
                <w:rFonts w:hint="eastAsia" w:ascii="Times New Roman"/>
              </w:rPr>
            </w:pPr>
            <w:r>
              <w:rPr>
                <w:rFonts w:hint="eastAsia" w:ascii="Times New Roman"/>
              </w:rPr>
              <w:t>运维服务方式</w:t>
            </w:r>
          </w:p>
          <w:p w14:paraId="1D4D7467">
            <w:pPr>
              <w:pStyle w:val="2"/>
              <w:ind w:firstLine="0"/>
              <w:jc w:val="center"/>
              <w:rPr>
                <w:rFonts w:hint="eastAsia" w:ascii="Times New Roman" w:eastAsia="宋体"/>
                <w:lang w:eastAsia="zh-CN"/>
              </w:rPr>
            </w:pPr>
            <w:r>
              <w:rPr>
                <w:rFonts w:hint="eastAsia" w:ascii="Times New Roman"/>
                <w:lang w:eastAsia="zh-CN"/>
              </w:rPr>
              <w:t>（</w:t>
            </w:r>
            <w:r>
              <w:rPr>
                <w:rFonts w:hint="eastAsia" w:ascii="Times New Roman"/>
                <w:lang w:val="en-US" w:eastAsia="zh-CN"/>
              </w:rPr>
              <w:t>10分</w:t>
            </w:r>
            <w:r>
              <w:rPr>
                <w:rFonts w:hint="eastAsia" w:ascii="Times New Roman"/>
                <w:lang w:eastAsia="zh-CN"/>
              </w:rPr>
              <w:t>）</w:t>
            </w:r>
          </w:p>
        </w:tc>
        <w:tc>
          <w:tcPr>
            <w:tcW w:w="6511" w:type="dxa"/>
            <w:tcBorders>
              <w:top w:val="single" w:color="auto" w:sz="4" w:space="0"/>
              <w:left w:val="single" w:color="auto" w:sz="4" w:space="0"/>
              <w:bottom w:val="single" w:color="auto" w:sz="4" w:space="0"/>
              <w:right w:val="single" w:color="auto" w:sz="4" w:space="0"/>
            </w:tcBorders>
            <w:vAlign w:val="center"/>
          </w:tcPr>
          <w:p w14:paraId="6B6B5303">
            <w:pPr>
              <w:rPr>
                <w:rFonts w:hint="eastAsia" w:eastAsia="新宋体"/>
                <w:b/>
                <w:bCs/>
                <w:kern w:val="0"/>
                <w:sz w:val="24"/>
              </w:rPr>
            </w:pPr>
            <w:r>
              <w:rPr>
                <w:rFonts w:hint="eastAsia" w:eastAsia="新宋体"/>
                <w:b w:val="0"/>
                <w:bCs w:val="0"/>
                <w:kern w:val="0"/>
                <w:sz w:val="24"/>
              </w:rPr>
              <w:t>综合考虑</w:t>
            </w:r>
            <w:r>
              <w:rPr>
                <w:rFonts w:hint="eastAsia" w:eastAsia="新宋体"/>
                <w:b w:val="0"/>
                <w:bCs w:val="0"/>
                <w:kern w:val="0"/>
                <w:sz w:val="24"/>
                <w:lang w:val="en-US" w:eastAsia="zh-CN"/>
              </w:rPr>
              <w:t>供应商</w:t>
            </w:r>
            <w:r>
              <w:rPr>
                <w:rFonts w:hint="eastAsia" w:eastAsia="新宋体"/>
                <w:b w:val="0"/>
                <w:bCs w:val="0"/>
                <w:kern w:val="0"/>
                <w:sz w:val="24"/>
              </w:rPr>
              <w:t>针对本项目</w:t>
            </w:r>
            <w:r>
              <w:rPr>
                <w:rFonts w:hint="eastAsia" w:eastAsia="新宋体"/>
                <w:b w:val="0"/>
                <w:bCs w:val="0"/>
                <w:kern w:val="0"/>
                <w:sz w:val="24"/>
                <w:lang w:val="en-US" w:eastAsia="zh-CN"/>
              </w:rPr>
              <w:t>磋商</w:t>
            </w:r>
            <w:r>
              <w:rPr>
                <w:rFonts w:hint="eastAsia" w:eastAsia="新宋体"/>
                <w:b w:val="0"/>
                <w:bCs w:val="0"/>
                <w:kern w:val="0"/>
                <w:sz w:val="24"/>
              </w:rPr>
              <w:t>文件</w:t>
            </w:r>
            <w:r>
              <w:rPr>
                <w:rFonts w:hint="eastAsia" w:eastAsia="新宋体"/>
                <w:b/>
                <w:bCs/>
                <w:kern w:val="0"/>
                <w:sz w:val="24"/>
              </w:rPr>
              <w:t>“第</w:t>
            </w:r>
            <w:r>
              <w:rPr>
                <w:rFonts w:hint="eastAsia" w:eastAsia="新宋体"/>
                <w:b/>
                <w:bCs/>
                <w:kern w:val="0"/>
                <w:sz w:val="24"/>
                <w:lang w:val="en-US" w:eastAsia="zh-CN"/>
              </w:rPr>
              <w:t>四</w:t>
            </w:r>
            <w:r>
              <w:rPr>
                <w:rFonts w:hint="eastAsia" w:eastAsia="新宋体"/>
                <w:b/>
                <w:bCs/>
                <w:kern w:val="0"/>
                <w:sz w:val="24"/>
              </w:rPr>
              <w:t xml:space="preserve">章 采购需求 </w:t>
            </w:r>
            <w:r>
              <w:rPr>
                <w:rFonts w:hint="eastAsia" w:ascii="宋体" w:hAnsi="宋体" w:cs="宋体"/>
                <w:b/>
                <w:bCs/>
                <w:sz w:val="24"/>
                <w:szCs w:val="24"/>
              </w:rPr>
              <w:t>1.4 运维服务方式</w:t>
            </w:r>
            <w:r>
              <w:rPr>
                <w:rFonts w:hint="eastAsia" w:eastAsia="新宋体"/>
                <w:b/>
                <w:bCs/>
                <w:kern w:val="0"/>
                <w:sz w:val="24"/>
              </w:rPr>
              <w:t>”</w:t>
            </w:r>
            <w:r>
              <w:rPr>
                <w:rFonts w:hint="eastAsia" w:eastAsia="新宋体"/>
                <w:b w:val="0"/>
                <w:bCs w:val="0"/>
                <w:kern w:val="0"/>
                <w:sz w:val="24"/>
                <w:lang w:val="en-US" w:eastAsia="zh-CN"/>
              </w:rPr>
              <w:t>内容</w:t>
            </w:r>
            <w:r>
              <w:rPr>
                <w:rFonts w:hint="eastAsia" w:eastAsia="新宋体"/>
                <w:b w:val="0"/>
                <w:bCs w:val="0"/>
                <w:kern w:val="0"/>
                <w:sz w:val="24"/>
              </w:rPr>
              <w:t>进行评分，</w:t>
            </w:r>
            <w:r>
              <w:rPr>
                <w:rFonts w:hint="eastAsia" w:eastAsia="新宋体"/>
                <w:b w:val="0"/>
                <w:bCs w:val="0"/>
                <w:kern w:val="0"/>
                <w:sz w:val="24"/>
                <w:lang w:val="en-US" w:eastAsia="zh-CN"/>
              </w:rPr>
              <w:t>供应商需对“</w:t>
            </w:r>
            <w:r>
              <w:rPr>
                <w:rFonts w:hint="eastAsia" w:ascii="宋体" w:hAnsi="宋体" w:cs="宋体"/>
                <w:b/>
                <w:bCs/>
                <w:sz w:val="24"/>
                <w:szCs w:val="24"/>
              </w:rPr>
              <w:t>运维服务方式</w:t>
            </w:r>
            <w:r>
              <w:rPr>
                <w:rFonts w:hint="eastAsia" w:eastAsia="新宋体"/>
                <w:b w:val="0"/>
                <w:bCs w:val="0"/>
                <w:kern w:val="0"/>
                <w:sz w:val="24"/>
                <w:lang w:val="en-US" w:eastAsia="zh-CN"/>
              </w:rPr>
              <w:t>”内容进行阐述并制定方案，运维服务方式方案</w:t>
            </w:r>
            <w:r>
              <w:rPr>
                <w:rFonts w:hint="eastAsia" w:eastAsia="新宋体"/>
                <w:b w:val="0"/>
                <w:bCs w:val="0"/>
                <w:kern w:val="0"/>
                <w:sz w:val="24"/>
              </w:rPr>
              <w:t>评分标准如下：</w:t>
            </w:r>
          </w:p>
          <w:p w14:paraId="05C207E0">
            <w:pPr>
              <w:rPr>
                <w:rFonts w:hint="eastAsia" w:eastAsia="新宋体"/>
                <w:b w:val="0"/>
                <w:bCs w:val="0"/>
                <w:kern w:val="0"/>
                <w:sz w:val="24"/>
              </w:rPr>
            </w:pPr>
            <w:r>
              <w:rPr>
                <w:rFonts w:hint="eastAsia" w:eastAsia="新宋体"/>
                <w:b w:val="0"/>
                <w:bCs w:val="0"/>
                <w:kern w:val="0"/>
                <w:sz w:val="24"/>
              </w:rPr>
              <w:t>方案对内容进行了详细描述且完全满足采购需求，得</w:t>
            </w:r>
            <w:r>
              <w:rPr>
                <w:rFonts w:hint="eastAsia" w:eastAsia="新宋体"/>
                <w:b w:val="0"/>
                <w:bCs w:val="0"/>
                <w:kern w:val="0"/>
                <w:sz w:val="24"/>
                <w:lang w:val="en-US" w:eastAsia="zh-CN"/>
              </w:rPr>
              <w:t>10</w:t>
            </w:r>
            <w:r>
              <w:rPr>
                <w:rFonts w:hint="eastAsia" w:eastAsia="新宋体"/>
                <w:b w:val="0"/>
                <w:bCs w:val="0"/>
                <w:kern w:val="0"/>
                <w:sz w:val="24"/>
              </w:rPr>
              <w:t>分；</w:t>
            </w:r>
          </w:p>
          <w:p w14:paraId="58573CD4">
            <w:pPr>
              <w:rPr>
                <w:rFonts w:hint="eastAsia" w:eastAsia="新宋体"/>
                <w:b w:val="0"/>
                <w:bCs w:val="0"/>
                <w:kern w:val="0"/>
                <w:sz w:val="24"/>
              </w:rPr>
            </w:pPr>
            <w:r>
              <w:rPr>
                <w:rFonts w:hint="eastAsia" w:eastAsia="新宋体"/>
                <w:b w:val="0"/>
                <w:bCs w:val="0"/>
                <w:kern w:val="0"/>
                <w:sz w:val="24"/>
              </w:rPr>
              <w:t>方案对内容虽然进行了阐述但阐述的内容未包括细节、缺少具体措施描述，得</w:t>
            </w:r>
            <w:r>
              <w:rPr>
                <w:rFonts w:hint="eastAsia" w:eastAsia="新宋体"/>
                <w:b w:val="0"/>
                <w:bCs w:val="0"/>
                <w:kern w:val="0"/>
                <w:sz w:val="24"/>
                <w:lang w:val="en-US" w:eastAsia="zh-CN"/>
              </w:rPr>
              <w:t>7</w:t>
            </w:r>
            <w:r>
              <w:rPr>
                <w:rFonts w:hint="eastAsia" w:eastAsia="新宋体"/>
                <w:b w:val="0"/>
                <w:bCs w:val="0"/>
                <w:kern w:val="0"/>
                <w:sz w:val="24"/>
              </w:rPr>
              <w:t>分；</w:t>
            </w:r>
          </w:p>
          <w:p w14:paraId="101D36E2">
            <w:pPr>
              <w:rPr>
                <w:rFonts w:hint="eastAsia" w:eastAsia="新宋体"/>
                <w:b w:val="0"/>
                <w:bCs w:val="0"/>
                <w:kern w:val="0"/>
                <w:sz w:val="24"/>
              </w:rPr>
            </w:pPr>
            <w:r>
              <w:rPr>
                <w:rFonts w:hint="eastAsia" w:eastAsia="新宋体"/>
                <w:b w:val="0"/>
                <w:bCs w:val="0"/>
                <w:kern w:val="0"/>
                <w:sz w:val="24"/>
              </w:rPr>
              <w:t>方案对内容虽然进行了阐述但并未完全贴合项目情况，或阐述的内容存在偏差，得</w:t>
            </w:r>
            <w:r>
              <w:rPr>
                <w:rFonts w:hint="eastAsia" w:eastAsia="新宋体"/>
                <w:b w:val="0"/>
                <w:bCs w:val="0"/>
                <w:kern w:val="0"/>
                <w:sz w:val="24"/>
                <w:lang w:val="en-US" w:eastAsia="zh-CN"/>
              </w:rPr>
              <w:t>4</w:t>
            </w:r>
            <w:r>
              <w:rPr>
                <w:rFonts w:hint="eastAsia" w:eastAsia="新宋体"/>
                <w:b w:val="0"/>
                <w:bCs w:val="0"/>
                <w:kern w:val="0"/>
                <w:sz w:val="24"/>
              </w:rPr>
              <w:t>分；</w:t>
            </w:r>
          </w:p>
          <w:p w14:paraId="4DD3A493">
            <w:pPr>
              <w:rPr>
                <w:rFonts w:hint="eastAsia" w:eastAsia="新宋体"/>
                <w:b w:val="0"/>
                <w:bCs w:val="0"/>
                <w:kern w:val="0"/>
                <w:sz w:val="24"/>
              </w:rPr>
            </w:pPr>
            <w:r>
              <w:rPr>
                <w:rFonts w:hint="eastAsia" w:eastAsia="新宋体"/>
                <w:b w:val="0"/>
                <w:bCs w:val="0"/>
                <w:kern w:val="0"/>
                <w:sz w:val="24"/>
              </w:rPr>
              <w:t>方案未完全阐述内容，或存在较大偏差，得</w:t>
            </w:r>
            <w:r>
              <w:rPr>
                <w:rFonts w:hint="eastAsia" w:eastAsia="新宋体"/>
                <w:b w:val="0"/>
                <w:bCs w:val="0"/>
                <w:kern w:val="0"/>
                <w:sz w:val="24"/>
                <w:lang w:val="en-US" w:eastAsia="zh-CN"/>
              </w:rPr>
              <w:t>1</w:t>
            </w:r>
            <w:r>
              <w:rPr>
                <w:rFonts w:hint="eastAsia" w:eastAsia="新宋体"/>
                <w:b w:val="0"/>
                <w:bCs w:val="0"/>
                <w:kern w:val="0"/>
                <w:sz w:val="24"/>
              </w:rPr>
              <w:t>分；</w:t>
            </w:r>
          </w:p>
          <w:p w14:paraId="2FCFE57D">
            <w:pPr>
              <w:rPr>
                <w:rFonts w:hint="eastAsia" w:eastAsia="新宋体"/>
                <w:b/>
                <w:bCs/>
                <w:kern w:val="0"/>
                <w:sz w:val="24"/>
              </w:rPr>
            </w:pPr>
            <w:r>
              <w:rPr>
                <w:rFonts w:hint="eastAsia" w:eastAsia="新宋体"/>
                <w:b w:val="0"/>
                <w:bCs w:val="0"/>
                <w:kern w:val="0"/>
                <w:sz w:val="24"/>
              </w:rPr>
              <w:t>未提供，</w:t>
            </w:r>
            <w:r>
              <w:rPr>
                <w:rFonts w:hint="eastAsia" w:eastAsia="新宋体"/>
                <w:b w:val="0"/>
                <w:bCs w:val="0"/>
                <w:kern w:val="0"/>
                <w:sz w:val="24"/>
                <w:lang w:val="en-US" w:eastAsia="zh-CN"/>
              </w:rPr>
              <w:t>得</w:t>
            </w:r>
            <w:r>
              <w:rPr>
                <w:rFonts w:hint="eastAsia" w:eastAsia="新宋体"/>
                <w:b w:val="0"/>
                <w:bCs w:val="0"/>
                <w:kern w:val="0"/>
                <w:sz w:val="24"/>
              </w:rPr>
              <w:t>0分。</w:t>
            </w:r>
          </w:p>
        </w:tc>
      </w:tr>
      <w:tr w14:paraId="6DA3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14:paraId="1492E6AC">
            <w:pPr>
              <w:pStyle w:val="2"/>
              <w:ind w:firstLine="0"/>
              <w:jc w:val="center"/>
              <w:rPr>
                <w:rFonts w:ascii="Times New Roman"/>
              </w:rPr>
            </w:pPr>
          </w:p>
        </w:tc>
        <w:tc>
          <w:tcPr>
            <w:tcW w:w="1218" w:type="dxa"/>
            <w:vMerge w:val="continue"/>
            <w:tcBorders>
              <w:left w:val="single" w:color="auto" w:sz="4" w:space="0"/>
              <w:right w:val="single" w:color="auto" w:sz="4" w:space="0"/>
            </w:tcBorders>
            <w:vAlign w:val="center"/>
          </w:tcPr>
          <w:p w14:paraId="4BF98DBF">
            <w:pPr>
              <w:pStyle w:val="2"/>
              <w:ind w:firstLine="0"/>
              <w:jc w:val="center"/>
              <w:rPr>
                <w:rFonts w:ascii="Times New Roman"/>
              </w:rPr>
            </w:pPr>
          </w:p>
        </w:tc>
        <w:tc>
          <w:tcPr>
            <w:tcW w:w="1192" w:type="dxa"/>
            <w:tcBorders>
              <w:left w:val="single" w:color="auto" w:sz="4" w:space="0"/>
              <w:right w:val="single" w:color="auto" w:sz="4" w:space="0"/>
            </w:tcBorders>
            <w:vAlign w:val="center"/>
          </w:tcPr>
          <w:p w14:paraId="31E51BAF">
            <w:pPr>
              <w:pStyle w:val="2"/>
              <w:ind w:firstLine="0"/>
              <w:jc w:val="center"/>
              <w:rPr>
                <w:rFonts w:ascii="Times New Roman"/>
              </w:rPr>
            </w:pPr>
            <w:r>
              <w:rPr>
                <w:rFonts w:hint="eastAsia" w:ascii="Times New Roman"/>
              </w:rPr>
              <w:t>团队人员配置</w:t>
            </w:r>
          </w:p>
          <w:p w14:paraId="5642BFE6">
            <w:pPr>
              <w:pStyle w:val="2"/>
              <w:ind w:firstLine="0"/>
              <w:jc w:val="center"/>
              <w:rPr>
                <w:rFonts w:hint="default" w:ascii="Times New Roman"/>
                <w:lang w:val="en-US" w:eastAsia="zh-CN"/>
              </w:rPr>
            </w:pPr>
            <w:r>
              <w:rPr>
                <w:rFonts w:hint="eastAsia" w:ascii="Times New Roman"/>
              </w:rPr>
              <w:t>（</w:t>
            </w:r>
            <w:r>
              <w:rPr>
                <w:rFonts w:hint="eastAsia" w:ascii="Times New Roman"/>
                <w:lang w:val="en-US" w:eastAsia="zh-CN"/>
              </w:rPr>
              <w:t>10</w:t>
            </w:r>
            <w:r>
              <w:rPr>
                <w:rFonts w:hint="eastAsia" w:ascii="Times New Roman"/>
              </w:rPr>
              <w:t>分）</w:t>
            </w:r>
          </w:p>
        </w:tc>
        <w:tc>
          <w:tcPr>
            <w:tcW w:w="6511" w:type="dxa"/>
            <w:tcBorders>
              <w:top w:val="single" w:color="auto" w:sz="4" w:space="0"/>
              <w:left w:val="single" w:color="auto" w:sz="4" w:space="0"/>
              <w:bottom w:val="single" w:color="auto" w:sz="4" w:space="0"/>
              <w:right w:val="single" w:color="auto" w:sz="4" w:space="0"/>
            </w:tcBorders>
            <w:vAlign w:val="center"/>
          </w:tcPr>
          <w:p w14:paraId="2253D156">
            <w:pPr>
              <w:rPr>
                <w:rFonts w:hint="default" w:ascii="Times New Roman" w:hAnsi="Times New Roman" w:cs="Times New Roman"/>
                <w:kern w:val="0"/>
                <w:sz w:val="24"/>
              </w:rPr>
            </w:pPr>
            <w:r>
              <w:rPr>
                <w:rFonts w:hint="default" w:ascii="Times New Roman" w:hAnsi="Times New Roman" w:cs="Times New Roman"/>
                <w:kern w:val="0"/>
                <w:sz w:val="24"/>
              </w:rPr>
              <w:t>根据项目需求及要求</w:t>
            </w:r>
            <w:r>
              <w:rPr>
                <w:rFonts w:hint="eastAsia" w:cs="Times New Roman"/>
                <w:kern w:val="0"/>
                <w:sz w:val="24"/>
                <w:lang w:eastAsia="zh-CN"/>
              </w:rPr>
              <w:t>，</w:t>
            </w:r>
            <w:r>
              <w:rPr>
                <w:rFonts w:hint="default" w:ascii="Times New Roman" w:hAnsi="Times New Roman" w:cs="Times New Roman"/>
                <w:kern w:val="0"/>
                <w:sz w:val="24"/>
              </w:rPr>
              <w:t>配置服务团队，结构合理、人员齐备、分工明确</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经验丰富</w:t>
            </w:r>
            <w:r>
              <w:rPr>
                <w:rFonts w:hint="default" w:ascii="Times New Roman" w:hAnsi="Times New Roman" w:cs="Times New Roman"/>
                <w:kern w:val="0"/>
                <w:sz w:val="24"/>
              </w:rPr>
              <w:t>，得</w:t>
            </w:r>
            <w:r>
              <w:rPr>
                <w:rFonts w:hint="eastAsia" w:cs="Times New Roman"/>
                <w:kern w:val="0"/>
                <w:sz w:val="24"/>
                <w:lang w:val="en-US" w:eastAsia="zh-CN"/>
              </w:rPr>
              <w:t>10</w:t>
            </w:r>
            <w:r>
              <w:rPr>
                <w:rFonts w:hint="default" w:ascii="Times New Roman" w:hAnsi="Times New Roman" w:cs="Times New Roman"/>
                <w:kern w:val="0"/>
                <w:sz w:val="24"/>
              </w:rPr>
              <w:t>分；</w:t>
            </w:r>
          </w:p>
          <w:p w14:paraId="0A0EE541">
            <w:pPr>
              <w:rPr>
                <w:rFonts w:hint="default" w:ascii="Times New Roman" w:hAnsi="Times New Roman" w:cs="Times New Roman"/>
                <w:kern w:val="0"/>
                <w:sz w:val="24"/>
              </w:rPr>
            </w:pPr>
            <w:r>
              <w:rPr>
                <w:rFonts w:hint="default" w:ascii="Times New Roman" w:hAnsi="Times New Roman" w:cs="Times New Roman"/>
                <w:kern w:val="0"/>
                <w:sz w:val="24"/>
              </w:rPr>
              <w:t>人员配置数量满足要求，但分工不明确，得</w:t>
            </w:r>
            <w:r>
              <w:rPr>
                <w:rFonts w:hint="eastAsia" w:cs="Times New Roman"/>
                <w:kern w:val="0"/>
                <w:sz w:val="24"/>
                <w:lang w:val="en-US" w:eastAsia="zh-CN"/>
              </w:rPr>
              <w:t>5</w:t>
            </w:r>
            <w:r>
              <w:rPr>
                <w:rFonts w:hint="default" w:ascii="Times New Roman" w:hAnsi="Times New Roman" w:cs="Times New Roman"/>
                <w:kern w:val="0"/>
                <w:sz w:val="24"/>
              </w:rPr>
              <w:t>分；</w:t>
            </w:r>
          </w:p>
          <w:p w14:paraId="533F9477">
            <w:pPr>
              <w:rPr>
                <w:rFonts w:hint="default" w:ascii="Times New Roman" w:hAnsi="Times New Roman" w:cs="Times New Roman"/>
                <w:kern w:val="0"/>
                <w:sz w:val="24"/>
              </w:rPr>
            </w:pPr>
            <w:r>
              <w:rPr>
                <w:rFonts w:hint="default" w:ascii="Times New Roman" w:hAnsi="Times New Roman" w:cs="Times New Roman"/>
                <w:kern w:val="0"/>
                <w:sz w:val="24"/>
              </w:rPr>
              <w:t>人员配置结构不合理、分工不明确，</w:t>
            </w:r>
            <w:r>
              <w:rPr>
                <w:rFonts w:hint="eastAsia" w:ascii="Times New Roman" w:hAnsi="Times New Roman" w:cs="Times New Roman"/>
                <w:kern w:val="0"/>
                <w:sz w:val="24"/>
                <w:lang w:val="en-US" w:eastAsia="zh-CN"/>
              </w:rPr>
              <w:t>或经验较少，</w:t>
            </w:r>
            <w:r>
              <w:rPr>
                <w:rFonts w:hint="default" w:ascii="Times New Roman" w:hAnsi="Times New Roman" w:cs="Times New Roman"/>
                <w:kern w:val="0"/>
                <w:sz w:val="24"/>
              </w:rPr>
              <w:t>得</w:t>
            </w:r>
            <w:r>
              <w:rPr>
                <w:rFonts w:hint="eastAsia" w:cs="Times New Roman"/>
                <w:kern w:val="0"/>
                <w:sz w:val="24"/>
                <w:lang w:val="en-US" w:eastAsia="zh-CN"/>
              </w:rPr>
              <w:t>1</w:t>
            </w:r>
            <w:r>
              <w:rPr>
                <w:rFonts w:hint="default" w:ascii="Times New Roman" w:hAnsi="Times New Roman" w:cs="Times New Roman"/>
                <w:kern w:val="0"/>
                <w:sz w:val="24"/>
              </w:rPr>
              <w:t>分；</w:t>
            </w:r>
          </w:p>
          <w:p w14:paraId="02AC268F">
            <w:pPr>
              <w:rPr>
                <w:rFonts w:eastAsia="新宋体"/>
                <w:kern w:val="0"/>
                <w:sz w:val="24"/>
              </w:rPr>
            </w:pPr>
            <w:r>
              <w:rPr>
                <w:rFonts w:eastAsia="新宋体"/>
                <w:kern w:val="0"/>
                <w:sz w:val="24"/>
              </w:rPr>
              <w:t>未</w:t>
            </w:r>
            <w:r>
              <w:rPr>
                <w:rFonts w:hint="eastAsia" w:eastAsia="新宋体"/>
                <w:kern w:val="0"/>
                <w:sz w:val="24"/>
              </w:rPr>
              <w:t>提供</w:t>
            </w:r>
            <w:r>
              <w:rPr>
                <w:rFonts w:eastAsia="新宋体"/>
                <w:kern w:val="0"/>
                <w:sz w:val="24"/>
              </w:rPr>
              <w:t>，</w:t>
            </w:r>
            <w:r>
              <w:rPr>
                <w:rFonts w:hint="eastAsia" w:eastAsia="新宋体"/>
                <w:kern w:val="0"/>
                <w:sz w:val="24"/>
                <w:lang w:val="en-US" w:eastAsia="zh-CN"/>
              </w:rPr>
              <w:t>得</w:t>
            </w:r>
            <w:r>
              <w:rPr>
                <w:rFonts w:eastAsia="新宋体"/>
                <w:kern w:val="0"/>
                <w:sz w:val="24"/>
              </w:rPr>
              <w:t>0分。</w:t>
            </w:r>
          </w:p>
          <w:p w14:paraId="10498C2D">
            <w:pPr>
              <w:rPr>
                <w:rFonts w:eastAsia="新宋体"/>
                <w:kern w:val="0"/>
                <w:sz w:val="24"/>
              </w:rPr>
            </w:pPr>
            <w:r>
              <w:rPr>
                <w:rFonts w:hint="eastAsia" w:eastAsia="新宋体"/>
                <w:b/>
                <w:bCs/>
                <w:kern w:val="0"/>
                <w:sz w:val="24"/>
              </w:rPr>
              <w:t>注：</w:t>
            </w:r>
            <w:r>
              <w:rPr>
                <w:rFonts w:hint="eastAsia" w:eastAsia="新宋体"/>
                <w:b/>
                <w:bCs/>
                <w:kern w:val="0"/>
                <w:sz w:val="24"/>
                <w:lang w:val="en-US" w:eastAsia="zh-CN"/>
              </w:rPr>
              <w:t>供应商</w:t>
            </w:r>
            <w:r>
              <w:rPr>
                <w:rFonts w:hint="eastAsia" w:eastAsia="新宋体"/>
                <w:b/>
                <w:bCs/>
                <w:kern w:val="0"/>
                <w:sz w:val="24"/>
              </w:rPr>
              <w:t>未提供项目团队成员名单、拟担任的职务/分工、专业背景、相关工作年限等介绍导致</w:t>
            </w:r>
            <w:r>
              <w:rPr>
                <w:rFonts w:hint="eastAsia" w:eastAsia="新宋体"/>
                <w:b/>
                <w:bCs/>
                <w:kern w:val="0"/>
                <w:sz w:val="24"/>
                <w:lang w:val="en-US" w:eastAsia="zh-CN"/>
              </w:rPr>
              <w:t>磋商小组</w:t>
            </w:r>
            <w:r>
              <w:rPr>
                <w:rFonts w:hint="eastAsia" w:eastAsia="新宋体"/>
                <w:b/>
                <w:bCs/>
                <w:kern w:val="0"/>
                <w:sz w:val="24"/>
              </w:rPr>
              <w:t>无法判断的不得分。</w:t>
            </w:r>
          </w:p>
        </w:tc>
      </w:tr>
      <w:tr w14:paraId="49C1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14:paraId="2A68FC64">
            <w:pPr>
              <w:pStyle w:val="2"/>
              <w:ind w:firstLine="0"/>
              <w:jc w:val="center"/>
              <w:rPr>
                <w:rFonts w:ascii="Times New Roman"/>
              </w:rPr>
            </w:pPr>
          </w:p>
        </w:tc>
        <w:tc>
          <w:tcPr>
            <w:tcW w:w="1218" w:type="dxa"/>
            <w:vMerge w:val="continue"/>
            <w:tcBorders>
              <w:left w:val="single" w:color="auto" w:sz="4" w:space="0"/>
              <w:right w:val="single" w:color="auto" w:sz="4" w:space="0"/>
            </w:tcBorders>
            <w:vAlign w:val="center"/>
          </w:tcPr>
          <w:p w14:paraId="0AB13E85">
            <w:pPr>
              <w:pStyle w:val="2"/>
              <w:ind w:firstLine="0"/>
              <w:jc w:val="center"/>
              <w:rPr>
                <w:rFonts w:ascii="Times New Roman"/>
              </w:rPr>
            </w:pPr>
          </w:p>
        </w:tc>
        <w:tc>
          <w:tcPr>
            <w:tcW w:w="1192" w:type="dxa"/>
            <w:tcBorders>
              <w:left w:val="single" w:color="auto" w:sz="4" w:space="0"/>
              <w:right w:val="single" w:color="auto" w:sz="4" w:space="0"/>
            </w:tcBorders>
            <w:vAlign w:val="center"/>
          </w:tcPr>
          <w:p w14:paraId="48BFEE1C">
            <w:pPr>
              <w:pStyle w:val="2"/>
              <w:ind w:firstLine="0"/>
              <w:jc w:val="center"/>
              <w:rPr>
                <w:rFonts w:hint="default" w:ascii="Times New Roman" w:eastAsia="宋体"/>
                <w:lang w:val="en-US" w:eastAsia="zh-CN"/>
              </w:rPr>
            </w:pPr>
            <w:r>
              <w:rPr>
                <w:rFonts w:hint="eastAsia" w:ascii="Times New Roman"/>
                <w:lang w:val="en-US" w:eastAsia="zh-CN"/>
              </w:rPr>
              <w:t>文档方案与保密措施（7分）</w:t>
            </w:r>
          </w:p>
        </w:tc>
        <w:tc>
          <w:tcPr>
            <w:tcW w:w="6511" w:type="dxa"/>
            <w:tcBorders>
              <w:top w:val="single" w:color="auto" w:sz="4" w:space="0"/>
              <w:left w:val="single" w:color="auto" w:sz="4" w:space="0"/>
              <w:bottom w:val="single" w:color="auto" w:sz="4" w:space="0"/>
              <w:right w:val="single" w:color="auto" w:sz="4" w:space="0"/>
            </w:tcBorders>
            <w:vAlign w:val="center"/>
          </w:tcPr>
          <w:p w14:paraId="58DAB88A">
            <w:pPr>
              <w:rPr>
                <w:rFonts w:eastAsia="新宋体"/>
                <w:kern w:val="0"/>
                <w:sz w:val="24"/>
              </w:rPr>
            </w:pPr>
            <w:r>
              <w:rPr>
                <w:rFonts w:hint="eastAsia" w:eastAsia="新宋体"/>
                <w:kern w:val="0"/>
                <w:sz w:val="24"/>
              </w:rPr>
              <w:t>综合考虑</w:t>
            </w:r>
            <w:r>
              <w:rPr>
                <w:rFonts w:hint="eastAsia" w:eastAsia="新宋体"/>
                <w:kern w:val="0"/>
                <w:sz w:val="24"/>
                <w:lang w:val="en-US" w:eastAsia="zh-CN"/>
              </w:rPr>
              <w:t>供应商</w:t>
            </w:r>
            <w:r>
              <w:rPr>
                <w:rFonts w:hint="eastAsia" w:eastAsia="新宋体"/>
                <w:kern w:val="0"/>
                <w:sz w:val="24"/>
              </w:rPr>
              <w:t>针对本项目</w:t>
            </w:r>
            <w:r>
              <w:rPr>
                <w:rFonts w:hint="eastAsia" w:eastAsia="新宋体"/>
                <w:kern w:val="0"/>
                <w:sz w:val="24"/>
                <w:lang w:val="en-US" w:eastAsia="zh-CN"/>
              </w:rPr>
              <w:t>磋商</w:t>
            </w:r>
            <w:r>
              <w:rPr>
                <w:rFonts w:hint="eastAsia" w:eastAsia="新宋体"/>
                <w:kern w:val="0"/>
                <w:sz w:val="24"/>
              </w:rPr>
              <w:t>文件</w:t>
            </w:r>
            <w:r>
              <w:rPr>
                <w:rFonts w:hint="eastAsia" w:eastAsia="新宋体"/>
                <w:b/>
                <w:bCs/>
                <w:kern w:val="0"/>
                <w:sz w:val="24"/>
              </w:rPr>
              <w:t>“第</w:t>
            </w:r>
            <w:r>
              <w:rPr>
                <w:rFonts w:hint="eastAsia" w:eastAsia="新宋体"/>
                <w:b/>
                <w:bCs/>
                <w:kern w:val="0"/>
                <w:sz w:val="24"/>
                <w:lang w:val="en-US" w:eastAsia="zh-CN"/>
              </w:rPr>
              <w:t>四</w:t>
            </w:r>
            <w:r>
              <w:rPr>
                <w:rFonts w:hint="eastAsia" w:eastAsia="新宋体"/>
                <w:b/>
                <w:bCs/>
                <w:kern w:val="0"/>
                <w:sz w:val="24"/>
              </w:rPr>
              <w:t xml:space="preserve">章 采购需求 </w:t>
            </w:r>
            <w:r>
              <w:rPr>
                <w:rFonts w:hint="eastAsia" w:eastAsia="新宋体"/>
                <w:b/>
                <w:bCs/>
                <w:kern w:val="0"/>
                <w:sz w:val="24"/>
                <w:lang w:val="en-US" w:eastAsia="zh-CN"/>
              </w:rPr>
              <w:t>1.3.3文档要求</w:t>
            </w:r>
            <w:r>
              <w:rPr>
                <w:rFonts w:hint="eastAsia" w:eastAsia="新宋体"/>
                <w:b/>
                <w:bCs/>
                <w:kern w:val="0"/>
                <w:sz w:val="24"/>
              </w:rPr>
              <w:t>”</w:t>
            </w:r>
            <w:r>
              <w:rPr>
                <w:rFonts w:hint="eastAsia" w:eastAsia="新宋体"/>
                <w:b/>
                <w:bCs/>
                <w:kern w:val="0"/>
                <w:sz w:val="24"/>
                <w:lang w:val="en-US" w:eastAsia="zh-CN"/>
              </w:rPr>
              <w:t>内容与保密措施方案</w:t>
            </w:r>
            <w:r>
              <w:rPr>
                <w:rFonts w:hint="eastAsia" w:eastAsia="新宋体"/>
                <w:kern w:val="0"/>
                <w:sz w:val="24"/>
              </w:rPr>
              <w:t>进行评分，评分标准如下：</w:t>
            </w:r>
          </w:p>
          <w:p w14:paraId="007886C0">
            <w:pPr>
              <w:rPr>
                <w:rFonts w:eastAsia="新宋体"/>
                <w:kern w:val="0"/>
                <w:sz w:val="24"/>
              </w:rPr>
            </w:pPr>
            <w:r>
              <w:rPr>
                <w:rFonts w:eastAsia="新宋体"/>
                <w:kern w:val="0"/>
                <w:sz w:val="24"/>
              </w:rPr>
              <w:t>方案对内容进行了详细描述且完全满足采购需求</w:t>
            </w:r>
            <w:r>
              <w:rPr>
                <w:rFonts w:hint="eastAsia" w:eastAsia="新宋体"/>
                <w:kern w:val="0"/>
                <w:sz w:val="24"/>
                <w:lang w:eastAsia="zh-CN"/>
              </w:rPr>
              <w:t>且方案包含但不限于</w:t>
            </w:r>
            <w:r>
              <w:rPr>
                <w:rFonts w:eastAsia="新宋体"/>
                <w:kern w:val="0"/>
                <w:sz w:val="24"/>
              </w:rPr>
              <w:t>对重要资料、团队人员进行</w:t>
            </w:r>
            <w:r>
              <w:rPr>
                <w:rFonts w:hint="eastAsia" w:eastAsia="新宋体"/>
                <w:kern w:val="0"/>
                <w:sz w:val="24"/>
              </w:rPr>
              <w:t>保密</w:t>
            </w:r>
            <w:r>
              <w:rPr>
                <w:rFonts w:eastAsia="新宋体"/>
                <w:kern w:val="0"/>
                <w:sz w:val="24"/>
              </w:rPr>
              <w:t>管理</w:t>
            </w:r>
            <w:r>
              <w:rPr>
                <w:rFonts w:hint="eastAsia" w:eastAsia="新宋体"/>
                <w:kern w:val="0"/>
                <w:sz w:val="24"/>
                <w:lang w:eastAsia="zh-CN"/>
              </w:rPr>
              <w:t>、保密教育等</w:t>
            </w:r>
            <w:r>
              <w:rPr>
                <w:rFonts w:eastAsia="新宋体"/>
                <w:kern w:val="0"/>
                <w:sz w:val="24"/>
              </w:rPr>
              <w:t>，</w:t>
            </w:r>
            <w:r>
              <w:rPr>
                <w:rFonts w:hint="eastAsia" w:eastAsia="新宋体"/>
                <w:kern w:val="0"/>
                <w:sz w:val="24"/>
              </w:rPr>
              <w:t>得</w:t>
            </w:r>
            <w:r>
              <w:rPr>
                <w:rFonts w:hint="eastAsia" w:eastAsia="新宋体"/>
                <w:kern w:val="0"/>
                <w:sz w:val="24"/>
                <w:lang w:val="en-US" w:eastAsia="zh-CN"/>
              </w:rPr>
              <w:t>7</w:t>
            </w:r>
            <w:r>
              <w:rPr>
                <w:rFonts w:eastAsia="新宋体"/>
                <w:kern w:val="0"/>
                <w:sz w:val="24"/>
              </w:rPr>
              <w:t>分；</w:t>
            </w:r>
          </w:p>
          <w:p w14:paraId="368C5428">
            <w:pPr>
              <w:rPr>
                <w:rFonts w:eastAsia="新宋体"/>
                <w:kern w:val="0"/>
                <w:sz w:val="24"/>
              </w:rPr>
            </w:pPr>
            <w:r>
              <w:rPr>
                <w:rFonts w:eastAsia="新宋体"/>
                <w:kern w:val="0"/>
                <w:sz w:val="24"/>
              </w:rPr>
              <w:t>方案对内容虽然进行了阐述但阐述的内容未包括细节、缺少具体措施描述，</w:t>
            </w:r>
            <w:r>
              <w:rPr>
                <w:rFonts w:hint="eastAsia" w:eastAsia="新宋体"/>
                <w:kern w:val="0"/>
                <w:sz w:val="24"/>
              </w:rPr>
              <w:t>得</w:t>
            </w:r>
            <w:r>
              <w:rPr>
                <w:rFonts w:hint="eastAsia" w:eastAsia="新宋体"/>
                <w:kern w:val="0"/>
                <w:sz w:val="24"/>
                <w:lang w:val="en-US" w:eastAsia="zh-CN"/>
              </w:rPr>
              <w:t>4</w:t>
            </w:r>
            <w:r>
              <w:rPr>
                <w:rFonts w:eastAsia="新宋体"/>
                <w:kern w:val="0"/>
                <w:sz w:val="24"/>
              </w:rPr>
              <w:t>分；</w:t>
            </w:r>
          </w:p>
          <w:p w14:paraId="0450DABA">
            <w:pPr>
              <w:rPr>
                <w:rFonts w:eastAsia="新宋体"/>
                <w:kern w:val="0"/>
                <w:sz w:val="24"/>
              </w:rPr>
            </w:pPr>
            <w:r>
              <w:rPr>
                <w:rFonts w:eastAsia="新宋体"/>
                <w:kern w:val="0"/>
                <w:sz w:val="24"/>
              </w:rPr>
              <w:t>方案对内容虽然进行了阐述但并未完全贴合项目情况，或阐述的内容存在偏差，</w:t>
            </w:r>
            <w:r>
              <w:rPr>
                <w:rFonts w:hint="eastAsia" w:eastAsia="新宋体"/>
                <w:kern w:val="0"/>
                <w:sz w:val="24"/>
              </w:rPr>
              <w:t>得2</w:t>
            </w:r>
            <w:r>
              <w:rPr>
                <w:rFonts w:eastAsia="新宋体"/>
                <w:kern w:val="0"/>
                <w:sz w:val="24"/>
              </w:rPr>
              <w:t>分；</w:t>
            </w:r>
          </w:p>
          <w:p w14:paraId="38F6C95D">
            <w:pPr>
              <w:rPr>
                <w:rFonts w:eastAsia="新宋体"/>
                <w:kern w:val="0"/>
                <w:sz w:val="24"/>
              </w:rPr>
            </w:pPr>
            <w:r>
              <w:rPr>
                <w:rFonts w:eastAsia="新宋体"/>
                <w:kern w:val="0"/>
                <w:sz w:val="24"/>
              </w:rPr>
              <w:t>方案</w:t>
            </w:r>
            <w:r>
              <w:rPr>
                <w:rFonts w:hint="eastAsia" w:eastAsia="新宋体"/>
                <w:kern w:val="0"/>
                <w:sz w:val="24"/>
              </w:rPr>
              <w:t>未完全阐述内容</w:t>
            </w:r>
            <w:r>
              <w:rPr>
                <w:rFonts w:eastAsia="新宋体"/>
                <w:kern w:val="0"/>
                <w:sz w:val="24"/>
              </w:rPr>
              <w:t>，</w:t>
            </w:r>
            <w:r>
              <w:rPr>
                <w:rFonts w:hint="eastAsia" w:eastAsia="新宋体"/>
                <w:kern w:val="0"/>
                <w:sz w:val="24"/>
              </w:rPr>
              <w:t>或</w:t>
            </w:r>
            <w:r>
              <w:rPr>
                <w:rFonts w:eastAsia="新宋体"/>
                <w:kern w:val="0"/>
                <w:sz w:val="24"/>
              </w:rPr>
              <w:t>存在</w:t>
            </w:r>
            <w:r>
              <w:rPr>
                <w:rFonts w:hint="eastAsia" w:eastAsia="新宋体"/>
                <w:kern w:val="0"/>
                <w:sz w:val="24"/>
              </w:rPr>
              <w:t>较大</w:t>
            </w:r>
            <w:r>
              <w:rPr>
                <w:rFonts w:eastAsia="新宋体"/>
                <w:kern w:val="0"/>
                <w:sz w:val="24"/>
              </w:rPr>
              <w:t>偏差，得</w:t>
            </w:r>
            <w:r>
              <w:rPr>
                <w:rFonts w:hint="eastAsia" w:eastAsia="新宋体"/>
                <w:kern w:val="0"/>
                <w:sz w:val="24"/>
              </w:rPr>
              <w:t>1</w:t>
            </w:r>
            <w:r>
              <w:rPr>
                <w:rFonts w:eastAsia="新宋体"/>
                <w:kern w:val="0"/>
                <w:sz w:val="24"/>
              </w:rPr>
              <w:t>分；</w:t>
            </w:r>
          </w:p>
          <w:p w14:paraId="6EA0ECB7">
            <w:pPr>
              <w:rPr>
                <w:rFonts w:hint="default" w:eastAsia="新宋体"/>
                <w:kern w:val="0"/>
                <w:sz w:val="24"/>
                <w:lang w:val="en-US" w:eastAsia="zh-CN"/>
              </w:rPr>
            </w:pPr>
            <w:r>
              <w:rPr>
                <w:rFonts w:eastAsia="新宋体"/>
                <w:kern w:val="0"/>
                <w:sz w:val="24"/>
              </w:rPr>
              <w:t>未</w:t>
            </w:r>
            <w:r>
              <w:rPr>
                <w:rFonts w:hint="eastAsia" w:eastAsia="新宋体"/>
                <w:kern w:val="0"/>
                <w:sz w:val="24"/>
              </w:rPr>
              <w:t>提供</w:t>
            </w:r>
            <w:r>
              <w:rPr>
                <w:rFonts w:eastAsia="新宋体"/>
                <w:kern w:val="0"/>
                <w:sz w:val="24"/>
              </w:rPr>
              <w:t>，</w:t>
            </w:r>
            <w:r>
              <w:rPr>
                <w:rFonts w:hint="eastAsia" w:eastAsia="新宋体"/>
                <w:kern w:val="0"/>
                <w:sz w:val="24"/>
                <w:lang w:val="en-US" w:eastAsia="zh-CN"/>
              </w:rPr>
              <w:t>得</w:t>
            </w:r>
            <w:r>
              <w:rPr>
                <w:rFonts w:eastAsia="新宋体"/>
                <w:kern w:val="0"/>
                <w:sz w:val="24"/>
              </w:rPr>
              <w:t>0分。</w:t>
            </w:r>
          </w:p>
        </w:tc>
      </w:tr>
      <w:tr w14:paraId="343F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4" w:type="dxa"/>
            <w:vMerge w:val="continue"/>
            <w:tcBorders>
              <w:left w:val="single" w:color="auto" w:sz="4" w:space="0"/>
              <w:right w:val="single" w:color="auto" w:sz="4" w:space="0"/>
            </w:tcBorders>
            <w:vAlign w:val="center"/>
          </w:tcPr>
          <w:p w14:paraId="6F5488C6">
            <w:pPr>
              <w:pStyle w:val="2"/>
              <w:ind w:firstLine="0"/>
              <w:jc w:val="center"/>
              <w:rPr>
                <w:rFonts w:ascii="Times New Roman"/>
              </w:rPr>
            </w:pPr>
          </w:p>
        </w:tc>
        <w:tc>
          <w:tcPr>
            <w:tcW w:w="1218" w:type="dxa"/>
            <w:vMerge w:val="continue"/>
            <w:tcBorders>
              <w:left w:val="single" w:color="auto" w:sz="4" w:space="0"/>
              <w:right w:val="single" w:color="auto" w:sz="4" w:space="0"/>
            </w:tcBorders>
            <w:vAlign w:val="center"/>
          </w:tcPr>
          <w:p w14:paraId="5C02D71F">
            <w:pPr>
              <w:pStyle w:val="2"/>
              <w:ind w:firstLine="0"/>
              <w:jc w:val="center"/>
              <w:rPr>
                <w:rFonts w:ascii="Times New Roman"/>
              </w:rPr>
            </w:pPr>
          </w:p>
        </w:tc>
        <w:tc>
          <w:tcPr>
            <w:tcW w:w="1192" w:type="dxa"/>
            <w:vMerge w:val="restart"/>
            <w:tcBorders>
              <w:left w:val="single" w:color="auto" w:sz="4" w:space="0"/>
              <w:right w:val="single" w:color="auto" w:sz="4" w:space="0"/>
            </w:tcBorders>
            <w:vAlign w:val="center"/>
          </w:tcPr>
          <w:p w14:paraId="7B0AABB3">
            <w:pPr>
              <w:pStyle w:val="2"/>
              <w:ind w:firstLine="0"/>
              <w:jc w:val="center"/>
              <w:rPr>
                <w:rFonts w:ascii="Times New Roman"/>
              </w:rPr>
            </w:pPr>
            <w:r>
              <w:rPr>
                <w:rFonts w:hint="eastAsia" w:ascii="Times New Roman"/>
              </w:rPr>
              <w:t>保障方案（</w:t>
            </w:r>
            <w:r>
              <w:rPr>
                <w:rFonts w:hint="eastAsia" w:ascii="Times New Roman"/>
                <w:lang w:val="en-US" w:eastAsia="zh-CN"/>
              </w:rPr>
              <w:t>13</w:t>
            </w:r>
            <w:r>
              <w:rPr>
                <w:rFonts w:hint="eastAsia" w:ascii="Times New Roman"/>
              </w:rPr>
              <w:t>分）</w:t>
            </w:r>
          </w:p>
        </w:tc>
        <w:tc>
          <w:tcPr>
            <w:tcW w:w="6511" w:type="dxa"/>
            <w:tcBorders>
              <w:top w:val="single" w:color="auto" w:sz="4" w:space="0"/>
              <w:left w:val="single" w:color="auto" w:sz="4" w:space="0"/>
              <w:bottom w:val="single" w:color="auto" w:sz="4" w:space="0"/>
              <w:right w:val="single" w:color="auto" w:sz="4" w:space="0"/>
            </w:tcBorders>
            <w:vAlign w:val="center"/>
          </w:tcPr>
          <w:p w14:paraId="576F7F83">
            <w:pPr>
              <w:widowControl/>
              <w:jc w:val="left"/>
              <w:rPr>
                <w:rFonts w:hint="default" w:ascii="Times New Roman" w:hAnsi="Times New Roman" w:eastAsia="宋体" w:cs="Times New Roman"/>
                <w:b/>
                <w:bCs/>
                <w:color w:val="000000"/>
                <w:kern w:val="0"/>
                <w:sz w:val="24"/>
              </w:rPr>
            </w:pPr>
            <w:r>
              <w:rPr>
                <w:rFonts w:hint="default" w:ascii="Times New Roman" w:hAnsi="Times New Roman" w:cs="Times New Roman"/>
                <w:b/>
                <w:bCs/>
                <w:color w:val="000000"/>
                <w:kern w:val="0"/>
                <w:sz w:val="24"/>
                <w:lang w:eastAsia="zh-CN"/>
              </w:rPr>
              <w:t>质量保障措施</w:t>
            </w:r>
          </w:p>
          <w:p w14:paraId="2F7638F7">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措施方案内容全面、合理，针对性强，得</w:t>
            </w:r>
            <w:r>
              <w:rPr>
                <w:rFonts w:hint="eastAsia" w:cs="Times New Roman"/>
                <w:color w:val="000000"/>
                <w:kern w:val="0"/>
                <w:sz w:val="24"/>
                <w:lang w:val="en-US" w:eastAsia="zh-CN"/>
              </w:rPr>
              <w:t>6</w:t>
            </w:r>
            <w:r>
              <w:rPr>
                <w:rFonts w:hint="default" w:ascii="Times New Roman" w:hAnsi="Times New Roman" w:eastAsia="宋体" w:cs="Times New Roman"/>
                <w:color w:val="000000"/>
                <w:kern w:val="0"/>
                <w:sz w:val="24"/>
              </w:rPr>
              <w:t>分；</w:t>
            </w:r>
          </w:p>
          <w:p w14:paraId="1B9DC6A4">
            <w:pP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措施方案内容</w:t>
            </w:r>
            <w:r>
              <w:rPr>
                <w:rFonts w:hint="default" w:ascii="Times New Roman" w:hAnsi="Times New Roman" w:eastAsia="宋体" w:cs="Times New Roman"/>
                <w:color w:val="000000"/>
                <w:kern w:val="0"/>
                <w:sz w:val="24"/>
                <w:lang w:eastAsia="zh-CN"/>
              </w:rPr>
              <w:t>描述简单</w:t>
            </w:r>
            <w:r>
              <w:rPr>
                <w:rFonts w:hint="default" w:ascii="Times New Roman" w:hAnsi="Times New Roman" w:eastAsia="宋体" w:cs="Times New Roman"/>
                <w:color w:val="000000"/>
                <w:kern w:val="0"/>
                <w:sz w:val="24"/>
              </w:rPr>
              <w:t>，</w:t>
            </w:r>
            <w:r>
              <w:rPr>
                <w:rFonts w:hint="default" w:ascii="Times New Roman" w:hAnsi="Times New Roman" w:eastAsia="宋体" w:cs="Times New Roman"/>
                <w:b w:val="0"/>
                <w:bCs/>
                <w:sz w:val="24"/>
              </w:rPr>
              <w:t>缺少具体措施</w:t>
            </w:r>
            <w:r>
              <w:rPr>
                <w:rFonts w:hint="default" w:ascii="Times New Roman" w:hAnsi="Times New Roman" w:eastAsia="宋体" w:cs="Times New Roman"/>
                <w:b w:val="0"/>
                <w:bCs/>
                <w:sz w:val="24"/>
                <w:lang w:eastAsia="zh-CN"/>
              </w:rPr>
              <w:t>和细节</w:t>
            </w:r>
            <w:r>
              <w:rPr>
                <w:rFonts w:hint="default" w:ascii="Times New Roman" w:hAnsi="Times New Roman" w:eastAsia="宋体" w:cs="Times New Roman"/>
                <w:b w:val="0"/>
                <w:bCs/>
                <w:sz w:val="24"/>
              </w:rPr>
              <w:t>描述</w:t>
            </w:r>
            <w:r>
              <w:rPr>
                <w:rFonts w:hint="default" w:ascii="Times New Roman" w:hAnsi="Times New Roman" w:cs="Times New Roman"/>
                <w:b w:val="0"/>
                <w:bCs/>
                <w:sz w:val="24"/>
                <w:lang w:eastAsia="zh-CN"/>
              </w:rPr>
              <w:t>，</w:t>
            </w:r>
            <w:r>
              <w:rPr>
                <w:rFonts w:hint="default" w:ascii="Times New Roman" w:hAnsi="Times New Roman" w:eastAsia="宋体" w:cs="Times New Roman"/>
                <w:color w:val="000000"/>
                <w:kern w:val="0"/>
                <w:sz w:val="24"/>
              </w:rPr>
              <w:t>针对性一般，得</w:t>
            </w:r>
            <w:r>
              <w:rPr>
                <w:rFonts w:hint="eastAsia" w:cs="Times New Roman"/>
                <w:color w:val="000000"/>
                <w:kern w:val="0"/>
                <w:sz w:val="24"/>
                <w:lang w:val="en-US" w:eastAsia="zh-CN"/>
              </w:rPr>
              <w:t>4</w:t>
            </w:r>
            <w:r>
              <w:rPr>
                <w:rFonts w:hint="default" w:ascii="Times New Roman" w:hAnsi="Times New Roman" w:eastAsia="宋体" w:cs="Times New Roman"/>
                <w:color w:val="000000"/>
                <w:kern w:val="0"/>
                <w:sz w:val="24"/>
              </w:rPr>
              <w:t>分；</w:t>
            </w:r>
          </w:p>
          <w:p w14:paraId="1775A387">
            <w:pP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措施方案内容存在</w:t>
            </w:r>
            <w:r>
              <w:rPr>
                <w:rFonts w:hint="default" w:ascii="Times New Roman" w:hAnsi="Times New Roman" w:eastAsia="宋体" w:cs="Times New Roman"/>
                <w:color w:val="000000"/>
                <w:kern w:val="0"/>
                <w:sz w:val="24"/>
                <w:lang w:eastAsia="zh-CN"/>
              </w:rPr>
              <w:t>部分</w:t>
            </w:r>
            <w:r>
              <w:rPr>
                <w:rFonts w:hint="default" w:ascii="Times New Roman" w:hAnsi="Times New Roman" w:eastAsia="宋体" w:cs="Times New Roman"/>
                <w:color w:val="000000"/>
                <w:kern w:val="0"/>
                <w:sz w:val="24"/>
              </w:rPr>
              <w:t>缺失，针对性差，得</w:t>
            </w:r>
            <w:r>
              <w:rPr>
                <w:rFonts w:hint="eastAsia" w:ascii="Times New Roman" w:hAnsi="Times New Roman" w:cs="Times New Roman"/>
                <w:color w:val="000000"/>
                <w:kern w:val="0"/>
                <w:sz w:val="24"/>
                <w:lang w:val="en-US" w:eastAsia="zh-CN"/>
              </w:rPr>
              <w:t>2</w:t>
            </w:r>
            <w:r>
              <w:rPr>
                <w:rFonts w:hint="default" w:ascii="Times New Roman" w:hAnsi="Times New Roman" w:eastAsia="宋体" w:cs="Times New Roman"/>
                <w:color w:val="000000"/>
                <w:kern w:val="0"/>
                <w:sz w:val="24"/>
              </w:rPr>
              <w:t>分；</w:t>
            </w:r>
          </w:p>
          <w:p w14:paraId="2B81B5BE">
            <w:pPr>
              <w:rPr>
                <w:kern w:val="0"/>
                <w:sz w:val="24"/>
              </w:rPr>
            </w:pPr>
            <w:r>
              <w:rPr>
                <w:rFonts w:hint="default" w:ascii="Times New Roman" w:hAnsi="Times New Roman" w:eastAsia="宋体" w:cs="Times New Roman"/>
                <w:color w:val="000000"/>
                <w:kern w:val="0"/>
                <w:sz w:val="24"/>
              </w:rPr>
              <w:t>未提供</w:t>
            </w:r>
            <w:r>
              <w:rPr>
                <w:rFonts w:hint="default" w:ascii="Times New Roman" w:hAnsi="Times New Roman" w:eastAsia="宋体" w:cs="Times New Roman"/>
                <w:color w:val="000000"/>
                <w:kern w:val="0"/>
                <w:sz w:val="24"/>
                <w:lang w:eastAsia="zh-CN"/>
              </w:rPr>
              <w:t>，</w:t>
            </w:r>
            <w:r>
              <w:rPr>
                <w:rFonts w:hint="default" w:ascii="Times New Roman" w:hAnsi="Times New Roman" w:eastAsia="宋体" w:cs="Times New Roman"/>
                <w:color w:val="000000"/>
                <w:kern w:val="0"/>
                <w:sz w:val="24"/>
              </w:rPr>
              <w:t>得0分。</w:t>
            </w:r>
          </w:p>
        </w:tc>
      </w:tr>
      <w:tr w14:paraId="0E3E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4" w:type="dxa"/>
            <w:vMerge w:val="continue"/>
            <w:tcBorders>
              <w:left w:val="single" w:color="auto" w:sz="4" w:space="0"/>
              <w:right w:val="single" w:color="auto" w:sz="4" w:space="0"/>
            </w:tcBorders>
            <w:vAlign w:val="center"/>
          </w:tcPr>
          <w:p w14:paraId="3FFC2B74">
            <w:pPr>
              <w:pStyle w:val="2"/>
              <w:ind w:firstLine="0"/>
              <w:jc w:val="center"/>
              <w:rPr>
                <w:rFonts w:ascii="Times New Roman"/>
              </w:rPr>
            </w:pPr>
          </w:p>
        </w:tc>
        <w:tc>
          <w:tcPr>
            <w:tcW w:w="1218" w:type="dxa"/>
            <w:vMerge w:val="continue"/>
            <w:tcBorders>
              <w:left w:val="single" w:color="auto" w:sz="4" w:space="0"/>
              <w:right w:val="single" w:color="auto" w:sz="4" w:space="0"/>
            </w:tcBorders>
            <w:vAlign w:val="center"/>
          </w:tcPr>
          <w:p w14:paraId="416CB196">
            <w:pPr>
              <w:pStyle w:val="2"/>
              <w:ind w:firstLine="0"/>
              <w:jc w:val="center"/>
              <w:rPr>
                <w:rFonts w:ascii="Times New Roman"/>
              </w:rPr>
            </w:pPr>
          </w:p>
        </w:tc>
        <w:tc>
          <w:tcPr>
            <w:tcW w:w="1192" w:type="dxa"/>
            <w:vMerge w:val="continue"/>
            <w:tcBorders>
              <w:left w:val="single" w:color="auto" w:sz="4" w:space="0"/>
              <w:right w:val="single" w:color="auto" w:sz="4" w:space="0"/>
            </w:tcBorders>
            <w:vAlign w:val="center"/>
          </w:tcPr>
          <w:p w14:paraId="145F1699">
            <w:pPr>
              <w:pStyle w:val="2"/>
              <w:ind w:firstLine="0"/>
              <w:jc w:val="center"/>
              <w:rPr>
                <w:rFonts w:hint="eastAsia" w:ascii="Times New Roman"/>
              </w:rPr>
            </w:pPr>
          </w:p>
        </w:tc>
        <w:tc>
          <w:tcPr>
            <w:tcW w:w="6511" w:type="dxa"/>
            <w:tcBorders>
              <w:top w:val="single" w:color="auto" w:sz="4" w:space="0"/>
              <w:left w:val="single" w:color="auto" w:sz="4" w:space="0"/>
              <w:bottom w:val="single" w:color="auto" w:sz="4" w:space="0"/>
              <w:right w:val="single" w:color="auto" w:sz="4" w:space="0"/>
            </w:tcBorders>
            <w:vAlign w:val="center"/>
          </w:tcPr>
          <w:p w14:paraId="5DBDF515">
            <w:pPr>
              <w:widowControl/>
              <w:jc w:val="left"/>
              <w:rPr>
                <w:rFonts w:hint="default" w:ascii="Times New Roman" w:hAnsi="Times New Roman" w:eastAsia="宋体" w:cs="Times New Roman"/>
                <w:b/>
                <w:bCs/>
                <w:color w:val="000000"/>
                <w:kern w:val="0"/>
                <w:sz w:val="24"/>
              </w:rPr>
            </w:pPr>
            <w:r>
              <w:rPr>
                <w:rFonts w:hint="default" w:ascii="Times New Roman" w:hAnsi="Times New Roman" w:cs="Times New Roman"/>
                <w:b/>
                <w:bCs/>
                <w:color w:val="000000"/>
                <w:kern w:val="0"/>
                <w:sz w:val="24"/>
                <w:lang w:eastAsia="zh-CN"/>
              </w:rPr>
              <w:t>应急预案</w:t>
            </w:r>
          </w:p>
          <w:p w14:paraId="7D34A112">
            <w:pPr>
              <w:widowControl/>
              <w:jc w:val="lef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措施方案内容全面、合理，针对性强，得</w:t>
            </w:r>
            <w:r>
              <w:rPr>
                <w:rFonts w:hint="eastAsia" w:cs="Times New Roman"/>
                <w:color w:val="000000"/>
                <w:kern w:val="0"/>
                <w:sz w:val="24"/>
                <w:lang w:val="en-US" w:eastAsia="zh-CN"/>
              </w:rPr>
              <w:t>7</w:t>
            </w:r>
            <w:r>
              <w:rPr>
                <w:rFonts w:hint="default" w:ascii="Times New Roman" w:hAnsi="Times New Roman" w:eastAsia="宋体" w:cs="Times New Roman"/>
                <w:color w:val="000000"/>
                <w:kern w:val="0"/>
                <w:sz w:val="24"/>
              </w:rPr>
              <w:t>分；</w:t>
            </w:r>
          </w:p>
          <w:p w14:paraId="3229C395">
            <w:pP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措施方案内容</w:t>
            </w:r>
            <w:r>
              <w:rPr>
                <w:rFonts w:hint="default" w:ascii="Times New Roman" w:hAnsi="Times New Roman" w:eastAsia="宋体" w:cs="Times New Roman"/>
                <w:color w:val="000000"/>
                <w:kern w:val="0"/>
                <w:sz w:val="24"/>
                <w:lang w:eastAsia="zh-CN"/>
              </w:rPr>
              <w:t>描述简单</w:t>
            </w:r>
            <w:r>
              <w:rPr>
                <w:rFonts w:hint="default" w:ascii="Times New Roman" w:hAnsi="Times New Roman" w:eastAsia="宋体" w:cs="Times New Roman"/>
                <w:color w:val="000000"/>
                <w:kern w:val="0"/>
                <w:sz w:val="24"/>
              </w:rPr>
              <w:t>，</w:t>
            </w:r>
            <w:r>
              <w:rPr>
                <w:rFonts w:hint="default" w:ascii="Times New Roman" w:hAnsi="Times New Roman" w:eastAsia="宋体" w:cs="Times New Roman"/>
                <w:b w:val="0"/>
                <w:bCs/>
                <w:sz w:val="24"/>
              </w:rPr>
              <w:t>缺少具体措施</w:t>
            </w:r>
            <w:r>
              <w:rPr>
                <w:rFonts w:hint="default" w:ascii="Times New Roman" w:hAnsi="Times New Roman" w:eastAsia="宋体" w:cs="Times New Roman"/>
                <w:b w:val="0"/>
                <w:bCs/>
                <w:sz w:val="24"/>
                <w:lang w:eastAsia="zh-CN"/>
              </w:rPr>
              <w:t>和细节</w:t>
            </w:r>
            <w:r>
              <w:rPr>
                <w:rFonts w:hint="default" w:ascii="Times New Roman" w:hAnsi="Times New Roman" w:eastAsia="宋体" w:cs="Times New Roman"/>
                <w:b w:val="0"/>
                <w:bCs/>
                <w:sz w:val="24"/>
              </w:rPr>
              <w:t>描述</w:t>
            </w:r>
            <w:r>
              <w:rPr>
                <w:rFonts w:hint="default" w:ascii="Times New Roman" w:hAnsi="Times New Roman" w:cs="Times New Roman"/>
                <w:b w:val="0"/>
                <w:bCs/>
                <w:sz w:val="24"/>
                <w:lang w:eastAsia="zh-CN"/>
              </w:rPr>
              <w:t>，</w:t>
            </w:r>
            <w:r>
              <w:rPr>
                <w:rFonts w:hint="default" w:ascii="Times New Roman" w:hAnsi="Times New Roman" w:eastAsia="宋体" w:cs="Times New Roman"/>
                <w:color w:val="000000"/>
                <w:kern w:val="0"/>
                <w:sz w:val="24"/>
              </w:rPr>
              <w:t>针对性一般，得</w:t>
            </w:r>
            <w:r>
              <w:rPr>
                <w:rFonts w:hint="eastAsia" w:cs="Times New Roman"/>
                <w:color w:val="000000"/>
                <w:kern w:val="0"/>
                <w:sz w:val="24"/>
                <w:lang w:val="en-US" w:eastAsia="zh-CN"/>
              </w:rPr>
              <w:t>4</w:t>
            </w:r>
            <w:r>
              <w:rPr>
                <w:rFonts w:hint="default" w:ascii="Times New Roman" w:hAnsi="Times New Roman" w:eastAsia="宋体" w:cs="Times New Roman"/>
                <w:color w:val="000000"/>
                <w:kern w:val="0"/>
                <w:sz w:val="24"/>
              </w:rPr>
              <w:t>分；</w:t>
            </w:r>
          </w:p>
          <w:p w14:paraId="6A6D9C84">
            <w:pP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措施方案内容存在</w:t>
            </w:r>
            <w:r>
              <w:rPr>
                <w:rFonts w:hint="default" w:ascii="Times New Roman" w:hAnsi="Times New Roman" w:eastAsia="宋体" w:cs="Times New Roman"/>
                <w:color w:val="000000"/>
                <w:kern w:val="0"/>
                <w:sz w:val="24"/>
                <w:lang w:eastAsia="zh-CN"/>
              </w:rPr>
              <w:t>部分</w:t>
            </w:r>
            <w:r>
              <w:rPr>
                <w:rFonts w:hint="default" w:ascii="Times New Roman" w:hAnsi="Times New Roman" w:eastAsia="宋体" w:cs="Times New Roman"/>
                <w:color w:val="000000"/>
                <w:kern w:val="0"/>
                <w:sz w:val="24"/>
              </w:rPr>
              <w:t>缺失，针对性差，得</w:t>
            </w:r>
            <w:r>
              <w:rPr>
                <w:rFonts w:hint="eastAsia" w:ascii="Times New Roman" w:hAnsi="Times New Roman" w:cs="Times New Roman"/>
                <w:color w:val="000000"/>
                <w:kern w:val="0"/>
                <w:sz w:val="24"/>
                <w:lang w:val="en-US" w:eastAsia="zh-CN"/>
              </w:rPr>
              <w:t>2</w:t>
            </w:r>
            <w:r>
              <w:rPr>
                <w:rFonts w:hint="default" w:ascii="Times New Roman" w:hAnsi="Times New Roman" w:eastAsia="宋体" w:cs="Times New Roman"/>
                <w:color w:val="000000"/>
                <w:kern w:val="0"/>
                <w:sz w:val="24"/>
              </w:rPr>
              <w:t>分；</w:t>
            </w:r>
          </w:p>
          <w:p w14:paraId="7C0FCE58">
            <w:pPr>
              <w:rPr>
                <w:kern w:val="0"/>
                <w:sz w:val="24"/>
              </w:rPr>
            </w:pPr>
            <w:r>
              <w:rPr>
                <w:rFonts w:hint="default" w:ascii="Times New Roman" w:hAnsi="Times New Roman" w:eastAsia="宋体" w:cs="Times New Roman"/>
                <w:color w:val="000000"/>
                <w:kern w:val="0"/>
                <w:sz w:val="24"/>
              </w:rPr>
              <w:t>未提供</w:t>
            </w:r>
            <w:r>
              <w:rPr>
                <w:rFonts w:hint="default" w:ascii="Times New Roman" w:hAnsi="Times New Roman" w:eastAsia="宋体" w:cs="Times New Roman"/>
                <w:color w:val="000000"/>
                <w:kern w:val="0"/>
                <w:sz w:val="24"/>
                <w:lang w:eastAsia="zh-CN"/>
              </w:rPr>
              <w:t>，</w:t>
            </w:r>
            <w:r>
              <w:rPr>
                <w:rFonts w:hint="default" w:ascii="Times New Roman" w:hAnsi="Times New Roman" w:eastAsia="宋体" w:cs="Times New Roman"/>
                <w:color w:val="000000"/>
                <w:kern w:val="0"/>
                <w:sz w:val="24"/>
              </w:rPr>
              <w:t>得0分。</w:t>
            </w:r>
          </w:p>
        </w:tc>
      </w:tr>
      <w:tr w14:paraId="1CCC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463E1A2B">
            <w:pPr>
              <w:pStyle w:val="2"/>
              <w:ind w:firstLine="0"/>
              <w:jc w:val="center"/>
              <w:rPr>
                <w:rFonts w:ascii="Times New Roman"/>
              </w:rPr>
            </w:pPr>
            <w:r>
              <w:rPr>
                <w:rFonts w:ascii="Times New Roman"/>
              </w:rPr>
              <w:t>3</w:t>
            </w:r>
          </w:p>
        </w:tc>
        <w:tc>
          <w:tcPr>
            <w:tcW w:w="1218" w:type="dxa"/>
            <w:tcBorders>
              <w:top w:val="single" w:color="auto" w:sz="4" w:space="0"/>
              <w:left w:val="single" w:color="auto" w:sz="4" w:space="0"/>
              <w:bottom w:val="single" w:color="auto" w:sz="4" w:space="0"/>
              <w:right w:val="single" w:color="auto" w:sz="4" w:space="0"/>
            </w:tcBorders>
            <w:vAlign w:val="center"/>
          </w:tcPr>
          <w:p w14:paraId="0D8B0D65">
            <w:pPr>
              <w:jc w:val="center"/>
              <w:rPr>
                <w:sz w:val="24"/>
              </w:rPr>
            </w:pPr>
            <w:r>
              <w:rPr>
                <w:sz w:val="24"/>
              </w:rPr>
              <w:t>价格</w:t>
            </w:r>
          </w:p>
          <w:p w14:paraId="7164D888">
            <w:pPr>
              <w:jc w:val="center"/>
              <w:rPr>
                <w:sz w:val="24"/>
              </w:rPr>
            </w:pPr>
            <w:r>
              <w:rPr>
                <w:sz w:val="24"/>
              </w:rPr>
              <w:t>（10分）</w:t>
            </w:r>
          </w:p>
        </w:tc>
        <w:tc>
          <w:tcPr>
            <w:tcW w:w="7703" w:type="dxa"/>
            <w:gridSpan w:val="2"/>
            <w:tcBorders>
              <w:top w:val="single" w:color="auto" w:sz="4" w:space="0"/>
              <w:left w:val="single" w:color="auto" w:sz="4" w:space="0"/>
              <w:bottom w:val="single" w:color="auto" w:sz="4" w:space="0"/>
              <w:right w:val="single" w:color="auto" w:sz="4" w:space="0"/>
            </w:tcBorders>
            <w:vAlign w:val="center"/>
          </w:tcPr>
          <w:p w14:paraId="721062ED">
            <w:pPr>
              <w:jc w:val="left"/>
              <w:rPr>
                <w:rFonts w:hint="eastAsia"/>
                <w:sz w:val="24"/>
              </w:rPr>
            </w:pPr>
            <w:r>
              <w:rPr>
                <w:rFonts w:hint="eastAsia"/>
                <w:sz w:val="24"/>
              </w:rPr>
              <w:t>满足磋商文件要求的最后报价最低的供应商的价格为磋商基准价，其价格分为满分。其他供应商的价格分统一按照下列公式计算：</w:t>
            </w:r>
          </w:p>
          <w:p w14:paraId="52B87D2E">
            <w:pPr>
              <w:jc w:val="left"/>
              <w:rPr>
                <w:rFonts w:hint="eastAsia"/>
                <w:sz w:val="24"/>
                <w:lang w:eastAsia="zh-CN"/>
              </w:rPr>
            </w:pPr>
            <w:r>
              <w:rPr>
                <w:rFonts w:hint="eastAsia"/>
                <w:sz w:val="24"/>
              </w:rPr>
              <w:t>磋商报价得分=（磋商基准价/最后报价）×分值</w:t>
            </w:r>
            <w:r>
              <w:rPr>
                <w:rFonts w:hint="eastAsia"/>
                <w:sz w:val="24"/>
                <w:lang w:eastAsia="zh-CN"/>
              </w:rPr>
              <w:t>。</w:t>
            </w:r>
          </w:p>
          <w:p w14:paraId="1B030BA5">
            <w:pPr>
              <w:jc w:val="left"/>
              <w:rPr>
                <w:rFonts w:hint="eastAsia" w:eastAsia="宋体"/>
                <w:sz w:val="24"/>
                <w:lang w:eastAsia="zh-CN"/>
              </w:rPr>
            </w:pPr>
            <w:r>
              <w:rPr>
                <w:rFonts w:hint="eastAsia"/>
                <w:sz w:val="24"/>
              </w:rPr>
              <w:t>此处最后报价指经过报价修正，及因落实政府采购政策进行价格调整后的报价，详见第三章《评审方法和评审标准》3.2、3.3</w:t>
            </w:r>
            <w:r>
              <w:rPr>
                <w:rFonts w:hint="eastAsia"/>
                <w:sz w:val="24"/>
                <w:lang w:eastAsia="zh-CN"/>
              </w:rPr>
              <w:t>。</w:t>
            </w:r>
          </w:p>
        </w:tc>
      </w:tr>
    </w:tbl>
    <w:p w14:paraId="07EE2583">
      <w:pPr>
        <w:spacing w:line="360" w:lineRule="auto"/>
        <w:jc w:val="center"/>
        <w:outlineLvl w:val="0"/>
        <w:rPr>
          <w:rFonts w:hint="default" w:ascii="Times New Roman" w:hAnsi="Times New Roman" w:eastAsia="宋体" w:cs="Times New Roman"/>
          <w:b/>
          <w:sz w:val="36"/>
          <w:szCs w:val="36"/>
        </w:rPr>
      </w:pPr>
      <w:r>
        <w:rPr>
          <w:rFonts w:hint="default" w:ascii="Times New Roman" w:hAnsi="Times New Roman" w:cs="Times New Roman"/>
          <w:b/>
          <w:kern w:val="0"/>
          <w:sz w:val="24"/>
        </w:rPr>
        <w:t>注：评分分值计算保留小数点后两位，小数点后第三位“四舍五入”。</w:t>
      </w:r>
      <w:r>
        <w:rPr>
          <w:rFonts w:hint="default" w:ascii="Times New Roman" w:hAnsi="Times New Roman" w:eastAsia="宋体" w:cs="Times New Roman"/>
          <w:b/>
          <w:sz w:val="36"/>
          <w:szCs w:val="36"/>
        </w:rPr>
        <w:br w:type="page"/>
      </w:r>
      <w:bookmarkStart w:id="669" w:name="_Toc25422"/>
      <w:r>
        <w:rPr>
          <w:rFonts w:hint="default" w:ascii="Times New Roman" w:hAnsi="Times New Roman" w:eastAsia="宋体" w:cs="Times New Roman"/>
          <w:b/>
          <w:sz w:val="36"/>
          <w:szCs w:val="36"/>
        </w:rPr>
        <w:t>第四章   采购需求</w:t>
      </w:r>
      <w:bookmarkEnd w:id="669"/>
    </w:p>
    <w:p w14:paraId="78653BDF">
      <w:pPr>
        <w:pStyle w:val="41"/>
        <w:numPr>
          <w:ilvl w:val="0"/>
          <w:numId w:val="0"/>
        </w:numPr>
        <w:snapToGrid w:val="0"/>
        <w:spacing w:after="240" w:line="360" w:lineRule="auto"/>
        <w:jc w:val="both"/>
        <w:rPr>
          <w:rFonts w:hint="eastAsia" w:ascii="宋体" w:hAnsi="宋体" w:eastAsia="宋体" w:cs="宋体"/>
          <w:sz w:val="24"/>
          <w:szCs w:val="24"/>
        </w:rPr>
      </w:pPr>
      <w:bookmarkStart w:id="670" w:name="_Toc543"/>
      <w:r>
        <w:rPr>
          <w:rFonts w:hint="eastAsia" w:ascii="宋体" w:hAnsi="宋体" w:eastAsia="宋体" w:cs="宋体"/>
          <w:sz w:val="24"/>
          <w:szCs w:val="24"/>
        </w:rPr>
        <w:t>1.1 项目概述</w:t>
      </w:r>
    </w:p>
    <w:p w14:paraId="197E10CD">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北京市司法局指挥中心及视频会议系统位于副中心办公区A2-6号楼，向上联通司法部指挥中心、横向联通市应急局、向下联通全市16区司法局指挥中心、市监狱（戒毒）局指挥中心、清河分局指挥中心、各基层监狱（戒毒所）指挥中心、市律师协会、市公共法律服务中心。</w:t>
      </w:r>
    </w:p>
    <w:p w14:paraId="02E25256">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根据上级要求和本单位值班职守工作需要，指挥中心24小时运行，主要用于市司法局指挥中心与司法部、市应急局、各区司法局、市监狱（戒毒）局及各基层监狱（所）指挥中心、市律师协会、市公共法律服务中心等分会场日常指挥调度、每日视频点名、视频会议、重大活动值班值守、基层监所监控巡查，社区矫正、人民调解、公共法律服务等业务工作的日常值守等工作。</w:t>
      </w:r>
    </w:p>
    <w:p w14:paraId="25E1DABA">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各级各类视频会议系统平均每周召开各类会议2-3场，每次会议需提前1天左右进行设备调试，重大节假日（元旦、春节、五一、十一等）、重大活动（全国两会、法律职业资格考试等）安保期间每日召开视频会商会，12月31日召开覆盖市监狱（戒毒）局、各区司法局、各监狱及戒毒所分会场零点报告行动等。</w:t>
      </w:r>
    </w:p>
    <w:p w14:paraId="148CB6E2">
      <w:pPr>
        <w:spacing w:line="360" w:lineRule="auto"/>
        <w:ind w:firstLine="480" w:firstLineChars="200"/>
        <w:rPr>
          <w:rFonts w:hint="eastAsia" w:ascii="宋体" w:hAnsi="宋体" w:cs="宋体"/>
          <w:sz w:val="24"/>
          <w:szCs w:val="24"/>
        </w:rPr>
      </w:pPr>
      <w:r>
        <w:rPr>
          <w:rFonts w:hint="eastAsia" w:ascii="宋体" w:hAnsi="宋体" w:cs="宋体"/>
          <w:kern w:val="0"/>
          <w:sz w:val="24"/>
          <w:szCs w:val="24"/>
        </w:rPr>
        <w:t>指挥中心系统主要包括：大屏显示系统、音响扩音系统、应急指挥系统、视频会议系统、司法部视频点名系统、司法部监所视频监控整合平台等组成。通过将指挥中心系统与视频会议系统深度融合，指挥中心既具备作为主会场召开全市司法行政系统视频会议和作为召开中政委、司法部视频会议分会场的功能；还可以利用视频会议系统召开全系统视频会商会、国家法律职业资格考试指挥部和开展“零点报告”行动等。同时，最大限度地利用现有视频会议系统，将系统覆盖范围扩展到各基层监狱（所）、各区司法局阳光中途之家及342家司法所，开展服刑人员远程视频会见、视频帮教工作。另外，根据工作需要，指挥中心已具备召开全系统“京办”、“腾讯”等视频会议能力。</w:t>
      </w:r>
    </w:p>
    <w:p w14:paraId="52A47B38">
      <w:pPr>
        <w:keepNext/>
        <w:keepLines/>
        <w:spacing w:before="260" w:after="260" w:line="360" w:lineRule="auto"/>
        <w:outlineLvl w:val="1"/>
        <w:rPr>
          <w:rFonts w:hint="eastAsia" w:ascii="宋体" w:hAnsi="宋体" w:cs="宋体"/>
          <w:b/>
          <w:bCs/>
          <w:sz w:val="24"/>
          <w:szCs w:val="24"/>
        </w:rPr>
      </w:pPr>
      <w:bookmarkStart w:id="671" w:name="_Toc40092533"/>
      <w:bookmarkStart w:id="672" w:name="_Toc66088583"/>
      <w:r>
        <w:rPr>
          <w:rFonts w:hint="eastAsia" w:ascii="宋体" w:hAnsi="宋体" w:cs="宋体"/>
          <w:b/>
          <w:bCs/>
          <w:sz w:val="24"/>
          <w:szCs w:val="24"/>
        </w:rPr>
        <w:t xml:space="preserve">1.2 </w:t>
      </w:r>
      <w:bookmarkEnd w:id="671"/>
      <w:r>
        <w:rPr>
          <w:rFonts w:hint="eastAsia" w:ascii="宋体" w:hAnsi="宋体" w:cs="宋体"/>
          <w:b/>
          <w:bCs/>
          <w:sz w:val="24"/>
          <w:szCs w:val="24"/>
        </w:rPr>
        <w:t>服务内容</w:t>
      </w:r>
      <w:bookmarkEnd w:id="672"/>
    </w:p>
    <w:p w14:paraId="1B73D3B4">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1.2.1 指挥中心系统</w:t>
      </w:r>
    </w:p>
    <w:p w14:paraId="1C21ED2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1.2.1.1 主要运维工作</w:t>
      </w:r>
    </w:p>
    <w:p w14:paraId="4DED5FB2">
      <w:pPr>
        <w:numPr>
          <w:ilvl w:val="0"/>
          <w:numId w:val="11"/>
        </w:numPr>
        <w:spacing w:line="360" w:lineRule="auto"/>
        <w:rPr>
          <w:rFonts w:hint="eastAsia" w:ascii="宋体" w:hAnsi="宋体" w:cs="宋体"/>
          <w:bCs/>
          <w:sz w:val="24"/>
          <w:szCs w:val="24"/>
        </w:rPr>
      </w:pPr>
      <w:r>
        <w:rPr>
          <w:rFonts w:hint="eastAsia" w:ascii="宋体" w:hAnsi="宋体" w:cs="宋体"/>
          <w:bCs/>
          <w:sz w:val="24"/>
          <w:szCs w:val="24"/>
        </w:rPr>
        <w:t>指挥中心系统巡检。定期对指挥中心司法部视频点名系统、监所视频监控系统等软、硬件设备运行情况进行巡检，对设备运行状态、各系统功能以及可用性等进行检查。全年对点名系统进行13次巡检维护服务</w:t>
      </w:r>
      <w:r>
        <w:rPr>
          <w:rFonts w:hint="eastAsia" w:ascii="宋体" w:hAnsi="宋体" w:cs="宋体"/>
          <w:bCs/>
          <w:sz w:val="24"/>
          <w:szCs w:val="24"/>
          <w:lang w:eastAsia="zh-CN"/>
        </w:rPr>
        <w:t>。</w:t>
      </w:r>
    </w:p>
    <w:p w14:paraId="7EE0A64A">
      <w:pPr>
        <w:numPr>
          <w:ilvl w:val="0"/>
          <w:numId w:val="11"/>
        </w:numPr>
        <w:spacing w:line="360" w:lineRule="auto"/>
        <w:rPr>
          <w:rFonts w:hint="eastAsia" w:ascii="宋体" w:hAnsi="宋体" w:cs="宋体"/>
          <w:bCs/>
          <w:sz w:val="24"/>
          <w:szCs w:val="24"/>
        </w:rPr>
      </w:pPr>
      <w:r>
        <w:rPr>
          <w:rFonts w:hint="eastAsia" w:ascii="宋体" w:hAnsi="宋体" w:cs="宋体"/>
          <w:bCs/>
          <w:sz w:val="24"/>
          <w:szCs w:val="24"/>
        </w:rPr>
        <w:t>指挥中心系统故障处置服务。主要对相关设备故障、链路故障、显示故障、音频故障等进行故障处置。</w:t>
      </w:r>
    </w:p>
    <w:p w14:paraId="1087E4C8">
      <w:pPr>
        <w:numPr>
          <w:ilvl w:val="0"/>
          <w:numId w:val="11"/>
        </w:numPr>
        <w:spacing w:line="360" w:lineRule="auto"/>
        <w:rPr>
          <w:rFonts w:hint="eastAsia" w:ascii="宋体" w:hAnsi="宋体" w:cs="宋体"/>
          <w:bCs/>
          <w:sz w:val="24"/>
          <w:szCs w:val="24"/>
        </w:rPr>
      </w:pPr>
      <w:r>
        <w:rPr>
          <w:rFonts w:hint="eastAsia" w:ascii="宋体" w:hAnsi="宋体" w:cs="宋体"/>
          <w:bCs/>
          <w:sz w:val="24"/>
          <w:szCs w:val="24"/>
        </w:rPr>
        <w:t>指挥中心系统数据整理。定期对指挥中心系统数据进行整理，备份。</w:t>
      </w:r>
    </w:p>
    <w:p w14:paraId="5C965DCD">
      <w:pPr>
        <w:numPr>
          <w:ilvl w:val="0"/>
          <w:numId w:val="11"/>
        </w:numPr>
        <w:spacing w:line="360" w:lineRule="auto"/>
        <w:rPr>
          <w:rFonts w:hint="eastAsia" w:ascii="宋体" w:hAnsi="宋体" w:cs="宋体"/>
          <w:bCs/>
          <w:sz w:val="24"/>
          <w:szCs w:val="24"/>
        </w:rPr>
      </w:pPr>
      <w:r>
        <w:rPr>
          <w:rFonts w:hint="eastAsia" w:ascii="宋体" w:hAnsi="宋体" w:cs="宋体"/>
          <w:bCs/>
          <w:sz w:val="24"/>
          <w:szCs w:val="24"/>
        </w:rPr>
        <w:t>指挥中心系统设备加固。定期对系统设备进行安全加固，保障设备可用性、稳定性。</w:t>
      </w:r>
    </w:p>
    <w:p w14:paraId="5779C0BD">
      <w:pPr>
        <w:numPr>
          <w:ilvl w:val="0"/>
          <w:numId w:val="11"/>
        </w:numPr>
        <w:spacing w:line="360" w:lineRule="auto"/>
        <w:rPr>
          <w:rFonts w:hint="eastAsia" w:ascii="宋体" w:hAnsi="宋体" w:cs="宋体"/>
          <w:bCs/>
          <w:sz w:val="24"/>
          <w:szCs w:val="24"/>
        </w:rPr>
      </w:pPr>
      <w:r>
        <w:rPr>
          <w:rFonts w:hint="eastAsia" w:ascii="宋体" w:hAnsi="宋体" w:cs="宋体"/>
          <w:bCs/>
          <w:sz w:val="24"/>
          <w:szCs w:val="24"/>
        </w:rPr>
        <w:t>指挥中心设备间内VRV空调、气体消防设备日常可用性巡检。</w:t>
      </w:r>
    </w:p>
    <w:p w14:paraId="19682E6E">
      <w:pPr>
        <w:numPr>
          <w:ilvl w:val="0"/>
          <w:numId w:val="11"/>
        </w:numPr>
        <w:spacing w:line="360" w:lineRule="auto"/>
        <w:rPr>
          <w:rFonts w:hint="eastAsia" w:ascii="宋体" w:hAnsi="宋体" w:cs="宋体"/>
          <w:bCs/>
          <w:sz w:val="24"/>
          <w:szCs w:val="24"/>
        </w:rPr>
      </w:pPr>
      <w:r>
        <w:rPr>
          <w:rFonts w:hint="eastAsia" w:ascii="宋体" w:hAnsi="宋体" w:cs="宋体"/>
          <w:bCs/>
          <w:sz w:val="24"/>
          <w:szCs w:val="24"/>
        </w:rPr>
        <w:t>指挥中心重大安保期间技术保障工作。在重大节假日、活动及其他特殊时期期间根据市司法局要求进行指挥中心技术保障工作。</w:t>
      </w:r>
    </w:p>
    <w:p w14:paraId="614B4CBB">
      <w:pPr>
        <w:numPr>
          <w:ilvl w:val="0"/>
          <w:numId w:val="11"/>
        </w:numPr>
        <w:spacing w:line="360" w:lineRule="auto"/>
        <w:rPr>
          <w:rFonts w:hint="eastAsia" w:ascii="宋体" w:hAnsi="宋体" w:cs="宋体"/>
          <w:bCs/>
          <w:sz w:val="24"/>
          <w:szCs w:val="24"/>
        </w:rPr>
      </w:pPr>
      <w:r>
        <w:rPr>
          <w:rFonts w:hint="eastAsia" w:ascii="宋体" w:hAnsi="宋体" w:cs="宋体"/>
          <w:bCs/>
          <w:sz w:val="24"/>
          <w:szCs w:val="24"/>
        </w:rPr>
        <w:t>技术文档管理服务。根据指挥中心系统运维需要，及时总结技术维护文档，并对技术文档进行动态更新、管理。</w:t>
      </w:r>
    </w:p>
    <w:p w14:paraId="134AACB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1.2.1.2 指挥中心系统维护方式</w:t>
      </w:r>
    </w:p>
    <w:p w14:paraId="322F9D2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指挥中心系统维护方式包括驻场现场支持、二线支持。当出现驻场工程师不能解决的技术问题或出现紧急情况时，需要由中标公司联系原厂工程师赴故障现场解决故障问题。</w:t>
      </w:r>
    </w:p>
    <w:p w14:paraId="143CE754">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1.2.2 视频会议系统</w:t>
      </w:r>
    </w:p>
    <w:p w14:paraId="3ADCB82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1.2.2.1主要运维工作</w:t>
      </w:r>
    </w:p>
    <w:p w14:paraId="25F4D3D1">
      <w:pPr>
        <w:numPr>
          <w:ilvl w:val="0"/>
          <w:numId w:val="12"/>
        </w:numPr>
        <w:spacing w:line="360" w:lineRule="auto"/>
        <w:rPr>
          <w:rFonts w:hint="eastAsia" w:ascii="宋体" w:hAnsi="宋体" w:cs="宋体"/>
          <w:bCs/>
          <w:sz w:val="24"/>
          <w:szCs w:val="24"/>
        </w:rPr>
      </w:pPr>
      <w:r>
        <w:rPr>
          <w:rFonts w:hint="eastAsia" w:ascii="宋体" w:hAnsi="宋体" w:cs="宋体"/>
          <w:bCs/>
          <w:sz w:val="24"/>
          <w:szCs w:val="24"/>
        </w:rPr>
        <w:t>视频会议系统巡检。定期对视频会议系统的视频输入输出、音频输入输出、集中控制、网络连通等部分进行巡检，对设备运行状态、视频会议系统各部分功能以及可用性等进行检查。</w:t>
      </w:r>
    </w:p>
    <w:p w14:paraId="25F2CD84">
      <w:pPr>
        <w:numPr>
          <w:ilvl w:val="0"/>
          <w:numId w:val="12"/>
        </w:numPr>
        <w:spacing w:line="360" w:lineRule="auto"/>
        <w:rPr>
          <w:rFonts w:hint="eastAsia" w:ascii="宋体" w:hAnsi="宋体" w:cs="宋体"/>
          <w:bCs/>
          <w:sz w:val="24"/>
          <w:szCs w:val="24"/>
        </w:rPr>
      </w:pPr>
      <w:r>
        <w:rPr>
          <w:rFonts w:hint="eastAsia" w:ascii="宋体" w:hAnsi="宋体" w:cs="宋体"/>
          <w:bCs/>
          <w:sz w:val="24"/>
          <w:szCs w:val="24"/>
        </w:rPr>
        <w:t>视频会议系统联调。定期与司法部、市应急局、市监狱（戒毒）管理局、16区司法局等分会场进行视频会议系统联调测试，检查视频会议系统可用性。</w:t>
      </w:r>
    </w:p>
    <w:p w14:paraId="2273C594">
      <w:pPr>
        <w:numPr>
          <w:ilvl w:val="0"/>
          <w:numId w:val="12"/>
        </w:numPr>
        <w:spacing w:line="360" w:lineRule="auto"/>
        <w:rPr>
          <w:rFonts w:hint="eastAsia" w:ascii="宋体" w:hAnsi="宋体" w:cs="宋体"/>
          <w:bCs/>
          <w:sz w:val="24"/>
          <w:szCs w:val="24"/>
        </w:rPr>
      </w:pPr>
      <w:r>
        <w:rPr>
          <w:rFonts w:hint="eastAsia" w:ascii="宋体" w:hAnsi="宋体" w:cs="宋体"/>
          <w:bCs/>
          <w:sz w:val="24"/>
          <w:szCs w:val="24"/>
        </w:rPr>
        <w:t>视频会议系统故障处置服务。主要对视频会议相关设备故障、链路故障、显示故障、声音故障等进行故障处置。</w:t>
      </w:r>
    </w:p>
    <w:p w14:paraId="305D9C7B">
      <w:pPr>
        <w:numPr>
          <w:ilvl w:val="0"/>
          <w:numId w:val="12"/>
        </w:numPr>
        <w:spacing w:line="360" w:lineRule="auto"/>
        <w:rPr>
          <w:rFonts w:hint="eastAsia" w:ascii="宋体" w:hAnsi="宋体" w:cs="宋体"/>
          <w:bCs/>
          <w:sz w:val="24"/>
          <w:szCs w:val="24"/>
        </w:rPr>
      </w:pPr>
      <w:r>
        <w:rPr>
          <w:rFonts w:hint="eastAsia" w:ascii="宋体" w:hAnsi="宋体" w:cs="宋体"/>
          <w:bCs/>
          <w:sz w:val="24"/>
          <w:szCs w:val="24"/>
        </w:rPr>
        <w:t>视频会议系统数据整理。定期对视频会议系统录像数据进行整理、归档。</w:t>
      </w:r>
    </w:p>
    <w:p w14:paraId="4C96DD63">
      <w:pPr>
        <w:numPr>
          <w:ilvl w:val="0"/>
          <w:numId w:val="12"/>
        </w:numPr>
        <w:spacing w:line="360" w:lineRule="auto"/>
        <w:rPr>
          <w:rFonts w:hint="eastAsia" w:ascii="宋体" w:hAnsi="宋体" w:cs="宋体"/>
          <w:bCs/>
          <w:sz w:val="24"/>
          <w:szCs w:val="24"/>
        </w:rPr>
      </w:pPr>
      <w:r>
        <w:rPr>
          <w:rFonts w:hint="eastAsia" w:ascii="宋体" w:hAnsi="宋体" w:cs="宋体"/>
          <w:bCs/>
          <w:sz w:val="24"/>
          <w:szCs w:val="24"/>
        </w:rPr>
        <w:t>视频会议保障服务。对各会议室召开的视频会议进行保障，保证视频会议正常召开，保障会议期间音视频信号的切换等。</w:t>
      </w:r>
    </w:p>
    <w:p w14:paraId="66603FBA">
      <w:pPr>
        <w:numPr>
          <w:ilvl w:val="0"/>
          <w:numId w:val="12"/>
        </w:numPr>
        <w:spacing w:line="360" w:lineRule="auto"/>
        <w:rPr>
          <w:rFonts w:hint="eastAsia" w:ascii="宋体" w:hAnsi="宋体" w:cs="宋体"/>
          <w:bCs/>
          <w:sz w:val="24"/>
          <w:szCs w:val="24"/>
        </w:rPr>
      </w:pPr>
      <w:r>
        <w:rPr>
          <w:rFonts w:hint="eastAsia" w:ascii="宋体" w:hAnsi="宋体" w:cs="宋体"/>
          <w:bCs/>
          <w:sz w:val="24"/>
          <w:szCs w:val="24"/>
        </w:rPr>
        <w:t>视频会议系统重大安保期间技术保障工作。在重大节假日、活动及其他特殊时期期间根据市司法局要求进行视频会议系统技术保障工作，保障特殊时期视频会议正常召开。</w:t>
      </w:r>
    </w:p>
    <w:p w14:paraId="6C800F95">
      <w:pPr>
        <w:numPr>
          <w:ilvl w:val="0"/>
          <w:numId w:val="12"/>
        </w:numPr>
        <w:spacing w:line="360" w:lineRule="auto"/>
        <w:rPr>
          <w:rFonts w:hint="eastAsia" w:ascii="宋体" w:hAnsi="宋体" w:cs="宋体"/>
          <w:bCs/>
          <w:sz w:val="24"/>
          <w:szCs w:val="24"/>
        </w:rPr>
      </w:pPr>
      <w:r>
        <w:rPr>
          <w:rFonts w:hint="eastAsia" w:ascii="宋体" w:hAnsi="宋体" w:cs="宋体"/>
          <w:bCs/>
          <w:sz w:val="24"/>
          <w:szCs w:val="24"/>
        </w:rPr>
        <w:t>技术文档管理服务。根据视频会议系统运维需要，及时总结技术维护文档，并对技术文档进行动态更新、管理。</w:t>
      </w:r>
    </w:p>
    <w:p w14:paraId="6D5508C0">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1.2.2.2 视频会议系统维护方式</w:t>
      </w:r>
    </w:p>
    <w:p w14:paraId="12D126B7">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视频会议系统维护方式包括驻场现场支持、二线技术支持。当出现驻场工程师不能解决的技术问题或出现紧急情况时，需联系原厂工程师赴故障现场解决故障问题。</w:t>
      </w:r>
    </w:p>
    <w:p w14:paraId="4C5A32FE">
      <w:pPr>
        <w:keepNext/>
        <w:keepLines/>
        <w:spacing w:before="260" w:after="260" w:line="360" w:lineRule="auto"/>
        <w:outlineLvl w:val="1"/>
        <w:rPr>
          <w:rFonts w:hint="eastAsia" w:ascii="宋体" w:hAnsi="宋体" w:cs="宋体"/>
          <w:b/>
          <w:bCs/>
          <w:sz w:val="24"/>
          <w:szCs w:val="24"/>
        </w:rPr>
      </w:pPr>
      <w:bookmarkStart w:id="673" w:name="_Toc66088584"/>
      <w:r>
        <w:rPr>
          <w:rFonts w:hint="eastAsia" w:ascii="宋体" w:hAnsi="宋体" w:cs="宋体"/>
          <w:b/>
          <w:bCs/>
          <w:sz w:val="24"/>
          <w:szCs w:val="24"/>
        </w:rPr>
        <w:t>1.3 运维服务总体要求</w:t>
      </w:r>
      <w:bookmarkEnd w:id="673"/>
    </w:p>
    <w:p w14:paraId="7994F692">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1.3.1 服务要求</w:t>
      </w:r>
    </w:p>
    <w:p w14:paraId="232972E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1.3.1.1 及时性</w:t>
      </w:r>
    </w:p>
    <w:p w14:paraId="21A0927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中标单位应采取适当的措施确保提供的服务能够满足相关时间指标要求，包括备品备件及时到场、服务需求响应及时、信息资料及时更新、故障问题及时处理、相关报告及时汇总与提交以及在紧急情况下增加服务人员等。尤其是对我局关键用途的基础设施设备，中标单位应制定切实可靠的应急保障措施，及时有效地解决突发问题，保障系统的稳定运行。</w:t>
      </w:r>
    </w:p>
    <w:p w14:paraId="784841D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1.3.1.2 规范性</w:t>
      </w:r>
    </w:p>
    <w:p w14:paraId="276B6B0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中标单位应遵守统一的服务管理流程，并严格执行操作规范，保证服务过程的规范运作。包括提供备品备件的相关证明；制定完善的备件更换维修制度与服务流程；规范资料文档的模板格式、相关报告的展现形式以及服务人员的行为举止等。中标单位应熟悉并掌握我局或相关政府机关信息化工作管理要求，严格规范日常运维行为。</w:t>
      </w:r>
    </w:p>
    <w:p w14:paraId="28DE82E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1.3.1.3 安全性</w:t>
      </w:r>
    </w:p>
    <w:p w14:paraId="245E2BF1">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中标单位应采取各种安全手段或措施，有效管理与控制基础设施维护服务的各个环节，确保维护行为本身和设备运行的安全性，包括保证备品备件的可靠性、保证服务流程的周密安全、基础设施部署环境安全可靠、运维服务公司及驻场服务人员遵守运维制度等，确保基础设施环境运维工作的安全可靠性。</w:t>
      </w:r>
    </w:p>
    <w:p w14:paraId="6CE78C0F">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1.3.1.4 可用性</w:t>
      </w:r>
    </w:p>
    <w:p w14:paraId="4849B18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中标单位应采取适当措施，按照各项规章制度，保证基础设备可用性。具体包括确保基线资料的实时可用、设备满足可用性指标、备品备件的可用性等。在此基础上，根据基础设施使用的实际情况，对设备的分布使用提出合理的、可行的调整优化方案，实现基础设施环境的不断优化完善。</w:t>
      </w:r>
    </w:p>
    <w:p w14:paraId="12468CA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1.3.1.5保密性</w:t>
      </w:r>
    </w:p>
    <w:p w14:paraId="790DE74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执行国家《保密法》及有关保密的法律法规，服务过程中凡是涉及到的任何用户信息均属保密信息。未经披露方书面许可不得记录、录制任何信息，不得泄露给第三方单位或个人，不得利用这些信息损害用户利益。</w:t>
      </w:r>
    </w:p>
    <w:p w14:paraId="0BEDEF16">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1.3.2 人员要求</w:t>
      </w:r>
    </w:p>
    <w:p w14:paraId="3065BB4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提供维护服务的人员，均需具备以下基本条件：</w:t>
      </w:r>
    </w:p>
    <w:p w14:paraId="3F7E9D66">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1.3.2.1基本素质</w:t>
      </w:r>
    </w:p>
    <w:p w14:paraId="223D6D5F">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政治素质过硬、运维人员具备高度的信息安全与保密意识。品行端正、运维人员不得有任何不良记录。录用之前需要进行个人信用、遵纪守法及其他情况调查，确保人员道德素质合格。</w:t>
      </w:r>
    </w:p>
    <w:p w14:paraId="252CCC6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运维人员具备良好的沟通、理解能力，较好的书面和口头表达能力，能够和各方人员进行有效沟通。</w:t>
      </w:r>
    </w:p>
    <w:p w14:paraId="4FD6856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1.3.2.2 工作态度</w:t>
      </w:r>
    </w:p>
    <w:p w14:paraId="43CECA1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要求运维服务人员工作认真负责，责任心强，积极主动。在出现应急状况时具有较强的应变能力，能够根据实际情况，及时处置并解决故障问题。</w:t>
      </w:r>
    </w:p>
    <w:p w14:paraId="10BF036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运维人员应具备团队合作精神和吃苦耐劳的奉献精神。能够和其他运维厂商和团队内部其他成员通力合作，相互理解，责任心强，共同保障信息系统的安全、稳定运行。</w:t>
      </w:r>
    </w:p>
    <w:p w14:paraId="20C5A544">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1.3.2.3 专业能力</w:t>
      </w:r>
    </w:p>
    <w:p w14:paraId="2069893A">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根据工作岗位不同，中标单位应安排具备相关专业知识和技能的服务人员，按照招标人的实际工作需要，提供驻场或其他形式的运维服务，并提供相应技术资格证书或工作经验证明。</w:t>
      </w:r>
    </w:p>
    <w:p w14:paraId="7274F930">
      <w:pPr>
        <w:keepNext/>
        <w:keepLines/>
        <w:spacing w:line="360" w:lineRule="auto"/>
        <w:outlineLvl w:val="2"/>
        <w:rPr>
          <w:rFonts w:hint="eastAsia" w:ascii="宋体" w:hAnsi="宋体" w:cs="宋体"/>
          <w:b/>
          <w:bCs/>
          <w:sz w:val="24"/>
          <w:szCs w:val="24"/>
        </w:rPr>
      </w:pPr>
      <w:bookmarkStart w:id="674" w:name="_Toc333317726"/>
      <w:bookmarkStart w:id="675" w:name="_Toc434873609"/>
      <w:r>
        <w:rPr>
          <w:rFonts w:hint="eastAsia" w:ascii="宋体" w:hAnsi="宋体" w:cs="宋体"/>
          <w:b/>
          <w:bCs/>
          <w:sz w:val="24"/>
          <w:szCs w:val="24"/>
        </w:rPr>
        <w:t>1.3.3文档要求</w:t>
      </w:r>
      <w:bookmarkEnd w:id="674"/>
      <w:bookmarkEnd w:id="675"/>
      <w:r>
        <w:rPr>
          <w:rFonts w:hint="eastAsia" w:ascii="宋体" w:hAnsi="宋体" w:cs="宋体"/>
          <w:b/>
          <w:bCs/>
          <w:sz w:val="24"/>
          <w:szCs w:val="24"/>
        </w:rPr>
        <w:t>（以下文档资料需严格保密，严禁泄漏）</w:t>
      </w:r>
    </w:p>
    <w:p w14:paraId="3BBD794D">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1.3.3.1 合理指定工作计划</w:t>
      </w:r>
    </w:p>
    <w:p w14:paraId="5D3B184E">
      <w:pPr>
        <w:snapToGrid w:val="0"/>
        <w:spacing w:line="360" w:lineRule="auto"/>
        <w:ind w:firstLine="482"/>
        <w:rPr>
          <w:rFonts w:ascii="宋体" w:hAnsi="宋体" w:cs="Cambria Math"/>
          <w:kern w:val="24"/>
          <w:sz w:val="24"/>
          <w:szCs w:val="24"/>
        </w:rPr>
      </w:pPr>
      <w:r>
        <w:rPr>
          <w:rFonts w:hint="eastAsia" w:ascii="宋体" w:hAnsi="宋体" w:cs="宋体"/>
          <w:bCs/>
          <w:sz w:val="24"/>
          <w:szCs w:val="24"/>
        </w:rPr>
        <w:t>细化服务内容，制定详细的维护指标、工作流程、工作标准、实施细则、工作制度、工作计划，报招</w:t>
      </w:r>
      <w:r>
        <w:rPr>
          <w:rFonts w:hint="eastAsia" w:ascii="宋体" w:hAnsi="宋体" w:cs="Cambria Math"/>
          <w:kern w:val="24"/>
          <w:sz w:val="24"/>
          <w:szCs w:val="24"/>
        </w:rPr>
        <w:t>标方认可后执行。</w:t>
      </w:r>
    </w:p>
    <w:p w14:paraId="474CD6F8">
      <w:pPr>
        <w:snapToGrid w:val="0"/>
        <w:spacing w:line="360" w:lineRule="auto"/>
        <w:ind w:firstLine="482"/>
        <w:jc w:val="left"/>
        <w:outlineLvl w:val="4"/>
        <w:rPr>
          <w:rFonts w:ascii="宋体" w:hAnsi="宋体" w:cs="Cambria Math"/>
          <w:kern w:val="24"/>
          <w:sz w:val="24"/>
          <w:szCs w:val="24"/>
        </w:rPr>
      </w:pPr>
      <w:r>
        <w:rPr>
          <w:rFonts w:hint="eastAsia" w:ascii="宋体" w:hAnsi="宋体" w:cs="Cambria Math"/>
          <w:kern w:val="24"/>
          <w:sz w:val="24"/>
          <w:szCs w:val="24"/>
        </w:rPr>
        <w:t>1.3.3.2 定期提交报告</w:t>
      </w:r>
    </w:p>
    <w:p w14:paraId="760BB668">
      <w:pPr>
        <w:snapToGrid w:val="0"/>
        <w:spacing w:line="360" w:lineRule="auto"/>
        <w:ind w:firstLine="480" w:firstLineChars="200"/>
        <w:rPr>
          <w:rFonts w:ascii="宋体" w:hAnsi="宋体" w:cs="Cambria Math"/>
          <w:kern w:val="24"/>
          <w:sz w:val="24"/>
          <w:szCs w:val="24"/>
        </w:rPr>
      </w:pPr>
      <w:r>
        <w:rPr>
          <w:rFonts w:hint="eastAsia" w:ascii="宋体" w:hAnsi="宋体" w:cs="Cambria Math"/>
          <w:kern w:val="24"/>
          <w:sz w:val="24"/>
          <w:szCs w:val="24"/>
        </w:rPr>
        <w:t>每月提交指挥中心及视频会议系统运行情况月度报告，半年提交工作总结报告，以及设备故障排查报告等，并提出合理化建议。</w:t>
      </w:r>
    </w:p>
    <w:p w14:paraId="05DFAFB8">
      <w:pPr>
        <w:snapToGrid w:val="0"/>
        <w:spacing w:line="360" w:lineRule="auto"/>
        <w:ind w:firstLine="482"/>
        <w:jc w:val="left"/>
        <w:outlineLvl w:val="4"/>
        <w:rPr>
          <w:rFonts w:ascii="宋体" w:hAnsi="宋体" w:cs="Cambria Math"/>
          <w:kern w:val="24"/>
          <w:sz w:val="24"/>
          <w:szCs w:val="24"/>
        </w:rPr>
      </w:pPr>
      <w:r>
        <w:rPr>
          <w:rFonts w:hint="eastAsia" w:ascii="宋体" w:hAnsi="宋体" w:cs="Cambria Math"/>
          <w:kern w:val="24"/>
          <w:sz w:val="24"/>
          <w:szCs w:val="24"/>
        </w:rPr>
        <w:t>1.3.3.3 技术文档整理</w:t>
      </w:r>
    </w:p>
    <w:p w14:paraId="677B5CE7">
      <w:pPr>
        <w:snapToGrid w:val="0"/>
        <w:spacing w:line="360" w:lineRule="auto"/>
        <w:ind w:firstLine="482"/>
        <w:rPr>
          <w:rFonts w:ascii="宋体" w:hAnsi="宋体" w:cs="Cambria Math"/>
          <w:kern w:val="24"/>
          <w:sz w:val="24"/>
          <w:szCs w:val="24"/>
        </w:rPr>
      </w:pPr>
      <w:r>
        <w:rPr>
          <w:rFonts w:hint="eastAsia" w:ascii="宋体" w:hAnsi="宋体" w:cs="Cambria Math"/>
          <w:kern w:val="24"/>
          <w:sz w:val="24"/>
          <w:szCs w:val="24"/>
        </w:rPr>
        <w:t>指挥中心及视频会议各系统要按照系统概述、系统拓扑图、设备清单及安装位置、设备连线图、设备配置参数表、日常巡查流程图（标明关键节点及参数）、故障应急响应机制流程图、故障排查流程图、系统操作手册等内容整理成册。当系统或设备发生变化时，要及时更新相关内容。</w:t>
      </w:r>
    </w:p>
    <w:p w14:paraId="385BF8F3">
      <w:pPr>
        <w:snapToGrid w:val="0"/>
        <w:spacing w:line="360" w:lineRule="auto"/>
        <w:ind w:firstLine="482"/>
        <w:rPr>
          <w:rFonts w:hint="eastAsia" w:ascii="Calibri" w:hAnsi="Calibri"/>
        </w:rPr>
      </w:pPr>
      <w:r>
        <w:rPr>
          <w:rFonts w:hint="eastAsia" w:ascii="宋体" w:hAnsi="宋体" w:cs="Cambria Math"/>
          <w:kern w:val="24"/>
          <w:sz w:val="24"/>
          <w:szCs w:val="24"/>
        </w:rPr>
        <w:t>1.3.3.4 文档需按照项目监理方提出的要求执行。</w:t>
      </w:r>
    </w:p>
    <w:p w14:paraId="079CE05F">
      <w:pPr>
        <w:keepNext/>
        <w:keepLines/>
        <w:spacing w:before="260" w:after="260" w:line="360" w:lineRule="auto"/>
        <w:outlineLvl w:val="1"/>
        <w:rPr>
          <w:rFonts w:hint="eastAsia" w:ascii="宋体" w:hAnsi="宋体" w:cs="宋体"/>
          <w:b/>
          <w:bCs/>
          <w:sz w:val="24"/>
          <w:szCs w:val="24"/>
        </w:rPr>
      </w:pPr>
      <w:bookmarkStart w:id="676" w:name="_Toc66088585"/>
      <w:r>
        <w:rPr>
          <w:rFonts w:hint="eastAsia" w:ascii="宋体" w:hAnsi="宋体" w:cs="宋体"/>
          <w:b/>
          <w:bCs/>
          <w:sz w:val="24"/>
          <w:szCs w:val="24"/>
        </w:rPr>
        <w:t>1.4 运维服务方式</w:t>
      </w:r>
      <w:bookmarkEnd w:id="676"/>
    </w:p>
    <w:p w14:paraId="5D69A3DE">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1.4.1 驻场服务</w:t>
      </w:r>
    </w:p>
    <w:p w14:paraId="7B67C47B">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市司法局指挥中心及视频会议系统每日视频点名、日常指挥调度、监所视频监控系统、视频会议系统调试、保障等运维服务工作，需驻场技术服务人员2名，平时按轮班制早晚班方式（早7:00至15：00，15:00至23:00）；重大活动、安保期间根据市司法局需要按7</w:t>
      </w:r>
      <w:r>
        <w:rPr>
          <w:rFonts w:hint="eastAsia" w:ascii="宋体" w:hAnsi="宋体" w:cs="宋体"/>
          <w:bCs/>
          <w:sz w:val="24"/>
          <w:szCs w:val="24"/>
          <w:lang w:val="en"/>
        </w:rPr>
        <w:t>x</w:t>
      </w:r>
      <w:r>
        <w:rPr>
          <w:rFonts w:hint="eastAsia" w:ascii="宋体" w:hAnsi="宋体" w:cs="宋体"/>
          <w:bCs/>
          <w:sz w:val="24"/>
          <w:szCs w:val="24"/>
        </w:rPr>
        <w:t>24提供驻场值守服务。</w:t>
      </w:r>
    </w:p>
    <w:p w14:paraId="768983EF">
      <w:pPr>
        <w:spacing w:line="360" w:lineRule="auto"/>
        <w:ind w:firstLine="480" w:firstLineChars="200"/>
        <w:rPr>
          <w:rFonts w:hint="eastAsia" w:ascii="宋体" w:hAnsi="宋体" w:cs="宋体"/>
          <w:sz w:val="24"/>
          <w:szCs w:val="24"/>
        </w:rPr>
      </w:pPr>
      <w:r>
        <w:rPr>
          <w:rFonts w:hint="eastAsia" w:ascii="宋体" w:hAnsi="宋体" w:cs="宋体"/>
          <w:sz w:val="24"/>
          <w:szCs w:val="24"/>
        </w:rPr>
        <w:t>运维驻场人员需设A/B岗位，两岗位人员互补。运维项目经理定期到运维现场了解、参加运维监理会，掌握运维驻场人员实际工作情况，协调解决运维过程中出现的问题。同时，运维驻场人员需完成市司法局除本合同运维工作之外的临时安排的工作内容。</w:t>
      </w:r>
    </w:p>
    <w:p w14:paraId="0EEA3C67">
      <w:pPr>
        <w:spacing w:line="360" w:lineRule="auto"/>
        <w:ind w:firstLine="480" w:firstLineChars="200"/>
        <w:rPr>
          <w:rFonts w:hint="eastAsia" w:ascii="Calibri" w:hAnsi="Calibri"/>
        </w:rPr>
      </w:pPr>
      <w:r>
        <w:rPr>
          <w:rFonts w:hint="eastAsia" w:ascii="宋体" w:hAnsi="宋体"/>
          <w:sz w:val="24"/>
          <w:szCs w:val="24"/>
        </w:rPr>
        <w:t>供应商应关心关爱驻场运维人员，协助解决运维人员日常工作生活中的实际问题。</w:t>
      </w:r>
    </w:p>
    <w:p w14:paraId="4AE984DE">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1.4.2 巡检服务</w:t>
      </w:r>
    </w:p>
    <w:p w14:paraId="76BC6F43">
      <w:pPr>
        <w:spacing w:line="360" w:lineRule="auto"/>
        <w:ind w:firstLine="480" w:firstLineChars="200"/>
        <w:rPr>
          <w:rFonts w:hint="eastAsia" w:ascii="宋体" w:hAnsi="宋体" w:cs="宋体"/>
          <w:bCs/>
          <w:sz w:val="24"/>
          <w:szCs w:val="24"/>
        </w:rPr>
      </w:pPr>
      <w:r>
        <w:rPr>
          <w:rFonts w:hint="eastAsia" w:ascii="宋体" w:hAnsi="宋体" w:cs="宋体"/>
          <w:sz w:val="24"/>
          <w:szCs w:val="24"/>
        </w:rPr>
        <w:t>现在会议系统中主要设备均已超龄服役8年以上，随着系统老化的加剧，设备故障率、返修率不断提升，系统维护难度日益加大，极大地影响了系统的可靠性、稳定性，视频会议保障的风险大幅提升。因此，中标单位须保证建立一支固定的巡检和</w:t>
      </w:r>
      <w:r>
        <w:rPr>
          <w:rFonts w:hint="eastAsia" w:ascii="宋体" w:hAnsi="宋体" w:cs="宋体"/>
          <w:bCs/>
          <w:sz w:val="24"/>
          <w:szCs w:val="24"/>
        </w:rPr>
        <w:t>运维人员队伍为市司法局提供巡检维护服务，巡检运维队伍人员须全面了解视频会议系统环境设备、硬件设备系统的配置和使用情况，并具备会议系统运维所需的技术资质和经验。</w:t>
      </w:r>
    </w:p>
    <w:p w14:paraId="2153FC00">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1.4.3 主会场系统检查维护与设备维护</w:t>
      </w:r>
    </w:p>
    <w:p w14:paraId="77E9C5B3">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由于设备常年满载高负荷工作，已经出现了设备老化、运行不稳定等情况，影响了会议等过程的正常使用。如视频会议信号常有闪屏、黑屏、色彩失真等情况。这就要求中标单位须每周对指挥中心、各视频会议室的视频点名系统、监所视频监控系统及视频会议系统（主会场MCU、电视墙服务器、液晶拼接墙、视频会议终端、高清矩阵等）开展检查维护与维护工作，进行检查、维护，并做好检查记录，并对检查结果进行分析，对发现的故障隐患及时维修、调试，将报告提交市司法局相关负责人。每年巡检12次，并提供巡检报告、年度总结报告</w:t>
      </w:r>
      <w:r>
        <w:rPr>
          <w:rFonts w:hint="eastAsia" w:ascii="宋体" w:hAnsi="宋体" w:cs="宋体"/>
          <w:bCs/>
          <w:sz w:val="24"/>
          <w:szCs w:val="24"/>
          <w:lang w:eastAsia="zh-CN"/>
        </w:rPr>
        <w:t>，</w:t>
      </w:r>
      <w:r>
        <w:rPr>
          <w:rFonts w:hint="eastAsia" w:ascii="宋体" w:hAnsi="宋体" w:cs="宋体"/>
          <w:bCs/>
          <w:sz w:val="24"/>
          <w:szCs w:val="24"/>
        </w:rPr>
        <w:t>每次巡检技术人员2名</w:t>
      </w:r>
      <w:r>
        <w:rPr>
          <w:rFonts w:hint="eastAsia" w:ascii="宋体" w:hAnsi="宋体" w:cs="宋体"/>
          <w:bCs/>
          <w:sz w:val="24"/>
          <w:szCs w:val="24"/>
          <w:lang w:eastAsia="zh-CN"/>
        </w:rPr>
        <w:t>。</w:t>
      </w:r>
      <w:r>
        <w:rPr>
          <w:rFonts w:hint="eastAsia" w:ascii="宋体" w:hAnsi="宋体" w:cs="宋体"/>
          <w:bCs/>
          <w:sz w:val="24"/>
          <w:szCs w:val="24"/>
        </w:rPr>
        <w:t xml:space="preserve"> </w:t>
      </w:r>
    </w:p>
    <w:p w14:paraId="245A1468">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1.4.4 分会场系统检查与设备维护</w:t>
      </w:r>
    </w:p>
    <w:p w14:paraId="0E035AE2">
      <w:pPr>
        <w:spacing w:line="360" w:lineRule="auto"/>
        <w:ind w:firstLine="480" w:firstLineChars="200"/>
        <w:rPr>
          <w:rFonts w:hint="default" w:ascii="宋体" w:hAnsi="宋体" w:eastAsia="宋体" w:cs="宋体"/>
          <w:bCs/>
          <w:sz w:val="24"/>
          <w:szCs w:val="24"/>
          <w:lang w:val="en-US" w:eastAsia="zh-CN"/>
        </w:rPr>
      </w:pPr>
      <w:r>
        <w:rPr>
          <w:rFonts w:hint="eastAsia" w:ascii="宋体" w:hAnsi="宋体" w:cs="宋体"/>
          <w:bCs/>
          <w:sz w:val="24"/>
          <w:szCs w:val="24"/>
        </w:rPr>
        <w:t>每季度对16区司法局、法律中心、律师协会</w:t>
      </w:r>
      <w:r>
        <w:rPr>
          <w:rFonts w:hint="eastAsia" w:ascii="宋体" w:hAnsi="宋体" w:cs="宋体"/>
          <w:bCs/>
          <w:sz w:val="24"/>
          <w:szCs w:val="24"/>
          <w:lang w:eastAsia="zh-CN"/>
        </w:rPr>
        <w:t>、</w:t>
      </w:r>
      <w:r>
        <w:rPr>
          <w:rFonts w:hint="eastAsia" w:ascii="宋体" w:hAnsi="宋体" w:cs="宋体"/>
          <w:bCs/>
          <w:sz w:val="24"/>
          <w:szCs w:val="24"/>
        </w:rPr>
        <w:t>市监狱（戒毒）局MCU及下属各分会场全部视频会议终端、高清摄像机等设备开展巡检与维护工作视频会议分会场设备开展检查与维护工作，进行检查、维护，并做好检查记录，并对检查结果进行分析，将报告提交市司法局相关负责人。每次每个会场巡检技术人员1名</w:t>
      </w:r>
      <w:r>
        <w:rPr>
          <w:rFonts w:hint="eastAsia" w:ascii="宋体" w:hAnsi="宋体" w:cs="宋体"/>
          <w:bCs/>
          <w:sz w:val="24"/>
          <w:szCs w:val="24"/>
          <w:lang w:eastAsia="zh-CN"/>
        </w:rPr>
        <w:t>，</w:t>
      </w:r>
      <w:r>
        <w:rPr>
          <w:rFonts w:hint="eastAsia" w:ascii="宋体" w:hAnsi="宋体" w:cs="宋体"/>
          <w:bCs/>
          <w:sz w:val="24"/>
          <w:szCs w:val="24"/>
          <w:lang w:val="en-US" w:eastAsia="zh-CN"/>
        </w:rPr>
        <w:t>合计41个分会场，每个会场每年巡检4次，合计164人次。</w:t>
      </w:r>
    </w:p>
    <w:p w14:paraId="0838A440">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1.4.5 远程技术支持服务</w:t>
      </w:r>
    </w:p>
    <w:p w14:paraId="7A0186B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中标单位提供服务热线电话支持，对市司法局发现设备发生异常或遇到难以解决的疑难问题给予</w:t>
      </w:r>
      <w:r>
        <w:rPr>
          <w:rFonts w:hint="eastAsia" w:ascii="宋体" w:hAnsi="宋体" w:cs="宋体"/>
          <w:bCs/>
          <w:sz w:val="24"/>
          <w:szCs w:val="24"/>
          <w:lang w:val="en-US" w:eastAsia="zh-CN"/>
        </w:rPr>
        <w:t>全年</w:t>
      </w:r>
      <w:r>
        <w:rPr>
          <w:rFonts w:hint="eastAsia" w:ascii="宋体" w:hAnsi="宋体" w:cs="宋体"/>
          <w:bCs/>
          <w:sz w:val="24"/>
          <w:szCs w:val="24"/>
        </w:rPr>
        <w:t>7</w:t>
      </w:r>
      <w:r>
        <w:rPr>
          <w:rFonts w:hint="eastAsia" w:ascii="宋体" w:hAnsi="宋体" w:cs="宋体"/>
          <w:bCs/>
          <w:sz w:val="24"/>
          <w:szCs w:val="24"/>
          <w:lang w:val="en"/>
        </w:rPr>
        <w:t>x</w:t>
      </w:r>
      <w:r>
        <w:rPr>
          <w:rFonts w:hint="eastAsia" w:ascii="宋体" w:hAnsi="宋体" w:cs="宋体"/>
          <w:bCs/>
          <w:sz w:val="24"/>
          <w:szCs w:val="24"/>
        </w:rPr>
        <w:t>24小时及时的技术支持服务。中标单位接到市司法局热线求助后，10分钟内提供基于电子邮件和传真等技术的远程支持服务，根据求助需求，写清故障排除方法和步骤，发送给市司法局并远程指导用户及时排除故障，恢复系统正常运行。</w:t>
      </w:r>
    </w:p>
    <w:p w14:paraId="242D9EF2">
      <w:pPr>
        <w:keepNext/>
        <w:keepLines/>
        <w:spacing w:line="360" w:lineRule="auto"/>
        <w:outlineLvl w:val="2"/>
        <w:rPr>
          <w:rFonts w:hint="eastAsia" w:ascii="宋体" w:hAnsi="宋体" w:cs="宋体"/>
          <w:b/>
          <w:bCs/>
          <w:sz w:val="24"/>
          <w:szCs w:val="24"/>
        </w:rPr>
      </w:pPr>
      <w:r>
        <w:rPr>
          <w:rFonts w:hint="eastAsia" w:ascii="宋体" w:hAnsi="宋体" w:cs="宋体"/>
          <w:b/>
          <w:bCs/>
          <w:sz w:val="24"/>
          <w:szCs w:val="24"/>
        </w:rPr>
        <w:t>1.4.6 重大安保、活动期间支撑保障服务</w:t>
      </w:r>
    </w:p>
    <w:p w14:paraId="733A5245">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1.4.6.1特殊安保时期保障服务</w:t>
      </w:r>
    </w:p>
    <w:p w14:paraId="65C2FE7A">
      <w:pPr>
        <w:spacing w:line="360" w:lineRule="auto"/>
        <w:ind w:firstLine="480" w:firstLineChars="200"/>
        <w:rPr>
          <w:rFonts w:hint="default" w:ascii="宋体" w:hAnsi="宋体" w:eastAsia="宋体" w:cs="宋体"/>
          <w:bCs/>
          <w:sz w:val="24"/>
          <w:szCs w:val="24"/>
          <w:lang w:val="en-US" w:eastAsia="zh-CN"/>
        </w:rPr>
      </w:pPr>
      <w:r>
        <w:rPr>
          <w:rFonts w:hint="eastAsia" w:ascii="宋体" w:hAnsi="宋体" w:cs="宋体"/>
          <w:bCs/>
          <w:sz w:val="24"/>
          <w:szCs w:val="24"/>
        </w:rPr>
        <w:t>重大活动及特殊时期，中标单位根据需要提供7</w:t>
      </w:r>
      <w:r>
        <w:rPr>
          <w:rFonts w:hint="eastAsia" w:ascii="宋体" w:hAnsi="宋体" w:cs="宋体"/>
          <w:bCs/>
          <w:sz w:val="24"/>
          <w:szCs w:val="24"/>
          <w:lang w:val="en"/>
        </w:rPr>
        <w:t>x</w:t>
      </w:r>
      <w:r>
        <w:rPr>
          <w:rFonts w:hint="eastAsia" w:ascii="宋体" w:hAnsi="宋体" w:cs="宋体"/>
          <w:bCs/>
          <w:sz w:val="24"/>
          <w:szCs w:val="24"/>
        </w:rPr>
        <w:t>24</w:t>
      </w:r>
      <w:r>
        <w:rPr>
          <w:rFonts w:hint="eastAsia" w:ascii="宋体" w:hAnsi="宋体" w:cs="宋体"/>
          <w:bCs/>
          <w:sz w:val="24"/>
          <w:szCs w:val="24"/>
          <w:lang w:eastAsia="zh-CN"/>
        </w:rPr>
        <w:t>小时</w:t>
      </w:r>
      <w:r>
        <w:rPr>
          <w:rFonts w:hint="eastAsia" w:ascii="宋体" w:hAnsi="宋体" w:cs="宋体"/>
          <w:bCs/>
          <w:sz w:val="24"/>
          <w:szCs w:val="24"/>
        </w:rPr>
        <w:t>驻场保障支持服务。以随时应对和处理特殊安保时期指挥中心及视频会议系统发生的各类事件。包括两会、清明、五一、端午、中秋、国庆、元旦、春节等重大节日、特殊或重大安保期期间，驻场运维人员进行24小值守，以随时应对和处理特殊安保时期指挥中心及视频会议系统发生的各类事件。（两会20天、国庆10天、元旦3天、清明3天、端午3天、中秋3天、五一3天、春节7天、全囯统一法律职业资格考试3天及疫情爆发期等）</w:t>
      </w:r>
      <w:r>
        <w:rPr>
          <w:rFonts w:hint="eastAsia" w:ascii="宋体" w:hAnsi="宋体" w:cs="宋体"/>
          <w:bCs/>
          <w:sz w:val="24"/>
          <w:szCs w:val="24"/>
          <w:lang w:eastAsia="zh-CN"/>
        </w:rPr>
        <w:t>，24小时制 3班 每班8小时，</w:t>
      </w:r>
      <w:r>
        <w:rPr>
          <w:rFonts w:hint="eastAsia" w:ascii="宋体" w:hAnsi="宋体" w:cs="宋体"/>
          <w:bCs/>
          <w:sz w:val="24"/>
          <w:szCs w:val="24"/>
          <w:lang w:val="en-US" w:eastAsia="zh-CN"/>
        </w:rPr>
        <w:t>合计75天。</w:t>
      </w:r>
    </w:p>
    <w:p w14:paraId="117F1DD6">
      <w:pPr>
        <w:pStyle w:val="2"/>
        <w:spacing w:line="360" w:lineRule="auto"/>
        <w:rPr>
          <w:rFonts w:hint="eastAsia" w:ascii="宋体" w:hAnsi="宋体" w:cs="宋体"/>
          <w:bCs/>
          <w:sz w:val="24"/>
        </w:rPr>
      </w:pPr>
      <w:r>
        <w:rPr>
          <w:rFonts w:hint="eastAsia" w:ascii="宋体" w:hAnsi="宋体" w:cs="宋体"/>
          <w:bCs/>
          <w:sz w:val="24"/>
          <w:lang w:val="en-US" w:eastAsia="zh-CN"/>
        </w:rPr>
        <w:t>同时，</w:t>
      </w:r>
      <w:r>
        <w:rPr>
          <w:rFonts w:hint="eastAsia" w:ascii="宋体" w:hAnsi="宋体" w:cs="宋体"/>
          <w:bCs/>
          <w:sz w:val="24"/>
        </w:rPr>
        <w:t>两会、清明、五一、端午、中秋、国庆、元旦、春节等重大节日、特殊或重大安保期期间，派遣二线技术人员进行现场巡检，以随时应对和处理重大特殊时期视频会议系统发生的各类事件 每次派遣2名工程师进行为期2天的系统巡检</w:t>
      </w:r>
      <w:r>
        <w:rPr>
          <w:rFonts w:hint="eastAsia" w:ascii="宋体" w:hAnsi="宋体" w:cs="宋体"/>
          <w:bCs/>
          <w:sz w:val="24"/>
          <w:lang w:eastAsia="zh-CN"/>
        </w:rPr>
        <w:t>。</w:t>
      </w:r>
    </w:p>
    <w:p w14:paraId="09848FB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1.4.6.2 视频巡查保障服务</w:t>
      </w:r>
    </w:p>
    <w:p w14:paraId="22E24C39">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据市司法局视频巡查预案，协助进行相应的模拟演练，熟悉应急响应流程，提高对事件的处置能力；验证预案正确性和适用性，协助进行总结分析每年进行两次相应的模拟演练</w:t>
      </w:r>
      <w:r>
        <w:rPr>
          <w:rFonts w:hint="eastAsia" w:ascii="宋体" w:hAnsi="宋体" w:cs="宋体"/>
          <w:bCs/>
          <w:sz w:val="24"/>
          <w:szCs w:val="24"/>
          <w:lang w:eastAsia="zh-CN"/>
        </w:rPr>
        <w:t>，</w:t>
      </w:r>
      <w:r>
        <w:rPr>
          <w:rFonts w:hint="eastAsia" w:ascii="宋体" w:hAnsi="宋体" w:cs="宋体"/>
          <w:bCs/>
          <w:sz w:val="24"/>
          <w:szCs w:val="24"/>
          <w:lang w:val="en-US" w:eastAsia="zh-CN"/>
        </w:rPr>
        <w:t>每次5天</w:t>
      </w:r>
      <w:r>
        <w:rPr>
          <w:rFonts w:hint="eastAsia" w:ascii="宋体" w:hAnsi="宋体" w:cs="宋体"/>
          <w:bCs/>
          <w:sz w:val="24"/>
          <w:szCs w:val="24"/>
        </w:rPr>
        <w:t>。</w:t>
      </w:r>
    </w:p>
    <w:p w14:paraId="46BB54D2">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1.4.6.3 “国家法律服务考试指挥部”、“零点行动”等活动保障服务</w:t>
      </w:r>
    </w:p>
    <w:p w14:paraId="1A51E3C8">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根据“考试指挥部”、“零点报告”等活动预案，协助市司法局进行相应的模拟演练，提高对事件的处置能力，验证预案正确性和适用性，协助进行总结分析。</w:t>
      </w:r>
    </w:p>
    <w:p w14:paraId="209A2678">
      <w:pPr>
        <w:pStyle w:val="2"/>
        <w:spacing w:line="360" w:lineRule="auto"/>
        <w:rPr>
          <w:rFonts w:hint="eastAsia" w:ascii="宋体" w:hAnsi="宋体" w:cs="宋体"/>
          <w:bCs/>
          <w:sz w:val="24"/>
        </w:rPr>
      </w:pPr>
      <w:r>
        <w:rPr>
          <w:rFonts w:hint="eastAsia" w:ascii="宋体" w:hAnsi="宋体" w:cs="宋体"/>
          <w:bCs/>
          <w:sz w:val="24"/>
        </w:rPr>
        <w:t>根据北京司法局零点报告行动预案，协助市司法局进行相应的模拟演练，一方面使相关方熟悉应急响应流程，提高对事件的响应能力；另一方面验证预案正确性和适用性，协助进行总结分析。派遣4名工程师4天7*24小时保障支持</w:t>
      </w:r>
    </w:p>
    <w:p w14:paraId="77A0D27E">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1.4.6.4 备品备件服务</w:t>
      </w:r>
    </w:p>
    <w:p w14:paraId="34DEB4CC">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中标单位需提供备件保障服务，</w:t>
      </w:r>
      <w:r>
        <w:rPr>
          <w:rFonts w:hint="eastAsia" w:ascii="宋体" w:hAnsi="宋体" w:cs="宋体"/>
          <w:bCs/>
          <w:sz w:val="24"/>
          <w:szCs w:val="24"/>
          <w:lang w:val="en-US" w:eastAsia="zh-CN"/>
        </w:rPr>
        <w:t>包括但不限于：会议终端、调音台、矩阵板卡、DVI视频线5米、无线话筒（1托4）、</w:t>
      </w:r>
      <w:r>
        <w:rPr>
          <w:rFonts w:hint="eastAsia" w:ascii="宋体" w:hAnsi="宋体" w:cs="宋体"/>
          <w:bCs/>
          <w:sz w:val="24"/>
          <w:szCs w:val="24"/>
        </w:rPr>
        <w:t>音视频配件、线材等。当视频会议系统及指挥中心会议系统设备出现故障，需返厂维修时，中标单位需提供备机服务。</w:t>
      </w:r>
    </w:p>
    <w:p w14:paraId="2AEB6232">
      <w:pPr>
        <w:keepNext/>
        <w:keepLines/>
        <w:spacing w:before="260" w:after="260" w:line="360" w:lineRule="auto"/>
        <w:outlineLvl w:val="1"/>
        <w:rPr>
          <w:rFonts w:ascii="宋体" w:hAnsi="宋体" w:cs="宋体"/>
          <w:b/>
          <w:bCs/>
          <w:sz w:val="24"/>
          <w:szCs w:val="24"/>
        </w:rPr>
      </w:pPr>
      <w:bookmarkStart w:id="677" w:name="_Toc66088586"/>
      <w:r>
        <w:rPr>
          <w:rFonts w:hint="eastAsia" w:ascii="宋体" w:hAnsi="宋体" w:cs="宋体"/>
          <w:b/>
          <w:bCs/>
          <w:sz w:val="24"/>
          <w:szCs w:val="24"/>
        </w:rPr>
        <w:t xml:space="preserve">1.5 </w:t>
      </w:r>
      <w:bookmarkEnd w:id="677"/>
      <w:r>
        <w:rPr>
          <w:rFonts w:hint="eastAsia" w:ascii="宋体" w:hAnsi="宋体" w:cs="宋体"/>
          <w:b/>
          <w:bCs/>
          <w:sz w:val="24"/>
          <w:szCs w:val="24"/>
        </w:rPr>
        <w:t>商务要求</w:t>
      </w:r>
    </w:p>
    <w:p w14:paraId="4A56D9F3">
      <w:pPr>
        <w:spacing w:after="120"/>
        <w:jc w:val="left"/>
        <w:outlineLvl w:val="2"/>
        <w:rPr>
          <w:rFonts w:ascii="宋体" w:hAnsi="宋体"/>
          <w:b/>
          <w:kern w:val="44"/>
          <w:sz w:val="24"/>
          <w:szCs w:val="24"/>
        </w:rPr>
      </w:pPr>
      <w:r>
        <w:rPr>
          <w:rFonts w:hint="eastAsia" w:ascii="宋体" w:hAnsi="宋体"/>
          <w:b/>
          <w:kern w:val="44"/>
          <w:sz w:val="24"/>
          <w:szCs w:val="24"/>
        </w:rPr>
        <w:t>1.5.1服务期限</w:t>
      </w:r>
    </w:p>
    <w:p w14:paraId="20479EB1">
      <w:pPr>
        <w:snapToGrid w:val="0"/>
        <w:spacing w:line="360" w:lineRule="auto"/>
        <w:ind w:firstLine="482"/>
        <w:rPr>
          <w:rFonts w:ascii="宋体" w:hAnsi="宋体"/>
          <w:bCs/>
          <w:kern w:val="44"/>
          <w:sz w:val="24"/>
        </w:rPr>
      </w:pPr>
      <w:r>
        <w:rPr>
          <w:rFonts w:hint="eastAsia" w:ascii="宋体" w:hAnsi="宋体"/>
          <w:bCs/>
          <w:kern w:val="44"/>
          <w:sz w:val="24"/>
        </w:rPr>
        <w:t>12个月。</w:t>
      </w:r>
    </w:p>
    <w:p w14:paraId="0D74A630">
      <w:pPr>
        <w:spacing w:after="120"/>
        <w:jc w:val="left"/>
        <w:outlineLvl w:val="2"/>
        <w:rPr>
          <w:rFonts w:ascii="宋体" w:hAnsi="宋体"/>
          <w:b/>
          <w:kern w:val="44"/>
          <w:sz w:val="24"/>
          <w:szCs w:val="24"/>
        </w:rPr>
      </w:pPr>
      <w:r>
        <w:rPr>
          <w:rFonts w:hint="eastAsia" w:ascii="宋体" w:hAnsi="宋体"/>
          <w:b/>
          <w:kern w:val="44"/>
          <w:sz w:val="24"/>
          <w:szCs w:val="24"/>
        </w:rPr>
        <w:t>1.5.2服务地点</w:t>
      </w:r>
    </w:p>
    <w:p w14:paraId="2C899F2D">
      <w:pPr>
        <w:snapToGrid w:val="0"/>
        <w:spacing w:line="360" w:lineRule="auto"/>
        <w:ind w:firstLine="482"/>
        <w:rPr>
          <w:rFonts w:ascii="宋体" w:hAnsi="宋体"/>
          <w:bCs/>
          <w:kern w:val="44"/>
          <w:sz w:val="24"/>
        </w:rPr>
      </w:pPr>
      <w:r>
        <w:rPr>
          <w:rFonts w:hint="eastAsia" w:ascii="宋体" w:hAnsi="宋体"/>
          <w:bCs/>
          <w:kern w:val="44"/>
          <w:sz w:val="24"/>
        </w:rPr>
        <w:t>北京市司法局指定地点。</w:t>
      </w:r>
    </w:p>
    <w:p w14:paraId="36297791">
      <w:pPr>
        <w:spacing w:after="120"/>
        <w:jc w:val="left"/>
        <w:outlineLvl w:val="2"/>
        <w:rPr>
          <w:rFonts w:ascii="宋体" w:hAnsi="宋体"/>
          <w:b/>
          <w:kern w:val="44"/>
          <w:sz w:val="24"/>
          <w:szCs w:val="24"/>
        </w:rPr>
      </w:pPr>
      <w:r>
        <w:rPr>
          <w:rFonts w:hint="eastAsia" w:ascii="宋体" w:hAnsi="宋体"/>
          <w:b/>
          <w:kern w:val="44"/>
          <w:sz w:val="24"/>
          <w:szCs w:val="24"/>
        </w:rPr>
        <w:t>1.5.3付款条件</w:t>
      </w:r>
    </w:p>
    <w:p w14:paraId="5D34CC8C">
      <w:pPr>
        <w:snapToGrid w:val="0"/>
        <w:spacing w:line="360" w:lineRule="auto"/>
        <w:ind w:firstLine="482"/>
        <w:rPr>
          <w:rFonts w:hint="eastAsia" w:ascii="宋体" w:hAnsi="宋体"/>
          <w:bCs/>
          <w:kern w:val="44"/>
          <w:sz w:val="24"/>
        </w:rPr>
      </w:pPr>
      <w:r>
        <w:rPr>
          <w:rFonts w:hint="eastAsia" w:ascii="宋体" w:hAnsi="宋体"/>
          <w:bCs/>
          <w:kern w:val="44"/>
          <w:sz w:val="24"/>
        </w:rPr>
        <w:t>本项目服务期为12个月，每月服务费单价为合同总价款除以服务月数。2</w:t>
      </w:r>
      <w:r>
        <w:rPr>
          <w:rFonts w:ascii="宋体" w:hAnsi="宋体"/>
          <w:bCs/>
          <w:kern w:val="44"/>
          <w:sz w:val="24"/>
        </w:rPr>
        <w:t>02</w:t>
      </w:r>
      <w:r>
        <w:rPr>
          <w:rFonts w:hint="eastAsia" w:ascii="宋体" w:hAnsi="宋体"/>
          <w:bCs/>
          <w:kern w:val="44"/>
          <w:sz w:val="24"/>
          <w:lang w:val="en-US" w:eastAsia="zh-CN"/>
        </w:rPr>
        <w:t>5</w:t>
      </w:r>
      <w:r>
        <w:rPr>
          <w:rFonts w:hint="eastAsia" w:ascii="宋体" w:hAnsi="宋体"/>
          <w:bCs/>
          <w:kern w:val="44"/>
          <w:sz w:val="24"/>
        </w:rPr>
        <w:t>年度累计支付10个月的服务费，其中：本合同生效后7个工作日内，甲方支付乙方首笔</w:t>
      </w:r>
      <w:r>
        <w:rPr>
          <w:rFonts w:hint="eastAsia" w:ascii="宋体" w:hAnsi="宋体"/>
          <w:bCs/>
          <w:kern w:val="44"/>
          <w:sz w:val="24"/>
          <w:lang w:val="en-US" w:eastAsia="zh-CN"/>
        </w:rPr>
        <w:t>5</w:t>
      </w:r>
      <w:r>
        <w:rPr>
          <w:rFonts w:hint="eastAsia" w:ascii="宋体" w:hAnsi="宋体"/>
          <w:bCs/>
          <w:kern w:val="44"/>
          <w:sz w:val="24"/>
        </w:rPr>
        <w:t>个服务月数的合同价款；项目执行满</w:t>
      </w:r>
      <w:r>
        <w:rPr>
          <w:rFonts w:hint="eastAsia" w:ascii="宋体" w:hAnsi="宋体"/>
          <w:bCs/>
          <w:kern w:val="44"/>
          <w:sz w:val="24"/>
          <w:lang w:val="en-US" w:eastAsia="zh-CN"/>
        </w:rPr>
        <w:t>4</w:t>
      </w:r>
      <w:r>
        <w:rPr>
          <w:rFonts w:hint="eastAsia" w:ascii="宋体" w:hAnsi="宋体"/>
          <w:bCs/>
          <w:kern w:val="44"/>
          <w:sz w:val="24"/>
        </w:rPr>
        <w:t>个月后，甲方支付乙方</w:t>
      </w:r>
      <w:r>
        <w:rPr>
          <w:rFonts w:hint="eastAsia" w:ascii="宋体" w:hAnsi="宋体"/>
          <w:bCs/>
          <w:kern w:val="44"/>
          <w:sz w:val="24"/>
          <w:lang w:val="en-US" w:eastAsia="zh-CN"/>
        </w:rPr>
        <w:t>5</w:t>
      </w:r>
      <w:r>
        <w:rPr>
          <w:rFonts w:hint="eastAsia" w:ascii="宋体" w:hAnsi="宋体"/>
          <w:bCs/>
          <w:kern w:val="44"/>
          <w:sz w:val="24"/>
        </w:rPr>
        <w:t>个服务月数的合同价款。项目执行期满，经甲方验收合格且乙方不存在违约情形的，甲方支付乙方剩余2个服务月数的合同价款。</w:t>
      </w:r>
    </w:p>
    <w:p w14:paraId="08EA40D6">
      <w:pPr>
        <w:rPr>
          <w:rFonts w:hint="eastAsia" w:ascii="宋体" w:hAnsi="宋体"/>
          <w:bCs/>
          <w:kern w:val="44"/>
          <w:sz w:val="24"/>
        </w:rPr>
      </w:pPr>
      <w:r>
        <w:rPr>
          <w:rFonts w:hint="eastAsia" w:ascii="宋体" w:hAnsi="宋体"/>
          <w:bCs/>
          <w:kern w:val="44"/>
          <w:sz w:val="24"/>
        </w:rPr>
        <w:br w:type="page"/>
      </w:r>
    </w:p>
    <w:p w14:paraId="636D4DDB">
      <w:pPr>
        <w:pStyle w:val="2"/>
        <w:rPr>
          <w:rFonts w:hint="eastAsia"/>
        </w:rPr>
      </w:pPr>
    </w:p>
    <w:p w14:paraId="3D84226F">
      <w:pPr>
        <w:spacing w:line="360" w:lineRule="auto"/>
        <w:jc w:val="center"/>
        <w:outlineLvl w:val="0"/>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第五章   合同草案条款</w:t>
      </w:r>
      <w:bookmarkEnd w:id="670"/>
    </w:p>
    <w:p w14:paraId="5A5B7B24">
      <w:pPr>
        <w:tabs>
          <w:tab w:val="left" w:pos="900"/>
          <w:tab w:val="left" w:pos="1080"/>
        </w:tabs>
        <w:snapToGrid w:val="0"/>
        <w:spacing w:line="360" w:lineRule="auto"/>
        <w:rPr>
          <w:rFonts w:hint="default" w:ascii="Times New Roman" w:hAnsi="Times New Roman" w:eastAsia="宋体" w:cs="Times New Roman"/>
          <w:kern w:val="0"/>
          <w:sz w:val="18"/>
          <w:szCs w:val="18"/>
        </w:rPr>
      </w:pPr>
    </w:p>
    <w:p w14:paraId="72EF6908">
      <w:pPr>
        <w:spacing w:line="360" w:lineRule="auto"/>
        <w:ind w:firstLine="482" w:firstLineChars="200"/>
        <w:jc w:val="center"/>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（合同为</w:t>
      </w:r>
      <w:r>
        <w:rPr>
          <w:rFonts w:hint="eastAsia" w:cs="Times New Roman"/>
          <w:b/>
          <w:bCs/>
          <w:sz w:val="24"/>
          <w:highlight w:val="none"/>
          <w:lang w:val="en-US" w:eastAsia="zh-CN"/>
        </w:rPr>
        <w:t>小微</w:t>
      </w:r>
      <w:r>
        <w:rPr>
          <w:rFonts w:hint="default" w:ascii="Times New Roman" w:hAnsi="Times New Roman" w:eastAsia="宋体" w:cs="Times New Roman"/>
          <w:b/>
          <w:bCs/>
          <w:sz w:val="24"/>
          <w:highlight w:val="none"/>
        </w:rPr>
        <w:t>企业预留合同）</w:t>
      </w:r>
    </w:p>
    <w:p w14:paraId="287961BB">
      <w:pPr>
        <w:wordWrap w:val="0"/>
        <w:ind w:firstLine="482"/>
        <w:jc w:val="right"/>
        <w:rPr>
          <w:rFonts w:hint="default" w:ascii="Times New Roman" w:hAnsi="Times New Roman" w:eastAsia="宋体" w:cs="Times New Roman"/>
          <w:b/>
          <w:bCs/>
          <w:sz w:val="24"/>
        </w:rPr>
      </w:pPr>
    </w:p>
    <w:p w14:paraId="61808BE3">
      <w:pPr>
        <w:adjustRightInd w:val="0"/>
        <w:spacing w:line="360" w:lineRule="auto"/>
        <w:jc w:val="center"/>
        <w:rPr>
          <w:rFonts w:hint="eastAsia" w:ascii="宋体" w:hAnsi="宋体" w:eastAsia="宋体" w:cs="宋体"/>
          <w:b/>
          <w:bCs/>
          <w:sz w:val="24"/>
          <w:szCs w:val="24"/>
          <w:lang w:bidi="zh-CN"/>
        </w:rPr>
      </w:pPr>
    </w:p>
    <w:p w14:paraId="5859251F">
      <w:pPr>
        <w:spacing w:line="360" w:lineRule="auto"/>
        <w:jc w:val="right"/>
        <w:rPr>
          <w:rFonts w:hint="eastAsia" w:ascii="宋体" w:hAnsi="宋体" w:eastAsia="宋体" w:cs="宋体"/>
          <w:sz w:val="24"/>
          <w:szCs w:val="24"/>
        </w:rPr>
      </w:pPr>
      <w:r>
        <w:rPr>
          <w:rFonts w:hint="eastAsia" w:ascii="宋体" w:hAnsi="宋体" w:eastAsia="宋体" w:cs="宋体"/>
          <w:sz w:val="24"/>
          <w:szCs w:val="24"/>
        </w:rPr>
        <w:t>合同编号：【                】</w:t>
      </w:r>
    </w:p>
    <w:p w14:paraId="2DBB287F">
      <w:pPr>
        <w:pStyle w:val="2"/>
        <w:spacing w:line="360" w:lineRule="auto"/>
        <w:ind w:firstLine="560"/>
        <w:rPr>
          <w:rFonts w:hint="eastAsia" w:ascii="宋体" w:hAnsi="宋体" w:eastAsia="宋体" w:cs="宋体"/>
          <w:sz w:val="24"/>
          <w:szCs w:val="24"/>
        </w:rPr>
      </w:pPr>
    </w:p>
    <w:p w14:paraId="28D8BFE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2025年度北京市司法局指挥中心及视频会议系统</w:t>
      </w:r>
    </w:p>
    <w:p w14:paraId="370705E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运维服务项目</w:t>
      </w:r>
    </w:p>
    <w:p w14:paraId="122D2F3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合   同   书</w:t>
      </w:r>
    </w:p>
    <w:p w14:paraId="7831D3BA">
      <w:pPr>
        <w:spacing w:line="360" w:lineRule="auto"/>
        <w:rPr>
          <w:rFonts w:hint="eastAsia" w:ascii="宋体" w:hAnsi="宋体" w:eastAsia="宋体" w:cs="宋体"/>
          <w:sz w:val="24"/>
          <w:szCs w:val="24"/>
        </w:rPr>
      </w:pPr>
    </w:p>
    <w:p w14:paraId="58A2C1F1">
      <w:pPr>
        <w:spacing w:line="360" w:lineRule="auto"/>
        <w:rPr>
          <w:rFonts w:hint="eastAsia" w:ascii="宋体" w:hAnsi="宋体" w:eastAsia="宋体" w:cs="宋体"/>
          <w:sz w:val="24"/>
          <w:szCs w:val="24"/>
        </w:rPr>
      </w:pPr>
    </w:p>
    <w:p w14:paraId="096A755E">
      <w:pPr>
        <w:spacing w:line="360" w:lineRule="auto"/>
        <w:rPr>
          <w:rFonts w:hint="eastAsia" w:ascii="宋体" w:hAnsi="宋体" w:eastAsia="宋体" w:cs="宋体"/>
          <w:sz w:val="24"/>
          <w:szCs w:val="24"/>
        </w:rPr>
      </w:pPr>
    </w:p>
    <w:p w14:paraId="257AD68F">
      <w:pPr>
        <w:spacing w:line="360" w:lineRule="auto"/>
        <w:rPr>
          <w:rFonts w:hint="eastAsia" w:ascii="宋体" w:hAnsi="宋体" w:eastAsia="宋体" w:cs="宋体"/>
          <w:sz w:val="24"/>
          <w:szCs w:val="24"/>
        </w:rPr>
      </w:pPr>
    </w:p>
    <w:p w14:paraId="140A6E56">
      <w:pPr>
        <w:spacing w:line="360" w:lineRule="auto"/>
        <w:rPr>
          <w:rFonts w:hint="eastAsia" w:ascii="宋体" w:hAnsi="宋体" w:eastAsia="宋体" w:cs="宋体"/>
          <w:sz w:val="24"/>
          <w:szCs w:val="24"/>
        </w:rPr>
      </w:pPr>
    </w:p>
    <w:p w14:paraId="3D51E52A">
      <w:pPr>
        <w:spacing w:line="360" w:lineRule="auto"/>
        <w:ind w:left="1310" w:right="-197" w:rightChars="-94" w:hanging="1310" w:hangingChars="546"/>
        <w:rPr>
          <w:rFonts w:hint="eastAsia" w:ascii="宋体" w:hAnsi="宋体" w:eastAsia="宋体" w:cs="宋体"/>
          <w:bCs/>
          <w:sz w:val="24"/>
          <w:szCs w:val="24"/>
          <w:u w:val="single"/>
        </w:rPr>
      </w:pPr>
      <w:r>
        <w:rPr>
          <w:rFonts w:hint="eastAsia" w:ascii="宋体" w:hAnsi="宋体" w:eastAsia="宋体" w:cs="宋体"/>
          <w:bCs/>
          <w:sz w:val="24"/>
          <w:szCs w:val="24"/>
        </w:rPr>
        <w:t>项 目 名 称：</w:t>
      </w:r>
      <w:r>
        <w:rPr>
          <w:rFonts w:hint="eastAsia" w:ascii="宋体" w:hAnsi="宋体" w:eastAsia="宋体" w:cs="宋体"/>
          <w:bCs/>
          <w:sz w:val="24"/>
          <w:szCs w:val="24"/>
          <w:u w:val="single"/>
        </w:rPr>
        <w:t xml:space="preserve">   2025年度北京市司法局指挥中心及视频会议系统运维服务项目</w:t>
      </w:r>
    </w:p>
    <w:p w14:paraId="724A2AD8">
      <w:pPr>
        <w:spacing w:line="360" w:lineRule="auto"/>
        <w:ind w:left="1605" w:leftChars="712" w:hanging="110" w:hangingChars="46"/>
        <w:rPr>
          <w:rFonts w:hint="eastAsia" w:ascii="宋体" w:hAnsi="宋体" w:eastAsia="宋体" w:cs="宋体"/>
          <w:bCs/>
          <w:sz w:val="24"/>
          <w:szCs w:val="24"/>
          <w:u w:val="single"/>
        </w:rPr>
      </w:pPr>
    </w:p>
    <w:p w14:paraId="50F42C73">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委托方（甲方）：</w:t>
      </w:r>
      <w:r>
        <w:rPr>
          <w:rFonts w:hint="eastAsia" w:ascii="宋体" w:hAnsi="宋体" w:eastAsia="宋体" w:cs="宋体"/>
          <w:bCs/>
          <w:sz w:val="24"/>
          <w:szCs w:val="24"/>
          <w:u w:val="single"/>
        </w:rPr>
        <w:t xml:space="preserve">              北京市司法局                    </w:t>
      </w:r>
    </w:p>
    <w:p w14:paraId="46011014">
      <w:pPr>
        <w:spacing w:line="360" w:lineRule="auto"/>
        <w:rPr>
          <w:rFonts w:hint="eastAsia" w:ascii="宋体" w:hAnsi="宋体" w:eastAsia="宋体" w:cs="宋体"/>
          <w:sz w:val="24"/>
          <w:szCs w:val="24"/>
          <w:u w:val="single"/>
        </w:rPr>
      </w:pPr>
    </w:p>
    <w:p w14:paraId="724751DC">
      <w:pPr>
        <w:spacing w:line="360" w:lineRule="auto"/>
        <w:rPr>
          <w:rFonts w:hint="eastAsia" w:ascii="宋体" w:hAnsi="宋体" w:eastAsia="宋体" w:cs="宋体"/>
          <w:sz w:val="24"/>
          <w:szCs w:val="24"/>
          <w:u w:val="single"/>
        </w:rPr>
      </w:pPr>
      <w:r>
        <w:rPr>
          <w:rFonts w:hint="eastAsia" w:ascii="宋体" w:hAnsi="宋体" w:eastAsia="宋体" w:cs="宋体"/>
          <w:bCs/>
          <w:sz w:val="24"/>
          <w:szCs w:val="24"/>
        </w:rPr>
        <w:t>受托方（乙方）：</w:t>
      </w:r>
      <w:r>
        <w:rPr>
          <w:rFonts w:hint="eastAsia" w:ascii="宋体" w:hAnsi="宋体" w:eastAsia="宋体" w:cs="宋体"/>
          <w:bCs/>
          <w:sz w:val="24"/>
          <w:szCs w:val="24"/>
          <w:u w:val="single"/>
        </w:rPr>
        <w:t xml:space="preserve">                                              </w:t>
      </w:r>
    </w:p>
    <w:p w14:paraId="23714630">
      <w:pPr>
        <w:spacing w:line="360" w:lineRule="auto"/>
        <w:ind w:right="80" w:rightChars="38"/>
        <w:rPr>
          <w:rFonts w:hint="eastAsia" w:ascii="宋体" w:hAnsi="宋体" w:eastAsia="宋体" w:cs="宋体"/>
          <w:sz w:val="24"/>
          <w:szCs w:val="24"/>
          <w:u w:val="single"/>
        </w:rPr>
      </w:pPr>
    </w:p>
    <w:p w14:paraId="7C6FE409">
      <w:pPr>
        <w:spacing w:line="360" w:lineRule="auto"/>
        <w:rPr>
          <w:rFonts w:hint="eastAsia" w:ascii="宋体" w:hAnsi="宋体" w:eastAsia="宋体" w:cs="宋体"/>
          <w:b/>
          <w:bCs/>
          <w:sz w:val="24"/>
          <w:szCs w:val="24"/>
        </w:rPr>
      </w:pPr>
    </w:p>
    <w:p w14:paraId="01849CDB">
      <w:pPr>
        <w:spacing w:line="360" w:lineRule="auto"/>
        <w:rPr>
          <w:rFonts w:hint="eastAsia" w:ascii="宋体" w:hAnsi="宋体" w:eastAsia="宋体" w:cs="宋体"/>
          <w:b/>
          <w:bCs/>
          <w:sz w:val="24"/>
          <w:szCs w:val="24"/>
        </w:rPr>
      </w:pPr>
    </w:p>
    <w:p w14:paraId="17FB9398">
      <w:pPr>
        <w:spacing w:line="360" w:lineRule="auto"/>
        <w:rPr>
          <w:rFonts w:hint="eastAsia" w:ascii="宋体" w:hAnsi="宋体" w:eastAsia="宋体" w:cs="宋体"/>
          <w:b/>
          <w:bCs/>
          <w:sz w:val="24"/>
          <w:szCs w:val="24"/>
        </w:rPr>
      </w:pPr>
    </w:p>
    <w:p w14:paraId="55414EB6">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签订时间：</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14:paraId="7A366234">
      <w:pPr>
        <w:spacing w:line="360" w:lineRule="auto"/>
        <w:rPr>
          <w:rFonts w:hint="eastAsia" w:ascii="宋体" w:hAnsi="宋体" w:eastAsia="宋体" w:cs="宋体"/>
          <w:bCs/>
          <w:sz w:val="24"/>
          <w:szCs w:val="24"/>
          <w:u w:val="single"/>
        </w:rPr>
      </w:pPr>
      <w:r>
        <w:rPr>
          <w:rFonts w:hint="eastAsia" w:ascii="宋体" w:hAnsi="宋体" w:eastAsia="宋体" w:cs="宋体"/>
          <w:bCs/>
          <w:sz w:val="24"/>
          <w:szCs w:val="24"/>
        </w:rPr>
        <w:t>签订地点：北京市通州区</w:t>
      </w:r>
    </w:p>
    <w:p w14:paraId="1CEF7586">
      <w:pPr>
        <w:spacing w:line="360" w:lineRule="auto"/>
        <w:rPr>
          <w:rFonts w:hint="eastAsia" w:ascii="宋体" w:hAnsi="宋体" w:eastAsia="宋体" w:cs="宋体"/>
          <w:b/>
          <w:bCs/>
          <w:sz w:val="24"/>
          <w:szCs w:val="24"/>
        </w:rPr>
      </w:pPr>
      <w:r>
        <w:rPr>
          <w:rFonts w:hint="eastAsia" w:ascii="宋体" w:hAnsi="宋体" w:eastAsia="宋体" w:cs="宋体"/>
          <w:bCs/>
          <w:sz w:val="24"/>
          <w:szCs w:val="24"/>
        </w:rPr>
        <w:t>合同履约期限：202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日起至202</w:t>
      </w:r>
      <w:r>
        <w:rPr>
          <w:rFonts w:hint="eastAsia" w:ascii="宋体" w:hAnsi="宋体" w:eastAsia="宋体" w:cs="宋体"/>
          <w:bCs/>
          <w:sz w:val="24"/>
          <w:szCs w:val="24"/>
          <w:lang w:val="en-US" w:eastAsia="zh-CN"/>
        </w:rPr>
        <w:t>6</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日止</w:t>
      </w:r>
    </w:p>
    <w:p w14:paraId="248A34F6">
      <w:pPr>
        <w:spacing w:line="360" w:lineRule="auto"/>
        <w:jc w:val="center"/>
        <w:rPr>
          <w:rFonts w:hint="eastAsia" w:ascii="宋体" w:hAnsi="宋体" w:eastAsia="宋体" w:cs="宋体"/>
          <w:b/>
          <w:bCs/>
          <w:sz w:val="24"/>
          <w:szCs w:val="24"/>
        </w:rPr>
      </w:pPr>
    </w:p>
    <w:p w14:paraId="69F7F443">
      <w:pPr>
        <w:spacing w:line="360" w:lineRule="auto"/>
        <w:jc w:val="center"/>
        <w:rPr>
          <w:rFonts w:hint="eastAsia" w:ascii="宋体" w:hAnsi="宋体" w:eastAsia="宋体" w:cs="宋体"/>
          <w:b/>
          <w:bCs/>
          <w:sz w:val="24"/>
          <w:szCs w:val="24"/>
        </w:rPr>
      </w:pPr>
    </w:p>
    <w:p w14:paraId="54B68E14">
      <w:pPr>
        <w:spacing w:line="360" w:lineRule="auto"/>
        <w:jc w:val="center"/>
        <w:rPr>
          <w:rFonts w:hint="eastAsia" w:ascii="宋体" w:hAnsi="宋体" w:eastAsia="宋体" w:cs="宋体"/>
          <w:b/>
          <w:bCs/>
          <w:sz w:val="24"/>
          <w:szCs w:val="24"/>
        </w:rPr>
      </w:pPr>
    </w:p>
    <w:p w14:paraId="216FC43E">
      <w:pPr>
        <w:pStyle w:val="2"/>
        <w:spacing w:line="360" w:lineRule="auto"/>
        <w:rPr>
          <w:rFonts w:hint="eastAsia" w:ascii="宋体" w:hAnsi="宋体" w:eastAsia="宋体" w:cs="宋体"/>
          <w:b/>
          <w:bCs/>
          <w:sz w:val="24"/>
          <w:szCs w:val="24"/>
        </w:rPr>
      </w:pPr>
    </w:p>
    <w:p w14:paraId="58C445B8">
      <w:pPr>
        <w:spacing w:line="360" w:lineRule="auto"/>
        <w:rPr>
          <w:rFonts w:hint="eastAsia" w:ascii="宋体" w:hAnsi="宋体" w:eastAsia="宋体" w:cs="宋体"/>
          <w:sz w:val="24"/>
          <w:szCs w:val="24"/>
        </w:rPr>
      </w:pPr>
    </w:p>
    <w:p w14:paraId="1E8ED89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2025年度北京市司法局指挥中心及视频会议系统</w:t>
      </w:r>
    </w:p>
    <w:p w14:paraId="753DBD8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运维服务项目合同书</w:t>
      </w:r>
    </w:p>
    <w:p w14:paraId="40D2221D">
      <w:pPr>
        <w:spacing w:line="360" w:lineRule="auto"/>
        <w:rPr>
          <w:rFonts w:hint="eastAsia" w:ascii="宋体" w:hAnsi="宋体" w:eastAsia="宋体" w:cs="宋体"/>
          <w:b/>
          <w:bCs/>
          <w:sz w:val="24"/>
          <w:szCs w:val="24"/>
        </w:rPr>
      </w:pPr>
    </w:p>
    <w:p w14:paraId="39495986">
      <w:pPr>
        <w:spacing w:line="360" w:lineRule="auto"/>
        <w:rPr>
          <w:rFonts w:hint="eastAsia" w:ascii="宋体" w:hAnsi="宋体" w:eastAsia="宋体" w:cs="宋体"/>
          <w:sz w:val="24"/>
          <w:szCs w:val="24"/>
          <w:u w:val="single"/>
        </w:rPr>
      </w:pPr>
      <w:r>
        <w:rPr>
          <w:rFonts w:hint="eastAsia" w:ascii="宋体" w:hAnsi="宋体" w:eastAsia="宋体" w:cs="宋体"/>
          <w:b/>
          <w:bCs/>
          <w:sz w:val="24"/>
          <w:szCs w:val="24"/>
        </w:rPr>
        <w:t>委托方（甲方）：</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北京市司法局 </w:t>
      </w:r>
      <w:r>
        <w:rPr>
          <w:rFonts w:hint="eastAsia" w:ascii="宋体" w:hAnsi="宋体" w:eastAsia="宋体" w:cs="宋体"/>
          <w:b/>
          <w:bCs/>
          <w:sz w:val="24"/>
          <w:szCs w:val="24"/>
          <w:u w:val="single"/>
        </w:rPr>
        <w:t xml:space="preserve">           </w:t>
      </w:r>
    </w:p>
    <w:p w14:paraId="108D213B">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p>
    <w:p w14:paraId="2D39BFA3">
      <w:pPr>
        <w:spacing w:line="360" w:lineRule="auto"/>
        <w:rPr>
          <w:rFonts w:hint="eastAsia" w:ascii="宋体" w:hAnsi="宋体" w:eastAsia="宋体" w:cs="宋体"/>
          <w:sz w:val="24"/>
          <w:szCs w:val="24"/>
          <w:u w:val="single"/>
        </w:rPr>
      </w:pPr>
      <w:r>
        <w:rPr>
          <w:rFonts w:hint="eastAsia" w:ascii="宋体" w:hAnsi="宋体" w:eastAsia="宋体" w:cs="宋体"/>
          <w:sz w:val="24"/>
          <w:szCs w:val="24"/>
        </w:rPr>
        <w:t>项目联系人：</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p>
    <w:p w14:paraId="16E0835A">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p>
    <w:p w14:paraId="13BC775B">
      <w:pPr>
        <w:spacing w:line="360" w:lineRule="auto"/>
        <w:rPr>
          <w:rFonts w:hint="eastAsia" w:ascii="宋体" w:hAnsi="宋体" w:eastAsia="宋体" w:cs="宋体"/>
          <w:b/>
          <w:bCs/>
          <w:sz w:val="24"/>
          <w:szCs w:val="24"/>
          <w:u w:val="single"/>
        </w:rPr>
      </w:pPr>
      <w:r>
        <w:rPr>
          <w:rFonts w:hint="eastAsia" w:ascii="宋体" w:hAnsi="宋体" w:eastAsia="宋体" w:cs="宋体"/>
          <w:sz w:val="24"/>
          <w:szCs w:val="24"/>
        </w:rPr>
        <w:t>电子邮箱：</w:t>
      </w:r>
      <w:r>
        <w:rPr>
          <w:rFonts w:hint="eastAsia" w:ascii="宋体" w:hAnsi="宋体" w:eastAsia="宋体" w:cs="宋体"/>
          <w:b/>
          <w:bCs/>
          <w:sz w:val="24"/>
          <w:szCs w:val="24"/>
          <w:u w:val="single"/>
        </w:rPr>
        <w:t xml:space="preserve">                                      </w:t>
      </w:r>
    </w:p>
    <w:p w14:paraId="43FECAD1">
      <w:pPr>
        <w:spacing w:line="360" w:lineRule="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26882E4C">
      <w:pPr>
        <w:spacing w:line="360" w:lineRule="auto"/>
        <w:rPr>
          <w:rFonts w:hint="eastAsia" w:ascii="宋体" w:hAnsi="宋体" w:eastAsia="宋体" w:cs="宋体"/>
          <w:sz w:val="24"/>
          <w:szCs w:val="24"/>
        </w:rPr>
      </w:pPr>
    </w:p>
    <w:p w14:paraId="2AFFAAEB">
      <w:pPr>
        <w:spacing w:line="360" w:lineRule="auto"/>
        <w:rPr>
          <w:rFonts w:hint="eastAsia" w:ascii="宋体" w:hAnsi="宋体" w:eastAsia="宋体" w:cs="宋体"/>
          <w:b/>
          <w:bCs/>
          <w:sz w:val="24"/>
          <w:szCs w:val="24"/>
          <w:u w:val="single"/>
        </w:rPr>
      </w:pPr>
      <w:r>
        <w:rPr>
          <w:rFonts w:hint="eastAsia" w:ascii="宋体" w:hAnsi="宋体" w:eastAsia="宋体" w:cs="宋体"/>
          <w:b/>
          <w:bCs/>
          <w:sz w:val="24"/>
          <w:szCs w:val="24"/>
        </w:rPr>
        <w:t>受托方（乙方）：</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w:t>
      </w:r>
    </w:p>
    <w:p w14:paraId="0176E095">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w:t>
      </w:r>
    </w:p>
    <w:p w14:paraId="4C47A8AA">
      <w:pPr>
        <w:spacing w:line="360" w:lineRule="auto"/>
        <w:rPr>
          <w:rFonts w:hint="eastAsia" w:ascii="宋体" w:hAnsi="宋体" w:eastAsia="宋体" w:cs="宋体"/>
          <w:sz w:val="24"/>
          <w:szCs w:val="24"/>
          <w:u w:val="single"/>
        </w:rPr>
      </w:pPr>
      <w:r>
        <w:rPr>
          <w:rFonts w:hint="eastAsia" w:ascii="宋体" w:hAnsi="宋体" w:eastAsia="宋体" w:cs="宋体"/>
          <w:sz w:val="24"/>
          <w:szCs w:val="24"/>
        </w:rPr>
        <w:t>项目联系人：</w:t>
      </w:r>
      <w:r>
        <w:rPr>
          <w:rFonts w:hint="eastAsia" w:ascii="宋体" w:hAnsi="宋体" w:eastAsia="宋体" w:cs="宋体"/>
          <w:sz w:val="24"/>
          <w:szCs w:val="24"/>
          <w:u w:val="single"/>
        </w:rPr>
        <w:t xml:space="preserve">                                    </w:t>
      </w:r>
    </w:p>
    <w:p w14:paraId="0D040FFF">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联系电话：  </w:t>
      </w:r>
      <w:r>
        <w:rPr>
          <w:rFonts w:hint="eastAsia" w:ascii="宋体" w:hAnsi="宋体" w:eastAsia="宋体" w:cs="宋体"/>
          <w:sz w:val="24"/>
          <w:szCs w:val="24"/>
          <w:u w:val="single"/>
        </w:rPr>
        <w:t xml:space="preserve">                                    </w:t>
      </w:r>
    </w:p>
    <w:p w14:paraId="37A5CFFD">
      <w:pPr>
        <w:spacing w:line="360" w:lineRule="auto"/>
        <w:rPr>
          <w:rFonts w:hint="eastAsia" w:ascii="宋体" w:hAnsi="宋体" w:eastAsia="宋体" w:cs="宋体"/>
          <w:b/>
          <w:bCs/>
          <w:sz w:val="24"/>
          <w:szCs w:val="24"/>
          <w:u w:val="single"/>
        </w:rPr>
      </w:pPr>
      <w:r>
        <w:rPr>
          <w:rFonts w:hint="eastAsia" w:ascii="宋体" w:hAnsi="宋体" w:eastAsia="宋体" w:cs="宋体"/>
          <w:sz w:val="24"/>
          <w:szCs w:val="24"/>
        </w:rPr>
        <w:t xml:space="preserve">电子邮箱：  </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p>
    <w:p w14:paraId="317A0592">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p>
    <w:p w14:paraId="1EDCDB63">
      <w:pPr>
        <w:spacing w:line="360" w:lineRule="auto"/>
        <w:rPr>
          <w:rFonts w:hint="eastAsia" w:ascii="宋体" w:hAnsi="宋体" w:eastAsia="宋体" w:cs="宋体"/>
          <w:sz w:val="24"/>
          <w:szCs w:val="24"/>
        </w:rPr>
      </w:pPr>
    </w:p>
    <w:p w14:paraId="14B51A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甲乙双方根据《中华人民共和国民法典》相关法律法规的规定及202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年度北京市司法局指挥中心及视频会议系统运维服务项目</w:t>
      </w:r>
      <w:r>
        <w:rPr>
          <w:rFonts w:hint="eastAsia" w:ascii="宋体" w:hAnsi="宋体" w:eastAsia="宋体" w:cs="宋体"/>
          <w:sz w:val="24"/>
          <w:szCs w:val="24"/>
        </w:rPr>
        <w:t>招投标文件约定，经过友好协商，现就乙方为甲方202</w:t>
      </w:r>
      <w:r>
        <w:rPr>
          <w:rFonts w:hint="eastAsia" w:ascii="宋体" w:hAnsi="宋体" w:eastAsia="宋体" w:cs="宋体"/>
          <w:sz w:val="24"/>
          <w:szCs w:val="24"/>
          <w:lang w:val="en-US" w:eastAsia="zh-CN"/>
        </w:rPr>
        <w:t>5</w:t>
      </w:r>
      <w:r>
        <w:rPr>
          <w:rFonts w:hint="eastAsia" w:ascii="宋体" w:hAnsi="宋体" w:eastAsia="宋体" w:cs="宋体"/>
          <w:sz w:val="24"/>
          <w:szCs w:val="24"/>
        </w:rPr>
        <w:t>年度北京市司法局指挥中心及视频会议系统运维服务项目提供运维服务事宜达成本合同，以资共同遵守。</w:t>
      </w:r>
    </w:p>
    <w:p w14:paraId="65C9FA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下列文件构成本合同的组成部分，应该认为是一个整体，彼此相互解释，相互补充。为了便于解释，组成合同的多个文件的优先支配地位如下：</w:t>
      </w:r>
    </w:p>
    <w:p w14:paraId="7EA2EC3A">
      <w:pPr>
        <w:numPr>
          <w:ilvl w:val="0"/>
          <w:numId w:val="1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本合同书  （B）成交通知书 （C）合同补充协议（如有）（D）合同附件 （E）</w:t>
      </w:r>
      <w:r>
        <w:rPr>
          <w:rFonts w:hint="eastAsia" w:ascii="宋体" w:hAnsi="宋体" w:eastAsia="宋体" w:cs="宋体"/>
          <w:sz w:val="24"/>
          <w:szCs w:val="24"/>
          <w:lang w:eastAsia="zh-CN"/>
        </w:rPr>
        <w:t>采购</w:t>
      </w:r>
      <w:r>
        <w:rPr>
          <w:rFonts w:hint="eastAsia" w:ascii="宋体" w:hAnsi="宋体" w:eastAsia="宋体" w:cs="宋体"/>
          <w:sz w:val="24"/>
          <w:szCs w:val="24"/>
        </w:rPr>
        <w:t>文件（含澄清文件） （F）响应文件（含响应补充文件）</w:t>
      </w:r>
    </w:p>
    <w:p w14:paraId="54422E46">
      <w:pPr>
        <w:spacing w:line="360" w:lineRule="auto"/>
        <w:rPr>
          <w:rFonts w:hint="eastAsia" w:ascii="宋体" w:hAnsi="宋体" w:eastAsia="宋体" w:cs="宋体"/>
          <w:sz w:val="24"/>
          <w:szCs w:val="24"/>
        </w:rPr>
      </w:pPr>
    </w:p>
    <w:p w14:paraId="5FC77529">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第一条 委托事项</w:t>
      </w:r>
    </w:p>
    <w:p w14:paraId="717B35E3">
      <w:pPr>
        <w:spacing w:line="360" w:lineRule="auto"/>
        <w:ind w:firstLine="480" w:firstLineChars="200"/>
        <w:rPr>
          <w:rFonts w:hint="eastAsia" w:ascii="宋体" w:hAnsi="宋体" w:eastAsia="宋体" w:cs="宋体"/>
          <w:sz w:val="24"/>
          <w:szCs w:val="24"/>
        </w:rPr>
      </w:pPr>
      <w:bookmarkStart w:id="678" w:name="_Hlk8031037"/>
      <w:r>
        <w:rPr>
          <w:rFonts w:hint="eastAsia" w:ascii="宋体" w:hAnsi="宋体" w:eastAsia="宋体" w:cs="宋体"/>
          <w:sz w:val="24"/>
          <w:szCs w:val="24"/>
        </w:rPr>
        <w:t>1.1 乙方作为2025年度北京市司法局指挥中心及视频会议系统运维服务项目服务供应商，为甲方完成指挥中心及视频会议系统运维服务工作。</w:t>
      </w:r>
    </w:p>
    <w:p w14:paraId="27CD43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甲方指挥中心及视频会议系统位于副中心办公区A2-6号楼，向上联通司法部指挥中心、横向联通市应急局、向下联通全市16区司法局指挥中心、市监狱（戒毒）局指挥中心、清河分局指挥中心、各基层监狱（戒毒所）指挥中心、市律师协会、市公共法律服务中心。</w:t>
      </w:r>
    </w:p>
    <w:p w14:paraId="039C16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根据上级要求和甲方值班职守工作需要，指挥中心24小时运行，主要用于甲方指挥中心与司法部、市应急局、各区司法局、市监狱（戒毒）局及各基层监狱（所）指挥中心、市律师协会、市公共法律服务中心等分会场日常指挥调度、每日视频点名、视频会议、重大活动值班值守、基层监所监控巡查，社区矫正、人民调解、公共法律服务等业务工作的日常值守等工作。</w:t>
      </w:r>
    </w:p>
    <w:p w14:paraId="3148B7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甲方视频会议系统平均每周召开各类会议2-3场，每次会议需提前1天左右进行设备调试，重大节假日（元旦、春节、五一、十一等）、重大活动（全国两会、法律职业资格考试等）安保期间每日召开视频会商会，12月31日召开覆盖市监狱（戒毒）局、各区司法局、各监狱及戒毒所分会场零点报告行动等。</w:t>
      </w:r>
    </w:p>
    <w:p w14:paraId="5238EE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指挥中心系统主要包括：大屏显示系统、音响扩音系统、应急指挥系统、视频会议系统、司法部视频点名系统、司法部监所视频监控整合平台等。</w:t>
      </w:r>
    </w:p>
    <w:bookmarkEnd w:id="678"/>
    <w:p w14:paraId="2B158268">
      <w:pPr>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1.6 甲方</w:t>
      </w:r>
      <w:r>
        <w:rPr>
          <w:rFonts w:hint="eastAsia" w:ascii="宋体" w:hAnsi="宋体" w:eastAsia="宋体" w:cs="宋体"/>
          <w:bCs/>
          <w:sz w:val="24"/>
          <w:szCs w:val="24"/>
        </w:rPr>
        <w:t>指挥中心及视频会议系统每日视频点名、日常指挥调度、监所视频监控系统、视频会议系统调试、保障等运维服务工作，需驻场技术服务人员2名，平时按轮班制早晚班方式值守（早7:00至15：00，15:00至23:00）；重大活动、安保期间根据甲方需要提供7</w:t>
      </w:r>
      <w:r>
        <w:rPr>
          <w:rFonts w:hint="eastAsia" w:ascii="宋体" w:hAnsi="宋体" w:eastAsia="宋体" w:cs="宋体"/>
          <w:bCs/>
          <w:sz w:val="24"/>
          <w:szCs w:val="24"/>
          <w:lang w:val="en"/>
        </w:rPr>
        <w:t>x</w:t>
      </w:r>
      <w:r>
        <w:rPr>
          <w:rFonts w:hint="eastAsia" w:ascii="宋体" w:hAnsi="宋体" w:eastAsia="宋体" w:cs="宋体"/>
          <w:bCs/>
          <w:sz w:val="24"/>
          <w:szCs w:val="24"/>
        </w:rPr>
        <w:t>24小时驻场值守服务。</w:t>
      </w:r>
    </w:p>
    <w:p w14:paraId="71E306D9">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1.7 乙方运维驻场人员需设A/B岗位，两岗位人员互补。运维项目经理定期到运维现场了解、参加运维监理会，掌握运维驻场人员实际工作情况，协调解决运维过程中出现的问题。同时，运维驻场人员需完成甲方临时安排的与运维服务有关的工作内容。</w:t>
      </w:r>
    </w:p>
    <w:p w14:paraId="69915005">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第二条 项目运维工作内容</w:t>
      </w:r>
    </w:p>
    <w:p w14:paraId="2BA86689">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2.1 指挥中心系统</w:t>
      </w:r>
    </w:p>
    <w:p w14:paraId="7D9A5A3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指挥中心系统巡检。定期对指挥中心司法部视频点名系统、监所视频监控系统等软、硬件设备运行情况进行巡检，对设备运行状态、各系统功能以及可用性等进行检查。</w:t>
      </w:r>
    </w:p>
    <w:p w14:paraId="7BE238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指挥中心系统故障处置服务。主要对相关设备故障、链路故障、显示故障、音频故障等进行故障处置。</w:t>
      </w:r>
    </w:p>
    <w:p w14:paraId="105BDC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 指挥中心系统数据整理。定期对指挥中心系统数据进行整理，备份。</w:t>
      </w:r>
    </w:p>
    <w:p w14:paraId="719FF0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2.1.4 指挥中心系统设备加固。定期对系统设备进行安全加固，保障设备可用性、稳定性。</w:t>
      </w:r>
    </w:p>
    <w:p w14:paraId="49EFC7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2.1.5 指挥中心设备机房内VRV空调、气体消防设备日常可用性巡检。</w:t>
      </w:r>
    </w:p>
    <w:p w14:paraId="1381F7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2.1.6 指挥中心重大安保期间技术保障工作。在重大节假日、活动及其他特殊时期期间根据甲方要求进行指挥中心技术保障工作。</w:t>
      </w:r>
    </w:p>
    <w:p w14:paraId="162B21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2.1.7 技术文档管理服务。根据指挥中心系统运维需要，及时总结技术维护文档，并对技术文档进行动态更新、管理。</w:t>
      </w:r>
    </w:p>
    <w:p w14:paraId="7CC25E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2.1.8 指挥中心系统维护方式包括驻场现场支持、二线支持。当出现驻场工程师不能解决的技术问题或出现紧急情况时，需要由乙方联系原厂工程师赴故障现场，解决故障。</w:t>
      </w:r>
    </w:p>
    <w:p w14:paraId="751BBC1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2.2视频会议系统</w:t>
      </w:r>
    </w:p>
    <w:p w14:paraId="4A390F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 视频会议系统巡检。定期对视频会议系统的视频输入输出、音频输入输出、集中控制、网络连通等部分进行巡检，对设备运行状态、视频会议系统各部分功能以及可用性等进行检查。</w:t>
      </w:r>
    </w:p>
    <w:p w14:paraId="1BE777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 视频会议系统联调。定期与司法部、市监狱（戒毒）管理局、16区司法局等进行视频会议系统联调测试，检查视频会议系统可用性。</w:t>
      </w:r>
    </w:p>
    <w:p w14:paraId="03FC81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2.2.3 视频会议系统故障处置服务。主要对视频会议相关设备故障、链路故障、显示故障、声音故障等进行故障处置。</w:t>
      </w:r>
    </w:p>
    <w:p w14:paraId="4879BD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2.2.4 视频会议系统数据整理。定期对视频会议系统录像数据进行整理、归档。</w:t>
      </w:r>
    </w:p>
    <w:p w14:paraId="3FB612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2.2.5 视频会议保障服务。对甲方各会议室召开的视频会议进行保障，保证甲方视频会议正常召开，保障会议期间音视频信号的切换等。</w:t>
      </w:r>
    </w:p>
    <w:p w14:paraId="7EF6E9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2.2.6 视频会议系统重大安保期间技术保障工作。在重大节假日、活动及其他特殊时期期间根据甲方要求进行视频会议系统技术保障工作，保障特殊时期视频会议正常召开。</w:t>
      </w:r>
    </w:p>
    <w:p w14:paraId="7F709CE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2.2.7 技术文档管理服务。根据视频会议系统运维需要，及时总结技术维护文档，并对技术文档进行动态更新、管理。</w:t>
      </w:r>
    </w:p>
    <w:p w14:paraId="488B3F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2.2.8 视频会议系统维护方式包括驻场现场支持、二线技术支持。当出现驻场工程师不能解决的技术问题或出现紧急情况时，需联系原厂工程师赴故障现场，解决故障。</w:t>
      </w:r>
    </w:p>
    <w:p w14:paraId="1F6168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2.2.9 乙方应关心关爱驻场运维人员，协助解决运维人员日常工作生活中的实际问题。</w:t>
      </w:r>
    </w:p>
    <w:p w14:paraId="77B04F16">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第三条 双方的权利和义务</w:t>
      </w:r>
    </w:p>
    <w:p w14:paraId="048EBFC3">
      <w:pPr>
        <w:spacing w:line="360" w:lineRule="auto"/>
        <w:ind w:firstLine="482" w:firstLineChars="200"/>
        <w:rPr>
          <w:rFonts w:hint="eastAsia" w:ascii="宋体" w:hAnsi="宋体" w:eastAsia="宋体" w:cs="宋体"/>
          <w:b/>
          <w:bCs/>
          <w:sz w:val="24"/>
          <w:szCs w:val="24"/>
        </w:rPr>
      </w:pPr>
      <w:bookmarkStart w:id="679" w:name="_Hlk8031176"/>
      <w:r>
        <w:rPr>
          <w:rFonts w:hint="eastAsia" w:ascii="宋体" w:hAnsi="宋体" w:eastAsia="宋体" w:cs="宋体"/>
          <w:b/>
          <w:bCs/>
          <w:sz w:val="24"/>
          <w:szCs w:val="24"/>
        </w:rPr>
        <w:t>3.1甲方的权利和义务</w:t>
      </w:r>
    </w:p>
    <w:p w14:paraId="032CCC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3.1.1 甲方有权依照本合同要求乙方提供本项目运维服务。</w:t>
      </w:r>
    </w:p>
    <w:p w14:paraId="032D00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3.1.2 甲方有权对乙方提供的服务提出相应建议。</w:t>
      </w:r>
    </w:p>
    <w:p w14:paraId="70ADC7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3.1.3 甲方有权对乙方提供的服务进行验收。</w:t>
      </w:r>
    </w:p>
    <w:p w14:paraId="344363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3.1.4 甲方应按照本合同第四条的规定向乙方支付服务费。</w:t>
      </w:r>
    </w:p>
    <w:p w14:paraId="21E30C70">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3.2乙方的权利和义务</w:t>
      </w:r>
    </w:p>
    <w:p w14:paraId="33A022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3.2.1 乙方应按照本合同第一条、第二条和第三条的规定为甲方提供本项目运维服务。</w:t>
      </w:r>
    </w:p>
    <w:p w14:paraId="52C0AB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 乙方应保证其提供的服务符合本合同及甲方的要求</w:t>
      </w:r>
      <w:bookmarkStart w:id="680" w:name="_Hlk8035357"/>
      <w:r>
        <w:rPr>
          <w:rFonts w:hint="eastAsia" w:ascii="宋体" w:hAnsi="宋体" w:eastAsia="宋体" w:cs="宋体"/>
          <w:sz w:val="24"/>
          <w:szCs w:val="24"/>
        </w:rPr>
        <w:t>，且应保证乙方及其工作人员不得从事任何违反法律法规、国家政策的行为</w:t>
      </w:r>
      <w:bookmarkEnd w:id="680"/>
      <w:r>
        <w:rPr>
          <w:rFonts w:hint="eastAsia" w:ascii="宋体" w:hAnsi="宋体" w:eastAsia="宋体" w:cs="宋体"/>
          <w:sz w:val="24"/>
          <w:szCs w:val="24"/>
        </w:rPr>
        <w:t>。</w:t>
      </w:r>
    </w:p>
    <w:p w14:paraId="314C4D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 乙方应按期完成项目服务，不得拖延。</w:t>
      </w:r>
    </w:p>
    <w:p w14:paraId="7D91C5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3.2.4 未经甲方书面同意，乙方不得将本合同项下权利义务或委托事项转让给第三方。</w:t>
      </w:r>
    </w:p>
    <w:p w14:paraId="460200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3.2.5 乙方应保证其提交的工作成果（及所使用的素材、软件等）、合同项下的服务活动、合同终止后涉及合同工作内容的任何行为，不会侵犯第三方知识产权等合法权益。若因此发生争议、侵权，由乙方承担全部责任和费用，并应消除对甲方的不利影响。</w:t>
      </w:r>
    </w:p>
    <w:p w14:paraId="299810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3.2.6 本合同或法律法规要求的其他义务。</w:t>
      </w:r>
    </w:p>
    <w:bookmarkEnd w:id="679"/>
    <w:p w14:paraId="3A6E7AF1">
      <w:pPr>
        <w:spacing w:before="240" w:beforeLines="100" w:after="240" w:afterLines="100" w:line="360" w:lineRule="auto"/>
        <w:outlineLvl w:val="1"/>
        <w:rPr>
          <w:rFonts w:hint="eastAsia" w:ascii="宋体" w:hAnsi="宋体" w:eastAsia="宋体" w:cs="宋体"/>
          <w:b/>
          <w:sz w:val="24"/>
          <w:szCs w:val="24"/>
        </w:rPr>
      </w:pPr>
      <w:r>
        <w:rPr>
          <w:rFonts w:hint="eastAsia" w:ascii="宋体" w:hAnsi="宋体" w:eastAsia="宋体" w:cs="宋体"/>
          <w:b/>
          <w:bCs/>
          <w:sz w:val="24"/>
          <w:szCs w:val="24"/>
        </w:rPr>
        <w:t>第四条 合同价款及支付方式</w:t>
      </w:r>
      <w:r>
        <w:rPr>
          <w:rFonts w:hint="eastAsia" w:ascii="宋体" w:hAnsi="宋体" w:eastAsia="宋体" w:cs="宋体"/>
          <w:b/>
          <w:sz w:val="24"/>
          <w:szCs w:val="24"/>
        </w:rPr>
        <w:tab/>
      </w:r>
    </w:p>
    <w:p w14:paraId="03B6F873">
      <w:pPr>
        <w:tabs>
          <w:tab w:val="left" w:pos="6679"/>
        </w:tabs>
        <w:spacing w:line="360" w:lineRule="auto"/>
        <w:ind w:firstLine="482" w:firstLineChars="200"/>
        <w:rPr>
          <w:rFonts w:hint="eastAsia" w:ascii="宋体" w:hAnsi="宋体" w:eastAsia="宋体" w:cs="宋体"/>
          <w:b/>
          <w:bCs/>
          <w:sz w:val="24"/>
          <w:szCs w:val="24"/>
        </w:rPr>
      </w:pPr>
      <w:bookmarkStart w:id="681" w:name="_Hlk8031329"/>
      <w:r>
        <w:rPr>
          <w:rFonts w:hint="eastAsia" w:ascii="宋体" w:hAnsi="宋体" w:eastAsia="宋体" w:cs="宋体"/>
          <w:b/>
          <w:bCs/>
          <w:sz w:val="24"/>
          <w:szCs w:val="24"/>
        </w:rPr>
        <w:t>4.1</w:t>
      </w:r>
      <w:bookmarkEnd w:id="681"/>
      <w:bookmarkStart w:id="682" w:name="_Hlk8031444"/>
      <w:r>
        <w:rPr>
          <w:rFonts w:hint="eastAsia" w:ascii="宋体" w:hAnsi="宋体" w:eastAsia="宋体" w:cs="宋体"/>
          <w:b/>
          <w:bCs/>
          <w:sz w:val="24"/>
          <w:szCs w:val="24"/>
        </w:rPr>
        <w:t xml:space="preserve"> 合同价款</w:t>
      </w:r>
    </w:p>
    <w:p w14:paraId="45B8EE01">
      <w:pPr>
        <w:tabs>
          <w:tab w:val="left" w:pos="6679"/>
        </w:tabs>
        <w:spacing w:line="360" w:lineRule="auto"/>
        <w:ind w:left="719" w:leftChars="228" w:hanging="240" w:hangingChars="100"/>
        <w:jc w:val="left"/>
        <w:rPr>
          <w:rFonts w:hint="eastAsia" w:ascii="宋体" w:hAnsi="宋体" w:eastAsia="宋体" w:cs="宋体"/>
          <w:bCs/>
          <w:sz w:val="24"/>
          <w:szCs w:val="24"/>
          <w:u w:val="single"/>
        </w:rPr>
      </w:pPr>
      <w:r>
        <w:rPr>
          <w:rFonts w:hint="eastAsia" w:ascii="宋体" w:hAnsi="宋体" w:eastAsia="宋体" w:cs="宋体"/>
          <w:bCs/>
          <w:sz w:val="24"/>
          <w:szCs w:val="24"/>
        </w:rPr>
        <w:t>本项目的合同价款（含税）人民币</w:t>
      </w:r>
      <w:r>
        <w:rPr>
          <w:rFonts w:hint="eastAsia" w:ascii="宋体" w:hAnsi="宋体" w:eastAsia="宋体" w:cs="宋体"/>
          <w:b/>
          <w:sz w:val="24"/>
          <w:szCs w:val="24"/>
          <w:u w:val="single"/>
        </w:rPr>
        <w:t xml:space="preserve">¥         </w:t>
      </w:r>
      <w:r>
        <w:rPr>
          <w:rFonts w:hint="eastAsia" w:ascii="宋体" w:hAnsi="宋体" w:eastAsia="宋体" w:cs="宋体"/>
          <w:bCs/>
          <w:sz w:val="24"/>
          <w:szCs w:val="24"/>
        </w:rPr>
        <w:t>元；人民币大写：</w:t>
      </w:r>
      <w:r>
        <w:rPr>
          <w:rFonts w:hint="eastAsia" w:ascii="宋体" w:hAnsi="宋体" w:eastAsia="宋体" w:cs="宋体"/>
          <w:bCs/>
          <w:sz w:val="24"/>
          <w:szCs w:val="24"/>
          <w:u w:val="single"/>
        </w:rPr>
        <w:t xml:space="preserve">         </w:t>
      </w:r>
    </w:p>
    <w:p w14:paraId="5FA3BC40">
      <w:pPr>
        <w:tabs>
          <w:tab w:val="left" w:pos="6679"/>
        </w:tabs>
        <w:spacing w:line="360" w:lineRule="auto"/>
        <w:jc w:val="left"/>
        <w:rPr>
          <w:rFonts w:hint="eastAsia" w:ascii="宋体" w:hAnsi="宋体" w:eastAsia="宋体" w:cs="宋体"/>
          <w:bCs/>
          <w:sz w:val="24"/>
          <w:szCs w:val="24"/>
        </w:rPr>
      </w:pPr>
      <w:r>
        <w:rPr>
          <w:rFonts w:hint="eastAsia" w:ascii="宋体" w:hAnsi="宋体" w:eastAsia="宋体" w:cs="宋体"/>
          <w:bCs/>
          <w:sz w:val="24"/>
          <w:szCs w:val="24"/>
          <w:u w:val="single"/>
        </w:rPr>
        <w:t xml:space="preserve">            </w:t>
      </w:r>
      <w:r>
        <w:rPr>
          <w:rFonts w:hint="eastAsia" w:ascii="宋体" w:hAnsi="宋体" w:eastAsia="宋体" w:cs="宋体"/>
          <w:bCs/>
          <w:sz w:val="24"/>
          <w:szCs w:val="24"/>
        </w:rPr>
        <w:t>元整）。详见附件1：分项报价。</w:t>
      </w:r>
    </w:p>
    <w:p w14:paraId="5B574CF1">
      <w:pPr>
        <w:tabs>
          <w:tab w:val="left" w:pos="6679"/>
        </w:tabs>
        <w:spacing w:before="240" w:beforeLines="100" w:after="240" w:afterLines="100" w:line="360" w:lineRule="auto"/>
        <w:ind w:firstLine="482" w:firstLineChars="200"/>
        <w:rPr>
          <w:rFonts w:hint="eastAsia" w:ascii="宋体" w:hAnsi="宋体" w:eastAsia="宋体" w:cs="宋体"/>
          <w:bCs/>
          <w:kern w:val="44"/>
          <w:sz w:val="24"/>
          <w:szCs w:val="24"/>
        </w:rPr>
      </w:pPr>
      <w:r>
        <w:rPr>
          <w:rFonts w:hint="eastAsia" w:ascii="宋体" w:hAnsi="宋体" w:eastAsia="宋体" w:cs="宋体"/>
          <w:b/>
          <w:bCs/>
          <w:sz w:val="24"/>
          <w:szCs w:val="24"/>
        </w:rPr>
        <w:t>4.2 支付方式</w:t>
      </w:r>
    </w:p>
    <w:p w14:paraId="0CDEF13B">
      <w:pPr>
        <w:snapToGrid w:val="0"/>
        <w:spacing w:line="360" w:lineRule="auto"/>
        <w:ind w:firstLine="480" w:firstLineChars="200"/>
        <w:rPr>
          <w:rFonts w:hint="eastAsia" w:ascii="宋体" w:hAnsi="宋体" w:eastAsia="宋体" w:cs="宋体"/>
          <w:bCs/>
          <w:kern w:val="44"/>
          <w:sz w:val="24"/>
          <w:szCs w:val="24"/>
        </w:rPr>
      </w:pPr>
      <w:r>
        <w:rPr>
          <w:rFonts w:hint="eastAsia" w:ascii="宋体" w:hAnsi="宋体" w:eastAsia="宋体" w:cs="宋体"/>
          <w:bCs/>
          <w:kern w:val="44"/>
          <w:sz w:val="24"/>
          <w:szCs w:val="24"/>
        </w:rPr>
        <w:t>本项目服务期为12个月，每月服务费单价为合同总价款除以服务月数。202</w:t>
      </w:r>
      <w:r>
        <w:rPr>
          <w:rFonts w:hint="eastAsia" w:ascii="宋体" w:hAnsi="宋体" w:eastAsia="宋体" w:cs="宋体"/>
          <w:bCs/>
          <w:kern w:val="44"/>
          <w:sz w:val="24"/>
          <w:szCs w:val="24"/>
          <w:lang w:val="en-US" w:eastAsia="zh-CN"/>
        </w:rPr>
        <w:t>5</w:t>
      </w:r>
      <w:r>
        <w:rPr>
          <w:rFonts w:hint="eastAsia" w:ascii="宋体" w:hAnsi="宋体" w:eastAsia="宋体" w:cs="宋体"/>
          <w:bCs/>
          <w:kern w:val="44"/>
          <w:sz w:val="24"/>
          <w:szCs w:val="24"/>
        </w:rPr>
        <w:t>年度累计支付10个月的服务费，其中：本合同生效后7个工作日内，甲方支付乙方首笔5个服务月数的合同价款，即人民币大写：</w:t>
      </w:r>
      <w:r>
        <w:rPr>
          <w:rFonts w:hint="eastAsia" w:ascii="宋体" w:hAnsi="宋体" w:eastAsia="宋体" w:cs="宋体"/>
          <w:bCs/>
          <w:kern w:val="44"/>
          <w:sz w:val="24"/>
          <w:szCs w:val="24"/>
          <w:u w:val="single"/>
        </w:rPr>
        <w:t xml:space="preserve">            </w:t>
      </w:r>
      <w:r>
        <w:rPr>
          <w:rFonts w:hint="eastAsia" w:ascii="宋体" w:hAnsi="宋体" w:eastAsia="宋体" w:cs="宋体"/>
          <w:bCs/>
          <w:kern w:val="44"/>
          <w:sz w:val="24"/>
          <w:szCs w:val="24"/>
        </w:rPr>
        <w:t xml:space="preserve">元（计¥ </w:t>
      </w:r>
      <w:r>
        <w:rPr>
          <w:rFonts w:hint="eastAsia" w:ascii="宋体" w:hAnsi="宋体" w:eastAsia="宋体" w:cs="宋体"/>
          <w:bCs/>
          <w:kern w:val="44"/>
          <w:sz w:val="24"/>
          <w:szCs w:val="24"/>
          <w:u w:val="single"/>
        </w:rPr>
        <w:t xml:space="preserve">          </w:t>
      </w:r>
      <w:r>
        <w:rPr>
          <w:rFonts w:hint="eastAsia" w:ascii="宋体" w:hAnsi="宋体" w:eastAsia="宋体" w:cs="宋体"/>
          <w:bCs/>
          <w:kern w:val="44"/>
          <w:sz w:val="24"/>
          <w:szCs w:val="24"/>
        </w:rPr>
        <w:t>元）；项目执行满4个月后，甲方支付乙方5个服务月数的合同价款，即人民币大写：</w:t>
      </w:r>
      <w:r>
        <w:rPr>
          <w:rFonts w:hint="eastAsia" w:ascii="宋体" w:hAnsi="宋体" w:eastAsia="宋体" w:cs="宋体"/>
          <w:bCs/>
          <w:kern w:val="44"/>
          <w:sz w:val="24"/>
          <w:szCs w:val="24"/>
          <w:u w:val="single"/>
        </w:rPr>
        <w:t xml:space="preserve">            </w:t>
      </w:r>
      <w:r>
        <w:rPr>
          <w:rFonts w:hint="eastAsia" w:ascii="宋体" w:hAnsi="宋体" w:eastAsia="宋体" w:cs="宋体"/>
          <w:bCs/>
          <w:kern w:val="44"/>
          <w:sz w:val="24"/>
          <w:szCs w:val="24"/>
        </w:rPr>
        <w:t>元（计¥</w:t>
      </w:r>
      <w:r>
        <w:rPr>
          <w:rFonts w:hint="eastAsia" w:ascii="宋体" w:hAnsi="宋体" w:eastAsia="宋体" w:cs="宋体"/>
          <w:bCs/>
          <w:kern w:val="44"/>
          <w:sz w:val="24"/>
          <w:szCs w:val="24"/>
          <w:u w:val="single"/>
        </w:rPr>
        <w:t xml:space="preserve">           </w:t>
      </w:r>
      <w:r>
        <w:rPr>
          <w:rFonts w:hint="eastAsia" w:ascii="宋体" w:hAnsi="宋体" w:eastAsia="宋体" w:cs="宋体"/>
          <w:bCs/>
          <w:kern w:val="44"/>
          <w:sz w:val="24"/>
          <w:szCs w:val="24"/>
        </w:rPr>
        <w:t>元）。项目执行期满，经甲方验收合格且乙方不存在违约情形的，甲方支付乙方剩余2个服务月数的合同价款，即人民币大写：</w:t>
      </w:r>
      <w:r>
        <w:rPr>
          <w:rFonts w:hint="eastAsia" w:ascii="宋体" w:hAnsi="宋体" w:eastAsia="宋体" w:cs="宋体"/>
          <w:bCs/>
          <w:kern w:val="44"/>
          <w:sz w:val="24"/>
          <w:szCs w:val="24"/>
          <w:u w:val="single"/>
        </w:rPr>
        <w:t xml:space="preserve">            </w:t>
      </w:r>
      <w:r>
        <w:rPr>
          <w:rFonts w:hint="eastAsia" w:ascii="宋体" w:hAnsi="宋体" w:eastAsia="宋体" w:cs="宋体"/>
          <w:bCs/>
          <w:kern w:val="44"/>
          <w:sz w:val="24"/>
          <w:szCs w:val="24"/>
        </w:rPr>
        <w:t xml:space="preserve">元（计¥ </w:t>
      </w:r>
      <w:r>
        <w:rPr>
          <w:rFonts w:hint="eastAsia" w:ascii="宋体" w:hAnsi="宋体" w:eastAsia="宋体" w:cs="宋体"/>
          <w:bCs/>
          <w:kern w:val="44"/>
          <w:sz w:val="24"/>
          <w:szCs w:val="24"/>
          <w:u w:val="single"/>
        </w:rPr>
        <w:t xml:space="preserve">          </w:t>
      </w:r>
      <w:r>
        <w:rPr>
          <w:rFonts w:hint="eastAsia" w:ascii="宋体" w:hAnsi="宋体" w:eastAsia="宋体" w:cs="宋体"/>
          <w:bCs/>
          <w:kern w:val="44"/>
          <w:sz w:val="24"/>
          <w:szCs w:val="24"/>
        </w:rPr>
        <w:t>元）。</w:t>
      </w:r>
    </w:p>
    <w:p w14:paraId="25F6EEEA">
      <w:pPr>
        <w:spacing w:before="240" w:beforeLines="100" w:after="240" w:afterLines="10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4.3 甲方全部款项支付到乙方指定银行账户：</w:t>
      </w:r>
    </w:p>
    <w:p w14:paraId="31AC4E5B">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p>
    <w:p w14:paraId="70F8DE03">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bCs/>
          <w:sz w:val="24"/>
          <w:szCs w:val="24"/>
          <w:u w:val="single"/>
        </w:rPr>
        <w:t xml:space="preserve">                                   </w:t>
      </w:r>
    </w:p>
    <w:p w14:paraId="00F8C64C">
      <w:pPr>
        <w:spacing w:line="360" w:lineRule="auto"/>
        <w:ind w:right="439" w:rightChars="209" w:firstLine="720" w:firstLineChars="300"/>
        <w:rPr>
          <w:rFonts w:hint="eastAsia"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bCs/>
          <w:sz w:val="24"/>
          <w:szCs w:val="24"/>
          <w:u w:val="single"/>
        </w:rPr>
        <w:t xml:space="preserve">                            </w:t>
      </w:r>
      <w:bookmarkStart w:id="683" w:name="_Hlk8031413"/>
      <w:r>
        <w:rPr>
          <w:rFonts w:hint="eastAsia" w:ascii="宋体" w:hAnsi="宋体" w:eastAsia="宋体" w:cs="宋体"/>
          <w:bCs/>
          <w:sz w:val="24"/>
          <w:szCs w:val="24"/>
          <w:u w:val="single"/>
        </w:rPr>
        <w:t xml:space="preserve">       </w:t>
      </w:r>
    </w:p>
    <w:p w14:paraId="61D764C3">
      <w:pPr>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如乙方上述收款账户信息发生变更的，乙方应及时通知甲方。因乙方原因未及时通知所造成的损失，由乙方自行承担。</w:t>
      </w:r>
    </w:p>
    <w:bookmarkEnd w:id="683"/>
    <w:p w14:paraId="6BA263F4">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4.4 乙方应在甲方付款前，向甲方提供与付款金额等额且合法有效的发票，</w:t>
      </w:r>
      <w:r>
        <w:rPr>
          <w:rFonts w:hint="eastAsia" w:ascii="宋体" w:hAnsi="宋体" w:eastAsia="宋体" w:cs="宋体"/>
          <w:b/>
          <w:sz w:val="24"/>
          <w:szCs w:val="24"/>
        </w:rPr>
        <w:t>如乙方怠于向甲方提供发票或违反本合同任一义务的，甲方有权拒绝支付任何一笔服务费用，且无需承担任何违约责任。</w:t>
      </w:r>
    </w:p>
    <w:p w14:paraId="72816359">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4.5 乙方确认并承诺，由于甲方资金为财政性资金，如由于财政资金拨付不足或不及时导致延期付款的，不视为甲方违约，甲方不因此承担任何违约责任</w:t>
      </w:r>
      <w:bookmarkEnd w:id="682"/>
      <w:r>
        <w:rPr>
          <w:rFonts w:hint="eastAsia" w:ascii="宋体" w:hAnsi="宋体" w:eastAsia="宋体" w:cs="宋体"/>
          <w:b/>
          <w:sz w:val="24"/>
          <w:szCs w:val="24"/>
        </w:rPr>
        <w:t>。</w:t>
      </w:r>
    </w:p>
    <w:p w14:paraId="7D90B159">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第五条 保密条款</w:t>
      </w:r>
    </w:p>
    <w:p w14:paraId="6DC66D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乙方因承接本合同约定项目所知悉的该项目信息或甲方信息，以及在项目实施过程中所产生的与该项目有关的全部信息均为甲方的保密信息，乙方应对上述保密信息承担保密义务。未经甲方书面同意，乙方不得将甲方保密信息透露给任何第三方。</w:t>
      </w:r>
    </w:p>
    <w:p w14:paraId="21C601C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 乙方应对上述保密信息予以妥善保存，并保证仅将其用于与完成本合同项下约定项目实施有关的用途或目的。在缺少相关保密条款约定时，对上述保密信息，乙方应至少采取适用于对自己保密信息进行保护的同等保护措施和审慎程度进行保密。</w:t>
      </w:r>
    </w:p>
    <w:p w14:paraId="189B8E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 乙方保证将保密信息的披露范围严格控制在直接从事该项目工作且因工作需要有必要知悉保密信息的工作人员范围内，对乙方非从事该项目的人员一律严格保密。</w:t>
      </w:r>
    </w:p>
    <w:p w14:paraId="023960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 乙方应保证在向其工作人员披露甲方的保密信息前，认真做好员工的保密教育工作，明确告知其将知悉的信息为甲方的保密信息，并明确告知其需承担的保密义务及泄密所应承担的法律责任，并要求全体参与该项目的人员签署书面《保密协议》。</w:t>
      </w:r>
    </w:p>
    <w:p w14:paraId="6E8FD5F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5.5 任何时间内，一经甲方提出要求，乙方应按照甲方指示在收到甲方书面通知后5日内将含有保密信息的所有文件或其他资料归还甲方，且不得擅自复制留存。</w:t>
      </w:r>
    </w:p>
    <w:p w14:paraId="1BE321E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5.6 非经甲方特别授权，甲方向乙方提供的任何保密信息并不包括授予乙方该保密信息包含的任何专利权、商标权、著作权、商业秘密或其它类型的知识产权。</w:t>
      </w:r>
    </w:p>
    <w:p w14:paraId="482C96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5.7 乙方承担上述保密义务的期限：见附件（2）：保密协议。</w:t>
      </w:r>
    </w:p>
    <w:p w14:paraId="587D4BF4">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5.8 承担上述保密义务的责任主体为乙方（含乙方工作人员）。如乙方或乙方工作人员违反了上述保密义务，给甲方造成损失的，乙方均应向甲方承担全部责任，并赔偿因此给甲方造成的全部损失。</w:t>
      </w:r>
    </w:p>
    <w:p w14:paraId="3678D97B">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第六条 验收时间及方式</w:t>
      </w:r>
    </w:p>
    <w:p w14:paraId="05FE92DB">
      <w:pPr>
        <w:widowControl/>
        <w:spacing w:line="360" w:lineRule="auto"/>
        <w:ind w:left="12"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6.1 合同履约期满6个月，甲方应于乙方提出验收申请后7个工作日内对乙方服务进行中期验收。</w:t>
      </w:r>
    </w:p>
    <w:p w14:paraId="0CC22030">
      <w:pPr>
        <w:widowControl/>
        <w:spacing w:line="360" w:lineRule="auto"/>
        <w:ind w:left="12"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6.2 合同履约期满12个月，甲方应于乙方提出验收申请后7个工作日内对乙方服务进行终验。</w:t>
      </w:r>
    </w:p>
    <w:p w14:paraId="5802D508">
      <w:pPr>
        <w:widowControl/>
        <w:spacing w:line="360" w:lineRule="auto"/>
        <w:ind w:left="12"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6.3 乙方应在验收前向甲方提供详细验收申请、验收计划、验收方案、总结报告等材料后，应当接受甲方或甲方聘请的专家对其工作成果进行质量评审。</w:t>
      </w:r>
    </w:p>
    <w:p w14:paraId="4CB78F5A">
      <w:pPr>
        <w:widowControl/>
        <w:spacing w:line="360" w:lineRule="auto"/>
        <w:ind w:left="12"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6.4 乙方项目负责人应当对工作情况做出必要说明，并可以对质量评审结论申述意见。</w:t>
      </w:r>
    </w:p>
    <w:p w14:paraId="2FBD8813">
      <w:pPr>
        <w:widowControl/>
        <w:spacing w:line="360" w:lineRule="auto"/>
        <w:ind w:left="12"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6.5 如乙方提交的工作成果未通过质量评审的，乙方应当在甲方规定的期限内进行修改并承担修改费用，并重新申请评审验收；如乙方未在甲方规定的期限内完成修改工作或者经修改后仍未能通过质量评审的，乙方应当承担违约责任并赔偿由此给甲方造成的全部损失。</w:t>
      </w:r>
    </w:p>
    <w:p w14:paraId="2B596442">
      <w:pPr>
        <w:widowControl/>
        <w:spacing w:line="360" w:lineRule="auto"/>
        <w:ind w:left="12"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6.6 乙方提交的委托项目工作成果通过质量评审的，经甲方或甲方聘请的专家签字确认后，作为委托项目工作成果验收合格的依据。</w:t>
      </w:r>
    </w:p>
    <w:p w14:paraId="0482A577">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第七条 违约责任</w:t>
      </w:r>
    </w:p>
    <w:p w14:paraId="29775C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由于甲方原因调整项目而导致乙方服务成本提高的，由甲乙双方另行协商追加服务费有关事宜。</w:t>
      </w:r>
    </w:p>
    <w:p w14:paraId="7A62C667">
      <w:pPr>
        <w:spacing w:line="360" w:lineRule="auto"/>
        <w:ind w:firstLine="480" w:firstLineChars="200"/>
        <w:rPr>
          <w:rFonts w:hint="eastAsia" w:ascii="宋体" w:hAnsi="宋体" w:eastAsia="宋体" w:cs="宋体"/>
          <w:sz w:val="24"/>
          <w:szCs w:val="24"/>
        </w:rPr>
      </w:pPr>
      <w:bookmarkStart w:id="684" w:name="_Hlk8035525"/>
      <w:r>
        <w:rPr>
          <w:rFonts w:hint="eastAsia" w:ascii="宋体" w:hAnsi="宋体" w:eastAsia="宋体" w:cs="宋体"/>
          <w:sz w:val="24"/>
          <w:szCs w:val="24"/>
        </w:rPr>
        <w:t>7.2 如由于乙方违约导致甲方采取诉讼等司法手段保障合法权益的，乙方除需赔偿甲方直接损失外，还应赔偿甲方为此支出的合理费用（包括但不限于甲方支出的诉讼费、律师费、保全费、公告费等）。</w:t>
      </w:r>
      <w:bookmarkEnd w:id="684"/>
    </w:p>
    <w:p w14:paraId="5AB41C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 如乙方在合同约定期限内未完成全部工作，每逾期一天，应向甲方支付合同总价款的</w:t>
      </w:r>
      <w:r>
        <w:rPr>
          <w:rFonts w:hint="eastAsia" w:ascii="宋体" w:hAnsi="宋体" w:eastAsia="宋体" w:cs="宋体"/>
          <w:bCs/>
          <w:sz w:val="24"/>
          <w:szCs w:val="24"/>
        </w:rPr>
        <w:t>【</w:t>
      </w:r>
      <w:r>
        <w:rPr>
          <w:rFonts w:hint="eastAsia" w:ascii="宋体" w:hAnsi="宋体" w:eastAsia="宋体" w:cs="宋体"/>
          <w:sz w:val="24"/>
          <w:szCs w:val="24"/>
        </w:rPr>
        <w:t>0.1%</w:t>
      </w:r>
      <w:r>
        <w:rPr>
          <w:rFonts w:hint="eastAsia" w:ascii="宋体" w:hAnsi="宋体" w:eastAsia="宋体" w:cs="宋体"/>
          <w:bCs/>
          <w:sz w:val="24"/>
          <w:szCs w:val="24"/>
        </w:rPr>
        <w:t>】</w:t>
      </w:r>
      <w:r>
        <w:rPr>
          <w:rFonts w:hint="eastAsia" w:ascii="宋体" w:hAnsi="宋体" w:eastAsia="宋体" w:cs="宋体"/>
          <w:sz w:val="24"/>
          <w:szCs w:val="24"/>
        </w:rPr>
        <w:t>的违约金，逾期超过</w:t>
      </w:r>
      <w:r>
        <w:rPr>
          <w:rFonts w:hint="eastAsia" w:ascii="宋体" w:hAnsi="宋体" w:eastAsia="宋体" w:cs="宋体"/>
          <w:bCs/>
          <w:sz w:val="24"/>
          <w:szCs w:val="24"/>
        </w:rPr>
        <w:t>【</w:t>
      </w:r>
      <w:r>
        <w:rPr>
          <w:rFonts w:hint="eastAsia" w:ascii="宋体" w:hAnsi="宋体" w:eastAsia="宋体" w:cs="宋体"/>
          <w:sz w:val="24"/>
          <w:szCs w:val="24"/>
        </w:rPr>
        <w:t>10</w:t>
      </w:r>
      <w:r>
        <w:rPr>
          <w:rFonts w:hint="eastAsia" w:ascii="宋体" w:hAnsi="宋体" w:eastAsia="宋体" w:cs="宋体"/>
          <w:bCs/>
          <w:sz w:val="24"/>
          <w:szCs w:val="24"/>
        </w:rPr>
        <w:t>】</w:t>
      </w:r>
      <w:r>
        <w:rPr>
          <w:rFonts w:hint="eastAsia" w:ascii="宋体" w:hAnsi="宋体" w:eastAsia="宋体" w:cs="宋体"/>
          <w:sz w:val="24"/>
          <w:szCs w:val="24"/>
        </w:rPr>
        <w:t>天的，甲方有权解除合同并要求乙方支付合同总价款的</w:t>
      </w:r>
      <w:r>
        <w:rPr>
          <w:rFonts w:hint="eastAsia" w:ascii="宋体" w:hAnsi="宋体" w:eastAsia="宋体" w:cs="宋体"/>
          <w:bCs/>
          <w:sz w:val="24"/>
          <w:szCs w:val="24"/>
        </w:rPr>
        <w:t>【</w:t>
      </w:r>
      <w:r>
        <w:rPr>
          <w:rFonts w:hint="eastAsia" w:ascii="宋体" w:hAnsi="宋体" w:eastAsia="宋体" w:cs="宋体"/>
          <w:sz w:val="24"/>
          <w:szCs w:val="24"/>
        </w:rPr>
        <w:t>10%</w:t>
      </w:r>
      <w:r>
        <w:rPr>
          <w:rFonts w:hint="eastAsia" w:ascii="宋体" w:hAnsi="宋体" w:eastAsia="宋体" w:cs="宋体"/>
          <w:bCs/>
          <w:sz w:val="24"/>
          <w:szCs w:val="24"/>
        </w:rPr>
        <w:t>】</w:t>
      </w:r>
      <w:r>
        <w:rPr>
          <w:rFonts w:hint="eastAsia" w:ascii="宋体" w:hAnsi="宋体" w:eastAsia="宋体" w:cs="宋体"/>
          <w:sz w:val="24"/>
          <w:szCs w:val="24"/>
        </w:rPr>
        <w:t>的违约金，如违约金不足以弥补甲方因此遭受的经济损失，乙方仍应承担赔偿责任。</w:t>
      </w:r>
    </w:p>
    <w:p w14:paraId="304F74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如果甲方在验收过程中发现乙方的工作不符合要求，甲方有权要求乙方在规定时间内整改，如乙方未在甲方规定时间内完成整改或整改后仍不符合甲方要求的，甲方有权要求乙方退还甲方已支付但未完成工作部分的对应价款，同时乙方应向甲方支付合同总价款的</w:t>
      </w:r>
      <w:r>
        <w:rPr>
          <w:rFonts w:hint="eastAsia" w:ascii="宋体" w:hAnsi="宋体" w:eastAsia="宋体" w:cs="宋体"/>
          <w:bCs/>
          <w:sz w:val="24"/>
          <w:szCs w:val="24"/>
        </w:rPr>
        <w:t>【</w:t>
      </w:r>
      <w:r>
        <w:rPr>
          <w:rFonts w:hint="eastAsia" w:ascii="宋体" w:hAnsi="宋体" w:eastAsia="宋体" w:cs="宋体"/>
          <w:sz w:val="24"/>
          <w:szCs w:val="24"/>
        </w:rPr>
        <w:t>10%</w:t>
      </w:r>
      <w:r>
        <w:rPr>
          <w:rFonts w:hint="eastAsia" w:ascii="宋体" w:hAnsi="宋体" w:eastAsia="宋体" w:cs="宋体"/>
          <w:bCs/>
          <w:sz w:val="24"/>
          <w:szCs w:val="24"/>
        </w:rPr>
        <w:t>】</w:t>
      </w:r>
      <w:r>
        <w:rPr>
          <w:rFonts w:hint="eastAsia" w:ascii="宋体" w:hAnsi="宋体" w:eastAsia="宋体" w:cs="宋体"/>
          <w:sz w:val="24"/>
          <w:szCs w:val="24"/>
        </w:rPr>
        <w:t>的违约金。</w:t>
      </w:r>
    </w:p>
    <w:p w14:paraId="4A6B83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7.5 甲方因自身原因逾期付款的，每逾期一日，应按合同总价款的</w:t>
      </w:r>
      <w:r>
        <w:rPr>
          <w:rFonts w:hint="eastAsia" w:ascii="宋体" w:hAnsi="宋体" w:eastAsia="宋体" w:cs="宋体"/>
          <w:bCs/>
          <w:sz w:val="24"/>
          <w:szCs w:val="24"/>
        </w:rPr>
        <w:t>【</w:t>
      </w:r>
      <w:r>
        <w:rPr>
          <w:rFonts w:hint="eastAsia" w:ascii="宋体" w:hAnsi="宋体" w:eastAsia="宋体" w:cs="宋体"/>
          <w:sz w:val="24"/>
          <w:szCs w:val="24"/>
        </w:rPr>
        <w:t>0.1%</w:t>
      </w:r>
      <w:r>
        <w:rPr>
          <w:rFonts w:hint="eastAsia" w:ascii="宋体" w:hAnsi="宋体" w:eastAsia="宋体" w:cs="宋体"/>
          <w:bCs/>
          <w:sz w:val="24"/>
          <w:szCs w:val="24"/>
        </w:rPr>
        <w:t>】</w:t>
      </w:r>
      <w:r>
        <w:rPr>
          <w:rFonts w:hint="eastAsia" w:ascii="宋体" w:hAnsi="宋体" w:eastAsia="宋体" w:cs="宋体"/>
          <w:sz w:val="24"/>
          <w:szCs w:val="24"/>
        </w:rPr>
        <w:t>向乙方支付违约金。</w:t>
      </w:r>
    </w:p>
    <w:p w14:paraId="3B8711DE">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第八条 合同解除</w:t>
      </w:r>
    </w:p>
    <w:p w14:paraId="03AE3E21">
      <w:pPr>
        <w:spacing w:line="360" w:lineRule="auto"/>
        <w:ind w:firstLine="480" w:firstLineChars="200"/>
        <w:rPr>
          <w:rFonts w:hint="eastAsia" w:ascii="宋体" w:hAnsi="宋体" w:eastAsia="宋体" w:cs="宋体"/>
          <w:bCs/>
          <w:sz w:val="24"/>
          <w:szCs w:val="24"/>
        </w:rPr>
      </w:pPr>
      <w:bookmarkStart w:id="685" w:name="_Hlk8031680"/>
      <w:r>
        <w:rPr>
          <w:rFonts w:hint="eastAsia" w:ascii="宋体" w:hAnsi="宋体" w:eastAsia="宋体" w:cs="宋体"/>
          <w:bCs/>
          <w:sz w:val="24"/>
          <w:szCs w:val="24"/>
        </w:rPr>
        <w:t>8.1 经甲乙双方协商一致，可以提前解除本合同。</w:t>
      </w:r>
    </w:p>
    <w:p w14:paraId="796788B6">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8.2乙方发生以下情形之一的，甲方有权解除本合同：</w:t>
      </w:r>
    </w:p>
    <w:p w14:paraId="6D0255D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8.2.1 乙方擅自将本合同权利义务或委托事项转让给第三方；</w:t>
      </w:r>
    </w:p>
    <w:p w14:paraId="359A6431">
      <w:pPr>
        <w:spacing w:line="360" w:lineRule="auto"/>
        <w:ind w:left="479" w:leftChars="228"/>
        <w:rPr>
          <w:rFonts w:hint="eastAsia" w:ascii="宋体" w:hAnsi="宋体" w:eastAsia="宋体" w:cs="宋体"/>
          <w:bCs/>
          <w:sz w:val="24"/>
          <w:szCs w:val="24"/>
        </w:rPr>
      </w:pPr>
      <w:r>
        <w:rPr>
          <w:rFonts w:hint="eastAsia" w:ascii="宋体" w:hAnsi="宋体" w:eastAsia="宋体" w:cs="宋体"/>
          <w:bCs/>
          <w:sz w:val="24"/>
          <w:szCs w:val="24"/>
        </w:rPr>
        <w:t>8.2.2 乙方提供的项目服务不符合本合同及甲方要求，未通过甲方验收，乙方</w:t>
      </w:r>
      <w:r>
        <w:rPr>
          <w:rFonts w:hint="eastAsia" w:ascii="宋体" w:hAnsi="宋体" w:eastAsia="宋体" w:cs="宋体"/>
          <w:sz w:val="24"/>
          <w:szCs w:val="24"/>
        </w:rPr>
        <w:t>未在甲方规定时间内完成整改或整改后仍不符合甲方要求的</w:t>
      </w:r>
      <w:r>
        <w:rPr>
          <w:rFonts w:hint="eastAsia" w:ascii="宋体" w:hAnsi="宋体" w:eastAsia="宋体" w:cs="宋体"/>
          <w:bCs/>
          <w:sz w:val="24"/>
          <w:szCs w:val="24"/>
        </w:rPr>
        <w:t>；</w:t>
      </w:r>
    </w:p>
    <w:p w14:paraId="4D1EE1DF">
      <w:pPr>
        <w:spacing w:line="360" w:lineRule="auto"/>
        <w:ind w:left="479" w:leftChars="228"/>
        <w:rPr>
          <w:rFonts w:hint="eastAsia" w:ascii="宋体" w:hAnsi="宋体" w:eastAsia="宋体" w:cs="宋体"/>
          <w:bCs/>
          <w:sz w:val="24"/>
          <w:szCs w:val="24"/>
        </w:rPr>
      </w:pPr>
      <w:r>
        <w:rPr>
          <w:rFonts w:hint="eastAsia" w:ascii="宋体" w:hAnsi="宋体" w:eastAsia="宋体" w:cs="宋体"/>
          <w:bCs/>
          <w:sz w:val="24"/>
          <w:szCs w:val="24"/>
        </w:rPr>
        <w:t>8.2.3 乙方未按时向甲方提供服务超过【10】日的；</w:t>
      </w:r>
    </w:p>
    <w:p w14:paraId="4A9064A1">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8.2.4 法律规定的及本合同约定的其他甲方解除合同的情形。</w:t>
      </w:r>
    </w:p>
    <w:p w14:paraId="3CA96F24">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8.3 甲方以书面通知方式解除本合同的，本合同自解除通知到达乙方之日解除，本合同的解除并不免除乙方根据本合同应承担的违约责任。双方以协商方式解除本合同的，以双方达成的书面协议约定的合同解除日为本合同解除之日。</w:t>
      </w:r>
    </w:p>
    <w:p w14:paraId="6E2A5B23">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8.4 如由于乙方违约原因导致本合同解除的，乙方应向甲方返还甲方已支付但未履行的服务费用，且甲方有权拒绝支付剩余合同款项。</w:t>
      </w:r>
      <w:bookmarkEnd w:id="685"/>
    </w:p>
    <w:p w14:paraId="74B0420A">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第九条 其他约定</w:t>
      </w:r>
    </w:p>
    <w:p w14:paraId="4FD394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w:t>
      </w:r>
      <w:bookmarkStart w:id="686" w:name="_Hlk8031737"/>
      <w:r>
        <w:rPr>
          <w:rFonts w:hint="eastAsia" w:ascii="宋体" w:hAnsi="宋体" w:eastAsia="宋体" w:cs="宋体"/>
          <w:sz w:val="24"/>
          <w:szCs w:val="24"/>
        </w:rPr>
        <w:t xml:space="preserve"> 甲乙双方确定，在本合同期限内，甲乙双方需各自指定项目联系人。项目联系人承担以下责任：</w:t>
      </w:r>
    </w:p>
    <w:p w14:paraId="78EB79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9.1.1 作为本方全权代表，参与处理本项目各种事项；</w:t>
      </w:r>
    </w:p>
    <w:p w14:paraId="5292C0D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9.1.2 随时保持联系，并沟通情况，及时将本单位项目进展情况告知对方。</w:t>
      </w:r>
    </w:p>
    <w:bookmarkEnd w:id="686"/>
    <w:p w14:paraId="62FB67C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一方变更项目联系人的，应当及时以书面形式通知对方。未及时通知并影响本合同履行或造成损失的，怠于履行通知义务的一方应承担相应的责任。</w:t>
      </w:r>
    </w:p>
    <w:p w14:paraId="40476C3F">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第十条 不可抗力</w:t>
      </w:r>
    </w:p>
    <w:p w14:paraId="2A0F1390">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10.1 由于战争、地震、雷击、水灾、火灾、政府行为、国家政策变动、黑客攻击、电信部门技术管制等不可抗力原因致使各方不能按约定履行本合同，则本合同的履行时间应予以延期，各方均不对因不可抗力造成的损失承担责任。</w:t>
      </w:r>
    </w:p>
    <w:p w14:paraId="4FC4FF30">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10.2 若不可抗力事件致使合同履行延期超过一个月的，本合同任何一方有权书面通知对方立即解除本合同而无需承担违约责任。</w:t>
      </w:r>
    </w:p>
    <w:p w14:paraId="58BC92DE">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10.3 受不可抗力影响的一方应在不可抗力发生后尽快以传真或电子邮件等方式通知对方，并在有关机关出具证明书后三天内以最快方式向对方提供一切相关材料。</w:t>
      </w:r>
    </w:p>
    <w:p w14:paraId="5E6F00A8">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第十一条 争议解决</w:t>
      </w:r>
    </w:p>
    <w:p w14:paraId="18D572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甲乙双方因履行本合同而发生的争议，应首先友好协商解决，协商不成的，任何一方均有权向甲方住所地有管辖权的人民法院提起诉讼。</w:t>
      </w:r>
    </w:p>
    <w:p w14:paraId="43E9C2F2">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11.2 协商或诉讼期间，对于本合同无争议的条款，双方仍应继续履行。</w:t>
      </w:r>
    </w:p>
    <w:p w14:paraId="1A7E25B3">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第十二条 廉政承诺</w:t>
      </w:r>
    </w:p>
    <w:p w14:paraId="371E43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合同双方承诺共同加强廉洁自律、反对商业贿赂。</w:t>
      </w:r>
    </w:p>
    <w:p w14:paraId="7367A81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甲方及其工作人员不得向乙方索要礼金、有价证券和贵重物品；不得在乙方报销应由本单位或个人支付的费用；不得以参与项目实施为名，接受乙方从该项目中支取的劳务报酬；不得参加乙方安排的超标准宴请和娱乐活动。</w:t>
      </w:r>
    </w:p>
    <w:p w14:paraId="288368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乙方不得向甲方及其工作人员行贿或馈赠礼金、有价证券、贵重礼品；不得为其报销应由甲方单位或个人支付的费用；不得向甲方工作人员支付劳务报酬；不得安排甲方工作人员参加超标准宴请及娱乐活动。</w:t>
      </w:r>
    </w:p>
    <w:p w14:paraId="004FE9A3">
      <w:pPr>
        <w:spacing w:before="240" w:beforeLines="100" w:after="240" w:afterLines="100"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 xml:space="preserve">第十三条 附则  </w:t>
      </w:r>
    </w:p>
    <w:p w14:paraId="1B3081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 本合同一式柒份，甲乙双方各持叁份，招标代理公司持一份，具有同等法律效力。</w:t>
      </w:r>
    </w:p>
    <w:p w14:paraId="36E943DD">
      <w:pPr>
        <w:spacing w:line="360" w:lineRule="auto"/>
        <w:ind w:firstLine="480" w:firstLineChars="200"/>
        <w:rPr>
          <w:rFonts w:hint="eastAsia" w:ascii="宋体" w:hAnsi="宋体" w:eastAsia="宋体" w:cs="宋体"/>
          <w:sz w:val="24"/>
          <w:szCs w:val="24"/>
        </w:rPr>
      </w:pPr>
      <w:bookmarkStart w:id="687" w:name="_Hlk8031928"/>
      <w:r>
        <w:rPr>
          <w:rFonts w:hint="eastAsia" w:ascii="宋体" w:hAnsi="宋体" w:eastAsia="宋体" w:cs="宋体"/>
          <w:sz w:val="24"/>
          <w:szCs w:val="24"/>
        </w:rPr>
        <w:t>13.2 本合同自甲乙双方法定代表人或授权代表签字并加盖双方公章后生效。</w:t>
      </w:r>
      <w:bookmarkEnd w:id="687"/>
    </w:p>
    <w:p w14:paraId="148A0891">
      <w:pPr>
        <w:spacing w:line="360" w:lineRule="auto"/>
        <w:rPr>
          <w:rFonts w:hint="eastAsia" w:ascii="宋体" w:hAnsi="宋体" w:eastAsia="宋体" w:cs="宋体"/>
          <w:sz w:val="24"/>
          <w:szCs w:val="24"/>
        </w:rPr>
      </w:pPr>
    </w:p>
    <w:p w14:paraId="6E579AF6">
      <w:pPr>
        <w:spacing w:line="360" w:lineRule="auto"/>
        <w:rPr>
          <w:rFonts w:hint="eastAsia" w:ascii="宋体" w:hAnsi="宋体" w:eastAsia="宋体" w:cs="宋体"/>
          <w:sz w:val="24"/>
          <w:szCs w:val="24"/>
        </w:rPr>
      </w:pPr>
      <w:r>
        <w:rPr>
          <w:rFonts w:hint="eastAsia" w:ascii="宋体" w:hAnsi="宋体" w:eastAsia="宋体" w:cs="宋体"/>
          <w:sz w:val="24"/>
          <w:szCs w:val="24"/>
        </w:rPr>
        <w:t>（以下无正文）</w:t>
      </w:r>
    </w:p>
    <w:p w14:paraId="27AA3C81">
      <w:pPr>
        <w:spacing w:line="360" w:lineRule="auto"/>
        <w:ind w:firstLine="435"/>
        <w:rPr>
          <w:rFonts w:hint="eastAsia" w:ascii="宋体" w:hAnsi="宋体" w:eastAsia="宋体" w:cs="宋体"/>
          <w:sz w:val="24"/>
          <w:szCs w:val="24"/>
        </w:rPr>
      </w:pPr>
    </w:p>
    <w:p w14:paraId="1E3F542D">
      <w:pPr>
        <w:spacing w:line="360" w:lineRule="auto"/>
        <w:ind w:firstLine="240"/>
        <w:rPr>
          <w:rFonts w:hint="eastAsia" w:ascii="宋体" w:hAnsi="宋体" w:eastAsia="宋体" w:cs="宋体"/>
          <w:sz w:val="24"/>
          <w:szCs w:val="24"/>
        </w:rPr>
      </w:pPr>
    </w:p>
    <w:p w14:paraId="37079EC1">
      <w:pPr>
        <w:spacing w:line="360" w:lineRule="auto"/>
        <w:ind w:firstLine="240"/>
        <w:rPr>
          <w:rFonts w:hint="eastAsia" w:ascii="宋体" w:hAnsi="宋体" w:eastAsia="宋体" w:cs="宋体"/>
          <w:sz w:val="24"/>
          <w:szCs w:val="24"/>
        </w:rPr>
      </w:pPr>
    </w:p>
    <w:p w14:paraId="734A8DE4">
      <w:pPr>
        <w:spacing w:line="360" w:lineRule="auto"/>
        <w:ind w:firstLine="240"/>
        <w:rPr>
          <w:rFonts w:hint="eastAsia" w:ascii="宋体" w:hAnsi="宋体" w:eastAsia="宋体" w:cs="宋体"/>
          <w:sz w:val="24"/>
          <w:szCs w:val="24"/>
        </w:rPr>
      </w:pPr>
    </w:p>
    <w:p w14:paraId="55B4CF36">
      <w:pPr>
        <w:spacing w:line="360" w:lineRule="auto"/>
        <w:ind w:firstLine="240"/>
        <w:rPr>
          <w:rFonts w:hint="eastAsia" w:ascii="宋体" w:hAnsi="宋体" w:eastAsia="宋体" w:cs="宋体"/>
          <w:sz w:val="24"/>
          <w:szCs w:val="24"/>
        </w:rPr>
      </w:pPr>
    </w:p>
    <w:p w14:paraId="0AB4B662">
      <w:pPr>
        <w:spacing w:line="360" w:lineRule="auto"/>
        <w:ind w:firstLine="240"/>
        <w:rPr>
          <w:rFonts w:hint="eastAsia" w:ascii="宋体" w:hAnsi="宋体" w:eastAsia="宋体" w:cs="宋体"/>
          <w:sz w:val="24"/>
          <w:szCs w:val="24"/>
        </w:rPr>
      </w:pPr>
    </w:p>
    <w:p w14:paraId="4ADD9542">
      <w:pPr>
        <w:spacing w:line="360" w:lineRule="auto"/>
        <w:rPr>
          <w:rFonts w:hint="eastAsia" w:ascii="宋体" w:hAnsi="宋体" w:eastAsia="宋体" w:cs="宋体"/>
          <w:sz w:val="24"/>
          <w:szCs w:val="24"/>
        </w:rPr>
      </w:pPr>
    </w:p>
    <w:p w14:paraId="48E80C2E">
      <w:pPr>
        <w:spacing w:line="360" w:lineRule="auto"/>
        <w:rPr>
          <w:rFonts w:hint="eastAsia" w:ascii="宋体" w:hAnsi="宋体" w:eastAsia="宋体" w:cs="宋体"/>
          <w:sz w:val="24"/>
          <w:szCs w:val="24"/>
        </w:rPr>
      </w:pPr>
    </w:p>
    <w:p w14:paraId="77B77DB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甲    方：</w:t>
      </w:r>
      <w:r>
        <w:rPr>
          <w:rFonts w:hint="eastAsia" w:ascii="宋体" w:hAnsi="宋体" w:eastAsia="宋体" w:cs="宋体"/>
          <w:b/>
          <w:bCs/>
          <w:sz w:val="24"/>
          <w:szCs w:val="24"/>
          <w:u w:val="single"/>
        </w:rPr>
        <w:t xml:space="preserve">          北京市司法局               </w:t>
      </w:r>
      <w:r>
        <w:rPr>
          <w:rFonts w:hint="eastAsia" w:ascii="宋体" w:hAnsi="宋体" w:eastAsia="宋体" w:cs="宋体"/>
          <w:b/>
          <w:bCs/>
          <w:sz w:val="24"/>
          <w:szCs w:val="24"/>
        </w:rPr>
        <w:t>（盖章）</w:t>
      </w:r>
    </w:p>
    <w:p w14:paraId="6AF012E0">
      <w:pPr>
        <w:spacing w:line="360" w:lineRule="auto"/>
        <w:rPr>
          <w:rFonts w:hint="eastAsia" w:ascii="宋体" w:hAnsi="宋体" w:eastAsia="宋体" w:cs="宋体"/>
          <w:b/>
          <w:bCs/>
          <w:sz w:val="24"/>
          <w:szCs w:val="24"/>
        </w:rPr>
      </w:pPr>
    </w:p>
    <w:p w14:paraId="7A895FD8">
      <w:pPr>
        <w:tabs>
          <w:tab w:val="left" w:pos="6300"/>
        </w:tabs>
        <w:spacing w:line="360" w:lineRule="auto"/>
        <w:rPr>
          <w:rFonts w:hint="eastAsia" w:ascii="宋体" w:hAnsi="宋体" w:eastAsia="宋体" w:cs="宋体"/>
          <w:b/>
          <w:bCs/>
          <w:sz w:val="24"/>
          <w:szCs w:val="24"/>
          <w:u w:val="single"/>
        </w:rPr>
      </w:pPr>
      <w:r>
        <w:rPr>
          <w:rFonts w:hint="eastAsia" w:ascii="宋体" w:hAnsi="宋体" w:eastAsia="宋体" w:cs="宋体"/>
          <w:b/>
          <w:bCs/>
          <w:sz w:val="24"/>
          <w:szCs w:val="24"/>
        </w:rPr>
        <w:t>法定代表人/授权代表：（签名）</w:t>
      </w:r>
      <w:r>
        <w:rPr>
          <w:rFonts w:hint="eastAsia" w:ascii="宋体" w:hAnsi="宋体" w:eastAsia="宋体" w:cs="宋体"/>
          <w:b/>
          <w:bCs/>
          <w:sz w:val="24"/>
          <w:szCs w:val="24"/>
          <w:u w:val="single"/>
        </w:rPr>
        <w:t xml:space="preserve">                            </w:t>
      </w:r>
    </w:p>
    <w:p w14:paraId="22F380D8">
      <w:pPr>
        <w:tabs>
          <w:tab w:val="left" w:pos="6300"/>
        </w:tabs>
        <w:spacing w:line="360" w:lineRule="auto"/>
        <w:rPr>
          <w:rFonts w:hint="eastAsia" w:ascii="宋体" w:hAnsi="宋体" w:eastAsia="宋体" w:cs="宋体"/>
          <w:b/>
          <w:bCs/>
          <w:sz w:val="24"/>
          <w:szCs w:val="24"/>
          <w:u w:val="single"/>
        </w:rPr>
      </w:pPr>
    </w:p>
    <w:p w14:paraId="397F3F1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日期：</w:t>
      </w:r>
      <w:r>
        <w:rPr>
          <w:rFonts w:hint="eastAsia" w:ascii="宋体" w:hAnsi="宋体" w:eastAsia="宋体" w:cs="宋体"/>
          <w:b/>
          <w:bCs/>
          <w:sz w:val="24"/>
          <w:szCs w:val="24"/>
          <w:u w:val="single"/>
        </w:rPr>
        <w:t xml:space="preserve">                            </w:t>
      </w:r>
    </w:p>
    <w:p w14:paraId="4E7C90D2">
      <w:pPr>
        <w:spacing w:line="360" w:lineRule="auto"/>
        <w:rPr>
          <w:rFonts w:hint="eastAsia" w:ascii="宋体" w:hAnsi="宋体" w:eastAsia="宋体" w:cs="宋体"/>
          <w:b/>
          <w:bCs/>
          <w:sz w:val="24"/>
          <w:szCs w:val="24"/>
        </w:rPr>
      </w:pPr>
    </w:p>
    <w:p w14:paraId="7089435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乙    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（盖章）</w:t>
      </w:r>
    </w:p>
    <w:p w14:paraId="6074C2B0">
      <w:pPr>
        <w:spacing w:line="360" w:lineRule="auto"/>
        <w:rPr>
          <w:rFonts w:hint="eastAsia" w:ascii="宋体" w:hAnsi="宋体" w:eastAsia="宋体" w:cs="宋体"/>
          <w:b/>
          <w:bCs/>
          <w:sz w:val="24"/>
          <w:szCs w:val="24"/>
        </w:rPr>
      </w:pPr>
    </w:p>
    <w:p w14:paraId="0E118EEF">
      <w:pPr>
        <w:spacing w:line="360" w:lineRule="auto"/>
        <w:rPr>
          <w:rFonts w:hint="eastAsia" w:ascii="宋体" w:hAnsi="宋体" w:eastAsia="宋体" w:cs="宋体"/>
          <w:b/>
          <w:bCs/>
          <w:sz w:val="24"/>
          <w:szCs w:val="24"/>
          <w:u w:val="single"/>
        </w:rPr>
      </w:pPr>
      <w:r>
        <w:rPr>
          <w:rFonts w:hint="eastAsia" w:ascii="宋体" w:hAnsi="宋体" w:eastAsia="宋体" w:cs="宋体"/>
          <w:b/>
          <w:bCs/>
          <w:sz w:val="24"/>
          <w:szCs w:val="24"/>
        </w:rPr>
        <w:t>法定代表人/授权代表：（签名）</w:t>
      </w:r>
      <w:r>
        <w:rPr>
          <w:rFonts w:hint="eastAsia" w:ascii="宋体" w:hAnsi="宋体" w:eastAsia="宋体" w:cs="宋体"/>
          <w:b/>
          <w:bCs/>
          <w:sz w:val="24"/>
          <w:szCs w:val="24"/>
          <w:u w:val="single"/>
        </w:rPr>
        <w:t xml:space="preserve">                            </w:t>
      </w:r>
    </w:p>
    <w:p w14:paraId="40EE6E7E">
      <w:pPr>
        <w:spacing w:line="360" w:lineRule="auto"/>
        <w:rPr>
          <w:rFonts w:hint="eastAsia" w:ascii="宋体" w:hAnsi="宋体" w:eastAsia="宋体" w:cs="宋体"/>
          <w:b/>
          <w:bCs/>
          <w:sz w:val="24"/>
          <w:szCs w:val="24"/>
          <w:u w:val="single"/>
        </w:rPr>
      </w:pPr>
    </w:p>
    <w:p w14:paraId="455F4B38">
      <w:pPr>
        <w:spacing w:line="360" w:lineRule="auto"/>
        <w:rPr>
          <w:rFonts w:hint="eastAsia" w:ascii="宋体" w:hAnsi="宋体" w:eastAsia="宋体" w:cs="宋体"/>
          <w:sz w:val="24"/>
          <w:szCs w:val="24"/>
        </w:rPr>
      </w:pPr>
    </w:p>
    <w:p w14:paraId="59F94FFD">
      <w:pPr>
        <w:spacing w:line="360" w:lineRule="auto"/>
        <w:rPr>
          <w:rFonts w:hint="eastAsia" w:ascii="宋体" w:hAnsi="宋体" w:eastAsia="宋体" w:cs="宋体"/>
          <w:sz w:val="24"/>
          <w:szCs w:val="24"/>
        </w:rPr>
      </w:pPr>
      <w:r>
        <w:rPr>
          <w:rFonts w:hint="eastAsia" w:ascii="宋体" w:hAnsi="宋体" w:eastAsia="宋体" w:cs="宋体"/>
          <w:b/>
          <w:bCs/>
          <w:sz w:val="24"/>
          <w:szCs w:val="24"/>
        </w:rPr>
        <w:t>日期：</w:t>
      </w:r>
      <w:r>
        <w:rPr>
          <w:rFonts w:hint="eastAsia" w:ascii="宋体" w:hAnsi="宋体" w:eastAsia="宋体" w:cs="宋体"/>
          <w:b/>
          <w:bCs/>
          <w:sz w:val="24"/>
          <w:szCs w:val="24"/>
          <w:u w:val="single"/>
        </w:rPr>
        <w:t xml:space="preserve">                            </w:t>
      </w:r>
    </w:p>
    <w:p w14:paraId="042D7A63">
      <w:pPr>
        <w:spacing w:line="360" w:lineRule="auto"/>
        <w:rPr>
          <w:rFonts w:hint="eastAsia" w:ascii="宋体" w:hAnsi="宋体" w:eastAsia="宋体" w:cs="宋体"/>
          <w:sz w:val="24"/>
          <w:szCs w:val="24"/>
        </w:rPr>
      </w:pPr>
    </w:p>
    <w:p w14:paraId="7D46825D">
      <w:pPr>
        <w:spacing w:line="360" w:lineRule="auto"/>
        <w:rPr>
          <w:rFonts w:hint="eastAsia" w:ascii="宋体" w:hAnsi="宋体" w:eastAsia="宋体" w:cs="宋体"/>
          <w:sz w:val="24"/>
          <w:szCs w:val="24"/>
        </w:rPr>
        <w:sectPr>
          <w:footerReference r:id="rId12" w:type="default"/>
          <w:pgSz w:w="11907" w:h="16840"/>
          <w:pgMar w:top="1474" w:right="1814" w:bottom="1474" w:left="1814" w:header="851" w:footer="851" w:gutter="0"/>
          <w:cols w:space="720" w:num="1"/>
          <w:docGrid w:linePitch="462" w:charSpace="0"/>
        </w:sectPr>
      </w:pPr>
    </w:p>
    <w:p w14:paraId="0945B132">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附件1：分项报价</w:t>
      </w:r>
    </w:p>
    <w:p w14:paraId="271C3A3A">
      <w:pPr>
        <w:tabs>
          <w:tab w:val="left" w:pos="840"/>
          <w:tab w:val="right" w:leader="dot" w:pos="8302"/>
        </w:tabs>
        <w:spacing w:line="360" w:lineRule="auto"/>
        <w:rPr>
          <w:rFonts w:hint="eastAsia" w:ascii="宋体" w:hAnsi="宋体" w:eastAsia="宋体" w:cs="宋体"/>
          <w:sz w:val="24"/>
          <w:szCs w:val="24"/>
        </w:rPr>
      </w:pPr>
    </w:p>
    <w:p w14:paraId="652930EC">
      <w:pPr>
        <w:spacing w:line="360" w:lineRule="auto"/>
        <w:rPr>
          <w:rFonts w:hint="eastAsia" w:ascii="宋体" w:hAnsi="宋体" w:eastAsia="宋体" w:cs="宋体"/>
          <w:sz w:val="24"/>
          <w:szCs w:val="24"/>
        </w:rPr>
      </w:pPr>
    </w:p>
    <w:p w14:paraId="12194F46">
      <w:pPr>
        <w:snapToGrid w:val="0"/>
        <w:spacing w:line="360" w:lineRule="auto"/>
        <w:rPr>
          <w:rFonts w:hint="eastAsia" w:ascii="宋体" w:hAnsi="宋体" w:eastAsia="宋体" w:cs="宋体"/>
          <w:sz w:val="24"/>
          <w:szCs w:val="24"/>
        </w:rPr>
      </w:pPr>
    </w:p>
    <w:p w14:paraId="6FDC4E9D">
      <w:pPr>
        <w:snapToGrid w:val="0"/>
        <w:spacing w:line="360" w:lineRule="auto"/>
        <w:rPr>
          <w:rFonts w:hint="eastAsia" w:ascii="宋体" w:hAnsi="宋体" w:eastAsia="宋体" w:cs="宋体"/>
          <w:sz w:val="24"/>
          <w:szCs w:val="24"/>
        </w:rPr>
      </w:pPr>
    </w:p>
    <w:p w14:paraId="099E09BC">
      <w:pPr>
        <w:snapToGrid w:val="0"/>
        <w:spacing w:line="360" w:lineRule="auto"/>
        <w:rPr>
          <w:rFonts w:hint="eastAsia" w:ascii="宋体" w:hAnsi="宋体" w:eastAsia="宋体" w:cs="宋体"/>
          <w:sz w:val="24"/>
          <w:szCs w:val="24"/>
        </w:rPr>
      </w:pPr>
    </w:p>
    <w:p w14:paraId="72A15590">
      <w:pPr>
        <w:snapToGrid w:val="0"/>
        <w:spacing w:line="360" w:lineRule="auto"/>
        <w:rPr>
          <w:rFonts w:hint="eastAsia" w:ascii="宋体" w:hAnsi="宋体" w:eastAsia="宋体" w:cs="宋体"/>
          <w:sz w:val="24"/>
          <w:szCs w:val="24"/>
        </w:rPr>
      </w:pPr>
    </w:p>
    <w:p w14:paraId="17B3AB48">
      <w:pPr>
        <w:snapToGrid w:val="0"/>
        <w:spacing w:line="360" w:lineRule="auto"/>
        <w:rPr>
          <w:rFonts w:hint="eastAsia" w:ascii="宋体" w:hAnsi="宋体" w:eastAsia="宋体" w:cs="宋体"/>
          <w:sz w:val="24"/>
          <w:szCs w:val="24"/>
        </w:rPr>
      </w:pPr>
    </w:p>
    <w:p w14:paraId="7FFFF21C">
      <w:pPr>
        <w:snapToGrid w:val="0"/>
        <w:spacing w:line="360" w:lineRule="auto"/>
        <w:rPr>
          <w:rFonts w:hint="eastAsia" w:ascii="宋体" w:hAnsi="宋体" w:eastAsia="宋体" w:cs="宋体"/>
          <w:sz w:val="24"/>
          <w:szCs w:val="24"/>
        </w:rPr>
      </w:pPr>
    </w:p>
    <w:p w14:paraId="30CA5E62">
      <w:pPr>
        <w:snapToGrid w:val="0"/>
        <w:spacing w:line="360" w:lineRule="auto"/>
        <w:rPr>
          <w:rFonts w:hint="eastAsia" w:ascii="宋体" w:hAnsi="宋体" w:eastAsia="宋体" w:cs="宋体"/>
          <w:sz w:val="24"/>
          <w:szCs w:val="24"/>
        </w:rPr>
      </w:pPr>
    </w:p>
    <w:p w14:paraId="0AFA53D5">
      <w:pPr>
        <w:snapToGrid w:val="0"/>
        <w:spacing w:line="360" w:lineRule="auto"/>
        <w:rPr>
          <w:rFonts w:hint="eastAsia" w:ascii="宋体" w:hAnsi="宋体" w:eastAsia="宋体" w:cs="宋体"/>
          <w:sz w:val="24"/>
          <w:szCs w:val="24"/>
        </w:rPr>
      </w:pPr>
    </w:p>
    <w:p w14:paraId="226F9600">
      <w:pPr>
        <w:snapToGrid w:val="0"/>
        <w:spacing w:line="360" w:lineRule="auto"/>
        <w:rPr>
          <w:rFonts w:hint="eastAsia" w:ascii="宋体" w:hAnsi="宋体" w:eastAsia="宋体" w:cs="宋体"/>
          <w:sz w:val="24"/>
          <w:szCs w:val="24"/>
        </w:rPr>
      </w:pPr>
    </w:p>
    <w:p w14:paraId="0B85FFEC">
      <w:pPr>
        <w:snapToGrid w:val="0"/>
        <w:spacing w:line="360" w:lineRule="auto"/>
        <w:rPr>
          <w:rFonts w:hint="eastAsia" w:ascii="宋体" w:hAnsi="宋体" w:eastAsia="宋体" w:cs="宋体"/>
          <w:sz w:val="24"/>
          <w:szCs w:val="24"/>
        </w:rPr>
      </w:pPr>
    </w:p>
    <w:p w14:paraId="2B4558F4">
      <w:pPr>
        <w:snapToGrid w:val="0"/>
        <w:spacing w:line="360" w:lineRule="auto"/>
        <w:rPr>
          <w:rFonts w:hint="eastAsia" w:ascii="宋体" w:hAnsi="宋体" w:eastAsia="宋体" w:cs="宋体"/>
          <w:sz w:val="24"/>
          <w:szCs w:val="24"/>
        </w:rPr>
      </w:pPr>
    </w:p>
    <w:p w14:paraId="6AF843D2">
      <w:pPr>
        <w:snapToGrid w:val="0"/>
        <w:spacing w:line="360" w:lineRule="auto"/>
        <w:rPr>
          <w:rFonts w:hint="eastAsia" w:ascii="宋体" w:hAnsi="宋体" w:eastAsia="宋体" w:cs="宋体"/>
          <w:sz w:val="24"/>
          <w:szCs w:val="24"/>
        </w:rPr>
      </w:pPr>
    </w:p>
    <w:p w14:paraId="2E6319CA">
      <w:pPr>
        <w:snapToGrid w:val="0"/>
        <w:spacing w:line="360" w:lineRule="auto"/>
        <w:rPr>
          <w:rFonts w:hint="eastAsia" w:ascii="宋体" w:hAnsi="宋体" w:eastAsia="宋体" w:cs="宋体"/>
          <w:sz w:val="24"/>
          <w:szCs w:val="24"/>
        </w:rPr>
      </w:pPr>
    </w:p>
    <w:p w14:paraId="3B91AC26">
      <w:pPr>
        <w:snapToGrid w:val="0"/>
        <w:spacing w:line="360" w:lineRule="auto"/>
        <w:rPr>
          <w:rFonts w:hint="eastAsia" w:ascii="宋体" w:hAnsi="宋体" w:eastAsia="宋体" w:cs="宋体"/>
          <w:sz w:val="24"/>
          <w:szCs w:val="24"/>
        </w:rPr>
      </w:pPr>
    </w:p>
    <w:p w14:paraId="0DA99024">
      <w:pPr>
        <w:snapToGrid w:val="0"/>
        <w:spacing w:line="360" w:lineRule="auto"/>
        <w:rPr>
          <w:rFonts w:hint="eastAsia" w:ascii="宋体" w:hAnsi="宋体" w:eastAsia="宋体" w:cs="宋体"/>
          <w:sz w:val="24"/>
          <w:szCs w:val="24"/>
        </w:rPr>
      </w:pPr>
    </w:p>
    <w:p w14:paraId="71B8F354">
      <w:pPr>
        <w:snapToGrid w:val="0"/>
        <w:spacing w:line="360" w:lineRule="auto"/>
        <w:rPr>
          <w:rFonts w:hint="eastAsia" w:ascii="宋体" w:hAnsi="宋体" w:eastAsia="宋体" w:cs="宋体"/>
          <w:sz w:val="24"/>
          <w:szCs w:val="24"/>
        </w:rPr>
      </w:pPr>
    </w:p>
    <w:p w14:paraId="617625B9">
      <w:pPr>
        <w:snapToGrid w:val="0"/>
        <w:spacing w:line="360" w:lineRule="auto"/>
        <w:rPr>
          <w:rFonts w:hint="eastAsia" w:ascii="宋体" w:hAnsi="宋体" w:eastAsia="宋体" w:cs="宋体"/>
          <w:sz w:val="24"/>
          <w:szCs w:val="24"/>
        </w:rPr>
      </w:pPr>
    </w:p>
    <w:p w14:paraId="57EAF356">
      <w:pPr>
        <w:snapToGrid w:val="0"/>
        <w:spacing w:line="360" w:lineRule="auto"/>
        <w:rPr>
          <w:rFonts w:hint="eastAsia" w:ascii="宋体" w:hAnsi="宋体" w:eastAsia="宋体" w:cs="宋体"/>
          <w:sz w:val="24"/>
          <w:szCs w:val="24"/>
        </w:rPr>
      </w:pPr>
    </w:p>
    <w:p w14:paraId="59B0D554">
      <w:pPr>
        <w:snapToGrid w:val="0"/>
        <w:spacing w:line="360" w:lineRule="auto"/>
        <w:rPr>
          <w:rFonts w:hint="eastAsia" w:ascii="宋体" w:hAnsi="宋体" w:eastAsia="宋体" w:cs="宋体"/>
          <w:sz w:val="24"/>
          <w:szCs w:val="24"/>
        </w:rPr>
      </w:pPr>
    </w:p>
    <w:p w14:paraId="3A0AB642">
      <w:pPr>
        <w:snapToGrid w:val="0"/>
        <w:spacing w:line="360" w:lineRule="auto"/>
        <w:rPr>
          <w:rFonts w:hint="eastAsia" w:ascii="宋体" w:hAnsi="宋体" w:eastAsia="宋体" w:cs="宋体"/>
          <w:sz w:val="24"/>
          <w:szCs w:val="24"/>
        </w:rPr>
      </w:pPr>
    </w:p>
    <w:p w14:paraId="2B6316B3">
      <w:pPr>
        <w:snapToGrid w:val="0"/>
        <w:spacing w:line="360" w:lineRule="auto"/>
        <w:rPr>
          <w:rFonts w:hint="eastAsia" w:ascii="宋体" w:hAnsi="宋体" w:eastAsia="宋体" w:cs="宋体"/>
          <w:sz w:val="24"/>
          <w:szCs w:val="24"/>
        </w:rPr>
      </w:pPr>
    </w:p>
    <w:p w14:paraId="7C9FED04">
      <w:pPr>
        <w:snapToGrid w:val="0"/>
        <w:spacing w:line="360" w:lineRule="auto"/>
        <w:rPr>
          <w:rFonts w:hint="eastAsia" w:ascii="宋体" w:hAnsi="宋体" w:eastAsia="宋体" w:cs="宋体"/>
          <w:sz w:val="24"/>
          <w:szCs w:val="24"/>
        </w:rPr>
      </w:pPr>
    </w:p>
    <w:p w14:paraId="7F7E8A09">
      <w:pPr>
        <w:snapToGrid w:val="0"/>
        <w:spacing w:line="360" w:lineRule="auto"/>
        <w:rPr>
          <w:rFonts w:hint="eastAsia" w:ascii="宋体" w:hAnsi="宋体" w:eastAsia="宋体" w:cs="宋体"/>
          <w:sz w:val="24"/>
          <w:szCs w:val="24"/>
        </w:rPr>
      </w:pPr>
    </w:p>
    <w:p w14:paraId="5AA6A840">
      <w:pPr>
        <w:snapToGrid w:val="0"/>
        <w:spacing w:line="360" w:lineRule="auto"/>
        <w:rPr>
          <w:rFonts w:hint="eastAsia" w:ascii="宋体" w:hAnsi="宋体" w:eastAsia="宋体" w:cs="宋体"/>
          <w:sz w:val="24"/>
          <w:szCs w:val="24"/>
        </w:rPr>
      </w:pPr>
    </w:p>
    <w:p w14:paraId="35EDE0BA">
      <w:pPr>
        <w:snapToGrid w:val="0"/>
        <w:spacing w:line="360" w:lineRule="auto"/>
        <w:rPr>
          <w:rFonts w:hint="eastAsia" w:ascii="宋体" w:hAnsi="宋体" w:eastAsia="宋体" w:cs="宋体"/>
          <w:sz w:val="24"/>
          <w:szCs w:val="24"/>
        </w:rPr>
      </w:pPr>
    </w:p>
    <w:p w14:paraId="55055FFC">
      <w:pPr>
        <w:snapToGrid w:val="0"/>
        <w:spacing w:line="360" w:lineRule="auto"/>
        <w:rPr>
          <w:rFonts w:hint="eastAsia" w:ascii="宋体" w:hAnsi="宋体" w:eastAsia="宋体" w:cs="宋体"/>
          <w:sz w:val="24"/>
          <w:szCs w:val="24"/>
        </w:rPr>
      </w:pPr>
    </w:p>
    <w:p w14:paraId="6FF9E627">
      <w:pPr>
        <w:snapToGrid w:val="0"/>
        <w:spacing w:line="360" w:lineRule="auto"/>
        <w:rPr>
          <w:rFonts w:hint="eastAsia" w:ascii="宋体" w:hAnsi="宋体" w:eastAsia="宋体" w:cs="宋体"/>
          <w:sz w:val="24"/>
          <w:szCs w:val="24"/>
        </w:rPr>
      </w:pPr>
    </w:p>
    <w:p w14:paraId="732DBB9C">
      <w:pPr>
        <w:snapToGrid w:val="0"/>
        <w:spacing w:line="360" w:lineRule="auto"/>
        <w:rPr>
          <w:rFonts w:hint="eastAsia" w:ascii="宋体" w:hAnsi="宋体" w:eastAsia="宋体" w:cs="宋体"/>
          <w:sz w:val="24"/>
          <w:szCs w:val="24"/>
        </w:rPr>
      </w:pPr>
    </w:p>
    <w:p w14:paraId="5EBAC7BC">
      <w:pPr>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附件（2）：</w:t>
      </w:r>
      <w:r>
        <w:rPr>
          <w:rFonts w:hint="eastAsia" w:ascii="宋体" w:hAnsi="宋体" w:eastAsia="宋体" w:cs="宋体"/>
          <w:b/>
          <w:bCs/>
          <w:sz w:val="24"/>
          <w:szCs w:val="24"/>
        </w:rPr>
        <w:t>保密协议</w:t>
      </w:r>
    </w:p>
    <w:p w14:paraId="5D9E9053">
      <w:pPr>
        <w:spacing w:line="360" w:lineRule="auto"/>
        <w:rPr>
          <w:rFonts w:hint="eastAsia" w:ascii="宋体" w:hAnsi="宋体" w:eastAsia="宋体" w:cs="宋体"/>
          <w:sz w:val="24"/>
          <w:szCs w:val="24"/>
        </w:rPr>
      </w:pPr>
    </w:p>
    <w:p w14:paraId="5B3747B4">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甲方：</w:t>
      </w:r>
      <w:r>
        <w:rPr>
          <w:rFonts w:hint="eastAsia" w:ascii="宋体" w:hAnsi="宋体" w:eastAsia="宋体" w:cs="宋体"/>
          <w:bCs/>
          <w:sz w:val="24"/>
          <w:szCs w:val="24"/>
          <w:u w:val="single"/>
        </w:rPr>
        <w:t>北京市司法局</w:t>
      </w:r>
    </w:p>
    <w:p w14:paraId="4DF67BC7">
      <w:pPr>
        <w:spacing w:line="360" w:lineRule="auto"/>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乙方：</w:t>
      </w:r>
      <w:r>
        <w:rPr>
          <w:rFonts w:hint="eastAsia" w:ascii="宋体" w:hAnsi="宋体" w:eastAsia="宋体" w:cs="宋体"/>
          <w:bCs/>
          <w:sz w:val="24"/>
          <w:szCs w:val="24"/>
          <w:u w:val="single"/>
        </w:rPr>
        <w:t xml:space="preserve">                   </w:t>
      </w:r>
    </w:p>
    <w:p w14:paraId="730285C0">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鉴于甲方委托乙方提供2025年度北京市司法局指挥中心及视频会议系统运维服务项目运维服务，双方签订《2025年度北京市司法局指挥中心及视频会议系统运维服务项目合同》（以下简称“合同”），为保证在服务过程中所涉及的保密信息安全，甲、乙双方在平等自愿、协商一致的基础上达成以下协议：</w:t>
      </w:r>
    </w:p>
    <w:p w14:paraId="0A642300">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第一条  保密信息范围</w:t>
      </w:r>
    </w:p>
    <w:p w14:paraId="633BD7FE">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本协议所称的“保密信息”是指乙方在合同履行过程中可能获得的包括但不限于下列信息，但不包括乙方通过公众渠道可以获得的信息或经甲方书面同意允许向第三方透露的信息：</w:t>
      </w:r>
    </w:p>
    <w:p w14:paraId="2D25FE96">
      <w:pPr>
        <w:numPr>
          <w:ilvl w:val="0"/>
          <w:numId w:val="14"/>
        </w:numPr>
        <w:tabs>
          <w:tab w:val="left" w:pos="567"/>
        </w:tabs>
        <w:spacing w:line="360" w:lineRule="auto"/>
        <w:ind w:left="0" w:firstLine="480" w:firstLineChars="200"/>
        <w:rPr>
          <w:rFonts w:hint="eastAsia" w:ascii="宋体" w:hAnsi="宋体" w:eastAsia="宋体" w:cs="宋体"/>
          <w:bCs/>
          <w:sz w:val="24"/>
          <w:szCs w:val="24"/>
        </w:rPr>
      </w:pPr>
      <w:r>
        <w:rPr>
          <w:rFonts w:hint="eastAsia" w:ascii="宋体" w:hAnsi="宋体" w:eastAsia="宋体" w:cs="宋体"/>
          <w:bCs/>
          <w:sz w:val="24"/>
          <w:szCs w:val="24"/>
        </w:rPr>
        <w:t>工作秘密：一切与政府工作有关的信息资料或其他性质的资料，包括但不限于：政府业务数据、人员信息、机构信息、财务资料以及尚未公开的有关政府机关规划、调整等资料；</w:t>
      </w:r>
    </w:p>
    <w:p w14:paraId="28249E82">
      <w:pPr>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技术秘密：指甲方的计算机信息系统、网络构架、信息安全体系结构、软件、数据库系统、系统数据、技术文档及技术指标等；</w:t>
      </w:r>
    </w:p>
    <w:p w14:paraId="065616AF">
      <w:pPr>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其他保密信息：甲方的内部管理资料、财务资料；包括但不限于履约过程中获取的有关数据、流程、分析成果等；</w:t>
      </w:r>
    </w:p>
    <w:p w14:paraId="3BF1A97E">
      <w:pPr>
        <w:numPr>
          <w:ilvl w:val="0"/>
          <w:numId w:val="14"/>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其它甲方项目的保密信息。</w:t>
      </w:r>
    </w:p>
    <w:p w14:paraId="56A6D1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上述保密信息的表现形式不限，无论是书面的、口头的、图形的或其他任何形式的信息。</w:t>
      </w:r>
    </w:p>
    <w:p w14:paraId="55710EFD">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第二条  保密期限</w:t>
      </w:r>
    </w:p>
    <w:p w14:paraId="2564CE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本协议约定的保密义务期限为无期限。乙方及其服务人员按本条款规定无期限承担保密义务，甲方对乙方的自有知识产权同样进行保密。</w:t>
      </w:r>
    </w:p>
    <w:p w14:paraId="3E5CAD97">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第三条  保密义务人</w:t>
      </w:r>
    </w:p>
    <w:p w14:paraId="7E3FE8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本协议项下的保密义务人为乙方及其服务人员。</w:t>
      </w:r>
    </w:p>
    <w:p w14:paraId="6F9593C4">
      <w:pPr>
        <w:tabs>
          <w:tab w:val="left" w:pos="567"/>
        </w:tabs>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第四条  保密义务 </w:t>
      </w:r>
    </w:p>
    <w:p w14:paraId="295960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乙方保证对工作过程中获悉的信息按照下列规定进行保密，并在缺少相关保密条款约定时，应至少采取适用于对自己的保密信息同样的保护措施和审慎程度进行保密：</w:t>
      </w:r>
    </w:p>
    <w:p w14:paraId="6F182DC6">
      <w:pPr>
        <w:numPr>
          <w:ilvl w:val="0"/>
          <w:numId w:val="15"/>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乙方有义务妥善保管甲方的保密信息，未经甲方书面许可并采取加密措施，乙方不得擅自将载有保密信息的任何文档、图纸、资料、磁盘、胶片等介质进行复印、复制、仿造。</w:t>
      </w:r>
    </w:p>
    <w:p w14:paraId="592988AD">
      <w:pPr>
        <w:numPr>
          <w:ilvl w:val="0"/>
          <w:numId w:val="15"/>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乙方不得利用工作之便获取与本项目无关的信息。对于甲方提供给乙方使用的任何资源，乙方只能将其用于与项目有关的用途，而不能用于其他目的。</w:t>
      </w:r>
    </w:p>
    <w:p w14:paraId="2E737C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三、乙方应严守保密信息，未经甲方书面同意，乙方不得以任何形式或任何方式将该保密信息或其中的任何部分披露、透露、发布、传播、转移或遗失给其他无关人员或任何第三方。</w:t>
      </w:r>
    </w:p>
    <w:p w14:paraId="6C19AC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四、无论合同及本协议解除或终止，合同及本协议中的保密条款继续有效，乙方继续承担约定的保密义务，直到这些信息公开披露或在本行业中成为公知性信息为止。</w:t>
      </w:r>
    </w:p>
    <w:p w14:paraId="0A8DCD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五、乙方如发现甲方保密信息被泄露或由于乙方的过失导致甲方的保密信息被泄露，乙方应立即采取有效的措施防止泄露的进一步扩大，并及时向甲方报告相关情况。</w:t>
      </w:r>
    </w:p>
    <w:p w14:paraId="472D12A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六、乙方必须制定合理的措施对其服务人员进行管理和保密教育，加强其保密意识，确保其按照本协议的约定保守保密信息。</w:t>
      </w:r>
    </w:p>
    <w:p w14:paraId="17CF1ECE">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b/>
          <w:bCs/>
          <w:sz w:val="24"/>
          <w:szCs w:val="24"/>
        </w:rPr>
        <w:t>第五条  保密信息的移交</w:t>
      </w:r>
    </w:p>
    <w:p w14:paraId="0658CD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一、合同解除或终止后，乙方应按照甲方的要求将其在履行合同过程中，接触到或涉及到的相关保密信息做相应的处理，比如采取返还、销毁或其他有效的方式进行处理。</w:t>
      </w:r>
    </w:p>
    <w:p w14:paraId="79E8B3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二、当甲方要求乙方交回保密信息时，乙方应当立即交回所有的书面或其他形式的保密信息以及所有描述和概述和概括保密信息的文件。</w:t>
      </w:r>
    </w:p>
    <w:p w14:paraId="04C548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三、未经甲方书面许可，乙方不得丢弃和自行处理该保密信息。</w:t>
      </w:r>
    </w:p>
    <w:p w14:paraId="23623B19">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第六条  违约责任</w:t>
      </w:r>
    </w:p>
    <w:p w14:paraId="3F2CE7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一、乙方未履行本协议项下的任一条款即视为违约，乙方应按甲方的要求采取有效的补救措施，以防泄密范围的继续扩大。</w:t>
      </w:r>
    </w:p>
    <w:p w14:paraId="735371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二、乙方如违反合同及本协议中关于保密义务的约定，甲方有权单方解除合同，乙方应赔偿由此给甲方造成的全部损失，并按照国家及北京市有关法律法规的规定承担相应的法律责任。</w:t>
      </w:r>
    </w:p>
    <w:p w14:paraId="054B0B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三、乙方及其服务人员就安全保密义务向甲方承担连带责任。</w:t>
      </w:r>
    </w:p>
    <w:p w14:paraId="25B847CD">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第七条  争议的解决</w:t>
      </w:r>
    </w:p>
    <w:p w14:paraId="51616E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因履行本协议而发生的或与本协议有关的一切争议，甲、乙双方应协商解决，协商不成的，任何一方均可向甲方住所地人民法院提起诉讼。</w:t>
      </w:r>
    </w:p>
    <w:p w14:paraId="545F8830">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第八条  其他</w:t>
      </w:r>
    </w:p>
    <w:p w14:paraId="30861C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本协议自双方法定代表人或授权代表签字并加盖双方公章之日起生效。</w:t>
      </w:r>
    </w:p>
    <w:p w14:paraId="14E49B4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本协议一式柒份，甲乙双方各持叁份，招标代理公司持一份，具有同等法律效力。</w:t>
      </w:r>
    </w:p>
    <w:p w14:paraId="4682CC66">
      <w:pPr>
        <w:tabs>
          <w:tab w:val="left" w:pos="567"/>
        </w:tabs>
        <w:spacing w:line="360" w:lineRule="auto"/>
        <w:rPr>
          <w:rFonts w:hint="eastAsia" w:ascii="宋体" w:hAnsi="宋体" w:eastAsia="宋体" w:cs="宋体"/>
          <w:sz w:val="24"/>
          <w:szCs w:val="24"/>
        </w:rPr>
      </w:pPr>
    </w:p>
    <w:p w14:paraId="0F1836B1">
      <w:pPr>
        <w:spacing w:line="360" w:lineRule="auto"/>
        <w:rPr>
          <w:rFonts w:hint="eastAsia" w:ascii="宋体" w:hAnsi="宋体" w:eastAsia="宋体" w:cs="宋体"/>
          <w:sz w:val="24"/>
          <w:szCs w:val="24"/>
        </w:rPr>
      </w:pPr>
    </w:p>
    <w:p w14:paraId="577EEBAA">
      <w:pPr>
        <w:tabs>
          <w:tab w:val="left" w:pos="567"/>
        </w:tabs>
        <w:spacing w:line="360" w:lineRule="auto"/>
        <w:rPr>
          <w:rFonts w:hint="eastAsia" w:ascii="宋体" w:hAnsi="宋体" w:eastAsia="宋体" w:cs="宋体"/>
          <w:sz w:val="24"/>
          <w:szCs w:val="24"/>
        </w:rPr>
      </w:pPr>
      <w:r>
        <w:rPr>
          <w:rFonts w:hint="eastAsia" w:ascii="宋体" w:hAnsi="宋体" w:eastAsia="宋体" w:cs="宋体"/>
          <w:sz w:val="24"/>
          <w:szCs w:val="24"/>
        </w:rPr>
        <w:t>甲方(盖章)：北京市司法局             乙方(盖章)：</w:t>
      </w:r>
    </w:p>
    <w:p w14:paraId="1E589925">
      <w:pPr>
        <w:spacing w:line="360" w:lineRule="auto"/>
        <w:rPr>
          <w:rFonts w:hint="eastAsia" w:ascii="宋体" w:hAnsi="宋体" w:eastAsia="宋体" w:cs="宋体"/>
          <w:sz w:val="24"/>
          <w:szCs w:val="24"/>
        </w:rPr>
      </w:pPr>
    </w:p>
    <w:p w14:paraId="53660DEF">
      <w:pPr>
        <w:tabs>
          <w:tab w:val="left" w:pos="567"/>
        </w:tabs>
        <w:spacing w:line="360" w:lineRule="auto"/>
        <w:rPr>
          <w:rFonts w:hint="eastAsia" w:ascii="宋体" w:hAnsi="宋体" w:eastAsia="宋体" w:cs="宋体"/>
          <w:sz w:val="24"/>
          <w:szCs w:val="24"/>
        </w:rPr>
      </w:pPr>
    </w:p>
    <w:p w14:paraId="58CBC7D5">
      <w:pPr>
        <w:tabs>
          <w:tab w:val="left" w:pos="567"/>
        </w:tabs>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        法定代表人或授权代表（签字）：</w:t>
      </w:r>
    </w:p>
    <w:p w14:paraId="7221F080">
      <w:pPr>
        <w:tabs>
          <w:tab w:val="left" w:pos="567"/>
        </w:tabs>
        <w:spacing w:line="360" w:lineRule="auto"/>
        <w:rPr>
          <w:rFonts w:hint="eastAsia" w:ascii="宋体" w:hAnsi="宋体" w:eastAsia="宋体" w:cs="宋体"/>
          <w:sz w:val="24"/>
          <w:szCs w:val="24"/>
        </w:rPr>
      </w:pPr>
    </w:p>
    <w:p w14:paraId="1E8CCA2B">
      <w:pPr>
        <w:spacing w:line="360" w:lineRule="auto"/>
        <w:rPr>
          <w:rFonts w:hint="eastAsia" w:ascii="宋体" w:hAnsi="宋体" w:eastAsia="宋体" w:cs="宋体"/>
          <w:sz w:val="24"/>
          <w:szCs w:val="24"/>
        </w:rPr>
      </w:pPr>
    </w:p>
    <w:p w14:paraId="55528999">
      <w:pPr>
        <w:spacing w:line="360" w:lineRule="auto"/>
        <w:rPr>
          <w:rFonts w:hint="eastAsia" w:ascii="宋体" w:hAnsi="宋体" w:eastAsia="宋体" w:cs="宋体"/>
          <w:sz w:val="24"/>
          <w:szCs w:val="24"/>
        </w:rPr>
      </w:pPr>
    </w:p>
    <w:p w14:paraId="1F00FCE4">
      <w:pPr>
        <w:spacing w:line="360" w:lineRule="auto"/>
        <w:rPr>
          <w:rFonts w:hint="eastAsia" w:ascii="宋体" w:hAnsi="宋体" w:eastAsia="宋体" w:cs="宋体"/>
          <w:sz w:val="24"/>
          <w:szCs w:val="24"/>
        </w:rPr>
      </w:pPr>
    </w:p>
    <w:p w14:paraId="44E807EC">
      <w:pPr>
        <w:tabs>
          <w:tab w:val="left" w:pos="567"/>
        </w:tabs>
        <w:spacing w:line="360" w:lineRule="auto"/>
        <w:rPr>
          <w:rFonts w:hint="eastAsia" w:ascii="宋体" w:hAnsi="宋体" w:eastAsia="宋体" w:cs="宋体"/>
          <w:sz w:val="24"/>
          <w:szCs w:val="24"/>
        </w:rPr>
      </w:pPr>
      <w:r>
        <w:rPr>
          <w:rFonts w:hint="eastAsia" w:ascii="宋体" w:hAnsi="宋体" w:eastAsia="宋体" w:cs="宋体"/>
          <w:sz w:val="24"/>
          <w:szCs w:val="24"/>
        </w:rPr>
        <w:t>日  期：                             日  期：</w:t>
      </w:r>
    </w:p>
    <w:p w14:paraId="4F821B7E">
      <w:pPr>
        <w:spacing w:line="360" w:lineRule="auto"/>
        <w:rPr>
          <w:rFonts w:hint="eastAsia" w:ascii="宋体" w:hAnsi="宋体" w:eastAsia="宋体" w:cs="宋体"/>
          <w:sz w:val="24"/>
          <w:szCs w:val="24"/>
        </w:rPr>
      </w:pPr>
    </w:p>
    <w:p w14:paraId="6ED9E149">
      <w:pPr>
        <w:widowControl/>
        <w:spacing w:line="360" w:lineRule="auto"/>
        <w:jc w:val="left"/>
        <w:rPr>
          <w:rFonts w:hint="eastAsia" w:ascii="宋体" w:hAnsi="宋体" w:eastAsia="宋体" w:cs="宋体"/>
          <w:sz w:val="24"/>
          <w:szCs w:val="24"/>
        </w:rPr>
      </w:pPr>
    </w:p>
    <w:p w14:paraId="4D211DB0">
      <w:pPr>
        <w:wordWrap w:val="0"/>
        <w:spacing w:line="360" w:lineRule="auto"/>
        <w:ind w:firstLine="480"/>
        <w:jc w:val="right"/>
        <w:rPr>
          <w:rFonts w:hint="default" w:ascii="Times New Roman" w:hAnsi="Times New Roman" w:eastAsia="宋体" w:cs="Times New Roman"/>
          <w:b/>
          <w:bCs/>
          <w:sz w:val="24"/>
        </w:rPr>
      </w:pPr>
    </w:p>
    <w:p w14:paraId="6934CC41">
      <w:pPr>
        <w:pStyle w:val="17"/>
        <w:spacing w:line="360" w:lineRule="auto"/>
        <w:ind w:firstLine="604" w:firstLineChars="252"/>
        <w:rPr>
          <w:rFonts w:hint="default" w:ascii="Times New Roman" w:hAnsi="Times New Roman" w:eastAsia="宋体" w:cs="Times New Roman"/>
          <w:sz w:val="24"/>
          <w:szCs w:val="24"/>
        </w:rPr>
        <w:sectPr>
          <w:headerReference r:id="rId15" w:type="first"/>
          <w:footerReference r:id="rId18" w:type="first"/>
          <w:headerReference r:id="rId13" w:type="default"/>
          <w:footerReference r:id="rId16" w:type="default"/>
          <w:headerReference r:id="rId14" w:type="even"/>
          <w:footerReference r:id="rId17" w:type="even"/>
          <w:pgSz w:w="11907" w:h="16840"/>
          <w:pgMar w:top="1531" w:right="1247" w:bottom="1418" w:left="1588" w:header="851" w:footer="992" w:gutter="0"/>
          <w:pgNumType w:fmt="decimal"/>
          <w:cols w:space="720" w:num="1"/>
          <w:titlePg/>
          <w:docGrid w:type="linesAndChars" w:linePitch="312" w:charSpace="0"/>
        </w:sectPr>
      </w:pPr>
    </w:p>
    <w:p w14:paraId="360CEDA5">
      <w:pPr>
        <w:spacing w:line="360" w:lineRule="auto"/>
        <w:jc w:val="center"/>
        <w:outlineLvl w:val="0"/>
        <w:rPr>
          <w:rFonts w:hint="default" w:ascii="Times New Roman" w:hAnsi="Times New Roman" w:eastAsia="宋体" w:cs="Times New Roman"/>
          <w:b/>
          <w:sz w:val="36"/>
          <w:szCs w:val="36"/>
        </w:rPr>
      </w:pPr>
      <w:bookmarkStart w:id="688" w:name="_Toc30083"/>
      <w:r>
        <w:rPr>
          <w:rFonts w:hint="default" w:ascii="Times New Roman" w:hAnsi="Times New Roman" w:eastAsia="宋体" w:cs="Times New Roman"/>
          <w:b/>
          <w:sz w:val="36"/>
          <w:szCs w:val="36"/>
        </w:rPr>
        <w:t>第六章   响应文件格式</w:t>
      </w:r>
      <w:bookmarkEnd w:id="688"/>
    </w:p>
    <w:p w14:paraId="7868C233">
      <w:pPr>
        <w:widowControl/>
        <w:spacing w:line="360" w:lineRule="auto"/>
        <w:jc w:val="left"/>
        <w:rPr>
          <w:rFonts w:hint="default" w:ascii="Times New Roman" w:hAnsi="Times New Roman" w:eastAsia="宋体" w:cs="Times New Roman"/>
          <w:b/>
          <w:sz w:val="24"/>
        </w:rPr>
      </w:pPr>
    </w:p>
    <w:p w14:paraId="7D7E305A">
      <w:pPr>
        <w:tabs>
          <w:tab w:val="left" w:pos="900"/>
          <w:tab w:val="left" w:pos="1980"/>
        </w:tabs>
        <w:snapToGrid w:val="0"/>
        <w:spacing w:line="360" w:lineRule="auto"/>
        <w:ind w:left="142"/>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供应商编制文件须知</w:t>
      </w:r>
    </w:p>
    <w:p w14:paraId="2C74C4E2">
      <w:pPr>
        <w:tabs>
          <w:tab w:val="left" w:pos="900"/>
          <w:tab w:val="left" w:pos="1980"/>
        </w:tabs>
        <w:snapToGrid w:val="0"/>
        <w:spacing w:line="360" w:lineRule="auto"/>
        <w:ind w:left="142"/>
        <w:rPr>
          <w:rFonts w:hint="default" w:ascii="Times New Roman" w:hAnsi="Times New Roman" w:eastAsia="宋体" w:cs="Times New Roman"/>
          <w:sz w:val="24"/>
        </w:rPr>
      </w:pPr>
      <w:r>
        <w:rPr>
          <w:rFonts w:hint="default" w:ascii="Times New Roman" w:hAnsi="Times New Roman" w:eastAsia="宋体" w:cs="Times New Roman"/>
          <w:sz w:val="24"/>
        </w:rPr>
        <w:t>1、供应商按照本部分的顺序编制响应文件，编制中涉及格式资料的，应按照本部分提供的内容和格式（所有表格的格式可扩展）填写提交。</w:t>
      </w:r>
    </w:p>
    <w:p w14:paraId="479ADB2F">
      <w:pPr>
        <w:tabs>
          <w:tab w:val="left" w:pos="900"/>
          <w:tab w:val="left" w:pos="1980"/>
        </w:tabs>
        <w:snapToGrid w:val="0"/>
        <w:spacing w:line="360" w:lineRule="auto"/>
        <w:ind w:left="142"/>
        <w:rPr>
          <w:rFonts w:hint="default" w:ascii="Times New Roman" w:hAnsi="Times New Roman" w:eastAsia="宋体" w:cs="Times New Roman"/>
          <w:kern w:val="0"/>
          <w:sz w:val="24"/>
        </w:rPr>
      </w:pPr>
      <w:r>
        <w:rPr>
          <w:rFonts w:hint="default" w:ascii="Times New Roman" w:hAnsi="Times New Roman" w:eastAsia="宋体" w:cs="Times New Roman"/>
          <w:sz w:val="24"/>
        </w:rPr>
        <w:t>2、</w:t>
      </w:r>
      <w:r>
        <w:rPr>
          <w:rFonts w:hint="default" w:ascii="Times New Roman" w:hAnsi="Times New Roman" w:eastAsia="宋体" w:cs="Times New Roman"/>
          <w:kern w:val="0"/>
          <w:sz w:val="24"/>
        </w:rPr>
        <w:t>对于竞争性磋商文件中标记了“实质性格式”文件的，供应商</w:t>
      </w:r>
      <w:r>
        <w:rPr>
          <w:rFonts w:hint="default" w:ascii="Times New Roman" w:hAnsi="Times New Roman" w:eastAsia="宋体" w:cs="Times New Roman"/>
          <w:sz w:val="24"/>
        </w:rPr>
        <w:t>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b/>
          <w:kern w:val="0"/>
          <w:sz w:val="24"/>
        </w:rPr>
        <w:t>否则响应无效</w:t>
      </w:r>
      <w:r>
        <w:rPr>
          <w:rFonts w:hint="default" w:ascii="Times New Roman" w:hAnsi="Times New Roman" w:eastAsia="宋体" w:cs="Times New Roman"/>
          <w:kern w:val="0"/>
          <w:sz w:val="24"/>
        </w:rPr>
        <w:t>。未标记“实质性格式”的文件和竞争性磋商文件未提供格式的内容，可由供应商自行编写。</w:t>
      </w:r>
    </w:p>
    <w:p w14:paraId="2C20B558">
      <w:pPr>
        <w:tabs>
          <w:tab w:val="left" w:pos="900"/>
          <w:tab w:val="left" w:pos="1980"/>
        </w:tabs>
        <w:snapToGrid w:val="0"/>
        <w:spacing w:line="360" w:lineRule="auto"/>
        <w:ind w:left="142"/>
        <w:rPr>
          <w:rFonts w:hint="default" w:ascii="Times New Roman" w:hAnsi="Times New Roman" w:eastAsia="宋体" w:cs="Times New Roman"/>
          <w:sz w:val="24"/>
        </w:rPr>
      </w:pPr>
      <w:r>
        <w:rPr>
          <w:rFonts w:hint="default" w:ascii="Times New Roman" w:hAnsi="Times New Roman" w:eastAsia="宋体" w:cs="Times New Roman"/>
          <w:sz w:val="24"/>
        </w:rPr>
        <w:t>3、全部声明和问题的回答及所附材料必须是真实的、准确的和完整的。</w:t>
      </w:r>
    </w:p>
    <w:p w14:paraId="295A1EA5">
      <w:pPr>
        <w:tabs>
          <w:tab w:val="left" w:pos="900"/>
          <w:tab w:val="left" w:pos="1980"/>
        </w:tabs>
        <w:snapToGrid w:val="0"/>
        <w:spacing w:line="360" w:lineRule="auto"/>
        <w:ind w:left="142"/>
        <w:rPr>
          <w:rFonts w:hint="default" w:ascii="Times New Roman" w:hAnsi="Times New Roman" w:eastAsia="宋体" w:cs="Times New Roman"/>
          <w:sz w:val="24"/>
        </w:rPr>
      </w:pPr>
    </w:p>
    <w:p w14:paraId="38A11EE4">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61748991">
      <w:pPr>
        <w:rPr>
          <w:rFonts w:hint="default" w:ascii="Times New Roman" w:hAnsi="Times New Roman" w:eastAsia="宋体" w:cs="Times New Roman"/>
          <w:b/>
          <w:spacing w:val="20"/>
          <w:szCs w:val="21"/>
        </w:rPr>
      </w:pPr>
    </w:p>
    <w:p w14:paraId="3434BABD">
      <w:pPr>
        <w:rPr>
          <w:rFonts w:hint="default" w:ascii="Times New Roman" w:hAnsi="Times New Roman" w:eastAsia="宋体" w:cs="Times New Roman"/>
          <w:b/>
          <w:sz w:val="24"/>
        </w:rPr>
      </w:pPr>
      <w:r>
        <w:rPr>
          <w:rFonts w:hint="default" w:ascii="Times New Roman" w:hAnsi="Times New Roman" w:eastAsia="宋体" w:cs="Times New Roman"/>
          <w:b/>
          <w:spacing w:val="20"/>
          <w:sz w:val="24"/>
        </w:rPr>
        <w:t>响应文件</w:t>
      </w:r>
      <w:r>
        <w:rPr>
          <w:rFonts w:hint="default" w:ascii="Times New Roman" w:hAnsi="Times New Roman" w:eastAsia="宋体" w:cs="Times New Roman"/>
          <w:b/>
          <w:sz w:val="24"/>
        </w:rPr>
        <w:t>封面（非实质性格式）</w:t>
      </w:r>
    </w:p>
    <w:p w14:paraId="362B28F5">
      <w:pPr>
        <w:jc w:val="center"/>
        <w:rPr>
          <w:rFonts w:hint="default" w:ascii="Times New Roman" w:hAnsi="Times New Roman" w:eastAsia="宋体" w:cs="Times New Roman"/>
          <w:szCs w:val="21"/>
        </w:rPr>
      </w:pPr>
    </w:p>
    <w:p w14:paraId="5219FDA8">
      <w:pPr>
        <w:jc w:val="center"/>
        <w:rPr>
          <w:rFonts w:hint="default" w:ascii="Times New Roman" w:hAnsi="Times New Roman" w:eastAsia="宋体" w:cs="Times New Roman"/>
          <w:b/>
          <w:spacing w:val="60"/>
          <w:sz w:val="84"/>
          <w:szCs w:val="84"/>
        </w:rPr>
      </w:pPr>
      <w:r>
        <w:rPr>
          <w:rFonts w:hint="default" w:ascii="Times New Roman" w:hAnsi="Times New Roman" w:eastAsia="宋体" w:cs="Times New Roman"/>
          <w:b/>
          <w:spacing w:val="60"/>
          <w:sz w:val="84"/>
          <w:szCs w:val="84"/>
        </w:rPr>
        <w:t>响 应 文 件</w:t>
      </w:r>
    </w:p>
    <w:p w14:paraId="2ED05B43">
      <w:pPr>
        <w:jc w:val="center"/>
        <w:rPr>
          <w:rFonts w:hint="default" w:ascii="Times New Roman" w:hAnsi="Times New Roman" w:eastAsia="宋体" w:cs="Times New Roman"/>
          <w:b/>
          <w:spacing w:val="60"/>
          <w:sz w:val="52"/>
          <w:szCs w:val="52"/>
        </w:rPr>
      </w:pPr>
    </w:p>
    <w:p w14:paraId="76841625">
      <w:pPr>
        <w:ind w:firstLine="542" w:firstLineChars="150"/>
        <w:rPr>
          <w:rFonts w:hint="default" w:ascii="Times New Roman" w:hAnsi="Times New Roman" w:eastAsia="宋体" w:cs="Times New Roman"/>
          <w:b/>
          <w:spacing w:val="20"/>
          <w:sz w:val="32"/>
          <w:szCs w:val="32"/>
        </w:rPr>
      </w:pPr>
    </w:p>
    <w:p w14:paraId="3E441639">
      <w:pPr>
        <w:ind w:firstLine="542" w:firstLineChars="150"/>
        <w:rPr>
          <w:rFonts w:hint="default" w:ascii="Times New Roman" w:hAnsi="Times New Roman" w:eastAsia="宋体" w:cs="Times New Roman"/>
          <w:b/>
          <w:spacing w:val="20"/>
          <w:sz w:val="32"/>
          <w:szCs w:val="32"/>
        </w:rPr>
      </w:pPr>
    </w:p>
    <w:p w14:paraId="65D94774">
      <w:pPr>
        <w:ind w:firstLine="542" w:firstLineChars="150"/>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项目名称:</w:t>
      </w:r>
    </w:p>
    <w:p w14:paraId="63D9110F">
      <w:pPr>
        <w:ind w:firstLine="542" w:firstLineChars="150"/>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项目编号/包号：</w:t>
      </w:r>
    </w:p>
    <w:p w14:paraId="5E37AE9B">
      <w:pPr>
        <w:ind w:firstLine="542" w:firstLineChars="150"/>
        <w:rPr>
          <w:rFonts w:hint="default" w:ascii="Times New Roman" w:hAnsi="Times New Roman" w:eastAsia="宋体" w:cs="Times New Roman"/>
          <w:b/>
          <w:spacing w:val="20"/>
          <w:sz w:val="32"/>
          <w:szCs w:val="32"/>
        </w:rPr>
      </w:pPr>
    </w:p>
    <w:p w14:paraId="361A3A3E">
      <w:pPr>
        <w:ind w:firstLine="542" w:firstLineChars="150"/>
        <w:rPr>
          <w:rFonts w:hint="default" w:ascii="Times New Roman" w:hAnsi="Times New Roman" w:eastAsia="宋体" w:cs="Times New Roman"/>
          <w:b/>
          <w:spacing w:val="20"/>
          <w:sz w:val="32"/>
          <w:szCs w:val="32"/>
        </w:rPr>
      </w:pPr>
    </w:p>
    <w:p w14:paraId="65C461D0">
      <w:pPr>
        <w:jc w:val="center"/>
        <w:rPr>
          <w:rFonts w:hint="default" w:ascii="Times New Roman" w:hAnsi="Times New Roman" w:eastAsia="宋体" w:cs="Times New Roman"/>
          <w:b/>
          <w:sz w:val="32"/>
          <w:szCs w:val="32"/>
        </w:rPr>
      </w:pPr>
    </w:p>
    <w:p w14:paraId="79106A81">
      <w:pPr>
        <w:jc w:val="center"/>
        <w:rPr>
          <w:rFonts w:hint="default" w:ascii="Times New Roman" w:hAnsi="Times New Roman" w:eastAsia="宋体" w:cs="Times New Roman"/>
          <w:b/>
          <w:sz w:val="32"/>
          <w:szCs w:val="32"/>
        </w:rPr>
      </w:pPr>
    </w:p>
    <w:p w14:paraId="17428824">
      <w:pPr>
        <w:jc w:val="center"/>
        <w:rPr>
          <w:rFonts w:hint="default" w:ascii="Times New Roman" w:hAnsi="Times New Roman" w:eastAsia="宋体" w:cs="Times New Roman"/>
          <w:b/>
          <w:sz w:val="32"/>
          <w:szCs w:val="32"/>
        </w:rPr>
      </w:pPr>
    </w:p>
    <w:p w14:paraId="11EEF1B1">
      <w:pPr>
        <w:jc w:val="center"/>
        <w:rPr>
          <w:rFonts w:hint="default" w:ascii="Times New Roman" w:hAnsi="Times New Roman" w:eastAsia="宋体" w:cs="Times New Roman"/>
          <w:b/>
          <w:spacing w:val="20"/>
          <w:sz w:val="32"/>
          <w:szCs w:val="32"/>
        </w:rPr>
      </w:pPr>
    </w:p>
    <w:p w14:paraId="2E3B4CA9">
      <w:pPr>
        <w:jc w:val="center"/>
        <w:rPr>
          <w:rFonts w:hint="default" w:ascii="Times New Roman" w:hAnsi="Times New Roman" w:eastAsia="宋体" w:cs="Times New Roman"/>
          <w:b/>
          <w:spacing w:val="20"/>
          <w:sz w:val="32"/>
          <w:szCs w:val="32"/>
        </w:rPr>
      </w:pPr>
    </w:p>
    <w:p w14:paraId="1D5191C3">
      <w:pPr>
        <w:jc w:val="center"/>
        <w:rPr>
          <w:rFonts w:hint="default" w:ascii="Times New Roman" w:hAnsi="Times New Roman" w:eastAsia="宋体" w:cs="Times New Roman"/>
          <w:b/>
          <w:spacing w:val="20"/>
          <w:sz w:val="32"/>
          <w:szCs w:val="32"/>
        </w:rPr>
      </w:pPr>
    </w:p>
    <w:p w14:paraId="6FDE9B92">
      <w:pPr>
        <w:spacing w:line="360" w:lineRule="auto"/>
        <w:ind w:firstLine="1445" w:firstLineChars="400"/>
        <w:jc w:val="left"/>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供应商名称：</w:t>
      </w:r>
    </w:p>
    <w:p w14:paraId="45C5E9A0">
      <w:pPr>
        <w:jc w:val="center"/>
        <w:rPr>
          <w:rFonts w:hint="default" w:ascii="Times New Roman" w:hAnsi="Times New Roman" w:eastAsia="宋体" w:cs="Times New Roman"/>
          <w:b/>
          <w:sz w:val="32"/>
          <w:szCs w:val="32"/>
        </w:rPr>
      </w:pPr>
    </w:p>
    <w:p w14:paraId="2DE95D21">
      <w:pPr>
        <w:rPr>
          <w:rFonts w:hint="default" w:ascii="Times New Roman" w:hAnsi="Times New Roman" w:eastAsia="宋体" w:cs="Times New Roman"/>
          <w:b/>
        </w:rPr>
      </w:pPr>
      <w:r>
        <w:rPr>
          <w:rFonts w:hint="default" w:ascii="Times New Roman" w:hAnsi="Times New Roman" w:eastAsia="宋体" w:cs="Times New Roman"/>
          <w:b/>
          <w:spacing w:val="20"/>
          <w:sz w:val="32"/>
          <w:szCs w:val="32"/>
        </w:rPr>
        <w:br w:type="page"/>
      </w:r>
    </w:p>
    <w:p w14:paraId="7AD55017">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1 满足《中华人民共和国政府采购法》第二十二条规定</w:t>
      </w:r>
    </w:p>
    <w:p w14:paraId="56728FCC">
      <w:pPr>
        <w:spacing w:line="360" w:lineRule="auto"/>
        <w:outlineLvl w:val="2"/>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1-1 营业执照等证明文件</w:t>
      </w:r>
    </w:p>
    <w:p w14:paraId="68D3241E">
      <w:pPr>
        <w:tabs>
          <w:tab w:val="left" w:pos="1080"/>
        </w:tabs>
        <w:snapToGrid w:val="0"/>
        <w:rPr>
          <w:rFonts w:hint="default" w:ascii="Times New Roman" w:hAnsi="Times New Roman" w:eastAsia="宋体" w:cs="Times New Roman"/>
          <w:sz w:val="24"/>
        </w:rPr>
      </w:pPr>
    </w:p>
    <w:p w14:paraId="4A36D675">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rPr>
        <w:br w:type="page"/>
      </w:r>
    </w:p>
    <w:p w14:paraId="05620887">
      <w:pPr>
        <w:pStyle w:val="5"/>
        <w:rPr>
          <w:rFonts w:hint="default" w:ascii="Times New Roman" w:hAnsi="Times New Roman" w:eastAsia="宋体" w:cs="Times New Roman"/>
          <w:b w:val="0"/>
          <w:bCs/>
          <w:color w:val="000000"/>
          <w:szCs w:val="24"/>
          <w:u w:val="none"/>
        </w:rPr>
      </w:pPr>
      <w:r>
        <w:rPr>
          <w:rFonts w:hint="default" w:ascii="Times New Roman" w:hAnsi="Times New Roman" w:eastAsia="宋体" w:cs="Times New Roman"/>
          <w:b w:val="0"/>
          <w:color w:val="000000"/>
          <w:szCs w:val="24"/>
          <w:u w:val="none"/>
        </w:rPr>
        <w:t>1-2 供应商资格声明书</w:t>
      </w:r>
    </w:p>
    <w:p w14:paraId="6B4B578F">
      <w:pPr>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供应商资格声明书</w:t>
      </w:r>
    </w:p>
    <w:p w14:paraId="33ABD5C2">
      <w:pPr>
        <w:tabs>
          <w:tab w:val="left" w:pos="5580"/>
        </w:tabs>
        <w:spacing w:line="360" w:lineRule="auto"/>
        <w:rPr>
          <w:rFonts w:hint="default" w:ascii="Times New Roman" w:hAnsi="Times New Roman" w:eastAsia="宋体" w:cs="Times New Roman"/>
          <w:sz w:val="24"/>
        </w:rPr>
      </w:pPr>
    </w:p>
    <w:p w14:paraId="1F40AAE2">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致：</w:t>
      </w:r>
      <w:r>
        <w:rPr>
          <w:rFonts w:hint="default" w:ascii="Times New Roman" w:hAnsi="Times New Roman" w:eastAsia="宋体" w:cs="Times New Roman"/>
          <w:sz w:val="24"/>
          <w:u w:val="single"/>
        </w:rPr>
        <w:t>采购人或采购代理机构</w:t>
      </w:r>
    </w:p>
    <w:p w14:paraId="0CE19DC4">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在参与本次项目磋商中，我单位承诺：</w:t>
      </w:r>
    </w:p>
    <w:p w14:paraId="5E0A2367">
      <w:pPr>
        <w:numPr>
          <w:ilvl w:val="0"/>
          <w:numId w:val="16"/>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具有良好的商业信誉和健全的财务会计制度；</w:t>
      </w:r>
    </w:p>
    <w:p w14:paraId="670F7A89">
      <w:pPr>
        <w:numPr>
          <w:ilvl w:val="0"/>
          <w:numId w:val="16"/>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具有履行合同所必需的设备和专业技术能力；</w:t>
      </w:r>
    </w:p>
    <w:p w14:paraId="775A1269">
      <w:pPr>
        <w:numPr>
          <w:ilvl w:val="0"/>
          <w:numId w:val="16"/>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有依法缴纳税收和社会保障资金的良好记录；</w:t>
      </w:r>
    </w:p>
    <w:p w14:paraId="59EDD191">
      <w:pPr>
        <w:numPr>
          <w:ilvl w:val="0"/>
          <w:numId w:val="16"/>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DF8B3BB">
      <w:pPr>
        <w:numPr>
          <w:ilvl w:val="0"/>
          <w:numId w:val="16"/>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我单位不属于政府采购法律、行政法规规定的公益一类事业单位、或使用事业编制且由财政拨款保障的群团组织（仅适用于政府购买服务项目）；</w:t>
      </w:r>
    </w:p>
    <w:p w14:paraId="6552ED27">
      <w:pPr>
        <w:numPr>
          <w:ilvl w:val="0"/>
          <w:numId w:val="16"/>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我单位不存在为采购项目提供整体设计、规范编制或者项目管理、监理、检测等服务后，再参加该采购项目的其他采购活动的情形（单一来源采购项目除外）；</w:t>
      </w:r>
    </w:p>
    <w:p w14:paraId="4D7F3362">
      <w:pPr>
        <w:numPr>
          <w:ilvl w:val="0"/>
          <w:numId w:val="16"/>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与我单位存在“单位负责人为同一人或者存在直接控股、管理关系”的其他法人单位信息如下（如有，不论其是否参加同一合同项下的政府采购活动均须填写）：</w:t>
      </w:r>
    </w:p>
    <w:tbl>
      <w:tblPr>
        <w:tblStyle w:val="4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3545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7B4A337">
            <w:pPr>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4574" w:type="dxa"/>
            <w:vAlign w:val="center"/>
          </w:tcPr>
          <w:p w14:paraId="4132C940">
            <w:pPr>
              <w:jc w:val="center"/>
              <w:rPr>
                <w:rFonts w:hint="default" w:ascii="Times New Roman" w:hAnsi="Times New Roman" w:eastAsia="宋体" w:cs="Times New Roman"/>
                <w:sz w:val="24"/>
              </w:rPr>
            </w:pPr>
            <w:r>
              <w:rPr>
                <w:rFonts w:hint="default" w:ascii="Times New Roman" w:hAnsi="Times New Roman" w:eastAsia="宋体" w:cs="Times New Roman"/>
                <w:sz w:val="24"/>
              </w:rPr>
              <w:t>单位名称</w:t>
            </w:r>
          </w:p>
        </w:tc>
        <w:tc>
          <w:tcPr>
            <w:tcW w:w="2976" w:type="dxa"/>
            <w:vAlign w:val="center"/>
          </w:tcPr>
          <w:p w14:paraId="2E2A702C">
            <w:pPr>
              <w:jc w:val="center"/>
              <w:rPr>
                <w:rFonts w:hint="default" w:ascii="Times New Roman" w:hAnsi="Times New Roman" w:eastAsia="宋体" w:cs="Times New Roman"/>
                <w:sz w:val="24"/>
              </w:rPr>
            </w:pPr>
            <w:r>
              <w:rPr>
                <w:rFonts w:hint="default" w:ascii="Times New Roman" w:hAnsi="Times New Roman" w:eastAsia="宋体" w:cs="Times New Roman"/>
                <w:sz w:val="24"/>
              </w:rPr>
              <w:t>相互关系</w:t>
            </w:r>
          </w:p>
        </w:tc>
      </w:tr>
      <w:tr w14:paraId="34161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FF4E29A">
            <w:pPr>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4574" w:type="dxa"/>
            <w:vAlign w:val="center"/>
          </w:tcPr>
          <w:p w14:paraId="06274346">
            <w:pPr>
              <w:jc w:val="center"/>
              <w:rPr>
                <w:rFonts w:hint="default" w:ascii="Times New Roman" w:hAnsi="Times New Roman" w:eastAsia="宋体" w:cs="Times New Roman"/>
                <w:sz w:val="24"/>
              </w:rPr>
            </w:pPr>
          </w:p>
        </w:tc>
        <w:tc>
          <w:tcPr>
            <w:tcW w:w="2976" w:type="dxa"/>
            <w:vAlign w:val="center"/>
          </w:tcPr>
          <w:p w14:paraId="2AAAC83F">
            <w:pPr>
              <w:jc w:val="center"/>
              <w:rPr>
                <w:rFonts w:hint="default" w:ascii="Times New Roman" w:hAnsi="Times New Roman" w:eastAsia="宋体" w:cs="Times New Roman"/>
                <w:sz w:val="24"/>
              </w:rPr>
            </w:pPr>
          </w:p>
        </w:tc>
      </w:tr>
      <w:tr w14:paraId="1D458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404D388">
            <w:pPr>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4574" w:type="dxa"/>
            <w:vAlign w:val="center"/>
          </w:tcPr>
          <w:p w14:paraId="0E1CC5CF">
            <w:pPr>
              <w:jc w:val="center"/>
              <w:rPr>
                <w:rFonts w:hint="default" w:ascii="Times New Roman" w:hAnsi="Times New Roman" w:eastAsia="宋体" w:cs="Times New Roman"/>
                <w:sz w:val="24"/>
              </w:rPr>
            </w:pPr>
          </w:p>
        </w:tc>
        <w:tc>
          <w:tcPr>
            <w:tcW w:w="2976" w:type="dxa"/>
            <w:vAlign w:val="center"/>
          </w:tcPr>
          <w:p w14:paraId="4262BFC5">
            <w:pPr>
              <w:jc w:val="center"/>
              <w:rPr>
                <w:rFonts w:hint="default" w:ascii="Times New Roman" w:hAnsi="Times New Roman" w:eastAsia="宋体" w:cs="Times New Roman"/>
                <w:sz w:val="24"/>
              </w:rPr>
            </w:pPr>
          </w:p>
        </w:tc>
      </w:tr>
      <w:tr w14:paraId="7FA85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670F9EE">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4574" w:type="dxa"/>
            <w:vAlign w:val="center"/>
          </w:tcPr>
          <w:p w14:paraId="5832C20C">
            <w:pPr>
              <w:jc w:val="center"/>
              <w:rPr>
                <w:rFonts w:hint="default" w:ascii="Times New Roman" w:hAnsi="Times New Roman" w:eastAsia="宋体" w:cs="Times New Roman"/>
                <w:sz w:val="24"/>
              </w:rPr>
            </w:pPr>
          </w:p>
        </w:tc>
        <w:tc>
          <w:tcPr>
            <w:tcW w:w="2976" w:type="dxa"/>
            <w:vAlign w:val="center"/>
          </w:tcPr>
          <w:p w14:paraId="408F06A6">
            <w:pPr>
              <w:jc w:val="center"/>
              <w:rPr>
                <w:rFonts w:hint="default" w:ascii="Times New Roman" w:hAnsi="Times New Roman" w:eastAsia="宋体" w:cs="Times New Roman"/>
                <w:sz w:val="24"/>
              </w:rPr>
            </w:pPr>
          </w:p>
        </w:tc>
      </w:tr>
    </w:tbl>
    <w:p w14:paraId="6C1CC01B">
      <w:pPr>
        <w:rPr>
          <w:rFonts w:hint="default" w:ascii="Times New Roman" w:hAnsi="Times New Roman" w:eastAsia="宋体" w:cs="Times New Roman"/>
        </w:rPr>
      </w:pPr>
    </w:p>
    <w:p w14:paraId="2C6368B4">
      <w:pPr>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rPr>
        <w:t>上述声明真实有效，否则我方负全部责任。</w:t>
      </w:r>
    </w:p>
    <w:p w14:paraId="71E84F55">
      <w:pPr>
        <w:spacing w:line="360" w:lineRule="auto"/>
        <w:rPr>
          <w:rFonts w:hint="default" w:ascii="Times New Roman" w:hAnsi="Times New Roman" w:eastAsia="宋体" w:cs="Times New Roman"/>
          <w:sz w:val="24"/>
        </w:rPr>
      </w:pPr>
    </w:p>
    <w:p w14:paraId="73643D02">
      <w:pPr>
        <w:autoSpaceDE w:val="0"/>
        <w:autoSpaceDN w:val="0"/>
        <w:adjustRightInd w:val="0"/>
        <w:snapToGrid w:val="0"/>
        <w:spacing w:before="25" w:after="25" w:line="360" w:lineRule="auto"/>
        <w:ind w:right="360"/>
        <w:jc w:val="righ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7E0073DB">
      <w:pPr>
        <w:spacing w:line="360" w:lineRule="auto"/>
        <w:ind w:right="360" w:firstLine="480"/>
        <w:jc w:val="right"/>
        <w:rPr>
          <w:rFonts w:hint="default" w:ascii="Times New Roman" w:hAnsi="Times New Roman" w:eastAsia="宋体" w:cs="Times New Roman"/>
          <w:sz w:val="24"/>
        </w:rPr>
      </w:pPr>
      <w:r>
        <w:rPr>
          <w:rFonts w:hint="default" w:ascii="Times New Roman" w:hAnsi="Times New Roman" w:eastAsia="宋体" w:cs="Times New Roman"/>
          <w:color w:val="000000"/>
          <w:sz w:val="24"/>
          <w:szCs w:val="20"/>
        </w:rPr>
        <w:t xml:space="preserve">日期：____年____月____日   </w:t>
      </w:r>
    </w:p>
    <w:p w14:paraId="536DB435">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说明：供应商承诺不实的，依据《政府采购法》第七十七条“提供虚假材料谋取中标、成交的”有关规定予以处理。</w:t>
      </w:r>
    </w:p>
    <w:p w14:paraId="4B52678F">
      <w:pPr>
        <w:tabs>
          <w:tab w:val="left" w:pos="5580"/>
        </w:tabs>
        <w:spacing w:line="360" w:lineRule="auto"/>
        <w:rPr>
          <w:rFonts w:hint="default" w:ascii="Times New Roman" w:hAnsi="Times New Roman" w:eastAsia="宋体" w:cs="Times New Roman"/>
          <w:sz w:val="24"/>
        </w:rPr>
        <w:sectPr>
          <w:headerReference r:id="rId20" w:type="first"/>
          <w:footerReference r:id="rId22" w:type="first"/>
          <w:headerReference r:id="rId19" w:type="even"/>
          <w:footerReference r:id="rId21" w:type="even"/>
          <w:pgSz w:w="11907" w:h="16840"/>
          <w:pgMar w:top="1418" w:right="1134" w:bottom="1418" w:left="1701" w:header="851" w:footer="851" w:gutter="0"/>
          <w:pgNumType w:fmt="decimal"/>
          <w:cols w:space="720" w:num="1"/>
          <w:docGrid w:linePitch="462" w:charSpace="0"/>
        </w:sectPr>
      </w:pPr>
    </w:p>
    <w:p w14:paraId="4CD59D2A">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2 落实政府采购政策需满足的资格要求</w:t>
      </w:r>
    </w:p>
    <w:p w14:paraId="5CC7414B">
      <w:pPr>
        <w:spacing w:line="360" w:lineRule="auto"/>
        <w:outlineLvl w:val="2"/>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2-1 中小企业政策证明文件</w:t>
      </w:r>
    </w:p>
    <w:p w14:paraId="482599B4">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1A32D744">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hint="default" w:ascii="Times New Roman" w:hAnsi="Times New Roman" w:eastAsia="宋体" w:cs="Times New Roman"/>
          <w:color w:val="000000" w:themeColor="text1"/>
          <w:sz w:val="24"/>
          <w14:textFill>
            <w14:solidFill>
              <w14:schemeClr w14:val="tx1"/>
            </w14:solidFill>
          </w14:textFill>
        </w:rPr>
        <w:t>否则不享受相关中小企业扶持政策</w:t>
      </w:r>
      <w:r>
        <w:rPr>
          <w:rFonts w:hint="default" w:ascii="Times New Roman" w:hAnsi="Times New Roman" w:eastAsia="宋体" w:cs="Times New Roman"/>
          <w:sz w:val="24"/>
        </w:rPr>
        <w:t>。</w:t>
      </w:r>
    </w:p>
    <w:p w14:paraId="4211EA65">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6C48F4AF">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02E6497">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（4）中小企业声明函填写注意事项1）《中小企业声明函》由参加政府采购活动的供应商出具。联合体参与的，《中小企业声明函》可由牵头人出具。</w:t>
      </w:r>
    </w:p>
    <w:p w14:paraId="13AEB97C">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398DCD4">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3）对于多标的采购项目，供应商应充分、准确地了解所提供货物的制造企业、提供服务的承接企业信息。对相关情况了解不清楚的，不建议填报本声明函。</w:t>
      </w:r>
    </w:p>
    <w:p w14:paraId="41715D60">
      <w:pPr>
        <w:tabs>
          <w:tab w:val="left" w:pos="5580"/>
        </w:tabs>
        <w:spacing w:line="360" w:lineRule="auto"/>
        <w:rPr>
          <w:rFonts w:hint="default" w:ascii="Times New Roman" w:hAnsi="Times New Roman" w:eastAsia="宋体" w:cs="Times New Roman"/>
          <w:sz w:val="24"/>
        </w:rPr>
      </w:pPr>
    </w:p>
    <w:p w14:paraId="0D348223">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0E199A52">
      <w:pPr>
        <w:widowControl/>
        <w:jc w:val="left"/>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br w:type="page"/>
      </w:r>
    </w:p>
    <w:p w14:paraId="3A429FA0">
      <w:pPr>
        <w:pStyle w:val="6"/>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 xml:space="preserve">2-1-1 </w:t>
      </w:r>
      <w:r>
        <w:rPr>
          <w:rFonts w:hint="default" w:ascii="Times New Roman" w:hAnsi="Times New Roman" w:eastAsia="宋体" w:cs="Times New Roman"/>
          <w:sz w:val="24"/>
          <w:szCs w:val="24"/>
        </w:rPr>
        <w:t>中小企业证明文件</w:t>
      </w:r>
    </w:p>
    <w:p w14:paraId="20ADB378">
      <w:pPr>
        <w:spacing w:before="240" w:beforeLines="100" w:after="240" w:afterLines="100" w:line="360" w:lineRule="auto"/>
        <w:jc w:val="center"/>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t>中小企业声明函（工程、服务）格式</w:t>
      </w:r>
    </w:p>
    <w:p w14:paraId="7B9DAB94">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本公司（联合体）郑重声明，根据《政府采购促进中小企业发展管理办法》（财库﹝2020﹞46 号）的规定，本公司（联合体）参加</w:t>
      </w:r>
      <w:r>
        <w:rPr>
          <w:rFonts w:hint="default" w:ascii="Times New Roman" w:hAnsi="Times New Roman" w:eastAsia="宋体" w:cs="Times New Roman"/>
          <w:i/>
          <w:iCs/>
          <w:spacing w:val="6"/>
          <w:sz w:val="24"/>
          <w:u w:val="single"/>
        </w:rPr>
        <w:t>（单位名称）</w:t>
      </w:r>
      <w:r>
        <w:rPr>
          <w:rFonts w:hint="default" w:ascii="Times New Roman" w:hAnsi="Times New Roman" w:eastAsia="宋体" w:cs="Times New Roman"/>
          <w:spacing w:val="6"/>
          <w:sz w:val="24"/>
        </w:rPr>
        <w:t>的</w:t>
      </w:r>
      <w:r>
        <w:rPr>
          <w:rFonts w:hint="default" w:ascii="Times New Roman" w:hAnsi="Times New Roman" w:eastAsia="宋体" w:cs="Times New Roman"/>
          <w:i/>
          <w:iCs/>
          <w:spacing w:val="6"/>
          <w:sz w:val="24"/>
          <w:u w:val="single"/>
        </w:rPr>
        <w:t>（项目名称）</w:t>
      </w:r>
      <w:r>
        <w:rPr>
          <w:rFonts w:hint="default" w:ascii="Times New Roman" w:hAnsi="Times New Roman" w:eastAsia="宋体" w:cs="Times New Roman"/>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32D88C49">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i/>
          <w:iCs/>
          <w:spacing w:val="6"/>
          <w:sz w:val="24"/>
          <w:u w:val="single"/>
        </w:rPr>
        <w:t>（</w:t>
      </w:r>
      <w:r>
        <w:rPr>
          <w:rFonts w:hint="default" w:ascii="Times New Roman" w:hAnsi="Times New Roman" w:eastAsia="宋体" w:cs="Times New Roman"/>
          <w:b/>
          <w:bCs/>
          <w:i/>
          <w:iCs/>
          <w:spacing w:val="6"/>
          <w:sz w:val="24"/>
          <w:u w:val="single"/>
        </w:rPr>
        <w:t>北京市司法局指挥中心及视频会议系统运维服务项目</w:t>
      </w:r>
      <w:r>
        <w:rPr>
          <w:rFonts w:hint="default" w:ascii="Times New Roman" w:hAnsi="Times New Roman" w:eastAsia="宋体" w:cs="Times New Roman"/>
          <w:i/>
          <w:iCs/>
          <w:spacing w:val="6"/>
          <w:sz w:val="24"/>
          <w:u w:val="single"/>
        </w:rPr>
        <w:t>）</w:t>
      </w:r>
      <w:r>
        <w:rPr>
          <w:rFonts w:hint="default" w:ascii="Times New Roman" w:hAnsi="Times New Roman" w:eastAsia="宋体" w:cs="Times New Roman"/>
          <w:spacing w:val="6"/>
          <w:sz w:val="24"/>
        </w:rPr>
        <w:t>，属于</w:t>
      </w:r>
      <w:r>
        <w:rPr>
          <w:rFonts w:hint="default" w:ascii="Times New Roman" w:hAnsi="Times New Roman" w:eastAsia="宋体" w:cs="Times New Roman"/>
          <w:i/>
          <w:iCs/>
          <w:spacing w:val="6"/>
          <w:sz w:val="24"/>
          <w:u w:val="single"/>
        </w:rPr>
        <w:t>（</w:t>
      </w:r>
      <w:r>
        <w:rPr>
          <w:rFonts w:hint="eastAsia" w:cs="Times New Roman"/>
          <w:b/>
          <w:bCs/>
          <w:i/>
          <w:iCs/>
          <w:spacing w:val="6"/>
          <w:sz w:val="24"/>
          <w:u w:val="single"/>
          <w:lang w:val="en-US" w:eastAsia="zh-CN"/>
        </w:rPr>
        <w:t>软件和信息技术服务业</w:t>
      </w:r>
      <w:r>
        <w:rPr>
          <w:rFonts w:hint="default" w:ascii="Times New Roman" w:hAnsi="Times New Roman" w:eastAsia="宋体" w:cs="Times New Roman"/>
          <w:i/>
          <w:iCs/>
          <w:spacing w:val="6"/>
          <w:sz w:val="24"/>
          <w:u w:val="single"/>
        </w:rPr>
        <w:t>）</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i/>
          <w:iCs/>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w:t>
      </w:r>
      <w:r>
        <w:rPr>
          <w:rFonts w:hint="default" w:ascii="Times New Roman" w:hAnsi="Times New Roman" w:eastAsia="宋体" w:cs="Times New Roman"/>
          <w:spacing w:val="6"/>
          <w:sz w:val="24"/>
          <w:vertAlign w:val="superscript"/>
        </w:rPr>
        <w:t>1</w:t>
      </w:r>
      <w:r>
        <w:rPr>
          <w:rFonts w:hint="default" w:ascii="Times New Roman" w:hAnsi="Times New Roman" w:eastAsia="宋体" w:cs="Times New Roman"/>
          <w:spacing w:val="6"/>
          <w:sz w:val="24"/>
        </w:rPr>
        <w:t>，属于</w:t>
      </w:r>
      <w:r>
        <w:rPr>
          <w:rFonts w:hint="default" w:ascii="Times New Roman" w:hAnsi="Times New Roman" w:eastAsia="宋体" w:cs="Times New Roman"/>
          <w:i/>
          <w:iCs/>
          <w:spacing w:val="6"/>
          <w:sz w:val="24"/>
          <w:u w:val="single"/>
        </w:rPr>
        <w:t>（中型企业、小型企业、微型企业）</w:t>
      </w:r>
      <w:r>
        <w:rPr>
          <w:rFonts w:hint="default" w:ascii="Times New Roman" w:hAnsi="Times New Roman" w:eastAsia="宋体" w:cs="Times New Roman"/>
          <w:spacing w:val="6"/>
          <w:sz w:val="24"/>
        </w:rPr>
        <w:t>；</w:t>
      </w:r>
    </w:p>
    <w:p w14:paraId="3094C963">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以上企业，不属于大企业的分支机构，不存在控股股东为大企业的情形，也不存在与大企业的负责人为同一人的情形。</w:t>
      </w:r>
    </w:p>
    <w:p w14:paraId="5C27EADF">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本企业对上述声明内容的真实性负责。如有虚假，将依法承担相应责任。</w:t>
      </w:r>
    </w:p>
    <w:p w14:paraId="44B28379">
      <w:pPr>
        <w:spacing w:line="360" w:lineRule="auto"/>
        <w:ind w:right="360" w:firstLine="480"/>
        <w:jc w:val="right"/>
        <w:rPr>
          <w:rFonts w:hint="default" w:ascii="Times New Roman" w:hAnsi="Times New Roman" w:eastAsia="宋体" w:cs="Times New Roman"/>
          <w:color w:val="000000"/>
          <w:sz w:val="24"/>
        </w:rPr>
      </w:pPr>
    </w:p>
    <w:p w14:paraId="224DFECF">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企业名称（盖章）：</w:t>
      </w:r>
      <w:r>
        <w:rPr>
          <w:rFonts w:hint="default" w:ascii="Times New Roman" w:hAnsi="Times New Roman" w:eastAsia="宋体" w:cs="Times New Roman"/>
          <w:sz w:val="24"/>
        </w:rPr>
        <w:t>______</w:t>
      </w:r>
    </w:p>
    <w:p w14:paraId="4FB08969">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日 期：</w:t>
      </w:r>
      <w:r>
        <w:rPr>
          <w:rFonts w:hint="default" w:ascii="Times New Roman" w:hAnsi="Times New Roman" w:eastAsia="宋体" w:cs="Times New Roman"/>
          <w:sz w:val="24"/>
        </w:rPr>
        <w:t>______</w:t>
      </w:r>
    </w:p>
    <w:p w14:paraId="33D3D7B7">
      <w:pPr>
        <w:adjustRightInd w:val="0"/>
        <w:snapToGrid w:val="0"/>
        <w:jc w:val="left"/>
        <w:rPr>
          <w:rFonts w:hint="default" w:ascii="Times New Roman" w:hAnsi="Times New Roman" w:eastAsia="宋体" w:cs="Times New Roman"/>
          <w:color w:val="000000"/>
          <w:sz w:val="24"/>
          <w:szCs w:val="21"/>
        </w:rPr>
      </w:pPr>
    </w:p>
    <w:p w14:paraId="0FB8D529">
      <w:pPr>
        <w:adjustRightInd w:val="0"/>
        <w:snapToGrid w:val="0"/>
        <w:jc w:val="left"/>
        <w:rPr>
          <w:rFonts w:hint="default" w:ascii="Times New Roman" w:hAnsi="Times New Roman" w:eastAsia="宋体" w:cs="Times New Roman"/>
          <w:color w:val="000000"/>
          <w:sz w:val="24"/>
          <w:szCs w:val="21"/>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F0CC5D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0CEDED00">
            <w:pPr>
              <w:adjustRightInd w:val="0"/>
              <w:snapToGrid w:val="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vertAlign w:val="superscript"/>
              </w:rPr>
              <w:t>1</w:t>
            </w:r>
            <w:r>
              <w:rPr>
                <w:rFonts w:hint="default" w:ascii="Times New Roman" w:hAnsi="Times New Roman" w:eastAsia="宋体" w:cs="Times New Roman"/>
                <w:color w:val="000000"/>
                <w:szCs w:val="21"/>
              </w:rPr>
              <w:t>从业人员、营业收入、资产总额填报上一年度数据，无上一年度数据的新成立企业可不填报。</w:t>
            </w:r>
          </w:p>
        </w:tc>
      </w:tr>
    </w:tbl>
    <w:p w14:paraId="3E54E405">
      <w:pPr>
        <w:adjustRightInd w:val="0"/>
        <w:snapToGrid w:val="0"/>
        <w:jc w:val="left"/>
        <w:rPr>
          <w:rFonts w:hint="default" w:ascii="Times New Roman" w:hAnsi="Times New Roman" w:eastAsia="宋体" w:cs="Times New Roman"/>
          <w:color w:val="000000"/>
          <w:szCs w:val="21"/>
          <w:vertAlign w:val="superscript"/>
        </w:rPr>
      </w:pPr>
    </w:p>
    <w:p w14:paraId="498AEB99">
      <w:pPr>
        <w:spacing w:line="360" w:lineRule="auto"/>
        <w:ind w:right="360" w:firstLine="480"/>
        <w:jc w:val="right"/>
        <w:rPr>
          <w:rFonts w:hint="default" w:ascii="Times New Roman" w:hAnsi="Times New Roman" w:eastAsia="宋体" w:cs="Times New Roman"/>
          <w:color w:val="000000"/>
          <w:sz w:val="24"/>
        </w:rPr>
      </w:pPr>
    </w:p>
    <w:p w14:paraId="0C0EB55A">
      <w:pPr>
        <w:spacing w:line="360" w:lineRule="auto"/>
        <w:ind w:right="360" w:firstLine="480"/>
        <w:jc w:val="right"/>
        <w:rPr>
          <w:rFonts w:hint="default" w:ascii="Times New Roman" w:hAnsi="Times New Roman" w:eastAsia="宋体" w:cs="Times New Roman"/>
          <w:color w:val="000000"/>
          <w:sz w:val="24"/>
        </w:rPr>
      </w:pPr>
    </w:p>
    <w:p w14:paraId="64E45A02">
      <w:pPr>
        <w:spacing w:line="360" w:lineRule="auto"/>
        <w:ind w:right="360" w:firstLine="480"/>
        <w:jc w:val="righ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16561912">
      <w:pPr>
        <w:spacing w:before="240" w:beforeLines="100" w:after="240" w:afterLines="100"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bCs/>
          <w:color w:val="000000"/>
          <w:sz w:val="36"/>
          <w:szCs w:val="36"/>
        </w:rPr>
        <w:t>残疾人福利性单位声明函格式</w:t>
      </w:r>
      <w:r>
        <w:rPr>
          <w:rFonts w:hint="default" w:ascii="Times New Roman" w:hAnsi="Times New Roman" w:eastAsia="宋体" w:cs="Times New Roman"/>
          <w:b/>
          <w:color w:val="000000"/>
          <w:sz w:val="36"/>
          <w:szCs w:val="36"/>
        </w:rPr>
        <w:t xml:space="preserve">       </w:t>
      </w:r>
    </w:p>
    <w:p w14:paraId="2769B157">
      <w:pPr>
        <w:spacing w:line="588" w:lineRule="exact"/>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本单位郑重声明，根据《财政部 民政部 中国残疾人联合会关于促进残疾人就业政府采购政策的通知》（财库</w:t>
      </w:r>
      <w:r>
        <w:rPr>
          <w:rFonts w:hint="default" w:ascii="Times New Roman" w:hAnsi="Times New Roman" w:eastAsia="宋体" w:cs="Times New Roman"/>
          <w:sz w:val="24"/>
        </w:rPr>
        <w:t>〔2017〕 141</w:t>
      </w:r>
      <w:r>
        <w:rPr>
          <w:rFonts w:hint="default" w:ascii="Times New Roman" w:hAnsi="Times New Roman" w:eastAsia="宋体" w:cs="Times New Roman"/>
          <w:spacing w:val="6"/>
          <w:sz w:val="24"/>
        </w:rPr>
        <w:t>号）的规定，本单位</w:t>
      </w:r>
      <w:r>
        <w:rPr>
          <w:rFonts w:hint="default" w:ascii="Times New Roman" w:hAnsi="Times New Roman" w:eastAsia="宋体" w:cs="Times New Roman"/>
          <w:b/>
          <w:sz w:val="24"/>
        </w:rPr>
        <w:t>（请进行选择）</w:t>
      </w:r>
      <w:r>
        <w:rPr>
          <w:rFonts w:hint="default" w:ascii="Times New Roman" w:hAnsi="Times New Roman" w:eastAsia="宋体" w:cs="Times New Roman"/>
          <w:spacing w:val="6"/>
          <w:sz w:val="24"/>
        </w:rPr>
        <w:t>：</w:t>
      </w:r>
    </w:p>
    <w:p w14:paraId="185FA21E">
      <w:pPr>
        <w:spacing w:line="588" w:lineRule="exact"/>
        <w:ind w:firstLine="482"/>
        <w:rPr>
          <w:rFonts w:hint="default" w:ascii="Times New Roman" w:hAnsi="Times New Roman" w:eastAsia="宋体" w:cs="Times New Roman"/>
          <w:b/>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不属于符合条件的残疾人福利性单位。</w:t>
      </w:r>
    </w:p>
    <w:p w14:paraId="1DF9343C">
      <w:pPr>
        <w:spacing w:line="588" w:lineRule="exact"/>
        <w:ind w:firstLine="482"/>
        <w:rPr>
          <w:rFonts w:hint="default" w:ascii="Times New Roman" w:hAnsi="Times New Roman" w:eastAsia="宋体" w:cs="Times New Roman"/>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属于符合条件的残疾人福利性单位，</w:t>
      </w:r>
      <w:r>
        <w:rPr>
          <w:rFonts w:hint="default" w:ascii="Times New Roman" w:hAnsi="Times New Roman" w:eastAsia="宋体" w:cs="Times New Roman"/>
          <w:spacing w:val="6"/>
          <w:sz w:val="24"/>
        </w:rPr>
        <w:t>且本单位参加</w:t>
      </w:r>
      <w:r>
        <w:rPr>
          <w:rFonts w:hint="default" w:ascii="Times New Roman" w:hAnsi="Times New Roman" w:eastAsia="宋体" w:cs="Times New Roman"/>
          <w:sz w:val="24"/>
        </w:rPr>
        <w:t>______</w:t>
      </w:r>
      <w:r>
        <w:rPr>
          <w:rFonts w:hint="default" w:ascii="Times New Roman" w:hAnsi="Times New Roman" w:eastAsia="宋体" w:cs="Times New Roman"/>
          <w:spacing w:val="6"/>
          <w:sz w:val="24"/>
        </w:rPr>
        <w:t>单位的</w:t>
      </w:r>
      <w:r>
        <w:rPr>
          <w:rFonts w:hint="default" w:ascii="Times New Roman" w:hAnsi="Times New Roman" w:eastAsia="宋体" w:cs="Times New Roman"/>
          <w:sz w:val="24"/>
        </w:rPr>
        <w:t>______</w:t>
      </w:r>
      <w:r>
        <w:rPr>
          <w:rFonts w:hint="default" w:ascii="Times New Roman" w:hAnsi="Times New Roman" w:eastAsia="宋体" w:cs="Times New Roman"/>
          <w:spacing w:val="6"/>
          <w:sz w:val="24"/>
        </w:rPr>
        <w:t>项目采购活动提供本单位制造的货物（由本单位承担工程/提供服务），或者提供其他残疾人福利性单位制造的货物（不包括使用非残疾人福利性单位注册商标的货物）。</w:t>
      </w:r>
    </w:p>
    <w:p w14:paraId="2CA9015A">
      <w:pPr>
        <w:spacing w:line="588" w:lineRule="exact"/>
        <w:ind w:firstLine="506" w:firstLineChars="200"/>
        <w:rPr>
          <w:rFonts w:hint="default" w:ascii="Times New Roman" w:hAnsi="Times New Roman" w:eastAsia="宋体" w:cs="Times New Roman"/>
          <w:spacing w:val="6"/>
          <w:sz w:val="24"/>
        </w:rPr>
      </w:pPr>
      <w:r>
        <w:rPr>
          <w:rFonts w:hint="default" w:ascii="Times New Roman" w:hAnsi="Times New Roman" w:eastAsia="宋体" w:cs="Times New Roman"/>
          <w:b/>
          <w:spacing w:val="6"/>
          <w:sz w:val="24"/>
        </w:rPr>
        <w:t>本单位对上述声明的真实性负责。如有虚假，将依法承担相应责任。</w:t>
      </w:r>
    </w:p>
    <w:p w14:paraId="19B88A22">
      <w:pPr>
        <w:spacing w:line="588" w:lineRule="exact"/>
        <w:ind w:firstLine="504" w:firstLineChars="200"/>
        <w:rPr>
          <w:rFonts w:hint="default" w:ascii="Times New Roman" w:hAnsi="Times New Roman" w:eastAsia="宋体" w:cs="Times New Roman"/>
          <w:spacing w:val="6"/>
          <w:sz w:val="24"/>
        </w:rPr>
      </w:pPr>
    </w:p>
    <w:p w14:paraId="6AE69988">
      <w:pPr>
        <w:spacing w:line="588" w:lineRule="exact"/>
        <w:ind w:firstLine="504" w:firstLineChars="200"/>
        <w:rPr>
          <w:rFonts w:hint="default" w:ascii="Times New Roman" w:hAnsi="Times New Roman" w:eastAsia="宋体" w:cs="Times New Roman"/>
          <w:spacing w:val="6"/>
          <w:sz w:val="24"/>
        </w:rPr>
      </w:pPr>
    </w:p>
    <w:p w14:paraId="11441AA3">
      <w:pPr>
        <w:tabs>
          <w:tab w:val="left" w:pos="4860"/>
        </w:tabs>
        <w:spacing w:line="588" w:lineRule="exact"/>
        <w:ind w:right="1560" w:firstLine="504" w:firstLineChars="200"/>
        <w:jc w:val="right"/>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单位名称（盖章）：</w:t>
      </w:r>
      <w:r>
        <w:rPr>
          <w:rFonts w:hint="default" w:ascii="Times New Roman" w:hAnsi="Times New Roman" w:eastAsia="宋体" w:cs="Times New Roman"/>
          <w:sz w:val="24"/>
        </w:rPr>
        <w:t>______</w:t>
      </w:r>
    </w:p>
    <w:p w14:paraId="22007AC4">
      <w:pPr>
        <w:tabs>
          <w:tab w:val="left" w:pos="4860"/>
        </w:tabs>
        <w:spacing w:line="588" w:lineRule="exact"/>
        <w:ind w:right="1560" w:firstLine="504" w:firstLineChars="200"/>
        <w:jc w:val="right"/>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日  期：</w:t>
      </w:r>
      <w:r>
        <w:rPr>
          <w:rFonts w:hint="default" w:ascii="Times New Roman" w:hAnsi="Times New Roman" w:eastAsia="宋体" w:cs="Times New Roman"/>
          <w:sz w:val="24"/>
        </w:rPr>
        <w:t>______</w:t>
      </w:r>
    </w:p>
    <w:p w14:paraId="1BB90687">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679181E8">
      <w:pPr>
        <w:pStyle w:val="6"/>
        <w:rPr>
          <w:rFonts w:hint="default" w:ascii="Times New Roman" w:hAnsi="Times New Roman" w:eastAsia="宋体" w:cs="Times New Roman"/>
          <w:bCs/>
          <w:color w:val="000000"/>
          <w:sz w:val="24"/>
        </w:rPr>
      </w:pPr>
      <w:r>
        <w:rPr>
          <w:rFonts w:hint="default" w:ascii="Times New Roman" w:hAnsi="Times New Roman" w:eastAsia="宋体" w:cs="Times New Roman"/>
          <w:b w:val="0"/>
          <w:color w:val="000000"/>
          <w:sz w:val="24"/>
        </w:rPr>
        <w:t>2-1-2 拟</w:t>
      </w:r>
      <w:r>
        <w:rPr>
          <w:rFonts w:hint="default" w:ascii="Times New Roman" w:hAnsi="Times New Roman" w:eastAsia="宋体" w:cs="Times New Roman"/>
          <w:b w:val="0"/>
          <w:sz w:val="24"/>
        </w:rPr>
        <w:t>分包情况说明及分包意向协议</w:t>
      </w:r>
      <w:r>
        <w:rPr>
          <w:rFonts w:hint="default" w:ascii="Times New Roman" w:hAnsi="Times New Roman" w:eastAsia="宋体" w:cs="Times New Roman"/>
          <w:bCs/>
          <w:sz w:val="24"/>
        </w:rPr>
        <w:t>（本项目不适用）</w:t>
      </w:r>
    </w:p>
    <w:p w14:paraId="70674FDF">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0FCF4EA1">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如本项目（包）允许分包，且供应商拟进行分包时：</w:t>
      </w:r>
    </w:p>
    <w:p w14:paraId="63B33259">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（1）响应文件中须提供《拟分包情况说明》，否则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27BDFB3F">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（2）当同时符合下列情形时，响应文件还须提供《分包意向协议》，否则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201184ED">
      <w:pPr>
        <w:tabs>
          <w:tab w:val="left" w:pos="5580"/>
        </w:tabs>
        <w:spacing w:line="360" w:lineRule="auto"/>
        <w:ind w:left="567" w:leftChars="270"/>
        <w:rPr>
          <w:rFonts w:hint="default" w:ascii="Times New Roman" w:hAnsi="Times New Roman" w:eastAsia="宋体" w:cs="Times New Roman"/>
          <w:sz w:val="24"/>
        </w:rPr>
      </w:pPr>
      <w:r>
        <w:rPr>
          <w:rFonts w:hint="default" w:ascii="Times New Roman" w:hAnsi="Times New Roman" w:eastAsia="宋体" w:cs="Times New Roman"/>
          <w:sz w:val="24"/>
        </w:rPr>
        <w:t>A. 本项目（包）预留部分采购项目预算专门面向中小企业采购，且要求获得采购合同的供应商将采购项目中的一定比例分包给一家或者多家中小企业的；</w:t>
      </w:r>
    </w:p>
    <w:p w14:paraId="29368A4D">
      <w:pPr>
        <w:tabs>
          <w:tab w:val="left" w:pos="5580"/>
        </w:tabs>
        <w:spacing w:line="360" w:lineRule="auto"/>
        <w:ind w:left="567" w:leftChars="270"/>
        <w:rPr>
          <w:rFonts w:hint="default" w:ascii="Times New Roman" w:hAnsi="Times New Roman" w:eastAsia="宋体" w:cs="Times New Roman"/>
          <w:sz w:val="24"/>
        </w:rPr>
      </w:pPr>
      <w:r>
        <w:rPr>
          <w:rFonts w:hint="default" w:ascii="Times New Roman" w:hAnsi="Times New Roman" w:eastAsia="宋体" w:cs="Times New Roman"/>
          <w:sz w:val="24"/>
        </w:rPr>
        <w:t>B. 供应商通过分包方式满足中小企业政策要求的。</w:t>
      </w:r>
    </w:p>
    <w:p w14:paraId="0432462D">
      <w:pPr>
        <w:autoSpaceDE w:val="0"/>
        <w:autoSpaceDN w:val="0"/>
        <w:adjustRightInd w:val="0"/>
        <w:rPr>
          <w:rFonts w:hint="default" w:ascii="Times New Roman" w:hAnsi="Times New Roman" w:eastAsia="宋体" w:cs="Times New Roman"/>
          <w:color w:val="000000"/>
          <w:sz w:val="30"/>
          <w:szCs w:val="30"/>
        </w:rPr>
      </w:pPr>
    </w:p>
    <w:p w14:paraId="6D456593">
      <w:pPr>
        <w:widowControl/>
        <w:jc w:val="left"/>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br w:type="page"/>
      </w:r>
    </w:p>
    <w:p w14:paraId="00CFDD1A">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拟分包情况说明</w:t>
      </w:r>
    </w:p>
    <w:p w14:paraId="54794289">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u w:val="single"/>
        </w:rPr>
        <w:t>（采购人或采购代理机构）</w:t>
      </w:r>
    </w:p>
    <w:p w14:paraId="797AB69E">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07BF3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73E1F857">
            <w:pPr>
              <w:pStyle w:val="248"/>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0BFC4BC9">
            <w:pPr>
              <w:pStyle w:val="248"/>
              <w:jc w:val="center"/>
              <w:rPr>
                <w:rFonts w:hint="default" w:ascii="Times New Roman" w:hAnsi="Times New Roman" w:eastAsia="宋体" w:cs="Times New Roman"/>
                <w:sz w:val="24"/>
              </w:rPr>
            </w:pPr>
            <w:r>
              <w:rPr>
                <w:rFonts w:hint="default" w:ascii="Times New Roman" w:hAnsi="Times New Roman" w:eastAsia="宋体" w:cs="Times New Roman"/>
                <w:sz w:val="24"/>
              </w:rPr>
              <w:t>分包承担</w:t>
            </w:r>
          </w:p>
          <w:p w14:paraId="5B5509BC">
            <w:pPr>
              <w:pStyle w:val="248"/>
              <w:jc w:val="center"/>
              <w:rPr>
                <w:rFonts w:hint="default" w:ascii="Times New Roman" w:hAnsi="Times New Roman" w:eastAsia="宋体" w:cs="Times New Roman"/>
                <w:sz w:val="24"/>
              </w:rPr>
            </w:pPr>
            <w:r>
              <w:rPr>
                <w:rFonts w:hint="default" w:ascii="Times New Roman" w:hAnsi="Times New Roman" w:eastAsia="宋体" w:cs="Times New Roman"/>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6D69A415">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分包承担</w:t>
            </w:r>
          </w:p>
          <w:p w14:paraId="1B2BA935">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主体类型</w:t>
            </w:r>
          </w:p>
          <w:p w14:paraId="5084ECC0">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3C2979B4">
            <w:pPr>
              <w:pStyle w:val="248"/>
              <w:jc w:val="center"/>
              <w:rPr>
                <w:rFonts w:hint="default" w:ascii="Times New Roman" w:hAnsi="Times New Roman" w:eastAsia="宋体" w:cs="Times New Roman"/>
                <w:sz w:val="24"/>
              </w:rPr>
            </w:pPr>
            <w:r>
              <w:rPr>
                <w:rFonts w:hint="default" w:ascii="Times New Roman" w:hAnsi="Times New Roman" w:eastAsia="宋体" w:cs="Times New Roman"/>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6AC1D837">
            <w:pPr>
              <w:pStyle w:val="248"/>
              <w:jc w:val="center"/>
              <w:rPr>
                <w:rFonts w:hint="default" w:ascii="Times New Roman" w:hAnsi="Times New Roman" w:eastAsia="宋体" w:cs="Times New Roman"/>
                <w:sz w:val="24"/>
              </w:rPr>
            </w:pPr>
            <w:r>
              <w:rPr>
                <w:rFonts w:hint="default" w:ascii="Times New Roman" w:hAnsi="Times New Roman" w:eastAsia="宋体" w:cs="Times New Roman"/>
                <w:sz w:val="24"/>
              </w:rPr>
              <w:t>拟分包</w:t>
            </w:r>
          </w:p>
          <w:p w14:paraId="0DA1F28F">
            <w:pPr>
              <w:pStyle w:val="248"/>
              <w:jc w:val="center"/>
              <w:rPr>
                <w:rFonts w:hint="default" w:ascii="Times New Roman" w:hAnsi="Times New Roman" w:eastAsia="宋体" w:cs="Times New Roman"/>
                <w:sz w:val="24"/>
              </w:rPr>
            </w:pPr>
            <w:r>
              <w:rPr>
                <w:rFonts w:hint="default" w:ascii="Times New Roman" w:hAnsi="Times New Roman" w:eastAsia="宋体" w:cs="Times New Roman"/>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4734E253">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拟分包</w:t>
            </w:r>
          </w:p>
          <w:p w14:paraId="7B20D2E5">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合同金额</w:t>
            </w:r>
          </w:p>
          <w:p w14:paraId="20DD71DB">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1D0D3F63">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占该采购包</w:t>
            </w:r>
          </w:p>
          <w:p w14:paraId="31C842B4">
            <w:pPr>
              <w:pStyle w:val="248"/>
              <w:jc w:val="center"/>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合同金额的</w:t>
            </w:r>
          </w:p>
          <w:p w14:paraId="26CC23D1">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比例（%）</w:t>
            </w:r>
          </w:p>
        </w:tc>
      </w:tr>
      <w:tr w14:paraId="700A1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3E484037">
            <w:pPr>
              <w:pStyle w:val="248"/>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6DE2D531">
            <w:pPr>
              <w:pStyle w:val="248"/>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22F3C1E7">
            <w:pPr>
              <w:pStyle w:val="248"/>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□中型企业</w:t>
            </w:r>
          </w:p>
          <w:p w14:paraId="2028110E">
            <w:pPr>
              <w:pStyle w:val="248"/>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□小微企业</w:t>
            </w:r>
          </w:p>
          <w:p w14:paraId="5309ABB9">
            <w:pPr>
              <w:pStyle w:val="248"/>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137D3F4D">
            <w:pPr>
              <w:pStyle w:val="248"/>
              <w:jc w:val="center"/>
              <w:rPr>
                <w:rFonts w:hint="default" w:ascii="Times New Roman" w:hAnsi="Times New Roman" w:eastAsia="宋体"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7152961">
            <w:pPr>
              <w:pStyle w:val="248"/>
              <w:jc w:val="center"/>
              <w:rPr>
                <w:rFonts w:hint="default" w:ascii="Times New Roman" w:hAnsi="Times New Roman" w:eastAsia="宋体"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3648FA08">
            <w:pPr>
              <w:pStyle w:val="248"/>
              <w:jc w:val="center"/>
              <w:rPr>
                <w:rFonts w:hint="default" w:ascii="Times New Roman" w:hAnsi="Times New Roman" w:eastAsia="宋体"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06B8D0FE">
            <w:pPr>
              <w:pStyle w:val="248"/>
              <w:jc w:val="center"/>
              <w:rPr>
                <w:rFonts w:hint="default" w:ascii="Times New Roman" w:hAnsi="Times New Roman" w:eastAsia="宋体" w:cs="Times New Roman"/>
                <w:sz w:val="30"/>
                <w:lang w:eastAsia="zh-CN"/>
              </w:rPr>
            </w:pPr>
          </w:p>
        </w:tc>
      </w:tr>
      <w:tr w14:paraId="715C0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12D956AD">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339D97E6">
            <w:pPr>
              <w:pStyle w:val="248"/>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8A4A639">
            <w:pPr>
              <w:pStyle w:val="248"/>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□中型企业</w:t>
            </w:r>
          </w:p>
          <w:p w14:paraId="647EDA9D">
            <w:pPr>
              <w:pStyle w:val="248"/>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□小微企业</w:t>
            </w:r>
          </w:p>
          <w:p w14:paraId="2360B95A">
            <w:pPr>
              <w:pStyle w:val="248"/>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85A67F4">
            <w:pPr>
              <w:pStyle w:val="248"/>
              <w:jc w:val="center"/>
              <w:rPr>
                <w:rFonts w:hint="default" w:ascii="Times New Roman" w:hAnsi="Times New Roman" w:eastAsia="宋体"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0E9FE56">
            <w:pPr>
              <w:pStyle w:val="248"/>
              <w:jc w:val="center"/>
              <w:rPr>
                <w:rFonts w:hint="default" w:ascii="Times New Roman" w:hAnsi="Times New Roman" w:eastAsia="宋体"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2E172627">
            <w:pPr>
              <w:pStyle w:val="248"/>
              <w:jc w:val="center"/>
              <w:rPr>
                <w:rFonts w:hint="default" w:ascii="Times New Roman" w:hAnsi="Times New Roman" w:eastAsia="宋体"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0382F4CE">
            <w:pPr>
              <w:pStyle w:val="248"/>
              <w:jc w:val="center"/>
              <w:rPr>
                <w:rFonts w:hint="default" w:ascii="Times New Roman" w:hAnsi="Times New Roman" w:eastAsia="宋体" w:cs="Times New Roman"/>
                <w:sz w:val="30"/>
                <w:lang w:eastAsia="zh-CN"/>
              </w:rPr>
            </w:pPr>
          </w:p>
        </w:tc>
      </w:tr>
      <w:tr w14:paraId="62715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0ED8236E">
            <w:pPr>
              <w:pStyle w:val="24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679B0843">
            <w:pPr>
              <w:pStyle w:val="248"/>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11C8B77B">
            <w:pPr>
              <w:pStyle w:val="248"/>
              <w:tabs>
                <w:tab w:val="left" w:pos="235"/>
              </w:tabs>
              <w:jc w:val="center"/>
              <w:rPr>
                <w:rFonts w:hint="default" w:ascii="Times New Roman" w:hAnsi="Times New Roman" w:eastAsia="宋体" w:cs="Times New Roman"/>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2AA1EBE">
            <w:pPr>
              <w:pStyle w:val="248"/>
              <w:jc w:val="center"/>
              <w:rPr>
                <w:rFonts w:hint="default" w:ascii="Times New Roman" w:hAnsi="Times New Roman" w:eastAsia="宋体" w:cs="Times New Roman"/>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5B9B533">
            <w:pPr>
              <w:pStyle w:val="248"/>
              <w:jc w:val="center"/>
              <w:rPr>
                <w:rFonts w:hint="default" w:ascii="Times New Roman" w:hAnsi="Times New Roman" w:eastAsia="宋体" w:cs="Times New Roman"/>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5CB236DA">
            <w:pPr>
              <w:pStyle w:val="248"/>
              <w:jc w:val="center"/>
              <w:rPr>
                <w:rFonts w:hint="default" w:ascii="Times New Roman" w:hAnsi="Times New Roman" w:eastAsia="宋体" w:cs="Times New Roman"/>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505CB580">
            <w:pPr>
              <w:pStyle w:val="248"/>
              <w:jc w:val="center"/>
              <w:rPr>
                <w:rFonts w:hint="default" w:ascii="Times New Roman" w:hAnsi="Times New Roman" w:eastAsia="宋体" w:cs="Times New Roman"/>
                <w:sz w:val="30"/>
              </w:rPr>
            </w:pPr>
          </w:p>
        </w:tc>
      </w:tr>
      <w:tr w14:paraId="75D8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137831A4">
            <w:pPr>
              <w:pStyle w:val="248"/>
              <w:ind w:right="57" w:rightChars="27"/>
              <w:jc w:val="righ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0EE41D0C">
            <w:pPr>
              <w:pStyle w:val="248"/>
              <w:jc w:val="center"/>
              <w:rPr>
                <w:rFonts w:hint="default" w:ascii="Times New Roman" w:hAnsi="Times New Roman" w:eastAsia="宋体" w:cs="Times New Roman"/>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7EC299F9">
            <w:pPr>
              <w:pStyle w:val="248"/>
              <w:jc w:val="center"/>
              <w:rPr>
                <w:rFonts w:hint="default" w:ascii="Times New Roman" w:hAnsi="Times New Roman" w:eastAsia="宋体" w:cs="Times New Roman"/>
                <w:sz w:val="30"/>
              </w:rPr>
            </w:pPr>
          </w:p>
        </w:tc>
      </w:tr>
    </w:tbl>
    <w:p w14:paraId="49323C3F">
      <w:pPr>
        <w:adjustRightInd w:val="0"/>
        <w:snapToGrid w:val="0"/>
        <w:spacing w:line="360" w:lineRule="auto"/>
        <w:jc w:val="left"/>
        <w:rPr>
          <w:rFonts w:hint="default" w:ascii="Times New Roman" w:hAnsi="Times New Roman" w:eastAsia="宋体" w:cs="Times New Roman"/>
          <w:sz w:val="24"/>
        </w:rPr>
      </w:pPr>
    </w:p>
    <w:p w14:paraId="09039205">
      <w:pPr>
        <w:autoSpaceDE w:val="0"/>
        <w:autoSpaceDN w:val="0"/>
        <w:adjustRightInd w:val="0"/>
        <w:snapToGrid w:val="0"/>
        <w:spacing w:before="25" w:after="25" w:line="360" w:lineRule="auto"/>
        <w:jc w:val="righ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587B04A2">
      <w:pPr>
        <w:spacing w:line="360" w:lineRule="auto"/>
        <w:ind w:right="-57"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日</w:t>
      </w:r>
    </w:p>
    <w:p w14:paraId="6D309100">
      <w:pPr>
        <w:adjustRightInd w:val="0"/>
        <w:snapToGrid w:val="0"/>
        <w:spacing w:line="360" w:lineRule="auto"/>
        <w:jc w:val="left"/>
        <w:rPr>
          <w:rFonts w:hint="default" w:ascii="Times New Roman" w:hAnsi="Times New Roman" w:eastAsia="宋体" w:cs="Times New Roman"/>
          <w:sz w:val="24"/>
        </w:rPr>
      </w:pPr>
    </w:p>
    <w:p w14:paraId="4147E58B">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注：</w:t>
      </w:r>
    </w:p>
    <w:p w14:paraId="12AD5FDB">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（1）当供应商属于本部分说明中第（1）类情形，如未提供《拟分包情况说明》，或提供了《拟分包情况说明》但未填写分包承担主体名称、拟分包合同内容、拟分包合同金额，其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634CBD1C">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（2）当供应商属于本部分说明中第（2）类情形，如未提供《拟分包情况说明》，或提供了《拟分包情况说明》但未填写分包承担主体名称、分包承担主体类型、拟分包合同内容、拟分包合同金额，其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516EC106">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（3）如本采购文件《供应商须知资料表》载明本项目分包承担主体应具备的相应资质条件，则供应商须在本表中列明分包承担主体的资质等级，并后附资质证书复印件，否则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1AC3C0AB">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color w:val="000000"/>
          <w:sz w:val="30"/>
          <w:szCs w:val="30"/>
        </w:rPr>
        <w:br w:type="page"/>
      </w:r>
      <w:r>
        <w:rPr>
          <w:rFonts w:hint="default" w:ascii="Times New Roman" w:hAnsi="Times New Roman" w:eastAsia="宋体" w:cs="Times New Roman"/>
          <w:b/>
          <w:color w:val="000000"/>
          <w:sz w:val="36"/>
          <w:szCs w:val="36"/>
        </w:rPr>
        <w:t>分包意向协议</w:t>
      </w:r>
    </w:p>
    <w:p w14:paraId="7A82BFDC">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甲方（供应商）：______</w:t>
      </w:r>
    </w:p>
    <w:p w14:paraId="261731BE">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乙方（拟分包单位）：______</w:t>
      </w:r>
    </w:p>
    <w:p w14:paraId="68419DAC">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甲方承诺，一旦在______（采购项目名称）（项目编号/包号为：______）采购项目中获得采购合同，将按照下述约定将合同项下部分内容分包给乙方：</w:t>
      </w:r>
    </w:p>
    <w:p w14:paraId="11A8CAE4">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1.分包内容：______。</w:t>
      </w:r>
    </w:p>
    <w:p w14:paraId="3E9DA922">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2.分包金额：______，该金额占该采购包合同金额的比例为______%。</w:t>
      </w:r>
    </w:p>
    <w:p w14:paraId="38181B04">
      <w:pPr>
        <w:adjustRightInd w:val="0"/>
        <w:snapToGrid w:val="0"/>
        <w:spacing w:line="360" w:lineRule="auto"/>
        <w:ind w:firstLine="480" w:firstLineChars="200"/>
        <w:jc w:val="left"/>
        <w:rPr>
          <w:rFonts w:hint="default" w:ascii="Times New Roman" w:hAnsi="Times New Roman" w:eastAsia="宋体" w:cs="Times New Roman"/>
          <w:bCs/>
          <w:color w:val="000000"/>
          <w:sz w:val="24"/>
        </w:rPr>
      </w:pPr>
      <w:r>
        <w:rPr>
          <w:rFonts w:hint="default" w:ascii="Times New Roman" w:hAnsi="Times New Roman" w:eastAsia="宋体" w:cs="Times New Roman"/>
          <w:sz w:val="24"/>
        </w:rPr>
        <w:t>乙方承诺将在上述情况下与甲方签订分包合同。</w:t>
      </w:r>
    </w:p>
    <w:p w14:paraId="2821EB7C">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本协议自各方盖章之日起生效，如甲方未在该项目（采购包）成交，本协议自动终止。</w:t>
      </w:r>
    </w:p>
    <w:p w14:paraId="44D382C2">
      <w:pPr>
        <w:spacing w:line="360" w:lineRule="auto"/>
        <w:ind w:firstLine="471"/>
        <w:rPr>
          <w:rFonts w:hint="default" w:ascii="Times New Roman" w:hAnsi="Times New Roman" w:eastAsia="宋体" w:cs="Times New Roman"/>
          <w:b/>
          <w:color w:val="000000"/>
          <w:sz w:val="24"/>
        </w:rPr>
      </w:pPr>
    </w:p>
    <w:p w14:paraId="0833D322">
      <w:pPr>
        <w:spacing w:line="360" w:lineRule="auto"/>
        <w:ind w:firstLine="471"/>
        <w:rPr>
          <w:rFonts w:hint="default" w:ascii="Times New Roman" w:hAnsi="Times New Roman" w:eastAsia="宋体" w:cs="Times New Roman"/>
          <w:b/>
          <w:color w:val="000000"/>
          <w:sz w:val="24"/>
        </w:rPr>
      </w:pPr>
      <w:r>
        <w:rPr>
          <w:rFonts w:hint="default" w:ascii="Times New Roman" w:hAnsi="Times New Roman" w:eastAsia="宋体" w:cs="Times New Roman"/>
          <w:color w:val="000000"/>
          <w:sz w:val="24"/>
        </w:rPr>
        <w:t>甲方（盖章）：</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rPr>
        <w:t xml:space="preserve">                     乙方（盖章）：</w:t>
      </w:r>
      <w:r>
        <w:rPr>
          <w:rFonts w:hint="default" w:ascii="Times New Roman" w:hAnsi="Times New Roman" w:eastAsia="宋体" w:cs="Times New Roman"/>
          <w:sz w:val="24"/>
        </w:rPr>
        <w:t>______</w:t>
      </w:r>
    </w:p>
    <w:p w14:paraId="4304B176">
      <w:pPr>
        <w:spacing w:line="360" w:lineRule="auto"/>
        <w:ind w:left="480"/>
        <w:jc w:val="right"/>
        <w:rPr>
          <w:rFonts w:hint="default" w:ascii="Times New Roman" w:hAnsi="Times New Roman" w:eastAsia="宋体" w:cs="Times New Roman"/>
          <w:color w:val="000000"/>
          <w:sz w:val="24"/>
        </w:rPr>
      </w:pPr>
    </w:p>
    <w:p w14:paraId="350E5972">
      <w:pPr>
        <w:wordWrap w:val="0"/>
        <w:spacing w:line="360" w:lineRule="auto"/>
        <w:ind w:left="480"/>
        <w:jc w:val="right"/>
        <w:rPr>
          <w:rFonts w:hint="default" w:ascii="Times New Roman" w:hAnsi="Times New Roman" w:eastAsia="宋体" w:cs="Times New Roman"/>
          <w:b/>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 xml:space="preserve">日   </w:t>
      </w:r>
    </w:p>
    <w:p w14:paraId="53DCEBB2">
      <w:pPr>
        <w:tabs>
          <w:tab w:val="left" w:pos="8280"/>
        </w:tabs>
        <w:spacing w:line="360" w:lineRule="auto"/>
        <w:ind w:firstLine="480"/>
        <w:rPr>
          <w:rFonts w:hint="default" w:ascii="Times New Roman" w:hAnsi="Times New Roman" w:eastAsia="宋体" w:cs="Times New Roman"/>
          <w:color w:val="000000"/>
          <w:sz w:val="24"/>
        </w:rPr>
      </w:pPr>
    </w:p>
    <w:p w14:paraId="7EC038E8">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p>
    <w:p w14:paraId="28AFEA7B">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r>
        <w:rPr>
          <w:rFonts w:hint="default" w:ascii="Times New Roman" w:hAnsi="Times New Roman" w:eastAsia="宋体" w:cs="Times New Roman"/>
          <w:sz w:val="24"/>
        </w:rPr>
        <w:t>当供应商属于本部分说明中第（2）类情形，必须提供，否则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 xml:space="preserve">其他情形无须提供； </w:t>
      </w:r>
    </w:p>
    <w:p w14:paraId="7206839F">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（2）供应商须与所有拟分包单位分别签订《分包意向协议》，每单位签订一份，并在响应文件中提交全部协议原件或该原件的复印件，否则</w:t>
      </w:r>
      <w:r>
        <w:rPr>
          <w:rFonts w:hint="default" w:ascii="Times New Roman" w:hAnsi="Times New Roman" w:eastAsia="宋体" w:cs="Times New Roman"/>
          <w:b/>
          <w:color w:val="000000"/>
          <w:sz w:val="24"/>
        </w:rPr>
        <w:t>响应无效</w:t>
      </w:r>
      <w:r>
        <w:rPr>
          <w:rFonts w:hint="default" w:ascii="Times New Roman" w:hAnsi="Times New Roman" w:eastAsia="宋体" w:cs="Times New Roman"/>
          <w:color w:val="000000"/>
          <w:sz w:val="24"/>
        </w:rPr>
        <w:t>。</w:t>
      </w:r>
    </w:p>
    <w:p w14:paraId="2B74734B">
      <w:pPr>
        <w:tabs>
          <w:tab w:val="left" w:pos="8280"/>
        </w:tabs>
        <w:spacing w:line="360" w:lineRule="auto"/>
        <w:rPr>
          <w:rFonts w:hint="default" w:ascii="Times New Roman" w:hAnsi="Times New Roman" w:eastAsia="宋体" w:cs="Times New Roman"/>
          <w:color w:val="000000"/>
          <w:sz w:val="24"/>
        </w:rPr>
        <w:sectPr>
          <w:headerReference r:id="rId24" w:type="first"/>
          <w:footerReference r:id="rId26" w:type="first"/>
          <w:headerReference r:id="rId23" w:type="even"/>
          <w:footerReference r:id="rId25" w:type="even"/>
          <w:pgSz w:w="11907" w:h="16840"/>
          <w:pgMar w:top="1418" w:right="1134" w:bottom="1418" w:left="1701" w:header="851" w:footer="851" w:gutter="0"/>
          <w:pgNumType w:fmt="decimal"/>
          <w:cols w:space="720" w:num="1"/>
          <w:docGrid w:linePitch="462" w:charSpace="0"/>
        </w:sectPr>
      </w:pPr>
    </w:p>
    <w:p w14:paraId="087904F7">
      <w:pPr>
        <w:spacing w:line="360" w:lineRule="auto"/>
        <w:outlineLvl w:val="2"/>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2-2 </w:t>
      </w:r>
      <w:r>
        <w:rPr>
          <w:rFonts w:hint="default" w:ascii="Times New Roman" w:hAnsi="Times New Roman" w:eastAsia="宋体" w:cs="Times New Roman"/>
          <w:sz w:val="24"/>
        </w:rPr>
        <w:t>其它落实政府采购政策的资格要求</w:t>
      </w:r>
      <w:r>
        <w:rPr>
          <w:rFonts w:hint="default" w:ascii="Times New Roman" w:hAnsi="Times New Roman" w:eastAsia="宋体" w:cs="Times New Roman"/>
          <w:color w:val="000000"/>
          <w:sz w:val="24"/>
          <w:szCs w:val="20"/>
        </w:rPr>
        <w:t>（如有）</w:t>
      </w:r>
    </w:p>
    <w:p w14:paraId="1F1E4BEE">
      <w:pPr>
        <w:widowControl/>
        <w:jc w:val="left"/>
        <w:rPr>
          <w:rFonts w:hint="default" w:ascii="Times New Roman" w:hAnsi="Times New Roman" w:eastAsia="宋体" w:cs="Times New Roman"/>
          <w:sz w:val="24"/>
        </w:rPr>
      </w:pPr>
    </w:p>
    <w:p w14:paraId="49363C88">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668E06D0">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3 本项目的特定资格要求（如有）</w:t>
      </w:r>
    </w:p>
    <w:p w14:paraId="26EBB8C7">
      <w:pPr>
        <w:spacing w:line="360" w:lineRule="auto"/>
        <w:outlineLvl w:val="2"/>
        <w:rPr>
          <w:rFonts w:hint="default" w:ascii="Times New Roman" w:hAnsi="Times New Roman" w:eastAsia="宋体" w:cs="Times New Roman"/>
          <w:b/>
          <w:bCs/>
          <w:sz w:val="24"/>
          <w:szCs w:val="20"/>
        </w:rPr>
      </w:pPr>
      <w:r>
        <w:rPr>
          <w:rFonts w:hint="default" w:ascii="Times New Roman" w:hAnsi="Times New Roman" w:eastAsia="宋体" w:cs="Times New Roman"/>
          <w:sz w:val="24"/>
          <w:szCs w:val="20"/>
        </w:rPr>
        <w:t>3-1 联合协议（如有）</w:t>
      </w:r>
      <w:r>
        <w:rPr>
          <w:rFonts w:hint="default" w:ascii="Times New Roman" w:hAnsi="Times New Roman" w:eastAsia="宋体" w:cs="Times New Roman"/>
          <w:b/>
          <w:bCs/>
          <w:sz w:val="24"/>
          <w:szCs w:val="20"/>
        </w:rPr>
        <w:t>（本项目</w:t>
      </w:r>
      <w:r>
        <w:rPr>
          <w:rFonts w:hint="eastAsia" w:cs="Times New Roman"/>
          <w:b/>
          <w:bCs/>
          <w:sz w:val="24"/>
          <w:szCs w:val="20"/>
          <w:lang w:val="en-US" w:eastAsia="zh-CN"/>
        </w:rPr>
        <w:t>不接受联合体</w:t>
      </w:r>
      <w:r>
        <w:rPr>
          <w:rFonts w:hint="default" w:ascii="Times New Roman" w:hAnsi="Times New Roman" w:eastAsia="宋体" w:cs="Times New Roman"/>
          <w:b/>
          <w:bCs/>
          <w:sz w:val="24"/>
          <w:szCs w:val="20"/>
        </w:rPr>
        <w:t>）</w:t>
      </w:r>
    </w:p>
    <w:p w14:paraId="0EACED09">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联合协议</w:t>
      </w:r>
    </w:p>
    <w:p w14:paraId="65A721DE">
      <w:pPr>
        <w:spacing w:line="360" w:lineRule="auto"/>
        <w:ind w:firstLine="828" w:firstLineChars="345"/>
        <w:rPr>
          <w:rFonts w:hint="default" w:ascii="Times New Roman" w:hAnsi="Times New Roman" w:eastAsia="宋体" w:cs="Times New Roman"/>
          <w:bCs/>
          <w:color w:val="000000"/>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 xml:space="preserve"> 、</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及</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就“</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（项目名称）</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 xml:space="preserve"> ______</w:t>
      </w:r>
      <w:r>
        <w:rPr>
          <w:rFonts w:hint="default" w:ascii="Times New Roman" w:hAnsi="Times New Roman" w:eastAsia="宋体" w:cs="Times New Roman"/>
          <w:color w:val="000000"/>
          <w:sz w:val="24"/>
        </w:rPr>
        <w:t>包</w:t>
      </w:r>
      <w:r>
        <w:rPr>
          <w:rFonts w:hint="default" w:ascii="Times New Roman" w:hAnsi="Times New Roman" w:eastAsia="宋体" w:cs="Times New Roman"/>
          <w:bCs/>
          <w:color w:val="000000"/>
          <w:sz w:val="24"/>
        </w:rPr>
        <w:t>采购项目的磋商事宜，经各方充分协商一致，达成如下协议：</w:t>
      </w:r>
    </w:p>
    <w:p w14:paraId="2133434B">
      <w:pPr>
        <w:numPr>
          <w:ilvl w:val="0"/>
          <w:numId w:val="17"/>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由</w:t>
      </w:r>
      <w:r>
        <w:rPr>
          <w:rFonts w:hint="default" w:ascii="Times New Roman" w:hAnsi="Times New Roman" w:eastAsia="宋体" w:cs="Times New Roman"/>
          <w:sz w:val="24"/>
        </w:rPr>
        <w:t>____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w:t>
      </w:r>
      <w:r>
        <w:rPr>
          <w:rFonts w:hint="default" w:ascii="Times New Roman" w:hAnsi="Times New Roman" w:eastAsia="宋体" w:cs="Times New Roman"/>
          <w:bCs/>
          <w:color w:val="000000"/>
          <w:sz w:val="24"/>
        </w:rPr>
        <w:t>牵头，</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参加，组成联合体共同进行采购项目的磋商工作。</w:t>
      </w:r>
    </w:p>
    <w:p w14:paraId="4E685480">
      <w:pPr>
        <w:numPr>
          <w:ilvl w:val="0"/>
          <w:numId w:val="17"/>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联合体成交后，联合体各方共同与采购人签订合同，就</w:t>
      </w:r>
      <w:r>
        <w:rPr>
          <w:rFonts w:hint="default" w:ascii="Times New Roman" w:hAnsi="Times New Roman" w:eastAsia="宋体" w:cs="Times New Roman"/>
          <w:color w:val="000000"/>
          <w:sz w:val="24"/>
          <w:szCs w:val="20"/>
        </w:rPr>
        <w:t>采购合同约定的事项</w:t>
      </w:r>
      <w:r>
        <w:rPr>
          <w:rFonts w:hint="default" w:ascii="Times New Roman" w:hAnsi="Times New Roman" w:eastAsia="宋体" w:cs="Times New Roman"/>
          <w:bCs/>
          <w:color w:val="000000"/>
          <w:sz w:val="24"/>
        </w:rPr>
        <w:t>对采购人承担连带责任。</w:t>
      </w:r>
    </w:p>
    <w:p w14:paraId="30C76CA5">
      <w:pPr>
        <w:numPr>
          <w:ilvl w:val="0"/>
          <w:numId w:val="17"/>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联合体各方均同意由牵头人代表其他联合体成员单位按竞争性磋商文件要求出具《授权委托书》。</w:t>
      </w:r>
    </w:p>
    <w:p w14:paraId="272FFC26">
      <w:pPr>
        <w:numPr>
          <w:ilvl w:val="0"/>
          <w:numId w:val="17"/>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牵头人为项目的总负责单位；组织各参加方进行项目实施工作。</w:t>
      </w:r>
    </w:p>
    <w:p w14:paraId="696D3EB8">
      <w:pPr>
        <w:numPr>
          <w:ilvl w:val="0"/>
          <w:numId w:val="17"/>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，具体工作范围、内容以响应文件及合同为准。</w:t>
      </w:r>
    </w:p>
    <w:p w14:paraId="6A8A5798">
      <w:pPr>
        <w:numPr>
          <w:ilvl w:val="0"/>
          <w:numId w:val="17"/>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，具体工作范围、内容以响应文件及合同为准。</w:t>
      </w:r>
    </w:p>
    <w:p w14:paraId="333D666A">
      <w:pPr>
        <w:numPr>
          <w:ilvl w:val="0"/>
          <w:numId w:val="17"/>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（如有），具体工作范围、内容以响应文件及合同为准。</w:t>
      </w:r>
    </w:p>
    <w:p w14:paraId="147165EF">
      <w:pPr>
        <w:numPr>
          <w:ilvl w:val="0"/>
          <w:numId w:val="17"/>
        </w:num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本项目联合协议合同总额为______元，联合体各成员按照如下比例分摊（按联合体成员分别列明）：</w:t>
      </w:r>
    </w:p>
    <w:p w14:paraId="352F37A4">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1EB22929">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37038EF4">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744AC29B">
      <w:pPr>
        <w:numPr>
          <w:ilvl w:val="0"/>
          <w:numId w:val="17"/>
        </w:numPr>
        <w:tabs>
          <w:tab w:val="left" w:pos="993"/>
        </w:tabs>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color w:val="000000"/>
          <w:sz w:val="24"/>
          <w:szCs w:val="20"/>
        </w:rPr>
        <w:t>以联合体形式参加政府采购活动的，联合体各方不得再单独参加或者与其他供应商另外组成联合体参加同一合同项下的政府采购活动。</w:t>
      </w:r>
    </w:p>
    <w:p w14:paraId="34A80CA7">
      <w:pPr>
        <w:numPr>
          <w:ilvl w:val="0"/>
          <w:numId w:val="17"/>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其他约定（如有）：</w:t>
      </w:r>
      <w:r>
        <w:rPr>
          <w:rFonts w:hint="default" w:ascii="Times New Roman" w:hAnsi="Times New Roman" w:eastAsia="宋体" w:cs="Times New Roman"/>
          <w:sz w:val="24"/>
        </w:rPr>
        <w:t>______。</w:t>
      </w:r>
    </w:p>
    <w:p w14:paraId="309AF82A">
      <w:pPr>
        <w:tabs>
          <w:tab w:val="left" w:pos="780"/>
        </w:tabs>
        <w:spacing w:line="360" w:lineRule="auto"/>
        <w:ind w:left="180"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bCs/>
          <w:color w:val="000000"/>
          <w:sz w:val="24"/>
        </w:rPr>
        <w:t>本协议自各方盖章后生效，采购合同履行完毕后自动失效。如未成交，本协议自动终止。</w:t>
      </w:r>
      <w:r>
        <w:rPr>
          <w:rFonts w:hint="default" w:ascii="Times New Roman" w:hAnsi="Times New Roman" w:eastAsia="宋体" w:cs="Times New Roman"/>
          <w:color w:val="000000"/>
          <w:sz w:val="24"/>
        </w:rPr>
        <w:br w:type="page"/>
      </w:r>
    </w:p>
    <w:p w14:paraId="374D8493">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联合体牵头人名称：</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 xml:space="preserve"> 联合体成员名称：</w:t>
      </w:r>
      <w:r>
        <w:rPr>
          <w:rFonts w:hint="default" w:ascii="Times New Roman" w:hAnsi="Times New Roman" w:eastAsia="宋体" w:cs="Times New Roman"/>
          <w:color w:val="000000"/>
          <w:sz w:val="24"/>
          <w:szCs w:val="20"/>
        </w:rPr>
        <w:t>______</w:t>
      </w:r>
    </w:p>
    <w:p w14:paraId="63FD82E1">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盖章：</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 xml:space="preserve">                           盖章：</w:t>
      </w:r>
      <w:r>
        <w:rPr>
          <w:rFonts w:hint="default" w:ascii="Times New Roman" w:hAnsi="Times New Roman" w:eastAsia="宋体" w:cs="Times New Roman"/>
          <w:color w:val="000000"/>
          <w:sz w:val="24"/>
          <w:szCs w:val="20"/>
        </w:rPr>
        <w:t>______</w:t>
      </w:r>
    </w:p>
    <w:p w14:paraId="71078DE5">
      <w:pPr>
        <w:spacing w:line="360" w:lineRule="auto"/>
        <w:ind w:firstLine="471"/>
        <w:rPr>
          <w:rFonts w:hint="default" w:ascii="Times New Roman" w:hAnsi="Times New Roman" w:eastAsia="宋体" w:cs="Times New Roman"/>
          <w:color w:val="000000"/>
          <w:sz w:val="24"/>
        </w:rPr>
      </w:pPr>
    </w:p>
    <w:p w14:paraId="698A30F3">
      <w:pPr>
        <w:spacing w:line="360" w:lineRule="auto"/>
        <w:ind w:firstLine="471"/>
        <w:rPr>
          <w:rFonts w:hint="default" w:ascii="Times New Roman" w:hAnsi="Times New Roman" w:eastAsia="宋体" w:cs="Times New Roman"/>
          <w:color w:val="000000"/>
          <w:sz w:val="24"/>
        </w:rPr>
      </w:pPr>
    </w:p>
    <w:p w14:paraId="7131F0E1">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联合体成员名称：</w:t>
      </w:r>
      <w:r>
        <w:rPr>
          <w:rFonts w:hint="default" w:ascii="Times New Roman" w:hAnsi="Times New Roman" w:eastAsia="宋体" w:cs="Times New Roman"/>
          <w:color w:val="000000"/>
          <w:sz w:val="24"/>
          <w:szCs w:val="20"/>
        </w:rPr>
        <w:t>______</w:t>
      </w:r>
    </w:p>
    <w:p w14:paraId="13ADF5D6">
      <w:pPr>
        <w:widowControl/>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盖章：</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 xml:space="preserve">         </w:t>
      </w:r>
    </w:p>
    <w:p w14:paraId="6F7FEFF0">
      <w:pPr>
        <w:spacing w:line="360" w:lineRule="auto"/>
        <w:ind w:left="480"/>
        <w:jc w:val="right"/>
        <w:rPr>
          <w:rFonts w:hint="default" w:ascii="Times New Roman" w:hAnsi="Times New Roman" w:eastAsia="宋体" w:cs="Times New Roman"/>
          <w:color w:val="000000"/>
          <w:sz w:val="24"/>
        </w:rPr>
      </w:pPr>
    </w:p>
    <w:p w14:paraId="105B4735">
      <w:pPr>
        <w:spacing w:line="360" w:lineRule="auto"/>
        <w:ind w:left="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日</w:t>
      </w:r>
    </w:p>
    <w:p w14:paraId="12133916">
      <w:pPr>
        <w:spacing w:line="360" w:lineRule="auto"/>
        <w:ind w:left="480"/>
        <w:jc w:val="right"/>
        <w:rPr>
          <w:rFonts w:hint="default" w:ascii="Times New Roman" w:hAnsi="Times New Roman" w:eastAsia="宋体" w:cs="Times New Roman"/>
          <w:b/>
          <w:color w:val="000000"/>
          <w:sz w:val="24"/>
        </w:rPr>
      </w:pPr>
    </w:p>
    <w:p w14:paraId="048EC788">
      <w:pPr>
        <w:tabs>
          <w:tab w:val="left" w:pos="8280"/>
        </w:tabs>
        <w:spacing w:line="360" w:lineRule="auto"/>
        <w:ind w:firstLine="480"/>
        <w:rPr>
          <w:rFonts w:hint="default" w:ascii="Times New Roman" w:hAnsi="Times New Roman" w:eastAsia="宋体" w:cs="Times New Roman"/>
          <w:color w:val="000000"/>
          <w:sz w:val="24"/>
        </w:rPr>
      </w:pPr>
    </w:p>
    <w:p w14:paraId="418365D1">
      <w:pPr>
        <w:tabs>
          <w:tab w:val="left" w:pos="8280"/>
        </w:tabs>
        <w:spacing w:line="360" w:lineRule="auto"/>
        <w:ind w:firstLine="480"/>
        <w:rPr>
          <w:rFonts w:hint="default" w:ascii="Times New Roman" w:hAnsi="Times New Roman" w:eastAsia="宋体" w:cs="Times New Roman"/>
          <w:color w:val="000000"/>
          <w:sz w:val="24"/>
        </w:rPr>
      </w:pPr>
    </w:p>
    <w:p w14:paraId="19F9F8D5">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p>
    <w:p w14:paraId="41C608A1">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 如本项目（包）接受供应商以联合体形式参加采购活动，且供应商以联合体形式参与时，须提供《联合协议》，否则</w:t>
      </w:r>
      <w:r>
        <w:rPr>
          <w:rFonts w:hint="default" w:ascii="Times New Roman" w:hAnsi="Times New Roman" w:eastAsia="宋体" w:cs="Times New Roman"/>
          <w:b/>
          <w:color w:val="000000"/>
          <w:sz w:val="24"/>
        </w:rPr>
        <w:t>响应无效</w:t>
      </w:r>
      <w:r>
        <w:rPr>
          <w:rFonts w:hint="default" w:ascii="Times New Roman" w:hAnsi="Times New Roman" w:eastAsia="宋体" w:cs="Times New Roman"/>
          <w:color w:val="000000"/>
          <w:sz w:val="24"/>
        </w:rPr>
        <w:t>。</w:t>
      </w:r>
    </w:p>
    <w:p w14:paraId="370185F0">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 联合体各方成员须在本协议上共同盖章。</w:t>
      </w:r>
    </w:p>
    <w:p w14:paraId="5B37E867">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1C24A07A">
      <w:pPr>
        <w:spacing w:line="360" w:lineRule="auto"/>
        <w:outlineLvl w:val="2"/>
        <w:rPr>
          <w:rFonts w:hint="default" w:ascii="Times New Roman" w:hAnsi="Times New Roman" w:eastAsia="宋体" w:cs="Times New Roman"/>
          <w:sz w:val="24"/>
          <w:szCs w:val="20"/>
        </w:rPr>
      </w:pPr>
      <w:r>
        <w:rPr>
          <w:rFonts w:hint="default" w:ascii="Times New Roman" w:hAnsi="Times New Roman" w:eastAsia="宋体" w:cs="Times New Roman"/>
          <w:color w:val="000000"/>
          <w:sz w:val="24"/>
          <w:szCs w:val="20"/>
        </w:rPr>
        <w:t>3-2 其他</w:t>
      </w:r>
      <w:r>
        <w:rPr>
          <w:rFonts w:hint="default" w:ascii="Times New Roman" w:hAnsi="Times New Roman" w:eastAsia="宋体" w:cs="Times New Roman"/>
          <w:sz w:val="24"/>
          <w:szCs w:val="20"/>
        </w:rPr>
        <w:t>特定资格要求</w:t>
      </w:r>
    </w:p>
    <w:p w14:paraId="50DD70D9">
      <w:pPr>
        <w:spacing w:line="360" w:lineRule="auto"/>
        <w:outlineLvl w:val="2"/>
        <w:rPr>
          <w:rFonts w:hint="default" w:ascii="Times New Roman" w:hAnsi="Times New Roman" w:eastAsia="宋体" w:cs="Times New Roman"/>
          <w:sz w:val="24"/>
          <w:szCs w:val="20"/>
        </w:rPr>
      </w:pPr>
    </w:p>
    <w:p w14:paraId="18FE3D90">
      <w:pPr>
        <w:spacing w:line="360" w:lineRule="auto"/>
        <w:outlineLvl w:val="2"/>
        <w:rPr>
          <w:rFonts w:hint="default" w:ascii="Times New Roman" w:hAnsi="Times New Roman" w:eastAsia="宋体" w:cs="Times New Roman"/>
          <w:sz w:val="24"/>
          <w:szCs w:val="20"/>
        </w:rPr>
      </w:pPr>
    </w:p>
    <w:p w14:paraId="3116B23D">
      <w:pPr>
        <w:rPr>
          <w:rFonts w:hint="default" w:ascii="Times New Roman" w:hAnsi="Times New Roman" w:eastAsia="宋体" w:cs="Times New Roman"/>
          <w:sz w:val="24"/>
        </w:rPr>
      </w:pPr>
    </w:p>
    <w:p w14:paraId="757BEC12">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0D00B714">
      <w:pPr>
        <w:tabs>
          <w:tab w:val="left" w:pos="360"/>
        </w:tabs>
        <w:snapToGrid w:val="0"/>
        <w:spacing w:line="360" w:lineRule="auto"/>
        <w:outlineLvl w:val="1"/>
        <w:rPr>
          <w:rFonts w:hint="default" w:ascii="Times New Roman" w:hAnsi="Times New Roman" w:eastAsia="宋体" w:cs="Times New Roman"/>
          <w:b/>
          <w:bCs/>
          <w:sz w:val="24"/>
        </w:rPr>
      </w:pPr>
      <w:r>
        <w:rPr>
          <w:rFonts w:hint="default" w:ascii="Times New Roman" w:hAnsi="Times New Roman" w:eastAsia="宋体" w:cs="Times New Roman"/>
          <w:sz w:val="24"/>
        </w:rPr>
        <w:t>4 磋商保证金凭证/交款单据复印件</w:t>
      </w:r>
    </w:p>
    <w:p w14:paraId="7E8C1FF7">
      <w:pPr>
        <w:widowControl/>
        <w:jc w:val="left"/>
        <w:rPr>
          <w:rFonts w:hint="default" w:ascii="Times New Roman" w:hAnsi="Times New Roman" w:eastAsia="宋体" w:cs="Times New Roman"/>
          <w:kern w:val="0"/>
          <w:sz w:val="24"/>
          <w:szCs w:val="20"/>
        </w:rPr>
      </w:pPr>
      <w:r>
        <w:rPr>
          <w:rFonts w:hint="default" w:ascii="Times New Roman" w:hAnsi="Times New Roman" w:eastAsia="宋体" w:cs="Times New Roman"/>
          <w:b/>
          <w:sz w:val="24"/>
        </w:rPr>
        <w:br w:type="page"/>
      </w:r>
    </w:p>
    <w:p w14:paraId="2A582ABB">
      <w:pPr>
        <w:tabs>
          <w:tab w:val="left" w:pos="360"/>
        </w:tabs>
        <w:snapToGrid w:val="0"/>
        <w:spacing w:line="360" w:lineRule="auto"/>
        <w:outlineLvl w:val="1"/>
        <w:rPr>
          <w:rFonts w:hint="default" w:ascii="Times New Roman" w:hAnsi="Times New Roman" w:eastAsia="宋体" w:cs="Times New Roman"/>
          <w:sz w:val="24"/>
        </w:rPr>
      </w:pPr>
      <w:bookmarkStart w:id="689" w:name="_Hlt520355504"/>
      <w:bookmarkEnd w:id="689"/>
      <w:bookmarkStart w:id="690" w:name="_Hlt520343392"/>
      <w:bookmarkEnd w:id="690"/>
      <w:bookmarkStart w:id="691" w:name="_Hlt520273711"/>
      <w:bookmarkEnd w:id="691"/>
      <w:bookmarkStart w:id="692" w:name="_Hlt520274121"/>
      <w:bookmarkEnd w:id="692"/>
      <w:bookmarkStart w:id="693" w:name="_Hlt520343000"/>
      <w:bookmarkEnd w:id="693"/>
      <w:bookmarkStart w:id="694" w:name="_Hlt520350918"/>
      <w:bookmarkEnd w:id="694"/>
      <w:bookmarkStart w:id="695" w:name="_Hlt520274407"/>
      <w:bookmarkEnd w:id="695"/>
      <w:bookmarkStart w:id="696" w:name="_Hlt520274393"/>
      <w:bookmarkEnd w:id="696"/>
      <w:bookmarkStart w:id="697" w:name="_Hlt520274065"/>
      <w:bookmarkEnd w:id="697"/>
      <w:bookmarkStart w:id="698" w:name="_Hlt520271212"/>
      <w:bookmarkEnd w:id="698"/>
      <w:bookmarkStart w:id="699" w:name="_Ref467988698"/>
      <w:bookmarkStart w:id="700" w:name="_Toc480942349"/>
      <w:bookmarkStart w:id="701" w:name="_Toc150480794"/>
      <w:bookmarkStart w:id="702" w:name="_Toc142311058"/>
      <w:bookmarkStart w:id="703" w:name="_Toc150774761"/>
      <w:bookmarkStart w:id="704" w:name="_Toc195842921"/>
      <w:bookmarkStart w:id="705" w:name="_Toc226965746"/>
      <w:bookmarkStart w:id="706" w:name="_Toc226337252"/>
      <w:bookmarkStart w:id="707" w:name="_Toc520356217"/>
      <w:bookmarkStart w:id="708" w:name="_Toc226965829"/>
      <w:bookmarkStart w:id="709" w:name="_Toc226309800"/>
      <w:bookmarkStart w:id="710" w:name="_Toc127151556"/>
      <w:r>
        <w:rPr>
          <w:rFonts w:hint="default" w:ascii="Times New Roman" w:hAnsi="Times New Roman" w:eastAsia="宋体" w:cs="Times New Roman"/>
          <w:sz w:val="24"/>
        </w:rPr>
        <w:t xml:space="preserve">5  </w:t>
      </w:r>
      <w:bookmarkEnd w:id="699"/>
      <w:bookmarkEnd w:id="700"/>
      <w:r>
        <w:rPr>
          <w:rFonts w:hint="default" w:ascii="Times New Roman" w:hAnsi="Times New Roman" w:eastAsia="宋体" w:cs="Times New Roman"/>
          <w:sz w:val="24"/>
        </w:rPr>
        <w:t>响应书</w:t>
      </w:r>
      <w:bookmarkEnd w:id="701"/>
      <w:bookmarkEnd w:id="702"/>
      <w:bookmarkEnd w:id="703"/>
      <w:bookmarkEnd w:id="704"/>
      <w:bookmarkEnd w:id="705"/>
      <w:bookmarkEnd w:id="706"/>
      <w:bookmarkEnd w:id="707"/>
      <w:bookmarkEnd w:id="708"/>
      <w:bookmarkEnd w:id="709"/>
      <w:bookmarkEnd w:id="710"/>
      <w:r>
        <w:rPr>
          <w:rFonts w:hint="default" w:ascii="Times New Roman" w:hAnsi="Times New Roman" w:eastAsia="宋体" w:cs="Times New Roman"/>
          <w:sz w:val="24"/>
        </w:rPr>
        <w:t>（实质性格式）</w:t>
      </w:r>
    </w:p>
    <w:p w14:paraId="026E7FE6">
      <w:pPr>
        <w:tabs>
          <w:tab w:val="left" w:pos="5580"/>
        </w:tabs>
        <w:spacing w:line="360" w:lineRule="auto"/>
        <w:rPr>
          <w:rFonts w:hint="default" w:ascii="Times New Roman" w:hAnsi="Times New Roman" w:eastAsia="宋体" w:cs="Times New Roman"/>
          <w:color w:val="000000"/>
          <w:sz w:val="24"/>
        </w:rPr>
      </w:pPr>
    </w:p>
    <w:p w14:paraId="11574063">
      <w:pPr>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响应书</w:t>
      </w:r>
    </w:p>
    <w:p w14:paraId="51642C21">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u w:val="single"/>
        </w:rPr>
        <w:t>（采购人或采购代理机构）</w:t>
      </w:r>
    </w:p>
    <w:p w14:paraId="7A4656FF">
      <w:pPr>
        <w:tabs>
          <w:tab w:val="left" w:pos="5580"/>
        </w:tabs>
        <w:spacing w:line="360" w:lineRule="auto"/>
        <w:rPr>
          <w:rFonts w:hint="default" w:ascii="Times New Roman" w:hAnsi="Times New Roman" w:eastAsia="宋体" w:cs="Times New Roman"/>
          <w:color w:val="000000"/>
          <w:sz w:val="24"/>
          <w:szCs w:val="20"/>
        </w:rPr>
      </w:pPr>
    </w:p>
    <w:p w14:paraId="141C3FE4">
      <w:pPr>
        <w:tabs>
          <w:tab w:val="left" w:pos="5580"/>
        </w:tabs>
        <w:spacing w:line="360" w:lineRule="auto"/>
        <w:ind w:firstLine="408"/>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我方参加你方就</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（项目名称，项目编号/包号）组织的采购活动，并对此项目进行磋商。</w:t>
      </w:r>
    </w:p>
    <w:p w14:paraId="781F1880">
      <w:pPr>
        <w:tabs>
          <w:tab w:val="left" w:pos="5580"/>
        </w:tabs>
        <w:spacing w:line="360" w:lineRule="auto"/>
        <w:ind w:firstLine="408"/>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 我方</w:t>
      </w:r>
      <w:r>
        <w:rPr>
          <w:rFonts w:hint="default" w:ascii="Times New Roman" w:hAnsi="Times New Roman" w:eastAsia="宋体" w:cs="Times New Roman"/>
          <w:color w:val="000000"/>
          <w:sz w:val="24"/>
        </w:rPr>
        <w:t>已详细审查全部竞争性磋商文件</w:t>
      </w:r>
      <w:r>
        <w:rPr>
          <w:rFonts w:hint="default" w:ascii="Times New Roman" w:hAnsi="Times New Roman" w:eastAsia="宋体" w:cs="Times New Roman"/>
          <w:color w:val="000000"/>
          <w:sz w:val="24"/>
          <w:szCs w:val="20"/>
        </w:rPr>
        <w:t>，自愿参与磋商并承诺如下：</w:t>
      </w:r>
    </w:p>
    <w:p w14:paraId="1AD1FDA1">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（1）本响应有效期为自响应文件提交截止之日起</w:t>
      </w:r>
      <w:r>
        <w:rPr>
          <w:rFonts w:hint="default" w:ascii="Times New Roman" w:hAnsi="Times New Roman" w:eastAsia="宋体" w:cs="Times New Roman"/>
          <w:sz w:val="24"/>
          <w:u w:val="single"/>
        </w:rPr>
        <w:t>90</w:t>
      </w:r>
      <w:r>
        <w:rPr>
          <w:rFonts w:hint="default" w:ascii="Times New Roman" w:hAnsi="Times New Roman" w:eastAsia="宋体" w:cs="Times New Roman"/>
          <w:color w:val="000000"/>
          <w:sz w:val="24"/>
          <w:szCs w:val="20"/>
        </w:rPr>
        <w:t>个日历日。</w:t>
      </w:r>
    </w:p>
    <w:p w14:paraId="55B24296">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（2）除合同条款及采购需求偏离表列出的偏离外，我方响应竞争性磋商文件的全部要求。</w:t>
      </w:r>
    </w:p>
    <w:p w14:paraId="5E25A26B">
      <w:pPr>
        <w:tabs>
          <w:tab w:val="left" w:pos="5580"/>
        </w:tabs>
        <w:spacing w:line="360" w:lineRule="auto"/>
        <w:ind w:firstLine="420" w:firstLineChars="175"/>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（3）我方已提供的全部文件资料是真实、准确的，并对此承担一切法律后果。</w:t>
      </w:r>
    </w:p>
    <w:p w14:paraId="57FCD473">
      <w:pPr>
        <w:tabs>
          <w:tab w:val="left" w:pos="5580"/>
        </w:tabs>
        <w:spacing w:line="360" w:lineRule="auto"/>
        <w:ind w:firstLine="420" w:firstLineChars="175"/>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（4）如我方成交，我方将在法律规定的期限内与你方签订合同，按照竞争性磋商文件要求提交履约保证金，并在合同约定的期限内完成合同规定的全部义务。</w:t>
      </w:r>
    </w:p>
    <w:p w14:paraId="1D4F095A">
      <w:pPr>
        <w:spacing w:line="360" w:lineRule="auto"/>
        <w:ind w:left="42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 其他补充条款（如有）：</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rPr>
        <w:t>。</w:t>
      </w:r>
    </w:p>
    <w:p w14:paraId="28293B61">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与本磋商有关的一切正式往来信函请寄：</w:t>
      </w:r>
    </w:p>
    <w:p w14:paraId="52A4BCBA">
      <w:pPr>
        <w:tabs>
          <w:tab w:val="left" w:pos="5580"/>
        </w:tabs>
        <w:spacing w:line="360" w:lineRule="auto"/>
        <w:ind w:left="420"/>
        <w:rPr>
          <w:rFonts w:hint="default" w:ascii="Times New Roman" w:hAnsi="Times New Roman" w:eastAsia="宋体" w:cs="Times New Roman"/>
          <w:color w:val="000000"/>
          <w:sz w:val="24"/>
          <w:szCs w:val="20"/>
        </w:rPr>
      </w:pPr>
    </w:p>
    <w:p w14:paraId="56B122C0">
      <w:pPr>
        <w:tabs>
          <w:tab w:val="left" w:pos="5580"/>
        </w:tabs>
        <w:spacing w:line="360" w:lineRule="auto"/>
        <w:ind w:left="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地址</w:t>
      </w:r>
      <w:r>
        <w:rPr>
          <w:rFonts w:hint="default" w:ascii="Times New Roman" w:hAnsi="Times New Roman" w:eastAsia="宋体" w:cs="Times New Roman"/>
          <w:bCs/>
          <w:color w:val="000000"/>
          <w:sz w:val="24"/>
        </w:rPr>
        <w:t>_________________________</w:t>
      </w:r>
      <w:r>
        <w:rPr>
          <w:rFonts w:hint="default" w:ascii="Times New Roman" w:hAnsi="Times New Roman" w:eastAsia="宋体" w:cs="Times New Roman"/>
          <w:color w:val="000000"/>
          <w:sz w:val="24"/>
          <w:szCs w:val="20"/>
        </w:rPr>
        <w:t xml:space="preserve">      传   真</w:t>
      </w:r>
      <w:r>
        <w:rPr>
          <w:rFonts w:hint="default" w:ascii="Times New Roman" w:hAnsi="Times New Roman" w:eastAsia="宋体" w:cs="Times New Roman"/>
          <w:bCs/>
          <w:color w:val="000000"/>
          <w:sz w:val="24"/>
        </w:rPr>
        <w:t>_________________________</w:t>
      </w:r>
    </w:p>
    <w:p w14:paraId="5EE2BA32">
      <w:pPr>
        <w:tabs>
          <w:tab w:val="left" w:pos="5580"/>
        </w:tabs>
        <w:spacing w:line="360" w:lineRule="auto"/>
        <w:ind w:left="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电话</w:t>
      </w:r>
      <w:r>
        <w:rPr>
          <w:rFonts w:hint="default" w:ascii="Times New Roman" w:hAnsi="Times New Roman" w:eastAsia="宋体" w:cs="Times New Roman"/>
          <w:bCs/>
          <w:color w:val="000000"/>
          <w:sz w:val="24"/>
        </w:rPr>
        <w:t>_________________________</w:t>
      </w:r>
      <w:r>
        <w:rPr>
          <w:rFonts w:hint="default" w:ascii="Times New Roman" w:hAnsi="Times New Roman" w:eastAsia="宋体" w:cs="Times New Roman"/>
          <w:color w:val="000000"/>
          <w:sz w:val="24"/>
          <w:szCs w:val="20"/>
        </w:rPr>
        <w:t xml:space="preserve">      电子函件</w:t>
      </w:r>
      <w:r>
        <w:rPr>
          <w:rFonts w:hint="default" w:ascii="Times New Roman" w:hAnsi="Times New Roman" w:eastAsia="宋体" w:cs="Times New Roman"/>
          <w:bCs/>
          <w:color w:val="000000"/>
          <w:sz w:val="24"/>
        </w:rPr>
        <w:t>_________________________</w:t>
      </w:r>
    </w:p>
    <w:p w14:paraId="5EEFD2DC">
      <w:pPr>
        <w:tabs>
          <w:tab w:val="left" w:pos="5580"/>
        </w:tabs>
        <w:spacing w:line="360" w:lineRule="auto"/>
        <w:ind w:left="420"/>
        <w:rPr>
          <w:rFonts w:hint="default" w:ascii="Times New Roman" w:hAnsi="Times New Roman" w:eastAsia="宋体" w:cs="Times New Roman"/>
          <w:color w:val="000000"/>
          <w:sz w:val="24"/>
          <w:szCs w:val="20"/>
        </w:rPr>
      </w:pPr>
    </w:p>
    <w:p w14:paraId="1C7AB67C">
      <w:pPr>
        <w:tabs>
          <w:tab w:val="left" w:pos="5580"/>
        </w:tabs>
        <w:spacing w:line="360" w:lineRule="auto"/>
        <w:ind w:left="420"/>
        <w:rPr>
          <w:rFonts w:hint="default" w:ascii="Times New Roman" w:hAnsi="Times New Roman" w:eastAsia="宋体" w:cs="Times New Roman"/>
          <w:color w:val="000000"/>
          <w:sz w:val="24"/>
          <w:szCs w:val="20"/>
        </w:rPr>
      </w:pPr>
    </w:p>
    <w:p w14:paraId="2A256835">
      <w:pPr>
        <w:tabs>
          <w:tab w:val="left" w:pos="5580"/>
        </w:tabs>
        <w:spacing w:line="360" w:lineRule="auto"/>
        <w:ind w:left="420"/>
        <w:rPr>
          <w:rFonts w:hint="default" w:ascii="Times New Roman" w:hAnsi="Times New Roman" w:eastAsia="宋体" w:cs="Times New Roman"/>
          <w:color w:val="000000"/>
          <w:sz w:val="24"/>
          <w:szCs w:val="20"/>
        </w:rPr>
      </w:pPr>
    </w:p>
    <w:p w14:paraId="3D5E30B4">
      <w:pPr>
        <w:autoSpaceDE w:val="0"/>
        <w:autoSpaceDN w:val="0"/>
        <w:adjustRightInd w:val="0"/>
        <w:snapToGrid w:val="0"/>
        <w:spacing w:before="25" w:after="25" w:line="360" w:lineRule="auto"/>
        <w:ind w:right="360" w:firstLine="360" w:firstLineChars="150"/>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7A95FFA6">
      <w:pPr>
        <w:tabs>
          <w:tab w:val="left" w:pos="5580"/>
        </w:tabs>
        <w:spacing w:line="360" w:lineRule="auto"/>
        <w:ind w:firstLine="360" w:firstLineChars="15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日期：____年____月____日  </w:t>
      </w:r>
    </w:p>
    <w:p w14:paraId="75316086">
      <w:pPr>
        <w:tabs>
          <w:tab w:val="left" w:pos="5580"/>
        </w:tabs>
        <w:spacing w:line="360" w:lineRule="auto"/>
        <w:ind w:left="420"/>
        <w:jc w:val="left"/>
        <w:rPr>
          <w:rFonts w:hint="default" w:ascii="Times New Roman" w:hAnsi="Times New Roman" w:eastAsia="宋体" w:cs="Times New Roman"/>
          <w:color w:val="000000"/>
          <w:sz w:val="24"/>
          <w:szCs w:val="20"/>
        </w:rPr>
      </w:pPr>
    </w:p>
    <w:p w14:paraId="350812CA">
      <w:pPr>
        <w:widowControl/>
        <w:jc w:val="left"/>
        <w:rPr>
          <w:rFonts w:hint="default" w:ascii="Times New Roman" w:hAnsi="Times New Roman" w:eastAsia="宋体" w:cs="Times New Roman"/>
          <w:b/>
          <w:color w:val="000000"/>
          <w:sz w:val="24"/>
          <w:szCs w:val="20"/>
        </w:rPr>
      </w:pPr>
      <w:r>
        <w:rPr>
          <w:rFonts w:hint="default" w:ascii="Times New Roman" w:hAnsi="Times New Roman" w:eastAsia="宋体" w:cs="Times New Roman"/>
          <w:b/>
          <w:color w:val="000000"/>
          <w:sz w:val="24"/>
          <w:szCs w:val="20"/>
        </w:rPr>
        <w:br w:type="page"/>
      </w:r>
    </w:p>
    <w:p w14:paraId="37280F69">
      <w:pPr>
        <w:tabs>
          <w:tab w:val="left" w:pos="360"/>
        </w:tabs>
        <w:snapToGrid w:val="0"/>
        <w:spacing w:line="360" w:lineRule="auto"/>
        <w:outlineLvl w:val="1"/>
        <w:rPr>
          <w:rFonts w:hint="default" w:ascii="Times New Roman" w:hAnsi="Times New Roman" w:eastAsia="宋体" w:cs="Times New Roman"/>
          <w:sz w:val="24"/>
        </w:rPr>
      </w:pPr>
      <w:bookmarkStart w:id="711" w:name="_Hlt520355938"/>
      <w:bookmarkEnd w:id="711"/>
      <w:bookmarkStart w:id="712" w:name="_Hlt520356243"/>
      <w:bookmarkEnd w:id="712"/>
      <w:bookmarkStart w:id="713" w:name="_Toc265228395"/>
      <w:bookmarkStart w:id="714" w:name="_Toc226337253"/>
      <w:bookmarkStart w:id="715" w:name="_Toc195842922"/>
      <w:bookmarkStart w:id="716" w:name="_Toc226965830"/>
      <w:bookmarkStart w:id="717" w:name="_Toc150774762"/>
      <w:bookmarkStart w:id="718" w:name="_Toc150480795"/>
      <w:bookmarkStart w:id="719" w:name="_Toc127151557"/>
      <w:bookmarkStart w:id="720" w:name="_Toc142311059"/>
      <w:bookmarkStart w:id="721" w:name="_Toc226309801"/>
      <w:bookmarkStart w:id="722" w:name="_Ref467988705"/>
      <w:bookmarkStart w:id="723" w:name="_Toc520356218"/>
      <w:bookmarkStart w:id="724" w:name="_Toc264969247"/>
      <w:bookmarkStart w:id="725" w:name="_Toc305158825"/>
      <w:bookmarkStart w:id="726" w:name="_Toc480942350"/>
      <w:bookmarkStart w:id="727" w:name="_Toc226965747"/>
      <w:bookmarkStart w:id="728" w:name="_Toc305158899"/>
      <w:r>
        <w:rPr>
          <w:rFonts w:hint="default" w:ascii="Times New Roman" w:hAnsi="Times New Roman" w:eastAsia="宋体" w:cs="Times New Roman"/>
          <w:sz w:val="24"/>
        </w:rPr>
        <w:t>6  授权委托书（实质性格式）</w:t>
      </w:r>
    </w:p>
    <w:p w14:paraId="2855ED41">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授权委托书</w:t>
      </w:r>
    </w:p>
    <w:p w14:paraId="7A9077B3">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52D795E6">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委托期限：自本授权委托书签署之日起至响应有效期届满之日止。</w:t>
      </w:r>
    </w:p>
    <w:p w14:paraId="7A8090CE">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代理人无转委托权。</w:t>
      </w:r>
      <w:r>
        <w:rPr>
          <w:rFonts w:hint="default" w:ascii="Times New Roman" w:hAnsi="Times New Roman" w:eastAsia="宋体" w:cs="Times New Roman"/>
          <w:color w:val="000000"/>
          <w:sz w:val="24"/>
          <w:szCs w:val="20"/>
        </w:rPr>
        <w:cr/>
      </w:r>
    </w:p>
    <w:p w14:paraId="0A58DF53">
      <w:pPr>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color w:val="000000"/>
          <w:sz w:val="24"/>
          <w:szCs w:val="20"/>
        </w:rPr>
        <w:t>______________</w:t>
      </w:r>
    </w:p>
    <w:p w14:paraId="6387C0BD">
      <w:pPr>
        <w:spacing w:line="360" w:lineRule="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法定代表人（单位负责人）（签字或签章）：______________</w:t>
      </w:r>
    </w:p>
    <w:p w14:paraId="5C0B6592">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委托代理人（签字</w:t>
      </w:r>
      <w:r>
        <w:rPr>
          <w:rFonts w:hint="default" w:ascii="Times New Roman" w:hAnsi="Times New Roman" w:eastAsia="宋体" w:cs="Times New Roman"/>
          <w:color w:val="000000"/>
          <w:sz w:val="24"/>
          <w:szCs w:val="20"/>
        </w:rPr>
        <w:t>或签章</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0"/>
        </w:rPr>
        <w:t>______________</w:t>
      </w:r>
      <w:r>
        <w:rPr>
          <w:rFonts w:hint="default" w:ascii="Times New Roman" w:hAnsi="Times New Roman" w:eastAsia="宋体" w:cs="Times New Roman"/>
          <w:color w:val="000000"/>
          <w:sz w:val="24"/>
          <w:lang w:val="zh-CN"/>
        </w:rPr>
        <w:t xml:space="preserve">        </w:t>
      </w:r>
    </w:p>
    <w:p w14:paraId="35AA0F81">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年</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月</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日</w:t>
      </w:r>
    </w:p>
    <w:p w14:paraId="6B5A8649">
      <w:pPr>
        <w:tabs>
          <w:tab w:val="left" w:pos="5580"/>
        </w:tabs>
        <w:spacing w:line="360" w:lineRule="auto"/>
        <w:ind w:firstLine="480" w:firstLineChars="200"/>
        <w:rPr>
          <w:rFonts w:hint="default" w:ascii="Times New Roman" w:hAnsi="Times New Roman" w:eastAsia="宋体" w:cs="Times New Roman"/>
          <w:color w:val="000000"/>
          <w:sz w:val="24"/>
          <w:szCs w:val="20"/>
        </w:rPr>
      </w:pPr>
    </w:p>
    <w:p w14:paraId="28D5DCF6">
      <w:pPr>
        <w:tabs>
          <w:tab w:val="left" w:pos="5580"/>
        </w:tabs>
        <w:spacing w:line="360" w:lineRule="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附：法定代表人及委托代理人身份证明文件复印件：</w:t>
      </w:r>
    </w:p>
    <w:tbl>
      <w:tblPr>
        <w:tblStyle w:val="45"/>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0F84F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445F7E01">
            <w:pPr>
              <w:tabs>
                <w:tab w:val="left" w:pos="5580"/>
              </w:tabs>
              <w:spacing w:line="360" w:lineRule="auto"/>
              <w:rPr>
                <w:rFonts w:hint="default" w:ascii="Times New Roman" w:hAnsi="Times New Roman" w:eastAsia="宋体" w:cs="Times New Roman"/>
                <w:color w:val="000000"/>
                <w:sz w:val="24"/>
                <w:szCs w:val="20"/>
              </w:rPr>
            </w:pPr>
          </w:p>
        </w:tc>
      </w:tr>
    </w:tbl>
    <w:p w14:paraId="77421AAC">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说明：</w:t>
      </w:r>
    </w:p>
    <w:p w14:paraId="6CF84F3F">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1.若供应商为事业单位或其他组织或分支机构，则法定代表人（单位负责人）处的签署人可为单位负责人。</w:t>
      </w:r>
    </w:p>
    <w:p w14:paraId="29E36893">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290DC4F8">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3.供应商为自然人的情形，可不提供本《授权委托书》。</w:t>
      </w:r>
    </w:p>
    <w:p w14:paraId="5AA6461A">
      <w:pPr>
        <w:tabs>
          <w:tab w:val="left" w:pos="5580"/>
        </w:tabs>
        <w:spacing w:line="360" w:lineRule="auto"/>
        <w:jc w:val="left"/>
        <w:rPr>
          <w:rFonts w:hint="default" w:ascii="Times New Roman" w:hAnsi="Times New Roman" w:eastAsia="宋体" w:cs="Times New Roman"/>
          <w:color w:val="000000"/>
          <w:sz w:val="30"/>
          <w:szCs w:val="30"/>
        </w:rPr>
      </w:pPr>
      <w:r>
        <w:rPr>
          <w:rFonts w:hint="default" w:ascii="Times New Roman" w:hAnsi="Times New Roman" w:eastAsia="宋体" w:cs="Times New Roman"/>
          <w:color w:val="000000"/>
          <w:sz w:val="24"/>
          <w:szCs w:val="20"/>
        </w:rPr>
        <w:t>4.供应商应随本《授权委托书》同时提供法定代表人（单位负责人）及委托代理人的有效的身份证</w:t>
      </w:r>
      <w:r>
        <w:rPr>
          <w:rFonts w:hint="default" w:ascii="Times New Roman" w:hAnsi="Times New Roman" w:eastAsia="宋体" w:cs="Times New Roman"/>
          <w:color w:val="000000"/>
          <w:sz w:val="24"/>
          <w:szCs w:val="20"/>
          <w:lang w:val="en-US" w:eastAsia="zh-CN"/>
        </w:rPr>
        <w:t>或</w:t>
      </w:r>
      <w:r>
        <w:rPr>
          <w:rFonts w:hint="default" w:ascii="Times New Roman" w:hAnsi="Times New Roman" w:eastAsia="宋体" w:cs="Times New Roman"/>
          <w:color w:val="000000"/>
          <w:sz w:val="24"/>
          <w:szCs w:val="20"/>
        </w:rPr>
        <w:t>护照等身份证明文件复印件。提供身份证的，应同时提供身份证</w:t>
      </w:r>
      <w:r>
        <w:rPr>
          <w:rFonts w:hint="default" w:ascii="Times New Roman" w:hAnsi="Times New Roman" w:eastAsia="宋体" w:cs="Times New Roman"/>
          <w:b/>
          <w:color w:val="000000"/>
          <w:sz w:val="24"/>
          <w:szCs w:val="20"/>
        </w:rPr>
        <w:t>双面</w:t>
      </w:r>
      <w:r>
        <w:rPr>
          <w:rFonts w:hint="default" w:ascii="Times New Roman" w:hAnsi="Times New Roman" w:eastAsia="宋体" w:cs="Times New Roman"/>
          <w:color w:val="000000"/>
          <w:sz w:val="24"/>
          <w:szCs w:val="20"/>
        </w:rPr>
        <w:t>复印件。</w:t>
      </w:r>
      <w:r>
        <w:rPr>
          <w:rFonts w:hint="default" w:ascii="Times New Roman" w:hAnsi="Times New Roman" w:eastAsia="宋体" w:cs="Times New Roman"/>
          <w:color w:val="000000"/>
          <w:sz w:val="30"/>
          <w:szCs w:val="30"/>
        </w:rPr>
        <w:br w:type="page"/>
      </w:r>
    </w:p>
    <w:p w14:paraId="4FAA212E">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法定代表人（单位负责人）身份证明</w:t>
      </w:r>
    </w:p>
    <w:p w14:paraId="3828EA06">
      <w:pPr>
        <w:kinsoku w:val="0"/>
        <w:overflowPunct w:val="0"/>
        <w:spacing w:line="200" w:lineRule="exact"/>
        <w:rPr>
          <w:rFonts w:hint="default" w:ascii="Times New Roman" w:hAnsi="Times New Roman" w:eastAsia="宋体" w:cs="Times New Roman"/>
          <w:sz w:val="20"/>
          <w:szCs w:val="20"/>
        </w:rPr>
      </w:pPr>
    </w:p>
    <w:p w14:paraId="6BC54824">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（采购人或采购代理机构）</w:t>
      </w:r>
    </w:p>
    <w:p w14:paraId="0154F619">
      <w:pPr>
        <w:pStyle w:val="18"/>
        <w:tabs>
          <w:tab w:val="left" w:pos="2412"/>
          <w:tab w:val="left" w:pos="3883"/>
          <w:tab w:val="left" w:pos="5352"/>
          <w:tab w:val="left" w:pos="6821"/>
        </w:tabs>
        <w:kinsoku w:val="0"/>
        <w:overflowPunct w:val="0"/>
        <w:spacing w:line="335"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兹证明，</w:t>
      </w:r>
    </w:p>
    <w:p w14:paraId="7C24F5AB">
      <w:pPr>
        <w:pStyle w:val="18"/>
        <w:tabs>
          <w:tab w:val="left" w:pos="1690"/>
          <w:tab w:val="left" w:pos="3400"/>
          <w:tab w:val="left" w:pos="5110"/>
          <w:tab w:val="left" w:pos="6821"/>
        </w:tabs>
        <w:kinsoku w:val="0"/>
        <w:overflowPunct w:val="0"/>
        <w:spacing w:line="335" w:lineRule="exact"/>
        <w:rPr>
          <w:rFonts w:hint="default" w:ascii="Times New Roman" w:hAnsi="Times New Roman" w:eastAsia="宋体" w:cs="Times New Roman"/>
        </w:rPr>
      </w:pPr>
      <w:r>
        <w:rPr>
          <w:rFonts w:hint="default" w:ascii="Times New Roman" w:hAnsi="Times New Roman" w:eastAsia="宋体" w:cs="Times New Roman"/>
        </w:rPr>
        <w:t>姓名：</w:t>
      </w:r>
      <w:r>
        <w:rPr>
          <w:rFonts w:hint="default" w:ascii="Times New Roman" w:hAnsi="Times New Roman" w:eastAsia="宋体" w:cs="Times New Roman"/>
          <w:color w:val="000000"/>
          <w:szCs w:val="20"/>
        </w:rPr>
        <w:t>____</w:t>
      </w:r>
      <w:r>
        <w:rPr>
          <w:rFonts w:hint="default" w:ascii="Times New Roman" w:hAnsi="Times New Roman" w:eastAsia="宋体" w:cs="Times New Roman"/>
        </w:rPr>
        <w:t>性别：</w:t>
      </w:r>
      <w:r>
        <w:rPr>
          <w:rFonts w:hint="default" w:ascii="Times New Roman" w:hAnsi="Times New Roman" w:eastAsia="宋体" w:cs="Times New Roman"/>
          <w:color w:val="000000"/>
          <w:szCs w:val="20"/>
        </w:rPr>
        <w:t>____</w:t>
      </w:r>
      <w:r>
        <w:rPr>
          <w:rFonts w:hint="default" w:ascii="Times New Roman" w:hAnsi="Times New Roman" w:eastAsia="宋体" w:cs="Times New Roman"/>
        </w:rPr>
        <w:t>年龄：</w:t>
      </w:r>
      <w:r>
        <w:rPr>
          <w:rFonts w:hint="default" w:ascii="Times New Roman" w:hAnsi="Times New Roman" w:eastAsia="宋体" w:cs="Times New Roman"/>
          <w:color w:val="000000"/>
          <w:szCs w:val="20"/>
        </w:rPr>
        <w:t>____</w:t>
      </w:r>
      <w:r>
        <w:rPr>
          <w:rFonts w:hint="default" w:ascii="Times New Roman" w:hAnsi="Times New Roman" w:eastAsia="宋体" w:cs="Times New Roman"/>
        </w:rPr>
        <w:t>职务：</w:t>
      </w:r>
      <w:r>
        <w:rPr>
          <w:rFonts w:hint="default" w:ascii="Times New Roman" w:hAnsi="Times New Roman" w:eastAsia="宋体" w:cs="Times New Roman"/>
          <w:color w:val="000000"/>
          <w:szCs w:val="20"/>
        </w:rPr>
        <w:t>____</w:t>
      </w:r>
    </w:p>
    <w:p w14:paraId="16118834">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54D52521">
      <w:pPr>
        <w:pStyle w:val="18"/>
        <w:tabs>
          <w:tab w:val="left" w:pos="2250"/>
          <w:tab w:val="left" w:pos="2412"/>
          <w:tab w:val="left" w:pos="3883"/>
          <w:tab w:val="left" w:pos="5352"/>
          <w:tab w:val="left" w:pos="6821"/>
          <w:tab w:val="clear" w:pos="567"/>
        </w:tabs>
        <w:kinsoku w:val="0"/>
        <w:overflowPunct w:val="0"/>
        <w:spacing w:line="335" w:lineRule="exact"/>
        <w:rPr>
          <w:rFonts w:hint="default" w:ascii="Times New Roman" w:hAnsi="Times New Roman" w:eastAsia="宋体" w:cs="Times New Roman"/>
        </w:rPr>
      </w:pPr>
      <w:r>
        <w:rPr>
          <w:rFonts w:hint="default" w:ascii="Times New Roman" w:hAnsi="Times New Roman" w:eastAsia="宋体" w:cs="Times New Roman"/>
        </w:rPr>
        <w:t>系</w:t>
      </w:r>
      <w:r>
        <w:rPr>
          <w:rFonts w:hint="default" w:ascii="Times New Roman" w:hAnsi="Times New Roman" w:eastAsia="宋体" w:cs="Times New Roman"/>
          <w:color w:val="000000"/>
          <w:szCs w:val="20"/>
        </w:rPr>
        <w:t>__________</w:t>
      </w:r>
      <w:r>
        <w:rPr>
          <w:rFonts w:hint="default" w:ascii="Times New Roman" w:hAnsi="Times New Roman" w:eastAsia="宋体" w:cs="Times New Roman"/>
        </w:rPr>
        <w:t>（供应商名称）的法定代表人（单位负责人）。</w:t>
      </w:r>
    </w:p>
    <w:p w14:paraId="222557DE">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3B040AB3">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32906602">
      <w:pPr>
        <w:pStyle w:val="18"/>
        <w:kinsoku w:val="0"/>
        <w:overflowPunct w:val="0"/>
        <w:spacing w:line="583" w:lineRule="auto"/>
        <w:ind w:right="-46"/>
        <w:rPr>
          <w:rFonts w:hint="default" w:ascii="Times New Roman" w:hAnsi="Times New Roman" w:eastAsia="宋体" w:cs="Times New Roman"/>
          <w:color w:val="000000"/>
          <w:szCs w:val="20"/>
        </w:rPr>
      </w:pPr>
      <w:r>
        <w:rPr>
          <w:rFonts w:hint="default" w:ascii="Times New Roman" w:hAnsi="Times New Roman" w:eastAsia="宋体" w:cs="Times New Roman"/>
          <w:color w:val="000000"/>
          <w:szCs w:val="20"/>
        </w:rPr>
        <w:t>附：法定代表人（单位负责人）身份证</w:t>
      </w:r>
      <w:r>
        <w:rPr>
          <w:rFonts w:hint="default" w:ascii="Times New Roman" w:hAnsi="Times New Roman" w:eastAsia="宋体" w:cs="Times New Roman"/>
          <w:color w:val="000000"/>
          <w:szCs w:val="20"/>
          <w:lang w:val="en-US" w:eastAsia="zh-CN"/>
        </w:rPr>
        <w:t>或</w:t>
      </w:r>
      <w:r>
        <w:rPr>
          <w:rFonts w:hint="default" w:ascii="Times New Roman" w:hAnsi="Times New Roman" w:eastAsia="宋体" w:cs="Times New Roman"/>
          <w:color w:val="000000"/>
          <w:szCs w:val="20"/>
        </w:rPr>
        <w:t>护照等身份证明文件复印件：</w:t>
      </w:r>
    </w:p>
    <w:tbl>
      <w:tblPr>
        <w:tblStyle w:val="45"/>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40314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4FF1C04E">
            <w:pPr>
              <w:pStyle w:val="18"/>
              <w:kinsoku w:val="0"/>
              <w:overflowPunct w:val="0"/>
              <w:spacing w:line="583" w:lineRule="auto"/>
              <w:ind w:right="-46"/>
              <w:rPr>
                <w:rFonts w:hint="default" w:ascii="Times New Roman" w:hAnsi="Times New Roman" w:eastAsia="宋体" w:cs="Times New Roman"/>
                <w:color w:val="000000"/>
                <w:szCs w:val="20"/>
              </w:rPr>
            </w:pPr>
          </w:p>
        </w:tc>
      </w:tr>
    </w:tbl>
    <w:p w14:paraId="7C81C33F">
      <w:pPr>
        <w:pStyle w:val="18"/>
        <w:kinsoku w:val="0"/>
        <w:overflowPunct w:val="0"/>
        <w:spacing w:line="583" w:lineRule="auto"/>
        <w:ind w:right="4305"/>
        <w:rPr>
          <w:rFonts w:hint="default" w:ascii="Times New Roman" w:hAnsi="Times New Roman" w:eastAsia="宋体" w:cs="Times New Roman"/>
          <w:spacing w:val="-3"/>
        </w:rPr>
      </w:pPr>
    </w:p>
    <w:p w14:paraId="719A0EC2">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376C1666">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spacing w:val="-3"/>
          <w:sz w:val="24"/>
        </w:rPr>
        <w:t>法定代表人（</w:t>
      </w:r>
      <w:r>
        <w:rPr>
          <w:rFonts w:hint="default" w:ascii="Times New Roman" w:hAnsi="Times New Roman" w:eastAsia="宋体" w:cs="Times New Roman"/>
          <w:sz w:val="24"/>
        </w:rPr>
        <w:t>单位负责人</w:t>
      </w:r>
      <w:r>
        <w:rPr>
          <w:rFonts w:hint="default" w:ascii="Times New Roman" w:hAnsi="Times New Roman" w:eastAsia="宋体" w:cs="Times New Roman"/>
          <w:spacing w:val="-3"/>
          <w:sz w:val="24"/>
        </w:rPr>
        <w:t>）（签字</w:t>
      </w:r>
      <w:r>
        <w:rPr>
          <w:rFonts w:hint="default" w:ascii="Times New Roman" w:hAnsi="Times New Roman" w:eastAsia="宋体" w:cs="Times New Roman"/>
          <w:color w:val="000000"/>
          <w:sz w:val="24"/>
          <w:szCs w:val="20"/>
        </w:rPr>
        <w:t>或签章</w:t>
      </w:r>
      <w:r>
        <w:rPr>
          <w:rFonts w:hint="default" w:ascii="Times New Roman" w:hAnsi="Times New Roman" w:eastAsia="宋体" w:cs="Times New Roman"/>
          <w:spacing w:val="-3"/>
          <w:sz w:val="24"/>
        </w:rPr>
        <w:t>）：</w:t>
      </w:r>
      <w:r>
        <w:rPr>
          <w:rFonts w:hint="default" w:ascii="Times New Roman" w:hAnsi="Times New Roman" w:eastAsia="宋体" w:cs="Times New Roman"/>
          <w:sz w:val="24"/>
        </w:rPr>
        <w:t>______</w:t>
      </w:r>
    </w:p>
    <w:p w14:paraId="6710F327">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____年____月____日</w:t>
      </w:r>
    </w:p>
    <w:p w14:paraId="67E0CA59">
      <w:pPr>
        <w:widowControl/>
        <w:jc w:val="left"/>
        <w:rPr>
          <w:rFonts w:hint="default" w:ascii="Times New Roman" w:hAnsi="Times New Roman" w:eastAsia="宋体" w:cs="Times New Roman"/>
          <w:i/>
          <w:color w:val="000000"/>
          <w:sz w:val="24"/>
          <w:szCs w:val="20"/>
          <w:u w:val="single"/>
        </w:rPr>
      </w:pPr>
    </w:p>
    <w:p w14:paraId="1407F7E9">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288FA91C">
      <w:pPr>
        <w:tabs>
          <w:tab w:val="left" w:pos="360"/>
        </w:tabs>
        <w:snapToGrid w:val="0"/>
        <w:spacing w:line="360" w:lineRule="auto"/>
        <w:outlineLvl w:val="1"/>
        <w:rPr>
          <w:rFonts w:hint="default" w:ascii="Times New Roman" w:hAnsi="Times New Roman" w:eastAsia="宋体" w:cs="Times New Roman"/>
          <w:sz w:val="24"/>
        </w:rPr>
      </w:pPr>
      <w:bookmarkStart w:id="781" w:name="_GoBack"/>
      <w:bookmarkEnd w:id="781"/>
      <w:r>
        <w:rPr>
          <w:rFonts w:hint="default" w:ascii="Times New Roman" w:hAnsi="Times New Roman" w:eastAsia="宋体" w:cs="Times New Roman"/>
          <w:sz w:val="24"/>
        </w:rPr>
        <w:t>7  报价一览表</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7C603FC4">
      <w:pPr>
        <w:spacing w:line="360" w:lineRule="exact"/>
        <w:jc w:val="center"/>
        <w:rPr>
          <w:rFonts w:hint="default" w:ascii="Times New Roman" w:hAnsi="Times New Roman" w:eastAsia="宋体" w:cs="Times New Roman"/>
          <w:b/>
          <w:color w:val="000000"/>
          <w:sz w:val="36"/>
          <w:szCs w:val="36"/>
        </w:rPr>
      </w:pPr>
      <w:bookmarkStart w:id="729" w:name="_Toc195842923"/>
      <w:bookmarkStart w:id="730" w:name="_Toc164608827"/>
      <w:bookmarkStart w:id="731" w:name="_Toc305158826"/>
      <w:bookmarkStart w:id="732" w:name="_Toc226309802"/>
      <w:bookmarkStart w:id="733" w:name="_Toc226965748"/>
      <w:bookmarkStart w:id="734" w:name="_Toc265228396"/>
      <w:bookmarkStart w:id="735" w:name="_Toc226965831"/>
      <w:bookmarkStart w:id="736" w:name="_Toc164608672"/>
      <w:bookmarkStart w:id="737" w:name="_Toc264969248"/>
      <w:bookmarkStart w:id="738" w:name="_Toc226337254"/>
      <w:bookmarkStart w:id="739" w:name="_Toc305158900"/>
      <w:r>
        <w:rPr>
          <w:rFonts w:hint="default" w:ascii="Times New Roman" w:hAnsi="Times New Roman" w:eastAsia="宋体" w:cs="Times New Roman"/>
          <w:b/>
          <w:color w:val="000000"/>
          <w:sz w:val="36"/>
          <w:szCs w:val="36"/>
        </w:rPr>
        <w:t>报价一览表</w:t>
      </w:r>
      <w:bookmarkEnd w:id="729"/>
      <w:bookmarkEnd w:id="730"/>
      <w:bookmarkEnd w:id="731"/>
      <w:bookmarkEnd w:id="732"/>
      <w:bookmarkEnd w:id="733"/>
      <w:bookmarkEnd w:id="734"/>
      <w:bookmarkEnd w:id="735"/>
      <w:bookmarkEnd w:id="736"/>
      <w:bookmarkEnd w:id="737"/>
      <w:bookmarkEnd w:id="738"/>
      <w:bookmarkEnd w:id="739"/>
    </w:p>
    <w:p w14:paraId="60C9A2A4">
      <w:pPr>
        <w:tabs>
          <w:tab w:val="left" w:pos="1800"/>
          <w:tab w:val="left" w:pos="5580"/>
        </w:tabs>
        <w:spacing w:line="360" w:lineRule="auto"/>
        <w:jc w:val="left"/>
        <w:rPr>
          <w:rFonts w:hint="default" w:ascii="Times New Roman" w:hAnsi="Times New Roman" w:eastAsia="宋体" w:cs="Times New Roman"/>
          <w:color w:val="000000"/>
          <w:sz w:val="24"/>
        </w:rPr>
      </w:pPr>
    </w:p>
    <w:p w14:paraId="2820F296">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rPr>
        <w:t>项目编号：</w:t>
      </w:r>
      <w:r>
        <w:rPr>
          <w:rFonts w:hint="default" w:ascii="Times New Roman" w:hAnsi="Times New Roman" w:eastAsia="宋体" w:cs="Times New Roman"/>
          <w:sz w:val="24"/>
        </w:rPr>
        <w:t>___________</w:t>
      </w:r>
      <w:r>
        <w:rPr>
          <w:rFonts w:hint="default" w:ascii="Times New Roman" w:hAnsi="Times New Roman" w:eastAsia="宋体" w:cs="Times New Roman"/>
          <w:color w:val="000000"/>
          <w:sz w:val="24"/>
        </w:rPr>
        <w:t xml:space="preserve">     项目名称：</w:t>
      </w:r>
      <w:r>
        <w:rPr>
          <w:rFonts w:hint="default" w:ascii="Times New Roman" w:hAnsi="Times New Roman" w:eastAsia="宋体" w:cs="Times New Roman"/>
          <w:sz w:val="24"/>
        </w:rPr>
        <w:t>___________</w:t>
      </w:r>
    </w:p>
    <w:tbl>
      <w:tblPr>
        <w:tblStyle w:val="44"/>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204"/>
        <w:gridCol w:w="2026"/>
        <w:gridCol w:w="2132"/>
      </w:tblGrid>
      <w:tr w14:paraId="5CF9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329AECD2">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包号</w:t>
            </w:r>
          </w:p>
        </w:tc>
        <w:tc>
          <w:tcPr>
            <w:tcW w:w="3204" w:type="dxa"/>
            <w:vMerge w:val="restart"/>
            <w:tcBorders>
              <w:top w:val="single" w:color="auto" w:sz="4" w:space="0"/>
              <w:left w:val="single" w:color="auto" w:sz="4" w:space="0"/>
              <w:bottom w:val="single" w:color="auto" w:sz="4" w:space="0"/>
              <w:right w:val="single" w:color="auto" w:sz="4" w:space="0"/>
            </w:tcBorders>
            <w:vAlign w:val="center"/>
          </w:tcPr>
          <w:p w14:paraId="53D284EB">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供应商名称</w:t>
            </w:r>
          </w:p>
        </w:tc>
        <w:tc>
          <w:tcPr>
            <w:tcW w:w="4158" w:type="dxa"/>
            <w:gridSpan w:val="2"/>
            <w:tcBorders>
              <w:top w:val="single" w:color="auto" w:sz="4" w:space="0"/>
              <w:left w:val="single" w:color="auto" w:sz="4" w:space="0"/>
              <w:bottom w:val="single" w:color="auto" w:sz="4" w:space="0"/>
              <w:right w:val="single" w:color="auto" w:sz="4" w:space="0"/>
            </w:tcBorders>
            <w:vAlign w:val="center"/>
          </w:tcPr>
          <w:p w14:paraId="2CC56FE2">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报价</w:t>
            </w:r>
          </w:p>
        </w:tc>
      </w:tr>
      <w:tr w14:paraId="0420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0E551512">
            <w:pPr>
              <w:widowControl/>
              <w:jc w:val="left"/>
              <w:rPr>
                <w:rFonts w:hint="default" w:ascii="Times New Roman" w:hAnsi="Times New Roman" w:eastAsia="宋体" w:cs="Times New Roman"/>
                <w:b/>
                <w:sz w:val="24"/>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14:paraId="0D4BCB44">
            <w:pPr>
              <w:widowControl/>
              <w:jc w:val="left"/>
              <w:rPr>
                <w:rFonts w:hint="default" w:ascii="Times New Roman" w:hAnsi="Times New Roman" w:eastAsia="宋体" w:cs="Times New Roman"/>
                <w:b/>
                <w:sz w:val="24"/>
              </w:rPr>
            </w:pPr>
          </w:p>
        </w:tc>
        <w:tc>
          <w:tcPr>
            <w:tcW w:w="2026" w:type="dxa"/>
            <w:tcBorders>
              <w:top w:val="single" w:color="auto" w:sz="4" w:space="0"/>
              <w:left w:val="single" w:color="auto" w:sz="4" w:space="0"/>
              <w:bottom w:val="single" w:color="auto" w:sz="4" w:space="0"/>
              <w:right w:val="single" w:color="auto" w:sz="4" w:space="0"/>
            </w:tcBorders>
            <w:vAlign w:val="center"/>
          </w:tcPr>
          <w:p w14:paraId="1FB4F761">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大写</w:t>
            </w:r>
          </w:p>
        </w:tc>
        <w:tc>
          <w:tcPr>
            <w:tcW w:w="2132" w:type="dxa"/>
            <w:tcBorders>
              <w:top w:val="single" w:color="auto" w:sz="4" w:space="0"/>
              <w:left w:val="single" w:color="auto" w:sz="4" w:space="0"/>
              <w:bottom w:val="single" w:color="auto" w:sz="4" w:space="0"/>
              <w:right w:val="single" w:color="auto" w:sz="4" w:space="0"/>
            </w:tcBorders>
            <w:vAlign w:val="center"/>
          </w:tcPr>
          <w:p w14:paraId="3092BE84">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小写</w:t>
            </w:r>
          </w:p>
        </w:tc>
      </w:tr>
      <w:tr w14:paraId="6353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490F0D1">
            <w:pPr>
              <w:tabs>
                <w:tab w:val="left" w:pos="5580"/>
              </w:tabs>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3204" w:type="dxa"/>
            <w:tcBorders>
              <w:top w:val="single" w:color="auto" w:sz="4" w:space="0"/>
              <w:left w:val="single" w:color="auto" w:sz="4" w:space="0"/>
              <w:bottom w:val="single" w:color="auto" w:sz="4" w:space="0"/>
              <w:right w:val="single" w:color="auto" w:sz="4" w:space="0"/>
            </w:tcBorders>
            <w:vAlign w:val="center"/>
          </w:tcPr>
          <w:p w14:paraId="3520FAFC">
            <w:pPr>
              <w:tabs>
                <w:tab w:val="left" w:pos="5580"/>
              </w:tabs>
              <w:jc w:val="center"/>
              <w:rPr>
                <w:rFonts w:hint="default" w:ascii="Times New Roman" w:hAnsi="Times New Roman" w:eastAsia="宋体" w:cs="Times New Roman"/>
                <w:sz w:val="24"/>
              </w:rPr>
            </w:pPr>
          </w:p>
        </w:tc>
        <w:tc>
          <w:tcPr>
            <w:tcW w:w="2026" w:type="dxa"/>
            <w:tcBorders>
              <w:top w:val="single" w:color="auto" w:sz="4" w:space="0"/>
              <w:left w:val="single" w:color="auto" w:sz="4" w:space="0"/>
              <w:bottom w:val="single" w:color="auto" w:sz="4" w:space="0"/>
              <w:right w:val="single" w:color="auto" w:sz="4" w:space="0"/>
            </w:tcBorders>
            <w:vAlign w:val="center"/>
          </w:tcPr>
          <w:p w14:paraId="64F3560B">
            <w:pPr>
              <w:tabs>
                <w:tab w:val="left" w:pos="5580"/>
              </w:tabs>
              <w:jc w:val="center"/>
              <w:rPr>
                <w:rFonts w:hint="default" w:ascii="Times New Roman" w:hAnsi="Times New Roman" w:eastAsia="宋体" w:cs="Times New Roman"/>
                <w:sz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2E531EFA">
            <w:pPr>
              <w:tabs>
                <w:tab w:val="left" w:pos="5580"/>
              </w:tabs>
              <w:jc w:val="center"/>
              <w:rPr>
                <w:rFonts w:hint="default" w:ascii="Times New Roman" w:hAnsi="Times New Roman" w:eastAsia="宋体" w:cs="Times New Roman"/>
                <w:sz w:val="24"/>
              </w:rPr>
            </w:pPr>
          </w:p>
        </w:tc>
      </w:tr>
    </w:tbl>
    <w:p w14:paraId="6264D716">
      <w:pPr>
        <w:autoSpaceDE w:val="0"/>
        <w:autoSpaceDN w:val="0"/>
        <w:adjustRightInd w:val="0"/>
        <w:jc w:val="left"/>
        <w:rPr>
          <w:rFonts w:hint="default" w:ascii="Times New Roman" w:hAnsi="Times New Roman" w:eastAsia="宋体" w:cs="Times New Roman"/>
          <w:color w:val="000000"/>
          <w:kern w:val="0"/>
          <w:sz w:val="24"/>
        </w:rPr>
      </w:pPr>
    </w:p>
    <w:p w14:paraId="61B37A2E">
      <w:pPr>
        <w:autoSpaceDE w:val="0"/>
        <w:autoSpaceDN w:val="0"/>
        <w:adjustRightInd w:val="0"/>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kern w:val="0"/>
          <w:sz w:val="24"/>
        </w:rPr>
        <w:t>注：1</w:t>
      </w:r>
      <w:r>
        <w:rPr>
          <w:rFonts w:hint="default" w:ascii="Times New Roman" w:hAnsi="Times New Roman" w:eastAsia="宋体" w:cs="Times New Roman"/>
          <w:color w:val="000000"/>
          <w:sz w:val="24"/>
          <w:szCs w:val="20"/>
        </w:rPr>
        <w:t>.此表中，每包的报价应和《分项报价表》中的总价相一致。</w:t>
      </w:r>
    </w:p>
    <w:p w14:paraId="5E17995A">
      <w:pPr>
        <w:tabs>
          <w:tab w:val="left" w:pos="5580"/>
        </w:tabs>
        <w:ind w:firstLine="480" w:firstLineChars="20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2.本表必须按包分别填写。</w:t>
      </w:r>
    </w:p>
    <w:p w14:paraId="39694BD5">
      <w:pPr>
        <w:tabs>
          <w:tab w:val="left" w:pos="5580"/>
        </w:tabs>
        <w:ind w:firstLine="480" w:firstLineChars="200"/>
        <w:rPr>
          <w:rFonts w:hint="default" w:ascii="Times New Roman" w:hAnsi="Times New Roman" w:eastAsia="宋体" w:cs="Times New Roman"/>
          <w:color w:val="000000"/>
          <w:sz w:val="24"/>
          <w:szCs w:val="20"/>
        </w:rPr>
      </w:pPr>
    </w:p>
    <w:p w14:paraId="25868B4F">
      <w:pPr>
        <w:tabs>
          <w:tab w:val="left" w:pos="5580"/>
        </w:tabs>
        <w:ind w:firstLine="480" w:firstLineChars="200"/>
        <w:rPr>
          <w:rFonts w:hint="default" w:ascii="Times New Roman" w:hAnsi="Times New Roman" w:eastAsia="宋体" w:cs="Times New Roman"/>
          <w:color w:val="000000"/>
          <w:sz w:val="24"/>
          <w:szCs w:val="20"/>
        </w:rPr>
      </w:pPr>
    </w:p>
    <w:p w14:paraId="2C9BC048">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p>
    <w:p w14:paraId="2BF28127">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lang w:val="zh-CN"/>
        </w:rPr>
        <w:t xml:space="preserve">   </w:t>
      </w:r>
    </w:p>
    <w:p w14:paraId="64D8F039">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___________</w:t>
      </w:r>
    </w:p>
    <w:p w14:paraId="159025C4">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____年____月____日</w:t>
      </w:r>
    </w:p>
    <w:p w14:paraId="061A30A1">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szCs w:val="20"/>
        </w:rPr>
        <w:t xml:space="preserve">  </w:t>
      </w:r>
    </w:p>
    <w:p w14:paraId="046618F2">
      <w:pPr>
        <w:tabs>
          <w:tab w:val="left" w:pos="360"/>
        </w:tabs>
        <w:snapToGrid w:val="0"/>
        <w:spacing w:line="360" w:lineRule="auto"/>
        <w:outlineLvl w:val="1"/>
        <w:rPr>
          <w:rFonts w:hint="default" w:ascii="Times New Roman" w:hAnsi="Times New Roman" w:eastAsia="宋体" w:cs="Times New Roman"/>
          <w:sz w:val="24"/>
        </w:rPr>
        <w:sectPr>
          <w:headerReference r:id="rId28" w:type="first"/>
          <w:footerReference r:id="rId30" w:type="first"/>
          <w:headerReference r:id="rId27" w:type="even"/>
          <w:footerReference r:id="rId29" w:type="even"/>
          <w:pgSz w:w="11907" w:h="16840"/>
          <w:pgMar w:top="1418" w:right="1134" w:bottom="1418" w:left="1701" w:header="851" w:footer="851" w:gutter="0"/>
          <w:pgNumType w:fmt="decimal"/>
          <w:cols w:space="720" w:num="1"/>
          <w:docGrid w:linePitch="462" w:charSpace="0"/>
        </w:sectPr>
      </w:pPr>
      <w:bookmarkStart w:id="740" w:name="_Toc305158827"/>
      <w:bookmarkStart w:id="741" w:name="_Toc127151558"/>
      <w:bookmarkStart w:id="742" w:name="_Toc264969249"/>
      <w:bookmarkStart w:id="743" w:name="_Toc150774763"/>
      <w:bookmarkStart w:id="744" w:name="_Toc195842924"/>
      <w:bookmarkStart w:id="745" w:name="_Toc142311060"/>
      <w:bookmarkStart w:id="746" w:name="_Toc226965832"/>
      <w:bookmarkStart w:id="747" w:name="_Toc226337255"/>
      <w:bookmarkStart w:id="748" w:name="_Toc226309803"/>
      <w:bookmarkStart w:id="749" w:name="_Toc305158901"/>
      <w:bookmarkStart w:id="750" w:name="_Toc150480796"/>
      <w:bookmarkStart w:id="751" w:name="_Toc265228397"/>
      <w:bookmarkStart w:id="752" w:name="_Toc226965749"/>
    </w:p>
    <w:p w14:paraId="11FAE7F8">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8  分项报价表</w:t>
      </w:r>
      <w:bookmarkEnd w:id="740"/>
      <w:bookmarkEnd w:id="741"/>
      <w:bookmarkEnd w:id="742"/>
      <w:bookmarkEnd w:id="743"/>
      <w:bookmarkEnd w:id="744"/>
      <w:bookmarkEnd w:id="745"/>
      <w:bookmarkEnd w:id="746"/>
      <w:bookmarkEnd w:id="747"/>
      <w:bookmarkEnd w:id="748"/>
      <w:bookmarkEnd w:id="749"/>
      <w:bookmarkEnd w:id="750"/>
      <w:bookmarkEnd w:id="751"/>
      <w:bookmarkEnd w:id="752"/>
    </w:p>
    <w:p w14:paraId="382C093B">
      <w:pPr>
        <w:spacing w:line="360" w:lineRule="exact"/>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分项报价表</w:t>
      </w:r>
    </w:p>
    <w:p w14:paraId="1CDCE582">
      <w:pPr>
        <w:spacing w:line="260" w:lineRule="exact"/>
        <w:jc w:val="center"/>
        <w:rPr>
          <w:rFonts w:hint="default" w:ascii="Times New Roman" w:hAnsi="Times New Roman" w:eastAsia="宋体" w:cs="Times New Roman"/>
          <w:color w:val="000000"/>
          <w:sz w:val="36"/>
          <w:szCs w:val="36"/>
        </w:rPr>
      </w:pPr>
    </w:p>
    <w:p w14:paraId="0D9E2650">
      <w:pPr>
        <w:tabs>
          <w:tab w:val="left" w:pos="1800"/>
          <w:tab w:val="left" w:pos="5580"/>
        </w:tabs>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 项目名称：_________报价单位：人民币元</w:t>
      </w:r>
    </w:p>
    <w:tbl>
      <w:tblPr>
        <w:tblStyle w:val="4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566"/>
        <w:gridCol w:w="1280"/>
        <w:gridCol w:w="1645"/>
        <w:gridCol w:w="850"/>
        <w:gridCol w:w="1084"/>
        <w:gridCol w:w="1197"/>
        <w:gridCol w:w="1009"/>
      </w:tblGrid>
      <w:tr w14:paraId="6ECE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vAlign w:val="center"/>
          </w:tcPr>
          <w:p w14:paraId="7A46D665">
            <w:pPr>
              <w:adjustRightInd w:val="0"/>
              <w:snapToGrid w:val="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序号</w:t>
            </w:r>
          </w:p>
        </w:tc>
        <w:tc>
          <w:tcPr>
            <w:tcW w:w="1566" w:type="dxa"/>
            <w:vAlign w:val="center"/>
          </w:tcPr>
          <w:p w14:paraId="1EF41B51">
            <w:pPr>
              <w:adjustRightInd w:val="0"/>
              <w:snapToGrid w:val="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分项名称</w:t>
            </w:r>
          </w:p>
        </w:tc>
        <w:tc>
          <w:tcPr>
            <w:tcW w:w="1280" w:type="dxa"/>
            <w:vAlign w:val="center"/>
          </w:tcPr>
          <w:p w14:paraId="313C61FA">
            <w:pPr>
              <w:adjustRightInd w:val="0"/>
              <w:snapToGrid w:val="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单价</w:t>
            </w:r>
          </w:p>
        </w:tc>
        <w:tc>
          <w:tcPr>
            <w:tcW w:w="1645" w:type="dxa"/>
            <w:vAlign w:val="center"/>
          </w:tcPr>
          <w:p w14:paraId="51C86767">
            <w:pPr>
              <w:adjustRightInd w:val="0"/>
              <w:snapToGrid w:val="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数量</w:t>
            </w:r>
          </w:p>
        </w:tc>
        <w:tc>
          <w:tcPr>
            <w:tcW w:w="850" w:type="dxa"/>
            <w:vAlign w:val="center"/>
          </w:tcPr>
          <w:p w14:paraId="41D2F65A">
            <w:pPr>
              <w:adjustRightInd w:val="0"/>
              <w:snapToGrid w:val="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合价</w:t>
            </w:r>
          </w:p>
        </w:tc>
        <w:tc>
          <w:tcPr>
            <w:tcW w:w="1084" w:type="dxa"/>
            <w:vAlign w:val="center"/>
          </w:tcPr>
          <w:p w14:paraId="4A22ABE1">
            <w:pPr>
              <w:adjustRightInd w:val="0"/>
              <w:snapToGrid w:val="0"/>
              <w:jc w:val="center"/>
              <w:rPr>
                <w:rFonts w:hint="default" w:ascii="Times New Roman" w:hAnsi="Times New Roman" w:eastAsia="宋体" w:cs="Times New Roman"/>
                <w:b/>
                <w:color w:val="000000"/>
                <w:sz w:val="24"/>
                <w:lang w:val="en-US" w:eastAsia="zh-CN"/>
              </w:rPr>
            </w:pPr>
            <w:r>
              <w:rPr>
                <w:rFonts w:hint="default" w:ascii="Times New Roman" w:hAnsi="Times New Roman" w:eastAsia="宋体" w:cs="Times New Roman"/>
                <w:b/>
                <w:color w:val="000000"/>
                <w:sz w:val="24"/>
                <w:lang w:val="en-US" w:eastAsia="zh-CN"/>
              </w:rPr>
              <w:t>供应商规模</w:t>
            </w:r>
          </w:p>
        </w:tc>
        <w:tc>
          <w:tcPr>
            <w:tcW w:w="1197" w:type="dxa"/>
            <w:vAlign w:val="center"/>
          </w:tcPr>
          <w:p w14:paraId="30593C92">
            <w:pPr>
              <w:adjustRightInd w:val="0"/>
              <w:snapToGrid w:val="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lang w:val="en-US" w:eastAsia="zh-CN"/>
              </w:rPr>
              <w:t>供应商</w:t>
            </w:r>
            <w:r>
              <w:rPr>
                <w:rFonts w:hint="default" w:ascii="Times New Roman" w:hAnsi="Times New Roman" w:eastAsia="宋体" w:cs="Times New Roman"/>
                <w:b/>
                <w:color w:val="000000"/>
                <w:sz w:val="24"/>
              </w:rPr>
              <w:t>所属性别</w:t>
            </w:r>
          </w:p>
        </w:tc>
        <w:tc>
          <w:tcPr>
            <w:tcW w:w="1009" w:type="dxa"/>
            <w:vAlign w:val="center"/>
          </w:tcPr>
          <w:p w14:paraId="2A983878">
            <w:pPr>
              <w:adjustRightInd w:val="0"/>
              <w:snapToGrid w:val="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外商投资类型</w:t>
            </w:r>
          </w:p>
        </w:tc>
      </w:tr>
      <w:tr w14:paraId="65B7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vAlign w:val="center"/>
          </w:tcPr>
          <w:p w14:paraId="31D57BA2">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p>
        </w:tc>
        <w:tc>
          <w:tcPr>
            <w:tcW w:w="1566" w:type="dxa"/>
            <w:vAlign w:val="center"/>
          </w:tcPr>
          <w:p w14:paraId="2D7F3ECD">
            <w:pPr>
              <w:adjustRightInd w:val="0"/>
              <w:snapToGrid w:val="0"/>
              <w:jc w:val="left"/>
              <w:rPr>
                <w:rFonts w:hint="default" w:ascii="Times New Roman" w:hAnsi="Times New Roman" w:eastAsia="宋体" w:cs="Times New Roman"/>
                <w:color w:val="000000"/>
                <w:sz w:val="24"/>
              </w:rPr>
            </w:pPr>
          </w:p>
        </w:tc>
        <w:tc>
          <w:tcPr>
            <w:tcW w:w="1280" w:type="dxa"/>
            <w:vAlign w:val="center"/>
          </w:tcPr>
          <w:p w14:paraId="3F30D230">
            <w:pPr>
              <w:adjustRightInd w:val="0"/>
              <w:snapToGrid w:val="0"/>
              <w:jc w:val="left"/>
              <w:rPr>
                <w:rFonts w:hint="default" w:ascii="Times New Roman" w:hAnsi="Times New Roman" w:eastAsia="宋体" w:cs="Times New Roman"/>
                <w:color w:val="000000"/>
                <w:sz w:val="24"/>
              </w:rPr>
            </w:pPr>
          </w:p>
        </w:tc>
        <w:tc>
          <w:tcPr>
            <w:tcW w:w="1645" w:type="dxa"/>
            <w:vAlign w:val="center"/>
          </w:tcPr>
          <w:p w14:paraId="5EC8D877">
            <w:pPr>
              <w:adjustRightInd w:val="0"/>
              <w:snapToGrid w:val="0"/>
              <w:jc w:val="center"/>
              <w:rPr>
                <w:rFonts w:hint="default" w:ascii="Times New Roman" w:hAnsi="Times New Roman" w:eastAsia="宋体" w:cs="Times New Roman"/>
                <w:color w:val="000000"/>
                <w:sz w:val="24"/>
              </w:rPr>
            </w:pPr>
          </w:p>
        </w:tc>
        <w:tc>
          <w:tcPr>
            <w:tcW w:w="850" w:type="dxa"/>
            <w:vAlign w:val="center"/>
          </w:tcPr>
          <w:p w14:paraId="0C88AB3E">
            <w:pPr>
              <w:adjustRightInd w:val="0"/>
              <w:snapToGrid w:val="0"/>
              <w:jc w:val="left"/>
              <w:rPr>
                <w:rFonts w:hint="default" w:ascii="Times New Roman" w:hAnsi="Times New Roman" w:eastAsia="宋体" w:cs="Times New Roman"/>
                <w:color w:val="000000"/>
                <w:sz w:val="24"/>
              </w:rPr>
            </w:pPr>
          </w:p>
        </w:tc>
        <w:tc>
          <w:tcPr>
            <w:tcW w:w="1084" w:type="dxa"/>
            <w:vAlign w:val="center"/>
          </w:tcPr>
          <w:p w14:paraId="5F76CBF5">
            <w:pPr>
              <w:adjustRightInd w:val="0"/>
              <w:snapToGrid w:val="0"/>
              <w:jc w:val="left"/>
              <w:rPr>
                <w:rFonts w:hint="default" w:ascii="Times New Roman" w:hAnsi="Times New Roman" w:eastAsia="宋体" w:cs="Times New Roman"/>
                <w:color w:val="000000"/>
                <w:sz w:val="24"/>
              </w:rPr>
            </w:pPr>
          </w:p>
        </w:tc>
        <w:tc>
          <w:tcPr>
            <w:tcW w:w="1197" w:type="dxa"/>
            <w:vAlign w:val="center"/>
          </w:tcPr>
          <w:p w14:paraId="3601D6C0">
            <w:pPr>
              <w:adjustRightInd w:val="0"/>
              <w:snapToGrid w:val="0"/>
              <w:jc w:val="left"/>
              <w:rPr>
                <w:rFonts w:hint="default" w:ascii="Times New Roman" w:hAnsi="Times New Roman" w:eastAsia="宋体" w:cs="Times New Roman"/>
                <w:color w:val="000000"/>
                <w:sz w:val="24"/>
              </w:rPr>
            </w:pPr>
          </w:p>
        </w:tc>
        <w:tc>
          <w:tcPr>
            <w:tcW w:w="1009" w:type="dxa"/>
            <w:vAlign w:val="center"/>
          </w:tcPr>
          <w:p w14:paraId="31E5FE7E">
            <w:pPr>
              <w:adjustRightInd w:val="0"/>
              <w:snapToGrid w:val="0"/>
              <w:jc w:val="left"/>
              <w:rPr>
                <w:rFonts w:hint="default" w:ascii="Times New Roman" w:hAnsi="Times New Roman" w:eastAsia="宋体" w:cs="Times New Roman"/>
                <w:color w:val="000000"/>
                <w:sz w:val="24"/>
              </w:rPr>
            </w:pPr>
          </w:p>
        </w:tc>
      </w:tr>
      <w:tr w14:paraId="24B0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vAlign w:val="center"/>
          </w:tcPr>
          <w:p w14:paraId="3C899332">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w:t>
            </w:r>
          </w:p>
        </w:tc>
        <w:tc>
          <w:tcPr>
            <w:tcW w:w="1566" w:type="dxa"/>
            <w:vAlign w:val="center"/>
          </w:tcPr>
          <w:p w14:paraId="74890071">
            <w:pPr>
              <w:adjustRightInd w:val="0"/>
              <w:snapToGrid w:val="0"/>
              <w:jc w:val="left"/>
              <w:rPr>
                <w:rFonts w:hint="default" w:ascii="Times New Roman" w:hAnsi="Times New Roman" w:eastAsia="宋体" w:cs="Times New Roman"/>
                <w:color w:val="000000"/>
                <w:sz w:val="24"/>
              </w:rPr>
            </w:pPr>
          </w:p>
        </w:tc>
        <w:tc>
          <w:tcPr>
            <w:tcW w:w="1280" w:type="dxa"/>
            <w:vAlign w:val="center"/>
          </w:tcPr>
          <w:p w14:paraId="2116A2A9">
            <w:pPr>
              <w:adjustRightInd w:val="0"/>
              <w:snapToGrid w:val="0"/>
              <w:jc w:val="left"/>
              <w:rPr>
                <w:rFonts w:hint="default" w:ascii="Times New Roman" w:hAnsi="Times New Roman" w:eastAsia="宋体" w:cs="Times New Roman"/>
                <w:color w:val="000000"/>
                <w:sz w:val="24"/>
              </w:rPr>
            </w:pPr>
          </w:p>
        </w:tc>
        <w:tc>
          <w:tcPr>
            <w:tcW w:w="1645" w:type="dxa"/>
            <w:vAlign w:val="center"/>
          </w:tcPr>
          <w:p w14:paraId="36AF6EB2">
            <w:pPr>
              <w:adjustRightInd w:val="0"/>
              <w:snapToGrid w:val="0"/>
              <w:jc w:val="center"/>
              <w:rPr>
                <w:rFonts w:hint="default" w:ascii="Times New Roman" w:hAnsi="Times New Roman" w:eastAsia="宋体" w:cs="Times New Roman"/>
                <w:color w:val="000000"/>
                <w:sz w:val="24"/>
              </w:rPr>
            </w:pPr>
          </w:p>
        </w:tc>
        <w:tc>
          <w:tcPr>
            <w:tcW w:w="850" w:type="dxa"/>
            <w:vAlign w:val="center"/>
          </w:tcPr>
          <w:p w14:paraId="32A68137">
            <w:pPr>
              <w:adjustRightInd w:val="0"/>
              <w:snapToGrid w:val="0"/>
              <w:jc w:val="left"/>
              <w:rPr>
                <w:rFonts w:hint="default" w:ascii="Times New Roman" w:hAnsi="Times New Roman" w:eastAsia="宋体" w:cs="Times New Roman"/>
                <w:color w:val="000000"/>
                <w:sz w:val="24"/>
              </w:rPr>
            </w:pPr>
          </w:p>
        </w:tc>
        <w:tc>
          <w:tcPr>
            <w:tcW w:w="1084" w:type="dxa"/>
            <w:vAlign w:val="center"/>
          </w:tcPr>
          <w:p w14:paraId="003BFECB">
            <w:pPr>
              <w:adjustRightInd w:val="0"/>
              <w:snapToGrid w:val="0"/>
              <w:jc w:val="left"/>
              <w:rPr>
                <w:rFonts w:hint="default" w:ascii="Times New Roman" w:hAnsi="Times New Roman" w:eastAsia="宋体" w:cs="Times New Roman"/>
                <w:color w:val="000000"/>
                <w:sz w:val="24"/>
              </w:rPr>
            </w:pPr>
          </w:p>
        </w:tc>
        <w:tc>
          <w:tcPr>
            <w:tcW w:w="1197" w:type="dxa"/>
            <w:vAlign w:val="center"/>
          </w:tcPr>
          <w:p w14:paraId="375DA5AA">
            <w:pPr>
              <w:adjustRightInd w:val="0"/>
              <w:snapToGrid w:val="0"/>
              <w:jc w:val="left"/>
              <w:rPr>
                <w:rFonts w:hint="default" w:ascii="Times New Roman" w:hAnsi="Times New Roman" w:eastAsia="宋体" w:cs="Times New Roman"/>
                <w:color w:val="000000"/>
                <w:sz w:val="24"/>
              </w:rPr>
            </w:pPr>
          </w:p>
        </w:tc>
        <w:tc>
          <w:tcPr>
            <w:tcW w:w="1009" w:type="dxa"/>
            <w:vAlign w:val="center"/>
          </w:tcPr>
          <w:p w14:paraId="00FB4A64">
            <w:pPr>
              <w:adjustRightInd w:val="0"/>
              <w:snapToGrid w:val="0"/>
              <w:jc w:val="left"/>
              <w:rPr>
                <w:rFonts w:hint="default" w:ascii="Times New Roman" w:hAnsi="Times New Roman" w:eastAsia="宋体" w:cs="Times New Roman"/>
                <w:color w:val="000000"/>
                <w:sz w:val="24"/>
              </w:rPr>
            </w:pPr>
          </w:p>
        </w:tc>
      </w:tr>
      <w:tr w14:paraId="79D3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vAlign w:val="center"/>
          </w:tcPr>
          <w:p w14:paraId="0EF3014E">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w:t>
            </w:r>
          </w:p>
        </w:tc>
        <w:tc>
          <w:tcPr>
            <w:tcW w:w="1566" w:type="dxa"/>
            <w:vAlign w:val="center"/>
          </w:tcPr>
          <w:p w14:paraId="06CAD316">
            <w:pPr>
              <w:adjustRightInd w:val="0"/>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w:t>
            </w:r>
          </w:p>
        </w:tc>
        <w:tc>
          <w:tcPr>
            <w:tcW w:w="1280" w:type="dxa"/>
            <w:vAlign w:val="center"/>
          </w:tcPr>
          <w:p w14:paraId="5E993FDE">
            <w:pPr>
              <w:adjustRightInd w:val="0"/>
              <w:snapToGrid w:val="0"/>
              <w:jc w:val="left"/>
              <w:rPr>
                <w:rFonts w:hint="default" w:ascii="Times New Roman" w:hAnsi="Times New Roman" w:eastAsia="宋体" w:cs="Times New Roman"/>
                <w:color w:val="000000"/>
                <w:sz w:val="24"/>
              </w:rPr>
            </w:pPr>
          </w:p>
        </w:tc>
        <w:tc>
          <w:tcPr>
            <w:tcW w:w="1645" w:type="dxa"/>
            <w:vAlign w:val="center"/>
          </w:tcPr>
          <w:p w14:paraId="6D586D0D">
            <w:pPr>
              <w:adjustRightInd w:val="0"/>
              <w:snapToGrid w:val="0"/>
              <w:jc w:val="center"/>
              <w:rPr>
                <w:rFonts w:hint="default" w:ascii="Times New Roman" w:hAnsi="Times New Roman" w:eastAsia="宋体" w:cs="Times New Roman"/>
                <w:color w:val="000000"/>
                <w:sz w:val="24"/>
              </w:rPr>
            </w:pPr>
          </w:p>
        </w:tc>
        <w:tc>
          <w:tcPr>
            <w:tcW w:w="850" w:type="dxa"/>
            <w:vAlign w:val="center"/>
          </w:tcPr>
          <w:p w14:paraId="27459C37">
            <w:pPr>
              <w:adjustRightInd w:val="0"/>
              <w:snapToGrid w:val="0"/>
              <w:jc w:val="left"/>
              <w:rPr>
                <w:rFonts w:hint="default" w:ascii="Times New Roman" w:hAnsi="Times New Roman" w:eastAsia="宋体" w:cs="Times New Roman"/>
                <w:color w:val="000000"/>
                <w:sz w:val="24"/>
              </w:rPr>
            </w:pPr>
          </w:p>
        </w:tc>
        <w:tc>
          <w:tcPr>
            <w:tcW w:w="1084" w:type="dxa"/>
            <w:vAlign w:val="center"/>
          </w:tcPr>
          <w:p w14:paraId="541B06D6">
            <w:pPr>
              <w:adjustRightInd w:val="0"/>
              <w:snapToGrid w:val="0"/>
              <w:jc w:val="left"/>
              <w:rPr>
                <w:rFonts w:hint="default" w:ascii="Times New Roman" w:hAnsi="Times New Roman" w:eastAsia="宋体" w:cs="Times New Roman"/>
                <w:color w:val="000000"/>
                <w:sz w:val="24"/>
              </w:rPr>
            </w:pPr>
          </w:p>
        </w:tc>
        <w:tc>
          <w:tcPr>
            <w:tcW w:w="1197" w:type="dxa"/>
            <w:vAlign w:val="center"/>
          </w:tcPr>
          <w:p w14:paraId="230EDE8A">
            <w:pPr>
              <w:adjustRightInd w:val="0"/>
              <w:snapToGrid w:val="0"/>
              <w:jc w:val="left"/>
              <w:rPr>
                <w:rFonts w:hint="default" w:ascii="Times New Roman" w:hAnsi="Times New Roman" w:eastAsia="宋体" w:cs="Times New Roman"/>
                <w:color w:val="000000"/>
                <w:sz w:val="24"/>
              </w:rPr>
            </w:pPr>
          </w:p>
        </w:tc>
        <w:tc>
          <w:tcPr>
            <w:tcW w:w="1009" w:type="dxa"/>
            <w:vAlign w:val="center"/>
          </w:tcPr>
          <w:p w14:paraId="22AAD0BB">
            <w:pPr>
              <w:adjustRightInd w:val="0"/>
              <w:snapToGrid w:val="0"/>
              <w:jc w:val="left"/>
              <w:rPr>
                <w:rFonts w:hint="default" w:ascii="Times New Roman" w:hAnsi="Times New Roman" w:eastAsia="宋体" w:cs="Times New Roman"/>
                <w:color w:val="000000"/>
                <w:sz w:val="24"/>
              </w:rPr>
            </w:pPr>
          </w:p>
        </w:tc>
      </w:tr>
      <w:tr w14:paraId="51E4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098" w:type="dxa"/>
            <w:gridSpan w:val="4"/>
            <w:vAlign w:val="center"/>
          </w:tcPr>
          <w:p w14:paraId="675FEF89">
            <w:pPr>
              <w:adjustRightInd w:val="0"/>
              <w:snapToGrid w:val="0"/>
              <w:jc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年度总价（元）</w:t>
            </w:r>
          </w:p>
        </w:tc>
        <w:tc>
          <w:tcPr>
            <w:tcW w:w="4140" w:type="dxa"/>
            <w:gridSpan w:val="4"/>
            <w:vAlign w:val="center"/>
          </w:tcPr>
          <w:p w14:paraId="3F9DAC69">
            <w:pPr>
              <w:adjustRightInd w:val="0"/>
              <w:snapToGrid w:val="0"/>
              <w:jc w:val="left"/>
              <w:rPr>
                <w:rFonts w:hint="default" w:ascii="Times New Roman" w:hAnsi="Times New Roman" w:eastAsia="宋体" w:cs="Times New Roman"/>
                <w:color w:val="000000"/>
                <w:sz w:val="24"/>
              </w:rPr>
            </w:pPr>
          </w:p>
        </w:tc>
      </w:tr>
    </w:tbl>
    <w:p w14:paraId="3EAC7B28">
      <w:pPr>
        <w:tabs>
          <w:tab w:val="left" w:pos="1800"/>
          <w:tab w:val="left" w:pos="5580"/>
        </w:tabs>
        <w:jc w:val="left"/>
        <w:rPr>
          <w:rFonts w:hint="default" w:ascii="Times New Roman" w:hAnsi="Times New Roman" w:eastAsia="宋体" w:cs="Times New Roman"/>
          <w:color w:val="000000"/>
          <w:sz w:val="24"/>
        </w:rPr>
      </w:pPr>
    </w:p>
    <w:p w14:paraId="27F0E9BF">
      <w:pPr>
        <w:tabs>
          <w:tab w:val="left" w:pos="1800"/>
          <w:tab w:val="left" w:pos="5580"/>
        </w:tabs>
        <w:jc w:val="left"/>
        <w:rPr>
          <w:rFonts w:hint="default" w:ascii="Times New Roman" w:hAnsi="Times New Roman" w:eastAsia="宋体" w:cs="Times New Roman"/>
          <w:color w:val="000000"/>
          <w:sz w:val="24"/>
        </w:rPr>
      </w:pPr>
    </w:p>
    <w:p w14:paraId="2898ED4D">
      <w:pPr>
        <w:tabs>
          <w:tab w:val="left" w:pos="1800"/>
          <w:tab w:val="left" w:pos="5580"/>
        </w:tabs>
        <w:jc w:val="left"/>
        <w:rPr>
          <w:rFonts w:hint="default" w:ascii="Times New Roman" w:hAnsi="Times New Roman" w:eastAsia="宋体" w:cs="Times New Roman"/>
          <w:color w:val="000000"/>
          <w:sz w:val="24"/>
        </w:rPr>
      </w:pPr>
    </w:p>
    <w:p w14:paraId="31DD54D8">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注：1.本表应按包分别填写。</w:t>
      </w:r>
    </w:p>
    <w:p w14:paraId="55CA9EA3">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2.上述各项的详细规格（如有），可另页描述。</w:t>
      </w:r>
    </w:p>
    <w:p w14:paraId="0309F7B4">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w:t>
      </w:r>
      <w:r>
        <w:rPr>
          <w:rFonts w:hint="default" w:ascii="Times New Roman" w:hAnsi="Times New Roman" w:eastAsia="宋体" w:cs="Times New Roman"/>
          <w:color w:val="000000"/>
          <w:sz w:val="24"/>
          <w:lang w:val="en-US" w:eastAsia="zh-CN"/>
        </w:rPr>
        <w:t>供应商</w:t>
      </w:r>
      <w:r>
        <w:rPr>
          <w:rFonts w:hint="default" w:ascii="Times New Roman" w:hAnsi="Times New Roman" w:eastAsia="宋体" w:cs="Times New Roman"/>
          <w:color w:val="000000"/>
          <w:sz w:val="24"/>
        </w:rPr>
        <w:t>规模列应填写</w:t>
      </w:r>
      <w:bookmarkStart w:id="753" w:name="_Hlk168432512"/>
      <w:r>
        <w:rPr>
          <w:rFonts w:hint="default" w:ascii="Times New Roman" w:hAnsi="Times New Roman" w:eastAsia="宋体" w:cs="Times New Roman"/>
          <w:color w:val="000000"/>
          <w:sz w:val="24"/>
        </w:rPr>
        <w:t>“大型”、</w:t>
      </w:r>
      <w:bookmarkEnd w:id="753"/>
      <w:r>
        <w:rPr>
          <w:rFonts w:hint="default" w:ascii="Times New Roman" w:hAnsi="Times New Roman" w:eastAsia="宋体" w:cs="Times New Roman"/>
          <w:color w:val="000000"/>
          <w:sz w:val="24"/>
        </w:rPr>
        <w:t>“中型”、“小型”、“微型”或“其他”，且不应与《中小企业声明函》或《拟分包情况说明》中内容矛盾。</w:t>
      </w:r>
      <w:r>
        <w:rPr>
          <w:rFonts w:hint="default" w:ascii="Times New Roman" w:hAnsi="Times New Roman" w:eastAsia="宋体" w:cs="Times New Roman"/>
          <w:color w:val="000000"/>
          <w:sz w:val="24"/>
          <w:lang w:val="en-US" w:eastAsia="zh-CN"/>
        </w:rPr>
        <w:t>供应商</w:t>
      </w:r>
      <w:r>
        <w:rPr>
          <w:rFonts w:hint="default" w:ascii="Times New Roman" w:hAnsi="Times New Roman" w:eastAsia="宋体" w:cs="Times New Roman"/>
          <w:color w:val="000000"/>
          <w:sz w:val="24"/>
        </w:rPr>
        <w:t>所属性别请填写“男”或“女”，指拥有</w:t>
      </w:r>
      <w:r>
        <w:rPr>
          <w:rFonts w:hint="default" w:ascii="Times New Roman" w:hAnsi="Times New Roman" w:eastAsia="宋体" w:cs="Times New Roman"/>
          <w:color w:val="000000"/>
          <w:sz w:val="24"/>
          <w:lang w:val="en-US" w:eastAsia="zh-CN"/>
        </w:rPr>
        <w:t>供应商</w:t>
      </w:r>
      <w:r>
        <w:rPr>
          <w:rFonts w:hint="default" w:ascii="Times New Roman" w:hAnsi="Times New Roman" w:eastAsia="宋体" w:cs="Times New Roman"/>
          <w:color w:val="000000"/>
          <w:sz w:val="24"/>
        </w:rPr>
        <w:t>51%以上绝对所有权的性别；绝对所有权拥有者可以是一个人，也可以是多人合计计算。外商投资类型请填写“外商单独投资”、“外商部分投资”或“内资”。</w:t>
      </w:r>
    </w:p>
    <w:p w14:paraId="2C97566D">
      <w:pPr>
        <w:autoSpaceDE w:val="0"/>
        <w:autoSpaceDN w:val="0"/>
        <w:adjustRightInd w:val="0"/>
        <w:snapToGrid w:val="0"/>
        <w:spacing w:before="25" w:after="25" w:line="360" w:lineRule="auto"/>
        <w:rPr>
          <w:rFonts w:hint="default" w:ascii="Times New Roman" w:hAnsi="Times New Roman" w:eastAsia="宋体" w:cs="Times New Roman"/>
          <w:color w:val="000000"/>
          <w:sz w:val="24"/>
        </w:rPr>
      </w:pPr>
    </w:p>
    <w:p w14:paraId="125B6FA1">
      <w:pPr>
        <w:autoSpaceDE w:val="0"/>
        <w:autoSpaceDN w:val="0"/>
        <w:adjustRightInd w:val="0"/>
        <w:snapToGrid w:val="0"/>
        <w:spacing w:before="25" w:after="25" w:line="360" w:lineRule="auto"/>
        <w:rPr>
          <w:rFonts w:hint="default" w:ascii="Times New Roman" w:hAnsi="Times New Roman" w:eastAsia="宋体" w:cs="Times New Roman"/>
          <w:color w:val="000000"/>
          <w:sz w:val="24"/>
        </w:rPr>
      </w:pPr>
    </w:p>
    <w:p w14:paraId="6401E720">
      <w:pPr>
        <w:autoSpaceDE w:val="0"/>
        <w:autoSpaceDN w:val="0"/>
        <w:adjustRightInd w:val="0"/>
        <w:snapToGrid w:val="0"/>
        <w:spacing w:before="25" w:after="25" w:line="360" w:lineRule="auto"/>
        <w:ind w:right="360"/>
        <w:jc w:val="lef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41097262">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szCs w:val="20"/>
        </w:rPr>
        <w:t xml:space="preserve">日期：____年____月____日  </w:t>
      </w:r>
    </w:p>
    <w:p w14:paraId="0605D184">
      <w:pPr>
        <w:tabs>
          <w:tab w:val="left" w:pos="360"/>
        </w:tabs>
        <w:snapToGrid w:val="0"/>
        <w:spacing w:line="360" w:lineRule="auto"/>
        <w:outlineLvl w:val="1"/>
        <w:rPr>
          <w:rFonts w:hint="default" w:ascii="Times New Roman" w:hAnsi="Times New Roman" w:eastAsia="宋体" w:cs="Times New Roman"/>
          <w:sz w:val="24"/>
        </w:rPr>
        <w:sectPr>
          <w:pgSz w:w="11907" w:h="16840"/>
          <w:pgMar w:top="1418" w:right="1134" w:bottom="1418" w:left="1701" w:header="851" w:footer="851" w:gutter="0"/>
          <w:pgNumType w:fmt="decimal"/>
          <w:cols w:space="720" w:num="1"/>
          <w:docGrid w:linePitch="462" w:charSpace="0"/>
        </w:sectPr>
      </w:pPr>
      <w:bookmarkStart w:id="754" w:name="_Toc305158904"/>
      <w:bookmarkStart w:id="755" w:name="_Toc142311062"/>
      <w:bookmarkStart w:id="756" w:name="_Toc226965752"/>
      <w:bookmarkStart w:id="757" w:name="_Toc195842927"/>
      <w:bookmarkStart w:id="758" w:name="_Toc264969252"/>
      <w:bookmarkStart w:id="759" w:name="_Toc150774765"/>
      <w:bookmarkStart w:id="760" w:name="_Toc226337258"/>
      <w:bookmarkStart w:id="761" w:name="_Toc265228400"/>
      <w:bookmarkStart w:id="762" w:name="_Toc226965835"/>
      <w:bookmarkStart w:id="763" w:name="_Toc150480798"/>
      <w:bookmarkStart w:id="764" w:name="_Toc226309806"/>
      <w:bookmarkStart w:id="765" w:name="_Toc305158830"/>
      <w:bookmarkStart w:id="766" w:name="_Toc127151562"/>
      <w:bookmarkStart w:id="767" w:name="_Toc226965834"/>
      <w:bookmarkStart w:id="768" w:name="_Toc150774764"/>
      <w:bookmarkStart w:id="769" w:name="_Toc195842926"/>
      <w:bookmarkStart w:id="770" w:name="_Toc305158829"/>
      <w:bookmarkStart w:id="771" w:name="_Toc150480797"/>
      <w:bookmarkStart w:id="772" w:name="_Toc226965751"/>
      <w:bookmarkStart w:id="773" w:name="_Toc265228399"/>
      <w:bookmarkStart w:id="774" w:name="_Toc264969251"/>
      <w:bookmarkStart w:id="775" w:name="_Toc226309805"/>
      <w:bookmarkStart w:id="776" w:name="_Toc226337257"/>
      <w:bookmarkStart w:id="777" w:name="_Toc142311061"/>
      <w:bookmarkStart w:id="778" w:name="_Toc305158903"/>
      <w:bookmarkStart w:id="779" w:name="_Toc127151561"/>
    </w:p>
    <w:p w14:paraId="5A38DF82">
      <w:pPr>
        <w:tabs>
          <w:tab w:val="left" w:pos="360"/>
        </w:tabs>
        <w:snapToGrid w:val="0"/>
        <w:spacing w:line="360" w:lineRule="auto"/>
        <w:outlineLvl w:val="1"/>
        <w:rPr>
          <w:rFonts w:hint="default" w:ascii="Times New Roman" w:hAnsi="Times New Roman" w:eastAsia="宋体" w:cs="Times New Roman"/>
          <w:color w:val="000000"/>
          <w:sz w:val="24"/>
          <w:szCs w:val="20"/>
        </w:rPr>
      </w:pPr>
      <w:r>
        <w:rPr>
          <w:rFonts w:hint="default" w:ascii="Times New Roman" w:hAnsi="Times New Roman" w:eastAsia="宋体" w:cs="Times New Roman"/>
          <w:sz w:val="24"/>
        </w:rPr>
        <w:t>9  合同条款偏离表</w:t>
      </w:r>
      <w:bookmarkEnd w:id="754"/>
      <w:bookmarkEnd w:id="755"/>
      <w:bookmarkEnd w:id="756"/>
      <w:bookmarkEnd w:id="757"/>
      <w:bookmarkEnd w:id="758"/>
      <w:bookmarkEnd w:id="759"/>
      <w:bookmarkEnd w:id="760"/>
      <w:bookmarkEnd w:id="761"/>
      <w:bookmarkEnd w:id="762"/>
      <w:bookmarkEnd w:id="763"/>
      <w:bookmarkEnd w:id="764"/>
      <w:bookmarkEnd w:id="765"/>
      <w:bookmarkEnd w:id="766"/>
      <w:r>
        <w:rPr>
          <w:rFonts w:hint="default" w:ascii="Times New Roman" w:hAnsi="Times New Roman" w:eastAsia="宋体" w:cs="Times New Roman"/>
          <w:sz w:val="24"/>
        </w:rPr>
        <w:t>（实质性格式）</w:t>
      </w:r>
    </w:p>
    <w:p w14:paraId="3B10EB17">
      <w:pPr>
        <w:spacing w:line="360" w:lineRule="auto"/>
        <w:rPr>
          <w:rFonts w:hint="default" w:ascii="Times New Roman" w:hAnsi="Times New Roman" w:eastAsia="宋体" w:cs="Times New Roman"/>
          <w:color w:val="000000"/>
          <w:sz w:val="24"/>
          <w:szCs w:val="20"/>
        </w:rPr>
      </w:pPr>
    </w:p>
    <w:p w14:paraId="62DA0298">
      <w:pPr>
        <w:tabs>
          <w:tab w:val="left" w:pos="2775"/>
          <w:tab w:val="center" w:pos="4153"/>
        </w:tabs>
        <w:autoSpaceDE w:val="0"/>
        <w:autoSpaceDN w:val="0"/>
        <w:adjustRightInd w:val="0"/>
        <w:spacing w:line="360" w:lineRule="auto"/>
        <w:jc w:val="left"/>
        <w:rPr>
          <w:rFonts w:hint="default" w:ascii="Times New Roman" w:hAnsi="Times New Roman" w:eastAsia="宋体" w:cs="Times New Roman"/>
          <w:b/>
          <w:color w:val="000000"/>
          <w:sz w:val="36"/>
          <w:szCs w:val="36"/>
        </w:rPr>
      </w:pPr>
      <w:r>
        <w:rPr>
          <w:rFonts w:hint="default" w:ascii="Times New Roman" w:hAnsi="Times New Roman" w:eastAsia="宋体" w:cs="Times New Roman"/>
          <w:color w:val="000000"/>
          <w:sz w:val="36"/>
          <w:szCs w:val="36"/>
        </w:rPr>
        <w:tab/>
      </w:r>
      <w:r>
        <w:rPr>
          <w:rFonts w:hint="default" w:ascii="Times New Roman" w:hAnsi="Times New Roman" w:eastAsia="宋体" w:cs="Times New Roman"/>
          <w:b/>
          <w:color w:val="000000"/>
          <w:sz w:val="36"/>
          <w:szCs w:val="36"/>
        </w:rPr>
        <w:tab/>
      </w:r>
      <w:r>
        <w:rPr>
          <w:rFonts w:hint="default" w:ascii="Times New Roman" w:hAnsi="Times New Roman" w:eastAsia="宋体" w:cs="Times New Roman"/>
          <w:b/>
          <w:color w:val="000000"/>
          <w:sz w:val="36"/>
          <w:szCs w:val="36"/>
        </w:rPr>
        <w:t>合同条款偏离表</w:t>
      </w:r>
    </w:p>
    <w:p w14:paraId="21585339">
      <w:pPr>
        <w:spacing w:line="360" w:lineRule="auto"/>
        <w:rPr>
          <w:rFonts w:hint="default" w:ascii="Times New Roman" w:hAnsi="Times New Roman" w:eastAsia="宋体" w:cs="Times New Roman"/>
          <w:color w:val="000000"/>
          <w:sz w:val="24"/>
          <w:szCs w:val="20"/>
        </w:rPr>
      </w:pPr>
    </w:p>
    <w:p w14:paraId="13C504FC">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项目编号/包号：_______________     项目名称：_______________</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777"/>
        <w:gridCol w:w="1778"/>
        <w:gridCol w:w="2184"/>
        <w:gridCol w:w="980"/>
      </w:tblGrid>
      <w:tr w14:paraId="633E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45454FA2">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序号</w:t>
            </w:r>
          </w:p>
        </w:tc>
        <w:tc>
          <w:tcPr>
            <w:tcW w:w="1560" w:type="dxa"/>
            <w:vAlign w:val="center"/>
          </w:tcPr>
          <w:p w14:paraId="68293757">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1"/>
              </w:rPr>
              <w:t>竞争性磋商文件</w:t>
            </w:r>
            <w:r>
              <w:rPr>
                <w:rFonts w:hint="default" w:ascii="Times New Roman" w:hAnsi="Times New Roman" w:eastAsia="宋体" w:cs="Times New Roman"/>
                <w:color w:val="000000"/>
                <w:sz w:val="24"/>
              </w:rPr>
              <w:t>条目号（页码）</w:t>
            </w:r>
          </w:p>
        </w:tc>
        <w:tc>
          <w:tcPr>
            <w:tcW w:w="1777" w:type="dxa"/>
            <w:vAlign w:val="center"/>
          </w:tcPr>
          <w:p w14:paraId="311C23EE">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1"/>
              </w:rPr>
              <w:t>竞争性磋商文件</w:t>
            </w:r>
            <w:r>
              <w:rPr>
                <w:rFonts w:hint="default" w:ascii="Times New Roman" w:hAnsi="Times New Roman" w:eastAsia="宋体" w:cs="Times New Roman"/>
                <w:color w:val="000000"/>
                <w:sz w:val="24"/>
              </w:rPr>
              <w:t>要求</w:t>
            </w:r>
          </w:p>
        </w:tc>
        <w:tc>
          <w:tcPr>
            <w:tcW w:w="1778" w:type="dxa"/>
            <w:vAlign w:val="center"/>
          </w:tcPr>
          <w:p w14:paraId="65FA64D9">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响应文件内容</w:t>
            </w:r>
          </w:p>
        </w:tc>
        <w:tc>
          <w:tcPr>
            <w:tcW w:w="2184" w:type="dxa"/>
            <w:vAlign w:val="center"/>
          </w:tcPr>
          <w:p w14:paraId="18A99A37">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偏离情况</w:t>
            </w:r>
          </w:p>
        </w:tc>
        <w:tc>
          <w:tcPr>
            <w:tcW w:w="980" w:type="dxa"/>
            <w:vAlign w:val="center"/>
          </w:tcPr>
          <w:p w14:paraId="6E622CB9">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说明</w:t>
            </w:r>
          </w:p>
        </w:tc>
      </w:tr>
      <w:tr w14:paraId="250F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1849FC3A">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对本项目合同条款的偏离情况（</w:t>
            </w:r>
            <w:r>
              <w:rPr>
                <w:rFonts w:hint="default" w:ascii="Times New Roman" w:hAnsi="Times New Roman" w:eastAsia="宋体" w:cs="Times New Roman"/>
                <w:bCs/>
                <w:color w:val="000000"/>
                <w:sz w:val="24"/>
              </w:rPr>
              <w:t>应进行选择，未选择</w:t>
            </w:r>
            <w:r>
              <w:rPr>
                <w:rFonts w:hint="default" w:ascii="Times New Roman" w:hAnsi="Times New Roman" w:eastAsia="宋体" w:cs="Times New Roman"/>
                <w:b/>
                <w:color w:val="000000"/>
                <w:sz w:val="24"/>
              </w:rPr>
              <w:t>响应无效）：</w:t>
            </w:r>
          </w:p>
          <w:p w14:paraId="1F635E95">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□无偏离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如无偏离，仅选择无偏离即可；</w:t>
            </w:r>
            <w:r>
              <w:rPr>
                <w:rFonts w:hint="default" w:ascii="Times New Roman" w:hAnsi="Times New Roman" w:eastAsia="宋体" w:cs="Times New Roman"/>
                <w:bCs/>
                <w:color w:val="000000"/>
                <w:sz w:val="24"/>
              </w:rPr>
              <w:t>无偏离即为</w:t>
            </w:r>
            <w:r>
              <w:rPr>
                <w:rFonts w:hint="default" w:ascii="Times New Roman" w:hAnsi="Times New Roman" w:eastAsia="宋体" w:cs="Times New Roman"/>
                <w:sz w:val="24"/>
              </w:rPr>
              <w:t>对合同条款中的所有要求，均视作供应商已对之理解和响应。</w:t>
            </w:r>
            <w:r>
              <w:rPr>
                <w:rFonts w:hint="default" w:ascii="Times New Roman" w:hAnsi="Times New Roman" w:eastAsia="宋体" w:cs="Times New Roman"/>
                <w:color w:val="000000"/>
                <w:sz w:val="24"/>
              </w:rPr>
              <w:t>）</w:t>
            </w:r>
          </w:p>
          <w:p w14:paraId="24F14B0A">
            <w:pPr>
              <w:adjustRightInd w:val="0"/>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则应在本表中对负偏离项逐一列明，否则</w:t>
            </w:r>
            <w:r>
              <w:rPr>
                <w:rFonts w:hint="default" w:ascii="Times New Roman" w:hAnsi="Times New Roman" w:eastAsia="宋体" w:cs="Times New Roman"/>
                <w:b/>
                <w:bCs/>
                <w:color w:val="000000"/>
                <w:sz w:val="24"/>
              </w:rPr>
              <w:t>响应无效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对合同条款中的所有要求，除本表列明的偏离外，均视作供应商已对之理解和响应。</w:t>
            </w:r>
            <w:r>
              <w:rPr>
                <w:rFonts w:hint="default" w:ascii="Times New Roman" w:hAnsi="Times New Roman" w:eastAsia="宋体" w:cs="Times New Roman"/>
                <w:color w:val="000000"/>
                <w:sz w:val="24"/>
              </w:rPr>
              <w:t>）</w:t>
            </w:r>
          </w:p>
        </w:tc>
      </w:tr>
      <w:tr w14:paraId="5246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480E017C">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73F3D427">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45B18D72">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0E9BC430">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0022B9AF">
            <w:pPr>
              <w:adjustRightInd w:val="0"/>
              <w:snapToGrid w:val="0"/>
              <w:jc w:val="center"/>
              <w:rPr>
                <w:rFonts w:hint="default" w:ascii="Times New Roman" w:hAnsi="Times New Roman" w:eastAsia="宋体" w:cs="Times New Roman"/>
                <w:color w:val="000000"/>
                <w:sz w:val="24"/>
              </w:rPr>
            </w:pPr>
          </w:p>
        </w:tc>
        <w:tc>
          <w:tcPr>
            <w:tcW w:w="980" w:type="dxa"/>
            <w:vAlign w:val="center"/>
          </w:tcPr>
          <w:p w14:paraId="1A4BE836">
            <w:pPr>
              <w:adjustRightInd w:val="0"/>
              <w:snapToGrid w:val="0"/>
              <w:jc w:val="center"/>
              <w:rPr>
                <w:rFonts w:hint="default" w:ascii="Times New Roman" w:hAnsi="Times New Roman" w:eastAsia="宋体" w:cs="Times New Roman"/>
                <w:color w:val="000000"/>
                <w:sz w:val="24"/>
              </w:rPr>
            </w:pPr>
          </w:p>
        </w:tc>
      </w:tr>
      <w:tr w14:paraId="733E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3F018407">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50DB78FC">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6474029E">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65E2A825">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3D584A6F">
            <w:pPr>
              <w:adjustRightInd w:val="0"/>
              <w:snapToGrid w:val="0"/>
              <w:jc w:val="center"/>
              <w:rPr>
                <w:rFonts w:hint="default" w:ascii="Times New Roman" w:hAnsi="Times New Roman" w:eastAsia="宋体" w:cs="Times New Roman"/>
                <w:color w:val="000000"/>
                <w:sz w:val="24"/>
              </w:rPr>
            </w:pPr>
          </w:p>
        </w:tc>
        <w:tc>
          <w:tcPr>
            <w:tcW w:w="980" w:type="dxa"/>
            <w:vAlign w:val="center"/>
          </w:tcPr>
          <w:p w14:paraId="0B1DD8F0">
            <w:pPr>
              <w:adjustRightInd w:val="0"/>
              <w:snapToGrid w:val="0"/>
              <w:jc w:val="center"/>
              <w:rPr>
                <w:rFonts w:hint="default" w:ascii="Times New Roman" w:hAnsi="Times New Roman" w:eastAsia="宋体" w:cs="Times New Roman"/>
                <w:color w:val="000000"/>
                <w:sz w:val="24"/>
              </w:rPr>
            </w:pPr>
          </w:p>
        </w:tc>
      </w:tr>
      <w:tr w14:paraId="6435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02153619">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47BBA255">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0313CACE">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7DAEA3ED">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4205951A">
            <w:pPr>
              <w:adjustRightInd w:val="0"/>
              <w:snapToGrid w:val="0"/>
              <w:jc w:val="center"/>
              <w:rPr>
                <w:rFonts w:hint="default" w:ascii="Times New Roman" w:hAnsi="Times New Roman" w:eastAsia="宋体" w:cs="Times New Roman"/>
                <w:color w:val="000000"/>
                <w:sz w:val="24"/>
              </w:rPr>
            </w:pPr>
          </w:p>
        </w:tc>
        <w:tc>
          <w:tcPr>
            <w:tcW w:w="980" w:type="dxa"/>
            <w:vAlign w:val="center"/>
          </w:tcPr>
          <w:p w14:paraId="740393BA">
            <w:pPr>
              <w:adjustRightInd w:val="0"/>
              <w:snapToGrid w:val="0"/>
              <w:jc w:val="center"/>
              <w:rPr>
                <w:rFonts w:hint="default" w:ascii="Times New Roman" w:hAnsi="Times New Roman" w:eastAsia="宋体" w:cs="Times New Roman"/>
                <w:color w:val="000000"/>
                <w:sz w:val="24"/>
              </w:rPr>
            </w:pPr>
          </w:p>
        </w:tc>
      </w:tr>
      <w:tr w14:paraId="0505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0A8BC1D1">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667E2C8B">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01BA9EFE">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6F982D24">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5AC6C3A3">
            <w:pPr>
              <w:adjustRightInd w:val="0"/>
              <w:snapToGrid w:val="0"/>
              <w:jc w:val="center"/>
              <w:rPr>
                <w:rFonts w:hint="default" w:ascii="Times New Roman" w:hAnsi="Times New Roman" w:eastAsia="宋体" w:cs="Times New Roman"/>
                <w:color w:val="000000"/>
                <w:sz w:val="24"/>
              </w:rPr>
            </w:pPr>
          </w:p>
        </w:tc>
        <w:tc>
          <w:tcPr>
            <w:tcW w:w="980" w:type="dxa"/>
            <w:vAlign w:val="center"/>
          </w:tcPr>
          <w:p w14:paraId="00AC2441">
            <w:pPr>
              <w:adjustRightInd w:val="0"/>
              <w:snapToGrid w:val="0"/>
              <w:jc w:val="center"/>
              <w:rPr>
                <w:rFonts w:hint="default" w:ascii="Times New Roman" w:hAnsi="Times New Roman" w:eastAsia="宋体" w:cs="Times New Roman"/>
                <w:color w:val="000000"/>
                <w:sz w:val="24"/>
              </w:rPr>
            </w:pPr>
          </w:p>
        </w:tc>
      </w:tr>
      <w:tr w14:paraId="21F2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08DE0431">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25130E82">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545997DE">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72B15402">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52C84F17">
            <w:pPr>
              <w:adjustRightInd w:val="0"/>
              <w:snapToGrid w:val="0"/>
              <w:jc w:val="center"/>
              <w:rPr>
                <w:rFonts w:hint="default" w:ascii="Times New Roman" w:hAnsi="Times New Roman" w:eastAsia="宋体" w:cs="Times New Roman"/>
                <w:color w:val="000000"/>
                <w:sz w:val="24"/>
              </w:rPr>
            </w:pPr>
          </w:p>
        </w:tc>
        <w:tc>
          <w:tcPr>
            <w:tcW w:w="980" w:type="dxa"/>
            <w:vAlign w:val="center"/>
          </w:tcPr>
          <w:p w14:paraId="59F1F78D">
            <w:pPr>
              <w:adjustRightInd w:val="0"/>
              <w:snapToGrid w:val="0"/>
              <w:jc w:val="center"/>
              <w:rPr>
                <w:rFonts w:hint="default" w:ascii="Times New Roman" w:hAnsi="Times New Roman" w:eastAsia="宋体" w:cs="Times New Roman"/>
                <w:color w:val="000000"/>
                <w:sz w:val="24"/>
              </w:rPr>
            </w:pPr>
          </w:p>
        </w:tc>
      </w:tr>
    </w:tbl>
    <w:p w14:paraId="06D43DC8">
      <w:pPr>
        <w:tabs>
          <w:tab w:val="left" w:pos="1800"/>
          <w:tab w:val="left" w:pos="5580"/>
        </w:tabs>
        <w:jc w:val="left"/>
        <w:rPr>
          <w:rFonts w:hint="default" w:ascii="Times New Roman" w:hAnsi="Times New Roman" w:eastAsia="宋体" w:cs="Times New Roman"/>
          <w:color w:val="000000"/>
          <w:sz w:val="24"/>
        </w:rPr>
      </w:pPr>
    </w:p>
    <w:p w14:paraId="5E49B8AC">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r>
        <w:rPr>
          <w:rFonts w:hint="default" w:ascii="Times New Roman" w:hAnsi="Times New Roman" w:eastAsia="宋体" w:cs="Times New Roman"/>
          <w:sz w:val="24"/>
        </w:rPr>
        <w:t xml:space="preserve"> “偏离情况”列应</w:t>
      </w:r>
      <w:r>
        <w:rPr>
          <w:rFonts w:hint="default" w:ascii="Times New Roman" w:hAnsi="Times New Roman" w:eastAsia="宋体" w:cs="Times New Roman"/>
          <w:color w:val="000000"/>
          <w:sz w:val="24"/>
        </w:rPr>
        <w:t>据实</w:t>
      </w:r>
      <w:r>
        <w:rPr>
          <w:rFonts w:hint="default" w:ascii="Times New Roman" w:hAnsi="Times New Roman" w:eastAsia="宋体" w:cs="Times New Roman"/>
          <w:sz w:val="24"/>
        </w:rPr>
        <w:t>填写“正偏离”或“负偏离”。</w:t>
      </w:r>
    </w:p>
    <w:p w14:paraId="6E516110">
      <w:pPr>
        <w:spacing w:line="360" w:lineRule="auto"/>
        <w:rPr>
          <w:rFonts w:hint="default" w:ascii="Times New Roman" w:hAnsi="Times New Roman" w:eastAsia="宋体" w:cs="Times New Roman"/>
          <w:color w:val="000000"/>
          <w:sz w:val="24"/>
          <w:szCs w:val="20"/>
        </w:rPr>
      </w:pPr>
    </w:p>
    <w:p w14:paraId="2D84785B">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color w:val="000000"/>
          <w:sz w:val="24"/>
        </w:rPr>
        <w:t>_______________</w:t>
      </w:r>
    </w:p>
    <w:p w14:paraId="504B1A50">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szCs w:val="20"/>
        </w:rPr>
        <w:t xml:space="preserve">日期：____年____月____日    </w:t>
      </w:r>
    </w:p>
    <w:p w14:paraId="25A0BDB5">
      <w:pPr>
        <w:tabs>
          <w:tab w:val="left" w:pos="360"/>
        </w:tabs>
        <w:snapToGrid w:val="0"/>
        <w:spacing w:line="360" w:lineRule="auto"/>
        <w:outlineLvl w:val="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r>
        <w:rPr>
          <w:rFonts w:hint="default" w:ascii="Times New Roman" w:hAnsi="Times New Roman" w:eastAsia="宋体" w:cs="Times New Roman"/>
          <w:sz w:val="24"/>
        </w:rPr>
        <w:t xml:space="preserve">10  </w:t>
      </w:r>
      <w:bookmarkEnd w:id="767"/>
      <w:bookmarkEnd w:id="768"/>
      <w:bookmarkEnd w:id="769"/>
      <w:bookmarkEnd w:id="770"/>
      <w:bookmarkEnd w:id="771"/>
      <w:bookmarkEnd w:id="772"/>
      <w:bookmarkEnd w:id="773"/>
      <w:bookmarkEnd w:id="774"/>
      <w:bookmarkEnd w:id="775"/>
      <w:bookmarkEnd w:id="776"/>
      <w:bookmarkEnd w:id="777"/>
      <w:bookmarkEnd w:id="778"/>
      <w:bookmarkEnd w:id="779"/>
      <w:r>
        <w:rPr>
          <w:rFonts w:hint="default" w:ascii="Times New Roman" w:hAnsi="Times New Roman" w:eastAsia="宋体" w:cs="Times New Roman"/>
          <w:sz w:val="24"/>
        </w:rPr>
        <w:t>采购需求偏离表（实质性格式）</w:t>
      </w:r>
    </w:p>
    <w:p w14:paraId="15F821E8">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采购需求偏离表</w:t>
      </w:r>
    </w:p>
    <w:p w14:paraId="1F451465">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2112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00C36A22">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序号</w:t>
            </w:r>
          </w:p>
        </w:tc>
        <w:tc>
          <w:tcPr>
            <w:tcW w:w="1482" w:type="dxa"/>
            <w:vAlign w:val="center"/>
          </w:tcPr>
          <w:p w14:paraId="0D4E3619">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竞争性磋商文件条目号(页码)</w:t>
            </w:r>
          </w:p>
        </w:tc>
        <w:tc>
          <w:tcPr>
            <w:tcW w:w="2384" w:type="dxa"/>
            <w:vAlign w:val="center"/>
          </w:tcPr>
          <w:p w14:paraId="59D6AB69">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竞争性磋商文件要求</w:t>
            </w:r>
          </w:p>
        </w:tc>
        <w:tc>
          <w:tcPr>
            <w:tcW w:w="2126" w:type="dxa"/>
            <w:vAlign w:val="center"/>
          </w:tcPr>
          <w:p w14:paraId="6A14CADF">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响应内容</w:t>
            </w:r>
          </w:p>
        </w:tc>
        <w:tc>
          <w:tcPr>
            <w:tcW w:w="1875" w:type="dxa"/>
            <w:vAlign w:val="center"/>
          </w:tcPr>
          <w:p w14:paraId="619E588F">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偏离情况</w:t>
            </w:r>
          </w:p>
        </w:tc>
        <w:tc>
          <w:tcPr>
            <w:tcW w:w="1009" w:type="dxa"/>
            <w:vAlign w:val="center"/>
          </w:tcPr>
          <w:p w14:paraId="1D6B7D74">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说明</w:t>
            </w:r>
          </w:p>
        </w:tc>
      </w:tr>
      <w:tr w14:paraId="1DF7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14:paraId="5A7B8FF3">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对本项目采购需求的偏离情况（</w:t>
            </w:r>
            <w:r>
              <w:rPr>
                <w:rFonts w:hint="default" w:ascii="Times New Roman" w:hAnsi="Times New Roman" w:eastAsia="宋体" w:cs="Times New Roman"/>
                <w:bCs/>
                <w:color w:val="000000"/>
                <w:sz w:val="24"/>
              </w:rPr>
              <w:t>应进行选择，未选择</w:t>
            </w:r>
            <w:r>
              <w:rPr>
                <w:rFonts w:hint="default" w:ascii="Times New Roman" w:hAnsi="Times New Roman" w:eastAsia="宋体" w:cs="Times New Roman"/>
                <w:b/>
                <w:color w:val="000000"/>
                <w:sz w:val="24"/>
              </w:rPr>
              <w:t>响应无效）：</w:t>
            </w:r>
          </w:p>
          <w:p w14:paraId="5691DD76">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□无偏离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如无偏离，仅选择无偏离即可；</w:t>
            </w:r>
            <w:r>
              <w:rPr>
                <w:rFonts w:hint="default" w:ascii="Times New Roman" w:hAnsi="Times New Roman" w:eastAsia="宋体" w:cs="Times New Roman"/>
                <w:bCs/>
                <w:color w:val="000000"/>
                <w:sz w:val="24"/>
              </w:rPr>
              <w:t>无偏离即为</w:t>
            </w:r>
            <w:r>
              <w:rPr>
                <w:rFonts w:hint="default" w:ascii="Times New Roman" w:hAnsi="Times New Roman" w:eastAsia="宋体" w:cs="Times New Roman"/>
                <w:sz w:val="24"/>
              </w:rPr>
              <w:t>对采购需求中的所有要求，均视作供应商已对之理解和响应。</w:t>
            </w:r>
            <w:r>
              <w:rPr>
                <w:rFonts w:hint="default" w:ascii="Times New Roman" w:hAnsi="Times New Roman" w:eastAsia="宋体" w:cs="Times New Roman"/>
                <w:color w:val="000000"/>
                <w:sz w:val="24"/>
              </w:rPr>
              <w:t>）</w:t>
            </w:r>
          </w:p>
          <w:p w14:paraId="0E8A4450">
            <w:pPr>
              <w:adjustRightInd w:val="0"/>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则应在本表中对偏离项逐一列明，否则</w:t>
            </w:r>
            <w:r>
              <w:rPr>
                <w:rFonts w:hint="default" w:ascii="Times New Roman" w:hAnsi="Times New Roman" w:eastAsia="宋体" w:cs="Times New Roman"/>
                <w:b/>
                <w:bCs/>
                <w:color w:val="000000"/>
                <w:sz w:val="24"/>
              </w:rPr>
              <w:t>响应无效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对采购需求中的所有要求，除本表列明的偏离外，均视作供应商已对之理解和响应。</w:t>
            </w:r>
            <w:r>
              <w:rPr>
                <w:rFonts w:hint="default" w:ascii="Times New Roman" w:hAnsi="Times New Roman" w:eastAsia="宋体" w:cs="Times New Roman"/>
                <w:color w:val="000000"/>
                <w:sz w:val="24"/>
              </w:rPr>
              <w:t>）</w:t>
            </w:r>
          </w:p>
        </w:tc>
      </w:tr>
      <w:tr w14:paraId="034D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7766713">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220AE940">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256F3B1E">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76328A5F">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18737567">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38F4C19E">
            <w:pPr>
              <w:adjustRightInd w:val="0"/>
              <w:snapToGrid w:val="0"/>
              <w:jc w:val="center"/>
              <w:rPr>
                <w:rFonts w:hint="default" w:ascii="Times New Roman" w:hAnsi="Times New Roman" w:eastAsia="宋体" w:cs="Times New Roman"/>
                <w:color w:val="000000"/>
                <w:sz w:val="24"/>
              </w:rPr>
            </w:pPr>
          </w:p>
        </w:tc>
      </w:tr>
      <w:tr w14:paraId="0952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790635">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0209F78D">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4CA547BA">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65053A85">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32AD1C1B">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7D299678">
            <w:pPr>
              <w:adjustRightInd w:val="0"/>
              <w:snapToGrid w:val="0"/>
              <w:jc w:val="center"/>
              <w:rPr>
                <w:rFonts w:hint="default" w:ascii="Times New Roman" w:hAnsi="Times New Roman" w:eastAsia="宋体" w:cs="Times New Roman"/>
                <w:color w:val="000000"/>
                <w:sz w:val="24"/>
              </w:rPr>
            </w:pPr>
          </w:p>
        </w:tc>
      </w:tr>
      <w:tr w14:paraId="5C62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C658792">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55DF050B">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08CA69D3">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0E87ED7B">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148C4628">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45185E0F">
            <w:pPr>
              <w:adjustRightInd w:val="0"/>
              <w:snapToGrid w:val="0"/>
              <w:jc w:val="center"/>
              <w:rPr>
                <w:rFonts w:hint="default" w:ascii="Times New Roman" w:hAnsi="Times New Roman" w:eastAsia="宋体" w:cs="Times New Roman"/>
                <w:color w:val="000000"/>
                <w:sz w:val="24"/>
              </w:rPr>
            </w:pPr>
          </w:p>
        </w:tc>
      </w:tr>
      <w:tr w14:paraId="698B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B1FC507">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2E015897">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5093FE6B">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0704CBBC">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2E005CEE">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2CAA95C1">
            <w:pPr>
              <w:adjustRightInd w:val="0"/>
              <w:snapToGrid w:val="0"/>
              <w:jc w:val="center"/>
              <w:rPr>
                <w:rFonts w:hint="default" w:ascii="Times New Roman" w:hAnsi="Times New Roman" w:eastAsia="宋体" w:cs="Times New Roman"/>
                <w:color w:val="000000"/>
                <w:sz w:val="24"/>
              </w:rPr>
            </w:pPr>
          </w:p>
        </w:tc>
      </w:tr>
      <w:tr w14:paraId="3DDF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242F65C">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78DB0EAC">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37541682">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095D0282">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2C718676">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2F3A008F">
            <w:pPr>
              <w:adjustRightInd w:val="0"/>
              <w:snapToGrid w:val="0"/>
              <w:jc w:val="center"/>
              <w:rPr>
                <w:rFonts w:hint="default" w:ascii="Times New Roman" w:hAnsi="Times New Roman" w:eastAsia="宋体" w:cs="Times New Roman"/>
                <w:color w:val="000000"/>
                <w:sz w:val="24"/>
              </w:rPr>
            </w:pPr>
          </w:p>
        </w:tc>
      </w:tr>
      <w:tr w14:paraId="3119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CAD2231">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0CBDE162">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368311AC">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54B18C33">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61D740EC">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2164EDE3">
            <w:pPr>
              <w:adjustRightInd w:val="0"/>
              <w:snapToGrid w:val="0"/>
              <w:jc w:val="center"/>
              <w:rPr>
                <w:rFonts w:hint="default" w:ascii="Times New Roman" w:hAnsi="Times New Roman" w:eastAsia="宋体" w:cs="Times New Roman"/>
                <w:color w:val="000000"/>
                <w:sz w:val="24"/>
              </w:rPr>
            </w:pPr>
          </w:p>
        </w:tc>
      </w:tr>
    </w:tbl>
    <w:p w14:paraId="3B7573E6">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u w:val="single"/>
        </w:rPr>
      </w:pPr>
    </w:p>
    <w:p w14:paraId="7FEDA78D">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u w:val="single"/>
        </w:rPr>
      </w:pPr>
    </w:p>
    <w:p w14:paraId="38D1A5E6">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r>
        <w:rPr>
          <w:rFonts w:hint="default" w:ascii="Times New Roman" w:hAnsi="Times New Roman" w:eastAsia="宋体" w:cs="Times New Roman"/>
          <w:sz w:val="24"/>
        </w:rPr>
        <w:t>“偏离情况”列应</w:t>
      </w:r>
      <w:r>
        <w:rPr>
          <w:rFonts w:hint="default" w:ascii="Times New Roman" w:hAnsi="Times New Roman" w:eastAsia="宋体" w:cs="Times New Roman"/>
          <w:color w:val="000000"/>
          <w:sz w:val="24"/>
        </w:rPr>
        <w:t>据实</w:t>
      </w:r>
      <w:r>
        <w:rPr>
          <w:rFonts w:hint="default" w:ascii="Times New Roman" w:hAnsi="Times New Roman" w:eastAsia="宋体" w:cs="Times New Roman"/>
          <w:sz w:val="24"/>
        </w:rPr>
        <w:t>填写“无偏离”、“正偏离”或“负偏离”。</w:t>
      </w:r>
    </w:p>
    <w:p w14:paraId="0167FD70">
      <w:pPr>
        <w:tabs>
          <w:tab w:val="left" w:pos="1800"/>
          <w:tab w:val="left" w:pos="5580"/>
        </w:tabs>
        <w:jc w:val="left"/>
        <w:rPr>
          <w:rFonts w:hint="default" w:ascii="Times New Roman" w:hAnsi="Times New Roman" w:eastAsia="宋体" w:cs="Times New Roman"/>
          <w:color w:val="000000"/>
          <w:sz w:val="24"/>
        </w:rPr>
      </w:pPr>
    </w:p>
    <w:p w14:paraId="5B1091CF">
      <w:pPr>
        <w:rPr>
          <w:rFonts w:hint="default" w:ascii="Times New Roman" w:hAnsi="Times New Roman" w:eastAsia="宋体" w:cs="Times New Roman"/>
          <w:color w:val="000000"/>
          <w:sz w:val="24"/>
          <w:szCs w:val="20"/>
        </w:rPr>
      </w:pPr>
    </w:p>
    <w:p w14:paraId="2E1961F1">
      <w:pPr>
        <w:autoSpaceDE w:val="0"/>
        <w:autoSpaceDN w:val="0"/>
        <w:adjustRightInd w:val="0"/>
        <w:snapToGrid w:val="0"/>
        <w:spacing w:before="25" w:after="25" w:line="360" w:lineRule="auto"/>
        <w:ind w:right="360"/>
        <w:jc w:val="lef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544DCA2E">
      <w:pPr>
        <w:autoSpaceDE w:val="0"/>
        <w:autoSpaceDN w:val="0"/>
        <w:adjustRightInd w:val="0"/>
        <w:snapToGrid w:val="0"/>
        <w:spacing w:before="25" w:after="25" w:line="360" w:lineRule="auto"/>
        <w:ind w:right="360"/>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日期：____年____月____日 </w:t>
      </w:r>
    </w:p>
    <w:p w14:paraId="3A6388D8">
      <w:pPr>
        <w:tabs>
          <w:tab w:val="left" w:pos="360"/>
        </w:tabs>
        <w:snapToGrid w:val="0"/>
        <w:spacing w:line="360" w:lineRule="auto"/>
        <w:outlineLvl w:val="1"/>
        <w:rPr>
          <w:rFonts w:hint="default" w:ascii="Times New Roman" w:hAnsi="Times New Roman" w:eastAsia="宋体" w:cs="Times New Roman"/>
          <w:sz w:val="24"/>
          <w:szCs w:val="20"/>
        </w:rPr>
      </w:pPr>
      <w:r>
        <w:rPr>
          <w:rFonts w:hint="default" w:ascii="Times New Roman" w:hAnsi="Times New Roman" w:eastAsia="宋体" w:cs="Times New Roman"/>
          <w:color w:val="000000"/>
          <w:sz w:val="24"/>
          <w:szCs w:val="20"/>
        </w:rPr>
        <w:br w:type="page"/>
      </w:r>
      <w:r>
        <w:rPr>
          <w:rFonts w:hint="default" w:ascii="Times New Roman" w:hAnsi="Times New Roman" w:eastAsia="宋体" w:cs="Times New Roman"/>
          <w:sz w:val="24"/>
        </w:rPr>
        <w:t xml:space="preserve">11  </w:t>
      </w:r>
      <w:r>
        <w:rPr>
          <w:rFonts w:hint="default" w:ascii="Times New Roman" w:hAnsi="Times New Roman" w:eastAsia="宋体" w:cs="Times New Roman"/>
          <w:sz w:val="24"/>
          <w:szCs w:val="20"/>
        </w:rPr>
        <w:t>代理服务费承诺书</w:t>
      </w:r>
    </w:p>
    <w:p w14:paraId="20A30781">
      <w:pPr>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代理服务费承诺书（格式）</w:t>
      </w:r>
    </w:p>
    <w:p w14:paraId="408F4D36">
      <w:pPr>
        <w:spacing w:line="360" w:lineRule="auto"/>
        <w:rPr>
          <w:rFonts w:hint="default" w:ascii="Times New Roman" w:hAnsi="Times New Roman" w:eastAsia="宋体" w:cs="Times New Roman"/>
          <w:sz w:val="24"/>
        </w:rPr>
      </w:pPr>
    </w:p>
    <w:p w14:paraId="15167615">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致：北京汇诚金桥国际招标咨询有限公司</w:t>
      </w:r>
    </w:p>
    <w:p w14:paraId="6FAC5F50">
      <w:pPr>
        <w:spacing w:line="360" w:lineRule="auto"/>
        <w:rPr>
          <w:rFonts w:hint="default" w:ascii="Times New Roman" w:hAnsi="Times New Roman" w:eastAsia="宋体" w:cs="Times New Roman"/>
          <w:sz w:val="24"/>
        </w:rPr>
      </w:pPr>
    </w:p>
    <w:p w14:paraId="1991941B">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我们在贵公司代理的</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项目（项目编号：</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竞争性磋商中若获成交，我们保证在领取成交通知书时按磋商文件的规定，以支票、银行汇票、电汇、现金或经贵公司认可的一种方式，向贵公司指定的银行账号，按照磋商文件中代理服务费收取标准一次性支付代理服务费，且最迟不超过成交通知书发出后7个工作日。如我公司未在成交通知书发出后7个工作日内支付代理服务费，我公司同意贵公司从本项目磋商保证金中扣除相应款项。</w:t>
      </w:r>
    </w:p>
    <w:p w14:paraId="65844B1B">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5AC10342">
      <w:pPr>
        <w:spacing w:line="360" w:lineRule="auto"/>
        <w:rPr>
          <w:rFonts w:hint="default" w:ascii="Times New Roman" w:hAnsi="Times New Roman" w:eastAsia="宋体" w:cs="Times New Roman"/>
          <w:sz w:val="24"/>
        </w:rPr>
      </w:pPr>
    </w:p>
    <w:p w14:paraId="5440CFEC">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特此承诺。</w:t>
      </w:r>
    </w:p>
    <w:p w14:paraId="03B94F3A">
      <w:pPr>
        <w:spacing w:line="360" w:lineRule="auto"/>
        <w:rPr>
          <w:rFonts w:hint="default" w:ascii="Times New Roman" w:hAnsi="Times New Roman" w:eastAsia="宋体" w:cs="Times New Roman"/>
          <w:sz w:val="24"/>
        </w:rPr>
      </w:pPr>
    </w:p>
    <w:p w14:paraId="76366974">
      <w:pPr>
        <w:spacing w:line="360" w:lineRule="auto"/>
        <w:rPr>
          <w:rFonts w:hint="default" w:ascii="Times New Roman" w:hAnsi="Times New Roman" w:eastAsia="宋体" w:cs="Times New Roman"/>
          <w:sz w:val="24"/>
        </w:rPr>
      </w:pPr>
    </w:p>
    <w:p w14:paraId="049F5652">
      <w:pPr>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承诺方法定名称（承诺方盖章）： </w:t>
      </w:r>
      <w:r>
        <w:rPr>
          <w:rFonts w:hint="default" w:ascii="Times New Roman" w:hAnsi="Times New Roman" w:eastAsia="宋体" w:cs="Times New Roman"/>
          <w:sz w:val="24"/>
          <w:u w:val="single"/>
        </w:rPr>
        <w:t xml:space="preserve">             </w:t>
      </w:r>
    </w:p>
    <w:p w14:paraId="6734A221">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承诺方法定代表人/负责人或授权代表（签字或签章）：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14:paraId="1BF6F786">
      <w:pPr>
        <w:tabs>
          <w:tab w:val="left" w:pos="360"/>
        </w:tabs>
        <w:snapToGrid w:val="0"/>
        <w:spacing w:line="360" w:lineRule="auto"/>
        <w:rPr>
          <w:rFonts w:hint="default" w:ascii="Times New Roman" w:hAnsi="Times New Roman" w:eastAsia="宋体" w:cs="Times New Roman"/>
          <w:sz w:val="24"/>
          <w:szCs w:val="20"/>
        </w:rPr>
      </w:pPr>
      <w:r>
        <w:rPr>
          <w:rFonts w:hint="default" w:ascii="Times New Roman" w:hAnsi="Times New Roman" w:eastAsia="宋体" w:cs="Times New Roman"/>
          <w:sz w:val="24"/>
        </w:rPr>
        <w:t xml:space="preserve">日期：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14:paraId="2F21E9C8">
      <w:pPr>
        <w:tabs>
          <w:tab w:val="left" w:pos="360"/>
        </w:tabs>
        <w:snapToGrid w:val="0"/>
        <w:spacing w:line="360" w:lineRule="auto"/>
        <w:rPr>
          <w:rFonts w:hint="default" w:ascii="Times New Roman" w:hAnsi="Times New Roman" w:eastAsia="宋体" w:cs="Times New Roman"/>
          <w:sz w:val="24"/>
        </w:rPr>
      </w:pPr>
    </w:p>
    <w:p w14:paraId="63082154">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58B1380A">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t>12  竞争性磋商文件要求提供或供应商认为应附的其他材料</w:t>
      </w:r>
      <w:bookmarkStart w:id="780" w:name="_Hlk167094858"/>
    </w:p>
    <w:p w14:paraId="57C217B5">
      <w:pPr>
        <w:pStyle w:val="2"/>
        <w:rPr>
          <w:rFonts w:hint="default" w:ascii="Times New Roman" w:hAnsi="Times New Roman" w:eastAsia="宋体" w:cs="Times New Roman"/>
        </w:rPr>
      </w:pPr>
    </w:p>
    <w:p w14:paraId="4AD5A790">
      <w:pPr>
        <w:widowControl/>
        <w:jc w:val="left"/>
        <w:rPr>
          <w:rFonts w:hint="default" w:ascii="Times New Roman" w:hAnsi="Times New Roman" w:eastAsia="宋体" w:cs="Times New Roman"/>
          <w:b/>
          <w:bCs/>
          <w:color w:val="000000"/>
          <w:sz w:val="24"/>
          <w:szCs w:val="20"/>
        </w:rPr>
      </w:pPr>
      <w:r>
        <w:rPr>
          <w:rFonts w:hint="default" w:ascii="Times New Roman" w:hAnsi="Times New Roman" w:eastAsia="宋体" w:cs="Times New Roman"/>
          <w:b/>
          <w:bCs/>
          <w:color w:val="000000"/>
          <w:sz w:val="24"/>
          <w:szCs w:val="20"/>
          <w:lang w:val="en-US" w:eastAsia="zh-CN"/>
        </w:rPr>
        <w:t>12</w:t>
      </w:r>
      <w:r>
        <w:rPr>
          <w:rFonts w:hint="default" w:ascii="Times New Roman" w:hAnsi="Times New Roman" w:eastAsia="宋体" w:cs="Times New Roman"/>
          <w:b/>
          <w:bCs/>
          <w:color w:val="000000"/>
          <w:sz w:val="24"/>
          <w:szCs w:val="20"/>
        </w:rPr>
        <w:t>-1供应商信息采集表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1C481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49879AF8">
            <w:pPr>
              <w:jc w:val="center"/>
              <w:rPr>
                <w:rFonts w:hint="default" w:ascii="Times New Roman" w:hAnsi="Times New Roman" w:eastAsia="宋体" w:cs="Times New Roman"/>
                <w:sz w:val="24"/>
              </w:rPr>
            </w:pPr>
            <w:r>
              <w:rPr>
                <w:rFonts w:hint="default" w:ascii="Times New Roman" w:hAnsi="Times New Roman" w:eastAsia="宋体" w:cs="Times New Roman"/>
                <w:sz w:val="24"/>
              </w:rPr>
              <w:t>供应商名称</w:t>
            </w:r>
          </w:p>
        </w:tc>
        <w:tc>
          <w:tcPr>
            <w:tcW w:w="1667" w:type="pct"/>
          </w:tcPr>
          <w:p w14:paraId="55BE6B9F">
            <w:pPr>
              <w:jc w:val="center"/>
              <w:rPr>
                <w:rFonts w:hint="default" w:ascii="Times New Roman" w:hAnsi="Times New Roman" w:eastAsia="宋体" w:cs="Times New Roman"/>
                <w:sz w:val="24"/>
              </w:rPr>
            </w:pPr>
            <w:r>
              <w:rPr>
                <w:rFonts w:hint="default" w:ascii="Times New Roman" w:hAnsi="Times New Roman" w:eastAsia="宋体" w:cs="Times New Roman"/>
                <w:sz w:val="24"/>
              </w:rPr>
              <w:t>供应商所属性别</w:t>
            </w:r>
          </w:p>
        </w:tc>
        <w:tc>
          <w:tcPr>
            <w:tcW w:w="1667" w:type="pct"/>
          </w:tcPr>
          <w:p w14:paraId="751CB936">
            <w:pPr>
              <w:jc w:val="center"/>
              <w:rPr>
                <w:rFonts w:hint="default" w:ascii="Times New Roman" w:hAnsi="Times New Roman" w:eastAsia="宋体" w:cs="Times New Roman"/>
                <w:sz w:val="24"/>
              </w:rPr>
            </w:pPr>
            <w:r>
              <w:rPr>
                <w:rFonts w:hint="default" w:ascii="Times New Roman" w:hAnsi="Times New Roman" w:eastAsia="宋体" w:cs="Times New Roman"/>
                <w:sz w:val="24"/>
              </w:rPr>
              <w:t>外商投资类型</w:t>
            </w:r>
          </w:p>
        </w:tc>
      </w:tr>
      <w:tr w14:paraId="45C58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1667" w:type="pct"/>
          </w:tcPr>
          <w:p w14:paraId="35E4D0D6">
            <w:pPr>
              <w:rPr>
                <w:rFonts w:hint="default" w:ascii="Times New Roman" w:hAnsi="Times New Roman" w:eastAsia="宋体" w:cs="Times New Roman"/>
                <w:sz w:val="24"/>
              </w:rPr>
            </w:pPr>
          </w:p>
        </w:tc>
        <w:tc>
          <w:tcPr>
            <w:tcW w:w="1667" w:type="pct"/>
          </w:tcPr>
          <w:p w14:paraId="7C509E53">
            <w:pPr>
              <w:rPr>
                <w:rFonts w:hint="default" w:ascii="Times New Roman" w:hAnsi="Times New Roman" w:eastAsia="宋体" w:cs="Times New Roman"/>
                <w:sz w:val="24"/>
              </w:rPr>
            </w:pPr>
          </w:p>
        </w:tc>
        <w:tc>
          <w:tcPr>
            <w:tcW w:w="1667" w:type="pct"/>
          </w:tcPr>
          <w:p w14:paraId="6A90649F">
            <w:pPr>
              <w:rPr>
                <w:rFonts w:hint="default" w:ascii="Times New Roman" w:hAnsi="Times New Roman" w:eastAsia="宋体" w:cs="Times New Roman"/>
                <w:sz w:val="24"/>
              </w:rPr>
            </w:pPr>
          </w:p>
        </w:tc>
      </w:tr>
      <w:tr w14:paraId="24ECC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1667" w:type="pct"/>
          </w:tcPr>
          <w:p w14:paraId="7198F93E">
            <w:pPr>
              <w:rPr>
                <w:rFonts w:hint="default" w:ascii="Times New Roman" w:hAnsi="Times New Roman" w:eastAsia="宋体" w:cs="Times New Roman"/>
              </w:rPr>
            </w:pPr>
          </w:p>
        </w:tc>
        <w:tc>
          <w:tcPr>
            <w:tcW w:w="1667" w:type="pct"/>
          </w:tcPr>
          <w:p w14:paraId="1C66C395">
            <w:pPr>
              <w:rPr>
                <w:rFonts w:hint="default" w:ascii="Times New Roman" w:hAnsi="Times New Roman" w:eastAsia="宋体" w:cs="Times New Roman"/>
              </w:rPr>
            </w:pPr>
          </w:p>
        </w:tc>
        <w:tc>
          <w:tcPr>
            <w:tcW w:w="1667" w:type="pct"/>
          </w:tcPr>
          <w:p w14:paraId="6382914C">
            <w:pPr>
              <w:rPr>
                <w:rFonts w:hint="default" w:ascii="Times New Roman" w:hAnsi="Times New Roman" w:eastAsia="宋体" w:cs="Times New Roman"/>
              </w:rPr>
            </w:pPr>
          </w:p>
        </w:tc>
      </w:tr>
      <w:tr w14:paraId="3BE2D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094C6BB9">
            <w:pPr>
              <w:rPr>
                <w:rFonts w:hint="default" w:ascii="Times New Roman" w:hAnsi="Times New Roman" w:eastAsia="宋体" w:cs="Times New Roman"/>
              </w:rPr>
            </w:pPr>
          </w:p>
        </w:tc>
        <w:tc>
          <w:tcPr>
            <w:tcW w:w="1667" w:type="pct"/>
          </w:tcPr>
          <w:p w14:paraId="0473FCC6">
            <w:pPr>
              <w:rPr>
                <w:rFonts w:hint="default" w:ascii="Times New Roman" w:hAnsi="Times New Roman" w:eastAsia="宋体" w:cs="Times New Roman"/>
              </w:rPr>
            </w:pPr>
          </w:p>
        </w:tc>
        <w:tc>
          <w:tcPr>
            <w:tcW w:w="1667" w:type="pct"/>
          </w:tcPr>
          <w:p w14:paraId="392F1386">
            <w:pPr>
              <w:rPr>
                <w:rFonts w:hint="default" w:ascii="Times New Roman" w:hAnsi="Times New Roman" w:eastAsia="宋体" w:cs="Times New Roman"/>
              </w:rPr>
            </w:pPr>
          </w:p>
        </w:tc>
      </w:tr>
      <w:tr w14:paraId="3CF4E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667" w:type="pct"/>
          </w:tcPr>
          <w:p w14:paraId="75BB91B9">
            <w:pPr>
              <w:rPr>
                <w:rFonts w:hint="default" w:ascii="Times New Roman" w:hAnsi="Times New Roman" w:eastAsia="宋体" w:cs="Times New Roman"/>
              </w:rPr>
            </w:pPr>
          </w:p>
        </w:tc>
        <w:tc>
          <w:tcPr>
            <w:tcW w:w="1667" w:type="pct"/>
          </w:tcPr>
          <w:p w14:paraId="7C3EEA27">
            <w:pPr>
              <w:rPr>
                <w:rFonts w:hint="default" w:ascii="Times New Roman" w:hAnsi="Times New Roman" w:eastAsia="宋体" w:cs="Times New Roman"/>
              </w:rPr>
            </w:pPr>
          </w:p>
        </w:tc>
        <w:tc>
          <w:tcPr>
            <w:tcW w:w="1667" w:type="pct"/>
          </w:tcPr>
          <w:p w14:paraId="51CA1FA3">
            <w:pPr>
              <w:rPr>
                <w:rFonts w:hint="default" w:ascii="Times New Roman" w:hAnsi="Times New Roman" w:eastAsia="宋体" w:cs="Times New Roman"/>
              </w:rPr>
            </w:pPr>
          </w:p>
        </w:tc>
      </w:tr>
    </w:tbl>
    <w:p w14:paraId="52201118">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注：1.供应商如为联合体，则应填写联合体各成员信息。</w:t>
      </w:r>
    </w:p>
    <w:p w14:paraId="685D9AA0">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2.供应商所属性别请填写“男”或“女”，指拥有供应商51%以上绝对所有权的性别；绝对所有权拥有者可以是一个人，也可以是多人合计计算。</w:t>
      </w:r>
    </w:p>
    <w:p w14:paraId="4A36103C">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3.外商投资类型请填写“外商单独投资”、“外商部分投资”或“内资”。</w:t>
      </w:r>
    </w:p>
    <w:p w14:paraId="78D85997">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br w:type="page"/>
      </w:r>
    </w:p>
    <w:bookmarkEnd w:id="780"/>
    <w:p w14:paraId="05D82A88">
      <w:pPr>
        <w:rPr>
          <w:rFonts w:hint="default" w:ascii="Times New Roman" w:hAnsi="Times New Roman" w:eastAsia="宋体" w:cs="Times New Roman"/>
          <w:sz w:val="24"/>
          <w:lang w:val="en-US" w:eastAsia="zh-CN"/>
        </w:rPr>
      </w:pPr>
    </w:p>
    <w:p w14:paraId="4909D485">
      <w:pPr>
        <w:numPr>
          <w:ilvl w:val="0"/>
          <w:numId w:val="0"/>
        </w:numPr>
        <w:tabs>
          <w:tab w:val="left" w:pos="360"/>
        </w:tabs>
        <w:snapToGrid w:val="0"/>
        <w:spacing w:line="360" w:lineRule="auto"/>
        <w:outlineLvl w:val="1"/>
        <w:rPr>
          <w:rFonts w:hint="default" w:ascii="Times New Roman" w:hAnsi="Times New Roman" w:eastAsia="宋体" w:cs="Times New Roman"/>
          <w:b/>
          <w:bCs/>
          <w:color w:val="000000"/>
          <w:sz w:val="24"/>
        </w:rPr>
      </w:pPr>
      <w:r>
        <w:rPr>
          <w:rFonts w:hint="default" w:ascii="Times New Roman" w:hAnsi="Times New Roman" w:eastAsia="宋体" w:cs="Times New Roman"/>
          <w:b/>
          <w:bCs/>
          <w:sz w:val="24"/>
          <w:lang w:val="en-US" w:eastAsia="zh-CN"/>
        </w:rPr>
        <w:t>12-</w:t>
      </w:r>
      <w:r>
        <w:rPr>
          <w:rFonts w:hint="eastAsia" w:cs="Times New Roman"/>
          <w:b/>
          <w:bCs/>
          <w:sz w:val="24"/>
          <w:lang w:val="en-US" w:eastAsia="zh-CN"/>
        </w:rPr>
        <w:t>2</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rPr>
        <w:t>根据第三章评审标准提供对应的材料</w:t>
      </w: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6CE7">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7B09D">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B7B09D">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E0F">
    <w:pPr>
      <w:pStyle w:val="2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EDBE8">
                          <w:pPr>
                            <w:pStyle w:val="29"/>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BCEDBE8">
                    <w:pPr>
                      <w:pStyle w:val="29"/>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7748">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D36E129">
    <w:pPr>
      <w:pStyle w:val="2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D35B">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36B9">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9A48461">
    <w:pPr>
      <w:pStyle w:val="29"/>
      <w:ind w:right="360"/>
    </w:pPr>
  </w:p>
  <w:p w14:paraId="49F0498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7FE6">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296D0">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83B8096">
    <w:pPr>
      <w:pStyle w:val="29"/>
      <w:ind w:right="360"/>
    </w:pPr>
  </w:p>
  <w:p w14:paraId="373D700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28935">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DD381">
    <w:pPr>
      <w:pStyle w:val="29"/>
      <w:jc w:val="center"/>
      <w:rPr>
        <w:rFonts w:asci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EBFDA">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EBFDA">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4A47">
    <w:pPr>
      <w:pStyle w:val="29"/>
      <w:framePr w:wrap="around" w:vAnchor="text" w:hAnchor="margin" w:xAlign="center" w:y="1"/>
      <w:rPr>
        <w:rStyle w:val="49"/>
      </w:rPr>
    </w:pPr>
    <w:r>
      <w:fldChar w:fldCharType="begin"/>
    </w:r>
    <w:r>
      <w:rPr>
        <w:rStyle w:val="49"/>
      </w:rPr>
      <w:instrText xml:space="preserve">PAGE  </w:instrText>
    </w:r>
    <w:r>
      <w:fldChar w:fldCharType="end"/>
    </w:r>
  </w:p>
  <w:p w14:paraId="5FCE536B">
    <w:pPr>
      <w:pStyle w:val="2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8BB0">
    <w:pPr>
      <w:pStyle w:val="2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CF6B7">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8CF6B7">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587E1">
    <w:pPr>
      <w:pStyle w:val="29"/>
      <w:jc w:val="center"/>
      <w:rPr>
        <w:rFonts w:ascii="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6930"/>
                          </w:sdtPr>
                          <w:sdtEndPr>
                            <w:rPr>
                              <w:rFonts w:ascii="Times New Roman"/>
                            </w:rPr>
                          </w:sdtEndPr>
                          <w:sdtContent>
                            <w:p w14:paraId="3ABE040B">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p w14:paraId="58C1E139">
                          <w:pPr>
                            <w:pStyle w:val="2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66930"/>
                    </w:sdtPr>
                    <w:sdtEndPr>
                      <w:rPr>
                        <w:rFonts w:ascii="Times New Roman"/>
                      </w:rPr>
                    </w:sdtEndPr>
                    <w:sdtContent>
                      <w:p w14:paraId="3ABE040B">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p w14:paraId="58C1E139">
                    <w:pPr>
                      <w:pStyle w:val="29"/>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95F0">
    <w:pPr>
      <w:pStyle w:val="2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122"/>
                          </w:sdtPr>
                          <w:sdtContent>
                            <w:p w14:paraId="672ACF67">
                              <w:pPr>
                                <w:pStyle w:val="29"/>
                                <w:jc w:val="center"/>
                              </w:pPr>
                              <w:r>
                                <w:fldChar w:fldCharType="begin"/>
                              </w:r>
                              <w:r>
                                <w:instrText xml:space="preserve">PAGE   \* MERGEFORMAT</w:instrText>
                              </w:r>
                              <w:r>
                                <w:fldChar w:fldCharType="separate"/>
                              </w:r>
                              <w:r>
                                <w:rPr>
                                  <w:lang w:val="zh-CN"/>
                                </w:rPr>
                                <w:t>1</w:t>
                              </w:r>
                              <w:r>
                                <w:fldChar w:fldCharType="end"/>
                              </w:r>
                            </w:p>
                          </w:sdtContent>
                        </w:sdt>
                        <w:p w14:paraId="14AF2BAA">
                          <w:pPr>
                            <w:pStyle w:val="2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62122"/>
                    </w:sdtPr>
                    <w:sdtContent>
                      <w:p w14:paraId="672ACF67">
                        <w:pPr>
                          <w:pStyle w:val="29"/>
                          <w:jc w:val="center"/>
                        </w:pPr>
                        <w:r>
                          <w:fldChar w:fldCharType="begin"/>
                        </w:r>
                        <w:r>
                          <w:instrText xml:space="preserve">PAGE   \* MERGEFORMAT</w:instrText>
                        </w:r>
                        <w:r>
                          <w:fldChar w:fldCharType="separate"/>
                        </w:r>
                        <w:r>
                          <w:rPr>
                            <w:lang w:val="zh-CN"/>
                          </w:rPr>
                          <w:t>1</w:t>
                        </w:r>
                        <w:r>
                          <w:fldChar w:fldCharType="end"/>
                        </w:r>
                      </w:p>
                    </w:sdtContent>
                  </w:sdt>
                  <w:p w14:paraId="14AF2BAA">
                    <w:pPr>
                      <w:pStyle w:val="29"/>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AE60">
    <w:pPr>
      <w:jc w:val="center"/>
    </w:pPr>
    <w:r>
      <w:fldChar w:fldCharType="begin"/>
    </w:r>
    <w:r>
      <w:instrText xml:space="preserve">PAGE   \* MERGEFORMAT</w:instrText>
    </w:r>
    <w:r>
      <w:fldChar w:fldCharType="separate"/>
    </w:r>
    <w:r>
      <w:rPr>
        <w:lang w:val="zh-CN"/>
      </w:rPr>
      <w:t>15</w:t>
    </w:r>
    <w:r>
      <w:fldChar w:fldCharType="end"/>
    </w:r>
  </w:p>
  <w:p w14:paraId="6AF9B04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9DF3">
    <w:pPr>
      <w:pStyle w:val="29"/>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27755">
                          <w:pPr>
                            <w:pStyle w:val="29"/>
                            <w:ind w:firstLine="360"/>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0627755">
                    <w:pPr>
                      <w:pStyle w:val="29"/>
                      <w:ind w:firstLine="36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22A91">
    <w:pPr>
      <w:pStyle w:val="2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0154E">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EBE5">
    <w:pPr>
      <w:pStyle w:val="3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46CB">
    <w:pPr>
      <w:pStyle w:val="30"/>
    </w:pPr>
  </w:p>
  <w:p w14:paraId="2C5870B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D5BDE">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FB283">
    <w:pPr>
      <w:pStyle w:val="30"/>
      <w:pBdr>
        <w:bottom w:val="single" w:color="auto" w:sz="4" w:space="1"/>
      </w:pBdr>
      <w:jc w:val="right"/>
    </w:pPr>
    <w:r>
      <w:rPr>
        <w:rFonts w:hint="eastAsia"/>
      </w:rPr>
      <w:t>北京市政府采购项目竞争性磋商文件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465CB">
    <w:pPr>
      <w:pStyle w:val="30"/>
      <w:pBdr>
        <w:bottom w:val="single" w:color="auto" w:sz="4" w:space="1"/>
      </w:pBdr>
      <w:jc w:val="right"/>
    </w:pPr>
    <w:r>
      <w:rPr>
        <w:rFonts w:hint="eastAsia"/>
      </w:rPr>
      <w:t>北京市政府采购项目竞争性磋商文件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D4E83">
    <w:pPr>
      <w:pStyle w:val="30"/>
      <w:pBdr>
        <w:bottom w:val="single" w:color="auto" w:sz="4" w:space="1"/>
      </w:pBdr>
      <w:jc w:val="right"/>
    </w:pPr>
    <w:r>
      <w:rPr>
        <w:rFonts w:hint="eastAsia"/>
      </w:rPr>
      <w:t>北京市政府采购项目竞争性磋商文件</w:t>
    </w:r>
  </w:p>
  <w:p w14:paraId="7862E7D6">
    <w:pPr>
      <w:pStyle w:val="30"/>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80DF9">
    <w:pPr>
      <w:pStyle w:val="3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037E5">
    <w:pPr>
      <w:pStyle w:val="30"/>
      <w:pBdr>
        <w:bottom w:val="single" w:color="auto" w:sz="4" w:space="1"/>
      </w:pBdr>
      <w:jc w:val="right"/>
    </w:pPr>
    <w:r>
      <w:rPr>
        <w:rFonts w:hint="eastAsia"/>
      </w:rPr>
      <w:t>北京市政府采购项目竞争性磋商文件</w:t>
    </w:r>
  </w:p>
  <w:p w14:paraId="5E631662">
    <w:pPr>
      <w:pStyle w:val="30"/>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9F35">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D53A">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DFF2">
    <w:pPr>
      <w:pStyle w:val="30"/>
    </w:pPr>
  </w:p>
  <w:p w14:paraId="412211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008A"/>
    <w:multiLevelType w:val="singleLevel"/>
    <w:tmpl w:val="EFBE008A"/>
    <w:lvl w:ilvl="0" w:tentative="0">
      <w:start w:val="1"/>
      <w:numFmt w:val="upperLetter"/>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A2352D9"/>
    <w:multiLevelType w:val="singleLevel"/>
    <w:tmpl w:val="1A2352D9"/>
    <w:lvl w:ilvl="0" w:tentative="0">
      <w:start w:val="1"/>
      <w:numFmt w:val="chineseCounting"/>
      <w:suff w:val="nothing"/>
      <w:lvlText w:val="%1、"/>
      <w:lvlJc w:val="left"/>
      <w:rPr>
        <w:rFonts w:hint="eastAsia"/>
      </w:rPr>
    </w:lvl>
  </w:abstractNum>
  <w:abstractNum w:abstractNumId="12">
    <w:nsid w:val="2F4D62DA"/>
    <w:multiLevelType w:val="multilevel"/>
    <w:tmpl w:val="2F4D62D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5">
    <w:nsid w:val="52902478"/>
    <w:multiLevelType w:val="singleLevel"/>
    <w:tmpl w:val="52902478"/>
    <w:lvl w:ilvl="0" w:tentative="0">
      <w:start w:val="1"/>
      <w:numFmt w:val="chineseCounting"/>
      <w:suff w:val="nothing"/>
      <w:lvlText w:val="%1、"/>
      <w:lvlJc w:val="left"/>
      <w:pPr>
        <w:ind w:left="480" w:firstLine="0"/>
      </w:pPr>
      <w:rPr>
        <w:rFonts w:hint="eastAsia"/>
      </w:rPr>
    </w:lvl>
  </w:abstractNum>
  <w:abstractNum w:abstractNumId="16">
    <w:nsid w:val="7DA745CD"/>
    <w:multiLevelType w:val="multilevel"/>
    <w:tmpl w:val="7DA745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0"/>
  </w:num>
  <w:num w:numId="11">
    <w:abstractNumId w:val="12"/>
  </w:num>
  <w:num w:numId="12">
    <w:abstractNumId w:val="16"/>
  </w:num>
  <w:num w:numId="13">
    <w:abstractNumId w:val="0"/>
  </w:num>
  <w:num w:numId="14">
    <w:abstractNumId w:val="15"/>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TZkMDFiOTFhMzgxYWJiYTlmYzU0MjM4OWNmMGM0ZGIifQ=="/>
    <w:docVar w:name="KSO_WPS_MARK_KEY" w:val="a5915a1f-4481-42ba-801f-2a0f9090f2de"/>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5EDA"/>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694"/>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3C6"/>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47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6FC"/>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559"/>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A69"/>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57E"/>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F2C"/>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17E"/>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C53"/>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4D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189"/>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3F5"/>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9"/>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B45"/>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7E4"/>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14A"/>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7E"/>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2E62"/>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074"/>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806"/>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2F5"/>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E0B"/>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76B5"/>
    <w:rsid w:val="012B1EF0"/>
    <w:rsid w:val="013C020E"/>
    <w:rsid w:val="015123B9"/>
    <w:rsid w:val="017A7263"/>
    <w:rsid w:val="01FD12B4"/>
    <w:rsid w:val="0241242E"/>
    <w:rsid w:val="02836009"/>
    <w:rsid w:val="028422ED"/>
    <w:rsid w:val="03087483"/>
    <w:rsid w:val="032C086E"/>
    <w:rsid w:val="03315B5E"/>
    <w:rsid w:val="033C10AE"/>
    <w:rsid w:val="03C331D7"/>
    <w:rsid w:val="03D75998"/>
    <w:rsid w:val="03E015D8"/>
    <w:rsid w:val="043F0BEF"/>
    <w:rsid w:val="045650F6"/>
    <w:rsid w:val="04A85B42"/>
    <w:rsid w:val="05393890"/>
    <w:rsid w:val="053F3EFD"/>
    <w:rsid w:val="055342FA"/>
    <w:rsid w:val="055A7363"/>
    <w:rsid w:val="05616943"/>
    <w:rsid w:val="05656433"/>
    <w:rsid w:val="057E29A2"/>
    <w:rsid w:val="0582355B"/>
    <w:rsid w:val="05870BDE"/>
    <w:rsid w:val="059C76A0"/>
    <w:rsid w:val="05F23A3F"/>
    <w:rsid w:val="06577D70"/>
    <w:rsid w:val="066F5090"/>
    <w:rsid w:val="06C33D3B"/>
    <w:rsid w:val="06E45A7E"/>
    <w:rsid w:val="080F5B9D"/>
    <w:rsid w:val="082931A9"/>
    <w:rsid w:val="08B8671D"/>
    <w:rsid w:val="08E81855"/>
    <w:rsid w:val="091A04F2"/>
    <w:rsid w:val="095B04D8"/>
    <w:rsid w:val="0983256E"/>
    <w:rsid w:val="098B3240"/>
    <w:rsid w:val="09A94CFD"/>
    <w:rsid w:val="09ED4415"/>
    <w:rsid w:val="0A8F5AD7"/>
    <w:rsid w:val="0AE125B3"/>
    <w:rsid w:val="0AE72DF4"/>
    <w:rsid w:val="0B2E6DF8"/>
    <w:rsid w:val="0B660C1A"/>
    <w:rsid w:val="0B694717"/>
    <w:rsid w:val="0B732F2C"/>
    <w:rsid w:val="0B740519"/>
    <w:rsid w:val="0B9722D6"/>
    <w:rsid w:val="0B9E41D7"/>
    <w:rsid w:val="0B9E4DF8"/>
    <w:rsid w:val="0BC57943"/>
    <w:rsid w:val="0C2B6D85"/>
    <w:rsid w:val="0CA620F4"/>
    <w:rsid w:val="0CD802F0"/>
    <w:rsid w:val="0D1424AC"/>
    <w:rsid w:val="0D2210AE"/>
    <w:rsid w:val="0D385562"/>
    <w:rsid w:val="0D3E69C1"/>
    <w:rsid w:val="0D896A37"/>
    <w:rsid w:val="0DA97525"/>
    <w:rsid w:val="0E926E65"/>
    <w:rsid w:val="0EAA45DE"/>
    <w:rsid w:val="0EAD49A7"/>
    <w:rsid w:val="0EFC031A"/>
    <w:rsid w:val="0F7A585D"/>
    <w:rsid w:val="0FA97864"/>
    <w:rsid w:val="0FAE4E7B"/>
    <w:rsid w:val="100B5E29"/>
    <w:rsid w:val="10D97CD5"/>
    <w:rsid w:val="10E26731"/>
    <w:rsid w:val="11034D52"/>
    <w:rsid w:val="112C2A34"/>
    <w:rsid w:val="11353C9B"/>
    <w:rsid w:val="11494E5B"/>
    <w:rsid w:val="11627AC5"/>
    <w:rsid w:val="117C53FE"/>
    <w:rsid w:val="1186377A"/>
    <w:rsid w:val="12724C45"/>
    <w:rsid w:val="12825FEA"/>
    <w:rsid w:val="128D0D77"/>
    <w:rsid w:val="12A10FF2"/>
    <w:rsid w:val="12B32B77"/>
    <w:rsid w:val="12BC165D"/>
    <w:rsid w:val="130A686C"/>
    <w:rsid w:val="131247BB"/>
    <w:rsid w:val="134F4A53"/>
    <w:rsid w:val="137A57A0"/>
    <w:rsid w:val="138E4FB6"/>
    <w:rsid w:val="13A13B3C"/>
    <w:rsid w:val="13AA79D9"/>
    <w:rsid w:val="14874299"/>
    <w:rsid w:val="151B4D60"/>
    <w:rsid w:val="15447E4C"/>
    <w:rsid w:val="155C53FF"/>
    <w:rsid w:val="155D7127"/>
    <w:rsid w:val="15C829C6"/>
    <w:rsid w:val="15CF16A7"/>
    <w:rsid w:val="16E15FCE"/>
    <w:rsid w:val="170B03A2"/>
    <w:rsid w:val="174D108A"/>
    <w:rsid w:val="175148D7"/>
    <w:rsid w:val="179A1AB1"/>
    <w:rsid w:val="17F51899"/>
    <w:rsid w:val="17F93E0B"/>
    <w:rsid w:val="18070A29"/>
    <w:rsid w:val="183D191C"/>
    <w:rsid w:val="18B406A3"/>
    <w:rsid w:val="18DC71A5"/>
    <w:rsid w:val="19033B41"/>
    <w:rsid w:val="19222005"/>
    <w:rsid w:val="195645B9"/>
    <w:rsid w:val="197220A7"/>
    <w:rsid w:val="197C0E6F"/>
    <w:rsid w:val="198A5CD0"/>
    <w:rsid w:val="19C71013"/>
    <w:rsid w:val="1A2F7C69"/>
    <w:rsid w:val="1AC03B72"/>
    <w:rsid w:val="1AF12E7D"/>
    <w:rsid w:val="1B2E6E70"/>
    <w:rsid w:val="1B56242C"/>
    <w:rsid w:val="1BA54D2A"/>
    <w:rsid w:val="1BF106AF"/>
    <w:rsid w:val="1C455CA5"/>
    <w:rsid w:val="1C767643"/>
    <w:rsid w:val="1C8B0D57"/>
    <w:rsid w:val="1CCF61D3"/>
    <w:rsid w:val="1CE07FE1"/>
    <w:rsid w:val="1D0205B4"/>
    <w:rsid w:val="1D0E3521"/>
    <w:rsid w:val="1D2C69D2"/>
    <w:rsid w:val="1D37121A"/>
    <w:rsid w:val="1DAB4A7F"/>
    <w:rsid w:val="1DBF8581"/>
    <w:rsid w:val="1E05080A"/>
    <w:rsid w:val="1E4E3AB1"/>
    <w:rsid w:val="1EC02A84"/>
    <w:rsid w:val="1F043C41"/>
    <w:rsid w:val="1F1437EE"/>
    <w:rsid w:val="1F461F06"/>
    <w:rsid w:val="1F640680"/>
    <w:rsid w:val="1FC42F0B"/>
    <w:rsid w:val="202C4079"/>
    <w:rsid w:val="204B210A"/>
    <w:rsid w:val="2059218A"/>
    <w:rsid w:val="21052827"/>
    <w:rsid w:val="21156B08"/>
    <w:rsid w:val="21663001"/>
    <w:rsid w:val="21701F90"/>
    <w:rsid w:val="219519F6"/>
    <w:rsid w:val="21AA1411"/>
    <w:rsid w:val="21C916A0"/>
    <w:rsid w:val="21CA0455"/>
    <w:rsid w:val="21D65A7A"/>
    <w:rsid w:val="21DC7625"/>
    <w:rsid w:val="21E81505"/>
    <w:rsid w:val="22045CDB"/>
    <w:rsid w:val="2224235A"/>
    <w:rsid w:val="22310C4E"/>
    <w:rsid w:val="224C6559"/>
    <w:rsid w:val="22835CF3"/>
    <w:rsid w:val="229D32CF"/>
    <w:rsid w:val="231D47DA"/>
    <w:rsid w:val="234B2DEF"/>
    <w:rsid w:val="23941C35"/>
    <w:rsid w:val="239E00B4"/>
    <w:rsid w:val="23F05767"/>
    <w:rsid w:val="240C19BD"/>
    <w:rsid w:val="251E74A4"/>
    <w:rsid w:val="25264B88"/>
    <w:rsid w:val="25BF6260"/>
    <w:rsid w:val="261A6418"/>
    <w:rsid w:val="26587B27"/>
    <w:rsid w:val="2694227D"/>
    <w:rsid w:val="26976A51"/>
    <w:rsid w:val="269E5B8E"/>
    <w:rsid w:val="275F3C2F"/>
    <w:rsid w:val="27843CE5"/>
    <w:rsid w:val="27E86D24"/>
    <w:rsid w:val="288D4D47"/>
    <w:rsid w:val="29000787"/>
    <w:rsid w:val="296E14AB"/>
    <w:rsid w:val="299E4777"/>
    <w:rsid w:val="29CC7093"/>
    <w:rsid w:val="2A110088"/>
    <w:rsid w:val="2A454B46"/>
    <w:rsid w:val="2A495A74"/>
    <w:rsid w:val="2A6003DE"/>
    <w:rsid w:val="2A6056B1"/>
    <w:rsid w:val="2A7228D5"/>
    <w:rsid w:val="2A970E5E"/>
    <w:rsid w:val="2B5D60D4"/>
    <w:rsid w:val="2BCB211E"/>
    <w:rsid w:val="2BE52041"/>
    <w:rsid w:val="2C233F48"/>
    <w:rsid w:val="2C62067F"/>
    <w:rsid w:val="2C960ED5"/>
    <w:rsid w:val="2CDA5AFE"/>
    <w:rsid w:val="2D9B0395"/>
    <w:rsid w:val="2DA83A37"/>
    <w:rsid w:val="2DD45655"/>
    <w:rsid w:val="2DE97352"/>
    <w:rsid w:val="2DFC557E"/>
    <w:rsid w:val="2E9E47DE"/>
    <w:rsid w:val="2EE21389"/>
    <w:rsid w:val="2EFC4E63"/>
    <w:rsid w:val="2F6F401D"/>
    <w:rsid w:val="2F805A94"/>
    <w:rsid w:val="2FBD0F96"/>
    <w:rsid w:val="305E51E4"/>
    <w:rsid w:val="30662115"/>
    <w:rsid w:val="307333B8"/>
    <w:rsid w:val="309E69E5"/>
    <w:rsid w:val="30C52B79"/>
    <w:rsid w:val="31280E8D"/>
    <w:rsid w:val="31512F04"/>
    <w:rsid w:val="315C608D"/>
    <w:rsid w:val="316B62D0"/>
    <w:rsid w:val="31B5579D"/>
    <w:rsid w:val="31DE2F46"/>
    <w:rsid w:val="31EF6F01"/>
    <w:rsid w:val="32066B65"/>
    <w:rsid w:val="32861DCE"/>
    <w:rsid w:val="32AE127B"/>
    <w:rsid w:val="32EB653A"/>
    <w:rsid w:val="33435756"/>
    <w:rsid w:val="335F273B"/>
    <w:rsid w:val="336E78C8"/>
    <w:rsid w:val="3397636B"/>
    <w:rsid w:val="33D60378"/>
    <w:rsid w:val="35101EE0"/>
    <w:rsid w:val="355E6A71"/>
    <w:rsid w:val="35643762"/>
    <w:rsid w:val="35EB5C31"/>
    <w:rsid w:val="36105698"/>
    <w:rsid w:val="36107446"/>
    <w:rsid w:val="36522C60"/>
    <w:rsid w:val="368A71F8"/>
    <w:rsid w:val="36C258FC"/>
    <w:rsid w:val="371C31BF"/>
    <w:rsid w:val="373117E1"/>
    <w:rsid w:val="37376EB9"/>
    <w:rsid w:val="37524896"/>
    <w:rsid w:val="3784490F"/>
    <w:rsid w:val="378B1534"/>
    <w:rsid w:val="37C141B0"/>
    <w:rsid w:val="37DC1CD5"/>
    <w:rsid w:val="38357C28"/>
    <w:rsid w:val="383A69FC"/>
    <w:rsid w:val="38573C2B"/>
    <w:rsid w:val="38C457BA"/>
    <w:rsid w:val="38CE5AC2"/>
    <w:rsid w:val="38EA466D"/>
    <w:rsid w:val="39276F34"/>
    <w:rsid w:val="39565158"/>
    <w:rsid w:val="39FC39DE"/>
    <w:rsid w:val="3A9B19D4"/>
    <w:rsid w:val="3B2E55DE"/>
    <w:rsid w:val="3B35639E"/>
    <w:rsid w:val="3B583D69"/>
    <w:rsid w:val="3B6E134A"/>
    <w:rsid w:val="3BC21E63"/>
    <w:rsid w:val="3BCB6780"/>
    <w:rsid w:val="3C84592E"/>
    <w:rsid w:val="3C8B77C6"/>
    <w:rsid w:val="3CEC3219"/>
    <w:rsid w:val="3D286CE1"/>
    <w:rsid w:val="3D580050"/>
    <w:rsid w:val="3D631196"/>
    <w:rsid w:val="3DD3114F"/>
    <w:rsid w:val="3DFC0F76"/>
    <w:rsid w:val="3E46434D"/>
    <w:rsid w:val="3E491747"/>
    <w:rsid w:val="3E675C0A"/>
    <w:rsid w:val="3F40102F"/>
    <w:rsid w:val="3F570D47"/>
    <w:rsid w:val="3F9F4332"/>
    <w:rsid w:val="401A15ED"/>
    <w:rsid w:val="402663DA"/>
    <w:rsid w:val="40AD420F"/>
    <w:rsid w:val="40E63006"/>
    <w:rsid w:val="412D35A2"/>
    <w:rsid w:val="41526A99"/>
    <w:rsid w:val="418B1B81"/>
    <w:rsid w:val="42CD0A98"/>
    <w:rsid w:val="42E45EE2"/>
    <w:rsid w:val="42FE2AC6"/>
    <w:rsid w:val="431A0C09"/>
    <w:rsid w:val="439D19C2"/>
    <w:rsid w:val="43B12268"/>
    <w:rsid w:val="43BC7711"/>
    <w:rsid w:val="43C95804"/>
    <w:rsid w:val="4442230C"/>
    <w:rsid w:val="44B225C5"/>
    <w:rsid w:val="44B928C0"/>
    <w:rsid w:val="44D81864"/>
    <w:rsid w:val="456C663D"/>
    <w:rsid w:val="458F0387"/>
    <w:rsid w:val="45C1250B"/>
    <w:rsid w:val="45E723BC"/>
    <w:rsid w:val="461E02FB"/>
    <w:rsid w:val="46367FBA"/>
    <w:rsid w:val="46642087"/>
    <w:rsid w:val="46740CEA"/>
    <w:rsid w:val="46A14816"/>
    <w:rsid w:val="46B404E2"/>
    <w:rsid w:val="474E0CA4"/>
    <w:rsid w:val="475871CF"/>
    <w:rsid w:val="479F062A"/>
    <w:rsid w:val="47BC268C"/>
    <w:rsid w:val="480D7C89"/>
    <w:rsid w:val="480E2158"/>
    <w:rsid w:val="482079BC"/>
    <w:rsid w:val="482D09B7"/>
    <w:rsid w:val="483D75B8"/>
    <w:rsid w:val="486448DE"/>
    <w:rsid w:val="489D2DBB"/>
    <w:rsid w:val="49C366A1"/>
    <w:rsid w:val="4A183041"/>
    <w:rsid w:val="4A230604"/>
    <w:rsid w:val="4AF55F54"/>
    <w:rsid w:val="4B257098"/>
    <w:rsid w:val="4B443152"/>
    <w:rsid w:val="4B65373A"/>
    <w:rsid w:val="4B8045F2"/>
    <w:rsid w:val="4BC97780"/>
    <w:rsid w:val="4C27636E"/>
    <w:rsid w:val="4C5A3F4F"/>
    <w:rsid w:val="4C852856"/>
    <w:rsid w:val="4CC52999"/>
    <w:rsid w:val="4D00163A"/>
    <w:rsid w:val="4DE4323A"/>
    <w:rsid w:val="4DF37A97"/>
    <w:rsid w:val="4E3B343B"/>
    <w:rsid w:val="4E6C5709"/>
    <w:rsid w:val="4E8A67B0"/>
    <w:rsid w:val="4EF851EF"/>
    <w:rsid w:val="4F0F5BE3"/>
    <w:rsid w:val="4F2E0C11"/>
    <w:rsid w:val="4FAA42E2"/>
    <w:rsid w:val="4FBC3BB4"/>
    <w:rsid w:val="501435BF"/>
    <w:rsid w:val="5067133A"/>
    <w:rsid w:val="506C7A7D"/>
    <w:rsid w:val="50795EBC"/>
    <w:rsid w:val="507D4C7E"/>
    <w:rsid w:val="50FFA9F5"/>
    <w:rsid w:val="51480782"/>
    <w:rsid w:val="51BD3FCA"/>
    <w:rsid w:val="51E57A0F"/>
    <w:rsid w:val="51EC4E24"/>
    <w:rsid w:val="51FD28CD"/>
    <w:rsid w:val="52036133"/>
    <w:rsid w:val="522A013F"/>
    <w:rsid w:val="52422029"/>
    <w:rsid w:val="53062B51"/>
    <w:rsid w:val="531968C6"/>
    <w:rsid w:val="5361780D"/>
    <w:rsid w:val="537B1EED"/>
    <w:rsid w:val="5394161B"/>
    <w:rsid w:val="539A2036"/>
    <w:rsid w:val="53B942EC"/>
    <w:rsid w:val="53D44BB5"/>
    <w:rsid w:val="5406411C"/>
    <w:rsid w:val="54353316"/>
    <w:rsid w:val="548172CB"/>
    <w:rsid w:val="54B0479B"/>
    <w:rsid w:val="54B92B9F"/>
    <w:rsid w:val="54C6402E"/>
    <w:rsid w:val="54E53058"/>
    <w:rsid w:val="55040901"/>
    <w:rsid w:val="550A5C7C"/>
    <w:rsid w:val="55112F62"/>
    <w:rsid w:val="55315A8E"/>
    <w:rsid w:val="553B5E36"/>
    <w:rsid w:val="55E955B1"/>
    <w:rsid w:val="562916F1"/>
    <w:rsid w:val="5660489D"/>
    <w:rsid w:val="56DF05DE"/>
    <w:rsid w:val="56E90F5B"/>
    <w:rsid w:val="575136EE"/>
    <w:rsid w:val="5761299F"/>
    <w:rsid w:val="578515EA"/>
    <w:rsid w:val="579E2EA2"/>
    <w:rsid w:val="57BC384B"/>
    <w:rsid w:val="57E018B8"/>
    <w:rsid w:val="57F30C49"/>
    <w:rsid w:val="57F4406D"/>
    <w:rsid w:val="57FB5D50"/>
    <w:rsid w:val="57FC6189"/>
    <w:rsid w:val="583D0117"/>
    <w:rsid w:val="58AD003C"/>
    <w:rsid w:val="58C425E6"/>
    <w:rsid w:val="58CD3983"/>
    <w:rsid w:val="59AF0BA0"/>
    <w:rsid w:val="59EF2ECF"/>
    <w:rsid w:val="59F4562A"/>
    <w:rsid w:val="5A4E1375"/>
    <w:rsid w:val="5A5928C4"/>
    <w:rsid w:val="5A720501"/>
    <w:rsid w:val="5A750924"/>
    <w:rsid w:val="5A9A43F6"/>
    <w:rsid w:val="5B4944BA"/>
    <w:rsid w:val="5B591FF2"/>
    <w:rsid w:val="5B593D82"/>
    <w:rsid w:val="5B61236E"/>
    <w:rsid w:val="5BD849F5"/>
    <w:rsid w:val="5BE78882"/>
    <w:rsid w:val="5BF154A0"/>
    <w:rsid w:val="5BF64B1F"/>
    <w:rsid w:val="5C411101"/>
    <w:rsid w:val="5C4A7174"/>
    <w:rsid w:val="5CDB1A4F"/>
    <w:rsid w:val="5D2B49E2"/>
    <w:rsid w:val="5D4A6148"/>
    <w:rsid w:val="5D742FA1"/>
    <w:rsid w:val="5DA23243"/>
    <w:rsid w:val="5DC76ABF"/>
    <w:rsid w:val="5E110223"/>
    <w:rsid w:val="5E1123EA"/>
    <w:rsid w:val="5E214FAA"/>
    <w:rsid w:val="5E700C37"/>
    <w:rsid w:val="5EAE7678"/>
    <w:rsid w:val="5EC24ED2"/>
    <w:rsid w:val="5F073306"/>
    <w:rsid w:val="5F5A71C2"/>
    <w:rsid w:val="5F5F73B9"/>
    <w:rsid w:val="5F93084B"/>
    <w:rsid w:val="5FFB0F30"/>
    <w:rsid w:val="600D7630"/>
    <w:rsid w:val="6029768E"/>
    <w:rsid w:val="609B10C7"/>
    <w:rsid w:val="60A615E0"/>
    <w:rsid w:val="60B762BA"/>
    <w:rsid w:val="60B9141E"/>
    <w:rsid w:val="60D93842"/>
    <w:rsid w:val="610065C4"/>
    <w:rsid w:val="610547AC"/>
    <w:rsid w:val="61291671"/>
    <w:rsid w:val="614170DF"/>
    <w:rsid w:val="61424BE8"/>
    <w:rsid w:val="61AD1CA6"/>
    <w:rsid w:val="62001846"/>
    <w:rsid w:val="62404A8B"/>
    <w:rsid w:val="626C07B7"/>
    <w:rsid w:val="62796C57"/>
    <w:rsid w:val="629D0130"/>
    <w:rsid w:val="62A36DC8"/>
    <w:rsid w:val="62E1331E"/>
    <w:rsid w:val="62EB5411"/>
    <w:rsid w:val="630A5099"/>
    <w:rsid w:val="63213144"/>
    <w:rsid w:val="637E13C5"/>
    <w:rsid w:val="63D06F4A"/>
    <w:rsid w:val="63FFC362"/>
    <w:rsid w:val="64A10871"/>
    <w:rsid w:val="64C56641"/>
    <w:rsid w:val="64FF128A"/>
    <w:rsid w:val="655A019F"/>
    <w:rsid w:val="65A25A5D"/>
    <w:rsid w:val="66056803"/>
    <w:rsid w:val="66326DE1"/>
    <w:rsid w:val="6667144E"/>
    <w:rsid w:val="66692CE9"/>
    <w:rsid w:val="668A5E9A"/>
    <w:rsid w:val="66C70DB5"/>
    <w:rsid w:val="67145F6E"/>
    <w:rsid w:val="67D53EC8"/>
    <w:rsid w:val="680D195E"/>
    <w:rsid w:val="6838144E"/>
    <w:rsid w:val="684D3522"/>
    <w:rsid w:val="68AA7398"/>
    <w:rsid w:val="69040033"/>
    <w:rsid w:val="69136A00"/>
    <w:rsid w:val="698F79E4"/>
    <w:rsid w:val="69AC04DB"/>
    <w:rsid w:val="69D9642C"/>
    <w:rsid w:val="6A1C57BB"/>
    <w:rsid w:val="6A3F3645"/>
    <w:rsid w:val="6A6D03E7"/>
    <w:rsid w:val="6ADE0B92"/>
    <w:rsid w:val="6AEA5EDC"/>
    <w:rsid w:val="6AF44665"/>
    <w:rsid w:val="6B330662"/>
    <w:rsid w:val="6B43739A"/>
    <w:rsid w:val="6B7F550C"/>
    <w:rsid w:val="6B922B7E"/>
    <w:rsid w:val="6BB41BA4"/>
    <w:rsid w:val="6BFD579B"/>
    <w:rsid w:val="6C112375"/>
    <w:rsid w:val="6C5E67AE"/>
    <w:rsid w:val="6CA36342"/>
    <w:rsid w:val="6CC31031"/>
    <w:rsid w:val="6CC54C03"/>
    <w:rsid w:val="6D1E1EB9"/>
    <w:rsid w:val="6D312A48"/>
    <w:rsid w:val="6D486B25"/>
    <w:rsid w:val="6DC472DF"/>
    <w:rsid w:val="6DEA2469"/>
    <w:rsid w:val="6EB160B4"/>
    <w:rsid w:val="6EE113A4"/>
    <w:rsid w:val="6F5133A7"/>
    <w:rsid w:val="6F6D2B0F"/>
    <w:rsid w:val="6F777338"/>
    <w:rsid w:val="6F7A7103"/>
    <w:rsid w:val="6FAD44B8"/>
    <w:rsid w:val="6FB33209"/>
    <w:rsid w:val="6FB54B65"/>
    <w:rsid w:val="6FE10E84"/>
    <w:rsid w:val="6FEA7F06"/>
    <w:rsid w:val="7025324F"/>
    <w:rsid w:val="70837F61"/>
    <w:rsid w:val="709919AA"/>
    <w:rsid w:val="709F5073"/>
    <w:rsid w:val="70E362EC"/>
    <w:rsid w:val="710B2117"/>
    <w:rsid w:val="71A006B5"/>
    <w:rsid w:val="71B06DA3"/>
    <w:rsid w:val="71DB06FD"/>
    <w:rsid w:val="71EA3606"/>
    <w:rsid w:val="71EC3C0C"/>
    <w:rsid w:val="720821A5"/>
    <w:rsid w:val="72330169"/>
    <w:rsid w:val="724265FE"/>
    <w:rsid w:val="724D7C36"/>
    <w:rsid w:val="72594E41"/>
    <w:rsid w:val="72A15A03"/>
    <w:rsid w:val="72CD43A1"/>
    <w:rsid w:val="72D40328"/>
    <w:rsid w:val="73497518"/>
    <w:rsid w:val="73886292"/>
    <w:rsid w:val="73B26B64"/>
    <w:rsid w:val="741D37A6"/>
    <w:rsid w:val="742C597A"/>
    <w:rsid w:val="74351D82"/>
    <w:rsid w:val="74911176"/>
    <w:rsid w:val="749B1FF5"/>
    <w:rsid w:val="74E7563D"/>
    <w:rsid w:val="75340AB1"/>
    <w:rsid w:val="754F3AA5"/>
    <w:rsid w:val="755D6BFE"/>
    <w:rsid w:val="75714438"/>
    <w:rsid w:val="75A56745"/>
    <w:rsid w:val="75B55338"/>
    <w:rsid w:val="75D50EBD"/>
    <w:rsid w:val="75DC45F5"/>
    <w:rsid w:val="75E90D4C"/>
    <w:rsid w:val="75FF3752"/>
    <w:rsid w:val="76126652"/>
    <w:rsid w:val="76347CB6"/>
    <w:rsid w:val="76445892"/>
    <w:rsid w:val="76CD4696"/>
    <w:rsid w:val="773E64A6"/>
    <w:rsid w:val="77534E09"/>
    <w:rsid w:val="7798281C"/>
    <w:rsid w:val="77CD6969"/>
    <w:rsid w:val="77DC20F0"/>
    <w:rsid w:val="77F7266A"/>
    <w:rsid w:val="77FFB12C"/>
    <w:rsid w:val="784D1644"/>
    <w:rsid w:val="78F27FB9"/>
    <w:rsid w:val="78F45EF9"/>
    <w:rsid w:val="791B22E8"/>
    <w:rsid w:val="796231C8"/>
    <w:rsid w:val="7A305BE0"/>
    <w:rsid w:val="7A385EE3"/>
    <w:rsid w:val="7A670829"/>
    <w:rsid w:val="7A8145AB"/>
    <w:rsid w:val="7ACF5341"/>
    <w:rsid w:val="7AD223DF"/>
    <w:rsid w:val="7AE71AF0"/>
    <w:rsid w:val="7AEE23C9"/>
    <w:rsid w:val="7B480765"/>
    <w:rsid w:val="7BCF1049"/>
    <w:rsid w:val="7BE95A49"/>
    <w:rsid w:val="7C076983"/>
    <w:rsid w:val="7C562FD2"/>
    <w:rsid w:val="7C9B30F2"/>
    <w:rsid w:val="7CB573BB"/>
    <w:rsid w:val="7CF150DF"/>
    <w:rsid w:val="7CF435F4"/>
    <w:rsid w:val="7D2A21BC"/>
    <w:rsid w:val="7D2F2CA7"/>
    <w:rsid w:val="7DC221CB"/>
    <w:rsid w:val="7DC4436B"/>
    <w:rsid w:val="7DC47811"/>
    <w:rsid w:val="7DCE1535"/>
    <w:rsid w:val="7DF13798"/>
    <w:rsid w:val="7E03522C"/>
    <w:rsid w:val="7E3E411D"/>
    <w:rsid w:val="7E5F6494"/>
    <w:rsid w:val="7EA9411B"/>
    <w:rsid w:val="7F4B6F57"/>
    <w:rsid w:val="7F5E434B"/>
    <w:rsid w:val="7F5E5495"/>
    <w:rsid w:val="7F97BFCD"/>
    <w:rsid w:val="7F9FDDF6"/>
    <w:rsid w:val="7FBC1FAF"/>
    <w:rsid w:val="7FFD6CD1"/>
    <w:rsid w:val="A0B44C6D"/>
    <w:rsid w:val="BDC71028"/>
    <w:rsid w:val="BEFD387D"/>
    <w:rsid w:val="CC7E4527"/>
    <w:rsid w:val="DE5C67CF"/>
    <w:rsid w:val="DFCF08D8"/>
    <w:rsid w:val="DFDF5679"/>
    <w:rsid w:val="E9776FC2"/>
    <w:rsid w:val="EDEFCC36"/>
    <w:rsid w:val="F6FBFAC1"/>
    <w:rsid w:val="F9BDAF5A"/>
    <w:rsid w:val="F9FFC555"/>
    <w:rsid w:val="FB5B9370"/>
    <w:rsid w:val="FB6A94A0"/>
    <w:rsid w:val="FFFC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2"/>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index 5"/>
    <w:next w:val="1"/>
    <w:unhideWhenUsed/>
    <w:qFormat/>
    <w:uiPriority w:val="99"/>
    <w:pPr>
      <w:widowControl w:val="0"/>
      <w:ind w:left="1680"/>
      <w:jc w:val="both"/>
    </w:pPr>
    <w:rPr>
      <w:rFonts w:hint="eastAsia" w:ascii="Calibri" w:hAnsi="Calibri" w:eastAsia="宋体" w:cs="Times New Roman"/>
      <w:kern w:val="2"/>
      <w:sz w:val="24"/>
      <w:szCs w:val="24"/>
      <w:lang w:val="en-US" w:eastAsia="zh-CN" w:bidi="ar-SA"/>
    </w:rPr>
  </w:style>
  <w:style w:type="paragraph" w:styleId="15">
    <w:name w:val="Document Map"/>
    <w:basedOn w:val="1"/>
    <w:link w:val="237"/>
    <w:qFormat/>
    <w:uiPriority w:val="0"/>
    <w:pPr>
      <w:shd w:val="clear" w:color="auto" w:fill="000080"/>
    </w:pPr>
  </w:style>
  <w:style w:type="paragraph" w:styleId="16">
    <w:name w:val="annotation text"/>
    <w:basedOn w:val="1"/>
    <w:link w:val="183"/>
    <w:qFormat/>
    <w:uiPriority w:val="99"/>
    <w:pPr>
      <w:jc w:val="left"/>
    </w:pPr>
  </w:style>
  <w:style w:type="paragraph" w:styleId="17">
    <w:name w:val="Body Text 3"/>
    <w:basedOn w:val="1"/>
    <w:link w:val="238"/>
    <w:qFormat/>
    <w:uiPriority w:val="0"/>
    <w:pPr>
      <w:spacing w:after="120"/>
    </w:pPr>
    <w:rPr>
      <w:sz w:val="16"/>
      <w:szCs w:val="16"/>
    </w:rPr>
  </w:style>
  <w:style w:type="paragraph" w:styleId="18">
    <w:name w:val="Body Text"/>
    <w:basedOn w:val="1"/>
    <w:next w:val="1"/>
    <w:link w:val="239"/>
    <w:qFormat/>
    <w:uiPriority w:val="0"/>
    <w:pPr>
      <w:tabs>
        <w:tab w:val="left" w:pos="567"/>
      </w:tabs>
      <w:spacing w:before="120" w:line="22" w:lineRule="atLeast"/>
    </w:pPr>
    <w:rPr>
      <w:rFonts w:ascii="宋体" w:hAnsi="宋体"/>
      <w:sz w:val="24"/>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index 9"/>
    <w:basedOn w:val="1"/>
    <w:next w:val="1"/>
    <w:qFormat/>
    <w:uiPriority w:val="0"/>
    <w:pPr>
      <w:ind w:left="1600" w:leftChars="1600"/>
    </w:p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next w:val="1"/>
    <w:link w:val="189"/>
    <w:qFormat/>
    <w:uiPriority w:val="0"/>
    <w:pPr>
      <w:jc w:val="center"/>
      <w:outlineLvl w:val="0"/>
    </w:pPr>
    <w:rPr>
      <w:b/>
      <w:sz w:val="32"/>
      <w:szCs w:val="20"/>
    </w:rPr>
  </w:style>
  <w:style w:type="paragraph" w:styleId="42">
    <w:name w:val="annotation subject"/>
    <w:basedOn w:val="16"/>
    <w:next w:val="16"/>
    <w:link w:val="245"/>
    <w:qFormat/>
    <w:uiPriority w:val="0"/>
    <w:rPr>
      <w:b/>
      <w:bCs/>
    </w:rPr>
  </w:style>
  <w:style w:type="paragraph" w:styleId="43">
    <w:name w:val="Body Text First Indent 2"/>
    <w:basedOn w:val="19"/>
    <w:link w:val="246"/>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basedOn w:val="47"/>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2 字符"/>
    <w:link w:val="4"/>
    <w:qFormat/>
    <w:uiPriority w:val="0"/>
    <w:rPr>
      <w:rFonts w:ascii="Arial" w:hAnsi="Arial" w:eastAsia="黑体"/>
      <w:b/>
      <w:sz w:val="30"/>
      <w:lang w:val="en-US" w:eastAsia="zh-CN" w:bidi="ar-SA"/>
    </w:rPr>
  </w:style>
  <w:style w:type="character" w:customStyle="1" w:styleId="56">
    <w:name w:val="标题 3 字符"/>
    <w:link w:val="5"/>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7"/>
    <w:qFormat/>
    <w:uiPriority w:val="0"/>
  </w:style>
  <w:style w:type="character" w:customStyle="1" w:styleId="62">
    <w:name w:val="locality"/>
    <w:basedOn w:val="47"/>
    <w:qFormat/>
    <w:uiPriority w:val="0"/>
  </w:style>
  <w:style w:type="character" w:customStyle="1" w:styleId="63">
    <w:name w:val="正文缩进 字符"/>
    <w:link w:val="2"/>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7"/>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99"/>
    <w:rPr>
      <w:rFonts w:eastAsia="宋体"/>
      <w:kern w:val="2"/>
      <w:sz w:val="18"/>
      <w:szCs w:val="18"/>
      <w:lang w:val="en-US" w:eastAsia="zh-CN" w:bidi="ar-SA"/>
    </w:rPr>
  </w:style>
  <w:style w:type="character" w:customStyle="1" w:styleId="78">
    <w:name w:val="chanpin拷贝"/>
    <w:basedOn w:val="47"/>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5"/>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40"/>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6"/>
    <w:qFormat/>
    <w:uiPriority w:val="99"/>
    <w:rPr>
      <w:kern w:val="2"/>
      <w:sz w:val="21"/>
      <w:szCs w:val="24"/>
    </w:rPr>
  </w:style>
  <w:style w:type="paragraph" w:customStyle="1" w:styleId="184">
    <w:name w:val="标题1-附件"/>
    <w:basedOn w:val="3"/>
    <w:qFormat/>
    <w:uiPriority w:val="0"/>
    <w:pPr>
      <w:jc w:val="left"/>
    </w:pPr>
    <w:rPr>
      <w:sz w:val="24"/>
      <w:szCs w:val="24"/>
    </w:rPr>
  </w:style>
  <w:style w:type="paragraph" w:customStyle="1" w:styleId="185">
    <w:name w:val="正文小标题"/>
    <w:basedOn w:val="1"/>
    <w:next w:val="2"/>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2"/>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1"/>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7"/>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2">
    <w:name w:val="修订1"/>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7"/>
    <w:link w:val="3"/>
    <w:qFormat/>
    <w:uiPriority w:val="0"/>
    <w:rPr>
      <w:rFonts w:ascii="宋体"/>
      <w:b/>
      <w:kern w:val="44"/>
      <w:sz w:val="32"/>
    </w:rPr>
  </w:style>
  <w:style w:type="character" w:customStyle="1" w:styleId="231">
    <w:name w:val="标题 4 字符"/>
    <w:basedOn w:val="47"/>
    <w:link w:val="6"/>
    <w:qFormat/>
    <w:uiPriority w:val="0"/>
    <w:rPr>
      <w:rFonts w:ascii="Arial" w:hAnsi="Arial" w:eastAsia="黑体"/>
      <w:b/>
      <w:sz w:val="28"/>
    </w:rPr>
  </w:style>
  <w:style w:type="character" w:customStyle="1" w:styleId="232">
    <w:name w:val="标题 5 字符"/>
    <w:basedOn w:val="47"/>
    <w:link w:val="7"/>
    <w:qFormat/>
    <w:uiPriority w:val="0"/>
    <w:rPr>
      <w:b/>
      <w:sz w:val="28"/>
    </w:rPr>
  </w:style>
  <w:style w:type="character" w:customStyle="1" w:styleId="233">
    <w:name w:val="标题 6 字符"/>
    <w:basedOn w:val="47"/>
    <w:link w:val="8"/>
    <w:qFormat/>
    <w:uiPriority w:val="0"/>
    <w:rPr>
      <w:rFonts w:ascii="Arial" w:hAnsi="Arial" w:eastAsia="黑体"/>
      <w:b/>
      <w:sz w:val="24"/>
    </w:rPr>
  </w:style>
  <w:style w:type="character" w:customStyle="1" w:styleId="234">
    <w:name w:val="标题 7 字符"/>
    <w:basedOn w:val="47"/>
    <w:link w:val="9"/>
    <w:qFormat/>
    <w:uiPriority w:val="0"/>
    <w:rPr>
      <w:b/>
      <w:sz w:val="24"/>
    </w:rPr>
  </w:style>
  <w:style w:type="character" w:customStyle="1" w:styleId="235">
    <w:name w:val="标题 8 字符"/>
    <w:basedOn w:val="47"/>
    <w:link w:val="10"/>
    <w:qFormat/>
    <w:uiPriority w:val="0"/>
    <w:rPr>
      <w:rFonts w:ascii="Arial" w:hAnsi="Arial" w:eastAsia="黑体"/>
      <w:sz w:val="24"/>
    </w:rPr>
  </w:style>
  <w:style w:type="character" w:customStyle="1" w:styleId="236">
    <w:name w:val="标题 9 字符"/>
    <w:basedOn w:val="47"/>
    <w:link w:val="11"/>
    <w:qFormat/>
    <w:uiPriority w:val="0"/>
    <w:rPr>
      <w:rFonts w:ascii="Arial" w:hAnsi="Arial" w:eastAsia="黑体"/>
      <w:sz w:val="21"/>
    </w:rPr>
  </w:style>
  <w:style w:type="character" w:customStyle="1" w:styleId="237">
    <w:name w:val="文档结构图 字符"/>
    <w:basedOn w:val="47"/>
    <w:link w:val="15"/>
    <w:qFormat/>
    <w:uiPriority w:val="0"/>
    <w:rPr>
      <w:kern w:val="2"/>
      <w:sz w:val="21"/>
      <w:szCs w:val="24"/>
      <w:shd w:val="clear" w:color="auto" w:fill="000080"/>
    </w:rPr>
  </w:style>
  <w:style w:type="character" w:customStyle="1" w:styleId="238">
    <w:name w:val="正文文本 3 字符"/>
    <w:basedOn w:val="47"/>
    <w:link w:val="17"/>
    <w:qFormat/>
    <w:uiPriority w:val="0"/>
    <w:rPr>
      <w:kern w:val="2"/>
      <w:sz w:val="16"/>
      <w:szCs w:val="16"/>
    </w:rPr>
  </w:style>
  <w:style w:type="character" w:customStyle="1" w:styleId="239">
    <w:name w:val="正文文本 字符"/>
    <w:basedOn w:val="47"/>
    <w:link w:val="18"/>
    <w:qFormat/>
    <w:uiPriority w:val="0"/>
    <w:rPr>
      <w:rFonts w:ascii="宋体" w:hAnsi="宋体"/>
      <w:kern w:val="2"/>
      <w:sz w:val="24"/>
      <w:szCs w:val="24"/>
    </w:rPr>
  </w:style>
  <w:style w:type="character" w:customStyle="1" w:styleId="240">
    <w:name w:val="日期 字符"/>
    <w:basedOn w:val="47"/>
    <w:link w:val="26"/>
    <w:qFormat/>
    <w:uiPriority w:val="0"/>
    <w:rPr>
      <w:rFonts w:ascii="仿宋_GB2312" w:hAnsi="宋体" w:eastAsia="仿宋_GB2312"/>
      <w:color w:val="000000"/>
      <w:kern w:val="2"/>
      <w:sz w:val="24"/>
      <w:szCs w:val="24"/>
    </w:rPr>
  </w:style>
  <w:style w:type="character" w:customStyle="1" w:styleId="241">
    <w:name w:val="正文文本缩进 2 字符"/>
    <w:basedOn w:val="47"/>
    <w:link w:val="27"/>
    <w:qFormat/>
    <w:uiPriority w:val="0"/>
    <w:rPr>
      <w:rFonts w:ascii="仿宋_GB2312" w:eastAsia="仿宋_GB2312"/>
      <w:kern w:val="2"/>
      <w:sz w:val="24"/>
      <w:szCs w:val="24"/>
    </w:rPr>
  </w:style>
  <w:style w:type="character" w:customStyle="1" w:styleId="242">
    <w:name w:val="批注框文本 字符"/>
    <w:basedOn w:val="47"/>
    <w:link w:val="28"/>
    <w:qFormat/>
    <w:uiPriority w:val="0"/>
    <w:rPr>
      <w:kern w:val="2"/>
      <w:sz w:val="18"/>
      <w:szCs w:val="18"/>
    </w:rPr>
  </w:style>
  <w:style w:type="character" w:customStyle="1" w:styleId="243">
    <w:name w:val="正文文本缩进 3 字符"/>
    <w:basedOn w:val="47"/>
    <w:link w:val="34"/>
    <w:qFormat/>
    <w:uiPriority w:val="0"/>
    <w:rPr>
      <w:rFonts w:ascii="宋体"/>
      <w:sz w:val="24"/>
    </w:rPr>
  </w:style>
  <w:style w:type="character" w:customStyle="1" w:styleId="244">
    <w:name w:val="HTML 预设格式 字符"/>
    <w:basedOn w:val="47"/>
    <w:link w:val="38"/>
    <w:qFormat/>
    <w:uiPriority w:val="0"/>
    <w:rPr>
      <w:rFonts w:ascii="宋体" w:hAnsi="宋体" w:cs="宋体"/>
      <w:sz w:val="24"/>
      <w:szCs w:val="24"/>
    </w:rPr>
  </w:style>
  <w:style w:type="character" w:customStyle="1" w:styleId="245">
    <w:name w:val="批注主题 字符"/>
    <w:basedOn w:val="195"/>
    <w:link w:val="42"/>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3"/>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9">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0">
    <w:name w:val="正文 缩进2字符"/>
    <w:basedOn w:val="1"/>
    <w:qFormat/>
    <w:uiPriority w:val="0"/>
    <w:pPr>
      <w:spacing w:line="288" w:lineRule="auto"/>
    </w:pPr>
    <w:rPr>
      <w:rFonts w:ascii="宋体" w:hAnsi="宋体"/>
      <w:sz w:val="28"/>
      <w:szCs w:val="28"/>
    </w:rPr>
  </w:style>
  <w:style w:type="paragraph" w:customStyle="1" w:styleId="25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_Style 1"/>
    <w:basedOn w:val="1"/>
    <w:qFormat/>
    <w:uiPriority w:val="0"/>
    <w:pPr>
      <w:ind w:firstLine="420" w:firstLineChars="200"/>
    </w:pPr>
    <w:rPr>
      <w:rFonts w:ascii="Calibri" w:hAnsi="Calibri" w:eastAsiaTheme="minorEastAsia" w:cstheme="minorBidi"/>
      <w:szCs w:val="22"/>
    </w:rPr>
  </w:style>
  <w:style w:type="paragraph" w:customStyle="1" w:styleId="253">
    <w:name w:val="Table Text"/>
    <w:basedOn w:val="1"/>
    <w:semiHidden/>
    <w:qFormat/>
    <w:uiPriority w:val="0"/>
    <w:rPr>
      <w:rFonts w:ascii="宋体" w:hAnsi="宋体" w:cs="宋体"/>
      <w:sz w:val="18"/>
      <w:szCs w:val="18"/>
      <w:lang w:eastAsia="en-US"/>
    </w:rPr>
  </w:style>
  <w:style w:type="paragraph" w:customStyle="1" w:styleId="254">
    <w:name w:val="封面居中1"/>
    <w:basedOn w:val="1"/>
    <w:qFormat/>
    <w:uiPriority w:val="99"/>
    <w:pPr>
      <w:adjustRightInd w:val="0"/>
      <w:spacing w:line="360" w:lineRule="auto"/>
      <w:jc w:val="center"/>
    </w:pPr>
    <w:rPr>
      <w:rFonts w:ascii="Calibri" w:hAnsi="Calibri" w:eastAsia="黑体"/>
      <w:b/>
      <w:sz w:val="44"/>
    </w:rPr>
  </w:style>
  <w:style w:type="paragraph" w:customStyle="1" w:styleId="255">
    <w:name w:val="*正文"/>
    <w:qFormat/>
    <w:uiPriority w:val="0"/>
    <w:pPr>
      <w:spacing w:line="360" w:lineRule="auto"/>
      <w:ind w:firstLine="200" w:firstLineChars="200"/>
    </w:pPr>
    <w:rPr>
      <w:rFonts w:ascii="仿宋_GB2312" w:hAnsi="Calibri" w:eastAsia="仿宋_GB2312" w:cs="Times New Roman"/>
      <w:szCs w:val="28"/>
      <w:lang w:val="en-US" w:eastAsia="zh-CN" w:bidi="ar-SA"/>
    </w:rPr>
  </w:style>
  <w:style w:type="paragraph" w:customStyle="1" w:styleId="256">
    <w:name w:val="正文 A"/>
    <w:qFormat/>
    <w:uiPriority w:val="0"/>
    <w:pPr>
      <w:widowControl w:val="0"/>
      <w:spacing w:before="120" w:after="120" w:line="360" w:lineRule="exact"/>
      <w:jc w:val="both"/>
    </w:pPr>
    <w:rPr>
      <w:rFonts w:ascii="Times New Roman" w:hAnsi="Times New Roman" w:eastAsia="宋体" w:cs="Arial Unicode MS"/>
      <w:color w:val="000000"/>
      <w:kern w:val="2"/>
      <w:sz w:val="24"/>
      <w:szCs w:val="24"/>
      <w:lang w:val="en-US" w:eastAsia="zh-CN" w:bidi="ar-SA"/>
    </w:rPr>
  </w:style>
  <w:style w:type="paragraph" w:customStyle="1" w:styleId="25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82</Pages>
  <Words>36499</Words>
  <Characters>38290</Characters>
  <Lines>288</Lines>
  <Paragraphs>81</Paragraphs>
  <TotalTime>27</TotalTime>
  <ScaleCrop>false</ScaleCrop>
  <LinksUpToDate>false</LinksUpToDate>
  <CharactersWithSpaces>39780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2024-09-02T10:19:00Z</dcterms:created>
  <dc:creator>Yin Hao</dc:creator>
  <cp:lastModifiedBy>汇诚金桥业务一部</cp:lastModifiedBy>
  <cp:lastPrinted>2024-08-03T12:36:00Z</cp:lastPrinted>
  <dcterms:modified xsi:type="dcterms:W3CDTF">2025-04-18T07:52:53Z</dcterms:modified>
  <dc:title>政府采购示范文本（2023）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364DA3BEDDE24796A71531C8BBA636C5_13</vt:lpwstr>
  </property>
  <property fmtid="{D5CDD505-2E9C-101B-9397-08002B2CF9AE}" pid="4" name="KSOTemplateDocerSaveRecord">
    <vt:lpwstr>eyJoZGlkIjoiYTI0N2QzN2M1MWRmOWJiMTc5Zjg4ZWViMTNiNTBhYjkiLCJ1c2VySWQiOiIxNTg3OTkxMzIyIn0=</vt:lpwstr>
  </property>
</Properties>
</file>