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6C62B5">
      <w:pPr>
        <w:pageBreakBefore w:val="0"/>
        <w:wordWrap/>
        <w:topLinePunct w:val="0"/>
        <w:bidi w:val="0"/>
        <w:spacing w:line="360" w:lineRule="auto"/>
        <w:rPr>
          <w:rFonts w:hint="eastAsia" w:ascii="宋体" w:hAnsi="宋体" w:eastAsia="宋体" w:cs="宋体"/>
          <w:sz w:val="60"/>
          <w:szCs w:val="60"/>
        </w:rPr>
      </w:pPr>
    </w:p>
    <w:p w14:paraId="6CF25800">
      <w:pPr>
        <w:pageBreakBefore w:val="0"/>
        <w:wordWrap/>
        <w:topLinePunct w:val="0"/>
        <w:bidi w:val="0"/>
        <w:spacing w:line="360" w:lineRule="auto"/>
        <w:rPr>
          <w:rFonts w:hint="eastAsia" w:ascii="宋体" w:hAnsi="宋体" w:eastAsia="宋体" w:cs="宋体"/>
          <w:sz w:val="60"/>
          <w:szCs w:val="60"/>
        </w:rPr>
      </w:pPr>
    </w:p>
    <w:p w14:paraId="0E14C420">
      <w:pPr>
        <w:pageBreakBefore w:val="0"/>
        <w:wordWrap/>
        <w:topLinePunct w:val="0"/>
        <w:bidi w:val="0"/>
        <w:spacing w:line="360" w:lineRule="auto"/>
        <w:ind w:firstLine="300" w:firstLineChars="50"/>
        <w:rPr>
          <w:rFonts w:hint="eastAsia" w:ascii="宋体" w:hAnsi="宋体" w:eastAsia="宋体" w:cs="宋体"/>
          <w:sz w:val="60"/>
          <w:szCs w:val="60"/>
          <w:highlight w:val="blue"/>
        </w:rPr>
      </w:pPr>
    </w:p>
    <w:p w14:paraId="3A5B32B6">
      <w:pPr>
        <w:pageBreakBefore w:val="0"/>
        <w:wordWrap/>
        <w:topLinePunct w:val="0"/>
        <w:bidi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公开招标文件</w:t>
      </w:r>
    </w:p>
    <w:p w14:paraId="31A128E0">
      <w:pPr>
        <w:pageBreakBefore w:val="0"/>
        <w:wordWrap/>
        <w:topLinePunct w:val="0"/>
        <w:bidi w:val="0"/>
        <w:spacing w:line="360" w:lineRule="auto"/>
        <w:jc w:val="center"/>
        <w:rPr>
          <w:rFonts w:hint="eastAsia" w:ascii="宋体" w:hAnsi="宋体" w:eastAsia="宋体" w:cs="宋体"/>
          <w:b/>
          <w:bCs/>
          <w:sz w:val="60"/>
          <w:szCs w:val="60"/>
        </w:rPr>
      </w:pPr>
    </w:p>
    <w:p w14:paraId="21FF887E">
      <w:pPr>
        <w:pageBreakBefore w:val="0"/>
        <w:wordWrap/>
        <w:topLinePunct w:val="0"/>
        <w:bidi w:val="0"/>
        <w:spacing w:line="360" w:lineRule="auto"/>
        <w:jc w:val="center"/>
        <w:rPr>
          <w:rFonts w:hint="eastAsia" w:ascii="宋体" w:hAnsi="宋体" w:eastAsia="宋体" w:cs="宋体"/>
          <w:sz w:val="60"/>
          <w:szCs w:val="60"/>
        </w:rPr>
      </w:pPr>
    </w:p>
    <w:p w14:paraId="49F2A816">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eastAsia" w:ascii="宋体" w:hAnsi="宋体" w:eastAsia="宋体" w:cs="宋体"/>
          <w:bCs/>
          <w:sz w:val="30"/>
          <w:szCs w:val="30"/>
          <w:lang w:eastAsia="zh-CN"/>
        </w:rPr>
      </w:pPr>
      <w:r>
        <w:rPr>
          <w:rFonts w:hint="eastAsia" w:ascii="宋体" w:hAnsi="宋体" w:eastAsia="宋体" w:cs="宋体"/>
          <w:bCs/>
          <w:sz w:val="30"/>
          <w:szCs w:val="30"/>
        </w:rPr>
        <w:t>项目名称：</w:t>
      </w:r>
      <w:r>
        <w:rPr>
          <w:rFonts w:hint="eastAsia" w:ascii="宋体" w:hAnsi="宋体" w:cs="宋体"/>
          <w:bCs/>
          <w:sz w:val="30"/>
          <w:szCs w:val="30"/>
          <w:lang w:eastAsia="zh-CN"/>
        </w:rPr>
        <w:t>通用公用经费物业管理服务采购项目</w:t>
      </w:r>
    </w:p>
    <w:p w14:paraId="4BE9833B">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sz w:val="30"/>
          <w:szCs w:val="30"/>
        </w:rPr>
        <w:t>项目编</w:t>
      </w:r>
      <w:r>
        <w:rPr>
          <w:rFonts w:hint="eastAsia" w:ascii="宋体" w:hAnsi="宋体" w:eastAsia="宋体" w:cs="宋体"/>
          <w:bCs/>
          <w:sz w:val="30"/>
          <w:szCs w:val="30"/>
          <w:highlight w:val="none"/>
        </w:rPr>
        <w:t>号：</w:t>
      </w:r>
      <w:r>
        <w:rPr>
          <w:rFonts w:hint="eastAsia" w:ascii="宋体" w:hAnsi="宋体" w:cs="宋体"/>
          <w:bCs/>
          <w:color w:val="auto"/>
          <w:sz w:val="30"/>
          <w:szCs w:val="30"/>
          <w:highlight w:val="none"/>
          <w:lang w:eastAsia="zh-CN"/>
        </w:rPr>
        <w:t>HCZX-2025-C0002</w:t>
      </w:r>
    </w:p>
    <w:p w14:paraId="36447D96">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default" w:ascii="宋体" w:hAnsi="宋体" w:eastAsia="宋体" w:cs="宋体"/>
          <w:bCs/>
          <w:sz w:val="30"/>
          <w:szCs w:val="30"/>
          <w:highlight w:val="none"/>
          <w:lang w:val="en-US" w:eastAsia="zh-CN"/>
        </w:rPr>
      </w:pPr>
      <w:r>
        <w:rPr>
          <w:rFonts w:hint="eastAsia" w:ascii="宋体" w:hAnsi="宋体" w:eastAsia="宋体" w:cs="宋体"/>
          <w:bCs/>
          <w:sz w:val="30"/>
          <w:szCs w:val="30"/>
        </w:rPr>
        <w:t>采 购 人：</w:t>
      </w:r>
      <w:r>
        <w:rPr>
          <w:rFonts w:hint="eastAsia" w:ascii="宋体" w:hAnsi="宋体" w:cs="宋体"/>
          <w:bCs/>
          <w:sz w:val="30"/>
          <w:szCs w:val="30"/>
          <w:lang w:eastAsia="zh-CN"/>
        </w:rPr>
        <w:t>北京市射击运动技术学校</w:t>
      </w:r>
    </w:p>
    <w:p w14:paraId="6A0E4A1E">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eastAsia" w:ascii="宋体" w:hAnsi="宋体" w:eastAsia="宋体" w:cs="宋体"/>
          <w:b/>
          <w:sz w:val="44"/>
          <w:szCs w:val="44"/>
          <w:highlight w:val="none"/>
        </w:rPr>
      </w:pPr>
      <w:r>
        <w:rPr>
          <w:rFonts w:hint="eastAsia" w:ascii="宋体" w:hAnsi="宋体" w:eastAsia="宋体" w:cs="宋体"/>
          <w:bCs/>
          <w:sz w:val="30"/>
          <w:szCs w:val="30"/>
          <w:highlight w:val="none"/>
        </w:rPr>
        <w:t>采购代理机构：</w:t>
      </w:r>
      <w:r>
        <w:rPr>
          <w:rFonts w:hint="eastAsia" w:ascii="宋体" w:hAnsi="宋体" w:cs="宋体"/>
          <w:bCs/>
          <w:sz w:val="30"/>
          <w:szCs w:val="30"/>
          <w:highlight w:val="none"/>
          <w:lang w:eastAsia="zh-CN"/>
        </w:rPr>
        <w:t>北京市怀柔区公共资源交易中心（北京市怀柔区政府采购中心）</w:t>
      </w:r>
      <w:r>
        <w:rPr>
          <w:rFonts w:hint="eastAsia" w:ascii="宋体" w:hAnsi="宋体" w:eastAsia="宋体" w:cs="宋体"/>
          <w:bCs/>
          <w:sz w:val="30"/>
          <w:szCs w:val="30"/>
          <w:highlight w:val="none"/>
        </w:rPr>
        <w:t xml:space="preserve"> </w:t>
      </w:r>
    </w:p>
    <w:p w14:paraId="03D740FD">
      <w:pPr>
        <w:pageBreakBefore w:val="0"/>
        <w:wordWrap/>
        <w:topLinePunct w:val="0"/>
        <w:bidi w:val="0"/>
        <w:spacing w:line="360" w:lineRule="auto"/>
        <w:ind w:firstLine="7228" w:firstLineChars="1000"/>
        <w:rPr>
          <w:rFonts w:hint="eastAsia" w:ascii="宋体" w:hAnsi="宋体" w:eastAsia="宋体" w:cs="宋体"/>
          <w:b/>
          <w:sz w:val="72"/>
          <w:highlight w:val="none"/>
        </w:rPr>
      </w:pPr>
    </w:p>
    <w:p w14:paraId="58F007ED">
      <w:pPr>
        <w:pStyle w:val="26"/>
        <w:rPr>
          <w:rFonts w:hint="eastAsia" w:ascii="宋体" w:hAnsi="宋体" w:eastAsia="宋体" w:cs="宋体"/>
          <w:b/>
          <w:sz w:val="72"/>
          <w:highlight w:val="none"/>
        </w:rPr>
      </w:pPr>
    </w:p>
    <w:p w14:paraId="19EA4D11">
      <w:pPr>
        <w:pStyle w:val="26"/>
        <w:ind w:left="0" w:leftChars="0" w:firstLine="0" w:firstLineChars="0"/>
        <w:jc w:val="center"/>
        <w:rPr>
          <w:rFonts w:hint="default" w:ascii="宋体" w:hAnsi="宋体" w:eastAsia="宋体" w:cs="宋体"/>
          <w:b w:val="0"/>
          <w:bCs/>
          <w:sz w:val="44"/>
          <w:szCs w:val="18"/>
          <w:highlight w:val="none"/>
          <w:lang w:val="en-US" w:eastAsia="zh-CN"/>
        </w:rPr>
        <w:sectPr>
          <w:headerReference r:id="rId3" w:type="first"/>
          <w:footerReference r:id="rId4" w:type="default"/>
          <w:footerReference r:id="rId5" w:type="even"/>
          <w:type w:val="nextColumn"/>
          <w:pgSz w:w="11907" w:h="16840"/>
          <w:pgMar w:top="1134" w:right="1134" w:bottom="1134" w:left="1134" w:header="851" w:footer="851" w:gutter="0"/>
          <w:pgNumType w:start="1"/>
          <w:cols w:space="720" w:num="1"/>
          <w:titlePg/>
          <w:docGrid w:linePitch="462" w:charSpace="0"/>
        </w:sectPr>
      </w:pPr>
      <w:r>
        <w:rPr>
          <w:rFonts w:hint="eastAsia" w:ascii="宋体" w:hAnsi="宋体" w:eastAsia="宋体" w:cs="宋体"/>
          <w:b w:val="0"/>
          <w:bCs/>
          <w:sz w:val="44"/>
          <w:szCs w:val="18"/>
          <w:highlight w:val="none"/>
          <w:lang w:val="en-US" w:eastAsia="zh-CN"/>
        </w:rPr>
        <w:t>2025年4月</w:t>
      </w:r>
    </w:p>
    <w:p w14:paraId="659C3564">
      <w:pPr>
        <w:pageBreakBefore w:val="0"/>
        <w:wordWrap/>
        <w:topLinePunct w:val="0"/>
        <w:bidi w:val="0"/>
        <w:spacing w:line="360" w:lineRule="auto"/>
        <w:jc w:val="center"/>
        <w:outlineLvl w:val="0"/>
        <w:rPr>
          <w:rFonts w:hint="eastAsia" w:ascii="宋体" w:hAnsi="宋体" w:eastAsia="宋体" w:cs="宋体"/>
          <w:b/>
          <w:sz w:val="36"/>
          <w:szCs w:val="36"/>
        </w:rPr>
      </w:pPr>
      <w:bookmarkStart w:id="0" w:name="_Toc99301418"/>
      <w:bookmarkStart w:id="1" w:name="_Toc13848"/>
      <w:bookmarkStart w:id="2" w:name="_Toc23332"/>
      <w:r>
        <w:rPr>
          <w:rFonts w:hint="eastAsia" w:ascii="宋体" w:hAnsi="宋体" w:eastAsia="宋体" w:cs="宋体"/>
          <w:b/>
          <w:sz w:val="36"/>
          <w:szCs w:val="36"/>
        </w:rPr>
        <w:t>目      录</w:t>
      </w:r>
      <w:bookmarkEnd w:id="0"/>
      <w:bookmarkEnd w:id="1"/>
      <w:bookmarkEnd w:id="2"/>
    </w:p>
    <w:p w14:paraId="72BCD81D">
      <w:pPr>
        <w:pageBreakBefore w:val="0"/>
        <w:wordWrap/>
        <w:topLinePunct w:val="0"/>
        <w:bidi w:val="0"/>
        <w:spacing w:line="360" w:lineRule="auto"/>
        <w:rPr>
          <w:rFonts w:hint="eastAsia" w:ascii="宋体" w:hAnsi="宋体" w:eastAsia="宋体" w:cs="宋体"/>
        </w:rPr>
      </w:pPr>
    </w:p>
    <w:p w14:paraId="67312B81">
      <w:pPr>
        <w:pageBreakBefore w:val="0"/>
        <w:wordWrap/>
        <w:topLinePunct w:val="0"/>
        <w:bidi w:val="0"/>
        <w:spacing w:line="360" w:lineRule="auto"/>
        <w:rPr>
          <w:rFonts w:hint="eastAsia" w:ascii="宋体" w:hAnsi="宋体" w:eastAsia="宋体" w:cs="宋体"/>
        </w:rPr>
      </w:pPr>
    </w:p>
    <w:p w14:paraId="5DBB6435">
      <w:pPr>
        <w:pageBreakBefore w:val="0"/>
        <w:wordWrap/>
        <w:topLinePunct w:val="0"/>
        <w:bidi w:val="0"/>
        <w:spacing w:line="360" w:lineRule="auto"/>
        <w:rPr>
          <w:rFonts w:hint="eastAsia" w:ascii="宋体" w:hAnsi="宋体" w:eastAsia="宋体" w:cs="宋体"/>
          <w:highlight w:val="yellow"/>
        </w:rPr>
      </w:pPr>
    </w:p>
    <w:p w14:paraId="4CDFFBE0">
      <w:pPr>
        <w:pStyle w:val="31"/>
        <w:tabs>
          <w:tab w:val="right" w:leader="dot" w:pos="9639"/>
          <w:tab w:val="clear" w:pos="1050"/>
          <w:tab w:val="clear" w:pos="8937"/>
        </w:tabs>
        <w:rPr>
          <w:highlight w:val="none"/>
        </w:rPr>
      </w:pPr>
      <w:r>
        <w:rPr>
          <w:rFonts w:hint="eastAsia" w:ascii="宋体" w:hAnsi="宋体" w:eastAsia="宋体" w:cs="宋体"/>
          <w:b w:val="0"/>
          <w:highlight w:val="yellow"/>
        </w:rPr>
        <w:fldChar w:fldCharType="begin"/>
      </w:r>
      <w:r>
        <w:rPr>
          <w:rFonts w:hint="eastAsia" w:ascii="宋体" w:hAnsi="宋体" w:eastAsia="宋体" w:cs="宋体"/>
          <w:b w:val="0"/>
          <w:highlight w:val="yellow"/>
        </w:rPr>
        <w:instrText xml:space="preserve"> TOC \o "1-1" \h \z \u </w:instrText>
      </w:r>
      <w:r>
        <w:rPr>
          <w:rFonts w:hint="eastAsia" w:ascii="宋体" w:hAnsi="宋体" w:eastAsia="宋体" w:cs="宋体"/>
          <w:b w:val="0"/>
          <w:highlight w:val="yellow"/>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_Toc25448 </w:instrText>
      </w:r>
      <w:r>
        <w:rPr>
          <w:rFonts w:hint="eastAsia" w:ascii="宋体" w:hAnsi="宋体" w:eastAsia="宋体" w:cs="宋体"/>
          <w:highlight w:val="none"/>
        </w:rPr>
        <w:fldChar w:fldCharType="separate"/>
      </w:r>
      <w:r>
        <w:rPr>
          <w:rFonts w:hint="eastAsia" w:ascii="宋体" w:hAnsi="宋体" w:eastAsia="宋体" w:cs="宋体"/>
          <w:szCs w:val="36"/>
          <w:highlight w:val="none"/>
        </w:rPr>
        <w:t xml:space="preserve">第一章   </w:t>
      </w:r>
      <w:r>
        <w:rPr>
          <w:rFonts w:hint="eastAsia" w:cs="宋体"/>
          <w:szCs w:val="36"/>
          <w:highlight w:val="none"/>
          <w:lang w:val="en-US" w:eastAsia="zh-CN"/>
        </w:rPr>
        <w:t>投标邀请</w:t>
      </w:r>
      <w:r>
        <w:rPr>
          <w:highlight w:val="none"/>
        </w:rPr>
        <w:tab/>
      </w:r>
      <w:r>
        <w:rPr>
          <w:highlight w:val="none"/>
        </w:rPr>
        <w:fldChar w:fldCharType="begin"/>
      </w:r>
      <w:r>
        <w:rPr>
          <w:highlight w:val="none"/>
        </w:rPr>
        <w:instrText xml:space="preserve"> PAGEREF _Toc25448 \h </w:instrText>
      </w:r>
      <w:r>
        <w:rPr>
          <w:highlight w:val="none"/>
        </w:rPr>
        <w:fldChar w:fldCharType="separate"/>
      </w:r>
      <w:r>
        <w:rPr>
          <w:highlight w:val="none"/>
        </w:rPr>
        <w:t>1</w:t>
      </w:r>
      <w:r>
        <w:rPr>
          <w:highlight w:val="none"/>
        </w:rPr>
        <w:fldChar w:fldCharType="end"/>
      </w:r>
      <w:r>
        <w:rPr>
          <w:rFonts w:hint="eastAsia" w:ascii="宋体" w:hAnsi="宋体" w:eastAsia="宋体" w:cs="宋体"/>
          <w:highlight w:val="none"/>
        </w:rPr>
        <w:fldChar w:fldCharType="end"/>
      </w:r>
    </w:p>
    <w:p w14:paraId="369034C1">
      <w:pPr>
        <w:pStyle w:val="31"/>
        <w:tabs>
          <w:tab w:val="right" w:leader="dot" w:pos="9639"/>
          <w:tab w:val="clear" w:pos="1050"/>
          <w:tab w:val="clear" w:pos="8937"/>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_Toc12229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第二章   投标人须知</w:t>
      </w:r>
      <w:r>
        <w:rPr>
          <w:highlight w:val="none"/>
        </w:rPr>
        <w:tab/>
      </w:r>
      <w:r>
        <w:rPr>
          <w:rFonts w:hint="eastAsia"/>
          <w:highlight w:val="none"/>
          <w:lang w:val="en-US" w:eastAsia="zh-CN"/>
        </w:rPr>
        <w:t>4</w:t>
      </w:r>
      <w:r>
        <w:rPr>
          <w:rFonts w:hint="eastAsia" w:ascii="宋体" w:hAnsi="宋体" w:eastAsia="宋体" w:cs="宋体"/>
          <w:highlight w:val="none"/>
        </w:rPr>
        <w:fldChar w:fldCharType="end"/>
      </w:r>
    </w:p>
    <w:p w14:paraId="71523C80">
      <w:pPr>
        <w:pStyle w:val="31"/>
        <w:tabs>
          <w:tab w:val="right" w:leader="dot" w:pos="9639"/>
          <w:tab w:val="clear" w:pos="1050"/>
          <w:tab w:val="clear" w:pos="8937"/>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_Toc8999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三</w:t>
      </w:r>
      <w:r>
        <w:rPr>
          <w:rFonts w:hint="eastAsia" w:ascii="宋体" w:hAnsi="宋体" w:eastAsia="宋体" w:cs="宋体"/>
          <w:highlight w:val="none"/>
        </w:rPr>
        <w:t xml:space="preserve">章   </w:t>
      </w:r>
      <w:r>
        <w:rPr>
          <w:rFonts w:hint="eastAsia" w:cs="宋体"/>
          <w:highlight w:val="none"/>
          <w:lang w:val="en-US" w:eastAsia="zh-CN"/>
        </w:rPr>
        <w:t>资格审查</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14:paraId="3C8D4046">
      <w:pPr>
        <w:pStyle w:val="31"/>
        <w:tabs>
          <w:tab w:val="right" w:leader="dot" w:pos="9639"/>
          <w:tab w:val="clear" w:pos="1050"/>
          <w:tab w:val="clear" w:pos="8937"/>
        </w:tabs>
        <w:rPr>
          <w:rFonts w:hint="eastAsia" w:eastAsia="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_Toc8999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cs="宋体"/>
          <w:szCs w:val="36"/>
          <w:highlight w:val="none"/>
          <w:lang w:val="en-US" w:eastAsia="zh-CN"/>
        </w:rPr>
        <w:t>四</w:t>
      </w:r>
      <w:r>
        <w:rPr>
          <w:rFonts w:hint="eastAsia" w:ascii="宋体" w:hAnsi="宋体" w:eastAsia="宋体" w:cs="宋体"/>
          <w:szCs w:val="36"/>
          <w:highlight w:val="none"/>
        </w:rPr>
        <w:t>章   评标程序、评标方法和评标标准</w:t>
      </w:r>
      <w:r>
        <w:rPr>
          <w:highlight w:val="none"/>
        </w:rPr>
        <w:tab/>
      </w:r>
      <w:r>
        <w:rPr>
          <w:rFonts w:hint="eastAsia"/>
          <w:highlight w:val="none"/>
          <w:lang w:val="en-US" w:eastAsia="zh-CN"/>
        </w:rPr>
        <w:t>2</w:t>
      </w:r>
      <w:r>
        <w:rPr>
          <w:rFonts w:hint="eastAsia" w:ascii="宋体" w:hAnsi="宋体" w:eastAsia="宋体" w:cs="宋体"/>
          <w:highlight w:val="none"/>
        </w:rPr>
        <w:fldChar w:fldCharType="end"/>
      </w:r>
      <w:r>
        <w:rPr>
          <w:rFonts w:hint="eastAsia" w:cs="宋体"/>
          <w:highlight w:val="none"/>
          <w:lang w:val="en-US" w:eastAsia="zh-CN"/>
        </w:rPr>
        <w:t>1</w:t>
      </w:r>
    </w:p>
    <w:p w14:paraId="5B633C34">
      <w:pPr>
        <w:pStyle w:val="31"/>
        <w:tabs>
          <w:tab w:val="right" w:leader="dot" w:pos="9639"/>
          <w:tab w:val="clear" w:pos="1050"/>
          <w:tab w:val="clear" w:pos="8937"/>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_Toc5904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cs="宋体"/>
          <w:szCs w:val="36"/>
          <w:highlight w:val="none"/>
          <w:lang w:val="en-US" w:eastAsia="zh-CN"/>
        </w:rPr>
        <w:t>五</w:t>
      </w:r>
      <w:r>
        <w:rPr>
          <w:rFonts w:hint="eastAsia" w:ascii="宋体" w:hAnsi="宋体" w:eastAsia="宋体" w:cs="宋体"/>
          <w:szCs w:val="36"/>
          <w:highlight w:val="none"/>
        </w:rPr>
        <w:t>章   采购需求</w:t>
      </w:r>
      <w:r>
        <w:rPr>
          <w:highlight w:val="none"/>
        </w:rPr>
        <w:tab/>
      </w:r>
      <w:r>
        <w:rPr>
          <w:rFonts w:hint="eastAsia"/>
          <w:highlight w:val="none"/>
          <w:lang w:val="en-US" w:eastAsia="zh-CN"/>
        </w:rPr>
        <w:t>2</w:t>
      </w:r>
      <w:r>
        <w:rPr>
          <w:rFonts w:hint="eastAsia" w:ascii="宋体" w:hAnsi="宋体" w:eastAsia="宋体" w:cs="宋体"/>
          <w:highlight w:val="none"/>
        </w:rPr>
        <w:fldChar w:fldCharType="end"/>
      </w:r>
      <w:r>
        <w:rPr>
          <w:rFonts w:hint="eastAsia" w:cs="宋体"/>
          <w:highlight w:val="none"/>
          <w:lang w:val="en-US" w:eastAsia="zh-CN"/>
        </w:rPr>
        <w:t>9</w:t>
      </w:r>
    </w:p>
    <w:p w14:paraId="0E4AA3A2">
      <w:pPr>
        <w:pStyle w:val="31"/>
        <w:tabs>
          <w:tab w:val="right" w:leader="dot" w:pos="9639"/>
          <w:tab w:val="clear" w:pos="1050"/>
          <w:tab w:val="clear" w:pos="8937"/>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_Toc5904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cs="宋体"/>
          <w:highlight w:val="none"/>
          <w:lang w:val="en-US" w:eastAsia="zh-CN"/>
        </w:rPr>
        <w:t>六</w:t>
      </w:r>
      <w:r>
        <w:rPr>
          <w:rFonts w:hint="eastAsia" w:ascii="宋体" w:hAnsi="宋体" w:eastAsia="宋体" w:cs="宋体"/>
          <w:highlight w:val="none"/>
        </w:rPr>
        <w:t>章   拟签订的合同文本</w:t>
      </w:r>
      <w:r>
        <w:rPr>
          <w:rFonts w:hint="eastAsia" w:ascii="宋体" w:hAnsi="宋体" w:eastAsia="宋体" w:cs="宋体"/>
          <w:highlight w:val="none"/>
        </w:rPr>
        <w:tab/>
      </w:r>
      <w:r>
        <w:rPr>
          <w:rFonts w:hint="eastAsia" w:cs="宋体"/>
          <w:highlight w:val="none"/>
          <w:lang w:val="en-US" w:eastAsia="zh-CN"/>
        </w:rPr>
        <w:t>3</w:t>
      </w:r>
      <w:r>
        <w:rPr>
          <w:rFonts w:hint="eastAsia" w:ascii="宋体" w:hAnsi="宋体" w:eastAsia="宋体" w:cs="宋体"/>
          <w:highlight w:val="none"/>
        </w:rPr>
        <w:fldChar w:fldCharType="end"/>
      </w:r>
      <w:r>
        <w:rPr>
          <w:rFonts w:hint="eastAsia" w:cs="宋体"/>
          <w:highlight w:val="none"/>
          <w:lang w:val="en-US" w:eastAsia="zh-CN"/>
        </w:rPr>
        <w:t>6</w:t>
      </w:r>
    </w:p>
    <w:p w14:paraId="7A06DC4A">
      <w:pPr>
        <w:pStyle w:val="31"/>
        <w:tabs>
          <w:tab w:val="right" w:leader="dot" w:pos="9639"/>
          <w:tab w:val="clear" w:pos="1050"/>
          <w:tab w:val="clear" w:pos="8937"/>
        </w:tabs>
        <w:rPr>
          <w:rFonts w:hint="default"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_Toc25364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cs="宋体"/>
          <w:highlight w:val="none"/>
          <w:lang w:val="en-US" w:eastAsia="zh-CN"/>
        </w:rPr>
        <w:t>七</w:t>
      </w:r>
      <w:r>
        <w:rPr>
          <w:rFonts w:hint="eastAsia" w:ascii="宋体" w:hAnsi="宋体" w:eastAsia="宋体" w:cs="宋体"/>
          <w:highlight w:val="none"/>
        </w:rPr>
        <w:t>章   投标文件格式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cs="宋体"/>
          <w:highlight w:val="none"/>
          <w:lang w:val="en-US" w:eastAsia="zh-CN"/>
        </w:rPr>
        <w:t>49</w:t>
      </w:r>
    </w:p>
    <w:p w14:paraId="3A7362D0">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rPr>
      </w:pPr>
      <w:r>
        <w:rPr>
          <w:rFonts w:hint="eastAsia" w:ascii="宋体" w:hAnsi="宋体" w:eastAsia="宋体" w:cs="宋体"/>
          <w:highlight w:val="yellow"/>
        </w:rPr>
        <w:fldChar w:fldCharType="end"/>
      </w:r>
    </w:p>
    <w:p w14:paraId="0C10C5E3">
      <w:pPr>
        <w:pageBreakBefore w:val="0"/>
        <w:wordWrap/>
        <w:topLinePunct w:val="0"/>
        <w:bidi w:val="0"/>
        <w:spacing w:line="360" w:lineRule="auto"/>
        <w:jc w:val="center"/>
        <w:outlineLvl w:val="0"/>
        <w:rPr>
          <w:rFonts w:hint="eastAsia" w:ascii="宋体" w:hAnsi="宋体" w:eastAsia="宋体" w:cs="宋体"/>
          <w:b/>
          <w:sz w:val="36"/>
          <w:szCs w:val="36"/>
        </w:rPr>
        <w:sectPr>
          <w:headerReference r:id="rId6" w:type="first"/>
          <w:footerReference r:id="rId7" w:type="default"/>
          <w:type w:val="nextColumn"/>
          <w:pgSz w:w="11907" w:h="16840"/>
          <w:pgMar w:top="1134" w:right="1134" w:bottom="1134" w:left="1134" w:header="851" w:footer="851" w:gutter="0"/>
          <w:pgNumType w:start="0"/>
          <w:cols w:space="720" w:num="1"/>
          <w:titlePg/>
          <w:docGrid w:linePitch="462" w:charSpace="0"/>
        </w:sectPr>
      </w:pPr>
    </w:p>
    <w:p w14:paraId="17A60B38">
      <w:pPr>
        <w:pageBreakBefore w:val="0"/>
        <w:wordWrap/>
        <w:topLinePunct w:val="0"/>
        <w:bidi w:val="0"/>
        <w:spacing w:line="360" w:lineRule="auto"/>
        <w:jc w:val="center"/>
        <w:outlineLvl w:val="0"/>
        <w:rPr>
          <w:rFonts w:hint="eastAsia" w:ascii="宋体" w:hAnsi="宋体" w:eastAsia="宋体" w:cs="宋体"/>
          <w:color w:val="auto"/>
          <w:sz w:val="32"/>
          <w:szCs w:val="32"/>
          <w:highlight w:val="none"/>
          <w:lang w:eastAsia="zh-CN"/>
        </w:rPr>
      </w:pPr>
      <w:bookmarkStart w:id="3" w:name="_Toc25448"/>
      <w:r>
        <w:rPr>
          <w:rFonts w:hint="eastAsia" w:ascii="宋体" w:hAnsi="宋体" w:eastAsia="宋体" w:cs="宋体"/>
          <w:b/>
          <w:color w:val="auto"/>
          <w:sz w:val="36"/>
          <w:szCs w:val="36"/>
          <w:highlight w:val="none"/>
        </w:rPr>
        <w:t xml:space="preserve">第一章   </w:t>
      </w:r>
      <w:bookmarkEnd w:id="3"/>
      <w:r>
        <w:rPr>
          <w:rFonts w:hint="eastAsia" w:ascii="宋体" w:hAnsi="宋体" w:cs="宋体"/>
          <w:b/>
          <w:color w:val="auto"/>
          <w:sz w:val="36"/>
          <w:szCs w:val="36"/>
          <w:highlight w:val="none"/>
          <w:lang w:val="en-US" w:eastAsia="zh-CN"/>
        </w:rPr>
        <w:t>投标邀请</w:t>
      </w:r>
    </w:p>
    <w:p w14:paraId="262ADB8F">
      <w:pPr>
        <w:pageBreakBefore w:val="0"/>
        <w:numPr>
          <w:ilvl w:val="0"/>
          <w:numId w:val="9"/>
        </w:numPr>
        <w:wordWrap/>
        <w:topLinePunct w:val="0"/>
        <w:bidi w:val="0"/>
        <w:spacing w:line="360" w:lineRule="auto"/>
        <w:rPr>
          <w:rFonts w:hint="eastAsia" w:ascii="宋体" w:hAnsi="宋体" w:eastAsia="宋体" w:cs="宋体"/>
          <w:b/>
          <w:bCs/>
          <w:color w:val="auto"/>
          <w:sz w:val="24"/>
          <w:highlight w:val="none"/>
        </w:rPr>
      </w:pPr>
      <w:bookmarkStart w:id="4" w:name="_Toc28359089"/>
      <w:bookmarkStart w:id="5" w:name="_Toc35393798"/>
      <w:bookmarkStart w:id="6" w:name="_Toc35393629"/>
      <w:bookmarkStart w:id="7" w:name="_Toc28359012"/>
      <w:bookmarkStart w:id="8" w:name="_Toc28359003"/>
      <w:bookmarkStart w:id="9" w:name="_Toc28359080"/>
      <w:bookmarkStart w:id="10" w:name="_Toc35393791"/>
      <w:bookmarkStart w:id="11" w:name="_Toc35393622"/>
      <w:r>
        <w:rPr>
          <w:rFonts w:hint="eastAsia" w:ascii="宋体" w:hAnsi="宋体" w:eastAsia="宋体" w:cs="宋体"/>
          <w:b/>
          <w:bCs/>
          <w:color w:val="auto"/>
          <w:sz w:val="24"/>
          <w:highlight w:val="none"/>
        </w:rPr>
        <w:t>项目基本情况</w:t>
      </w:r>
      <w:bookmarkEnd w:id="4"/>
      <w:bookmarkEnd w:id="5"/>
      <w:bookmarkEnd w:id="6"/>
      <w:bookmarkEnd w:id="7"/>
    </w:p>
    <w:p w14:paraId="48886555">
      <w:pPr>
        <w:pageBreakBefore w:val="0"/>
        <w:wordWrap/>
        <w:topLinePunct w:val="0"/>
        <w:bidi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HCZX-2025-C0002</w:t>
      </w:r>
    </w:p>
    <w:p w14:paraId="266F9983">
      <w:pPr>
        <w:pageBreakBefore w:val="0"/>
        <w:wordWrap/>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通用公用经费物业管理服务采购项目</w:t>
      </w:r>
    </w:p>
    <w:p w14:paraId="66566CCE">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采购方式：公开招标</w:t>
      </w:r>
    </w:p>
    <w:p w14:paraId="4A70EE00">
      <w:pPr>
        <w:pageBreakBefore w:val="0"/>
        <w:wordWrap/>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项目预算金额：</w:t>
      </w:r>
      <w:r>
        <w:rPr>
          <w:rFonts w:hint="eastAsia" w:ascii="宋体" w:hAnsi="宋体" w:cs="宋体"/>
          <w:color w:val="auto"/>
          <w:sz w:val="24"/>
          <w:szCs w:val="24"/>
          <w:highlight w:val="none"/>
        </w:rPr>
        <w:t>144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2772</w:t>
      </w:r>
      <w:r>
        <w:rPr>
          <w:rFonts w:hint="eastAsia" w:ascii="宋体" w:hAnsi="宋体" w:eastAsia="宋体" w:cs="宋体"/>
          <w:color w:val="auto"/>
          <w:sz w:val="24"/>
          <w:highlight w:val="none"/>
          <w:lang w:val="en-US" w:eastAsia="zh-CN"/>
        </w:rPr>
        <w:t>万元；</w:t>
      </w:r>
    </w:p>
    <w:p w14:paraId="2AFB550C">
      <w:pPr>
        <w:widowControl/>
        <w:spacing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服务期限：</w:t>
      </w:r>
      <w:r>
        <w:rPr>
          <w:rFonts w:hint="eastAsia" w:ascii="宋体" w:hAnsi="宋体" w:cs="宋体"/>
          <w:color w:val="auto"/>
          <w:kern w:val="0"/>
          <w:sz w:val="24"/>
          <w:szCs w:val="24"/>
        </w:rPr>
        <w:t>2025年4月1日 至 2025年12月31日</w:t>
      </w:r>
      <w:r>
        <w:rPr>
          <w:rFonts w:hint="eastAsia" w:ascii="宋体" w:hAnsi="宋体" w:eastAsia="宋体" w:cs="宋体"/>
          <w:color w:val="auto"/>
          <w:sz w:val="24"/>
          <w:highlight w:val="none"/>
        </w:rPr>
        <w:t>。</w:t>
      </w:r>
    </w:p>
    <w:p w14:paraId="19F5E4DA">
      <w:pPr>
        <w:pageBreakBefore w:val="0"/>
        <w:wordWrap/>
        <w:topLinePunct w:val="0"/>
        <w:bidi w:val="0"/>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采购需求：具体采购需求详见招标文件。</w:t>
      </w:r>
    </w:p>
    <w:p w14:paraId="74528F8D">
      <w:pPr>
        <w:pageBreakBefore w:val="0"/>
        <w:wordWrap/>
        <w:topLinePunct w:val="0"/>
        <w:bidi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合同履行期限：以甲方要求为准。 </w:t>
      </w:r>
    </w:p>
    <w:p w14:paraId="66E64D71">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w:t>
      </w:r>
    </w:p>
    <w:p w14:paraId="5BE304B9">
      <w:pPr>
        <w:pStyle w:val="3"/>
        <w:pageBreakBefore w:val="0"/>
        <w:numPr>
          <w:ilvl w:val="0"/>
          <w:numId w:val="9"/>
        </w:numPr>
        <w:wordWrap/>
        <w:topLinePunct w:val="0"/>
        <w:bidi w:val="0"/>
        <w:spacing w:line="360" w:lineRule="auto"/>
        <w:ind w:left="0" w:leftChars="0" w:firstLine="0" w:firstLineChars="0"/>
        <w:jc w:val="left"/>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申请人的资格要求</w:t>
      </w:r>
      <w:r>
        <w:rPr>
          <w:rFonts w:hint="eastAsia" w:ascii="宋体" w:hAnsi="宋体" w:eastAsia="宋体" w:cs="宋体"/>
          <w:b w:val="0"/>
          <w:color w:val="auto"/>
          <w:sz w:val="24"/>
          <w:szCs w:val="24"/>
          <w:highlight w:val="none"/>
        </w:rPr>
        <w:t>：</w:t>
      </w:r>
      <w:bookmarkEnd w:id="8"/>
      <w:bookmarkEnd w:id="9"/>
      <w:bookmarkEnd w:id="10"/>
      <w:bookmarkEnd w:id="11"/>
      <w:bookmarkStart w:id="12" w:name="_Toc35393792"/>
      <w:bookmarkStart w:id="13" w:name="_Toc35393623"/>
    </w:p>
    <w:p w14:paraId="2FC445A7">
      <w:pPr>
        <w:pStyle w:val="45"/>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17A12FA4">
      <w:pPr>
        <w:pStyle w:val="45"/>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10C5AF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14:paraId="414FFFD5">
      <w:pPr>
        <w:spacing w:line="360" w:lineRule="auto"/>
        <w:ind w:left="0" w:leftChars="0" w:firstLine="482" w:firstLineChars="230"/>
        <w:rPr>
          <w:rFonts w:hint="eastAsia" w:ascii="宋体" w:hAnsi="宋体" w:eastAsia="宋体" w:cs="宋体"/>
          <w:color w:val="auto"/>
          <w:sz w:val="24"/>
          <w:highlight w:val="none"/>
        </w:rPr>
      </w:pPr>
      <w:r>
        <w:rPr>
          <w:rFonts w:hint="eastAsia" w:ascii="宋体" w:hAnsi="宋体" w:cs="宋体"/>
          <w:color w:val="auto"/>
          <w:highlight w:val="none"/>
          <w:lang w:eastAsia="zh-CN"/>
        </w:rPr>
        <w:t>□</w:t>
      </w:r>
      <w:r>
        <w:rPr>
          <w:rFonts w:hint="eastAsia" w:ascii="宋体" w:hAnsi="宋体" w:eastAsia="宋体" w:cs="宋体"/>
          <w:color w:val="auto"/>
          <w:sz w:val="24"/>
          <w:highlight w:val="none"/>
        </w:rPr>
        <w:t>本项目不专门面向中小企业预留采购份额。</w:t>
      </w:r>
    </w:p>
    <w:p w14:paraId="7DFC56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 xml:space="preserve">本项目专门面向  </w:t>
      </w:r>
      <w:r>
        <w:rPr>
          <w:rFonts w:hint="eastAsia" w:ascii="宋体" w:hAnsi="宋体" w:cs="宋体"/>
          <w:color w:val="auto"/>
          <w:highlight w:val="none"/>
          <w:lang w:eastAsia="zh-CN"/>
        </w:rPr>
        <w:t>□</w:t>
      </w:r>
      <w:r>
        <w:rPr>
          <w:rFonts w:hint="eastAsia" w:ascii="宋体" w:hAnsi="宋体" w:eastAsia="宋体" w:cs="宋体"/>
          <w:color w:val="auto"/>
          <w:sz w:val="24"/>
          <w:highlight w:val="none"/>
        </w:rPr>
        <w:t xml:space="preserve">中小 </w:t>
      </w:r>
      <w:r>
        <w:rPr>
          <w:rFonts w:hint="eastAsia" w:ascii="宋体" w:hAnsi="宋体" w:cs="宋体"/>
          <w:color w:val="auto"/>
          <w:highlight w:val="none"/>
          <w:lang w:eastAsia="zh-CN"/>
        </w:rPr>
        <w:t>☑</w:t>
      </w:r>
      <w:r>
        <w:rPr>
          <w:rFonts w:hint="eastAsia" w:ascii="宋体" w:hAnsi="宋体" w:eastAsia="宋体" w:cs="宋体"/>
          <w:color w:val="auto"/>
          <w:sz w:val="24"/>
          <w:highlight w:val="none"/>
        </w:rPr>
        <w:t>小微企业  采购。即：提供的货物全部由符合政策要求的</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企业制造、服务全部由符合政策要求的</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企业承接。</w:t>
      </w:r>
    </w:p>
    <w:p w14:paraId="7180E45F">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451EC9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其它落实政府采购政策的资格要求（如有）：</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6F9E2275">
      <w:pPr>
        <w:spacing w:line="360" w:lineRule="auto"/>
        <w:ind w:firstLine="480" w:firstLineChars="200"/>
        <w:rPr>
          <w:rFonts w:hint="eastAsia" w:ascii="宋体" w:hAnsi="宋体" w:eastAsia="宋体" w:cs="宋体"/>
          <w:i/>
          <w:iCs/>
          <w:color w:val="auto"/>
          <w:sz w:val="24"/>
          <w:highlight w:val="none"/>
          <w:u w:val="single"/>
        </w:rPr>
      </w:pPr>
      <w:r>
        <w:rPr>
          <w:rFonts w:hint="eastAsia" w:ascii="宋体" w:hAnsi="宋体" w:eastAsia="宋体" w:cs="宋体"/>
          <w:color w:val="auto"/>
          <w:sz w:val="24"/>
          <w:highlight w:val="none"/>
        </w:rPr>
        <w:t>3.本项目的特定资格要求：</w:t>
      </w:r>
    </w:p>
    <w:p w14:paraId="71CC81E2">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本项目是否属于政府购买服务：</w:t>
      </w:r>
    </w:p>
    <w:p w14:paraId="4C4C78D2">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24"/>
          <w:highlight w:val="none"/>
        </w:rPr>
        <w:t>否</w:t>
      </w:r>
    </w:p>
    <w:p w14:paraId="72E4C995">
      <w:pPr>
        <w:tabs>
          <w:tab w:val="left" w:pos="900"/>
          <w:tab w:val="left" w:pos="1134"/>
          <w:tab w:val="left" w:pos="1589"/>
          <w:tab w:val="left" w:pos="5521"/>
        </w:tabs>
        <w:snapToGrid w:val="0"/>
        <w:spacing w:line="360" w:lineRule="auto"/>
        <w:ind w:firstLine="1050" w:firstLineChars="500"/>
        <w:rPr>
          <w:rFonts w:hint="eastAsia" w:ascii="宋体" w:hAnsi="宋体"/>
          <w:strike w:val="0"/>
          <w:dstrike w:val="0"/>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是，公益一类事业单位、使用事业编制且由财政拨款保障的群团组织，不得作为承接主体；</w:t>
      </w:r>
    </w:p>
    <w:p w14:paraId="620C55E0">
      <w:pPr>
        <w:tabs>
          <w:tab w:val="left" w:pos="900"/>
          <w:tab w:val="left" w:pos="1134"/>
          <w:tab w:val="left" w:pos="1589"/>
          <w:tab w:val="left" w:pos="5521"/>
        </w:tabs>
        <w:snapToGrid w:val="0"/>
        <w:spacing w:line="360" w:lineRule="auto"/>
        <w:ind w:firstLine="480" w:firstLineChars="200"/>
        <w:rPr>
          <w:rFonts w:hint="default" w:ascii="宋体" w:hAnsi="宋体"/>
          <w:strike w:val="0"/>
          <w:dstrike w:val="0"/>
          <w:sz w:val="24"/>
          <w:highlight w:val="none"/>
          <w:lang w:val="en-US" w:eastAsia="zh-CN"/>
        </w:rPr>
      </w:pPr>
      <w:r>
        <w:rPr>
          <w:rFonts w:hint="eastAsia" w:ascii="宋体" w:hAnsi="宋体"/>
          <w:strike w:val="0"/>
          <w:dstrike w:val="0"/>
          <w:sz w:val="24"/>
          <w:highlight w:val="none"/>
        </w:rPr>
        <w:t>3.</w:t>
      </w:r>
      <w:r>
        <w:rPr>
          <w:rFonts w:hint="eastAsia" w:ascii="宋体" w:hAnsi="宋体"/>
          <w:strike w:val="0"/>
          <w:dstrike w:val="0"/>
          <w:sz w:val="24"/>
          <w:highlight w:val="none"/>
          <w:lang w:val="en-US" w:eastAsia="zh-CN"/>
        </w:rPr>
        <w:t>2</w:t>
      </w:r>
      <w:r>
        <w:rPr>
          <w:rFonts w:hint="eastAsia" w:ascii="宋体" w:hAnsi="宋体"/>
          <w:strike w:val="0"/>
          <w:dstrike w:val="0"/>
          <w:sz w:val="24"/>
          <w:highlight w:val="none"/>
        </w:rPr>
        <w:t>其他特定资格要求：</w:t>
      </w:r>
      <w:r>
        <w:rPr>
          <w:rFonts w:hint="eastAsia" w:ascii="宋体" w:hAnsi="宋体"/>
          <w:strike w:val="0"/>
          <w:dstrike w:val="0"/>
          <w:sz w:val="24"/>
          <w:highlight w:val="none"/>
          <w:u w:val="single"/>
        </w:rPr>
        <w:t>供应商近三年无行贿</w:t>
      </w:r>
      <w:r>
        <w:rPr>
          <w:rFonts w:hint="eastAsia" w:ascii="宋体" w:hAnsi="宋体"/>
          <w:strike w:val="0"/>
          <w:dstrike w:val="0"/>
          <w:sz w:val="24"/>
          <w:highlight w:val="none"/>
          <w:u w:val="single"/>
          <w:lang w:val="en-US" w:eastAsia="zh-CN"/>
        </w:rPr>
        <w:t>犯罪行为</w:t>
      </w:r>
      <w:r>
        <w:rPr>
          <w:rFonts w:hint="eastAsia" w:ascii="宋体" w:hAnsi="宋体"/>
          <w:strike w:val="0"/>
          <w:dstrike w:val="0"/>
          <w:sz w:val="24"/>
          <w:highlight w:val="none"/>
          <w:lang w:val="en-US" w:eastAsia="zh-CN"/>
        </w:rPr>
        <w:t>。</w:t>
      </w:r>
    </w:p>
    <w:p w14:paraId="573CE5BE">
      <w:pPr>
        <w:pStyle w:val="3"/>
        <w:pageBreakBefore w:val="0"/>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bookmarkEnd w:id="12"/>
      <w:bookmarkEnd w:id="13"/>
    </w:p>
    <w:p w14:paraId="60E98C9E">
      <w:pPr>
        <w:spacing w:line="360" w:lineRule="auto"/>
        <w:ind w:firstLine="540"/>
        <w:rPr>
          <w:rFonts w:hint="eastAsia" w:ascii="宋体" w:hAnsi="宋体" w:cs="宋体"/>
          <w:color w:val="auto"/>
          <w:sz w:val="24"/>
          <w:highlight w:val="none"/>
        </w:rPr>
      </w:pPr>
      <w:bookmarkStart w:id="14" w:name="_Toc28359082"/>
      <w:bookmarkStart w:id="15" w:name="_Toc28359005"/>
      <w:bookmarkStart w:id="16" w:name="_Toc35393793"/>
      <w:bookmarkStart w:id="17" w:name="_Toc35393624"/>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w:t>
      </w:r>
      <w:r>
        <w:rPr>
          <w:rFonts w:hint="eastAsia" w:ascii="宋体" w:hAnsi="宋体" w:cs="宋体"/>
          <w:color w:val="auto"/>
          <w:sz w:val="24"/>
          <w:highlight w:val="none"/>
          <w:u w:val="single"/>
        </w:rPr>
        <w:t>09:</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sz w:val="24"/>
          <w:highlight w:val="none"/>
        </w:rPr>
        <w:t>（北京时间，法定节假日除外）</w:t>
      </w:r>
    </w:p>
    <w:p w14:paraId="4F47FFB6">
      <w:pPr>
        <w:adjustRightInd w:val="0"/>
        <w:snapToGrid w:val="0"/>
        <w:spacing w:line="360" w:lineRule="auto"/>
        <w:ind w:firstLine="480" w:firstLineChars="200"/>
        <w:rPr>
          <w:color w:val="auto"/>
          <w:sz w:val="24"/>
          <w:highlight w:val="none"/>
        </w:rPr>
      </w:pPr>
      <w:r>
        <w:rPr>
          <w:color w:val="auto"/>
          <w:sz w:val="24"/>
          <w:highlight w:val="none"/>
          <w:lang w:bidi="ar"/>
        </w:rPr>
        <w:t>地点：北京市政府采购电子交易平台</w:t>
      </w:r>
    </w:p>
    <w:p w14:paraId="6D9D34B8">
      <w:pPr>
        <w:pStyle w:val="45"/>
        <w:spacing w:line="360" w:lineRule="auto"/>
        <w:ind w:firstLine="480" w:firstLineChars="200"/>
        <w:rPr>
          <w:rFonts w:hint="eastAsia" w:cs="宋体"/>
          <w:bCs/>
          <w:highlight w:val="none"/>
          <w:lang w:val="zh-TW" w:eastAsia="zh-CN"/>
        </w:rPr>
      </w:pPr>
      <w:r>
        <w:rPr>
          <w:rFonts w:hint="eastAsia" w:ascii="宋体" w:hAnsi="宋体" w:eastAsia="宋体" w:cs="宋体"/>
          <w:color w:val="auto"/>
          <w:kern w:val="2"/>
          <w:sz w:val="24"/>
          <w:szCs w:val="24"/>
          <w:highlight w:val="none"/>
          <w:lang w:val="en-US" w:eastAsia="zh-CN" w:bidi="ar-SA"/>
        </w:rPr>
        <w:t>方式：供应商使用CA 数字证书或电子营业执照登录北京市政府采购电子交易平台（http://zbcg-bjzc.zhongcy.com/bjczj-portal-site/index.html#/home ）获取电子版招标文件。</w:t>
      </w:r>
    </w:p>
    <w:p w14:paraId="26B8D8C7">
      <w:pPr>
        <w:pStyle w:val="3"/>
        <w:pageBreakBefore w:val="0"/>
        <w:kinsoku/>
        <w:wordWrap/>
        <w:overflowPunct/>
        <w:topLinePunct w:val="0"/>
        <w:bidi w:val="0"/>
        <w:snapToGrid/>
        <w:spacing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四、提交投标文件</w:t>
      </w:r>
      <w:bookmarkEnd w:id="14"/>
      <w:bookmarkEnd w:id="15"/>
      <w:r>
        <w:rPr>
          <w:rFonts w:hint="eastAsia" w:ascii="宋体" w:hAnsi="宋体" w:eastAsia="宋体" w:cs="宋体"/>
          <w:color w:val="auto"/>
          <w:sz w:val="24"/>
          <w:szCs w:val="24"/>
          <w:highlight w:val="none"/>
        </w:rPr>
        <w:t>截止时间、开标时间和地点</w:t>
      </w:r>
      <w:bookmarkEnd w:id="16"/>
      <w:bookmarkEnd w:id="17"/>
    </w:p>
    <w:p w14:paraId="1EAD43ED">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u w:val="singl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分(北京时间)</w:t>
      </w:r>
    </w:p>
    <w:p w14:paraId="66D9792B">
      <w:pPr>
        <w:pStyle w:val="3"/>
        <w:pageBreakBefore w:val="0"/>
        <w:widowControl w:val="0"/>
        <w:kinsoku/>
        <w:wordWrap/>
        <w:overflowPunct/>
        <w:topLinePunct w:val="0"/>
        <w:bidi w:val="0"/>
        <w:snapToGrid/>
        <w:spacing w:line="440" w:lineRule="exact"/>
        <w:ind w:firstLine="480" w:firstLineChars="200"/>
        <w:jc w:val="left"/>
        <w:textAlignment w:val="auto"/>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地点：</w:t>
      </w:r>
      <w:bookmarkStart w:id="18" w:name="_Toc35393794"/>
      <w:bookmarkStart w:id="19" w:name="_Toc28359084"/>
      <w:bookmarkStart w:id="20" w:name="_Toc28359007"/>
      <w:bookmarkStart w:id="21" w:name="_Toc35393625"/>
      <w:r>
        <w:rPr>
          <w:rFonts w:hint="eastAsia" w:ascii="宋体" w:hAnsi="宋体" w:eastAsia="宋体" w:cs="宋体"/>
          <w:b w:val="0"/>
          <w:bCs/>
          <w:sz w:val="24"/>
          <w:szCs w:val="24"/>
          <w:highlight w:val="none"/>
        </w:rPr>
        <w:t>采用远程电子开标方式，投标人使用CA认证证书登录北京市政府采购电子交易平台参与电子开标。投标人自行对电子投标文件进行解密，不接受纸质文件，无须投标人到达现场。</w:t>
      </w:r>
    </w:p>
    <w:p w14:paraId="3E2A7FA4">
      <w:pPr>
        <w:pStyle w:val="3"/>
        <w:pageBreakBefore w:val="0"/>
        <w:widowControl w:val="0"/>
        <w:kinsoku/>
        <w:wordWrap/>
        <w:overflowPunct/>
        <w:topLinePunct w:val="0"/>
        <w:bidi w:val="0"/>
        <w:snapToGrid/>
        <w:spacing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五、公告期限</w:t>
      </w:r>
      <w:bookmarkEnd w:id="18"/>
      <w:bookmarkEnd w:id="19"/>
      <w:bookmarkEnd w:id="20"/>
      <w:bookmarkEnd w:id="21"/>
    </w:p>
    <w:p w14:paraId="2F5CE309">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bookmarkStart w:id="22" w:name="_Toc35393626"/>
      <w:bookmarkStart w:id="23" w:name="_Toc35393795"/>
    </w:p>
    <w:p w14:paraId="1F6B127B">
      <w:pPr>
        <w:keepNext w:val="0"/>
        <w:keepLines w:val="0"/>
        <w:pageBreakBefore w:val="0"/>
        <w:widowControl w:val="0"/>
        <w:numPr>
          <w:ilvl w:val="0"/>
          <w:numId w:val="1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其他补充事宜</w:t>
      </w:r>
      <w:bookmarkEnd w:id="22"/>
      <w:bookmarkEnd w:id="23"/>
      <w:bookmarkStart w:id="24" w:name="_Toc28359008"/>
      <w:bookmarkStart w:id="25" w:name="_Toc35393796"/>
      <w:bookmarkStart w:id="26" w:name="_Toc35393627"/>
      <w:bookmarkStart w:id="27" w:name="_Toc28359085"/>
    </w:p>
    <w:p w14:paraId="32A4F215">
      <w:pPr>
        <w:pStyle w:val="1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ascii="宋体" w:hAnsi="宋体" w:cs="宋体"/>
          <w:color w:val="auto"/>
          <w:sz w:val="24"/>
          <w:highlight w:val="none"/>
        </w:rPr>
        <w:t>1.</w:t>
      </w:r>
      <w:r>
        <w:rPr>
          <w:rFonts w:hint="eastAsia" w:ascii="宋体" w:hAnsi="宋体" w:eastAsia="宋体" w:cs="宋体"/>
          <w:b w:val="0"/>
          <w:bCs/>
          <w:kern w:val="0"/>
          <w:sz w:val="24"/>
          <w:szCs w:val="24"/>
          <w:highlight w:val="none"/>
          <w:lang w:val="zh-TW" w:eastAsia="zh-CN" w:bidi="ar-SA"/>
        </w:rPr>
        <w:t>本项目需要落实的政府采购政策:</w:t>
      </w:r>
    </w:p>
    <w:p w14:paraId="1B857F76">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《政府采购促进中小企业发展管理办法》（财库﹝2020﹞46号；</w:t>
      </w:r>
    </w:p>
    <w:p w14:paraId="744C6C28">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en-US" w:eastAsia="zh-CN" w:bidi="ar-SA"/>
        </w:rPr>
        <w:t>2.</w:t>
      </w:r>
      <w:r>
        <w:rPr>
          <w:rFonts w:hint="eastAsia" w:ascii="宋体" w:hAnsi="宋体" w:eastAsia="宋体" w:cs="宋体"/>
          <w:b w:val="0"/>
          <w:bCs/>
          <w:kern w:val="0"/>
          <w:sz w:val="24"/>
          <w:szCs w:val="24"/>
          <w:highlight w:val="none"/>
          <w:lang w:val="zh-TW" w:eastAsia="zh-CN" w:bidi="ar-SA"/>
        </w:rPr>
        <w:t>《北京市人民政府关于进一步支持小型微型企业发展的意见》-京政发〔2012〕40号；</w:t>
      </w:r>
    </w:p>
    <w:p w14:paraId="3241FF6A">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en-US" w:eastAsia="zh-CN" w:bidi="ar-SA"/>
        </w:rPr>
        <w:t>3.</w:t>
      </w:r>
      <w:r>
        <w:rPr>
          <w:rFonts w:hint="eastAsia" w:ascii="宋体" w:hAnsi="宋体" w:eastAsia="宋体" w:cs="宋体"/>
          <w:b w:val="0"/>
          <w:bCs/>
          <w:kern w:val="0"/>
          <w:sz w:val="24"/>
          <w:szCs w:val="24"/>
          <w:highlight w:val="none"/>
          <w:lang w:val="zh-TW" w:eastAsia="zh-CN" w:bidi="ar-SA"/>
        </w:rPr>
        <w:t>《财政部司法部关于政府采购支持监狱企业发展有关问题的通知》-财库〔2014〕68号；</w:t>
      </w:r>
    </w:p>
    <w:p w14:paraId="24ABA123">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4</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《关于促进残疾人就业政府采购政策的通知》-财库〔2017〕141号；</w:t>
      </w:r>
    </w:p>
    <w:p w14:paraId="0D41D10B">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en-US"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5</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《国务院办公厅关于建立政府强制采购节能产品制度的通知》-国办发〔2007〕51号；</w:t>
      </w:r>
    </w:p>
    <w:p w14:paraId="67AC23EF">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6</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《环境标志产品政府采购实施的意见》-财库[2006]90号；</w:t>
      </w:r>
    </w:p>
    <w:p w14:paraId="3C0F0DA8">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7</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《关于调整优化节能产品、环境标志产品政府采购执行机制的通知》-财库〔2019〕9号；</w:t>
      </w:r>
    </w:p>
    <w:p w14:paraId="4C0F425D">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8</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《关于开展政府采购信用担保试点工作的通知》（财库【2011】124号）。</w:t>
      </w:r>
    </w:p>
    <w:p w14:paraId="27DF03A2">
      <w:pPr>
        <w:pStyle w:val="17"/>
        <w:spacing w:before="308" w:line="302" w:lineRule="auto"/>
        <w:ind w:left="4" w:right="2" w:firstLine="494"/>
        <w:jc w:val="both"/>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本项目采用全流程电子化采购方式，请供应商认真学习北京市政府采购电子交易</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平台发布的相关操作手册（供应商可在交易平台下载相关手册</w:t>
      </w:r>
      <w:r>
        <w:rPr>
          <w:rFonts w:hint="eastAsia" w:ascii="宋体" w:hAnsi="宋体" w:eastAsia="宋体" w:cs="宋体"/>
          <w:spacing w:val="-54"/>
          <w:sz w:val="24"/>
          <w:szCs w:val="24"/>
        </w:rPr>
        <w:t>）</w:t>
      </w:r>
      <w:r>
        <w:rPr>
          <w:rFonts w:hint="eastAsia" w:ascii="宋体" w:hAnsi="宋体" w:eastAsia="宋体" w:cs="宋体"/>
          <w:spacing w:val="-1"/>
          <w:sz w:val="24"/>
          <w:szCs w:val="24"/>
        </w:rPr>
        <w:t>办理CA数字证书或电子营业执照、进行北京市政府采购电子交易平台注册绑定，并认真核实CA</w:t>
      </w:r>
      <w:r>
        <w:rPr>
          <w:rFonts w:hint="eastAsia" w:ascii="宋体" w:hAnsi="宋体" w:eastAsia="宋体" w:cs="宋体"/>
          <w:spacing w:val="-2"/>
          <w:sz w:val="24"/>
          <w:szCs w:val="24"/>
        </w:rPr>
        <w:t>数字证书</w:t>
      </w:r>
      <w:r>
        <w:rPr>
          <w:rFonts w:hint="eastAsia" w:ascii="宋体" w:hAnsi="宋体" w:eastAsia="宋体" w:cs="宋体"/>
          <w:sz w:val="24"/>
          <w:szCs w:val="24"/>
        </w:rPr>
        <w:t>或电子营业执照情况确认是否符合本项目电子化采购</w:t>
      </w:r>
      <w:r>
        <w:rPr>
          <w:rFonts w:hint="eastAsia" w:ascii="宋体" w:hAnsi="宋体" w:eastAsia="宋体" w:cs="宋体"/>
          <w:spacing w:val="-1"/>
          <w:sz w:val="24"/>
          <w:szCs w:val="24"/>
        </w:rPr>
        <w:t>流程要求。</w:t>
      </w:r>
    </w:p>
    <w:p w14:paraId="57D381A9">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z w:val="24"/>
          <w:szCs w:val="24"/>
        </w:rPr>
        <w:t>CA</w:t>
      </w:r>
      <w:r>
        <w:rPr>
          <w:rFonts w:hint="eastAsia" w:ascii="宋体" w:hAnsi="宋体" w:eastAsia="宋体" w:cs="宋体"/>
          <w:spacing w:val="8"/>
          <w:sz w:val="24"/>
          <w:szCs w:val="24"/>
        </w:rPr>
        <w:t>数字证书服务热线</w:t>
      </w:r>
      <w:r>
        <w:rPr>
          <w:rFonts w:hint="eastAsia" w:ascii="宋体" w:hAnsi="宋体" w:eastAsia="宋体" w:cs="宋体"/>
          <w:spacing w:val="72"/>
          <w:sz w:val="24"/>
          <w:szCs w:val="24"/>
        </w:rPr>
        <w:t xml:space="preserve"> </w:t>
      </w:r>
      <w:r>
        <w:rPr>
          <w:rFonts w:hint="eastAsia" w:cs="宋体"/>
          <w:spacing w:val="72"/>
          <w:sz w:val="24"/>
          <w:szCs w:val="24"/>
          <w:lang w:val="en-US" w:eastAsia="zh-CN"/>
        </w:rPr>
        <w:t xml:space="preserve">  </w:t>
      </w:r>
      <w:r>
        <w:rPr>
          <w:rFonts w:hint="eastAsia" w:ascii="宋体" w:hAnsi="宋体" w:eastAsia="宋体" w:cs="宋体"/>
          <w:spacing w:val="8"/>
          <w:sz w:val="24"/>
          <w:szCs w:val="24"/>
        </w:rPr>
        <w:t>010-58511086</w:t>
      </w:r>
      <w:r>
        <w:rPr>
          <w:rFonts w:hint="eastAsia" w:ascii="宋体" w:hAnsi="宋体" w:eastAsia="宋体" w:cs="宋体"/>
          <w:sz w:val="24"/>
          <w:szCs w:val="24"/>
        </w:rPr>
        <w:t xml:space="preserve"> </w:t>
      </w:r>
    </w:p>
    <w:p w14:paraId="1E0FDC7C">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电子营业执照服务热线</w:t>
      </w:r>
      <w:r>
        <w:rPr>
          <w:rFonts w:hint="eastAsia" w:cs="宋体"/>
          <w:spacing w:val="8"/>
          <w:sz w:val="24"/>
          <w:szCs w:val="24"/>
          <w:lang w:val="en-US" w:eastAsia="zh-CN"/>
        </w:rPr>
        <w:t xml:space="preserve">  </w:t>
      </w:r>
      <w:r>
        <w:rPr>
          <w:rFonts w:hint="eastAsia" w:ascii="宋体" w:hAnsi="宋体" w:eastAsia="宋体" w:cs="宋体"/>
          <w:spacing w:val="70"/>
          <w:w w:val="101"/>
          <w:sz w:val="24"/>
          <w:szCs w:val="24"/>
        </w:rPr>
        <w:t xml:space="preserve"> </w:t>
      </w:r>
      <w:r>
        <w:rPr>
          <w:rFonts w:hint="eastAsia" w:ascii="宋体" w:hAnsi="宋体" w:eastAsia="宋体" w:cs="宋体"/>
          <w:spacing w:val="8"/>
          <w:sz w:val="24"/>
          <w:szCs w:val="24"/>
        </w:rPr>
        <w:t>400-699-7000</w:t>
      </w:r>
      <w:r>
        <w:rPr>
          <w:rFonts w:hint="eastAsia" w:ascii="宋体" w:hAnsi="宋体" w:eastAsia="宋体" w:cs="宋体"/>
          <w:sz w:val="24"/>
          <w:szCs w:val="24"/>
        </w:rPr>
        <w:t xml:space="preserve"> </w:t>
      </w:r>
    </w:p>
    <w:p w14:paraId="66EAEB8D">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pacing w:val="9"/>
          <w:sz w:val="24"/>
          <w:szCs w:val="24"/>
        </w:rPr>
        <w:t>技术支持服务热线</w:t>
      </w:r>
      <w:r>
        <w:rPr>
          <w:rFonts w:hint="eastAsia" w:ascii="宋体" w:hAnsi="宋体" w:eastAsia="宋体" w:cs="宋体"/>
          <w:spacing w:val="14"/>
          <w:sz w:val="24"/>
          <w:szCs w:val="24"/>
        </w:rPr>
        <w:t xml:space="preserve">    </w:t>
      </w:r>
      <w:r>
        <w:rPr>
          <w:rFonts w:hint="eastAsia" w:cs="宋体"/>
          <w:spacing w:val="14"/>
          <w:sz w:val="24"/>
          <w:szCs w:val="24"/>
          <w:lang w:val="en-US" w:eastAsia="zh-CN"/>
        </w:rPr>
        <w:t xml:space="preserve"> </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010-86483801</w:t>
      </w:r>
      <w:r>
        <w:rPr>
          <w:rFonts w:hint="eastAsia" w:ascii="宋体" w:hAnsi="宋体" w:eastAsia="宋体" w:cs="宋体"/>
          <w:sz w:val="24"/>
          <w:szCs w:val="24"/>
        </w:rPr>
        <w:t xml:space="preserve">  </w:t>
      </w:r>
    </w:p>
    <w:p w14:paraId="22D2795F">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1 办理 CA 数字证书或电子营业执照</w:t>
      </w:r>
    </w:p>
    <w:p w14:paraId="7FF83FC7">
      <w:pPr>
        <w:pStyle w:val="17"/>
        <w:spacing w:before="11" w:line="300" w:lineRule="auto"/>
        <w:ind w:left="14" w:right="175" w:firstLine="469"/>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供应商登录北京市政府采购电子交易平台查阅</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“操作指南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“市场</w:t>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主体 </w:t>
      </w:r>
      <w:r>
        <w:rPr>
          <w:rFonts w:hint="eastAsia" w:ascii="宋体" w:hAnsi="宋体" w:eastAsia="宋体" w:cs="宋体"/>
          <w:sz w:val="24"/>
          <w:szCs w:val="24"/>
        </w:rPr>
        <w:t>CA</w:t>
      </w:r>
      <w:r>
        <w:rPr>
          <w:rFonts w:hint="eastAsia" w:ascii="宋体" w:hAnsi="宋体" w:eastAsia="宋体" w:cs="宋体"/>
          <w:spacing w:val="1"/>
          <w:sz w:val="24"/>
          <w:szCs w:val="24"/>
        </w:rPr>
        <w:t xml:space="preserve"> 办理操作流程指引</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电子营业执照使用指南</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”，按照程序要求办理。</w:t>
      </w:r>
    </w:p>
    <w:p w14:paraId="4FBA234D">
      <w:pPr>
        <w:pStyle w:val="17"/>
        <w:spacing w:before="15" w:line="201" w:lineRule="auto"/>
        <w:ind w:left="498"/>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.2 注册</w:t>
      </w:r>
    </w:p>
    <w:p w14:paraId="0DEBB6D9">
      <w:pPr>
        <w:pStyle w:val="17"/>
        <w:spacing w:before="174" w:line="302" w:lineRule="auto"/>
        <w:ind w:left="5" w:firstLine="479"/>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“操作指南</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“市场主体注</w:t>
      </w:r>
      <w:r>
        <w:rPr>
          <w:rFonts w:hint="eastAsia" w:ascii="宋体" w:hAnsi="宋体" w:eastAsia="宋体" w:cs="宋体"/>
          <w:sz w:val="24"/>
          <w:szCs w:val="24"/>
        </w:rPr>
        <w:t xml:space="preserve"> 册入库操作流程指引</w:t>
      </w:r>
      <w:r>
        <w:rPr>
          <w:rFonts w:hint="eastAsia" w:ascii="宋体" w:hAnsi="宋体" w:eastAsia="宋体" w:cs="宋体"/>
          <w:spacing w:val="-35"/>
          <w:sz w:val="24"/>
          <w:szCs w:val="24"/>
        </w:rPr>
        <w:t xml:space="preserve"> </w:t>
      </w:r>
      <w:r>
        <w:rPr>
          <w:rFonts w:hint="eastAsia" w:ascii="宋体" w:hAnsi="宋体" w:eastAsia="宋体" w:cs="宋体"/>
          <w:sz w:val="24"/>
          <w:szCs w:val="24"/>
        </w:rPr>
        <w:t>”进行自助注册绑定。</w:t>
      </w:r>
    </w:p>
    <w:p w14:paraId="63F8F2AD">
      <w:pPr>
        <w:pStyle w:val="17"/>
        <w:spacing w:before="9" w:line="200" w:lineRule="auto"/>
        <w:ind w:left="498"/>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.3 驱动、客户端下载</w:t>
      </w:r>
    </w:p>
    <w:p w14:paraId="3530B89C">
      <w:pPr>
        <w:pStyle w:val="17"/>
        <w:spacing w:before="180" w:line="300" w:lineRule="auto"/>
        <w:ind w:left="7" w:right="55" w:firstLine="477"/>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“工具下载</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“招标采</w:t>
      </w:r>
      <w:r>
        <w:rPr>
          <w:rFonts w:hint="eastAsia" w:ascii="宋体" w:hAnsi="宋体" w:eastAsia="宋体" w:cs="宋体"/>
          <w:spacing w:val="2"/>
          <w:sz w:val="24"/>
          <w:szCs w:val="24"/>
        </w:rPr>
        <w:t>购系</w:t>
      </w:r>
      <w:r>
        <w:rPr>
          <w:rFonts w:hint="eastAsia" w:ascii="宋体" w:hAnsi="宋体" w:eastAsia="宋体" w:cs="宋体"/>
          <w:sz w:val="24"/>
          <w:szCs w:val="24"/>
        </w:rPr>
        <w:t xml:space="preserve"> 统文件驱动安装包</w:t>
      </w:r>
      <w:r>
        <w:rPr>
          <w:rFonts w:hint="eastAsia" w:ascii="宋体" w:hAnsi="宋体" w:eastAsia="宋体" w:cs="宋体"/>
          <w:spacing w:val="-37"/>
          <w:sz w:val="24"/>
          <w:szCs w:val="24"/>
        </w:rPr>
        <w:t xml:space="preserve"> </w:t>
      </w:r>
      <w:r>
        <w:rPr>
          <w:rFonts w:hint="eastAsia" w:ascii="宋体" w:hAnsi="宋体" w:eastAsia="宋体" w:cs="宋体"/>
          <w:sz w:val="24"/>
          <w:szCs w:val="24"/>
        </w:rPr>
        <w:t>”下载相关驱动。</w:t>
      </w:r>
    </w:p>
    <w:p w14:paraId="3088099A">
      <w:pPr>
        <w:pStyle w:val="17"/>
        <w:spacing w:before="13" w:line="301" w:lineRule="auto"/>
        <w:ind w:left="6" w:firstLine="478"/>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“工具下载</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“投标文件编</w:t>
      </w:r>
      <w:r>
        <w:rPr>
          <w:rFonts w:hint="eastAsia" w:ascii="宋体" w:hAnsi="宋体" w:eastAsia="宋体" w:cs="宋体"/>
          <w:sz w:val="24"/>
          <w:szCs w:val="24"/>
        </w:rPr>
        <w:t xml:space="preserve"> </w:t>
      </w:r>
      <w:r>
        <w:rPr>
          <w:rFonts w:hint="eastAsia" w:ascii="宋体" w:hAnsi="宋体" w:eastAsia="宋体" w:cs="宋体"/>
          <w:spacing w:val="1"/>
          <w:sz w:val="24"/>
          <w:szCs w:val="24"/>
        </w:rPr>
        <w:t>制工具</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”下载相关客户端。</w:t>
      </w:r>
    </w:p>
    <w:p w14:paraId="3DDB822A">
      <w:pPr>
        <w:pStyle w:val="17"/>
        <w:spacing w:before="9" w:line="201" w:lineRule="auto"/>
        <w:ind w:left="498"/>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.4</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获取电子招标文件</w:t>
      </w:r>
    </w:p>
    <w:p w14:paraId="6DFA91FE">
      <w:pPr>
        <w:pStyle w:val="17"/>
        <w:spacing w:before="177" w:line="302" w:lineRule="auto"/>
        <w:ind w:left="7" w:right="2" w:firstLine="477"/>
        <w:rPr>
          <w:rFonts w:hint="eastAsia" w:ascii="宋体" w:hAnsi="宋体" w:eastAsia="宋体" w:cs="宋体"/>
          <w:sz w:val="24"/>
          <w:szCs w:val="24"/>
        </w:rPr>
      </w:pPr>
      <w:r>
        <w:rPr>
          <w:rFonts w:hint="eastAsia" w:ascii="宋体" w:hAnsi="宋体" w:eastAsia="宋体" w:cs="宋体"/>
          <w:spacing w:val="-1"/>
          <w:sz w:val="24"/>
          <w:szCs w:val="24"/>
        </w:rPr>
        <w:t>供应商使用 CA 数字证书或电子营业执照登录北京市政府采购电子交</w:t>
      </w:r>
      <w:r>
        <w:rPr>
          <w:rFonts w:hint="eastAsia" w:ascii="宋体" w:hAnsi="宋体" w:eastAsia="宋体" w:cs="宋体"/>
          <w:spacing w:val="-2"/>
          <w:sz w:val="24"/>
          <w:szCs w:val="24"/>
        </w:rPr>
        <w:t>易平台获取电</w:t>
      </w:r>
      <w:r>
        <w:rPr>
          <w:rFonts w:hint="eastAsia" w:ascii="宋体" w:hAnsi="宋体" w:eastAsia="宋体" w:cs="宋体"/>
          <w:sz w:val="24"/>
          <w:szCs w:val="24"/>
        </w:rPr>
        <w:t xml:space="preserve"> </w:t>
      </w:r>
      <w:r>
        <w:rPr>
          <w:rFonts w:hint="eastAsia" w:ascii="宋体" w:hAnsi="宋体" w:eastAsia="宋体" w:cs="宋体"/>
          <w:spacing w:val="-2"/>
          <w:sz w:val="24"/>
          <w:szCs w:val="24"/>
        </w:rPr>
        <w:t>子招标文件。</w:t>
      </w:r>
    </w:p>
    <w:p w14:paraId="22344C82">
      <w:pPr>
        <w:pStyle w:val="17"/>
        <w:spacing w:before="10" w:line="302" w:lineRule="auto"/>
        <w:ind w:left="5" w:right="1" w:firstLine="479"/>
        <w:jc w:val="both"/>
        <w:rPr>
          <w:rFonts w:hint="eastAsia" w:ascii="宋体" w:hAnsi="宋体" w:eastAsia="宋体" w:cs="宋体"/>
          <w:sz w:val="24"/>
          <w:szCs w:val="24"/>
        </w:rPr>
      </w:pPr>
      <w:r>
        <w:rPr>
          <w:rFonts w:hint="eastAsia" w:ascii="宋体" w:hAnsi="宋体" w:eastAsia="宋体" w:cs="宋体"/>
          <w:spacing w:val="-1"/>
          <w:sz w:val="24"/>
          <w:szCs w:val="24"/>
        </w:rPr>
        <w:t>供应商如计划参与多个采购包的投标，应在</w:t>
      </w:r>
      <w:r>
        <w:rPr>
          <w:rFonts w:hint="eastAsia" w:ascii="宋体" w:hAnsi="宋体" w:eastAsia="宋体" w:cs="宋体"/>
          <w:spacing w:val="-2"/>
          <w:sz w:val="24"/>
          <w:szCs w:val="24"/>
        </w:rPr>
        <w:t>登录北京市政府采购电子交易平台后，</w:t>
      </w:r>
      <w:r>
        <w:rPr>
          <w:rFonts w:hint="eastAsia" w:ascii="宋体" w:hAnsi="宋体" w:eastAsia="宋体" w:cs="宋体"/>
          <w:sz w:val="24"/>
          <w:szCs w:val="24"/>
        </w:rPr>
        <w:t xml:space="preserve"> </w:t>
      </w:r>
      <w:r>
        <w:rPr>
          <w:rFonts w:hint="eastAsia" w:ascii="宋体" w:hAnsi="宋体" w:eastAsia="宋体" w:cs="宋体"/>
          <w:spacing w:val="2"/>
          <w:sz w:val="24"/>
          <w:szCs w:val="24"/>
        </w:rPr>
        <w:t>在【我的项目】栏目依次选择对应采购包</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，进入项目工作台招标/采购文件环</w:t>
      </w:r>
      <w:r>
        <w:rPr>
          <w:rFonts w:hint="eastAsia" w:ascii="宋体" w:hAnsi="宋体" w:eastAsia="宋体" w:cs="宋体"/>
          <w:spacing w:val="1"/>
          <w:sz w:val="24"/>
          <w:szCs w:val="24"/>
        </w:rPr>
        <w:t>节分别按</w:t>
      </w:r>
      <w:r>
        <w:rPr>
          <w:rFonts w:hint="eastAsia" w:ascii="宋体" w:hAnsi="宋体" w:eastAsia="宋体" w:cs="宋体"/>
          <w:sz w:val="24"/>
          <w:szCs w:val="24"/>
        </w:rPr>
        <w:t xml:space="preserve"> </w:t>
      </w:r>
      <w:r>
        <w:rPr>
          <w:rFonts w:hint="eastAsia" w:ascii="宋体" w:hAnsi="宋体" w:eastAsia="宋体" w:cs="宋体"/>
          <w:spacing w:val="-1"/>
          <w:sz w:val="24"/>
          <w:szCs w:val="24"/>
        </w:rPr>
        <w:t>采购包下载招标文件电子版。未在规定期限内按上</w:t>
      </w:r>
      <w:r>
        <w:rPr>
          <w:rFonts w:hint="eastAsia" w:ascii="宋体" w:hAnsi="宋体" w:eastAsia="宋体" w:cs="宋体"/>
          <w:spacing w:val="-2"/>
          <w:sz w:val="24"/>
          <w:szCs w:val="24"/>
        </w:rPr>
        <w:t>述操作获取文件的采购包，供应商无</w:t>
      </w:r>
      <w:r>
        <w:rPr>
          <w:rFonts w:hint="eastAsia" w:ascii="宋体" w:hAnsi="宋体" w:eastAsia="宋体" w:cs="宋体"/>
          <w:sz w:val="24"/>
          <w:szCs w:val="24"/>
        </w:rPr>
        <w:t xml:space="preserve"> </w:t>
      </w:r>
      <w:r>
        <w:rPr>
          <w:rFonts w:hint="eastAsia" w:ascii="宋体" w:hAnsi="宋体" w:eastAsia="宋体" w:cs="宋体"/>
          <w:spacing w:val="-1"/>
          <w:sz w:val="24"/>
          <w:szCs w:val="24"/>
        </w:rPr>
        <w:t>法提交相应包的电子投标文件。</w:t>
      </w:r>
    </w:p>
    <w:p w14:paraId="70F59D6E">
      <w:pPr>
        <w:pStyle w:val="17"/>
        <w:spacing w:before="11" w:line="201" w:lineRule="auto"/>
        <w:ind w:left="498"/>
        <w:rPr>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 xml:space="preserve">.5 </w:t>
      </w:r>
      <w:r>
        <w:rPr>
          <w:spacing w:val="1"/>
          <w:sz w:val="24"/>
          <w:szCs w:val="24"/>
        </w:rPr>
        <w:t>编制电子投标文件</w:t>
      </w:r>
    </w:p>
    <w:p w14:paraId="1DF083B6">
      <w:pPr>
        <w:pStyle w:val="17"/>
        <w:spacing w:before="307" w:line="300" w:lineRule="auto"/>
        <w:ind w:left="1" w:firstLine="6"/>
        <w:rPr>
          <w:rFonts w:hint="eastAsia" w:ascii="宋体" w:hAnsi="宋体" w:eastAsia="宋体" w:cs="宋体"/>
          <w:sz w:val="24"/>
          <w:szCs w:val="24"/>
          <w:lang w:eastAsia="zh-CN"/>
        </w:rPr>
      </w:pPr>
      <w:r>
        <w:rPr>
          <w:spacing w:val="-1"/>
          <w:sz w:val="24"/>
          <w:szCs w:val="24"/>
        </w:rPr>
        <w:t>供应商应使用电子投标客户端编制电子投标</w:t>
      </w:r>
      <w:r>
        <w:rPr>
          <w:spacing w:val="-2"/>
          <w:sz w:val="24"/>
          <w:szCs w:val="24"/>
        </w:rPr>
        <w:t>文件并进行线上投标，供应商电子投标</w:t>
      </w:r>
      <w:r>
        <w:rPr>
          <w:spacing w:val="-3"/>
          <w:sz w:val="24"/>
          <w:szCs w:val="24"/>
        </w:rPr>
        <w:t>文件需要加密并加盖电子签章，如无法按照要求在电子投标文件中加盖电子签章和加密，</w:t>
      </w:r>
      <w:r>
        <w:rPr>
          <w:spacing w:val="13"/>
          <w:sz w:val="24"/>
          <w:szCs w:val="24"/>
        </w:rPr>
        <w:t xml:space="preserve"> </w:t>
      </w:r>
      <w:r>
        <w:rPr>
          <w:spacing w:val="-1"/>
          <w:sz w:val="24"/>
          <w:szCs w:val="24"/>
        </w:rPr>
        <w:t>请及时通过技术支持服务热线联系技术人员</w:t>
      </w:r>
      <w:r>
        <w:rPr>
          <w:rFonts w:hint="eastAsia"/>
          <w:spacing w:val="-1"/>
          <w:sz w:val="24"/>
          <w:szCs w:val="24"/>
          <w:lang w:eastAsia="zh-CN"/>
        </w:rPr>
        <w:t>。</w:t>
      </w:r>
    </w:p>
    <w:p w14:paraId="0856192A">
      <w:pPr>
        <w:pStyle w:val="17"/>
        <w:spacing w:before="15" w:line="201" w:lineRule="auto"/>
        <w:ind w:left="498"/>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.6 提交电子投标文件</w:t>
      </w:r>
    </w:p>
    <w:p w14:paraId="1DD04C4C">
      <w:pPr>
        <w:pStyle w:val="17"/>
        <w:spacing w:before="176" w:line="300" w:lineRule="auto"/>
        <w:ind w:left="4" w:right="192" w:firstLine="480"/>
        <w:rPr>
          <w:rFonts w:hint="eastAsia" w:ascii="宋体" w:hAnsi="宋体" w:eastAsia="宋体" w:cs="宋体"/>
          <w:sz w:val="24"/>
          <w:szCs w:val="24"/>
        </w:rPr>
      </w:pPr>
      <w:r>
        <w:rPr>
          <w:rFonts w:hint="eastAsia" w:ascii="宋体" w:hAnsi="宋体" w:eastAsia="宋体" w:cs="宋体"/>
          <w:spacing w:val="-1"/>
          <w:sz w:val="24"/>
          <w:szCs w:val="24"/>
        </w:rPr>
        <w:t>供应商应于投标截止时间前在北京市政府采</w:t>
      </w:r>
      <w:r>
        <w:rPr>
          <w:rFonts w:hint="eastAsia" w:ascii="宋体" w:hAnsi="宋体" w:eastAsia="宋体" w:cs="宋体"/>
          <w:spacing w:val="-2"/>
          <w:sz w:val="24"/>
          <w:szCs w:val="24"/>
        </w:rPr>
        <w:t>购电子交易平台提交电子投标文件，上</w:t>
      </w:r>
      <w:r>
        <w:rPr>
          <w:rFonts w:hint="eastAsia" w:ascii="宋体" w:hAnsi="宋体" w:eastAsia="宋体" w:cs="宋体"/>
          <w:sz w:val="24"/>
          <w:szCs w:val="24"/>
        </w:rPr>
        <w:t xml:space="preserve"> </w:t>
      </w:r>
      <w:r>
        <w:rPr>
          <w:rFonts w:hint="eastAsia" w:ascii="宋体" w:hAnsi="宋体" w:eastAsia="宋体" w:cs="宋体"/>
          <w:spacing w:val="-1"/>
          <w:sz w:val="24"/>
          <w:szCs w:val="24"/>
        </w:rPr>
        <w:t>传电子投标文件过程中请保持与互联网的连接畅通。</w:t>
      </w:r>
    </w:p>
    <w:p w14:paraId="24DC071C">
      <w:pPr>
        <w:pStyle w:val="17"/>
        <w:spacing w:before="13" w:line="201" w:lineRule="auto"/>
        <w:ind w:left="498"/>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w:t>
      </w:r>
      <w:r>
        <w:rPr>
          <w:rFonts w:hint="eastAsia" w:ascii="宋体" w:hAnsi="宋体" w:eastAsia="宋体" w:cs="宋体"/>
          <w:spacing w:val="19"/>
          <w:sz w:val="24"/>
          <w:szCs w:val="24"/>
        </w:rPr>
        <w:t xml:space="preserve"> </w:t>
      </w:r>
      <w:r>
        <w:rPr>
          <w:rFonts w:hint="eastAsia" w:ascii="宋体" w:hAnsi="宋体" w:eastAsia="宋体" w:cs="宋体"/>
          <w:sz w:val="24"/>
          <w:szCs w:val="24"/>
        </w:rPr>
        <w:t>电子开标</w:t>
      </w:r>
    </w:p>
    <w:p w14:paraId="5A0C997B">
      <w:pPr>
        <w:pStyle w:val="17"/>
        <w:spacing w:before="175" w:line="302" w:lineRule="auto"/>
        <w:ind w:left="4" w:right="192" w:firstLine="480"/>
        <w:rPr>
          <w:rFonts w:hint="eastAsia" w:ascii="宋体" w:hAnsi="宋体" w:eastAsia="宋体" w:cs="宋体"/>
          <w:sz w:val="24"/>
          <w:szCs w:val="24"/>
        </w:rPr>
      </w:pPr>
      <w:r>
        <w:rPr>
          <w:rFonts w:hint="eastAsia" w:ascii="宋体" w:hAnsi="宋体" w:eastAsia="宋体" w:cs="宋体"/>
          <w:spacing w:val="-1"/>
          <w:sz w:val="24"/>
          <w:szCs w:val="24"/>
        </w:rPr>
        <w:t>供应商在开标地点使用 CA 数字证书或电子营业执照登录北京市政府</w:t>
      </w:r>
      <w:r>
        <w:rPr>
          <w:rFonts w:hint="eastAsia" w:ascii="宋体" w:hAnsi="宋体" w:eastAsia="宋体" w:cs="宋体"/>
          <w:spacing w:val="-2"/>
          <w:sz w:val="24"/>
          <w:szCs w:val="24"/>
        </w:rPr>
        <w:t>采购电子交易</w:t>
      </w:r>
      <w:r>
        <w:rPr>
          <w:rFonts w:hint="eastAsia" w:ascii="宋体" w:hAnsi="宋体" w:eastAsia="宋体" w:cs="宋体"/>
          <w:sz w:val="24"/>
          <w:szCs w:val="24"/>
        </w:rPr>
        <w:t xml:space="preserve"> </w:t>
      </w:r>
      <w:r>
        <w:rPr>
          <w:rFonts w:hint="eastAsia" w:ascii="宋体" w:hAnsi="宋体" w:eastAsia="宋体" w:cs="宋体"/>
          <w:spacing w:val="-1"/>
          <w:sz w:val="24"/>
          <w:szCs w:val="24"/>
        </w:rPr>
        <w:t>平台进行电子开标。</w:t>
      </w:r>
    </w:p>
    <w:p w14:paraId="1534ECC0">
      <w:pPr>
        <w:pStyle w:val="39"/>
        <w:rPr>
          <w:rFonts w:hint="eastAsia"/>
          <w:lang w:val="en-US" w:eastAsia="zh-CN"/>
        </w:rPr>
      </w:pPr>
    </w:p>
    <w:p w14:paraId="034D6C63">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对本次招标提出询问，请按以下方式联系。</w:t>
      </w:r>
      <w:bookmarkEnd w:id="24"/>
      <w:bookmarkEnd w:id="25"/>
      <w:bookmarkEnd w:id="26"/>
      <w:bookmarkEnd w:id="27"/>
    </w:p>
    <w:p w14:paraId="6A61D2C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665F585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名称：北京市射击运动技术学校</w:t>
      </w:r>
    </w:p>
    <w:p w14:paraId="4737DA5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000000" w:themeColor="text1"/>
          <w:sz w:val="24"/>
          <w:highlight w:val="none"/>
          <w:u w:val="single"/>
          <w14:textFill>
            <w14:solidFill>
              <w14:schemeClr w14:val="tx1"/>
            </w14:solidFill>
          </w14:textFill>
        </w:rPr>
        <w:t>北京市怀柔区府前西街甲3号</w:t>
      </w:r>
      <w:r>
        <w:rPr>
          <w:rFonts w:hint="eastAsia" w:ascii="宋体" w:hAnsi="宋体" w:cs="宋体"/>
          <w:color w:val="auto"/>
          <w:sz w:val="24"/>
          <w:highlight w:val="none"/>
          <w:u w:val="single"/>
          <w:lang w:val="en-US" w:eastAsia="zh-CN"/>
        </w:rPr>
        <w:t xml:space="preserve">  </w:t>
      </w:r>
    </w:p>
    <w:p w14:paraId="6384A20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联系方式：</w:t>
      </w:r>
      <w:bookmarkStart w:id="28" w:name="_Toc28359009"/>
      <w:bookmarkStart w:id="29" w:name="_Toc28359086"/>
      <w:r>
        <w:rPr>
          <w:rFonts w:hint="eastAsia" w:ascii="宋体" w:hAnsi="宋体" w:cs="宋体"/>
          <w:color w:val="auto"/>
          <w:sz w:val="24"/>
          <w:highlight w:val="none"/>
          <w:u w:val="single"/>
          <w:lang w:val="en-US" w:eastAsia="zh-CN"/>
        </w:rPr>
        <w:t>69654532</w:t>
      </w:r>
      <w:bookmarkStart w:id="876" w:name="_GoBack"/>
      <w:bookmarkEnd w:id="876"/>
    </w:p>
    <w:p w14:paraId="20D0838C">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28"/>
      <w:bookmarkEnd w:id="29"/>
    </w:p>
    <w:p w14:paraId="0B782C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北京市怀柔区公共资源交易中心（北京市怀柔区政府采购中心）</w:t>
      </w:r>
    </w:p>
    <w:p w14:paraId="39481C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eastAsia="zh-CN"/>
        </w:rPr>
        <w:t>北京市</w:t>
      </w:r>
      <w:r>
        <w:rPr>
          <w:rFonts w:hint="eastAsia" w:ascii="宋体" w:hAnsi="宋体" w:cs="宋体"/>
          <w:color w:val="auto"/>
          <w:sz w:val="24"/>
          <w:highlight w:val="none"/>
          <w:u w:val="single"/>
          <w:lang w:val="en-US" w:eastAsia="zh-CN"/>
        </w:rPr>
        <w:t>怀柔区雁栖大街53号</w:t>
      </w:r>
    </w:p>
    <w:p w14:paraId="0DA614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bookmarkStart w:id="30" w:name="_Toc28359010"/>
      <w:bookmarkStart w:id="31" w:name="_Toc28359087"/>
      <w:r>
        <w:rPr>
          <w:rFonts w:hint="eastAsia" w:ascii="宋体" w:hAnsi="宋体" w:cs="宋体"/>
          <w:color w:val="auto"/>
          <w:sz w:val="24"/>
          <w:highlight w:val="none"/>
          <w:u w:val="single"/>
          <w:lang w:val="en-US" w:eastAsia="zh-CN"/>
        </w:rPr>
        <w:t xml:space="preserve">卢月  </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p>
    <w:p w14:paraId="6441F480">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3.项目联系方式</w:t>
      </w:r>
      <w:bookmarkEnd w:id="30"/>
      <w:bookmarkEnd w:id="31"/>
    </w:p>
    <w:p w14:paraId="193F20CA">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highlight w:val="none"/>
          <w:u w:val="single"/>
          <w:lang w:val="en-US" w:eastAsia="zh-CN"/>
        </w:rPr>
        <w:t xml:space="preserve">卢月 </w:t>
      </w:r>
      <w:r>
        <w:rPr>
          <w:rFonts w:hint="eastAsia" w:hAnsi="宋体" w:cs="宋体"/>
          <w:color w:val="auto"/>
          <w:sz w:val="24"/>
          <w:highlight w:val="none"/>
          <w:u w:val="single"/>
          <w:lang w:val="en-US" w:eastAsia="zh-CN"/>
        </w:rPr>
        <w:t xml:space="preserve"> </w:t>
      </w:r>
    </w:p>
    <w:p w14:paraId="749852C3">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cs="宋体"/>
          <w:color w:val="auto"/>
          <w:sz w:val="24"/>
          <w:highlight w:val="none"/>
          <w:u w:val="single"/>
          <w:lang w:val="en-US" w:eastAsia="zh-CN"/>
        </w:rPr>
      </w:pPr>
      <w:bookmarkStart w:id="32" w:name="_Toc15410"/>
      <w:r>
        <w:rPr>
          <w:rFonts w:hint="eastAsia" w:ascii="宋体" w:hAnsi="宋体" w:eastAsia="宋体" w:cs="宋体"/>
          <w:color w:val="auto"/>
          <w:sz w:val="24"/>
          <w:szCs w:val="24"/>
          <w:highlight w:val="none"/>
        </w:rPr>
        <w:t>电　话：</w:t>
      </w:r>
      <w:bookmarkEnd w:id="32"/>
      <w:bookmarkStart w:id="33" w:name="_Toc265228423"/>
      <w:bookmarkStart w:id="34" w:name="_Toc264969275"/>
      <w:bookmarkStart w:id="35" w:name="_Toc127151777"/>
      <w:bookmarkStart w:id="36" w:name="_Toc305158928"/>
      <w:bookmarkStart w:id="37" w:name="_Toc226965856"/>
      <w:bookmarkStart w:id="38" w:name="_Toc150774783"/>
      <w:bookmarkStart w:id="39" w:name="_Toc305158854"/>
      <w:bookmarkStart w:id="40" w:name="_Toc512937850"/>
      <w:bookmarkStart w:id="41" w:name="_Toc127161488"/>
      <w:bookmarkStart w:id="42" w:name="_Toc353873938"/>
      <w:bookmarkStart w:id="43" w:name="_Toc195842950"/>
      <w:bookmarkStart w:id="44" w:name="_Toc353825548"/>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p>
    <w:p w14:paraId="34FF9DE5">
      <w:pPr>
        <w:pStyle w:val="45"/>
        <w:rPr>
          <w:rFonts w:hint="eastAsia"/>
          <w:lang w:val="en-US" w:eastAsia="zh-CN"/>
        </w:rPr>
      </w:pPr>
    </w:p>
    <w:p w14:paraId="79471D54">
      <w:pPr>
        <w:pStyle w:val="45"/>
        <w:rPr>
          <w:rFonts w:hint="eastAsia"/>
          <w:lang w:eastAsia="zh-CN"/>
        </w:rPr>
      </w:pPr>
    </w:p>
    <w:p w14:paraId="1F52C7C9">
      <w:pPr>
        <w:pageBreakBefore w:val="0"/>
        <w:wordWrap/>
        <w:topLinePunct w:val="0"/>
        <w:bidi w:val="0"/>
        <w:spacing w:line="360" w:lineRule="auto"/>
        <w:jc w:val="center"/>
        <w:outlineLvl w:val="0"/>
        <w:rPr>
          <w:rFonts w:hint="eastAsia" w:ascii="宋体" w:hAnsi="宋体" w:eastAsia="宋体" w:cs="宋体"/>
          <w:b/>
          <w:color w:val="auto"/>
          <w:sz w:val="32"/>
          <w:szCs w:val="32"/>
          <w:highlight w:val="none"/>
        </w:rPr>
      </w:pPr>
      <w:bookmarkStart w:id="45" w:name="_Toc12229"/>
      <w:r>
        <w:rPr>
          <w:rFonts w:hint="eastAsia" w:ascii="宋体" w:hAnsi="宋体" w:eastAsia="宋体" w:cs="宋体"/>
          <w:b/>
          <w:color w:val="auto"/>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16979F3A">
      <w:pPr>
        <w:pStyle w:val="3"/>
        <w:pageBreakBefore w:val="0"/>
        <w:tabs>
          <w:tab w:val="center" w:pos="4592"/>
          <w:tab w:val="left" w:pos="7860"/>
        </w:tabs>
        <w:wordWrap/>
        <w:topLinePunct w:val="0"/>
        <w:bidi w:val="0"/>
        <w:spacing w:before="0" w:line="360" w:lineRule="auto"/>
        <w:rPr>
          <w:rFonts w:hint="eastAsia" w:ascii="宋体" w:hAnsi="宋体" w:eastAsia="宋体" w:cs="宋体"/>
          <w:b/>
          <w:color w:val="auto"/>
          <w:sz w:val="28"/>
          <w:szCs w:val="28"/>
          <w:highlight w:val="none"/>
        </w:rPr>
      </w:pPr>
      <w:bookmarkStart w:id="46" w:name="_Toc226965792"/>
      <w:bookmarkStart w:id="47" w:name="_Toc151190146"/>
      <w:bookmarkStart w:id="48" w:name="_Toc151193761"/>
      <w:bookmarkStart w:id="49" w:name="_Toc164229360"/>
      <w:bookmarkStart w:id="50" w:name="_Toc520356144"/>
      <w:bookmarkStart w:id="51" w:name="_Toc150774619"/>
      <w:bookmarkStart w:id="52" w:name="_Toc151193689"/>
      <w:bookmarkStart w:id="53" w:name="_Toc226337215"/>
      <w:bookmarkStart w:id="54" w:name="_Toc151193617"/>
      <w:bookmarkStart w:id="55" w:name="_Toc226965709"/>
      <w:bookmarkStart w:id="56" w:name="_Toc127151519"/>
      <w:bookmarkStart w:id="57" w:name="_Toc164351613"/>
      <w:bookmarkStart w:id="58" w:name="_Toc151193907"/>
      <w:bookmarkStart w:id="59" w:name="_Toc226309763"/>
      <w:bookmarkStart w:id="60" w:name="_Toc164608788"/>
      <w:bookmarkStart w:id="61" w:name="_Toc150480757"/>
      <w:bookmarkStart w:id="62" w:name="_Toc127151720"/>
      <w:bookmarkStart w:id="63" w:name="_Toc151193833"/>
      <w:bookmarkStart w:id="64" w:name="_Toc149720812"/>
      <w:bookmarkStart w:id="65" w:name="_Toc195842884"/>
      <w:bookmarkStart w:id="66" w:name="_Toc150774724"/>
      <w:bookmarkStart w:id="67" w:name="_Toc127161433"/>
      <w:bookmarkStart w:id="68" w:name="_Toc150509270"/>
      <w:bookmarkStart w:id="69" w:name="_Toc164229214"/>
      <w:bookmarkStart w:id="70" w:name="_Toc164608633"/>
      <w:bookmarkStart w:id="71" w:name="_Toc142311021"/>
      <w:r>
        <w:rPr>
          <w:rFonts w:hint="eastAsia" w:ascii="宋体" w:hAnsi="宋体" w:eastAsia="宋体" w:cs="宋体"/>
          <w:color w:val="auto"/>
          <w:sz w:val="28"/>
          <w:highlight w:val="none"/>
        </w:rPr>
        <w:t>投标人须知资料表</w:t>
      </w:r>
    </w:p>
    <w:p w14:paraId="0AEAD2DF">
      <w:pPr>
        <w:pageBreakBefore w:val="0"/>
        <w:wordWrap/>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本表是对投标人须知的具体补充和修改，如有矛盾，均以本资料表为准。标记“</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”的选项意为适用于本项目，标记“□”的选项意为不适用于本项目。</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86A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988" w:type="dxa"/>
            <w:vAlign w:val="center"/>
          </w:tcPr>
          <w:p w14:paraId="66CF7B15">
            <w:pPr>
              <w:pageBreakBefore w:val="0"/>
              <w:wordWrap/>
              <w:topLinePunct w:val="0"/>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条款号</w:t>
            </w:r>
          </w:p>
        </w:tc>
        <w:tc>
          <w:tcPr>
            <w:tcW w:w="1701" w:type="dxa"/>
            <w:vAlign w:val="center"/>
          </w:tcPr>
          <w:p w14:paraId="6F57019F">
            <w:pPr>
              <w:pageBreakBefore w:val="0"/>
              <w:wordWrap/>
              <w:topLinePunct w:val="0"/>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条目</w:t>
            </w:r>
          </w:p>
        </w:tc>
        <w:tc>
          <w:tcPr>
            <w:tcW w:w="7540" w:type="dxa"/>
            <w:vAlign w:val="center"/>
          </w:tcPr>
          <w:p w14:paraId="414A7D74">
            <w:pPr>
              <w:pageBreakBefore w:val="0"/>
              <w:wordWrap/>
              <w:topLinePunct w:val="0"/>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w:t>
            </w:r>
          </w:p>
        </w:tc>
      </w:tr>
      <w:tr w14:paraId="530D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0D0609">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01" w:type="dxa"/>
            <w:vAlign w:val="center"/>
          </w:tcPr>
          <w:p w14:paraId="15C7DB2D">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tc>
        <w:tc>
          <w:tcPr>
            <w:tcW w:w="7540" w:type="dxa"/>
            <w:vAlign w:val="center"/>
          </w:tcPr>
          <w:p w14:paraId="62A71542">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p w14:paraId="7777A9D7">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w:t>
            </w:r>
          </w:p>
          <w:p w14:paraId="4146162D">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□货物</w:t>
            </w:r>
          </w:p>
        </w:tc>
      </w:tr>
      <w:tr w14:paraId="791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ACAADD">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01" w:type="dxa"/>
            <w:vAlign w:val="center"/>
          </w:tcPr>
          <w:p w14:paraId="1D7F3B1D">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科研仪器设备</w:t>
            </w:r>
          </w:p>
        </w:tc>
        <w:tc>
          <w:tcPr>
            <w:tcW w:w="7540" w:type="dxa"/>
            <w:vAlign w:val="center"/>
          </w:tcPr>
          <w:p w14:paraId="3D64AA3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是否属于科研仪器设备采购项目：</w:t>
            </w:r>
          </w:p>
          <w:p w14:paraId="52F6EB8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7BAA975F">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tc>
      </w:tr>
      <w:tr w14:paraId="12CB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74DCED">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701" w:type="dxa"/>
            <w:vAlign w:val="center"/>
          </w:tcPr>
          <w:p w14:paraId="2EAF238B">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w:t>
            </w:r>
          </w:p>
        </w:tc>
        <w:tc>
          <w:tcPr>
            <w:tcW w:w="7540" w:type="dxa"/>
            <w:vAlign w:val="center"/>
          </w:tcPr>
          <w:p w14:paraId="3FDDE81E">
            <w:pPr>
              <w:pStyle w:val="23"/>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■关于核心产品本项目不适用。</w:t>
            </w:r>
          </w:p>
          <w:p w14:paraId="32A17C9E">
            <w:pPr>
              <w:pStyle w:val="23"/>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□本项目__包为单一产品采购项目。</w:t>
            </w:r>
          </w:p>
          <w:p w14:paraId="7FDD3ABB">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□本项目__包为非单一产品采购项目，核心产品为：____。</w:t>
            </w:r>
          </w:p>
        </w:tc>
      </w:tr>
      <w:tr w14:paraId="738C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758034B">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01" w:type="dxa"/>
            <w:vAlign w:val="center"/>
          </w:tcPr>
          <w:p w14:paraId="6F3E8684">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w:t>
            </w:r>
          </w:p>
        </w:tc>
        <w:tc>
          <w:tcPr>
            <w:tcW w:w="7540" w:type="dxa"/>
            <w:vAlign w:val="center"/>
          </w:tcPr>
          <w:p w14:paraId="6BD86723">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不组织</w:t>
            </w:r>
          </w:p>
          <w:p w14:paraId="6C7CC08C">
            <w:pPr>
              <w:pageBreakBefore w:val="0"/>
              <w:wordWrap/>
              <w:topLinePunct w:val="0"/>
              <w:bidi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□组织，考察时间：__年_月_日_</w:t>
            </w:r>
            <w:r>
              <w:rPr>
                <w:rFonts w:hint="eastAsia" w:ascii="宋体" w:hAnsi="宋体" w:eastAsia="宋体" w:cs="宋体"/>
                <w:bCs/>
                <w:color w:val="auto"/>
                <w:sz w:val="24"/>
                <w:highlight w:val="none"/>
              </w:rPr>
              <w:t>点</w:t>
            </w:r>
            <w:r>
              <w:rPr>
                <w:rFonts w:hint="eastAsia" w:ascii="宋体" w:hAnsi="宋体" w:eastAsia="宋体" w:cs="宋体"/>
                <w:color w:val="auto"/>
                <w:sz w:val="24"/>
                <w:highlight w:val="none"/>
              </w:rPr>
              <w:t>_</w:t>
            </w:r>
            <w:r>
              <w:rPr>
                <w:rFonts w:hint="eastAsia" w:ascii="宋体" w:hAnsi="宋体" w:eastAsia="宋体" w:cs="宋体"/>
                <w:bCs/>
                <w:color w:val="auto"/>
                <w:sz w:val="24"/>
                <w:highlight w:val="none"/>
              </w:rPr>
              <w:t>分</w:t>
            </w:r>
          </w:p>
          <w:p w14:paraId="0DBA899F">
            <w:pPr>
              <w:pStyle w:val="23"/>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考察地点：____________。</w:t>
            </w:r>
          </w:p>
        </w:tc>
      </w:tr>
      <w:tr w14:paraId="5C89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D1B312E">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671BC9A8">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开标前答疑会</w:t>
            </w:r>
          </w:p>
        </w:tc>
        <w:tc>
          <w:tcPr>
            <w:tcW w:w="7540" w:type="dxa"/>
            <w:vAlign w:val="center"/>
          </w:tcPr>
          <w:p w14:paraId="697D719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不召开</w:t>
            </w:r>
          </w:p>
          <w:p w14:paraId="1EE0994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□召开，召开时间：__年_月_日_</w:t>
            </w:r>
            <w:r>
              <w:rPr>
                <w:rFonts w:hint="eastAsia" w:ascii="宋体" w:hAnsi="宋体" w:eastAsia="宋体" w:cs="宋体"/>
                <w:bCs/>
                <w:color w:val="auto"/>
                <w:sz w:val="24"/>
                <w:highlight w:val="none"/>
              </w:rPr>
              <w:t>点</w:t>
            </w:r>
            <w:r>
              <w:rPr>
                <w:rFonts w:hint="eastAsia" w:ascii="宋体" w:hAnsi="宋体" w:eastAsia="宋体" w:cs="宋体"/>
                <w:color w:val="auto"/>
                <w:sz w:val="24"/>
                <w:highlight w:val="none"/>
              </w:rPr>
              <w:t>_</w:t>
            </w:r>
            <w:r>
              <w:rPr>
                <w:rFonts w:hint="eastAsia" w:ascii="宋体" w:hAnsi="宋体" w:eastAsia="宋体" w:cs="宋体"/>
                <w:bCs/>
                <w:color w:val="auto"/>
                <w:sz w:val="24"/>
                <w:highlight w:val="none"/>
              </w:rPr>
              <w:t>分</w:t>
            </w:r>
          </w:p>
          <w:p w14:paraId="3E10DD0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召开地点：____________。</w:t>
            </w:r>
          </w:p>
        </w:tc>
      </w:tr>
      <w:tr w14:paraId="3A18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588A0">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701" w:type="dxa"/>
            <w:vAlign w:val="center"/>
          </w:tcPr>
          <w:p w14:paraId="3049CF2C">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tc>
        <w:tc>
          <w:tcPr>
            <w:tcW w:w="7540" w:type="dxa"/>
            <w:vAlign w:val="center"/>
          </w:tcPr>
          <w:p w14:paraId="1F625E8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投标样品递交：</w:t>
            </w:r>
          </w:p>
          <w:p w14:paraId="63824B4E">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不需要</w:t>
            </w:r>
          </w:p>
          <w:p w14:paraId="23DB7C0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□需要，具体要求如下：</w:t>
            </w:r>
          </w:p>
          <w:p w14:paraId="1EA97010">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（1）样品制作的标准和要求：_________；</w:t>
            </w:r>
          </w:p>
          <w:p w14:paraId="0E0FE78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（2）是否需要随样品提交相关检测报告：</w:t>
            </w:r>
          </w:p>
          <w:p w14:paraId="37F15F8B">
            <w:pPr>
              <w:pageBreakBefore w:val="0"/>
              <w:wordWrap/>
              <w:topLinePunct w:val="0"/>
              <w:bidi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w:t>
            </w:r>
          </w:p>
          <w:p w14:paraId="18E9B814">
            <w:pPr>
              <w:pageBreakBefore w:val="0"/>
              <w:wordWrap/>
              <w:topLinePunct w:val="0"/>
              <w:bidi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w:t>
            </w:r>
          </w:p>
          <w:p w14:paraId="5E13A800">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（3）样品递交要求：_________；</w:t>
            </w:r>
          </w:p>
          <w:p w14:paraId="429221B0">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（4）未中标人样品退还：_________；</w:t>
            </w:r>
          </w:p>
          <w:p w14:paraId="2B4135F3">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（5）中标人样品保管、封存及退还：_________；</w:t>
            </w:r>
          </w:p>
          <w:p w14:paraId="1ACA4D2D">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（6）其他要求（如有）：_________。</w:t>
            </w:r>
          </w:p>
        </w:tc>
      </w:tr>
      <w:tr w14:paraId="2BCD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988" w:type="dxa"/>
            <w:vAlign w:val="center"/>
          </w:tcPr>
          <w:p w14:paraId="247E28C2">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p>
        </w:tc>
        <w:tc>
          <w:tcPr>
            <w:tcW w:w="1701" w:type="dxa"/>
            <w:vAlign w:val="center"/>
          </w:tcPr>
          <w:p w14:paraId="1EB3F135">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标的所属行业</w:t>
            </w:r>
          </w:p>
        </w:tc>
        <w:tc>
          <w:tcPr>
            <w:tcW w:w="7540" w:type="dxa"/>
            <w:vAlign w:val="center"/>
          </w:tcPr>
          <w:p w14:paraId="7B1930C1">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本项目采购标的对应的中小企业划分标准所属行业：</w:t>
            </w:r>
          </w:p>
          <w:tbl>
            <w:tblPr>
              <w:tblStyle w:val="47"/>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3215"/>
            </w:tblGrid>
            <w:tr w14:paraId="4053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9" w:type="dxa"/>
                  <w:tcBorders>
                    <w:top w:val="single" w:color="auto" w:sz="4" w:space="0"/>
                    <w:left w:val="single" w:color="auto" w:sz="4" w:space="0"/>
                    <w:bottom w:val="single" w:color="auto" w:sz="4" w:space="0"/>
                    <w:right w:val="single" w:color="auto" w:sz="4" w:space="0"/>
                  </w:tcBorders>
                  <w:vAlign w:val="center"/>
                </w:tcPr>
                <w:p w14:paraId="62A84489">
                  <w:pPr>
                    <w:pageBreakBefore w:val="0"/>
                    <w:wordWrap/>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标的名称</w:t>
                  </w:r>
                </w:p>
              </w:tc>
              <w:tc>
                <w:tcPr>
                  <w:tcW w:w="3215" w:type="dxa"/>
                  <w:tcBorders>
                    <w:top w:val="single" w:color="auto" w:sz="4" w:space="0"/>
                    <w:left w:val="single" w:color="auto" w:sz="4" w:space="0"/>
                    <w:bottom w:val="single" w:color="auto" w:sz="4" w:space="0"/>
                    <w:right w:val="single" w:color="auto" w:sz="4" w:space="0"/>
                  </w:tcBorders>
                  <w:vAlign w:val="center"/>
                </w:tcPr>
                <w:p w14:paraId="073AEF46">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中小企业划分标准所属行业</w:t>
                  </w:r>
                </w:p>
              </w:tc>
            </w:tr>
            <w:tr w14:paraId="72DD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9" w:type="dxa"/>
                  <w:tcBorders>
                    <w:top w:val="single" w:color="auto" w:sz="4" w:space="0"/>
                    <w:left w:val="single" w:color="auto" w:sz="4" w:space="0"/>
                    <w:bottom w:val="single" w:color="auto" w:sz="4" w:space="0"/>
                    <w:right w:val="single" w:color="auto" w:sz="4" w:space="0"/>
                  </w:tcBorders>
                  <w:vAlign w:val="center"/>
                </w:tcPr>
                <w:p w14:paraId="4925F237">
                  <w:pPr>
                    <w:pageBreakBefore w:val="0"/>
                    <w:wordWrap/>
                    <w:topLinePunct w:val="0"/>
                    <w:bidi w:val="0"/>
                    <w:spacing w:line="360" w:lineRule="auto"/>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eastAsia="zh-CN"/>
                    </w:rPr>
                    <w:t>通用公用经费物业管理服务采购项目</w:t>
                  </w:r>
                </w:p>
              </w:tc>
              <w:tc>
                <w:tcPr>
                  <w:tcW w:w="3215" w:type="dxa"/>
                  <w:tcBorders>
                    <w:top w:val="single" w:color="auto" w:sz="4" w:space="0"/>
                    <w:left w:val="single" w:color="auto" w:sz="4" w:space="0"/>
                    <w:bottom w:val="single" w:color="auto" w:sz="4" w:space="0"/>
                    <w:right w:val="single" w:color="auto" w:sz="4" w:space="0"/>
                  </w:tcBorders>
                  <w:vAlign w:val="center"/>
                </w:tcPr>
                <w:p w14:paraId="08AFE25C">
                  <w:pPr>
                    <w:pageBreakBefore w:val="0"/>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物业管理</w:t>
                  </w:r>
                </w:p>
              </w:tc>
            </w:tr>
            <w:tr w14:paraId="2FD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4" w:type="dxa"/>
                  <w:gridSpan w:val="2"/>
                  <w:tcBorders>
                    <w:top w:val="single" w:color="auto" w:sz="4" w:space="0"/>
                    <w:left w:val="single" w:color="auto" w:sz="4" w:space="0"/>
                    <w:bottom w:val="single" w:color="auto" w:sz="4" w:space="0"/>
                    <w:right w:val="single" w:color="auto" w:sz="4" w:space="0"/>
                  </w:tcBorders>
                  <w:vAlign w:val="center"/>
                </w:tcPr>
                <w:p w14:paraId="0138B1E4">
                  <w:pPr>
                    <w:pageBreakBefore w:val="0"/>
                    <w:wordWrap/>
                    <w:topLinePunct w:val="0"/>
                    <w:bidi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说明：</w:t>
                  </w:r>
                  <w:r>
                    <w:rPr>
                      <w:rFonts w:hint="eastAsia" w:ascii="宋体" w:hAnsi="宋体" w:cs="宋体"/>
                      <w:bCs/>
                      <w:color w:val="auto"/>
                      <w:sz w:val="24"/>
                      <w:highlight w:val="none"/>
                      <w:lang w:eastAsia="zh-CN"/>
                    </w:rPr>
                    <w:t>本项目</w:t>
                  </w:r>
                  <w:r>
                    <w:rPr>
                      <w:rFonts w:hint="eastAsia" w:ascii="宋体" w:hAnsi="宋体" w:cs="宋体"/>
                      <w:b w:val="0"/>
                      <w:bCs w:val="0"/>
                      <w:color w:val="auto"/>
                      <w:sz w:val="24"/>
                      <w:highlight w:val="none"/>
                    </w:rPr>
                    <w:t>中小企业划分标准所属行业，其划型标准如下</w:t>
                  </w:r>
                  <w:r>
                    <w:rPr>
                      <w:rFonts w:hint="eastAsia" w:ascii="宋体" w:hAnsi="宋体" w:cs="宋体"/>
                      <w:bCs w:val="0"/>
                      <w:color w:val="auto"/>
                      <w:sz w:val="24"/>
                      <w:highlight w:val="none"/>
                    </w:rPr>
                    <w:t>:</w:t>
                  </w:r>
                  <w:r>
                    <w:rPr>
                      <w:rFonts w:hint="eastAsia" w:ascii="宋体" w:hAnsi="宋体" w:cs="宋体"/>
                      <w:bCs w:val="0"/>
                      <w:color w:val="auto"/>
                      <w:sz w:val="24"/>
                      <w:highlight w:val="none"/>
                      <w:lang w:val="en-US" w:eastAsia="zh-CN"/>
                    </w:rPr>
                    <w:t>物业管理。</w:t>
                  </w:r>
                </w:p>
                <w:p w14:paraId="0D905649">
                  <w:pPr>
                    <w:pageBreakBefore w:val="0"/>
                    <w:wordWrap/>
                    <w:topLinePunct w:val="0"/>
                    <w:bidi w:val="0"/>
                    <w:spacing w:line="360" w:lineRule="auto"/>
                    <w:jc w:val="center"/>
                    <w:rPr>
                      <w:rFonts w:hint="eastAsia"/>
                    </w:rPr>
                  </w:pPr>
                  <w:r>
                    <w:rPr>
                      <w:rFonts w:hint="eastAsia" w:ascii="宋体" w:hAnsi="宋体" w:cs="宋体"/>
                      <w:bCs/>
                      <w:color w:val="auto"/>
                      <w:sz w:val="24"/>
                      <w:highlight w:val="none"/>
                      <w:lang w:eastAsia="zh-CN"/>
                    </w:rPr>
                    <w:t>从业人员</w:t>
                  </w:r>
                  <w:r>
                    <w:rPr>
                      <w:rFonts w:hint="eastAsia" w:ascii="宋体" w:hAnsi="宋体" w:cs="宋体"/>
                      <w:bCs/>
                      <w:color w:val="auto"/>
                      <w:sz w:val="24"/>
                      <w:highlight w:val="none"/>
                      <w:lang w:val="en-US" w:eastAsia="zh-CN"/>
                    </w:rPr>
                    <w:t>1000</w:t>
                  </w:r>
                  <w:r>
                    <w:rPr>
                      <w:rFonts w:hint="eastAsia" w:ascii="宋体" w:hAnsi="宋体" w:cs="宋体"/>
                      <w:bCs/>
                      <w:color w:val="auto"/>
                      <w:sz w:val="24"/>
                      <w:highlight w:val="none"/>
                      <w:lang w:eastAsia="zh-CN"/>
                    </w:rPr>
                    <w:t>人以下或营业收入</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00</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eastAsia="zh-CN"/>
                    </w:rPr>
                    <w:t>万元以下的为中小微型企业。其中，从业人员</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00人及以上，且营业收入</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000万元及以上的为中型企业；从业人员10</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eastAsia="zh-CN"/>
                    </w:rPr>
                    <w:t>人及以上，且营业收入50</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eastAsia="zh-CN"/>
                    </w:rPr>
                    <w:t>万元及以上的为小型企业；从业人员1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eastAsia="zh-CN"/>
                    </w:rPr>
                    <w:t>0人以下或营业收入50</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eastAsia="zh-CN"/>
                    </w:rPr>
                    <w:t>万元以下的为微型企业。</w:t>
                  </w:r>
                </w:p>
              </w:tc>
            </w:tr>
          </w:tbl>
          <w:p w14:paraId="7C2354B6">
            <w:pPr>
              <w:pageBreakBefore w:val="0"/>
              <w:wordWrap/>
              <w:topLinePunct w:val="0"/>
              <w:bidi w:val="0"/>
              <w:spacing w:line="360" w:lineRule="auto"/>
              <w:jc w:val="left"/>
              <w:rPr>
                <w:rFonts w:hint="eastAsia" w:ascii="宋体" w:hAnsi="宋体" w:eastAsia="宋体" w:cs="宋体"/>
                <w:color w:val="auto"/>
                <w:sz w:val="24"/>
                <w:highlight w:val="none"/>
              </w:rPr>
            </w:pPr>
          </w:p>
        </w:tc>
      </w:tr>
      <w:tr w14:paraId="4A38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8536775">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701" w:type="dxa"/>
            <w:vAlign w:val="center"/>
          </w:tcPr>
          <w:p w14:paraId="3040CF82">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7540" w:type="dxa"/>
            <w:vAlign w:val="center"/>
          </w:tcPr>
          <w:p w14:paraId="7B829470">
            <w:pPr>
              <w:pageBreakBefore w:val="0"/>
              <w:wordWrap/>
              <w:topLinePunct w:val="0"/>
              <w:bidi w:val="0"/>
              <w:spacing w:line="360" w:lineRule="auto"/>
              <w:jc w:val="left"/>
              <w:rPr>
                <w:rFonts w:hint="eastAsia"/>
              </w:rPr>
            </w:pPr>
            <w:r>
              <w:rPr>
                <w:rFonts w:hint="eastAsia" w:ascii="宋体" w:hAnsi="宋体" w:eastAsia="宋体" w:cs="宋体"/>
                <w:color w:val="auto"/>
                <w:sz w:val="24"/>
                <w:highlight w:val="none"/>
              </w:rPr>
              <w:t>投标报价的特殊规定：</w:t>
            </w:r>
          </w:p>
          <w:p w14:paraId="0D537AAC">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无</w:t>
            </w:r>
          </w:p>
          <w:p w14:paraId="2365A537">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有，具体情形：_____。</w:t>
            </w:r>
          </w:p>
        </w:tc>
      </w:tr>
      <w:tr w14:paraId="13B8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3BE402B">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701" w:type="dxa"/>
            <w:vAlign w:val="center"/>
          </w:tcPr>
          <w:p w14:paraId="44DA50FE">
            <w:pPr>
              <w:pageBreakBefore w:val="0"/>
              <w:wordWrap/>
              <w:topLinePunct w:val="0"/>
              <w:bidi w:val="0"/>
              <w:spacing w:line="360" w:lineRule="auto"/>
              <w:jc w:val="center"/>
              <w:rPr>
                <w:rFonts w:hint="eastAsia" w:eastAsia="宋体"/>
                <w:lang w:eastAsia="zh-CN"/>
              </w:rPr>
            </w:pPr>
            <w:r>
              <w:rPr>
                <w:rFonts w:hint="eastAsia" w:ascii="宋体" w:hAnsi="宋体" w:eastAsia="宋体" w:cs="宋体"/>
                <w:color w:val="auto"/>
                <w:sz w:val="24"/>
                <w:highlight w:val="none"/>
              </w:rPr>
              <w:t>投标有效期</w:t>
            </w:r>
          </w:p>
        </w:tc>
        <w:tc>
          <w:tcPr>
            <w:tcW w:w="7540" w:type="dxa"/>
            <w:vAlign w:val="center"/>
          </w:tcPr>
          <w:p w14:paraId="0846385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自提交投标文件的截止之日起算</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rPr>
              <w:t>日历天。</w:t>
            </w:r>
          </w:p>
        </w:tc>
      </w:tr>
      <w:tr w14:paraId="671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shd w:val="clear" w:color="auto" w:fill="auto"/>
            <w:vAlign w:val="top"/>
          </w:tcPr>
          <w:p w14:paraId="2E082B54">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18.2</w:t>
            </w:r>
          </w:p>
        </w:tc>
        <w:tc>
          <w:tcPr>
            <w:tcW w:w="1701" w:type="dxa"/>
            <w:shd w:val="clear" w:color="auto" w:fill="auto"/>
            <w:vAlign w:val="top"/>
          </w:tcPr>
          <w:p w14:paraId="3AEA1298">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解密时间</w:t>
            </w:r>
          </w:p>
        </w:tc>
        <w:tc>
          <w:tcPr>
            <w:tcW w:w="7540" w:type="dxa"/>
            <w:shd w:val="clear" w:color="auto" w:fill="auto"/>
            <w:vAlign w:val="top"/>
          </w:tcPr>
          <w:p w14:paraId="77331545">
            <w:pPr>
              <w:pStyle w:val="23"/>
              <w:pageBreakBefore w:val="0"/>
              <w:wordWrap/>
              <w:topLinePunct w:val="0"/>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tc>
      </w:tr>
      <w:tr w14:paraId="447E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033E5A">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01" w:type="dxa"/>
            <w:vAlign w:val="center"/>
          </w:tcPr>
          <w:p w14:paraId="68526365">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p>
        </w:tc>
        <w:tc>
          <w:tcPr>
            <w:tcW w:w="7540" w:type="dxa"/>
            <w:vAlign w:val="center"/>
          </w:tcPr>
          <w:p w14:paraId="1DF4A3C6">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中标候选人并列的，采购人是否委托评标委员会确定中标人：</w:t>
            </w:r>
          </w:p>
          <w:p w14:paraId="6FA7A7B9">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p w14:paraId="37E906FC">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7548C4DF">
            <w:pPr>
              <w:pStyle w:val="23"/>
              <w:pageBreakBefore w:val="0"/>
              <w:wordWrap/>
              <w:topLinePunct w:val="0"/>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中标候选人并列的，按照以下方式确定中标人：</w:t>
            </w:r>
            <w:r>
              <w:rPr>
                <w:rFonts w:hint="eastAsia" w:ascii="宋体" w:hAnsi="宋体" w:eastAsia="宋体" w:cs="宋体"/>
                <w:color w:val="auto"/>
                <w:highlight w:val="none"/>
              </w:rPr>
              <w:t xml:space="preserve"> </w:t>
            </w:r>
          </w:p>
          <w:p w14:paraId="190BCC07">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■得分且投标报价均相同的，以</w:t>
            </w:r>
            <w:r>
              <w:rPr>
                <w:rFonts w:hint="eastAsia" w:hAnsi="宋体" w:cs="宋体"/>
                <w:color w:val="auto"/>
                <w:sz w:val="24"/>
                <w:highlight w:val="none"/>
                <w:u w:val="single"/>
                <w:lang w:val="en-US" w:eastAsia="zh-CN"/>
              </w:rPr>
              <w:t>技术</w:t>
            </w:r>
            <w:r>
              <w:rPr>
                <w:rFonts w:hint="eastAsia" w:ascii="宋体" w:hAnsi="宋体" w:eastAsia="宋体" w:cs="宋体"/>
                <w:color w:val="auto"/>
                <w:sz w:val="24"/>
                <w:highlight w:val="none"/>
                <w:u w:val="single"/>
              </w:rPr>
              <w:t>部分</w:t>
            </w:r>
            <w:r>
              <w:rPr>
                <w:rFonts w:hint="eastAsia" w:ascii="宋体" w:hAnsi="宋体" w:eastAsia="宋体" w:cs="宋体"/>
                <w:color w:val="auto"/>
                <w:sz w:val="24"/>
                <w:highlight w:val="none"/>
              </w:rPr>
              <w:t>得分高者为中标人</w:t>
            </w:r>
          </w:p>
          <w:p w14:paraId="541F6C8C">
            <w:pPr>
              <w:pageBreakBefore w:val="0"/>
              <w:wordWrap/>
              <w:topLinePunct w:val="0"/>
              <w:bidi w:val="0"/>
              <w:spacing w:line="360" w:lineRule="auto"/>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□随机抽取</w:t>
            </w:r>
          </w:p>
        </w:tc>
      </w:tr>
      <w:tr w14:paraId="254E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Align w:val="center"/>
          </w:tcPr>
          <w:p w14:paraId="087B7592">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p>
        </w:tc>
        <w:tc>
          <w:tcPr>
            <w:tcW w:w="1701" w:type="dxa"/>
            <w:vAlign w:val="center"/>
          </w:tcPr>
          <w:p w14:paraId="740511B7">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7540" w:type="dxa"/>
            <w:vAlign w:val="center"/>
          </w:tcPr>
          <w:p w14:paraId="779A915E">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本项目的非主体、非关键性工作是否允许分包： </w:t>
            </w:r>
          </w:p>
          <w:p w14:paraId="0C009DB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0385507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□允许，具体要求：</w:t>
            </w:r>
          </w:p>
          <w:p w14:paraId="298384D1">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（1）可以分包履行的具体内容：_____；</w:t>
            </w:r>
          </w:p>
          <w:p w14:paraId="3A4D5F23">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（2）允许分包的金额或者比例：_____；</w:t>
            </w:r>
          </w:p>
          <w:p w14:paraId="584C5F22">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（3）其他要求：_____。</w:t>
            </w:r>
          </w:p>
        </w:tc>
      </w:tr>
      <w:tr w14:paraId="4456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Align w:val="center"/>
          </w:tcPr>
          <w:p w14:paraId="76DA8D89">
            <w:pPr>
              <w:pStyle w:val="23"/>
              <w:pageBreakBefore w:val="0"/>
              <w:wordWrap/>
              <w:topLinePunct w:val="0"/>
              <w:bidi w:val="0"/>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25.6</w:t>
            </w:r>
          </w:p>
        </w:tc>
        <w:tc>
          <w:tcPr>
            <w:tcW w:w="1701" w:type="dxa"/>
            <w:vAlign w:val="center"/>
          </w:tcPr>
          <w:p w14:paraId="0C79B26A">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政采贷</w:t>
            </w:r>
          </w:p>
        </w:tc>
        <w:tc>
          <w:tcPr>
            <w:tcW w:w="7540" w:type="dxa"/>
            <w:vAlign w:val="center"/>
          </w:tcPr>
          <w:p w14:paraId="06BFB27D">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为更大力度激发市场活力和社会创造力，增强发展动力，按照《北京市  全面优化营商环境助力企业高质量发展实施方案》（京政办发〔2023〕 8 号）部署，进一步加强政府采购合同线上融资 “一站式 ”服务（ 以下简称“政采贷”），北京市财政局、中国人民银行营业管理部联合发布《关于推进政府采购合同线上融资有关工作的通知》（京财采购〔2023〕637号）。有需求的供应商，可按上述通知要求办理“政采贷 ”。</w:t>
            </w:r>
          </w:p>
        </w:tc>
      </w:tr>
      <w:tr w14:paraId="67A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A23C3B">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p>
        </w:tc>
        <w:tc>
          <w:tcPr>
            <w:tcW w:w="1701" w:type="dxa"/>
            <w:vAlign w:val="center"/>
          </w:tcPr>
          <w:p w14:paraId="1CFE46D9">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tc>
        <w:tc>
          <w:tcPr>
            <w:tcW w:w="7540" w:type="dxa"/>
            <w:vAlign w:val="center"/>
          </w:tcPr>
          <w:p w14:paraId="1736CA9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询问送达形式：</w:t>
            </w:r>
          </w:p>
          <w:p w14:paraId="4EAA8FA3">
            <w:pPr>
              <w:pageBreakBefore w:val="0"/>
              <w:wordWrap/>
              <w:topLinePunct w:val="0"/>
              <w:bidi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口头询问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请致电 </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p>
          <w:p w14:paraId="543E187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书面询问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请将书面文件递交至：</w:t>
            </w:r>
            <w:r>
              <w:rPr>
                <w:rFonts w:hint="eastAsia" w:ascii="宋体" w:hAnsi="宋体" w:cs="宋体"/>
                <w:color w:val="auto"/>
                <w:sz w:val="24"/>
                <w:highlight w:val="none"/>
                <w:u w:val="single"/>
                <w:lang w:eastAsia="zh-CN"/>
              </w:rPr>
              <w:t>北京市怀柔区公共资源交易中心（北京市怀柔区政府采购中心）</w:t>
            </w:r>
            <w:r>
              <w:rPr>
                <w:rFonts w:hint="eastAsia" w:ascii="宋体" w:hAnsi="宋体" w:eastAsia="宋体" w:cs="宋体"/>
                <w:color w:val="auto"/>
                <w:sz w:val="24"/>
                <w:highlight w:val="none"/>
              </w:rPr>
              <w:t xml:space="preserve"> </w:t>
            </w:r>
          </w:p>
          <w:p w14:paraId="1BF3F1CA">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递交地址： </w:t>
            </w:r>
            <w:r>
              <w:rPr>
                <w:rFonts w:hint="eastAsia" w:ascii="宋体" w:hAnsi="宋体" w:eastAsia="宋体" w:cs="宋体"/>
                <w:color w:val="auto"/>
                <w:sz w:val="24"/>
                <w:highlight w:val="none"/>
                <w:u w:val="single"/>
                <w:lang w:eastAsia="zh-CN"/>
              </w:rPr>
              <w:t>北京市</w:t>
            </w:r>
            <w:r>
              <w:rPr>
                <w:rFonts w:hint="eastAsia" w:ascii="宋体" w:hAnsi="宋体" w:cs="宋体"/>
                <w:color w:val="auto"/>
                <w:sz w:val="24"/>
                <w:highlight w:val="none"/>
                <w:u w:val="single"/>
                <w:lang w:val="en-US" w:eastAsia="zh-CN"/>
              </w:rPr>
              <w:t>怀柔区雁栖大街53号217室</w:t>
            </w:r>
            <w:r>
              <w:rPr>
                <w:rFonts w:hint="eastAsia" w:ascii="宋体" w:hAnsi="宋体" w:eastAsia="宋体" w:cs="宋体"/>
                <w:color w:val="auto"/>
                <w:sz w:val="24"/>
                <w:highlight w:val="none"/>
              </w:rPr>
              <w:t>。</w:t>
            </w:r>
          </w:p>
        </w:tc>
      </w:tr>
      <w:tr w14:paraId="45EF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96C89D">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p>
        </w:tc>
        <w:tc>
          <w:tcPr>
            <w:tcW w:w="1701" w:type="dxa"/>
            <w:vAlign w:val="center"/>
          </w:tcPr>
          <w:p w14:paraId="5482A767">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7540" w:type="dxa"/>
            <w:vAlign w:val="center"/>
          </w:tcPr>
          <w:p w14:paraId="6CAE9F4C">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接收询问和质疑的联系方式</w:t>
            </w:r>
          </w:p>
          <w:p w14:paraId="5E614C5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联系部门：</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u w:val="single"/>
                <w:lang w:eastAsia="zh-CN"/>
              </w:rPr>
              <w:t>北京市怀柔区公共资源交易中心（北京市怀柔区政府采购中心）</w:t>
            </w:r>
            <w:r>
              <w:rPr>
                <w:rFonts w:hint="eastAsia" w:ascii="宋体" w:hAnsi="宋体" w:eastAsia="宋体" w:cs="宋体"/>
                <w:color w:val="auto"/>
                <w:sz w:val="24"/>
                <w:highlight w:val="none"/>
              </w:rPr>
              <w:t>；</w:t>
            </w:r>
          </w:p>
          <w:p w14:paraId="12E8099B">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r>
              <w:rPr>
                <w:rFonts w:hint="eastAsia" w:ascii="宋体" w:hAnsi="宋体" w:eastAsia="宋体" w:cs="宋体"/>
                <w:color w:val="auto"/>
                <w:sz w:val="24"/>
                <w:highlight w:val="none"/>
              </w:rPr>
              <w:t>；</w:t>
            </w:r>
          </w:p>
          <w:p w14:paraId="7A8A463B">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北京市</w:t>
            </w:r>
            <w:r>
              <w:rPr>
                <w:rFonts w:hint="eastAsia" w:ascii="宋体" w:hAnsi="宋体" w:cs="宋体"/>
                <w:color w:val="auto"/>
                <w:sz w:val="24"/>
                <w:highlight w:val="none"/>
                <w:u w:val="single"/>
                <w:lang w:val="en-US" w:eastAsia="zh-CN"/>
              </w:rPr>
              <w:t>怀柔区雁栖大街53号217室</w:t>
            </w:r>
            <w:r>
              <w:rPr>
                <w:rFonts w:hint="eastAsia" w:ascii="宋体" w:hAnsi="宋体" w:eastAsia="宋体" w:cs="宋体"/>
                <w:color w:val="auto"/>
                <w:sz w:val="24"/>
                <w:highlight w:val="none"/>
              </w:rPr>
              <w:t>。</w:t>
            </w:r>
          </w:p>
        </w:tc>
      </w:tr>
    </w:tbl>
    <w:p w14:paraId="402C9670">
      <w:pPr>
        <w:pageBreakBefore w:val="0"/>
        <w:tabs>
          <w:tab w:val="left" w:pos="5580"/>
        </w:tabs>
        <w:wordWrap/>
        <w:topLinePunct w:val="0"/>
        <w:bidi w:val="0"/>
        <w:adjustRightInd w:val="0"/>
        <w:spacing w:line="360" w:lineRule="auto"/>
        <w:jc w:val="distribute"/>
        <w:rPr>
          <w:rFonts w:hint="eastAsia" w:ascii="宋体" w:hAnsi="宋体" w:eastAsia="宋体" w:cs="宋体"/>
          <w:color w:val="auto"/>
          <w:sz w:val="24"/>
          <w:highlight w:val="none"/>
        </w:rPr>
        <w:sectPr>
          <w:footerReference r:id="rId10" w:type="first"/>
          <w:headerReference r:id="rId8" w:type="default"/>
          <w:footerReference r:id="rId9" w:type="default"/>
          <w:pgSz w:w="11907" w:h="16840"/>
          <w:pgMar w:top="1134" w:right="1134" w:bottom="1134" w:left="1134" w:header="851" w:footer="851" w:gutter="0"/>
          <w:pgNumType w:fmt="decimal" w:start="1"/>
          <w:cols w:space="720" w:num="1"/>
          <w:titlePg/>
          <w:docGrid w:linePitch="462" w:charSpace="0"/>
        </w:sectPr>
      </w:pPr>
    </w:p>
    <w:p w14:paraId="6DAF8BCE">
      <w:pPr>
        <w:pageBreakBefore w:val="0"/>
        <w:wordWrap/>
        <w:topLinePunct w:val="0"/>
        <w:bidi w:val="0"/>
        <w:spacing w:before="240" w:beforeLines="100" w:after="240" w:afterLines="100" w:line="360" w:lineRule="auto"/>
        <w:jc w:val="center"/>
        <w:rPr>
          <w:rFonts w:hint="eastAsia" w:ascii="宋体" w:hAnsi="宋体" w:eastAsia="宋体" w:cs="宋体"/>
          <w:b/>
          <w:color w:val="auto"/>
          <w:sz w:val="28"/>
          <w:szCs w:val="28"/>
          <w:highlight w:val="none"/>
        </w:rPr>
      </w:pPr>
      <w:bookmarkStart w:id="72" w:name="_Toc127151517"/>
      <w:bookmarkStart w:id="73" w:name="_Toc264969207"/>
      <w:bookmarkStart w:id="74" w:name="_Toc305158785"/>
      <w:bookmarkStart w:id="75" w:name="_Toc195842882"/>
      <w:bookmarkStart w:id="76" w:name="_Toc353873662"/>
      <w:bookmarkStart w:id="77" w:name="_Toc305158859"/>
      <w:bookmarkStart w:id="78" w:name="_Toc226965790"/>
      <w:bookmarkStart w:id="79" w:name="_Toc150774722"/>
      <w:bookmarkStart w:id="80" w:name="_Toc142311019"/>
      <w:bookmarkStart w:id="81" w:name="_Toc150480755"/>
      <w:bookmarkStart w:id="82" w:name="_Toc353825542"/>
      <w:bookmarkStart w:id="83" w:name="_Toc353873932"/>
      <w:bookmarkStart w:id="84" w:name="_Toc226337213"/>
      <w:bookmarkStart w:id="85" w:name="_Toc265228355"/>
      <w:r>
        <w:rPr>
          <w:rFonts w:hint="eastAsia" w:ascii="宋体" w:hAnsi="宋体" w:eastAsia="宋体" w:cs="宋体"/>
          <w:b/>
          <w:color w:val="auto"/>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5A19F0">
      <w:pPr>
        <w:pStyle w:val="3"/>
        <w:pageBreakBefore w:val="0"/>
        <w:tabs>
          <w:tab w:val="center" w:pos="4592"/>
          <w:tab w:val="left" w:pos="7860"/>
        </w:tabs>
        <w:wordWrap/>
        <w:topLinePunct w:val="0"/>
        <w:bidi w:val="0"/>
        <w:spacing w:before="0" w:line="360" w:lineRule="auto"/>
        <w:jc w:val="left"/>
        <w:rPr>
          <w:rFonts w:hint="eastAsia" w:ascii="宋体" w:hAnsi="宋体" w:eastAsia="宋体" w:cs="宋体"/>
          <w:color w:val="auto"/>
          <w:sz w:val="28"/>
          <w:highlight w:val="none"/>
        </w:rPr>
      </w:pPr>
      <w:bookmarkStart w:id="86" w:name="_Toc127151518"/>
      <w:bookmarkStart w:id="87" w:name="_Toc520356143"/>
      <w:r>
        <w:rPr>
          <w:rFonts w:hint="eastAsia" w:ascii="宋体" w:hAnsi="宋体" w:eastAsia="宋体" w:cs="宋体"/>
          <w:color w:val="auto"/>
          <w:sz w:val="28"/>
          <w:highlight w:val="none"/>
        </w:rPr>
        <w:tab/>
      </w:r>
      <w:bookmarkStart w:id="88" w:name="_Toc264969208"/>
      <w:bookmarkStart w:id="89" w:name="_Toc151193688"/>
      <w:bookmarkStart w:id="90" w:name="_Toc150774723"/>
      <w:bookmarkStart w:id="91" w:name="_Toc151193832"/>
      <w:bookmarkStart w:id="92" w:name="_Toc150774618"/>
      <w:bookmarkStart w:id="93" w:name="_Toc150509269"/>
      <w:bookmarkStart w:id="94" w:name="_Toc151193906"/>
      <w:bookmarkStart w:id="95" w:name="_Toc150480756"/>
      <w:bookmarkStart w:id="96" w:name="_Toc265228356"/>
      <w:bookmarkStart w:id="97" w:name="_Toc226965791"/>
      <w:bookmarkStart w:id="98" w:name="_Toc305158786"/>
      <w:bookmarkStart w:id="99" w:name="_Toc226965708"/>
      <w:bookmarkStart w:id="100" w:name="_Toc151193616"/>
      <w:bookmarkStart w:id="101" w:name="_Toc151193760"/>
      <w:bookmarkStart w:id="102" w:name="_Toc142311020"/>
      <w:bookmarkStart w:id="103" w:name="_Toc305158860"/>
      <w:bookmarkStart w:id="104" w:name="_Toc226309762"/>
      <w:bookmarkStart w:id="105" w:name="_Toc151190145"/>
      <w:bookmarkStart w:id="106" w:name="_Toc226337214"/>
      <w:bookmarkStart w:id="107" w:name="_Toc195842883"/>
      <w:r>
        <w:rPr>
          <w:rFonts w:hint="eastAsia" w:ascii="宋体" w:hAnsi="宋体" w:eastAsia="宋体" w:cs="宋体"/>
          <w:color w:val="auto"/>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color w:val="auto"/>
          <w:sz w:val="28"/>
          <w:highlight w:val="none"/>
        </w:rPr>
        <w:tab/>
      </w:r>
    </w:p>
    <w:p w14:paraId="4712D5E0">
      <w:pPr>
        <w:pageBreakBefore w:val="0"/>
        <w:numPr>
          <w:ilvl w:val="0"/>
          <w:numId w:val="11"/>
        </w:numPr>
        <w:tabs>
          <w:tab w:val="left" w:pos="360"/>
          <w:tab w:val="clear" w:pos="90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108" w:name="_Toc265228357"/>
      <w:bookmarkStart w:id="109" w:name="_Toc264969209"/>
      <w:bookmarkStart w:id="110" w:name="_Toc305158787"/>
      <w:bookmarkStart w:id="111" w:name="_Toc305158861"/>
      <w:r>
        <w:rPr>
          <w:rFonts w:hint="eastAsia" w:ascii="宋体" w:hAnsi="宋体" w:eastAsia="宋体" w:cs="宋体"/>
          <w:color w:val="auto"/>
          <w:sz w:val="24"/>
          <w:highlight w:val="none"/>
        </w:rPr>
        <w:t>采购人、采购代理机构、投标人</w:t>
      </w:r>
      <w:bookmarkEnd w:id="108"/>
      <w:bookmarkEnd w:id="109"/>
      <w:bookmarkEnd w:id="110"/>
      <w:bookmarkEnd w:id="111"/>
      <w:r>
        <w:rPr>
          <w:rFonts w:hint="eastAsia" w:ascii="宋体" w:hAnsi="宋体" w:eastAsia="宋体" w:cs="宋体"/>
          <w:color w:val="auto"/>
          <w:sz w:val="24"/>
          <w:highlight w:val="none"/>
        </w:rPr>
        <w:t>、联合体</w:t>
      </w:r>
    </w:p>
    <w:p w14:paraId="019DD093">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采购人、采购代理机构：指依法进行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的国家机关、事业单位、团体组织，及其委托的采购代理机构。本项目采购人、采购代理机构见第一章《投标邀请》。</w:t>
      </w:r>
    </w:p>
    <w:p w14:paraId="146F06C0">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投标人（也称“</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”、“申请人”）：指向采购人提供货物、工程或者服务的法人、其他组织或者自然人。</w:t>
      </w:r>
    </w:p>
    <w:p w14:paraId="2896C19D">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联合体：指两个以上的自然人、法人或者其他组织组成一个联合体，以一个</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的身份共同参加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w:t>
      </w:r>
    </w:p>
    <w:p w14:paraId="0E8A1980">
      <w:pPr>
        <w:pageBreakBefore w:val="0"/>
        <w:numPr>
          <w:ilvl w:val="0"/>
          <w:numId w:val="11"/>
        </w:numPr>
        <w:tabs>
          <w:tab w:val="left" w:pos="360"/>
          <w:tab w:val="clear" w:pos="90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112" w:name="_Toc264969210"/>
      <w:bookmarkStart w:id="113" w:name="_Toc150509271"/>
      <w:bookmarkStart w:id="114" w:name="_Toc150774725"/>
      <w:bookmarkStart w:id="115" w:name="_Toc305158862"/>
      <w:bookmarkStart w:id="116" w:name="_Toc226965793"/>
      <w:bookmarkStart w:id="117" w:name="_Toc164608634"/>
      <w:bookmarkStart w:id="118" w:name="_Toc265228358"/>
      <w:bookmarkStart w:id="119" w:name="_Toc226337216"/>
      <w:bookmarkStart w:id="120" w:name="_Toc142311022"/>
      <w:bookmarkStart w:id="121" w:name="_Toc226965710"/>
      <w:bookmarkStart w:id="122" w:name="_Toc127161434"/>
      <w:bookmarkStart w:id="123" w:name="_Toc226309764"/>
      <w:bookmarkStart w:id="124" w:name="_Toc151193908"/>
      <w:bookmarkStart w:id="125" w:name="_Toc127151520"/>
      <w:bookmarkStart w:id="126" w:name="_Toc150774620"/>
      <w:bookmarkStart w:id="127" w:name="_Toc151193690"/>
      <w:bookmarkStart w:id="128" w:name="_Toc164608789"/>
      <w:bookmarkStart w:id="129" w:name="_Toc151193618"/>
      <w:bookmarkStart w:id="130" w:name="_Toc150480758"/>
      <w:bookmarkStart w:id="131" w:name="_Toc151190147"/>
      <w:bookmarkStart w:id="132" w:name="_Toc164351614"/>
      <w:bookmarkStart w:id="133" w:name="_Toc305158788"/>
      <w:bookmarkStart w:id="134" w:name="_Toc151193834"/>
      <w:bookmarkStart w:id="135" w:name="_Toc164229215"/>
      <w:bookmarkStart w:id="136" w:name="_Toc195842885"/>
      <w:bookmarkStart w:id="137" w:name="_Toc151193762"/>
      <w:bookmarkStart w:id="138" w:name="_Toc164229361"/>
      <w:bookmarkStart w:id="139" w:name="_Toc149720813"/>
      <w:bookmarkStart w:id="140" w:name="_Toc127151721"/>
      <w:r>
        <w:rPr>
          <w:rFonts w:hint="eastAsia" w:ascii="宋体" w:hAnsi="宋体" w:eastAsia="宋体" w:cs="宋体"/>
          <w:color w:val="auto"/>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color w:val="auto"/>
          <w:sz w:val="24"/>
          <w:highlight w:val="none"/>
        </w:rPr>
        <w:t>、项目属性、科研仪器设备采购、核心产品</w:t>
      </w:r>
    </w:p>
    <w:p w14:paraId="56564C81">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资金来源为财政性资金和/或本项目采购中无法与财政性资金分割的非财政性资金。</w:t>
      </w:r>
    </w:p>
    <w:p w14:paraId="3D63FDA0">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项目属性见《投标人须知资料表》。</w:t>
      </w:r>
    </w:p>
    <w:p w14:paraId="29E67686">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是否属于科研仪器设备采购见《投标人须知资料表》。</w:t>
      </w:r>
    </w:p>
    <w:p w14:paraId="03241B49">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核心产品见《投标人须知资料表》。</w:t>
      </w:r>
    </w:p>
    <w:p w14:paraId="4C110934">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现场考察、开标前答疑会</w:t>
      </w:r>
    </w:p>
    <w:p w14:paraId="414E6968">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若《投标人须知资料表》中规定了组织现场考察、召开开标前答疑会，则投标人应按要求在规定的时间和地点参加。</w:t>
      </w:r>
      <w:bookmarkStart w:id="141" w:name="_Toc150774727"/>
      <w:bookmarkStart w:id="142" w:name="_Toc520356146"/>
      <w:bookmarkStart w:id="143" w:name="_Toc226309766"/>
      <w:bookmarkStart w:id="144" w:name="_Toc150509273"/>
      <w:bookmarkStart w:id="145" w:name="_Toc226965712"/>
      <w:bookmarkStart w:id="146" w:name="_Toc151193764"/>
      <w:bookmarkStart w:id="147" w:name="_Toc151193910"/>
      <w:bookmarkStart w:id="148" w:name="_Toc127151522"/>
      <w:bookmarkStart w:id="149" w:name="_Toc151193836"/>
      <w:bookmarkStart w:id="150" w:name="_Toc305158864"/>
      <w:bookmarkStart w:id="151" w:name="_Toc226965795"/>
      <w:bookmarkStart w:id="152" w:name="_Toc264969212"/>
      <w:bookmarkStart w:id="153" w:name="_Toc142311024"/>
      <w:bookmarkStart w:id="154" w:name="_Toc150480760"/>
      <w:bookmarkStart w:id="155" w:name="_Toc151190149"/>
      <w:bookmarkStart w:id="156" w:name="_Toc226337218"/>
      <w:bookmarkStart w:id="157" w:name="_Toc150774622"/>
      <w:bookmarkStart w:id="158" w:name="_Toc305158790"/>
      <w:bookmarkStart w:id="159" w:name="_Toc151193620"/>
      <w:bookmarkStart w:id="160" w:name="_Toc151193692"/>
      <w:bookmarkStart w:id="161" w:name="_Toc265228360"/>
      <w:bookmarkStart w:id="162" w:name="_Toc195842887"/>
    </w:p>
    <w:p w14:paraId="5FE0D6CD">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6C37F25D">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p w14:paraId="37D0E15F">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本项目是否要求投标人提供样品，以及样品制作的标准和要求、是否需要随样品提交相关检测报告、样品的递交与退还等要求见《投标人须知资料表》。</w:t>
      </w:r>
    </w:p>
    <w:p w14:paraId="0F66E354">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样品的评审方法以及评审标准等内容见《评标程序、评标方法和评标标准》。</w:t>
      </w:r>
    </w:p>
    <w:p w14:paraId="39E7E509">
      <w:pPr>
        <w:pageBreakBefore w:val="0"/>
        <w:numPr>
          <w:ilvl w:val="0"/>
          <w:numId w:val="11"/>
        </w:numPr>
        <w:tabs>
          <w:tab w:val="left" w:pos="360"/>
          <w:tab w:val="clear" w:pos="90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政策（包括但不限于下列具体政策要求）</w:t>
      </w:r>
    </w:p>
    <w:p w14:paraId="59633C1C">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spacing w:val="1"/>
          <w:sz w:val="24"/>
          <w:szCs w:val="24"/>
        </w:rPr>
        <w:t>采购本国货物、工程和服务</w:t>
      </w:r>
    </w:p>
    <w:p w14:paraId="7EB2ACF7">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1"/>
          <w:sz w:val="24"/>
          <w:szCs w:val="24"/>
        </w:rPr>
        <w:t>政府采购应当采购本国货物、工程和服务。但有《</w:t>
      </w:r>
      <w:r>
        <w:rPr>
          <w:b/>
          <w:bCs/>
          <w:spacing w:val="-1"/>
          <w:sz w:val="24"/>
          <w:szCs w:val="24"/>
        </w:rPr>
        <w:t>中华人民共和国政</w:t>
      </w:r>
      <w:r>
        <w:rPr>
          <w:b/>
          <w:bCs/>
          <w:spacing w:val="18"/>
          <w:sz w:val="24"/>
          <w:szCs w:val="24"/>
        </w:rPr>
        <w:t xml:space="preserve"> </w:t>
      </w:r>
      <w:r>
        <w:rPr>
          <w:b/>
          <w:bCs/>
          <w:spacing w:val="-1"/>
          <w:sz w:val="24"/>
          <w:szCs w:val="24"/>
        </w:rPr>
        <w:t>府采购法</w:t>
      </w:r>
      <w:r>
        <w:rPr>
          <w:spacing w:val="-1"/>
          <w:sz w:val="24"/>
          <w:szCs w:val="24"/>
        </w:rPr>
        <w:t>》第十条规定情形的除外</w:t>
      </w:r>
      <w:r>
        <w:rPr>
          <w:rFonts w:hint="eastAsia" w:ascii="宋体" w:hAnsi="宋体" w:eastAsia="宋体" w:cs="宋体"/>
          <w:color w:val="auto"/>
          <w:sz w:val="24"/>
          <w:highlight w:val="none"/>
        </w:rPr>
        <w:t>。</w:t>
      </w:r>
    </w:p>
    <w:p w14:paraId="1CD881B6">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1"/>
          <w:sz w:val="24"/>
          <w:szCs w:val="24"/>
        </w:rPr>
        <w:t>本项目如接受非本国货物、工程、服务参与投标，则具体要求见第五</w:t>
      </w:r>
      <w:r>
        <w:rPr>
          <w:spacing w:val="-14"/>
          <w:sz w:val="24"/>
          <w:szCs w:val="24"/>
        </w:rPr>
        <w:t>章《采购需求》。</w:t>
      </w:r>
    </w:p>
    <w:p w14:paraId="4119B664">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6"/>
          <w:sz w:val="24"/>
          <w:szCs w:val="24"/>
        </w:rPr>
        <w:t>进口产品指通过中国海</w:t>
      </w:r>
      <w:r>
        <w:rPr>
          <w:spacing w:val="5"/>
          <w:sz w:val="24"/>
          <w:szCs w:val="24"/>
        </w:rPr>
        <w:t>关报关验放进入中国境内且产自关境外的产</w:t>
      </w:r>
      <w:r>
        <w:rPr>
          <w:sz w:val="24"/>
          <w:szCs w:val="24"/>
        </w:rPr>
        <w:t xml:space="preserve"> </w:t>
      </w:r>
      <w:r>
        <w:rPr>
          <w:spacing w:val="-4"/>
          <w:sz w:val="24"/>
          <w:szCs w:val="24"/>
        </w:rPr>
        <w:t>品，包括已经进入中国境内的进口产品。关于进口产品的相关规定依</w:t>
      </w:r>
      <w:r>
        <w:rPr>
          <w:spacing w:val="4"/>
          <w:sz w:val="24"/>
          <w:szCs w:val="24"/>
        </w:rPr>
        <w:t xml:space="preserve"> </w:t>
      </w:r>
      <w:r>
        <w:rPr>
          <w:spacing w:val="-6"/>
          <w:sz w:val="24"/>
          <w:szCs w:val="24"/>
        </w:rPr>
        <w:t>据《政府采购进口产品管理办法》（财库〔</w:t>
      </w:r>
      <w:r>
        <w:rPr>
          <w:rFonts w:ascii="Arial" w:hAnsi="Arial" w:eastAsia="Arial" w:cs="Arial"/>
          <w:spacing w:val="-6"/>
          <w:sz w:val="24"/>
          <w:szCs w:val="24"/>
        </w:rPr>
        <w:t>2007</w:t>
      </w:r>
      <w:r>
        <w:rPr>
          <w:spacing w:val="-6"/>
          <w:sz w:val="24"/>
          <w:szCs w:val="24"/>
        </w:rPr>
        <w:t>〕</w:t>
      </w:r>
      <w:r>
        <w:rPr>
          <w:rFonts w:ascii="Arial" w:hAnsi="Arial" w:eastAsia="Arial" w:cs="Arial"/>
          <w:spacing w:val="-6"/>
          <w:sz w:val="24"/>
          <w:szCs w:val="24"/>
        </w:rPr>
        <w:t>119</w:t>
      </w:r>
      <w:r>
        <w:rPr>
          <w:spacing w:val="-6"/>
          <w:sz w:val="24"/>
          <w:szCs w:val="24"/>
        </w:rPr>
        <w:t>号文）、《关</w:t>
      </w:r>
      <w:r>
        <w:rPr>
          <w:spacing w:val="4"/>
          <w:sz w:val="24"/>
          <w:szCs w:val="24"/>
        </w:rPr>
        <w:t>于政府采购进口产品管理有关问题的通知》（财办库〔</w:t>
      </w:r>
      <w:r>
        <w:rPr>
          <w:rFonts w:ascii="Arial" w:hAnsi="Arial" w:eastAsia="Arial" w:cs="Arial"/>
          <w:spacing w:val="4"/>
          <w:sz w:val="24"/>
          <w:szCs w:val="24"/>
        </w:rPr>
        <w:t>2</w:t>
      </w:r>
      <w:r>
        <w:rPr>
          <w:rFonts w:ascii="Arial" w:hAnsi="Arial" w:eastAsia="Arial" w:cs="Arial"/>
          <w:spacing w:val="3"/>
          <w:sz w:val="24"/>
          <w:szCs w:val="24"/>
        </w:rPr>
        <w:t>008</w:t>
      </w:r>
      <w:r>
        <w:rPr>
          <w:spacing w:val="3"/>
          <w:sz w:val="24"/>
          <w:szCs w:val="24"/>
        </w:rPr>
        <w:t>〕</w:t>
      </w:r>
      <w:r>
        <w:rPr>
          <w:rFonts w:ascii="Arial" w:hAnsi="Arial" w:eastAsia="Arial" w:cs="Arial"/>
          <w:spacing w:val="3"/>
          <w:sz w:val="24"/>
          <w:szCs w:val="24"/>
        </w:rPr>
        <w:t>248</w:t>
      </w:r>
      <w:r>
        <w:rPr>
          <w:spacing w:val="-21"/>
          <w:w w:val="96"/>
          <w:sz w:val="24"/>
          <w:szCs w:val="24"/>
        </w:rPr>
        <w:t>号文）</w:t>
      </w:r>
      <w:r>
        <w:rPr>
          <w:rFonts w:hint="eastAsia"/>
          <w:spacing w:val="-21"/>
          <w:w w:val="96"/>
          <w:sz w:val="24"/>
          <w:szCs w:val="24"/>
          <w:lang w:eastAsia="zh-CN"/>
        </w:rPr>
        <w:t>。</w:t>
      </w:r>
    </w:p>
    <w:p w14:paraId="666A438C">
      <w:pPr>
        <w:pageBreakBefore w:val="0"/>
        <w:numPr>
          <w:ilvl w:val="0"/>
          <w:numId w:val="0"/>
        </w:numPr>
        <w:tabs>
          <w:tab w:val="left" w:pos="2014"/>
        </w:tabs>
        <w:wordWrap/>
        <w:topLinePunct w:val="0"/>
        <w:bidi w:val="0"/>
        <w:snapToGrid w:val="0"/>
        <w:spacing w:line="360" w:lineRule="auto"/>
        <w:rPr>
          <w:rFonts w:hint="eastAsia" w:ascii="宋体" w:hAnsi="宋体" w:eastAsia="宋体" w:cs="宋体"/>
          <w:color w:val="auto"/>
          <w:sz w:val="24"/>
          <w:highlight w:val="none"/>
        </w:rPr>
      </w:pPr>
    </w:p>
    <w:p w14:paraId="0D1B1372">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中小企业、监狱企业及残疾人福利性单位</w:t>
      </w:r>
    </w:p>
    <w:p w14:paraId="6995E93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中小企业定义：</w:t>
      </w:r>
    </w:p>
    <w:p w14:paraId="0CC16FA8">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4BE5A955">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1D9C3594">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0DE1548D">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3ADDD65E">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58F1C01F">
      <w:pPr>
        <w:pStyle w:val="111"/>
        <w:pageBreakBefore w:val="0"/>
        <w:numPr>
          <w:ilvl w:val="1"/>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4E436144">
      <w:pPr>
        <w:pStyle w:val="111"/>
        <w:pageBreakBefore w:val="0"/>
        <w:numPr>
          <w:ilvl w:val="1"/>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778ED6ED">
      <w:pPr>
        <w:pStyle w:val="111"/>
        <w:pageBreakBefore w:val="0"/>
        <w:numPr>
          <w:ilvl w:val="2"/>
          <w:numId w:val="12"/>
        </w:numPr>
        <w:tabs>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26D4FCC4">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〕19号）、《政府采购促进中小企业发展管理办法》（财库〔2020〕46号）、《关于印发中小企业划型标准规定的通知》（工信部联企业〔 2011 〕300号）、《金融业企业划型标准规定》（〔2015〕309号）等国务院批准的中小企业划分标准执行。</w:t>
      </w:r>
    </w:p>
    <w:p w14:paraId="6CF4CC88">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提供的货物、工程或者服务符合下列情形的，享受中小企业扶持政策：</w:t>
      </w:r>
    </w:p>
    <w:p w14:paraId="1E66B6EA">
      <w:pPr>
        <w:pageBreakBefore w:val="0"/>
        <w:tabs>
          <w:tab w:val="left" w:pos="1980"/>
        </w:tabs>
        <w:wordWrap/>
        <w:topLinePunct w:val="0"/>
        <w:bidi w:val="0"/>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14:paraId="5CA29CEE">
      <w:pPr>
        <w:pageBreakBefore w:val="0"/>
        <w:tabs>
          <w:tab w:val="left" w:pos="1980"/>
        </w:tabs>
        <w:wordWrap/>
        <w:topLinePunct w:val="0"/>
        <w:bidi w:val="0"/>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14:paraId="25F07CB6">
      <w:pPr>
        <w:pageBreakBefore w:val="0"/>
        <w:tabs>
          <w:tab w:val="left" w:pos="1980"/>
        </w:tabs>
        <w:wordWrap/>
        <w:topLinePunct w:val="0"/>
        <w:bidi w:val="0"/>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14:paraId="1F8D2AB4">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提供的货物既有中小企业制造货物，也有大型企业制造货物的，不享受中小企业扶持政策。</w:t>
      </w:r>
    </w:p>
    <w:p w14:paraId="2A6830AB">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活动，联合体各方均为中小企业的，联合体视同中小企业。其中，联合体各方均为小微企业的，联合体视同小微企业。</w:t>
      </w:r>
    </w:p>
    <w:p w14:paraId="3A58CFA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spacing w:val="1"/>
          <w:sz w:val="24"/>
          <w:szCs w:val="24"/>
        </w:rPr>
        <w:t>在政府采购活动中，监狱企业视同小型、微型企业，享受预留份额、</w:t>
      </w:r>
      <w:r>
        <w:rPr>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spacing w:val="-1"/>
          <w:sz w:val="24"/>
          <w:szCs w:val="24"/>
        </w:rPr>
        <w:t>团监狱管理局、戒毒管理局的企业</w:t>
      </w:r>
      <w:r>
        <w:rPr>
          <w:rFonts w:hint="eastAsia" w:ascii="宋体" w:hAnsi="宋体" w:eastAsia="宋体" w:cs="宋体"/>
          <w:color w:val="auto"/>
          <w:sz w:val="24"/>
          <w:highlight w:val="none"/>
        </w:rPr>
        <w:t>。</w:t>
      </w:r>
    </w:p>
    <w:p w14:paraId="1E163AC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0EB">
      <w:pPr>
        <w:pStyle w:val="111"/>
        <w:pageBreakBefore w:val="0"/>
        <w:numPr>
          <w:ilvl w:val="2"/>
          <w:numId w:val="12"/>
        </w:numPr>
        <w:tabs>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61BE4E2C">
      <w:pPr>
        <w:pStyle w:val="111"/>
        <w:pageBreakBefore w:val="0"/>
        <w:numPr>
          <w:ilvl w:val="2"/>
          <w:numId w:val="12"/>
        </w:numPr>
        <w:tabs>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639B38A3">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安置的残疾人占本单位在职职工人数的比例不低于25%（含25%），并且安置的残疾人人数不少于10 人（含10 人）；</w:t>
      </w:r>
    </w:p>
    <w:p w14:paraId="1BAE6FE8">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依法与安置的每位残疾人签订了一年以上（含一年）的劳动合同或服务协议；</w:t>
      </w:r>
    </w:p>
    <w:p w14:paraId="692313B1">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为安置的每位残疾人按月足额缴纳了基本养老保险、基本医疗保险、失业保险、工伤保险和生育保险等社会保险费；</w:t>
      </w:r>
    </w:p>
    <w:p w14:paraId="4959A65E">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通过银行等金融机构向安置的每位残疾人，按月支付了不低于单位所在区县适用的经省级人民政府批准的月最低工资标准的工资；</w:t>
      </w:r>
    </w:p>
    <w:p w14:paraId="2BB3A0F0">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提供本单位制造的货物、承担的工程或者服务（以下简称产品），或者提供其他残疾人福利性单位制造的货物（不包括使用非残疾人福利性单位注册商标的货物）；</w:t>
      </w:r>
    </w:p>
    <w:p w14:paraId="06EF9D09">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EA3381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本项目是否专门面向中小企业预留采购份额见《投标邀请》。</w:t>
      </w:r>
    </w:p>
    <w:p w14:paraId="0BB59D45">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采购标的对应的中小企业划分标准所属行业见《投标人须知资料表》。</w:t>
      </w:r>
    </w:p>
    <w:p w14:paraId="32E9DD6F">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小微企业价格评审优惠的政策调整：见《评标程序、评标方法和评标标准》。</w:t>
      </w:r>
    </w:p>
    <w:p w14:paraId="174031B4">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节能产品、环境标志产品</w:t>
      </w:r>
    </w:p>
    <w:p w14:paraId="2B2CF285">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61EF1B2">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节能产品、环境标志产品的相关规定依据《关于调整优化节能产品、环境标志产品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 xml:space="preserve">执行机制的通知》（财库〔2019〕9号）。 </w:t>
      </w:r>
    </w:p>
    <w:p w14:paraId="1965839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w:t>
      </w:r>
    </w:p>
    <w:p w14:paraId="0254D60F">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非政府强制采购的节能产品或环境标志产品，依据品目清单和认证证书实施政府优先采购。优先采购的具体规定见《评标程序、评标方法和评标标准》（如涉及）。</w:t>
      </w:r>
    </w:p>
    <w:p w14:paraId="0D94C9C3">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正版软件</w:t>
      </w:r>
    </w:p>
    <w:p w14:paraId="6B30C3B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26E4BA7">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网络安全专用产品</w:t>
      </w:r>
    </w:p>
    <w:p w14:paraId="60B77128">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根据《关于调整网络安全专用产品安全管理有关事项的公告》（2023年第 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7C049C8">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推广使用低挥发性有机化合物（VOCs）</w:t>
      </w:r>
    </w:p>
    <w:p w14:paraId="26928366">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为全面推进本市挥发性有机物（VOCs）治理，贯彻落实挥发性有机物污染治理专项行动有关要求，相关规定依据《北京市财政局北京市生态环境局关于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推广使用低挥发性有机化合物（VOCs）有关事项的通知》（京财采购〔2020〕2381 号）。本项目中涉及涂料、胶黏剂、油墨、清洗剂等挥发性有机物产品的，属于强制性标准的，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应执行符合本市和国家的VOCs 含量限制标准（具体标准见</w:t>
      </w:r>
      <w:r>
        <w:rPr>
          <w:rFonts w:hint="eastAsia" w:ascii="宋体" w:hAnsi="宋体" w:cs="宋体"/>
          <w:color w:val="auto"/>
          <w:sz w:val="24"/>
          <w:highlight w:val="none"/>
          <w:lang w:eastAsia="zh-CN"/>
        </w:rPr>
        <w:t>《采购需求》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；属于推荐性标准的，优先采购，具体见《评标程序、评标方法和评标标准》。</w:t>
      </w:r>
    </w:p>
    <w:p w14:paraId="6B6B33EA">
      <w:pPr>
        <w:pageBreakBefore w:val="0"/>
        <w:numPr>
          <w:ilvl w:val="0"/>
          <w:numId w:val="0"/>
        </w:numPr>
        <w:tabs>
          <w:tab w:val="left" w:pos="1080"/>
          <w:tab w:val="left" w:pos="2014"/>
        </w:tabs>
        <w:wordWrap/>
        <w:topLinePunct w:val="0"/>
        <w:bidi w:val="0"/>
        <w:snapToGrid w:val="0"/>
        <w:spacing w:line="360" w:lineRule="auto"/>
        <w:ind w:left="360" w:leftChars="0"/>
        <w:rPr>
          <w:rFonts w:hint="eastAsia" w:ascii="宋体" w:hAnsi="宋体" w:eastAsia="宋体" w:cs="宋体"/>
          <w:color w:val="auto"/>
          <w:sz w:val="24"/>
          <w:highlight w:val="none"/>
        </w:rPr>
      </w:pPr>
    </w:p>
    <w:p w14:paraId="3D825E00">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采购需求标准</w:t>
      </w:r>
    </w:p>
    <w:p w14:paraId="7F3D8978">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商品包装、快递包装政府采购需求标准（试行）</w:t>
      </w:r>
    </w:p>
    <w:p w14:paraId="43A96B29">
      <w:pPr>
        <w:pageBreakBefore w:val="0"/>
        <w:numPr>
          <w:ilvl w:val="0"/>
          <w:numId w:val="0"/>
        </w:numPr>
        <w:tabs>
          <w:tab w:val="left" w:pos="2014"/>
        </w:tabs>
        <w:wordWrap/>
        <w:topLinePunct w:val="0"/>
        <w:bidi w:val="0"/>
        <w:snapToGrid w:val="0"/>
        <w:spacing w:line="360" w:lineRule="auto"/>
        <w:ind w:left="108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为助力打好污染防治攻坚战，推广使用绿色包装，根据财政部关于印发《商品包装政府采购需求标准（试行）》、《快递包装政府采购需求 标准（试行）》的通知（财办库〔2020〕123号），本项目如涉及商品包装和快递包装的，则其具体要求见第五章《采购需求》。</w:t>
      </w:r>
    </w:p>
    <w:p w14:paraId="32BCA00F">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4"/>
          <w:sz w:val="24"/>
          <w:szCs w:val="24"/>
        </w:rPr>
        <w:t>其他政府采购需求标准</w:t>
      </w:r>
    </w:p>
    <w:p w14:paraId="26CD7BEC">
      <w:pPr>
        <w:pageBreakBefore w:val="0"/>
        <w:numPr>
          <w:ilvl w:val="0"/>
          <w:numId w:val="0"/>
        </w:numPr>
        <w:tabs>
          <w:tab w:val="left" w:pos="2014"/>
        </w:tabs>
        <w:wordWrap/>
        <w:topLinePunct w:val="0"/>
        <w:bidi w:val="0"/>
        <w:snapToGrid w:val="0"/>
        <w:spacing w:line="360" w:lineRule="auto"/>
        <w:ind w:left="1080" w:leftChars="0"/>
        <w:rPr>
          <w:rFonts w:hint="eastAsia" w:ascii="宋体" w:hAnsi="宋体" w:eastAsia="宋体" w:cs="宋体"/>
          <w:color w:val="auto"/>
          <w:sz w:val="24"/>
          <w:highlight w:val="none"/>
        </w:rPr>
      </w:pPr>
      <w:r>
        <w:rPr>
          <w:spacing w:val="-4"/>
          <w:sz w:val="24"/>
          <w:szCs w:val="24"/>
        </w:rPr>
        <w:t>为贯彻落实《深化政府采购制度改革方案》有关要求，推动政府采购</w:t>
      </w:r>
      <w:r>
        <w:rPr>
          <w:sz w:val="24"/>
          <w:szCs w:val="24"/>
        </w:rPr>
        <w:t xml:space="preserve"> </w:t>
      </w:r>
      <w:r>
        <w:rPr>
          <w:spacing w:val="-4"/>
          <w:sz w:val="24"/>
          <w:szCs w:val="24"/>
        </w:rPr>
        <w:t>需求标准建设，财政部门会同有关部门制定发布的其他政府采购需求</w:t>
      </w:r>
      <w:r>
        <w:rPr>
          <w:spacing w:val="7"/>
          <w:sz w:val="24"/>
          <w:szCs w:val="24"/>
        </w:rPr>
        <w:t xml:space="preserve"> </w:t>
      </w:r>
      <w:r>
        <w:rPr>
          <w:spacing w:val="-4"/>
          <w:sz w:val="24"/>
          <w:szCs w:val="24"/>
        </w:rPr>
        <w:t>标准，本项目如涉及，则具体要求见第五章《采购需求</w:t>
      </w:r>
      <w:r>
        <w:rPr>
          <w:spacing w:val="-5"/>
          <w:sz w:val="24"/>
          <w:szCs w:val="24"/>
        </w:rPr>
        <w:t>》。</w:t>
      </w:r>
    </w:p>
    <w:p w14:paraId="6EA3FCAD">
      <w:pPr>
        <w:pageBreakBefore w:val="0"/>
        <w:numPr>
          <w:ilvl w:val="0"/>
          <w:numId w:val="0"/>
        </w:numPr>
        <w:tabs>
          <w:tab w:val="left" w:pos="2014"/>
        </w:tabs>
        <w:wordWrap/>
        <w:topLinePunct w:val="0"/>
        <w:bidi w:val="0"/>
        <w:snapToGrid w:val="0"/>
        <w:spacing w:line="360" w:lineRule="auto"/>
        <w:rPr>
          <w:rFonts w:hint="eastAsia" w:ascii="宋体" w:hAnsi="宋体" w:eastAsia="宋体" w:cs="宋体"/>
          <w:color w:val="auto"/>
          <w:sz w:val="24"/>
          <w:highlight w:val="none"/>
        </w:rPr>
      </w:pPr>
    </w:p>
    <w:p w14:paraId="5E56C7A6">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投标费用</w:t>
      </w:r>
    </w:p>
    <w:p w14:paraId="472CB90B">
      <w:pPr>
        <w:pageBreakBefore w:val="0"/>
        <w:tabs>
          <w:tab w:val="left" w:pos="1080"/>
        </w:tabs>
        <w:wordWrap/>
        <w:topLinePunct w:val="0"/>
        <w:bidi w:val="0"/>
        <w:snapToGrid w:val="0"/>
        <w:spacing w:line="360" w:lineRule="auto"/>
        <w:ind w:left="1080"/>
        <w:rPr>
          <w:rFonts w:hint="eastAsia" w:ascii="宋体" w:hAnsi="宋体" w:eastAsia="宋体" w:cs="宋体"/>
          <w:color w:val="auto"/>
          <w:sz w:val="24"/>
          <w:highlight w:val="none"/>
        </w:rPr>
      </w:pPr>
      <w:bookmarkStart w:id="163" w:name="_1.8_计量单位"/>
      <w:bookmarkEnd w:id="163"/>
      <w:r>
        <w:rPr>
          <w:rFonts w:hint="eastAsia" w:ascii="宋体" w:hAnsi="宋体" w:eastAsia="宋体" w:cs="宋体"/>
          <w:color w:val="auto"/>
          <w:sz w:val="24"/>
          <w:highlight w:val="none"/>
        </w:rPr>
        <w:t>6.1投标人应自行承担所有与准备和参加投标有关的费用，无论投标的结果如何，</w:t>
      </w:r>
    </w:p>
    <w:p w14:paraId="365868A6">
      <w:pPr>
        <w:pageBreakBefore w:val="0"/>
        <w:tabs>
          <w:tab w:val="left" w:pos="1080"/>
        </w:tabs>
        <w:wordWrap/>
        <w:topLinePunct w:val="0"/>
        <w:bidi w:val="0"/>
        <w:snapToGrid w:val="0"/>
        <w:spacing w:line="360" w:lineRule="auto"/>
        <w:ind w:left="10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采购人或采购代理机构在任何情况下均无承担这些费用的义务和责任。</w:t>
      </w:r>
    </w:p>
    <w:p w14:paraId="50CECDB6">
      <w:pPr>
        <w:pageBreakBefore w:val="0"/>
        <w:tabs>
          <w:tab w:val="left" w:pos="1080"/>
        </w:tabs>
        <w:wordWrap/>
        <w:topLinePunct w:val="0"/>
        <w:bidi w:val="0"/>
        <w:snapToGrid w:val="0"/>
        <w:spacing w:line="360" w:lineRule="auto"/>
        <w:ind w:left="1080"/>
        <w:rPr>
          <w:rFonts w:hint="eastAsia" w:ascii="宋体" w:hAnsi="宋体" w:eastAsia="宋体" w:cs="宋体"/>
          <w:color w:val="auto"/>
          <w:sz w:val="24"/>
          <w:highlight w:val="none"/>
        </w:rPr>
      </w:pPr>
    </w:p>
    <w:p w14:paraId="658B2C57">
      <w:pPr>
        <w:pStyle w:val="3"/>
        <w:pageBreakBefore w:val="0"/>
        <w:wordWrap/>
        <w:topLinePunct w:val="0"/>
        <w:bidi w:val="0"/>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8C2A190">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164" w:name="_Toc150774728"/>
      <w:bookmarkStart w:id="165" w:name="_Toc150480761"/>
      <w:bookmarkStart w:id="166" w:name="_Toc164229218"/>
      <w:bookmarkStart w:id="167" w:name="_Toc164608792"/>
      <w:bookmarkStart w:id="168" w:name="_Toc305158865"/>
      <w:bookmarkStart w:id="169" w:name="_Toc305158791"/>
      <w:bookmarkStart w:id="170" w:name="_Toc151193765"/>
      <w:bookmarkStart w:id="171" w:name="_Toc142311025"/>
      <w:bookmarkStart w:id="172" w:name="_Toc151190150"/>
      <w:bookmarkStart w:id="173" w:name="_Toc127151523"/>
      <w:bookmarkStart w:id="174" w:name="_Toc151193621"/>
      <w:bookmarkStart w:id="175" w:name="_Toc149720816"/>
      <w:bookmarkStart w:id="176" w:name="_Toc151193693"/>
      <w:bookmarkStart w:id="177" w:name="_Toc226337219"/>
      <w:bookmarkStart w:id="178" w:name="_Toc151193911"/>
      <w:bookmarkStart w:id="179" w:name="_Toc265228361"/>
      <w:bookmarkStart w:id="180" w:name="_Toc150774623"/>
      <w:bookmarkStart w:id="181" w:name="_Toc151193837"/>
      <w:bookmarkStart w:id="182" w:name="_Toc164229364"/>
      <w:bookmarkStart w:id="183" w:name="_Toc127161437"/>
      <w:bookmarkStart w:id="184" w:name="_Toc264969213"/>
      <w:bookmarkStart w:id="185" w:name="_Toc226965796"/>
      <w:bookmarkStart w:id="186" w:name="_Toc150509274"/>
      <w:bookmarkStart w:id="187" w:name="_Toc520356147"/>
      <w:bookmarkStart w:id="188" w:name="_Toc195842888"/>
      <w:bookmarkStart w:id="189" w:name="_Toc226965713"/>
      <w:bookmarkStart w:id="190" w:name="_Toc226309767"/>
      <w:bookmarkStart w:id="191" w:name="_Toc127151724"/>
      <w:bookmarkStart w:id="192" w:name="_Toc164351617"/>
      <w:bookmarkStart w:id="193" w:name="_Toc164608637"/>
      <w:r>
        <w:rPr>
          <w:rFonts w:hint="eastAsia" w:ascii="宋体" w:hAnsi="宋体" w:eastAsia="宋体" w:cs="宋体"/>
          <w:color w:val="auto"/>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color w:val="auto"/>
          <w:sz w:val="24"/>
          <w:highlight w:val="none"/>
        </w:rPr>
        <w:t>成</w:t>
      </w:r>
    </w:p>
    <w:p w14:paraId="314DCAB1">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招标文件包括以下部分：</w:t>
      </w:r>
    </w:p>
    <w:p w14:paraId="3BE360BF">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投标邀请</w:t>
      </w:r>
    </w:p>
    <w:p w14:paraId="33A9AC6A">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14:paraId="4128986D">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14:paraId="289B3506">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14:paraId="5140DB4E">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14:paraId="3242F471">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w:t>
      </w:r>
    </w:p>
    <w:p w14:paraId="02CD5055">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p w14:paraId="1377931C">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505BBF7">
      <w:pPr>
        <w:pageBreakBefore w:val="0"/>
        <w:numPr>
          <w:ilvl w:val="0"/>
          <w:numId w:val="11"/>
        </w:numPr>
        <w:tabs>
          <w:tab w:val="left" w:pos="1080"/>
          <w:tab w:val="left" w:pos="2014"/>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对招标文件的澄清或修改</w:t>
      </w:r>
    </w:p>
    <w:p w14:paraId="7DC9834C">
      <w:pPr>
        <w:pageBreakBefore w:val="0"/>
        <w:numPr>
          <w:ilvl w:val="1"/>
          <w:numId w:val="11"/>
        </w:numPr>
        <w:tabs>
          <w:tab w:val="left" w:pos="1080"/>
          <w:tab w:val="left" w:pos="1561"/>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4D5B7FAC">
      <w:pPr>
        <w:pageBreakBefore w:val="0"/>
        <w:numPr>
          <w:ilvl w:val="1"/>
          <w:numId w:val="11"/>
        </w:numPr>
        <w:tabs>
          <w:tab w:val="left" w:pos="1080"/>
          <w:tab w:val="left" w:pos="1561"/>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5C9BBD48">
      <w:pPr>
        <w:pageBreakBefore w:val="0"/>
        <w:numPr>
          <w:ilvl w:val="1"/>
          <w:numId w:val="11"/>
        </w:numPr>
        <w:tabs>
          <w:tab w:val="left" w:pos="1080"/>
          <w:tab w:val="left" w:pos="1561"/>
          <w:tab w:val="left" w:pos="2014"/>
        </w:tabs>
        <w:wordWrap/>
        <w:topLinePunct w:val="0"/>
        <w:bidi w:val="0"/>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4" w:name="_Toc516367020"/>
      <w:bookmarkStart w:id="195" w:name="_Toc151193840"/>
      <w:bookmarkStart w:id="196" w:name="_Toc151193768"/>
      <w:bookmarkStart w:id="197" w:name="_Toc226965799"/>
      <w:bookmarkStart w:id="198" w:name="_Toc265228364"/>
      <w:bookmarkStart w:id="199" w:name="_Toc264969216"/>
      <w:bookmarkStart w:id="200" w:name="_Toc150774626"/>
      <w:bookmarkStart w:id="201" w:name="_Toc142311028"/>
      <w:bookmarkStart w:id="202" w:name="_Toc151193914"/>
      <w:bookmarkStart w:id="203" w:name="_Toc151193624"/>
      <w:bookmarkStart w:id="204" w:name="_Toc305158794"/>
      <w:bookmarkStart w:id="205" w:name="_Toc150774731"/>
      <w:bookmarkStart w:id="206" w:name="_Toc226965716"/>
      <w:bookmarkStart w:id="207" w:name="_Toc305158868"/>
      <w:bookmarkStart w:id="208" w:name="_Toc151193696"/>
      <w:bookmarkStart w:id="209" w:name="_Toc150480764"/>
      <w:bookmarkStart w:id="210" w:name="_Toc127151526"/>
      <w:bookmarkStart w:id="211" w:name="_Toc520356150"/>
      <w:bookmarkStart w:id="212" w:name="_Toc151190153"/>
      <w:bookmarkStart w:id="213" w:name="_Toc195842891"/>
      <w:bookmarkStart w:id="214" w:name="_Toc226309770"/>
      <w:bookmarkStart w:id="215" w:name="_Toc150509277"/>
      <w:bookmarkStart w:id="216" w:name="_Toc226337222"/>
    </w:p>
    <w:p w14:paraId="576365E3">
      <w:pPr>
        <w:pStyle w:val="3"/>
        <w:pageBreakBefore w:val="0"/>
        <w:wordWrap/>
        <w:topLinePunct w:val="0"/>
        <w:bidi w:val="0"/>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三   投标文件</w:t>
      </w:r>
      <w:bookmarkEnd w:id="194"/>
      <w:r>
        <w:rPr>
          <w:rFonts w:hint="eastAsia" w:ascii="宋体" w:hAnsi="宋体" w:eastAsia="宋体" w:cs="宋体"/>
          <w:color w:val="auto"/>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0CBD091">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217" w:name="_Toc516367021"/>
      <w:bookmarkStart w:id="218" w:name="_Toc305158869"/>
      <w:bookmarkStart w:id="219" w:name="_Toc305158795"/>
      <w:bookmarkStart w:id="220" w:name="_Toc150774627"/>
      <w:bookmarkStart w:id="221" w:name="_Toc151193841"/>
      <w:bookmarkStart w:id="222" w:name="_Toc226965717"/>
      <w:bookmarkStart w:id="223" w:name="_Toc127151728"/>
      <w:bookmarkStart w:id="224" w:name="_Toc149720820"/>
      <w:bookmarkStart w:id="225" w:name="_Toc226337223"/>
      <w:bookmarkStart w:id="226" w:name="_Toc520356151"/>
      <w:bookmarkStart w:id="227" w:name="_Toc151193915"/>
      <w:bookmarkStart w:id="228" w:name="_Toc151190154"/>
      <w:bookmarkStart w:id="229" w:name="_Toc164608641"/>
      <w:bookmarkStart w:id="230" w:name="_Toc150509278"/>
      <w:bookmarkStart w:id="231" w:name="_Toc142311029"/>
      <w:bookmarkStart w:id="232" w:name="_Toc151193625"/>
      <w:bookmarkStart w:id="233" w:name="_Toc151193697"/>
      <w:bookmarkStart w:id="234" w:name="_Toc226309771"/>
      <w:bookmarkStart w:id="235" w:name="_Toc151193769"/>
      <w:bookmarkStart w:id="236" w:name="_Toc164229368"/>
      <w:bookmarkStart w:id="237" w:name="_Toc127161441"/>
      <w:bookmarkStart w:id="238" w:name="_Toc127151527"/>
      <w:bookmarkStart w:id="239" w:name="_Toc150774732"/>
      <w:bookmarkStart w:id="240" w:name="_Toc164229222"/>
      <w:bookmarkStart w:id="241" w:name="_Toc195842892"/>
      <w:bookmarkStart w:id="242" w:name="_Toc265228365"/>
      <w:bookmarkStart w:id="243" w:name="_Toc264969217"/>
      <w:bookmarkStart w:id="244" w:name="_Toc164608796"/>
      <w:bookmarkStart w:id="245" w:name="_Toc164351621"/>
      <w:bookmarkStart w:id="246" w:name="_Toc226965800"/>
      <w:bookmarkStart w:id="247" w:name="_Toc150480765"/>
      <w:r>
        <w:rPr>
          <w:rFonts w:hint="eastAsia" w:ascii="宋体" w:hAnsi="宋体" w:eastAsia="宋体" w:cs="宋体"/>
          <w:color w:val="auto"/>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color w:val="auto"/>
          <w:sz w:val="24"/>
          <w:highlight w:val="none"/>
        </w:rPr>
        <w:t>及投标语言</w:t>
      </w:r>
    </w:p>
    <w:p w14:paraId="354BA579">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本项目如划分采购包，投标人可以对本项目的其中一个采购包进行投标，也可同时对多个采购包进行投标。投标人应当对所投采购包对应</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章《采购需求》</w:t>
      </w:r>
      <w:r>
        <w:rPr>
          <w:rFonts w:hint="eastAsia" w:ascii="宋体" w:hAnsi="宋体" w:eastAsia="宋体" w:cs="宋体"/>
          <w:color w:val="auto"/>
          <w:sz w:val="24"/>
          <w:highlight w:val="none"/>
        </w:rPr>
        <w:t>所列的全部内容进行投标，不得将一个采购包中的内容拆开投标，否则其对该采购包的投标将被认定为</w:t>
      </w:r>
      <w:r>
        <w:rPr>
          <w:rFonts w:hint="eastAsia" w:ascii="宋体" w:hAnsi="宋体" w:eastAsia="宋体" w:cs="宋体"/>
          <w:b/>
          <w:color w:val="auto"/>
          <w:sz w:val="24"/>
          <w:highlight w:val="none"/>
        </w:rPr>
        <w:t>无效投标</w:t>
      </w:r>
      <w:r>
        <w:rPr>
          <w:rFonts w:hint="eastAsia" w:ascii="宋体" w:hAnsi="宋体" w:eastAsia="宋体" w:cs="宋体"/>
          <w:color w:val="auto"/>
          <w:sz w:val="24"/>
          <w:highlight w:val="none"/>
        </w:rPr>
        <w:t>。</w:t>
      </w:r>
    </w:p>
    <w:p w14:paraId="57C2E7F3">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除招标文件有特殊要求外，本项目投标所使用的计量单位，应采用中华人民共和国法定计量单位。</w:t>
      </w:r>
    </w:p>
    <w:p w14:paraId="7923058A">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B13648C">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248" w:name="_Ref467306195"/>
      <w:bookmarkStart w:id="249" w:name="_Ref467306676"/>
      <w:bookmarkStart w:id="250" w:name="_Toc516367022"/>
      <w:bookmarkStart w:id="251" w:name="_Toc164229369"/>
      <w:bookmarkStart w:id="252" w:name="_Toc226965718"/>
      <w:bookmarkStart w:id="253" w:name="_Toc164229223"/>
      <w:bookmarkStart w:id="254" w:name="_Toc149720821"/>
      <w:bookmarkStart w:id="255" w:name="_Toc150774733"/>
      <w:bookmarkStart w:id="256" w:name="_Toc151193626"/>
      <w:bookmarkStart w:id="257" w:name="_Toc150509279"/>
      <w:bookmarkStart w:id="258" w:name="_Toc150480766"/>
      <w:bookmarkStart w:id="259" w:name="_Toc265228366"/>
      <w:bookmarkStart w:id="260" w:name="_Toc127161442"/>
      <w:bookmarkStart w:id="261" w:name="_Toc264969218"/>
      <w:bookmarkStart w:id="262" w:name="_Toc151193698"/>
      <w:bookmarkStart w:id="263" w:name="_Toc151190155"/>
      <w:bookmarkStart w:id="264" w:name="_Toc142311030"/>
      <w:bookmarkStart w:id="265" w:name="_Toc195842893"/>
      <w:bookmarkStart w:id="266" w:name="_Toc226337224"/>
      <w:bookmarkStart w:id="267" w:name="_Toc151193770"/>
      <w:bookmarkStart w:id="268" w:name="_Toc305158870"/>
      <w:bookmarkStart w:id="269" w:name="_Toc226309772"/>
      <w:bookmarkStart w:id="270" w:name="_Toc151193842"/>
      <w:bookmarkStart w:id="271" w:name="_Toc164608797"/>
      <w:bookmarkStart w:id="272" w:name="_Toc226965801"/>
      <w:bookmarkStart w:id="273" w:name="_Toc127151729"/>
      <w:bookmarkStart w:id="274" w:name="_Toc164351622"/>
      <w:bookmarkStart w:id="275" w:name="_Toc305158796"/>
      <w:bookmarkStart w:id="276" w:name="_Toc127151528"/>
      <w:bookmarkStart w:id="277" w:name="_Toc151193916"/>
      <w:bookmarkStart w:id="278" w:name="_Toc520356152"/>
      <w:bookmarkStart w:id="279" w:name="_Toc150774628"/>
      <w:bookmarkStart w:id="280" w:name="_Toc164608642"/>
      <w:r>
        <w:rPr>
          <w:rFonts w:hint="eastAsia" w:ascii="宋体" w:hAnsi="宋体" w:eastAsia="宋体" w:cs="宋体"/>
          <w:color w:val="auto"/>
          <w:sz w:val="24"/>
          <w:highlight w:val="none"/>
        </w:rPr>
        <w:t>投标文件</w:t>
      </w:r>
      <w:bookmarkEnd w:id="248"/>
      <w:bookmarkEnd w:id="249"/>
      <w:bookmarkEnd w:id="250"/>
      <w:r>
        <w:rPr>
          <w:rFonts w:hint="eastAsia" w:ascii="宋体" w:hAnsi="宋体" w:eastAsia="宋体" w:cs="宋体"/>
          <w:color w:val="auto"/>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8354AC1">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bookmarkStart w:id="281" w:name="_Ref467052588"/>
      <w:r>
        <w:rPr>
          <w:rFonts w:hint="eastAsia" w:ascii="宋体" w:hAnsi="宋体" w:eastAsia="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7F40D220">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对于招标文件中标记了“实质性格式”文件的，</w:t>
      </w:r>
      <w:r>
        <w:rPr>
          <w:rFonts w:hint="eastAsia" w:ascii="宋体" w:hAnsi="宋体" w:eastAsia="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kern w:val="0"/>
          <w:sz w:val="24"/>
          <w:highlight w:val="none"/>
        </w:rPr>
        <w:t>。未标记“实质性格式”的文件和招标文件未提供格式的内容，可由投标人自行编写。</w:t>
      </w:r>
    </w:p>
    <w:p w14:paraId="6C15EB16">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章《评标程序、评标方法和评标标准》</w:t>
      </w:r>
      <w:r>
        <w:rPr>
          <w:rFonts w:hint="eastAsia" w:ascii="宋体" w:hAnsi="宋体" w:eastAsia="宋体" w:cs="宋体"/>
          <w:color w:val="auto"/>
          <w:sz w:val="24"/>
          <w:highlight w:val="none"/>
        </w:rPr>
        <w:t>中涉及的证明文件。</w:t>
      </w:r>
    </w:p>
    <w:p w14:paraId="2CA29D44">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章《采购需求》</w:t>
      </w:r>
      <w:r>
        <w:rPr>
          <w:rFonts w:hint="eastAsia" w:ascii="宋体" w:hAnsi="宋体" w:eastAsia="宋体" w:cs="宋体"/>
          <w:color w:val="auto"/>
          <w:sz w:val="24"/>
          <w:highlight w:val="none"/>
        </w:rPr>
        <w:t>，说明所提供货物和服务已对</w:t>
      </w:r>
      <w:r>
        <w:rPr>
          <w:rFonts w:hint="eastAsia" w:ascii="宋体" w:hAnsi="宋体" w:cs="宋体"/>
          <w:color w:val="auto"/>
          <w:sz w:val="24"/>
          <w:highlight w:val="none"/>
          <w:lang w:eastAsia="zh-CN"/>
        </w:rPr>
        <w:t>第五章《采购需求》</w:t>
      </w:r>
      <w:r>
        <w:rPr>
          <w:rFonts w:hint="eastAsia" w:ascii="宋体" w:hAnsi="宋体" w:eastAsia="宋体" w:cs="宋体"/>
          <w:color w:val="auto"/>
          <w:sz w:val="24"/>
          <w:highlight w:val="none"/>
        </w:rPr>
        <w:t>做出了响应，或申明与</w:t>
      </w:r>
      <w:r>
        <w:rPr>
          <w:rFonts w:hint="eastAsia" w:ascii="宋体" w:hAnsi="宋体" w:cs="宋体"/>
          <w:color w:val="auto"/>
          <w:sz w:val="24"/>
          <w:highlight w:val="none"/>
          <w:lang w:eastAsia="zh-CN"/>
        </w:rPr>
        <w:t>第五章《采购需求》</w:t>
      </w:r>
      <w:r>
        <w:rPr>
          <w:rFonts w:hint="eastAsia" w:ascii="宋体" w:hAnsi="宋体" w:eastAsia="宋体" w:cs="宋体"/>
          <w:color w:val="auto"/>
          <w:sz w:val="24"/>
          <w:highlight w:val="none"/>
        </w:rPr>
        <w:t>的偏差和例外。如</w:t>
      </w:r>
      <w:r>
        <w:rPr>
          <w:rFonts w:hint="eastAsia" w:ascii="宋体" w:hAnsi="宋体" w:cs="宋体"/>
          <w:color w:val="auto"/>
          <w:sz w:val="24"/>
          <w:highlight w:val="none"/>
          <w:lang w:eastAsia="zh-CN"/>
        </w:rPr>
        <w:t>第五章《采购需求》</w:t>
      </w:r>
      <w:r>
        <w:rPr>
          <w:rFonts w:hint="eastAsia" w:ascii="宋体" w:hAnsi="宋体" w:eastAsia="宋体" w:cs="宋体"/>
          <w:color w:val="auto"/>
          <w:sz w:val="24"/>
          <w:highlight w:val="none"/>
        </w:rPr>
        <w:t>中要求提供证明文件的，投标人应当按具体要求提供证明文件。</w:t>
      </w:r>
    </w:p>
    <w:p w14:paraId="5EF0DE4F">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投标人认为应附的其他材料。</w:t>
      </w:r>
      <w:bookmarkEnd w:id="281"/>
    </w:p>
    <w:p w14:paraId="394D6022">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282" w:name="_Toc164608644"/>
      <w:bookmarkStart w:id="283" w:name="_Toc164229225"/>
      <w:bookmarkStart w:id="284" w:name="_Toc150774630"/>
      <w:bookmarkStart w:id="285" w:name="_Toc127161444"/>
      <w:bookmarkStart w:id="286" w:name="_Toc151193628"/>
      <w:bookmarkStart w:id="287" w:name="_Toc149720823"/>
      <w:bookmarkStart w:id="288" w:name="_Toc127151731"/>
      <w:bookmarkStart w:id="289" w:name="_Toc150480768"/>
      <w:bookmarkStart w:id="290" w:name="_Toc164608799"/>
      <w:bookmarkStart w:id="291" w:name="_Toc151190157"/>
      <w:bookmarkStart w:id="292" w:name="_Toc164229371"/>
      <w:bookmarkStart w:id="293" w:name="_Toc151193844"/>
      <w:bookmarkStart w:id="294" w:name="_Toc151193700"/>
      <w:bookmarkStart w:id="295" w:name="_Toc150509281"/>
      <w:bookmarkStart w:id="296" w:name="_Toc195842895"/>
      <w:bookmarkStart w:id="297" w:name="_Toc520356155"/>
      <w:bookmarkStart w:id="298" w:name="_Toc127151530"/>
      <w:bookmarkStart w:id="299" w:name="_Toc142311032"/>
      <w:bookmarkStart w:id="300" w:name="_Toc150774735"/>
      <w:bookmarkStart w:id="301" w:name="_Toc164351624"/>
      <w:bookmarkStart w:id="302" w:name="_Toc151193918"/>
      <w:bookmarkStart w:id="303" w:name="_Toc151193772"/>
      <w:r>
        <w:rPr>
          <w:rFonts w:hint="eastAsia" w:ascii="宋体" w:hAnsi="宋体" w:eastAsia="宋体" w:cs="宋体"/>
          <w:color w:val="auto"/>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8DF7B4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所有投标均以人民币为计价货币。</w:t>
      </w:r>
    </w:p>
    <w:p w14:paraId="64BA6607">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投标人的报价应包括为完成本项目所发生的一切费用和税费，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将不再支付报价以外的任何费用。投标人的报价应包括但不限于下列内容，《投标人须知资料表》中有特殊规定的，从其规定。</w:t>
      </w:r>
    </w:p>
    <w:p w14:paraId="2D414D5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8598C97">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按照招标文件要求完成本项目的全部相关费用</w:t>
      </w:r>
      <w:r>
        <w:rPr>
          <w:rFonts w:hint="eastAsia" w:ascii="宋体" w:hAnsi="宋体" w:cs="宋体"/>
          <w:color w:val="auto"/>
          <w:sz w:val="24"/>
          <w:highlight w:val="none"/>
          <w:lang w:eastAsia="zh-CN"/>
        </w:rPr>
        <w:t>。</w:t>
      </w:r>
    </w:p>
    <w:p w14:paraId="66BAE895">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采购人不得向</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索要或者接受其给予的赠品、回扣或者与采购无关的其他商品、服务。</w:t>
      </w:r>
    </w:p>
    <w:p w14:paraId="53D9EF8D">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投标人不能提供任何有选择性或可调整的报价（招标文件另有规定的除外）， 否则其</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30440B09">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304" w:name="_Toc150509282"/>
      <w:bookmarkStart w:id="305" w:name="_Ref467306513"/>
      <w:bookmarkStart w:id="306" w:name="_Toc265228369"/>
      <w:bookmarkStart w:id="307" w:name="_Toc164351625"/>
      <w:bookmarkStart w:id="308" w:name="_Toc127151531"/>
      <w:bookmarkStart w:id="309" w:name="_Toc149720824"/>
      <w:bookmarkStart w:id="310" w:name="_Toc226337227"/>
      <w:bookmarkStart w:id="311" w:name="_Toc151190158"/>
      <w:bookmarkStart w:id="312" w:name="_Toc150480769"/>
      <w:bookmarkStart w:id="313" w:name="_Toc151193629"/>
      <w:bookmarkStart w:id="314" w:name="_Toc226309775"/>
      <w:bookmarkStart w:id="315" w:name="_Toc151193773"/>
      <w:bookmarkStart w:id="316" w:name="_Toc164608800"/>
      <w:bookmarkStart w:id="317" w:name="_Toc151193701"/>
      <w:bookmarkStart w:id="318" w:name="_Toc305158799"/>
      <w:bookmarkStart w:id="319" w:name="_Toc164229372"/>
      <w:bookmarkStart w:id="320" w:name="_Toc164229226"/>
      <w:bookmarkStart w:id="321" w:name="_Toc226965804"/>
      <w:bookmarkStart w:id="322" w:name="_Toc226965721"/>
      <w:bookmarkStart w:id="323" w:name="_Toc142311033"/>
      <w:bookmarkStart w:id="324" w:name="_Toc164608645"/>
      <w:bookmarkStart w:id="325" w:name="_Toc305158873"/>
      <w:bookmarkStart w:id="326" w:name="_Toc520356156"/>
      <w:bookmarkStart w:id="327" w:name="_Toc127151732"/>
      <w:bookmarkStart w:id="328" w:name="_Toc127161445"/>
      <w:bookmarkStart w:id="329" w:name="_Toc264969221"/>
      <w:bookmarkStart w:id="330" w:name="_Toc151193919"/>
      <w:bookmarkStart w:id="331" w:name="_Toc150774736"/>
      <w:bookmarkStart w:id="332" w:name="_Toc195842896"/>
      <w:bookmarkStart w:id="333" w:name="_Toc150774631"/>
      <w:bookmarkStart w:id="334" w:name="_Toc151193845"/>
      <w:r>
        <w:rPr>
          <w:rFonts w:hint="eastAsia" w:ascii="宋体" w:hAnsi="宋体" w:eastAsia="宋体" w:cs="宋体"/>
          <w:color w:val="auto"/>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不涉及</w:t>
      </w:r>
      <w:r>
        <w:rPr>
          <w:rFonts w:hint="eastAsia" w:ascii="宋体" w:hAnsi="宋体" w:cs="宋体"/>
          <w:color w:val="auto"/>
          <w:sz w:val="24"/>
          <w:highlight w:val="none"/>
          <w:lang w:eastAsia="zh-CN"/>
        </w:rPr>
        <w:t>）</w:t>
      </w:r>
    </w:p>
    <w:p w14:paraId="7DFE5AB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投标人应按《投标人须知资料表》中规定的金额及要求交纳投标保证金。投标人自愿超额缴纳投标保证金的，投标文件不做无效处理。</w:t>
      </w:r>
    </w:p>
    <w:p w14:paraId="42A15ED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交纳投标保证金可采用的形式：政府采购法律法规接受的支票、汇票、本票、网上银行支付或者金融机构、担保机构出具的保函等非现金形式。</w:t>
      </w:r>
    </w:p>
    <w:p w14:paraId="280E2648">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5AEC141F">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投标人除需在投标文件中提供“投标保证金凭证/交款单据电子件 ”，还需在投标截止时间前，通过电子交易平台上传“投标保证金凭证/交款单据电子件”。</w:t>
      </w:r>
    </w:p>
    <w:p w14:paraId="463D63E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投标保证金有效期同投标有效期。</w:t>
      </w:r>
    </w:p>
    <w:p w14:paraId="5BFCF37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投标人为联合体的，可以由联合体中的一方或者多方共同交纳投标保证金，其交纳的投标保证金对联合体各方均具有约束力。</w:t>
      </w:r>
    </w:p>
    <w:p w14:paraId="45F17E12">
      <w:pPr>
        <w:pageBreakBefore w:val="0"/>
        <w:numPr>
          <w:ilvl w:val="1"/>
          <w:numId w:val="11"/>
        </w:numPr>
        <w:tabs>
          <w:tab w:val="left" w:pos="1080"/>
          <w:tab w:val="left" w:pos="2014"/>
        </w:tabs>
        <w:wordWrap/>
        <w:topLinePunct w:val="0"/>
        <w:bidi w:val="0"/>
        <w:snapToGrid w:val="0"/>
        <w:spacing w:line="360" w:lineRule="auto"/>
        <w:ind w:left="1077" w:hanging="720"/>
        <w:rPr>
          <w:rFonts w:hint="eastAsia"/>
        </w:rPr>
      </w:pPr>
      <w:r>
        <w:rPr>
          <w:rFonts w:hint="eastAsia" w:ascii="宋体" w:hAnsi="宋体" w:eastAsia="宋体" w:cs="宋体"/>
          <w:color w:val="auto"/>
          <w:sz w:val="24"/>
          <w:highlight w:val="none"/>
        </w:rPr>
        <w:t>采购人 、采购代理机构将及时退还投标人的投标保证金，采用银行保函、担保机构担保函等形式递交的投标保证金，经投标人同意后采购人、采购代理机构可以不再退还，但因投标人自身原因导致无法及时退还的除外：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8857FD8">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投标人在投标截止时间前撤回已提交的投标文件的，自收到投标人书面撤回通知之日起5个工作日内退还已收取的投标保证金；</w:t>
      </w:r>
    </w:p>
    <w:p w14:paraId="2092AF9B">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中标人的投标保证金，自采购合同签订之日起5个工作日内退还中</w:t>
      </w:r>
      <w:r>
        <w:rPr>
          <w:spacing w:val="-2"/>
          <w:sz w:val="24"/>
          <w:szCs w:val="24"/>
        </w:rPr>
        <w:t>标人</w:t>
      </w:r>
      <w:r>
        <w:rPr>
          <w:rFonts w:hint="eastAsia"/>
          <w:spacing w:val="-2"/>
          <w:sz w:val="24"/>
          <w:szCs w:val="24"/>
          <w:lang w:eastAsia="zh-CN"/>
        </w:rPr>
        <w:t>；</w:t>
      </w:r>
    </w:p>
    <w:p w14:paraId="2290CC1B">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未中标投标人的投标保证金， 自中标通知书发出之日起5个工作日 内退还未中标人</w:t>
      </w:r>
      <w:r>
        <w:rPr>
          <w:rFonts w:hint="eastAsia" w:ascii="宋体" w:hAnsi="宋体" w:cs="宋体"/>
          <w:color w:val="auto"/>
          <w:sz w:val="24"/>
          <w:highlight w:val="none"/>
          <w:lang w:eastAsia="zh-CN"/>
        </w:rPr>
        <w:t>；</w:t>
      </w:r>
    </w:p>
    <w:p w14:paraId="21971D37">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终止招标项目已经收取投标保证金的，自终止采购活动后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 日内退还已收取的投标保证金及其在银行产生的孳息</w:t>
      </w:r>
      <w:r>
        <w:rPr>
          <w:rFonts w:hint="eastAsia" w:ascii="宋体" w:hAnsi="宋体" w:cs="宋体"/>
          <w:color w:val="auto"/>
          <w:sz w:val="24"/>
          <w:highlight w:val="none"/>
          <w:lang w:eastAsia="zh-CN"/>
        </w:rPr>
        <w:t>。</w:t>
      </w:r>
    </w:p>
    <w:p w14:paraId="77605F97">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有下列情形之一的，采购人或采购代理机构可以不予退还投标保证金：</w:t>
      </w:r>
    </w:p>
    <w:p w14:paraId="6093100A">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投标有效期内投标人撤销投标文件的；</w:t>
      </w:r>
    </w:p>
    <w:p w14:paraId="63DECFF6">
      <w:pPr>
        <w:pageBreakBefore w:val="0"/>
        <w:numPr>
          <w:ilvl w:val="2"/>
          <w:numId w:val="11"/>
        </w:numPr>
        <w:tabs>
          <w:tab w:val="left" w:pos="900"/>
          <w:tab w:val="left" w:pos="1080"/>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《投标人须知资料表》中规定的其他情形。</w:t>
      </w:r>
    </w:p>
    <w:p w14:paraId="6E53E0DF">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335" w:name="_Toc226965805"/>
      <w:bookmarkStart w:id="336" w:name="_Toc151193774"/>
      <w:bookmarkStart w:id="337" w:name="_Toc195842897"/>
      <w:bookmarkStart w:id="338" w:name="_Toc151190159"/>
      <w:bookmarkStart w:id="339" w:name="_Toc151193846"/>
      <w:bookmarkStart w:id="340" w:name="_Toc150480770"/>
      <w:bookmarkStart w:id="341" w:name="_Toc142311034"/>
      <w:bookmarkStart w:id="342" w:name="_Toc164608801"/>
      <w:bookmarkStart w:id="343" w:name="_Toc127151532"/>
      <w:bookmarkStart w:id="344" w:name="_Toc226965722"/>
      <w:bookmarkStart w:id="345" w:name="_Toc150774737"/>
      <w:bookmarkStart w:id="346" w:name="_Toc305158800"/>
      <w:bookmarkStart w:id="347" w:name="_Toc151193920"/>
      <w:bookmarkStart w:id="348" w:name="_Toc164351626"/>
      <w:bookmarkStart w:id="349" w:name="_Toc226309776"/>
      <w:bookmarkStart w:id="350" w:name="_Toc150509283"/>
      <w:bookmarkStart w:id="351" w:name="_Toc150774632"/>
      <w:bookmarkStart w:id="352" w:name="_Toc164608646"/>
      <w:bookmarkStart w:id="353" w:name="_Toc151193630"/>
      <w:bookmarkStart w:id="354" w:name="_Toc164229373"/>
      <w:bookmarkStart w:id="355" w:name="_Toc265228370"/>
      <w:bookmarkStart w:id="356" w:name="_Toc151193702"/>
      <w:bookmarkStart w:id="357" w:name="_Toc305158874"/>
      <w:bookmarkStart w:id="358" w:name="_Toc149720825"/>
      <w:bookmarkStart w:id="359" w:name="_Toc127161446"/>
      <w:bookmarkStart w:id="360" w:name="_Toc264969222"/>
      <w:bookmarkStart w:id="361" w:name="_Toc520356157"/>
      <w:bookmarkStart w:id="362" w:name="_Toc127151733"/>
      <w:bookmarkStart w:id="363" w:name="_Toc226337228"/>
      <w:bookmarkStart w:id="364" w:name="_Toc164229227"/>
      <w:r>
        <w:rPr>
          <w:rFonts w:hint="eastAsia" w:ascii="宋体" w:hAnsi="宋体" w:eastAsia="宋体" w:cs="宋体"/>
          <w:color w:val="auto"/>
          <w:sz w:val="24"/>
          <w:highlight w:val="none"/>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CB96DBB">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7832FDE">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365" w:name="_Toc142311035"/>
      <w:bookmarkStart w:id="366" w:name="_Toc226309777"/>
      <w:bookmarkStart w:id="367" w:name="_Toc164351627"/>
      <w:bookmarkStart w:id="368" w:name="_Toc151193847"/>
      <w:bookmarkStart w:id="369" w:name="_Toc151193775"/>
      <w:bookmarkStart w:id="370" w:name="_Toc151190160"/>
      <w:bookmarkStart w:id="371" w:name="_Toc149720826"/>
      <w:bookmarkStart w:id="372" w:name="_Toc195842898"/>
      <w:bookmarkStart w:id="373" w:name="_Toc226965723"/>
      <w:bookmarkStart w:id="374" w:name="_Toc151193631"/>
      <w:bookmarkStart w:id="375" w:name="_Toc226337229"/>
      <w:bookmarkStart w:id="376" w:name="_Toc305158801"/>
      <w:bookmarkStart w:id="377" w:name="_Toc264969223"/>
      <w:bookmarkStart w:id="378" w:name="_Toc151193703"/>
      <w:bookmarkStart w:id="379" w:name="_Toc226965806"/>
      <w:bookmarkStart w:id="380" w:name="_Toc150774738"/>
      <w:bookmarkStart w:id="381" w:name="_Toc164229374"/>
      <w:bookmarkStart w:id="382" w:name="_Toc164608802"/>
      <w:bookmarkStart w:id="383" w:name="_Toc127161447"/>
      <w:bookmarkStart w:id="384" w:name="_Toc151193921"/>
      <w:bookmarkStart w:id="385" w:name="_Toc150774633"/>
      <w:bookmarkStart w:id="386" w:name="_Toc150480771"/>
      <w:bookmarkStart w:id="387" w:name="_Toc164608647"/>
      <w:bookmarkStart w:id="388" w:name="_Toc150509284"/>
      <w:bookmarkStart w:id="389" w:name="_Toc127151533"/>
      <w:bookmarkStart w:id="390" w:name="_Toc127151734"/>
      <w:bookmarkStart w:id="391" w:name="_Toc520356158"/>
      <w:bookmarkStart w:id="392" w:name="_Toc265228371"/>
      <w:bookmarkStart w:id="393" w:name="_Toc164229228"/>
      <w:bookmarkStart w:id="394" w:name="_Toc305158875"/>
      <w:r>
        <w:rPr>
          <w:rFonts w:hint="eastAsia" w:ascii="宋体" w:hAnsi="宋体" w:eastAsia="宋体" w:cs="宋体"/>
          <w:color w:val="auto"/>
          <w:sz w:val="24"/>
          <w:highlight w:val="none"/>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宋体" w:hAnsi="宋体" w:eastAsia="宋体" w:cs="宋体"/>
          <w:color w:val="auto"/>
          <w:sz w:val="24"/>
          <w:highlight w:val="none"/>
        </w:rPr>
        <w:t>、盖章</w:t>
      </w:r>
    </w:p>
    <w:p w14:paraId="6EA5FE6D">
      <w:pPr>
        <w:numPr>
          <w:ilvl w:val="1"/>
          <w:numId w:val="11"/>
        </w:numPr>
        <w:tabs>
          <w:tab w:val="left" w:pos="1080"/>
          <w:tab w:val="left" w:pos="2014"/>
        </w:tabs>
        <w:snapToGrid w:val="0"/>
        <w:spacing w:line="360" w:lineRule="auto"/>
        <w:ind w:left="1077" w:hanging="720"/>
      </w:pPr>
      <w:bookmarkStart w:id="395" w:name="_Toc226309778"/>
      <w:bookmarkStart w:id="396" w:name="_Toc195842899"/>
      <w:bookmarkStart w:id="397" w:name="_Toc151193922"/>
      <w:bookmarkStart w:id="398" w:name="_Toc305158876"/>
      <w:bookmarkStart w:id="399" w:name="_Toc150509285"/>
      <w:bookmarkStart w:id="400" w:name="_Toc226337230"/>
      <w:bookmarkStart w:id="401" w:name="_Toc151193632"/>
      <w:bookmarkStart w:id="402" w:name="_Toc142311036"/>
      <w:bookmarkStart w:id="403" w:name="_Toc265228372"/>
      <w:bookmarkStart w:id="404" w:name="_Toc151193704"/>
      <w:bookmarkStart w:id="405" w:name="_Toc151193848"/>
      <w:bookmarkStart w:id="406" w:name="_Toc226965807"/>
      <w:bookmarkStart w:id="407" w:name="_Toc520356159"/>
      <w:bookmarkStart w:id="408" w:name="_Toc151193776"/>
      <w:bookmarkStart w:id="409" w:name="_Toc150774634"/>
      <w:bookmarkStart w:id="410" w:name="_Toc150774739"/>
      <w:bookmarkStart w:id="411" w:name="_Toc305158802"/>
      <w:bookmarkStart w:id="412" w:name="_Toc264969224"/>
      <w:bookmarkStart w:id="413" w:name="_Toc150480772"/>
      <w:bookmarkStart w:id="414" w:name="_Toc226965724"/>
      <w:bookmarkStart w:id="415" w:name="_Toc151190161"/>
      <w:bookmarkStart w:id="416" w:name="_Toc127151534"/>
      <w:r>
        <w:rPr>
          <w:sz w:val="24"/>
        </w:rPr>
        <w:t>招标文件要求签字的内容（如授权委托书等），</w:t>
      </w:r>
      <w:r>
        <w:rPr>
          <w:rFonts w:hint="eastAsia" w:eastAsia="宋体"/>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31B05F7B">
      <w:pPr>
        <w:numPr>
          <w:ilvl w:val="1"/>
          <w:numId w:val="11"/>
        </w:numPr>
        <w:tabs>
          <w:tab w:val="left" w:pos="1080"/>
          <w:tab w:val="left" w:pos="2014"/>
        </w:tabs>
        <w:snapToGrid w:val="0"/>
        <w:spacing w:line="360" w:lineRule="auto"/>
        <w:ind w:left="1077" w:hanging="720"/>
        <w:rPr>
          <w:rFonts w:hint="eastAsia" w:ascii="宋体" w:hAnsi="宋体" w:eastAsia="宋体" w:cs="宋体"/>
          <w:b w:val="0"/>
          <w:bCs w:val="0"/>
          <w:sz w:val="24"/>
        </w:rPr>
      </w:pPr>
      <w:r>
        <w:rPr>
          <w:rFonts w:hint="eastAsia" w:ascii="宋体" w:hAnsi="宋体" w:eastAsia="宋体" w:cs="宋体"/>
          <w:b w:val="0"/>
          <w:bCs w:val="0"/>
          <w:sz w:val="24"/>
        </w:rPr>
        <w:t>招标文件要求盖章的内容，一般通过投标文件编制工具加盖电子签章。</w:t>
      </w:r>
    </w:p>
    <w:p w14:paraId="67FA218F">
      <w:pPr>
        <w:pStyle w:val="3"/>
        <w:pageBreakBefore w:val="0"/>
        <w:wordWrap/>
        <w:topLinePunct w:val="0"/>
        <w:bidi w:val="0"/>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8BA1023">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417" w:name="_Toc151193923"/>
      <w:bookmarkStart w:id="418" w:name="_Toc164229376"/>
      <w:bookmarkStart w:id="419" w:name="_Toc151190162"/>
      <w:bookmarkStart w:id="420" w:name="_Toc127151535"/>
      <w:bookmarkStart w:id="421" w:name="_Toc164351629"/>
      <w:bookmarkStart w:id="422" w:name="_Toc150774740"/>
      <w:bookmarkStart w:id="423" w:name="_Toc226965808"/>
      <w:bookmarkStart w:id="424" w:name="_Toc305158803"/>
      <w:bookmarkStart w:id="425" w:name="_Toc195842900"/>
      <w:bookmarkStart w:id="426" w:name="_Toc127151736"/>
      <w:bookmarkStart w:id="427" w:name="_Toc150509286"/>
      <w:bookmarkStart w:id="428" w:name="_Toc226965725"/>
      <w:bookmarkStart w:id="429" w:name="_Toc226309779"/>
      <w:bookmarkStart w:id="430" w:name="_Toc151193705"/>
      <w:bookmarkStart w:id="431" w:name="_Toc151193777"/>
      <w:bookmarkStart w:id="432" w:name="_Toc164608649"/>
      <w:bookmarkStart w:id="433" w:name="_Toc520356160"/>
      <w:bookmarkStart w:id="434" w:name="_Toc127161449"/>
      <w:bookmarkStart w:id="435" w:name="_Toc265228373"/>
      <w:bookmarkStart w:id="436" w:name="_Toc305158877"/>
      <w:bookmarkStart w:id="437" w:name="_Toc164608804"/>
      <w:bookmarkStart w:id="438" w:name="_Toc150774635"/>
      <w:bookmarkStart w:id="439" w:name="_Toc142311037"/>
      <w:bookmarkStart w:id="440" w:name="_Toc164229230"/>
      <w:bookmarkStart w:id="441" w:name="_Toc226337231"/>
      <w:bookmarkStart w:id="442" w:name="_Toc149720828"/>
      <w:bookmarkStart w:id="443" w:name="_Toc150480773"/>
      <w:bookmarkStart w:id="444" w:name="_Toc151193849"/>
      <w:bookmarkStart w:id="445" w:name="_Toc151193633"/>
      <w:bookmarkStart w:id="446" w:name="_Toc264969225"/>
      <w:r>
        <w:rPr>
          <w:rFonts w:hint="eastAsia" w:ascii="宋体" w:hAnsi="宋体" w:eastAsia="宋体" w:cs="宋体"/>
          <w:color w:val="auto"/>
          <w:sz w:val="24"/>
          <w:highlight w:val="none"/>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color w:val="auto"/>
          <w:sz w:val="24"/>
          <w:highlight w:val="none"/>
        </w:rPr>
        <w:t>提交</w:t>
      </w:r>
    </w:p>
    <w:p w14:paraId="5DB37484">
      <w:pPr>
        <w:numPr>
          <w:ilvl w:val="1"/>
          <w:numId w:val="11"/>
        </w:numPr>
        <w:tabs>
          <w:tab w:val="left" w:pos="1080"/>
          <w:tab w:val="left" w:pos="2014"/>
        </w:tabs>
        <w:snapToGrid w:val="0"/>
        <w:spacing w:line="360" w:lineRule="auto"/>
        <w:ind w:left="1077" w:hanging="720"/>
        <w:rPr>
          <w:rFonts w:hint="eastAsia" w:ascii="宋体" w:hAnsi="宋体" w:eastAsia="宋体" w:cs="宋体"/>
          <w:sz w:val="24"/>
        </w:rPr>
      </w:pPr>
      <w:bookmarkStart w:id="447" w:name="_Toc151193778"/>
      <w:bookmarkStart w:id="448" w:name="_Toc149720829"/>
      <w:bookmarkStart w:id="449" w:name="_Toc520356161"/>
      <w:bookmarkStart w:id="450" w:name="_Toc265228374"/>
      <w:bookmarkStart w:id="451" w:name="_Toc142311038"/>
      <w:bookmarkStart w:id="452" w:name="_Toc305158878"/>
      <w:bookmarkStart w:id="453" w:name="_Toc151193924"/>
      <w:bookmarkStart w:id="454" w:name="_Toc226965809"/>
      <w:bookmarkStart w:id="455" w:name="_Toc305158804"/>
      <w:bookmarkStart w:id="456" w:name="_Toc164229377"/>
      <w:bookmarkStart w:id="457" w:name="_Toc150774741"/>
      <w:bookmarkStart w:id="458" w:name="_Toc195842901"/>
      <w:bookmarkStart w:id="459" w:name="_Toc164608805"/>
      <w:bookmarkStart w:id="460" w:name="_Toc164229231"/>
      <w:bookmarkStart w:id="461" w:name="_Toc226965726"/>
      <w:bookmarkStart w:id="462" w:name="_Toc151193634"/>
      <w:bookmarkStart w:id="463" w:name="_Toc151193850"/>
      <w:bookmarkStart w:id="464" w:name="_Toc264969226"/>
      <w:bookmarkStart w:id="465" w:name="_Toc127161450"/>
      <w:bookmarkStart w:id="466" w:name="_Toc127151737"/>
      <w:bookmarkStart w:id="467" w:name="_Toc150480774"/>
      <w:bookmarkStart w:id="468" w:name="_Toc127151536"/>
      <w:bookmarkStart w:id="469" w:name="_Toc164351630"/>
      <w:bookmarkStart w:id="470" w:name="_Toc151190163"/>
      <w:bookmarkStart w:id="471" w:name="_Toc164608650"/>
      <w:bookmarkStart w:id="472" w:name="_Toc151193706"/>
      <w:bookmarkStart w:id="473" w:name="_Toc226337232"/>
      <w:bookmarkStart w:id="474" w:name="_Toc150509287"/>
      <w:bookmarkStart w:id="475" w:name="_Toc226309780"/>
      <w:bookmarkStart w:id="476" w:name="_Toc150774636"/>
      <w:r>
        <w:rPr>
          <w:rFonts w:hint="eastAsia" w:ascii="宋体" w:hAnsi="宋体" w:eastAsia="宋体" w:cs="宋体"/>
          <w:sz w:val="24"/>
          <w:highlight w:val="none"/>
        </w:rPr>
        <w:t>本项目使用北京市政府采购电子交易平台。投标人根据招标文件及电子交易平台供应商操作手册要求编制、生成并提交电子投标文件</w:t>
      </w:r>
      <w:r>
        <w:rPr>
          <w:rFonts w:hint="eastAsia" w:ascii="宋体" w:hAnsi="宋体" w:cs="宋体"/>
          <w:sz w:val="24"/>
          <w:highlight w:val="none"/>
          <w:lang w:eastAsia="zh-CN"/>
        </w:rPr>
        <w:t>。</w:t>
      </w:r>
    </w:p>
    <w:p w14:paraId="109EBE40">
      <w:pPr>
        <w:numPr>
          <w:ilvl w:val="1"/>
          <w:numId w:val="11"/>
        </w:numPr>
        <w:tabs>
          <w:tab w:val="left" w:pos="1080"/>
          <w:tab w:val="left" w:pos="2014"/>
        </w:tabs>
        <w:snapToGrid w:val="0"/>
        <w:spacing w:line="360" w:lineRule="auto"/>
        <w:ind w:left="1077" w:hanging="720"/>
        <w:rPr>
          <w:rFonts w:hint="eastAsia"/>
          <w:color w:val="auto"/>
          <w:highlight w:val="none"/>
        </w:rPr>
      </w:pPr>
      <w:r>
        <w:rPr>
          <w:rFonts w:hint="eastAsia" w:ascii="宋体" w:hAnsi="宋体" w:eastAsia="宋体" w:cs="宋体"/>
          <w:sz w:val="24"/>
          <w:highlight w:val="none"/>
        </w:rPr>
        <w:t>采购人及采购代理机构拒绝接受通过电子交易平台以外任何形式提交的投标文件，投标保证金除外。</w:t>
      </w:r>
    </w:p>
    <w:p w14:paraId="3A6990A8">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ascii="宋体" w:hAnsi="宋体" w:eastAsia="宋体" w:cs="宋体"/>
          <w:color w:val="auto"/>
          <w:sz w:val="24"/>
          <w:highlight w:val="none"/>
        </w:rPr>
        <w:t>时间</w:t>
      </w:r>
    </w:p>
    <w:p w14:paraId="585651A1">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sz w:val="24"/>
        </w:rPr>
      </w:pPr>
      <w:r>
        <w:rPr>
          <w:rFonts w:hint="eastAsia" w:ascii="宋体" w:hAnsi="宋体" w:cs="宋体"/>
          <w:sz w:val="24"/>
        </w:rPr>
        <w:t>投标人应在招标文件要求提交投标文件截止时间前，将投标文件提交至</w:t>
      </w:r>
      <w:r>
        <w:rPr>
          <w:sz w:val="24"/>
        </w:rPr>
        <w:t>电子交易平台</w:t>
      </w:r>
      <w:r>
        <w:rPr>
          <w:rFonts w:hint="eastAsia" w:ascii="宋体" w:hAnsi="宋体" w:eastAsia="宋体" w:cs="宋体"/>
          <w:sz w:val="24"/>
        </w:rPr>
        <w:t>。</w:t>
      </w:r>
    </w:p>
    <w:p w14:paraId="36CA0915">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477" w:name="_Toc195842902"/>
      <w:bookmarkStart w:id="478" w:name="_Toc164608806"/>
      <w:bookmarkStart w:id="479" w:name="_Toc520356162"/>
      <w:bookmarkStart w:id="480" w:name="_Toc151193925"/>
      <w:bookmarkStart w:id="481" w:name="_Toc226965810"/>
      <w:bookmarkStart w:id="482" w:name="_Toc226965727"/>
      <w:bookmarkStart w:id="483" w:name="_Toc127161451"/>
      <w:bookmarkStart w:id="484" w:name="_Toc151193635"/>
      <w:bookmarkStart w:id="485" w:name="_Toc305158879"/>
      <w:bookmarkStart w:id="486" w:name="_Toc265228375"/>
      <w:bookmarkStart w:id="487" w:name="_Toc164351631"/>
      <w:bookmarkStart w:id="488" w:name="_Toc164229378"/>
      <w:bookmarkStart w:id="489" w:name="_Toc142311039"/>
      <w:bookmarkStart w:id="490" w:name="_Toc150774742"/>
      <w:bookmarkStart w:id="491" w:name="_Toc305158805"/>
      <w:bookmarkStart w:id="492" w:name="_Toc151190164"/>
      <w:bookmarkStart w:id="493" w:name="_Toc150480775"/>
      <w:bookmarkStart w:id="494" w:name="_Toc149720830"/>
      <w:bookmarkStart w:id="495" w:name="_Toc226309781"/>
      <w:bookmarkStart w:id="496" w:name="_Toc151193707"/>
      <w:bookmarkStart w:id="497" w:name="_Toc151193851"/>
      <w:bookmarkStart w:id="498" w:name="_Toc127151537"/>
      <w:bookmarkStart w:id="499" w:name="_Toc164608651"/>
      <w:bookmarkStart w:id="500" w:name="_Toc151193779"/>
      <w:bookmarkStart w:id="501" w:name="_Toc264969227"/>
      <w:bookmarkStart w:id="502" w:name="_Toc150509288"/>
      <w:bookmarkStart w:id="503" w:name="_Toc127151738"/>
      <w:bookmarkStart w:id="504" w:name="_Toc164229232"/>
      <w:bookmarkStart w:id="505" w:name="_Toc150774637"/>
      <w:bookmarkStart w:id="506" w:name="_Toc226337233"/>
      <w:r>
        <w:rPr>
          <w:rFonts w:hint="eastAsia" w:ascii="宋体" w:hAnsi="宋体" w:eastAsia="宋体" w:cs="宋体"/>
          <w:color w:val="auto"/>
          <w:sz w:val="24"/>
          <w:highlight w:val="none"/>
        </w:rPr>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70C1C51">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67434986">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685ACCD2">
      <w:pPr>
        <w:numPr>
          <w:ilvl w:val="0"/>
          <w:numId w:val="0"/>
        </w:numPr>
        <w:tabs>
          <w:tab w:val="left" w:pos="1080"/>
          <w:tab w:val="left" w:pos="2014"/>
        </w:tabs>
        <w:snapToGrid w:val="0"/>
        <w:spacing w:line="360" w:lineRule="auto"/>
        <w:rPr>
          <w:rFonts w:hint="eastAsia" w:ascii="宋体" w:hAnsi="宋体" w:eastAsia="宋体" w:cs="宋体"/>
          <w:color w:val="auto"/>
          <w:sz w:val="24"/>
          <w:highlight w:val="none"/>
        </w:rPr>
      </w:pPr>
    </w:p>
    <w:p w14:paraId="5A5CC4E0">
      <w:pPr>
        <w:pStyle w:val="3"/>
        <w:pageBreakBefore w:val="0"/>
        <w:wordWrap/>
        <w:topLinePunct w:val="0"/>
        <w:bidi w:val="0"/>
        <w:spacing w:before="0" w:line="360" w:lineRule="auto"/>
        <w:jc w:val="center"/>
        <w:rPr>
          <w:rFonts w:hint="eastAsia" w:ascii="宋体" w:hAnsi="宋体" w:eastAsia="宋体" w:cs="宋体"/>
          <w:color w:val="auto"/>
          <w:sz w:val="28"/>
          <w:highlight w:val="none"/>
        </w:rPr>
      </w:pPr>
      <w:bookmarkStart w:id="507" w:name="_Toc127151538"/>
      <w:bookmarkStart w:id="508" w:name="_Toc520356163"/>
      <w:bookmarkStart w:id="509" w:name="_Toc151193780"/>
      <w:bookmarkStart w:id="510" w:name="_Toc151190165"/>
      <w:bookmarkStart w:id="511" w:name="_Toc265228376"/>
      <w:bookmarkStart w:id="512" w:name="_Toc305158806"/>
      <w:bookmarkStart w:id="513" w:name="_Toc226337234"/>
      <w:bookmarkStart w:id="514" w:name="_Toc150774743"/>
      <w:bookmarkStart w:id="515" w:name="_Toc151193852"/>
      <w:bookmarkStart w:id="516" w:name="_Toc264969228"/>
      <w:bookmarkStart w:id="517" w:name="_Toc151193926"/>
      <w:bookmarkStart w:id="518" w:name="_Toc226965728"/>
      <w:bookmarkStart w:id="519" w:name="_Toc226309782"/>
      <w:bookmarkStart w:id="520" w:name="_Toc305158880"/>
      <w:bookmarkStart w:id="521" w:name="_Toc142311040"/>
      <w:bookmarkStart w:id="522" w:name="_Toc226965811"/>
      <w:bookmarkStart w:id="523" w:name="_Toc195842903"/>
      <w:bookmarkStart w:id="524" w:name="_Toc151193708"/>
      <w:bookmarkStart w:id="525" w:name="_Toc151193636"/>
      <w:bookmarkStart w:id="526" w:name="_Toc150509289"/>
      <w:bookmarkStart w:id="527" w:name="_Toc150774638"/>
      <w:bookmarkStart w:id="528" w:name="_Toc150480776"/>
      <w:r>
        <w:rPr>
          <w:rFonts w:hint="eastAsia" w:ascii="宋体" w:hAnsi="宋体" w:eastAsia="宋体" w:cs="宋体"/>
          <w:color w:val="auto"/>
          <w:sz w:val="28"/>
          <w:highlight w:val="none"/>
        </w:rPr>
        <w:t>五   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1F435A4">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529" w:name="_Toc127151539"/>
      <w:bookmarkStart w:id="530" w:name="_Toc151193781"/>
      <w:bookmarkStart w:id="531" w:name="_Toc226337235"/>
      <w:bookmarkStart w:id="532" w:name="_Toc151193853"/>
      <w:bookmarkStart w:id="533" w:name="_Toc226309783"/>
      <w:bookmarkStart w:id="534" w:name="_Toc150480777"/>
      <w:bookmarkStart w:id="535" w:name="_Toc142311041"/>
      <w:bookmarkStart w:id="536" w:name="_Toc226965729"/>
      <w:bookmarkStart w:id="537" w:name="_Toc127151740"/>
      <w:bookmarkStart w:id="538" w:name="_Toc264969229"/>
      <w:bookmarkStart w:id="539" w:name="_Toc520356164"/>
      <w:bookmarkStart w:id="540" w:name="_Toc151193709"/>
      <w:bookmarkStart w:id="541" w:name="_Toc127161453"/>
      <w:bookmarkStart w:id="542" w:name="_Toc195842904"/>
      <w:bookmarkStart w:id="543" w:name="_Toc151193927"/>
      <w:bookmarkStart w:id="544" w:name="_Toc164351633"/>
      <w:bookmarkStart w:id="545" w:name="_Toc164229380"/>
      <w:bookmarkStart w:id="546" w:name="_Toc164229234"/>
      <w:bookmarkStart w:id="547" w:name="_Toc150774744"/>
      <w:bookmarkStart w:id="548" w:name="_Toc226965812"/>
      <w:bookmarkStart w:id="549" w:name="_Toc149720832"/>
      <w:bookmarkStart w:id="550" w:name="_Toc150509290"/>
      <w:bookmarkStart w:id="551" w:name="_Toc305158807"/>
      <w:bookmarkStart w:id="552" w:name="_Toc164608653"/>
      <w:bookmarkStart w:id="553" w:name="_Toc150774639"/>
      <w:bookmarkStart w:id="554" w:name="_Toc151190166"/>
      <w:bookmarkStart w:id="555" w:name="_Toc164608808"/>
      <w:bookmarkStart w:id="556" w:name="_Toc151193637"/>
      <w:bookmarkStart w:id="557" w:name="_Toc265228377"/>
      <w:bookmarkStart w:id="558" w:name="_Toc305158881"/>
      <w:r>
        <w:rPr>
          <w:rFonts w:hint="eastAsia" w:ascii="宋体" w:hAnsi="宋体" w:eastAsia="宋体" w:cs="宋体"/>
          <w:color w:val="auto"/>
          <w:sz w:val="24"/>
          <w:highlight w:val="none"/>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507A5665">
      <w:pPr>
        <w:numPr>
          <w:ilvl w:val="1"/>
          <w:numId w:val="11"/>
        </w:numPr>
        <w:tabs>
          <w:tab w:val="left" w:pos="1080"/>
          <w:tab w:val="left" w:pos="2014"/>
        </w:tabs>
        <w:snapToGrid w:val="0"/>
        <w:spacing w:line="360" w:lineRule="auto"/>
        <w:ind w:left="1077" w:hanging="720"/>
        <w:rPr>
          <w:sz w:val="24"/>
        </w:rPr>
      </w:pPr>
      <w:bookmarkStart w:id="559" w:name="_Toc520356165"/>
      <w:r>
        <w:rPr>
          <w:sz w:val="24"/>
        </w:rPr>
        <w:t>采购人或采购代理机构将按招标文件的规定，在投标截止时间的同一时间和招标文件预先确定的地点组织开标。</w:t>
      </w:r>
    </w:p>
    <w:p w14:paraId="6C47A1CF">
      <w:pPr>
        <w:numPr>
          <w:ilvl w:val="1"/>
          <w:numId w:val="11"/>
        </w:numPr>
        <w:tabs>
          <w:tab w:val="left" w:pos="1080"/>
          <w:tab w:val="left" w:pos="2014"/>
        </w:tabs>
        <w:snapToGrid w:val="0"/>
        <w:spacing w:line="360" w:lineRule="auto"/>
        <w:ind w:left="1077" w:hanging="720"/>
        <w:rPr>
          <w:color w:val="auto"/>
          <w:sz w:val="24"/>
        </w:rPr>
      </w:pPr>
      <w:r>
        <w:rPr>
          <w:color w:val="auto"/>
          <w:sz w:val="24"/>
        </w:rPr>
        <w:t>本项目开标使用北京市政府采购电子交易平台。投标人应在《投标人须知资料表》规定的时间内对投标文件进行解密，因非系统原因导致的解密失败，视为</w:t>
      </w:r>
      <w:r>
        <w:rPr>
          <w:b/>
          <w:bCs/>
          <w:color w:val="auto"/>
          <w:sz w:val="24"/>
        </w:rPr>
        <w:t>投标无效</w:t>
      </w:r>
      <w:r>
        <w:rPr>
          <w:color w:val="auto"/>
          <w:sz w:val="24"/>
        </w:rPr>
        <w:t>。</w:t>
      </w:r>
    </w:p>
    <w:p w14:paraId="7C5C05A5">
      <w:pPr>
        <w:numPr>
          <w:ilvl w:val="1"/>
          <w:numId w:val="11"/>
        </w:numPr>
        <w:tabs>
          <w:tab w:val="left" w:pos="1080"/>
          <w:tab w:val="left" w:pos="2014"/>
        </w:tabs>
        <w:snapToGrid w:val="0"/>
        <w:spacing w:line="360" w:lineRule="auto"/>
        <w:ind w:left="1077" w:hanging="720"/>
        <w:rPr>
          <w:rFonts w:hint="eastAsia" w:ascii="宋体" w:hAnsi="宋体" w:eastAsia="宋体" w:cs="宋体"/>
          <w:color w:val="auto"/>
          <w:sz w:val="24"/>
        </w:rPr>
      </w:pPr>
      <w:r>
        <w:rPr>
          <w:color w:val="auto"/>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21F162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0DE91BB">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sz w:val="24"/>
        </w:rPr>
        <w:t>投标人不足3家的，不予开标</w:t>
      </w:r>
      <w:r>
        <w:rPr>
          <w:rFonts w:hint="eastAsia" w:ascii="宋体" w:hAnsi="宋体" w:eastAsia="宋体" w:cs="宋体"/>
          <w:color w:val="auto"/>
          <w:sz w:val="24"/>
          <w:highlight w:val="none"/>
        </w:rPr>
        <w:t>。</w:t>
      </w:r>
    </w:p>
    <w:p w14:paraId="4686E2D5">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14:paraId="25F39D6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见第三章《资格审查》。</w:t>
      </w:r>
    </w:p>
    <w:bookmarkEnd w:id="559"/>
    <w:p w14:paraId="217E30C4">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560" w:name="_Toc164229235"/>
      <w:bookmarkStart w:id="561" w:name="_Toc151193638"/>
      <w:bookmarkStart w:id="562" w:name="_Toc150774640"/>
      <w:bookmarkStart w:id="563" w:name="_Toc151193782"/>
      <w:bookmarkStart w:id="564" w:name="_Toc264969230"/>
      <w:bookmarkStart w:id="565" w:name="_Toc151193854"/>
      <w:bookmarkStart w:id="566" w:name="_Toc127151741"/>
      <w:bookmarkStart w:id="567" w:name="_Toc149720833"/>
      <w:bookmarkStart w:id="568" w:name="_Toc127151540"/>
      <w:bookmarkStart w:id="569" w:name="_Toc226337236"/>
      <w:bookmarkStart w:id="570" w:name="_Toc151190167"/>
      <w:bookmarkStart w:id="571" w:name="_Toc150774745"/>
      <w:bookmarkStart w:id="572" w:name="_Toc226965813"/>
      <w:bookmarkStart w:id="573" w:name="_Toc127161454"/>
      <w:bookmarkStart w:id="574" w:name="_Toc151193928"/>
      <w:bookmarkStart w:id="575" w:name="_Toc142311042"/>
      <w:bookmarkStart w:id="576" w:name="_Toc164608809"/>
      <w:bookmarkStart w:id="577" w:name="_Toc195842905"/>
      <w:bookmarkStart w:id="578" w:name="_Toc305158808"/>
      <w:bookmarkStart w:id="579" w:name="_Toc226965730"/>
      <w:bookmarkStart w:id="580" w:name="_Toc164229381"/>
      <w:bookmarkStart w:id="581" w:name="_Toc164351634"/>
      <w:bookmarkStart w:id="582" w:name="_Toc265228378"/>
      <w:bookmarkStart w:id="583" w:name="_Toc226309784"/>
      <w:bookmarkStart w:id="584" w:name="_Toc305158882"/>
      <w:bookmarkStart w:id="585" w:name="_Toc151193710"/>
      <w:bookmarkStart w:id="586" w:name="_Toc150509291"/>
      <w:bookmarkStart w:id="587" w:name="_Toc150480778"/>
      <w:bookmarkStart w:id="588" w:name="_Toc164608654"/>
      <w:r>
        <w:rPr>
          <w:rFonts w:hint="eastAsia" w:ascii="宋体" w:hAnsi="宋体" w:eastAsia="宋体" w:cs="宋体"/>
          <w:color w:val="auto"/>
          <w:sz w:val="24"/>
          <w:highlight w:val="none"/>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99011A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有关规定和本次招标采购项目的特点进行组建，并负责具体评标事务，独立履行职责。</w:t>
      </w:r>
      <w:bookmarkStart w:id="589" w:name="_Toc520356166"/>
    </w:p>
    <w:p w14:paraId="78367BA2">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评审专家须符合《财政部关于在</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89"/>
      <w:bookmarkStart w:id="590" w:name="_Toc520356169"/>
    </w:p>
    <w:p w14:paraId="0A5743E1">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14:paraId="11F63B1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章《评标程序、评标方法和评标标准》</w:t>
      </w:r>
      <w:r>
        <w:rPr>
          <w:rFonts w:hint="eastAsia" w:ascii="宋体" w:hAnsi="宋体" w:eastAsia="宋体" w:cs="宋体"/>
          <w:color w:val="auto"/>
          <w:sz w:val="24"/>
          <w:highlight w:val="none"/>
        </w:rPr>
        <w:t>。</w:t>
      </w:r>
    </w:p>
    <w:p w14:paraId="7A86EF29">
      <w:pPr>
        <w:pStyle w:val="3"/>
        <w:pageBreakBefore w:val="0"/>
        <w:wordWrap/>
        <w:topLinePunct w:val="0"/>
        <w:bidi w:val="0"/>
        <w:spacing w:before="0" w:line="360" w:lineRule="auto"/>
        <w:rPr>
          <w:rFonts w:hint="eastAsia" w:ascii="宋体" w:hAnsi="宋体" w:eastAsia="宋体" w:cs="宋体"/>
          <w:color w:val="auto"/>
          <w:sz w:val="28"/>
          <w:highlight w:val="none"/>
        </w:rPr>
      </w:pPr>
      <w:bookmarkStart w:id="591" w:name="_Toc305158813"/>
      <w:bookmarkStart w:id="592" w:name="_Toc305158887"/>
      <w:bookmarkStart w:id="593" w:name="_Toc142311047"/>
      <w:bookmarkStart w:id="594" w:name="_Toc150480783"/>
      <w:bookmarkStart w:id="595" w:name="_Toc226965818"/>
      <w:bookmarkStart w:id="596" w:name="_Toc127151545"/>
      <w:bookmarkStart w:id="597" w:name="_Toc264969235"/>
      <w:bookmarkStart w:id="598" w:name="_Toc151190172"/>
      <w:bookmarkStart w:id="599" w:name="_Toc226337241"/>
      <w:bookmarkStart w:id="600" w:name="_Toc151193933"/>
      <w:bookmarkStart w:id="601" w:name="_Toc150774645"/>
      <w:bookmarkStart w:id="602" w:name="_Toc151193859"/>
      <w:bookmarkStart w:id="603" w:name="_Toc226309789"/>
      <w:bookmarkStart w:id="604" w:name="_Toc226965735"/>
      <w:bookmarkStart w:id="605" w:name="_Toc195842910"/>
      <w:bookmarkStart w:id="606" w:name="_Toc150509296"/>
      <w:bookmarkStart w:id="607" w:name="_Toc150774750"/>
      <w:bookmarkStart w:id="608" w:name="_Toc265228383"/>
      <w:bookmarkStart w:id="609" w:name="_Toc151193787"/>
      <w:bookmarkStart w:id="610" w:name="_Toc151193643"/>
      <w:bookmarkStart w:id="611" w:name="_Toc151193715"/>
      <w:r>
        <w:rPr>
          <w:rFonts w:hint="eastAsia" w:ascii="宋体" w:hAnsi="宋体" w:eastAsia="宋体" w:cs="宋体"/>
          <w:color w:val="auto"/>
          <w:sz w:val="28"/>
          <w:highlight w:val="none"/>
        </w:rPr>
        <w:t xml:space="preserve">六   </w:t>
      </w:r>
      <w:bookmarkEnd w:id="590"/>
      <w:r>
        <w:rPr>
          <w:rFonts w:hint="eastAsia" w:ascii="宋体" w:hAnsi="宋体" w:eastAsia="宋体" w:cs="宋体"/>
          <w:color w:val="auto"/>
          <w:sz w:val="28"/>
          <w:highlight w:val="none"/>
        </w:rPr>
        <w:t>确定中标</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Start w:id="612" w:name="_Toc226337243"/>
      <w:bookmarkStart w:id="613" w:name="_Toc305158815"/>
      <w:bookmarkStart w:id="614" w:name="_Toc151193789"/>
      <w:bookmarkStart w:id="615" w:name="_Toc226965737"/>
      <w:bookmarkStart w:id="616" w:name="_Toc151190174"/>
      <w:bookmarkStart w:id="617" w:name="_Toc195842912"/>
      <w:bookmarkStart w:id="618" w:name="_Toc164608816"/>
      <w:bookmarkStart w:id="619" w:name="_Toc149720840"/>
      <w:bookmarkStart w:id="620" w:name="_Toc164229388"/>
      <w:bookmarkStart w:id="621" w:name="_Toc150480785"/>
      <w:bookmarkStart w:id="622" w:name="_Toc150509298"/>
      <w:bookmarkStart w:id="623" w:name="_Toc150774752"/>
      <w:bookmarkStart w:id="624" w:name="_Toc164229242"/>
      <w:bookmarkStart w:id="625" w:name="_Toc142311049"/>
      <w:bookmarkStart w:id="626" w:name="_Toc164351641"/>
      <w:bookmarkStart w:id="627" w:name="_Toc127151547"/>
      <w:bookmarkStart w:id="628" w:name="_Toc151193717"/>
      <w:bookmarkStart w:id="629" w:name="_Toc305158889"/>
      <w:bookmarkStart w:id="630" w:name="_Toc127151748"/>
      <w:bookmarkStart w:id="631" w:name="_Toc151193861"/>
      <w:bookmarkStart w:id="632" w:name="_Toc151193935"/>
      <w:bookmarkStart w:id="633" w:name="_Toc265228385"/>
      <w:bookmarkStart w:id="634" w:name="_Toc127161461"/>
      <w:bookmarkStart w:id="635" w:name="_Toc164608661"/>
      <w:bookmarkStart w:id="636" w:name="_Toc264969237"/>
      <w:bookmarkStart w:id="637" w:name="_Toc150774647"/>
      <w:bookmarkStart w:id="638" w:name="_Toc226965820"/>
      <w:bookmarkStart w:id="639" w:name="_Toc151193645"/>
      <w:bookmarkStart w:id="640" w:name="_Toc226309791"/>
    </w:p>
    <w:p w14:paraId="68D7868D">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4A7A3F8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r>
        <w:rPr>
          <w:spacing w:val="2"/>
          <w:sz w:val="24"/>
          <w:szCs w:val="24"/>
        </w:rPr>
        <w:t>购人将在评标报告确定的中标候选人名单中按顺序确定中标人，</w:t>
      </w:r>
      <w:r>
        <w:rPr>
          <w:spacing w:val="-44"/>
          <w:sz w:val="24"/>
          <w:szCs w:val="24"/>
        </w:rPr>
        <w:t xml:space="preserve"> </w:t>
      </w:r>
      <w:r>
        <w:rPr>
          <w:spacing w:val="2"/>
          <w:sz w:val="24"/>
          <w:szCs w:val="24"/>
        </w:rPr>
        <w:t>中标候选</w:t>
      </w:r>
      <w:r>
        <w:rPr>
          <w:spacing w:val="1"/>
          <w:sz w:val="24"/>
          <w:szCs w:val="24"/>
        </w:rPr>
        <w:t>人并列的，由采购人或者采购人委托评标委员会按照招标文件规定的方式确</w:t>
      </w:r>
      <w:r>
        <w:rPr>
          <w:spacing w:val="-2"/>
          <w:sz w:val="24"/>
          <w:szCs w:val="24"/>
        </w:rPr>
        <w:t>定中标人</w:t>
      </w:r>
      <w:r>
        <w:rPr>
          <w:spacing w:val="-10"/>
          <w:sz w:val="24"/>
          <w:szCs w:val="24"/>
        </w:rPr>
        <w:t xml:space="preserve"> </w:t>
      </w:r>
      <w:r>
        <w:rPr>
          <w:spacing w:val="-2"/>
          <w:sz w:val="24"/>
          <w:szCs w:val="24"/>
        </w:rPr>
        <w:t>；招标文件未规定的，采取随机抽取的方式确定</w:t>
      </w:r>
      <w:r>
        <w:rPr>
          <w:spacing w:val="-41"/>
          <w:sz w:val="24"/>
          <w:szCs w:val="24"/>
        </w:rPr>
        <w:t xml:space="preserve"> </w:t>
      </w:r>
      <w:r>
        <w:rPr>
          <w:spacing w:val="-2"/>
          <w:sz w:val="24"/>
          <w:szCs w:val="24"/>
        </w:rPr>
        <w:t>。采购人是否委托</w:t>
      </w:r>
      <w:r>
        <w:rPr>
          <w:spacing w:val="-5"/>
          <w:sz w:val="24"/>
          <w:szCs w:val="24"/>
        </w:rPr>
        <w:t>评标委员会直接确定中标人，见《投标人须知资料表》。中标候选人并列的，</w:t>
      </w:r>
      <w:r>
        <w:rPr>
          <w:spacing w:val="-1"/>
          <w:sz w:val="24"/>
          <w:szCs w:val="24"/>
        </w:rPr>
        <w:t>按照《投标人须知资料表》要求确定中标人</w:t>
      </w:r>
      <w:r>
        <w:rPr>
          <w:rFonts w:hint="eastAsia" w:ascii="宋体" w:hAnsi="宋体" w:eastAsia="宋体" w:cs="宋体"/>
          <w:color w:val="auto"/>
          <w:sz w:val="24"/>
          <w:highlight w:val="none"/>
        </w:rPr>
        <w:t>。</w:t>
      </w:r>
    </w:p>
    <w:p w14:paraId="7C18F5FE">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641" w:name="_Toc305158817"/>
      <w:bookmarkStart w:id="642" w:name="_Toc305158891"/>
      <w:bookmarkStart w:id="643" w:name="_Toc226965822"/>
      <w:bookmarkStart w:id="644" w:name="_Toc127161463"/>
      <w:bookmarkStart w:id="645" w:name="_Toc151190176"/>
      <w:bookmarkStart w:id="646" w:name="_Toc151193937"/>
      <w:bookmarkStart w:id="647" w:name="_Toc226965739"/>
      <w:bookmarkStart w:id="648" w:name="_Toc164608818"/>
      <w:bookmarkStart w:id="649" w:name="_Toc264969239"/>
      <w:bookmarkStart w:id="650" w:name="_Toc226309793"/>
      <w:bookmarkStart w:id="651" w:name="_Toc142311051"/>
      <w:bookmarkStart w:id="652" w:name="_Toc151193647"/>
      <w:bookmarkStart w:id="653" w:name="_Toc226337245"/>
      <w:bookmarkStart w:id="654" w:name="_Toc151193719"/>
      <w:bookmarkStart w:id="655" w:name="_Toc150774754"/>
      <w:bookmarkStart w:id="656" w:name="_Toc164351643"/>
      <w:bookmarkStart w:id="657" w:name="_Toc150774649"/>
      <w:bookmarkStart w:id="658" w:name="_Toc151193863"/>
      <w:bookmarkStart w:id="659" w:name="_Toc195842914"/>
      <w:bookmarkStart w:id="660" w:name="_Toc150480787"/>
      <w:bookmarkStart w:id="661" w:name="_Toc265228387"/>
      <w:bookmarkStart w:id="662" w:name="_Toc164229390"/>
      <w:bookmarkStart w:id="663" w:name="_Toc127151750"/>
      <w:bookmarkStart w:id="664" w:name="_Toc149720842"/>
      <w:bookmarkStart w:id="665" w:name="_Toc151193791"/>
      <w:bookmarkStart w:id="666" w:name="_Toc150509300"/>
      <w:bookmarkStart w:id="667" w:name="_Toc127151549"/>
      <w:bookmarkStart w:id="668" w:name="_Toc164608663"/>
      <w:bookmarkStart w:id="669" w:name="_Toc164229244"/>
      <w:bookmarkStart w:id="670" w:name="_Toc520356176"/>
      <w:bookmarkStart w:id="671" w:name="_Ref467307090"/>
      <w:bookmarkStart w:id="672" w:name="_Ref467306425"/>
      <w:r>
        <w:rPr>
          <w:rFonts w:hint="eastAsia" w:ascii="宋体" w:hAnsi="宋体" w:eastAsia="宋体" w:cs="宋体"/>
          <w:color w:val="auto"/>
          <w:sz w:val="24"/>
          <w:highlight w:val="none"/>
        </w:rPr>
        <w:t>中标公告与中标通知书</w:t>
      </w:r>
      <w:bookmarkEnd w:id="641"/>
      <w:bookmarkEnd w:id="642"/>
    </w:p>
    <w:p w14:paraId="14CB74C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采购人或采购代理机构自中标人确定之日起2个工作日内，在北京市政府采购网公告中标结果， 同时向中标人发出中标通知书，中标公告期限为1个工作日。</w:t>
      </w:r>
    </w:p>
    <w:p w14:paraId="52D50FC0">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中标通知书对采购人和中标</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均具有法律效力。中标通知书发出后，采购人改变中标结果的，或者中标</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放弃中标项目的，应当依法承担法律责任。</w:t>
      </w:r>
    </w:p>
    <w:p w14:paraId="30237C59">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废标</w:t>
      </w:r>
    </w:p>
    <w:p w14:paraId="5CCC93E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在招标采购中，出现下列情形之一的，应予废标：</w:t>
      </w:r>
    </w:p>
    <w:p w14:paraId="3F21898C">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符合专业条件的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或者对招标文件作实质响应的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不足三家的；</w:t>
      </w:r>
    </w:p>
    <w:p w14:paraId="7E070A59">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14:paraId="76A71DE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投标人的报价均超过了采购预算，采购人不能支付的；</w:t>
      </w:r>
    </w:p>
    <w:p w14:paraId="0581BD2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14:paraId="7EE48252">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废标后，采购人将废标理由通知所有投标人。</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70E66167">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673" w:name="_Toc151193938"/>
      <w:bookmarkStart w:id="674" w:name="_Ref467306978"/>
      <w:bookmarkStart w:id="675" w:name="_Toc265228388"/>
      <w:bookmarkStart w:id="676" w:name="_Toc127151751"/>
      <w:bookmarkStart w:id="677" w:name="_Toc150774755"/>
      <w:bookmarkStart w:id="678" w:name="_Toc151193792"/>
      <w:bookmarkStart w:id="679" w:name="_Toc226309794"/>
      <w:bookmarkStart w:id="680" w:name="_Toc305158818"/>
      <w:bookmarkStart w:id="681" w:name="_Toc164229391"/>
      <w:bookmarkStart w:id="682" w:name="_Toc164608664"/>
      <w:bookmarkStart w:id="683" w:name="_Toc195842915"/>
      <w:bookmarkStart w:id="684" w:name="_Toc305158892"/>
      <w:bookmarkStart w:id="685" w:name="_Toc127151550"/>
      <w:bookmarkStart w:id="686" w:name="_Toc264969240"/>
      <w:bookmarkStart w:id="687" w:name="_Toc151193720"/>
      <w:bookmarkStart w:id="688" w:name="_Toc142311052"/>
      <w:bookmarkStart w:id="689" w:name="_Toc164608819"/>
      <w:bookmarkStart w:id="690" w:name="_Toc151193648"/>
      <w:bookmarkStart w:id="691" w:name="_Toc226965823"/>
      <w:bookmarkStart w:id="692" w:name="_Toc150480788"/>
      <w:bookmarkStart w:id="693" w:name="_Toc151193864"/>
      <w:bookmarkStart w:id="694" w:name="_Toc151190177"/>
      <w:bookmarkStart w:id="695" w:name="_Ref467307062"/>
      <w:bookmarkStart w:id="696" w:name="_Ref467306377"/>
      <w:bookmarkStart w:id="697" w:name="_Toc150509301"/>
      <w:bookmarkStart w:id="698" w:name="_Toc226337246"/>
      <w:bookmarkStart w:id="699" w:name="_Toc149720843"/>
      <w:bookmarkStart w:id="700" w:name="_Toc164351644"/>
      <w:bookmarkStart w:id="701" w:name="_Ref467307204"/>
      <w:bookmarkStart w:id="702" w:name="_Toc520356175"/>
      <w:bookmarkStart w:id="703" w:name="_Toc127161464"/>
      <w:bookmarkStart w:id="704" w:name="_Toc226965740"/>
      <w:bookmarkStart w:id="705" w:name="_Toc150774650"/>
      <w:bookmarkStart w:id="706" w:name="_Toc164229245"/>
      <w:r>
        <w:rPr>
          <w:rFonts w:hint="eastAsia" w:ascii="宋体" w:hAnsi="宋体" w:eastAsia="宋体" w:cs="宋体"/>
          <w:color w:val="auto"/>
          <w:sz w:val="24"/>
          <w:highlight w:val="none"/>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2BE3E818">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59ABCC22">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中标人拒绝与采购人签订合同的，采购人可以按照评标报告推荐的中标候选人名单排序，确定下一候选人为中标人，也可以重新开展</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w:t>
      </w:r>
    </w:p>
    <w:p w14:paraId="717C9A35">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联合体中标的，联合体各方应当共同与采购人签订合同，就中标项目向采购人承担连带责任。</w:t>
      </w:r>
    </w:p>
    <w:p w14:paraId="5E7A8230">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政府采购合同不能转包。</w:t>
      </w:r>
    </w:p>
    <w:p w14:paraId="5D67B8F3">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合同分包履行的，应当在投标文件中载明分包承担主体，分包承担主体应当具备相应资质条件且不得再次分包</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。中标人就采购项目和分包项目向采购人负责，分包</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就分包项目承担责任。</w:t>
      </w:r>
    </w:p>
    <w:p w14:paraId="54EA353B">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“政采贷 ”融资指引：详见《投标人须知资料表》</w:t>
      </w:r>
      <w:r>
        <w:rPr>
          <w:rFonts w:hint="eastAsia" w:ascii="宋体" w:hAnsi="宋体" w:cs="宋体"/>
          <w:color w:val="auto"/>
          <w:sz w:val="24"/>
          <w:highlight w:val="none"/>
          <w:lang w:eastAsia="zh-CN"/>
        </w:rPr>
        <w:t>。</w:t>
      </w:r>
    </w:p>
    <w:bookmarkEnd w:id="670"/>
    <w:bookmarkEnd w:id="671"/>
    <w:bookmarkEnd w:id="672"/>
    <w:p w14:paraId="4231D68D">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询问与质疑</w:t>
      </w:r>
    </w:p>
    <w:p w14:paraId="00CE7453">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p w14:paraId="3312C0D8">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投标人对政府采购活动事项有疑问的，可依法向采购人或采购代理机构提出询问，提出形式见《投标人须知资料表》。</w:t>
      </w:r>
    </w:p>
    <w:p w14:paraId="00C922E6">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采购人或采购代理机构对供应商依法提出的询问 ，在 3 个工作日内 作出答复，但答复的内容不得涉及商业秘密。</w:t>
      </w:r>
    </w:p>
    <w:p w14:paraId="282EE678">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p>
    <w:p w14:paraId="4D114C44">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00A4C5AA">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5065E985">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9B3BE1A">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1E13BA4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b/>
          <w:color w:val="auto"/>
          <w:sz w:val="36"/>
          <w:szCs w:val="36"/>
          <w:highlight w:val="none"/>
        </w:rPr>
        <w:sectPr>
          <w:headerReference r:id="rId12" w:type="first"/>
          <w:footerReference r:id="rId14" w:type="first"/>
          <w:headerReference r:id="rId11" w:type="even"/>
          <w:footerReference r:id="rId13" w:type="even"/>
          <w:pgSz w:w="11907" w:h="16840"/>
          <w:pgMar w:top="1134" w:right="1134" w:bottom="1134" w:left="1134" w:header="851" w:footer="851" w:gutter="0"/>
          <w:pgNumType w:fmt="decimal"/>
          <w:cols w:space="720" w:num="1"/>
          <w:docGrid w:linePitch="462" w:charSpace="0"/>
        </w:sectPr>
      </w:pPr>
      <w:r>
        <w:rPr>
          <w:rFonts w:hint="eastAsia" w:ascii="宋体" w:hAnsi="宋体" w:eastAsia="宋体" w:cs="宋体"/>
          <w:color w:val="auto"/>
          <w:sz w:val="24"/>
          <w:highlight w:val="none"/>
        </w:rPr>
        <w:t>接收询问和质疑的联系部门、联系电话和通讯地址见《投标人须知资料表》。</w:t>
      </w:r>
      <w:bookmarkStart w:id="707" w:name="_Toc226965827"/>
      <w:bookmarkStart w:id="708" w:name="_Toc305158896"/>
      <w:bookmarkStart w:id="709" w:name="_Toc353873934"/>
      <w:bookmarkStart w:id="710" w:name="_Toc142311056"/>
      <w:bookmarkStart w:id="711" w:name="_Toc150480792"/>
      <w:bookmarkStart w:id="712" w:name="_Toc265228392"/>
      <w:bookmarkStart w:id="713" w:name="_Toc353873664"/>
      <w:bookmarkStart w:id="714" w:name="_Toc127151554"/>
      <w:bookmarkStart w:id="715" w:name="_Toc150774759"/>
      <w:bookmarkStart w:id="716" w:name="_Toc305158822"/>
      <w:bookmarkStart w:id="717" w:name="_Toc353825544"/>
      <w:bookmarkStart w:id="718" w:name="_Toc226337250"/>
      <w:bookmarkStart w:id="719" w:name="_Toc264969244"/>
    </w:p>
    <w:p w14:paraId="4C9B7250">
      <w:pPr>
        <w:pageBreakBefore w:val="0"/>
        <w:numPr>
          <w:ilvl w:val="0"/>
          <w:numId w:val="0"/>
        </w:numPr>
        <w:tabs>
          <w:tab w:val="left" w:pos="1080"/>
          <w:tab w:val="left" w:pos="2014"/>
        </w:tabs>
        <w:wordWrap/>
        <w:topLinePunct w:val="0"/>
        <w:bidi w:val="0"/>
        <w:snapToGrid w:val="0"/>
        <w:spacing w:line="360" w:lineRule="auto"/>
        <w:ind w:left="357" w:lef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bookmarkEnd w:id="707"/>
      <w:bookmarkEnd w:id="708"/>
      <w:bookmarkEnd w:id="709"/>
      <w:bookmarkEnd w:id="710"/>
      <w:bookmarkEnd w:id="711"/>
      <w:bookmarkEnd w:id="712"/>
      <w:bookmarkEnd w:id="713"/>
      <w:bookmarkEnd w:id="714"/>
      <w:bookmarkEnd w:id="715"/>
      <w:bookmarkEnd w:id="716"/>
      <w:bookmarkEnd w:id="717"/>
      <w:bookmarkEnd w:id="718"/>
      <w:bookmarkEnd w:id="719"/>
      <w:bookmarkStart w:id="720" w:name="_Toc487900382"/>
      <w:r>
        <w:rPr>
          <w:rFonts w:hint="eastAsia" w:ascii="宋体" w:hAnsi="宋体" w:eastAsia="宋体" w:cs="宋体"/>
          <w:b/>
          <w:color w:val="auto"/>
          <w:sz w:val="36"/>
          <w:szCs w:val="36"/>
          <w:highlight w:val="none"/>
        </w:rPr>
        <w:t>资格审查</w:t>
      </w:r>
    </w:p>
    <w:p w14:paraId="2C985A78">
      <w:pPr>
        <w:pageBreakBefore w:val="0"/>
        <w:tabs>
          <w:tab w:val="left" w:pos="360"/>
          <w:tab w:val="left" w:pos="900"/>
        </w:tabs>
        <w:wordWrap/>
        <w:topLinePunct w:val="0"/>
        <w:bidi w:val="0"/>
        <w:snapToGrid w:val="0"/>
        <w:spacing w:line="360" w:lineRule="auto"/>
        <w:jc w:val="center"/>
        <w:outlineLvl w:val="1"/>
        <w:rPr>
          <w:rFonts w:hint="eastAsia" w:ascii="宋体" w:hAnsi="宋体" w:eastAsia="宋体" w:cs="宋体"/>
          <w:b/>
          <w:color w:val="auto"/>
          <w:sz w:val="24"/>
          <w:highlight w:val="none"/>
        </w:rPr>
      </w:pPr>
      <w:bookmarkStart w:id="721" w:name="_Toc99301422"/>
      <w:r>
        <w:rPr>
          <w:rFonts w:hint="eastAsia" w:ascii="宋体" w:hAnsi="宋体" w:eastAsia="宋体" w:cs="宋体"/>
          <w:b/>
          <w:color w:val="auto"/>
          <w:sz w:val="24"/>
          <w:highlight w:val="none"/>
        </w:rPr>
        <w:t>一、资格审查程序</w:t>
      </w:r>
      <w:bookmarkEnd w:id="721"/>
    </w:p>
    <w:p w14:paraId="15EC2EA6">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开标结束后，评标委员会将根据《资格审查要求》中的规定，对投标人进行资格审查，并形成资格审查结果。</w:t>
      </w:r>
    </w:p>
    <w:p w14:paraId="5CBAC793">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《资格审查要求》中对格式有要求的，除招标文件另有规定外，均为“实质性格式”文件。</w:t>
      </w:r>
    </w:p>
    <w:p w14:paraId="7ADB75AE">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的投标文件中</w:t>
      </w:r>
      <w:r>
        <w:rPr>
          <w:rFonts w:hint="eastAsia" w:ascii="宋体" w:hAnsi="宋体" w:eastAsia="宋体" w:cs="宋体"/>
          <w:color w:val="auto"/>
          <w:sz w:val="24"/>
          <w:highlight w:val="none"/>
        </w:rPr>
        <w:t>有任何一项不符合《资格审查要求》的，资格审查不合格，其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A38FAFD">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资格审查合格的投标人不足3家的，不进行评标。</w:t>
      </w:r>
    </w:p>
    <w:p w14:paraId="263B8787">
      <w:pPr>
        <w:pageBreakBefore w:val="0"/>
        <w:widowControl/>
        <w:wordWrap/>
        <w:topLinePunct w:val="0"/>
        <w:bidi w:val="0"/>
        <w:spacing w:line="360" w:lineRule="auto"/>
        <w:jc w:val="left"/>
        <w:rPr>
          <w:rFonts w:hint="eastAsia" w:ascii="宋体" w:hAnsi="宋体" w:eastAsia="宋体" w:cs="宋体"/>
          <w:color w:val="auto"/>
          <w:sz w:val="24"/>
          <w:highlight w:val="none"/>
        </w:rPr>
      </w:pPr>
    </w:p>
    <w:p w14:paraId="77883A52">
      <w:pPr>
        <w:pageBreakBefore w:val="0"/>
        <w:tabs>
          <w:tab w:val="left" w:pos="360"/>
          <w:tab w:val="left" w:pos="900"/>
        </w:tabs>
        <w:wordWrap/>
        <w:topLinePunct w:val="0"/>
        <w:bidi w:val="0"/>
        <w:snapToGrid w:val="0"/>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二、资格审查要求</w:t>
      </w:r>
    </w:p>
    <w:tbl>
      <w:tblPr>
        <w:tblStyle w:val="47"/>
        <w:tblpPr w:leftFromText="180" w:rightFromText="180" w:vertAnchor="text" w:horzAnchor="page" w:tblpX="1207" w:tblpY="548"/>
        <w:tblOverlap w:val="never"/>
        <w:tblW w:w="10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685"/>
        <w:gridCol w:w="6105"/>
        <w:gridCol w:w="1600"/>
      </w:tblGrid>
      <w:tr w14:paraId="7F92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89" w:type="dxa"/>
            <w:vAlign w:val="center"/>
          </w:tcPr>
          <w:p w14:paraId="46D904F7">
            <w:pPr>
              <w:pageBreakBefore w:val="0"/>
              <w:tabs>
                <w:tab w:val="left" w:pos="1080"/>
              </w:tabs>
              <w:wordWrap/>
              <w:topLinePunct w:val="0"/>
              <w:bidi w:val="0"/>
              <w:snapToGrid w:val="0"/>
              <w:spacing w:line="360" w:lineRule="auto"/>
              <w:jc w:val="center"/>
              <w:rPr>
                <w:rFonts w:hint="eastAsia" w:ascii="宋体" w:hAnsi="宋体" w:eastAsia="宋体" w:cs="宋体"/>
                <w:b/>
                <w:color w:val="auto"/>
                <w:sz w:val="21"/>
                <w:szCs w:val="21"/>
                <w:highlight w:val="none"/>
              </w:rPr>
            </w:pPr>
            <w:bookmarkStart w:id="722" w:name="_Hlt487972895"/>
            <w:bookmarkEnd w:id="722"/>
            <w:r>
              <w:rPr>
                <w:rFonts w:hint="eastAsia" w:ascii="宋体" w:hAnsi="宋体" w:eastAsia="宋体" w:cs="宋体"/>
                <w:b/>
                <w:color w:val="auto"/>
                <w:sz w:val="21"/>
                <w:szCs w:val="21"/>
                <w:highlight w:val="none"/>
              </w:rPr>
              <w:t>序号</w:t>
            </w:r>
          </w:p>
        </w:tc>
        <w:tc>
          <w:tcPr>
            <w:tcW w:w="1685" w:type="dxa"/>
            <w:vAlign w:val="center"/>
          </w:tcPr>
          <w:p w14:paraId="506910ED">
            <w:pPr>
              <w:pageBreakBefore w:val="0"/>
              <w:tabs>
                <w:tab w:val="left" w:pos="1080"/>
              </w:tabs>
              <w:wordWrap/>
              <w:topLinePunct w:val="0"/>
              <w:bidi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c>
          <w:tcPr>
            <w:tcW w:w="6105" w:type="dxa"/>
            <w:vAlign w:val="center"/>
          </w:tcPr>
          <w:p w14:paraId="32F66F4D">
            <w:pPr>
              <w:pageBreakBefore w:val="0"/>
              <w:tabs>
                <w:tab w:val="left" w:pos="1080"/>
              </w:tabs>
              <w:wordWrap/>
              <w:topLinePunct w:val="0"/>
              <w:bidi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c>
          <w:tcPr>
            <w:tcW w:w="1600" w:type="dxa"/>
            <w:vAlign w:val="center"/>
          </w:tcPr>
          <w:p w14:paraId="1077C295">
            <w:pPr>
              <w:pageBreakBefore w:val="0"/>
              <w:tabs>
                <w:tab w:val="left" w:pos="1080"/>
              </w:tabs>
              <w:wordWrap/>
              <w:topLinePunct w:val="0"/>
              <w:bidi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格式要求</w:t>
            </w:r>
          </w:p>
        </w:tc>
      </w:tr>
      <w:tr w14:paraId="7983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4C578348">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85" w:type="dxa"/>
            <w:vAlign w:val="center"/>
          </w:tcPr>
          <w:p w14:paraId="53483B1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满足《中华人民共和国采购法》第二十二条规定及法律法规的其他规定</w:t>
            </w:r>
          </w:p>
        </w:tc>
        <w:tc>
          <w:tcPr>
            <w:tcW w:w="6105" w:type="dxa"/>
            <w:vAlign w:val="center"/>
          </w:tcPr>
          <w:p w14:paraId="5B023C13">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具体规定见第一章《投标邀请》</w:t>
            </w:r>
          </w:p>
        </w:tc>
        <w:tc>
          <w:tcPr>
            <w:tcW w:w="1600" w:type="dxa"/>
            <w:vAlign w:val="center"/>
          </w:tcPr>
          <w:p w14:paraId="7EB557B7">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r>
      <w:tr w14:paraId="1386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vAlign w:val="center"/>
          </w:tcPr>
          <w:p w14:paraId="4D107945">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85" w:type="dxa"/>
            <w:vAlign w:val="center"/>
          </w:tcPr>
          <w:p w14:paraId="7D34193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营业执照等证明文件</w:t>
            </w:r>
          </w:p>
        </w:tc>
        <w:tc>
          <w:tcPr>
            <w:tcW w:w="6105" w:type="dxa"/>
            <w:vAlign w:val="center"/>
          </w:tcPr>
          <w:p w14:paraId="7B3F048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投标人为企业（包括合伙企业） 的，应提供有效的 “营业执照”；</w:t>
            </w:r>
          </w:p>
          <w:p w14:paraId="58CE13B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投标人为事业单位的，应提供有效的“事业单位法人证书”；</w:t>
            </w:r>
          </w:p>
          <w:p w14:paraId="245B9A3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投标人是非企业机构的，应提供有效的“执业许可证”、“登记证书”等证明文件；</w:t>
            </w:r>
          </w:p>
          <w:p w14:paraId="4386943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投标人是个体工商户的，应提供有效的“个体工商户营业执照”；</w:t>
            </w:r>
          </w:p>
          <w:p w14:paraId="4B19A85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投标人是自然人的，应提供有效的自然人身份证明。</w:t>
            </w:r>
          </w:p>
          <w:p w14:paraId="182A7E2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分支机构参加投标的，应提供该分支机构或其所属法人/其他组织的相应证明文件；同时还应提供其所属法人/其他组织出具的授权 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tc>
        <w:tc>
          <w:tcPr>
            <w:tcW w:w="1600" w:type="dxa"/>
            <w:vAlign w:val="center"/>
          </w:tcPr>
          <w:p w14:paraId="2A4AA193">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提供证明文件的复印件加盖投标人公章</w:t>
            </w:r>
          </w:p>
        </w:tc>
      </w:tr>
      <w:tr w14:paraId="79B5E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09F9880A">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85" w:type="dxa"/>
            <w:vAlign w:val="center"/>
          </w:tcPr>
          <w:p w14:paraId="7F77067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投标人资格声明书</w:t>
            </w:r>
          </w:p>
        </w:tc>
        <w:tc>
          <w:tcPr>
            <w:tcW w:w="6105" w:type="dxa"/>
            <w:vAlign w:val="center"/>
          </w:tcPr>
          <w:p w14:paraId="02653CAE">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提供了符合招标文件要求的《投标人资格声明书》。</w:t>
            </w:r>
          </w:p>
        </w:tc>
        <w:tc>
          <w:tcPr>
            <w:tcW w:w="1600" w:type="dxa"/>
            <w:vAlign w:val="center"/>
          </w:tcPr>
          <w:p w14:paraId="79828BC7">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格式见《投标文件格式》</w:t>
            </w:r>
          </w:p>
        </w:tc>
      </w:tr>
      <w:tr w14:paraId="39D6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7736448B">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85" w:type="dxa"/>
            <w:vAlign w:val="center"/>
          </w:tcPr>
          <w:p w14:paraId="2202C29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投标人信用记录</w:t>
            </w:r>
          </w:p>
        </w:tc>
        <w:tc>
          <w:tcPr>
            <w:tcW w:w="6105" w:type="dxa"/>
            <w:vAlign w:val="center"/>
          </w:tcPr>
          <w:p w14:paraId="11F88941">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查询渠道：信用中国网站和中国</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网（www.creditchina.gov.cn、www.ccgp.gov.cn）；</w:t>
            </w:r>
          </w:p>
          <w:p w14:paraId="40E47199">
            <w:pPr>
              <w:pageBreakBefore w:val="0"/>
              <w:tabs>
                <w:tab w:val="left" w:pos="900"/>
                <w:tab w:val="left" w:pos="19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截止时点：投标截止时间以后、资格审查阶段采购人或采购代理机构的实际查询时间；</w:t>
            </w:r>
          </w:p>
          <w:p w14:paraId="17673EB8">
            <w:pPr>
              <w:pageBreakBefore w:val="0"/>
              <w:tabs>
                <w:tab w:val="left" w:pos="900"/>
                <w:tab w:val="left" w:pos="19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信用信息查询记录和证据留存具体方式：查询结果网页打印页作为查询记录和证据，与其他采购文件一并保存；</w:t>
            </w:r>
          </w:p>
          <w:p w14:paraId="7F47EE75">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信用信息的使用原则：经认定的被列入失信被执行人、重大税收违法案件当事人名单、</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严重违法失信行为记录名单的投标人，其</w:t>
            </w:r>
            <w:r>
              <w:rPr>
                <w:rFonts w:hint="eastAsia" w:ascii="宋体" w:hAnsi="宋体" w:eastAsia="宋体" w:cs="宋体"/>
                <w:b/>
                <w:color w:val="auto"/>
                <w:sz w:val="21"/>
                <w:szCs w:val="21"/>
                <w:highlight w:val="none"/>
              </w:rPr>
              <w:t>投标无效</w:t>
            </w:r>
            <w:r>
              <w:rPr>
                <w:rFonts w:hint="eastAsia" w:ascii="宋体" w:hAnsi="宋体" w:eastAsia="宋体" w:cs="宋体"/>
                <w:color w:val="auto"/>
                <w:sz w:val="21"/>
                <w:szCs w:val="21"/>
                <w:highlight w:val="none"/>
              </w:rPr>
              <w:t>。联合体形式投标的，联合体成员存在不良信用记录，视同联合体存在不良信用记录。</w:t>
            </w:r>
          </w:p>
        </w:tc>
        <w:tc>
          <w:tcPr>
            <w:tcW w:w="1600" w:type="dxa"/>
            <w:vAlign w:val="center"/>
          </w:tcPr>
          <w:p w14:paraId="2BF25BBC">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无须投标人提供，由采购人或采购代理机构查询。</w:t>
            </w:r>
          </w:p>
        </w:tc>
      </w:tr>
      <w:tr w14:paraId="2258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7" w:hRule="atLeast"/>
        </w:trPr>
        <w:tc>
          <w:tcPr>
            <w:tcW w:w="789" w:type="dxa"/>
            <w:vAlign w:val="center"/>
          </w:tcPr>
          <w:p w14:paraId="3CDB3B5B">
            <w:pPr>
              <w:pageBreakBefore w:val="0"/>
              <w:tabs>
                <w:tab w:val="left" w:pos="1080"/>
              </w:tabs>
              <w:wordWrap/>
              <w:topLinePunct w:val="0"/>
              <w:bidi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685" w:type="dxa"/>
            <w:vAlign w:val="center"/>
          </w:tcPr>
          <w:p w14:paraId="38320A4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法律、行政法规规定的其他条件 </w:t>
            </w:r>
          </w:p>
        </w:tc>
        <w:tc>
          <w:tcPr>
            <w:tcW w:w="6105" w:type="dxa"/>
            <w:vAlign w:val="center"/>
          </w:tcPr>
          <w:p w14:paraId="68E54294">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 xml:space="preserve">法律、行政法规规定的其他条件 </w:t>
            </w:r>
          </w:p>
        </w:tc>
        <w:tc>
          <w:tcPr>
            <w:tcW w:w="1600" w:type="dxa"/>
            <w:vAlign w:val="center"/>
          </w:tcPr>
          <w:p w14:paraId="07410348">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3E45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327CB52B">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85" w:type="dxa"/>
            <w:vAlign w:val="center"/>
          </w:tcPr>
          <w:p w14:paraId="23DB1E1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落实采购政策需满足的资格要求</w:t>
            </w:r>
          </w:p>
        </w:tc>
        <w:tc>
          <w:tcPr>
            <w:tcW w:w="6105" w:type="dxa"/>
            <w:vAlign w:val="center"/>
          </w:tcPr>
          <w:p w14:paraId="174B364D">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具体要求见第一章《投标邀请》</w:t>
            </w:r>
          </w:p>
        </w:tc>
        <w:tc>
          <w:tcPr>
            <w:tcW w:w="1600" w:type="dxa"/>
            <w:vAlign w:val="center"/>
          </w:tcPr>
          <w:p w14:paraId="6EFEA294">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r>
      <w:tr w14:paraId="4975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rPr>
        <w:tc>
          <w:tcPr>
            <w:tcW w:w="789" w:type="dxa"/>
            <w:vAlign w:val="center"/>
          </w:tcPr>
          <w:p w14:paraId="488245D5">
            <w:pPr>
              <w:pageBreakBefore w:val="0"/>
              <w:tabs>
                <w:tab w:val="left" w:pos="1080"/>
              </w:tabs>
              <w:wordWrap/>
              <w:topLinePunct w:val="0"/>
              <w:bidi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685" w:type="dxa"/>
            <w:vAlign w:val="center"/>
          </w:tcPr>
          <w:p w14:paraId="1FDD922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中小企业政策</w:t>
            </w:r>
          </w:p>
        </w:tc>
        <w:tc>
          <w:tcPr>
            <w:tcW w:w="6105" w:type="dxa"/>
            <w:vAlign w:val="center"/>
          </w:tcPr>
          <w:p w14:paraId="5679FED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具体要求见第一章《投标邀请》</w:t>
            </w:r>
          </w:p>
        </w:tc>
        <w:tc>
          <w:tcPr>
            <w:tcW w:w="1600" w:type="dxa"/>
            <w:vAlign w:val="center"/>
          </w:tcPr>
          <w:p w14:paraId="30CDCD42">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r>
      <w:tr w14:paraId="7E31D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3" w:hRule="atLeast"/>
        </w:trPr>
        <w:tc>
          <w:tcPr>
            <w:tcW w:w="789" w:type="dxa"/>
            <w:vAlign w:val="center"/>
          </w:tcPr>
          <w:p w14:paraId="69D1D680">
            <w:pPr>
              <w:pageBreakBefore w:val="0"/>
              <w:tabs>
                <w:tab w:val="left" w:pos="1080"/>
              </w:tabs>
              <w:wordWrap/>
              <w:topLinePunct w:val="0"/>
              <w:bidi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-1</w:t>
            </w:r>
          </w:p>
        </w:tc>
        <w:tc>
          <w:tcPr>
            <w:tcW w:w="1685" w:type="dxa"/>
            <w:vAlign w:val="center"/>
          </w:tcPr>
          <w:p w14:paraId="673904FB">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中小企业声明函</w:t>
            </w:r>
          </w:p>
        </w:tc>
        <w:tc>
          <w:tcPr>
            <w:tcW w:w="6105" w:type="dxa"/>
            <w:vAlign w:val="center"/>
          </w:tcPr>
          <w:p w14:paraId="7349D348">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当本项目（包）涉及预留份额专门面向中小企业采购，此时建议在《资格证明文件》中提供。 </w:t>
            </w:r>
          </w:p>
          <w:p w14:paraId="5A54C4B1">
            <w:pPr>
              <w:keepNext w:val="0"/>
              <w:keepLines w:val="0"/>
              <w:widowControl/>
              <w:suppressLineNumbers w:val="0"/>
              <w:jc w:val="left"/>
              <w:rPr>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、投标人单独投标的，应提供《中小企业声明函》或《残疾人福利性单位声明函》或由省级以上监狱管理局、戒毒管理局（含新疆生产建设兵团）出具的属于监狱企业的证明文件。 </w:t>
            </w:r>
          </w:p>
          <w:p w14:paraId="74142B2F">
            <w:pPr>
              <w:keepNext w:val="0"/>
              <w:keepLines w:val="0"/>
              <w:widowControl/>
              <w:suppressLineNumbers w:val="0"/>
              <w:jc w:val="left"/>
              <w:rPr>
                <w:rFonts w:hint="eastAsia"/>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 </w:t>
            </w:r>
          </w:p>
        </w:tc>
        <w:tc>
          <w:tcPr>
            <w:tcW w:w="1600" w:type="dxa"/>
            <w:vAlign w:val="center"/>
          </w:tcPr>
          <w:p w14:paraId="159C9AFA">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格式见《投标文件格式》</w:t>
            </w:r>
          </w:p>
        </w:tc>
      </w:tr>
      <w:tr w14:paraId="056B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trPr>
        <w:tc>
          <w:tcPr>
            <w:tcW w:w="789" w:type="dxa"/>
            <w:vAlign w:val="center"/>
          </w:tcPr>
          <w:p w14:paraId="174DE687">
            <w:pPr>
              <w:pageBreakBefore w:val="0"/>
              <w:tabs>
                <w:tab w:val="left" w:pos="1080"/>
              </w:tabs>
              <w:wordWrap/>
              <w:topLinePunct w:val="0"/>
              <w:bidi w:val="0"/>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2-1-2</w:t>
            </w:r>
          </w:p>
        </w:tc>
        <w:tc>
          <w:tcPr>
            <w:tcW w:w="1685" w:type="dxa"/>
            <w:vAlign w:val="center"/>
          </w:tcPr>
          <w:p w14:paraId="11FA874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拟分包情况说明及分包意向协议</w:t>
            </w:r>
          </w:p>
        </w:tc>
        <w:tc>
          <w:tcPr>
            <w:tcW w:w="6105" w:type="dxa"/>
            <w:vAlign w:val="center"/>
          </w:tcPr>
          <w:p w14:paraId="7419FBA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如本项目（包）要求通过分包措施预留部分采购份额面向中小企业采购、且投标人因落实政府采购政策拟进行分包的，必须提供； </w:t>
            </w:r>
          </w:p>
          <w:p w14:paraId="09831B1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否则无须提供。 </w:t>
            </w:r>
          </w:p>
          <w:p w14:paraId="60F8730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 xml:space="preserve">对于预留份额专门面向中小企业采购的项目（包），组成联合体或者接受分包合同的中小企业与联合体内其他企业、分包企业之间不得存在直接控股、管理关系。 </w:t>
            </w:r>
          </w:p>
        </w:tc>
        <w:tc>
          <w:tcPr>
            <w:tcW w:w="1600" w:type="dxa"/>
            <w:vAlign w:val="center"/>
          </w:tcPr>
          <w:p w14:paraId="06485A9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格式见《投标 文件格式》</w:t>
            </w:r>
          </w:p>
        </w:tc>
      </w:tr>
      <w:tr w14:paraId="71466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0" w:hRule="atLeast"/>
        </w:trPr>
        <w:tc>
          <w:tcPr>
            <w:tcW w:w="789" w:type="dxa"/>
            <w:vAlign w:val="center"/>
          </w:tcPr>
          <w:p w14:paraId="33797552">
            <w:pPr>
              <w:pageBreakBefore w:val="0"/>
              <w:tabs>
                <w:tab w:val="left" w:pos="1080"/>
              </w:tabs>
              <w:wordWrap/>
              <w:topLinePunct w:val="0"/>
              <w:bidi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1685" w:type="dxa"/>
            <w:vAlign w:val="center"/>
          </w:tcPr>
          <w:p w14:paraId="3DB557E3">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 xml:space="preserve">其它落实政府采购政策的资格要求 </w:t>
            </w:r>
          </w:p>
        </w:tc>
        <w:tc>
          <w:tcPr>
            <w:tcW w:w="6105" w:type="dxa"/>
            <w:vAlign w:val="center"/>
          </w:tcPr>
          <w:p w14:paraId="33BFCCA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 xml:space="preserve">如有，见第一章《投标邀请》 </w:t>
            </w:r>
          </w:p>
        </w:tc>
        <w:tc>
          <w:tcPr>
            <w:tcW w:w="1600" w:type="dxa"/>
            <w:vAlign w:val="center"/>
          </w:tcPr>
          <w:p w14:paraId="38EC9BD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 xml:space="preserve">提供证明文件的电子件或电子证照并加盖电子印章 </w:t>
            </w:r>
          </w:p>
        </w:tc>
      </w:tr>
      <w:tr w14:paraId="00489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trPr>
        <w:tc>
          <w:tcPr>
            <w:tcW w:w="789" w:type="dxa"/>
            <w:vAlign w:val="center"/>
          </w:tcPr>
          <w:p w14:paraId="63F8AEF0">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85" w:type="dxa"/>
            <w:vAlign w:val="center"/>
          </w:tcPr>
          <w:p w14:paraId="7616C8EA">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6105" w:type="dxa"/>
            <w:vAlign w:val="center"/>
          </w:tcPr>
          <w:p w14:paraId="77BC992F">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 xml:space="preserve">如有，见第一章《投标邀请》 </w:t>
            </w:r>
          </w:p>
        </w:tc>
        <w:tc>
          <w:tcPr>
            <w:tcW w:w="1600" w:type="dxa"/>
            <w:vAlign w:val="center"/>
          </w:tcPr>
          <w:p w14:paraId="3CE0FBDD">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r>
      <w:tr w14:paraId="5747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vAlign w:val="center"/>
          </w:tcPr>
          <w:p w14:paraId="2FF53278">
            <w:pPr>
              <w:pageBreakBefore w:val="0"/>
              <w:tabs>
                <w:tab w:val="left" w:pos="1080"/>
              </w:tabs>
              <w:wordWrap/>
              <w:topLinePunct w:val="0"/>
              <w:bidi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p>
        </w:tc>
        <w:tc>
          <w:tcPr>
            <w:tcW w:w="1685" w:type="dxa"/>
            <w:vAlign w:val="center"/>
          </w:tcPr>
          <w:p w14:paraId="05A29DA8">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是否接受联合体投标（不适用）</w:t>
            </w:r>
          </w:p>
          <w:p w14:paraId="3576DBB4">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c>
          <w:tcPr>
            <w:tcW w:w="6105" w:type="dxa"/>
            <w:vAlign w:val="center"/>
          </w:tcPr>
          <w:p w14:paraId="35998142">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 </w:t>
            </w:r>
          </w:p>
          <w:p w14:paraId="38C07546">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、联合体各成员单位均须提供本表中序号</w:t>
            </w:r>
            <w:r>
              <w:rPr>
                <w:rFonts w:hint="default" w:ascii="Times New Roman" w:hAnsi="Times New Roman" w:eastAsia="宋体" w:cs="Times New Roman"/>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1-2 </w:t>
            </w:r>
            <w:r>
              <w:rPr>
                <w:rFonts w:hint="eastAsia" w:ascii="宋体" w:hAnsi="宋体" w:eastAsia="宋体" w:cs="宋体"/>
                <w:color w:val="000000"/>
                <w:kern w:val="0"/>
                <w:sz w:val="21"/>
                <w:szCs w:val="21"/>
                <w:lang w:val="en-US" w:eastAsia="zh-CN" w:bidi="ar"/>
              </w:rPr>
              <w:t xml:space="preserve">的证明文件。联合体各成员单位均应满足本表 </w:t>
            </w:r>
            <w:r>
              <w:rPr>
                <w:rFonts w:hint="default" w:ascii="Times New Roman" w:hAnsi="Times New Roman" w:eastAsia="宋体" w:cs="Times New Roman"/>
                <w:color w:val="000000"/>
                <w:kern w:val="0"/>
                <w:sz w:val="21"/>
                <w:szCs w:val="21"/>
                <w:lang w:val="en-US" w:eastAsia="zh-CN" w:bidi="ar"/>
              </w:rPr>
              <w:t xml:space="preserve">3-2 </w:t>
            </w:r>
            <w:r>
              <w:rPr>
                <w:rFonts w:hint="eastAsia" w:ascii="宋体" w:hAnsi="宋体" w:eastAsia="宋体" w:cs="宋体"/>
                <w:color w:val="000000"/>
                <w:kern w:val="0"/>
                <w:sz w:val="21"/>
                <w:szCs w:val="21"/>
                <w:lang w:val="en-US" w:eastAsia="zh-CN" w:bidi="ar"/>
              </w:rPr>
              <w:t xml:space="preserve">及 </w:t>
            </w:r>
            <w:r>
              <w:rPr>
                <w:rFonts w:hint="default" w:ascii="Times New Roman" w:hAnsi="Times New Roman" w:eastAsia="宋体" w:cs="Times New Roman"/>
                <w:color w:val="000000"/>
                <w:kern w:val="0"/>
                <w:sz w:val="21"/>
                <w:szCs w:val="21"/>
                <w:lang w:val="en-US" w:eastAsia="zh-CN" w:bidi="ar"/>
              </w:rPr>
              <w:t xml:space="preserve">3-3 </w:t>
            </w:r>
            <w:r>
              <w:rPr>
                <w:rFonts w:hint="eastAsia" w:ascii="宋体" w:hAnsi="宋体" w:eastAsia="宋体" w:cs="宋体"/>
                <w:color w:val="000000"/>
                <w:kern w:val="0"/>
                <w:sz w:val="21"/>
                <w:szCs w:val="21"/>
                <w:lang w:val="en-US" w:eastAsia="zh-CN" w:bidi="ar"/>
              </w:rPr>
              <w:t xml:space="preserve">项规定。 </w:t>
            </w:r>
          </w:p>
          <w:p w14:paraId="304DD461">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、本表序号 </w:t>
            </w:r>
            <w:r>
              <w:rPr>
                <w:rFonts w:hint="default" w:ascii="Times New Roman" w:hAnsi="Times New Roman" w:eastAsia="宋体" w:cs="Times New Roman"/>
                <w:color w:val="000000"/>
                <w:kern w:val="0"/>
                <w:sz w:val="21"/>
                <w:szCs w:val="21"/>
                <w:lang w:val="en-US" w:eastAsia="zh-CN" w:bidi="ar"/>
              </w:rPr>
              <w:t xml:space="preserve">3-4 </w:t>
            </w:r>
            <w:r>
              <w:rPr>
                <w:rFonts w:hint="eastAsia" w:ascii="宋体" w:hAnsi="宋体" w:eastAsia="宋体" w:cs="宋体"/>
                <w:color w:val="000000"/>
                <w:kern w:val="0"/>
                <w:sz w:val="21"/>
                <w:szCs w:val="21"/>
                <w:lang w:val="en-US" w:eastAsia="zh-CN" w:bidi="ar"/>
              </w:rPr>
              <w:t xml:space="preserve">项规定的其他特定资格要求中的每一小项要求，联合体各方中至少应当有一方符合本表中其他资格要求并提供证明文件。 </w:t>
            </w:r>
          </w:p>
          <w:p w14:paraId="23897A96">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、联合体中有同类资质的投标人按照联合体分工承担相同工作的，应当按照资质等级较低的投标人确定资质等级。 </w:t>
            </w:r>
          </w:p>
          <w:p w14:paraId="578E8B5F">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、以联合体形式参加政府采购活动的，联合体各方不得再单独参加或者与其他投标人另外组成联合体参加同一合同项下的政府采购活动。 </w:t>
            </w:r>
          </w:p>
          <w:p w14:paraId="5F06B916">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、若联合体中任一成员单位中途退出，则该联合体的</w:t>
            </w:r>
            <w:r>
              <w:rPr>
                <w:rFonts w:hint="eastAsia" w:ascii="宋体" w:hAnsi="宋体" w:eastAsia="宋体" w:cs="宋体"/>
                <w:b/>
                <w:bCs/>
                <w:color w:val="000000"/>
                <w:kern w:val="0"/>
                <w:sz w:val="21"/>
                <w:szCs w:val="21"/>
                <w:lang w:val="en-US" w:eastAsia="zh-CN" w:bidi="ar"/>
              </w:rPr>
              <w:t>投标无效</w:t>
            </w:r>
            <w:r>
              <w:rPr>
                <w:rFonts w:hint="eastAsia" w:ascii="宋体" w:hAnsi="宋体" w:eastAsia="宋体" w:cs="宋体"/>
                <w:color w:val="000000"/>
                <w:kern w:val="0"/>
                <w:sz w:val="21"/>
                <w:szCs w:val="21"/>
                <w:lang w:val="en-US" w:eastAsia="zh-CN" w:bidi="ar"/>
              </w:rPr>
              <w:t xml:space="preserve">。 </w:t>
            </w:r>
          </w:p>
          <w:p w14:paraId="1C471C9D">
            <w:pPr>
              <w:keepNext w:val="0"/>
              <w:keepLines w:val="0"/>
              <w:widowControl/>
              <w:suppressLineNumbers w:val="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、本项目不接受联合体投标时，投标人不得为联合体。 </w:t>
            </w:r>
          </w:p>
        </w:tc>
        <w:tc>
          <w:tcPr>
            <w:tcW w:w="1600" w:type="dxa"/>
            <w:vAlign w:val="center"/>
          </w:tcPr>
          <w:p w14:paraId="673375F2">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提供《联合协 </w:t>
            </w:r>
          </w:p>
          <w:p w14:paraId="733A6185">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议》原件的电 </w:t>
            </w:r>
          </w:p>
          <w:p w14:paraId="121B4427">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子件格式见《投标文件格式》 </w:t>
            </w:r>
          </w:p>
          <w:p w14:paraId="043338D6">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r>
      <w:tr w14:paraId="682BE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vAlign w:val="center"/>
          </w:tcPr>
          <w:p w14:paraId="39FFEB26">
            <w:pPr>
              <w:pageBreakBefore w:val="0"/>
              <w:tabs>
                <w:tab w:val="left" w:pos="1080"/>
              </w:tabs>
              <w:wordWrap/>
              <w:topLinePunct w:val="0"/>
              <w:bidi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1685" w:type="dxa"/>
            <w:vAlign w:val="center"/>
          </w:tcPr>
          <w:p w14:paraId="7D829A64">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政府购买服务承接主体的要求</w:t>
            </w:r>
          </w:p>
        </w:tc>
        <w:tc>
          <w:tcPr>
            <w:tcW w:w="6105" w:type="dxa"/>
            <w:vAlign w:val="center"/>
          </w:tcPr>
          <w:p w14:paraId="7F97449D">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如本项目属于政府购买服务，投标人不属于公益一类事业单位、使用事业编制且由财政拨款保障的群团组织。</w:t>
            </w:r>
          </w:p>
        </w:tc>
        <w:tc>
          <w:tcPr>
            <w:tcW w:w="1600" w:type="dxa"/>
            <w:vAlign w:val="center"/>
          </w:tcPr>
          <w:p w14:paraId="54146341">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格式见《投标文件格式》“1-2 投标人资格声明书”</w:t>
            </w:r>
          </w:p>
        </w:tc>
      </w:tr>
      <w:tr w14:paraId="77B2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1" w:hRule="atLeast"/>
        </w:trPr>
        <w:tc>
          <w:tcPr>
            <w:tcW w:w="789" w:type="dxa"/>
            <w:vAlign w:val="center"/>
          </w:tcPr>
          <w:p w14:paraId="5A6F2EA8">
            <w:pPr>
              <w:pageBreakBefore w:val="0"/>
              <w:tabs>
                <w:tab w:val="left" w:pos="1080"/>
              </w:tabs>
              <w:wordWrap/>
              <w:topLinePunct w:val="0"/>
              <w:bidi w:val="0"/>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1685" w:type="dxa"/>
            <w:vAlign w:val="center"/>
          </w:tcPr>
          <w:p w14:paraId="4040C295">
            <w:pPr>
              <w:pageBreakBefore w:val="0"/>
              <w:tabs>
                <w:tab w:val="left" w:pos="1080"/>
              </w:tabs>
              <w:wordWrap/>
              <w:topLinePunct w:val="0"/>
              <w:bidi w:val="0"/>
              <w:snapToGrid w:val="0"/>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承诺书</w:t>
            </w:r>
          </w:p>
        </w:tc>
        <w:tc>
          <w:tcPr>
            <w:tcW w:w="6105" w:type="dxa"/>
            <w:vAlign w:val="center"/>
          </w:tcPr>
          <w:p w14:paraId="1B1537F3">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供应商近三年无行贿犯罪行为承诺书</w:t>
            </w:r>
          </w:p>
        </w:tc>
        <w:tc>
          <w:tcPr>
            <w:tcW w:w="1600" w:type="dxa"/>
            <w:vAlign w:val="center"/>
          </w:tcPr>
          <w:p w14:paraId="3810963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格式见《投标 </w:t>
            </w:r>
          </w:p>
          <w:p w14:paraId="6E931D01">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文件格式》</w:t>
            </w:r>
          </w:p>
          <w:p w14:paraId="799A4A76">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lang w:val="en-US" w:eastAsia="zh-CN"/>
              </w:rPr>
            </w:pPr>
          </w:p>
        </w:tc>
      </w:tr>
      <w:tr w14:paraId="02E55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64" w:hRule="atLeast"/>
        </w:trPr>
        <w:tc>
          <w:tcPr>
            <w:tcW w:w="789" w:type="dxa"/>
            <w:vAlign w:val="center"/>
          </w:tcPr>
          <w:p w14:paraId="22C6A21E">
            <w:pPr>
              <w:pageBreakBefore w:val="0"/>
              <w:tabs>
                <w:tab w:val="left" w:pos="1080"/>
              </w:tabs>
              <w:wordWrap/>
              <w:topLinePunct w:val="0"/>
              <w:bidi w:val="0"/>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1685" w:type="dxa"/>
            <w:vAlign w:val="center"/>
          </w:tcPr>
          <w:p w14:paraId="242DDEB3">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其他特定资格要求</w:t>
            </w:r>
          </w:p>
          <w:p w14:paraId="0CB1992C">
            <w:pPr>
              <w:pageBreakBefore w:val="0"/>
              <w:tabs>
                <w:tab w:val="left" w:pos="1080"/>
              </w:tabs>
              <w:wordWrap/>
              <w:topLinePunct w:val="0"/>
              <w:bidi w:val="0"/>
              <w:snapToGrid w:val="0"/>
              <w:spacing w:line="360" w:lineRule="auto"/>
              <w:rPr>
                <w:rFonts w:hint="eastAsia" w:ascii="宋体" w:hAnsi="宋体" w:cs="宋体"/>
                <w:color w:val="auto"/>
                <w:sz w:val="21"/>
                <w:szCs w:val="21"/>
                <w:highlight w:val="none"/>
                <w:lang w:val="en-US" w:eastAsia="zh-CN"/>
              </w:rPr>
            </w:pPr>
          </w:p>
        </w:tc>
        <w:tc>
          <w:tcPr>
            <w:tcW w:w="6105" w:type="dxa"/>
            <w:vAlign w:val="center"/>
          </w:tcPr>
          <w:p w14:paraId="6D001763">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如有，见第一章《投标邀请》 </w:t>
            </w:r>
          </w:p>
          <w:p w14:paraId="1FF5E369">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p>
        </w:tc>
        <w:tc>
          <w:tcPr>
            <w:tcW w:w="1600" w:type="dxa"/>
            <w:vAlign w:val="center"/>
          </w:tcPr>
          <w:p w14:paraId="75E0729E">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提 供 证 明 文件 的 电 子 件或 电 子 证 照并 加 盖 电 子 </w:t>
            </w:r>
          </w:p>
          <w:p w14:paraId="0ECDB43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bidi="ar"/>
              </w:rPr>
              <w:t xml:space="preserve">印章 </w:t>
            </w:r>
          </w:p>
        </w:tc>
      </w:tr>
      <w:tr w14:paraId="13E80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789" w:type="dxa"/>
            <w:vAlign w:val="center"/>
          </w:tcPr>
          <w:p w14:paraId="296BD2F8">
            <w:pPr>
              <w:pageBreakBefore w:val="0"/>
              <w:tabs>
                <w:tab w:val="left" w:pos="1080"/>
              </w:tabs>
              <w:wordWrap/>
              <w:topLinePunct w:val="0"/>
              <w:bidi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685" w:type="dxa"/>
            <w:vAlign w:val="center"/>
          </w:tcPr>
          <w:p w14:paraId="547FECB1">
            <w:pPr>
              <w:pageBreakBefore w:val="0"/>
              <w:tabs>
                <w:tab w:val="left" w:pos="1080"/>
              </w:tabs>
              <w:wordWrap/>
              <w:topLinePunct w:val="0"/>
              <w:bidi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投标费用承诺函</w:t>
            </w:r>
          </w:p>
        </w:tc>
        <w:tc>
          <w:tcPr>
            <w:tcW w:w="6105" w:type="dxa"/>
            <w:vAlign w:val="center"/>
          </w:tcPr>
          <w:p w14:paraId="55693FDF">
            <w:pPr>
              <w:pageBreakBefore w:val="0"/>
              <w:tabs>
                <w:tab w:val="left" w:pos="1080"/>
              </w:tabs>
              <w:wordWrap/>
              <w:topLinePunct w:val="0"/>
              <w:bidi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投标人应自行承担所有与准备和参加投标有关的费用，无论投标的结果如何，采购人或采购代理机构在任何情况下均无承担这些费用的义务和责任（</w:t>
            </w:r>
            <w:r>
              <w:rPr>
                <w:rFonts w:hint="eastAsia" w:ascii="宋体" w:hAnsi="宋体" w:eastAsia="宋体" w:cs="宋体"/>
                <w:color w:val="auto"/>
                <w:sz w:val="21"/>
                <w:szCs w:val="21"/>
                <w:highlight w:val="none"/>
                <w:lang w:val="en-US" w:eastAsia="zh-CN"/>
              </w:rPr>
              <w:t>详见附件</w:t>
            </w:r>
            <w:r>
              <w:rPr>
                <w:rFonts w:hint="eastAsia" w:ascii="宋体" w:hAnsi="宋体" w:eastAsia="宋体" w:cs="宋体"/>
                <w:color w:val="auto"/>
                <w:sz w:val="21"/>
                <w:szCs w:val="21"/>
                <w:highlight w:val="none"/>
              </w:rPr>
              <w:t>）</w:t>
            </w:r>
          </w:p>
        </w:tc>
        <w:tc>
          <w:tcPr>
            <w:tcW w:w="1600" w:type="dxa"/>
            <w:vAlign w:val="center"/>
          </w:tcPr>
          <w:p w14:paraId="08A73740">
            <w:pPr>
              <w:pageBreakBefore w:val="0"/>
              <w:tabs>
                <w:tab w:val="left" w:pos="1080"/>
              </w:tabs>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提供证明文件的复印件加盖投标人公章</w:t>
            </w: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0"/>
    </w:tbl>
    <w:p w14:paraId="40D3646C">
      <w:pPr>
        <w:pageBreakBefore w:val="0"/>
        <w:wordWrap/>
        <w:topLinePunct w:val="0"/>
        <w:bidi w:val="0"/>
        <w:spacing w:line="360" w:lineRule="auto"/>
        <w:jc w:val="both"/>
        <w:outlineLvl w:val="0"/>
        <w:rPr>
          <w:rFonts w:hint="eastAsia" w:ascii="宋体" w:hAnsi="宋体" w:eastAsia="宋体" w:cs="宋体"/>
          <w:b/>
          <w:color w:val="auto"/>
          <w:sz w:val="36"/>
          <w:szCs w:val="36"/>
          <w:highlight w:val="none"/>
        </w:rPr>
      </w:pPr>
      <w:bookmarkStart w:id="723" w:name="_Toc353873940"/>
      <w:bookmarkStart w:id="724" w:name="_Toc353825550"/>
      <w:bookmarkStart w:id="725" w:name="_Toc127161490"/>
      <w:bookmarkStart w:id="726" w:name="_Toc226965858"/>
      <w:bookmarkStart w:id="727" w:name="_Toc8999"/>
      <w:bookmarkStart w:id="728" w:name="_Toc127151779"/>
      <w:r>
        <w:rPr>
          <w:rFonts w:hint="eastAsia" w:ascii="宋体" w:hAnsi="宋体" w:eastAsia="宋体" w:cs="宋体"/>
          <w:b/>
          <w:color w:val="auto"/>
          <w:sz w:val="36"/>
          <w:szCs w:val="36"/>
          <w:highlight w:val="none"/>
        </w:rPr>
        <w:t xml:space="preserve"> </w:t>
      </w:r>
      <w:bookmarkEnd w:id="723"/>
      <w:bookmarkEnd w:id="724"/>
      <w:bookmarkEnd w:id="725"/>
      <w:bookmarkEnd w:id="726"/>
      <w:bookmarkEnd w:id="727"/>
      <w:bookmarkEnd w:id="728"/>
      <w:bookmarkStart w:id="729" w:name="_Hlt164229061"/>
      <w:bookmarkEnd w:id="729"/>
    </w:p>
    <w:p w14:paraId="59A34C56">
      <w:pPr>
        <w:pStyle w:val="12"/>
        <w:rPr>
          <w:rFonts w:hint="eastAsia" w:ascii="宋体" w:hAnsi="宋体" w:eastAsia="宋体" w:cs="宋体"/>
          <w:b/>
          <w:color w:val="auto"/>
          <w:sz w:val="36"/>
          <w:szCs w:val="36"/>
          <w:highlight w:val="none"/>
        </w:rPr>
      </w:pPr>
    </w:p>
    <w:p w14:paraId="486D2855">
      <w:pPr>
        <w:pStyle w:val="12"/>
        <w:rPr>
          <w:rFonts w:hint="eastAsia" w:ascii="宋体" w:hAnsi="宋体" w:eastAsia="宋体" w:cs="宋体"/>
          <w:b/>
          <w:color w:val="auto"/>
          <w:sz w:val="36"/>
          <w:szCs w:val="36"/>
          <w:highlight w:val="none"/>
        </w:rPr>
      </w:pPr>
    </w:p>
    <w:p w14:paraId="4339084F">
      <w:pPr>
        <w:pStyle w:val="12"/>
        <w:rPr>
          <w:rFonts w:hint="eastAsia" w:ascii="宋体" w:hAnsi="宋体" w:eastAsia="宋体" w:cs="宋体"/>
          <w:b/>
          <w:color w:val="auto"/>
          <w:sz w:val="36"/>
          <w:szCs w:val="36"/>
          <w:highlight w:val="none"/>
        </w:rPr>
      </w:pPr>
    </w:p>
    <w:p w14:paraId="669531DC">
      <w:pPr>
        <w:pStyle w:val="12"/>
        <w:rPr>
          <w:rFonts w:hint="eastAsia" w:ascii="宋体" w:hAnsi="宋体" w:eastAsia="宋体" w:cs="宋体"/>
          <w:b/>
          <w:color w:val="auto"/>
          <w:sz w:val="36"/>
          <w:szCs w:val="36"/>
          <w:highlight w:val="none"/>
        </w:rPr>
      </w:pPr>
    </w:p>
    <w:p w14:paraId="0D21D9F8">
      <w:pPr>
        <w:pStyle w:val="12"/>
        <w:rPr>
          <w:rFonts w:hint="eastAsia" w:ascii="宋体" w:hAnsi="宋体" w:eastAsia="宋体" w:cs="宋体"/>
          <w:b/>
          <w:color w:val="auto"/>
          <w:sz w:val="36"/>
          <w:szCs w:val="36"/>
          <w:highlight w:val="none"/>
        </w:rPr>
      </w:pPr>
    </w:p>
    <w:p w14:paraId="799CB2D7">
      <w:pPr>
        <w:pStyle w:val="12"/>
        <w:rPr>
          <w:rFonts w:hint="eastAsia" w:ascii="宋体" w:hAnsi="宋体" w:eastAsia="宋体" w:cs="宋体"/>
          <w:b/>
          <w:color w:val="auto"/>
          <w:sz w:val="36"/>
          <w:szCs w:val="36"/>
          <w:highlight w:val="none"/>
        </w:rPr>
      </w:pPr>
    </w:p>
    <w:p w14:paraId="2D86E779">
      <w:pPr>
        <w:pStyle w:val="12"/>
        <w:rPr>
          <w:rFonts w:hint="eastAsia" w:ascii="宋体" w:hAnsi="宋体" w:eastAsia="宋体" w:cs="宋体"/>
          <w:b/>
          <w:color w:val="auto"/>
          <w:sz w:val="36"/>
          <w:szCs w:val="36"/>
          <w:highlight w:val="none"/>
        </w:rPr>
      </w:pPr>
    </w:p>
    <w:p w14:paraId="0EFE6B67">
      <w:pPr>
        <w:pStyle w:val="17"/>
        <w:spacing w:before="327" w:line="205" w:lineRule="auto"/>
        <w:ind w:left="1312"/>
        <w:outlineLvl w:val="0"/>
        <w:rPr>
          <w:b/>
          <w:bCs/>
          <w:spacing w:val="9"/>
          <w:sz w:val="35"/>
          <w:szCs w:val="35"/>
        </w:rPr>
      </w:pPr>
    </w:p>
    <w:p w14:paraId="34354F81">
      <w:pPr>
        <w:pStyle w:val="17"/>
        <w:spacing w:before="327" w:line="205" w:lineRule="auto"/>
        <w:ind w:left="1312"/>
        <w:outlineLvl w:val="0"/>
        <w:rPr>
          <w:sz w:val="35"/>
          <w:szCs w:val="35"/>
        </w:rPr>
      </w:pPr>
      <w:r>
        <w:rPr>
          <w:b/>
          <w:bCs/>
          <w:spacing w:val="9"/>
          <w:sz w:val="35"/>
          <w:szCs w:val="35"/>
        </w:rPr>
        <w:t>第四章     评标程序、评标方法和评标标准</w:t>
      </w:r>
    </w:p>
    <w:p w14:paraId="414C66E6">
      <w:pPr>
        <w:pStyle w:val="12"/>
        <w:rPr>
          <w:rFonts w:hint="eastAsia" w:ascii="宋体" w:hAnsi="宋体" w:eastAsia="宋体" w:cs="宋体"/>
          <w:b/>
          <w:color w:val="auto"/>
          <w:sz w:val="36"/>
          <w:szCs w:val="36"/>
          <w:highlight w:val="none"/>
        </w:rPr>
      </w:pPr>
    </w:p>
    <w:p w14:paraId="2C1FC218">
      <w:pPr>
        <w:pStyle w:val="12"/>
        <w:rPr>
          <w:rFonts w:hint="eastAsia" w:ascii="宋体" w:hAnsi="宋体" w:eastAsia="宋体" w:cs="宋体"/>
          <w:b/>
          <w:color w:val="auto"/>
          <w:sz w:val="36"/>
          <w:szCs w:val="36"/>
          <w:highlight w:val="none"/>
        </w:rPr>
      </w:pPr>
    </w:p>
    <w:p w14:paraId="16B251DE">
      <w:pPr>
        <w:pageBreakBefore w:val="0"/>
        <w:tabs>
          <w:tab w:val="left" w:pos="360"/>
          <w:tab w:val="left" w:pos="900"/>
        </w:tabs>
        <w:wordWrap/>
        <w:topLinePunct w:val="0"/>
        <w:bidi w:val="0"/>
        <w:snapToGrid w:val="0"/>
        <w:spacing w:line="360" w:lineRule="auto"/>
        <w:jc w:val="center"/>
        <w:outlineLvl w:val="1"/>
        <w:rPr>
          <w:rFonts w:hint="eastAsia" w:ascii="宋体" w:hAnsi="宋体" w:eastAsia="宋体" w:cs="宋体"/>
          <w:b/>
          <w:color w:val="auto"/>
          <w:highlight w:val="none"/>
        </w:rPr>
      </w:pPr>
      <w:r>
        <w:rPr>
          <w:rFonts w:hint="eastAsia" w:ascii="宋体" w:hAnsi="宋体" w:cs="宋体"/>
          <w:b/>
          <w:color w:val="auto"/>
          <w:sz w:val="24"/>
          <w:highlight w:val="none"/>
          <w:lang w:val="en-US" w:eastAsia="zh-CN"/>
        </w:rPr>
        <w:t>一</w:t>
      </w:r>
      <w:r>
        <w:rPr>
          <w:rFonts w:hint="eastAsia" w:ascii="宋体" w:hAnsi="宋体" w:eastAsia="宋体" w:cs="宋体"/>
          <w:b/>
          <w:color w:val="auto"/>
          <w:sz w:val="24"/>
          <w:highlight w:val="none"/>
        </w:rPr>
        <w:t>、评标方法</w:t>
      </w:r>
    </w:p>
    <w:p w14:paraId="18BC43D5">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bookmarkStart w:id="730" w:name="_Toc226309785"/>
      <w:bookmarkStart w:id="731" w:name="_Toc164608810"/>
      <w:bookmarkStart w:id="732" w:name="_Toc151193711"/>
      <w:bookmarkStart w:id="733" w:name="_Toc150774746"/>
      <w:bookmarkStart w:id="734" w:name="_Toc305158883"/>
      <w:bookmarkStart w:id="735" w:name="_Toc127151541"/>
      <w:bookmarkStart w:id="736" w:name="_Toc164351635"/>
      <w:bookmarkStart w:id="737" w:name="_Toc150509292"/>
      <w:bookmarkStart w:id="738" w:name="_Toc164229382"/>
      <w:bookmarkStart w:id="739" w:name="_Toc195842906"/>
      <w:bookmarkStart w:id="740" w:name="_Toc150774641"/>
      <w:bookmarkStart w:id="741" w:name="_Toc265228379"/>
      <w:bookmarkStart w:id="742" w:name="_Toc127151742"/>
      <w:bookmarkStart w:id="743" w:name="_Toc142311043"/>
      <w:bookmarkStart w:id="744" w:name="_Toc226965731"/>
      <w:bookmarkStart w:id="745" w:name="_Toc305158809"/>
      <w:bookmarkStart w:id="746" w:name="_Toc127161455"/>
      <w:bookmarkStart w:id="747" w:name="_Toc264969231"/>
      <w:bookmarkStart w:id="748" w:name="_Toc164229236"/>
      <w:bookmarkStart w:id="749" w:name="_Toc151193929"/>
      <w:bookmarkStart w:id="750" w:name="_Toc150480779"/>
      <w:bookmarkStart w:id="751" w:name="_Toc226337237"/>
      <w:bookmarkStart w:id="752" w:name="_Toc151190168"/>
      <w:bookmarkStart w:id="753" w:name="_Toc164608655"/>
      <w:bookmarkStart w:id="754" w:name="_Toc149720834"/>
      <w:bookmarkStart w:id="755" w:name="_Toc151193639"/>
      <w:bookmarkStart w:id="756" w:name="_Toc226965814"/>
      <w:bookmarkStart w:id="757" w:name="_Toc151193783"/>
      <w:bookmarkStart w:id="758" w:name="_Toc151193855"/>
      <w:bookmarkStart w:id="759" w:name="_Toc353825551"/>
      <w:bookmarkStart w:id="760" w:name="_Toc353873941"/>
      <w:bookmarkStart w:id="761" w:name="_Toc264969245"/>
      <w:bookmarkStart w:id="762" w:name="_Toc195842920"/>
      <w:bookmarkStart w:id="763" w:name="_Toc127151555"/>
      <w:bookmarkStart w:id="764" w:name="_Toc226337251"/>
      <w:bookmarkStart w:id="765" w:name="_Toc305158897"/>
      <w:bookmarkStart w:id="766" w:name="_Toc353825545"/>
      <w:bookmarkStart w:id="767" w:name="_Toc265228393"/>
      <w:bookmarkStart w:id="768" w:name="_Toc353873665"/>
      <w:bookmarkStart w:id="769" w:name="_Toc150774760"/>
      <w:bookmarkStart w:id="770" w:name="_Toc142311057"/>
      <w:bookmarkStart w:id="771" w:name="_Toc150480793"/>
      <w:bookmarkStart w:id="772" w:name="_Toc226965828"/>
      <w:bookmarkStart w:id="773" w:name="_Toc353873935"/>
      <w:bookmarkStart w:id="774" w:name="_Toc305158823"/>
      <w:r>
        <w:rPr>
          <w:rFonts w:hint="eastAsia" w:ascii="宋体" w:hAnsi="宋体" w:eastAsia="宋体" w:cs="宋体"/>
          <w:color w:val="auto"/>
          <w:sz w:val="24"/>
          <w:highlight w:val="none"/>
        </w:rPr>
        <w:t>投标文件的符合性审查</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55D4474">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评标委员会对资格审查合格的投标人的投标文件进行符合性审查，以确定其是否满足招标文件的实质性要求。</w:t>
      </w:r>
      <w:bookmarkStart w:id="775" w:name="_Toc520356167"/>
    </w:p>
    <w:p w14:paraId="129FE127">
      <w:pPr>
        <w:pageBreakBefore w:val="0"/>
        <w:numPr>
          <w:ilvl w:val="1"/>
          <w:numId w:val="15"/>
        </w:numPr>
        <w:tabs>
          <w:tab w:val="left" w:pos="1080"/>
        </w:tabs>
        <w:wordWrap/>
        <w:topLinePunct w:val="0"/>
        <w:bidi w:val="0"/>
        <w:snapToGrid w:val="0"/>
        <w:spacing w:line="360" w:lineRule="auto"/>
        <w:ind w:left="1077" w:hanging="720"/>
        <w:rPr>
          <w:rFonts w:hint="eastAsia"/>
          <w:color w:val="auto"/>
          <w:highlight w:val="none"/>
        </w:rPr>
      </w:pPr>
      <w:r>
        <w:rPr>
          <w:rFonts w:hint="eastAsia" w:ascii="宋体" w:hAnsi="宋体" w:eastAsia="宋体" w:cs="宋体"/>
          <w:color w:val="auto"/>
          <w:sz w:val="24"/>
          <w:highlight w:val="none"/>
        </w:rPr>
        <w:t>评标委员会根据《符合性审查要求》中规定的审查因素和审查内容，对投标人的投标文件是否实质上响应招标文件进行符合性审查，并形成符合性审查评审结果。投标人</w:t>
      </w:r>
      <w:r>
        <w:rPr>
          <w:rFonts w:hint="eastAsia" w:ascii="宋体" w:hAnsi="宋体" w:eastAsia="宋体" w:cs="宋体"/>
          <w:color w:val="auto"/>
          <w:sz w:val="24"/>
          <w:highlight w:val="none"/>
          <w:lang w:val="en-US" w:eastAsia="zh-CN"/>
        </w:rPr>
        <w:t>的投标文件中</w:t>
      </w:r>
      <w:r>
        <w:rPr>
          <w:rFonts w:hint="eastAsia" w:ascii="宋体" w:hAnsi="宋体" w:eastAsia="宋体" w:cs="宋体"/>
          <w:color w:val="auto"/>
          <w:sz w:val="24"/>
          <w:highlight w:val="none"/>
        </w:rPr>
        <w:t>有任何一项不符合《符合性审查要求》</w:t>
      </w:r>
      <w:bookmarkEnd w:id="775"/>
      <w:r>
        <w:rPr>
          <w:rFonts w:hint="eastAsia" w:ascii="宋体" w:hAnsi="宋体" w:eastAsia="宋体" w:cs="宋体"/>
          <w:color w:val="auto"/>
          <w:sz w:val="24"/>
          <w:highlight w:val="none"/>
        </w:rPr>
        <w:t>要求的，</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1F39A56">
      <w:pPr>
        <w:pStyle w:val="45"/>
        <w:rPr>
          <w:rFonts w:hint="eastAsia"/>
          <w:color w:val="auto"/>
          <w:highlight w:val="none"/>
        </w:rPr>
      </w:pPr>
    </w:p>
    <w:p w14:paraId="7646EA4B">
      <w:pPr>
        <w:pageBreakBefore w:val="0"/>
        <w:tabs>
          <w:tab w:val="left" w:pos="900"/>
          <w:tab w:val="left" w:pos="1080"/>
          <w:tab w:val="left" w:pos="1589"/>
        </w:tabs>
        <w:wordWrap/>
        <w:topLinePunct w:val="0"/>
        <w:bidi w:val="0"/>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4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21"/>
        <w:gridCol w:w="7140"/>
      </w:tblGrid>
      <w:tr w14:paraId="2B73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0" w:type="dxa"/>
            <w:vAlign w:val="center"/>
          </w:tcPr>
          <w:p w14:paraId="5D265E6B">
            <w:pPr>
              <w:pageBreakBefore w:val="0"/>
              <w:widowControl/>
              <w:wordWrap/>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921" w:type="dxa"/>
            <w:vAlign w:val="center"/>
          </w:tcPr>
          <w:p w14:paraId="209B17CD">
            <w:pPr>
              <w:pageBreakBefore w:val="0"/>
              <w:widowControl/>
              <w:wordWrap/>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7140" w:type="dxa"/>
            <w:vAlign w:val="center"/>
          </w:tcPr>
          <w:p w14:paraId="3B32ACCE">
            <w:pPr>
              <w:pageBreakBefore w:val="0"/>
              <w:widowControl/>
              <w:wordWrap/>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审查内容</w:t>
            </w:r>
          </w:p>
        </w:tc>
      </w:tr>
      <w:tr w14:paraId="5A38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9056D65">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21" w:type="dxa"/>
            <w:vAlign w:val="center"/>
          </w:tcPr>
          <w:p w14:paraId="0346ADC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授权委托书</w:t>
            </w:r>
          </w:p>
        </w:tc>
        <w:tc>
          <w:tcPr>
            <w:tcW w:w="7140" w:type="dxa"/>
            <w:vAlign w:val="center"/>
          </w:tcPr>
          <w:p w14:paraId="748B3AAE">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按招标文件要求提供授权委托书；</w:t>
            </w:r>
          </w:p>
        </w:tc>
      </w:tr>
      <w:tr w14:paraId="751E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419B5B6">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21" w:type="dxa"/>
            <w:vAlign w:val="center"/>
          </w:tcPr>
          <w:p w14:paraId="535953B4">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投标完整性</w:t>
            </w:r>
          </w:p>
        </w:tc>
        <w:tc>
          <w:tcPr>
            <w:tcW w:w="7140" w:type="dxa"/>
            <w:vAlign w:val="center"/>
          </w:tcPr>
          <w:p w14:paraId="0F0D3BF6">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未将一个采购包中的内容拆开投标；</w:t>
            </w:r>
          </w:p>
        </w:tc>
      </w:tr>
      <w:tr w14:paraId="371D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25B8C6E">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921" w:type="dxa"/>
            <w:vAlign w:val="center"/>
          </w:tcPr>
          <w:p w14:paraId="053D6D85">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p>
        </w:tc>
        <w:tc>
          <w:tcPr>
            <w:tcW w:w="7140" w:type="dxa"/>
            <w:vAlign w:val="center"/>
          </w:tcPr>
          <w:p w14:paraId="032A213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投标报价未</w:t>
            </w:r>
            <w:r>
              <w:rPr>
                <w:rFonts w:hint="eastAsia" w:ascii="宋体" w:hAnsi="宋体" w:eastAsia="宋体" w:cs="宋体"/>
                <w:color w:val="auto"/>
                <w:sz w:val="24"/>
                <w:highlight w:val="none"/>
              </w:rPr>
              <w:t>超过招标文件中规定的项目/采购包预算金额或者项目/采购包最高限价</w:t>
            </w:r>
            <w:r>
              <w:rPr>
                <w:rFonts w:hint="eastAsia" w:ascii="宋体" w:hAnsi="宋体" w:eastAsia="宋体" w:cs="宋体"/>
                <w:color w:val="auto"/>
                <w:kern w:val="0"/>
                <w:sz w:val="24"/>
                <w:highlight w:val="none"/>
              </w:rPr>
              <w:t>；</w:t>
            </w:r>
          </w:p>
        </w:tc>
      </w:tr>
      <w:tr w14:paraId="5D39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59B033A">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921" w:type="dxa"/>
            <w:vAlign w:val="center"/>
          </w:tcPr>
          <w:p w14:paraId="59D81CAB">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报价唯一性</w:t>
            </w:r>
          </w:p>
        </w:tc>
        <w:tc>
          <w:tcPr>
            <w:tcW w:w="7140" w:type="dxa"/>
            <w:vAlign w:val="center"/>
          </w:tcPr>
          <w:p w14:paraId="1B4DC67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投标文件未</w:t>
            </w:r>
            <w:r>
              <w:rPr>
                <w:rFonts w:hint="eastAsia" w:ascii="宋体" w:hAnsi="宋体" w:eastAsia="宋体" w:cs="宋体"/>
                <w:color w:val="auto"/>
                <w:sz w:val="24"/>
                <w:highlight w:val="none"/>
              </w:rPr>
              <w:t>出现可选择性或可调整的报价（招标文件另有规定的除外）</w:t>
            </w:r>
            <w:r>
              <w:rPr>
                <w:rFonts w:hint="eastAsia" w:ascii="宋体" w:hAnsi="宋体" w:eastAsia="宋体" w:cs="宋体"/>
                <w:color w:val="auto"/>
                <w:kern w:val="0"/>
                <w:sz w:val="24"/>
                <w:highlight w:val="none"/>
              </w:rPr>
              <w:t>；</w:t>
            </w:r>
          </w:p>
        </w:tc>
      </w:tr>
      <w:tr w14:paraId="536E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0" w:type="dxa"/>
            <w:vAlign w:val="center"/>
          </w:tcPr>
          <w:p w14:paraId="7C0F1B36">
            <w:pPr>
              <w:pageBreakBefore w:val="0"/>
              <w:widowControl/>
              <w:wordWrap/>
              <w:topLinePunct w:val="0"/>
              <w:bidi w:val="0"/>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921" w:type="dxa"/>
            <w:vAlign w:val="center"/>
          </w:tcPr>
          <w:p w14:paraId="28AB2D5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投标有效期</w:t>
            </w:r>
          </w:p>
        </w:tc>
        <w:tc>
          <w:tcPr>
            <w:tcW w:w="7140" w:type="dxa"/>
            <w:vAlign w:val="center"/>
          </w:tcPr>
          <w:p w14:paraId="46E35C70">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投标文件中承诺的投标有效期满足招标文件中载明的投标有效期的；</w:t>
            </w:r>
          </w:p>
        </w:tc>
      </w:tr>
      <w:tr w14:paraId="6F19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32F331F">
            <w:pPr>
              <w:pageBreakBefore w:val="0"/>
              <w:widowControl/>
              <w:wordWrap/>
              <w:topLinePunct w:val="0"/>
              <w:bidi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921" w:type="dxa"/>
            <w:vAlign w:val="center"/>
          </w:tcPr>
          <w:p w14:paraId="1AF21460">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实质性格式</w:t>
            </w:r>
          </w:p>
        </w:tc>
        <w:tc>
          <w:tcPr>
            <w:tcW w:w="7140" w:type="dxa"/>
            <w:vAlign w:val="center"/>
          </w:tcPr>
          <w:p w14:paraId="3AB0AA7E">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标记为“实质性格式” 的文件均按招标文件要求提供且签署、盖章的；</w:t>
            </w:r>
          </w:p>
        </w:tc>
      </w:tr>
      <w:tr w14:paraId="66E6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34E54F9">
            <w:pPr>
              <w:pageBreakBefore w:val="0"/>
              <w:widowControl/>
              <w:wordWrap/>
              <w:topLinePunct w:val="0"/>
              <w:bidi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1921" w:type="dxa"/>
            <w:vAlign w:val="center"/>
          </w:tcPr>
          <w:p w14:paraId="4C4E5287">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★号条款响应</w:t>
            </w:r>
          </w:p>
        </w:tc>
        <w:tc>
          <w:tcPr>
            <w:tcW w:w="7140" w:type="dxa"/>
            <w:vAlign w:val="center"/>
          </w:tcPr>
          <w:p w14:paraId="097A89B9">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投标文件满足招标文件第五章《采购需求》中★号条款要求的。</w:t>
            </w:r>
          </w:p>
        </w:tc>
      </w:tr>
      <w:tr w14:paraId="25A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shd w:val="clear" w:color="auto" w:fill="auto"/>
            <w:vAlign w:val="top"/>
          </w:tcPr>
          <w:p w14:paraId="6B4DCAB4">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921" w:type="dxa"/>
            <w:shd w:val="clear" w:color="auto" w:fill="auto"/>
            <w:vAlign w:val="top"/>
          </w:tcPr>
          <w:p w14:paraId="594F85F9">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拟分包情况说 明（如有）</w:t>
            </w:r>
          </w:p>
        </w:tc>
        <w:tc>
          <w:tcPr>
            <w:tcW w:w="7140" w:type="dxa"/>
            <w:shd w:val="clear" w:color="auto" w:fill="auto"/>
            <w:vAlign w:val="top"/>
          </w:tcPr>
          <w:p w14:paraId="5765C13C">
            <w:pPr>
              <w:pageBreakBefore w:val="0"/>
              <w:widowControl/>
              <w:wordWrap/>
              <w:topLinePunct w:val="0"/>
              <w:bidi w:val="0"/>
              <w:spacing w:line="360" w:lineRule="auto"/>
              <w:jc w:val="left"/>
              <w:rPr>
                <w:rFonts w:hint="eastAsia" w:ascii="宋体" w:hAnsi="宋体" w:cs="宋体"/>
                <w:color w:val="auto"/>
                <w:kern w:val="0"/>
                <w:sz w:val="24"/>
                <w:highlight w:val="none"/>
                <w:lang w:val="en-US" w:eastAsia="en-US"/>
              </w:rPr>
            </w:pPr>
            <w:r>
              <w:rPr>
                <w:rFonts w:hint="eastAsia" w:ascii="宋体" w:hAnsi="宋体" w:cs="宋体"/>
                <w:color w:val="auto"/>
                <w:kern w:val="0"/>
                <w:sz w:val="24"/>
                <w:highlight w:val="none"/>
                <w:lang w:val="en-US" w:eastAsia="zh-CN"/>
              </w:rPr>
              <w:t>如本项目（包）非因“落实政府采购政策”亦允许分包，且供应商拟进行分包时，必须提供；否则无须提供；</w:t>
            </w:r>
          </w:p>
        </w:tc>
      </w:tr>
      <w:tr w14:paraId="6EF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shd w:val="clear" w:color="auto" w:fill="auto"/>
            <w:vAlign w:val="top"/>
          </w:tcPr>
          <w:p w14:paraId="47F729D6">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p>
          <w:p w14:paraId="40EA1C15">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p>
          <w:p w14:paraId="30BC2593">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1921" w:type="dxa"/>
            <w:shd w:val="clear" w:color="auto" w:fill="auto"/>
            <w:vAlign w:val="top"/>
          </w:tcPr>
          <w:p w14:paraId="66C8CDE8">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p>
          <w:p w14:paraId="0C55BBC5">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分包其他要求 （如有）</w:t>
            </w:r>
          </w:p>
        </w:tc>
        <w:tc>
          <w:tcPr>
            <w:tcW w:w="7140" w:type="dxa"/>
            <w:shd w:val="clear" w:color="auto" w:fill="auto"/>
            <w:vAlign w:val="top"/>
          </w:tcPr>
          <w:p w14:paraId="1FCDD652">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分包履行的内容、金额或者比例未超出《投标人须知资料表》中的规定；</w:t>
            </w:r>
          </w:p>
          <w:p w14:paraId="2E7E8B8F">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分包承担主体具备《投标人须知资料表》载明的资质条件且提供了资质证书电子件（如有）；</w:t>
            </w:r>
          </w:p>
        </w:tc>
      </w:tr>
      <w:tr w14:paraId="7919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512D9058">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921" w:type="dxa"/>
            <w:vAlign w:val="center"/>
          </w:tcPr>
          <w:p w14:paraId="7ECD37E1">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报价的修正（如有）</w:t>
            </w:r>
          </w:p>
        </w:tc>
        <w:tc>
          <w:tcPr>
            <w:tcW w:w="7140" w:type="dxa"/>
            <w:vAlign w:val="center"/>
          </w:tcPr>
          <w:p w14:paraId="737A89D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不涉及报价修正，或投标文件报价出现前后不一致时，投标人对修正后的报价予以确认；（如有）</w:t>
            </w:r>
          </w:p>
        </w:tc>
      </w:tr>
      <w:tr w14:paraId="7611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1BFD46AD">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921" w:type="dxa"/>
            <w:vAlign w:val="center"/>
          </w:tcPr>
          <w:p w14:paraId="04EB837D">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报价合理性</w:t>
            </w:r>
          </w:p>
        </w:tc>
        <w:tc>
          <w:tcPr>
            <w:tcW w:w="7140" w:type="dxa"/>
            <w:vAlign w:val="center"/>
          </w:tcPr>
          <w:p w14:paraId="75C8327D">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报价合理，或</w:t>
            </w:r>
            <w:r>
              <w:rPr>
                <w:rFonts w:hint="eastAsia" w:ascii="宋体" w:hAnsi="宋体" w:eastAsia="宋体" w:cs="宋体"/>
                <w:color w:val="auto"/>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4"/>
                <w:highlight w:val="none"/>
              </w:rPr>
              <w:t>；</w:t>
            </w:r>
          </w:p>
        </w:tc>
      </w:tr>
      <w:tr w14:paraId="0CBA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4C247145">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1921" w:type="dxa"/>
            <w:vAlign w:val="center"/>
          </w:tcPr>
          <w:p w14:paraId="6BE1AEE5">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进口产品（如有）</w:t>
            </w:r>
          </w:p>
        </w:tc>
        <w:tc>
          <w:tcPr>
            <w:tcW w:w="7140" w:type="dxa"/>
            <w:vAlign w:val="center"/>
          </w:tcPr>
          <w:p w14:paraId="4E43B75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招标文件不接受进口产品投标的内容时，投标人所投产品不含进口产品；</w:t>
            </w:r>
          </w:p>
        </w:tc>
      </w:tr>
      <w:tr w14:paraId="6008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4BB734E2">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1921" w:type="dxa"/>
            <w:vAlign w:val="center"/>
          </w:tcPr>
          <w:p w14:paraId="08C22338">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国家有关部门对投标人的投标产品有强制性规定或要求的</w:t>
            </w:r>
          </w:p>
        </w:tc>
        <w:tc>
          <w:tcPr>
            <w:tcW w:w="7140" w:type="dxa"/>
            <w:vAlign w:val="center"/>
          </w:tcPr>
          <w:p w14:paraId="6C690C6F">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国家有关部门对投标人的投标产品有强制性规定或要求的（如相应技术、安全、节能和环保等），投标人的投标产品应符合相应规定或要求，并提供证明文件电子件：</w:t>
            </w:r>
          </w:p>
          <w:p w14:paraId="3237F8C2">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1）采购的产品若属于《节能产品政府采购品目清单》范围中政府强制采购产品，则投标人所报产品必须获得国家确定的认证机构出具的、处于有效期之内的节能产品认证证书；</w:t>
            </w:r>
          </w:p>
          <w:p w14:paraId="09B872CF">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7705218">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3）项目中涉及涂料、胶黏剂、油墨、清洗剂等挥发性有机物 产品，且属于强制性标准的，供应商应执行符合本市和国家的VOCs含量限制标准。</w:t>
            </w:r>
          </w:p>
        </w:tc>
      </w:tr>
      <w:tr w14:paraId="0DDA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150AB3A">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1921" w:type="dxa"/>
            <w:vAlign w:val="center"/>
          </w:tcPr>
          <w:p w14:paraId="05FD3A86">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公平竞争</w:t>
            </w:r>
          </w:p>
        </w:tc>
        <w:tc>
          <w:tcPr>
            <w:tcW w:w="7140" w:type="dxa"/>
            <w:vAlign w:val="center"/>
          </w:tcPr>
          <w:p w14:paraId="75C00114">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投标人遵循公平竞争的原则，不存在恶意串通，妨碍其他投标人的竞争行为，不存在损害采购人或者其他投标人的合法权益情形的；</w:t>
            </w:r>
          </w:p>
        </w:tc>
      </w:tr>
      <w:tr w14:paraId="6C9C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07F63DCE">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1921" w:type="dxa"/>
            <w:vAlign w:val="center"/>
          </w:tcPr>
          <w:p w14:paraId="68C63C12">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串通投标</w:t>
            </w:r>
          </w:p>
        </w:tc>
        <w:tc>
          <w:tcPr>
            <w:tcW w:w="7140" w:type="dxa"/>
            <w:vAlign w:val="center"/>
          </w:tcPr>
          <w:p w14:paraId="45D4586E">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不存在《</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5D1F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A06F4C3">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1921" w:type="dxa"/>
            <w:vAlign w:val="center"/>
          </w:tcPr>
          <w:p w14:paraId="5DE08C04">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附加条件</w:t>
            </w:r>
          </w:p>
        </w:tc>
        <w:tc>
          <w:tcPr>
            <w:tcW w:w="7140" w:type="dxa"/>
            <w:vAlign w:val="center"/>
          </w:tcPr>
          <w:p w14:paraId="41C1414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投标文件未含有采购人不能接受的附加条件的；</w:t>
            </w:r>
          </w:p>
        </w:tc>
      </w:tr>
      <w:tr w14:paraId="273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0524238D">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1921" w:type="dxa"/>
            <w:vAlign w:val="center"/>
          </w:tcPr>
          <w:p w14:paraId="07D2D1BF">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其他无效情形</w:t>
            </w:r>
          </w:p>
        </w:tc>
        <w:tc>
          <w:tcPr>
            <w:tcW w:w="7140" w:type="dxa"/>
            <w:vAlign w:val="center"/>
          </w:tcPr>
          <w:p w14:paraId="17689630">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投标人、投标文件不存在不符合法律、法规和招标文件规定的其他无效情形。</w:t>
            </w:r>
          </w:p>
        </w:tc>
      </w:tr>
    </w:tbl>
    <w:p w14:paraId="3998E11B">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投标文件有关事项的澄清或者说明</w:t>
      </w:r>
    </w:p>
    <w:p w14:paraId="20872850">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50A4B1E">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color w:val="auto"/>
          <w:sz w:val="24"/>
          <w:highlight w:val="none"/>
        </w:rPr>
        <w:t>无效投标处理</w:t>
      </w:r>
      <w:r>
        <w:rPr>
          <w:rFonts w:hint="eastAsia" w:ascii="宋体" w:hAnsi="宋体" w:eastAsia="宋体" w:cs="宋体"/>
          <w:color w:val="auto"/>
          <w:sz w:val="24"/>
          <w:highlight w:val="none"/>
        </w:rPr>
        <w:t>。</w:t>
      </w:r>
    </w:p>
    <w:p w14:paraId="5B403EEF">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08C28B3">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4C2FD1CB">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招标文件对于报价修正是否另有规定：</w:t>
      </w:r>
    </w:p>
    <w:p w14:paraId="2C78C69C">
      <w:pPr>
        <w:pageBreakBefore w:val="0"/>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□有，具体规定为：______________</w:t>
      </w:r>
    </w:p>
    <w:p w14:paraId="6ACC1555">
      <w:pPr>
        <w:pageBreakBefore w:val="0"/>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■无，按下述2.4.2-2.4.</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项规定修正。</w:t>
      </w:r>
    </w:p>
    <w:p w14:paraId="7C549362">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单独递交的开标一览表（报价表）与投标文件中开标一览表（报价表）内容不一致的，以单独递交的开标一览表（报价表）为准；</w:t>
      </w:r>
    </w:p>
    <w:p w14:paraId="729BBCDB">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投标文件中开标一览表（报价表）内容与投标文件中相应内容不一致的，以开标一览表（报价表）为准；</w:t>
      </w:r>
    </w:p>
    <w:p w14:paraId="7DD10940">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大写金额和小写金额不一致的，以大写金额为准；</w:t>
      </w:r>
    </w:p>
    <w:p w14:paraId="343E3345">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单价金额小数点或者百分比有明显错位的，以开标一览表的总价为准，并修改单价；</w:t>
      </w:r>
    </w:p>
    <w:p w14:paraId="75E7BEA0">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总价金额与按单价汇总金额不一致的，以单价金额计算结果为准。</w:t>
      </w:r>
    </w:p>
    <w:p w14:paraId="7C8C54D3">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w:t>
      </w:r>
    </w:p>
    <w:p w14:paraId="55A58342">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修正后的报价经投标人书面确认后产生约束力，投标人不确认的，其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67806EF">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政策的价格调整：只有符合第二章《投标人须知》5.2条规定情形的，可以享受中小企业扶持政策，用扣除后的价格参加评审；否则，评标时价格不予扣除。</w:t>
      </w:r>
    </w:p>
    <w:p w14:paraId="505ACB27">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lang w:val="en-US" w:eastAsia="zh-CN"/>
        </w:rPr>
        <w:t xml:space="preserve"> 的</w:t>
      </w:r>
      <w:r>
        <w:rPr>
          <w:rFonts w:hint="eastAsia" w:ascii="宋体" w:hAnsi="宋体" w:eastAsia="宋体" w:cs="宋体"/>
          <w:color w:val="auto"/>
          <w:sz w:val="24"/>
          <w:highlight w:val="none"/>
        </w:rPr>
        <w:t>扣除，用扣除后的价格参加评审。</w:t>
      </w:r>
    </w:p>
    <w:p w14:paraId="037BFBFA">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10% </w:t>
      </w:r>
      <w:r>
        <w:rPr>
          <w:rFonts w:hint="eastAsia" w:ascii="宋体" w:hAnsi="宋体" w:eastAsia="宋体" w:cs="宋体"/>
          <w:color w:val="auto"/>
          <w:sz w:val="24"/>
          <w:highlight w:val="none"/>
          <w:u w:val="single"/>
          <w:lang w:val="en-US" w:eastAsia="zh-CN"/>
        </w:rPr>
        <w:t>的</w:t>
      </w:r>
      <w:r>
        <w:rPr>
          <w:rFonts w:hint="eastAsia" w:ascii="宋体" w:hAnsi="宋体" w:eastAsia="宋体" w:cs="宋体"/>
          <w:color w:val="auto"/>
          <w:sz w:val="24"/>
          <w:highlight w:val="none"/>
        </w:rPr>
        <w:t>扣除，用扣除后的价格参加评审。</w:t>
      </w:r>
    </w:p>
    <w:p w14:paraId="5CD33818">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14:paraId="749560D6">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价格扣除比例对小型企业和微型企业同等对待，不作区分。</w:t>
      </w:r>
    </w:p>
    <w:p w14:paraId="5415FE12">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活动，应当按照招标文件给定的格式出具《中小企业声明函》，否则不得享受相关中小企业扶持政策。</w:t>
      </w:r>
    </w:p>
    <w:p w14:paraId="61D4D247">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监狱企业提供了由省级以上监狱管理局（北京市含教育矫治局）、戒毒管理局（含新疆生产建设兵团）出具的属于监狱企业的证明文件的，视同小微企业。</w:t>
      </w:r>
    </w:p>
    <w:p w14:paraId="12BC253B">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残疾人福利性单位按招标文件要求提供了《残疾人福利性单位声明函》（见附件）的，视同小微企业。</w:t>
      </w:r>
    </w:p>
    <w:p w14:paraId="2BBA24EE">
      <w:pPr>
        <w:pageBreakBefore w:val="0"/>
        <w:numPr>
          <w:ilvl w:val="2"/>
          <w:numId w:val="15"/>
        </w:numPr>
        <w:tabs>
          <w:tab w:val="left" w:pos="1080"/>
          <w:tab w:val="left" w:pos="1589"/>
          <w:tab w:val="left" w:pos="2014"/>
          <w:tab w:val="clear" w:pos="1980"/>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若投标人同时属于小型或微型企业、监狱企业、残疾人福利性单位中的两种及以上，将不重复享受小微企业价格扣减的优惠政策。</w:t>
      </w:r>
    </w:p>
    <w:p w14:paraId="4B3CC39C">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投标文件的比较和评价</w:t>
      </w:r>
      <w:bookmarkEnd w:id="759"/>
      <w:bookmarkEnd w:id="760"/>
    </w:p>
    <w:p w14:paraId="62BAB322">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F0E45ED">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评标方法和评标标准</w:t>
      </w:r>
    </w:p>
    <w:p w14:paraId="55D4606B">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本项目采用的评标方法为：</w:t>
      </w:r>
    </w:p>
    <w:p w14:paraId="0E4C20D9">
      <w:pPr>
        <w:pageBreakBefore w:val="0"/>
        <w:tabs>
          <w:tab w:val="left" w:pos="900"/>
          <w:tab w:val="left" w:pos="1589"/>
          <w:tab w:val="left" w:pos="1701"/>
        </w:tabs>
        <w:wordWrap/>
        <w:topLinePunct w:val="0"/>
        <w:bidi w:val="0"/>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99309BA">
      <w:pPr>
        <w:pageBreakBefore w:val="0"/>
        <w:tabs>
          <w:tab w:val="left" w:pos="900"/>
          <w:tab w:val="left" w:pos="1589"/>
          <w:tab w:val="left" w:pos="1701"/>
        </w:tabs>
        <w:wordWrap/>
        <w:topLinePunct w:val="0"/>
        <w:bidi w:val="0"/>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□最低评标价法，指投标文件满足招标文件全部实质性要求，且投标报价最低的投标人为中标候选人的评标方法。</w:t>
      </w:r>
    </w:p>
    <w:p w14:paraId="039EC296">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7B17C84">
      <w:pPr>
        <w:pageBreakBefore w:val="0"/>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□随机抽取</w:t>
      </w:r>
    </w:p>
    <w:p w14:paraId="5545DA1B">
      <w:pPr>
        <w:pageBreakBefore w:val="0"/>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□其他方式，具体要求：_____</w:t>
      </w:r>
    </w:p>
    <w:p w14:paraId="4339714C">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eastAsia="宋体" w:cs="宋体"/>
          <w:color w:val="auto"/>
          <w:sz w:val="24"/>
          <w:highlight w:val="none"/>
          <w:u w:val="single"/>
        </w:rPr>
        <w:t>在评分表中加分</w:t>
      </w:r>
      <w:r>
        <w:rPr>
          <w:rFonts w:hint="eastAsia" w:ascii="宋体" w:hAnsi="宋体" w:eastAsia="宋体" w:cs="宋体"/>
          <w:color w:val="auto"/>
          <w:sz w:val="24"/>
          <w:highlight w:val="none"/>
        </w:rPr>
        <w:t>。</w:t>
      </w:r>
    </w:p>
    <w:p w14:paraId="69C9F6E3">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w:t>
      </w:r>
      <w:bookmarkStart w:id="776" w:name="_Ref467307010"/>
      <w:bookmarkStart w:id="777" w:name="_Toc151190173"/>
      <w:bookmarkStart w:id="778" w:name="_Toc150509297"/>
      <w:bookmarkStart w:id="779" w:name="_Toc151193860"/>
      <w:bookmarkStart w:id="780" w:name="_Toc164608815"/>
      <w:bookmarkStart w:id="781" w:name="_Toc151193788"/>
      <w:bookmarkStart w:id="782" w:name="_Toc150480784"/>
      <w:bookmarkStart w:id="783" w:name="_Toc127161460"/>
      <w:bookmarkStart w:id="784" w:name="_Toc164229241"/>
      <w:bookmarkStart w:id="785" w:name="_Toc150774646"/>
      <w:bookmarkStart w:id="786" w:name="_Toc226309790"/>
      <w:bookmarkStart w:id="787" w:name="_Toc226965819"/>
      <w:bookmarkStart w:id="788" w:name="_Toc164229387"/>
      <w:bookmarkStart w:id="789" w:name="_Toc195842911"/>
      <w:bookmarkStart w:id="790" w:name="_Toc305158888"/>
      <w:bookmarkStart w:id="791" w:name="_Toc264969236"/>
      <w:bookmarkStart w:id="792" w:name="_Toc151193644"/>
      <w:bookmarkStart w:id="793" w:name="_Toc164608660"/>
      <w:bookmarkStart w:id="794" w:name="_Toc149720839"/>
      <w:bookmarkStart w:id="795" w:name="_Toc127151546"/>
      <w:bookmarkStart w:id="796" w:name="_Toc226337242"/>
      <w:bookmarkStart w:id="797" w:name="_Toc164351640"/>
      <w:bookmarkStart w:id="798" w:name="_Toc226965736"/>
      <w:bookmarkStart w:id="799" w:name="_Toc305158814"/>
      <w:bookmarkStart w:id="800" w:name="_Toc142311048"/>
      <w:bookmarkStart w:id="801" w:name="_Toc265228384"/>
      <w:bookmarkStart w:id="802" w:name="_Toc520356170"/>
      <w:bookmarkStart w:id="803" w:name="_Toc150774751"/>
      <w:bookmarkStart w:id="804" w:name="_Toc151193934"/>
      <w:bookmarkStart w:id="805" w:name="_Toc127151747"/>
      <w:bookmarkStart w:id="806" w:name="_Toc151193716"/>
      <w:r>
        <w:rPr>
          <w:rFonts w:hint="eastAsia" w:ascii="宋体" w:hAnsi="宋体" w:eastAsia="宋体" w:cs="宋体"/>
          <w:color w:val="auto"/>
          <w:sz w:val="24"/>
          <w:highlight w:val="none"/>
        </w:rPr>
        <w:t>中标候选人名单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31008617">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11A1106">
      <w:pPr>
        <w:pStyle w:val="23"/>
        <w:pageBreakBefore w:val="0"/>
        <w:tabs>
          <w:tab w:val="left" w:pos="900"/>
          <w:tab w:val="left" w:pos="2127"/>
        </w:tabs>
        <w:wordWrap/>
        <w:topLinePunct w:val="0"/>
        <w:bidi w:val="0"/>
        <w:adjustRightInd w:val="0"/>
        <w:snapToGrid w:val="0"/>
        <w:spacing w:line="360" w:lineRule="auto"/>
        <w:ind w:left="993" w:firstLine="136" w:firstLineChars="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w:t>
      </w:r>
    </w:p>
    <w:p w14:paraId="1025AF61">
      <w:pPr>
        <w:pStyle w:val="23"/>
        <w:pageBreakBefore w:val="0"/>
        <w:tabs>
          <w:tab w:val="left" w:pos="900"/>
          <w:tab w:val="left" w:pos="2127"/>
        </w:tabs>
        <w:wordWrap/>
        <w:topLinePunct w:val="0"/>
        <w:bidi w:val="0"/>
        <w:adjustRightInd w:val="0"/>
        <w:snapToGrid w:val="0"/>
        <w:spacing w:line="360" w:lineRule="auto"/>
        <w:ind w:left="993" w:firstLine="136" w:firstLineChars="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其他方式，具体要求：</w:t>
      </w:r>
      <w:r>
        <w:rPr>
          <w:rFonts w:hint="eastAsia" w:ascii="宋体" w:hAnsi="宋体" w:eastAsia="宋体" w:cs="宋体"/>
          <w:color w:val="auto"/>
          <w:sz w:val="24"/>
          <w:szCs w:val="24"/>
          <w:highlight w:val="none"/>
          <w:u w:val="single"/>
        </w:rPr>
        <w:t>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31C94456">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10966DF">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0E2B852E">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评标委员会要对评分汇总情况进行复核，特别是对排名第一的、报价最低的、投标或响应文件被认定为无效的情形进行重点复核。</w:t>
      </w:r>
    </w:p>
    <w:p w14:paraId="256F10EB">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评标委员会将根据各投标人的评标排序，依次推荐本项目（各采购包）的中标候选人，起草并签署评标报告。本项目（各采购包）评标委员会共（各）推荐</w:t>
      </w:r>
      <w:r>
        <w:rPr>
          <w:rFonts w:hint="eastAsia" w:ascii="宋体" w:hAnsi="宋体" w:eastAsia="宋体" w:cs="宋体"/>
          <w:color w:val="auto"/>
          <w:sz w:val="24"/>
          <w:highlight w:val="none"/>
          <w:u w:val="single"/>
          <w:lang w:val="en-US" w:eastAsia="zh-CN"/>
        </w:rPr>
        <w:t>三</w:t>
      </w:r>
      <w:r>
        <w:rPr>
          <w:rFonts w:hint="eastAsia" w:ascii="宋体" w:hAnsi="宋体" w:eastAsia="宋体" w:cs="宋体"/>
          <w:color w:val="auto"/>
          <w:sz w:val="24"/>
          <w:highlight w:val="none"/>
        </w:rPr>
        <w:t>名中标候选人。</w:t>
      </w:r>
    </w:p>
    <w:p w14:paraId="039EC469">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报告违法行为</w:t>
      </w:r>
    </w:p>
    <w:p w14:paraId="72C7B27A">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评标委员会在评标过程中发现投标人有行贿、提供虚假材料或者串通等违法行为时，应当及时向财政部门报告。</w:t>
      </w:r>
    </w:p>
    <w:p w14:paraId="792E5663">
      <w:pPr>
        <w:pStyle w:val="12"/>
        <w:rPr>
          <w:rFonts w:hint="eastAsia" w:ascii="宋体" w:hAnsi="宋体" w:eastAsia="宋体" w:cs="宋体"/>
          <w:color w:val="auto"/>
          <w:sz w:val="24"/>
          <w:highlight w:val="none"/>
          <w:lang w:eastAsia="zh-CN"/>
        </w:rPr>
      </w:pPr>
    </w:p>
    <w:p w14:paraId="17A4B481">
      <w:pPr>
        <w:pageBreakBefore w:val="0"/>
        <w:numPr>
          <w:ilvl w:val="0"/>
          <w:numId w:val="9"/>
        </w:numPr>
        <w:tabs>
          <w:tab w:val="left" w:pos="360"/>
          <w:tab w:val="left" w:pos="900"/>
        </w:tabs>
        <w:wordWrap/>
        <w:topLinePunct w:val="0"/>
        <w:bidi w:val="0"/>
        <w:snapToGrid w:val="0"/>
        <w:spacing w:line="360" w:lineRule="auto"/>
        <w:ind w:left="0" w:leftChars="0" w:firstLine="0" w:firstLineChars="0"/>
        <w:jc w:val="center"/>
        <w:outlineLvl w:val="1"/>
        <w:rPr>
          <w:rFonts w:hint="eastAsia"/>
          <w:color w:val="auto"/>
          <w:highlight w:val="none"/>
        </w:rPr>
      </w:pPr>
      <w:r>
        <w:rPr>
          <w:rFonts w:hint="eastAsia" w:ascii="宋体" w:hAnsi="宋体" w:eastAsia="宋体" w:cs="宋体"/>
          <w:b/>
          <w:color w:val="auto"/>
          <w:sz w:val="24"/>
          <w:highlight w:val="none"/>
        </w:rPr>
        <w:t>评标标准</w:t>
      </w:r>
    </w:p>
    <w:tbl>
      <w:tblPr>
        <w:tblStyle w:val="47"/>
        <w:tblpPr w:leftFromText="180" w:rightFromText="180" w:vertAnchor="text" w:horzAnchor="page" w:tblpX="1522" w:tblpY="468"/>
        <w:tblOverlap w:val="never"/>
        <w:tblW w:w="98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84"/>
        <w:gridCol w:w="1118"/>
        <w:gridCol w:w="7253"/>
      </w:tblGrid>
      <w:tr w14:paraId="1F16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468" w:type="dxa"/>
            <w:noWrap w:val="0"/>
            <w:vAlign w:val="center"/>
          </w:tcPr>
          <w:p w14:paraId="6F6F1BAD">
            <w:pPr>
              <w:jc w:val="center"/>
              <w:rPr>
                <w:rFonts w:ascii="宋体" w:hAnsi="宋体"/>
                <w:b/>
                <w:sz w:val="24"/>
                <w:szCs w:val="24"/>
                <w:highlight w:val="none"/>
              </w:rPr>
            </w:pPr>
            <w:r>
              <w:rPr>
                <w:rFonts w:hint="eastAsia" w:ascii="宋体" w:hAnsi="宋体"/>
                <w:b/>
                <w:sz w:val="24"/>
                <w:szCs w:val="24"/>
                <w:highlight w:val="none"/>
              </w:rPr>
              <w:t>序号</w:t>
            </w:r>
          </w:p>
        </w:tc>
        <w:tc>
          <w:tcPr>
            <w:tcW w:w="984" w:type="dxa"/>
            <w:noWrap w:val="0"/>
            <w:vAlign w:val="center"/>
          </w:tcPr>
          <w:p w14:paraId="1250DE38">
            <w:pPr>
              <w:jc w:val="center"/>
              <w:rPr>
                <w:rFonts w:ascii="宋体" w:hAnsi="宋体"/>
                <w:b/>
                <w:sz w:val="24"/>
                <w:szCs w:val="24"/>
                <w:highlight w:val="none"/>
              </w:rPr>
            </w:pPr>
            <w:r>
              <w:rPr>
                <w:rFonts w:hint="eastAsia" w:ascii="宋体" w:hAnsi="宋体"/>
                <w:b/>
                <w:sz w:val="24"/>
                <w:szCs w:val="24"/>
                <w:highlight w:val="none"/>
              </w:rPr>
              <w:t>评审</w:t>
            </w:r>
          </w:p>
          <w:p w14:paraId="121CC022">
            <w:pPr>
              <w:jc w:val="center"/>
              <w:rPr>
                <w:rFonts w:ascii="宋体" w:hAnsi="宋体"/>
                <w:b/>
                <w:sz w:val="24"/>
                <w:szCs w:val="24"/>
                <w:highlight w:val="none"/>
              </w:rPr>
            </w:pPr>
            <w:r>
              <w:rPr>
                <w:rFonts w:hint="eastAsia" w:ascii="宋体" w:hAnsi="宋体"/>
                <w:b/>
                <w:sz w:val="24"/>
                <w:szCs w:val="24"/>
                <w:highlight w:val="none"/>
              </w:rPr>
              <w:t>条款</w:t>
            </w:r>
          </w:p>
        </w:tc>
        <w:tc>
          <w:tcPr>
            <w:tcW w:w="1118" w:type="dxa"/>
            <w:noWrap w:val="0"/>
            <w:vAlign w:val="center"/>
          </w:tcPr>
          <w:p w14:paraId="771A6EF3">
            <w:pPr>
              <w:jc w:val="center"/>
              <w:rPr>
                <w:rFonts w:ascii="宋体" w:hAnsi="宋体"/>
                <w:b/>
                <w:sz w:val="24"/>
                <w:szCs w:val="24"/>
                <w:highlight w:val="none"/>
              </w:rPr>
            </w:pPr>
            <w:r>
              <w:rPr>
                <w:rFonts w:hint="eastAsia" w:ascii="宋体" w:hAnsi="宋体"/>
                <w:b/>
                <w:sz w:val="24"/>
                <w:szCs w:val="24"/>
                <w:highlight w:val="none"/>
              </w:rPr>
              <w:t>评审项</w:t>
            </w:r>
          </w:p>
        </w:tc>
        <w:tc>
          <w:tcPr>
            <w:tcW w:w="7253" w:type="dxa"/>
            <w:noWrap w:val="0"/>
            <w:vAlign w:val="center"/>
          </w:tcPr>
          <w:p w14:paraId="586432AA">
            <w:pPr>
              <w:jc w:val="center"/>
              <w:rPr>
                <w:rFonts w:ascii="宋体" w:hAnsi="宋体"/>
                <w:b/>
                <w:sz w:val="24"/>
                <w:szCs w:val="24"/>
                <w:highlight w:val="none"/>
              </w:rPr>
            </w:pPr>
            <w:r>
              <w:rPr>
                <w:rFonts w:hint="eastAsia" w:ascii="宋体" w:hAnsi="宋体"/>
                <w:b/>
                <w:sz w:val="24"/>
                <w:szCs w:val="24"/>
                <w:highlight w:val="none"/>
              </w:rPr>
              <w:t>评审细则</w:t>
            </w:r>
          </w:p>
        </w:tc>
      </w:tr>
      <w:tr w14:paraId="7F006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68" w:type="dxa"/>
            <w:noWrap w:val="0"/>
            <w:vAlign w:val="center"/>
          </w:tcPr>
          <w:p w14:paraId="5B726642">
            <w:pPr>
              <w:jc w:val="center"/>
              <w:rPr>
                <w:rFonts w:ascii="宋体" w:hAnsi="宋体"/>
                <w:b/>
                <w:sz w:val="24"/>
                <w:szCs w:val="24"/>
                <w:highlight w:val="none"/>
              </w:rPr>
            </w:pPr>
            <w:r>
              <w:rPr>
                <w:rFonts w:hint="eastAsia" w:ascii="宋体" w:hAnsi="宋体"/>
                <w:b/>
                <w:sz w:val="24"/>
                <w:szCs w:val="24"/>
                <w:highlight w:val="none"/>
              </w:rPr>
              <w:t>1</w:t>
            </w:r>
          </w:p>
        </w:tc>
        <w:tc>
          <w:tcPr>
            <w:tcW w:w="984" w:type="dxa"/>
            <w:noWrap w:val="0"/>
            <w:vAlign w:val="center"/>
          </w:tcPr>
          <w:p w14:paraId="244707D1">
            <w:pPr>
              <w:jc w:val="center"/>
              <w:rPr>
                <w:rFonts w:ascii="宋体" w:hAnsi="宋体"/>
                <w:sz w:val="24"/>
                <w:szCs w:val="24"/>
                <w:highlight w:val="none"/>
              </w:rPr>
            </w:pPr>
            <w:r>
              <w:rPr>
                <w:rFonts w:hint="eastAsia" w:ascii="宋体" w:hAnsi="宋体"/>
                <w:sz w:val="24"/>
                <w:szCs w:val="24"/>
                <w:highlight w:val="none"/>
              </w:rPr>
              <w:t>价格</w:t>
            </w:r>
          </w:p>
          <w:p w14:paraId="5CF53170">
            <w:pPr>
              <w:jc w:val="center"/>
              <w:rPr>
                <w:rFonts w:ascii="宋体" w:hAnsi="宋体"/>
                <w:sz w:val="24"/>
                <w:szCs w:val="24"/>
                <w:highlight w:val="none"/>
              </w:rPr>
            </w:pPr>
            <w:r>
              <w:rPr>
                <w:rFonts w:hint="eastAsia" w:ascii="宋体" w:hAnsi="宋体"/>
                <w:sz w:val="24"/>
                <w:szCs w:val="24"/>
                <w:highlight w:val="none"/>
              </w:rPr>
              <w:t>（10分）</w:t>
            </w:r>
          </w:p>
        </w:tc>
        <w:tc>
          <w:tcPr>
            <w:tcW w:w="1118" w:type="dxa"/>
            <w:noWrap w:val="0"/>
            <w:vAlign w:val="center"/>
          </w:tcPr>
          <w:p w14:paraId="5234C805">
            <w:pPr>
              <w:jc w:val="center"/>
              <w:rPr>
                <w:rFonts w:ascii="宋体" w:hAnsi="宋体"/>
                <w:sz w:val="24"/>
                <w:szCs w:val="24"/>
                <w:highlight w:val="none"/>
              </w:rPr>
            </w:pPr>
            <w:r>
              <w:rPr>
                <w:rFonts w:hint="eastAsia" w:ascii="宋体" w:hAnsi="宋体"/>
                <w:sz w:val="24"/>
                <w:szCs w:val="24"/>
                <w:highlight w:val="none"/>
              </w:rPr>
              <w:t>价格</w:t>
            </w:r>
          </w:p>
          <w:p w14:paraId="649276CC">
            <w:pPr>
              <w:jc w:val="center"/>
              <w:rPr>
                <w:rFonts w:ascii="宋体" w:hAnsi="宋体"/>
                <w:sz w:val="24"/>
                <w:szCs w:val="24"/>
                <w:highlight w:val="none"/>
              </w:rPr>
            </w:pPr>
            <w:r>
              <w:rPr>
                <w:rFonts w:hint="eastAsia" w:ascii="宋体" w:hAnsi="宋体"/>
                <w:sz w:val="24"/>
                <w:szCs w:val="24"/>
                <w:highlight w:val="none"/>
              </w:rPr>
              <w:t>（10分）</w:t>
            </w:r>
          </w:p>
        </w:tc>
        <w:tc>
          <w:tcPr>
            <w:tcW w:w="7253" w:type="dxa"/>
            <w:noWrap w:val="0"/>
            <w:vAlign w:val="center"/>
          </w:tcPr>
          <w:p w14:paraId="0D4E8302">
            <w:pPr>
              <w:jc w:val="left"/>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满足招标文件要求且投标价格最低 的投标报价为评标基准价，其价格分 为满分。其他投标人的价格分统一按 照下列公式计算：</w:t>
            </w:r>
          </w:p>
          <w:p w14:paraId="0641302D">
            <w:pPr>
              <w:jc w:val="left"/>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投标报价得分＝（评标基准价/投标 报价）×分值。 </w:t>
            </w:r>
          </w:p>
          <w:p w14:paraId="48539EB0">
            <w:pPr>
              <w:widowControl/>
              <w:jc w:val="left"/>
              <w:rPr>
                <w:rFonts w:hint="eastAsia" w:ascii="宋体" w:hAnsi="宋体" w:cs="宋体"/>
                <w:b/>
                <w:kern w:val="0"/>
                <w:sz w:val="24"/>
                <w:szCs w:val="24"/>
                <w:highlight w:val="none"/>
              </w:rPr>
            </w:pPr>
            <w:r>
              <w:rPr>
                <w:rFonts w:hint="eastAsia" w:ascii="宋体" w:hAnsi="宋体" w:cs="宋体"/>
                <w:b/>
                <w:kern w:val="0"/>
                <w:sz w:val="24"/>
                <w:szCs w:val="24"/>
                <w:highlight w:val="none"/>
              </w:rPr>
              <w:t>（注：1.实质性响应招标文件要求且最低评标价为评标基准价</w:t>
            </w:r>
          </w:p>
          <w:p w14:paraId="1A2DF9A0">
            <w:pPr>
              <w:ind w:firstLine="843" w:firstLineChars="350"/>
              <w:jc w:val="left"/>
              <w:rPr>
                <w:rFonts w:ascii="宋体" w:hAnsi="宋体"/>
                <w:sz w:val="24"/>
                <w:szCs w:val="24"/>
                <w:highlight w:val="none"/>
              </w:rPr>
            </w:pPr>
            <w:r>
              <w:rPr>
                <w:rFonts w:hint="eastAsia" w:ascii="宋体" w:hAnsi="宋体"/>
                <w:b/>
                <w:kern w:val="0"/>
                <w:sz w:val="24"/>
                <w:szCs w:val="24"/>
                <w:highlight w:val="none"/>
              </w:rPr>
              <w:t>2.投标人报价低于成本的除外。）</w:t>
            </w:r>
          </w:p>
        </w:tc>
      </w:tr>
      <w:tr w14:paraId="29EEB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8" w:hRule="atLeast"/>
        </w:trPr>
        <w:tc>
          <w:tcPr>
            <w:tcW w:w="468" w:type="dxa"/>
            <w:vMerge w:val="restart"/>
            <w:noWrap w:val="0"/>
            <w:vAlign w:val="center"/>
          </w:tcPr>
          <w:p w14:paraId="19F01413">
            <w:pPr>
              <w:jc w:val="center"/>
              <w:rPr>
                <w:rFonts w:ascii="宋体" w:hAnsi="宋体"/>
                <w:b/>
                <w:sz w:val="24"/>
                <w:szCs w:val="24"/>
                <w:highlight w:val="none"/>
              </w:rPr>
            </w:pPr>
            <w:r>
              <w:rPr>
                <w:rFonts w:hint="eastAsia" w:ascii="宋体" w:hAnsi="宋体"/>
                <w:b/>
                <w:sz w:val="24"/>
                <w:szCs w:val="24"/>
                <w:highlight w:val="none"/>
              </w:rPr>
              <w:t>2</w:t>
            </w:r>
          </w:p>
        </w:tc>
        <w:tc>
          <w:tcPr>
            <w:tcW w:w="984" w:type="dxa"/>
            <w:vMerge w:val="restart"/>
            <w:noWrap w:val="0"/>
            <w:vAlign w:val="center"/>
          </w:tcPr>
          <w:p w14:paraId="1B5AE889">
            <w:pPr>
              <w:widowControl/>
              <w:jc w:val="center"/>
              <w:rPr>
                <w:rFonts w:ascii="宋体" w:hAnsi="宋体"/>
                <w:sz w:val="24"/>
                <w:szCs w:val="24"/>
                <w:highlight w:val="none"/>
              </w:rPr>
            </w:pPr>
            <w:r>
              <w:rPr>
                <w:rFonts w:hint="eastAsia" w:ascii="宋体" w:hAnsi="宋体" w:eastAsia="宋体" w:cs="宋体"/>
                <w:color w:val="auto"/>
                <w:kern w:val="0"/>
                <w:sz w:val="24"/>
                <w:szCs w:val="24"/>
                <w:highlight w:val="none"/>
                <w:lang w:val="en-US" w:eastAsia="zh-CN"/>
              </w:rPr>
              <w:t>技术服务</w:t>
            </w:r>
          </w:p>
        </w:tc>
        <w:tc>
          <w:tcPr>
            <w:tcW w:w="1118" w:type="dxa"/>
            <w:noWrap w:val="0"/>
            <w:vAlign w:val="center"/>
          </w:tcPr>
          <w:p w14:paraId="59077172">
            <w:pPr>
              <w:widowControl/>
              <w:jc w:val="left"/>
              <w:rPr>
                <w:rFonts w:hint="eastAsia" w:ascii="宋体" w:hAnsi="宋体"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rPr>
              <w:t>项目服务特点、难点分析及承诺措施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5分</w:t>
            </w:r>
            <w:r>
              <w:rPr>
                <w:rFonts w:hint="eastAsia" w:ascii="宋体" w:hAnsi="宋体" w:eastAsia="宋体" w:cs="宋体"/>
                <w:color w:val="auto"/>
                <w:kern w:val="0"/>
                <w:sz w:val="24"/>
                <w:szCs w:val="24"/>
                <w:highlight w:val="none"/>
                <w:lang w:eastAsia="zh-CN"/>
              </w:rPr>
              <w:t>）</w:t>
            </w:r>
          </w:p>
        </w:tc>
        <w:tc>
          <w:tcPr>
            <w:tcW w:w="7253" w:type="dxa"/>
            <w:noWrap w:val="0"/>
            <w:vAlign w:val="center"/>
          </w:tcPr>
          <w:p w14:paraId="2336626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服务特点、难点定位准确，分析合理，整体策划方案针对性强，服务指标承诺符合实际得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496685A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服务特点、难点定位</w:t>
            </w:r>
            <w:r>
              <w:rPr>
                <w:rFonts w:hint="eastAsia" w:ascii="宋体" w:hAnsi="宋体" w:eastAsia="宋体" w:cs="宋体"/>
                <w:color w:val="auto"/>
                <w:kern w:val="0"/>
                <w:sz w:val="24"/>
                <w:szCs w:val="24"/>
                <w:highlight w:val="none"/>
                <w:lang w:eastAsia="zh-CN"/>
              </w:rPr>
              <w:t>基本</w:t>
            </w:r>
            <w:r>
              <w:rPr>
                <w:rFonts w:hint="eastAsia" w:ascii="宋体" w:hAnsi="宋体" w:eastAsia="宋体" w:cs="宋体"/>
                <w:color w:val="auto"/>
                <w:kern w:val="0"/>
                <w:sz w:val="24"/>
                <w:szCs w:val="24"/>
                <w:highlight w:val="none"/>
              </w:rPr>
              <w:t>准确，分析</w:t>
            </w:r>
            <w:r>
              <w:rPr>
                <w:rFonts w:hint="eastAsia" w:ascii="宋体" w:hAnsi="宋体" w:eastAsia="宋体" w:cs="宋体"/>
                <w:color w:val="auto"/>
                <w:kern w:val="0"/>
                <w:sz w:val="24"/>
                <w:szCs w:val="24"/>
                <w:highlight w:val="none"/>
                <w:lang w:eastAsia="zh-CN"/>
              </w:rPr>
              <w:t>基本</w:t>
            </w:r>
            <w:r>
              <w:rPr>
                <w:rFonts w:hint="eastAsia" w:ascii="宋体" w:hAnsi="宋体" w:eastAsia="宋体" w:cs="宋体"/>
                <w:color w:val="auto"/>
                <w:kern w:val="0"/>
                <w:sz w:val="24"/>
                <w:szCs w:val="24"/>
                <w:highlight w:val="none"/>
              </w:rPr>
              <w:t>合理，整体策划方案针对性较强，服务指标承诺符合实际得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07AE1075">
            <w:pPr>
              <w:widowControl/>
              <w:jc w:val="left"/>
              <w:rPr>
                <w:rFonts w:hint="default"/>
                <w:sz w:val="24"/>
                <w:szCs w:val="24"/>
                <w:lang w:val="en-US" w:eastAsia="zh-CN"/>
              </w:rPr>
            </w:pPr>
            <w:r>
              <w:rPr>
                <w:rFonts w:hint="eastAsia" w:ascii="宋体" w:hAnsi="宋体" w:eastAsia="宋体" w:cs="宋体"/>
                <w:color w:val="auto"/>
                <w:kern w:val="0"/>
                <w:sz w:val="24"/>
                <w:szCs w:val="24"/>
                <w:highlight w:val="none"/>
              </w:rPr>
              <w:t>服务特点、难点定位</w:t>
            </w:r>
            <w:r>
              <w:rPr>
                <w:rFonts w:hint="eastAsia" w:ascii="宋体" w:hAnsi="宋体" w:eastAsia="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rPr>
              <w:t>准确，分析不合理，整体策划方案针对性</w:t>
            </w:r>
            <w:r>
              <w:rPr>
                <w:rFonts w:hint="eastAsia" w:ascii="宋体" w:hAnsi="宋体" w:eastAsia="宋体" w:cs="宋体"/>
                <w:color w:val="auto"/>
                <w:kern w:val="0"/>
                <w:sz w:val="24"/>
                <w:szCs w:val="24"/>
                <w:highlight w:val="none"/>
                <w:lang w:val="en-US" w:eastAsia="zh-CN"/>
              </w:rPr>
              <w:t>弱</w:t>
            </w:r>
            <w:r>
              <w:rPr>
                <w:rFonts w:hint="eastAsia" w:ascii="宋体" w:hAnsi="宋体" w:eastAsia="宋体" w:cs="宋体"/>
                <w:color w:val="auto"/>
                <w:kern w:val="0"/>
                <w:sz w:val="24"/>
                <w:szCs w:val="24"/>
                <w:highlight w:val="none"/>
              </w:rPr>
              <w:t>，服务指标承诺</w:t>
            </w:r>
            <w:r>
              <w:rPr>
                <w:rFonts w:hint="eastAsia" w:ascii="宋体" w:hAnsi="宋体" w:eastAsia="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rPr>
              <w:t>符合实际</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无服务特点、难点分析</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无整体策划方案</w:t>
            </w:r>
            <w:r>
              <w:rPr>
                <w:rFonts w:hint="eastAsia" w:ascii="宋体" w:hAnsi="宋体" w:eastAsia="宋体" w:cs="宋体"/>
                <w:color w:val="auto"/>
                <w:kern w:val="0"/>
                <w:sz w:val="24"/>
                <w:szCs w:val="24"/>
                <w:highlight w:val="none"/>
                <w:lang w:val="en-US" w:eastAsia="zh-CN"/>
              </w:rPr>
              <w:t>不得</w:t>
            </w:r>
            <w:r>
              <w:rPr>
                <w:rFonts w:hint="eastAsia" w:ascii="宋体" w:hAnsi="宋体" w:eastAsia="宋体" w:cs="宋体"/>
                <w:color w:val="auto"/>
                <w:kern w:val="0"/>
                <w:sz w:val="24"/>
                <w:szCs w:val="24"/>
                <w:highlight w:val="none"/>
              </w:rPr>
              <w:t>分。</w:t>
            </w:r>
          </w:p>
        </w:tc>
      </w:tr>
      <w:tr w14:paraId="2273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468" w:type="dxa"/>
            <w:vMerge w:val="continue"/>
            <w:noWrap w:val="0"/>
            <w:vAlign w:val="center"/>
          </w:tcPr>
          <w:p w14:paraId="28DCFCF6">
            <w:pPr>
              <w:widowControl/>
              <w:jc w:val="center"/>
              <w:rPr>
                <w:rFonts w:ascii="宋体" w:hAnsi="宋体"/>
                <w:b/>
                <w:sz w:val="24"/>
                <w:szCs w:val="24"/>
                <w:highlight w:val="none"/>
              </w:rPr>
            </w:pPr>
          </w:p>
        </w:tc>
        <w:tc>
          <w:tcPr>
            <w:tcW w:w="984" w:type="dxa"/>
            <w:vMerge w:val="continue"/>
            <w:noWrap w:val="0"/>
            <w:vAlign w:val="center"/>
          </w:tcPr>
          <w:p w14:paraId="6F207CAC">
            <w:pPr>
              <w:widowControl/>
              <w:jc w:val="left"/>
              <w:rPr>
                <w:rFonts w:ascii="宋体" w:hAnsi="宋体"/>
                <w:sz w:val="24"/>
                <w:szCs w:val="24"/>
                <w:highlight w:val="yellow"/>
              </w:rPr>
            </w:pPr>
          </w:p>
        </w:tc>
        <w:tc>
          <w:tcPr>
            <w:tcW w:w="1118" w:type="dxa"/>
            <w:noWrap w:val="0"/>
            <w:vAlign w:val="center"/>
          </w:tcPr>
          <w:p w14:paraId="6C133A06">
            <w:pPr>
              <w:widowControl/>
              <w:jc w:val="left"/>
              <w:rPr>
                <w:rFonts w:hint="eastAsia" w:ascii="宋体" w:hAnsi="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rPr>
              <w:t>日常服务</w:t>
            </w:r>
            <w:r>
              <w:rPr>
                <w:rFonts w:hint="eastAsia" w:ascii="宋体" w:hAnsi="宋体" w:eastAsia="宋体" w:cs="宋体"/>
                <w:color w:val="auto"/>
                <w:kern w:val="0"/>
                <w:sz w:val="24"/>
                <w:szCs w:val="24"/>
                <w:highlight w:val="none"/>
                <w:lang w:val="en-US" w:eastAsia="zh-CN"/>
              </w:rPr>
              <w:t>方案（20分）</w:t>
            </w:r>
          </w:p>
        </w:tc>
        <w:tc>
          <w:tcPr>
            <w:tcW w:w="7253" w:type="dxa"/>
            <w:noWrap w:val="0"/>
            <w:vAlign w:val="center"/>
          </w:tcPr>
          <w:p w14:paraId="5D1E03BC">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日常服务方案包括：</w:t>
            </w:r>
            <w:r>
              <w:rPr>
                <w:rFonts w:hint="eastAsia" w:ascii="宋体" w:hAnsi="宋体" w:eastAsia="宋体" w:cs="宋体"/>
                <w:color w:val="auto"/>
                <w:kern w:val="0"/>
                <w:sz w:val="24"/>
                <w:szCs w:val="24"/>
                <w:highlight w:val="none"/>
                <w:lang w:val="en-US" w:eastAsia="zh-CN"/>
              </w:rPr>
              <w:t>保洁、工程小型维修、会务服务等其他服务，</w:t>
            </w:r>
            <w:r>
              <w:rPr>
                <w:rFonts w:hint="eastAsia" w:ascii="宋体" w:hAnsi="宋体" w:eastAsia="宋体" w:cs="宋体"/>
                <w:color w:val="auto"/>
                <w:kern w:val="0"/>
                <w:sz w:val="24"/>
                <w:szCs w:val="24"/>
                <w:highlight w:val="none"/>
                <w:lang w:eastAsia="zh-CN"/>
              </w:rPr>
              <w:t>各管理服务工作有详细科学的作业流程，质量保证措施详实得</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eastAsia="zh-CN"/>
              </w:rPr>
              <w:t>分；</w:t>
            </w:r>
          </w:p>
          <w:p w14:paraId="07BFF0C2">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各管理服务工作作业流程基本符合要求，质量保证措施较基本详实得</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分；</w:t>
            </w:r>
          </w:p>
          <w:p w14:paraId="7B0681D3">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各管理服务工作作业流程基本符合要求，质量保证措施部分详实得</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w:t>
            </w:r>
          </w:p>
          <w:p w14:paraId="641A0E28">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各管理服务工作作业流程</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lang w:eastAsia="zh-CN"/>
              </w:rPr>
              <w:t>不符合要求，缺少质量保证措施得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p w14:paraId="3D3B18C6">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各管理服务工作作业流程</w:t>
            </w:r>
            <w:r>
              <w:rPr>
                <w:rFonts w:hint="eastAsia" w:ascii="宋体" w:hAnsi="宋体" w:cs="宋体"/>
                <w:color w:val="auto"/>
                <w:kern w:val="0"/>
                <w:sz w:val="24"/>
                <w:szCs w:val="24"/>
                <w:highlight w:val="none"/>
                <w:lang w:val="en-US" w:eastAsia="zh-CN"/>
              </w:rPr>
              <w:t>大</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lang w:eastAsia="zh-CN"/>
              </w:rPr>
              <w:t>不符合要求，缺少质量保证措施得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p w14:paraId="5EF8A784">
            <w:pPr>
              <w:widowControl/>
              <w:jc w:val="left"/>
              <w:rPr>
                <w:rFonts w:hint="default" w:ascii="Times New Roman" w:hAnsi="Times New Roman" w:eastAsia="宋体" w:cs="Times New Roman"/>
                <w:kern w:val="2"/>
                <w:sz w:val="24"/>
                <w:szCs w:val="24"/>
                <w:lang w:val="en-US" w:eastAsia="zh-CN" w:bidi="ar-SA"/>
              </w:rPr>
            </w:pPr>
            <w:r>
              <w:rPr>
                <w:rFonts w:hint="eastAsia" w:ascii="宋体" w:hAnsi="宋体" w:eastAsia="宋体" w:cs="宋体"/>
                <w:color w:val="auto"/>
                <w:kern w:val="0"/>
                <w:sz w:val="24"/>
                <w:szCs w:val="24"/>
                <w:highlight w:val="none"/>
                <w:lang w:eastAsia="zh-CN"/>
              </w:rPr>
              <w:t>无管理服务工作作业流程</w:t>
            </w:r>
            <w:r>
              <w:rPr>
                <w:rFonts w:hint="eastAsia" w:ascii="宋体" w:hAnsi="宋体" w:eastAsia="宋体" w:cs="宋体"/>
                <w:color w:val="auto"/>
                <w:kern w:val="0"/>
                <w:sz w:val="24"/>
                <w:szCs w:val="24"/>
                <w:highlight w:val="none"/>
                <w:lang w:val="en-US" w:eastAsia="zh-CN"/>
              </w:rPr>
              <w:t>不得</w:t>
            </w:r>
            <w:r>
              <w:rPr>
                <w:rFonts w:hint="eastAsia" w:ascii="宋体" w:hAnsi="宋体" w:eastAsia="宋体" w:cs="宋体"/>
                <w:color w:val="auto"/>
                <w:kern w:val="0"/>
                <w:sz w:val="24"/>
                <w:szCs w:val="24"/>
                <w:highlight w:val="none"/>
                <w:lang w:eastAsia="zh-CN"/>
              </w:rPr>
              <w:t>分。</w:t>
            </w:r>
          </w:p>
        </w:tc>
      </w:tr>
      <w:tr w14:paraId="60AF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vMerge w:val="continue"/>
            <w:noWrap w:val="0"/>
            <w:vAlign w:val="center"/>
          </w:tcPr>
          <w:p w14:paraId="302FB639">
            <w:pPr>
              <w:widowControl/>
              <w:jc w:val="center"/>
              <w:rPr>
                <w:rFonts w:ascii="宋体" w:hAnsi="宋体"/>
                <w:b/>
                <w:sz w:val="24"/>
                <w:szCs w:val="24"/>
                <w:highlight w:val="none"/>
              </w:rPr>
            </w:pPr>
          </w:p>
        </w:tc>
        <w:tc>
          <w:tcPr>
            <w:tcW w:w="984" w:type="dxa"/>
            <w:vMerge w:val="continue"/>
            <w:noWrap w:val="0"/>
            <w:vAlign w:val="center"/>
          </w:tcPr>
          <w:p w14:paraId="3C428150">
            <w:pPr>
              <w:widowControl/>
              <w:jc w:val="left"/>
              <w:rPr>
                <w:rFonts w:ascii="宋体" w:hAnsi="宋体"/>
                <w:sz w:val="24"/>
                <w:szCs w:val="24"/>
                <w:highlight w:val="yellow"/>
              </w:rPr>
            </w:pPr>
          </w:p>
        </w:tc>
        <w:tc>
          <w:tcPr>
            <w:tcW w:w="1118" w:type="dxa"/>
            <w:noWrap w:val="0"/>
            <w:vAlign w:val="center"/>
          </w:tcPr>
          <w:p w14:paraId="02DF6FD0">
            <w:pPr>
              <w:widowControl/>
              <w:jc w:val="left"/>
              <w:rPr>
                <w:rFonts w:hint="eastAsia" w:ascii="宋体" w:hAnsi="宋体" w:eastAsia="宋体" w:cs="Times New Roman"/>
                <w:b w:val="0"/>
                <w:bCs w:val="0"/>
                <w:color w:val="auto"/>
                <w:kern w:val="2"/>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rPr>
              <w:t>绿化服务方案（10分）</w:t>
            </w:r>
          </w:p>
        </w:tc>
        <w:tc>
          <w:tcPr>
            <w:tcW w:w="7253" w:type="dxa"/>
            <w:noWrap w:val="0"/>
            <w:vAlign w:val="center"/>
          </w:tcPr>
          <w:p w14:paraId="0A89B162">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内容全面、详实，方案科学合理，有针对性，可实施性强的，得</w:t>
            </w:r>
            <w:r>
              <w:rPr>
                <w:rFonts w:hint="default" w:ascii="宋体" w:hAnsi="宋体" w:eastAsia="宋体" w:cs="宋体"/>
                <w:color w:val="auto"/>
                <w:kern w:val="0"/>
                <w:sz w:val="24"/>
                <w:szCs w:val="24"/>
                <w:highlight w:val="none"/>
                <w:lang w:val="en-US" w:eastAsia="zh-CN"/>
              </w:rPr>
              <w:t xml:space="preserve">10 </w:t>
            </w:r>
            <w:r>
              <w:rPr>
                <w:rFonts w:hint="eastAsia" w:ascii="宋体" w:hAnsi="宋体" w:eastAsia="宋体" w:cs="宋体"/>
                <w:color w:val="auto"/>
                <w:kern w:val="0"/>
                <w:sz w:val="24"/>
                <w:szCs w:val="24"/>
                <w:highlight w:val="none"/>
                <w:lang w:val="en-US" w:eastAsia="zh-CN"/>
              </w:rPr>
              <w:t xml:space="preserve">分； </w:t>
            </w:r>
          </w:p>
          <w:p w14:paraId="4B741ACC">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内容较为全面，方案基本合理，可实施的，得</w:t>
            </w:r>
            <w:r>
              <w:rPr>
                <w:rFonts w:hint="default" w:ascii="宋体" w:hAnsi="宋体" w:eastAsia="宋体" w:cs="宋体"/>
                <w:color w:val="auto"/>
                <w:kern w:val="0"/>
                <w:sz w:val="24"/>
                <w:szCs w:val="24"/>
                <w:highlight w:val="none"/>
                <w:lang w:val="en-US" w:eastAsia="zh-CN"/>
              </w:rPr>
              <w:t xml:space="preserve"> 7 </w:t>
            </w:r>
            <w:r>
              <w:rPr>
                <w:rFonts w:hint="eastAsia" w:ascii="宋体" w:hAnsi="宋体" w:eastAsia="宋体" w:cs="宋体"/>
                <w:color w:val="auto"/>
                <w:kern w:val="0"/>
                <w:sz w:val="24"/>
                <w:szCs w:val="24"/>
                <w:highlight w:val="none"/>
                <w:lang w:val="en-US" w:eastAsia="zh-CN"/>
              </w:rPr>
              <w:t xml:space="preserve">分； </w:t>
            </w:r>
          </w:p>
          <w:p w14:paraId="29D3A69A">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内容基本完整，方案基本合理，基本可实施的，得</w:t>
            </w:r>
            <w:r>
              <w:rPr>
                <w:rFonts w:hint="default" w:ascii="宋体" w:hAnsi="宋体" w:eastAsia="宋体" w:cs="宋体"/>
                <w:color w:val="auto"/>
                <w:kern w:val="0"/>
                <w:sz w:val="24"/>
                <w:szCs w:val="24"/>
                <w:highlight w:val="none"/>
                <w:lang w:val="en-US" w:eastAsia="zh-CN"/>
              </w:rPr>
              <w:t xml:space="preserve"> 4</w:t>
            </w:r>
            <w:r>
              <w:rPr>
                <w:rFonts w:hint="eastAsia" w:ascii="宋体" w:hAnsi="宋体" w:eastAsia="宋体" w:cs="宋体"/>
                <w:color w:val="auto"/>
                <w:kern w:val="0"/>
                <w:sz w:val="24"/>
                <w:szCs w:val="24"/>
                <w:highlight w:val="none"/>
                <w:lang w:val="en-US" w:eastAsia="zh-CN"/>
              </w:rPr>
              <w:t xml:space="preserve">分； </w:t>
            </w:r>
          </w:p>
          <w:p w14:paraId="3F73174E">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内容不完整，方案合理性差，可实施性差的，得</w:t>
            </w:r>
            <w:r>
              <w:rPr>
                <w:rFonts w:hint="default" w:ascii="宋体" w:hAnsi="宋体" w:eastAsia="宋体" w:cs="宋体"/>
                <w:color w:val="auto"/>
                <w:kern w:val="0"/>
                <w:sz w:val="24"/>
                <w:szCs w:val="24"/>
                <w:highlight w:val="none"/>
                <w:lang w:val="en-US" w:eastAsia="zh-CN"/>
              </w:rPr>
              <w:t xml:space="preserve"> 1 </w:t>
            </w:r>
            <w:r>
              <w:rPr>
                <w:rFonts w:hint="eastAsia" w:ascii="宋体" w:hAnsi="宋体" w:eastAsia="宋体" w:cs="宋体"/>
                <w:color w:val="auto"/>
                <w:kern w:val="0"/>
                <w:sz w:val="24"/>
                <w:szCs w:val="24"/>
                <w:highlight w:val="none"/>
                <w:lang w:val="en-US" w:eastAsia="zh-CN"/>
              </w:rPr>
              <w:t xml:space="preserve">分； </w:t>
            </w:r>
          </w:p>
          <w:p w14:paraId="032733B4">
            <w:pPr>
              <w:widowControl/>
              <w:jc w:val="left"/>
              <w:rPr>
                <w:rFonts w:hint="eastAsia" w:ascii="宋体" w:hAnsi="宋体" w:eastAsia="宋体" w:cs="Times New Roman"/>
                <w:b w:val="0"/>
                <w:bCs w:val="0"/>
                <w:color w:val="auto"/>
                <w:kern w:val="2"/>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rPr>
              <w:t>未提供养护作业规程的不得分。</w:t>
            </w:r>
          </w:p>
        </w:tc>
      </w:tr>
      <w:tr w14:paraId="63F5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 w:hRule="atLeast"/>
        </w:trPr>
        <w:tc>
          <w:tcPr>
            <w:tcW w:w="468" w:type="dxa"/>
            <w:vMerge w:val="continue"/>
            <w:noWrap w:val="0"/>
            <w:vAlign w:val="center"/>
          </w:tcPr>
          <w:p w14:paraId="079CD140">
            <w:pPr>
              <w:widowControl/>
              <w:jc w:val="center"/>
              <w:rPr>
                <w:rFonts w:ascii="宋体" w:hAnsi="宋体"/>
                <w:b/>
                <w:sz w:val="24"/>
                <w:szCs w:val="24"/>
                <w:highlight w:val="none"/>
              </w:rPr>
            </w:pPr>
          </w:p>
        </w:tc>
        <w:tc>
          <w:tcPr>
            <w:tcW w:w="984" w:type="dxa"/>
            <w:vMerge w:val="continue"/>
            <w:noWrap w:val="0"/>
            <w:vAlign w:val="center"/>
          </w:tcPr>
          <w:p w14:paraId="4AF55BB0">
            <w:pPr>
              <w:widowControl/>
              <w:jc w:val="left"/>
              <w:rPr>
                <w:rFonts w:ascii="宋体" w:hAnsi="宋体"/>
                <w:sz w:val="24"/>
                <w:szCs w:val="24"/>
                <w:highlight w:val="yellow"/>
              </w:rPr>
            </w:pPr>
          </w:p>
        </w:tc>
        <w:tc>
          <w:tcPr>
            <w:tcW w:w="1118" w:type="dxa"/>
            <w:noWrap w:val="0"/>
            <w:vAlign w:val="center"/>
          </w:tcPr>
          <w:p w14:paraId="203AAFBD">
            <w:pPr>
              <w:widowControl/>
              <w:jc w:val="left"/>
              <w:rPr>
                <w:rFonts w:hint="eastAsia" w:ascii="宋体" w:hAnsi="宋体" w:eastAsia="宋体"/>
                <w:bCs/>
                <w:sz w:val="24"/>
                <w:szCs w:val="24"/>
                <w:highlight w:val="yellow"/>
                <w:lang w:eastAsia="zh-CN"/>
              </w:rPr>
            </w:pPr>
            <w:r>
              <w:rPr>
                <w:rFonts w:hint="eastAsia" w:ascii="宋体" w:hAnsi="宋体" w:eastAsia="宋体" w:cs="宋体"/>
                <w:color w:val="auto"/>
                <w:kern w:val="0"/>
                <w:sz w:val="24"/>
                <w:szCs w:val="24"/>
                <w:highlight w:val="none"/>
              </w:rPr>
              <w:t>人员配备情况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7253" w:type="dxa"/>
            <w:noWrap w:val="0"/>
            <w:vAlign w:val="center"/>
          </w:tcPr>
          <w:p w14:paraId="49C3D4D7">
            <w:pPr>
              <w:widowControl/>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1、项目经理（9分）：</w:t>
            </w:r>
            <w:r>
              <w:rPr>
                <w:rFonts w:hint="eastAsia" w:ascii="微软雅黑" w:hAnsi="微软雅黑" w:eastAsia="微软雅黑" w:cs="微软雅黑"/>
                <w:color w:val="auto"/>
                <w:kern w:val="0"/>
                <w:sz w:val="24"/>
                <w:szCs w:val="24"/>
                <w:highlight w:val="none"/>
                <w:lang w:val="en-US" w:eastAsia="zh-CN"/>
              </w:rPr>
              <w:t>①</w:t>
            </w:r>
            <w:r>
              <w:rPr>
                <w:rFonts w:hint="eastAsia" w:ascii="宋体" w:hAnsi="宋体" w:cs="宋体"/>
                <w:color w:val="auto"/>
                <w:kern w:val="0"/>
                <w:sz w:val="24"/>
                <w:szCs w:val="24"/>
                <w:highlight w:val="none"/>
                <w:lang w:val="en-US" w:eastAsia="zh-CN"/>
              </w:rPr>
              <w:t>学历在大专及以上得3分；</w:t>
            </w:r>
            <w:r>
              <w:rPr>
                <w:rFonts w:hint="eastAsia" w:ascii="微软雅黑" w:hAnsi="微软雅黑" w:eastAsia="微软雅黑" w:cs="微软雅黑"/>
                <w:color w:val="auto"/>
                <w:kern w:val="0"/>
                <w:sz w:val="24"/>
                <w:szCs w:val="24"/>
                <w:highlight w:val="none"/>
                <w:lang w:val="en-US" w:eastAsia="zh-CN"/>
              </w:rPr>
              <w:t>②</w:t>
            </w:r>
            <w:r>
              <w:rPr>
                <w:rFonts w:hint="eastAsia" w:ascii="宋体" w:hAnsi="宋体" w:cs="宋体"/>
                <w:kern w:val="0"/>
                <w:sz w:val="24"/>
                <w:szCs w:val="24"/>
              </w:rPr>
              <w:t>具有三年以上物业项目管理服务经验</w:t>
            </w:r>
            <w:r>
              <w:rPr>
                <w:rFonts w:hint="eastAsia" w:ascii="宋体" w:hAnsi="宋体" w:cs="宋体"/>
                <w:kern w:val="0"/>
                <w:sz w:val="24"/>
                <w:szCs w:val="24"/>
                <w:lang w:eastAsia="zh-CN"/>
              </w:rPr>
              <w:t>（</w:t>
            </w:r>
            <w:r>
              <w:rPr>
                <w:rFonts w:ascii="宋体" w:hAnsi="宋体"/>
                <w:kern w:val="0"/>
                <w:sz w:val="24"/>
                <w:szCs w:val="24"/>
              </w:rPr>
              <w:t>提供</w:t>
            </w:r>
            <w:r>
              <w:rPr>
                <w:rFonts w:hint="eastAsia" w:ascii="宋体" w:hAnsi="宋体"/>
                <w:kern w:val="0"/>
                <w:sz w:val="24"/>
                <w:szCs w:val="24"/>
              </w:rPr>
              <w:t>物业</w:t>
            </w:r>
            <w:r>
              <w:rPr>
                <w:rFonts w:ascii="宋体" w:hAnsi="宋体"/>
                <w:kern w:val="0"/>
                <w:sz w:val="24"/>
                <w:szCs w:val="24"/>
              </w:rPr>
              <w:t>经理</w:t>
            </w:r>
            <w:r>
              <w:rPr>
                <w:rFonts w:hint="eastAsia" w:ascii="宋体" w:hAnsi="宋体"/>
                <w:kern w:val="0"/>
                <w:sz w:val="24"/>
                <w:szCs w:val="24"/>
                <w:lang w:val="en-US" w:eastAsia="zh-CN"/>
              </w:rPr>
              <w:t>2024</w:t>
            </w:r>
            <w:r>
              <w:rPr>
                <w:rFonts w:ascii="宋体" w:hAnsi="宋体"/>
                <w:kern w:val="0"/>
                <w:sz w:val="24"/>
                <w:szCs w:val="24"/>
              </w:rPr>
              <w:t>年内</w:t>
            </w:r>
            <w:r>
              <w:rPr>
                <w:rFonts w:hint="eastAsia" w:ascii="宋体" w:hAnsi="宋体"/>
                <w:kern w:val="0"/>
                <w:sz w:val="24"/>
                <w:szCs w:val="24"/>
                <w:lang w:val="en-US" w:eastAsia="zh-CN"/>
              </w:rPr>
              <w:t>连续三个月</w:t>
            </w:r>
            <w:r>
              <w:rPr>
                <w:rFonts w:hint="eastAsia" w:ascii="宋体" w:hAnsi="宋体"/>
                <w:kern w:val="0"/>
                <w:sz w:val="24"/>
                <w:szCs w:val="24"/>
              </w:rPr>
              <w:t>在本单位</w:t>
            </w:r>
            <w:r>
              <w:rPr>
                <w:rFonts w:ascii="宋体" w:hAnsi="宋体"/>
                <w:kern w:val="0"/>
                <w:sz w:val="24"/>
                <w:szCs w:val="24"/>
              </w:rPr>
              <w:t>缴纳社保保险证明</w:t>
            </w:r>
            <w:r>
              <w:rPr>
                <w:rFonts w:hint="eastAsia" w:ascii="宋体" w:hAnsi="宋体"/>
                <w:kern w:val="0"/>
                <w:sz w:val="24"/>
                <w:szCs w:val="24"/>
              </w:rPr>
              <w:t>材料</w:t>
            </w:r>
            <w:r>
              <w:rPr>
                <w:rFonts w:hint="eastAsia" w:ascii="宋体" w:hAnsi="宋体" w:cs="宋体"/>
                <w:kern w:val="0"/>
                <w:sz w:val="24"/>
                <w:szCs w:val="24"/>
                <w:lang w:eastAsia="zh-CN"/>
              </w:rPr>
              <w:t>）</w:t>
            </w:r>
            <w:r>
              <w:rPr>
                <w:rFonts w:hint="eastAsia" w:ascii="宋体" w:hAnsi="宋体" w:cs="宋体"/>
                <w:color w:val="auto"/>
                <w:kern w:val="0"/>
                <w:sz w:val="24"/>
                <w:szCs w:val="24"/>
                <w:highlight w:val="none"/>
                <w:lang w:val="en-US" w:eastAsia="zh-CN"/>
              </w:rPr>
              <w:t>得3分；</w:t>
            </w:r>
            <w:r>
              <w:rPr>
                <w:rFonts w:hint="eastAsia" w:ascii="微软雅黑" w:hAnsi="微软雅黑" w:eastAsia="微软雅黑" w:cs="微软雅黑"/>
                <w:color w:val="auto"/>
                <w:kern w:val="0"/>
                <w:sz w:val="24"/>
                <w:szCs w:val="24"/>
                <w:highlight w:val="none"/>
                <w:lang w:val="en-US" w:eastAsia="zh-CN"/>
              </w:rPr>
              <w:t>③</w:t>
            </w:r>
            <w:r>
              <w:rPr>
                <w:rFonts w:hint="eastAsia" w:ascii="宋体" w:hAnsi="宋体" w:cs="宋体"/>
                <w:kern w:val="0"/>
                <w:sz w:val="24"/>
                <w:szCs w:val="24"/>
              </w:rPr>
              <w:t>具有《物业管理项目经理岗位证书》</w:t>
            </w:r>
            <w:r>
              <w:rPr>
                <w:rFonts w:hint="eastAsia" w:ascii="宋体" w:hAnsi="宋体" w:cs="宋体"/>
                <w:color w:val="auto"/>
                <w:kern w:val="0"/>
                <w:sz w:val="24"/>
                <w:szCs w:val="24"/>
                <w:highlight w:val="none"/>
                <w:lang w:val="en-US" w:eastAsia="zh-CN"/>
              </w:rPr>
              <w:t>得3分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未提供不得分。</w:t>
            </w:r>
          </w:p>
          <w:p w14:paraId="39EDA4D2">
            <w:pPr>
              <w:widowControl/>
              <w:jc w:val="left"/>
              <w:rPr>
                <w:rFonts w:hint="eastAsia" w:ascii="宋体" w:hAnsi="宋体"/>
                <w:sz w:val="24"/>
                <w:szCs w:val="24"/>
                <w:highlight w:val="yellow"/>
              </w:rPr>
            </w:pPr>
            <w:r>
              <w:rPr>
                <w:rFonts w:hint="eastAsia" w:ascii="宋体" w:hAnsi="宋体" w:cs="宋体"/>
                <w:color w:val="auto"/>
                <w:kern w:val="0"/>
                <w:sz w:val="24"/>
                <w:szCs w:val="24"/>
                <w:highlight w:val="none"/>
                <w:lang w:val="en-US" w:eastAsia="zh-CN"/>
              </w:rPr>
              <w:t>2、其他证书（6分）：</w:t>
            </w:r>
            <w:r>
              <w:rPr>
                <w:rFonts w:hint="eastAsia" w:ascii="宋体" w:hAnsi="宋体"/>
                <w:bCs/>
                <w:sz w:val="24"/>
                <w:szCs w:val="24"/>
                <w:highlight w:val="none"/>
                <w:lang w:val="en-US" w:eastAsia="zh-CN"/>
              </w:rPr>
              <w:t>高、低压</w:t>
            </w:r>
            <w:r>
              <w:rPr>
                <w:rFonts w:ascii="宋体" w:hAnsi="宋体"/>
                <w:bCs/>
                <w:sz w:val="24"/>
                <w:szCs w:val="24"/>
                <w:highlight w:val="none"/>
              </w:rPr>
              <w:t>电工</w:t>
            </w:r>
            <w:r>
              <w:rPr>
                <w:rFonts w:ascii="宋体" w:hAnsi="宋体"/>
                <w:bCs/>
                <w:sz w:val="24"/>
                <w:szCs w:val="24"/>
              </w:rPr>
              <w:t>、压力容器、消防培训合格证</w:t>
            </w:r>
            <w:r>
              <w:rPr>
                <w:rFonts w:hint="eastAsia" w:ascii="宋体" w:hAnsi="宋体" w:cs="宋体"/>
                <w:color w:val="auto"/>
                <w:kern w:val="0"/>
                <w:sz w:val="24"/>
                <w:szCs w:val="24"/>
                <w:highlight w:val="none"/>
                <w:lang w:val="en-US" w:eastAsia="zh-CN"/>
              </w:rPr>
              <w:t>，每提供一项得2分，最高得6分。</w:t>
            </w:r>
            <w:r>
              <w:rPr>
                <w:rFonts w:hint="eastAsia" w:ascii="宋体" w:hAnsi="宋体" w:cs="宋体"/>
                <w:kern w:val="0"/>
                <w:sz w:val="24"/>
                <w:szCs w:val="24"/>
                <w:lang w:val="en-US" w:eastAsia="zh-CN"/>
              </w:rPr>
              <w:t>未提供不得分。</w:t>
            </w:r>
          </w:p>
        </w:tc>
      </w:tr>
      <w:tr w14:paraId="37B88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1" w:hRule="atLeast"/>
        </w:trPr>
        <w:tc>
          <w:tcPr>
            <w:tcW w:w="468" w:type="dxa"/>
            <w:vMerge w:val="continue"/>
            <w:noWrap w:val="0"/>
            <w:vAlign w:val="center"/>
          </w:tcPr>
          <w:p w14:paraId="50341618">
            <w:pPr>
              <w:jc w:val="center"/>
              <w:rPr>
                <w:rFonts w:ascii="宋体" w:hAnsi="宋体"/>
                <w:b/>
                <w:sz w:val="24"/>
                <w:szCs w:val="24"/>
                <w:highlight w:val="none"/>
              </w:rPr>
            </w:pPr>
          </w:p>
        </w:tc>
        <w:tc>
          <w:tcPr>
            <w:tcW w:w="984" w:type="dxa"/>
            <w:vMerge w:val="continue"/>
            <w:noWrap w:val="0"/>
            <w:vAlign w:val="center"/>
          </w:tcPr>
          <w:p w14:paraId="0ED163D3">
            <w:pPr>
              <w:widowControl/>
              <w:jc w:val="left"/>
              <w:rPr>
                <w:rFonts w:ascii="宋体" w:hAnsi="宋体"/>
                <w:sz w:val="24"/>
                <w:szCs w:val="24"/>
                <w:highlight w:val="yellow"/>
              </w:rPr>
            </w:pPr>
          </w:p>
        </w:tc>
        <w:tc>
          <w:tcPr>
            <w:tcW w:w="1118" w:type="dxa"/>
            <w:noWrap w:val="0"/>
            <w:vAlign w:val="center"/>
          </w:tcPr>
          <w:p w14:paraId="46EA36FE">
            <w:pPr>
              <w:widowControl/>
              <w:jc w:val="left"/>
              <w:rPr>
                <w:rFonts w:hint="default" w:ascii="宋体" w:hAnsi="宋体"/>
                <w:color w:val="000000" w:themeColor="text1"/>
                <w:sz w:val="24"/>
                <w:szCs w:val="24"/>
                <w:highlight w:val="yellow"/>
                <w:lang w:val="en-US"/>
                <w14:textFill>
                  <w14:solidFill>
                    <w14:schemeClr w14:val="tx1"/>
                  </w14:solidFill>
                </w14:textFill>
              </w:rPr>
            </w:pPr>
            <w:r>
              <w:rPr>
                <w:rFonts w:hint="eastAsia" w:ascii="宋体" w:hAnsi="宋体" w:eastAsia="宋体" w:cs="宋体"/>
                <w:color w:val="auto"/>
                <w:kern w:val="0"/>
                <w:sz w:val="24"/>
                <w:szCs w:val="24"/>
                <w:highlight w:val="none"/>
                <w:lang w:val="en-US" w:eastAsia="zh-CN"/>
              </w:rPr>
              <w:t>安全排查方案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10分</w:t>
            </w:r>
            <w:r>
              <w:rPr>
                <w:rFonts w:hint="eastAsia" w:ascii="宋体" w:hAnsi="宋体" w:eastAsia="宋体" w:cs="宋体"/>
                <w:color w:val="auto"/>
                <w:kern w:val="0"/>
                <w:sz w:val="24"/>
                <w:szCs w:val="24"/>
                <w:highlight w:val="none"/>
                <w:lang w:eastAsia="zh-CN"/>
              </w:rPr>
              <w:t>）</w:t>
            </w:r>
          </w:p>
        </w:tc>
        <w:tc>
          <w:tcPr>
            <w:tcW w:w="7253" w:type="dxa"/>
            <w:tcBorders>
              <w:bottom w:val="single" w:color="auto" w:sz="4" w:space="0"/>
            </w:tcBorders>
            <w:noWrap w:val="0"/>
            <w:vAlign w:val="center"/>
          </w:tcPr>
          <w:p w14:paraId="60FE1AE7">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针对本项目，提供安全排查方案。</w:t>
            </w:r>
          </w:p>
          <w:p w14:paraId="79521A75">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全部了解项目情况，能清楚描述服务范围，提供了有针对性的安全排查方案，可以很好的契合项目需求，得10分；</w:t>
            </w:r>
          </w:p>
          <w:p w14:paraId="5D2B28FF">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全部了解项目情况，能清楚描述服务范围，提供的安全排查方案较为通用，对本项目适用性不够强，得7分；</w:t>
            </w:r>
          </w:p>
          <w:p w14:paraId="4BE27F7D">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基本了解项目情况，提供了简单的安全排查方案，适用性差，得4分；</w:t>
            </w:r>
          </w:p>
          <w:p w14:paraId="31290861">
            <w:pPr>
              <w:widowControl/>
              <w:jc w:val="left"/>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未提供安全排查方案不得分</w:t>
            </w:r>
          </w:p>
        </w:tc>
      </w:tr>
      <w:tr w14:paraId="63AA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52" w:hRule="atLeast"/>
        </w:trPr>
        <w:tc>
          <w:tcPr>
            <w:tcW w:w="468" w:type="dxa"/>
            <w:vMerge w:val="continue"/>
            <w:noWrap w:val="0"/>
            <w:vAlign w:val="center"/>
          </w:tcPr>
          <w:p w14:paraId="6F0A3150">
            <w:pPr>
              <w:jc w:val="center"/>
              <w:rPr>
                <w:rFonts w:ascii="宋体" w:hAnsi="宋体"/>
                <w:b/>
                <w:sz w:val="24"/>
                <w:szCs w:val="24"/>
                <w:highlight w:val="none"/>
              </w:rPr>
            </w:pPr>
          </w:p>
        </w:tc>
        <w:tc>
          <w:tcPr>
            <w:tcW w:w="984" w:type="dxa"/>
            <w:vMerge w:val="continue"/>
            <w:noWrap w:val="0"/>
            <w:vAlign w:val="center"/>
          </w:tcPr>
          <w:p w14:paraId="69E31BDA">
            <w:pPr>
              <w:widowControl/>
              <w:jc w:val="left"/>
              <w:rPr>
                <w:rFonts w:ascii="宋体" w:hAnsi="宋体"/>
                <w:sz w:val="24"/>
                <w:szCs w:val="24"/>
                <w:highlight w:val="yellow"/>
              </w:rPr>
            </w:pPr>
          </w:p>
        </w:tc>
        <w:tc>
          <w:tcPr>
            <w:tcW w:w="1118" w:type="dxa"/>
            <w:tcBorders>
              <w:top w:val="single" w:color="auto" w:sz="4" w:space="0"/>
              <w:left w:val="single" w:color="auto" w:sz="4" w:space="0"/>
              <w:right w:val="single" w:color="auto" w:sz="4" w:space="0"/>
            </w:tcBorders>
            <w:noWrap w:val="0"/>
            <w:vAlign w:val="center"/>
          </w:tcPr>
          <w:p w14:paraId="122D1A35">
            <w:pPr>
              <w:widowControl/>
              <w:jc w:val="left"/>
              <w:rPr>
                <w:rFonts w:hint="eastAsia" w:ascii="宋体" w:hAnsi="宋体"/>
                <w:sz w:val="24"/>
                <w:szCs w:val="24"/>
                <w:highlight w:val="yellow"/>
                <w:lang w:val="en-US" w:eastAsia="zh-CN"/>
              </w:rPr>
            </w:pPr>
            <w:r>
              <w:rPr>
                <w:rFonts w:hint="eastAsia" w:ascii="宋体" w:hAnsi="宋体" w:eastAsia="宋体" w:cs="宋体"/>
                <w:color w:val="auto"/>
                <w:kern w:val="0"/>
                <w:sz w:val="24"/>
                <w:szCs w:val="24"/>
                <w:highlight w:val="none"/>
              </w:rPr>
              <w:t>应急预案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10分</w:t>
            </w:r>
            <w:r>
              <w:rPr>
                <w:rFonts w:hint="eastAsia" w:ascii="宋体" w:hAnsi="宋体" w:eastAsia="宋体" w:cs="宋体"/>
                <w:color w:val="auto"/>
                <w:kern w:val="0"/>
                <w:sz w:val="24"/>
                <w:szCs w:val="24"/>
                <w:highlight w:val="none"/>
                <w:lang w:eastAsia="zh-CN"/>
              </w:rPr>
              <w:t>）</w:t>
            </w:r>
          </w:p>
        </w:tc>
        <w:tc>
          <w:tcPr>
            <w:tcW w:w="7253" w:type="dxa"/>
            <w:tcBorders>
              <w:left w:val="single" w:color="auto" w:sz="4" w:space="0"/>
            </w:tcBorders>
            <w:noWrap w:val="0"/>
            <w:vAlign w:val="center"/>
          </w:tcPr>
          <w:p w14:paraId="03FC239D">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针对本项目的应急预案科学合理，人员操作及现场处置描述清晰完备得10分；</w:t>
            </w:r>
          </w:p>
          <w:p w14:paraId="2356FCE0">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针对本项目的应急预案基本合理，人员操作及现场处置措施基本全面得7分；</w:t>
            </w:r>
          </w:p>
          <w:p w14:paraId="125D919E">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针对本项目的应急预案基本科学合理，人员操作及现场处置描述不清晰、不完备得4分；</w:t>
            </w:r>
          </w:p>
          <w:p w14:paraId="3D88B340">
            <w:pPr>
              <w:widowControl/>
              <w:jc w:val="left"/>
              <w:rPr>
                <w:rFonts w:hint="eastAsia" w:ascii="宋体" w:hAnsi="宋体"/>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针对本项目的应急预案不合理，人员操作及现场处置措施不全面或无预案措施不得分。</w:t>
            </w:r>
          </w:p>
        </w:tc>
      </w:tr>
      <w:tr w14:paraId="709B3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468" w:type="dxa"/>
            <w:vMerge w:val="continue"/>
            <w:noWrap w:val="0"/>
            <w:vAlign w:val="center"/>
          </w:tcPr>
          <w:p w14:paraId="4B91E20C">
            <w:pPr>
              <w:jc w:val="center"/>
              <w:rPr>
                <w:rFonts w:hint="eastAsia" w:ascii="宋体" w:hAnsi="宋体" w:eastAsia="宋体"/>
                <w:b/>
                <w:sz w:val="24"/>
                <w:szCs w:val="24"/>
                <w:highlight w:val="none"/>
                <w:lang w:eastAsia="zh-CN"/>
              </w:rPr>
            </w:pPr>
          </w:p>
        </w:tc>
        <w:tc>
          <w:tcPr>
            <w:tcW w:w="984" w:type="dxa"/>
            <w:vMerge w:val="continue"/>
            <w:noWrap w:val="0"/>
            <w:vAlign w:val="center"/>
          </w:tcPr>
          <w:p w14:paraId="59964E5B">
            <w:pPr>
              <w:widowControl/>
              <w:jc w:val="left"/>
              <w:rPr>
                <w:rFonts w:ascii="宋体" w:hAnsi="宋体"/>
                <w:sz w:val="24"/>
                <w:szCs w:val="24"/>
                <w:highlight w:val="none"/>
              </w:rPr>
            </w:pPr>
          </w:p>
        </w:tc>
        <w:tc>
          <w:tcPr>
            <w:tcW w:w="1118" w:type="dxa"/>
            <w:tcBorders>
              <w:left w:val="single" w:color="auto" w:sz="4" w:space="0"/>
              <w:right w:val="single" w:color="auto" w:sz="4" w:space="0"/>
            </w:tcBorders>
            <w:noWrap w:val="0"/>
            <w:vAlign w:val="center"/>
          </w:tcPr>
          <w:p w14:paraId="14D8289B">
            <w:pPr>
              <w:widowControl/>
              <w:jc w:val="left"/>
              <w:rPr>
                <w:rFonts w:ascii="宋体" w:hAnsi="宋体"/>
                <w:sz w:val="24"/>
                <w:szCs w:val="24"/>
                <w:highlight w:val="none"/>
              </w:rPr>
            </w:pPr>
            <w:r>
              <w:rPr>
                <w:rFonts w:hint="eastAsia" w:ascii="宋体" w:hAnsi="宋体" w:eastAsia="宋体" w:cs="宋体"/>
                <w:color w:val="auto"/>
                <w:kern w:val="0"/>
                <w:sz w:val="24"/>
                <w:szCs w:val="24"/>
                <w:highlight w:val="none"/>
                <w:lang w:eastAsia="zh-CN"/>
              </w:rPr>
              <w:t>服务承诺（</w:t>
            </w:r>
            <w:r>
              <w:rPr>
                <w:rFonts w:hint="eastAsia" w:ascii="宋体" w:hAnsi="宋体" w:eastAsia="宋体" w:cs="宋体"/>
                <w:color w:val="auto"/>
                <w:kern w:val="0"/>
                <w:sz w:val="24"/>
                <w:szCs w:val="24"/>
                <w:highlight w:val="none"/>
                <w:lang w:val="en-US" w:eastAsia="zh-CN"/>
              </w:rPr>
              <w:t>10分</w:t>
            </w:r>
            <w:r>
              <w:rPr>
                <w:rFonts w:hint="eastAsia" w:ascii="宋体" w:hAnsi="宋体" w:eastAsia="宋体" w:cs="宋体"/>
                <w:color w:val="auto"/>
                <w:kern w:val="0"/>
                <w:sz w:val="24"/>
                <w:szCs w:val="24"/>
                <w:highlight w:val="none"/>
                <w:lang w:eastAsia="zh-CN"/>
              </w:rPr>
              <w:t>）</w:t>
            </w:r>
          </w:p>
        </w:tc>
        <w:tc>
          <w:tcPr>
            <w:tcW w:w="7253" w:type="dxa"/>
            <w:tcBorders>
              <w:left w:val="single" w:color="auto" w:sz="4" w:space="0"/>
            </w:tcBorders>
            <w:noWrap w:val="0"/>
            <w:vAlign w:val="center"/>
          </w:tcPr>
          <w:p w14:paraId="45BBA916">
            <w:pPr>
              <w:widowControl/>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1、基础分（6分）：对</w:t>
            </w:r>
            <w:r>
              <w:rPr>
                <w:rFonts w:hint="eastAsia" w:ascii="宋体" w:hAnsi="宋体" w:eastAsia="宋体" w:cs="宋体"/>
                <w:color w:val="auto"/>
                <w:kern w:val="0"/>
                <w:sz w:val="24"/>
                <w:szCs w:val="24"/>
                <w:highlight w:val="none"/>
                <w:lang w:val="en-US" w:eastAsia="zh-CN"/>
              </w:rPr>
              <w:t>人员稳定性、应急响应性、供电安全</w:t>
            </w:r>
            <w:r>
              <w:rPr>
                <w:rFonts w:hint="eastAsia" w:ascii="宋体" w:hAnsi="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lang w:val="en-US" w:eastAsia="zh-CN"/>
              </w:rPr>
              <w:t>承诺</w:t>
            </w:r>
            <w:r>
              <w:rPr>
                <w:rFonts w:hint="eastAsia" w:ascii="宋体" w:hAnsi="宋体" w:cs="宋体"/>
                <w:color w:val="auto"/>
                <w:kern w:val="0"/>
                <w:sz w:val="24"/>
                <w:szCs w:val="24"/>
                <w:highlight w:val="none"/>
                <w:lang w:val="en-US" w:eastAsia="zh-CN"/>
              </w:rPr>
              <w:t>，每提供一项得2分，最高得6分。</w:t>
            </w:r>
            <w:r>
              <w:rPr>
                <w:rFonts w:hint="eastAsia" w:ascii="宋体" w:hAnsi="宋体" w:cs="宋体"/>
                <w:kern w:val="0"/>
                <w:sz w:val="24"/>
                <w:szCs w:val="24"/>
                <w:highlight w:val="none"/>
                <w:lang w:val="en-US" w:eastAsia="zh-CN"/>
              </w:rPr>
              <w:t>未提供不得分。</w:t>
            </w:r>
          </w:p>
          <w:p w14:paraId="0C5C5CE2">
            <w:pPr>
              <w:pStyle w:val="45"/>
              <w:ind w:left="0" w:leftChars="0" w:firstLine="0" w:firstLineChars="0"/>
              <w:rPr>
                <w:rFonts w:hint="default"/>
                <w:highlight w:val="none"/>
                <w:lang w:val="en-US" w:eastAsia="zh-CN"/>
              </w:rPr>
            </w:pPr>
            <w:r>
              <w:rPr>
                <w:rFonts w:hint="eastAsia"/>
                <w:color w:val="auto"/>
                <w:sz w:val="24"/>
                <w:szCs w:val="24"/>
                <w:highlight w:val="none"/>
                <w:lang w:val="en-US" w:eastAsia="zh-CN"/>
              </w:rPr>
              <w:t>2、其他承诺（4分）：对本项目其他相关方面进行承诺，</w:t>
            </w:r>
            <w:r>
              <w:rPr>
                <w:rFonts w:hint="eastAsia" w:ascii="宋体" w:hAnsi="宋体" w:cs="宋体"/>
                <w:color w:val="auto"/>
                <w:kern w:val="0"/>
                <w:sz w:val="24"/>
                <w:szCs w:val="24"/>
                <w:highlight w:val="none"/>
                <w:lang w:val="en-US" w:eastAsia="zh-CN"/>
              </w:rPr>
              <w:t>每提供一项得</w:t>
            </w:r>
            <w:r>
              <w:rPr>
                <w:rFonts w:hint="eastAsia"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分，最高得</w:t>
            </w:r>
            <w:r>
              <w:rPr>
                <w:rFonts w:hint="eastAsia"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分。</w:t>
            </w:r>
            <w:r>
              <w:rPr>
                <w:rFonts w:hint="eastAsia" w:ascii="宋体" w:hAnsi="宋体" w:cs="宋体"/>
                <w:kern w:val="0"/>
                <w:sz w:val="24"/>
                <w:szCs w:val="24"/>
                <w:highlight w:val="none"/>
                <w:lang w:val="en-US" w:eastAsia="zh-CN"/>
              </w:rPr>
              <w:t>未提供不得分。</w:t>
            </w:r>
          </w:p>
        </w:tc>
      </w:tr>
      <w:tr w14:paraId="7D7C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0" w:hRule="atLeast"/>
        </w:trPr>
        <w:tc>
          <w:tcPr>
            <w:tcW w:w="468" w:type="dxa"/>
            <w:noWrap w:val="0"/>
            <w:vAlign w:val="center"/>
          </w:tcPr>
          <w:p w14:paraId="7EB08860">
            <w:pPr>
              <w:jc w:val="center"/>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3</w:t>
            </w:r>
          </w:p>
        </w:tc>
        <w:tc>
          <w:tcPr>
            <w:tcW w:w="984" w:type="dxa"/>
            <w:tcBorders>
              <w:right w:val="single" w:color="auto" w:sz="4" w:space="0"/>
            </w:tcBorders>
            <w:noWrap w:val="0"/>
            <w:vAlign w:val="center"/>
          </w:tcPr>
          <w:p w14:paraId="099C45CF">
            <w:pPr>
              <w:widowControl/>
              <w:jc w:val="left"/>
              <w:rPr>
                <w:rFonts w:ascii="宋体" w:hAnsi="宋体"/>
                <w:sz w:val="24"/>
                <w:szCs w:val="24"/>
                <w:highlight w:val="none"/>
              </w:rPr>
            </w:pPr>
            <w:r>
              <w:rPr>
                <w:rFonts w:hint="eastAsia" w:ascii="宋体" w:hAnsi="宋体" w:eastAsia="宋体" w:cs="宋体"/>
                <w:color w:val="auto"/>
                <w:kern w:val="0"/>
                <w:sz w:val="24"/>
                <w:szCs w:val="24"/>
                <w:highlight w:val="none"/>
                <w:lang w:val="en-US" w:eastAsia="zh-CN"/>
              </w:rPr>
              <w:t>商务</w:t>
            </w:r>
          </w:p>
        </w:tc>
        <w:tc>
          <w:tcPr>
            <w:tcW w:w="1118" w:type="dxa"/>
            <w:tcBorders>
              <w:left w:val="single" w:color="auto" w:sz="4" w:space="0"/>
              <w:right w:val="single" w:color="auto" w:sz="4" w:space="0"/>
            </w:tcBorders>
            <w:shd w:val="clear" w:color="auto" w:fill="auto"/>
            <w:noWrap w:val="0"/>
            <w:vAlign w:val="center"/>
          </w:tcPr>
          <w:p w14:paraId="3668BD4D">
            <w:pPr>
              <w:widowControl/>
              <w:jc w:val="left"/>
              <w:rPr>
                <w:rFonts w:hint="default" w:ascii="宋体" w:hAnsi="宋体"/>
                <w:sz w:val="24"/>
                <w:szCs w:val="24"/>
                <w:highlight w:val="none"/>
                <w:lang w:val="en-US"/>
              </w:rPr>
            </w:pPr>
            <w:r>
              <w:rPr>
                <w:rFonts w:hint="eastAsia" w:ascii="宋体" w:hAnsi="宋体" w:eastAsia="宋体" w:cs="宋体"/>
                <w:color w:val="auto"/>
                <w:kern w:val="0"/>
                <w:sz w:val="24"/>
                <w:szCs w:val="24"/>
                <w:highlight w:val="none"/>
              </w:rPr>
              <w:t>类似项目业绩</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7253" w:type="dxa"/>
            <w:tcBorders>
              <w:left w:val="single" w:color="auto" w:sz="4" w:space="0"/>
            </w:tcBorders>
            <w:shd w:val="clear" w:color="auto" w:fill="auto"/>
            <w:noWrap w:val="0"/>
            <w:vAlign w:val="center"/>
          </w:tcPr>
          <w:p w14:paraId="1C01C2F8">
            <w:pPr>
              <w:widowControl/>
              <w:jc w:val="left"/>
              <w:rPr>
                <w:rFonts w:hint="default" w:ascii="宋体" w:hAnsi="宋体" w:eastAsia="宋体"/>
                <w:color w:val="auto"/>
                <w:sz w:val="24"/>
                <w:szCs w:val="24"/>
                <w:highlight w:val="yellow"/>
                <w:lang w:val="en-US" w:eastAsia="zh-CN"/>
              </w:rPr>
            </w:pPr>
            <w:r>
              <w:rPr>
                <w:rFonts w:hint="eastAsia" w:ascii="宋体" w:hAnsi="宋体" w:eastAsia="宋体" w:cs="宋体"/>
                <w:color w:val="auto"/>
                <w:kern w:val="0"/>
                <w:sz w:val="24"/>
                <w:szCs w:val="24"/>
                <w:highlight w:val="none"/>
                <w:lang w:eastAsia="zh-CN"/>
              </w:rPr>
              <w:t>提供自</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月1日至今，正开展或已完成的类似物业项目案例，每个业绩得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分。同一项目案例不重复计算。需提供业绩合同复印件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不提供</w:t>
            </w:r>
            <w:r>
              <w:rPr>
                <w:rFonts w:hint="eastAsia" w:ascii="宋体" w:hAnsi="宋体" w:eastAsia="宋体" w:cs="宋体"/>
                <w:color w:val="auto"/>
                <w:kern w:val="0"/>
                <w:sz w:val="24"/>
                <w:szCs w:val="24"/>
                <w:highlight w:val="none"/>
              </w:rPr>
              <w:t>不得分。</w:t>
            </w:r>
          </w:p>
        </w:tc>
      </w:tr>
    </w:tbl>
    <w:p w14:paraId="265871CF">
      <w:pPr>
        <w:pageBreakBefore w:val="0"/>
        <w:numPr>
          <w:ilvl w:val="0"/>
          <w:numId w:val="0"/>
        </w:numPr>
        <w:tabs>
          <w:tab w:val="left" w:pos="360"/>
          <w:tab w:val="left" w:pos="900"/>
        </w:tabs>
        <w:wordWrap/>
        <w:topLinePunct w:val="0"/>
        <w:bidi w:val="0"/>
        <w:snapToGrid w:val="0"/>
        <w:spacing w:line="360" w:lineRule="auto"/>
        <w:ind w:leftChars="0"/>
        <w:jc w:val="both"/>
        <w:outlineLvl w:val="1"/>
        <w:rPr>
          <w:rFonts w:hint="eastAsia"/>
          <w:color w:val="auto"/>
          <w:highlight w:val="none"/>
        </w:rPr>
      </w:pPr>
    </w:p>
    <w:p w14:paraId="2AB58F96">
      <w:pPr>
        <w:pStyle w:val="46"/>
        <w:ind w:left="0" w:leftChars="0" w:firstLine="0" w:firstLineChars="0"/>
        <w:rPr>
          <w:rFonts w:hint="eastAsia" w:ascii="宋体" w:hAnsi="宋体" w:eastAsia="宋体" w:cs="宋体"/>
          <w:b/>
          <w:color w:val="auto"/>
          <w:sz w:val="36"/>
          <w:szCs w:val="36"/>
          <w:highlight w:val="none"/>
          <w:lang w:val="en-US" w:eastAsia="zh-CN"/>
        </w:rPr>
      </w:pPr>
      <w:bookmarkStart w:id="807" w:name="_Toc5904"/>
    </w:p>
    <w:p w14:paraId="62C6B396">
      <w:pPr>
        <w:pStyle w:val="46"/>
        <w:ind w:left="0" w:leftChars="0" w:firstLine="0" w:firstLineChars="0"/>
        <w:rPr>
          <w:rFonts w:hint="eastAsia" w:ascii="宋体" w:hAnsi="宋体" w:eastAsia="宋体" w:cs="宋体"/>
          <w:b/>
          <w:color w:val="auto"/>
          <w:sz w:val="36"/>
          <w:szCs w:val="36"/>
          <w:highlight w:val="none"/>
          <w:lang w:val="en-US" w:eastAsia="zh-CN"/>
        </w:rPr>
      </w:pPr>
    </w:p>
    <w:p w14:paraId="568C785E">
      <w:pPr>
        <w:pStyle w:val="46"/>
        <w:ind w:left="0" w:leftChars="0" w:firstLine="0" w:firstLineChars="0"/>
        <w:rPr>
          <w:rFonts w:hint="eastAsia" w:ascii="宋体" w:hAnsi="宋体" w:eastAsia="宋体" w:cs="宋体"/>
          <w:b/>
          <w:color w:val="auto"/>
          <w:sz w:val="36"/>
          <w:szCs w:val="36"/>
          <w:highlight w:val="none"/>
          <w:lang w:val="en-US" w:eastAsia="zh-CN"/>
        </w:rPr>
      </w:pPr>
    </w:p>
    <w:p w14:paraId="724C4D5C">
      <w:pPr>
        <w:pStyle w:val="46"/>
        <w:ind w:left="0" w:leftChars="0" w:firstLine="0" w:firstLineChars="0"/>
        <w:rPr>
          <w:rFonts w:hint="eastAsia" w:ascii="宋体" w:hAnsi="宋体" w:eastAsia="宋体" w:cs="宋体"/>
          <w:b/>
          <w:color w:val="auto"/>
          <w:sz w:val="36"/>
          <w:szCs w:val="36"/>
          <w:highlight w:val="none"/>
          <w:lang w:val="en-US" w:eastAsia="zh-CN"/>
        </w:rPr>
      </w:pPr>
    </w:p>
    <w:p w14:paraId="041489EC">
      <w:pPr>
        <w:pStyle w:val="46"/>
        <w:ind w:left="0" w:leftChars="0" w:firstLine="0" w:firstLineChars="0"/>
        <w:rPr>
          <w:rFonts w:hint="eastAsia" w:ascii="宋体" w:hAnsi="宋体" w:eastAsia="宋体" w:cs="宋体"/>
          <w:b/>
          <w:color w:val="auto"/>
          <w:sz w:val="36"/>
          <w:szCs w:val="36"/>
          <w:highlight w:val="none"/>
          <w:lang w:val="en-US" w:eastAsia="zh-CN"/>
        </w:rPr>
      </w:pPr>
    </w:p>
    <w:p w14:paraId="3AEB2F3C">
      <w:pPr>
        <w:pStyle w:val="46"/>
        <w:ind w:left="0" w:leftChars="0" w:firstLine="0" w:firstLineChars="0"/>
        <w:rPr>
          <w:rFonts w:hint="eastAsia" w:ascii="宋体" w:hAnsi="宋体" w:eastAsia="宋体" w:cs="宋体"/>
          <w:b/>
          <w:color w:val="auto"/>
          <w:sz w:val="36"/>
          <w:szCs w:val="36"/>
          <w:highlight w:val="none"/>
          <w:lang w:val="en-US" w:eastAsia="zh-CN"/>
        </w:rPr>
      </w:pPr>
    </w:p>
    <w:p w14:paraId="5ADD723A">
      <w:pPr>
        <w:pStyle w:val="46"/>
        <w:ind w:left="0" w:leftChars="0" w:firstLine="0" w:firstLineChars="0"/>
        <w:rPr>
          <w:rFonts w:hint="eastAsia" w:ascii="宋体" w:hAnsi="宋体" w:eastAsia="宋体" w:cs="宋体"/>
          <w:b/>
          <w:color w:val="auto"/>
          <w:sz w:val="36"/>
          <w:szCs w:val="36"/>
          <w:highlight w:val="none"/>
          <w:lang w:val="en-US" w:eastAsia="zh-CN"/>
        </w:rPr>
      </w:pPr>
    </w:p>
    <w:p w14:paraId="6A4B2B95">
      <w:pPr>
        <w:pStyle w:val="46"/>
        <w:ind w:left="0" w:leftChars="0" w:firstLine="0" w:firstLineChars="0"/>
        <w:rPr>
          <w:rFonts w:hint="eastAsia" w:ascii="宋体" w:hAnsi="宋体" w:eastAsia="宋体" w:cs="宋体"/>
          <w:b/>
          <w:color w:val="auto"/>
          <w:sz w:val="36"/>
          <w:szCs w:val="36"/>
          <w:highlight w:val="none"/>
          <w:lang w:val="en-US" w:eastAsia="zh-CN"/>
        </w:rPr>
      </w:pPr>
    </w:p>
    <w:p w14:paraId="77D6D95E">
      <w:pPr>
        <w:pStyle w:val="46"/>
        <w:ind w:left="0" w:leftChars="0" w:firstLine="0" w:firstLineChars="0"/>
        <w:rPr>
          <w:rFonts w:hint="eastAsia" w:ascii="宋体" w:hAnsi="宋体" w:eastAsia="宋体" w:cs="宋体"/>
          <w:b/>
          <w:color w:val="auto"/>
          <w:sz w:val="36"/>
          <w:szCs w:val="36"/>
          <w:highlight w:val="none"/>
          <w:lang w:val="en-US" w:eastAsia="zh-CN"/>
        </w:rPr>
      </w:pPr>
    </w:p>
    <w:p w14:paraId="6DABD8DB">
      <w:pPr>
        <w:pStyle w:val="46"/>
        <w:ind w:left="0" w:leftChars="0" w:firstLine="0" w:firstLineChars="0"/>
        <w:rPr>
          <w:rFonts w:hint="eastAsia" w:ascii="宋体" w:hAnsi="宋体" w:eastAsia="宋体" w:cs="宋体"/>
          <w:b/>
          <w:color w:val="auto"/>
          <w:sz w:val="36"/>
          <w:szCs w:val="36"/>
          <w:highlight w:val="none"/>
          <w:lang w:val="en-US" w:eastAsia="zh-CN"/>
        </w:rPr>
      </w:pPr>
    </w:p>
    <w:p w14:paraId="79A1C00D">
      <w:pPr>
        <w:pStyle w:val="46"/>
        <w:ind w:left="0" w:leftChars="0" w:firstLine="0" w:firstLineChars="0"/>
        <w:rPr>
          <w:rFonts w:hint="eastAsia" w:ascii="宋体" w:hAnsi="宋体" w:eastAsia="宋体" w:cs="宋体"/>
          <w:b/>
          <w:color w:val="auto"/>
          <w:sz w:val="36"/>
          <w:szCs w:val="36"/>
          <w:highlight w:val="none"/>
          <w:lang w:val="en-US" w:eastAsia="zh-CN"/>
        </w:rPr>
      </w:pPr>
    </w:p>
    <w:p w14:paraId="5A75124D">
      <w:pPr>
        <w:pStyle w:val="46"/>
        <w:ind w:left="0" w:leftChars="0" w:firstLine="0" w:firstLineChars="0"/>
        <w:rPr>
          <w:rFonts w:hint="eastAsia" w:ascii="宋体" w:hAnsi="宋体" w:eastAsia="宋体" w:cs="宋体"/>
          <w:b/>
          <w:color w:val="auto"/>
          <w:sz w:val="36"/>
          <w:szCs w:val="36"/>
          <w:highlight w:val="none"/>
          <w:lang w:val="en-US" w:eastAsia="zh-CN"/>
        </w:rPr>
      </w:pPr>
    </w:p>
    <w:p w14:paraId="11A5674F">
      <w:pPr>
        <w:pStyle w:val="46"/>
        <w:ind w:left="0" w:leftChars="0" w:firstLine="0" w:firstLineChars="0"/>
        <w:rPr>
          <w:rFonts w:hint="eastAsia" w:ascii="宋体" w:hAnsi="宋体" w:eastAsia="宋体" w:cs="宋体"/>
          <w:b/>
          <w:color w:val="auto"/>
          <w:sz w:val="36"/>
          <w:szCs w:val="36"/>
          <w:highlight w:val="none"/>
          <w:lang w:val="en-US" w:eastAsia="zh-CN"/>
        </w:rPr>
      </w:pPr>
    </w:p>
    <w:p w14:paraId="077AF069">
      <w:pPr>
        <w:pStyle w:val="46"/>
        <w:ind w:left="0" w:leftChars="0" w:firstLine="0" w:firstLineChars="0"/>
        <w:rPr>
          <w:rFonts w:hint="eastAsia" w:ascii="宋体" w:hAnsi="宋体" w:eastAsia="宋体" w:cs="宋体"/>
          <w:b/>
          <w:color w:val="auto"/>
          <w:sz w:val="36"/>
          <w:szCs w:val="36"/>
          <w:highlight w:val="none"/>
          <w:lang w:val="en-US" w:eastAsia="zh-CN"/>
        </w:rPr>
      </w:pPr>
    </w:p>
    <w:p w14:paraId="635084C6">
      <w:pPr>
        <w:pStyle w:val="46"/>
        <w:ind w:left="0" w:leftChars="0" w:firstLine="0" w:firstLineChars="0"/>
        <w:rPr>
          <w:rFonts w:hint="eastAsia" w:ascii="宋体" w:hAnsi="宋体" w:eastAsia="宋体" w:cs="宋体"/>
          <w:b/>
          <w:color w:val="auto"/>
          <w:sz w:val="36"/>
          <w:szCs w:val="36"/>
          <w:highlight w:val="none"/>
          <w:lang w:val="en-US" w:eastAsia="zh-CN"/>
        </w:rPr>
      </w:pPr>
    </w:p>
    <w:p w14:paraId="3D6F9733">
      <w:pPr>
        <w:pStyle w:val="46"/>
        <w:ind w:left="0" w:leftChars="0" w:firstLine="0" w:firstLineChars="0"/>
        <w:rPr>
          <w:rFonts w:hint="eastAsia" w:ascii="宋体" w:hAnsi="宋体" w:eastAsia="宋体" w:cs="宋体"/>
          <w:b/>
          <w:color w:val="auto"/>
          <w:sz w:val="36"/>
          <w:szCs w:val="36"/>
          <w:highlight w:val="none"/>
          <w:lang w:val="en-US" w:eastAsia="zh-CN"/>
        </w:rPr>
      </w:pPr>
    </w:p>
    <w:p w14:paraId="56C98875">
      <w:pPr>
        <w:pStyle w:val="46"/>
        <w:ind w:left="0" w:leftChars="0" w:firstLine="0" w:firstLineChars="0"/>
        <w:rPr>
          <w:rFonts w:hint="eastAsia" w:ascii="宋体" w:hAnsi="宋体" w:eastAsia="宋体" w:cs="宋体"/>
          <w:b/>
          <w:color w:val="auto"/>
          <w:sz w:val="36"/>
          <w:szCs w:val="36"/>
          <w:highlight w:val="none"/>
          <w:lang w:val="en-US" w:eastAsia="zh-CN"/>
        </w:rPr>
      </w:pPr>
    </w:p>
    <w:p w14:paraId="1BA1EC8B">
      <w:pPr>
        <w:pStyle w:val="46"/>
        <w:ind w:left="0" w:leftChars="0" w:firstLine="0" w:firstLineChars="0"/>
        <w:rPr>
          <w:rFonts w:hint="eastAsia" w:ascii="宋体" w:hAnsi="宋体" w:eastAsia="宋体" w:cs="宋体"/>
          <w:b/>
          <w:color w:val="auto"/>
          <w:sz w:val="36"/>
          <w:szCs w:val="36"/>
          <w:highlight w:val="none"/>
          <w:lang w:val="en-US" w:eastAsia="zh-CN"/>
        </w:rPr>
      </w:pPr>
    </w:p>
    <w:p w14:paraId="537E713C">
      <w:pPr>
        <w:pStyle w:val="46"/>
        <w:ind w:left="0" w:leftChars="0" w:firstLine="0" w:firstLineChars="0"/>
        <w:rPr>
          <w:rFonts w:hint="eastAsia" w:ascii="宋体" w:hAnsi="宋体" w:eastAsia="宋体" w:cs="宋体"/>
          <w:b/>
          <w:color w:val="auto"/>
          <w:sz w:val="36"/>
          <w:szCs w:val="36"/>
          <w:highlight w:val="none"/>
          <w:lang w:val="en-US" w:eastAsia="zh-CN"/>
        </w:rPr>
      </w:pPr>
    </w:p>
    <w:p w14:paraId="45527DAE">
      <w:pPr>
        <w:pStyle w:val="46"/>
        <w:ind w:left="0" w:leftChars="0" w:firstLine="0" w:firstLineChars="0"/>
        <w:rPr>
          <w:rFonts w:hint="eastAsia" w:ascii="宋体" w:hAnsi="宋体" w:eastAsia="宋体" w:cs="宋体"/>
          <w:b/>
          <w:color w:val="auto"/>
          <w:sz w:val="36"/>
          <w:szCs w:val="36"/>
          <w:highlight w:val="none"/>
          <w:lang w:val="en-US" w:eastAsia="zh-CN"/>
        </w:rPr>
      </w:pPr>
    </w:p>
    <w:p w14:paraId="1B3F4545">
      <w:pPr>
        <w:pStyle w:val="46"/>
        <w:ind w:left="0" w:leftChars="0" w:firstLine="0" w:firstLineChars="0"/>
        <w:rPr>
          <w:rFonts w:hint="eastAsia" w:ascii="宋体" w:hAnsi="宋体" w:eastAsia="宋体" w:cs="宋体"/>
          <w:b/>
          <w:color w:val="auto"/>
          <w:sz w:val="36"/>
          <w:szCs w:val="36"/>
          <w:highlight w:val="none"/>
          <w:lang w:val="en-US" w:eastAsia="zh-CN"/>
        </w:rPr>
      </w:pPr>
    </w:p>
    <w:p w14:paraId="07E5DF7F">
      <w:pPr>
        <w:pageBreakBefore w:val="0"/>
        <w:numPr>
          <w:ilvl w:val="0"/>
          <w:numId w:val="0"/>
        </w:numPr>
        <w:wordWrap/>
        <w:topLinePunct w:val="0"/>
        <w:bidi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w:t>
      </w: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lang w:val="en-US" w:eastAsia="zh-CN"/>
        </w:rPr>
        <w:t xml:space="preserve">章 </w:t>
      </w:r>
      <w:r>
        <w:rPr>
          <w:rFonts w:hint="eastAsia" w:ascii="宋体" w:hAnsi="宋体" w:eastAsia="宋体" w:cs="宋体"/>
          <w:b/>
          <w:color w:val="auto"/>
          <w:sz w:val="36"/>
          <w:szCs w:val="36"/>
          <w:highlight w:val="none"/>
        </w:rPr>
        <w:t>采购需求</w:t>
      </w:r>
      <w:bookmarkEnd w:id="807"/>
    </w:p>
    <w:p w14:paraId="2F5D138F">
      <w:pPr>
        <w:pStyle w:val="142"/>
        <w:spacing w:line="360" w:lineRule="auto"/>
        <w:jc w:val="center"/>
        <w:textAlignment w:val="baseline"/>
        <w:rPr>
          <w:rFonts w:ascii="宋体" w:hAnsi="宋体" w:eastAsia="宋体" w:cs="Times New Roman"/>
          <w:b/>
          <w:sz w:val="30"/>
          <w:szCs w:val="30"/>
          <w:highlight w:val="none"/>
        </w:rPr>
      </w:pPr>
      <w:r>
        <w:rPr>
          <w:rFonts w:hint="eastAsia" w:ascii="宋体" w:hAnsi="宋体" w:eastAsia="宋体" w:cs="Times New Roman"/>
          <w:b/>
          <w:sz w:val="30"/>
          <w:szCs w:val="30"/>
          <w:highlight w:val="none"/>
        </w:rPr>
        <w:t>北京市射击运动技术学校</w:t>
      </w:r>
    </w:p>
    <w:p w14:paraId="2756A4A2">
      <w:pPr>
        <w:pStyle w:val="142"/>
        <w:spacing w:line="360" w:lineRule="auto"/>
        <w:jc w:val="center"/>
        <w:textAlignment w:val="baseline"/>
        <w:rPr>
          <w:rFonts w:ascii="宋体" w:hAnsi="宋体" w:eastAsia="宋体" w:cs="Times New Roman"/>
          <w:b/>
          <w:i/>
          <w:sz w:val="30"/>
          <w:szCs w:val="30"/>
          <w:highlight w:val="none"/>
        </w:rPr>
      </w:pPr>
      <w:r>
        <w:rPr>
          <w:rFonts w:hint="eastAsia" w:ascii="宋体" w:hAnsi="宋体" w:eastAsia="宋体" w:cs="Times New Roman"/>
          <w:b/>
          <w:sz w:val="30"/>
          <w:szCs w:val="30"/>
          <w:highlight w:val="none"/>
        </w:rPr>
        <w:t>物业采购</w:t>
      </w:r>
      <w:r>
        <w:rPr>
          <w:rFonts w:ascii="宋体" w:hAnsi="宋体" w:eastAsia="宋体" w:cs="Times New Roman"/>
          <w:b/>
          <w:sz w:val="30"/>
          <w:szCs w:val="30"/>
          <w:highlight w:val="none"/>
        </w:rPr>
        <w:t>项目需求书</w:t>
      </w:r>
    </w:p>
    <w:p w14:paraId="535AF06F">
      <w:pPr>
        <w:spacing w:line="540" w:lineRule="exact"/>
        <w:ind w:firstLine="482" w:firstLineChars="200"/>
        <w:textAlignment w:val="baseline"/>
        <w:rPr>
          <w:rFonts w:ascii="宋体" w:hAnsi="宋体"/>
          <w:b/>
          <w:bCs/>
          <w:sz w:val="24"/>
          <w:szCs w:val="24"/>
        </w:rPr>
      </w:pPr>
      <w:r>
        <w:rPr>
          <w:rFonts w:hint="eastAsia" w:ascii="宋体" w:hAnsi="宋体"/>
          <w:b/>
          <w:bCs/>
          <w:sz w:val="24"/>
          <w:szCs w:val="24"/>
        </w:rPr>
        <w:t>一</w:t>
      </w:r>
      <w:r>
        <w:rPr>
          <w:rFonts w:ascii="宋体" w:hAnsi="宋体"/>
          <w:b/>
          <w:bCs/>
          <w:sz w:val="24"/>
          <w:szCs w:val="24"/>
        </w:rPr>
        <w:t>、技术要求</w:t>
      </w:r>
    </w:p>
    <w:p w14:paraId="70E465A3">
      <w:pPr>
        <w:spacing w:line="540" w:lineRule="exact"/>
        <w:ind w:firstLine="480" w:firstLineChars="200"/>
        <w:textAlignment w:val="baseline"/>
        <w:rPr>
          <w:rFonts w:ascii="宋体" w:hAnsi="宋体"/>
          <w:sz w:val="24"/>
          <w:szCs w:val="24"/>
        </w:rPr>
      </w:pPr>
      <w:r>
        <w:rPr>
          <w:rFonts w:ascii="宋体" w:hAnsi="宋体"/>
          <w:sz w:val="24"/>
          <w:szCs w:val="24"/>
        </w:rPr>
        <w:t>（一）具体需求详见本部分项目需求书。</w:t>
      </w:r>
    </w:p>
    <w:p w14:paraId="7698C734">
      <w:pPr>
        <w:spacing w:line="540" w:lineRule="exact"/>
        <w:ind w:firstLine="480" w:firstLineChars="200"/>
        <w:textAlignment w:val="baseline"/>
        <w:rPr>
          <w:rFonts w:ascii="宋体" w:hAnsi="宋体"/>
          <w:sz w:val="24"/>
          <w:szCs w:val="24"/>
        </w:rPr>
      </w:pPr>
      <w:r>
        <w:rPr>
          <w:rFonts w:ascii="宋体" w:hAnsi="宋体"/>
          <w:kern w:val="0"/>
          <w:sz w:val="24"/>
          <w:szCs w:val="24"/>
        </w:rPr>
        <w:t>（二）</w:t>
      </w:r>
      <w:r>
        <w:rPr>
          <w:rFonts w:ascii="宋体" w:hAnsi="宋体"/>
          <w:sz w:val="24"/>
          <w:szCs w:val="24"/>
        </w:rPr>
        <w:t>投标人须承诺所提供的服务、人员及设备符合相关国家强制性规定。</w:t>
      </w:r>
    </w:p>
    <w:p w14:paraId="6CB88361">
      <w:pPr>
        <w:spacing w:line="540" w:lineRule="exact"/>
        <w:ind w:firstLine="480" w:firstLineChars="200"/>
        <w:textAlignment w:val="baseline"/>
        <w:rPr>
          <w:rFonts w:ascii="宋体" w:hAnsi="宋体"/>
          <w:sz w:val="24"/>
          <w:szCs w:val="24"/>
        </w:rPr>
      </w:pPr>
      <w:r>
        <w:rPr>
          <w:rFonts w:ascii="宋体" w:hAnsi="宋体"/>
          <w:sz w:val="24"/>
          <w:szCs w:val="24"/>
        </w:rPr>
        <w:t>（三）根据《</w:t>
      </w:r>
      <w:r>
        <w:rPr>
          <w:rFonts w:hint="eastAsia" w:ascii="宋体" w:hAnsi="宋体"/>
          <w:sz w:val="24"/>
          <w:szCs w:val="24"/>
        </w:rPr>
        <w:t>中华人民共和国民法典</w:t>
      </w:r>
      <w:r>
        <w:rPr>
          <w:rFonts w:ascii="宋体" w:hAnsi="宋体"/>
          <w:sz w:val="24"/>
          <w:szCs w:val="24"/>
        </w:rPr>
        <w:t>》及其他法律法规的要求，本项目中标投标单位须与实施物业管理服务人员签订用工合同</w:t>
      </w:r>
      <w:r>
        <w:rPr>
          <w:rFonts w:hint="eastAsia" w:ascii="宋体" w:hAnsi="宋体"/>
          <w:sz w:val="24"/>
          <w:szCs w:val="24"/>
        </w:rPr>
        <w:t>，按北京市相关政策规定，支付工资、加班费和福利费及</w:t>
      </w:r>
      <w:r>
        <w:rPr>
          <w:rFonts w:ascii="宋体" w:hAnsi="宋体"/>
          <w:sz w:val="24"/>
          <w:szCs w:val="24"/>
        </w:rPr>
        <w:t>缴纳社会保险。</w:t>
      </w:r>
    </w:p>
    <w:p w14:paraId="0543DD60">
      <w:pPr>
        <w:spacing w:line="540" w:lineRule="exact"/>
        <w:ind w:firstLine="480" w:firstLineChars="200"/>
        <w:jc w:val="left"/>
        <w:textAlignment w:val="baseline"/>
        <w:rPr>
          <w:rFonts w:ascii="宋体" w:hAnsi="宋体"/>
          <w:kern w:val="0"/>
          <w:sz w:val="24"/>
          <w:szCs w:val="24"/>
          <w:highlight w:val="none"/>
        </w:rPr>
      </w:pPr>
      <w:r>
        <w:rPr>
          <w:rFonts w:ascii="宋体" w:hAnsi="宋体"/>
          <w:sz w:val="24"/>
          <w:szCs w:val="24"/>
        </w:rPr>
        <w:t>（四）项目经理及技术人员须具备国家相关部门颁发的在有效期内的资质证书，项目实施过程中</w:t>
      </w:r>
      <w:r>
        <w:rPr>
          <w:rFonts w:hint="eastAsia" w:ascii="宋体" w:hAnsi="宋体"/>
          <w:sz w:val="24"/>
          <w:szCs w:val="24"/>
        </w:rPr>
        <w:t>必须</w:t>
      </w:r>
      <w:r>
        <w:rPr>
          <w:rFonts w:ascii="宋体" w:hAnsi="宋体"/>
          <w:sz w:val="24"/>
          <w:szCs w:val="24"/>
        </w:rPr>
        <w:t>保证持证上岗</w:t>
      </w:r>
      <w:r>
        <w:rPr>
          <w:rFonts w:hint="eastAsia" w:ascii="宋体" w:hAnsi="宋体"/>
          <w:sz w:val="24"/>
          <w:szCs w:val="24"/>
        </w:rPr>
        <w:t>；</w:t>
      </w:r>
      <w:r>
        <w:rPr>
          <w:rFonts w:hint="eastAsia" w:ascii="宋体" w:hAnsi="宋体" w:cs="宋体"/>
          <w:kern w:val="0"/>
          <w:sz w:val="24"/>
          <w:szCs w:val="24"/>
        </w:rPr>
        <w:t>派驻现场物业经理</w:t>
      </w:r>
      <w:r>
        <w:rPr>
          <w:rFonts w:ascii="宋体" w:hAnsi="宋体" w:cs="宋体"/>
          <w:kern w:val="0"/>
          <w:sz w:val="24"/>
          <w:szCs w:val="24"/>
        </w:rPr>
        <w:t>1名，为本单位职工，</w:t>
      </w:r>
      <w:r>
        <w:rPr>
          <w:rFonts w:hint="eastAsia" w:ascii="宋体" w:hAnsi="宋体" w:cs="宋体"/>
          <w:kern w:val="0"/>
          <w:sz w:val="24"/>
          <w:szCs w:val="24"/>
        </w:rPr>
        <w:t>需持有北京市物业管理办公室颁发的《物业管理项目经理岗位证书》，并具有三年以上物业项目管理服务</w:t>
      </w:r>
      <w:r>
        <w:rPr>
          <w:rFonts w:hint="eastAsia" w:ascii="宋体" w:hAnsi="宋体" w:cs="宋体"/>
          <w:kern w:val="0"/>
          <w:sz w:val="24"/>
          <w:szCs w:val="24"/>
          <w:highlight w:val="none"/>
        </w:rPr>
        <w:t>经验，</w:t>
      </w:r>
      <w:r>
        <w:rPr>
          <w:rFonts w:ascii="宋体" w:hAnsi="宋体"/>
          <w:kern w:val="0"/>
          <w:sz w:val="24"/>
          <w:szCs w:val="24"/>
          <w:highlight w:val="none"/>
        </w:rPr>
        <w:t>提供</w:t>
      </w:r>
      <w:r>
        <w:rPr>
          <w:rFonts w:hint="eastAsia" w:ascii="宋体" w:hAnsi="宋体"/>
          <w:kern w:val="0"/>
          <w:sz w:val="24"/>
          <w:szCs w:val="24"/>
          <w:highlight w:val="none"/>
        </w:rPr>
        <w:t>物业</w:t>
      </w:r>
      <w:r>
        <w:rPr>
          <w:rFonts w:ascii="宋体" w:hAnsi="宋体"/>
          <w:kern w:val="0"/>
          <w:sz w:val="24"/>
          <w:szCs w:val="24"/>
          <w:highlight w:val="none"/>
        </w:rPr>
        <w:t>经理</w:t>
      </w:r>
      <w:r>
        <w:rPr>
          <w:rFonts w:hint="eastAsia" w:ascii="宋体" w:hAnsi="宋体"/>
          <w:kern w:val="0"/>
          <w:sz w:val="24"/>
          <w:szCs w:val="24"/>
          <w:highlight w:val="none"/>
          <w:lang w:val="en-US" w:eastAsia="zh-CN"/>
        </w:rPr>
        <w:t>2024</w:t>
      </w:r>
      <w:r>
        <w:rPr>
          <w:rFonts w:ascii="宋体" w:hAnsi="宋体"/>
          <w:kern w:val="0"/>
          <w:sz w:val="24"/>
          <w:szCs w:val="24"/>
          <w:highlight w:val="none"/>
        </w:rPr>
        <w:t>年内</w:t>
      </w:r>
      <w:r>
        <w:rPr>
          <w:rFonts w:hint="eastAsia" w:ascii="宋体" w:hAnsi="宋体"/>
          <w:kern w:val="0"/>
          <w:sz w:val="24"/>
          <w:szCs w:val="24"/>
          <w:highlight w:val="none"/>
          <w:lang w:val="en-US" w:eastAsia="zh-CN"/>
        </w:rPr>
        <w:t>连续三个月</w:t>
      </w:r>
      <w:r>
        <w:rPr>
          <w:rFonts w:hint="eastAsia" w:ascii="宋体" w:hAnsi="宋体"/>
          <w:kern w:val="0"/>
          <w:sz w:val="24"/>
          <w:szCs w:val="24"/>
          <w:highlight w:val="none"/>
        </w:rPr>
        <w:t>在本单位</w:t>
      </w:r>
      <w:r>
        <w:rPr>
          <w:rFonts w:ascii="宋体" w:hAnsi="宋体"/>
          <w:kern w:val="0"/>
          <w:sz w:val="24"/>
          <w:szCs w:val="24"/>
          <w:highlight w:val="none"/>
        </w:rPr>
        <w:t>缴纳社保保险证明</w:t>
      </w:r>
      <w:r>
        <w:rPr>
          <w:rFonts w:hint="eastAsia" w:ascii="宋体" w:hAnsi="宋体"/>
          <w:kern w:val="0"/>
          <w:sz w:val="24"/>
          <w:szCs w:val="24"/>
          <w:highlight w:val="none"/>
        </w:rPr>
        <w:t>材料</w:t>
      </w:r>
      <w:r>
        <w:rPr>
          <w:rFonts w:ascii="宋体" w:hAnsi="宋体"/>
          <w:kern w:val="0"/>
          <w:sz w:val="24"/>
          <w:szCs w:val="24"/>
          <w:highlight w:val="none"/>
        </w:rPr>
        <w:t>。</w:t>
      </w:r>
    </w:p>
    <w:p w14:paraId="2A334F9B">
      <w:pPr>
        <w:widowControl/>
        <w:spacing w:line="540" w:lineRule="exact"/>
        <w:ind w:firstLine="480" w:firstLineChars="200"/>
        <w:jc w:val="left"/>
        <w:textAlignment w:val="baseline"/>
        <w:rPr>
          <w:rFonts w:ascii="宋体" w:hAnsi="宋体"/>
          <w:sz w:val="24"/>
          <w:szCs w:val="24"/>
          <w:highlight w:val="none"/>
        </w:rPr>
      </w:pPr>
      <w:r>
        <w:rPr>
          <w:rFonts w:ascii="宋体" w:hAnsi="宋体"/>
          <w:sz w:val="24"/>
          <w:szCs w:val="24"/>
          <w:highlight w:val="none"/>
        </w:rPr>
        <w:t>（五）本项目不接受赠品或者与采购无关的其他商品、服务，投标人亦不得以招标人要求实施前述馈赠、回扣等行为。</w:t>
      </w:r>
    </w:p>
    <w:p w14:paraId="31D41153">
      <w:pPr>
        <w:pStyle w:val="142"/>
        <w:spacing w:line="540" w:lineRule="exact"/>
        <w:ind w:firstLine="482" w:firstLineChars="200"/>
        <w:jc w:val="both"/>
        <w:textAlignment w:val="baseline"/>
        <w:rPr>
          <w:rFonts w:ascii="宋体" w:hAnsi="宋体" w:eastAsia="宋体" w:cs="Times New Roman"/>
          <w:b/>
          <w:kern w:val="2"/>
          <w:highlight w:val="none"/>
        </w:rPr>
      </w:pPr>
      <w:r>
        <w:rPr>
          <w:rFonts w:hint="eastAsia" w:ascii="宋体" w:hAnsi="宋体" w:eastAsia="宋体" w:cs="Times New Roman"/>
          <w:b/>
          <w:kern w:val="2"/>
          <w:highlight w:val="none"/>
        </w:rPr>
        <w:t>二</w:t>
      </w:r>
      <w:r>
        <w:rPr>
          <w:rFonts w:ascii="宋体" w:hAnsi="宋体" w:eastAsia="宋体" w:cs="Times New Roman"/>
          <w:b/>
          <w:kern w:val="2"/>
          <w:highlight w:val="none"/>
        </w:rPr>
        <w:t>、商务要求</w:t>
      </w:r>
    </w:p>
    <w:p w14:paraId="7BEFDB78">
      <w:pPr>
        <w:pStyle w:val="142"/>
        <w:spacing w:line="540" w:lineRule="exact"/>
        <w:ind w:firstLine="480" w:firstLineChars="200"/>
        <w:jc w:val="both"/>
        <w:textAlignment w:val="baseline"/>
        <w:rPr>
          <w:rFonts w:ascii="宋体" w:hAnsi="宋体" w:eastAsia="宋体" w:cs="Times New Roman"/>
          <w:kern w:val="2"/>
          <w:highlight w:val="none"/>
        </w:rPr>
      </w:pPr>
      <w:r>
        <w:rPr>
          <w:rFonts w:ascii="宋体" w:hAnsi="宋体" w:eastAsia="宋体" w:cs="Times New Roman"/>
          <w:kern w:val="2"/>
          <w:highlight w:val="none"/>
        </w:rPr>
        <w:t>（一）报价要求</w:t>
      </w:r>
    </w:p>
    <w:p w14:paraId="6FE70C0A">
      <w:pPr>
        <w:spacing w:line="540" w:lineRule="exact"/>
        <w:ind w:firstLine="480" w:firstLineChars="200"/>
        <w:textAlignment w:val="baseline"/>
        <w:rPr>
          <w:rFonts w:ascii="宋体" w:hAnsi="宋体"/>
          <w:sz w:val="24"/>
          <w:szCs w:val="24"/>
          <w:highlight w:val="none"/>
        </w:rPr>
      </w:pPr>
      <w:r>
        <w:rPr>
          <w:rFonts w:ascii="宋体" w:hAnsi="宋体"/>
          <w:sz w:val="24"/>
          <w:szCs w:val="24"/>
          <w:highlight w:val="none"/>
        </w:rPr>
        <w:t>1. 投标报价以人民币填</w:t>
      </w:r>
      <w:r>
        <w:rPr>
          <w:rFonts w:hint="eastAsia" w:ascii="宋体" w:hAnsi="宋体"/>
          <w:sz w:val="24"/>
          <w:szCs w:val="24"/>
          <w:highlight w:val="none"/>
        </w:rPr>
        <w:t>写</w:t>
      </w:r>
      <w:r>
        <w:rPr>
          <w:rFonts w:ascii="宋体" w:hAnsi="宋体"/>
          <w:sz w:val="24"/>
          <w:szCs w:val="24"/>
          <w:highlight w:val="none"/>
        </w:rPr>
        <w:t>。</w:t>
      </w:r>
    </w:p>
    <w:p w14:paraId="6AA93F64">
      <w:pPr>
        <w:spacing w:line="540" w:lineRule="exact"/>
        <w:ind w:firstLine="480" w:firstLineChars="200"/>
        <w:textAlignment w:val="baseline"/>
        <w:rPr>
          <w:rFonts w:ascii="宋体" w:hAnsi="宋体"/>
          <w:sz w:val="24"/>
          <w:szCs w:val="24"/>
        </w:rPr>
      </w:pPr>
      <w:r>
        <w:rPr>
          <w:rFonts w:ascii="宋体" w:hAnsi="宋体"/>
          <w:sz w:val="24"/>
          <w:szCs w:val="24"/>
          <w:highlight w:val="none"/>
        </w:rPr>
        <w:t>2. 投标人的报价应包</w:t>
      </w:r>
      <w:r>
        <w:rPr>
          <w:rFonts w:ascii="宋体" w:hAnsi="宋体"/>
          <w:sz w:val="24"/>
          <w:szCs w:val="24"/>
        </w:rPr>
        <w:t>括：人员工资、福利、社险等人工费用、服装费、</w:t>
      </w:r>
      <w:r>
        <w:rPr>
          <w:rFonts w:hint="eastAsia" w:ascii="宋体" w:hAnsi="宋体"/>
          <w:sz w:val="24"/>
          <w:szCs w:val="24"/>
        </w:rPr>
        <w:t>工具耗材费用、</w:t>
      </w:r>
      <w:r>
        <w:rPr>
          <w:rFonts w:ascii="宋体" w:hAnsi="宋体"/>
          <w:sz w:val="24"/>
          <w:szCs w:val="24"/>
        </w:rPr>
        <w:t>办公费、企业利润及税金等</w:t>
      </w:r>
      <w:r>
        <w:rPr>
          <w:rFonts w:hint="eastAsia" w:ascii="宋体" w:hAnsi="宋体"/>
          <w:sz w:val="24"/>
          <w:szCs w:val="24"/>
        </w:rPr>
        <w:t>为完成招标文件规定的一切工作所需的全部费用</w:t>
      </w:r>
      <w:r>
        <w:rPr>
          <w:rFonts w:ascii="宋体" w:hAnsi="宋体"/>
          <w:sz w:val="24"/>
          <w:szCs w:val="24"/>
        </w:rPr>
        <w:t>。</w:t>
      </w:r>
    </w:p>
    <w:p w14:paraId="4C96DCE1">
      <w:pPr>
        <w:spacing w:line="540" w:lineRule="exact"/>
        <w:ind w:firstLine="480" w:firstLineChars="200"/>
        <w:textAlignment w:val="baseline"/>
        <w:rPr>
          <w:rFonts w:ascii="宋体" w:hAnsi="宋体"/>
          <w:kern w:val="0"/>
          <w:sz w:val="24"/>
          <w:szCs w:val="24"/>
        </w:rPr>
      </w:pPr>
      <w:r>
        <w:rPr>
          <w:rFonts w:hint="eastAsia" w:ascii="宋体" w:hAnsi="宋体"/>
          <w:kern w:val="0"/>
          <w:sz w:val="24"/>
          <w:szCs w:val="24"/>
        </w:rPr>
        <w:t>3. 投标报价在不超采购预算的前提下，其合理性由招标小组在评分中予以考虑。</w:t>
      </w:r>
    </w:p>
    <w:p w14:paraId="036783D8">
      <w:pPr>
        <w:spacing w:line="540" w:lineRule="exact"/>
        <w:ind w:firstLine="480" w:firstLineChars="200"/>
        <w:textAlignment w:val="baseline"/>
        <w:rPr>
          <w:rFonts w:ascii="宋体" w:hAnsi="宋体"/>
          <w:sz w:val="24"/>
          <w:szCs w:val="24"/>
        </w:rPr>
      </w:pPr>
      <w:r>
        <w:rPr>
          <w:rFonts w:hint="eastAsia" w:ascii="宋体" w:hAnsi="宋体"/>
          <w:kern w:val="0"/>
          <w:sz w:val="24"/>
          <w:szCs w:val="24"/>
        </w:rPr>
        <w:t xml:space="preserve">4. </w:t>
      </w:r>
      <w:r>
        <w:rPr>
          <w:rFonts w:ascii="宋体" w:hAnsi="宋体"/>
          <w:sz w:val="24"/>
          <w:szCs w:val="24"/>
        </w:rPr>
        <w:t>验收相关费用由</w:t>
      </w:r>
      <w:r>
        <w:rPr>
          <w:rFonts w:hint="eastAsia" w:ascii="宋体" w:hAnsi="宋体"/>
          <w:sz w:val="24"/>
          <w:szCs w:val="24"/>
          <w:lang w:val="en-US" w:eastAsia="zh-CN"/>
        </w:rPr>
        <w:t>中</w:t>
      </w:r>
      <w:r>
        <w:rPr>
          <w:rFonts w:ascii="宋体" w:hAnsi="宋体"/>
          <w:sz w:val="24"/>
          <w:szCs w:val="24"/>
        </w:rPr>
        <w:t>标人负责。</w:t>
      </w:r>
    </w:p>
    <w:p w14:paraId="7AD26EAC">
      <w:pPr>
        <w:tabs>
          <w:tab w:val="left" w:pos="851"/>
        </w:tabs>
        <w:spacing w:line="540" w:lineRule="exact"/>
        <w:ind w:left="284" w:firstLine="240" w:firstLineChars="100"/>
        <w:textAlignment w:val="baseline"/>
        <w:rPr>
          <w:rFonts w:ascii="宋体" w:hAnsi="宋体"/>
          <w:sz w:val="24"/>
          <w:szCs w:val="24"/>
        </w:rPr>
      </w:pPr>
      <w:r>
        <w:rPr>
          <w:rFonts w:hint="eastAsia" w:ascii="宋体" w:hAnsi="宋体" w:eastAsia="宋体" w:cs="宋体"/>
          <w:color w:val="auto"/>
          <w:kern w:val="0"/>
          <w:sz w:val="24"/>
          <w:highlight w:val="none"/>
        </w:rPr>
        <w:t>★</w:t>
      </w:r>
      <w:r>
        <w:rPr>
          <w:rFonts w:hint="eastAsia" w:ascii="宋体" w:hAnsi="宋体"/>
          <w:sz w:val="24"/>
          <w:szCs w:val="24"/>
        </w:rPr>
        <w:t>5.投标报价控制价（最高限价）：</w:t>
      </w:r>
    </w:p>
    <w:p w14:paraId="07ACD69B">
      <w:pPr>
        <w:tabs>
          <w:tab w:val="left" w:pos="1276"/>
        </w:tabs>
        <w:spacing w:line="540" w:lineRule="exact"/>
        <w:ind w:left="851"/>
        <w:textAlignment w:val="baseline"/>
        <w:rPr>
          <w:rFonts w:ascii="宋体" w:hAnsi="宋体"/>
          <w:bCs/>
          <w:sz w:val="24"/>
          <w:szCs w:val="24"/>
        </w:rPr>
      </w:pPr>
      <w:r>
        <w:rPr>
          <w:rFonts w:hint="eastAsia" w:ascii="宋体" w:hAnsi="宋体"/>
          <w:bCs/>
          <w:sz w:val="24"/>
          <w:szCs w:val="24"/>
        </w:rPr>
        <w:t>本次投标的物业服务费用不得高于现行物业服务费标准，详见下表：</w:t>
      </w:r>
    </w:p>
    <w:tbl>
      <w:tblPr>
        <w:tblStyle w:val="47"/>
        <w:tblpPr w:leftFromText="180" w:rightFromText="180" w:vertAnchor="text" w:horzAnchor="page" w:tblpX="2024" w:tblpY="126"/>
        <w:tblOverlap w:val="never"/>
        <w:tblW w:w="8745" w:type="dxa"/>
        <w:tblInd w:w="0" w:type="dxa"/>
        <w:tblLayout w:type="fixed"/>
        <w:tblCellMar>
          <w:top w:w="15" w:type="dxa"/>
          <w:left w:w="15" w:type="dxa"/>
          <w:bottom w:w="15" w:type="dxa"/>
          <w:right w:w="15" w:type="dxa"/>
        </w:tblCellMar>
      </w:tblPr>
      <w:tblGrid>
        <w:gridCol w:w="2385"/>
        <w:gridCol w:w="1640"/>
        <w:gridCol w:w="1720"/>
        <w:gridCol w:w="1480"/>
        <w:gridCol w:w="1520"/>
      </w:tblGrid>
      <w:tr w14:paraId="0A84C4E4">
        <w:tblPrEx>
          <w:tblCellMar>
            <w:top w:w="15" w:type="dxa"/>
            <w:left w:w="15" w:type="dxa"/>
            <w:bottom w:w="15" w:type="dxa"/>
            <w:right w:w="15" w:type="dxa"/>
          </w:tblCellMar>
        </w:tblPrEx>
        <w:trPr>
          <w:trHeight w:val="243" w:hRule="atLeast"/>
        </w:trPr>
        <w:tc>
          <w:tcPr>
            <w:tcW w:w="238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14:paraId="12D99B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楼座名称</w:t>
            </w:r>
          </w:p>
        </w:tc>
        <w:tc>
          <w:tcPr>
            <w:tcW w:w="1640" w:type="dxa"/>
            <w:vMerge w:val="restart"/>
            <w:tcBorders>
              <w:top w:val="single" w:color="000000" w:sz="12" w:space="0"/>
              <w:bottom w:val="single" w:color="000000" w:sz="12" w:space="0"/>
              <w:right w:val="single" w:color="000000" w:sz="12" w:space="0"/>
            </w:tcBorders>
            <w:shd w:val="clear" w:color="auto" w:fill="auto"/>
            <w:vAlign w:val="center"/>
          </w:tcPr>
          <w:p w14:paraId="382091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面积(</w:t>
            </w:r>
            <w:r>
              <w:rPr>
                <w:rStyle w:val="274"/>
                <w:rFonts w:hint="default"/>
                <w:sz w:val="24"/>
                <w:szCs w:val="24"/>
              </w:rPr>
              <w:t>㎡)</w:t>
            </w:r>
          </w:p>
        </w:tc>
        <w:tc>
          <w:tcPr>
            <w:tcW w:w="1720" w:type="dxa"/>
            <w:tcBorders>
              <w:top w:val="single" w:color="000000" w:sz="12" w:space="0"/>
              <w:bottom w:val="single" w:color="000000" w:sz="12" w:space="0"/>
              <w:right w:val="single" w:color="000000" w:sz="12" w:space="0"/>
            </w:tcBorders>
            <w:shd w:val="clear" w:color="auto" w:fill="auto"/>
            <w:vAlign w:val="center"/>
          </w:tcPr>
          <w:p w14:paraId="2FBF05F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w:t>
            </w:r>
          </w:p>
        </w:tc>
        <w:tc>
          <w:tcPr>
            <w:tcW w:w="1480" w:type="dxa"/>
            <w:vMerge w:val="restart"/>
            <w:tcBorders>
              <w:top w:val="single" w:color="000000" w:sz="12" w:space="0"/>
              <w:bottom w:val="single" w:color="000000" w:sz="12" w:space="0"/>
              <w:right w:val="single" w:color="000000" w:sz="12" w:space="0"/>
            </w:tcBorders>
            <w:shd w:val="clear" w:color="auto" w:fill="auto"/>
            <w:vAlign w:val="center"/>
          </w:tcPr>
          <w:p w14:paraId="365E519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4-12月合价（元）</w:t>
            </w:r>
          </w:p>
        </w:tc>
        <w:tc>
          <w:tcPr>
            <w:tcW w:w="1520" w:type="dxa"/>
            <w:vMerge w:val="restart"/>
            <w:tcBorders>
              <w:top w:val="single" w:color="000000" w:sz="12" w:space="0"/>
              <w:bottom w:val="single" w:color="000000" w:sz="12" w:space="0"/>
              <w:right w:val="single" w:color="000000" w:sz="12" w:space="0"/>
            </w:tcBorders>
            <w:shd w:val="clear" w:color="auto" w:fill="auto"/>
            <w:vAlign w:val="center"/>
          </w:tcPr>
          <w:p w14:paraId="1AABD16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14:paraId="335BF60A">
        <w:tblPrEx>
          <w:tblCellMar>
            <w:top w:w="15" w:type="dxa"/>
            <w:left w:w="15" w:type="dxa"/>
            <w:bottom w:w="15" w:type="dxa"/>
            <w:right w:w="15" w:type="dxa"/>
          </w:tblCellMar>
        </w:tblPrEx>
        <w:trPr>
          <w:trHeight w:val="291" w:hRule="atLeast"/>
        </w:trPr>
        <w:tc>
          <w:tcPr>
            <w:tcW w:w="238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14:paraId="6BD28F9A">
            <w:pPr>
              <w:jc w:val="center"/>
              <w:textAlignment w:val="baseline"/>
              <w:rPr>
                <w:rFonts w:ascii="宋体" w:hAnsi="宋体" w:cs="宋体"/>
                <w:color w:val="000000"/>
                <w:sz w:val="24"/>
                <w:szCs w:val="24"/>
              </w:rPr>
            </w:pPr>
          </w:p>
        </w:tc>
        <w:tc>
          <w:tcPr>
            <w:tcW w:w="1640" w:type="dxa"/>
            <w:vMerge w:val="continue"/>
            <w:tcBorders>
              <w:top w:val="single" w:color="000000" w:sz="12" w:space="0"/>
              <w:bottom w:val="single" w:color="000000" w:sz="12" w:space="0"/>
              <w:right w:val="single" w:color="000000" w:sz="12" w:space="0"/>
            </w:tcBorders>
            <w:shd w:val="clear" w:color="auto" w:fill="auto"/>
            <w:vAlign w:val="center"/>
          </w:tcPr>
          <w:p w14:paraId="0B5FE30D">
            <w:pPr>
              <w:jc w:val="center"/>
              <w:textAlignment w:val="baseline"/>
              <w:rPr>
                <w:rFonts w:ascii="宋体" w:hAnsi="宋体" w:cs="宋体"/>
                <w:color w:val="000000"/>
                <w:sz w:val="24"/>
                <w:szCs w:val="24"/>
              </w:rPr>
            </w:pPr>
          </w:p>
        </w:tc>
        <w:tc>
          <w:tcPr>
            <w:tcW w:w="1720" w:type="dxa"/>
            <w:tcBorders>
              <w:bottom w:val="single" w:color="000000" w:sz="12" w:space="0"/>
              <w:right w:val="single" w:color="000000" w:sz="12" w:space="0"/>
            </w:tcBorders>
            <w:shd w:val="clear" w:color="auto" w:fill="auto"/>
            <w:vAlign w:val="center"/>
          </w:tcPr>
          <w:p w14:paraId="210BD64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r>
              <w:rPr>
                <w:rStyle w:val="274"/>
                <w:rFonts w:hint="default"/>
                <w:sz w:val="24"/>
                <w:szCs w:val="24"/>
              </w:rPr>
              <w:t>元.㎡/月）</w:t>
            </w:r>
          </w:p>
        </w:tc>
        <w:tc>
          <w:tcPr>
            <w:tcW w:w="1480" w:type="dxa"/>
            <w:vMerge w:val="continue"/>
            <w:tcBorders>
              <w:top w:val="single" w:color="000000" w:sz="12" w:space="0"/>
              <w:bottom w:val="single" w:color="000000" w:sz="12" w:space="0"/>
              <w:right w:val="single" w:color="000000" w:sz="12" w:space="0"/>
            </w:tcBorders>
            <w:shd w:val="clear" w:color="auto" w:fill="auto"/>
            <w:vAlign w:val="center"/>
          </w:tcPr>
          <w:p w14:paraId="6C008CC3">
            <w:pPr>
              <w:jc w:val="center"/>
              <w:textAlignment w:val="baseline"/>
              <w:rPr>
                <w:rFonts w:ascii="宋体" w:hAnsi="宋体" w:cs="宋体"/>
                <w:color w:val="000000"/>
                <w:sz w:val="24"/>
                <w:szCs w:val="24"/>
              </w:rPr>
            </w:pPr>
          </w:p>
        </w:tc>
        <w:tc>
          <w:tcPr>
            <w:tcW w:w="1520" w:type="dxa"/>
            <w:vMerge w:val="continue"/>
            <w:tcBorders>
              <w:top w:val="single" w:color="000000" w:sz="12" w:space="0"/>
              <w:bottom w:val="single" w:color="000000" w:sz="12" w:space="0"/>
              <w:right w:val="single" w:color="000000" w:sz="12" w:space="0"/>
            </w:tcBorders>
            <w:shd w:val="clear" w:color="auto" w:fill="auto"/>
            <w:vAlign w:val="center"/>
          </w:tcPr>
          <w:p w14:paraId="5659303C">
            <w:pPr>
              <w:jc w:val="center"/>
              <w:textAlignment w:val="baseline"/>
              <w:rPr>
                <w:rFonts w:ascii="宋体" w:hAnsi="宋体" w:cs="宋体"/>
                <w:color w:val="000000"/>
                <w:sz w:val="24"/>
                <w:szCs w:val="24"/>
              </w:rPr>
            </w:pPr>
          </w:p>
        </w:tc>
      </w:tr>
      <w:tr w14:paraId="38A487AE">
        <w:tblPrEx>
          <w:tblCellMar>
            <w:top w:w="15" w:type="dxa"/>
            <w:left w:w="15" w:type="dxa"/>
            <w:bottom w:w="15" w:type="dxa"/>
            <w:right w:w="15" w:type="dxa"/>
          </w:tblCellMar>
        </w:tblPrEx>
        <w:trPr>
          <w:trHeight w:val="555" w:hRule="atLeast"/>
        </w:trPr>
        <w:tc>
          <w:tcPr>
            <w:tcW w:w="2385" w:type="dxa"/>
            <w:tcBorders>
              <w:left w:val="single" w:color="000000" w:sz="12" w:space="0"/>
              <w:bottom w:val="single" w:color="000000" w:sz="12" w:space="0"/>
              <w:right w:val="single" w:color="000000" w:sz="12" w:space="0"/>
            </w:tcBorders>
            <w:shd w:val="clear" w:color="auto" w:fill="auto"/>
            <w:vAlign w:val="center"/>
          </w:tcPr>
          <w:p w14:paraId="0AAEFB4F">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房屋建筑</w:t>
            </w:r>
          </w:p>
        </w:tc>
        <w:tc>
          <w:tcPr>
            <w:tcW w:w="1640" w:type="dxa"/>
            <w:tcBorders>
              <w:bottom w:val="single" w:color="000000" w:sz="12" w:space="0"/>
              <w:right w:val="single" w:color="000000" w:sz="12" w:space="0"/>
            </w:tcBorders>
            <w:shd w:val="clear" w:color="auto" w:fill="auto"/>
            <w:vAlign w:val="center"/>
          </w:tcPr>
          <w:p w14:paraId="2A37698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15900</w:t>
            </w:r>
          </w:p>
        </w:tc>
        <w:tc>
          <w:tcPr>
            <w:tcW w:w="1720" w:type="dxa"/>
            <w:tcBorders>
              <w:bottom w:val="single" w:color="000000" w:sz="12" w:space="0"/>
              <w:right w:val="single" w:color="000000" w:sz="12" w:space="0"/>
            </w:tcBorders>
            <w:shd w:val="clear" w:color="auto" w:fill="auto"/>
            <w:vAlign w:val="center"/>
          </w:tcPr>
          <w:p w14:paraId="3242C25F">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6.83</w:t>
            </w:r>
          </w:p>
        </w:tc>
        <w:tc>
          <w:tcPr>
            <w:tcW w:w="1480" w:type="dxa"/>
            <w:tcBorders>
              <w:bottom w:val="single" w:color="000000" w:sz="12" w:space="0"/>
              <w:right w:val="single" w:color="000000" w:sz="12" w:space="0"/>
            </w:tcBorders>
            <w:shd w:val="clear" w:color="auto" w:fill="auto"/>
            <w:vAlign w:val="center"/>
          </w:tcPr>
          <w:p w14:paraId="4D8BE34D">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rPr>
              <w:t>977373</w:t>
            </w:r>
          </w:p>
        </w:tc>
        <w:tc>
          <w:tcPr>
            <w:tcW w:w="1520" w:type="dxa"/>
            <w:vMerge w:val="restart"/>
            <w:tcBorders>
              <w:bottom w:val="single" w:color="000000" w:sz="12" w:space="0"/>
              <w:right w:val="single" w:color="000000" w:sz="12" w:space="0"/>
            </w:tcBorders>
            <w:shd w:val="clear" w:color="auto" w:fill="auto"/>
            <w:vAlign w:val="center"/>
          </w:tcPr>
          <w:p w14:paraId="64E15686">
            <w:pPr>
              <w:jc w:val="center"/>
              <w:textAlignment w:val="baseline"/>
              <w:rPr>
                <w:rFonts w:ascii="宋体" w:hAnsi="宋体" w:cs="宋体"/>
                <w:color w:val="000000"/>
                <w:sz w:val="24"/>
                <w:szCs w:val="24"/>
                <w:highlight w:val="none"/>
              </w:rPr>
            </w:pPr>
          </w:p>
        </w:tc>
      </w:tr>
      <w:tr w14:paraId="239DDEAA">
        <w:tblPrEx>
          <w:tblCellMar>
            <w:top w:w="15" w:type="dxa"/>
            <w:left w:w="15" w:type="dxa"/>
            <w:bottom w:w="15" w:type="dxa"/>
            <w:right w:w="15" w:type="dxa"/>
          </w:tblCellMar>
        </w:tblPrEx>
        <w:trPr>
          <w:trHeight w:val="462" w:hRule="atLeast"/>
        </w:trPr>
        <w:tc>
          <w:tcPr>
            <w:tcW w:w="2385" w:type="dxa"/>
            <w:tcBorders>
              <w:left w:val="single" w:color="000000" w:sz="12" w:space="0"/>
              <w:bottom w:val="single" w:color="000000" w:sz="12" w:space="0"/>
              <w:right w:val="single" w:color="000000" w:sz="12" w:space="0"/>
            </w:tcBorders>
            <w:shd w:val="clear" w:color="auto" w:fill="auto"/>
            <w:vAlign w:val="center"/>
          </w:tcPr>
          <w:p w14:paraId="565A6823">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体育场（含露天场地）</w:t>
            </w:r>
          </w:p>
        </w:tc>
        <w:tc>
          <w:tcPr>
            <w:tcW w:w="1640" w:type="dxa"/>
            <w:tcBorders>
              <w:bottom w:val="single" w:color="000000" w:sz="12" w:space="0"/>
              <w:right w:val="single" w:color="000000" w:sz="12" w:space="0"/>
            </w:tcBorders>
            <w:shd w:val="clear" w:color="auto" w:fill="auto"/>
            <w:vAlign w:val="center"/>
          </w:tcPr>
          <w:p w14:paraId="3BF5A4B1">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28530</w:t>
            </w:r>
          </w:p>
        </w:tc>
        <w:tc>
          <w:tcPr>
            <w:tcW w:w="1720" w:type="dxa"/>
            <w:tcBorders>
              <w:bottom w:val="single" w:color="000000" w:sz="12" w:space="0"/>
              <w:right w:val="single" w:color="000000" w:sz="12" w:space="0"/>
            </w:tcBorders>
            <w:shd w:val="clear" w:color="auto" w:fill="auto"/>
            <w:vAlign w:val="center"/>
          </w:tcPr>
          <w:p w14:paraId="45445007">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0.5</w:t>
            </w:r>
          </w:p>
        </w:tc>
        <w:tc>
          <w:tcPr>
            <w:tcW w:w="1480" w:type="dxa"/>
            <w:tcBorders>
              <w:bottom w:val="single" w:color="000000" w:sz="12" w:space="0"/>
              <w:right w:val="single" w:color="000000" w:sz="12" w:space="0"/>
            </w:tcBorders>
            <w:shd w:val="clear" w:color="auto" w:fill="auto"/>
            <w:vAlign w:val="center"/>
          </w:tcPr>
          <w:p w14:paraId="139CFACE">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rPr>
              <w:t>128385</w:t>
            </w:r>
          </w:p>
        </w:tc>
        <w:tc>
          <w:tcPr>
            <w:tcW w:w="1520" w:type="dxa"/>
            <w:vMerge w:val="continue"/>
            <w:tcBorders>
              <w:bottom w:val="single" w:color="000000" w:sz="12" w:space="0"/>
              <w:right w:val="single" w:color="000000" w:sz="12" w:space="0"/>
            </w:tcBorders>
            <w:shd w:val="clear" w:color="auto" w:fill="auto"/>
            <w:vAlign w:val="center"/>
          </w:tcPr>
          <w:p w14:paraId="595FFBC0">
            <w:pPr>
              <w:jc w:val="center"/>
              <w:textAlignment w:val="baseline"/>
              <w:rPr>
                <w:rFonts w:ascii="宋体" w:hAnsi="宋体" w:cs="宋体"/>
                <w:color w:val="000000"/>
                <w:sz w:val="24"/>
                <w:szCs w:val="24"/>
                <w:highlight w:val="none"/>
              </w:rPr>
            </w:pPr>
          </w:p>
        </w:tc>
      </w:tr>
      <w:tr w14:paraId="37421670">
        <w:tblPrEx>
          <w:tblCellMar>
            <w:top w:w="15" w:type="dxa"/>
            <w:left w:w="15" w:type="dxa"/>
            <w:bottom w:w="15" w:type="dxa"/>
            <w:right w:w="15" w:type="dxa"/>
          </w:tblCellMar>
        </w:tblPrEx>
        <w:trPr>
          <w:trHeight w:val="526" w:hRule="atLeast"/>
        </w:trPr>
        <w:tc>
          <w:tcPr>
            <w:tcW w:w="2385" w:type="dxa"/>
            <w:tcBorders>
              <w:left w:val="single" w:color="000000" w:sz="12" w:space="0"/>
              <w:bottom w:val="single" w:color="000000" w:sz="12" w:space="0"/>
              <w:right w:val="single" w:color="000000" w:sz="12" w:space="0"/>
            </w:tcBorders>
            <w:shd w:val="clear" w:color="auto" w:fill="auto"/>
            <w:vAlign w:val="center"/>
          </w:tcPr>
          <w:p w14:paraId="4FE6D5D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院内硬化路面</w:t>
            </w:r>
          </w:p>
        </w:tc>
        <w:tc>
          <w:tcPr>
            <w:tcW w:w="1640" w:type="dxa"/>
            <w:tcBorders>
              <w:bottom w:val="single" w:color="000000" w:sz="12" w:space="0"/>
              <w:right w:val="single" w:color="000000" w:sz="12" w:space="0"/>
            </w:tcBorders>
            <w:shd w:val="clear" w:color="auto" w:fill="auto"/>
            <w:vAlign w:val="center"/>
          </w:tcPr>
          <w:p w14:paraId="41540A6F">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47196.6</w:t>
            </w:r>
          </w:p>
        </w:tc>
        <w:tc>
          <w:tcPr>
            <w:tcW w:w="1720" w:type="dxa"/>
            <w:tcBorders>
              <w:bottom w:val="single" w:color="000000" w:sz="12" w:space="0"/>
              <w:right w:val="single" w:color="000000" w:sz="12" w:space="0"/>
            </w:tcBorders>
            <w:shd w:val="clear" w:color="auto" w:fill="auto"/>
            <w:vAlign w:val="center"/>
          </w:tcPr>
          <w:p w14:paraId="0E14170B">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0.3</w:t>
            </w:r>
          </w:p>
        </w:tc>
        <w:tc>
          <w:tcPr>
            <w:tcW w:w="1480" w:type="dxa"/>
            <w:tcBorders>
              <w:bottom w:val="single" w:color="000000" w:sz="12" w:space="0"/>
              <w:right w:val="single" w:color="000000" w:sz="12" w:space="0"/>
            </w:tcBorders>
            <w:shd w:val="clear" w:color="auto" w:fill="auto"/>
            <w:vAlign w:val="center"/>
          </w:tcPr>
          <w:p w14:paraId="2AB3F2D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rPr>
              <w:t>127431</w:t>
            </w:r>
          </w:p>
        </w:tc>
        <w:tc>
          <w:tcPr>
            <w:tcW w:w="1520" w:type="dxa"/>
            <w:vMerge w:val="continue"/>
            <w:tcBorders>
              <w:bottom w:val="single" w:color="000000" w:sz="12" w:space="0"/>
              <w:right w:val="single" w:color="000000" w:sz="12" w:space="0"/>
            </w:tcBorders>
            <w:shd w:val="clear" w:color="auto" w:fill="auto"/>
            <w:vAlign w:val="center"/>
          </w:tcPr>
          <w:p w14:paraId="1D4E18E1">
            <w:pPr>
              <w:jc w:val="center"/>
              <w:textAlignment w:val="baseline"/>
              <w:rPr>
                <w:rFonts w:ascii="宋体" w:hAnsi="宋体" w:cs="宋体"/>
                <w:color w:val="000000"/>
                <w:sz w:val="24"/>
                <w:szCs w:val="24"/>
                <w:highlight w:val="none"/>
              </w:rPr>
            </w:pPr>
          </w:p>
        </w:tc>
      </w:tr>
      <w:tr w14:paraId="4E91DCB9">
        <w:tblPrEx>
          <w:tblCellMar>
            <w:top w:w="15" w:type="dxa"/>
            <w:left w:w="15" w:type="dxa"/>
            <w:bottom w:w="15" w:type="dxa"/>
            <w:right w:w="15" w:type="dxa"/>
          </w:tblCellMar>
        </w:tblPrEx>
        <w:trPr>
          <w:trHeight w:val="378" w:hRule="atLeast"/>
        </w:trPr>
        <w:tc>
          <w:tcPr>
            <w:tcW w:w="2385" w:type="dxa"/>
            <w:tcBorders>
              <w:left w:val="single" w:color="000000" w:sz="12" w:space="0"/>
              <w:bottom w:val="single" w:color="000000" w:sz="12" w:space="0"/>
              <w:right w:val="single" w:color="000000" w:sz="12" w:space="0"/>
            </w:tcBorders>
            <w:shd w:val="clear" w:color="auto" w:fill="auto"/>
            <w:vAlign w:val="center"/>
          </w:tcPr>
          <w:p w14:paraId="06D3AF4A">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体育馆</w:t>
            </w:r>
          </w:p>
        </w:tc>
        <w:tc>
          <w:tcPr>
            <w:tcW w:w="1640" w:type="dxa"/>
            <w:tcBorders>
              <w:bottom w:val="single" w:color="000000" w:sz="12" w:space="0"/>
              <w:right w:val="single" w:color="000000" w:sz="12" w:space="0"/>
            </w:tcBorders>
            <w:shd w:val="clear" w:color="auto" w:fill="auto"/>
            <w:vAlign w:val="center"/>
          </w:tcPr>
          <w:p w14:paraId="7FE10F81">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6182</w:t>
            </w:r>
          </w:p>
        </w:tc>
        <w:tc>
          <w:tcPr>
            <w:tcW w:w="1720" w:type="dxa"/>
            <w:tcBorders>
              <w:bottom w:val="single" w:color="000000" w:sz="12" w:space="0"/>
              <w:right w:val="single" w:color="000000" w:sz="12" w:space="0"/>
            </w:tcBorders>
            <w:shd w:val="clear" w:color="auto" w:fill="auto"/>
            <w:vAlign w:val="center"/>
          </w:tcPr>
          <w:p w14:paraId="3C46208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3.5</w:t>
            </w:r>
          </w:p>
        </w:tc>
        <w:tc>
          <w:tcPr>
            <w:tcW w:w="1480" w:type="dxa"/>
            <w:tcBorders>
              <w:bottom w:val="single" w:color="000000" w:sz="12" w:space="0"/>
              <w:right w:val="single" w:color="000000" w:sz="12" w:space="0"/>
            </w:tcBorders>
            <w:shd w:val="clear" w:color="auto" w:fill="auto"/>
            <w:vAlign w:val="center"/>
          </w:tcPr>
          <w:p w14:paraId="66EEB488">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rPr>
              <w:t>194733</w:t>
            </w:r>
          </w:p>
        </w:tc>
        <w:tc>
          <w:tcPr>
            <w:tcW w:w="1520" w:type="dxa"/>
            <w:vMerge w:val="continue"/>
            <w:tcBorders>
              <w:bottom w:val="single" w:color="000000" w:sz="12" w:space="0"/>
              <w:right w:val="single" w:color="000000" w:sz="12" w:space="0"/>
            </w:tcBorders>
            <w:shd w:val="clear" w:color="auto" w:fill="auto"/>
            <w:vAlign w:val="center"/>
          </w:tcPr>
          <w:p w14:paraId="21D7CB99">
            <w:pPr>
              <w:jc w:val="center"/>
              <w:textAlignment w:val="baseline"/>
              <w:rPr>
                <w:rFonts w:ascii="宋体" w:hAnsi="宋体" w:cs="宋体"/>
                <w:color w:val="000000"/>
                <w:sz w:val="24"/>
                <w:szCs w:val="24"/>
                <w:highlight w:val="none"/>
              </w:rPr>
            </w:pPr>
          </w:p>
        </w:tc>
      </w:tr>
      <w:tr w14:paraId="4ABDFBDF">
        <w:tblPrEx>
          <w:tblCellMar>
            <w:top w:w="15" w:type="dxa"/>
            <w:left w:w="15" w:type="dxa"/>
            <w:bottom w:w="15" w:type="dxa"/>
            <w:right w:w="15" w:type="dxa"/>
          </w:tblCellMar>
        </w:tblPrEx>
        <w:trPr>
          <w:trHeight w:val="384" w:hRule="atLeast"/>
        </w:trPr>
        <w:tc>
          <w:tcPr>
            <w:tcW w:w="2385" w:type="dxa"/>
            <w:tcBorders>
              <w:left w:val="single" w:color="000000" w:sz="12" w:space="0"/>
              <w:bottom w:val="single" w:color="000000" w:sz="12" w:space="0"/>
              <w:right w:val="single" w:color="000000" w:sz="12" w:space="0"/>
            </w:tcBorders>
            <w:shd w:val="clear" w:color="auto" w:fill="auto"/>
            <w:vAlign w:val="center"/>
          </w:tcPr>
          <w:p w14:paraId="457DE23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绿化养护</w:t>
            </w:r>
          </w:p>
        </w:tc>
        <w:tc>
          <w:tcPr>
            <w:tcW w:w="1640" w:type="dxa"/>
            <w:tcBorders>
              <w:bottom w:val="single" w:color="000000" w:sz="12" w:space="0"/>
              <w:right w:val="single" w:color="000000" w:sz="12" w:space="0"/>
            </w:tcBorders>
            <w:shd w:val="clear" w:color="auto" w:fill="auto"/>
          </w:tcPr>
          <w:p w14:paraId="2654D42F">
            <w:pPr>
              <w:widowControl/>
              <w:jc w:val="center"/>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rPr>
              <w:t>30000</w:t>
            </w:r>
          </w:p>
        </w:tc>
        <w:tc>
          <w:tcPr>
            <w:tcW w:w="1720" w:type="dxa"/>
            <w:tcBorders>
              <w:bottom w:val="single" w:color="000000" w:sz="12" w:space="0"/>
              <w:right w:val="single" w:color="000000" w:sz="12" w:space="0"/>
            </w:tcBorders>
            <w:shd w:val="clear" w:color="auto" w:fill="auto"/>
            <w:vAlign w:val="center"/>
          </w:tcPr>
          <w:p w14:paraId="38B4A77E">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0.055</w:t>
            </w:r>
          </w:p>
        </w:tc>
        <w:tc>
          <w:tcPr>
            <w:tcW w:w="1480" w:type="dxa"/>
            <w:tcBorders>
              <w:bottom w:val="single" w:color="000000" w:sz="12" w:space="0"/>
              <w:right w:val="single" w:color="000000" w:sz="12" w:space="0"/>
            </w:tcBorders>
            <w:shd w:val="clear" w:color="auto" w:fill="auto"/>
            <w:vAlign w:val="center"/>
          </w:tcPr>
          <w:p w14:paraId="288C1565">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rPr>
              <w:t>14850</w:t>
            </w:r>
          </w:p>
        </w:tc>
        <w:tc>
          <w:tcPr>
            <w:tcW w:w="1520" w:type="dxa"/>
            <w:tcBorders>
              <w:bottom w:val="single" w:color="000000" w:sz="12" w:space="0"/>
              <w:right w:val="single" w:color="000000" w:sz="12" w:space="0"/>
            </w:tcBorders>
            <w:shd w:val="clear" w:color="auto" w:fill="auto"/>
            <w:vAlign w:val="center"/>
          </w:tcPr>
          <w:p w14:paraId="55FC10B4">
            <w:pPr>
              <w:jc w:val="center"/>
              <w:textAlignment w:val="baseline"/>
              <w:rPr>
                <w:rFonts w:ascii="宋体" w:hAnsi="宋体" w:cs="宋体"/>
                <w:color w:val="000000"/>
                <w:sz w:val="24"/>
                <w:szCs w:val="24"/>
                <w:highlight w:val="none"/>
              </w:rPr>
            </w:pPr>
          </w:p>
        </w:tc>
      </w:tr>
      <w:tr w14:paraId="5C7651D1">
        <w:tblPrEx>
          <w:tblCellMar>
            <w:top w:w="15" w:type="dxa"/>
            <w:left w:w="15" w:type="dxa"/>
            <w:bottom w:w="15" w:type="dxa"/>
            <w:right w:w="15" w:type="dxa"/>
          </w:tblCellMar>
        </w:tblPrEx>
        <w:trPr>
          <w:trHeight w:val="301" w:hRule="atLeast"/>
        </w:trPr>
        <w:tc>
          <w:tcPr>
            <w:tcW w:w="2385" w:type="dxa"/>
            <w:tcBorders>
              <w:left w:val="single" w:color="000000" w:sz="12" w:space="0"/>
              <w:bottom w:val="single" w:color="000000" w:sz="12" w:space="0"/>
              <w:right w:val="single" w:color="000000" w:sz="12" w:space="0"/>
            </w:tcBorders>
            <w:shd w:val="clear" w:color="auto" w:fill="auto"/>
            <w:vAlign w:val="center"/>
          </w:tcPr>
          <w:p w14:paraId="6EE9758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合计</w:t>
            </w:r>
          </w:p>
        </w:tc>
        <w:tc>
          <w:tcPr>
            <w:tcW w:w="1640" w:type="dxa"/>
            <w:tcBorders>
              <w:bottom w:val="single" w:color="000000" w:sz="12" w:space="0"/>
              <w:right w:val="single" w:color="000000" w:sz="12" w:space="0"/>
            </w:tcBorders>
            <w:shd w:val="clear" w:color="auto" w:fill="auto"/>
          </w:tcPr>
          <w:p w14:paraId="0DE30AE4">
            <w:pPr>
              <w:widowControl/>
              <w:jc w:val="center"/>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1720" w:type="dxa"/>
            <w:tcBorders>
              <w:bottom w:val="single" w:color="000000" w:sz="12" w:space="0"/>
              <w:right w:val="single" w:color="000000" w:sz="12" w:space="0"/>
            </w:tcBorders>
            <w:shd w:val="clear" w:color="auto" w:fill="auto"/>
            <w:vAlign w:val="center"/>
          </w:tcPr>
          <w:p w14:paraId="25781F31">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1480" w:type="dxa"/>
            <w:tcBorders>
              <w:bottom w:val="single" w:color="000000" w:sz="12" w:space="0"/>
              <w:right w:val="single" w:color="000000" w:sz="12" w:space="0"/>
            </w:tcBorders>
            <w:shd w:val="clear" w:color="auto" w:fill="auto"/>
            <w:vAlign w:val="center"/>
          </w:tcPr>
          <w:p w14:paraId="28C12E7B">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rPr>
              <w:t>1442772（含税）</w:t>
            </w:r>
          </w:p>
        </w:tc>
        <w:tc>
          <w:tcPr>
            <w:tcW w:w="1520" w:type="dxa"/>
            <w:tcBorders>
              <w:bottom w:val="single" w:color="000000" w:sz="12" w:space="0"/>
              <w:right w:val="single" w:color="000000" w:sz="12" w:space="0"/>
            </w:tcBorders>
            <w:shd w:val="clear" w:color="auto" w:fill="auto"/>
            <w:vAlign w:val="center"/>
          </w:tcPr>
          <w:p w14:paraId="4D4FE901">
            <w:pPr>
              <w:textAlignment w:val="baseline"/>
              <w:rPr>
                <w:rFonts w:ascii="宋体" w:hAnsi="宋体" w:cs="宋体"/>
                <w:color w:val="auto"/>
                <w:sz w:val="24"/>
                <w:szCs w:val="24"/>
                <w:highlight w:val="none"/>
              </w:rPr>
            </w:pPr>
          </w:p>
        </w:tc>
      </w:tr>
    </w:tbl>
    <w:p w14:paraId="3B8435C9">
      <w:pPr>
        <w:tabs>
          <w:tab w:val="left" w:pos="851"/>
        </w:tabs>
        <w:spacing w:line="360" w:lineRule="auto"/>
        <w:textAlignment w:val="baseline"/>
        <w:rPr>
          <w:rFonts w:ascii="宋体" w:hAnsi="宋体"/>
          <w:color w:val="auto"/>
          <w:sz w:val="24"/>
        </w:rPr>
      </w:pPr>
    </w:p>
    <w:p w14:paraId="71316DE8">
      <w:pPr>
        <w:tabs>
          <w:tab w:val="left" w:pos="851"/>
        </w:tabs>
        <w:spacing w:line="360" w:lineRule="auto"/>
        <w:textAlignment w:val="baseline"/>
        <w:rPr>
          <w:rFonts w:ascii="宋体" w:hAnsi="宋体"/>
          <w:color w:val="auto"/>
          <w:sz w:val="24"/>
        </w:rPr>
      </w:pPr>
      <w:r>
        <w:rPr>
          <w:rFonts w:hint="eastAsia" w:ascii="宋体" w:hAnsi="宋体"/>
          <w:color w:val="auto"/>
          <w:sz w:val="24"/>
        </w:rPr>
        <w:t>（合同价在合同执行过程中是固定不变的，不得以任何理由予以变更）。</w:t>
      </w:r>
    </w:p>
    <w:p w14:paraId="40622F37">
      <w:pPr>
        <w:pStyle w:val="142"/>
        <w:spacing w:line="360" w:lineRule="auto"/>
        <w:ind w:firstLine="480" w:firstLineChars="200"/>
        <w:jc w:val="both"/>
        <w:textAlignment w:val="baseline"/>
        <w:rPr>
          <w:rFonts w:ascii="宋体" w:hAnsi="宋体" w:eastAsia="宋体" w:cs="Times New Roman"/>
          <w:color w:val="auto"/>
          <w:kern w:val="2"/>
        </w:rPr>
      </w:pPr>
      <w:r>
        <w:rPr>
          <w:rFonts w:ascii="宋体" w:hAnsi="宋体" w:eastAsia="宋体" w:cs="Times New Roman"/>
          <w:color w:val="auto"/>
          <w:kern w:val="2"/>
        </w:rPr>
        <w:t>（二）时间、地点要求：</w:t>
      </w:r>
    </w:p>
    <w:p w14:paraId="6C621DCC">
      <w:pPr>
        <w:widowControl/>
        <w:spacing w:line="360" w:lineRule="auto"/>
        <w:ind w:firstLine="480" w:firstLineChars="200"/>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 服务期：</w:t>
      </w:r>
      <w:r>
        <w:rPr>
          <w:rFonts w:hint="eastAsia" w:ascii="宋体" w:hAnsi="宋体" w:cs="宋体"/>
          <w:color w:val="auto"/>
          <w:kern w:val="0"/>
          <w:sz w:val="24"/>
          <w:szCs w:val="24"/>
          <w:highlight w:val="none"/>
        </w:rPr>
        <w:t>2025年4月1日 至 2025年12月31日</w:t>
      </w:r>
    </w:p>
    <w:p w14:paraId="411FA6A5">
      <w:pPr>
        <w:pStyle w:val="142"/>
        <w:spacing w:line="360" w:lineRule="auto"/>
        <w:ind w:firstLine="480" w:firstLineChars="200"/>
        <w:jc w:val="both"/>
        <w:textAlignment w:val="baseline"/>
        <w:rPr>
          <w:rFonts w:ascii="宋体" w:hAnsi="宋体" w:eastAsia="宋体" w:cs="Times New Roman"/>
          <w:color w:val="auto"/>
          <w:kern w:val="2"/>
          <w:highlight w:val="none"/>
        </w:rPr>
      </w:pPr>
      <w:r>
        <w:rPr>
          <w:rFonts w:ascii="宋体" w:hAnsi="宋体" w:eastAsia="宋体" w:cs="Times New Roman"/>
          <w:color w:val="auto"/>
          <w:kern w:val="2"/>
          <w:highlight w:val="none"/>
        </w:rPr>
        <w:t xml:space="preserve">2. </w:t>
      </w:r>
      <w:r>
        <w:rPr>
          <w:rFonts w:hint="eastAsia" w:ascii="宋体" w:hAnsi="宋体" w:eastAsia="宋体" w:cs="宋体"/>
          <w:color w:val="auto"/>
          <w:highlight w:val="none"/>
        </w:rPr>
        <w:t>服务</w:t>
      </w:r>
      <w:r>
        <w:rPr>
          <w:rFonts w:ascii="宋体" w:hAnsi="宋体" w:eastAsia="宋体" w:cs="宋体"/>
          <w:color w:val="auto"/>
          <w:highlight w:val="none"/>
        </w:rPr>
        <w:t>地点</w:t>
      </w:r>
      <w:r>
        <w:rPr>
          <w:rFonts w:hint="eastAsia" w:ascii="宋体" w:hAnsi="宋体" w:eastAsia="宋体" w:cs="宋体"/>
          <w:color w:val="auto"/>
          <w:highlight w:val="none"/>
        </w:rPr>
        <w:t>:校内</w:t>
      </w:r>
    </w:p>
    <w:p w14:paraId="527DBE54">
      <w:pPr>
        <w:pStyle w:val="142"/>
        <w:spacing w:line="360" w:lineRule="auto"/>
        <w:ind w:firstLine="480" w:firstLineChars="200"/>
        <w:jc w:val="both"/>
        <w:textAlignment w:val="baseline"/>
        <w:rPr>
          <w:rFonts w:ascii="宋体" w:hAnsi="宋体" w:eastAsia="宋体" w:cs="Times New Roman"/>
          <w:color w:val="auto"/>
          <w:kern w:val="2"/>
          <w:highlight w:val="none"/>
        </w:rPr>
      </w:pPr>
      <w:r>
        <w:rPr>
          <w:rFonts w:ascii="宋体" w:hAnsi="宋体" w:eastAsia="宋体" w:cs="Times New Roman"/>
          <w:color w:val="auto"/>
          <w:kern w:val="2"/>
          <w:highlight w:val="none"/>
        </w:rPr>
        <w:t>（三）投标单位须整包进行</w:t>
      </w:r>
      <w:r>
        <w:rPr>
          <w:rFonts w:hint="eastAsia" w:ascii="宋体" w:hAnsi="宋体" w:eastAsia="宋体" w:cs="Times New Roman"/>
          <w:color w:val="auto"/>
          <w:kern w:val="2"/>
          <w:highlight w:val="none"/>
        </w:rPr>
        <w:t>投标</w:t>
      </w:r>
      <w:r>
        <w:rPr>
          <w:rFonts w:ascii="宋体" w:hAnsi="宋体" w:eastAsia="宋体" w:cs="Times New Roman"/>
          <w:color w:val="auto"/>
          <w:kern w:val="2"/>
          <w:highlight w:val="none"/>
        </w:rPr>
        <w:t>，不得拆包分项</w:t>
      </w:r>
      <w:r>
        <w:rPr>
          <w:rFonts w:hint="eastAsia" w:ascii="宋体" w:hAnsi="宋体" w:eastAsia="宋体" w:cs="Times New Roman"/>
          <w:color w:val="auto"/>
          <w:kern w:val="2"/>
          <w:highlight w:val="none"/>
        </w:rPr>
        <w:t>投标</w:t>
      </w:r>
      <w:r>
        <w:rPr>
          <w:rFonts w:ascii="宋体" w:hAnsi="宋体" w:eastAsia="宋体" w:cs="Times New Roman"/>
          <w:color w:val="auto"/>
          <w:kern w:val="2"/>
          <w:highlight w:val="none"/>
        </w:rPr>
        <w:t>。</w:t>
      </w:r>
    </w:p>
    <w:p w14:paraId="4C600405">
      <w:pPr>
        <w:pStyle w:val="142"/>
        <w:spacing w:line="360" w:lineRule="auto"/>
        <w:ind w:firstLine="480" w:firstLineChars="200"/>
        <w:jc w:val="both"/>
        <w:textAlignment w:val="baseline"/>
        <w:rPr>
          <w:rFonts w:ascii="宋体" w:hAnsi="宋体" w:eastAsia="宋体" w:cs="Times New Roman"/>
          <w:color w:val="auto"/>
          <w:kern w:val="2"/>
          <w:highlight w:val="none"/>
        </w:rPr>
      </w:pPr>
      <w:r>
        <w:rPr>
          <w:rFonts w:ascii="宋体" w:hAnsi="宋体" w:eastAsia="宋体" w:cs="Times New Roman"/>
          <w:color w:val="auto"/>
          <w:kern w:val="2"/>
          <w:highlight w:val="none"/>
        </w:rPr>
        <w:t>（</w:t>
      </w:r>
      <w:r>
        <w:rPr>
          <w:rFonts w:hint="eastAsia" w:ascii="宋体" w:hAnsi="宋体" w:cs="Times New Roman"/>
          <w:color w:val="auto"/>
          <w:kern w:val="2"/>
          <w:highlight w:val="none"/>
          <w:lang w:val="en-US" w:eastAsia="zh-CN"/>
        </w:rPr>
        <w:t>四</w:t>
      </w:r>
      <w:r>
        <w:rPr>
          <w:rFonts w:ascii="宋体" w:hAnsi="宋体" w:eastAsia="宋体" w:cs="Times New Roman"/>
          <w:color w:val="auto"/>
          <w:kern w:val="2"/>
          <w:highlight w:val="none"/>
        </w:rPr>
        <w:t>）付款方式</w:t>
      </w:r>
    </w:p>
    <w:p w14:paraId="653E5B2A">
      <w:pPr>
        <w:pStyle w:val="142"/>
        <w:spacing w:line="360" w:lineRule="auto"/>
        <w:ind w:firstLine="480" w:firstLineChars="200"/>
        <w:jc w:val="both"/>
        <w:textAlignment w:val="baseline"/>
        <w:rPr>
          <w:rFonts w:hint="eastAsia" w:ascii="宋体" w:hAnsi="宋体" w:eastAsia="宋体" w:cs="Times New Roman"/>
          <w:color w:val="auto"/>
          <w:kern w:val="2"/>
          <w:highlight w:val="none"/>
        </w:rPr>
      </w:pPr>
      <w:r>
        <w:rPr>
          <w:rFonts w:hint="eastAsia" w:ascii="宋体" w:hAnsi="宋体" w:eastAsia="宋体" w:cs="Times New Roman"/>
          <w:color w:val="auto"/>
          <w:kern w:val="2"/>
          <w:highlight w:val="none"/>
        </w:rPr>
        <w:t xml:space="preserve">    合同签订并生效后15日内支付合同价款的50%， 9月底前支付合同价款的30%， 12月初支付剩余20%的合同价款,每次付款之前乙方先开具相应的发票。</w:t>
      </w:r>
    </w:p>
    <w:p w14:paraId="666F2C08">
      <w:pPr>
        <w:pStyle w:val="142"/>
        <w:spacing w:line="360" w:lineRule="auto"/>
        <w:ind w:firstLine="480" w:firstLineChars="200"/>
        <w:jc w:val="both"/>
        <w:textAlignment w:val="baseline"/>
        <w:rPr>
          <w:rFonts w:ascii="宋体" w:hAnsi="宋体" w:eastAsia="宋体" w:cs="Times New Roman"/>
          <w:color w:val="auto"/>
          <w:kern w:val="2"/>
          <w:highlight w:val="none"/>
        </w:rPr>
      </w:pPr>
      <w:r>
        <w:rPr>
          <w:rFonts w:ascii="宋体" w:hAnsi="宋体" w:eastAsia="宋体" w:cs="Times New Roman"/>
          <w:color w:val="auto"/>
          <w:kern w:val="2"/>
          <w:highlight w:val="none"/>
        </w:rPr>
        <w:t>（六）本项目不收取履约保证金。</w:t>
      </w:r>
    </w:p>
    <w:p w14:paraId="0439A8C0">
      <w:pPr>
        <w:pStyle w:val="142"/>
        <w:spacing w:line="360" w:lineRule="auto"/>
        <w:ind w:firstLine="480" w:firstLineChars="200"/>
        <w:jc w:val="both"/>
        <w:textAlignment w:val="baseline"/>
        <w:rPr>
          <w:rFonts w:ascii="宋体" w:hAnsi="宋体" w:eastAsia="宋体" w:cs="Times New Roman"/>
          <w:color w:val="auto"/>
          <w:kern w:val="2"/>
          <w:highlight w:val="none"/>
        </w:rPr>
      </w:pPr>
      <w:r>
        <w:rPr>
          <w:rFonts w:hint="eastAsia" w:ascii="宋体" w:hAnsi="宋体" w:eastAsia="宋体" w:cs="Times New Roman"/>
          <w:color w:val="auto"/>
          <w:kern w:val="2"/>
          <w:highlight w:val="none"/>
        </w:rPr>
        <w:t xml:space="preserve"> (八）其他事项</w:t>
      </w:r>
    </w:p>
    <w:p w14:paraId="621490B1">
      <w:pPr>
        <w:pStyle w:val="142"/>
        <w:spacing w:line="360" w:lineRule="auto"/>
        <w:ind w:firstLine="480" w:firstLineChars="200"/>
        <w:jc w:val="both"/>
        <w:textAlignment w:val="baseline"/>
        <w:rPr>
          <w:rFonts w:hint="eastAsia" w:ascii="宋体" w:hAnsi="宋体" w:eastAsia="宋体" w:cs="Times New Roman"/>
          <w:color w:val="FF0000"/>
          <w:kern w:val="2"/>
          <w:highlight w:val="none"/>
        </w:rPr>
      </w:pPr>
      <w:r>
        <w:rPr>
          <w:rFonts w:hint="eastAsia" w:ascii="宋体" w:hAnsi="宋体" w:eastAsia="宋体" w:cs="Times New Roman"/>
          <w:color w:val="auto"/>
          <w:kern w:val="2"/>
          <w:highlight w:val="none"/>
        </w:rPr>
        <w:t xml:space="preserve">   本项目资金来源为市财政拨款，本次招标服务期限为2025年4月1日起至2025年12月31日止。 由于前期申报、审批等事宜，项目启动时间偏晚，造成乙方服务延迟，为保证我校正常运行，自2025年4月1日至招标工作完成中标企业接手物业工作（即自2025年4月1日起至甲乙双方签订合同的期间），此期间物业服务费用（以总造价为准，按月为单位）由乙方直接支付给提供服务的物业公司（即：亿海物业发展（北京）有限公司）。</w:t>
      </w:r>
    </w:p>
    <w:p w14:paraId="688952CB">
      <w:pPr>
        <w:pStyle w:val="142"/>
        <w:spacing w:line="360" w:lineRule="auto"/>
        <w:ind w:firstLine="480" w:firstLineChars="200"/>
        <w:jc w:val="both"/>
        <w:textAlignment w:val="baseline"/>
        <w:rPr>
          <w:rFonts w:ascii="宋体" w:hAnsi="宋体" w:eastAsia="宋体" w:cs="Times New Roman"/>
          <w:kern w:val="2"/>
          <w:highlight w:val="none"/>
        </w:rPr>
      </w:pPr>
    </w:p>
    <w:p w14:paraId="736A57C2">
      <w:pPr>
        <w:spacing w:line="540" w:lineRule="exact"/>
        <w:ind w:firstLine="482" w:firstLineChars="200"/>
        <w:textAlignment w:val="baseline"/>
        <w:rPr>
          <w:rFonts w:ascii="宋体" w:hAnsi="宋体"/>
          <w:b/>
          <w:bCs/>
          <w:sz w:val="24"/>
          <w:szCs w:val="24"/>
        </w:rPr>
      </w:pPr>
      <w:r>
        <w:rPr>
          <w:rFonts w:hint="eastAsia" w:ascii="宋体" w:hAnsi="宋体"/>
          <w:b/>
          <w:bCs/>
          <w:sz w:val="24"/>
          <w:szCs w:val="24"/>
        </w:rPr>
        <w:t>三、项目背景</w:t>
      </w:r>
    </w:p>
    <w:p w14:paraId="4CBCD062">
      <w:pPr>
        <w:pStyle w:val="232"/>
        <w:spacing w:line="360" w:lineRule="auto"/>
        <w:ind w:firstLineChars="0"/>
        <w:jc w:val="left"/>
        <w:textAlignment w:val="baseline"/>
        <w:rPr>
          <w:rFonts w:ascii="宋体" w:hAnsi="宋体" w:cs="宋体"/>
          <w:b/>
          <w:kern w:val="0"/>
          <w:sz w:val="24"/>
          <w:szCs w:val="24"/>
        </w:rPr>
      </w:pPr>
      <w:r>
        <w:rPr>
          <w:rFonts w:hint="eastAsia" w:ascii="宋体" w:hAnsi="宋体" w:cs="宋体"/>
          <w:b/>
          <w:kern w:val="0"/>
          <w:sz w:val="24"/>
          <w:szCs w:val="24"/>
        </w:rPr>
        <w:t>（一）基础数据</w:t>
      </w:r>
    </w:p>
    <w:p w14:paraId="48B6FECE">
      <w:pPr>
        <w:spacing w:line="360" w:lineRule="auto"/>
        <w:ind w:firstLine="480" w:firstLineChars="200"/>
        <w:textAlignment w:val="baseline"/>
        <w:rPr>
          <w:rFonts w:ascii="宋体" w:hAnsi="宋体" w:cs="宋体"/>
          <w:color w:val="000000"/>
          <w:kern w:val="0"/>
          <w:sz w:val="32"/>
          <w:szCs w:val="32"/>
          <w:highlight w:val="none"/>
        </w:rPr>
      </w:pPr>
      <w:r>
        <w:rPr>
          <w:rFonts w:hint="eastAsia" w:ascii="宋体" w:hAnsi="宋体" w:cs="宋体"/>
          <w:kern w:val="0"/>
          <w:sz w:val="24"/>
          <w:szCs w:val="24"/>
          <w:highlight w:val="none"/>
        </w:rPr>
        <w:t>1.本项目</w:t>
      </w:r>
      <w:r>
        <w:rPr>
          <w:rFonts w:hint="eastAsia" w:ascii="宋体" w:hAnsi="宋体"/>
          <w:bCs/>
          <w:sz w:val="24"/>
          <w:szCs w:val="24"/>
          <w:highlight w:val="none"/>
        </w:rPr>
        <w:t>招标建筑房屋建筑面积：15900平方米；体育馆面积：6182平方米；体育场（含露天场地）面积：28530平方米；院内硬化路面面积：47196.6平方米；绿化面积：30000平方米；室内外雨污水管线清理及每年不少于四次化粪池、隔油池的清理消纳。主要服务内容包括但不限于以下服务：绿化养护管理、配电室管理、所有建筑物内配电设施设备每年进行一次电气防火检测、设备运行、维护和小修服务，楼内外清洁保洁，消杀，垃圾清运，突发异常情况的处理。</w:t>
      </w:r>
    </w:p>
    <w:p w14:paraId="09649404">
      <w:pPr>
        <w:spacing w:line="360" w:lineRule="auto"/>
        <w:ind w:firstLine="480" w:firstLineChars="200"/>
        <w:textAlignment w:val="baseline"/>
        <w:rPr>
          <w:rFonts w:ascii="宋体" w:hAnsi="宋体"/>
          <w:bCs/>
          <w:sz w:val="24"/>
          <w:szCs w:val="24"/>
        </w:rPr>
      </w:pPr>
      <w:r>
        <w:rPr>
          <w:rFonts w:hint="eastAsia" w:ascii="宋体" w:hAnsi="宋体"/>
          <w:bCs/>
          <w:sz w:val="24"/>
          <w:szCs w:val="24"/>
        </w:rPr>
        <w:t xml:space="preserve">2. </w:t>
      </w:r>
      <w:r>
        <w:rPr>
          <w:rFonts w:ascii="宋体" w:hAnsi="宋体"/>
          <w:bCs/>
          <w:sz w:val="24"/>
          <w:szCs w:val="24"/>
        </w:rPr>
        <w:t>户外设施情况</w:t>
      </w:r>
    </w:p>
    <w:p w14:paraId="1EF14FA8">
      <w:pPr>
        <w:spacing w:line="360" w:lineRule="auto"/>
        <w:ind w:firstLine="480" w:firstLineChars="200"/>
        <w:textAlignment w:val="baseline"/>
        <w:rPr>
          <w:rFonts w:ascii="宋体" w:hAnsi="宋体"/>
          <w:sz w:val="24"/>
          <w:szCs w:val="24"/>
        </w:rPr>
      </w:pPr>
      <w:r>
        <w:rPr>
          <w:rFonts w:hint="eastAsia" w:ascii="宋体" w:hAnsi="宋体"/>
          <w:sz w:val="24"/>
          <w:szCs w:val="24"/>
        </w:rPr>
        <w:t>校区：道路，路灯，公共广播及其他附属设施。</w:t>
      </w:r>
    </w:p>
    <w:p w14:paraId="75C041C6">
      <w:pPr>
        <w:spacing w:line="360" w:lineRule="auto"/>
        <w:ind w:firstLine="480" w:firstLineChars="200"/>
        <w:textAlignment w:val="baseline"/>
        <w:rPr>
          <w:rFonts w:ascii="宋体" w:hAnsi="宋体"/>
          <w:bCs/>
          <w:sz w:val="24"/>
          <w:szCs w:val="24"/>
        </w:rPr>
      </w:pPr>
      <w:r>
        <w:rPr>
          <w:rFonts w:hint="eastAsia" w:ascii="宋体" w:hAnsi="宋体"/>
          <w:bCs/>
          <w:sz w:val="24"/>
          <w:szCs w:val="24"/>
        </w:rPr>
        <w:t>3. 北京市射击运动技术学校</w:t>
      </w:r>
      <w:r>
        <w:rPr>
          <w:rFonts w:ascii="宋体" w:hAnsi="宋体"/>
          <w:bCs/>
          <w:sz w:val="24"/>
          <w:szCs w:val="24"/>
        </w:rPr>
        <w:t>配置情况</w:t>
      </w:r>
      <w:r>
        <w:rPr>
          <w:rFonts w:hint="eastAsia" w:ascii="宋体" w:hAnsi="宋体"/>
          <w:bCs/>
          <w:sz w:val="24"/>
          <w:szCs w:val="24"/>
        </w:rPr>
        <w:t>：</w:t>
      </w:r>
    </w:p>
    <w:p w14:paraId="05DB0D1B">
      <w:pPr>
        <w:spacing w:line="360" w:lineRule="auto"/>
        <w:ind w:firstLine="480" w:firstLineChars="200"/>
        <w:textAlignment w:val="baseline"/>
        <w:rPr>
          <w:rFonts w:ascii="宋体" w:hAnsi="宋体"/>
          <w:bCs/>
          <w:sz w:val="24"/>
          <w:szCs w:val="24"/>
        </w:rPr>
      </w:pPr>
      <w:r>
        <w:rPr>
          <w:rFonts w:hint="eastAsia" w:ascii="宋体" w:hAnsi="宋体"/>
          <w:bCs/>
          <w:sz w:val="24"/>
          <w:szCs w:val="24"/>
        </w:rPr>
        <w:t>建筑内划分了接待区、休息区、服务前台、办公区、运动员训练场馆及公寓等多种功能区域，配套有公共卫生间及更衣盥洗室，室内配套设施完善。</w:t>
      </w:r>
    </w:p>
    <w:p w14:paraId="0525BF5A">
      <w:pPr>
        <w:numPr>
          <w:ilvl w:val="6"/>
          <w:numId w:val="16"/>
        </w:numPr>
        <w:spacing w:line="360" w:lineRule="auto"/>
        <w:ind w:left="562"/>
        <w:textAlignment w:val="baseline"/>
        <w:rPr>
          <w:rFonts w:ascii="宋体" w:hAnsi="宋体"/>
          <w:b/>
          <w:bCs/>
          <w:sz w:val="24"/>
          <w:szCs w:val="24"/>
        </w:rPr>
      </w:pPr>
      <w:r>
        <w:rPr>
          <w:rFonts w:hint="eastAsia" w:ascii="宋体" w:hAnsi="宋体"/>
          <w:b/>
          <w:bCs/>
          <w:sz w:val="24"/>
          <w:szCs w:val="24"/>
        </w:rPr>
        <w:t>变配电系统：</w:t>
      </w:r>
    </w:p>
    <w:p w14:paraId="20A93BA6">
      <w:pPr>
        <w:numPr>
          <w:ilvl w:val="0"/>
          <w:numId w:val="17"/>
        </w:numPr>
        <w:spacing w:line="360" w:lineRule="auto"/>
        <w:textAlignment w:val="baseline"/>
        <w:rPr>
          <w:rFonts w:ascii="宋体" w:hAnsi="宋体"/>
          <w:sz w:val="24"/>
          <w:szCs w:val="24"/>
        </w:rPr>
      </w:pPr>
      <w:r>
        <w:rPr>
          <w:rFonts w:hint="eastAsia" w:ascii="宋体" w:hAnsi="宋体"/>
          <w:sz w:val="24"/>
          <w:szCs w:val="24"/>
        </w:rPr>
        <w:t>主要设备：干式630KVA变压器2台，高压部分：进线柜2台，隔离柜2，计量柜2台，变压器柜2台，分断柜1台，联络柜1台；低压部分：总开关柜2台，电容柜2台，配电柜4台，联络柜1台，直流柜1台，中央信号柜1台。</w:t>
      </w:r>
    </w:p>
    <w:p w14:paraId="630733FA">
      <w:pPr>
        <w:pStyle w:val="12"/>
        <w:numPr>
          <w:ilvl w:val="0"/>
          <w:numId w:val="17"/>
        </w:numPr>
        <w:spacing w:line="360" w:lineRule="auto"/>
        <w:ind w:firstLine="420"/>
        <w:textAlignment w:val="baseline"/>
        <w:rPr>
          <w:rFonts w:ascii="宋体" w:hAnsi="宋体"/>
          <w:sz w:val="24"/>
          <w:szCs w:val="24"/>
        </w:rPr>
      </w:pPr>
      <w:r>
        <w:rPr>
          <w:rFonts w:hint="eastAsia" w:ascii="宋体" w:hAnsi="宋体"/>
          <w:sz w:val="24"/>
          <w:szCs w:val="24"/>
        </w:rPr>
        <w:t>服务内容：供电设备管理维护是指为保证办公楼（区）供电系统正常运行对高、低压电器设备、电线电缆、电气照明装置等设备进行日常管理和维护。</w:t>
      </w:r>
    </w:p>
    <w:p w14:paraId="1DAE4056">
      <w:pPr>
        <w:pStyle w:val="12"/>
        <w:numPr>
          <w:ilvl w:val="0"/>
          <w:numId w:val="17"/>
        </w:numPr>
        <w:spacing w:line="360" w:lineRule="auto"/>
        <w:ind w:firstLine="420"/>
        <w:textAlignment w:val="baseline"/>
        <w:rPr>
          <w:rFonts w:ascii="宋体" w:hAnsi="宋体"/>
          <w:sz w:val="24"/>
          <w:szCs w:val="24"/>
        </w:rPr>
      </w:pPr>
      <w:r>
        <w:rPr>
          <w:rFonts w:hint="eastAsia" w:ascii="宋体" w:hAnsi="宋体"/>
          <w:sz w:val="24"/>
          <w:szCs w:val="24"/>
        </w:rPr>
        <w:t>服务标准</w:t>
      </w:r>
    </w:p>
    <w:p w14:paraId="5F86FE42">
      <w:pPr>
        <w:pStyle w:val="12"/>
        <w:numPr>
          <w:ilvl w:val="0"/>
          <w:numId w:val="18"/>
        </w:numPr>
        <w:spacing w:line="360" w:lineRule="auto"/>
        <w:ind w:firstLine="420"/>
        <w:jc w:val="left"/>
        <w:textAlignment w:val="baseline"/>
        <w:rPr>
          <w:rFonts w:ascii="宋体" w:hAnsi="宋体"/>
          <w:sz w:val="24"/>
          <w:szCs w:val="24"/>
        </w:rPr>
      </w:pPr>
      <w:r>
        <w:rPr>
          <w:rFonts w:hint="eastAsia" w:ascii="宋体" w:hAnsi="宋体"/>
          <w:sz w:val="24"/>
          <w:szCs w:val="24"/>
        </w:rPr>
        <w:t>统筹规划，做到合理、节约用电。</w:t>
      </w:r>
    </w:p>
    <w:p w14:paraId="293136A1">
      <w:pPr>
        <w:pStyle w:val="12"/>
        <w:numPr>
          <w:ilvl w:val="0"/>
          <w:numId w:val="18"/>
        </w:numPr>
        <w:spacing w:line="360" w:lineRule="auto"/>
        <w:ind w:firstLine="420"/>
        <w:jc w:val="left"/>
        <w:textAlignment w:val="baseline"/>
        <w:rPr>
          <w:rFonts w:ascii="宋体" w:hAnsi="宋体"/>
          <w:sz w:val="24"/>
          <w:szCs w:val="24"/>
        </w:rPr>
      </w:pPr>
      <w:r>
        <w:rPr>
          <w:rFonts w:hint="eastAsia" w:ascii="宋体" w:hAnsi="宋体"/>
          <w:sz w:val="24"/>
          <w:szCs w:val="24"/>
        </w:rPr>
        <w:t>供电运行和维修人员必须持证上岗。</w:t>
      </w:r>
    </w:p>
    <w:p w14:paraId="2FA3CA9C">
      <w:pPr>
        <w:pStyle w:val="12"/>
        <w:numPr>
          <w:ilvl w:val="0"/>
          <w:numId w:val="18"/>
        </w:numPr>
        <w:spacing w:line="360" w:lineRule="auto"/>
        <w:ind w:firstLine="420"/>
        <w:jc w:val="left"/>
        <w:textAlignment w:val="baseline"/>
        <w:rPr>
          <w:rFonts w:ascii="宋体" w:hAnsi="宋体"/>
          <w:sz w:val="24"/>
          <w:szCs w:val="24"/>
        </w:rPr>
      </w:pPr>
      <w:r>
        <w:rPr>
          <w:rFonts w:hint="eastAsia" w:ascii="宋体" w:hAnsi="宋体"/>
          <w:sz w:val="24"/>
          <w:szCs w:val="24"/>
        </w:rPr>
        <w:t>变电室24小时有人值班且同时在岗值班人员不少于2人。</w:t>
      </w:r>
    </w:p>
    <w:p w14:paraId="0ACC5B46">
      <w:pPr>
        <w:pStyle w:val="12"/>
        <w:numPr>
          <w:ilvl w:val="0"/>
          <w:numId w:val="18"/>
        </w:numPr>
        <w:spacing w:line="360" w:lineRule="auto"/>
        <w:ind w:firstLine="420"/>
        <w:jc w:val="left"/>
        <w:textAlignment w:val="baseline"/>
        <w:rPr>
          <w:rFonts w:ascii="宋体" w:hAnsi="宋体"/>
          <w:sz w:val="24"/>
          <w:szCs w:val="24"/>
        </w:rPr>
      </w:pPr>
      <w:r>
        <w:rPr>
          <w:rFonts w:hint="eastAsia" w:ascii="宋体" w:hAnsi="宋体"/>
          <w:sz w:val="24"/>
          <w:szCs w:val="24"/>
        </w:rPr>
        <w:t>加强日常维护检修，保证电气设备完好。</w:t>
      </w:r>
    </w:p>
    <w:p w14:paraId="649BBA83">
      <w:pPr>
        <w:pStyle w:val="12"/>
        <w:numPr>
          <w:ilvl w:val="0"/>
          <w:numId w:val="18"/>
        </w:numPr>
        <w:spacing w:line="360" w:lineRule="auto"/>
        <w:ind w:firstLine="420"/>
        <w:jc w:val="left"/>
        <w:textAlignment w:val="baseline"/>
        <w:rPr>
          <w:rFonts w:ascii="宋体" w:hAnsi="宋体"/>
          <w:sz w:val="24"/>
          <w:szCs w:val="24"/>
        </w:rPr>
      </w:pPr>
      <w:r>
        <w:rPr>
          <w:rFonts w:hint="eastAsia" w:ascii="宋体" w:hAnsi="宋体"/>
          <w:sz w:val="24"/>
          <w:szCs w:val="24"/>
        </w:rPr>
        <w:t>严格执行用电安全规范，确保用电安全。</w:t>
      </w:r>
    </w:p>
    <w:p w14:paraId="70B4C431">
      <w:pPr>
        <w:pStyle w:val="12"/>
        <w:numPr>
          <w:ilvl w:val="0"/>
          <w:numId w:val="19"/>
        </w:numPr>
        <w:spacing w:line="360" w:lineRule="auto"/>
        <w:ind w:firstLine="420"/>
        <w:textAlignment w:val="baseline"/>
        <w:rPr>
          <w:rFonts w:ascii="宋体" w:hAnsi="宋体"/>
          <w:sz w:val="24"/>
          <w:szCs w:val="24"/>
        </w:rPr>
      </w:pPr>
      <w:r>
        <w:rPr>
          <w:rFonts w:hint="eastAsia" w:ascii="宋体" w:hAnsi="宋体"/>
          <w:sz w:val="24"/>
          <w:szCs w:val="24"/>
        </w:rPr>
        <w:t>服务要求</w:t>
      </w:r>
    </w:p>
    <w:p w14:paraId="0B57E122">
      <w:pPr>
        <w:pStyle w:val="12"/>
        <w:numPr>
          <w:ilvl w:val="0"/>
          <w:numId w:val="20"/>
        </w:numPr>
        <w:spacing w:line="360" w:lineRule="auto"/>
        <w:ind w:firstLine="420"/>
        <w:textAlignment w:val="baseline"/>
        <w:rPr>
          <w:rFonts w:ascii="宋体" w:hAnsi="宋体"/>
          <w:sz w:val="24"/>
          <w:szCs w:val="24"/>
        </w:rPr>
      </w:pPr>
      <w:r>
        <w:rPr>
          <w:rFonts w:hint="eastAsia" w:ascii="宋体" w:hAnsi="宋体"/>
          <w:sz w:val="24"/>
          <w:szCs w:val="24"/>
        </w:rPr>
        <w:t>对文体中心供电系统高、低压电器设备、电线电缆、电气照明装置等设备正常运行使用进行日常管理和养护维修。</w:t>
      </w:r>
    </w:p>
    <w:p w14:paraId="1F61A2EF">
      <w:pPr>
        <w:pStyle w:val="12"/>
        <w:numPr>
          <w:ilvl w:val="0"/>
          <w:numId w:val="20"/>
        </w:numPr>
        <w:spacing w:line="360" w:lineRule="auto"/>
        <w:ind w:firstLine="420"/>
        <w:textAlignment w:val="baseline"/>
        <w:rPr>
          <w:rFonts w:ascii="宋体" w:hAnsi="宋体"/>
          <w:sz w:val="24"/>
          <w:szCs w:val="24"/>
        </w:rPr>
      </w:pPr>
      <w:r>
        <w:rPr>
          <w:rFonts w:hint="eastAsia" w:ascii="宋体" w:hAnsi="宋体"/>
          <w:sz w:val="24"/>
          <w:szCs w:val="24"/>
        </w:rPr>
        <w:t>建立各项供电系统、电器设备档案。</w:t>
      </w:r>
    </w:p>
    <w:p w14:paraId="2CF4BDB6">
      <w:pPr>
        <w:pStyle w:val="12"/>
        <w:numPr>
          <w:ilvl w:val="0"/>
          <w:numId w:val="20"/>
        </w:numPr>
        <w:spacing w:line="360" w:lineRule="auto"/>
        <w:ind w:firstLine="420"/>
        <w:textAlignment w:val="baseline"/>
        <w:rPr>
          <w:rFonts w:ascii="宋体" w:hAnsi="宋体"/>
          <w:sz w:val="24"/>
          <w:szCs w:val="24"/>
          <w:highlight w:val="none"/>
        </w:rPr>
      </w:pPr>
      <w:r>
        <w:rPr>
          <w:rFonts w:hint="eastAsia" w:ascii="宋体" w:hAnsi="宋体"/>
          <w:sz w:val="24"/>
          <w:szCs w:val="24"/>
          <w:highlight w:val="none"/>
        </w:rPr>
        <w:t>建立、落实配送电运行管理制度。</w:t>
      </w:r>
    </w:p>
    <w:p w14:paraId="24460FF0">
      <w:pPr>
        <w:pStyle w:val="12"/>
        <w:numPr>
          <w:ilvl w:val="0"/>
          <w:numId w:val="20"/>
        </w:numPr>
        <w:spacing w:line="360" w:lineRule="auto"/>
        <w:ind w:firstLine="420"/>
        <w:textAlignment w:val="baseline"/>
        <w:rPr>
          <w:rFonts w:ascii="宋体" w:hAnsi="宋体"/>
          <w:sz w:val="24"/>
          <w:szCs w:val="24"/>
          <w:highlight w:val="none"/>
        </w:rPr>
      </w:pPr>
      <w:r>
        <w:rPr>
          <w:rFonts w:hint="eastAsia" w:ascii="宋体" w:hAnsi="宋体"/>
          <w:sz w:val="24"/>
          <w:szCs w:val="24"/>
          <w:highlight w:val="none"/>
        </w:rPr>
        <w:t>及时排除故障，保证供电设施完好。</w:t>
      </w:r>
    </w:p>
    <w:p w14:paraId="21C1D543">
      <w:pPr>
        <w:pStyle w:val="12"/>
        <w:numPr>
          <w:ilvl w:val="0"/>
          <w:numId w:val="20"/>
        </w:numPr>
        <w:spacing w:line="360" w:lineRule="auto"/>
        <w:ind w:firstLine="420"/>
        <w:textAlignment w:val="baseline"/>
        <w:rPr>
          <w:rFonts w:ascii="宋体" w:hAnsi="宋体"/>
          <w:sz w:val="24"/>
          <w:szCs w:val="24"/>
          <w:highlight w:val="none"/>
        </w:rPr>
      </w:pPr>
      <w:r>
        <w:rPr>
          <w:rFonts w:hint="eastAsia" w:ascii="宋体" w:hAnsi="宋体"/>
          <w:sz w:val="24"/>
          <w:szCs w:val="24"/>
          <w:highlight w:val="none"/>
        </w:rPr>
        <w:t>制定节电方案。</w:t>
      </w:r>
    </w:p>
    <w:p w14:paraId="5AFC2E76">
      <w:pPr>
        <w:numPr>
          <w:ilvl w:val="6"/>
          <w:numId w:val="16"/>
        </w:numPr>
        <w:spacing w:line="360" w:lineRule="auto"/>
        <w:ind w:left="562"/>
        <w:textAlignment w:val="baseline"/>
        <w:rPr>
          <w:rFonts w:ascii="宋体" w:hAnsi="宋体"/>
          <w:b/>
          <w:bCs/>
          <w:sz w:val="24"/>
          <w:szCs w:val="24"/>
          <w:highlight w:val="none"/>
        </w:rPr>
      </w:pPr>
      <w:r>
        <w:rPr>
          <w:rFonts w:hint="eastAsia" w:ascii="宋体" w:hAnsi="宋体"/>
          <w:b/>
          <w:bCs/>
          <w:sz w:val="24"/>
          <w:szCs w:val="24"/>
          <w:highlight w:val="none"/>
        </w:rPr>
        <w:t>消防系统：</w:t>
      </w:r>
    </w:p>
    <w:p w14:paraId="7F4DFB3A">
      <w:pPr>
        <w:numPr>
          <w:ilvl w:val="0"/>
          <w:numId w:val="21"/>
        </w:numPr>
        <w:spacing w:line="360" w:lineRule="auto"/>
        <w:textAlignment w:val="baseline"/>
        <w:rPr>
          <w:rFonts w:ascii="宋体" w:hAnsi="宋体"/>
          <w:sz w:val="24"/>
          <w:szCs w:val="24"/>
          <w:highlight w:val="none"/>
        </w:rPr>
      </w:pPr>
      <w:r>
        <w:rPr>
          <w:rFonts w:hint="eastAsia" w:ascii="宋体" w:hAnsi="宋体"/>
          <w:sz w:val="24"/>
          <w:szCs w:val="24"/>
          <w:highlight w:val="none"/>
        </w:rPr>
        <w:t>主要设备：细雾灭火系统、喷淋泵、消火栓泵、气体顶压系统。</w:t>
      </w:r>
    </w:p>
    <w:p w14:paraId="2DD251A3">
      <w:pPr>
        <w:numPr>
          <w:ilvl w:val="0"/>
          <w:numId w:val="21"/>
        </w:numPr>
        <w:spacing w:line="360" w:lineRule="auto"/>
        <w:jc w:val="left"/>
        <w:textAlignment w:val="baseline"/>
        <w:rPr>
          <w:rFonts w:ascii="宋体" w:hAnsi="宋体"/>
          <w:sz w:val="24"/>
          <w:szCs w:val="24"/>
          <w:highlight w:val="none"/>
        </w:rPr>
      </w:pPr>
      <w:r>
        <w:rPr>
          <w:rFonts w:hint="eastAsia" w:ascii="宋体" w:hAnsi="宋体"/>
          <w:sz w:val="24"/>
          <w:szCs w:val="24"/>
          <w:highlight w:val="none"/>
        </w:rPr>
        <w:t>服务内容</w:t>
      </w:r>
    </w:p>
    <w:p w14:paraId="26885CE6">
      <w:pPr>
        <w:widowControl/>
        <w:spacing w:line="400" w:lineRule="exact"/>
        <w:ind w:left="424" w:leftChars="202"/>
        <w:textAlignment w:val="baseline"/>
        <w:rPr>
          <w:rFonts w:ascii="宋体" w:hAnsi="宋体"/>
          <w:sz w:val="24"/>
          <w:szCs w:val="24"/>
        </w:rPr>
      </w:pPr>
      <w:r>
        <w:rPr>
          <w:rFonts w:hint="eastAsia" w:ascii="宋体" w:hAnsi="宋体"/>
          <w:sz w:val="24"/>
          <w:szCs w:val="24"/>
          <w:highlight w:val="none"/>
        </w:rPr>
        <w:t>按照公安部《机关、团体、企业、事业单位消防安全管理规定》、北京市《单位消防安全管理标准》的要求，提供职</w:t>
      </w:r>
      <w:r>
        <w:rPr>
          <w:rFonts w:hint="eastAsia" w:ascii="宋体" w:hAnsi="宋体"/>
          <w:sz w:val="24"/>
          <w:szCs w:val="24"/>
        </w:rPr>
        <w:t>责范围内的服务。</w:t>
      </w:r>
    </w:p>
    <w:p w14:paraId="68B86953">
      <w:pPr>
        <w:numPr>
          <w:ilvl w:val="1"/>
          <w:numId w:val="22"/>
        </w:numPr>
        <w:spacing w:line="360" w:lineRule="auto"/>
        <w:ind w:left="0" w:hanging="2"/>
        <w:textAlignment w:val="baseline"/>
        <w:rPr>
          <w:rFonts w:ascii="宋体" w:hAnsi="宋体"/>
          <w:sz w:val="24"/>
          <w:szCs w:val="24"/>
        </w:rPr>
      </w:pPr>
      <w:r>
        <w:rPr>
          <w:rFonts w:hint="eastAsia" w:ascii="宋体" w:hAnsi="宋体"/>
          <w:sz w:val="24"/>
          <w:szCs w:val="24"/>
        </w:rPr>
        <w:t>编制应急管理方案，提供应急服务。</w:t>
      </w:r>
    </w:p>
    <w:p w14:paraId="7B4CED78">
      <w:pPr>
        <w:spacing w:line="360" w:lineRule="auto"/>
        <w:jc w:val="left"/>
        <w:textAlignment w:val="baseline"/>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.楼宇日常养护维修</w:t>
      </w:r>
    </w:p>
    <w:p w14:paraId="29CBD8F1">
      <w:pPr>
        <w:numPr>
          <w:ilvl w:val="0"/>
          <w:numId w:val="23"/>
        </w:numPr>
        <w:spacing w:line="360" w:lineRule="auto"/>
        <w:ind w:left="426" w:hanging="377"/>
        <w:jc w:val="left"/>
        <w:textAlignment w:val="baseline"/>
        <w:rPr>
          <w:rFonts w:ascii="宋体" w:hAnsi="宋体"/>
          <w:sz w:val="24"/>
          <w:szCs w:val="24"/>
        </w:rPr>
      </w:pPr>
      <w:r>
        <w:rPr>
          <w:rFonts w:hint="eastAsia" w:ascii="宋体" w:hAnsi="宋体"/>
          <w:sz w:val="24"/>
          <w:szCs w:val="24"/>
        </w:rPr>
        <w:t>服务内容：楼宇日常养护维修是指保持运动员公寓楼、各训练场馆、办公楼、公共区域、功能用房、卫生间、走廊、屋面、外墙立面等的原有完好等级和正常使用，进行日常养护和及时修复小损小坏等维护管理工作。</w:t>
      </w:r>
    </w:p>
    <w:p w14:paraId="00C3FCD2">
      <w:pPr>
        <w:numPr>
          <w:ilvl w:val="0"/>
          <w:numId w:val="23"/>
        </w:numPr>
        <w:spacing w:line="360" w:lineRule="auto"/>
        <w:ind w:hanging="851"/>
        <w:jc w:val="left"/>
        <w:textAlignment w:val="baseline"/>
        <w:rPr>
          <w:rFonts w:ascii="宋体" w:hAnsi="宋体"/>
          <w:sz w:val="24"/>
          <w:szCs w:val="24"/>
        </w:rPr>
      </w:pPr>
      <w:r>
        <w:rPr>
          <w:rFonts w:hint="eastAsia" w:ascii="宋体" w:hAnsi="宋体"/>
          <w:sz w:val="24"/>
          <w:szCs w:val="24"/>
        </w:rPr>
        <w:t>服务标准及要求</w:t>
      </w:r>
    </w:p>
    <w:p w14:paraId="12814ED8">
      <w:pPr>
        <w:numPr>
          <w:ilvl w:val="0"/>
          <w:numId w:val="24"/>
        </w:numPr>
        <w:spacing w:line="360" w:lineRule="auto"/>
        <w:jc w:val="left"/>
        <w:textAlignment w:val="baseline"/>
        <w:rPr>
          <w:rFonts w:ascii="宋体" w:hAnsi="宋体"/>
          <w:sz w:val="24"/>
          <w:szCs w:val="24"/>
        </w:rPr>
      </w:pPr>
      <w:r>
        <w:rPr>
          <w:rFonts w:hint="eastAsia" w:ascii="宋体" w:hAnsi="宋体"/>
          <w:sz w:val="24"/>
          <w:szCs w:val="24"/>
        </w:rPr>
        <w:t>确保房屋的完好等级和正常使用。</w:t>
      </w:r>
    </w:p>
    <w:p w14:paraId="65893DF7">
      <w:pPr>
        <w:numPr>
          <w:ilvl w:val="0"/>
          <w:numId w:val="24"/>
        </w:numPr>
        <w:spacing w:line="360" w:lineRule="auto"/>
        <w:jc w:val="left"/>
        <w:textAlignment w:val="baseline"/>
        <w:rPr>
          <w:rFonts w:ascii="宋体" w:hAnsi="宋体"/>
          <w:sz w:val="24"/>
          <w:szCs w:val="24"/>
        </w:rPr>
      </w:pPr>
      <w:r>
        <w:rPr>
          <w:rFonts w:hint="eastAsia" w:ascii="宋体" w:hAnsi="宋体"/>
          <w:sz w:val="24"/>
          <w:szCs w:val="24"/>
        </w:rPr>
        <w:t>及时完成各项零星维修任务，合格率100%。一般维修不得超过24小时。</w:t>
      </w:r>
    </w:p>
    <w:p w14:paraId="6653B99C">
      <w:pPr>
        <w:spacing w:line="360" w:lineRule="auto"/>
        <w:jc w:val="left"/>
        <w:textAlignment w:val="baseline"/>
        <w:rPr>
          <w:rFonts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.公共设施、门窗、办公家具的日常维修管理</w:t>
      </w:r>
    </w:p>
    <w:p w14:paraId="533751F6">
      <w:pPr>
        <w:numPr>
          <w:ilvl w:val="0"/>
          <w:numId w:val="25"/>
        </w:numPr>
        <w:spacing w:line="360" w:lineRule="auto"/>
        <w:jc w:val="left"/>
        <w:textAlignment w:val="baseline"/>
        <w:rPr>
          <w:rFonts w:ascii="宋体" w:hAnsi="宋体"/>
          <w:sz w:val="24"/>
          <w:szCs w:val="24"/>
        </w:rPr>
      </w:pPr>
      <w:r>
        <w:rPr>
          <w:rFonts w:hint="eastAsia" w:ascii="宋体" w:hAnsi="宋体"/>
          <w:sz w:val="24"/>
          <w:szCs w:val="24"/>
        </w:rPr>
        <w:t>服务内容</w:t>
      </w:r>
    </w:p>
    <w:p w14:paraId="4454C770">
      <w:pPr>
        <w:numPr>
          <w:ilvl w:val="1"/>
          <w:numId w:val="26"/>
        </w:numPr>
        <w:spacing w:line="360" w:lineRule="auto"/>
        <w:ind w:left="426" w:hanging="426"/>
        <w:jc w:val="left"/>
        <w:textAlignment w:val="baseline"/>
        <w:rPr>
          <w:rFonts w:ascii="宋体" w:hAnsi="宋体"/>
          <w:sz w:val="24"/>
          <w:szCs w:val="24"/>
        </w:rPr>
      </w:pPr>
      <w:r>
        <w:rPr>
          <w:rFonts w:hint="eastAsia" w:ascii="宋体" w:hAnsi="宋体"/>
          <w:sz w:val="24"/>
          <w:szCs w:val="24"/>
        </w:rPr>
        <w:t>公共设施，包括各类宣传栏、护栏、室内外照明设施、标牌导向标识、交通导示系统的日常管理及维修。</w:t>
      </w:r>
    </w:p>
    <w:p w14:paraId="36557901">
      <w:pPr>
        <w:numPr>
          <w:ilvl w:val="1"/>
          <w:numId w:val="26"/>
        </w:numPr>
        <w:spacing w:line="360" w:lineRule="auto"/>
        <w:ind w:left="426" w:hanging="426"/>
        <w:jc w:val="left"/>
        <w:textAlignment w:val="baseline"/>
        <w:rPr>
          <w:rFonts w:ascii="宋体" w:hAnsi="宋体"/>
          <w:sz w:val="24"/>
          <w:szCs w:val="24"/>
        </w:rPr>
      </w:pPr>
      <w:r>
        <w:rPr>
          <w:rFonts w:hint="eastAsia" w:ascii="宋体" w:hAnsi="宋体"/>
          <w:sz w:val="24"/>
          <w:szCs w:val="24"/>
        </w:rPr>
        <w:t>办公家具、门窗、门锁等每日巡查，维修及时，保证正常使用，完成各类小型物件安装工作。</w:t>
      </w:r>
    </w:p>
    <w:p w14:paraId="33124F39">
      <w:pPr>
        <w:numPr>
          <w:ilvl w:val="0"/>
          <w:numId w:val="25"/>
        </w:numPr>
        <w:spacing w:line="360" w:lineRule="auto"/>
        <w:jc w:val="left"/>
        <w:textAlignment w:val="baseline"/>
        <w:rPr>
          <w:rFonts w:ascii="宋体" w:hAnsi="宋体"/>
          <w:sz w:val="24"/>
          <w:szCs w:val="24"/>
        </w:rPr>
      </w:pPr>
      <w:r>
        <w:rPr>
          <w:rFonts w:hint="eastAsia" w:ascii="宋体" w:hAnsi="宋体"/>
          <w:sz w:val="24"/>
          <w:szCs w:val="24"/>
        </w:rPr>
        <w:t>服务标准及要求</w:t>
      </w:r>
    </w:p>
    <w:p w14:paraId="466ED0B8">
      <w:pPr>
        <w:numPr>
          <w:ilvl w:val="1"/>
          <w:numId w:val="27"/>
        </w:numPr>
        <w:spacing w:line="360" w:lineRule="auto"/>
        <w:ind w:left="426" w:hanging="426"/>
        <w:jc w:val="left"/>
        <w:textAlignment w:val="baseline"/>
        <w:rPr>
          <w:rFonts w:ascii="宋体" w:hAnsi="宋体"/>
          <w:sz w:val="24"/>
          <w:szCs w:val="24"/>
        </w:rPr>
      </w:pPr>
      <w:r>
        <w:rPr>
          <w:rFonts w:hint="eastAsia" w:ascii="宋体" w:hAnsi="宋体"/>
          <w:sz w:val="24"/>
          <w:szCs w:val="24"/>
        </w:rPr>
        <w:t>公共设施无破损、变形，无明显锈蚀。照明设施、各类标识清洁、完好。</w:t>
      </w:r>
    </w:p>
    <w:p w14:paraId="4FFA823A">
      <w:pPr>
        <w:numPr>
          <w:ilvl w:val="0"/>
          <w:numId w:val="27"/>
        </w:numPr>
        <w:spacing w:line="360" w:lineRule="auto"/>
        <w:jc w:val="left"/>
        <w:textAlignment w:val="baseline"/>
        <w:rPr>
          <w:rFonts w:ascii="宋体" w:hAnsi="宋体"/>
          <w:sz w:val="24"/>
          <w:szCs w:val="24"/>
        </w:rPr>
      </w:pPr>
      <w:r>
        <w:rPr>
          <w:rFonts w:hint="eastAsia" w:ascii="宋体" w:hAnsi="宋体"/>
          <w:sz w:val="24"/>
          <w:szCs w:val="24"/>
        </w:rPr>
        <w:t>办公家具、门窗、门（木门、不锈钢门、防火门）、窗（铝合金窗、推拉平开、百叶窗）：牢固、平整、美观、无锈蚀、开关灵活、接缝严密,不松动，门窗及门窗配件齐全。</w:t>
      </w:r>
    </w:p>
    <w:p w14:paraId="6831C459">
      <w:pPr>
        <w:spacing w:line="360" w:lineRule="auto"/>
        <w:textAlignment w:val="baseline"/>
        <w:rPr>
          <w:rFonts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.避雷系统运行管理</w:t>
      </w:r>
    </w:p>
    <w:p w14:paraId="16229E5C">
      <w:pPr>
        <w:spacing w:line="360" w:lineRule="auto"/>
        <w:textAlignment w:val="baseline"/>
        <w:rPr>
          <w:rFonts w:ascii="宋体" w:hAnsi="宋体"/>
          <w:sz w:val="24"/>
          <w:szCs w:val="24"/>
        </w:rPr>
      </w:pPr>
      <w:r>
        <w:rPr>
          <w:rFonts w:hint="eastAsia" w:ascii="宋体" w:hAnsi="宋体"/>
          <w:sz w:val="24"/>
          <w:szCs w:val="24"/>
          <w:lang w:eastAsia="zh-CN"/>
        </w:rPr>
        <w:t>1</w:t>
      </w:r>
      <w:r>
        <w:rPr>
          <w:rFonts w:hint="eastAsia" w:ascii="宋体" w:hAnsi="宋体"/>
          <w:sz w:val="24"/>
          <w:szCs w:val="24"/>
        </w:rPr>
        <w:t>) 物业公司做好防雷装置的日常维护工作。发现防雷装置存在隐患时，应当及时上报业主。</w:t>
      </w:r>
    </w:p>
    <w:p w14:paraId="4D9664B8">
      <w:pPr>
        <w:snapToGrid w:val="0"/>
        <w:spacing w:line="360" w:lineRule="auto"/>
        <w:textAlignment w:val="baseline"/>
        <w:rPr>
          <w:rFonts w:ascii="宋体" w:hAnsi="宋体"/>
          <w:b/>
          <w:bCs/>
          <w:sz w:val="24"/>
          <w:szCs w:val="24"/>
        </w:rPr>
      </w:pPr>
      <w:r>
        <w:rPr>
          <w:rFonts w:ascii="宋体" w:hAnsi="宋体"/>
          <w:b/>
          <w:bCs/>
          <w:sz w:val="24"/>
          <w:szCs w:val="24"/>
        </w:rPr>
        <w:t>（</w:t>
      </w:r>
      <w:r>
        <w:rPr>
          <w:rFonts w:hint="eastAsia" w:ascii="宋体" w:hAnsi="宋体"/>
          <w:b/>
          <w:bCs/>
          <w:sz w:val="24"/>
          <w:szCs w:val="24"/>
        </w:rPr>
        <w:t>二</w:t>
      </w:r>
      <w:r>
        <w:rPr>
          <w:rFonts w:ascii="宋体" w:hAnsi="宋体"/>
          <w:b/>
          <w:bCs/>
          <w:sz w:val="24"/>
          <w:szCs w:val="24"/>
        </w:rPr>
        <w:t>）招标范围</w:t>
      </w:r>
    </w:p>
    <w:p w14:paraId="4E00068D">
      <w:pPr>
        <w:snapToGrid w:val="0"/>
        <w:spacing w:line="360" w:lineRule="auto"/>
        <w:ind w:firstLine="480" w:firstLineChars="200"/>
        <w:textAlignment w:val="baseline"/>
        <w:rPr>
          <w:rFonts w:ascii="宋体" w:hAnsi="宋体"/>
          <w:bCs/>
          <w:sz w:val="24"/>
          <w:szCs w:val="24"/>
        </w:rPr>
      </w:pPr>
      <w:r>
        <w:rPr>
          <w:rFonts w:ascii="宋体" w:hAnsi="宋体"/>
          <w:bCs/>
          <w:sz w:val="24"/>
          <w:szCs w:val="24"/>
        </w:rPr>
        <w:t>招标方委托投标方负责</w:t>
      </w:r>
      <w:r>
        <w:rPr>
          <w:rFonts w:hint="eastAsia" w:ascii="宋体" w:hAnsi="宋体"/>
          <w:bCs/>
          <w:sz w:val="24"/>
          <w:szCs w:val="24"/>
        </w:rPr>
        <w:t>北京市射击运动技术学校范围内全部建筑物</w:t>
      </w:r>
      <w:r>
        <w:rPr>
          <w:rFonts w:ascii="宋体" w:hAnsi="宋体"/>
          <w:bCs/>
          <w:sz w:val="24"/>
          <w:szCs w:val="24"/>
        </w:rPr>
        <w:t>及所属户外</w:t>
      </w:r>
      <w:r>
        <w:rPr>
          <w:rFonts w:hint="eastAsia" w:ascii="宋体" w:hAnsi="宋体"/>
          <w:bCs/>
          <w:sz w:val="24"/>
          <w:szCs w:val="24"/>
        </w:rPr>
        <w:t>设施</w:t>
      </w:r>
      <w:r>
        <w:rPr>
          <w:rFonts w:ascii="宋体" w:hAnsi="宋体"/>
          <w:bCs/>
          <w:sz w:val="24"/>
          <w:szCs w:val="24"/>
        </w:rPr>
        <w:t>的</w:t>
      </w:r>
      <w:r>
        <w:rPr>
          <w:rFonts w:hint="eastAsia" w:ascii="宋体" w:hAnsi="宋体"/>
          <w:bCs/>
          <w:sz w:val="24"/>
          <w:szCs w:val="24"/>
        </w:rPr>
        <w:t>物业管理服务，具体服务内容如</w:t>
      </w:r>
      <w:r>
        <w:rPr>
          <w:rFonts w:ascii="宋体" w:hAnsi="宋体"/>
          <w:bCs/>
          <w:sz w:val="24"/>
          <w:szCs w:val="24"/>
        </w:rPr>
        <w:t>服务基本内容</w:t>
      </w:r>
      <w:r>
        <w:rPr>
          <w:rFonts w:hint="eastAsia" w:ascii="宋体" w:hAnsi="宋体"/>
          <w:bCs/>
          <w:sz w:val="24"/>
          <w:szCs w:val="24"/>
        </w:rPr>
        <w:t>中所示</w:t>
      </w:r>
      <w:r>
        <w:rPr>
          <w:rFonts w:ascii="宋体" w:hAnsi="宋体"/>
          <w:bCs/>
          <w:sz w:val="24"/>
          <w:szCs w:val="24"/>
        </w:rPr>
        <w:t>。</w:t>
      </w:r>
    </w:p>
    <w:p w14:paraId="4CA5FBF9">
      <w:pPr>
        <w:snapToGrid w:val="0"/>
        <w:spacing w:line="360" w:lineRule="auto"/>
        <w:ind w:firstLine="482" w:firstLineChars="200"/>
        <w:textAlignment w:val="baseline"/>
        <w:rPr>
          <w:rFonts w:ascii="宋体" w:hAnsi="宋体"/>
          <w:b/>
          <w:bCs/>
          <w:sz w:val="24"/>
          <w:szCs w:val="24"/>
        </w:rPr>
      </w:pPr>
      <w:r>
        <w:rPr>
          <w:rFonts w:hint="eastAsia" w:ascii="宋体" w:hAnsi="宋体"/>
          <w:b/>
          <w:bCs/>
          <w:sz w:val="24"/>
          <w:szCs w:val="24"/>
        </w:rPr>
        <w:t>四</w:t>
      </w:r>
      <w:r>
        <w:rPr>
          <w:rFonts w:ascii="宋体" w:hAnsi="宋体"/>
          <w:b/>
          <w:bCs/>
          <w:sz w:val="24"/>
          <w:szCs w:val="24"/>
        </w:rPr>
        <w:t>、服务基本内容</w:t>
      </w:r>
    </w:p>
    <w:p w14:paraId="6B6DD7E9">
      <w:pPr>
        <w:snapToGrid w:val="0"/>
        <w:spacing w:line="360" w:lineRule="auto"/>
        <w:ind w:firstLine="482" w:firstLineChars="200"/>
        <w:textAlignment w:val="baseline"/>
        <w:rPr>
          <w:rFonts w:ascii="宋体" w:hAnsi="宋体"/>
          <w:b/>
          <w:bCs/>
          <w:sz w:val="24"/>
          <w:szCs w:val="24"/>
        </w:rPr>
      </w:pPr>
      <w:r>
        <w:rPr>
          <w:rFonts w:ascii="宋体" w:hAnsi="宋体"/>
          <w:b/>
          <w:bCs/>
          <w:sz w:val="24"/>
          <w:szCs w:val="24"/>
        </w:rPr>
        <w:t>（一）</w:t>
      </w:r>
      <w:r>
        <w:rPr>
          <w:rFonts w:hint="eastAsia" w:ascii="宋体" w:hAnsi="宋体"/>
          <w:b/>
          <w:bCs/>
          <w:sz w:val="24"/>
          <w:szCs w:val="24"/>
        </w:rPr>
        <w:t>管理团队</w:t>
      </w:r>
    </w:p>
    <w:p w14:paraId="35D79193">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根据校区日常运营管理工作的需要，</w:t>
      </w:r>
      <w:r>
        <w:rPr>
          <w:rFonts w:ascii="宋体" w:hAnsi="宋体"/>
          <w:sz w:val="24"/>
          <w:szCs w:val="24"/>
        </w:rPr>
        <w:t>根据《中华人民共和国</w:t>
      </w:r>
      <w:r>
        <w:rPr>
          <w:rFonts w:hint="eastAsia" w:ascii="宋体" w:hAnsi="宋体"/>
          <w:sz w:val="24"/>
          <w:szCs w:val="24"/>
        </w:rPr>
        <w:t>民典法</w:t>
      </w:r>
      <w:r>
        <w:rPr>
          <w:rFonts w:ascii="宋体" w:hAnsi="宋体"/>
          <w:sz w:val="24"/>
          <w:szCs w:val="24"/>
        </w:rPr>
        <w:t>》</w:t>
      </w:r>
      <w:r>
        <w:rPr>
          <w:rFonts w:hint="eastAsia" w:ascii="宋体" w:hAnsi="宋体"/>
          <w:sz w:val="24"/>
          <w:szCs w:val="24"/>
        </w:rPr>
        <w:t>、《北京市物业管理条例》</w:t>
      </w:r>
      <w:r>
        <w:rPr>
          <w:rFonts w:ascii="宋体" w:hAnsi="宋体"/>
          <w:sz w:val="24"/>
          <w:szCs w:val="24"/>
        </w:rPr>
        <w:t>及其他法律法规的要求</w:t>
      </w:r>
      <w:r>
        <w:rPr>
          <w:rFonts w:hint="eastAsia" w:ascii="宋体" w:hAnsi="宋体"/>
          <w:bCs/>
          <w:sz w:val="24"/>
          <w:szCs w:val="24"/>
        </w:rPr>
        <w:t>进行物业管理工作整体规划，做好组织结构设计，建立相应管理部门，并配置相关管理人员。制定完善的管理制度、规定、流程，职责清晰、责任到人。接受招标方的监督管理，并定期向招标方进行管理工作情况汇报。</w:t>
      </w:r>
    </w:p>
    <w:p w14:paraId="17601AA6">
      <w:pPr>
        <w:snapToGrid w:val="0"/>
        <w:spacing w:line="360" w:lineRule="auto"/>
        <w:ind w:firstLine="482" w:firstLineChars="200"/>
        <w:textAlignment w:val="baseline"/>
        <w:rPr>
          <w:rFonts w:ascii="宋体" w:hAnsi="宋体"/>
          <w:b/>
          <w:bCs/>
          <w:sz w:val="24"/>
          <w:szCs w:val="24"/>
        </w:rPr>
      </w:pPr>
      <w:r>
        <w:rPr>
          <w:rFonts w:ascii="宋体" w:hAnsi="宋体"/>
          <w:b/>
          <w:bCs/>
          <w:sz w:val="24"/>
          <w:szCs w:val="24"/>
        </w:rPr>
        <w:t>（</w:t>
      </w:r>
      <w:r>
        <w:rPr>
          <w:rFonts w:hint="eastAsia" w:ascii="宋体" w:hAnsi="宋体"/>
          <w:b/>
          <w:bCs/>
          <w:sz w:val="24"/>
          <w:szCs w:val="24"/>
        </w:rPr>
        <w:t>二</w:t>
      </w:r>
      <w:r>
        <w:rPr>
          <w:rFonts w:ascii="宋体" w:hAnsi="宋体"/>
          <w:b/>
          <w:bCs/>
          <w:sz w:val="24"/>
          <w:szCs w:val="24"/>
        </w:rPr>
        <w:t>）保洁</w:t>
      </w:r>
    </w:p>
    <w:p w14:paraId="449FFB74">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负责全部建筑物</w:t>
      </w:r>
      <w:r>
        <w:rPr>
          <w:rFonts w:ascii="宋体" w:hAnsi="宋体"/>
          <w:bCs/>
          <w:sz w:val="24"/>
          <w:szCs w:val="24"/>
        </w:rPr>
        <w:t>及</w:t>
      </w:r>
      <w:r>
        <w:rPr>
          <w:rFonts w:hint="eastAsia" w:ascii="宋体" w:hAnsi="宋体"/>
          <w:bCs/>
          <w:sz w:val="24"/>
          <w:szCs w:val="24"/>
        </w:rPr>
        <w:t>附属设施的保洁服务，主要包括：</w:t>
      </w:r>
    </w:p>
    <w:p w14:paraId="41BA9099">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1</w:t>
      </w:r>
      <w:r>
        <w:rPr>
          <w:rFonts w:ascii="宋体" w:hAnsi="宋体"/>
          <w:bCs/>
          <w:sz w:val="24"/>
          <w:szCs w:val="24"/>
        </w:rPr>
        <w:t>.</w:t>
      </w:r>
      <w:r>
        <w:rPr>
          <w:rFonts w:hint="eastAsia" w:ascii="宋体" w:hAnsi="宋体"/>
          <w:bCs/>
          <w:sz w:val="24"/>
          <w:szCs w:val="24"/>
        </w:rPr>
        <w:t xml:space="preserve"> 楼道、门厅、管理用房、管理方派驻机构用房、公共用房等的清洁服务；</w:t>
      </w:r>
    </w:p>
    <w:p w14:paraId="3E004FFC">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公共卫生间、盥洗室及其附属设施等的专业消毒、清洁服务；</w:t>
      </w:r>
    </w:p>
    <w:p w14:paraId="107C422C">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3.运动器械每日清洁2次，定期进行消毒。</w:t>
      </w:r>
    </w:p>
    <w:p w14:paraId="5EB0DC66">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4. 建筑物门、窗、墙面、吊顶，设备等的清洁服务；</w:t>
      </w:r>
    </w:p>
    <w:p w14:paraId="40F563EB">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5. 校区、靶场、道路、绿地、路灯、广播设施等</w:t>
      </w:r>
      <w:r>
        <w:rPr>
          <w:rFonts w:ascii="宋体" w:hAnsi="宋体"/>
          <w:bCs/>
          <w:sz w:val="24"/>
          <w:szCs w:val="24"/>
        </w:rPr>
        <w:t>户外</w:t>
      </w:r>
      <w:r>
        <w:rPr>
          <w:rFonts w:hint="eastAsia" w:ascii="宋体" w:hAnsi="宋体"/>
          <w:bCs/>
          <w:sz w:val="24"/>
          <w:szCs w:val="24"/>
        </w:rPr>
        <w:t>设施的清洁服务；</w:t>
      </w:r>
    </w:p>
    <w:p w14:paraId="731A97C0">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6. 停车场的清洁服务</w:t>
      </w:r>
    </w:p>
    <w:p w14:paraId="11701D99">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7. 其他相关清洁服务。</w:t>
      </w:r>
    </w:p>
    <w:p w14:paraId="27E4B678">
      <w:pPr>
        <w:snapToGrid w:val="0"/>
        <w:spacing w:line="360" w:lineRule="auto"/>
        <w:ind w:firstLine="482" w:firstLineChars="200"/>
        <w:textAlignment w:val="baseline"/>
        <w:rPr>
          <w:rFonts w:ascii="宋体" w:hAnsi="宋体"/>
          <w:b/>
          <w:bCs/>
          <w:sz w:val="24"/>
          <w:szCs w:val="24"/>
        </w:rPr>
      </w:pPr>
      <w:r>
        <w:rPr>
          <w:rFonts w:ascii="宋体" w:hAnsi="宋体"/>
          <w:b/>
          <w:bCs/>
          <w:sz w:val="24"/>
          <w:szCs w:val="24"/>
        </w:rPr>
        <w:t>（</w:t>
      </w:r>
      <w:r>
        <w:rPr>
          <w:rFonts w:hint="eastAsia" w:ascii="宋体" w:hAnsi="宋体"/>
          <w:b/>
          <w:bCs/>
          <w:sz w:val="24"/>
          <w:szCs w:val="24"/>
        </w:rPr>
        <w:t>三</w:t>
      </w:r>
      <w:r>
        <w:rPr>
          <w:rFonts w:ascii="宋体" w:hAnsi="宋体"/>
          <w:b/>
          <w:bCs/>
          <w:sz w:val="24"/>
          <w:szCs w:val="24"/>
        </w:rPr>
        <w:t>）</w:t>
      </w:r>
      <w:r>
        <w:rPr>
          <w:rFonts w:hint="eastAsia" w:ascii="宋体" w:hAnsi="宋体"/>
          <w:b/>
          <w:bCs/>
          <w:sz w:val="24"/>
          <w:szCs w:val="24"/>
        </w:rPr>
        <w:t>设备设施</w:t>
      </w:r>
      <w:r>
        <w:rPr>
          <w:rFonts w:ascii="宋体" w:hAnsi="宋体"/>
          <w:b/>
          <w:bCs/>
          <w:sz w:val="24"/>
          <w:szCs w:val="24"/>
        </w:rPr>
        <w:t>维护</w:t>
      </w:r>
    </w:p>
    <w:p w14:paraId="2B238223">
      <w:pPr>
        <w:snapToGrid w:val="0"/>
        <w:spacing w:line="360" w:lineRule="auto"/>
        <w:ind w:firstLine="480" w:firstLineChars="200"/>
        <w:textAlignment w:val="baseline"/>
        <w:rPr>
          <w:rFonts w:ascii="宋体" w:hAnsi="宋体"/>
          <w:bCs/>
          <w:sz w:val="24"/>
          <w:szCs w:val="24"/>
        </w:rPr>
      </w:pPr>
      <w:r>
        <w:rPr>
          <w:rFonts w:ascii="宋体" w:hAnsi="宋体"/>
          <w:bCs/>
          <w:sz w:val="24"/>
          <w:szCs w:val="24"/>
        </w:rPr>
        <w:t>1.</w:t>
      </w:r>
      <w:r>
        <w:rPr>
          <w:rFonts w:hint="eastAsia" w:ascii="宋体" w:hAnsi="宋体"/>
          <w:bCs/>
          <w:sz w:val="24"/>
          <w:szCs w:val="24"/>
        </w:rPr>
        <w:t xml:space="preserve"> 建筑物</w:t>
      </w:r>
      <w:r>
        <w:rPr>
          <w:rFonts w:ascii="宋体" w:hAnsi="宋体"/>
          <w:bCs/>
          <w:sz w:val="24"/>
          <w:szCs w:val="24"/>
        </w:rPr>
        <w:t>及</w:t>
      </w:r>
      <w:r>
        <w:rPr>
          <w:rFonts w:hint="eastAsia" w:ascii="宋体" w:hAnsi="宋体"/>
          <w:bCs/>
          <w:sz w:val="24"/>
          <w:szCs w:val="24"/>
        </w:rPr>
        <w:t>附属</w:t>
      </w:r>
      <w:r>
        <w:rPr>
          <w:rFonts w:ascii="宋体" w:hAnsi="宋体"/>
          <w:bCs/>
          <w:sz w:val="24"/>
          <w:szCs w:val="24"/>
        </w:rPr>
        <w:t>设施的维修、养护和管理。包括：楼盖、屋顶、外墙面、承重结构、楼梯间、走廊通道、门厅及其他</w:t>
      </w:r>
      <w:r>
        <w:rPr>
          <w:rFonts w:hint="eastAsia" w:ascii="宋体" w:hAnsi="宋体"/>
          <w:bCs/>
          <w:sz w:val="24"/>
          <w:szCs w:val="24"/>
        </w:rPr>
        <w:t>公建</w:t>
      </w:r>
      <w:r>
        <w:rPr>
          <w:rFonts w:ascii="宋体" w:hAnsi="宋体"/>
          <w:bCs/>
          <w:sz w:val="24"/>
          <w:szCs w:val="24"/>
        </w:rPr>
        <w:t>内及其附属物。</w:t>
      </w:r>
    </w:p>
    <w:p w14:paraId="34489F46">
      <w:pPr>
        <w:snapToGrid w:val="0"/>
        <w:spacing w:line="360" w:lineRule="auto"/>
        <w:ind w:firstLine="480" w:firstLineChars="200"/>
        <w:textAlignment w:val="baseline"/>
        <w:rPr>
          <w:rFonts w:ascii="宋体" w:hAnsi="宋体"/>
          <w:bCs/>
          <w:sz w:val="24"/>
          <w:szCs w:val="24"/>
        </w:rPr>
      </w:pPr>
      <w:r>
        <w:rPr>
          <w:rFonts w:ascii="宋体" w:hAnsi="宋体"/>
          <w:bCs/>
          <w:sz w:val="24"/>
          <w:szCs w:val="24"/>
        </w:rPr>
        <w:t>2.</w:t>
      </w:r>
      <w:r>
        <w:rPr>
          <w:rFonts w:hint="eastAsia" w:ascii="宋体" w:hAnsi="宋体"/>
          <w:bCs/>
          <w:sz w:val="24"/>
          <w:szCs w:val="24"/>
        </w:rPr>
        <w:t xml:space="preserve"> 全部</w:t>
      </w:r>
      <w:r>
        <w:rPr>
          <w:rFonts w:ascii="宋体" w:hAnsi="宋体"/>
          <w:bCs/>
          <w:sz w:val="24"/>
          <w:szCs w:val="24"/>
        </w:rPr>
        <w:t>设施、设备的维修、养护、运行和管理，包括：上下水管道、落水管</w:t>
      </w:r>
      <w:r>
        <w:rPr>
          <w:rFonts w:hint="eastAsia" w:ascii="宋体" w:hAnsi="宋体"/>
          <w:bCs/>
          <w:sz w:val="24"/>
          <w:szCs w:val="24"/>
        </w:rPr>
        <w:t>清洗</w:t>
      </w:r>
      <w:r>
        <w:rPr>
          <w:rFonts w:ascii="宋体" w:hAnsi="宋体"/>
          <w:bCs/>
          <w:sz w:val="24"/>
          <w:szCs w:val="24"/>
        </w:rPr>
        <w:t>、照明、暖气干线、楼内消防设施设备、电梯</w:t>
      </w:r>
      <w:r>
        <w:rPr>
          <w:rFonts w:hint="eastAsia" w:ascii="宋体" w:hAnsi="宋体"/>
          <w:bCs/>
          <w:sz w:val="24"/>
          <w:szCs w:val="24"/>
          <w:highlight w:val="none"/>
        </w:rPr>
        <w:t>、配电设施设备、</w:t>
      </w:r>
      <w:r>
        <w:rPr>
          <w:rFonts w:hint="eastAsia" w:cs="宋体" w:asciiTheme="minorEastAsia" w:hAnsiTheme="minorEastAsia" w:eastAsiaTheme="minorEastAsia"/>
          <w:sz w:val="24"/>
          <w:szCs w:val="24"/>
          <w:highlight w:val="none"/>
        </w:rPr>
        <w:t>校内各建筑物电气防火年检、四类垃圾清运费、耗材费、</w:t>
      </w:r>
      <w:r>
        <w:rPr>
          <w:rFonts w:hint="eastAsia" w:ascii="宋体" w:hAnsi="宋体"/>
          <w:bCs/>
          <w:sz w:val="24"/>
          <w:szCs w:val="24"/>
          <w:highlight w:val="none"/>
        </w:rPr>
        <w:t>给排水设备、换热设备、</w:t>
      </w:r>
      <w:r>
        <w:rPr>
          <w:rFonts w:hint="eastAsia" w:ascii="宋体" w:hAnsi="宋体"/>
          <w:bCs/>
          <w:color w:val="000000" w:themeColor="text1"/>
          <w:sz w:val="24"/>
          <w:szCs w:val="24"/>
          <w:highlight w:val="none"/>
          <w14:textFill>
            <w14:solidFill>
              <w14:schemeClr w14:val="tx1"/>
            </w14:solidFill>
          </w14:textFill>
        </w:rPr>
        <w:t>高压电气设备（含电力主管部门的年检查检测费）</w:t>
      </w:r>
      <w:r>
        <w:rPr>
          <w:rFonts w:ascii="宋体" w:hAnsi="宋体"/>
          <w:bCs/>
          <w:color w:val="000000" w:themeColor="text1"/>
          <w:sz w:val="24"/>
          <w:szCs w:val="24"/>
          <w:highlight w:val="none"/>
          <w14:textFill>
            <w14:solidFill>
              <w14:schemeClr w14:val="tx1"/>
            </w14:solidFill>
          </w14:textFill>
        </w:rPr>
        <w:t>及</w:t>
      </w:r>
      <w:r>
        <w:rPr>
          <w:rFonts w:hint="eastAsia" w:ascii="宋体" w:hAnsi="宋体"/>
          <w:bCs/>
          <w:color w:val="000000" w:themeColor="text1"/>
          <w:sz w:val="24"/>
          <w:szCs w:val="24"/>
          <w:highlight w:val="none"/>
          <w14:textFill>
            <w14:solidFill>
              <w14:schemeClr w14:val="tx1"/>
            </w14:solidFill>
          </w14:textFill>
        </w:rPr>
        <w:t>其他招标方</w:t>
      </w:r>
      <w:r>
        <w:rPr>
          <w:rFonts w:ascii="宋体" w:hAnsi="宋体"/>
          <w:bCs/>
          <w:color w:val="000000" w:themeColor="text1"/>
          <w:sz w:val="24"/>
          <w:szCs w:val="24"/>
          <w:highlight w:val="none"/>
          <w14:textFill>
            <w14:solidFill>
              <w14:schemeClr w14:val="tx1"/>
            </w14:solidFill>
          </w14:textFill>
        </w:rPr>
        <w:t>委托的管</w:t>
      </w:r>
      <w:r>
        <w:rPr>
          <w:rFonts w:ascii="宋体" w:hAnsi="宋体"/>
          <w:bCs/>
          <w:color w:val="000000" w:themeColor="text1"/>
          <w:sz w:val="24"/>
          <w:szCs w:val="24"/>
          <w14:textFill>
            <w14:solidFill>
              <w14:schemeClr w14:val="tx1"/>
            </w14:solidFill>
          </w14:textFill>
        </w:rPr>
        <w:t>理设备</w:t>
      </w:r>
      <w:r>
        <w:rPr>
          <w:rFonts w:hint="eastAsia" w:ascii="宋体" w:hAnsi="宋体"/>
          <w:bCs/>
          <w:color w:val="000000" w:themeColor="text1"/>
          <w:sz w:val="24"/>
          <w:szCs w:val="24"/>
          <w14:textFill>
            <w14:solidFill>
              <w14:schemeClr w14:val="tx1"/>
            </w14:solidFill>
          </w14:textFill>
        </w:rPr>
        <w:t>。</w:t>
      </w:r>
      <w:r>
        <w:rPr>
          <w:rFonts w:ascii="宋体" w:hAnsi="宋体"/>
          <w:bCs/>
          <w:sz w:val="24"/>
          <w:szCs w:val="24"/>
        </w:rPr>
        <w:t xml:space="preserve">  </w:t>
      </w:r>
    </w:p>
    <w:p w14:paraId="140EB879">
      <w:pPr>
        <w:snapToGrid w:val="0"/>
        <w:spacing w:line="360" w:lineRule="auto"/>
        <w:ind w:firstLine="480" w:firstLineChars="200"/>
        <w:textAlignment w:val="baseline"/>
        <w:rPr>
          <w:rFonts w:ascii="宋体" w:hAnsi="宋体"/>
          <w:bCs/>
          <w:sz w:val="24"/>
          <w:szCs w:val="24"/>
        </w:rPr>
      </w:pPr>
      <w:r>
        <w:rPr>
          <w:rFonts w:ascii="宋体" w:hAnsi="宋体"/>
          <w:bCs/>
          <w:sz w:val="24"/>
          <w:szCs w:val="24"/>
        </w:rPr>
        <w:t>3.</w:t>
      </w:r>
      <w:r>
        <w:rPr>
          <w:rFonts w:hint="eastAsia" w:ascii="宋体" w:hAnsi="宋体"/>
          <w:bCs/>
          <w:sz w:val="24"/>
          <w:szCs w:val="24"/>
        </w:rPr>
        <w:t xml:space="preserve"> 附</w:t>
      </w:r>
      <w:r>
        <w:rPr>
          <w:rFonts w:ascii="宋体" w:hAnsi="宋体"/>
          <w:bCs/>
          <w:sz w:val="24"/>
          <w:szCs w:val="24"/>
        </w:rPr>
        <w:t>属建筑物、构筑物的维修、养护和管理，包括道路、室外上下水管道、化粪池、沟渠、池、井、停车场及</w:t>
      </w:r>
      <w:r>
        <w:rPr>
          <w:rFonts w:hint="eastAsia" w:ascii="宋体" w:hAnsi="宋体"/>
          <w:bCs/>
          <w:sz w:val="24"/>
          <w:szCs w:val="24"/>
        </w:rPr>
        <w:t>其他招标方</w:t>
      </w:r>
      <w:r>
        <w:rPr>
          <w:rFonts w:ascii="宋体" w:hAnsi="宋体"/>
          <w:bCs/>
          <w:sz w:val="24"/>
          <w:szCs w:val="24"/>
        </w:rPr>
        <w:t>委托的管理场所。</w:t>
      </w:r>
    </w:p>
    <w:p w14:paraId="79793688">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4</w:t>
      </w:r>
      <w:r>
        <w:rPr>
          <w:rFonts w:ascii="宋体" w:hAnsi="宋体"/>
          <w:bCs/>
          <w:sz w:val="24"/>
          <w:szCs w:val="24"/>
        </w:rPr>
        <w:t>.</w:t>
      </w:r>
      <w:r>
        <w:rPr>
          <w:rFonts w:hint="eastAsia" w:ascii="宋体" w:hAnsi="宋体"/>
          <w:bCs/>
          <w:sz w:val="24"/>
          <w:szCs w:val="24"/>
        </w:rPr>
        <w:t xml:space="preserve"> 单次或单项2000元以下的物业公共设备设施的维修服务等包括在维护范围内。</w:t>
      </w:r>
    </w:p>
    <w:p w14:paraId="50062DA4">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 xml:space="preserve"> 单次或单项2000元以上的建筑物、设施设备的大中修、改造不包括维护范围内。</w:t>
      </w:r>
      <w:r>
        <w:rPr>
          <w:rFonts w:hint="eastAsia" w:ascii="宋体" w:hAnsi="宋体"/>
          <w:bCs/>
          <w:sz w:val="24"/>
          <w:szCs w:val="24"/>
          <w:highlight w:val="none"/>
        </w:rPr>
        <w:t>投标方可以根据运行情况提出大中修、改造建议，经招标方同意后协助现场实施。</w:t>
      </w:r>
    </w:p>
    <w:p w14:paraId="35412725">
      <w:pPr>
        <w:snapToGrid w:val="0"/>
        <w:spacing w:line="360" w:lineRule="auto"/>
        <w:ind w:firstLine="482" w:firstLineChars="200"/>
        <w:outlineLvl w:val="2"/>
        <w:rPr>
          <w:rFonts w:ascii="宋体" w:hAnsi="宋体" w:cs="宋体"/>
          <w:b/>
          <w:bCs/>
          <w:sz w:val="24"/>
          <w:szCs w:val="24"/>
          <w:highlight w:val="none"/>
        </w:rPr>
      </w:pPr>
      <w:r>
        <w:rPr>
          <w:rFonts w:hint="eastAsia" w:ascii="宋体" w:hAnsi="宋体" w:cs="宋体"/>
          <w:b/>
          <w:bCs/>
          <w:sz w:val="24"/>
          <w:szCs w:val="24"/>
          <w:highlight w:val="none"/>
        </w:rPr>
        <w:t>（四）绿化养护</w:t>
      </w:r>
    </w:p>
    <w:p w14:paraId="2B808FC1">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负责校区内及飞碟南北靶场外防火道绿化养护，主要包括：</w:t>
      </w:r>
    </w:p>
    <w:p w14:paraId="29F0C56A">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1、负责校区内绿化养护的设备设施的正常运行。</w:t>
      </w:r>
    </w:p>
    <w:p w14:paraId="271AA7FF">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2、负责道路两侧、花园、行道树、飞碟南北靶场等区域的绿化进行管理与养护。</w:t>
      </w:r>
    </w:p>
    <w:p w14:paraId="5FB7ACA6">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3、负责25米、50米射击馆弹道区及防火道进行定期打草。</w:t>
      </w:r>
    </w:p>
    <w:p w14:paraId="06AA6830">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4、负责校区内绿化管理范围内的除草、浇水、修剪、施肥、打药、补栽种等工作。</w:t>
      </w:r>
    </w:p>
    <w:p w14:paraId="30245D8A">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5、养护管理范围内保证生长势正常、无明显枯枝、死杈、无病虫害，草坪覆盖率达标，草坪内无明显杂草。</w:t>
      </w:r>
    </w:p>
    <w:p w14:paraId="1E9C76F0">
      <w:pPr>
        <w:snapToGrid w:val="0"/>
        <w:spacing w:line="360" w:lineRule="auto"/>
        <w:ind w:firstLine="420" w:firstLineChars="200"/>
        <w:textAlignment w:val="baseline"/>
        <w:outlineLvl w:val="2"/>
        <w:rPr>
          <w:rFonts w:ascii="宋体" w:hAnsi="宋体"/>
          <w:b/>
          <w:bCs/>
          <w:sz w:val="24"/>
          <w:szCs w:val="24"/>
          <w:highlight w:val="none"/>
        </w:rPr>
      </w:pPr>
      <w:r>
        <w:rPr>
          <w:rFonts w:hint="eastAsia"/>
          <w:highlight w:val="none"/>
        </w:rPr>
        <w:t xml:space="preserve">  </w:t>
      </w:r>
      <w:r>
        <w:rPr>
          <w:rFonts w:hint="eastAsia" w:ascii="宋体" w:hAnsi="宋体"/>
          <w:b/>
          <w:bCs/>
          <w:sz w:val="24"/>
          <w:szCs w:val="24"/>
          <w:highlight w:val="none"/>
        </w:rPr>
        <w:t>（五）配电室管理</w:t>
      </w:r>
    </w:p>
    <w:p w14:paraId="676DB218">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1、严格执行配电室规章制度，保障设备设施正常运行。</w:t>
      </w:r>
    </w:p>
    <w:p w14:paraId="59F0E35E">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2、配电室需配备专人24小时值班并持有高压电工上岗证，每班至少两人值守。</w:t>
      </w:r>
    </w:p>
    <w:p w14:paraId="24C97C64">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3、值班人员必须严格执行巡回检查制度，对存在的问题隐患及时处理，尽快消除，并及时向甲方汇报同时做好记录。</w:t>
      </w:r>
    </w:p>
    <w:p w14:paraId="6C804B72">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4、值班人员应熟知所管理设备的原理、结构并具有对其设备进行维修的技术。</w:t>
      </w:r>
    </w:p>
    <w:p w14:paraId="2004B9F3">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5、负责巡回检、计划维修和故障检修、日常点检、定期检查，并做好检查记录。</w:t>
      </w:r>
    </w:p>
    <w:p w14:paraId="1B1AD465">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6、对使用的配电设备必须保持完好状态，安全保护装置齐全。</w:t>
      </w:r>
    </w:p>
    <w:p w14:paraId="185F4D25">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7、定期清扫配电室卫生。</w:t>
      </w:r>
    </w:p>
    <w:p w14:paraId="020ADCDA">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8、不能立即消除的设备故障应及时向甲方上报。</w:t>
      </w:r>
    </w:p>
    <w:p w14:paraId="59AA6BB9">
      <w:pPr>
        <w:snapToGrid w:val="0"/>
        <w:spacing w:line="360" w:lineRule="auto"/>
        <w:ind w:firstLine="482" w:firstLineChars="200"/>
        <w:textAlignment w:val="baseline"/>
        <w:rPr>
          <w:rFonts w:ascii="宋体" w:hAnsi="宋体"/>
          <w:b/>
          <w:bCs/>
          <w:sz w:val="24"/>
          <w:szCs w:val="24"/>
        </w:rPr>
      </w:pPr>
      <w:r>
        <w:rPr>
          <w:rFonts w:ascii="宋体" w:hAnsi="宋体"/>
          <w:b/>
          <w:bCs/>
          <w:sz w:val="24"/>
          <w:szCs w:val="24"/>
        </w:rPr>
        <w:t>（</w:t>
      </w:r>
      <w:r>
        <w:rPr>
          <w:rFonts w:hint="eastAsia" w:ascii="宋体" w:hAnsi="宋体"/>
          <w:b/>
          <w:bCs/>
          <w:sz w:val="24"/>
          <w:szCs w:val="24"/>
          <w:lang w:val="en-US" w:eastAsia="zh-CN"/>
        </w:rPr>
        <w:t>六</w:t>
      </w:r>
      <w:r>
        <w:rPr>
          <w:rFonts w:ascii="宋体" w:hAnsi="宋体"/>
          <w:b/>
          <w:bCs/>
          <w:sz w:val="24"/>
          <w:szCs w:val="24"/>
        </w:rPr>
        <w:t>）物业档案管理</w:t>
      </w:r>
    </w:p>
    <w:p w14:paraId="5E4E3B56">
      <w:pPr>
        <w:snapToGrid w:val="0"/>
        <w:spacing w:line="360" w:lineRule="auto"/>
        <w:ind w:firstLine="480" w:firstLineChars="200"/>
        <w:textAlignment w:val="baseline"/>
        <w:rPr>
          <w:rFonts w:ascii="宋体" w:hAnsi="宋体"/>
          <w:bCs/>
          <w:sz w:val="24"/>
          <w:szCs w:val="24"/>
        </w:rPr>
      </w:pPr>
      <w:r>
        <w:rPr>
          <w:rFonts w:ascii="宋体" w:hAnsi="宋体"/>
          <w:bCs/>
          <w:sz w:val="24"/>
          <w:szCs w:val="24"/>
        </w:rPr>
        <w:t>管理与物业相关的工程图纸、设备说明、维修养护记录及竣工验收资料等，建立并及时维护更新各种设备、设施等物业管理内容的基础档案，符合大楼等级评审的要求。</w:t>
      </w:r>
    </w:p>
    <w:p w14:paraId="2F6F691B">
      <w:pPr>
        <w:snapToGrid w:val="0"/>
        <w:spacing w:line="360" w:lineRule="auto"/>
        <w:ind w:firstLine="482" w:firstLineChars="200"/>
        <w:textAlignment w:val="baseline"/>
        <w:rPr>
          <w:rFonts w:ascii="宋体" w:hAnsi="宋体"/>
          <w:b/>
          <w:bCs/>
          <w:sz w:val="24"/>
          <w:szCs w:val="24"/>
        </w:rPr>
      </w:pPr>
      <w:r>
        <w:rPr>
          <w:rFonts w:ascii="宋体" w:hAnsi="宋体"/>
          <w:b/>
          <w:bCs/>
          <w:sz w:val="24"/>
          <w:szCs w:val="24"/>
        </w:rPr>
        <w:t>（</w:t>
      </w:r>
      <w:r>
        <w:rPr>
          <w:rFonts w:hint="eastAsia" w:ascii="宋体" w:hAnsi="宋体"/>
          <w:b/>
          <w:bCs/>
          <w:sz w:val="24"/>
          <w:szCs w:val="24"/>
          <w:lang w:val="en-US" w:eastAsia="zh-CN"/>
        </w:rPr>
        <w:t>七</w:t>
      </w:r>
      <w:r>
        <w:rPr>
          <w:rFonts w:ascii="宋体" w:hAnsi="宋体"/>
          <w:b/>
          <w:bCs/>
          <w:sz w:val="24"/>
          <w:szCs w:val="24"/>
        </w:rPr>
        <w:t>）</w:t>
      </w:r>
      <w:r>
        <w:rPr>
          <w:rFonts w:hint="eastAsia" w:ascii="宋体" w:hAnsi="宋体"/>
          <w:b/>
          <w:bCs/>
          <w:sz w:val="24"/>
          <w:szCs w:val="24"/>
        </w:rPr>
        <w:t>活动（庆典）服务</w:t>
      </w:r>
    </w:p>
    <w:p w14:paraId="78CEB551">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招标单位或派驻机构组织活动时，投标方配合相关活动（庆典）服务。负责每年国庆节期间，在学校大门口及院内主要建筑物门前摆放花坛。如遇超出现场服务能力的情况，由双方协商签署相应补充协议。</w:t>
      </w:r>
    </w:p>
    <w:p w14:paraId="53139AE2">
      <w:pPr>
        <w:snapToGrid w:val="0"/>
        <w:spacing w:line="360" w:lineRule="auto"/>
        <w:ind w:firstLine="482" w:firstLineChars="200"/>
        <w:textAlignment w:val="baseline"/>
        <w:rPr>
          <w:rFonts w:ascii="宋体" w:hAnsi="宋体"/>
          <w:b/>
          <w:bCs/>
          <w:sz w:val="24"/>
          <w:szCs w:val="24"/>
        </w:rPr>
      </w:pPr>
      <w:r>
        <w:rPr>
          <w:rFonts w:ascii="宋体" w:hAnsi="宋体"/>
          <w:b/>
          <w:bCs/>
          <w:sz w:val="24"/>
          <w:szCs w:val="24"/>
        </w:rPr>
        <w:t>（</w:t>
      </w:r>
      <w:r>
        <w:rPr>
          <w:rFonts w:hint="eastAsia" w:ascii="宋体" w:hAnsi="宋体"/>
          <w:b/>
          <w:bCs/>
          <w:sz w:val="24"/>
          <w:szCs w:val="24"/>
          <w:lang w:val="en-US" w:eastAsia="zh-CN"/>
        </w:rPr>
        <w:t>八</w:t>
      </w:r>
      <w:r>
        <w:rPr>
          <w:rFonts w:ascii="宋体" w:hAnsi="宋体"/>
          <w:b/>
          <w:bCs/>
          <w:sz w:val="24"/>
          <w:szCs w:val="24"/>
        </w:rPr>
        <w:t>）</w:t>
      </w:r>
      <w:r>
        <w:rPr>
          <w:rFonts w:hint="eastAsia" w:ascii="宋体" w:hAnsi="宋体"/>
          <w:b/>
          <w:bCs/>
          <w:sz w:val="24"/>
          <w:szCs w:val="24"/>
        </w:rPr>
        <w:t>临时应急</w:t>
      </w:r>
    </w:p>
    <w:p w14:paraId="63B617DA">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投标方应根据校区实际情况，制定相应应急预案，确保</w:t>
      </w:r>
      <w:r>
        <w:rPr>
          <w:rFonts w:ascii="宋体" w:hAnsi="宋体"/>
          <w:bCs/>
          <w:sz w:val="24"/>
          <w:szCs w:val="24"/>
        </w:rPr>
        <w:t>临时性的应急工作</w:t>
      </w:r>
      <w:r>
        <w:rPr>
          <w:rFonts w:hint="eastAsia" w:ascii="宋体" w:hAnsi="宋体"/>
          <w:bCs/>
          <w:sz w:val="24"/>
          <w:szCs w:val="24"/>
        </w:rPr>
        <w:t>的顺利开展</w:t>
      </w:r>
      <w:r>
        <w:rPr>
          <w:rFonts w:ascii="宋体" w:hAnsi="宋体"/>
          <w:bCs/>
          <w:sz w:val="24"/>
          <w:szCs w:val="24"/>
        </w:rPr>
        <w:t>。</w:t>
      </w:r>
    </w:p>
    <w:p w14:paraId="11AF2AA5">
      <w:pPr>
        <w:spacing w:line="440" w:lineRule="exact"/>
        <w:ind w:firstLine="482" w:firstLineChars="200"/>
        <w:textAlignment w:val="baseline"/>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九</w:t>
      </w:r>
      <w:r>
        <w:rPr>
          <w:rFonts w:hint="eastAsia" w:ascii="宋体" w:hAnsi="宋体"/>
          <w:b/>
          <w:bCs/>
          <w:sz w:val="24"/>
          <w:szCs w:val="24"/>
        </w:rPr>
        <w:t>）安全管理</w:t>
      </w:r>
    </w:p>
    <w:p w14:paraId="046B0784">
      <w:pPr>
        <w:pStyle w:val="41"/>
        <w:spacing w:before="0" w:beforeAutospacing="0" w:after="0" w:afterAutospacing="0" w:line="440" w:lineRule="exact"/>
        <w:ind w:firstLine="480" w:firstLineChars="200"/>
        <w:textAlignment w:val="baseline"/>
        <w:rPr>
          <w:rFonts w:cs="Times New Roman"/>
          <w:bCs/>
          <w:color w:val="auto"/>
          <w:kern w:val="2"/>
          <w:highlight w:val="none"/>
        </w:rPr>
      </w:pPr>
      <w:r>
        <w:rPr>
          <w:rFonts w:hint="eastAsia" w:cs="Times New Roman"/>
          <w:bCs/>
          <w:color w:val="auto"/>
          <w:kern w:val="2"/>
          <w:highlight w:val="none"/>
        </w:rPr>
        <w:t>1. 根据甲方要求落实消防、安全责任制，制定本项目的消防、安全制度和消防、安全操作规程，协助甲方制定消防、安全事件应急处理预案；</w:t>
      </w:r>
    </w:p>
    <w:p w14:paraId="6977555A">
      <w:pPr>
        <w:pStyle w:val="41"/>
        <w:spacing w:before="0" w:beforeAutospacing="0" w:after="0" w:afterAutospacing="0" w:line="440" w:lineRule="exact"/>
        <w:textAlignment w:val="baseline"/>
        <w:rPr>
          <w:rFonts w:cs="Times New Roman"/>
          <w:bCs/>
          <w:color w:val="auto"/>
          <w:kern w:val="2"/>
          <w:highlight w:val="none"/>
        </w:rPr>
      </w:pPr>
      <w:r>
        <w:rPr>
          <w:rFonts w:hint="eastAsia" w:cs="Times New Roman"/>
          <w:bCs/>
          <w:color w:val="auto"/>
          <w:kern w:val="2"/>
          <w:highlight w:val="none"/>
        </w:rPr>
        <w:t>   2. 保障疏散通道、安全出口、消防车通道畅通；</w:t>
      </w:r>
    </w:p>
    <w:p w14:paraId="2162B9DC">
      <w:pPr>
        <w:pStyle w:val="41"/>
        <w:spacing w:before="0" w:beforeAutospacing="0" w:after="0" w:afterAutospacing="0" w:line="440" w:lineRule="exact"/>
        <w:ind w:firstLine="480" w:firstLineChars="200"/>
        <w:textAlignment w:val="baseline"/>
        <w:rPr>
          <w:rFonts w:cs="Times New Roman"/>
          <w:bCs/>
          <w:color w:val="auto"/>
          <w:kern w:val="2"/>
          <w:highlight w:val="none"/>
        </w:rPr>
      </w:pPr>
      <w:r>
        <w:rPr>
          <w:rFonts w:hint="eastAsia" w:cs="Times New Roman"/>
          <w:bCs/>
          <w:color w:val="auto"/>
          <w:kern w:val="2"/>
          <w:highlight w:val="none"/>
        </w:rPr>
        <w:t>3. 配合甲方定期组织安全、防火检查（每月一次），并按要求及时消除安全隐患，配合甲方进行有针对性的安全、消防演练；</w:t>
      </w:r>
    </w:p>
    <w:p w14:paraId="70F77F11">
      <w:pPr>
        <w:snapToGrid w:val="0"/>
        <w:spacing w:line="440" w:lineRule="exact"/>
        <w:ind w:firstLine="480" w:firstLineChars="200"/>
        <w:textAlignment w:val="baseline"/>
        <w:rPr>
          <w:rFonts w:ascii="宋体" w:hAnsi="宋体"/>
          <w:bCs/>
          <w:color w:val="auto"/>
          <w:sz w:val="24"/>
          <w:szCs w:val="24"/>
          <w:highlight w:val="none"/>
        </w:rPr>
      </w:pPr>
      <w:r>
        <w:rPr>
          <w:rFonts w:hint="eastAsia" w:ascii="宋体" w:hAnsi="宋体"/>
          <w:bCs/>
          <w:color w:val="auto"/>
          <w:sz w:val="24"/>
          <w:szCs w:val="24"/>
          <w:highlight w:val="none"/>
        </w:rPr>
        <w:t>4. 法律、法规规定的其他消防、安全职责。</w:t>
      </w:r>
    </w:p>
    <w:p w14:paraId="5E784E51">
      <w:pPr>
        <w:snapToGrid w:val="0"/>
        <w:spacing w:line="360" w:lineRule="auto"/>
        <w:ind w:firstLine="482" w:firstLineChars="200"/>
        <w:textAlignment w:val="baseline"/>
        <w:rPr>
          <w:rFonts w:ascii="宋体" w:hAnsi="宋体"/>
          <w:b/>
          <w:bCs/>
          <w:color w:val="auto"/>
          <w:sz w:val="24"/>
          <w:szCs w:val="24"/>
          <w:highlight w:val="none"/>
        </w:rPr>
      </w:pPr>
      <w:r>
        <w:rPr>
          <w:rFonts w:ascii="宋体" w:hAnsi="宋体"/>
          <w:b/>
          <w:bCs/>
          <w:color w:val="auto"/>
          <w:sz w:val="24"/>
          <w:szCs w:val="24"/>
          <w:highlight w:val="none"/>
        </w:rPr>
        <w:t>（</w:t>
      </w:r>
      <w:r>
        <w:rPr>
          <w:rFonts w:hint="eastAsia" w:ascii="宋体" w:hAnsi="宋体"/>
          <w:b/>
          <w:bCs/>
          <w:color w:val="auto"/>
          <w:sz w:val="24"/>
          <w:szCs w:val="24"/>
          <w:highlight w:val="none"/>
        </w:rPr>
        <w:t>十</w:t>
      </w:r>
      <w:r>
        <w:rPr>
          <w:rFonts w:ascii="宋体" w:hAnsi="宋体"/>
          <w:b/>
          <w:bCs/>
          <w:color w:val="auto"/>
          <w:sz w:val="24"/>
          <w:szCs w:val="24"/>
          <w:highlight w:val="none"/>
        </w:rPr>
        <w:t>）</w:t>
      </w:r>
      <w:r>
        <w:rPr>
          <w:rFonts w:hint="eastAsia" w:ascii="宋体" w:hAnsi="宋体"/>
          <w:b/>
          <w:bCs/>
          <w:color w:val="auto"/>
          <w:sz w:val="24"/>
          <w:szCs w:val="24"/>
          <w:highlight w:val="none"/>
        </w:rPr>
        <w:t>其他</w:t>
      </w:r>
    </w:p>
    <w:p w14:paraId="3B5F0414">
      <w:pPr>
        <w:snapToGrid w:val="0"/>
        <w:spacing w:line="360" w:lineRule="auto"/>
        <w:ind w:firstLine="480" w:firstLineChars="200"/>
        <w:textAlignment w:val="baseline"/>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有活动时</w:t>
      </w:r>
      <w:r>
        <w:rPr>
          <w:rFonts w:ascii="宋体" w:hAnsi="宋体"/>
          <w:bCs/>
          <w:color w:val="auto"/>
          <w:sz w:val="24"/>
          <w:szCs w:val="24"/>
          <w:highlight w:val="none"/>
        </w:rPr>
        <w:t>提供引导服务；</w:t>
      </w:r>
    </w:p>
    <w:p w14:paraId="74288BC4">
      <w:pPr>
        <w:snapToGrid w:val="0"/>
        <w:spacing w:line="360" w:lineRule="auto"/>
        <w:ind w:firstLine="480" w:firstLineChars="200"/>
        <w:textAlignment w:val="baseline"/>
        <w:rPr>
          <w:rFonts w:ascii="宋体" w:hAnsi="宋体"/>
          <w:bCs/>
          <w:color w:val="auto"/>
          <w:sz w:val="24"/>
          <w:szCs w:val="24"/>
          <w:highlight w:val="none"/>
        </w:rPr>
      </w:pPr>
      <w:r>
        <w:rPr>
          <w:rFonts w:hint="eastAsia" w:ascii="宋体" w:hAnsi="宋体"/>
          <w:bCs/>
          <w:color w:val="auto"/>
          <w:sz w:val="24"/>
          <w:szCs w:val="24"/>
          <w:highlight w:val="none"/>
        </w:rPr>
        <w:t>2. 对管理用房、公共服务用房的功能设置和运营提出调整建议。</w:t>
      </w:r>
    </w:p>
    <w:p w14:paraId="46B046FD">
      <w:pPr>
        <w:snapToGrid w:val="0"/>
        <w:spacing w:line="360" w:lineRule="auto"/>
        <w:ind w:firstLine="480" w:firstLineChars="200"/>
        <w:textAlignment w:val="baseline"/>
        <w:rPr>
          <w:rFonts w:ascii="宋体" w:hAnsi="宋体"/>
          <w:bCs/>
          <w:sz w:val="24"/>
          <w:szCs w:val="24"/>
        </w:rPr>
      </w:pPr>
      <w:r>
        <w:rPr>
          <w:rFonts w:hint="eastAsia" w:ascii="宋体" w:hAnsi="宋体"/>
          <w:bCs/>
          <w:color w:val="auto"/>
          <w:sz w:val="24"/>
          <w:szCs w:val="24"/>
          <w:highlight w:val="none"/>
        </w:rPr>
        <w:t>3. 配合驻北京市射击运</w:t>
      </w:r>
      <w:r>
        <w:rPr>
          <w:rFonts w:hint="eastAsia" w:ascii="宋体" w:hAnsi="宋体"/>
          <w:bCs/>
          <w:sz w:val="24"/>
          <w:szCs w:val="24"/>
        </w:rPr>
        <w:t>动技术学校派出机构的工作。</w:t>
      </w:r>
    </w:p>
    <w:p w14:paraId="6A9C5BD4">
      <w:pPr>
        <w:snapToGrid w:val="0"/>
        <w:spacing w:line="360" w:lineRule="auto"/>
        <w:ind w:firstLine="480" w:firstLineChars="200"/>
        <w:textAlignment w:val="baseline"/>
        <w:rPr>
          <w:rFonts w:ascii="宋体" w:hAnsi="宋体"/>
          <w:bCs/>
          <w:sz w:val="24"/>
          <w:szCs w:val="24"/>
        </w:rPr>
      </w:pPr>
      <w:r>
        <w:rPr>
          <w:rFonts w:ascii="宋体" w:hAnsi="宋体"/>
          <w:bCs/>
          <w:sz w:val="24"/>
          <w:szCs w:val="24"/>
        </w:rPr>
        <w:t>本招标文件或物业情况介绍没有明确列出的项目，但在法律、法规规定属于物业管理服务内容所发生的费用，不管投标人是否进行报价，都视为包括在本项目报价中，并由中标人无条件负责承担。</w:t>
      </w:r>
    </w:p>
    <w:p w14:paraId="2DFFE643">
      <w:pPr>
        <w:snapToGrid w:val="0"/>
        <w:spacing w:line="360" w:lineRule="auto"/>
        <w:ind w:firstLine="480" w:firstLineChars="200"/>
        <w:textAlignment w:val="baseline"/>
        <w:rPr>
          <w:rFonts w:ascii="宋体" w:hAnsi="宋体"/>
          <w:bCs/>
          <w:sz w:val="24"/>
          <w:szCs w:val="24"/>
        </w:rPr>
      </w:pPr>
      <w:r>
        <w:rPr>
          <w:rFonts w:ascii="宋体" w:hAnsi="宋体"/>
          <w:bCs/>
          <w:sz w:val="24"/>
          <w:szCs w:val="24"/>
        </w:rPr>
        <w:t>投标人应在报价中根据</w:t>
      </w:r>
      <w:r>
        <w:rPr>
          <w:rFonts w:hint="eastAsia" w:ascii="宋体" w:hAnsi="宋体"/>
          <w:bCs/>
          <w:sz w:val="24"/>
          <w:szCs w:val="24"/>
        </w:rPr>
        <w:t>北京市射击运动技术学校</w:t>
      </w:r>
      <w:r>
        <w:rPr>
          <w:rFonts w:ascii="宋体" w:hAnsi="宋体"/>
          <w:bCs/>
          <w:sz w:val="24"/>
          <w:szCs w:val="24"/>
        </w:rPr>
        <w:t>的特点、使用单位的特性及投标单位自身的</w:t>
      </w:r>
      <w:r>
        <w:rPr>
          <w:rFonts w:hint="eastAsia" w:ascii="宋体" w:hAnsi="宋体"/>
          <w:bCs/>
          <w:sz w:val="24"/>
          <w:szCs w:val="24"/>
        </w:rPr>
        <w:t>情况</w:t>
      </w:r>
      <w:r>
        <w:rPr>
          <w:rFonts w:ascii="宋体" w:hAnsi="宋体"/>
          <w:bCs/>
          <w:sz w:val="24"/>
          <w:szCs w:val="24"/>
        </w:rPr>
        <w:t>适当考虑不可预见费。</w:t>
      </w:r>
    </w:p>
    <w:p w14:paraId="6045D513">
      <w:pPr>
        <w:snapToGrid w:val="0"/>
        <w:spacing w:line="360" w:lineRule="auto"/>
        <w:ind w:firstLine="482" w:firstLineChars="200"/>
        <w:textAlignment w:val="baseline"/>
        <w:rPr>
          <w:rFonts w:ascii="宋体" w:hAnsi="宋体"/>
          <w:b/>
          <w:bCs/>
          <w:sz w:val="24"/>
          <w:szCs w:val="24"/>
        </w:rPr>
      </w:pPr>
      <w:r>
        <w:rPr>
          <w:rFonts w:hint="eastAsia" w:ascii="宋体" w:hAnsi="宋体"/>
          <w:b/>
          <w:bCs/>
          <w:sz w:val="24"/>
          <w:szCs w:val="24"/>
        </w:rPr>
        <w:t>五</w:t>
      </w:r>
      <w:r>
        <w:rPr>
          <w:rFonts w:ascii="宋体" w:hAnsi="宋体"/>
          <w:b/>
          <w:bCs/>
          <w:sz w:val="24"/>
          <w:szCs w:val="24"/>
        </w:rPr>
        <w:t>、</w:t>
      </w:r>
      <w:r>
        <w:rPr>
          <w:rFonts w:hint="eastAsia" w:ascii="宋体" w:hAnsi="宋体"/>
          <w:b/>
          <w:bCs/>
          <w:sz w:val="24"/>
          <w:szCs w:val="24"/>
        </w:rPr>
        <w:t>其他</w:t>
      </w:r>
      <w:r>
        <w:rPr>
          <w:rFonts w:ascii="宋体" w:hAnsi="宋体"/>
          <w:b/>
          <w:bCs/>
          <w:sz w:val="24"/>
          <w:szCs w:val="24"/>
        </w:rPr>
        <w:t>要求：</w:t>
      </w:r>
    </w:p>
    <w:p w14:paraId="19E4DDDA">
      <w:pPr>
        <w:snapToGrid w:val="0"/>
        <w:spacing w:line="360" w:lineRule="auto"/>
        <w:ind w:firstLine="480" w:firstLineChars="200"/>
        <w:textAlignment w:val="baseline"/>
        <w:rPr>
          <w:rFonts w:ascii="宋体" w:hAnsi="宋体"/>
          <w:bCs/>
          <w:sz w:val="24"/>
          <w:szCs w:val="24"/>
        </w:rPr>
      </w:pPr>
      <w:r>
        <w:rPr>
          <w:rFonts w:ascii="宋体" w:hAnsi="宋体"/>
          <w:bCs/>
          <w:sz w:val="24"/>
          <w:szCs w:val="24"/>
        </w:rPr>
        <w:t>1. 所有中标单位派出的物业管理和服务人员，其工资、福利保险、奖金、加班费、管理费、工服及洗涤费、交通费、税费等，均由投标人承担。因提供物业管理服务而发生的人力资源成本、财务成本、技术支持、采购、差旅费等费用亦由投标人承担。</w:t>
      </w:r>
    </w:p>
    <w:p w14:paraId="6B344ABA">
      <w:pPr>
        <w:snapToGrid w:val="0"/>
        <w:spacing w:line="360" w:lineRule="auto"/>
        <w:ind w:firstLine="480" w:firstLineChars="200"/>
        <w:textAlignment w:val="baseline"/>
        <w:rPr>
          <w:rFonts w:ascii="宋体" w:hAnsi="宋体"/>
          <w:bCs/>
          <w:sz w:val="24"/>
          <w:szCs w:val="24"/>
          <w:highlight w:val="none"/>
        </w:rPr>
      </w:pPr>
      <w:r>
        <w:rPr>
          <w:rFonts w:ascii="宋体" w:hAnsi="宋体"/>
          <w:bCs/>
          <w:sz w:val="24"/>
          <w:szCs w:val="24"/>
        </w:rPr>
        <w:t>2. 项目主要管理人员（</w:t>
      </w:r>
      <w:r>
        <w:rPr>
          <w:rFonts w:hint="eastAsia" w:ascii="宋体" w:hAnsi="宋体"/>
          <w:bCs/>
          <w:sz w:val="24"/>
          <w:szCs w:val="24"/>
        </w:rPr>
        <w:t>物业</w:t>
      </w:r>
      <w:r>
        <w:rPr>
          <w:rFonts w:ascii="宋体" w:hAnsi="宋体"/>
          <w:bCs/>
          <w:sz w:val="24"/>
          <w:szCs w:val="24"/>
        </w:rPr>
        <w:t>经理及专业主管以上职务）人员</w:t>
      </w:r>
      <w:r>
        <w:rPr>
          <w:rFonts w:ascii="宋体" w:hAnsi="宋体"/>
          <w:bCs/>
          <w:sz w:val="24"/>
          <w:szCs w:val="24"/>
          <w:highlight w:val="none"/>
        </w:rPr>
        <w:t>配置</w:t>
      </w:r>
      <w:r>
        <w:rPr>
          <w:rFonts w:hint="eastAsia" w:ascii="宋体" w:hAnsi="宋体"/>
          <w:bCs/>
          <w:sz w:val="24"/>
          <w:szCs w:val="24"/>
          <w:highlight w:val="none"/>
          <w:lang w:val="en-US" w:eastAsia="zh-CN"/>
        </w:rPr>
        <w:t>不经甲方同意</w:t>
      </w:r>
      <w:r>
        <w:rPr>
          <w:rFonts w:ascii="宋体" w:hAnsi="宋体"/>
          <w:bCs/>
          <w:sz w:val="24"/>
          <w:szCs w:val="24"/>
          <w:highlight w:val="none"/>
        </w:rPr>
        <w:t>不得更改。</w:t>
      </w:r>
    </w:p>
    <w:p w14:paraId="78EC6F8B">
      <w:pPr>
        <w:snapToGrid w:val="0"/>
        <w:spacing w:line="360" w:lineRule="auto"/>
        <w:ind w:firstLine="480" w:firstLineChars="200"/>
        <w:textAlignment w:val="baseline"/>
        <w:rPr>
          <w:rFonts w:ascii="宋体" w:hAnsi="宋体"/>
          <w:bCs/>
          <w:sz w:val="24"/>
          <w:szCs w:val="24"/>
        </w:rPr>
      </w:pPr>
      <w:r>
        <w:rPr>
          <w:rFonts w:ascii="宋体" w:hAnsi="宋体"/>
          <w:bCs/>
          <w:sz w:val="24"/>
          <w:szCs w:val="24"/>
          <w:highlight w:val="none"/>
        </w:rPr>
        <w:t>3. 从事特殊工种的物业管理人员，必须按法规要求持相应资格证书上岗（如</w:t>
      </w:r>
      <w:r>
        <w:rPr>
          <w:rFonts w:hint="eastAsia" w:ascii="宋体" w:hAnsi="宋体"/>
          <w:bCs/>
          <w:sz w:val="24"/>
          <w:szCs w:val="24"/>
          <w:highlight w:val="none"/>
          <w:lang w:val="en-US" w:eastAsia="zh-CN"/>
        </w:rPr>
        <w:t>高、低压</w:t>
      </w:r>
      <w:r>
        <w:rPr>
          <w:rFonts w:ascii="宋体" w:hAnsi="宋体"/>
          <w:bCs/>
          <w:sz w:val="24"/>
          <w:szCs w:val="24"/>
          <w:highlight w:val="none"/>
        </w:rPr>
        <w:t>电工、压力容器、消防培训合格证等），且须保证在合同服务期内保持持证</w:t>
      </w:r>
      <w:r>
        <w:rPr>
          <w:rFonts w:ascii="宋体" w:hAnsi="宋体"/>
          <w:bCs/>
          <w:sz w:val="24"/>
          <w:szCs w:val="24"/>
        </w:rPr>
        <w:t>人员的在岗数量。</w:t>
      </w:r>
    </w:p>
    <w:p w14:paraId="4AC448F6">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4</w:t>
      </w:r>
      <w:r>
        <w:rPr>
          <w:rFonts w:ascii="宋体" w:hAnsi="宋体"/>
          <w:bCs/>
          <w:sz w:val="24"/>
          <w:szCs w:val="24"/>
        </w:rPr>
        <w:t>. 建筑本体、空调系统、电梯系统</w:t>
      </w:r>
      <w:r>
        <w:rPr>
          <w:rFonts w:hint="eastAsia" w:ascii="宋体" w:hAnsi="宋体"/>
          <w:bCs/>
          <w:sz w:val="24"/>
          <w:szCs w:val="24"/>
        </w:rPr>
        <w:t>、给排水系统、燃气锅炉、泳池水处理系统、除湿加热系统</w:t>
      </w:r>
      <w:r>
        <w:rPr>
          <w:rFonts w:ascii="宋体" w:hAnsi="宋体"/>
          <w:bCs/>
          <w:sz w:val="24"/>
          <w:szCs w:val="24"/>
        </w:rPr>
        <w:t>等设施、设备由物业公司管理，合同保修期内</w:t>
      </w:r>
      <w:r>
        <w:rPr>
          <w:rFonts w:hint="eastAsia" w:ascii="宋体" w:hAnsi="宋体"/>
          <w:bCs/>
          <w:sz w:val="24"/>
          <w:szCs w:val="24"/>
        </w:rPr>
        <w:t>，</w:t>
      </w:r>
      <w:r>
        <w:rPr>
          <w:rFonts w:ascii="宋体" w:hAnsi="宋体"/>
          <w:bCs/>
          <w:sz w:val="24"/>
          <w:szCs w:val="24"/>
        </w:rPr>
        <w:t>非因使用者的人为因素出现的问题，要求原建设单位或供货商承担责任；凡因操作、维护不当而出现的问题，由物业公司承担责任。</w:t>
      </w:r>
    </w:p>
    <w:p w14:paraId="69D4854D">
      <w:pPr>
        <w:snapToGrid w:val="0"/>
        <w:spacing w:line="360" w:lineRule="auto"/>
        <w:ind w:firstLine="480" w:firstLineChars="200"/>
        <w:textAlignment w:val="baseline"/>
        <w:rPr>
          <w:rFonts w:ascii="宋体" w:hAnsi="宋体"/>
          <w:bCs/>
          <w:sz w:val="24"/>
          <w:szCs w:val="24"/>
          <w:highlight w:val="none"/>
        </w:rPr>
      </w:pPr>
      <w:r>
        <w:rPr>
          <w:rFonts w:hint="eastAsia" w:ascii="宋体" w:hAnsi="宋体"/>
          <w:bCs/>
          <w:sz w:val="24"/>
          <w:szCs w:val="24"/>
          <w:highlight w:val="none"/>
        </w:rPr>
        <w:t>5</w:t>
      </w:r>
      <w:r>
        <w:rPr>
          <w:rFonts w:ascii="宋体" w:hAnsi="宋体"/>
          <w:bCs/>
          <w:sz w:val="24"/>
          <w:szCs w:val="24"/>
          <w:highlight w:val="none"/>
        </w:rPr>
        <w:t xml:space="preserve">. </w:t>
      </w:r>
      <w:r>
        <w:rPr>
          <w:rFonts w:hint="eastAsia" w:ascii="宋体" w:hAnsi="宋体"/>
          <w:bCs/>
          <w:sz w:val="24"/>
          <w:szCs w:val="24"/>
          <w:highlight w:val="none"/>
          <w:lang w:val="en-US" w:eastAsia="zh-CN"/>
        </w:rPr>
        <w:t>甲方现场</w:t>
      </w:r>
      <w:r>
        <w:rPr>
          <w:rFonts w:ascii="宋体" w:hAnsi="宋体"/>
          <w:bCs/>
          <w:sz w:val="24"/>
          <w:szCs w:val="24"/>
          <w:highlight w:val="none"/>
        </w:rPr>
        <w:t>提供必要的办公用房</w:t>
      </w:r>
      <w:r>
        <w:rPr>
          <w:rFonts w:hint="eastAsia" w:ascii="宋体" w:hAnsi="宋体"/>
          <w:bCs/>
          <w:sz w:val="24"/>
          <w:szCs w:val="24"/>
          <w:highlight w:val="none"/>
        </w:rPr>
        <w:t>和相关设备设施</w:t>
      </w:r>
      <w:r>
        <w:rPr>
          <w:rFonts w:ascii="宋体" w:hAnsi="宋体"/>
          <w:bCs/>
          <w:sz w:val="24"/>
          <w:szCs w:val="24"/>
          <w:highlight w:val="none"/>
        </w:rPr>
        <w:t>以支持中标物业公司开展工作。</w:t>
      </w:r>
    </w:p>
    <w:p w14:paraId="7BF5BEF0">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highlight w:val="none"/>
        </w:rPr>
        <w:t>6</w:t>
      </w:r>
      <w:r>
        <w:rPr>
          <w:rFonts w:ascii="宋体" w:hAnsi="宋体"/>
          <w:bCs/>
          <w:sz w:val="24"/>
          <w:szCs w:val="24"/>
          <w:highlight w:val="none"/>
        </w:rPr>
        <w:t>. 从事物业管理和服务必需</w:t>
      </w:r>
      <w:r>
        <w:rPr>
          <w:rFonts w:hint="eastAsia" w:ascii="宋体" w:hAnsi="宋体"/>
          <w:bCs/>
          <w:sz w:val="24"/>
          <w:szCs w:val="24"/>
          <w:highlight w:val="none"/>
        </w:rPr>
        <w:t>的清洁工具及耗材</w:t>
      </w:r>
      <w:r>
        <w:rPr>
          <w:rFonts w:ascii="宋体" w:hAnsi="宋体"/>
          <w:bCs/>
          <w:sz w:val="24"/>
          <w:szCs w:val="24"/>
          <w:highlight w:val="none"/>
        </w:rPr>
        <w:t>，均由中标单位自行购置和及时更</w:t>
      </w:r>
      <w:r>
        <w:rPr>
          <w:rFonts w:ascii="宋体" w:hAnsi="宋体"/>
          <w:bCs/>
          <w:sz w:val="24"/>
          <w:szCs w:val="24"/>
        </w:rPr>
        <w:t>换。</w:t>
      </w:r>
    </w:p>
    <w:p w14:paraId="0136FB53">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7</w:t>
      </w:r>
      <w:r>
        <w:rPr>
          <w:rFonts w:ascii="宋体" w:hAnsi="宋体"/>
          <w:bCs/>
          <w:sz w:val="24"/>
          <w:szCs w:val="24"/>
        </w:rPr>
        <w:t>. 本次招标要求以总包形式参与投标。如实施中确有必要需第三方参与服务，必须事先向委托人提供第三方证明及合作方式、责任划分等说明材料，并取得委托人同意</w:t>
      </w:r>
      <w:r>
        <w:rPr>
          <w:rFonts w:hint="eastAsia" w:ascii="宋体" w:hAnsi="宋体"/>
          <w:bCs/>
          <w:sz w:val="24"/>
          <w:szCs w:val="24"/>
        </w:rPr>
        <w:t>。</w:t>
      </w:r>
      <w:r>
        <w:rPr>
          <w:rFonts w:ascii="宋体" w:hAnsi="宋体"/>
          <w:bCs/>
          <w:sz w:val="24"/>
          <w:szCs w:val="24"/>
        </w:rPr>
        <w:t>如有违反，则由物业公司承担违约和欺诈责任。</w:t>
      </w:r>
    </w:p>
    <w:p w14:paraId="1A3DECCE">
      <w:pPr>
        <w:pStyle w:val="45"/>
        <w:rPr>
          <w:rFonts w:hint="eastAsia" w:ascii="宋体" w:hAnsi="宋体" w:eastAsia="宋体" w:cs="宋体"/>
        </w:rPr>
      </w:pPr>
      <w:r>
        <w:rPr>
          <w:rFonts w:hint="eastAsia" w:ascii="宋体" w:hAnsi="宋体"/>
          <w:bCs/>
          <w:sz w:val="24"/>
          <w:szCs w:val="24"/>
        </w:rPr>
        <w:t>8</w:t>
      </w:r>
      <w:r>
        <w:rPr>
          <w:rFonts w:ascii="宋体" w:hAnsi="宋体"/>
          <w:bCs/>
          <w:sz w:val="24"/>
          <w:szCs w:val="24"/>
        </w:rPr>
        <w:t>. 本次招标后，招标方将与中标单位签订</w:t>
      </w:r>
      <w:r>
        <w:rPr>
          <w:rFonts w:hint="eastAsia" w:ascii="宋体" w:hAnsi="宋体"/>
          <w:bCs/>
          <w:sz w:val="24"/>
          <w:szCs w:val="24"/>
        </w:rPr>
        <w:t>“</w:t>
      </w:r>
      <w:r>
        <w:rPr>
          <w:rFonts w:ascii="宋体" w:hAnsi="宋体"/>
          <w:bCs/>
          <w:sz w:val="24"/>
          <w:szCs w:val="24"/>
        </w:rPr>
        <w:t>物业</w:t>
      </w:r>
      <w:r>
        <w:rPr>
          <w:rFonts w:hint="eastAsia" w:ascii="宋体" w:hAnsi="宋体"/>
          <w:bCs/>
          <w:sz w:val="24"/>
          <w:szCs w:val="24"/>
        </w:rPr>
        <w:t>服务</w:t>
      </w:r>
      <w:r>
        <w:rPr>
          <w:rFonts w:ascii="宋体" w:hAnsi="宋体"/>
          <w:bCs/>
          <w:sz w:val="24"/>
          <w:szCs w:val="24"/>
        </w:rPr>
        <w:t>合同</w:t>
      </w:r>
      <w:r>
        <w:rPr>
          <w:rFonts w:hint="eastAsia" w:ascii="宋体" w:hAnsi="宋体"/>
          <w:bCs/>
          <w:sz w:val="24"/>
          <w:szCs w:val="24"/>
        </w:rPr>
        <w:t>”</w:t>
      </w:r>
      <w:r>
        <w:rPr>
          <w:rFonts w:ascii="宋体" w:hAnsi="宋体"/>
          <w:bCs/>
          <w:sz w:val="24"/>
          <w:szCs w:val="24"/>
        </w:rPr>
        <w:t>。</w:t>
      </w:r>
    </w:p>
    <w:p w14:paraId="2EF64DA4">
      <w:pPr>
        <w:pStyle w:val="46"/>
        <w:ind w:left="0" w:leftChars="0" w:firstLine="0" w:firstLineChars="0"/>
        <w:rPr>
          <w:rFonts w:hint="eastAsia" w:ascii="宋体" w:hAnsi="宋体" w:eastAsia="宋体" w:cs="宋体"/>
        </w:rPr>
      </w:pPr>
    </w:p>
    <w:p w14:paraId="3B8DC7EC">
      <w:pPr>
        <w:pStyle w:val="46"/>
        <w:ind w:left="0" w:leftChars="0" w:firstLine="0" w:firstLineChars="0"/>
        <w:rPr>
          <w:rFonts w:hint="eastAsia" w:ascii="宋体" w:hAnsi="宋体" w:eastAsia="宋体" w:cs="宋体"/>
        </w:rPr>
      </w:pPr>
    </w:p>
    <w:p w14:paraId="4ED7DD23">
      <w:pPr>
        <w:pStyle w:val="46"/>
        <w:ind w:left="0" w:leftChars="0" w:firstLine="0" w:firstLineChars="0"/>
        <w:rPr>
          <w:rFonts w:hint="eastAsia" w:ascii="宋体" w:hAnsi="宋体" w:eastAsia="宋体" w:cs="宋体"/>
        </w:rPr>
      </w:pPr>
    </w:p>
    <w:p w14:paraId="76C5C36C">
      <w:pPr>
        <w:pStyle w:val="46"/>
        <w:ind w:left="0" w:leftChars="0" w:firstLine="0" w:firstLineChars="0"/>
        <w:rPr>
          <w:rFonts w:hint="eastAsia" w:ascii="宋体" w:hAnsi="宋体" w:eastAsia="宋体" w:cs="宋体"/>
        </w:rPr>
      </w:pPr>
    </w:p>
    <w:p w14:paraId="2B9D4CE9">
      <w:pPr>
        <w:pStyle w:val="46"/>
        <w:ind w:left="0" w:leftChars="0" w:firstLine="0" w:firstLineChars="0"/>
        <w:rPr>
          <w:rFonts w:hint="eastAsia" w:ascii="宋体" w:hAnsi="宋体" w:eastAsia="宋体" w:cs="宋体"/>
        </w:rPr>
      </w:pPr>
    </w:p>
    <w:p w14:paraId="357B1FA0">
      <w:pPr>
        <w:pStyle w:val="46"/>
        <w:ind w:left="0" w:leftChars="0" w:firstLine="0" w:firstLineChars="0"/>
        <w:rPr>
          <w:rFonts w:hint="eastAsia" w:ascii="宋体" w:hAnsi="宋体" w:eastAsia="宋体" w:cs="宋体"/>
        </w:rPr>
      </w:pPr>
    </w:p>
    <w:p w14:paraId="4DB97CBE">
      <w:pPr>
        <w:pStyle w:val="46"/>
        <w:ind w:left="0" w:leftChars="0" w:firstLine="0" w:firstLineChars="0"/>
        <w:rPr>
          <w:rFonts w:hint="eastAsia" w:ascii="宋体" w:hAnsi="宋体" w:eastAsia="宋体" w:cs="宋体"/>
        </w:rPr>
      </w:pPr>
    </w:p>
    <w:p w14:paraId="22B3C4F7">
      <w:pPr>
        <w:pStyle w:val="45"/>
        <w:ind w:left="0" w:leftChars="0" w:firstLine="0" w:firstLineChars="0"/>
        <w:rPr>
          <w:rFonts w:hint="eastAsia" w:ascii="宋体" w:hAnsi="宋体" w:eastAsia="宋体" w:cs="宋体"/>
        </w:rPr>
      </w:pPr>
    </w:p>
    <w:p w14:paraId="5E8BEA18">
      <w:pPr>
        <w:pageBreakBefore w:val="0"/>
        <w:numPr>
          <w:ilvl w:val="0"/>
          <w:numId w:val="0"/>
        </w:numPr>
        <w:tabs>
          <w:tab w:val="left" w:pos="1080"/>
        </w:tabs>
        <w:wordWrap/>
        <w:topLinePunct w:val="0"/>
        <w:bidi w:val="0"/>
        <w:snapToGrid w:val="0"/>
        <w:spacing w:line="360" w:lineRule="auto"/>
        <w:jc w:val="left"/>
        <w:rPr>
          <w:rFonts w:hint="eastAsia" w:ascii="宋体" w:hAnsi="宋体" w:eastAsia="宋体" w:cs="宋体"/>
          <w:color w:val="auto"/>
          <w:kern w:val="0"/>
          <w:sz w:val="18"/>
          <w:szCs w:val="18"/>
          <w:highlight w:val="darkCyan"/>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章   拟签订的合同文本</w:t>
      </w:r>
    </w:p>
    <w:p w14:paraId="74567ACA">
      <w:pPr>
        <w:rPr>
          <w:color w:val="auto"/>
          <w:highlight w:val="darkCyan"/>
        </w:rPr>
      </w:pPr>
      <w:bookmarkStart w:id="808" w:name="_Toc25364"/>
    </w:p>
    <w:p w14:paraId="374D1634">
      <w:pPr>
        <w:widowControl/>
        <w:spacing w:line="360" w:lineRule="auto"/>
        <w:jc w:val="center"/>
        <w:outlineLvl w:val="1"/>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物业服务合同</w:t>
      </w:r>
    </w:p>
    <w:p w14:paraId="27E8F057">
      <w:pPr>
        <w:spacing w:line="360" w:lineRule="auto"/>
        <w:rPr>
          <w:rFonts w:ascii="宋体" w:hAnsi="宋体" w:cs="宋体"/>
          <w:color w:val="000000" w:themeColor="text1"/>
          <w:sz w:val="24"/>
          <w14:textFill>
            <w14:solidFill>
              <w14:schemeClr w14:val="tx1"/>
            </w14:solidFill>
          </w14:textFill>
        </w:rPr>
      </w:pPr>
    </w:p>
    <w:p w14:paraId="2631427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    方（委托方）：</w:t>
      </w:r>
      <w:r>
        <w:rPr>
          <w:rFonts w:hint="eastAsia" w:ascii="宋体" w:hAnsi="宋体" w:cs="宋体"/>
          <w:color w:val="000000" w:themeColor="text1"/>
          <w:sz w:val="24"/>
          <w:u w:val="single"/>
          <w14:textFill>
            <w14:solidFill>
              <w14:schemeClr w14:val="tx1"/>
            </w14:solidFill>
          </w14:textFill>
        </w:rPr>
        <w:t>北京市射击运动技术学校</w:t>
      </w:r>
    </w:p>
    <w:p w14:paraId="3C557BC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北京市怀柔区府前西街甲3号</w:t>
      </w:r>
    </w:p>
    <w:p w14:paraId="031D210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法定代表人或负责人：</w:t>
      </w:r>
    </w:p>
    <w:p w14:paraId="53B6ABD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乙    方（受托方）：</w:t>
      </w:r>
    </w:p>
    <w:p w14:paraId="774BA8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p w14:paraId="06BA3387">
      <w:pPr>
        <w:pStyle w:val="45"/>
        <w:ind w:firstLine="0" w:firstLineChars="0"/>
        <w:jc w:val="left"/>
        <w:rPr>
          <w:sz w:val="24"/>
        </w:rPr>
      </w:pPr>
      <w:r>
        <w:rPr>
          <w:rFonts w:hint="eastAsia"/>
          <w:sz w:val="24"/>
        </w:rPr>
        <w:t>法定代表人或负责人：</w:t>
      </w:r>
    </w:p>
    <w:p w14:paraId="7562F05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甲、乙双方根据有关法律、法规，在自愿、平等、协商一致的基础上，甲方将物业项目委托于乙方施行物业管理服务，并一致同意签订本物业服务合同。</w:t>
      </w:r>
    </w:p>
    <w:p w14:paraId="00DC5D5D">
      <w:pPr>
        <w:widowControl/>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color w:val="000000" w:themeColor="text1"/>
          <w:sz w:val="24"/>
          <w14:textFill>
            <w14:solidFill>
              <w14:schemeClr w14:val="tx1"/>
            </w14:solidFill>
          </w14:textFill>
        </w:rPr>
        <w:t>物业范围</w:t>
      </w:r>
    </w:p>
    <w:p w14:paraId="430F2AA8">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物业类型：</w:t>
      </w:r>
      <w:r>
        <w:rPr>
          <w:rFonts w:hint="eastAsia" w:ascii="宋体" w:hAnsi="宋体" w:cs="宋体"/>
          <w:color w:val="000000" w:themeColor="text1"/>
          <w:sz w:val="24"/>
          <w:u w:val="single"/>
          <w14:textFill>
            <w14:solidFill>
              <w14:schemeClr w14:val="tx1"/>
            </w14:solidFill>
          </w14:textFill>
        </w:rPr>
        <w:t xml:space="preserve"> 北京市射击运动技术学校 </w:t>
      </w:r>
    </w:p>
    <w:p w14:paraId="062D79D6">
      <w:pPr>
        <w:widowControl/>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座落位置：</w:t>
      </w:r>
      <w:r>
        <w:rPr>
          <w:rFonts w:hint="eastAsia" w:ascii="宋体" w:hAnsi="宋体" w:cs="宋体"/>
          <w:color w:val="000000" w:themeColor="text1"/>
          <w:sz w:val="24"/>
          <w:u w:val="single"/>
          <w14:textFill>
            <w14:solidFill>
              <w14:schemeClr w14:val="tx1"/>
            </w14:solidFill>
          </w14:textFill>
        </w:rPr>
        <w:t xml:space="preserve"> 北京市怀柔区府前西街甲3号 </w:t>
      </w:r>
    </w:p>
    <w:p w14:paraId="3029489B">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占地面积：</w:t>
      </w:r>
      <w:r>
        <w:rPr>
          <w:rFonts w:hint="eastAsia" w:ascii="宋体" w:hAnsi="宋体" w:cs="宋体"/>
          <w:color w:val="000000" w:themeColor="text1"/>
          <w:sz w:val="24"/>
          <w:u w:val="single"/>
          <w14:textFill>
            <w14:solidFill>
              <w14:schemeClr w14:val="tx1"/>
            </w14:solidFill>
          </w14:textFill>
        </w:rPr>
        <w:t xml:space="preserve"> 106412 </w:t>
      </w:r>
      <w:r>
        <w:rPr>
          <w:rFonts w:hint="eastAsia" w:ascii="宋体" w:hAnsi="宋体" w:cs="宋体"/>
          <w:color w:val="000000" w:themeColor="text1"/>
          <w:sz w:val="24"/>
          <w14:textFill>
            <w14:solidFill>
              <w14:schemeClr w14:val="tx1"/>
            </w14:solidFill>
          </w14:textFill>
        </w:rPr>
        <w:t>平方米</w:t>
      </w:r>
    </w:p>
    <w:p w14:paraId="2581B669">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建筑面积：</w:t>
      </w:r>
      <w:r>
        <w:rPr>
          <w:rFonts w:hint="eastAsia" w:ascii="宋体" w:hAnsi="宋体" w:cs="宋体"/>
          <w:color w:val="000000" w:themeColor="text1"/>
          <w:sz w:val="24"/>
          <w:u w:val="single"/>
          <w14:textFill>
            <w14:solidFill>
              <w14:schemeClr w14:val="tx1"/>
            </w14:solidFill>
          </w14:textFill>
        </w:rPr>
        <w:t xml:space="preserve"> 15900  </w:t>
      </w:r>
      <w:r>
        <w:rPr>
          <w:rFonts w:hint="eastAsia" w:ascii="宋体" w:hAnsi="宋体" w:cs="宋体"/>
          <w:color w:val="000000" w:themeColor="text1"/>
          <w:sz w:val="24"/>
          <w14:textFill>
            <w14:solidFill>
              <w14:schemeClr w14:val="tx1"/>
            </w14:solidFill>
          </w14:textFill>
        </w:rPr>
        <w:t>平方米</w:t>
      </w:r>
    </w:p>
    <w:p w14:paraId="3B0D7924">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二、物业管理工作范围</w:t>
      </w:r>
    </w:p>
    <w:p w14:paraId="48292057">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（一）管理团队</w:t>
      </w:r>
    </w:p>
    <w:p w14:paraId="2E31B8C9">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根据北京市射击运动技术学校日常运营管理工作的需要，根据《中华人民共和国民法典》、</w:t>
      </w:r>
      <w:r>
        <w:rPr>
          <w:rFonts w:hint="eastAsia" w:ascii="宋体" w:hAnsi="宋体" w:cs="宋体"/>
          <w:color w:val="000000" w:themeColor="text1"/>
          <w:sz w:val="24"/>
          <w14:textFill>
            <w14:solidFill>
              <w14:schemeClr w14:val="tx1"/>
            </w14:solidFill>
          </w14:textFill>
        </w:rPr>
        <w:t>《北京市物业管理条例》及相关法律法规，根据甲方的要求</w:t>
      </w:r>
      <w:r>
        <w:rPr>
          <w:rFonts w:hint="eastAsia" w:ascii="宋体" w:hAnsi="宋体" w:cs="宋体"/>
          <w:bCs/>
          <w:color w:val="000000" w:themeColor="text1"/>
          <w:sz w:val="24"/>
          <w14:textFill>
            <w14:solidFill>
              <w14:schemeClr w14:val="tx1"/>
            </w14:solidFill>
          </w14:textFill>
        </w:rPr>
        <w:t>进行物业管理工作整体规划，做好组织结构设计，建立相应管理部门，并配置相关管理人员。制定完善的管理制度、规定、流程，职责清晰、责任到人。接受甲方的监督管理，并定期向甲方进行管理工作情况汇报。</w:t>
      </w:r>
    </w:p>
    <w:p w14:paraId="4496BD42">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（二）保洁</w:t>
      </w:r>
    </w:p>
    <w:p w14:paraId="53C3152A">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负责全部建筑物及附属设施的保洁服务，主要包括：</w:t>
      </w:r>
    </w:p>
    <w:p w14:paraId="0AAB8470">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1.楼道、门厅、管理用房、管理方派驻机构用房、公共用房等的清洁服务；</w:t>
      </w:r>
    </w:p>
    <w:p w14:paraId="425CF1C7">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2.公共卫生间、盥洗室及其附属设施等的专业消毒、清洁服务；</w:t>
      </w:r>
    </w:p>
    <w:p w14:paraId="1B9FD5A9">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3.运动器械每日清洁2次，定期进行消毒；</w:t>
      </w:r>
    </w:p>
    <w:p w14:paraId="51AFF818">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4.建筑物门、窗、墙面、吊顶，设备等的清洁服务；</w:t>
      </w:r>
    </w:p>
    <w:p w14:paraId="6596AE37">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5.校区、道路、绿地、路灯、广播设施等户外设施的清洁服务；</w:t>
      </w:r>
    </w:p>
    <w:p w14:paraId="63730976">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6.停车场的清洁服务；</w:t>
      </w:r>
    </w:p>
    <w:p w14:paraId="7107F112">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7.其他相关清洁服务。</w:t>
      </w:r>
    </w:p>
    <w:p w14:paraId="0C7392AF">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（三）设备设施维护</w:t>
      </w:r>
    </w:p>
    <w:p w14:paraId="25B93ADF">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1.建筑物及附属设施的维修、养护和管理。包括：楼盖、屋顶、外墙面、承重结构、楼梯间、走廊通道、门厅、运动员宿舍、其他公建内及其附属物。</w:t>
      </w:r>
    </w:p>
    <w:p w14:paraId="3D1C40BF">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全部设施、设备（不包括消防系统）的维修、养护、运行和管理，包括：上下水管道、落水管、照明、暖气干线、楼内消防设施设备、电梯、配电设置设备、给排水设备、换热设备、高压电气设备（含电力主管部门的年检查检测费）及其他甲方委托的管理设备。   </w:t>
      </w:r>
    </w:p>
    <w:p w14:paraId="30767930">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3.附属建筑物、构筑物的维修、养护和管理，包括道路、室外上下水管道、化粪池、沟渠、池、井、停车场及其他甲方委托的管理场所。</w:t>
      </w:r>
    </w:p>
    <w:p w14:paraId="7673868A">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4.单次或单项2000元以下的物业公共设备设施的维修服务等包括在维护范围内。</w:t>
      </w:r>
    </w:p>
    <w:p w14:paraId="7C8BDD32">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5.单次或单项2000元以上的建筑物、设施设备的大中修、改造不包括维护范围内。乙方可以根据运行情况提出大中修、改造建议，经甲方同意后协助现场实施。</w:t>
      </w:r>
    </w:p>
    <w:p w14:paraId="1C48DA9B">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（四）绿化养护</w:t>
      </w:r>
    </w:p>
    <w:p w14:paraId="76B0E92F">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负责校区内及飞碟南北靶场外防火道绿化养护，主要包括：</w:t>
      </w:r>
    </w:p>
    <w:p w14:paraId="27209C37">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1、负责校区内绿化养护的设备设施的正常运行。</w:t>
      </w:r>
    </w:p>
    <w:p w14:paraId="6652F8FB">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2、负责道路两侧、花园、行道树、飞碟南北靶场等区域的绿化进行管理与养护。</w:t>
      </w:r>
    </w:p>
    <w:p w14:paraId="31D0A635">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3、负责25米、50米射击馆弹道区及防火道进行定期打草。</w:t>
      </w:r>
    </w:p>
    <w:p w14:paraId="31056267">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4、负责校区内绿化管理范围内的除草、浇水、修剪、施肥、打药、补栽种等工作。</w:t>
      </w:r>
    </w:p>
    <w:p w14:paraId="2681D759">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5、养护管理范围内保证生长势正常、无明显枯枝、死杈、无病虫害，草坪覆盖率达标，草坪内无明显杂草。</w:t>
      </w:r>
    </w:p>
    <w:p w14:paraId="53BCE6E8">
      <w:pPr>
        <w:snapToGrid w:val="0"/>
        <w:spacing w:line="360" w:lineRule="auto"/>
        <w:ind w:firstLine="482" w:firstLineChars="200"/>
        <w:textAlignment w:val="baseline"/>
        <w:outlineLvl w:val="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（五）配电室管理</w:t>
      </w:r>
    </w:p>
    <w:p w14:paraId="00C3BEBC">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1、严格执行配电室规章制度，保障设备设施正常运行。</w:t>
      </w:r>
    </w:p>
    <w:p w14:paraId="18716A7B">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2、配电室需配备专人24小时值班并持有高压电工上岗证，每班至少两人值守。</w:t>
      </w:r>
    </w:p>
    <w:p w14:paraId="3030387D">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3、值班人员必须严格执行巡回检查制度，对存在的问题隐患及时处理，尽快消除，并及时向甲方汇报同时做好记录。</w:t>
      </w:r>
    </w:p>
    <w:p w14:paraId="43F77FBB">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4、值班人员应熟知所管理设备的原理、结构并具有对其设备进行维修的技术。</w:t>
      </w:r>
    </w:p>
    <w:p w14:paraId="57C012C9">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5、负责巡回检、计划维修和故障检修、日常点检、定期检查，并做好检查记录。</w:t>
      </w:r>
    </w:p>
    <w:p w14:paraId="0EB34E65">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6、对使用的配电设备必须保持完好状态，安全保护装置齐全。</w:t>
      </w:r>
    </w:p>
    <w:p w14:paraId="4FFBA46A">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7、定期清扫配电室卫生。</w:t>
      </w:r>
    </w:p>
    <w:p w14:paraId="449E048C">
      <w:pPr>
        <w:snapToGri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8、不能立即消除的设备故障应及时向甲方上报。</w:t>
      </w:r>
    </w:p>
    <w:p w14:paraId="7C16195C">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（六）数据化管理</w:t>
      </w:r>
    </w:p>
    <w:p w14:paraId="16D43060">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提供公建数据化管理系统安装到位并定期维护，乙方负责此系统日常运行。数据化管理系统的功能以甲方实际提供的为准（资产管理系统、能源管理系统、门禁管理系统等）。乙方可以根据实际运行情况对系统功能和配置提出修改建议。乙方应做好在系统正式运营前或系统故障时，手工办理相关工作的流程和计划。</w:t>
      </w:r>
    </w:p>
    <w:p w14:paraId="2944BD8B">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（七）物业档案管理</w:t>
      </w:r>
    </w:p>
    <w:p w14:paraId="7094DAA7">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管理与物业相关的工程图纸、设备说明、维修养护记录及竣工验收资料等，建立并及时维护更新各种设备、设施等物业管理内容的基础档案，符合评审的要求。</w:t>
      </w:r>
    </w:p>
    <w:p w14:paraId="60B67866">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（八）活动（庆典）服务</w:t>
      </w:r>
    </w:p>
    <w:p w14:paraId="4E68A720">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甲方或派驻机构组织活动时，乙方配合相关活动（庆典）服务。乙方负责国庆期间，学校门前及主要建筑物门前摆放花坛。如遇超出现场服务能力的情况，由双方协商签署相应补充协议。</w:t>
      </w:r>
    </w:p>
    <w:p w14:paraId="4335B24A">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（九）临时应急</w:t>
      </w:r>
    </w:p>
    <w:p w14:paraId="08E79A7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乙方应根据甲方实际情况，制定相应应急预案，确保临时性的应急工作的顺利开展。</w:t>
      </w:r>
    </w:p>
    <w:p w14:paraId="17D880D9">
      <w:pPr>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（十）安全管理</w:t>
      </w:r>
    </w:p>
    <w:p w14:paraId="0F0D3A91">
      <w:pPr>
        <w:pStyle w:val="41"/>
        <w:rPr>
          <w:u w:val="single"/>
        </w:rPr>
      </w:pPr>
      <w:r>
        <w:rPr>
          <w:rFonts w:hint="eastAsia"/>
        </w:rPr>
        <w:t>1. 根据甲方要求落实消防、安全责任制，遵守本项目的消防、安全制度和消防、安全操作规程，协助甲方对消防、安全事件应急处理；</w:t>
      </w:r>
    </w:p>
    <w:p w14:paraId="5D9162C8">
      <w:pPr>
        <w:pStyle w:val="41"/>
      </w:pPr>
      <w:r>
        <w:rPr>
          <w:rFonts w:hint="eastAsia"/>
        </w:rPr>
        <w:t>2. 保障疏散通道、安全出口、消防车通道畅通；</w:t>
      </w:r>
    </w:p>
    <w:p w14:paraId="37B1E007">
      <w:pPr>
        <w:pStyle w:val="41"/>
      </w:pPr>
      <w:r>
        <w:rPr>
          <w:rFonts w:hint="eastAsia"/>
        </w:rPr>
        <w:t>3. 配合甲方定期组织的安全、防火检查，并按要求及时消除安全、消防隐患，配合甲方进行有针对性的安全、消防演练；</w:t>
      </w:r>
    </w:p>
    <w:p w14:paraId="4BB87AAA">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 法律、法规规定的其他消防、安全职责。</w:t>
      </w:r>
    </w:p>
    <w:p w14:paraId="66121842">
      <w:pPr>
        <w:snapToGrid w:val="0"/>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（十一）其他</w:t>
      </w:r>
    </w:p>
    <w:p w14:paraId="32020DEA">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1.提供日常接待、问讯、引导等服务；</w:t>
      </w:r>
    </w:p>
    <w:p w14:paraId="7827BC33">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2.对管理用房、公共服务用房的功能设置和运营提出调整建议。</w:t>
      </w:r>
    </w:p>
    <w:p w14:paraId="4ED55AE5">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3.配合驻甲方派出机构的工作。</w:t>
      </w:r>
    </w:p>
    <w:p w14:paraId="60481D8A">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在招标文件或物业情况介绍没有明确列出的项目，但在法律、法规规定属于物业管理服务内容所发生的费用，不管乙方是否进行报价，都视为包括在本合同报价中，并由乙方无条件负责承担。</w:t>
      </w:r>
    </w:p>
    <w:p w14:paraId="772A21EC">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乙方应在报价中根据甲方的特点、使用单位的特性及乙方单位自身的情况适当考虑不可预见的全部费用。</w:t>
      </w:r>
    </w:p>
    <w:p w14:paraId="17A1D4DC">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三、人员要求、管理和服务标准</w:t>
      </w:r>
    </w:p>
    <w:p w14:paraId="120B0D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人员要求（持专业上岗证）：专业水暖工，绿化专业，保洁人员，配电室24小时值班。物业接管三个月内，乙方根据物业的特点及要求，制订一套针对甲方的物业管理标准，该标准经甲方修订认可后执行。</w:t>
      </w:r>
    </w:p>
    <w:p w14:paraId="1DF4F732">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四、取费标准及报酬支付方式</w:t>
      </w:r>
    </w:p>
    <w:p w14:paraId="269FF4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1.甲方向乙方支付的物业服务费用为2025年4月至12月总计人民币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元（含税价大写：</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F42D9C7">
      <w:pPr>
        <w:pStyle w:val="15"/>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上述费用包含乙方按照本合同（含附件）提供各类物业管理服务所需要为本单位职工发放的工资和按规定缴纳的社会保险、公积金、福利、奖金、加班费、管理费、交通费、公共设施设备日常运行维护费、维修费（单次或单项维修工程在2000元以下的维修项目）、办公费、四类垃圾清运费、化粪池清理消纳费、清洁卫生费、耗材费、秩序维护费、设备实施年检费（校内各建筑物电气防火年检、避雷年检等校方要求的各种年检）、不可预见费、管理费、税金、利润等所有费用（不含能源费用），以及</w:t>
      </w:r>
      <w:r>
        <w:rPr>
          <w:rFonts w:hint="eastAsia" w:ascii="宋体" w:hAnsi="宋体" w:cs="宋体"/>
          <w:bCs/>
          <w:color w:val="000000" w:themeColor="text1"/>
          <w:sz w:val="24"/>
          <w14:textFill>
            <w14:solidFill>
              <w14:schemeClr w14:val="tx1"/>
            </w14:solidFill>
          </w14:textFill>
        </w:rPr>
        <w:t>因提供物业管理服务而发生的特种设备代维费、人力资源成本、财务成本、技术支持等上述第二条约定的全部物业服务费用。</w:t>
      </w:r>
      <w:r>
        <w:rPr>
          <w:rFonts w:hint="eastAsia" w:ascii="宋体" w:hAnsi="宋体" w:cs="宋体"/>
          <w:color w:val="000000" w:themeColor="text1"/>
          <w:sz w:val="24"/>
          <w14:textFill>
            <w14:solidFill>
              <w14:schemeClr w14:val="tx1"/>
            </w14:solidFill>
          </w14:textFill>
        </w:rPr>
        <w:t>但不包括下列费用（下列费用由甲方承担）：</w:t>
      </w:r>
    </w:p>
    <w:p w14:paraId="0E3C0B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（1）单次或单项2000元以上的房屋和设备等的维护、维修费用；</w:t>
      </w:r>
    </w:p>
    <w:p w14:paraId="0D0396B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（2）政府部门对建筑物及其业主收取的各种税费；</w:t>
      </w:r>
    </w:p>
    <w:p w14:paraId="27AA16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（3）附属设施的各种保险费。</w:t>
      </w:r>
    </w:p>
    <w:p w14:paraId="052911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物业管理费采用包干形式，除双方约定的条件外，任何一方不能随意增加和减少取费标准。</w:t>
      </w:r>
    </w:p>
    <w:p w14:paraId="6C31F6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物业管理费的支付办法如下：</w:t>
      </w:r>
    </w:p>
    <w:p w14:paraId="1E3D1DA7">
      <w:pPr>
        <w:pStyle w:val="142"/>
        <w:rPr>
          <w:kern w:val="2"/>
        </w:rPr>
      </w:pPr>
      <w:r>
        <w:rPr>
          <w:rFonts w:hint="eastAsia"/>
        </w:rPr>
        <w:t>合同签订并生效后15日内支付合同价款的</w:t>
      </w:r>
      <w:r>
        <w:rPr>
          <w:rFonts w:hint="eastAsia"/>
          <w:kern w:val="2"/>
        </w:rPr>
        <w:t>50%</w:t>
      </w:r>
      <w:r>
        <w:rPr>
          <w:rFonts w:hint="eastAsia"/>
        </w:rPr>
        <w:t>，</w:t>
      </w:r>
      <w:r>
        <w:rPr>
          <w:rFonts w:hint="eastAsia"/>
          <w:kern w:val="2"/>
        </w:rPr>
        <w:t xml:space="preserve"> 9月底前支付合同价款的30%， 12月初支付剩余20%的合同价款,每次付款之前乙方先开具相应的发票。</w:t>
      </w:r>
    </w:p>
    <w:p w14:paraId="5CC35D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不包含在物业管理费用的部分，如需要乙方代为收取和交纳，经甲方确认后，采用实报</w:t>
      </w:r>
      <w:r>
        <w:rPr>
          <w:rFonts w:hint="eastAsia"/>
        </w:rPr>
        <w:t>实销的方</w:t>
      </w:r>
      <w:r>
        <w:rPr>
          <w:rFonts w:hint="eastAsia" w:ascii="宋体" w:hAnsi="宋体" w:cs="宋体"/>
          <w:color w:val="000000" w:themeColor="text1"/>
          <w:sz w:val="24"/>
          <w14:textFill>
            <w14:solidFill>
              <w14:schemeClr w14:val="tx1"/>
            </w14:solidFill>
          </w14:textFill>
        </w:rPr>
        <w:t>式。</w:t>
      </w:r>
    </w:p>
    <w:p w14:paraId="43A5A53C">
      <w:pPr>
        <w:pStyle w:val="45"/>
        <w:ind w:firstLine="2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5.乙方账户信息：</w:t>
      </w:r>
    </w:p>
    <w:p w14:paraId="13EA1D32">
      <w:pPr>
        <w:pStyle w:val="45"/>
        <w:ind w:firstLine="240"/>
        <w:rPr>
          <w:rFonts w:ascii="宋体" w:hAnsi="宋体" w:cs="宋体"/>
          <w:color w:val="000000" w:themeColor="text1"/>
          <w:sz w:val="24"/>
          <w14:textFill>
            <w14:solidFill>
              <w14:schemeClr w14:val="tx1"/>
            </w14:solidFill>
          </w14:textFill>
        </w:rPr>
      </w:pPr>
    </w:p>
    <w:p w14:paraId="75284108">
      <w:pPr>
        <w:pStyle w:val="45"/>
        <w:ind w:firstLine="2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6.甲方付款前，乙方须按甲方要求提供等额的合法有效发票，否则甲方有权拒付费用，且不视为违约。</w:t>
      </w:r>
    </w:p>
    <w:p w14:paraId="15A64ECA">
      <w:pPr>
        <w:pStyle w:val="45"/>
        <w:ind w:firstLine="210"/>
        <w:rPr>
          <w:rFonts w:ascii="宋体" w:hAnsi="宋体"/>
          <w:sz w:val="24"/>
        </w:rPr>
      </w:pPr>
      <w:r>
        <w:rPr>
          <w:rFonts w:hint="eastAsia"/>
        </w:rPr>
        <w:t xml:space="preserve">   </w:t>
      </w:r>
      <w:r>
        <w:rPr>
          <w:rFonts w:hint="eastAsia" w:ascii="宋体" w:hAnsi="宋体"/>
          <w:sz w:val="24"/>
        </w:rPr>
        <w:t>7.本项目资金来源为市财政拨款，本次招标服务期限为2025年4月1日起至2025年12月31日止。 由于前期申报、审批等事宜，项目启动时间偏晚，造成乙方服务延迟，为保证我校正常运行，自2025年4月1日至招标工作完成中标企业接手物业工作（即自2025年4月1日起至甲乙双方签订合同的期间），此期间物业服务费用（以总造价为准，按月为单位）由乙方直接支付给提供服务的物业公司（即：亿海物业发展（北京）有限公司）。</w:t>
      </w:r>
    </w:p>
    <w:p w14:paraId="11AFF82B">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五、验收与接管</w:t>
      </w:r>
    </w:p>
    <w:p w14:paraId="5976A6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1.甲方应当在乙方正式接管和进驻前，将乙方管理范围内的建筑、设备、工程档案移交乙方，包括但不限于如下资料或其复制本；</w:t>
      </w:r>
    </w:p>
    <w:p w14:paraId="65DAB0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（1）与建筑工程有关的所有图纸、设计、变更、竣工验收文件；</w:t>
      </w:r>
    </w:p>
    <w:p w14:paraId="7A390D2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（2）与建筑工程有关的各种法律文件；</w:t>
      </w:r>
    </w:p>
    <w:p w14:paraId="776FD83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（3）工程和设备、器材、材料物品的手册、说明书、保修单、质量证书；</w:t>
      </w:r>
    </w:p>
    <w:p w14:paraId="19B5EE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（4）功能区分布图及总平面图；</w:t>
      </w:r>
    </w:p>
    <w:p w14:paraId="7F3DC9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（5）其他与建筑有关的资料。</w:t>
      </w:r>
    </w:p>
    <w:p w14:paraId="0F7EB76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甲方对物业使用功能的变化和调整，应当及时告知乙方。涉及变更部位的图纸，应当将变更图纸交乙方存档。</w:t>
      </w:r>
    </w:p>
    <w:p w14:paraId="56D16B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乙方应当妥善保管甲方提交的资料以及乙方物业管理的档案资料。如合同期满双方解除合同或提前解除合同，乙方应当在交接过程中将全套完整的档案资料移交甲方。</w:t>
      </w:r>
    </w:p>
    <w:p w14:paraId="71A0A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前述任何资料的交接都必须签署交接凭据。</w:t>
      </w:r>
    </w:p>
    <w:p w14:paraId="12293FC1">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六、乙方经营条件的提供</w:t>
      </w:r>
    </w:p>
    <w:p w14:paraId="47F0CB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甲方为乙方提供如下经营条件：</w:t>
      </w:r>
    </w:p>
    <w:p w14:paraId="3E5AB3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1.管理用房：甲方提供必要的房屋作为乙方的管理用房，并提供必要的办公条件,其中包含:办公室一间、库房一间、配电室宿舍两间（值班人员24小时在岗）。</w:t>
      </w:r>
    </w:p>
    <w:p w14:paraId="161046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2.设备和家具：甲方提供部分设备和家具供乙方使用，乙方要妥善保管使用，如有损坏照价赔偿或恢复原状，正常损耗后由乙方自行补齐。</w:t>
      </w:r>
    </w:p>
    <w:p w14:paraId="42A066CC">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七、甲方权利和义务</w:t>
      </w:r>
    </w:p>
    <w:p w14:paraId="234303C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1.有权充分享受乙方应当提供的安全优质的物业服务；</w:t>
      </w:r>
    </w:p>
    <w:p w14:paraId="336C91F3">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2.作为业主，监督和检查乙方执行合同的情况和管理服务质量，提出合理的意见和要求；</w:t>
      </w:r>
    </w:p>
    <w:p w14:paraId="2E06566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3.甲方有权审查乙方制定的各项物业服务规定；</w:t>
      </w:r>
    </w:p>
    <w:p w14:paraId="6704CEA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4.甲方应向乙方提供有关物业的全部图纸、档案、资料、文件；</w:t>
      </w:r>
    </w:p>
    <w:p w14:paraId="625C5B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5.甲方应安排固定的机构和人员负责与乙</w:t>
      </w:r>
      <w:r>
        <w:rPr>
          <w:rFonts w:hint="eastAsia" w:ascii="宋体" w:hAnsi="宋体" w:cs="宋体"/>
          <w:color w:val="000000" w:themeColor="text1"/>
          <w:sz w:val="24"/>
          <w14:textFill>
            <w14:solidFill>
              <w14:schemeClr w14:val="tx1"/>
            </w14:solidFill>
          </w14:textFill>
        </w:rPr>
        <w:t>方的工作配合；</w:t>
      </w:r>
    </w:p>
    <w:p w14:paraId="546837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6.按期向乙方支付物业管理费和其他各项应付款项；</w:t>
      </w:r>
    </w:p>
    <w:p w14:paraId="492905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甲方有权随时根据前述标准对乙方的工作进行检查、考核，并有权利随时对乙方的管理和服务工作提出合理的意见和建议。一旦甲方发现乙方的管理和服务不能达前述标准，甲方有权向乙方提出限期整改要求，逾期未整改的，甲方有权追究乙方的违约责任，包括但不限于按合同约定扣除相应物业费；</w:t>
      </w:r>
    </w:p>
    <w:p w14:paraId="66997CD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8.宿舍内主材由甲方承担。</w:t>
      </w:r>
    </w:p>
    <w:p w14:paraId="11A5F6FF">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八、乙方权利和义务</w:t>
      </w:r>
    </w:p>
    <w:p w14:paraId="59A3BD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1.根据有关法律、法规及本合同的约定，制定物业管理的各项规章制度；</w:t>
      </w:r>
    </w:p>
    <w:p w14:paraId="1CC8149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2.乙方应按照本合同的约定和相关物业服务的规范，充分履行物业服务的职责，为甲方、甲方人员及其他机构和人员提供优质高效的物业服务；</w:t>
      </w:r>
    </w:p>
    <w:p w14:paraId="59FD627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经甲方书面确认后，乙方有权委托专业公司承担专项管理和服务，但乙方委托的专业公司在承担公建专项管理和服务的过程中，如给甲方带来损害或产生其他问题，均由乙方承担相关责任。乙方应将相关专项服务合同向甲方备案, 甲方有权选择乙方或者第三方承担相应的责任。如第三方在提供专业服务的过程中造成自身损害的，由乙方及第三方承担完全的责任；</w:t>
      </w:r>
    </w:p>
    <w:p w14:paraId="029627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4.乙方应按照合同约定对物业进行全面的管理和服务，保证管理和服务的质量，维护良好的物业形象；</w:t>
      </w:r>
    </w:p>
    <w:p w14:paraId="713B57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5.负责编制房屋、附属建筑物、构筑物、设施、设备等的年度维修养护计划和大、中修方案，经双方议定后由乙方组织实施；</w:t>
      </w:r>
    </w:p>
    <w:p w14:paraId="3876F9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6.乙方应对本单位职工进行严格的教育和培训；严格遵守甲方的工作管理及相关的制度规定；</w:t>
      </w:r>
    </w:p>
    <w:p w14:paraId="1E4A9FED">
      <w:pPr>
        <w:spacing w:line="360" w:lineRule="auto"/>
        <w:ind w:firstLine="480" w:firstLineChars="200"/>
        <w:rPr>
          <w:rFonts w:ascii="宋体" w:hAnsi="宋体" w:cs="宋体"/>
          <w:color w:val="000000"/>
          <w:sz w:val="24"/>
        </w:rPr>
      </w:pPr>
      <w:r>
        <w:rPr>
          <w:rFonts w:hint="eastAsia" w:ascii="宋体" w:hAnsi="宋体" w:cs="宋体"/>
          <w:color w:val="000000"/>
          <w:sz w:val="24"/>
        </w:rPr>
        <w:t>7.乙方人员在工作期间发生伤、亡的，由乙方承担全部责任，与甲方无关。如因乙方人员造成甲方、甲方人员及任何第三方人身、财产损失的，由乙方承担全部责任</w:t>
      </w:r>
      <w:r>
        <w:rPr>
          <w:rFonts w:hint="eastAsia" w:ascii="宋体" w:hAnsi="宋体" w:cs="宋体"/>
          <w:color w:val="000000" w:themeColor="text1"/>
          <w:sz w:val="24"/>
          <w14:textFill>
            <w14:solidFill>
              <w14:schemeClr w14:val="tx1"/>
            </w14:solidFill>
          </w14:textFill>
        </w:rPr>
        <w:t>；</w:t>
      </w:r>
    </w:p>
    <w:p w14:paraId="578BDE9B">
      <w:pPr>
        <w:spacing w:line="360" w:lineRule="auto"/>
        <w:ind w:firstLine="480" w:firstLineChars="200"/>
        <w:rPr>
          <w:rFonts w:ascii="宋体" w:hAnsi="宋体" w:cs="宋体"/>
          <w:color w:val="000000"/>
          <w:sz w:val="24"/>
        </w:rPr>
      </w:pPr>
      <w:r>
        <w:rPr>
          <w:rFonts w:hint="eastAsia" w:ascii="宋体" w:hAnsi="宋体" w:cs="宋体"/>
          <w:color w:val="000000"/>
          <w:sz w:val="24"/>
        </w:rPr>
        <w:t>8.乙方应本着节约的原则，在不影响使用功能和服务质量的情况下，节省能源和费用开支；</w:t>
      </w:r>
    </w:p>
    <w:p w14:paraId="131A68B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9.乙方应按照甲方的要求提供各种资料，供甲方对乙方的工作进行考核；</w:t>
      </w:r>
    </w:p>
    <w:p w14:paraId="360D25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10.接受甲方监督，执行甲方有关物业管理方面的工作指令和要求；</w:t>
      </w:r>
    </w:p>
    <w:p w14:paraId="6E3B44E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11.公共区域损坏的主材由物业公司承担</w:t>
      </w:r>
      <w:r>
        <w:rPr>
          <w:rFonts w:hint="eastAsia" w:ascii="宋体" w:hAnsi="宋体" w:cs="宋体"/>
          <w:color w:val="000000" w:themeColor="text1"/>
          <w:sz w:val="24"/>
          <w14:textFill>
            <w14:solidFill>
              <w14:schemeClr w14:val="tx1"/>
            </w14:solidFill>
          </w14:textFill>
        </w:rPr>
        <w:t>；</w:t>
      </w:r>
    </w:p>
    <w:p w14:paraId="5020A3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12.本合同约定的其他乙方权利及义务。</w:t>
      </w:r>
    </w:p>
    <w:p w14:paraId="3ED9844D">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九、合同期限</w:t>
      </w:r>
    </w:p>
    <w:p w14:paraId="2AEDC8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1.本物业管理期限自</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14:textFill>
            <w14:solidFill>
              <w14:schemeClr w14:val="tx1"/>
            </w14:solidFill>
          </w14:textFill>
        </w:rPr>
        <w:t>5年</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4月</w:t>
      </w:r>
      <w:r>
        <w:rPr>
          <w:rFonts w:ascii="宋体" w:hAnsi="宋体" w:cs="宋体"/>
          <w:color w:val="000000" w:themeColor="text1"/>
          <w:sz w:val="24"/>
          <w14:textFill>
            <w14:solidFill>
              <w14:schemeClr w14:val="tx1"/>
            </w14:solidFill>
          </w14:textFill>
        </w:rPr>
        <w:t>01</w:t>
      </w:r>
      <w:r>
        <w:rPr>
          <w:rFonts w:hint="eastAsia" w:ascii="宋体" w:hAnsi="宋体" w:cs="宋体"/>
          <w:color w:val="000000" w:themeColor="text1"/>
          <w:sz w:val="24"/>
          <w14:textFill>
            <w14:solidFill>
              <w14:schemeClr w14:val="tx1"/>
            </w14:solidFill>
          </w14:textFill>
        </w:rPr>
        <w:t>日至</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14:textFill>
            <w14:solidFill>
              <w14:schemeClr w14:val="tx1"/>
            </w14:solidFill>
          </w14:textFill>
        </w:rPr>
        <w:t>5年12月</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1日止。</w:t>
      </w:r>
    </w:p>
    <w:p w14:paraId="6CFBC5D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2.合同到期后本合同自动终止，乙方需在到期前一个月与甲方做好交接工作，并在合同终止后自行安置本单位职工。</w:t>
      </w:r>
    </w:p>
    <w:p w14:paraId="7AC89D7A">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十、保险及物业损失事件的处理</w:t>
      </w:r>
    </w:p>
    <w:p w14:paraId="2ED47E71">
      <w:pPr>
        <w:pStyle w:val="45"/>
        <w:ind w:firstLine="240"/>
        <w:rPr>
          <w:sz w:val="24"/>
        </w:rPr>
      </w:pPr>
      <w:r>
        <w:rPr>
          <w:rFonts w:hint="eastAsia"/>
          <w:sz w:val="24"/>
        </w:rPr>
        <w:t xml:space="preserve">  1.乙方应确保为本单位职工缴纳社会保险和办理人身意外伤害保险。</w:t>
      </w:r>
    </w:p>
    <w:p w14:paraId="43F1D5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2.因物业管理责任造成的一切损失，均由乙方向甲方承担据实赔偿的责任。</w:t>
      </w:r>
    </w:p>
    <w:p w14:paraId="5E8FBDD6">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十一、运营管理档案的建立、保管、移交</w:t>
      </w:r>
    </w:p>
    <w:p w14:paraId="171FD2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1.乙方应当建立完整的物业管理档案，全面记录有关物业的情况。档案应当包括如下内容：</w:t>
      </w:r>
    </w:p>
    <w:p w14:paraId="32696B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（1）有关物业的原始资料，包括本合同第六条所规定的应由甲方提供的资料；</w:t>
      </w:r>
    </w:p>
    <w:p w14:paraId="182E62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（2）乙方物业管理的日常记录，包括维修日志、检查记录、值班记录等；</w:t>
      </w:r>
    </w:p>
    <w:p w14:paraId="36303A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（3）装修、改造的图纸、文件；</w:t>
      </w:r>
    </w:p>
    <w:p w14:paraId="66DD40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（4）物业管理规章制度；</w:t>
      </w:r>
    </w:p>
    <w:p w14:paraId="3BCC3C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（5）其他各种与物业管理有关的文件、凭证、数据资料等。</w:t>
      </w:r>
    </w:p>
    <w:p w14:paraId="68D02B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2.乙方应对校区的所有档案资料予以严格保密。未经甲方许可，乙方不得公开这些档案资料或将这些档案资料并由第三方查询、复制或使用。</w:t>
      </w:r>
    </w:p>
    <w:p w14:paraId="2151FF7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3.档案中属于甲方的资料，乙方在物业管理期满后，应当将全套档案资料移交给甲方，乙方不得以任何理由、以任何方式对甲方的资料的予以保留。</w:t>
      </w:r>
    </w:p>
    <w:p w14:paraId="314A63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4.乙方在物业管理期满后，应将属于甲方的财物，保险单等一并移交甲方。</w:t>
      </w:r>
    </w:p>
    <w:p w14:paraId="33E7CDCF">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十二、违约责任</w:t>
      </w:r>
    </w:p>
    <w:p w14:paraId="2B4DE5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1.因甲方违反本合同的约定，使乙方未完成规定管理目标，乙方有权要求甲方在一定期限内解决。</w:t>
      </w:r>
    </w:p>
    <w:p w14:paraId="6E378C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2.乙方未能达到约定的服务目标，甲方有权要求乙方限期整改，逾期未整改的，甲方有权终止合同；造成甲方经济损失的，乙方应承担全部赔偿责任。</w:t>
      </w:r>
    </w:p>
    <w:p w14:paraId="3826DD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乙方如违反本合同约定，甲方有权要求乙方在合理期限内进行整改，并赔偿由此给甲方造成的经济损失；如乙方未在合理期限内完成整改达到约定要求的，每发生一次，承担年物业费总额千分之一的违约金；连续发生三次或每年累计发生五次的，甲方有权单方解除协议，可提前终止合同,乙方应当赔偿年物业费总额千分之五的违约金给甲方，由此给甲方造成经济损失的，乙方还应继续负责赔偿。</w:t>
      </w:r>
    </w:p>
    <w:p w14:paraId="746957B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非因法律规定或合同约定，任何一方擅自终止本合同，应当承担违约责任，如最终导致合同不能履行，违约方应当赔偿年物业费总额千分之五的违约金给守约方，由此给守约方造成经济损失的，违约方还应负责赔偿。</w:t>
      </w:r>
    </w:p>
    <w:p w14:paraId="52D98C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5.如因不可抗力事件导致一方不能履行或不能完全履行合同，按照民法典的有关规定执行。</w:t>
      </w:r>
    </w:p>
    <w:p w14:paraId="6C40CB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6.如因遇国家法律、法规、政策的规定与本合同发生冲突的，双方应协商对本合同进行相应调整，使之符合法律规定。</w:t>
      </w:r>
    </w:p>
    <w:p w14:paraId="27365BC5">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十三、合同的变更、修改和解除</w:t>
      </w:r>
    </w:p>
    <w:p w14:paraId="390A533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本合同（含附件）的任何变更和修改都应当经双方平等协商达成一致后，签订书面的变更和修改协议。任何一方不得擅自变更和修改合同。</w:t>
      </w:r>
    </w:p>
    <w:p w14:paraId="3B70F0FD">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十四、争议解决方式</w:t>
      </w:r>
    </w:p>
    <w:p w14:paraId="791480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1.凡因执行本合同或与本合同有关的一切争议，双方应当通过平等协商解决，协商不成，甲、乙双方任何一方可向甲方住所地人民法院起诉。</w:t>
      </w:r>
    </w:p>
    <w:p w14:paraId="08E0516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就本合同及本合同的履行发生争议后及在争议处理过程中，双方均不应因争议的发生而改变或终止本合同的履行：争议被最终裁决后，除因裁决而改变合同相应条款的履行外，其他内容仍应按合同继续严格履行。</w:t>
      </w:r>
    </w:p>
    <w:p w14:paraId="2E3EDB3F">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十五、附件</w:t>
      </w:r>
    </w:p>
    <w:p w14:paraId="42B811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1.本合同包括如下附件：</w:t>
      </w:r>
    </w:p>
    <w:p w14:paraId="296872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（1）物业构成细目。</w:t>
      </w:r>
    </w:p>
    <w:p w14:paraId="5B51E9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2.本合同的附件为合同不可分割的组成部分，与本合同具有同等效力。附件与本合同有冲突或不一致的，按照本合同约定执行。</w:t>
      </w:r>
    </w:p>
    <w:p w14:paraId="7735205E">
      <w:pPr>
        <w:widowControl/>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十六、其他</w:t>
      </w:r>
    </w:p>
    <w:p w14:paraId="014549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1.本合同经双方盖章并经法定代表人或授权代表人签字后生效；</w:t>
      </w:r>
    </w:p>
    <w:p w14:paraId="6BF6B39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2.本合同壹式陆份，甲、乙双方各执叁份，具有同等法律效力。</w:t>
      </w:r>
    </w:p>
    <w:p w14:paraId="328C516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3.本合同未尽事宣，由甲、乙双方协商解决。</w:t>
      </w:r>
    </w:p>
    <w:p w14:paraId="3CC0086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（以下无正文）</w:t>
      </w:r>
    </w:p>
    <w:p w14:paraId="1E421B31">
      <w:pPr>
        <w:spacing w:line="360" w:lineRule="auto"/>
        <w:rPr>
          <w:rFonts w:ascii="宋体" w:hAnsi="宋体" w:cs="宋体"/>
          <w:color w:val="000000" w:themeColor="text1"/>
          <w:sz w:val="24"/>
          <w14:textFill>
            <w14:solidFill>
              <w14:schemeClr w14:val="tx1"/>
            </w14:solidFill>
          </w14:textFill>
        </w:rPr>
      </w:pPr>
    </w:p>
    <w:p w14:paraId="05CBFB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                               乙方： </w:t>
      </w:r>
    </w:p>
    <w:p w14:paraId="200CCD1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14:paraId="37B18F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或授权代表（签字）：                  或授权代表（签字）：</w:t>
      </w:r>
    </w:p>
    <w:p w14:paraId="0306303A">
      <w:pPr>
        <w:spacing w:line="360" w:lineRule="auto"/>
        <w:rPr>
          <w:rFonts w:ascii="宋体" w:hAnsi="宋体" w:cs="宋体"/>
          <w:color w:val="000000" w:themeColor="text1"/>
          <w:sz w:val="24"/>
          <w14:textFill>
            <w14:solidFill>
              <w14:schemeClr w14:val="tx1"/>
            </w14:solidFill>
          </w14:textFill>
        </w:rPr>
      </w:pPr>
    </w:p>
    <w:p w14:paraId="162B46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联系人：</w:t>
      </w:r>
    </w:p>
    <w:p w14:paraId="215DF8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                      联系电话：</w:t>
      </w:r>
    </w:p>
    <w:p w14:paraId="603C63EC">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签署日期：   年  月   日             签署日期：   年  月   日</w:t>
      </w:r>
    </w:p>
    <w:p w14:paraId="028F2DBE">
      <w:pPr>
        <w:rPr>
          <w:rFonts w:ascii="宋体" w:hAnsi="宋体"/>
          <w:sz w:val="24"/>
        </w:rPr>
      </w:pPr>
    </w:p>
    <w:p w14:paraId="235D152C"/>
    <w:p w14:paraId="7F4B43D8"/>
    <w:p w14:paraId="69862A83"/>
    <w:p w14:paraId="6DBA8A14">
      <w:pPr>
        <w:pStyle w:val="46"/>
        <w:rPr>
          <w:rFonts w:hint="eastAsia" w:ascii="仿宋_GB2312" w:hAnsi="Calibri" w:eastAsia="仿宋_GB2312" w:cs="Times New Roman"/>
          <w:sz w:val="28"/>
          <w:szCs w:val="28"/>
        </w:rPr>
      </w:pPr>
    </w:p>
    <w:p w14:paraId="34C02F00">
      <w:pPr>
        <w:pStyle w:val="46"/>
        <w:ind w:left="0" w:lef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物业安全协议</w:t>
      </w:r>
    </w:p>
    <w:p w14:paraId="1483B296">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甲方：北京市射击运动技术学校</w:t>
      </w:r>
    </w:p>
    <w:p w14:paraId="0C95EE64">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乙方： </w:t>
      </w:r>
    </w:p>
    <w:p w14:paraId="433E3762">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服务区域范围：北京市怀柔区府前西街甲3号射击学校院内</w:t>
      </w:r>
    </w:p>
    <w:p w14:paraId="4A279F96">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为确保甲.乙双方在外派人员安全管理中的责任和义务，确保工作安全，制定本协议，内容如下：</w:t>
      </w:r>
    </w:p>
    <w:p w14:paraId="42B02D26">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一.双方责任</w:t>
      </w:r>
    </w:p>
    <w:p w14:paraId="04BF8F9E">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1、甲方单位责任：</w:t>
      </w:r>
    </w:p>
    <w:p w14:paraId="77C52972">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（1）提供安全的工作环境和必要的安全设施。</w:t>
      </w:r>
    </w:p>
    <w:p w14:paraId="67AC86DE">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进行安全告知，告知外派人员工作场所的危险因素和注意事项。（3）监督检查乙方执行有关安全生产方面的法律法规及本单位规章制度，对乙方不安全行为进行制止、纠正，并有权要求其停止作业整改、进行违约考核，直至清退。</w:t>
      </w:r>
    </w:p>
    <w:p w14:paraId="0908B4E7">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2.乙方单位责任：</w:t>
      </w:r>
    </w:p>
    <w:p w14:paraId="09BCFDFC">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（1）具有满足作业要求的资质，确保外派人员具备相应的资质和技能。</w:t>
      </w:r>
    </w:p>
    <w:p w14:paraId="14EA5C69">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（2）为现场人员提供必要的安全培训，提供培训记录。</w:t>
      </w:r>
    </w:p>
    <w:p w14:paraId="110AE509">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（3）按照国家相关要求对工作范围内进行安全管理。</w:t>
      </w:r>
    </w:p>
    <w:p w14:paraId="520DB53A">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（4）为外派人员购买保险。</w:t>
      </w:r>
    </w:p>
    <w:p w14:paraId="040331C1">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乙方用于承包项目所需的仪器设备、电动工器具、安全(防护)用具等数量和质量必须满足工作需要，并经有资质的检验单位检验合格，并按照附件要求填写后报甲方备案;乙方对因使用仪器设备、工器具等原因所造成的人员伤害及设备损坏承担违约责任及赔偿责任。</w:t>
      </w:r>
    </w:p>
    <w:p w14:paraId="660137E7">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（6）乙方按国家有关规定，为投入本项目的所有工作人员配备符合国家标准或行业标准的劳动防护用品和安全用具，并监督、教育员工按照使用规则佩戴、使用。</w:t>
      </w:r>
    </w:p>
    <w:p w14:paraId="3CB8D607">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（7）乙方作业过程发生的乙方员工工伤事故均由乙方负责，与甲方无关，且不得因处理事故影响我校正常工作秩序。</w:t>
      </w:r>
    </w:p>
    <w:p w14:paraId="5DCE7B19">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（8）乙方作业过程发生的因乙方原因造成的第三方损害由乙方负责，且不得因处理事故影响我校正常工作秩序。</w:t>
      </w:r>
    </w:p>
    <w:p w14:paraId="0172A44F">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（9）乙方作业过程发生的因乙方原因造成的甲方人员、财产损害由乙方负责，且不得因处理事故影响我校正常工作秩序。</w:t>
      </w:r>
    </w:p>
    <w:p w14:paraId="409C421F">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（10）乙方作业过程的一切行为应满足国家对安全的要求，因乙方违反相关规定造成甲方遭受的一切处罚由乙方承担责任。</w:t>
      </w:r>
    </w:p>
    <w:p w14:paraId="21ED0D3C">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（11）涉及危险性较大的施工作业，包括但不限于动火、吊装、有限空间作业等，应提起向甲方报备，获得甲方批准方可动工，需要报请主管部门批准的，应提起报批。甲方有权派人监督。</w:t>
      </w:r>
    </w:p>
    <w:p w14:paraId="542EC13B">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（12）发生事故时，第一时间报告甲方，双方共同分析原因，采取应急措施。</w:t>
      </w:r>
    </w:p>
    <w:p w14:paraId="159F482F">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（13）乙方违反上述责任要求的，将承担一切责任。</w:t>
      </w:r>
    </w:p>
    <w:p w14:paraId="49A41E55">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p>
    <w:p w14:paraId="7644F9B2">
      <w:pPr>
        <w:pStyle w:val="4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甲方：（盖章）                     乙方（盖章）</w:t>
      </w:r>
    </w:p>
    <w:p w14:paraId="43AF5084">
      <w:pPr>
        <w:pStyle w:val="46"/>
        <w:ind w:left="0" w:leftChars="0" w:firstLine="0" w:firstLineChars="0"/>
        <w:rPr>
          <w:rFonts w:hint="eastAsia" w:ascii="仿宋_GB2312" w:hAnsi="Calibri" w:eastAsia="仿宋_GB2312" w:cs="Times New Roman"/>
          <w:sz w:val="28"/>
          <w:szCs w:val="28"/>
        </w:rPr>
      </w:pPr>
      <w:r>
        <w:rPr>
          <w:rFonts w:hint="eastAsia" w:ascii="宋体" w:hAnsi="宋体" w:eastAsia="宋体" w:cs="宋体"/>
          <w:sz w:val="24"/>
          <w:szCs w:val="24"/>
        </w:rPr>
        <w:t xml:space="preserve">   年    月    日                   年     月     日</w:t>
      </w:r>
    </w:p>
    <w:p w14:paraId="3AE44918">
      <w:pPr>
        <w:pStyle w:val="46"/>
        <w:ind w:left="0" w:leftChars="0" w:firstLine="0" w:firstLineChars="0"/>
        <w:rPr>
          <w:rFonts w:hint="eastAsia" w:ascii="仿宋_GB2312" w:hAnsi="Calibri" w:eastAsia="仿宋_GB2312" w:cs="Times New Roman"/>
          <w:sz w:val="28"/>
          <w:szCs w:val="28"/>
        </w:rPr>
      </w:pPr>
    </w:p>
    <w:p w14:paraId="2D7F85C6">
      <w:pPr>
        <w:pStyle w:val="46"/>
        <w:rPr>
          <w:rFonts w:hint="eastAsia" w:ascii="仿宋_GB2312" w:hAnsi="Calibri" w:eastAsia="仿宋_GB2312" w:cs="Times New Roman"/>
          <w:sz w:val="28"/>
          <w:szCs w:val="28"/>
        </w:rPr>
      </w:pPr>
    </w:p>
    <w:p w14:paraId="70F560EF">
      <w:pPr>
        <w:pStyle w:val="46"/>
        <w:rPr>
          <w:rFonts w:hint="eastAsia" w:ascii="仿宋_GB2312" w:hAnsi="Calibri" w:eastAsia="仿宋_GB2312" w:cs="Times New Roman"/>
          <w:sz w:val="28"/>
          <w:szCs w:val="28"/>
        </w:rPr>
      </w:pPr>
    </w:p>
    <w:p w14:paraId="4332E3D6">
      <w:pPr>
        <w:pStyle w:val="46"/>
        <w:rPr>
          <w:rFonts w:hint="eastAsia" w:ascii="仿宋_GB2312" w:hAnsi="Calibri" w:eastAsia="仿宋_GB2312" w:cs="Times New Roman"/>
          <w:sz w:val="28"/>
          <w:szCs w:val="28"/>
        </w:rPr>
      </w:pPr>
    </w:p>
    <w:p w14:paraId="455C2ECF">
      <w:pPr>
        <w:pStyle w:val="46"/>
        <w:rPr>
          <w:rFonts w:hint="eastAsia" w:ascii="仿宋_GB2312" w:hAnsi="Calibri" w:eastAsia="仿宋_GB2312" w:cs="Times New Roman"/>
          <w:sz w:val="28"/>
          <w:szCs w:val="28"/>
        </w:rPr>
      </w:pPr>
    </w:p>
    <w:p w14:paraId="3695D641">
      <w:pPr>
        <w:pStyle w:val="46"/>
        <w:rPr>
          <w:rFonts w:hint="eastAsia" w:ascii="仿宋_GB2312" w:hAnsi="Calibri" w:eastAsia="仿宋_GB2312" w:cs="Times New Roman"/>
          <w:sz w:val="28"/>
          <w:szCs w:val="28"/>
        </w:rPr>
      </w:pPr>
    </w:p>
    <w:p w14:paraId="16FD8987">
      <w:pPr>
        <w:pStyle w:val="46"/>
        <w:rPr>
          <w:rFonts w:hint="eastAsia" w:ascii="仿宋_GB2312" w:hAnsi="Calibri" w:eastAsia="仿宋_GB2312" w:cs="Times New Roman"/>
          <w:sz w:val="28"/>
          <w:szCs w:val="28"/>
        </w:rPr>
      </w:pPr>
    </w:p>
    <w:p w14:paraId="26B2C05D">
      <w:pPr>
        <w:pStyle w:val="46"/>
        <w:rPr>
          <w:rFonts w:hint="eastAsia" w:ascii="仿宋_GB2312" w:hAnsi="Calibri" w:eastAsia="仿宋_GB2312" w:cs="Times New Roman"/>
          <w:sz w:val="28"/>
          <w:szCs w:val="28"/>
        </w:rPr>
      </w:pPr>
    </w:p>
    <w:p w14:paraId="1A260191">
      <w:pPr>
        <w:pStyle w:val="46"/>
        <w:rPr>
          <w:rFonts w:hint="eastAsia" w:ascii="仿宋_GB2312" w:hAnsi="Calibri" w:eastAsia="仿宋_GB2312" w:cs="Times New Roman"/>
          <w:sz w:val="28"/>
          <w:szCs w:val="28"/>
        </w:rPr>
      </w:pPr>
    </w:p>
    <w:p w14:paraId="4E50DE31">
      <w:pPr>
        <w:pStyle w:val="46"/>
        <w:rPr>
          <w:rFonts w:hint="eastAsia" w:ascii="仿宋_GB2312" w:hAnsi="Calibri" w:eastAsia="仿宋_GB2312" w:cs="Times New Roman"/>
          <w:sz w:val="28"/>
          <w:szCs w:val="28"/>
        </w:rPr>
      </w:pPr>
    </w:p>
    <w:p w14:paraId="5A5071DD">
      <w:pPr>
        <w:pStyle w:val="46"/>
        <w:rPr>
          <w:rFonts w:hint="eastAsia" w:ascii="仿宋_GB2312" w:hAnsi="Calibri" w:eastAsia="仿宋_GB2312" w:cs="Times New Roman"/>
          <w:sz w:val="28"/>
          <w:szCs w:val="28"/>
        </w:rPr>
      </w:pPr>
    </w:p>
    <w:p w14:paraId="14BCDA09">
      <w:pPr>
        <w:jc w:val="center"/>
        <w:rPr>
          <w:rFonts w:hAnsi="MS Mincho" w:cs="MS Mincho" w:asciiTheme="minorEastAsia"/>
          <w:b/>
          <w:sz w:val="44"/>
          <w:szCs w:val="44"/>
        </w:rPr>
      </w:pPr>
      <w:r>
        <w:rPr>
          <w:rFonts w:hint="cs"/>
          <w:sz w:val="28"/>
          <w:szCs w:val="28"/>
        </w:rPr>
        <w:t>‌</w:t>
      </w:r>
      <w:r>
        <w:rPr>
          <w:rFonts w:hint="eastAsia" w:asciiTheme="minorEastAsia" w:hAnsiTheme="minorEastAsia"/>
          <w:b/>
          <w:sz w:val="48"/>
          <w:szCs w:val="48"/>
        </w:rPr>
        <w:t>有限空间作业安全协议</w:t>
      </w:r>
      <w:r>
        <w:rPr>
          <w:rFonts w:hint="eastAsia" w:hAnsi="MS Mincho" w:eastAsia="MS Mincho" w:cs="MS Mincho" w:asciiTheme="minorEastAsia"/>
          <w:b/>
          <w:sz w:val="48"/>
          <w:szCs w:val="48"/>
        </w:rPr>
        <w:t>‌</w:t>
      </w:r>
    </w:p>
    <w:p w14:paraId="41E616FC">
      <w:pPr>
        <w:jc w:val="center"/>
        <w:rPr>
          <w:rFonts w:asciiTheme="minorEastAsia" w:hAnsiTheme="minorEastAsia"/>
          <w:sz w:val="28"/>
          <w:szCs w:val="28"/>
        </w:rPr>
      </w:pPr>
    </w:p>
    <w:p w14:paraId="3A0955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‌一、总则‌</w:t>
      </w:r>
    </w:p>
    <w:p w14:paraId="7EBA78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‌为规范有限空间作业安全管理，预防中毒、窒息、爆炸、坍塌等事故，保障作业人员生命安全。</w:t>
      </w:r>
    </w:p>
    <w:p w14:paraId="4DE0DE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‌本协议适用于所有涉及有限空间（如储罐、管道、地下井、密闭车间等）的作业活动。</w:t>
      </w:r>
    </w:p>
    <w:p w14:paraId="557695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‌有限空间指封闭/半封闭、进出口受限、通风不良、可能存在危险气体或缺氧环境的作业场所。</w:t>
      </w:r>
    </w:p>
    <w:p w14:paraId="7F450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‌二、责任划分‌</w:t>
      </w:r>
    </w:p>
    <w:p w14:paraId="1291CA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‌1.甲方责任‌</w:t>
      </w:r>
    </w:p>
    <w:p w14:paraId="4146A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（1）提供有限空间类型、内部设施及外部环境的基本信息。</w:t>
      </w:r>
    </w:p>
    <w:p w14:paraId="54708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（2）提供相应的作业环境。</w:t>
      </w:r>
    </w:p>
    <w:p w14:paraId="4BB72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（3）审批作业许可证，监督安全措施落实。</w:t>
      </w:r>
    </w:p>
    <w:p w14:paraId="453A0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（4）对现场作业情况进行监督</w:t>
      </w:r>
    </w:p>
    <w:p w14:paraId="7E230C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‌2.作业负责人责任‌</w:t>
      </w:r>
    </w:p>
    <w:p w14:paraId="2D8D9C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（1）配备检测仪器、通风设备、救援装备等。</w:t>
      </w:r>
    </w:p>
    <w:p w14:paraId="06E427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（2）组织作业人员安全培训并考核。</w:t>
      </w:r>
    </w:p>
    <w:p w14:paraId="71AB9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（3）制定作业方案，进行风险评估，明确安全措施。</w:t>
      </w:r>
    </w:p>
    <w:p w14:paraId="7F74D6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（4）现场指挥，确保作业人员持证上岗。</w:t>
      </w:r>
    </w:p>
    <w:p w14:paraId="1A42A6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‌3.监护人员责任‌</w:t>
      </w:r>
    </w:p>
    <w:p w14:paraId="6FF6B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全程监护，实时监测作业环境（氧气、可燃气体、有毒气体浓</w:t>
      </w:r>
    </w:p>
    <w:p w14:paraId="3B0C28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度）。</w:t>
      </w:r>
    </w:p>
    <w:p w14:paraId="12F4A0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发现异常立即终止作业，启动应急预案。</w:t>
      </w:r>
    </w:p>
    <w:p w14:paraId="47BFC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‌4.作业人员责任‌</w:t>
      </w:r>
    </w:p>
    <w:p w14:paraId="4B4A02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（1）接受培训，熟悉应急预案，正确使用防护装备。</w:t>
      </w:r>
    </w:p>
    <w:p w14:paraId="36FA3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（2）严禁违规操作，发现危险立即撤离并报告。</w:t>
      </w:r>
    </w:p>
    <w:p w14:paraId="2119F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‌三、安全措施‌</w:t>
      </w:r>
    </w:p>
    <w:p w14:paraId="137369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‌1.作业审批‌</w:t>
      </w:r>
    </w:p>
    <w:p w14:paraId="5BB981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（1）实施作业许可制度，未经审批严禁作业。</w:t>
      </w:r>
    </w:p>
    <w:p w14:paraId="6F479A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（2）许可证需明确作业内容、时间、人员、风险控制措施。</w:t>
      </w:r>
    </w:p>
    <w:p w14:paraId="0CB6F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‌2.风险评估‌</w:t>
      </w:r>
    </w:p>
    <w:p w14:paraId="3A9961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（1）识别潜在危险（如气体危害、机械伤害、高温/触电风险）。</w:t>
      </w:r>
    </w:p>
    <w:p w14:paraId="7632B5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（2）制定针对性控制方案（通风、隔离、上锁挂牌等）。</w:t>
      </w:r>
    </w:p>
    <w:p w14:paraId="74983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‌3.安全准备‌</w:t>
      </w:r>
    </w:p>
    <w:p w14:paraId="25C5A2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（1）作业前30分钟起持续检测气体浓度（氧气19.5%-23.5%，可燃  </w:t>
      </w:r>
    </w:p>
    <w:p w14:paraId="468D2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气体＜10%爆炸下限，有毒气体符合国标）。</w:t>
      </w:r>
    </w:p>
    <w:p w14:paraId="6924BD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（2）强制通风，禁止纯氧通风。</w:t>
      </w:r>
    </w:p>
    <w:p w14:paraId="6FF6AD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（3）切断动力设备电源并上锁挂牌，隔离物料管道。</w:t>
      </w:r>
    </w:p>
    <w:p w14:paraId="529E4A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‌4.人员防护‌</w:t>
      </w:r>
    </w:p>
    <w:p w14:paraId="54271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（1）穿戴防毒面具、安全绳、呼吸器等防护装备。</w:t>
      </w:r>
    </w:p>
    <w:p w14:paraId="5A5E44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（2）使用防爆工具和低压照明设备（电压≤24V）。</w:t>
      </w:r>
    </w:p>
    <w:p w14:paraId="5A260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‌5.现场管理‌</w:t>
      </w:r>
    </w:p>
    <w:p w14:paraId="5B3F26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（1）设置安全警示标识，进出口无障碍。</w:t>
      </w:r>
    </w:p>
    <w:p w14:paraId="32C55A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（2）监护人员与作业人员保持有效联络（每10分钟通话确认）。</w:t>
      </w:r>
    </w:p>
    <w:p w14:paraId="270905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（3）作业结束后清点人员、工具，关闭有限空间入口。</w:t>
      </w:r>
    </w:p>
    <w:p w14:paraId="72BA0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‌四、应急处置‌</w:t>
      </w:r>
    </w:p>
    <w:p w14:paraId="60C49F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‌1.应急预案‌</w:t>
      </w:r>
    </w:p>
    <w:p w14:paraId="21FE2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（1）制定专项预案，明确救援流程、职责分工、逃生路线。</w:t>
      </w:r>
    </w:p>
    <w:p w14:paraId="552E67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‌2.救援要求‌</w:t>
      </w:r>
    </w:p>
    <w:p w14:paraId="397A33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（1）救援人员必须佩戴正压式呼吸器、安全绳等装备。</w:t>
      </w:r>
    </w:p>
    <w:p w14:paraId="214A0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‌（2）禁止无防护盲目施救‌，防止伤亡扩大。</w:t>
      </w:r>
    </w:p>
    <w:p w14:paraId="5D2FAD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‌3.事故报告‌</w:t>
      </w:r>
    </w:p>
    <w:p w14:paraId="37252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（1）发生事故立即上报，保护现场，配合调查。</w:t>
      </w:r>
    </w:p>
    <w:p w14:paraId="3B488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‌五、监督与处罚‌</w:t>
      </w:r>
    </w:p>
    <w:p w14:paraId="213E8E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（1）行政科定期检查协议执行情况。</w:t>
      </w:r>
    </w:p>
    <w:p w14:paraId="1C2D54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（2）违规行为按制度处罚，造成事故的依法追责。</w:t>
      </w:r>
    </w:p>
    <w:p w14:paraId="617B50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‌六.附则‌</w:t>
      </w:r>
    </w:p>
    <w:p w14:paraId="2E7F6A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乙方作业人员必须在甲方制定区域内工作，不经许可严禁扩大作业范围和转移地点。</w:t>
      </w:r>
    </w:p>
    <w:p w14:paraId="04426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乙方在作业过程中造成自身、他人人身损害及一切财产损失，由乙方承担完全责任，造成设备损坏的应承担赔偿责任。</w:t>
      </w:r>
    </w:p>
    <w:p w14:paraId="0DC5E9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本协议自签订之日起生效。 </w:t>
      </w:r>
    </w:p>
    <w:p w14:paraId="52FD9D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未尽事宜参照《中华人民共和国安全生产法》《有限空间作业安全管理规定》等法规执行。</w:t>
      </w:r>
    </w:p>
    <w:p w14:paraId="04CCBD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‌甲方（企业）盖章：‌____________________</w:t>
      </w:r>
    </w:p>
    <w:p w14:paraId="57626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‌乙方（作业单位/人员）盖章：‌____________________</w:t>
      </w:r>
    </w:p>
    <w:p w14:paraId="2318FB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‌签订日期：‌______年______月______日</w:t>
      </w:r>
    </w:p>
    <w:p w14:paraId="4F2BF8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‌提示‌：</w:t>
      </w:r>
    </w:p>
    <w:p w14:paraId="644C42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作业前必须进行气体检测，数据记录存档。</w:t>
      </w:r>
    </w:p>
    <w:p w14:paraId="4BDE0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复杂环境作业建议委托专业机构实施。</w:t>
      </w:r>
    </w:p>
    <w:p w14:paraId="3A65B7CB">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8"/>
          <w:szCs w:val="28"/>
        </w:rPr>
      </w:pPr>
      <w:r>
        <w:rPr>
          <w:rFonts w:hint="eastAsia" w:ascii="宋体" w:hAnsi="宋体" w:eastAsia="宋体" w:cs="宋体"/>
          <w:sz w:val="24"/>
          <w:szCs w:val="24"/>
        </w:rPr>
        <w:t>本协议需与作业许可证、安全技术交底等文件配合使用。</w:t>
      </w:r>
    </w:p>
    <w:p w14:paraId="0B1C4C61">
      <w:pPr>
        <w:pStyle w:val="46"/>
        <w:rPr>
          <w:rFonts w:hint="eastAsia" w:ascii="仿宋_GB2312" w:hAnsi="Calibri" w:eastAsia="仿宋_GB2312" w:cs="Times New Roman"/>
          <w:sz w:val="28"/>
          <w:szCs w:val="28"/>
        </w:rPr>
      </w:pPr>
    </w:p>
    <w:p w14:paraId="065D703B">
      <w:pPr>
        <w:pStyle w:val="46"/>
        <w:rPr>
          <w:rFonts w:hint="eastAsia" w:ascii="仿宋_GB2312" w:hAnsi="Calibri" w:eastAsia="仿宋_GB2312" w:cs="Times New Roman"/>
          <w:sz w:val="28"/>
          <w:szCs w:val="28"/>
        </w:rPr>
      </w:pPr>
    </w:p>
    <w:p w14:paraId="3965C56D">
      <w:pPr>
        <w:pStyle w:val="46"/>
        <w:rPr>
          <w:rFonts w:hint="eastAsia" w:ascii="仿宋_GB2312" w:hAnsi="Calibri" w:eastAsia="仿宋_GB2312" w:cs="Times New Roman"/>
          <w:sz w:val="28"/>
          <w:szCs w:val="28"/>
        </w:rPr>
      </w:pPr>
    </w:p>
    <w:p w14:paraId="450CA90C">
      <w:pPr>
        <w:pStyle w:val="46"/>
        <w:rPr>
          <w:rFonts w:hint="eastAsia" w:ascii="仿宋_GB2312" w:hAnsi="Calibri" w:eastAsia="仿宋_GB2312" w:cs="Times New Roman"/>
          <w:sz w:val="28"/>
          <w:szCs w:val="28"/>
        </w:rPr>
      </w:pPr>
    </w:p>
    <w:p w14:paraId="5E308286">
      <w:pPr>
        <w:pStyle w:val="46"/>
        <w:rPr>
          <w:rFonts w:hint="eastAsia" w:ascii="仿宋_GB2312" w:hAnsi="Calibri" w:eastAsia="仿宋_GB2312" w:cs="Times New Roman"/>
          <w:sz w:val="28"/>
          <w:szCs w:val="28"/>
        </w:rPr>
      </w:pPr>
    </w:p>
    <w:p w14:paraId="3036A74F">
      <w:pPr>
        <w:pStyle w:val="46"/>
        <w:rPr>
          <w:rFonts w:hint="eastAsia" w:ascii="仿宋_GB2312" w:hAnsi="Calibri" w:eastAsia="仿宋_GB2312" w:cs="Times New Roman"/>
          <w:sz w:val="28"/>
          <w:szCs w:val="28"/>
        </w:rPr>
      </w:pPr>
    </w:p>
    <w:p w14:paraId="0B61F41A">
      <w:pPr>
        <w:pStyle w:val="46"/>
        <w:rPr>
          <w:rFonts w:hint="eastAsia" w:ascii="仿宋_GB2312" w:hAnsi="Calibri" w:eastAsia="仿宋_GB2312" w:cs="Times New Roman"/>
          <w:sz w:val="28"/>
          <w:szCs w:val="28"/>
        </w:rPr>
      </w:pPr>
    </w:p>
    <w:p w14:paraId="14040EA3">
      <w:pPr>
        <w:pStyle w:val="46"/>
        <w:rPr>
          <w:rFonts w:hint="eastAsia" w:ascii="仿宋_GB2312" w:hAnsi="Calibri" w:eastAsia="仿宋_GB2312" w:cs="Times New Roman"/>
          <w:sz w:val="28"/>
          <w:szCs w:val="28"/>
        </w:rPr>
      </w:pPr>
    </w:p>
    <w:p w14:paraId="23761B0B">
      <w:pPr>
        <w:pStyle w:val="46"/>
        <w:rPr>
          <w:rFonts w:hint="eastAsia" w:ascii="仿宋_GB2312" w:hAnsi="Calibri" w:eastAsia="仿宋_GB2312" w:cs="Times New Roman"/>
          <w:sz w:val="28"/>
          <w:szCs w:val="28"/>
        </w:rPr>
      </w:pPr>
    </w:p>
    <w:p w14:paraId="6697DE7B">
      <w:pPr>
        <w:pStyle w:val="46"/>
        <w:rPr>
          <w:rFonts w:hint="eastAsia" w:ascii="仿宋_GB2312" w:hAnsi="Calibri" w:eastAsia="仿宋_GB2312" w:cs="Times New Roman"/>
          <w:sz w:val="28"/>
          <w:szCs w:val="28"/>
        </w:rPr>
      </w:pPr>
    </w:p>
    <w:p w14:paraId="1D558DBF">
      <w:pPr>
        <w:pStyle w:val="46"/>
        <w:rPr>
          <w:rFonts w:hint="eastAsia" w:ascii="仿宋_GB2312" w:hAnsi="Calibri" w:eastAsia="仿宋_GB2312" w:cs="Times New Roman"/>
          <w:sz w:val="28"/>
          <w:szCs w:val="28"/>
        </w:rPr>
      </w:pPr>
    </w:p>
    <w:p w14:paraId="523811DA">
      <w:pPr>
        <w:pStyle w:val="46"/>
        <w:rPr>
          <w:rFonts w:hint="eastAsia" w:ascii="仿宋_GB2312" w:hAnsi="Calibri" w:eastAsia="仿宋_GB2312" w:cs="Times New Roman"/>
          <w:sz w:val="28"/>
          <w:szCs w:val="28"/>
        </w:rPr>
      </w:pPr>
    </w:p>
    <w:p w14:paraId="7FB89B20">
      <w:pPr>
        <w:pStyle w:val="46"/>
        <w:rPr>
          <w:rFonts w:hint="eastAsia" w:ascii="仿宋_GB2312" w:hAnsi="Calibri" w:eastAsia="仿宋_GB2312" w:cs="Times New Roman"/>
          <w:sz w:val="28"/>
          <w:szCs w:val="28"/>
        </w:rPr>
      </w:pPr>
    </w:p>
    <w:p w14:paraId="755BEC10">
      <w:pPr>
        <w:pStyle w:val="46"/>
        <w:rPr>
          <w:rFonts w:hint="eastAsia" w:ascii="仿宋_GB2312" w:hAnsi="Calibri" w:eastAsia="仿宋_GB2312" w:cs="Times New Roman"/>
          <w:sz w:val="28"/>
          <w:szCs w:val="28"/>
        </w:rPr>
      </w:pPr>
    </w:p>
    <w:p w14:paraId="5B187BF4">
      <w:pPr>
        <w:pStyle w:val="46"/>
        <w:rPr>
          <w:rFonts w:hint="eastAsia" w:ascii="仿宋_GB2312" w:hAnsi="Calibri" w:eastAsia="仿宋_GB2312" w:cs="Times New Roman"/>
          <w:sz w:val="28"/>
          <w:szCs w:val="28"/>
        </w:rPr>
      </w:pPr>
    </w:p>
    <w:p w14:paraId="2A90D50B">
      <w:pPr>
        <w:pStyle w:val="46"/>
        <w:rPr>
          <w:rFonts w:hint="eastAsia" w:ascii="仿宋_GB2312" w:hAnsi="Calibri" w:eastAsia="仿宋_GB2312" w:cs="Times New Roman"/>
          <w:sz w:val="28"/>
          <w:szCs w:val="28"/>
        </w:rPr>
      </w:pPr>
    </w:p>
    <w:p w14:paraId="5042AEE0">
      <w:pPr>
        <w:pStyle w:val="46"/>
        <w:rPr>
          <w:rFonts w:hint="eastAsia" w:ascii="仿宋_GB2312" w:hAnsi="Calibri" w:eastAsia="仿宋_GB2312" w:cs="Times New Roman"/>
          <w:sz w:val="28"/>
          <w:szCs w:val="28"/>
        </w:rPr>
      </w:pPr>
    </w:p>
    <w:p w14:paraId="5C5AD48E">
      <w:pPr>
        <w:pStyle w:val="46"/>
        <w:rPr>
          <w:rFonts w:hint="eastAsia" w:ascii="仿宋_GB2312" w:hAnsi="Calibri" w:eastAsia="仿宋_GB2312" w:cs="Times New Roman"/>
          <w:sz w:val="28"/>
          <w:szCs w:val="28"/>
        </w:rPr>
      </w:pPr>
    </w:p>
    <w:p w14:paraId="27E3E395">
      <w:pPr>
        <w:pageBreakBefore w:val="0"/>
        <w:wordWrap/>
        <w:topLinePunct w:val="0"/>
        <w:bidi w:val="0"/>
        <w:spacing w:line="360" w:lineRule="auto"/>
        <w:jc w:val="both"/>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七</w:t>
      </w:r>
      <w:r>
        <w:rPr>
          <w:rFonts w:hint="eastAsia" w:ascii="宋体" w:hAnsi="宋体" w:eastAsia="宋体" w:cs="宋体"/>
          <w:b/>
          <w:color w:val="auto"/>
          <w:sz w:val="36"/>
          <w:szCs w:val="36"/>
          <w:highlight w:val="none"/>
        </w:rPr>
        <w:t>章   投标文件格式</w:t>
      </w:r>
      <w:bookmarkEnd w:id="808"/>
    </w:p>
    <w:p w14:paraId="79C94953">
      <w:pPr>
        <w:pageBreakBefore w:val="0"/>
        <w:tabs>
          <w:tab w:val="left" w:pos="900"/>
          <w:tab w:val="left" w:pos="1980"/>
        </w:tabs>
        <w:wordWrap/>
        <w:topLinePunct w:val="0"/>
        <w:bidi w:val="0"/>
        <w:snapToGrid w:val="0"/>
        <w:spacing w:line="360" w:lineRule="auto"/>
        <w:ind w:left="142"/>
        <w:rPr>
          <w:rFonts w:hint="eastAsia" w:ascii="宋体" w:hAnsi="宋体" w:eastAsia="宋体" w:cs="宋体"/>
          <w:b/>
          <w:color w:val="auto"/>
          <w:sz w:val="24"/>
          <w:highlight w:val="none"/>
        </w:rPr>
      </w:pPr>
    </w:p>
    <w:p w14:paraId="3E96B096">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投标人编制文件须知</w:t>
      </w:r>
    </w:p>
    <w:p w14:paraId="038A7270">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1 、全部声明和问题的回答及所附材料必须是真实的、准确的和完整的。</w:t>
      </w:r>
    </w:p>
    <w:p w14:paraId="25CFA1FB">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p>
    <w:p w14:paraId="3049654A">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5352A250">
      <w:pPr>
        <w:pageBreakBefore w:val="0"/>
        <w:wordWrap/>
        <w:topLinePunct w:val="0"/>
        <w:bidi w:val="0"/>
        <w:spacing w:line="360" w:lineRule="auto"/>
        <w:rPr>
          <w:rFonts w:hint="eastAsia" w:ascii="宋体" w:hAnsi="宋体" w:eastAsia="宋体" w:cs="宋体"/>
          <w:b/>
          <w:color w:val="auto"/>
          <w:spacing w:val="20"/>
          <w:szCs w:val="21"/>
          <w:highlight w:val="none"/>
        </w:rPr>
      </w:pPr>
    </w:p>
    <w:p w14:paraId="2FFEA316">
      <w:pPr>
        <w:pStyle w:val="17"/>
        <w:spacing w:before="307" w:line="200" w:lineRule="auto"/>
        <w:ind w:left="6"/>
        <w:outlineLvl w:val="1"/>
        <w:rPr>
          <w:sz w:val="24"/>
          <w:szCs w:val="24"/>
        </w:rPr>
      </w:pPr>
      <w:r>
        <w:rPr>
          <w:b/>
          <w:bCs/>
          <w:spacing w:val="24"/>
          <w:sz w:val="24"/>
          <w:szCs w:val="24"/>
        </w:rPr>
        <w:t>一 、</w:t>
      </w:r>
      <w:r>
        <w:rPr>
          <w:b/>
          <w:bCs/>
          <w:spacing w:val="-38"/>
          <w:sz w:val="24"/>
          <w:szCs w:val="24"/>
        </w:rPr>
        <w:t xml:space="preserve"> </w:t>
      </w:r>
      <w:r>
        <w:rPr>
          <w:b/>
          <w:bCs/>
          <w:spacing w:val="24"/>
          <w:sz w:val="24"/>
          <w:szCs w:val="24"/>
        </w:rPr>
        <w:t>资格证明文件格式</w:t>
      </w:r>
    </w:p>
    <w:p w14:paraId="1D142E7F">
      <w:pPr>
        <w:pStyle w:val="17"/>
        <w:spacing w:before="336" w:line="196" w:lineRule="auto"/>
        <w:ind w:left="6"/>
        <w:rPr>
          <w:sz w:val="24"/>
          <w:szCs w:val="24"/>
        </w:rPr>
      </w:pPr>
      <w:r>
        <w:rPr>
          <w:b/>
          <w:bCs/>
          <w:spacing w:val="-6"/>
          <w:sz w:val="24"/>
          <w:szCs w:val="24"/>
        </w:rPr>
        <w:t>投</w:t>
      </w:r>
      <w:r>
        <w:rPr>
          <w:b/>
          <w:bCs/>
          <w:spacing w:val="-11"/>
          <w:sz w:val="24"/>
          <w:szCs w:val="24"/>
        </w:rPr>
        <w:t xml:space="preserve"> </w:t>
      </w:r>
      <w:r>
        <w:rPr>
          <w:b/>
          <w:bCs/>
          <w:spacing w:val="-6"/>
          <w:sz w:val="24"/>
          <w:szCs w:val="24"/>
        </w:rPr>
        <w:t>标</w:t>
      </w:r>
      <w:r>
        <w:rPr>
          <w:b/>
          <w:bCs/>
          <w:spacing w:val="-23"/>
          <w:sz w:val="24"/>
          <w:szCs w:val="24"/>
        </w:rPr>
        <w:t xml:space="preserve"> </w:t>
      </w:r>
      <w:r>
        <w:rPr>
          <w:b/>
          <w:bCs/>
          <w:spacing w:val="-6"/>
          <w:sz w:val="24"/>
          <w:szCs w:val="24"/>
        </w:rPr>
        <w:t>文</w:t>
      </w:r>
      <w:r>
        <w:rPr>
          <w:b/>
          <w:bCs/>
          <w:spacing w:val="-26"/>
          <w:sz w:val="24"/>
          <w:szCs w:val="24"/>
        </w:rPr>
        <w:t xml:space="preserve"> </w:t>
      </w:r>
      <w:r>
        <w:rPr>
          <w:b/>
          <w:bCs/>
          <w:spacing w:val="-6"/>
          <w:sz w:val="24"/>
          <w:szCs w:val="24"/>
        </w:rPr>
        <w:t>件（资</w:t>
      </w:r>
      <w:r>
        <w:rPr>
          <w:b/>
          <w:bCs/>
          <w:spacing w:val="-26"/>
          <w:sz w:val="24"/>
          <w:szCs w:val="24"/>
        </w:rPr>
        <w:t xml:space="preserve"> </w:t>
      </w:r>
      <w:r>
        <w:rPr>
          <w:b/>
          <w:bCs/>
          <w:spacing w:val="-6"/>
          <w:sz w:val="24"/>
          <w:szCs w:val="24"/>
        </w:rPr>
        <w:t>格</w:t>
      </w:r>
      <w:r>
        <w:rPr>
          <w:b/>
          <w:bCs/>
          <w:spacing w:val="-28"/>
          <w:sz w:val="24"/>
          <w:szCs w:val="24"/>
        </w:rPr>
        <w:t xml:space="preserve"> </w:t>
      </w:r>
      <w:r>
        <w:rPr>
          <w:b/>
          <w:bCs/>
          <w:spacing w:val="-6"/>
          <w:sz w:val="24"/>
          <w:szCs w:val="24"/>
        </w:rPr>
        <w:t>证 明</w:t>
      </w:r>
      <w:r>
        <w:rPr>
          <w:b/>
          <w:bCs/>
          <w:spacing w:val="-21"/>
          <w:sz w:val="24"/>
          <w:szCs w:val="24"/>
        </w:rPr>
        <w:t xml:space="preserve"> </w:t>
      </w:r>
      <w:r>
        <w:rPr>
          <w:b/>
          <w:bCs/>
          <w:spacing w:val="-6"/>
          <w:sz w:val="24"/>
          <w:szCs w:val="24"/>
        </w:rPr>
        <w:t>文</w:t>
      </w:r>
      <w:r>
        <w:rPr>
          <w:b/>
          <w:bCs/>
          <w:spacing w:val="-25"/>
          <w:sz w:val="24"/>
          <w:szCs w:val="24"/>
        </w:rPr>
        <w:t xml:space="preserve"> </w:t>
      </w:r>
      <w:r>
        <w:rPr>
          <w:b/>
          <w:bCs/>
          <w:spacing w:val="-6"/>
          <w:sz w:val="24"/>
          <w:szCs w:val="24"/>
        </w:rPr>
        <w:t>件）封面</w:t>
      </w:r>
    </w:p>
    <w:p w14:paraId="5B3DE27E">
      <w:pPr>
        <w:pStyle w:val="17"/>
        <w:spacing w:before="352" w:line="196" w:lineRule="auto"/>
        <w:jc w:val="center"/>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14:paraId="5DA40F06">
      <w:pPr>
        <w:pStyle w:val="17"/>
        <w:spacing w:before="1" w:line="196" w:lineRule="auto"/>
        <w:ind w:left="1946"/>
        <w:rPr>
          <w:sz w:val="52"/>
          <w:szCs w:val="52"/>
        </w:rPr>
      </w:pPr>
      <w:r>
        <w:rPr>
          <w:b/>
          <w:bCs/>
          <w:spacing w:val="62"/>
          <w:sz w:val="52"/>
          <w:szCs w:val="52"/>
        </w:rPr>
        <w:t>（</w:t>
      </w:r>
      <w:r>
        <w:rPr>
          <w:b/>
          <w:bCs/>
          <w:spacing w:val="102"/>
          <w:sz w:val="52"/>
          <w:szCs w:val="52"/>
        </w:rPr>
        <w:t xml:space="preserve"> </w:t>
      </w:r>
      <w:r>
        <w:rPr>
          <w:b/>
          <w:bCs/>
          <w:spacing w:val="62"/>
          <w:sz w:val="52"/>
          <w:szCs w:val="52"/>
        </w:rPr>
        <w:t>资格证明文件</w:t>
      </w:r>
      <w:r>
        <w:rPr>
          <w:b/>
          <w:bCs/>
          <w:spacing w:val="81"/>
          <w:sz w:val="52"/>
          <w:szCs w:val="52"/>
        </w:rPr>
        <w:t xml:space="preserve"> </w:t>
      </w:r>
      <w:r>
        <w:rPr>
          <w:b/>
          <w:bCs/>
          <w:spacing w:val="62"/>
          <w:sz w:val="52"/>
          <w:szCs w:val="52"/>
        </w:rPr>
        <w:t>）</w:t>
      </w:r>
    </w:p>
    <w:p w14:paraId="62A80D47">
      <w:pPr>
        <w:spacing w:line="300" w:lineRule="auto"/>
        <w:rPr>
          <w:rFonts w:ascii="Arial"/>
          <w:sz w:val="21"/>
        </w:rPr>
      </w:pPr>
    </w:p>
    <w:p w14:paraId="503A0FB7">
      <w:pPr>
        <w:spacing w:line="301" w:lineRule="auto"/>
        <w:rPr>
          <w:rFonts w:ascii="Arial"/>
          <w:sz w:val="21"/>
        </w:rPr>
      </w:pPr>
    </w:p>
    <w:p w14:paraId="64BF087D">
      <w:pPr>
        <w:pStyle w:val="17"/>
        <w:spacing w:before="134"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14:paraId="3F9A3710">
      <w:pPr>
        <w:pStyle w:val="17"/>
        <w:spacing w:before="11"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14:paraId="4CAAA982">
      <w:pPr>
        <w:spacing w:line="257" w:lineRule="auto"/>
        <w:rPr>
          <w:rFonts w:ascii="Arial"/>
          <w:sz w:val="21"/>
        </w:rPr>
      </w:pPr>
    </w:p>
    <w:p w14:paraId="3A8EDD1A">
      <w:pPr>
        <w:spacing w:line="258" w:lineRule="auto"/>
        <w:rPr>
          <w:rFonts w:ascii="Arial"/>
          <w:sz w:val="21"/>
        </w:rPr>
      </w:pPr>
    </w:p>
    <w:p w14:paraId="63284FF2">
      <w:pPr>
        <w:spacing w:line="258" w:lineRule="auto"/>
        <w:rPr>
          <w:rFonts w:ascii="Arial"/>
          <w:sz w:val="21"/>
        </w:rPr>
      </w:pPr>
    </w:p>
    <w:p w14:paraId="5591A47D">
      <w:pPr>
        <w:spacing w:line="258" w:lineRule="auto"/>
        <w:rPr>
          <w:rFonts w:ascii="Arial"/>
          <w:sz w:val="21"/>
        </w:rPr>
      </w:pPr>
    </w:p>
    <w:p w14:paraId="42665F20">
      <w:pPr>
        <w:spacing w:line="258" w:lineRule="auto"/>
        <w:rPr>
          <w:rFonts w:ascii="Arial"/>
          <w:sz w:val="21"/>
        </w:rPr>
      </w:pPr>
    </w:p>
    <w:p w14:paraId="76395A77">
      <w:pPr>
        <w:spacing w:line="258" w:lineRule="auto"/>
        <w:rPr>
          <w:rFonts w:ascii="Arial"/>
          <w:sz w:val="21"/>
        </w:rPr>
      </w:pPr>
    </w:p>
    <w:p w14:paraId="29371C90">
      <w:pPr>
        <w:spacing w:line="258" w:lineRule="auto"/>
        <w:rPr>
          <w:rFonts w:ascii="Arial"/>
          <w:sz w:val="21"/>
        </w:rPr>
      </w:pPr>
    </w:p>
    <w:p w14:paraId="7FD442F1">
      <w:pPr>
        <w:spacing w:line="258" w:lineRule="auto"/>
        <w:rPr>
          <w:rFonts w:ascii="Arial"/>
          <w:sz w:val="21"/>
        </w:rPr>
      </w:pPr>
    </w:p>
    <w:p w14:paraId="220A2319">
      <w:pPr>
        <w:spacing w:line="258" w:lineRule="auto"/>
        <w:rPr>
          <w:rFonts w:ascii="Arial"/>
          <w:sz w:val="21"/>
        </w:rPr>
      </w:pPr>
    </w:p>
    <w:p w14:paraId="68EE0FF6">
      <w:pPr>
        <w:spacing w:line="258" w:lineRule="auto"/>
        <w:rPr>
          <w:rFonts w:ascii="Arial"/>
          <w:sz w:val="21"/>
        </w:rPr>
      </w:pPr>
    </w:p>
    <w:p w14:paraId="584AEE6A">
      <w:pPr>
        <w:spacing w:line="258" w:lineRule="auto"/>
        <w:rPr>
          <w:rFonts w:ascii="Arial"/>
          <w:sz w:val="21"/>
        </w:rPr>
      </w:pPr>
    </w:p>
    <w:p w14:paraId="68EED24B">
      <w:pPr>
        <w:pStyle w:val="17"/>
        <w:spacing w:before="134" w:line="205" w:lineRule="auto"/>
        <w:ind w:left="1447"/>
      </w:pPr>
      <w:r>
        <w:rPr>
          <w:b/>
          <w:bCs/>
          <w:spacing w:val="34"/>
        </w:rPr>
        <w:t>投标人名称</w:t>
      </w:r>
      <w:r>
        <w:rPr>
          <w:b/>
          <w:bCs/>
          <w:spacing w:val="-39"/>
        </w:rPr>
        <w:t xml:space="preserve"> </w:t>
      </w:r>
      <w:r>
        <w:rPr>
          <w:b/>
          <w:bCs/>
          <w:spacing w:val="34"/>
        </w:rPr>
        <w:t>：</w:t>
      </w:r>
    </w:p>
    <w:p w14:paraId="46365494">
      <w:pPr>
        <w:spacing w:line="205" w:lineRule="auto"/>
        <w:sectPr>
          <w:headerReference r:id="rId15" w:type="default"/>
          <w:footerReference r:id="rId16" w:type="default"/>
          <w:pgSz w:w="11907" w:h="16840"/>
          <w:pgMar w:top="1149" w:right="1133" w:bottom="1060" w:left="1701" w:header="875" w:footer="886" w:gutter="0"/>
          <w:pgNumType w:fmt="decimal"/>
          <w:cols w:space="720" w:num="1"/>
        </w:sectPr>
      </w:pPr>
    </w:p>
    <w:p w14:paraId="59C30CD7">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 xml:space="preserve">1 </w:t>
      </w:r>
      <w:r>
        <w:rPr>
          <w:rFonts w:hint="eastAsia" w:ascii="宋体" w:hAnsi="宋体" w:eastAsia="宋体" w:cs="宋体"/>
          <w:b/>
          <w:bCs/>
          <w:color w:val="auto"/>
          <w:sz w:val="24"/>
          <w:highlight w:val="none"/>
        </w:rPr>
        <w:t>满足《中华人民共和国</w:t>
      </w:r>
      <w:r>
        <w:rPr>
          <w:rFonts w:hint="eastAsia" w:ascii="宋体" w:hAnsi="宋体" w:cs="宋体"/>
          <w:b/>
          <w:bCs/>
          <w:color w:val="auto"/>
          <w:sz w:val="24"/>
          <w:highlight w:val="none"/>
          <w:lang w:eastAsia="zh-CN"/>
        </w:rPr>
        <w:t>采购</w:t>
      </w:r>
      <w:r>
        <w:rPr>
          <w:rFonts w:hint="eastAsia" w:ascii="宋体" w:hAnsi="宋体" w:eastAsia="宋体" w:cs="宋体"/>
          <w:b/>
          <w:bCs/>
          <w:color w:val="auto"/>
          <w:sz w:val="24"/>
          <w:highlight w:val="none"/>
        </w:rPr>
        <w:t>法》第二十二条规定及法律法规的其他规定</w:t>
      </w:r>
    </w:p>
    <w:p w14:paraId="1B6C1CDB">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1-1营业执照等证明文件</w:t>
      </w:r>
    </w:p>
    <w:p w14:paraId="50C18932">
      <w:pPr>
        <w:pageBreakBefore w:val="0"/>
        <w:tabs>
          <w:tab w:val="left" w:pos="1080"/>
        </w:tabs>
        <w:wordWrap/>
        <w:topLinePunct w:val="0"/>
        <w:bidi w:val="0"/>
        <w:snapToGrid w:val="0"/>
        <w:spacing w:line="360" w:lineRule="auto"/>
        <w:rPr>
          <w:rFonts w:hint="eastAsia" w:ascii="宋体" w:hAnsi="宋体" w:eastAsia="宋体" w:cs="宋体"/>
          <w:color w:val="auto"/>
          <w:sz w:val="24"/>
          <w:highlight w:val="none"/>
        </w:rPr>
      </w:pPr>
    </w:p>
    <w:p w14:paraId="76A4D7D5">
      <w:pPr>
        <w:pageBreakBefore w:val="0"/>
        <w:widowControl/>
        <w:wordWrap/>
        <w:topLinePunct w:val="0"/>
        <w:bidi w:val="0"/>
        <w:spacing w:line="360" w:lineRule="auto"/>
        <w:jc w:val="left"/>
        <w:rPr>
          <w:rFonts w:hint="eastAsia" w:ascii="宋体" w:hAnsi="宋体" w:eastAsia="宋体" w:cs="宋体"/>
          <w:color w:val="auto"/>
          <w:sz w:val="24"/>
          <w:szCs w:val="20"/>
          <w:highlight w:val="none"/>
        </w:rPr>
      </w:pPr>
    </w:p>
    <w:p w14:paraId="35F975FD">
      <w:pPr>
        <w:pStyle w:val="45"/>
        <w:pageBreakBefore w:val="0"/>
        <w:wordWrap/>
        <w:topLinePunct w:val="0"/>
        <w:bidi w:val="0"/>
        <w:spacing w:line="360" w:lineRule="auto"/>
        <w:rPr>
          <w:rFonts w:hint="eastAsia" w:ascii="宋体" w:hAnsi="宋体" w:eastAsia="宋体" w:cs="宋体"/>
          <w:color w:val="auto"/>
          <w:sz w:val="24"/>
          <w:szCs w:val="20"/>
          <w:highlight w:val="none"/>
        </w:rPr>
      </w:pPr>
    </w:p>
    <w:p w14:paraId="4F11544B">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B93C369">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50C0A81F">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0AE7E52">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58C14924">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3C82787D">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715FE15C">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324D26F">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73E29BAC">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DDC8862">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5F4DA298">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1E628D31">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45495048">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4A02EDEA">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38643740">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20CD34CA">
      <w:pPr>
        <w:rPr>
          <w:rFonts w:hint="eastAsia" w:ascii="宋体" w:hAnsi="宋体" w:eastAsia="宋体" w:cs="宋体"/>
          <w:color w:val="auto"/>
          <w:sz w:val="24"/>
          <w:szCs w:val="20"/>
          <w:highlight w:val="none"/>
        </w:rPr>
      </w:pPr>
    </w:p>
    <w:p w14:paraId="16DE88DF">
      <w:pPr>
        <w:pStyle w:val="45"/>
        <w:rPr>
          <w:rFonts w:hint="eastAsia"/>
          <w:color w:val="auto"/>
          <w:highlight w:val="none"/>
        </w:rPr>
      </w:pPr>
    </w:p>
    <w:p w14:paraId="31F7BF0B">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7002270D">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280EB50A">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2931C61A">
      <w:pPr>
        <w:pStyle w:val="4"/>
        <w:pageBreakBefore w:val="0"/>
        <w:wordWrap/>
        <w:topLinePunct w:val="0"/>
        <w:bidi w:val="0"/>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highlight w:val="none"/>
          <w:u w:val="none"/>
        </w:rPr>
        <w:t>1-2 投标人资格声明书</w:t>
      </w:r>
    </w:p>
    <w:p w14:paraId="1EE58D7E">
      <w:pPr>
        <w:pageBreakBefore w:val="0"/>
        <w:wordWrap/>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rPr>
        <w:t>投标人资格声明书</w:t>
      </w:r>
    </w:p>
    <w:p w14:paraId="34E4636A">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6D7F2FAB">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在参与本次项目投标中，我单位承诺：</w:t>
      </w:r>
    </w:p>
    <w:p w14:paraId="330C9F9F">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具有良好的商业信誉和健全的财务会计制度；</w:t>
      </w:r>
    </w:p>
    <w:p w14:paraId="64D94A91">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具有履行合同所必需的设备和专业技术能力；</w:t>
      </w:r>
    </w:p>
    <w:p w14:paraId="4FD927CD">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有依法缴纳税收和社会保障资金的良好记录；</w:t>
      </w:r>
    </w:p>
    <w:p w14:paraId="2B4D5C40">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参加</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活动前三年内，在经营活动中没有重大违法记录（重大违法记录指因违法经营受到刑事处罚或者责令停产停业、吊销许可证或者执照、较大数额罚款等行政处罚，不包括因违法经营被禁止在一定期限内参加</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活动，但期限已经届满的情形）；</w:t>
      </w:r>
    </w:p>
    <w:p w14:paraId="3469AD9A">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我单位不属于</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法律、行政法规规定的公益一类事业单位、或使用事业编制且由财政拨款保障的群团组织（仅适用于政府购买服务项目）；</w:t>
      </w:r>
    </w:p>
    <w:p w14:paraId="5B5793FB">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48C36BA4">
      <w:pPr>
        <w:pageBreakBefore w:val="0"/>
        <w:numPr>
          <w:ilvl w:val="0"/>
          <w:numId w:val="28"/>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与我单位存在“单位负责人为同一人或者存在直接控股、管理关系”的其他法人单位信息如下（如有，不论其是否参加同一合同项下的</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活动均须填写）：</w:t>
      </w:r>
    </w:p>
    <w:tbl>
      <w:tblPr>
        <w:tblStyle w:val="4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C4E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1BB1275">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574" w:type="dxa"/>
            <w:vAlign w:val="center"/>
          </w:tcPr>
          <w:p w14:paraId="2FE228D0">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2976" w:type="dxa"/>
            <w:vAlign w:val="center"/>
          </w:tcPr>
          <w:p w14:paraId="75770CCB">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相互关系</w:t>
            </w:r>
          </w:p>
        </w:tc>
      </w:tr>
      <w:tr w14:paraId="4EA8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D293F18">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74" w:type="dxa"/>
            <w:vAlign w:val="center"/>
          </w:tcPr>
          <w:p w14:paraId="0D6DC522">
            <w:pPr>
              <w:pageBreakBefore w:val="0"/>
              <w:wordWrap/>
              <w:topLinePunct w:val="0"/>
              <w:bidi w:val="0"/>
              <w:spacing w:line="360" w:lineRule="auto"/>
              <w:jc w:val="center"/>
              <w:rPr>
                <w:rFonts w:hint="eastAsia" w:ascii="宋体" w:hAnsi="宋体" w:eastAsia="宋体" w:cs="宋体"/>
                <w:color w:val="auto"/>
                <w:sz w:val="24"/>
                <w:highlight w:val="none"/>
              </w:rPr>
            </w:pPr>
          </w:p>
        </w:tc>
        <w:tc>
          <w:tcPr>
            <w:tcW w:w="2976" w:type="dxa"/>
            <w:vAlign w:val="center"/>
          </w:tcPr>
          <w:p w14:paraId="75B920F1">
            <w:pPr>
              <w:pageBreakBefore w:val="0"/>
              <w:wordWrap/>
              <w:topLinePunct w:val="0"/>
              <w:bidi w:val="0"/>
              <w:spacing w:line="360" w:lineRule="auto"/>
              <w:jc w:val="center"/>
              <w:rPr>
                <w:rFonts w:hint="eastAsia" w:ascii="宋体" w:hAnsi="宋体" w:eastAsia="宋体" w:cs="宋体"/>
                <w:color w:val="auto"/>
                <w:sz w:val="24"/>
                <w:highlight w:val="none"/>
              </w:rPr>
            </w:pPr>
          </w:p>
        </w:tc>
      </w:tr>
      <w:tr w14:paraId="2139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9730E70">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74" w:type="dxa"/>
            <w:vAlign w:val="center"/>
          </w:tcPr>
          <w:p w14:paraId="652E92AB">
            <w:pPr>
              <w:pageBreakBefore w:val="0"/>
              <w:wordWrap/>
              <w:topLinePunct w:val="0"/>
              <w:bidi w:val="0"/>
              <w:spacing w:line="360" w:lineRule="auto"/>
              <w:jc w:val="center"/>
              <w:rPr>
                <w:rFonts w:hint="eastAsia" w:ascii="宋体" w:hAnsi="宋体" w:eastAsia="宋体" w:cs="宋体"/>
                <w:color w:val="auto"/>
                <w:sz w:val="24"/>
                <w:highlight w:val="none"/>
              </w:rPr>
            </w:pPr>
          </w:p>
        </w:tc>
        <w:tc>
          <w:tcPr>
            <w:tcW w:w="2976" w:type="dxa"/>
            <w:vAlign w:val="center"/>
          </w:tcPr>
          <w:p w14:paraId="1E78C63F">
            <w:pPr>
              <w:pageBreakBefore w:val="0"/>
              <w:wordWrap/>
              <w:topLinePunct w:val="0"/>
              <w:bidi w:val="0"/>
              <w:spacing w:line="360" w:lineRule="auto"/>
              <w:jc w:val="center"/>
              <w:rPr>
                <w:rFonts w:hint="eastAsia" w:ascii="宋体" w:hAnsi="宋体" w:eastAsia="宋体" w:cs="宋体"/>
                <w:color w:val="auto"/>
                <w:sz w:val="24"/>
                <w:highlight w:val="none"/>
              </w:rPr>
            </w:pPr>
          </w:p>
        </w:tc>
      </w:tr>
      <w:tr w14:paraId="2A77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13D47CF">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574" w:type="dxa"/>
            <w:vAlign w:val="center"/>
          </w:tcPr>
          <w:p w14:paraId="3A9F3EEC">
            <w:pPr>
              <w:pageBreakBefore w:val="0"/>
              <w:wordWrap/>
              <w:topLinePunct w:val="0"/>
              <w:bidi w:val="0"/>
              <w:spacing w:line="360" w:lineRule="auto"/>
              <w:jc w:val="center"/>
              <w:rPr>
                <w:rFonts w:hint="eastAsia" w:ascii="宋体" w:hAnsi="宋体" w:eastAsia="宋体" w:cs="宋体"/>
                <w:color w:val="auto"/>
                <w:sz w:val="24"/>
                <w:highlight w:val="none"/>
              </w:rPr>
            </w:pPr>
          </w:p>
        </w:tc>
        <w:tc>
          <w:tcPr>
            <w:tcW w:w="2976" w:type="dxa"/>
            <w:vAlign w:val="center"/>
          </w:tcPr>
          <w:p w14:paraId="58807DB6">
            <w:pPr>
              <w:pageBreakBefore w:val="0"/>
              <w:wordWrap/>
              <w:topLinePunct w:val="0"/>
              <w:bidi w:val="0"/>
              <w:spacing w:line="360" w:lineRule="auto"/>
              <w:jc w:val="center"/>
              <w:rPr>
                <w:rFonts w:hint="eastAsia" w:ascii="宋体" w:hAnsi="宋体" w:eastAsia="宋体" w:cs="宋体"/>
                <w:color w:val="auto"/>
                <w:sz w:val="24"/>
                <w:highlight w:val="none"/>
              </w:rPr>
            </w:pPr>
          </w:p>
        </w:tc>
      </w:tr>
    </w:tbl>
    <w:p w14:paraId="6F02C5A4">
      <w:pPr>
        <w:pageBreakBefore w:val="0"/>
        <w:wordWrap/>
        <w:topLinePunct w:val="0"/>
        <w:bidi w:val="0"/>
        <w:spacing w:line="360" w:lineRule="auto"/>
        <w:rPr>
          <w:rFonts w:hint="eastAsia" w:ascii="宋体" w:hAnsi="宋体" w:eastAsia="宋体" w:cs="宋体"/>
          <w:color w:val="auto"/>
          <w:highlight w:val="none"/>
        </w:rPr>
      </w:pPr>
    </w:p>
    <w:p w14:paraId="09464733">
      <w:pPr>
        <w:pageBreakBefore w:val="0"/>
        <w:wordWrap/>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上述声明真实有效，否则我方负全部责任。</w:t>
      </w:r>
    </w:p>
    <w:p w14:paraId="3DA353F8">
      <w:pPr>
        <w:pageBreakBefore w:val="0"/>
        <w:wordWrap/>
        <w:topLinePunct w:val="0"/>
        <w:autoSpaceDE w:val="0"/>
        <w:autoSpaceDN w:val="0"/>
        <w:bidi w:val="0"/>
        <w:adjustRightInd w:val="0"/>
        <w:snapToGrid w:val="0"/>
        <w:spacing w:before="25" w:after="25"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6180FF46">
      <w:pPr>
        <w:pageBreakBefore w:val="0"/>
        <w:wordWrap/>
        <w:topLinePunct w:val="0"/>
        <w:bidi w:val="0"/>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 xml:space="preserve">日期：_____年______月______日   </w:t>
      </w:r>
    </w:p>
    <w:p w14:paraId="4086935F">
      <w:pPr>
        <w:pageBreakBefore w:val="0"/>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承诺不实的，依据《</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法》第七十七条“提供虚假材料谋取中标、成交的”有关规定予以处理。</w:t>
      </w:r>
    </w:p>
    <w:p w14:paraId="02D77165">
      <w:pPr>
        <w:pageBreakBefore w:val="0"/>
        <w:tabs>
          <w:tab w:val="left" w:pos="5580"/>
        </w:tabs>
        <w:wordWrap/>
        <w:topLinePunct w:val="0"/>
        <w:bidi w:val="0"/>
        <w:spacing w:line="360" w:lineRule="auto"/>
        <w:rPr>
          <w:rFonts w:hint="eastAsia" w:ascii="宋体" w:hAnsi="宋体" w:eastAsia="宋体" w:cs="宋体"/>
          <w:color w:val="auto"/>
          <w:sz w:val="24"/>
          <w:highlight w:val="none"/>
        </w:rPr>
        <w:sectPr>
          <w:headerReference r:id="rId17" w:type="default"/>
          <w:footerReference r:id="rId18" w:type="default"/>
          <w:pgSz w:w="11907" w:h="16840"/>
          <w:pgMar w:top="1134" w:right="1134" w:bottom="1134" w:left="1134" w:header="851" w:footer="851" w:gutter="0"/>
          <w:pgNumType w:fmt="decimal"/>
          <w:cols w:space="720" w:num="1"/>
          <w:docGrid w:linePitch="462" w:charSpace="0"/>
        </w:sectPr>
      </w:pPr>
    </w:p>
    <w:p w14:paraId="7384416C">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 落实</w:t>
      </w:r>
      <w:r>
        <w:rPr>
          <w:rFonts w:hint="eastAsia" w:ascii="宋体" w:hAnsi="宋体" w:cs="宋体"/>
          <w:b/>
          <w:bCs/>
          <w:color w:val="auto"/>
          <w:sz w:val="24"/>
          <w:szCs w:val="20"/>
          <w:highlight w:val="none"/>
          <w:lang w:eastAsia="zh-CN"/>
        </w:rPr>
        <w:t>采购</w:t>
      </w:r>
      <w:r>
        <w:rPr>
          <w:rFonts w:hint="eastAsia" w:ascii="宋体" w:hAnsi="宋体" w:eastAsia="宋体" w:cs="宋体"/>
          <w:b/>
          <w:bCs/>
          <w:color w:val="auto"/>
          <w:sz w:val="24"/>
          <w:szCs w:val="20"/>
          <w:highlight w:val="none"/>
        </w:rPr>
        <w:t>政策需满足的资格要求（如有）</w:t>
      </w:r>
    </w:p>
    <w:p w14:paraId="297D07D9">
      <w:pPr>
        <w:pStyle w:val="45"/>
        <w:rPr>
          <w:rFonts w:hint="eastAsia"/>
          <w:color w:val="auto"/>
          <w:highlight w:val="none"/>
        </w:rPr>
      </w:pPr>
    </w:p>
    <w:p w14:paraId="5E944B34">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2-1中小企业声明函</w:t>
      </w:r>
    </w:p>
    <w:p w14:paraId="2EDE83EC">
      <w:pPr>
        <w:pageBreakBefore w:val="0"/>
        <w:tabs>
          <w:tab w:val="left" w:pos="5580"/>
        </w:tabs>
        <w:wordWrap/>
        <w:topLinePunct w:val="0"/>
        <w:bidi w:val="0"/>
        <w:spacing w:line="360" w:lineRule="auto"/>
        <w:rPr>
          <w:rFonts w:hint="eastAsia" w:ascii="宋体" w:hAnsi="宋体" w:eastAsia="宋体" w:cs="宋体"/>
          <w:color w:val="auto"/>
          <w:sz w:val="24"/>
          <w:highlight w:val="none"/>
        </w:rPr>
      </w:pPr>
    </w:p>
    <w:p w14:paraId="49AE1933">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2DB2A6F5">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1 ）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5A1E4B7">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2 ）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B2C998B">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 利性单位声明函》或由省级以上监狱管理局、戒毒管理局（含新疆生产建设兵团）出具的属于监狱企业的证明文件，还须同时提供《拟分包情况说明》及《分包意向协议》，且建议在资格证明文件部分提供。</w:t>
      </w:r>
    </w:p>
    <w:p w14:paraId="5A7AB6C0">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69DC10A">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（5）中小企业声明函填写注意事项</w:t>
      </w:r>
    </w:p>
    <w:p w14:paraId="36B79638">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1）《中小企业声明函》由参加政府采购活动的投标人出具。联合体投标的，《中小企业声明函》可由牵头人出具。</w:t>
      </w:r>
    </w:p>
    <w:p w14:paraId="4823724A">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对于联合体中由中小企业承担的部分，或者分包给中小企业的部分，必须全部由中小企业制造、承建或者承接。供应商应当在声明函“标的名称”部分标明联合体中中小企业承担的具体内容或者中小企业的具体分包内</w:t>
      </w:r>
      <w:r>
        <w:rPr>
          <w:rFonts w:hint="eastAsia" w:ascii="宋体" w:hAnsi="宋体" w:cs="宋体"/>
          <w:color w:val="auto"/>
          <w:sz w:val="24"/>
          <w:highlight w:val="none"/>
          <w:lang w:val="en-US" w:eastAsia="zh-CN"/>
        </w:rPr>
        <w:t>容</w:t>
      </w:r>
      <w:r>
        <w:rPr>
          <w:rFonts w:hint="eastAsia" w:ascii="宋体" w:hAnsi="宋体" w:eastAsia="宋体" w:cs="宋体"/>
          <w:color w:val="auto"/>
          <w:sz w:val="24"/>
          <w:highlight w:val="none"/>
        </w:rPr>
        <w:t>。</w:t>
      </w:r>
    </w:p>
    <w:p w14:paraId="1A15DA19">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3）对于多标的采购项目，投标人应充分、准确地了解所提供货物的制造企业、提供服务的承接企业信息。对相关情况了解不清楚的，不建议填报本声明函。</w:t>
      </w:r>
    </w:p>
    <w:p w14:paraId="631C700C">
      <w:pPr>
        <w:pageBreakBefore w:val="0"/>
        <w:tabs>
          <w:tab w:val="left" w:pos="5580"/>
        </w:tabs>
        <w:wordWrap/>
        <w:topLinePunct w:val="0"/>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r>
        <w:rPr>
          <w:rFonts w:hint="eastAsia" w:ascii="宋体" w:hAnsi="宋体" w:cs="宋体"/>
          <w:color w:val="auto"/>
          <w:sz w:val="24"/>
          <w:highlight w:val="none"/>
          <w:lang w:eastAsia="zh-CN"/>
        </w:rPr>
        <w:t>。</w:t>
      </w:r>
    </w:p>
    <w:p w14:paraId="0C8A457A">
      <w:pPr>
        <w:pStyle w:val="12"/>
        <w:rPr>
          <w:rFonts w:hint="eastAsia" w:ascii="宋体" w:hAnsi="宋体" w:eastAsia="宋体" w:cs="宋体"/>
          <w:color w:val="auto"/>
          <w:sz w:val="24"/>
          <w:highlight w:val="none"/>
        </w:rPr>
      </w:pPr>
    </w:p>
    <w:p w14:paraId="15D9056F">
      <w:pPr>
        <w:pStyle w:val="12"/>
        <w:rPr>
          <w:rFonts w:hint="eastAsia" w:ascii="宋体" w:hAnsi="宋体" w:eastAsia="宋体" w:cs="宋体"/>
          <w:color w:val="auto"/>
          <w:sz w:val="24"/>
          <w:highlight w:val="none"/>
        </w:rPr>
      </w:pPr>
    </w:p>
    <w:p w14:paraId="050A9335">
      <w:pPr>
        <w:pStyle w:val="12"/>
        <w:rPr>
          <w:rFonts w:hint="eastAsia" w:ascii="宋体" w:hAnsi="宋体" w:eastAsia="宋体" w:cs="宋体"/>
          <w:color w:val="auto"/>
          <w:sz w:val="24"/>
          <w:highlight w:val="none"/>
        </w:rPr>
      </w:pPr>
    </w:p>
    <w:p w14:paraId="0B6CF8E0">
      <w:pPr>
        <w:pStyle w:val="12"/>
        <w:rPr>
          <w:rFonts w:hint="eastAsia" w:ascii="宋体" w:hAnsi="宋体" w:eastAsia="宋体" w:cs="宋体"/>
          <w:color w:val="auto"/>
          <w:sz w:val="24"/>
          <w:highlight w:val="none"/>
        </w:rPr>
      </w:pPr>
    </w:p>
    <w:p w14:paraId="2CEFC91A">
      <w:pPr>
        <w:pStyle w:val="12"/>
        <w:rPr>
          <w:rFonts w:hint="eastAsia" w:ascii="宋体" w:hAnsi="宋体" w:eastAsia="宋体" w:cs="宋体"/>
          <w:color w:val="auto"/>
          <w:sz w:val="24"/>
          <w:highlight w:val="none"/>
        </w:rPr>
      </w:pPr>
    </w:p>
    <w:p w14:paraId="264EA91D">
      <w:pPr>
        <w:pStyle w:val="12"/>
        <w:rPr>
          <w:rFonts w:hint="eastAsia" w:ascii="宋体" w:hAnsi="宋体" w:eastAsia="宋体" w:cs="宋体"/>
          <w:color w:val="auto"/>
          <w:sz w:val="24"/>
          <w:highlight w:val="none"/>
        </w:rPr>
      </w:pPr>
    </w:p>
    <w:p w14:paraId="49140B4D">
      <w:pPr>
        <w:pStyle w:val="12"/>
        <w:rPr>
          <w:rFonts w:hint="eastAsia" w:ascii="宋体" w:hAnsi="宋体" w:eastAsia="宋体" w:cs="宋体"/>
          <w:color w:val="auto"/>
          <w:sz w:val="24"/>
          <w:highlight w:val="none"/>
        </w:rPr>
      </w:pPr>
    </w:p>
    <w:p w14:paraId="13B19EA5">
      <w:pPr>
        <w:pStyle w:val="12"/>
        <w:rPr>
          <w:rFonts w:hint="eastAsia" w:ascii="宋体" w:hAnsi="宋体" w:eastAsia="宋体" w:cs="宋体"/>
          <w:color w:val="auto"/>
          <w:sz w:val="24"/>
          <w:highlight w:val="none"/>
        </w:rPr>
      </w:pPr>
    </w:p>
    <w:p w14:paraId="2A3CACFE">
      <w:pPr>
        <w:pStyle w:val="12"/>
        <w:rPr>
          <w:rFonts w:hint="eastAsia" w:ascii="宋体" w:hAnsi="宋体" w:eastAsia="宋体" w:cs="宋体"/>
          <w:color w:val="auto"/>
          <w:sz w:val="24"/>
          <w:highlight w:val="none"/>
        </w:rPr>
      </w:pPr>
    </w:p>
    <w:p w14:paraId="33C58A27">
      <w:pPr>
        <w:pStyle w:val="12"/>
        <w:rPr>
          <w:rFonts w:hint="eastAsia" w:ascii="宋体" w:hAnsi="宋体" w:eastAsia="宋体" w:cs="宋体"/>
          <w:color w:val="auto"/>
          <w:sz w:val="24"/>
          <w:highlight w:val="none"/>
        </w:rPr>
      </w:pPr>
    </w:p>
    <w:p w14:paraId="43CC59ED">
      <w:pPr>
        <w:pStyle w:val="12"/>
        <w:rPr>
          <w:rFonts w:hint="eastAsia" w:ascii="宋体" w:hAnsi="宋体" w:eastAsia="宋体" w:cs="宋体"/>
          <w:color w:val="auto"/>
          <w:sz w:val="24"/>
          <w:highlight w:val="none"/>
        </w:rPr>
      </w:pPr>
    </w:p>
    <w:p w14:paraId="4E9562C4">
      <w:pPr>
        <w:pStyle w:val="12"/>
        <w:rPr>
          <w:rFonts w:hint="eastAsia" w:ascii="宋体" w:hAnsi="宋体" w:eastAsia="宋体" w:cs="宋体"/>
          <w:color w:val="auto"/>
          <w:sz w:val="24"/>
          <w:highlight w:val="none"/>
        </w:rPr>
      </w:pPr>
    </w:p>
    <w:p w14:paraId="73E71105">
      <w:pPr>
        <w:pStyle w:val="12"/>
        <w:rPr>
          <w:rFonts w:hint="eastAsia" w:ascii="宋体" w:hAnsi="宋体" w:eastAsia="宋体" w:cs="宋体"/>
          <w:color w:val="auto"/>
          <w:sz w:val="24"/>
          <w:highlight w:val="none"/>
        </w:rPr>
      </w:pPr>
    </w:p>
    <w:p w14:paraId="46A7845C">
      <w:pPr>
        <w:pStyle w:val="12"/>
        <w:rPr>
          <w:rFonts w:hint="eastAsia" w:ascii="宋体" w:hAnsi="宋体" w:eastAsia="宋体" w:cs="宋体"/>
          <w:color w:val="auto"/>
          <w:sz w:val="24"/>
          <w:highlight w:val="none"/>
        </w:rPr>
      </w:pPr>
    </w:p>
    <w:p w14:paraId="6CA9A870">
      <w:pPr>
        <w:pStyle w:val="12"/>
        <w:rPr>
          <w:rFonts w:hint="eastAsia" w:ascii="宋体" w:hAnsi="宋体" w:eastAsia="宋体" w:cs="宋体"/>
          <w:color w:val="auto"/>
          <w:sz w:val="24"/>
          <w:highlight w:val="none"/>
        </w:rPr>
      </w:pPr>
    </w:p>
    <w:p w14:paraId="0E4F57B0">
      <w:pPr>
        <w:pStyle w:val="12"/>
        <w:rPr>
          <w:rFonts w:hint="eastAsia" w:ascii="宋体" w:hAnsi="宋体" w:eastAsia="宋体" w:cs="宋体"/>
          <w:color w:val="auto"/>
          <w:sz w:val="24"/>
          <w:highlight w:val="none"/>
        </w:rPr>
      </w:pPr>
    </w:p>
    <w:p w14:paraId="48DF1DF5">
      <w:pPr>
        <w:pStyle w:val="12"/>
        <w:rPr>
          <w:rFonts w:hint="eastAsia" w:ascii="宋体" w:hAnsi="宋体" w:eastAsia="宋体" w:cs="宋体"/>
          <w:color w:val="auto"/>
          <w:sz w:val="24"/>
          <w:highlight w:val="none"/>
        </w:rPr>
      </w:pPr>
    </w:p>
    <w:p w14:paraId="1C70DB1F">
      <w:pPr>
        <w:pStyle w:val="12"/>
        <w:rPr>
          <w:rFonts w:hint="eastAsia" w:ascii="宋体" w:hAnsi="宋体" w:eastAsia="宋体" w:cs="宋体"/>
          <w:color w:val="auto"/>
          <w:sz w:val="24"/>
          <w:highlight w:val="none"/>
        </w:rPr>
      </w:pPr>
    </w:p>
    <w:p w14:paraId="76E551CB">
      <w:pPr>
        <w:pStyle w:val="12"/>
        <w:rPr>
          <w:rFonts w:hint="eastAsia" w:ascii="宋体" w:hAnsi="宋体" w:eastAsia="宋体" w:cs="宋体"/>
          <w:color w:val="auto"/>
          <w:sz w:val="24"/>
          <w:highlight w:val="none"/>
        </w:rPr>
      </w:pPr>
    </w:p>
    <w:p w14:paraId="2D2C443F">
      <w:pPr>
        <w:pStyle w:val="12"/>
        <w:rPr>
          <w:rFonts w:hint="eastAsia" w:ascii="宋体" w:hAnsi="宋体" w:eastAsia="宋体" w:cs="宋体"/>
          <w:color w:val="auto"/>
          <w:sz w:val="24"/>
          <w:highlight w:val="none"/>
        </w:rPr>
      </w:pPr>
    </w:p>
    <w:p w14:paraId="6BA9D583">
      <w:pPr>
        <w:pStyle w:val="12"/>
        <w:rPr>
          <w:rFonts w:hint="eastAsia" w:ascii="宋体" w:hAnsi="宋体" w:eastAsia="宋体" w:cs="宋体"/>
          <w:color w:val="auto"/>
          <w:sz w:val="24"/>
          <w:highlight w:val="none"/>
        </w:rPr>
      </w:pPr>
    </w:p>
    <w:p w14:paraId="51453E00">
      <w:pPr>
        <w:pStyle w:val="12"/>
        <w:rPr>
          <w:rFonts w:hint="eastAsia" w:ascii="宋体" w:hAnsi="宋体" w:eastAsia="宋体" w:cs="宋体"/>
          <w:color w:val="auto"/>
          <w:sz w:val="24"/>
          <w:highlight w:val="none"/>
        </w:rPr>
      </w:pPr>
    </w:p>
    <w:p w14:paraId="73DD01A6">
      <w:pPr>
        <w:pStyle w:val="12"/>
        <w:rPr>
          <w:rFonts w:hint="eastAsia" w:ascii="宋体" w:hAnsi="宋体" w:eastAsia="宋体" w:cs="宋体"/>
          <w:color w:val="auto"/>
          <w:sz w:val="24"/>
          <w:highlight w:val="none"/>
        </w:rPr>
      </w:pPr>
    </w:p>
    <w:p w14:paraId="54599E81">
      <w:pPr>
        <w:pStyle w:val="12"/>
        <w:rPr>
          <w:rFonts w:hint="eastAsia" w:ascii="宋体" w:hAnsi="宋体" w:eastAsia="宋体" w:cs="宋体"/>
          <w:color w:val="auto"/>
          <w:sz w:val="24"/>
          <w:highlight w:val="none"/>
        </w:rPr>
      </w:pPr>
    </w:p>
    <w:p w14:paraId="094B83B7">
      <w:pPr>
        <w:pStyle w:val="12"/>
        <w:rPr>
          <w:rFonts w:hint="eastAsia" w:ascii="宋体" w:hAnsi="宋体" w:eastAsia="宋体" w:cs="宋体"/>
          <w:color w:val="auto"/>
          <w:sz w:val="24"/>
          <w:highlight w:val="none"/>
        </w:rPr>
      </w:pPr>
    </w:p>
    <w:p w14:paraId="117AE626">
      <w:pPr>
        <w:pStyle w:val="12"/>
        <w:rPr>
          <w:rFonts w:hint="eastAsia" w:ascii="宋体" w:hAnsi="宋体" w:eastAsia="宋体" w:cs="宋体"/>
          <w:color w:val="auto"/>
          <w:sz w:val="24"/>
          <w:highlight w:val="none"/>
        </w:rPr>
      </w:pPr>
    </w:p>
    <w:p w14:paraId="7AAB01DC">
      <w:pPr>
        <w:pStyle w:val="12"/>
        <w:rPr>
          <w:rFonts w:hint="eastAsia" w:ascii="宋体" w:hAnsi="宋体" w:eastAsia="宋体" w:cs="宋体"/>
          <w:color w:val="auto"/>
          <w:sz w:val="24"/>
          <w:highlight w:val="none"/>
        </w:rPr>
      </w:pPr>
    </w:p>
    <w:p w14:paraId="48A54FAC">
      <w:pPr>
        <w:pStyle w:val="12"/>
        <w:rPr>
          <w:rFonts w:hint="eastAsia" w:ascii="宋体" w:hAnsi="宋体" w:eastAsia="宋体" w:cs="宋体"/>
          <w:color w:val="auto"/>
          <w:sz w:val="24"/>
          <w:highlight w:val="none"/>
        </w:rPr>
      </w:pPr>
    </w:p>
    <w:p w14:paraId="7E230B1B">
      <w:pPr>
        <w:pStyle w:val="12"/>
        <w:rPr>
          <w:rFonts w:hint="eastAsia" w:ascii="宋体" w:hAnsi="宋体" w:eastAsia="宋体" w:cs="宋体"/>
          <w:color w:val="auto"/>
          <w:sz w:val="24"/>
          <w:highlight w:val="none"/>
        </w:rPr>
      </w:pPr>
    </w:p>
    <w:p w14:paraId="54CC5F09">
      <w:pPr>
        <w:pStyle w:val="12"/>
        <w:rPr>
          <w:rFonts w:hint="eastAsia" w:ascii="宋体" w:hAnsi="宋体" w:eastAsia="宋体" w:cs="宋体"/>
          <w:color w:val="auto"/>
          <w:sz w:val="24"/>
          <w:highlight w:val="none"/>
        </w:rPr>
      </w:pPr>
    </w:p>
    <w:p w14:paraId="41BBCDAF">
      <w:pPr>
        <w:pStyle w:val="12"/>
        <w:rPr>
          <w:rFonts w:hint="eastAsia" w:ascii="宋体" w:hAnsi="宋体" w:eastAsia="宋体" w:cs="宋体"/>
          <w:color w:val="auto"/>
          <w:sz w:val="24"/>
          <w:highlight w:val="none"/>
        </w:rPr>
      </w:pPr>
    </w:p>
    <w:p w14:paraId="6FCD0C5B">
      <w:pPr>
        <w:pStyle w:val="12"/>
        <w:rPr>
          <w:rFonts w:hint="eastAsia" w:ascii="宋体" w:hAnsi="宋体" w:eastAsia="宋体" w:cs="宋体"/>
          <w:color w:val="auto"/>
          <w:sz w:val="24"/>
          <w:highlight w:val="none"/>
        </w:rPr>
      </w:pPr>
    </w:p>
    <w:p w14:paraId="455FC87D">
      <w:pPr>
        <w:pStyle w:val="12"/>
        <w:rPr>
          <w:rFonts w:hint="eastAsia" w:ascii="宋体" w:hAnsi="宋体" w:eastAsia="宋体" w:cs="宋体"/>
          <w:color w:val="auto"/>
          <w:sz w:val="24"/>
          <w:highlight w:val="none"/>
        </w:rPr>
      </w:pPr>
    </w:p>
    <w:p w14:paraId="4B1505F9">
      <w:pPr>
        <w:pStyle w:val="12"/>
        <w:rPr>
          <w:rFonts w:hint="eastAsia" w:ascii="宋体" w:hAnsi="宋体" w:eastAsia="宋体" w:cs="宋体"/>
          <w:color w:val="auto"/>
          <w:sz w:val="24"/>
          <w:highlight w:val="none"/>
        </w:rPr>
      </w:pPr>
    </w:p>
    <w:p w14:paraId="62C8BBF2">
      <w:pPr>
        <w:pStyle w:val="4"/>
        <w:pageBreakBefore w:val="0"/>
        <w:wordWrap/>
        <w:topLinePunct w:val="0"/>
        <w:bidi w:val="0"/>
        <w:spacing w:line="360" w:lineRule="auto"/>
        <w:rPr>
          <w:rFonts w:hint="eastAsia" w:ascii="宋体" w:hAnsi="宋体" w:eastAsia="宋体" w:cs="宋体"/>
          <w:b/>
          <w:bCs/>
          <w:color w:val="auto"/>
          <w:highlight w:val="none"/>
          <w:u w:val="none"/>
        </w:rPr>
      </w:pPr>
      <w:r>
        <w:rPr>
          <w:rFonts w:hint="default" w:ascii="宋体" w:hAnsi="宋体" w:eastAsia="宋体" w:cs="宋体"/>
          <w:b/>
          <w:bCs/>
          <w:color w:val="auto"/>
          <w:highlight w:val="none"/>
          <w:u w:val="none"/>
          <w:lang w:val="en-US" w:eastAsia="zh-CN"/>
        </w:rPr>
        <w:t xml:space="preserve">2-1-1 </w:t>
      </w:r>
      <w:r>
        <w:rPr>
          <w:rFonts w:hint="eastAsia" w:ascii="宋体" w:hAnsi="宋体" w:eastAsia="宋体" w:cs="宋体"/>
          <w:b/>
          <w:bCs/>
          <w:color w:val="auto"/>
          <w:highlight w:val="none"/>
          <w:u w:val="none"/>
          <w:lang w:val="en-US" w:eastAsia="zh-CN"/>
        </w:rPr>
        <w:t>中小企业声明函及残疾人福利性单位声明函格式</w:t>
      </w:r>
    </w:p>
    <w:p w14:paraId="7167524C">
      <w:pPr>
        <w:pStyle w:val="12"/>
        <w:rPr>
          <w:rFonts w:hint="eastAsia" w:ascii="宋体" w:hAnsi="宋体" w:eastAsia="宋体" w:cs="宋体"/>
          <w:color w:val="auto"/>
          <w:sz w:val="24"/>
          <w:highlight w:val="none"/>
        </w:rPr>
      </w:pPr>
    </w:p>
    <w:p w14:paraId="0C55A67C">
      <w:pPr>
        <w:pStyle w:val="12"/>
        <w:rPr>
          <w:rFonts w:hint="eastAsia" w:ascii="宋体" w:hAnsi="宋体" w:eastAsia="宋体" w:cs="宋体"/>
          <w:color w:val="auto"/>
          <w:sz w:val="24"/>
          <w:highlight w:val="none"/>
        </w:rPr>
      </w:pPr>
    </w:p>
    <w:p w14:paraId="50F4384B">
      <w:pPr>
        <w:spacing w:before="240" w:beforeLines="100" w:after="240" w:afterLines="100" w:line="360" w:lineRule="auto"/>
        <w:jc w:val="center"/>
        <w:rPr>
          <w:b/>
          <w:bCs/>
          <w:color w:val="auto"/>
          <w:sz w:val="36"/>
          <w:szCs w:val="36"/>
          <w:highlight w:val="none"/>
        </w:rPr>
      </w:pPr>
      <w:r>
        <w:rPr>
          <w:rFonts w:hint="eastAsia"/>
          <w:b/>
          <w:bCs/>
          <w:color w:val="auto"/>
          <w:sz w:val="36"/>
          <w:szCs w:val="36"/>
          <w:highlight w:val="none"/>
        </w:rPr>
        <w:t>中小企业声明函（服务）格式</w:t>
      </w:r>
    </w:p>
    <w:p w14:paraId="148AAF25">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F1A92C9">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14:paraId="719282E1">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color w:val="auto"/>
          <w:spacing w:val="6"/>
          <w:sz w:val="24"/>
          <w:highlight w:val="none"/>
          <w:u w:val="single"/>
        </w:rPr>
        <w:t>（中型企业、小型企业、微型企业）</w:t>
      </w:r>
      <w:r>
        <w:rPr>
          <w:color w:val="auto"/>
          <w:spacing w:val="6"/>
          <w:sz w:val="24"/>
          <w:highlight w:val="none"/>
        </w:rPr>
        <w:t>；</w:t>
      </w:r>
    </w:p>
    <w:p w14:paraId="1F3C6DEF">
      <w:pPr>
        <w:spacing w:line="360" w:lineRule="auto"/>
        <w:ind w:firstLine="504"/>
        <w:rPr>
          <w:color w:val="auto"/>
          <w:spacing w:val="6"/>
          <w:sz w:val="24"/>
          <w:highlight w:val="none"/>
        </w:rPr>
      </w:pPr>
    </w:p>
    <w:p w14:paraId="3F5A0DF1">
      <w:pPr>
        <w:spacing w:line="360" w:lineRule="auto"/>
        <w:ind w:firstLine="504"/>
        <w:rPr>
          <w:color w:val="auto"/>
          <w:spacing w:val="6"/>
          <w:sz w:val="24"/>
          <w:highlight w:val="none"/>
        </w:rPr>
      </w:pPr>
      <w:r>
        <w:rPr>
          <w:color w:val="auto"/>
          <w:spacing w:val="6"/>
          <w:sz w:val="24"/>
          <w:highlight w:val="none"/>
        </w:rPr>
        <w:t>……</w:t>
      </w:r>
    </w:p>
    <w:p w14:paraId="4B86C466">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14:paraId="3F9718D7">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14:paraId="1135AF1C">
      <w:pPr>
        <w:spacing w:line="360" w:lineRule="auto"/>
        <w:ind w:right="360" w:firstLine="480"/>
        <w:jc w:val="right"/>
        <w:rPr>
          <w:color w:val="auto"/>
          <w:sz w:val="24"/>
          <w:highlight w:val="none"/>
        </w:rPr>
      </w:pPr>
    </w:p>
    <w:p w14:paraId="67AB91FA">
      <w:pPr>
        <w:spacing w:line="360" w:lineRule="auto"/>
        <w:ind w:right="360" w:firstLine="480"/>
        <w:jc w:val="right"/>
        <w:rPr>
          <w:color w:val="auto"/>
          <w:sz w:val="24"/>
          <w:highlight w:val="none"/>
        </w:rPr>
      </w:pPr>
      <w:r>
        <w:rPr>
          <w:color w:val="auto"/>
          <w:sz w:val="24"/>
          <w:highlight w:val="none"/>
        </w:rPr>
        <w:t>企业名称（盖章）：________</w:t>
      </w:r>
    </w:p>
    <w:p w14:paraId="46B042AA">
      <w:pPr>
        <w:spacing w:line="360" w:lineRule="auto"/>
        <w:ind w:right="360" w:firstLine="480"/>
        <w:jc w:val="right"/>
        <w:rPr>
          <w:color w:val="auto"/>
          <w:sz w:val="24"/>
          <w:highlight w:val="none"/>
        </w:rPr>
      </w:pPr>
      <w:r>
        <w:rPr>
          <w:color w:val="auto"/>
          <w:sz w:val="24"/>
          <w:highlight w:val="none"/>
        </w:rPr>
        <w:t>日 期：________</w:t>
      </w:r>
    </w:p>
    <w:p w14:paraId="627E5277">
      <w:pPr>
        <w:adjustRightInd w:val="0"/>
        <w:snapToGrid w:val="0"/>
        <w:jc w:val="left"/>
        <w:rPr>
          <w:color w:val="auto"/>
          <w:sz w:val="24"/>
          <w:szCs w:val="21"/>
          <w:highlight w:val="none"/>
        </w:rPr>
      </w:pPr>
    </w:p>
    <w:p w14:paraId="1A303474">
      <w:pPr>
        <w:adjustRightInd w:val="0"/>
        <w:snapToGrid w:val="0"/>
        <w:jc w:val="left"/>
        <w:rPr>
          <w:color w:val="auto"/>
          <w:sz w:val="24"/>
          <w:szCs w:val="21"/>
          <w:highlight w:val="none"/>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F4FAD9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05BA806">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2CA756B2">
      <w:pPr>
        <w:adjustRightInd w:val="0"/>
        <w:snapToGrid w:val="0"/>
        <w:jc w:val="left"/>
        <w:rPr>
          <w:color w:val="auto"/>
          <w:szCs w:val="21"/>
          <w:highlight w:val="none"/>
          <w:vertAlign w:val="superscript"/>
        </w:rPr>
      </w:pPr>
    </w:p>
    <w:p w14:paraId="7DA29F42">
      <w:pPr>
        <w:pageBreakBefore w:val="0"/>
        <w:wordWrap/>
        <w:topLinePunct w:val="0"/>
        <w:bidi w:val="0"/>
        <w:spacing w:line="360" w:lineRule="auto"/>
        <w:ind w:right="360" w:firstLine="480"/>
        <w:jc w:val="right"/>
        <w:rPr>
          <w:rFonts w:hint="eastAsia" w:ascii="宋体" w:hAnsi="宋体" w:eastAsia="宋体" w:cs="宋体"/>
          <w:color w:val="auto"/>
          <w:sz w:val="24"/>
          <w:highlight w:val="none"/>
        </w:rPr>
      </w:pPr>
    </w:p>
    <w:p w14:paraId="6A336B51">
      <w:pPr>
        <w:pageBreakBefore w:val="0"/>
        <w:wordWrap/>
        <w:topLinePunct w:val="0"/>
        <w:bidi w:val="0"/>
        <w:spacing w:line="360" w:lineRule="auto"/>
        <w:ind w:right="360" w:firstLine="480"/>
        <w:jc w:val="right"/>
        <w:rPr>
          <w:rFonts w:hint="eastAsia" w:ascii="宋体" w:hAnsi="宋体" w:eastAsia="宋体" w:cs="宋体"/>
          <w:color w:val="auto"/>
          <w:sz w:val="24"/>
          <w:highlight w:val="none"/>
        </w:rPr>
      </w:pPr>
    </w:p>
    <w:p w14:paraId="7318943D">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66F627FF">
      <w:pPr>
        <w:pageBreakBefore w:val="0"/>
        <w:wordWrap/>
        <w:topLinePunct w:val="0"/>
        <w:bidi w:val="0"/>
        <w:spacing w:before="240" w:beforeLines="100" w:after="240" w:afterLines="100"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残疾人福利性单位声明函</w:t>
      </w:r>
      <w:r>
        <w:rPr>
          <w:rFonts w:hint="eastAsia" w:ascii="宋体" w:hAnsi="宋体" w:eastAsia="宋体" w:cs="宋体"/>
          <w:b/>
          <w:color w:val="auto"/>
          <w:sz w:val="36"/>
          <w:szCs w:val="36"/>
          <w:highlight w:val="none"/>
        </w:rPr>
        <w:t xml:space="preserve">       </w:t>
      </w:r>
    </w:p>
    <w:p w14:paraId="62B1D38D">
      <w:pPr>
        <w:pageBreakBefore w:val="0"/>
        <w:wordWrap/>
        <w:topLinePunct w:val="0"/>
        <w:bidi w:val="0"/>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w:t>
      </w:r>
      <w:r>
        <w:rPr>
          <w:rFonts w:hint="eastAsia" w:ascii="宋体" w:hAnsi="宋体" w:cs="宋体"/>
          <w:color w:val="auto"/>
          <w:spacing w:val="6"/>
          <w:sz w:val="24"/>
          <w:highlight w:val="none"/>
          <w:lang w:eastAsia="zh-CN"/>
        </w:rPr>
        <w:t>采购</w:t>
      </w:r>
      <w:r>
        <w:rPr>
          <w:rFonts w:hint="eastAsia" w:ascii="宋体" w:hAnsi="宋体" w:eastAsia="宋体" w:cs="宋体"/>
          <w:color w:val="auto"/>
          <w:spacing w:val="6"/>
          <w:sz w:val="24"/>
          <w:highlight w:val="none"/>
        </w:rPr>
        <w:t>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w:t>
      </w:r>
      <w:r>
        <w:rPr>
          <w:rFonts w:hint="eastAsia" w:ascii="宋体" w:hAnsi="宋体" w:eastAsia="宋体" w:cs="宋体"/>
          <w:b/>
          <w:color w:val="auto"/>
          <w:sz w:val="24"/>
          <w:highlight w:val="none"/>
        </w:rPr>
        <w:t>（请进行勾选）</w:t>
      </w:r>
      <w:r>
        <w:rPr>
          <w:rFonts w:hint="eastAsia" w:ascii="宋体" w:hAnsi="宋体" w:eastAsia="宋体" w:cs="宋体"/>
          <w:color w:val="auto"/>
          <w:spacing w:val="6"/>
          <w:sz w:val="24"/>
          <w:highlight w:val="none"/>
        </w:rPr>
        <w:t>：</w:t>
      </w:r>
    </w:p>
    <w:p w14:paraId="397D03EE">
      <w:pPr>
        <w:pageBreakBefore w:val="0"/>
        <w:wordWrap/>
        <w:topLinePunct w:val="0"/>
        <w:bidi w:val="0"/>
        <w:spacing w:line="360" w:lineRule="auto"/>
        <w:ind w:firstLine="482"/>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不属于符合条件的残疾人福利性单位。</w:t>
      </w:r>
    </w:p>
    <w:p w14:paraId="451FFFC5">
      <w:pPr>
        <w:pageBreakBefore w:val="0"/>
        <w:wordWrap/>
        <w:topLinePunct w:val="0"/>
        <w:bidi w:val="0"/>
        <w:spacing w:line="360" w:lineRule="auto"/>
        <w:ind w:firstLine="482"/>
        <w:rPr>
          <w:rFonts w:hint="eastAsia" w:ascii="宋体" w:hAnsi="宋体" w:eastAsia="宋体" w:cs="宋体"/>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属于符合条件的残疾人福利性单位，</w:t>
      </w:r>
      <w:r>
        <w:rPr>
          <w:rFonts w:hint="eastAsia" w:ascii="宋体" w:hAnsi="宋体" w:eastAsia="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C67CB46">
      <w:pPr>
        <w:pageBreakBefore w:val="0"/>
        <w:wordWrap/>
        <w:topLinePunct w:val="0"/>
        <w:bidi w:val="0"/>
        <w:spacing w:line="360" w:lineRule="auto"/>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rPr>
        <w:t>本单位对上述声明的真实性负责。如有虚假，将依法承担相应责任。</w:t>
      </w:r>
    </w:p>
    <w:p w14:paraId="2EFCE7DD">
      <w:pPr>
        <w:pageBreakBefore w:val="0"/>
        <w:wordWrap/>
        <w:topLinePunct w:val="0"/>
        <w:bidi w:val="0"/>
        <w:spacing w:line="360" w:lineRule="auto"/>
        <w:ind w:firstLine="504" w:firstLineChars="200"/>
        <w:rPr>
          <w:rFonts w:hint="eastAsia" w:ascii="宋体" w:hAnsi="宋体" w:eastAsia="宋体" w:cs="宋体"/>
          <w:color w:val="auto"/>
          <w:spacing w:val="6"/>
          <w:sz w:val="24"/>
          <w:highlight w:val="none"/>
        </w:rPr>
      </w:pPr>
    </w:p>
    <w:p w14:paraId="0E4E51BD">
      <w:pPr>
        <w:pageBreakBefore w:val="0"/>
        <w:wordWrap/>
        <w:topLinePunct w:val="0"/>
        <w:bidi w:val="0"/>
        <w:spacing w:line="360" w:lineRule="auto"/>
        <w:ind w:firstLine="504" w:firstLineChars="200"/>
        <w:rPr>
          <w:rFonts w:hint="eastAsia" w:ascii="宋体" w:hAnsi="宋体" w:eastAsia="宋体" w:cs="宋体"/>
          <w:color w:val="auto"/>
          <w:spacing w:val="6"/>
          <w:sz w:val="24"/>
          <w:highlight w:val="none"/>
        </w:rPr>
      </w:pPr>
    </w:p>
    <w:p w14:paraId="5F657ADD">
      <w:pPr>
        <w:pageBreakBefore w:val="0"/>
        <w:tabs>
          <w:tab w:val="left" w:pos="4860"/>
        </w:tabs>
        <w:wordWrap/>
        <w:topLinePunct w:val="0"/>
        <w:bidi w:val="0"/>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3B10F280">
      <w:pPr>
        <w:pageBreakBefore w:val="0"/>
        <w:tabs>
          <w:tab w:val="left" w:pos="4860"/>
        </w:tabs>
        <w:wordWrap/>
        <w:topLinePunct w:val="0"/>
        <w:bidi w:val="0"/>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5E34AD91">
      <w:pPr>
        <w:pageBreakBefore w:val="0"/>
        <w:tabs>
          <w:tab w:val="left" w:pos="8280"/>
        </w:tabs>
        <w:wordWrap/>
        <w:topLinePunct w:val="0"/>
        <w:bidi w:val="0"/>
        <w:spacing w:line="360" w:lineRule="auto"/>
        <w:rPr>
          <w:rFonts w:hint="eastAsia" w:ascii="宋体" w:hAnsi="宋体" w:eastAsia="宋体" w:cs="宋体"/>
          <w:color w:val="auto"/>
          <w:sz w:val="24"/>
          <w:highlight w:val="none"/>
        </w:rPr>
        <w:sectPr>
          <w:headerReference r:id="rId20" w:type="first"/>
          <w:footerReference r:id="rId22" w:type="first"/>
          <w:headerReference r:id="rId19" w:type="even"/>
          <w:footerReference r:id="rId21" w:type="even"/>
          <w:pgSz w:w="11907" w:h="16840"/>
          <w:pgMar w:top="1134" w:right="1134" w:bottom="1134" w:left="1134" w:header="851" w:footer="851" w:gutter="0"/>
          <w:pgNumType w:fmt="decimal"/>
          <w:cols w:space="720" w:num="1"/>
          <w:docGrid w:linePitch="462" w:charSpace="0"/>
        </w:sectPr>
      </w:pPr>
    </w:p>
    <w:p w14:paraId="05B7EDFA">
      <w:pPr>
        <w:pStyle w:val="4"/>
        <w:pageBreakBefore w:val="0"/>
        <w:wordWrap/>
        <w:topLinePunct w:val="0"/>
        <w:bidi w:val="0"/>
        <w:spacing w:line="360" w:lineRule="auto"/>
        <w:rPr>
          <w:rFonts w:hint="default" w:ascii="宋体" w:hAnsi="宋体" w:eastAsia="宋体" w:cs="宋体"/>
          <w:b/>
          <w:bCs/>
          <w:color w:val="auto"/>
          <w:highlight w:val="none"/>
          <w:u w:val="none"/>
          <w:lang w:val="en-US" w:eastAsia="zh-CN"/>
        </w:rPr>
      </w:pPr>
      <w:r>
        <w:rPr>
          <w:rFonts w:hint="default" w:ascii="宋体" w:hAnsi="宋体" w:eastAsia="宋体" w:cs="宋体"/>
          <w:b/>
          <w:bCs/>
          <w:color w:val="auto"/>
          <w:highlight w:val="none"/>
          <w:u w:val="none"/>
          <w:lang w:val="en-US" w:eastAsia="zh-CN"/>
        </w:rPr>
        <w:t>2-1-2 拟分包情况说明及分包意向协议</w:t>
      </w:r>
      <w:r>
        <w:rPr>
          <w:rFonts w:hint="eastAsia" w:hAnsi="宋体" w:cs="宋体"/>
          <w:b/>
          <w:bCs/>
          <w:color w:val="auto"/>
          <w:highlight w:val="none"/>
          <w:u w:val="none"/>
          <w:lang w:val="en-US" w:eastAsia="zh-CN"/>
        </w:rPr>
        <w:t>（不适用）</w:t>
      </w:r>
    </w:p>
    <w:p w14:paraId="1661B5B8">
      <w:pPr>
        <w:autoSpaceDE w:val="0"/>
        <w:autoSpaceDN w:val="0"/>
        <w:adjustRightInd w:val="0"/>
        <w:jc w:val="center"/>
        <w:rPr>
          <w:color w:val="000000"/>
          <w:sz w:val="30"/>
          <w:szCs w:val="30"/>
        </w:rPr>
      </w:pPr>
    </w:p>
    <w:p w14:paraId="2EBE1E63">
      <w:pPr>
        <w:autoSpaceDE w:val="0"/>
        <w:autoSpaceDN w:val="0"/>
        <w:adjustRightInd w:val="0"/>
        <w:spacing w:line="360" w:lineRule="auto"/>
        <w:jc w:val="center"/>
        <w:rPr>
          <w:b/>
          <w:color w:val="000000"/>
          <w:sz w:val="36"/>
          <w:szCs w:val="36"/>
        </w:rPr>
      </w:pPr>
      <w:r>
        <w:rPr>
          <w:b/>
          <w:color w:val="000000"/>
          <w:sz w:val="36"/>
          <w:szCs w:val="36"/>
        </w:rPr>
        <w:t>拟分包情况说明</w:t>
      </w:r>
    </w:p>
    <w:p w14:paraId="145EF83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EB2530B">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7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F51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99F1D55">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504E7BAE">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323BBCD5">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55A9F59E">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337E584C">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331DBED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4FB53354">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167210EA">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1B958DA2">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AAE9332">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02306FD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5DE44945">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2F1E53D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w:t>
            </w:r>
          </w:p>
          <w:p w14:paraId="55519A0F">
            <w:pPr>
              <w:pStyle w:val="228"/>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381E479D">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119B8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EE2CF62">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765F876C">
            <w:pPr>
              <w:pStyle w:val="228"/>
              <w:jc w:val="center"/>
              <w:rPr>
                <w:rFonts w:ascii="Times New Roman" w:hAnsi="Times New Roman" w:cs="Times New Roman" w:eastAsiaTheme="minorEastAsia"/>
                <w:sz w:val="30"/>
              </w:rPr>
            </w:pPr>
          </w:p>
        </w:tc>
        <w:tc>
          <w:tcPr>
            <w:tcW w:w="1513" w:type="dxa"/>
            <w:vAlign w:val="center"/>
          </w:tcPr>
          <w:p w14:paraId="43083E6C">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D533D0A">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3E7835F6">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444568EF">
            <w:pPr>
              <w:pStyle w:val="228"/>
              <w:jc w:val="center"/>
              <w:rPr>
                <w:rFonts w:ascii="Times New Roman" w:hAnsi="Times New Roman" w:cs="Times New Roman" w:eastAsiaTheme="minorEastAsia"/>
                <w:sz w:val="30"/>
                <w:lang w:eastAsia="zh-CN"/>
              </w:rPr>
            </w:pPr>
          </w:p>
        </w:tc>
        <w:tc>
          <w:tcPr>
            <w:tcW w:w="1558" w:type="dxa"/>
            <w:vAlign w:val="center"/>
          </w:tcPr>
          <w:p w14:paraId="7B60EDC2">
            <w:pPr>
              <w:pStyle w:val="228"/>
              <w:jc w:val="center"/>
              <w:rPr>
                <w:rFonts w:ascii="Times New Roman" w:hAnsi="Times New Roman" w:cs="Times New Roman" w:eastAsiaTheme="minorEastAsia"/>
                <w:sz w:val="30"/>
                <w:lang w:eastAsia="zh-CN"/>
              </w:rPr>
            </w:pPr>
          </w:p>
        </w:tc>
        <w:tc>
          <w:tcPr>
            <w:tcW w:w="1498" w:type="dxa"/>
            <w:vAlign w:val="center"/>
          </w:tcPr>
          <w:p w14:paraId="42FAA921">
            <w:pPr>
              <w:pStyle w:val="228"/>
              <w:jc w:val="center"/>
              <w:rPr>
                <w:rFonts w:ascii="Times New Roman" w:hAnsi="Times New Roman" w:cs="Times New Roman" w:eastAsiaTheme="minorEastAsia"/>
                <w:sz w:val="30"/>
                <w:lang w:eastAsia="zh-CN"/>
              </w:rPr>
            </w:pPr>
          </w:p>
        </w:tc>
        <w:tc>
          <w:tcPr>
            <w:tcW w:w="1564" w:type="dxa"/>
            <w:vAlign w:val="center"/>
          </w:tcPr>
          <w:p w14:paraId="32F44815">
            <w:pPr>
              <w:pStyle w:val="228"/>
              <w:jc w:val="center"/>
              <w:rPr>
                <w:rFonts w:ascii="Times New Roman" w:hAnsi="Times New Roman" w:cs="Times New Roman" w:eastAsiaTheme="minorEastAsia"/>
                <w:sz w:val="30"/>
                <w:lang w:eastAsia="zh-CN"/>
              </w:rPr>
            </w:pPr>
          </w:p>
        </w:tc>
      </w:tr>
      <w:tr w14:paraId="2F3C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8AA3EFA">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24C4D5A4">
            <w:pPr>
              <w:pStyle w:val="228"/>
              <w:jc w:val="center"/>
              <w:rPr>
                <w:rFonts w:ascii="Times New Roman" w:hAnsi="Times New Roman" w:cs="Times New Roman" w:eastAsiaTheme="minorEastAsia"/>
                <w:sz w:val="30"/>
              </w:rPr>
            </w:pPr>
          </w:p>
        </w:tc>
        <w:tc>
          <w:tcPr>
            <w:tcW w:w="1513" w:type="dxa"/>
            <w:vAlign w:val="center"/>
          </w:tcPr>
          <w:p w14:paraId="78D30923">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A3A0F4C">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497EA52">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3C1BDAA1">
            <w:pPr>
              <w:pStyle w:val="228"/>
              <w:jc w:val="center"/>
              <w:rPr>
                <w:rFonts w:ascii="Times New Roman" w:hAnsi="Times New Roman" w:cs="Times New Roman" w:eastAsiaTheme="minorEastAsia"/>
                <w:sz w:val="30"/>
                <w:lang w:eastAsia="zh-CN"/>
              </w:rPr>
            </w:pPr>
          </w:p>
        </w:tc>
        <w:tc>
          <w:tcPr>
            <w:tcW w:w="1558" w:type="dxa"/>
            <w:vAlign w:val="center"/>
          </w:tcPr>
          <w:p w14:paraId="6B318056">
            <w:pPr>
              <w:pStyle w:val="228"/>
              <w:jc w:val="center"/>
              <w:rPr>
                <w:rFonts w:ascii="Times New Roman" w:hAnsi="Times New Roman" w:cs="Times New Roman" w:eastAsiaTheme="minorEastAsia"/>
                <w:sz w:val="30"/>
                <w:lang w:eastAsia="zh-CN"/>
              </w:rPr>
            </w:pPr>
          </w:p>
        </w:tc>
        <w:tc>
          <w:tcPr>
            <w:tcW w:w="1498" w:type="dxa"/>
            <w:vAlign w:val="center"/>
          </w:tcPr>
          <w:p w14:paraId="5C21C756">
            <w:pPr>
              <w:pStyle w:val="228"/>
              <w:jc w:val="center"/>
              <w:rPr>
                <w:rFonts w:ascii="Times New Roman" w:hAnsi="Times New Roman" w:cs="Times New Roman" w:eastAsiaTheme="minorEastAsia"/>
                <w:sz w:val="30"/>
                <w:lang w:eastAsia="zh-CN"/>
              </w:rPr>
            </w:pPr>
          </w:p>
        </w:tc>
        <w:tc>
          <w:tcPr>
            <w:tcW w:w="1564" w:type="dxa"/>
            <w:vAlign w:val="center"/>
          </w:tcPr>
          <w:p w14:paraId="2E163151">
            <w:pPr>
              <w:pStyle w:val="228"/>
              <w:jc w:val="center"/>
              <w:rPr>
                <w:rFonts w:ascii="Times New Roman" w:hAnsi="Times New Roman" w:cs="Times New Roman" w:eastAsiaTheme="minorEastAsia"/>
                <w:sz w:val="30"/>
                <w:lang w:eastAsia="zh-CN"/>
              </w:rPr>
            </w:pPr>
          </w:p>
        </w:tc>
      </w:tr>
      <w:tr w14:paraId="73E5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BA372BC">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3F10AD34">
            <w:pPr>
              <w:pStyle w:val="228"/>
              <w:jc w:val="center"/>
              <w:rPr>
                <w:rFonts w:ascii="Times New Roman" w:hAnsi="Times New Roman" w:cs="Times New Roman" w:eastAsiaTheme="minorEastAsia"/>
                <w:sz w:val="30"/>
              </w:rPr>
            </w:pPr>
          </w:p>
        </w:tc>
        <w:tc>
          <w:tcPr>
            <w:tcW w:w="1513" w:type="dxa"/>
            <w:vAlign w:val="center"/>
          </w:tcPr>
          <w:p w14:paraId="7820B3B1">
            <w:pPr>
              <w:pStyle w:val="228"/>
              <w:tabs>
                <w:tab w:val="left" w:pos="235"/>
              </w:tabs>
              <w:jc w:val="center"/>
              <w:rPr>
                <w:rFonts w:ascii="Times New Roman" w:hAnsi="Times New Roman" w:cs="Times New Roman" w:eastAsiaTheme="minorEastAsia"/>
                <w:sz w:val="24"/>
              </w:rPr>
            </w:pPr>
          </w:p>
        </w:tc>
        <w:tc>
          <w:tcPr>
            <w:tcW w:w="1125" w:type="dxa"/>
            <w:vAlign w:val="center"/>
          </w:tcPr>
          <w:p w14:paraId="54F4682A">
            <w:pPr>
              <w:pStyle w:val="228"/>
              <w:jc w:val="center"/>
              <w:rPr>
                <w:rFonts w:ascii="Times New Roman" w:hAnsi="Times New Roman" w:cs="Times New Roman" w:eastAsiaTheme="minorEastAsia"/>
                <w:sz w:val="30"/>
              </w:rPr>
            </w:pPr>
          </w:p>
        </w:tc>
        <w:tc>
          <w:tcPr>
            <w:tcW w:w="1558" w:type="dxa"/>
            <w:vAlign w:val="center"/>
          </w:tcPr>
          <w:p w14:paraId="6884F17F">
            <w:pPr>
              <w:pStyle w:val="228"/>
              <w:jc w:val="center"/>
              <w:rPr>
                <w:rFonts w:ascii="Times New Roman" w:hAnsi="Times New Roman" w:cs="Times New Roman" w:eastAsiaTheme="minorEastAsia"/>
                <w:sz w:val="30"/>
              </w:rPr>
            </w:pPr>
          </w:p>
        </w:tc>
        <w:tc>
          <w:tcPr>
            <w:tcW w:w="1498" w:type="dxa"/>
            <w:vAlign w:val="center"/>
          </w:tcPr>
          <w:p w14:paraId="2E266786">
            <w:pPr>
              <w:pStyle w:val="228"/>
              <w:jc w:val="center"/>
              <w:rPr>
                <w:rFonts w:ascii="Times New Roman" w:hAnsi="Times New Roman" w:cs="Times New Roman" w:eastAsiaTheme="minorEastAsia"/>
                <w:sz w:val="30"/>
              </w:rPr>
            </w:pPr>
          </w:p>
        </w:tc>
        <w:tc>
          <w:tcPr>
            <w:tcW w:w="1564" w:type="dxa"/>
            <w:vAlign w:val="center"/>
          </w:tcPr>
          <w:p w14:paraId="0BBCFF9C">
            <w:pPr>
              <w:pStyle w:val="228"/>
              <w:jc w:val="center"/>
              <w:rPr>
                <w:rFonts w:ascii="Times New Roman" w:hAnsi="Times New Roman" w:cs="Times New Roman" w:eastAsiaTheme="minorEastAsia"/>
                <w:sz w:val="30"/>
              </w:rPr>
            </w:pPr>
          </w:p>
        </w:tc>
      </w:tr>
      <w:tr w14:paraId="7A5A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38B8D8D">
            <w:pPr>
              <w:pStyle w:val="228"/>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5AD9A9C7">
            <w:pPr>
              <w:pStyle w:val="228"/>
              <w:jc w:val="center"/>
              <w:rPr>
                <w:rFonts w:ascii="Times New Roman" w:hAnsi="Times New Roman" w:cs="Times New Roman" w:eastAsiaTheme="minorEastAsia"/>
                <w:sz w:val="30"/>
              </w:rPr>
            </w:pPr>
          </w:p>
        </w:tc>
        <w:tc>
          <w:tcPr>
            <w:tcW w:w="1564" w:type="dxa"/>
            <w:vAlign w:val="center"/>
          </w:tcPr>
          <w:p w14:paraId="447FDCB2">
            <w:pPr>
              <w:pStyle w:val="228"/>
              <w:jc w:val="center"/>
              <w:rPr>
                <w:rFonts w:ascii="Times New Roman" w:hAnsi="Times New Roman" w:cs="Times New Roman" w:eastAsiaTheme="minorEastAsia"/>
                <w:sz w:val="30"/>
              </w:rPr>
            </w:pPr>
          </w:p>
        </w:tc>
      </w:tr>
    </w:tbl>
    <w:p w14:paraId="0E3C5549">
      <w:pPr>
        <w:adjustRightInd w:val="0"/>
        <w:snapToGrid w:val="0"/>
        <w:spacing w:line="360" w:lineRule="auto"/>
        <w:ind w:firstLine="480" w:firstLineChars="200"/>
        <w:jc w:val="left"/>
        <w:rPr>
          <w:sz w:val="24"/>
        </w:rPr>
      </w:pPr>
    </w:p>
    <w:p w14:paraId="1DAC53F7">
      <w:pPr>
        <w:adjustRightInd w:val="0"/>
        <w:snapToGrid w:val="0"/>
        <w:spacing w:line="360" w:lineRule="auto"/>
        <w:jc w:val="left"/>
        <w:rPr>
          <w:sz w:val="24"/>
        </w:rPr>
      </w:pPr>
    </w:p>
    <w:p w14:paraId="28EACDD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54E8C186">
      <w:pPr>
        <w:spacing w:line="360" w:lineRule="auto"/>
        <w:ind w:right="-57" w:firstLine="480"/>
        <w:jc w:val="right"/>
        <w:rPr>
          <w:color w:val="000000"/>
          <w:sz w:val="24"/>
        </w:rPr>
      </w:pPr>
      <w:r>
        <w:rPr>
          <w:color w:val="000000"/>
          <w:sz w:val="24"/>
          <w:szCs w:val="20"/>
        </w:rPr>
        <w:t>日期：_____年______月______日</w:t>
      </w:r>
    </w:p>
    <w:p w14:paraId="2ADF6854">
      <w:pPr>
        <w:adjustRightInd w:val="0"/>
        <w:snapToGrid w:val="0"/>
        <w:spacing w:line="360" w:lineRule="auto"/>
        <w:jc w:val="left"/>
        <w:rPr>
          <w:sz w:val="24"/>
        </w:rPr>
      </w:pPr>
      <w:r>
        <w:rPr>
          <w:sz w:val="24"/>
        </w:rPr>
        <w:t>注：</w:t>
      </w:r>
    </w:p>
    <w:p w14:paraId="62064C68">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4761894">
      <w:pPr>
        <w:adjustRightInd w:val="0"/>
        <w:snapToGrid w:val="0"/>
        <w:spacing w:line="360" w:lineRule="auto"/>
        <w:jc w:val="left"/>
        <w:rPr>
          <w:color w:val="000000"/>
          <w:sz w:val="30"/>
          <w:szCs w:val="30"/>
        </w:rPr>
      </w:pPr>
    </w:p>
    <w:p w14:paraId="3821EDC4">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1F8CCD7D">
      <w:pPr>
        <w:adjustRightInd w:val="0"/>
        <w:snapToGrid w:val="0"/>
        <w:spacing w:line="360" w:lineRule="auto"/>
        <w:ind w:firstLine="480" w:firstLineChars="200"/>
        <w:jc w:val="left"/>
        <w:rPr>
          <w:sz w:val="24"/>
        </w:rPr>
      </w:pPr>
      <w:r>
        <w:rPr>
          <w:sz w:val="24"/>
        </w:rPr>
        <w:t>甲方（投标人）：________</w:t>
      </w:r>
    </w:p>
    <w:p w14:paraId="18F98767">
      <w:pPr>
        <w:adjustRightInd w:val="0"/>
        <w:snapToGrid w:val="0"/>
        <w:spacing w:line="360" w:lineRule="auto"/>
        <w:ind w:firstLine="480" w:firstLineChars="200"/>
        <w:jc w:val="left"/>
        <w:rPr>
          <w:sz w:val="24"/>
        </w:rPr>
      </w:pPr>
      <w:r>
        <w:rPr>
          <w:sz w:val="24"/>
        </w:rPr>
        <w:t>乙方（拟分包单位）：________</w:t>
      </w:r>
    </w:p>
    <w:p w14:paraId="3D98506A">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712BFE40">
      <w:pPr>
        <w:adjustRightInd w:val="0"/>
        <w:snapToGrid w:val="0"/>
        <w:spacing w:line="360" w:lineRule="auto"/>
        <w:ind w:firstLine="480" w:firstLineChars="200"/>
        <w:jc w:val="left"/>
        <w:rPr>
          <w:sz w:val="24"/>
        </w:rPr>
      </w:pPr>
      <w:r>
        <w:rPr>
          <w:sz w:val="24"/>
        </w:rPr>
        <w:t>1.分包内容：_____。</w:t>
      </w:r>
    </w:p>
    <w:p w14:paraId="09A3EF39">
      <w:pPr>
        <w:adjustRightInd w:val="0"/>
        <w:snapToGrid w:val="0"/>
        <w:spacing w:line="360" w:lineRule="auto"/>
        <w:ind w:firstLine="480" w:firstLineChars="200"/>
        <w:jc w:val="left"/>
        <w:rPr>
          <w:sz w:val="24"/>
        </w:rPr>
      </w:pPr>
      <w:r>
        <w:rPr>
          <w:sz w:val="24"/>
        </w:rPr>
        <w:t>2.分包金额：_____，该金额占该采购包合同金额的比例为___%。</w:t>
      </w:r>
    </w:p>
    <w:p w14:paraId="461F37E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372980B">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473213C">
      <w:pPr>
        <w:spacing w:line="360" w:lineRule="auto"/>
        <w:ind w:firstLine="471"/>
        <w:rPr>
          <w:b/>
          <w:color w:val="000000"/>
          <w:sz w:val="24"/>
        </w:rPr>
      </w:pPr>
    </w:p>
    <w:p w14:paraId="7928B720">
      <w:pPr>
        <w:spacing w:line="360" w:lineRule="auto"/>
        <w:ind w:firstLine="471"/>
        <w:rPr>
          <w:b/>
          <w:color w:val="000000"/>
          <w:sz w:val="24"/>
        </w:rPr>
      </w:pPr>
      <w:r>
        <w:rPr>
          <w:color w:val="000000"/>
          <w:sz w:val="24"/>
        </w:rPr>
        <w:t>甲方（盖章）：_________                 乙方（盖章）：_________</w:t>
      </w:r>
    </w:p>
    <w:p w14:paraId="6BC93E2A">
      <w:pPr>
        <w:spacing w:line="360" w:lineRule="auto"/>
        <w:ind w:left="480"/>
        <w:jc w:val="right"/>
        <w:rPr>
          <w:color w:val="000000"/>
          <w:sz w:val="24"/>
        </w:rPr>
      </w:pPr>
    </w:p>
    <w:p w14:paraId="7C189C92">
      <w:pPr>
        <w:wordWrap w:val="0"/>
        <w:spacing w:line="360" w:lineRule="auto"/>
        <w:ind w:left="480"/>
        <w:jc w:val="right"/>
        <w:rPr>
          <w:b/>
          <w:color w:val="000000"/>
          <w:sz w:val="24"/>
        </w:rPr>
      </w:pPr>
      <w:r>
        <w:rPr>
          <w:color w:val="000000"/>
          <w:sz w:val="24"/>
          <w:szCs w:val="20"/>
        </w:rPr>
        <w:t xml:space="preserve">日期：_____年______月______日   </w:t>
      </w:r>
    </w:p>
    <w:p w14:paraId="397FA4FB">
      <w:pPr>
        <w:tabs>
          <w:tab w:val="left" w:pos="8280"/>
        </w:tabs>
        <w:spacing w:line="360" w:lineRule="auto"/>
        <w:ind w:firstLine="480"/>
        <w:rPr>
          <w:color w:val="000000"/>
          <w:sz w:val="24"/>
        </w:rPr>
      </w:pPr>
    </w:p>
    <w:p w14:paraId="154BD43E">
      <w:pPr>
        <w:tabs>
          <w:tab w:val="left" w:pos="8280"/>
        </w:tabs>
        <w:spacing w:line="360" w:lineRule="auto"/>
        <w:rPr>
          <w:color w:val="000000"/>
          <w:sz w:val="24"/>
        </w:rPr>
      </w:pPr>
      <w:r>
        <w:rPr>
          <w:color w:val="000000"/>
          <w:sz w:val="24"/>
        </w:rPr>
        <w:t>注：</w:t>
      </w:r>
    </w:p>
    <w:p w14:paraId="5ED6C305">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4D6D3750">
      <w:pPr>
        <w:widowControl/>
        <w:jc w:val="left"/>
        <w:rPr>
          <w:color w:val="000000"/>
          <w:sz w:val="24"/>
          <w:szCs w:val="20"/>
        </w:rPr>
      </w:pPr>
      <w:r>
        <w:rPr>
          <w:color w:val="000000"/>
          <w:sz w:val="24"/>
          <w:szCs w:val="20"/>
        </w:rPr>
        <w:br w:type="page"/>
      </w:r>
    </w:p>
    <w:p w14:paraId="138954EA">
      <w:pPr>
        <w:pageBreakBefore w:val="0"/>
        <w:wordWrap/>
        <w:topLinePunct w:val="0"/>
        <w:bidi w:val="0"/>
        <w:spacing w:line="360" w:lineRule="auto"/>
        <w:outlineLvl w:val="2"/>
        <w:rPr>
          <w:rFonts w:hint="eastAsia" w:ascii="宋体" w:hAnsi="宋体" w:eastAsia="宋体" w:cs="宋体"/>
          <w:b/>
          <w:bCs/>
          <w:color w:val="auto"/>
          <w:sz w:val="24"/>
          <w:szCs w:val="20"/>
          <w:highlight w:val="none"/>
        </w:rPr>
      </w:pPr>
    </w:p>
    <w:p w14:paraId="081972A8">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 xml:space="preserve"> </w:t>
      </w:r>
      <w:r>
        <w:rPr>
          <w:rFonts w:hint="eastAsia" w:ascii="宋体" w:hAnsi="宋体" w:eastAsia="宋体" w:cs="宋体"/>
          <w:b/>
          <w:bCs/>
          <w:color w:val="auto"/>
          <w:sz w:val="24"/>
          <w:highlight w:val="none"/>
        </w:rPr>
        <w:t>其它落实</w:t>
      </w:r>
      <w:r>
        <w:rPr>
          <w:rFonts w:hint="eastAsia" w:ascii="宋体" w:hAnsi="宋体" w:cs="宋体"/>
          <w:b/>
          <w:bCs/>
          <w:color w:val="auto"/>
          <w:sz w:val="24"/>
          <w:highlight w:val="none"/>
          <w:lang w:eastAsia="zh-CN"/>
        </w:rPr>
        <w:t>采购</w:t>
      </w:r>
      <w:r>
        <w:rPr>
          <w:rFonts w:hint="eastAsia" w:ascii="宋体" w:hAnsi="宋体" w:eastAsia="宋体" w:cs="宋体"/>
          <w:b/>
          <w:bCs/>
          <w:color w:val="auto"/>
          <w:sz w:val="24"/>
          <w:highlight w:val="none"/>
        </w:rPr>
        <w:t>政策的资格要求</w:t>
      </w:r>
      <w:r>
        <w:rPr>
          <w:rFonts w:hint="eastAsia" w:ascii="宋体" w:hAnsi="宋体" w:eastAsia="宋体" w:cs="宋体"/>
          <w:b/>
          <w:bCs/>
          <w:color w:val="auto"/>
          <w:sz w:val="24"/>
          <w:szCs w:val="20"/>
          <w:highlight w:val="none"/>
        </w:rPr>
        <w:t>（如有）</w:t>
      </w:r>
    </w:p>
    <w:p w14:paraId="2DECD9AB">
      <w:pPr>
        <w:pageBreakBefore w:val="0"/>
        <w:widowControl/>
        <w:wordWrap/>
        <w:topLinePunct w:val="0"/>
        <w:bidi w:val="0"/>
        <w:spacing w:line="360" w:lineRule="auto"/>
        <w:jc w:val="left"/>
        <w:rPr>
          <w:rFonts w:hint="eastAsia" w:ascii="宋体" w:hAnsi="宋体" w:eastAsia="宋体" w:cs="宋体"/>
          <w:color w:val="auto"/>
          <w:sz w:val="24"/>
          <w:highlight w:val="none"/>
        </w:rPr>
      </w:pPr>
    </w:p>
    <w:p w14:paraId="6E5713BA">
      <w:pPr>
        <w:rPr>
          <w:rFonts w:hint="eastAsia" w:ascii="宋体" w:hAnsi="宋体" w:eastAsia="宋体" w:cs="宋体"/>
          <w:color w:val="auto"/>
          <w:sz w:val="24"/>
          <w:highlight w:val="none"/>
        </w:rPr>
      </w:pPr>
    </w:p>
    <w:p w14:paraId="2B52B0F8">
      <w:pPr>
        <w:pStyle w:val="3"/>
        <w:rPr>
          <w:rFonts w:hint="eastAsia"/>
        </w:rPr>
      </w:pPr>
    </w:p>
    <w:p w14:paraId="20B8F453">
      <w:pPr>
        <w:rPr>
          <w:rFonts w:hint="eastAsia"/>
        </w:rPr>
      </w:pPr>
    </w:p>
    <w:p w14:paraId="1D2A8C33">
      <w:pPr>
        <w:rPr>
          <w:rFonts w:hint="eastAsia"/>
        </w:rPr>
      </w:pPr>
    </w:p>
    <w:p w14:paraId="33B9AD94">
      <w:pPr>
        <w:rPr>
          <w:rFonts w:hint="eastAsia"/>
        </w:rPr>
      </w:pPr>
    </w:p>
    <w:p w14:paraId="5DC898B5">
      <w:pPr>
        <w:rPr>
          <w:rFonts w:hint="eastAsia"/>
        </w:rPr>
      </w:pPr>
    </w:p>
    <w:p w14:paraId="7D4AAF4D">
      <w:pPr>
        <w:rPr>
          <w:rFonts w:hint="eastAsia"/>
        </w:rPr>
      </w:pPr>
    </w:p>
    <w:p w14:paraId="4714A1EE">
      <w:pPr>
        <w:rPr>
          <w:rFonts w:hint="eastAsia"/>
        </w:rPr>
      </w:pPr>
    </w:p>
    <w:p w14:paraId="6600ACE8">
      <w:pPr>
        <w:rPr>
          <w:rFonts w:hint="eastAsia"/>
        </w:rPr>
      </w:pPr>
    </w:p>
    <w:p w14:paraId="0B794DC3">
      <w:pPr>
        <w:rPr>
          <w:rFonts w:hint="eastAsia"/>
        </w:rPr>
      </w:pPr>
    </w:p>
    <w:p w14:paraId="4536EB1B">
      <w:pPr>
        <w:rPr>
          <w:rFonts w:hint="eastAsia"/>
        </w:rPr>
      </w:pPr>
    </w:p>
    <w:p w14:paraId="7D2526B5">
      <w:pPr>
        <w:rPr>
          <w:rFonts w:hint="eastAsia"/>
        </w:rPr>
      </w:pPr>
    </w:p>
    <w:p w14:paraId="31270B60">
      <w:pPr>
        <w:rPr>
          <w:rFonts w:hint="eastAsia"/>
        </w:rPr>
      </w:pPr>
    </w:p>
    <w:p w14:paraId="3A2D1CA0">
      <w:pPr>
        <w:rPr>
          <w:rFonts w:hint="eastAsia"/>
        </w:rPr>
      </w:pPr>
    </w:p>
    <w:p w14:paraId="2BA2D1FD">
      <w:pPr>
        <w:rPr>
          <w:rFonts w:hint="eastAsia"/>
        </w:rPr>
      </w:pPr>
    </w:p>
    <w:p w14:paraId="527BD3E5">
      <w:pPr>
        <w:rPr>
          <w:rFonts w:hint="eastAsia"/>
        </w:rPr>
      </w:pPr>
    </w:p>
    <w:p w14:paraId="21B2319E">
      <w:pPr>
        <w:rPr>
          <w:rFonts w:hint="eastAsia"/>
        </w:rPr>
      </w:pPr>
    </w:p>
    <w:p w14:paraId="11601CDA">
      <w:pPr>
        <w:rPr>
          <w:rFonts w:hint="eastAsia"/>
        </w:rPr>
      </w:pPr>
    </w:p>
    <w:p w14:paraId="36A8DA4D">
      <w:pPr>
        <w:rPr>
          <w:rFonts w:hint="eastAsia"/>
        </w:rPr>
      </w:pPr>
    </w:p>
    <w:p w14:paraId="1019F68D">
      <w:pPr>
        <w:rPr>
          <w:rFonts w:hint="eastAsia"/>
        </w:rPr>
      </w:pPr>
    </w:p>
    <w:p w14:paraId="7A395D27">
      <w:pPr>
        <w:rPr>
          <w:rFonts w:hint="eastAsia"/>
        </w:rPr>
      </w:pPr>
    </w:p>
    <w:p w14:paraId="6B7D3518">
      <w:pPr>
        <w:rPr>
          <w:rFonts w:hint="eastAsia"/>
        </w:rPr>
      </w:pPr>
    </w:p>
    <w:p w14:paraId="600B6E7A">
      <w:pPr>
        <w:rPr>
          <w:rFonts w:hint="eastAsia"/>
        </w:rPr>
      </w:pPr>
    </w:p>
    <w:p w14:paraId="2A5C7283">
      <w:pPr>
        <w:rPr>
          <w:rFonts w:hint="eastAsia"/>
        </w:rPr>
      </w:pPr>
    </w:p>
    <w:p w14:paraId="61B77267">
      <w:pPr>
        <w:rPr>
          <w:rFonts w:hint="eastAsia"/>
        </w:rPr>
      </w:pPr>
    </w:p>
    <w:p w14:paraId="7A02D606">
      <w:pPr>
        <w:rPr>
          <w:rFonts w:hint="eastAsia"/>
        </w:rPr>
      </w:pPr>
    </w:p>
    <w:p w14:paraId="36B8ECC9">
      <w:pPr>
        <w:rPr>
          <w:rFonts w:hint="eastAsia"/>
        </w:rPr>
      </w:pPr>
    </w:p>
    <w:p w14:paraId="7D3B811B">
      <w:pPr>
        <w:rPr>
          <w:rFonts w:hint="eastAsia"/>
        </w:rPr>
      </w:pPr>
    </w:p>
    <w:p w14:paraId="58D7F905">
      <w:pPr>
        <w:rPr>
          <w:rFonts w:hint="eastAsia"/>
        </w:rPr>
      </w:pPr>
    </w:p>
    <w:p w14:paraId="5E7F7549">
      <w:pPr>
        <w:rPr>
          <w:rFonts w:hint="eastAsia"/>
        </w:rPr>
      </w:pPr>
    </w:p>
    <w:p w14:paraId="27E110B1">
      <w:pPr>
        <w:rPr>
          <w:rFonts w:hint="eastAsia"/>
        </w:rPr>
      </w:pPr>
    </w:p>
    <w:p w14:paraId="69BF93A9">
      <w:pPr>
        <w:rPr>
          <w:rFonts w:hint="eastAsia"/>
        </w:rPr>
      </w:pPr>
    </w:p>
    <w:p w14:paraId="5FC7C46D">
      <w:pPr>
        <w:rPr>
          <w:rFonts w:hint="eastAsia"/>
        </w:rPr>
      </w:pPr>
    </w:p>
    <w:p w14:paraId="55DC946C">
      <w:pPr>
        <w:rPr>
          <w:rFonts w:hint="eastAsia"/>
        </w:rPr>
      </w:pPr>
    </w:p>
    <w:p w14:paraId="70A89DFD">
      <w:pPr>
        <w:rPr>
          <w:rFonts w:hint="eastAsia"/>
        </w:rPr>
      </w:pPr>
    </w:p>
    <w:p w14:paraId="7D4E4E59">
      <w:pPr>
        <w:rPr>
          <w:rFonts w:hint="eastAsia"/>
        </w:rPr>
      </w:pPr>
    </w:p>
    <w:p w14:paraId="609FA457">
      <w:pPr>
        <w:rPr>
          <w:rFonts w:hint="eastAsia"/>
        </w:rPr>
      </w:pPr>
    </w:p>
    <w:p w14:paraId="34DFD03C">
      <w:pPr>
        <w:rPr>
          <w:rFonts w:hint="eastAsia"/>
        </w:rPr>
      </w:pPr>
    </w:p>
    <w:p w14:paraId="4A8F02E2">
      <w:pPr>
        <w:rPr>
          <w:rFonts w:hint="eastAsia"/>
        </w:rPr>
      </w:pPr>
    </w:p>
    <w:p w14:paraId="28DEA58F">
      <w:pPr>
        <w:rPr>
          <w:rFonts w:hint="eastAsia"/>
        </w:rPr>
      </w:pPr>
    </w:p>
    <w:p w14:paraId="3C1A65AD">
      <w:pPr>
        <w:rPr>
          <w:rFonts w:hint="eastAsia"/>
        </w:rPr>
      </w:pPr>
    </w:p>
    <w:p w14:paraId="4B568312">
      <w:pPr>
        <w:rPr>
          <w:rFonts w:hint="eastAsia"/>
        </w:rPr>
      </w:pPr>
    </w:p>
    <w:p w14:paraId="2194054F">
      <w:pPr>
        <w:rPr>
          <w:rFonts w:hint="eastAsia"/>
        </w:rPr>
      </w:pPr>
    </w:p>
    <w:p w14:paraId="393A41EF">
      <w:pPr>
        <w:rPr>
          <w:rFonts w:hint="eastAsia"/>
        </w:rPr>
      </w:pPr>
    </w:p>
    <w:p w14:paraId="422675AC">
      <w:pPr>
        <w:rPr>
          <w:rFonts w:hint="eastAsia"/>
        </w:rPr>
      </w:pPr>
    </w:p>
    <w:p w14:paraId="5A12F24C">
      <w:pPr>
        <w:rPr>
          <w:rFonts w:hint="eastAsia"/>
        </w:rPr>
      </w:pPr>
    </w:p>
    <w:p w14:paraId="7152A596">
      <w:pPr>
        <w:rPr>
          <w:rFonts w:hint="eastAsia"/>
        </w:rPr>
      </w:pPr>
    </w:p>
    <w:p w14:paraId="5898C810">
      <w:pPr>
        <w:rPr>
          <w:rFonts w:hint="eastAsia"/>
        </w:rPr>
      </w:pPr>
    </w:p>
    <w:p w14:paraId="347031B6">
      <w:pPr>
        <w:rPr>
          <w:rFonts w:hint="eastAsia"/>
        </w:rPr>
      </w:pPr>
    </w:p>
    <w:p w14:paraId="643D7090">
      <w:pPr>
        <w:rPr>
          <w:rFonts w:hint="eastAsia"/>
        </w:rPr>
      </w:pPr>
    </w:p>
    <w:p w14:paraId="3E0F6D86">
      <w:pPr>
        <w:rPr>
          <w:rFonts w:hint="eastAsia"/>
        </w:rPr>
      </w:pPr>
    </w:p>
    <w:p w14:paraId="1AA8529D">
      <w:pPr>
        <w:rPr>
          <w:rFonts w:hint="eastAsia"/>
        </w:rPr>
      </w:pPr>
    </w:p>
    <w:p w14:paraId="599D6868">
      <w:pPr>
        <w:pageBreakBefore w:val="0"/>
        <w:widowControl/>
        <w:wordWrap/>
        <w:topLinePunct w:val="0"/>
        <w:bidi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szCs w:val="20"/>
          <w:highlight w:val="none"/>
        </w:rPr>
        <w:t xml:space="preserve">3 </w:t>
      </w:r>
      <w:r>
        <w:rPr>
          <w:rFonts w:hint="eastAsia" w:ascii="宋体" w:hAnsi="宋体" w:eastAsia="宋体" w:cs="宋体"/>
          <w:b/>
          <w:bCs/>
          <w:color w:val="auto"/>
          <w:sz w:val="24"/>
          <w:highlight w:val="none"/>
        </w:rPr>
        <w:t>本项目的特定资格要求</w:t>
      </w:r>
    </w:p>
    <w:p w14:paraId="56D55F47">
      <w:pPr>
        <w:spacing w:line="360" w:lineRule="auto"/>
        <w:outlineLvl w:val="2"/>
        <w:rPr>
          <w:color w:val="000000"/>
          <w:sz w:val="24"/>
          <w:szCs w:val="20"/>
        </w:rPr>
      </w:pPr>
      <w:r>
        <w:rPr>
          <w:color w:val="000000"/>
          <w:sz w:val="24"/>
          <w:szCs w:val="20"/>
        </w:rPr>
        <w:t>3-1 联合协议（如有）</w:t>
      </w:r>
      <w:r>
        <w:rPr>
          <w:rFonts w:hint="eastAsia"/>
          <w:color w:val="000000"/>
          <w:sz w:val="24"/>
        </w:rPr>
        <w:t>（本项目不适用）</w:t>
      </w:r>
    </w:p>
    <w:p w14:paraId="687A3AD7">
      <w:pPr>
        <w:autoSpaceDE w:val="0"/>
        <w:autoSpaceDN w:val="0"/>
        <w:adjustRightInd w:val="0"/>
        <w:spacing w:line="360" w:lineRule="auto"/>
        <w:jc w:val="center"/>
        <w:rPr>
          <w:b/>
          <w:color w:val="000000"/>
          <w:sz w:val="36"/>
          <w:szCs w:val="36"/>
        </w:rPr>
      </w:pPr>
      <w:r>
        <w:rPr>
          <w:b/>
          <w:color w:val="000000"/>
          <w:sz w:val="36"/>
          <w:szCs w:val="36"/>
        </w:rPr>
        <w:t>联合协议</w:t>
      </w:r>
    </w:p>
    <w:p w14:paraId="5EACE167">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1A08C47E">
      <w:pPr>
        <w:numPr>
          <w:ilvl w:val="0"/>
          <w:numId w:val="29"/>
        </w:numPr>
        <w:spacing w:line="360" w:lineRule="auto"/>
        <w:rPr>
          <w:bCs/>
          <w:color w:val="000000"/>
          <w:sz w:val="24"/>
        </w:rPr>
      </w:pPr>
      <w:r>
        <w:rPr>
          <w:bCs/>
          <w:color w:val="000000"/>
          <w:sz w:val="24"/>
        </w:rPr>
        <w:t>由_________牵头，_________、__________参加，组成联合体共同进行招标项目的投标工作。</w:t>
      </w:r>
    </w:p>
    <w:p w14:paraId="253F46C0">
      <w:pPr>
        <w:numPr>
          <w:ilvl w:val="0"/>
          <w:numId w:val="29"/>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3FF4DD85">
      <w:pPr>
        <w:numPr>
          <w:ilvl w:val="0"/>
          <w:numId w:val="29"/>
        </w:numPr>
        <w:spacing w:line="360" w:lineRule="auto"/>
        <w:rPr>
          <w:bCs/>
          <w:color w:val="000000"/>
          <w:sz w:val="24"/>
        </w:rPr>
      </w:pPr>
      <w:r>
        <w:rPr>
          <w:bCs/>
          <w:color w:val="000000"/>
          <w:sz w:val="24"/>
        </w:rPr>
        <w:t>联合体各方均同意由牵头人代表其他联合体成员单位按招标文件要求出具《授权委托书》。</w:t>
      </w:r>
    </w:p>
    <w:p w14:paraId="46EE5A50">
      <w:pPr>
        <w:numPr>
          <w:ilvl w:val="0"/>
          <w:numId w:val="29"/>
        </w:numPr>
        <w:spacing w:line="360" w:lineRule="auto"/>
        <w:rPr>
          <w:bCs/>
          <w:color w:val="000000"/>
          <w:sz w:val="24"/>
        </w:rPr>
      </w:pPr>
      <w:r>
        <w:rPr>
          <w:bCs/>
          <w:color w:val="000000"/>
          <w:sz w:val="24"/>
        </w:rPr>
        <w:t>牵头人为项目的总负责单位；组织各参加方进行项目实施工作。</w:t>
      </w:r>
    </w:p>
    <w:p w14:paraId="7FBA7300">
      <w:pPr>
        <w:numPr>
          <w:ilvl w:val="0"/>
          <w:numId w:val="29"/>
        </w:numPr>
        <w:spacing w:line="360" w:lineRule="auto"/>
        <w:rPr>
          <w:bCs/>
          <w:color w:val="000000"/>
          <w:sz w:val="24"/>
        </w:rPr>
      </w:pPr>
      <w:r>
        <w:rPr>
          <w:bCs/>
          <w:color w:val="000000"/>
          <w:sz w:val="24"/>
        </w:rPr>
        <w:t>______负责_____，具体工作范围、内容以投标文件及合同为准。</w:t>
      </w:r>
    </w:p>
    <w:p w14:paraId="753F4C9B">
      <w:pPr>
        <w:numPr>
          <w:ilvl w:val="0"/>
          <w:numId w:val="29"/>
        </w:numPr>
        <w:spacing w:line="360" w:lineRule="auto"/>
        <w:rPr>
          <w:bCs/>
          <w:color w:val="000000"/>
          <w:sz w:val="24"/>
        </w:rPr>
      </w:pPr>
      <w:r>
        <w:rPr>
          <w:bCs/>
          <w:color w:val="000000"/>
          <w:sz w:val="24"/>
        </w:rPr>
        <w:t>______负责_____，具体工作范围、内容以投标文件及合同为准。</w:t>
      </w:r>
    </w:p>
    <w:p w14:paraId="622592BC">
      <w:pPr>
        <w:numPr>
          <w:ilvl w:val="0"/>
          <w:numId w:val="29"/>
        </w:numPr>
        <w:spacing w:line="360" w:lineRule="auto"/>
        <w:rPr>
          <w:bCs/>
          <w:color w:val="000000"/>
          <w:sz w:val="24"/>
        </w:rPr>
      </w:pPr>
      <w:r>
        <w:rPr>
          <w:bCs/>
          <w:color w:val="000000"/>
          <w:sz w:val="24"/>
        </w:rPr>
        <w:t>______负责_____（如有），具体工作范围、内容以投标文件及合同为准。</w:t>
      </w:r>
    </w:p>
    <w:p w14:paraId="07EDB864">
      <w:pPr>
        <w:numPr>
          <w:ilvl w:val="0"/>
          <w:numId w:val="29"/>
        </w:numPr>
        <w:spacing w:line="360" w:lineRule="auto"/>
        <w:rPr>
          <w:sz w:val="24"/>
        </w:rPr>
      </w:pPr>
      <w:r>
        <w:rPr>
          <w:sz w:val="24"/>
        </w:rPr>
        <w:t>本项目联合协议合同总额为________元，联合体各成员按照如下比例分摊（按联合体成员分别列明）：</w:t>
      </w:r>
    </w:p>
    <w:p w14:paraId="2DAD4167">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1A178BB5">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6237EBFC">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73541C8">
      <w:pPr>
        <w:numPr>
          <w:ilvl w:val="0"/>
          <w:numId w:val="29"/>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033BDB0E">
      <w:pPr>
        <w:numPr>
          <w:ilvl w:val="0"/>
          <w:numId w:val="29"/>
        </w:numPr>
        <w:spacing w:line="360" w:lineRule="auto"/>
        <w:rPr>
          <w:bCs/>
          <w:color w:val="000000"/>
          <w:sz w:val="24"/>
        </w:rPr>
      </w:pPr>
      <w:r>
        <w:rPr>
          <w:bCs/>
          <w:color w:val="000000"/>
          <w:sz w:val="24"/>
        </w:rPr>
        <w:t>其他约定（如有）：_______。</w:t>
      </w:r>
    </w:p>
    <w:p w14:paraId="22D38A11">
      <w:pPr>
        <w:tabs>
          <w:tab w:val="left" w:pos="780"/>
        </w:tabs>
        <w:spacing w:line="360" w:lineRule="auto"/>
        <w:ind w:firstLine="480" w:firstLineChars="200"/>
        <w:rPr>
          <w:bCs/>
          <w:color w:val="000000"/>
          <w:sz w:val="24"/>
        </w:rPr>
      </w:pPr>
      <w:r>
        <w:rPr>
          <w:bCs/>
          <w:color w:val="000000"/>
          <w:sz w:val="24"/>
        </w:rPr>
        <w:t>本协议自各方盖章后生效，采购合同履行完毕后自动失效。如未中标，本协议自动终止。</w:t>
      </w:r>
    </w:p>
    <w:p w14:paraId="6754E119">
      <w:pPr>
        <w:pStyle w:val="3"/>
        <w:rPr>
          <w:bCs/>
          <w:color w:val="000000"/>
          <w:sz w:val="24"/>
        </w:rPr>
      </w:pPr>
    </w:p>
    <w:p w14:paraId="3B927C77">
      <w:pPr>
        <w:rPr>
          <w:bCs/>
          <w:color w:val="000000"/>
          <w:sz w:val="24"/>
        </w:rPr>
      </w:pPr>
    </w:p>
    <w:p w14:paraId="4C59A7A9">
      <w:pPr>
        <w:pStyle w:val="3"/>
      </w:pPr>
    </w:p>
    <w:p w14:paraId="780DECAF">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83A927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5BDE049">
      <w:pPr>
        <w:spacing w:line="360" w:lineRule="auto"/>
        <w:ind w:firstLine="471"/>
        <w:rPr>
          <w:color w:val="000000"/>
          <w:sz w:val="24"/>
        </w:rPr>
      </w:pPr>
    </w:p>
    <w:p w14:paraId="14545A68">
      <w:pPr>
        <w:spacing w:line="360" w:lineRule="auto"/>
        <w:ind w:firstLine="471"/>
        <w:rPr>
          <w:color w:val="000000"/>
          <w:sz w:val="24"/>
        </w:rPr>
      </w:pPr>
    </w:p>
    <w:p w14:paraId="0CDEA2AC">
      <w:pPr>
        <w:spacing w:line="360" w:lineRule="auto"/>
        <w:ind w:firstLine="471"/>
        <w:rPr>
          <w:color w:val="000000"/>
          <w:sz w:val="24"/>
        </w:rPr>
      </w:pPr>
      <w:r>
        <w:rPr>
          <w:color w:val="000000"/>
          <w:sz w:val="24"/>
        </w:rPr>
        <w:t>联合体成员名称：</w:t>
      </w:r>
      <w:r>
        <w:rPr>
          <w:color w:val="000000"/>
          <w:sz w:val="24"/>
          <w:szCs w:val="20"/>
        </w:rPr>
        <w:t>______</w:t>
      </w:r>
    </w:p>
    <w:p w14:paraId="0E56B35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C076BCD">
      <w:pPr>
        <w:spacing w:line="360" w:lineRule="auto"/>
        <w:ind w:firstLine="471"/>
        <w:rPr>
          <w:color w:val="000000"/>
          <w:sz w:val="24"/>
        </w:rPr>
      </w:pPr>
    </w:p>
    <w:p w14:paraId="65927EA8">
      <w:pPr>
        <w:spacing w:line="360" w:lineRule="auto"/>
        <w:ind w:firstLine="471"/>
        <w:rPr>
          <w:color w:val="000000"/>
          <w:sz w:val="24"/>
        </w:rPr>
      </w:pPr>
    </w:p>
    <w:p w14:paraId="5288942C">
      <w:pPr>
        <w:spacing w:line="360" w:lineRule="auto"/>
        <w:ind w:left="480"/>
        <w:jc w:val="right"/>
        <w:rPr>
          <w:color w:val="000000"/>
          <w:sz w:val="24"/>
        </w:rPr>
      </w:pPr>
    </w:p>
    <w:p w14:paraId="23D1AC62">
      <w:pPr>
        <w:spacing w:line="360" w:lineRule="auto"/>
        <w:ind w:left="480"/>
        <w:jc w:val="right"/>
        <w:rPr>
          <w:color w:val="000000"/>
          <w:sz w:val="24"/>
        </w:rPr>
      </w:pPr>
      <w:r>
        <w:rPr>
          <w:color w:val="000000"/>
          <w:sz w:val="24"/>
          <w:szCs w:val="20"/>
        </w:rPr>
        <w:t>日期：_____年______月______日</w:t>
      </w:r>
    </w:p>
    <w:p w14:paraId="40046971">
      <w:pPr>
        <w:spacing w:line="360" w:lineRule="auto"/>
        <w:ind w:left="480"/>
        <w:jc w:val="right"/>
        <w:rPr>
          <w:b/>
          <w:color w:val="000000"/>
          <w:sz w:val="24"/>
        </w:rPr>
      </w:pPr>
    </w:p>
    <w:p w14:paraId="2A7071B2">
      <w:pPr>
        <w:tabs>
          <w:tab w:val="left" w:pos="8280"/>
        </w:tabs>
        <w:spacing w:line="360" w:lineRule="auto"/>
        <w:ind w:firstLine="480"/>
        <w:rPr>
          <w:color w:val="000000"/>
          <w:sz w:val="24"/>
        </w:rPr>
      </w:pPr>
    </w:p>
    <w:p w14:paraId="65F4AB34">
      <w:pPr>
        <w:tabs>
          <w:tab w:val="left" w:pos="8280"/>
        </w:tabs>
        <w:spacing w:line="360" w:lineRule="auto"/>
        <w:ind w:firstLine="480"/>
        <w:rPr>
          <w:color w:val="000000"/>
          <w:sz w:val="24"/>
        </w:rPr>
      </w:pPr>
    </w:p>
    <w:p w14:paraId="4824C333">
      <w:pPr>
        <w:spacing w:line="360" w:lineRule="auto"/>
        <w:ind w:left="719" w:leftChars="228" w:hanging="240" w:hangingChars="100"/>
        <w:rPr>
          <w:color w:val="000000"/>
          <w:sz w:val="24"/>
        </w:rPr>
      </w:pPr>
      <w:r>
        <w:rPr>
          <w:color w:val="000000"/>
          <w:sz w:val="24"/>
        </w:rPr>
        <w:t>注：</w:t>
      </w:r>
    </w:p>
    <w:p w14:paraId="208395CD">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5C77358C">
      <w:pPr>
        <w:spacing w:line="360" w:lineRule="auto"/>
        <w:ind w:left="719" w:leftChars="228" w:hanging="240" w:hangingChars="100"/>
        <w:rPr>
          <w:sz w:val="24"/>
        </w:rPr>
      </w:pPr>
      <w:r>
        <w:rPr>
          <w:color w:val="000000"/>
          <w:sz w:val="24"/>
        </w:rPr>
        <w:t>2. 联合体各方成员需在本协议上共同盖章。</w:t>
      </w:r>
    </w:p>
    <w:p w14:paraId="02FDA9EE">
      <w:pPr>
        <w:spacing w:line="360" w:lineRule="auto"/>
        <w:ind w:left="719" w:leftChars="228" w:hanging="240" w:hangingChars="100"/>
        <w:rPr>
          <w:sz w:val="24"/>
        </w:rPr>
      </w:pPr>
      <w:r>
        <w:rPr>
          <w:sz w:val="24"/>
        </w:rPr>
        <w:br w:type="page"/>
      </w:r>
    </w:p>
    <w:p w14:paraId="5CCC00FD">
      <w:pPr>
        <w:pStyle w:val="3"/>
        <w:rPr>
          <w:rFonts w:hint="eastAsia"/>
        </w:rPr>
      </w:pPr>
    </w:p>
    <w:p w14:paraId="677CA684">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3-</w:t>
      </w:r>
      <w:r>
        <w:rPr>
          <w:rFonts w:hint="eastAsia" w:ascii="宋体" w:hAnsi="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其他特定资格要求</w:t>
      </w:r>
    </w:p>
    <w:p w14:paraId="52D416F0">
      <w:pPr>
        <w:pStyle w:val="3"/>
        <w:rPr>
          <w:rFonts w:hint="eastAsia" w:ascii="宋体" w:hAnsi="宋体"/>
          <w:b w:val="0"/>
          <w:bCs/>
          <w:strike w:val="0"/>
          <w:dstrike w:val="0"/>
          <w:color w:val="auto"/>
          <w:sz w:val="24"/>
          <w:highlight w:val="none"/>
          <w:shd w:val="clear" w:color="auto" w:fill="auto"/>
          <w:lang w:val="en-US" w:eastAsia="zh-CN"/>
        </w:rPr>
      </w:pPr>
      <w:r>
        <w:rPr>
          <w:rFonts w:hint="eastAsia" w:ascii="宋体" w:hAnsi="宋体"/>
          <w:b w:val="0"/>
          <w:bCs/>
          <w:strike w:val="0"/>
          <w:dstrike w:val="0"/>
          <w:color w:val="auto"/>
          <w:sz w:val="24"/>
          <w:highlight w:val="none"/>
          <w:shd w:val="clear" w:color="auto" w:fill="auto"/>
          <w:lang w:val="en-US" w:eastAsia="zh-CN"/>
        </w:rPr>
        <w:t>请提供</w:t>
      </w:r>
      <w:r>
        <w:rPr>
          <w:rFonts w:hint="eastAsia" w:ascii="宋体" w:hAnsi="宋体"/>
          <w:b w:val="0"/>
          <w:bCs/>
          <w:strike w:val="0"/>
          <w:dstrike w:val="0"/>
          <w:color w:val="auto"/>
          <w:sz w:val="24"/>
          <w:highlight w:val="none"/>
          <w:shd w:val="clear" w:color="auto" w:fill="auto"/>
        </w:rPr>
        <w:t>供应商近三年无行贿</w:t>
      </w:r>
      <w:r>
        <w:rPr>
          <w:rFonts w:hint="eastAsia" w:ascii="宋体" w:hAnsi="宋体"/>
          <w:b w:val="0"/>
          <w:bCs/>
          <w:strike w:val="0"/>
          <w:dstrike w:val="0"/>
          <w:color w:val="auto"/>
          <w:sz w:val="24"/>
          <w:highlight w:val="none"/>
          <w:shd w:val="clear" w:color="auto" w:fill="auto"/>
          <w:lang w:val="en-US" w:eastAsia="zh-CN"/>
        </w:rPr>
        <w:t>犯罪行为承诺书（格式自拟）</w:t>
      </w:r>
    </w:p>
    <w:p w14:paraId="4BB9B889">
      <w:pPr>
        <w:rPr>
          <w:rFonts w:hint="eastAsia" w:ascii="宋体" w:hAnsi="宋体"/>
          <w:b w:val="0"/>
          <w:bCs/>
          <w:strike w:val="0"/>
          <w:dstrike w:val="0"/>
          <w:color w:val="auto"/>
          <w:sz w:val="24"/>
          <w:highlight w:val="none"/>
          <w:shd w:val="clear" w:color="auto" w:fill="auto"/>
          <w:lang w:val="en-US" w:eastAsia="zh-CN"/>
        </w:rPr>
      </w:pPr>
    </w:p>
    <w:p w14:paraId="4E7427E7">
      <w:pPr>
        <w:pStyle w:val="3"/>
        <w:rPr>
          <w:rFonts w:hint="eastAsia" w:ascii="宋体" w:hAnsi="宋体"/>
          <w:b w:val="0"/>
          <w:bCs/>
          <w:strike w:val="0"/>
          <w:dstrike w:val="0"/>
          <w:color w:val="auto"/>
          <w:sz w:val="24"/>
          <w:highlight w:val="none"/>
          <w:shd w:val="clear" w:color="auto" w:fill="auto"/>
          <w:lang w:val="en-US" w:eastAsia="zh-CN"/>
        </w:rPr>
      </w:pPr>
    </w:p>
    <w:p w14:paraId="7BB18E43">
      <w:pPr>
        <w:rPr>
          <w:rFonts w:hint="default"/>
          <w:lang w:val="en-US"/>
        </w:rPr>
      </w:pPr>
    </w:p>
    <w:p w14:paraId="3526F641">
      <w:pPr>
        <w:pStyle w:val="45"/>
        <w:rPr>
          <w:rFonts w:hint="eastAsia"/>
          <w:color w:val="auto"/>
          <w:highlight w:val="none"/>
        </w:rPr>
      </w:pPr>
    </w:p>
    <w:p w14:paraId="1216C5E0">
      <w:pPr>
        <w:pStyle w:val="45"/>
        <w:ind w:left="0" w:leftChars="0" w:firstLine="0" w:firstLineChars="0"/>
        <w:rPr>
          <w:rFonts w:hint="eastAsia" w:ascii="宋体" w:hAnsi="宋体" w:cs="宋体"/>
          <w:b/>
          <w:bCs/>
          <w:color w:val="auto"/>
          <w:sz w:val="24"/>
          <w:szCs w:val="20"/>
          <w:highlight w:val="none"/>
          <w:lang w:val="en-US" w:eastAsia="zh-CN"/>
        </w:rPr>
      </w:pPr>
      <w:r>
        <w:rPr>
          <w:rFonts w:hint="eastAsia" w:ascii="宋体" w:hAnsi="宋体" w:eastAsia="宋体" w:cs="宋体"/>
          <w:b/>
          <w:bCs/>
          <w:color w:val="auto"/>
          <w:sz w:val="24"/>
          <w:szCs w:val="20"/>
          <w:highlight w:val="none"/>
        </w:rPr>
        <w:t xml:space="preserve">4 </w:t>
      </w:r>
      <w:r>
        <w:rPr>
          <w:rFonts w:hint="eastAsia" w:cs="宋体"/>
          <w:b/>
          <w:bCs/>
          <w:color w:val="auto"/>
          <w:sz w:val="24"/>
          <w:szCs w:val="20"/>
          <w:highlight w:val="none"/>
          <w:lang w:eastAsia="zh-CN"/>
        </w:rPr>
        <w:t>、</w:t>
      </w:r>
      <w:r>
        <w:rPr>
          <w:rFonts w:hint="eastAsia" w:ascii="宋体" w:hAnsi="宋体" w:cs="宋体"/>
          <w:b/>
          <w:bCs/>
          <w:color w:val="auto"/>
          <w:sz w:val="24"/>
          <w:szCs w:val="20"/>
          <w:highlight w:val="none"/>
          <w:lang w:val="en-US" w:eastAsia="zh-CN"/>
        </w:rPr>
        <w:t>投标费用承诺函</w:t>
      </w:r>
    </w:p>
    <w:p w14:paraId="0B67D861">
      <w:pPr>
        <w:spacing w:line="360" w:lineRule="auto"/>
        <w:rPr>
          <w:rFonts w:hint="eastAsia" w:ascii="宋体" w:hAnsi="宋体" w:cs="宋体"/>
          <w:color w:val="auto"/>
          <w:sz w:val="24"/>
          <w:szCs w:val="20"/>
          <w:highlight w:val="none"/>
          <w:lang w:val="en-US" w:eastAsia="zh-CN"/>
        </w:rPr>
      </w:pPr>
    </w:p>
    <w:p w14:paraId="0F49FA4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北京市怀柔区公共资源交易中心（北京市怀柔区政府采购中心）</w:t>
      </w:r>
    </w:p>
    <w:p w14:paraId="2445321A">
      <w:pPr>
        <w:rPr>
          <w:rFonts w:ascii="宋体" w:hAnsi="宋体" w:cs="宋体"/>
          <w:color w:val="auto"/>
          <w:sz w:val="24"/>
          <w:highlight w:val="none"/>
        </w:rPr>
      </w:pPr>
    </w:p>
    <w:p w14:paraId="24250A04">
      <w:pPr>
        <w:pStyle w:val="46"/>
        <w:ind w:left="420" w:firstLine="480"/>
        <w:rPr>
          <w:rFonts w:ascii="宋体" w:hAnsi="宋体" w:cs="宋体"/>
          <w:bCs/>
          <w:color w:val="auto"/>
          <w:highlight w:val="none"/>
        </w:rPr>
      </w:pPr>
      <w:r>
        <w:rPr>
          <w:rFonts w:hint="eastAsia" w:ascii="宋体" w:hAnsi="宋体" w:cs="宋体"/>
          <w:bCs/>
          <w:color w:val="auto"/>
          <w:highlight w:val="none"/>
        </w:rPr>
        <w:t>我公司应承担所有与准备和参加投标有关的费用。不论投标的结果如何，采购人和采购代理机构均无义务和责任承担这些费用(投标人提供针对本条款的承诺函</w:t>
      </w:r>
      <w:r>
        <w:rPr>
          <w:rFonts w:hint="eastAsia" w:ascii="宋体" w:hAnsi="宋体" w:cs="宋体"/>
          <w:bCs/>
          <w:color w:val="auto"/>
          <w:highlight w:val="none"/>
          <w:lang w:eastAsia="zh-Hans"/>
        </w:rPr>
        <w:t>并</w:t>
      </w:r>
      <w:r>
        <w:rPr>
          <w:rFonts w:hint="eastAsia" w:ascii="宋体" w:hAnsi="宋体" w:cs="宋体"/>
          <w:bCs/>
          <w:color w:val="auto"/>
          <w:highlight w:val="none"/>
        </w:rPr>
        <w:t>加盖公章）</w:t>
      </w:r>
    </w:p>
    <w:p w14:paraId="2AE5F56F">
      <w:pPr>
        <w:rPr>
          <w:rFonts w:ascii="宋体" w:hAnsi="宋体" w:cs="宋体"/>
          <w:color w:val="auto"/>
          <w:sz w:val="24"/>
          <w:highlight w:val="none"/>
        </w:rPr>
      </w:pPr>
    </w:p>
    <w:p w14:paraId="53D7C510">
      <w:pPr>
        <w:pStyle w:val="46"/>
        <w:ind w:left="420" w:firstLine="480"/>
        <w:rPr>
          <w:rFonts w:ascii="宋体" w:hAnsi="宋体" w:cs="宋体"/>
          <w:color w:val="auto"/>
          <w:highlight w:val="none"/>
        </w:rPr>
      </w:pPr>
    </w:p>
    <w:p w14:paraId="0D4495C4">
      <w:pPr>
        <w:rPr>
          <w:rFonts w:ascii="宋体" w:hAnsi="宋体" w:cs="宋体"/>
          <w:color w:val="auto"/>
          <w:sz w:val="24"/>
          <w:highlight w:val="none"/>
        </w:rPr>
      </w:pPr>
    </w:p>
    <w:p w14:paraId="05E5C739">
      <w:pPr>
        <w:pStyle w:val="17"/>
        <w:rPr>
          <w:rFonts w:ascii="宋体" w:hAnsi="宋体" w:cs="宋体"/>
          <w:color w:val="auto"/>
          <w:sz w:val="24"/>
          <w:highlight w:val="none"/>
        </w:rPr>
      </w:pPr>
    </w:p>
    <w:p w14:paraId="626E6DBD">
      <w:pPr>
        <w:pStyle w:val="39"/>
        <w:rPr>
          <w:rFonts w:ascii="宋体" w:hAnsi="宋体" w:cs="宋体"/>
          <w:color w:val="auto"/>
          <w:sz w:val="24"/>
          <w:highlight w:val="none"/>
        </w:rPr>
      </w:pPr>
    </w:p>
    <w:p w14:paraId="7C3E8835">
      <w:pPr>
        <w:pStyle w:val="17"/>
        <w:rPr>
          <w:rFonts w:ascii="宋体" w:hAnsi="宋体" w:cs="宋体"/>
          <w:color w:val="auto"/>
          <w:sz w:val="24"/>
          <w:highlight w:val="none"/>
        </w:rPr>
      </w:pPr>
    </w:p>
    <w:p w14:paraId="57D7DCB0">
      <w:pP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sz w:val="24"/>
          <w:highlight w:val="none"/>
        </w:rPr>
        <w:t>单位名称（盖章）</w:t>
      </w:r>
      <w:r>
        <w:rPr>
          <w:rFonts w:hint="eastAsia" w:ascii="宋体" w:hAnsi="宋体" w:cs="宋体"/>
          <w:b/>
          <w:color w:val="auto"/>
          <w:sz w:val="24"/>
          <w:highlight w:val="none"/>
        </w:rPr>
        <w:t>:</w:t>
      </w:r>
    </w:p>
    <w:p w14:paraId="20F1F205">
      <w:pPr>
        <w:tabs>
          <w:tab w:val="left" w:pos="4860"/>
        </w:tabs>
        <w:spacing w:line="360" w:lineRule="auto"/>
        <w:ind w:right="1560"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b/>
          <w:color w:val="auto"/>
          <w:sz w:val="24"/>
          <w:highlight w:val="none"/>
        </w:rPr>
        <w:t>:</w:t>
      </w:r>
    </w:p>
    <w:p w14:paraId="03AA883E">
      <w:pPr>
        <w:pStyle w:val="28"/>
      </w:pPr>
    </w:p>
    <w:p w14:paraId="2D88B62D">
      <w:pPr>
        <w:pStyle w:val="36"/>
        <w:pageBreakBefore w:val="0"/>
        <w:wordWrap/>
        <w:topLinePunct w:val="0"/>
        <w:bidi w:val="0"/>
        <w:spacing w:line="360" w:lineRule="auto"/>
        <w:ind w:left="0" w:leftChars="0" w:firstLine="0" w:firstLineChars="0"/>
        <w:rPr>
          <w:rFonts w:hint="eastAsia" w:ascii="宋体" w:hAnsi="宋体" w:eastAsia="宋体" w:cs="宋体"/>
          <w:b/>
          <w:bCs/>
          <w:color w:val="auto"/>
          <w:highlight w:val="none"/>
          <w:lang w:eastAsia="zh-CN"/>
        </w:rPr>
      </w:pPr>
    </w:p>
    <w:p w14:paraId="0E622B58">
      <w:pPr>
        <w:pageBreakBefore w:val="0"/>
        <w:wordWrap/>
        <w:topLinePunct w:val="0"/>
        <w:bidi w:val="0"/>
        <w:spacing w:line="360" w:lineRule="auto"/>
        <w:outlineLvl w:val="2"/>
        <w:rPr>
          <w:rFonts w:hint="eastAsia" w:ascii="宋体" w:hAnsi="宋体" w:eastAsia="宋体" w:cs="宋体"/>
          <w:color w:val="auto"/>
          <w:sz w:val="24"/>
          <w:highlight w:val="none"/>
          <w:lang w:val="en-US" w:eastAsia="zh-CN"/>
        </w:rPr>
      </w:pPr>
      <w:bookmarkStart w:id="809" w:name="_Ref467988698"/>
      <w:bookmarkStart w:id="810" w:name="_Toc480942349"/>
      <w:bookmarkStart w:id="811" w:name="_Toc226337252"/>
      <w:bookmarkStart w:id="812" w:name="_Toc226965746"/>
      <w:bookmarkStart w:id="813" w:name="_Toc150774761"/>
      <w:bookmarkStart w:id="814" w:name="_Toc150480794"/>
      <w:bookmarkStart w:id="815" w:name="_Toc142311058"/>
      <w:bookmarkStart w:id="816" w:name="_Toc195842921"/>
      <w:bookmarkStart w:id="817" w:name="_Toc226965829"/>
      <w:bookmarkStart w:id="818" w:name="_Toc127151556"/>
      <w:bookmarkStart w:id="819" w:name="_Toc226309800"/>
      <w:bookmarkStart w:id="820" w:name="_Toc520356217"/>
    </w:p>
    <w:p w14:paraId="0C551A5E">
      <w:pPr>
        <w:pStyle w:val="3"/>
        <w:rPr>
          <w:rFonts w:hint="eastAsia" w:ascii="宋体" w:hAnsi="宋体" w:eastAsia="宋体" w:cs="宋体"/>
          <w:color w:val="auto"/>
          <w:sz w:val="24"/>
          <w:highlight w:val="none"/>
          <w:lang w:val="en-US" w:eastAsia="zh-CN"/>
        </w:rPr>
      </w:pPr>
    </w:p>
    <w:p w14:paraId="3418590D">
      <w:pPr>
        <w:rPr>
          <w:rFonts w:hint="eastAsia" w:ascii="宋体" w:hAnsi="宋体" w:eastAsia="宋体" w:cs="宋体"/>
          <w:color w:val="auto"/>
          <w:sz w:val="24"/>
          <w:highlight w:val="none"/>
          <w:lang w:val="en-US" w:eastAsia="zh-CN"/>
        </w:rPr>
      </w:pPr>
    </w:p>
    <w:p w14:paraId="11C55346">
      <w:pPr>
        <w:pStyle w:val="3"/>
        <w:rPr>
          <w:rFonts w:hint="eastAsia" w:ascii="宋体" w:hAnsi="宋体" w:eastAsia="宋体" w:cs="宋体"/>
          <w:color w:val="auto"/>
          <w:sz w:val="24"/>
          <w:highlight w:val="none"/>
          <w:lang w:val="en-US" w:eastAsia="zh-CN"/>
        </w:rPr>
      </w:pPr>
    </w:p>
    <w:p w14:paraId="2A2C5C1B">
      <w:pPr>
        <w:rPr>
          <w:rFonts w:hint="eastAsia" w:ascii="宋体" w:hAnsi="宋体" w:eastAsia="宋体" w:cs="宋体"/>
          <w:color w:val="auto"/>
          <w:sz w:val="24"/>
          <w:highlight w:val="none"/>
          <w:lang w:val="en-US" w:eastAsia="zh-CN"/>
        </w:rPr>
      </w:pPr>
    </w:p>
    <w:p w14:paraId="32F64350">
      <w:pPr>
        <w:pStyle w:val="3"/>
        <w:rPr>
          <w:rFonts w:hint="eastAsia" w:ascii="宋体" w:hAnsi="宋体" w:eastAsia="宋体" w:cs="宋体"/>
          <w:color w:val="auto"/>
          <w:sz w:val="24"/>
          <w:highlight w:val="none"/>
          <w:lang w:val="en-US" w:eastAsia="zh-CN"/>
        </w:rPr>
      </w:pPr>
    </w:p>
    <w:p w14:paraId="7C47348E">
      <w:pPr>
        <w:rPr>
          <w:rFonts w:hint="eastAsia" w:ascii="宋体" w:hAnsi="宋体" w:eastAsia="宋体" w:cs="宋体"/>
          <w:color w:val="auto"/>
          <w:sz w:val="24"/>
          <w:highlight w:val="none"/>
          <w:lang w:val="en-US" w:eastAsia="zh-CN"/>
        </w:rPr>
      </w:pPr>
    </w:p>
    <w:p w14:paraId="43B22527">
      <w:pPr>
        <w:pStyle w:val="3"/>
        <w:rPr>
          <w:rFonts w:hint="eastAsia" w:ascii="宋体" w:hAnsi="宋体" w:eastAsia="宋体" w:cs="宋体"/>
          <w:color w:val="auto"/>
          <w:sz w:val="24"/>
          <w:highlight w:val="none"/>
          <w:lang w:val="en-US" w:eastAsia="zh-CN"/>
        </w:rPr>
      </w:pPr>
    </w:p>
    <w:p w14:paraId="0F439C60">
      <w:pPr>
        <w:rPr>
          <w:rFonts w:hint="eastAsia" w:ascii="宋体" w:hAnsi="宋体" w:eastAsia="宋体" w:cs="宋体"/>
          <w:color w:val="auto"/>
          <w:sz w:val="24"/>
          <w:highlight w:val="none"/>
          <w:lang w:val="en-US" w:eastAsia="zh-CN"/>
        </w:rPr>
      </w:pPr>
    </w:p>
    <w:p w14:paraId="3FF97B47">
      <w:pPr>
        <w:pageBreakBefore w:val="0"/>
        <w:wordWrap/>
        <w:topLinePunct w:val="0"/>
        <w:bidi w:val="0"/>
        <w:spacing w:line="360" w:lineRule="auto"/>
        <w:outlineLvl w:val="2"/>
        <w:rPr>
          <w:rFonts w:hint="eastAsia" w:ascii="宋体" w:hAnsi="宋体" w:cs="宋体"/>
          <w:b/>
          <w:bCs/>
          <w:color w:val="auto"/>
          <w:sz w:val="24"/>
          <w:highlight w:val="none"/>
          <w:lang w:val="en-US" w:eastAsia="zh-CN"/>
        </w:rPr>
      </w:pPr>
    </w:p>
    <w:p w14:paraId="166EDEF4">
      <w:pPr>
        <w:pageBreakBefore w:val="0"/>
        <w:wordWrap/>
        <w:topLinePunct w:val="0"/>
        <w:bidi w:val="0"/>
        <w:spacing w:line="360" w:lineRule="auto"/>
        <w:outlineLvl w:val="2"/>
        <w:rPr>
          <w:rFonts w:hint="eastAsia" w:ascii="宋体" w:hAnsi="宋体" w:cs="宋体"/>
          <w:b/>
          <w:bCs/>
          <w:color w:val="auto"/>
          <w:sz w:val="24"/>
          <w:highlight w:val="none"/>
          <w:lang w:val="en-US" w:eastAsia="zh-CN"/>
        </w:rPr>
      </w:pPr>
    </w:p>
    <w:p w14:paraId="6CB2223F">
      <w:pPr>
        <w:pStyle w:val="17"/>
        <w:spacing w:before="308" w:line="201" w:lineRule="auto"/>
        <w:ind w:left="6"/>
        <w:outlineLvl w:val="1"/>
        <w:rPr>
          <w:sz w:val="24"/>
          <w:szCs w:val="24"/>
        </w:rPr>
      </w:pPr>
      <w:r>
        <w:rPr>
          <w:b/>
          <w:bCs/>
          <w:spacing w:val="24"/>
          <w:sz w:val="24"/>
          <w:szCs w:val="24"/>
        </w:rPr>
        <w:t>二 、</w:t>
      </w:r>
      <w:r>
        <w:rPr>
          <w:b/>
          <w:bCs/>
          <w:spacing w:val="-39"/>
          <w:sz w:val="24"/>
          <w:szCs w:val="24"/>
        </w:rPr>
        <w:t xml:space="preserve"> </w:t>
      </w:r>
      <w:r>
        <w:rPr>
          <w:b/>
          <w:bCs/>
          <w:spacing w:val="24"/>
          <w:sz w:val="24"/>
          <w:szCs w:val="24"/>
        </w:rPr>
        <w:t>商务技术文件格式</w:t>
      </w:r>
    </w:p>
    <w:p w14:paraId="67220899">
      <w:pPr>
        <w:pStyle w:val="17"/>
        <w:spacing w:before="334" w:line="196" w:lineRule="auto"/>
        <w:ind w:left="6"/>
        <w:rPr>
          <w:sz w:val="24"/>
          <w:szCs w:val="24"/>
        </w:rPr>
      </w:pPr>
      <w:r>
        <w:rPr>
          <w:b/>
          <w:bCs/>
          <w:spacing w:val="-5"/>
          <w:sz w:val="24"/>
          <w:szCs w:val="24"/>
        </w:rPr>
        <w:t>投</w:t>
      </w:r>
      <w:r>
        <w:rPr>
          <w:b/>
          <w:bCs/>
          <w:spacing w:val="-10"/>
          <w:sz w:val="24"/>
          <w:szCs w:val="24"/>
        </w:rPr>
        <w:t xml:space="preserve"> </w:t>
      </w:r>
      <w:r>
        <w:rPr>
          <w:b/>
          <w:bCs/>
          <w:spacing w:val="-5"/>
          <w:sz w:val="24"/>
          <w:szCs w:val="24"/>
        </w:rPr>
        <w:t>标</w:t>
      </w:r>
      <w:r>
        <w:rPr>
          <w:b/>
          <w:bCs/>
          <w:spacing w:val="-24"/>
          <w:sz w:val="24"/>
          <w:szCs w:val="24"/>
        </w:rPr>
        <w:t xml:space="preserve"> </w:t>
      </w:r>
      <w:r>
        <w:rPr>
          <w:b/>
          <w:bCs/>
          <w:spacing w:val="-5"/>
          <w:sz w:val="24"/>
          <w:szCs w:val="24"/>
        </w:rPr>
        <w:t>文</w:t>
      </w:r>
      <w:r>
        <w:rPr>
          <w:b/>
          <w:bCs/>
          <w:spacing w:val="-25"/>
          <w:sz w:val="24"/>
          <w:szCs w:val="24"/>
        </w:rPr>
        <w:t xml:space="preserve"> </w:t>
      </w:r>
      <w:r>
        <w:rPr>
          <w:b/>
          <w:bCs/>
          <w:spacing w:val="-5"/>
          <w:sz w:val="24"/>
          <w:szCs w:val="24"/>
        </w:rPr>
        <w:t>件（商</w:t>
      </w:r>
      <w:r>
        <w:rPr>
          <w:b/>
          <w:bCs/>
          <w:spacing w:val="-26"/>
          <w:sz w:val="24"/>
          <w:szCs w:val="24"/>
        </w:rPr>
        <w:t xml:space="preserve"> </w:t>
      </w:r>
      <w:r>
        <w:rPr>
          <w:b/>
          <w:bCs/>
          <w:spacing w:val="-5"/>
          <w:sz w:val="24"/>
          <w:szCs w:val="24"/>
        </w:rPr>
        <w:t>务</w:t>
      </w:r>
      <w:r>
        <w:rPr>
          <w:b/>
          <w:bCs/>
          <w:spacing w:val="-26"/>
          <w:sz w:val="24"/>
          <w:szCs w:val="24"/>
        </w:rPr>
        <w:t xml:space="preserve"> </w:t>
      </w:r>
      <w:r>
        <w:rPr>
          <w:b/>
          <w:bCs/>
          <w:spacing w:val="-5"/>
          <w:sz w:val="24"/>
          <w:szCs w:val="24"/>
        </w:rPr>
        <w:t>技</w:t>
      </w:r>
      <w:r>
        <w:rPr>
          <w:b/>
          <w:bCs/>
          <w:spacing w:val="-27"/>
          <w:sz w:val="24"/>
          <w:szCs w:val="24"/>
        </w:rPr>
        <w:t xml:space="preserve"> </w:t>
      </w:r>
      <w:r>
        <w:rPr>
          <w:b/>
          <w:bCs/>
          <w:spacing w:val="-5"/>
          <w:sz w:val="24"/>
          <w:szCs w:val="24"/>
        </w:rPr>
        <w:t>术</w:t>
      </w:r>
      <w:r>
        <w:rPr>
          <w:b/>
          <w:bCs/>
          <w:spacing w:val="-21"/>
          <w:sz w:val="24"/>
          <w:szCs w:val="24"/>
        </w:rPr>
        <w:t xml:space="preserve"> </w:t>
      </w:r>
      <w:r>
        <w:rPr>
          <w:b/>
          <w:bCs/>
          <w:spacing w:val="-5"/>
          <w:sz w:val="24"/>
          <w:szCs w:val="24"/>
        </w:rPr>
        <w:t>文</w:t>
      </w:r>
      <w:r>
        <w:rPr>
          <w:b/>
          <w:bCs/>
          <w:spacing w:val="-25"/>
          <w:sz w:val="24"/>
          <w:szCs w:val="24"/>
        </w:rPr>
        <w:t xml:space="preserve"> </w:t>
      </w:r>
      <w:r>
        <w:rPr>
          <w:b/>
          <w:bCs/>
          <w:spacing w:val="-5"/>
          <w:sz w:val="24"/>
          <w:szCs w:val="24"/>
        </w:rPr>
        <w:t>件）封面</w:t>
      </w:r>
    </w:p>
    <w:p w14:paraId="291C534B">
      <w:pPr>
        <w:pStyle w:val="17"/>
        <w:spacing w:before="352" w:line="196" w:lineRule="auto"/>
        <w:jc w:val="center"/>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14:paraId="50B457C0">
      <w:pPr>
        <w:pStyle w:val="17"/>
        <w:spacing w:before="1" w:line="196" w:lineRule="auto"/>
        <w:ind w:left="1946"/>
        <w:rPr>
          <w:sz w:val="52"/>
          <w:szCs w:val="52"/>
        </w:rPr>
      </w:pPr>
      <w:r>
        <w:rPr>
          <w:b/>
          <w:bCs/>
          <w:spacing w:val="63"/>
          <w:sz w:val="52"/>
          <w:szCs w:val="52"/>
        </w:rPr>
        <w:t>（商务技术文件）</w:t>
      </w:r>
    </w:p>
    <w:p w14:paraId="6F9561FA">
      <w:pPr>
        <w:spacing w:line="300" w:lineRule="auto"/>
        <w:rPr>
          <w:rFonts w:ascii="Arial"/>
          <w:sz w:val="21"/>
        </w:rPr>
      </w:pPr>
    </w:p>
    <w:p w14:paraId="44B2EFBA">
      <w:pPr>
        <w:spacing w:line="301" w:lineRule="auto"/>
        <w:rPr>
          <w:rFonts w:ascii="Arial"/>
          <w:sz w:val="21"/>
        </w:rPr>
      </w:pPr>
    </w:p>
    <w:p w14:paraId="2B656D17">
      <w:pPr>
        <w:pStyle w:val="17"/>
        <w:spacing w:before="133"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14:paraId="56CAC455">
      <w:pPr>
        <w:pStyle w:val="17"/>
        <w:spacing w:before="12"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14:paraId="5F3CA475">
      <w:pPr>
        <w:spacing w:line="257" w:lineRule="auto"/>
        <w:rPr>
          <w:rFonts w:ascii="Arial"/>
          <w:sz w:val="21"/>
        </w:rPr>
      </w:pPr>
    </w:p>
    <w:p w14:paraId="5B1D3B8A">
      <w:pPr>
        <w:spacing w:line="258" w:lineRule="auto"/>
        <w:rPr>
          <w:rFonts w:ascii="Arial"/>
          <w:sz w:val="21"/>
        </w:rPr>
      </w:pPr>
    </w:p>
    <w:p w14:paraId="06FD9237">
      <w:pPr>
        <w:spacing w:line="258" w:lineRule="auto"/>
        <w:rPr>
          <w:rFonts w:ascii="Arial"/>
          <w:sz w:val="21"/>
        </w:rPr>
      </w:pPr>
    </w:p>
    <w:p w14:paraId="5356CF63">
      <w:pPr>
        <w:spacing w:line="258" w:lineRule="auto"/>
        <w:rPr>
          <w:rFonts w:ascii="Arial"/>
          <w:sz w:val="21"/>
        </w:rPr>
      </w:pPr>
    </w:p>
    <w:p w14:paraId="695949A1">
      <w:pPr>
        <w:spacing w:line="258" w:lineRule="auto"/>
        <w:rPr>
          <w:rFonts w:ascii="Arial"/>
          <w:sz w:val="21"/>
        </w:rPr>
      </w:pPr>
    </w:p>
    <w:p w14:paraId="7525A124">
      <w:pPr>
        <w:spacing w:line="258" w:lineRule="auto"/>
        <w:rPr>
          <w:rFonts w:ascii="Arial"/>
          <w:sz w:val="21"/>
        </w:rPr>
      </w:pPr>
    </w:p>
    <w:p w14:paraId="67C862D1">
      <w:pPr>
        <w:spacing w:line="258" w:lineRule="auto"/>
        <w:rPr>
          <w:rFonts w:ascii="Arial"/>
          <w:sz w:val="21"/>
        </w:rPr>
      </w:pPr>
    </w:p>
    <w:p w14:paraId="66B9D48D">
      <w:pPr>
        <w:spacing w:line="258" w:lineRule="auto"/>
        <w:rPr>
          <w:rFonts w:ascii="Arial"/>
          <w:sz w:val="21"/>
        </w:rPr>
      </w:pPr>
    </w:p>
    <w:p w14:paraId="6D13EE4C">
      <w:pPr>
        <w:spacing w:line="258" w:lineRule="auto"/>
        <w:rPr>
          <w:rFonts w:ascii="Arial"/>
          <w:sz w:val="21"/>
        </w:rPr>
      </w:pPr>
    </w:p>
    <w:p w14:paraId="1AD215AD">
      <w:pPr>
        <w:spacing w:line="258" w:lineRule="auto"/>
        <w:rPr>
          <w:rFonts w:ascii="Arial"/>
          <w:sz w:val="21"/>
        </w:rPr>
      </w:pPr>
    </w:p>
    <w:p w14:paraId="235C144B">
      <w:pPr>
        <w:spacing w:line="258" w:lineRule="auto"/>
        <w:rPr>
          <w:rFonts w:ascii="Arial"/>
          <w:sz w:val="21"/>
        </w:rPr>
      </w:pPr>
    </w:p>
    <w:p w14:paraId="6BD325DF">
      <w:pPr>
        <w:pStyle w:val="17"/>
        <w:spacing w:before="133" w:line="205" w:lineRule="auto"/>
        <w:ind w:left="1447"/>
        <w:sectPr>
          <w:footerReference r:id="rId23" w:type="default"/>
          <w:pgSz w:w="11907" w:h="16840"/>
          <w:pgMar w:top="1149" w:right="1133" w:bottom="1060" w:left="1701" w:header="875" w:footer="886" w:gutter="0"/>
          <w:pgNumType w:fmt="decimal"/>
          <w:cols w:space="720" w:num="1"/>
        </w:sectPr>
      </w:pPr>
      <w:r>
        <w:rPr>
          <w:b/>
          <w:bCs/>
          <w:spacing w:val="34"/>
        </w:rPr>
        <w:t>投标人名称</w:t>
      </w:r>
      <w:r>
        <w:rPr>
          <w:b/>
          <w:bCs/>
          <w:spacing w:val="-39"/>
        </w:rPr>
        <w:t xml:space="preserve"> </w:t>
      </w:r>
    </w:p>
    <w:p w14:paraId="602E0797">
      <w:pPr>
        <w:pageBreakBefore w:val="0"/>
        <w:wordWrap/>
        <w:topLinePunct w:val="0"/>
        <w:bidi w:val="0"/>
        <w:spacing w:line="360" w:lineRule="auto"/>
        <w:outlineLvl w:val="2"/>
        <w:rPr>
          <w:rFonts w:hint="eastAsia" w:ascii="宋体" w:hAnsi="宋体" w:cs="宋体"/>
          <w:b/>
          <w:bCs/>
          <w:color w:val="auto"/>
          <w:sz w:val="24"/>
          <w:highlight w:val="none"/>
          <w:lang w:val="en-US" w:eastAsia="zh-CN"/>
        </w:rPr>
      </w:pPr>
    </w:p>
    <w:p w14:paraId="4714018E">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szCs w:val="20"/>
          <w:highlight w:val="none"/>
        </w:rPr>
        <w:t xml:space="preserve"> </w:t>
      </w:r>
      <w:r>
        <w:rPr>
          <w:rFonts w:hint="eastAsia" w:ascii="宋体" w:hAnsi="宋体" w:eastAsia="宋体" w:cs="宋体"/>
          <w:b/>
          <w:bCs/>
          <w:color w:val="auto"/>
          <w:sz w:val="24"/>
          <w:highlight w:val="none"/>
        </w:rPr>
        <w:t>投标</w:t>
      </w:r>
      <w:bookmarkEnd w:id="809"/>
      <w:bookmarkEnd w:id="810"/>
      <w:r>
        <w:rPr>
          <w:rFonts w:hint="eastAsia" w:ascii="宋体" w:hAnsi="宋体" w:eastAsia="宋体" w:cs="宋体"/>
          <w:b/>
          <w:bCs/>
          <w:color w:val="auto"/>
          <w:sz w:val="24"/>
          <w:highlight w:val="none"/>
        </w:rPr>
        <w:t>书</w:t>
      </w:r>
      <w:bookmarkEnd w:id="811"/>
      <w:bookmarkEnd w:id="812"/>
      <w:bookmarkEnd w:id="813"/>
      <w:bookmarkEnd w:id="814"/>
      <w:bookmarkEnd w:id="815"/>
      <w:bookmarkEnd w:id="816"/>
      <w:bookmarkEnd w:id="817"/>
      <w:bookmarkEnd w:id="818"/>
      <w:bookmarkEnd w:id="819"/>
      <w:bookmarkEnd w:id="820"/>
    </w:p>
    <w:p w14:paraId="345A3B58">
      <w:pPr>
        <w:pageBreakBefore w:val="0"/>
        <w:tabs>
          <w:tab w:val="left" w:pos="5580"/>
        </w:tabs>
        <w:wordWrap/>
        <w:topLinePunct w:val="0"/>
        <w:bidi w:val="0"/>
        <w:spacing w:line="360" w:lineRule="auto"/>
        <w:rPr>
          <w:rFonts w:hint="eastAsia" w:ascii="宋体" w:hAnsi="宋体" w:eastAsia="宋体" w:cs="宋体"/>
          <w:color w:val="auto"/>
          <w:sz w:val="24"/>
          <w:highlight w:val="none"/>
        </w:rPr>
      </w:pPr>
    </w:p>
    <w:p w14:paraId="47567B8D">
      <w:pPr>
        <w:pageBreakBefore w:val="0"/>
        <w:wordWrap/>
        <w:topLinePunct w:val="0"/>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投标书</w:t>
      </w:r>
    </w:p>
    <w:p w14:paraId="3177857C">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169EBC87">
      <w:pPr>
        <w:pageBreakBefore w:val="0"/>
        <w:tabs>
          <w:tab w:val="left" w:pos="5580"/>
        </w:tabs>
        <w:wordWrap/>
        <w:topLinePunct w:val="0"/>
        <w:bidi w:val="0"/>
        <w:spacing w:line="360" w:lineRule="auto"/>
        <w:rPr>
          <w:rFonts w:hint="eastAsia" w:ascii="宋体" w:hAnsi="宋体" w:eastAsia="宋体" w:cs="宋体"/>
          <w:color w:val="auto"/>
          <w:sz w:val="24"/>
          <w:szCs w:val="20"/>
          <w:highlight w:val="none"/>
        </w:rPr>
      </w:pPr>
    </w:p>
    <w:p w14:paraId="1613896B">
      <w:pPr>
        <w:pageBreakBefore w:val="0"/>
        <w:tabs>
          <w:tab w:val="left" w:pos="5580"/>
        </w:tabs>
        <w:wordWrap/>
        <w:topLinePunct w:val="0"/>
        <w:bidi w:val="0"/>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我方参加你方就___________（</w:t>
      </w:r>
      <w:r>
        <w:rPr>
          <w:rFonts w:hint="eastAsia" w:ascii="宋体" w:hAnsi="宋体" w:cs="宋体"/>
          <w:color w:val="auto"/>
          <w:sz w:val="24"/>
          <w:szCs w:val="20"/>
          <w:highlight w:val="none"/>
          <w:lang w:val="en-US" w:eastAsia="zh-CN"/>
        </w:rPr>
        <w:t>项目</w:t>
      </w:r>
      <w:r>
        <w:rPr>
          <w:rFonts w:hint="eastAsia" w:ascii="宋体" w:hAnsi="宋体" w:eastAsia="宋体" w:cs="宋体"/>
          <w:color w:val="auto"/>
          <w:sz w:val="24"/>
          <w:szCs w:val="20"/>
          <w:highlight w:val="none"/>
        </w:rPr>
        <w:t>名称，项目编号）组织的招标活动，并对此项目进行投标。</w:t>
      </w:r>
    </w:p>
    <w:p w14:paraId="0032A07E">
      <w:pPr>
        <w:pageBreakBefore w:val="0"/>
        <w:tabs>
          <w:tab w:val="left" w:pos="5580"/>
        </w:tabs>
        <w:wordWrap/>
        <w:topLinePunct w:val="0"/>
        <w:bidi w:val="0"/>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 我方</w:t>
      </w:r>
      <w:r>
        <w:rPr>
          <w:rFonts w:hint="eastAsia" w:ascii="宋体" w:hAnsi="宋体" w:eastAsia="宋体" w:cs="宋体"/>
          <w:color w:val="auto"/>
          <w:sz w:val="24"/>
          <w:highlight w:val="none"/>
        </w:rPr>
        <w:t>已详细审查全部招标文件</w:t>
      </w:r>
      <w:r>
        <w:rPr>
          <w:rFonts w:hint="eastAsia" w:ascii="宋体" w:hAnsi="宋体" w:eastAsia="宋体" w:cs="宋体"/>
          <w:color w:val="auto"/>
          <w:sz w:val="24"/>
          <w:szCs w:val="20"/>
          <w:highlight w:val="none"/>
        </w:rPr>
        <w:t>，自愿参与投标并承诺如下：</w:t>
      </w:r>
    </w:p>
    <w:p w14:paraId="6B2CE421">
      <w:pPr>
        <w:pageBreakBefore w:val="0"/>
        <w:tabs>
          <w:tab w:val="left" w:pos="720"/>
          <w:tab w:val="left" w:pos="900"/>
        </w:tabs>
        <w:wordWrap/>
        <w:topLinePunct w:val="0"/>
        <w:bidi w:val="0"/>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（1）本投标有效期为自提交投标文件的截止之日起</w:t>
      </w:r>
      <w:r>
        <w:rPr>
          <w:rFonts w:hint="eastAsia" w:ascii="宋体" w:hAnsi="宋体" w:eastAsia="宋体" w:cs="宋体"/>
          <w:color w:val="auto"/>
          <w:sz w:val="24"/>
          <w:highlight w:val="none"/>
        </w:rPr>
        <w:t>_____</w:t>
      </w:r>
      <w:r>
        <w:rPr>
          <w:rFonts w:hint="eastAsia" w:ascii="宋体" w:hAnsi="宋体" w:eastAsia="宋体" w:cs="宋体"/>
          <w:color w:val="auto"/>
          <w:sz w:val="24"/>
          <w:szCs w:val="20"/>
          <w:highlight w:val="none"/>
        </w:rPr>
        <w:t>个日历日。</w:t>
      </w:r>
    </w:p>
    <w:p w14:paraId="33986583">
      <w:pPr>
        <w:pageBreakBefore w:val="0"/>
        <w:tabs>
          <w:tab w:val="left" w:pos="720"/>
          <w:tab w:val="left" w:pos="900"/>
        </w:tabs>
        <w:wordWrap/>
        <w:topLinePunct w:val="0"/>
        <w:bidi w:val="0"/>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（2）除合同条款及采购需求偏离表列出的偏离外，我方响应招标文件的全部要求。</w:t>
      </w:r>
    </w:p>
    <w:p w14:paraId="6BC873D4">
      <w:pPr>
        <w:pageBreakBefore w:val="0"/>
        <w:tabs>
          <w:tab w:val="left" w:pos="5580"/>
        </w:tabs>
        <w:wordWrap/>
        <w:topLinePunct w:val="0"/>
        <w:bidi w:val="0"/>
        <w:spacing w:line="360" w:lineRule="auto"/>
        <w:ind w:firstLine="420" w:firstLineChars="17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（3）我方已提供的全部文件资料是真实、准确的，并对此承担一切法律后果。</w:t>
      </w:r>
    </w:p>
    <w:p w14:paraId="69481394">
      <w:pPr>
        <w:pageBreakBefore w:val="0"/>
        <w:tabs>
          <w:tab w:val="left" w:pos="5580"/>
        </w:tabs>
        <w:wordWrap/>
        <w:topLinePunct w:val="0"/>
        <w:bidi w:val="0"/>
        <w:spacing w:line="360" w:lineRule="auto"/>
        <w:ind w:firstLine="420" w:firstLineChars="17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（4）如我方中标，我方将在法律规定的期限内与你方签订合同，按照招标文件要求提交履约保证金，并在合同约定的期限内完成合同规定的全部义务。</w:t>
      </w:r>
    </w:p>
    <w:p w14:paraId="75178A9D">
      <w:pPr>
        <w:pageBreakBefore w:val="0"/>
        <w:wordWrap/>
        <w:topLinePunct w:val="0"/>
        <w:bidi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2. 其他补充条款（如有）：</w:t>
      </w:r>
      <w:r>
        <w:rPr>
          <w:rFonts w:hint="eastAsia" w:ascii="宋体" w:hAnsi="宋体" w:eastAsia="宋体" w:cs="宋体"/>
          <w:color w:val="auto"/>
          <w:sz w:val="24"/>
          <w:szCs w:val="20"/>
          <w:highlight w:val="none"/>
        </w:rPr>
        <w:t>___________</w:t>
      </w:r>
      <w:r>
        <w:rPr>
          <w:rFonts w:hint="eastAsia" w:ascii="宋体" w:hAnsi="宋体" w:eastAsia="宋体" w:cs="宋体"/>
          <w:color w:val="auto"/>
          <w:sz w:val="24"/>
          <w:highlight w:val="none"/>
        </w:rPr>
        <w:t>。</w:t>
      </w:r>
    </w:p>
    <w:p w14:paraId="3FE11DC0">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与本投标有关的一切正式往来信函请寄：</w:t>
      </w:r>
    </w:p>
    <w:p w14:paraId="1630DB39">
      <w:pPr>
        <w:pStyle w:val="258"/>
        <w:pageBreakBefore w:val="0"/>
        <w:wordWrap/>
        <w:topLinePunct w:val="0"/>
        <w:bidi w:val="0"/>
        <w:spacing w:line="360" w:lineRule="auto"/>
        <w:rPr>
          <w:rFonts w:hint="eastAsia" w:ascii="宋体" w:hAnsi="宋体" w:eastAsia="宋体" w:cs="宋体"/>
          <w:color w:val="auto"/>
          <w:highlight w:val="none"/>
        </w:rPr>
      </w:pPr>
    </w:p>
    <w:p w14:paraId="0FFFAE1C">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p>
    <w:p w14:paraId="47007F44">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地址_________________________     传真____________________________</w:t>
      </w:r>
    </w:p>
    <w:p w14:paraId="40496C70">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电话_________________________     电子函件________________________</w:t>
      </w:r>
    </w:p>
    <w:p w14:paraId="42E66703">
      <w:pPr>
        <w:pStyle w:val="258"/>
        <w:pageBreakBefore w:val="0"/>
        <w:wordWrap/>
        <w:topLinePunct w:val="0"/>
        <w:bidi w:val="0"/>
        <w:spacing w:line="360" w:lineRule="auto"/>
        <w:rPr>
          <w:rFonts w:hint="eastAsia" w:ascii="宋体" w:hAnsi="宋体" w:eastAsia="宋体" w:cs="宋体"/>
          <w:color w:val="auto"/>
          <w:sz w:val="24"/>
          <w:szCs w:val="20"/>
          <w:highlight w:val="none"/>
        </w:rPr>
      </w:pPr>
    </w:p>
    <w:p w14:paraId="13A71B89">
      <w:pPr>
        <w:pStyle w:val="258"/>
        <w:pageBreakBefore w:val="0"/>
        <w:wordWrap/>
        <w:topLinePunct w:val="0"/>
        <w:bidi w:val="0"/>
        <w:spacing w:line="360" w:lineRule="auto"/>
        <w:rPr>
          <w:rFonts w:hint="eastAsia" w:ascii="宋体" w:hAnsi="宋体" w:eastAsia="宋体" w:cs="宋体"/>
          <w:color w:val="auto"/>
          <w:sz w:val="24"/>
          <w:szCs w:val="20"/>
          <w:highlight w:val="none"/>
        </w:rPr>
      </w:pPr>
    </w:p>
    <w:p w14:paraId="41C27E92">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p>
    <w:p w14:paraId="22DC1E98">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投标人名称（加盖公章）</w:t>
      </w:r>
      <w:r>
        <w:rPr>
          <w:rFonts w:hint="eastAsia" w:ascii="宋体" w:hAnsi="宋体" w:eastAsia="宋体" w:cs="宋体"/>
          <w:color w:val="auto"/>
          <w:sz w:val="24"/>
          <w:highlight w:val="none"/>
          <w:lang w:val="zh-CN"/>
        </w:rPr>
        <w:t>________________</w:t>
      </w:r>
    </w:p>
    <w:p w14:paraId="5304BC35">
      <w:pPr>
        <w:pageBreakBefore w:val="0"/>
        <w:tabs>
          <w:tab w:val="left" w:pos="5580"/>
        </w:tabs>
        <w:wordWrap/>
        <w:topLinePunct w:val="0"/>
        <w:bidi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0"/>
          <w:highlight w:val="none"/>
        </w:rPr>
        <w:t xml:space="preserve">日期：_____年______月______日    </w:t>
      </w:r>
      <w:bookmarkStart w:id="821" w:name="_Hlt520355938"/>
      <w:bookmarkEnd w:id="821"/>
      <w:bookmarkStart w:id="822" w:name="_Hlt520356243"/>
      <w:bookmarkEnd w:id="822"/>
      <w:bookmarkStart w:id="823" w:name="_Toc142311059"/>
      <w:bookmarkStart w:id="824" w:name="_Toc150774762"/>
      <w:bookmarkStart w:id="825" w:name="_Toc226965747"/>
      <w:bookmarkStart w:id="826" w:name="_Toc305158899"/>
      <w:bookmarkStart w:id="827" w:name="_Toc480942350"/>
      <w:bookmarkStart w:id="828" w:name="_Toc264969247"/>
      <w:bookmarkStart w:id="829" w:name="_Toc226309801"/>
      <w:bookmarkStart w:id="830" w:name="_Toc520356218"/>
      <w:bookmarkStart w:id="831" w:name="_Toc305158825"/>
      <w:bookmarkStart w:id="832" w:name="_Toc150480795"/>
      <w:bookmarkStart w:id="833" w:name="_Toc265228395"/>
      <w:bookmarkStart w:id="834" w:name="_Toc226965830"/>
      <w:bookmarkStart w:id="835" w:name="_Toc195842922"/>
      <w:bookmarkStart w:id="836" w:name="_Ref467988705"/>
      <w:bookmarkStart w:id="837" w:name="_Toc226337253"/>
      <w:bookmarkStart w:id="838" w:name="_Toc127151557"/>
      <w:r>
        <w:rPr>
          <w:rFonts w:hint="eastAsia" w:ascii="宋体" w:hAnsi="宋体" w:eastAsia="宋体" w:cs="宋体"/>
          <w:color w:val="auto"/>
          <w:sz w:val="24"/>
          <w:highlight w:val="none"/>
        </w:rPr>
        <w:br w:type="page"/>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 xml:space="preserve">  授权委托书</w:t>
      </w:r>
    </w:p>
    <w:p w14:paraId="3A909C5D">
      <w:pPr>
        <w:pageBreakBefore w:val="0"/>
        <w:wordWrap/>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rPr>
        <w:t>授权委托书</w:t>
      </w:r>
    </w:p>
    <w:p w14:paraId="288E6F9D">
      <w:pPr>
        <w:pageBreakBefore w:val="0"/>
        <w:wordWrap/>
        <w:topLinePunct w:val="0"/>
        <w:bidi w:val="0"/>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本人</w:t>
      </w:r>
      <w:r>
        <w:rPr>
          <w:rFonts w:hint="eastAsia" w:ascii="宋体" w:hAnsi="宋体" w:eastAsia="宋体" w:cs="宋体"/>
          <w:color w:val="auto"/>
          <w:sz w:val="24"/>
          <w:highlight w:val="none"/>
          <w:lang w:val="zh-CN"/>
        </w:rPr>
        <w:t>_______</w:t>
      </w:r>
      <w:r>
        <w:rPr>
          <w:rFonts w:hint="eastAsia" w:ascii="宋体" w:hAnsi="宋体" w:eastAsia="宋体" w:cs="宋体"/>
          <w:color w:val="auto"/>
          <w:sz w:val="24"/>
          <w:szCs w:val="20"/>
          <w:highlight w:val="none"/>
        </w:rPr>
        <w:t>（姓名）系</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szCs w:val="20"/>
          <w:highlight w:val="none"/>
        </w:rPr>
        <w:t>（投标人名称）的法定代表人（单位负责人），现委托</w:t>
      </w:r>
      <w:r>
        <w:rPr>
          <w:rFonts w:hint="eastAsia" w:ascii="宋体" w:hAnsi="宋体" w:eastAsia="宋体" w:cs="宋体"/>
          <w:color w:val="auto"/>
          <w:sz w:val="24"/>
          <w:highlight w:val="none"/>
          <w:lang w:val="zh-CN"/>
        </w:rPr>
        <w:t>_______</w:t>
      </w:r>
      <w:r>
        <w:rPr>
          <w:rFonts w:hint="eastAsia" w:ascii="宋体" w:hAnsi="宋体" w:eastAsia="宋体" w:cs="宋体"/>
          <w:color w:val="auto"/>
          <w:sz w:val="24"/>
          <w:szCs w:val="20"/>
          <w:highlight w:val="none"/>
        </w:rPr>
        <w:t>（姓名）为我方代理人。代理人根据授权，以我方名义签署、澄清确认、递交、撤回、修改</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标的</w:t>
      </w:r>
      <w:r>
        <w:rPr>
          <w:rFonts w:hint="eastAsia" w:ascii="宋体" w:hAnsi="宋体" w:eastAsia="宋体" w:cs="宋体"/>
          <w:color w:val="auto"/>
          <w:sz w:val="24"/>
          <w:szCs w:val="20"/>
          <w:highlight w:val="none"/>
        </w:rPr>
        <w:t>名称）响应文件和处理有关事宜，其法律后果由我方承担。</w:t>
      </w:r>
    </w:p>
    <w:p w14:paraId="611CE7D7">
      <w:pPr>
        <w:pageBreakBefore w:val="0"/>
        <w:wordWrap/>
        <w:topLinePunct w:val="0"/>
        <w:bidi w:val="0"/>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委托期限：自本授权委托书签署之日起至响应有效期届满之日止。</w:t>
      </w:r>
    </w:p>
    <w:p w14:paraId="34BE0447">
      <w:pPr>
        <w:pageBreakBefore w:val="0"/>
        <w:wordWrap/>
        <w:topLinePunct w:val="0"/>
        <w:bidi w:val="0"/>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代理人无转委托权。</w:t>
      </w:r>
    </w:p>
    <w:p w14:paraId="102D701E">
      <w:pPr>
        <w:pageBreakBefore w:val="0"/>
        <w:wordWrap/>
        <w:topLinePunct w:val="0"/>
        <w:bidi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：________________</w:t>
      </w:r>
    </w:p>
    <w:p w14:paraId="2101A804">
      <w:pPr>
        <w:pageBreakBefore w:val="0"/>
        <w:wordWrap/>
        <w:topLinePunct w:val="0"/>
        <w:bidi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法定代表人（单位负责人）（签字</w:t>
      </w:r>
      <w:r>
        <w:rPr>
          <w:rFonts w:hint="eastAsia" w:ascii="宋体" w:hAnsi="宋体" w:eastAsia="宋体" w:cs="宋体"/>
          <w:color w:val="auto"/>
          <w:sz w:val="24"/>
          <w:szCs w:val="20"/>
          <w:highlight w:val="none"/>
          <w:lang w:val="en-US" w:eastAsia="zh-CN"/>
        </w:rPr>
        <w:t>或</w:t>
      </w:r>
      <w:r>
        <w:rPr>
          <w:rFonts w:hint="eastAsia" w:ascii="宋体" w:hAnsi="宋体" w:eastAsia="宋体" w:cs="宋体"/>
          <w:color w:val="auto"/>
          <w:sz w:val="24"/>
          <w:szCs w:val="20"/>
          <w:highlight w:val="none"/>
        </w:rPr>
        <w:t>签章或印鉴）：</w:t>
      </w:r>
      <w:r>
        <w:rPr>
          <w:rFonts w:hint="eastAsia" w:ascii="宋体" w:hAnsi="宋体" w:eastAsia="宋体" w:cs="宋体"/>
          <w:color w:val="auto"/>
          <w:sz w:val="24"/>
          <w:highlight w:val="none"/>
          <w:lang w:val="zh-CN"/>
        </w:rPr>
        <w:t>________________</w:t>
      </w:r>
    </w:p>
    <w:p w14:paraId="04D9F060">
      <w:pPr>
        <w:pageBreakBefore w:val="0"/>
        <w:wordWrap/>
        <w:topLinePunct w:val="0"/>
        <w:autoSpaceDE w:val="0"/>
        <w:autoSpaceDN w:val="0"/>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w:t>
      </w:r>
    </w:p>
    <w:p w14:paraId="0D6CDEB9">
      <w:pPr>
        <w:pageBreakBefore w:val="0"/>
        <w:wordWrap/>
        <w:topLinePunct w:val="0"/>
        <w:autoSpaceDE w:val="0"/>
        <w:autoSpaceDN w:val="0"/>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日期：_____年______月______日</w:t>
      </w:r>
    </w:p>
    <w:p w14:paraId="0A9BF92F">
      <w:pPr>
        <w:pStyle w:val="26"/>
        <w:pageBreakBefore w:val="0"/>
        <w:wordWrap/>
        <w:topLinePunct w:val="0"/>
        <w:bidi w:val="0"/>
        <w:spacing w:line="360" w:lineRule="auto"/>
        <w:rPr>
          <w:rFonts w:hint="eastAsia" w:ascii="宋体" w:hAnsi="宋体" w:eastAsia="宋体" w:cs="宋体"/>
          <w:color w:val="auto"/>
          <w:highlight w:val="none"/>
        </w:rPr>
      </w:pPr>
    </w:p>
    <w:p w14:paraId="65E7ECAC">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附：法定代表人（单位负责人）及委托代理人身份证明文件电子件：</w:t>
      </w:r>
    </w:p>
    <w:p w14:paraId="7BA45FBE">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0A46FAAA">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0EEAB347">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6E7FD346">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2AFD9973">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说明：</w:t>
      </w:r>
    </w:p>
    <w:p w14:paraId="2D58C93B">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1.若供应商为事业单位或其他组织或分支机构，则法定代表人（单位负责人）处的签署人可为单位负责人。</w:t>
      </w:r>
    </w:p>
    <w:p w14:paraId="3A3262F3">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2.若投标文件中签字之处均为法定代表人（单位负责人）本人签署，则可不提供本《授权委托书》，但须提供《法定代表人（单位负责人）身份证明》；否则，不需要提供《法 定代表人（单位负责人）身份证明》。</w:t>
      </w:r>
    </w:p>
    <w:p w14:paraId="15FE892D">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3.供应商为自然人的情形，可不提供本《授权委托书》。</w:t>
      </w:r>
    </w:p>
    <w:p w14:paraId="730DD757">
      <w:pPr>
        <w:pageBreakBefore w:val="0"/>
        <w:tabs>
          <w:tab w:val="left" w:pos="5580"/>
        </w:tabs>
        <w:wordWrap/>
        <w:topLinePunct w:val="0"/>
        <w:bidi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0"/>
          <w:highlight w:val="none"/>
          <w:lang w:val="en-US" w:eastAsia="zh-CN"/>
        </w:rPr>
        <w:t>4.供应商应随本《授权委托书》同时提供法定代表人（单位负责人）及委托代理人</w:t>
      </w:r>
      <w:r>
        <w:rPr>
          <w:rFonts w:hint="eastAsia" w:ascii="宋体" w:hAnsi="宋体" w:cs="宋体"/>
          <w:color w:val="auto"/>
          <w:sz w:val="24"/>
          <w:szCs w:val="20"/>
          <w:highlight w:val="none"/>
          <w:lang w:val="en-US" w:eastAsia="zh-CN"/>
        </w:rPr>
        <w:t>有</w:t>
      </w:r>
      <w:r>
        <w:rPr>
          <w:rFonts w:hint="eastAsia" w:ascii="宋体" w:hAnsi="宋体" w:eastAsia="宋体" w:cs="宋体"/>
          <w:color w:val="auto"/>
          <w:sz w:val="24"/>
          <w:szCs w:val="20"/>
          <w:highlight w:val="none"/>
          <w:lang w:val="en-US" w:eastAsia="zh-CN"/>
        </w:rPr>
        <w:t>效的身份证或护照等身份证明文件电子件。提供身份证的，应同时提供身份证</w:t>
      </w:r>
      <w:r>
        <w:rPr>
          <w:rFonts w:hint="eastAsia" w:ascii="宋体" w:hAnsi="宋体" w:eastAsia="宋体" w:cs="宋体"/>
          <w:b/>
          <w:bCs/>
          <w:color w:val="auto"/>
          <w:sz w:val="24"/>
          <w:szCs w:val="20"/>
          <w:highlight w:val="none"/>
          <w:lang w:val="en-US" w:eastAsia="zh-CN"/>
        </w:rPr>
        <w:t>双面</w:t>
      </w:r>
      <w:r>
        <w:rPr>
          <w:rFonts w:hint="eastAsia" w:ascii="宋体" w:hAnsi="宋体" w:eastAsia="宋体" w:cs="宋体"/>
          <w:color w:val="auto"/>
          <w:sz w:val="24"/>
          <w:szCs w:val="20"/>
          <w:highlight w:val="none"/>
          <w:lang w:val="en-US" w:eastAsia="zh-CN"/>
        </w:rPr>
        <w:t>电子件章</w:t>
      </w:r>
      <w:r>
        <w:rPr>
          <w:rFonts w:hint="eastAsia" w:ascii="宋体" w:hAnsi="宋体" w:eastAsia="宋体" w:cs="宋体"/>
          <w:color w:val="auto"/>
          <w:sz w:val="24"/>
          <w:szCs w:val="20"/>
          <w:highlight w:val="none"/>
        </w:rPr>
        <w:t>。</w:t>
      </w:r>
    </w:p>
    <w:p w14:paraId="1BFC0EF1">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rPr>
      </w:pPr>
    </w:p>
    <w:p w14:paraId="76A77CBF">
      <w:pPr>
        <w:pStyle w:val="26"/>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rPr>
      </w:pPr>
    </w:p>
    <w:p w14:paraId="535A692C">
      <w:pPr>
        <w:pStyle w:val="26"/>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rPr>
      </w:pPr>
    </w:p>
    <w:p w14:paraId="5D865A17">
      <w:pPr>
        <w:pageBreakBefore w:val="0"/>
        <w:wordWrap/>
        <w:topLinePunct w:val="0"/>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附：法定代表人（单位负责人）身份证明</w:t>
      </w:r>
    </w:p>
    <w:p w14:paraId="162E0F5D">
      <w:pPr>
        <w:pStyle w:val="258"/>
        <w:pageBreakBefore w:val="0"/>
        <w:wordWrap/>
        <w:topLinePunct w:val="0"/>
        <w:bidi w:val="0"/>
        <w:spacing w:line="360" w:lineRule="auto"/>
        <w:rPr>
          <w:rFonts w:hint="eastAsia" w:ascii="宋体" w:hAnsi="宋体" w:eastAsia="宋体" w:cs="宋体"/>
          <w:color w:val="auto"/>
          <w:highlight w:val="none"/>
        </w:rPr>
      </w:pPr>
    </w:p>
    <w:p w14:paraId="3E624A5D">
      <w:pPr>
        <w:pageBreakBefore w:val="0"/>
        <w:kinsoku w:val="0"/>
        <w:wordWrap/>
        <w:overflowPunct w:val="0"/>
        <w:topLinePunct w:val="0"/>
        <w:bidi w:val="0"/>
        <w:spacing w:line="360" w:lineRule="auto"/>
        <w:rPr>
          <w:rFonts w:hint="eastAsia" w:ascii="宋体" w:hAnsi="宋体" w:eastAsia="宋体" w:cs="宋体"/>
          <w:color w:val="auto"/>
          <w:sz w:val="20"/>
          <w:szCs w:val="20"/>
          <w:highlight w:val="none"/>
        </w:rPr>
      </w:pPr>
    </w:p>
    <w:p w14:paraId="1A445996">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7F8EC638">
      <w:pPr>
        <w:pStyle w:val="17"/>
        <w:pageBreakBefore w:val="0"/>
        <w:tabs>
          <w:tab w:val="left" w:pos="2412"/>
          <w:tab w:val="left" w:pos="3883"/>
          <w:tab w:val="left" w:pos="5352"/>
          <w:tab w:val="left" w:pos="6821"/>
        </w:tabs>
        <w:kinsoku w:val="0"/>
        <w:wordWrap/>
        <w:overflowPunct w:val="0"/>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兹证明，</w:t>
      </w:r>
    </w:p>
    <w:p w14:paraId="198BB7EB">
      <w:pPr>
        <w:pStyle w:val="17"/>
        <w:pageBreakBefore w:val="0"/>
        <w:tabs>
          <w:tab w:val="left" w:pos="1690"/>
          <w:tab w:val="left" w:pos="3400"/>
          <w:tab w:val="left" w:pos="5110"/>
          <w:tab w:val="left" w:pos="6821"/>
        </w:tabs>
        <w:kinsoku w:val="0"/>
        <w:wordWrap/>
        <w:overflowPunct w:val="0"/>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姓名：____性别：____年龄：____职务：____</w:t>
      </w:r>
    </w:p>
    <w:p w14:paraId="72EEE846">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7FB177AB">
      <w:pPr>
        <w:pStyle w:val="17"/>
        <w:pageBreakBefore w:val="0"/>
        <w:tabs>
          <w:tab w:val="left" w:pos="2250"/>
          <w:tab w:val="left" w:pos="2412"/>
          <w:tab w:val="left" w:pos="3883"/>
          <w:tab w:val="left" w:pos="5352"/>
          <w:tab w:val="left" w:pos="6821"/>
          <w:tab w:val="clear" w:pos="567"/>
        </w:tabs>
        <w:kinsoku w:val="0"/>
        <w:wordWrap/>
        <w:overflowPunct w:val="0"/>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（投标人名称）的法定代表人（单位负责人）。</w:t>
      </w:r>
    </w:p>
    <w:p w14:paraId="2C37A0EE">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53DD615F">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7396F02F">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1C7B18E0">
      <w:pPr>
        <w:pStyle w:val="17"/>
        <w:pageBreakBefore w:val="0"/>
        <w:kinsoku w:val="0"/>
        <w:wordWrap/>
        <w:overflowPunct w:val="0"/>
        <w:topLinePunct w:val="0"/>
        <w:bidi w:val="0"/>
        <w:spacing w:line="360" w:lineRule="auto"/>
        <w:ind w:right="-46"/>
        <w:rPr>
          <w:rFonts w:hint="eastAsia" w:ascii="宋体" w:hAnsi="宋体" w:eastAsia="宋体" w:cs="宋体"/>
          <w:color w:val="auto"/>
          <w:spacing w:val="-3"/>
          <w:highlight w:val="none"/>
        </w:rPr>
      </w:pPr>
      <w:r>
        <w:rPr>
          <w:rFonts w:hint="eastAsia" w:ascii="宋体" w:hAnsi="宋体" w:eastAsia="宋体" w:cs="宋体"/>
          <w:color w:val="auto"/>
          <w:highlight w:val="none"/>
        </w:rPr>
        <w:t>附：</w:t>
      </w:r>
      <w:r>
        <w:rPr>
          <w:rFonts w:hint="eastAsia" w:ascii="宋体" w:hAnsi="宋体" w:eastAsia="宋体" w:cs="宋体"/>
          <w:color w:val="auto"/>
          <w:spacing w:val="-3"/>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3"/>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w:t>
      </w:r>
      <w:r>
        <w:rPr>
          <w:rFonts w:hint="eastAsia" w:ascii="宋体" w:hAnsi="宋体" w:eastAsia="宋体" w:cs="宋体"/>
          <w:color w:val="auto"/>
          <w:spacing w:val="-3"/>
          <w:highlight w:val="none"/>
        </w:rPr>
        <w:t>单</w:t>
      </w:r>
      <w:r>
        <w:rPr>
          <w:rFonts w:hint="eastAsia" w:ascii="宋体" w:hAnsi="宋体" w:eastAsia="宋体" w:cs="宋体"/>
          <w:color w:val="auto"/>
          <w:highlight w:val="none"/>
        </w:rPr>
        <w:t>位</w:t>
      </w:r>
      <w:r>
        <w:rPr>
          <w:rFonts w:hint="eastAsia" w:ascii="宋体" w:hAnsi="宋体" w:eastAsia="宋体" w:cs="宋体"/>
          <w:color w:val="auto"/>
          <w:spacing w:val="-3"/>
          <w:highlight w:val="none"/>
        </w:rPr>
        <w:t>负</w:t>
      </w:r>
      <w:r>
        <w:rPr>
          <w:rFonts w:hint="eastAsia" w:ascii="宋体" w:hAnsi="宋体" w:eastAsia="宋体" w:cs="宋体"/>
          <w:color w:val="auto"/>
          <w:highlight w:val="none"/>
        </w:rPr>
        <w:t>责人</w:t>
      </w:r>
      <w:r>
        <w:rPr>
          <w:rFonts w:hint="eastAsia" w:ascii="宋体" w:hAnsi="宋体" w:eastAsia="宋体" w:cs="宋体"/>
          <w:color w:val="auto"/>
          <w:spacing w:val="-3"/>
          <w:highlight w:val="none"/>
        </w:rPr>
        <w:t>）有效期内的身份证正反面电子件。</w:t>
      </w:r>
    </w:p>
    <w:p w14:paraId="45D49169">
      <w:pPr>
        <w:pStyle w:val="17"/>
        <w:pageBreakBefore w:val="0"/>
        <w:kinsoku w:val="0"/>
        <w:wordWrap/>
        <w:overflowPunct w:val="0"/>
        <w:topLinePunct w:val="0"/>
        <w:bidi w:val="0"/>
        <w:spacing w:line="360" w:lineRule="auto"/>
        <w:ind w:right="4305"/>
        <w:rPr>
          <w:rFonts w:hint="eastAsia" w:ascii="宋体" w:hAnsi="宋体" w:eastAsia="宋体" w:cs="宋体"/>
          <w:color w:val="auto"/>
          <w:spacing w:val="-3"/>
          <w:highlight w:val="none"/>
        </w:rPr>
      </w:pPr>
    </w:p>
    <w:p w14:paraId="5DF834D6">
      <w:pPr>
        <w:pStyle w:val="17"/>
        <w:pageBreakBefore w:val="0"/>
        <w:kinsoku w:val="0"/>
        <w:wordWrap/>
        <w:overflowPunct w:val="0"/>
        <w:topLinePunct w:val="0"/>
        <w:bidi w:val="0"/>
        <w:spacing w:line="360" w:lineRule="auto"/>
        <w:ind w:right="4305"/>
        <w:rPr>
          <w:rFonts w:hint="eastAsia" w:ascii="宋体" w:hAnsi="宋体" w:eastAsia="宋体" w:cs="宋体"/>
          <w:color w:val="auto"/>
          <w:spacing w:val="-3"/>
          <w:highlight w:val="none"/>
        </w:rPr>
      </w:pPr>
    </w:p>
    <w:p w14:paraId="6511C932">
      <w:pPr>
        <w:pageBreakBefore w:val="0"/>
        <w:wordWrap/>
        <w:topLinePunct w:val="0"/>
        <w:autoSpaceDE w:val="0"/>
        <w:autoSpaceDN w:val="0"/>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：________________</w:t>
      </w:r>
    </w:p>
    <w:p w14:paraId="704F3E7C">
      <w:pPr>
        <w:pStyle w:val="17"/>
        <w:pageBreakBefore w:val="0"/>
        <w:kinsoku w:val="0"/>
        <w:wordWrap/>
        <w:overflowPunct w:val="0"/>
        <w:topLinePunct w:val="0"/>
        <w:bidi w:val="0"/>
        <w:spacing w:line="360" w:lineRule="auto"/>
        <w:ind w:right="95"/>
        <w:rPr>
          <w:rFonts w:hint="eastAsia" w:ascii="宋体" w:hAnsi="宋体" w:eastAsia="宋体" w:cs="宋体"/>
          <w:color w:val="auto"/>
          <w:sz w:val="24"/>
          <w:highlight w:val="none"/>
        </w:rPr>
      </w:pP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单位负责人</w:t>
      </w:r>
      <w:r>
        <w:rPr>
          <w:rFonts w:hint="eastAsia" w:ascii="宋体" w:hAnsi="宋体" w:eastAsia="宋体" w:cs="宋体"/>
          <w:color w:val="auto"/>
          <w:spacing w:val="-3"/>
          <w:highlight w:val="none"/>
        </w:rPr>
        <w:t>）（签字</w:t>
      </w:r>
      <w:r>
        <w:rPr>
          <w:rFonts w:hint="eastAsia" w:ascii="宋体" w:hAnsi="宋体" w:eastAsia="宋体" w:cs="宋体"/>
          <w:color w:val="auto"/>
          <w:spacing w:val="-3"/>
          <w:highlight w:val="none"/>
          <w:lang w:val="en-US" w:eastAsia="zh-CN"/>
        </w:rPr>
        <w:t>或</w:t>
      </w:r>
      <w:r>
        <w:rPr>
          <w:rFonts w:hint="eastAsia" w:ascii="宋体" w:hAnsi="宋体" w:eastAsia="宋体" w:cs="宋体"/>
          <w:color w:val="auto"/>
          <w:spacing w:val="-3"/>
          <w:highlight w:val="none"/>
        </w:rPr>
        <w:t>签章或印鉴）：_______</w:t>
      </w:r>
    </w:p>
    <w:p w14:paraId="0EB1B228">
      <w:pPr>
        <w:pageBreakBefore w:val="0"/>
        <w:wordWrap/>
        <w:topLinePunct w:val="0"/>
        <w:autoSpaceDE w:val="0"/>
        <w:autoSpaceDN w:val="0"/>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日期：_____年______月______日</w:t>
      </w:r>
    </w:p>
    <w:p w14:paraId="21FAA665">
      <w:pPr>
        <w:pageBreakBefore w:val="0"/>
        <w:widowControl/>
        <w:wordWrap/>
        <w:topLinePunct w:val="0"/>
        <w:bidi w:val="0"/>
        <w:spacing w:line="360" w:lineRule="auto"/>
        <w:jc w:val="left"/>
        <w:rPr>
          <w:rFonts w:hint="eastAsia" w:ascii="宋体" w:hAnsi="宋体" w:eastAsia="宋体" w:cs="宋体"/>
          <w:i/>
          <w:color w:val="auto"/>
          <w:sz w:val="24"/>
          <w:szCs w:val="20"/>
          <w:highlight w:val="none"/>
          <w:u w:val="single"/>
        </w:rPr>
      </w:pPr>
    </w:p>
    <w:p w14:paraId="2C05A023">
      <w:pPr>
        <w:pageBreakBefore w:val="0"/>
        <w:widowControl/>
        <w:wordWrap/>
        <w:topLinePunct w:val="0"/>
        <w:bidi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r>
        <w:rPr>
          <w:rFonts w:hint="eastAsia" w:ascii="宋体" w:hAnsi="宋体" w:cs="宋体"/>
          <w:b/>
          <w:bCs/>
          <w:color w:val="auto"/>
          <w:sz w:val="24"/>
          <w:szCs w:val="20"/>
          <w:highlight w:val="none"/>
          <w:lang w:val="en-US" w:eastAsia="zh-CN"/>
        </w:rPr>
        <w:t>3</w:t>
      </w:r>
      <w:r>
        <w:rPr>
          <w:rFonts w:hint="eastAsia" w:ascii="宋体" w:hAnsi="宋体" w:eastAsia="宋体" w:cs="宋体"/>
          <w:b/>
          <w:bCs/>
          <w:color w:val="auto"/>
          <w:sz w:val="24"/>
          <w:szCs w:val="20"/>
          <w:highlight w:val="none"/>
        </w:rPr>
        <w:t xml:space="preserve">  开标一览表</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23732F92">
      <w:pPr>
        <w:spacing w:line="360" w:lineRule="exact"/>
        <w:jc w:val="center"/>
        <w:rPr>
          <w:b/>
          <w:color w:val="auto"/>
          <w:sz w:val="36"/>
          <w:szCs w:val="36"/>
          <w:highlight w:val="none"/>
        </w:rPr>
      </w:pPr>
      <w:bookmarkStart w:id="839" w:name="_Toc226309802"/>
      <w:bookmarkStart w:id="840" w:name="_Toc305158826"/>
      <w:bookmarkStart w:id="841" w:name="_Toc265228396"/>
      <w:bookmarkStart w:id="842" w:name="_Toc226337254"/>
      <w:bookmarkStart w:id="843" w:name="_Toc164608672"/>
      <w:bookmarkStart w:id="844" w:name="_Toc226965748"/>
      <w:bookmarkStart w:id="845" w:name="_Toc226965831"/>
      <w:bookmarkStart w:id="846" w:name="_Toc195842923"/>
      <w:bookmarkStart w:id="847" w:name="_Toc164608827"/>
      <w:bookmarkStart w:id="848" w:name="_Toc264969248"/>
      <w:bookmarkStart w:id="849" w:name="_Toc305158900"/>
      <w:bookmarkStart w:id="850" w:name="_Toc226337258"/>
      <w:bookmarkStart w:id="851" w:name="_Toc305158904"/>
      <w:bookmarkStart w:id="852" w:name="_Toc226965752"/>
      <w:bookmarkStart w:id="853" w:name="_Toc150774765"/>
      <w:bookmarkStart w:id="854" w:name="_Toc226965835"/>
      <w:bookmarkStart w:id="855" w:name="_Toc226309806"/>
      <w:bookmarkStart w:id="856" w:name="_Toc265228400"/>
      <w:bookmarkStart w:id="857" w:name="_Toc195842927"/>
      <w:bookmarkStart w:id="858" w:name="_Toc142311062"/>
      <w:bookmarkStart w:id="859" w:name="_Toc264969252"/>
      <w:bookmarkStart w:id="860" w:name="_Toc305158830"/>
      <w:bookmarkStart w:id="861" w:name="_Toc150480798"/>
      <w:bookmarkStart w:id="862" w:name="_Toc127151562"/>
      <w:bookmarkStart w:id="863" w:name="_Toc226965751"/>
      <w:bookmarkStart w:id="864" w:name="_Toc226337257"/>
      <w:bookmarkStart w:id="865" w:name="_Toc142311061"/>
      <w:bookmarkStart w:id="866" w:name="_Toc226309805"/>
      <w:bookmarkStart w:id="867" w:name="_Toc264969251"/>
      <w:bookmarkStart w:id="868" w:name="_Toc150774764"/>
      <w:bookmarkStart w:id="869" w:name="_Toc226965834"/>
      <w:bookmarkStart w:id="870" w:name="_Toc305158903"/>
      <w:bookmarkStart w:id="871" w:name="_Toc305158829"/>
      <w:bookmarkStart w:id="872" w:name="_Toc265228399"/>
      <w:bookmarkStart w:id="873" w:name="_Toc150480797"/>
      <w:bookmarkStart w:id="874" w:name="_Toc195842926"/>
      <w:bookmarkStart w:id="875" w:name="_Toc127151561"/>
      <w:r>
        <w:rPr>
          <w:rFonts w:hint="eastAsia"/>
          <w:b/>
          <w:color w:val="auto"/>
          <w:sz w:val="36"/>
          <w:szCs w:val="36"/>
          <w:highlight w:val="none"/>
        </w:rPr>
        <w:t>开标一览表</w:t>
      </w:r>
      <w:bookmarkEnd w:id="839"/>
      <w:bookmarkEnd w:id="840"/>
      <w:bookmarkEnd w:id="841"/>
      <w:bookmarkEnd w:id="842"/>
      <w:bookmarkEnd w:id="843"/>
      <w:bookmarkEnd w:id="844"/>
      <w:bookmarkEnd w:id="845"/>
      <w:bookmarkEnd w:id="846"/>
      <w:bookmarkEnd w:id="847"/>
      <w:bookmarkEnd w:id="848"/>
      <w:bookmarkEnd w:id="849"/>
    </w:p>
    <w:p w14:paraId="2910C776">
      <w:pPr>
        <w:tabs>
          <w:tab w:val="left" w:pos="1800"/>
          <w:tab w:val="left" w:pos="5580"/>
        </w:tabs>
        <w:spacing w:line="360" w:lineRule="auto"/>
        <w:jc w:val="left"/>
        <w:rPr>
          <w:i/>
          <w:color w:val="auto"/>
          <w:sz w:val="24"/>
          <w:highlight w:val="none"/>
        </w:rPr>
      </w:pPr>
    </w:p>
    <w:p w14:paraId="0C3CAC13">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项目编号：_____________________     项目名称：____________</w:t>
      </w:r>
    </w:p>
    <w:tbl>
      <w:tblPr>
        <w:tblStyle w:val="47"/>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3940"/>
        <w:gridCol w:w="2113"/>
        <w:gridCol w:w="2108"/>
      </w:tblGrid>
      <w:tr w14:paraId="5A05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33" w:type="dxa"/>
            <w:vMerge w:val="restart"/>
            <w:vAlign w:val="center"/>
          </w:tcPr>
          <w:p w14:paraId="16E3801F">
            <w:pPr>
              <w:tabs>
                <w:tab w:val="left" w:pos="5580"/>
              </w:tabs>
              <w:jc w:val="center"/>
              <w:rPr>
                <w:b/>
                <w:color w:val="auto"/>
                <w:sz w:val="24"/>
                <w:highlight w:val="none"/>
              </w:rPr>
            </w:pPr>
            <w:r>
              <w:rPr>
                <w:b/>
                <w:color w:val="auto"/>
                <w:sz w:val="24"/>
                <w:highlight w:val="none"/>
              </w:rPr>
              <w:t>序号</w:t>
            </w:r>
          </w:p>
        </w:tc>
        <w:tc>
          <w:tcPr>
            <w:tcW w:w="3940" w:type="dxa"/>
            <w:vMerge w:val="restart"/>
            <w:vAlign w:val="center"/>
          </w:tcPr>
          <w:p w14:paraId="59A25FFE">
            <w:pPr>
              <w:tabs>
                <w:tab w:val="left" w:pos="5580"/>
              </w:tabs>
              <w:jc w:val="center"/>
              <w:rPr>
                <w:b/>
                <w:color w:val="auto"/>
                <w:sz w:val="24"/>
                <w:highlight w:val="none"/>
              </w:rPr>
            </w:pPr>
            <w:r>
              <w:rPr>
                <w:b/>
                <w:color w:val="auto"/>
                <w:sz w:val="24"/>
                <w:highlight w:val="none"/>
              </w:rPr>
              <w:t>投标人名称</w:t>
            </w:r>
          </w:p>
        </w:tc>
        <w:tc>
          <w:tcPr>
            <w:tcW w:w="4221" w:type="dxa"/>
            <w:gridSpan w:val="2"/>
            <w:vAlign w:val="center"/>
          </w:tcPr>
          <w:p w14:paraId="5D93A7F4">
            <w:pPr>
              <w:tabs>
                <w:tab w:val="left" w:pos="5580"/>
              </w:tabs>
              <w:jc w:val="center"/>
              <w:rPr>
                <w:b/>
                <w:color w:val="auto"/>
                <w:sz w:val="24"/>
                <w:highlight w:val="none"/>
              </w:rPr>
            </w:pPr>
            <w:r>
              <w:rPr>
                <w:b/>
                <w:color w:val="auto"/>
                <w:sz w:val="24"/>
                <w:highlight w:val="none"/>
              </w:rPr>
              <w:t>投标报价</w:t>
            </w:r>
          </w:p>
        </w:tc>
      </w:tr>
      <w:tr w14:paraId="4074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33" w:type="dxa"/>
            <w:vMerge w:val="continue"/>
            <w:vAlign w:val="center"/>
          </w:tcPr>
          <w:p w14:paraId="046B75F1">
            <w:pPr>
              <w:tabs>
                <w:tab w:val="left" w:pos="5580"/>
              </w:tabs>
              <w:jc w:val="center"/>
              <w:rPr>
                <w:color w:val="auto"/>
                <w:sz w:val="24"/>
                <w:highlight w:val="none"/>
              </w:rPr>
            </w:pPr>
          </w:p>
        </w:tc>
        <w:tc>
          <w:tcPr>
            <w:tcW w:w="3940" w:type="dxa"/>
            <w:vMerge w:val="continue"/>
            <w:vAlign w:val="center"/>
          </w:tcPr>
          <w:p w14:paraId="709F5522">
            <w:pPr>
              <w:tabs>
                <w:tab w:val="left" w:pos="5580"/>
              </w:tabs>
              <w:jc w:val="center"/>
              <w:rPr>
                <w:color w:val="auto"/>
                <w:sz w:val="24"/>
                <w:highlight w:val="none"/>
              </w:rPr>
            </w:pPr>
          </w:p>
        </w:tc>
        <w:tc>
          <w:tcPr>
            <w:tcW w:w="2113" w:type="dxa"/>
            <w:vAlign w:val="center"/>
          </w:tcPr>
          <w:p w14:paraId="1B568236">
            <w:pPr>
              <w:tabs>
                <w:tab w:val="left" w:pos="5580"/>
              </w:tabs>
              <w:jc w:val="center"/>
              <w:rPr>
                <w:b/>
                <w:color w:val="auto"/>
                <w:sz w:val="24"/>
                <w:highlight w:val="none"/>
              </w:rPr>
            </w:pPr>
            <w:r>
              <w:rPr>
                <w:b/>
                <w:color w:val="auto"/>
                <w:sz w:val="24"/>
                <w:highlight w:val="none"/>
              </w:rPr>
              <w:t>大写</w:t>
            </w:r>
          </w:p>
        </w:tc>
        <w:tc>
          <w:tcPr>
            <w:tcW w:w="2108" w:type="dxa"/>
            <w:vAlign w:val="center"/>
          </w:tcPr>
          <w:p w14:paraId="515923E6">
            <w:pPr>
              <w:tabs>
                <w:tab w:val="left" w:pos="5580"/>
              </w:tabs>
              <w:jc w:val="center"/>
              <w:rPr>
                <w:b/>
                <w:color w:val="auto"/>
                <w:sz w:val="24"/>
                <w:highlight w:val="none"/>
              </w:rPr>
            </w:pPr>
            <w:r>
              <w:rPr>
                <w:b/>
                <w:color w:val="auto"/>
                <w:sz w:val="24"/>
                <w:highlight w:val="none"/>
              </w:rPr>
              <w:t>小写</w:t>
            </w:r>
          </w:p>
        </w:tc>
      </w:tr>
      <w:tr w14:paraId="14F8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33" w:type="dxa"/>
            <w:vAlign w:val="center"/>
          </w:tcPr>
          <w:p w14:paraId="1C80264A">
            <w:pPr>
              <w:tabs>
                <w:tab w:val="left" w:pos="5580"/>
              </w:tabs>
              <w:jc w:val="center"/>
              <w:rPr>
                <w:color w:val="auto"/>
                <w:sz w:val="24"/>
                <w:highlight w:val="none"/>
              </w:rPr>
            </w:pPr>
          </w:p>
        </w:tc>
        <w:tc>
          <w:tcPr>
            <w:tcW w:w="3940" w:type="dxa"/>
            <w:vAlign w:val="center"/>
          </w:tcPr>
          <w:p w14:paraId="3C3C8B96">
            <w:pPr>
              <w:tabs>
                <w:tab w:val="left" w:pos="5580"/>
              </w:tabs>
              <w:jc w:val="center"/>
              <w:rPr>
                <w:color w:val="auto"/>
                <w:sz w:val="24"/>
                <w:highlight w:val="none"/>
              </w:rPr>
            </w:pPr>
          </w:p>
        </w:tc>
        <w:tc>
          <w:tcPr>
            <w:tcW w:w="2113" w:type="dxa"/>
            <w:vAlign w:val="center"/>
          </w:tcPr>
          <w:p w14:paraId="1B428905">
            <w:pPr>
              <w:tabs>
                <w:tab w:val="left" w:pos="5580"/>
              </w:tabs>
              <w:jc w:val="center"/>
              <w:rPr>
                <w:color w:val="auto"/>
                <w:sz w:val="24"/>
                <w:highlight w:val="none"/>
              </w:rPr>
            </w:pPr>
          </w:p>
        </w:tc>
        <w:tc>
          <w:tcPr>
            <w:tcW w:w="2108" w:type="dxa"/>
            <w:vAlign w:val="center"/>
          </w:tcPr>
          <w:p w14:paraId="2A32E660">
            <w:pPr>
              <w:tabs>
                <w:tab w:val="left" w:pos="5580"/>
              </w:tabs>
              <w:jc w:val="center"/>
              <w:rPr>
                <w:color w:val="auto"/>
                <w:sz w:val="24"/>
                <w:highlight w:val="none"/>
              </w:rPr>
            </w:pPr>
          </w:p>
        </w:tc>
      </w:tr>
    </w:tbl>
    <w:p w14:paraId="4DB5BF63">
      <w:pPr>
        <w:autoSpaceDE w:val="0"/>
        <w:autoSpaceDN w:val="0"/>
        <w:adjustRightInd w:val="0"/>
        <w:jc w:val="left"/>
        <w:rPr>
          <w:color w:val="auto"/>
          <w:kern w:val="0"/>
          <w:sz w:val="24"/>
          <w:highlight w:val="none"/>
        </w:rPr>
      </w:pPr>
    </w:p>
    <w:p w14:paraId="47AF3C63">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14:paraId="19C51D88">
      <w:pPr>
        <w:tabs>
          <w:tab w:val="left" w:pos="5580"/>
        </w:tabs>
        <w:ind w:firstLine="480" w:firstLineChars="200"/>
        <w:rPr>
          <w:color w:val="auto"/>
          <w:sz w:val="24"/>
          <w:szCs w:val="20"/>
          <w:highlight w:val="none"/>
        </w:rPr>
      </w:pPr>
      <w:r>
        <w:rPr>
          <w:color w:val="auto"/>
          <w:sz w:val="24"/>
          <w:szCs w:val="20"/>
          <w:highlight w:val="none"/>
        </w:rPr>
        <w:t>2.本表必须按包分别填写。</w:t>
      </w:r>
    </w:p>
    <w:p w14:paraId="707DC893">
      <w:pPr>
        <w:autoSpaceDE w:val="0"/>
        <w:autoSpaceDN w:val="0"/>
        <w:adjustRightInd w:val="0"/>
        <w:snapToGrid w:val="0"/>
        <w:spacing w:before="25" w:after="25" w:line="360" w:lineRule="auto"/>
        <w:rPr>
          <w:color w:val="auto"/>
          <w:sz w:val="24"/>
          <w:highlight w:val="none"/>
          <w:lang w:val="zh-CN"/>
        </w:rPr>
      </w:pPr>
    </w:p>
    <w:p w14:paraId="708264FD">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B0D6EEA">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67D6A4ED">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9C31975">
      <w:pPr>
        <w:pageBreakBefore w:val="0"/>
        <w:widowControl/>
        <w:wordWrap/>
        <w:topLinePunct w:val="0"/>
        <w:bidi w:val="0"/>
        <w:spacing w:line="360" w:lineRule="auto"/>
        <w:jc w:val="left"/>
        <w:rPr>
          <w:rFonts w:hint="eastAsia" w:ascii="宋体" w:hAnsi="宋体" w:eastAsia="宋体" w:cs="宋体"/>
          <w:color w:val="auto"/>
          <w:sz w:val="18"/>
          <w:szCs w:val="18"/>
          <w:highlight w:val="none"/>
        </w:rPr>
      </w:pPr>
    </w:p>
    <w:p w14:paraId="4E45A625">
      <w:pPr>
        <w:pStyle w:val="3"/>
        <w:rPr>
          <w:rFonts w:hint="eastAsia" w:ascii="宋体" w:hAnsi="宋体" w:eastAsia="宋体" w:cs="宋体"/>
          <w:color w:val="auto"/>
          <w:sz w:val="18"/>
          <w:szCs w:val="18"/>
          <w:highlight w:val="none"/>
        </w:rPr>
      </w:pPr>
    </w:p>
    <w:p w14:paraId="592C46F1">
      <w:pPr>
        <w:rPr>
          <w:rFonts w:hint="eastAsia" w:ascii="宋体" w:hAnsi="宋体" w:eastAsia="宋体" w:cs="宋体"/>
          <w:color w:val="auto"/>
          <w:sz w:val="18"/>
          <w:szCs w:val="18"/>
          <w:highlight w:val="none"/>
        </w:rPr>
      </w:pPr>
    </w:p>
    <w:p w14:paraId="43DF0CA8">
      <w:pPr>
        <w:pStyle w:val="3"/>
        <w:rPr>
          <w:rFonts w:hint="eastAsia" w:ascii="宋体" w:hAnsi="宋体" w:eastAsia="宋体" w:cs="宋体"/>
          <w:color w:val="auto"/>
          <w:sz w:val="18"/>
          <w:szCs w:val="18"/>
          <w:highlight w:val="none"/>
        </w:rPr>
      </w:pPr>
    </w:p>
    <w:p w14:paraId="2BB0C89A">
      <w:pPr>
        <w:rPr>
          <w:rFonts w:hint="eastAsia" w:ascii="宋体" w:hAnsi="宋体" w:eastAsia="宋体" w:cs="宋体"/>
          <w:color w:val="auto"/>
          <w:sz w:val="18"/>
          <w:szCs w:val="18"/>
          <w:highlight w:val="none"/>
        </w:rPr>
      </w:pPr>
    </w:p>
    <w:p w14:paraId="41E8700D">
      <w:pPr>
        <w:pStyle w:val="3"/>
        <w:rPr>
          <w:rFonts w:hint="eastAsia" w:ascii="宋体" w:hAnsi="宋体" w:eastAsia="宋体" w:cs="宋体"/>
          <w:color w:val="auto"/>
          <w:sz w:val="18"/>
          <w:szCs w:val="18"/>
          <w:highlight w:val="none"/>
        </w:rPr>
      </w:pPr>
    </w:p>
    <w:p w14:paraId="1DAD3A0B">
      <w:pPr>
        <w:rPr>
          <w:rFonts w:hint="eastAsia" w:ascii="宋体" w:hAnsi="宋体" w:eastAsia="宋体" w:cs="宋体"/>
          <w:color w:val="auto"/>
          <w:sz w:val="18"/>
          <w:szCs w:val="18"/>
          <w:highlight w:val="none"/>
        </w:rPr>
      </w:pPr>
    </w:p>
    <w:p w14:paraId="2851BED6">
      <w:pPr>
        <w:pStyle w:val="3"/>
        <w:rPr>
          <w:rFonts w:hint="eastAsia" w:ascii="宋体" w:hAnsi="宋体" w:eastAsia="宋体" w:cs="宋体"/>
          <w:color w:val="auto"/>
          <w:sz w:val="18"/>
          <w:szCs w:val="18"/>
          <w:highlight w:val="none"/>
        </w:rPr>
      </w:pPr>
    </w:p>
    <w:p w14:paraId="3EF9966E">
      <w:pPr>
        <w:rPr>
          <w:rFonts w:hint="eastAsia" w:ascii="宋体" w:hAnsi="宋体" w:eastAsia="宋体" w:cs="宋体"/>
          <w:color w:val="auto"/>
          <w:sz w:val="18"/>
          <w:szCs w:val="18"/>
          <w:highlight w:val="none"/>
        </w:rPr>
      </w:pPr>
    </w:p>
    <w:p w14:paraId="3A0C291D">
      <w:pPr>
        <w:pStyle w:val="3"/>
        <w:rPr>
          <w:rFonts w:hint="eastAsia" w:ascii="宋体" w:hAnsi="宋体" w:eastAsia="宋体" w:cs="宋体"/>
          <w:color w:val="auto"/>
          <w:sz w:val="18"/>
          <w:szCs w:val="18"/>
          <w:highlight w:val="none"/>
        </w:rPr>
      </w:pPr>
    </w:p>
    <w:p w14:paraId="6B161E49">
      <w:pPr>
        <w:rPr>
          <w:rFonts w:hint="eastAsia" w:ascii="宋体" w:hAnsi="宋体" w:eastAsia="宋体" w:cs="宋体"/>
          <w:color w:val="auto"/>
          <w:sz w:val="18"/>
          <w:szCs w:val="18"/>
          <w:highlight w:val="none"/>
        </w:rPr>
      </w:pPr>
    </w:p>
    <w:p w14:paraId="1C2D84CD">
      <w:pPr>
        <w:pStyle w:val="3"/>
        <w:rPr>
          <w:rFonts w:hint="eastAsia" w:ascii="宋体" w:hAnsi="宋体" w:eastAsia="宋体" w:cs="宋体"/>
          <w:color w:val="auto"/>
          <w:sz w:val="18"/>
          <w:szCs w:val="18"/>
          <w:highlight w:val="none"/>
        </w:rPr>
      </w:pPr>
    </w:p>
    <w:p w14:paraId="0527FAD7">
      <w:pPr>
        <w:rPr>
          <w:rFonts w:hint="eastAsia" w:ascii="宋体" w:hAnsi="宋体" w:eastAsia="宋体" w:cs="宋体"/>
          <w:color w:val="auto"/>
          <w:sz w:val="18"/>
          <w:szCs w:val="18"/>
          <w:highlight w:val="none"/>
        </w:rPr>
      </w:pPr>
    </w:p>
    <w:p w14:paraId="50145600">
      <w:pPr>
        <w:pStyle w:val="3"/>
        <w:rPr>
          <w:rFonts w:hint="eastAsia" w:ascii="宋体" w:hAnsi="宋体" w:eastAsia="宋体" w:cs="宋体"/>
          <w:color w:val="auto"/>
          <w:sz w:val="18"/>
          <w:szCs w:val="18"/>
          <w:highlight w:val="none"/>
        </w:rPr>
      </w:pPr>
    </w:p>
    <w:p w14:paraId="41330641">
      <w:pPr>
        <w:rPr>
          <w:rFonts w:hint="eastAsia" w:ascii="宋体" w:hAnsi="宋体" w:eastAsia="宋体" w:cs="宋体"/>
          <w:color w:val="auto"/>
          <w:sz w:val="18"/>
          <w:szCs w:val="18"/>
          <w:highlight w:val="none"/>
        </w:rPr>
      </w:pPr>
    </w:p>
    <w:p w14:paraId="6FECE62F">
      <w:pPr>
        <w:pStyle w:val="3"/>
        <w:rPr>
          <w:rFonts w:hint="eastAsia" w:ascii="宋体" w:hAnsi="宋体" w:eastAsia="宋体" w:cs="宋体"/>
          <w:color w:val="auto"/>
          <w:sz w:val="18"/>
          <w:szCs w:val="18"/>
          <w:highlight w:val="none"/>
        </w:rPr>
      </w:pPr>
    </w:p>
    <w:p w14:paraId="37D72A9A">
      <w:pPr>
        <w:rPr>
          <w:rFonts w:hint="eastAsia" w:ascii="宋体" w:hAnsi="宋体" w:eastAsia="宋体" w:cs="宋体"/>
          <w:color w:val="auto"/>
          <w:sz w:val="18"/>
          <w:szCs w:val="18"/>
          <w:highlight w:val="none"/>
        </w:rPr>
      </w:pPr>
    </w:p>
    <w:p w14:paraId="24D692A6">
      <w:pPr>
        <w:pStyle w:val="3"/>
        <w:rPr>
          <w:rFonts w:hint="eastAsia" w:ascii="宋体" w:hAnsi="宋体" w:eastAsia="宋体" w:cs="宋体"/>
          <w:color w:val="auto"/>
          <w:sz w:val="18"/>
          <w:szCs w:val="18"/>
          <w:highlight w:val="none"/>
        </w:rPr>
      </w:pPr>
    </w:p>
    <w:p w14:paraId="10EC14CC">
      <w:pPr>
        <w:rPr>
          <w:rFonts w:hint="eastAsia" w:ascii="宋体" w:hAnsi="宋体" w:eastAsia="宋体" w:cs="宋体"/>
          <w:color w:val="auto"/>
          <w:sz w:val="18"/>
          <w:szCs w:val="18"/>
          <w:highlight w:val="none"/>
        </w:rPr>
      </w:pPr>
    </w:p>
    <w:p w14:paraId="78FDB753">
      <w:pPr>
        <w:pStyle w:val="3"/>
        <w:rPr>
          <w:rFonts w:hint="eastAsia" w:ascii="宋体" w:hAnsi="宋体" w:eastAsia="宋体" w:cs="宋体"/>
          <w:color w:val="auto"/>
          <w:sz w:val="18"/>
          <w:szCs w:val="18"/>
          <w:highlight w:val="none"/>
        </w:rPr>
      </w:pPr>
    </w:p>
    <w:p w14:paraId="05DB300F">
      <w:pPr>
        <w:rPr>
          <w:rFonts w:hint="eastAsia"/>
        </w:rPr>
      </w:pPr>
    </w:p>
    <w:p w14:paraId="5616F2E3">
      <w:pPr>
        <w:rPr>
          <w:rFonts w:hint="eastAsia" w:ascii="宋体" w:hAnsi="宋体" w:eastAsia="宋体" w:cs="宋体"/>
          <w:color w:val="auto"/>
          <w:sz w:val="18"/>
          <w:szCs w:val="18"/>
          <w:highlight w:val="none"/>
        </w:rPr>
      </w:pPr>
    </w:p>
    <w:p w14:paraId="12206FF7">
      <w:pPr>
        <w:pStyle w:val="3"/>
        <w:rPr>
          <w:rFonts w:hint="eastAsia"/>
        </w:rPr>
      </w:pPr>
    </w:p>
    <w:p w14:paraId="700A7B5F">
      <w:pPr>
        <w:spacing w:line="360" w:lineRule="auto"/>
        <w:outlineLvl w:val="2"/>
        <w:rPr>
          <w:rFonts w:hint="eastAsia" w:eastAsia="宋体"/>
          <w:b/>
          <w:bCs/>
          <w:color w:val="auto"/>
          <w:sz w:val="24"/>
          <w:szCs w:val="20"/>
          <w:highlight w:val="none"/>
          <w:lang w:eastAsia="zh-CN"/>
        </w:rPr>
      </w:pPr>
      <w:r>
        <w:rPr>
          <w:rFonts w:hint="eastAsia"/>
          <w:b/>
          <w:bCs/>
          <w:color w:val="auto"/>
          <w:sz w:val="24"/>
          <w:szCs w:val="20"/>
          <w:highlight w:val="none"/>
          <w:lang w:val="en-US" w:eastAsia="zh-CN"/>
        </w:rPr>
        <w:t xml:space="preserve">4 </w:t>
      </w:r>
      <w:r>
        <w:rPr>
          <w:b/>
          <w:bCs/>
          <w:color w:val="auto"/>
          <w:sz w:val="24"/>
          <w:szCs w:val="20"/>
          <w:highlight w:val="none"/>
        </w:rPr>
        <w:t>投标分项报价表</w:t>
      </w:r>
    </w:p>
    <w:p w14:paraId="54F7963A">
      <w:pPr>
        <w:spacing w:line="360" w:lineRule="exact"/>
        <w:jc w:val="center"/>
        <w:rPr>
          <w:color w:val="auto"/>
          <w:sz w:val="36"/>
          <w:szCs w:val="36"/>
          <w:highlight w:val="none"/>
        </w:rPr>
      </w:pPr>
    </w:p>
    <w:p w14:paraId="642B7112">
      <w:pPr>
        <w:spacing w:line="360" w:lineRule="exact"/>
        <w:jc w:val="center"/>
        <w:rPr>
          <w:b/>
          <w:color w:val="auto"/>
          <w:sz w:val="36"/>
          <w:szCs w:val="36"/>
          <w:highlight w:val="none"/>
        </w:rPr>
      </w:pPr>
      <w:r>
        <w:rPr>
          <w:rFonts w:hint="eastAsia"/>
          <w:b/>
          <w:color w:val="auto"/>
          <w:sz w:val="36"/>
          <w:szCs w:val="36"/>
          <w:highlight w:val="none"/>
        </w:rPr>
        <w:t>投标分项报价表</w:t>
      </w:r>
    </w:p>
    <w:p w14:paraId="14A5A3B9">
      <w:pPr>
        <w:spacing w:line="260" w:lineRule="exact"/>
        <w:jc w:val="center"/>
        <w:rPr>
          <w:color w:val="auto"/>
          <w:sz w:val="36"/>
          <w:szCs w:val="36"/>
          <w:highlight w:val="none"/>
        </w:rPr>
      </w:pPr>
    </w:p>
    <w:p w14:paraId="0F82258F">
      <w:pPr>
        <w:tabs>
          <w:tab w:val="left" w:pos="1800"/>
          <w:tab w:val="left" w:pos="5580"/>
        </w:tabs>
        <w:rPr>
          <w:color w:val="auto"/>
          <w:sz w:val="24"/>
          <w:highlight w:val="none"/>
        </w:rPr>
      </w:pPr>
      <w:r>
        <w:rPr>
          <w:color w:val="auto"/>
          <w:sz w:val="24"/>
          <w:highlight w:val="none"/>
        </w:rPr>
        <w:t>项目编号：___________ 项目名称：__________报价单位：人民币元</w:t>
      </w:r>
    </w:p>
    <w:tbl>
      <w:tblPr>
        <w:tblStyle w:val="273"/>
        <w:tblW w:w="97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2"/>
      </w:tblGrid>
      <w:tr w14:paraId="7D7E2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3" w:type="dxa"/>
            <w:vAlign w:val="top"/>
          </w:tcPr>
          <w:p w14:paraId="6E2269AF">
            <w:pPr>
              <w:adjustRightInd w:val="0"/>
              <w:snapToGrid w:val="0"/>
              <w:jc w:val="center"/>
              <w:rPr>
                <w:rFonts w:hint="eastAsia" w:eastAsia="宋体"/>
                <w:b/>
                <w:color w:val="auto"/>
                <w:sz w:val="24"/>
                <w:highlight w:val="none"/>
                <w:lang w:val="en-US" w:eastAsia="zh-CN"/>
              </w:rPr>
            </w:pPr>
            <w:r>
              <w:rPr>
                <w:rFonts w:hint="eastAsia"/>
                <w:b/>
                <w:color w:val="auto"/>
                <w:sz w:val="24"/>
                <w:highlight w:val="none"/>
                <w:lang w:val="en-US" w:eastAsia="zh-CN"/>
              </w:rPr>
              <w:t>序号</w:t>
            </w:r>
          </w:p>
        </w:tc>
        <w:tc>
          <w:tcPr>
            <w:tcW w:w="2935" w:type="dxa"/>
            <w:vAlign w:val="top"/>
          </w:tcPr>
          <w:p w14:paraId="3740458C">
            <w:pPr>
              <w:adjustRightInd w:val="0"/>
              <w:snapToGrid w:val="0"/>
              <w:jc w:val="center"/>
              <w:rPr>
                <w:b/>
                <w:color w:val="auto"/>
                <w:sz w:val="24"/>
                <w:highlight w:val="none"/>
              </w:rPr>
            </w:pPr>
            <w:r>
              <w:rPr>
                <w:b/>
                <w:color w:val="auto"/>
                <w:sz w:val="24"/>
                <w:highlight w:val="none"/>
              </w:rPr>
              <w:t>分项名称</w:t>
            </w:r>
          </w:p>
        </w:tc>
        <w:tc>
          <w:tcPr>
            <w:tcW w:w="1346" w:type="dxa"/>
            <w:vAlign w:val="top"/>
          </w:tcPr>
          <w:p w14:paraId="4B26728B">
            <w:pPr>
              <w:adjustRightInd w:val="0"/>
              <w:snapToGrid w:val="0"/>
              <w:jc w:val="center"/>
              <w:rPr>
                <w:b/>
                <w:color w:val="auto"/>
                <w:sz w:val="24"/>
                <w:highlight w:val="none"/>
              </w:rPr>
            </w:pPr>
            <w:r>
              <w:rPr>
                <w:b/>
                <w:color w:val="auto"/>
                <w:sz w:val="24"/>
                <w:highlight w:val="none"/>
              </w:rPr>
              <w:t>单价（元）</w:t>
            </w:r>
          </w:p>
        </w:tc>
        <w:tc>
          <w:tcPr>
            <w:tcW w:w="1205" w:type="dxa"/>
            <w:vAlign w:val="top"/>
          </w:tcPr>
          <w:p w14:paraId="7F987C5D">
            <w:pPr>
              <w:adjustRightInd w:val="0"/>
              <w:snapToGrid w:val="0"/>
              <w:jc w:val="center"/>
              <w:rPr>
                <w:b/>
                <w:color w:val="auto"/>
                <w:sz w:val="24"/>
                <w:highlight w:val="none"/>
              </w:rPr>
            </w:pPr>
            <w:r>
              <w:rPr>
                <w:b/>
                <w:color w:val="auto"/>
                <w:sz w:val="24"/>
                <w:highlight w:val="none"/>
              </w:rPr>
              <w:t>数量</w:t>
            </w:r>
          </w:p>
        </w:tc>
        <w:tc>
          <w:tcPr>
            <w:tcW w:w="1344" w:type="dxa"/>
            <w:vAlign w:val="top"/>
          </w:tcPr>
          <w:p w14:paraId="31917EE7">
            <w:pPr>
              <w:adjustRightInd w:val="0"/>
              <w:snapToGrid w:val="0"/>
              <w:jc w:val="center"/>
              <w:rPr>
                <w:b/>
                <w:color w:val="auto"/>
                <w:sz w:val="24"/>
                <w:highlight w:val="none"/>
              </w:rPr>
            </w:pPr>
            <w:r>
              <w:rPr>
                <w:b/>
                <w:color w:val="auto"/>
                <w:sz w:val="24"/>
                <w:highlight w:val="none"/>
              </w:rPr>
              <w:t>合价（元）</w:t>
            </w:r>
          </w:p>
        </w:tc>
        <w:tc>
          <w:tcPr>
            <w:tcW w:w="1712" w:type="dxa"/>
            <w:vAlign w:val="top"/>
          </w:tcPr>
          <w:p w14:paraId="18CD448C">
            <w:pPr>
              <w:adjustRightInd w:val="0"/>
              <w:snapToGrid w:val="0"/>
              <w:jc w:val="center"/>
              <w:rPr>
                <w:b/>
                <w:color w:val="auto"/>
                <w:sz w:val="24"/>
                <w:highlight w:val="none"/>
              </w:rPr>
            </w:pPr>
            <w:r>
              <w:rPr>
                <w:b/>
                <w:color w:val="auto"/>
                <w:sz w:val="24"/>
                <w:highlight w:val="none"/>
              </w:rPr>
              <w:t>备注/说明</w:t>
            </w:r>
          </w:p>
        </w:tc>
      </w:tr>
      <w:tr w14:paraId="1ABF6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3" w:type="dxa"/>
            <w:vAlign w:val="top"/>
          </w:tcPr>
          <w:p w14:paraId="41A6BFDE">
            <w:pPr>
              <w:adjustRightInd w:val="0"/>
              <w:snapToGrid w:val="0"/>
              <w:jc w:val="left"/>
              <w:rPr>
                <w:b/>
                <w:color w:val="auto"/>
                <w:sz w:val="24"/>
                <w:highlight w:val="none"/>
              </w:rPr>
            </w:pPr>
            <w:r>
              <w:rPr>
                <w:b/>
                <w:color w:val="auto"/>
                <w:sz w:val="24"/>
                <w:highlight w:val="none"/>
              </w:rPr>
              <w:t>1</w:t>
            </w:r>
          </w:p>
        </w:tc>
        <w:tc>
          <w:tcPr>
            <w:tcW w:w="2935" w:type="dxa"/>
            <w:vAlign w:val="top"/>
          </w:tcPr>
          <w:p w14:paraId="4C021236">
            <w:pPr>
              <w:adjustRightInd w:val="0"/>
              <w:snapToGrid w:val="0"/>
              <w:jc w:val="left"/>
              <w:rPr>
                <w:b/>
                <w:color w:val="auto"/>
                <w:sz w:val="24"/>
                <w:highlight w:val="none"/>
              </w:rPr>
            </w:pPr>
          </w:p>
        </w:tc>
        <w:tc>
          <w:tcPr>
            <w:tcW w:w="1346" w:type="dxa"/>
            <w:vAlign w:val="top"/>
          </w:tcPr>
          <w:p w14:paraId="3AFC90EE">
            <w:pPr>
              <w:adjustRightInd w:val="0"/>
              <w:snapToGrid w:val="0"/>
              <w:jc w:val="left"/>
              <w:rPr>
                <w:b/>
                <w:color w:val="auto"/>
                <w:sz w:val="24"/>
                <w:highlight w:val="none"/>
              </w:rPr>
            </w:pPr>
          </w:p>
        </w:tc>
        <w:tc>
          <w:tcPr>
            <w:tcW w:w="1205" w:type="dxa"/>
            <w:vAlign w:val="top"/>
          </w:tcPr>
          <w:p w14:paraId="5A43B94D">
            <w:pPr>
              <w:adjustRightInd w:val="0"/>
              <w:snapToGrid w:val="0"/>
              <w:jc w:val="left"/>
              <w:rPr>
                <w:b/>
                <w:color w:val="auto"/>
                <w:sz w:val="24"/>
                <w:highlight w:val="none"/>
              </w:rPr>
            </w:pPr>
          </w:p>
        </w:tc>
        <w:tc>
          <w:tcPr>
            <w:tcW w:w="1344" w:type="dxa"/>
            <w:vAlign w:val="top"/>
          </w:tcPr>
          <w:p w14:paraId="30D696B7">
            <w:pPr>
              <w:adjustRightInd w:val="0"/>
              <w:snapToGrid w:val="0"/>
              <w:jc w:val="left"/>
              <w:rPr>
                <w:b/>
                <w:color w:val="auto"/>
                <w:sz w:val="24"/>
                <w:highlight w:val="none"/>
              </w:rPr>
            </w:pPr>
          </w:p>
        </w:tc>
        <w:tc>
          <w:tcPr>
            <w:tcW w:w="1712" w:type="dxa"/>
            <w:vAlign w:val="top"/>
          </w:tcPr>
          <w:p w14:paraId="13BDF4DE">
            <w:pPr>
              <w:adjustRightInd w:val="0"/>
              <w:snapToGrid w:val="0"/>
              <w:jc w:val="left"/>
              <w:rPr>
                <w:b/>
                <w:color w:val="auto"/>
                <w:sz w:val="24"/>
                <w:highlight w:val="none"/>
              </w:rPr>
            </w:pPr>
          </w:p>
        </w:tc>
      </w:tr>
      <w:tr w14:paraId="7322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3" w:type="dxa"/>
            <w:vAlign w:val="top"/>
          </w:tcPr>
          <w:p w14:paraId="0E04208F">
            <w:pPr>
              <w:adjustRightInd w:val="0"/>
              <w:snapToGrid w:val="0"/>
              <w:jc w:val="left"/>
              <w:rPr>
                <w:b/>
                <w:color w:val="auto"/>
                <w:sz w:val="24"/>
                <w:highlight w:val="none"/>
              </w:rPr>
            </w:pPr>
            <w:r>
              <w:rPr>
                <w:b/>
                <w:color w:val="auto"/>
                <w:sz w:val="24"/>
                <w:highlight w:val="none"/>
              </w:rPr>
              <w:t>2</w:t>
            </w:r>
          </w:p>
        </w:tc>
        <w:tc>
          <w:tcPr>
            <w:tcW w:w="2935" w:type="dxa"/>
            <w:vAlign w:val="top"/>
          </w:tcPr>
          <w:p w14:paraId="7CF82E27">
            <w:pPr>
              <w:adjustRightInd w:val="0"/>
              <w:snapToGrid w:val="0"/>
              <w:jc w:val="left"/>
              <w:rPr>
                <w:b/>
                <w:color w:val="auto"/>
                <w:sz w:val="24"/>
                <w:highlight w:val="none"/>
              </w:rPr>
            </w:pPr>
          </w:p>
        </w:tc>
        <w:tc>
          <w:tcPr>
            <w:tcW w:w="1346" w:type="dxa"/>
            <w:vAlign w:val="top"/>
          </w:tcPr>
          <w:p w14:paraId="3A980AAB">
            <w:pPr>
              <w:adjustRightInd w:val="0"/>
              <w:snapToGrid w:val="0"/>
              <w:jc w:val="left"/>
              <w:rPr>
                <w:b/>
                <w:color w:val="auto"/>
                <w:sz w:val="24"/>
                <w:highlight w:val="none"/>
              </w:rPr>
            </w:pPr>
          </w:p>
        </w:tc>
        <w:tc>
          <w:tcPr>
            <w:tcW w:w="1205" w:type="dxa"/>
            <w:vAlign w:val="top"/>
          </w:tcPr>
          <w:p w14:paraId="47101CC6">
            <w:pPr>
              <w:adjustRightInd w:val="0"/>
              <w:snapToGrid w:val="0"/>
              <w:jc w:val="left"/>
              <w:rPr>
                <w:b/>
                <w:color w:val="auto"/>
                <w:sz w:val="24"/>
                <w:highlight w:val="none"/>
              </w:rPr>
            </w:pPr>
          </w:p>
        </w:tc>
        <w:tc>
          <w:tcPr>
            <w:tcW w:w="1344" w:type="dxa"/>
            <w:vAlign w:val="top"/>
          </w:tcPr>
          <w:p w14:paraId="09F1CF38">
            <w:pPr>
              <w:adjustRightInd w:val="0"/>
              <w:snapToGrid w:val="0"/>
              <w:jc w:val="left"/>
              <w:rPr>
                <w:b/>
                <w:color w:val="auto"/>
                <w:sz w:val="24"/>
                <w:highlight w:val="none"/>
              </w:rPr>
            </w:pPr>
          </w:p>
        </w:tc>
        <w:tc>
          <w:tcPr>
            <w:tcW w:w="1712" w:type="dxa"/>
            <w:vAlign w:val="top"/>
          </w:tcPr>
          <w:p w14:paraId="2E41FDFF">
            <w:pPr>
              <w:adjustRightInd w:val="0"/>
              <w:snapToGrid w:val="0"/>
              <w:jc w:val="left"/>
              <w:rPr>
                <w:b/>
                <w:color w:val="auto"/>
                <w:sz w:val="24"/>
                <w:highlight w:val="none"/>
              </w:rPr>
            </w:pPr>
          </w:p>
        </w:tc>
      </w:tr>
      <w:tr w14:paraId="0823F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3" w:type="dxa"/>
            <w:vAlign w:val="top"/>
          </w:tcPr>
          <w:p w14:paraId="3C83B301">
            <w:pPr>
              <w:adjustRightInd w:val="0"/>
              <w:snapToGrid w:val="0"/>
              <w:jc w:val="left"/>
              <w:rPr>
                <w:b/>
                <w:color w:val="auto"/>
                <w:sz w:val="24"/>
                <w:highlight w:val="none"/>
              </w:rPr>
            </w:pPr>
            <w:r>
              <w:rPr>
                <w:b/>
                <w:color w:val="auto"/>
                <w:sz w:val="24"/>
                <w:highlight w:val="none"/>
              </w:rPr>
              <w:t>3</w:t>
            </w:r>
          </w:p>
        </w:tc>
        <w:tc>
          <w:tcPr>
            <w:tcW w:w="2935" w:type="dxa"/>
            <w:vAlign w:val="top"/>
          </w:tcPr>
          <w:p w14:paraId="6A9D7CF2">
            <w:pPr>
              <w:adjustRightInd w:val="0"/>
              <w:snapToGrid w:val="0"/>
              <w:jc w:val="left"/>
              <w:rPr>
                <w:b/>
                <w:color w:val="auto"/>
                <w:sz w:val="24"/>
                <w:highlight w:val="none"/>
              </w:rPr>
            </w:pPr>
            <w:r>
              <w:rPr>
                <w:b/>
                <w:color w:val="auto"/>
                <w:sz w:val="24"/>
                <w:highlight w:val="none"/>
              </w:rPr>
              <w:t>…</w:t>
            </w:r>
          </w:p>
        </w:tc>
        <w:tc>
          <w:tcPr>
            <w:tcW w:w="1346" w:type="dxa"/>
            <w:vAlign w:val="top"/>
          </w:tcPr>
          <w:p w14:paraId="2BD38D21">
            <w:pPr>
              <w:adjustRightInd w:val="0"/>
              <w:snapToGrid w:val="0"/>
              <w:jc w:val="left"/>
              <w:rPr>
                <w:b/>
                <w:color w:val="auto"/>
                <w:sz w:val="24"/>
                <w:highlight w:val="none"/>
              </w:rPr>
            </w:pPr>
          </w:p>
        </w:tc>
        <w:tc>
          <w:tcPr>
            <w:tcW w:w="1205" w:type="dxa"/>
            <w:vAlign w:val="top"/>
          </w:tcPr>
          <w:p w14:paraId="0FAA2029">
            <w:pPr>
              <w:adjustRightInd w:val="0"/>
              <w:snapToGrid w:val="0"/>
              <w:jc w:val="left"/>
              <w:rPr>
                <w:b/>
                <w:color w:val="auto"/>
                <w:sz w:val="24"/>
                <w:highlight w:val="none"/>
              </w:rPr>
            </w:pPr>
          </w:p>
        </w:tc>
        <w:tc>
          <w:tcPr>
            <w:tcW w:w="1344" w:type="dxa"/>
            <w:vAlign w:val="top"/>
          </w:tcPr>
          <w:p w14:paraId="5940A563">
            <w:pPr>
              <w:adjustRightInd w:val="0"/>
              <w:snapToGrid w:val="0"/>
              <w:jc w:val="left"/>
              <w:rPr>
                <w:b/>
                <w:color w:val="auto"/>
                <w:sz w:val="24"/>
                <w:highlight w:val="none"/>
              </w:rPr>
            </w:pPr>
          </w:p>
        </w:tc>
        <w:tc>
          <w:tcPr>
            <w:tcW w:w="1712" w:type="dxa"/>
            <w:vAlign w:val="top"/>
          </w:tcPr>
          <w:p w14:paraId="61C907E0">
            <w:pPr>
              <w:adjustRightInd w:val="0"/>
              <w:snapToGrid w:val="0"/>
              <w:jc w:val="left"/>
              <w:rPr>
                <w:b/>
                <w:color w:val="auto"/>
                <w:sz w:val="24"/>
                <w:highlight w:val="none"/>
              </w:rPr>
            </w:pPr>
          </w:p>
        </w:tc>
      </w:tr>
      <w:tr w14:paraId="0C69F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099" w:type="dxa"/>
            <w:gridSpan w:val="4"/>
            <w:vAlign w:val="top"/>
          </w:tcPr>
          <w:p w14:paraId="4E1E491E">
            <w:pPr>
              <w:adjustRightInd w:val="0"/>
              <w:snapToGrid w:val="0"/>
              <w:jc w:val="left"/>
              <w:rPr>
                <w:b/>
                <w:color w:val="auto"/>
                <w:sz w:val="24"/>
                <w:highlight w:val="none"/>
              </w:rPr>
            </w:pPr>
            <w:r>
              <w:rPr>
                <w:b/>
                <w:color w:val="auto"/>
                <w:sz w:val="24"/>
                <w:highlight w:val="none"/>
              </w:rPr>
              <w:t>总价（元）</w:t>
            </w:r>
          </w:p>
        </w:tc>
        <w:tc>
          <w:tcPr>
            <w:tcW w:w="1344" w:type="dxa"/>
            <w:vAlign w:val="top"/>
          </w:tcPr>
          <w:p w14:paraId="317B7939">
            <w:pPr>
              <w:adjustRightInd w:val="0"/>
              <w:snapToGrid w:val="0"/>
              <w:jc w:val="left"/>
              <w:rPr>
                <w:b/>
                <w:color w:val="auto"/>
                <w:sz w:val="24"/>
                <w:highlight w:val="none"/>
              </w:rPr>
            </w:pPr>
          </w:p>
        </w:tc>
        <w:tc>
          <w:tcPr>
            <w:tcW w:w="1712" w:type="dxa"/>
            <w:vAlign w:val="top"/>
          </w:tcPr>
          <w:p w14:paraId="7395C2B8">
            <w:pPr>
              <w:adjustRightInd w:val="0"/>
              <w:snapToGrid w:val="0"/>
              <w:jc w:val="left"/>
              <w:rPr>
                <w:b/>
                <w:color w:val="auto"/>
                <w:sz w:val="24"/>
                <w:highlight w:val="none"/>
              </w:rPr>
            </w:pPr>
          </w:p>
        </w:tc>
      </w:tr>
    </w:tbl>
    <w:p w14:paraId="249CAA6E">
      <w:pPr>
        <w:tabs>
          <w:tab w:val="left" w:pos="1800"/>
          <w:tab w:val="left" w:pos="5580"/>
        </w:tabs>
        <w:jc w:val="left"/>
        <w:rPr>
          <w:color w:val="auto"/>
          <w:sz w:val="24"/>
          <w:highlight w:val="none"/>
        </w:rPr>
      </w:pPr>
    </w:p>
    <w:p w14:paraId="32CC8B0D">
      <w:pPr>
        <w:tabs>
          <w:tab w:val="left" w:pos="1800"/>
          <w:tab w:val="left" w:pos="5580"/>
        </w:tabs>
        <w:jc w:val="left"/>
        <w:rPr>
          <w:color w:val="auto"/>
          <w:sz w:val="24"/>
          <w:highlight w:val="none"/>
        </w:rPr>
      </w:pPr>
    </w:p>
    <w:p w14:paraId="3DFB81FE">
      <w:pPr>
        <w:tabs>
          <w:tab w:val="left" w:pos="1800"/>
          <w:tab w:val="left" w:pos="5580"/>
        </w:tabs>
        <w:jc w:val="left"/>
        <w:rPr>
          <w:color w:val="auto"/>
          <w:sz w:val="24"/>
          <w:highlight w:val="none"/>
        </w:rPr>
      </w:pPr>
    </w:p>
    <w:p w14:paraId="7825C7A9">
      <w:pPr>
        <w:tabs>
          <w:tab w:val="left" w:pos="1800"/>
          <w:tab w:val="left" w:pos="5580"/>
        </w:tabs>
        <w:jc w:val="left"/>
        <w:rPr>
          <w:color w:val="auto"/>
          <w:sz w:val="24"/>
          <w:highlight w:val="none"/>
        </w:rPr>
      </w:pPr>
    </w:p>
    <w:p w14:paraId="589118C2">
      <w:pPr>
        <w:tabs>
          <w:tab w:val="left" w:pos="1800"/>
          <w:tab w:val="left" w:pos="5580"/>
        </w:tabs>
        <w:jc w:val="left"/>
        <w:rPr>
          <w:color w:val="auto"/>
          <w:sz w:val="24"/>
          <w:highlight w:val="none"/>
        </w:rPr>
      </w:pPr>
      <w:r>
        <w:rPr>
          <w:color w:val="auto"/>
          <w:sz w:val="24"/>
          <w:highlight w:val="none"/>
        </w:rPr>
        <w:t>注：1.本表应按包分别填写。</w:t>
      </w:r>
    </w:p>
    <w:p w14:paraId="5FD00AD0">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14:paraId="5F0960BB">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14:paraId="04655462">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09366B81">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2FCCC8B6">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4D4BED8C">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6776F2E2">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3CB652AD">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73F91E6D">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04CE6D13">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18D273E6">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25D02B7F">
      <w:pPr>
        <w:pStyle w:val="3"/>
        <w:rPr>
          <w:rFonts w:hint="eastAsia" w:ascii="宋体" w:hAnsi="宋体" w:eastAsia="宋体" w:cs="宋体"/>
          <w:b/>
          <w:bCs/>
          <w:color w:val="auto"/>
          <w:sz w:val="24"/>
          <w:szCs w:val="20"/>
          <w:highlight w:val="none"/>
          <w:lang w:val="en-US" w:eastAsia="zh-CN"/>
        </w:rPr>
      </w:pPr>
    </w:p>
    <w:p w14:paraId="608F132E">
      <w:pPr>
        <w:rPr>
          <w:rFonts w:hint="eastAsia" w:ascii="宋体" w:hAnsi="宋体" w:eastAsia="宋体" w:cs="宋体"/>
          <w:b/>
          <w:bCs/>
          <w:color w:val="auto"/>
          <w:sz w:val="24"/>
          <w:szCs w:val="20"/>
          <w:highlight w:val="none"/>
          <w:lang w:val="en-US" w:eastAsia="zh-CN"/>
        </w:rPr>
      </w:pPr>
    </w:p>
    <w:p w14:paraId="62EF9A07">
      <w:pPr>
        <w:pStyle w:val="3"/>
        <w:rPr>
          <w:rFonts w:hint="eastAsia" w:ascii="宋体" w:hAnsi="宋体" w:eastAsia="宋体" w:cs="宋体"/>
          <w:b/>
          <w:bCs/>
          <w:color w:val="auto"/>
          <w:sz w:val="24"/>
          <w:szCs w:val="20"/>
          <w:highlight w:val="none"/>
          <w:lang w:val="en-US" w:eastAsia="zh-CN"/>
        </w:rPr>
      </w:pPr>
    </w:p>
    <w:p w14:paraId="10D1FF4F">
      <w:pPr>
        <w:rPr>
          <w:rFonts w:hint="eastAsia" w:ascii="宋体" w:hAnsi="宋体" w:eastAsia="宋体" w:cs="宋体"/>
          <w:b/>
          <w:bCs/>
          <w:color w:val="auto"/>
          <w:sz w:val="24"/>
          <w:szCs w:val="20"/>
          <w:highlight w:val="none"/>
          <w:lang w:val="en-US" w:eastAsia="zh-CN"/>
        </w:rPr>
      </w:pPr>
    </w:p>
    <w:p w14:paraId="3012EC2C">
      <w:pPr>
        <w:pStyle w:val="3"/>
        <w:rPr>
          <w:rFonts w:hint="eastAsia" w:ascii="宋体" w:hAnsi="宋体" w:eastAsia="宋体" w:cs="宋体"/>
          <w:b/>
          <w:bCs/>
          <w:color w:val="auto"/>
          <w:sz w:val="24"/>
          <w:szCs w:val="20"/>
          <w:highlight w:val="none"/>
          <w:lang w:val="en-US" w:eastAsia="zh-CN"/>
        </w:rPr>
      </w:pPr>
    </w:p>
    <w:p w14:paraId="5A8E766D">
      <w:pPr>
        <w:rPr>
          <w:rFonts w:hint="eastAsia" w:ascii="宋体" w:hAnsi="宋体" w:eastAsia="宋体" w:cs="宋体"/>
          <w:b/>
          <w:bCs/>
          <w:color w:val="auto"/>
          <w:sz w:val="24"/>
          <w:szCs w:val="20"/>
          <w:highlight w:val="none"/>
          <w:lang w:val="en-US" w:eastAsia="zh-CN"/>
        </w:rPr>
      </w:pPr>
    </w:p>
    <w:p w14:paraId="6182FB68">
      <w:pPr>
        <w:pStyle w:val="3"/>
        <w:rPr>
          <w:rFonts w:hint="eastAsia" w:ascii="宋体" w:hAnsi="宋体" w:eastAsia="宋体" w:cs="宋体"/>
          <w:b/>
          <w:bCs/>
          <w:color w:val="auto"/>
          <w:sz w:val="24"/>
          <w:szCs w:val="20"/>
          <w:highlight w:val="none"/>
          <w:lang w:val="en-US" w:eastAsia="zh-CN"/>
        </w:rPr>
      </w:pPr>
    </w:p>
    <w:p w14:paraId="3C5D5E71">
      <w:pPr>
        <w:rPr>
          <w:rFonts w:hint="eastAsia" w:ascii="宋体" w:hAnsi="宋体" w:eastAsia="宋体" w:cs="宋体"/>
          <w:b/>
          <w:bCs/>
          <w:color w:val="auto"/>
          <w:sz w:val="24"/>
          <w:szCs w:val="20"/>
          <w:highlight w:val="none"/>
          <w:lang w:val="en-US" w:eastAsia="zh-CN"/>
        </w:rPr>
      </w:pPr>
    </w:p>
    <w:p w14:paraId="20845FEA">
      <w:pPr>
        <w:pStyle w:val="3"/>
        <w:rPr>
          <w:rFonts w:hint="eastAsia" w:ascii="宋体" w:hAnsi="宋体" w:eastAsia="宋体" w:cs="宋体"/>
          <w:b/>
          <w:bCs/>
          <w:color w:val="auto"/>
          <w:sz w:val="24"/>
          <w:szCs w:val="20"/>
          <w:highlight w:val="none"/>
          <w:lang w:val="en-US" w:eastAsia="zh-CN"/>
        </w:rPr>
      </w:pPr>
    </w:p>
    <w:p w14:paraId="5E353713">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23A19FA7">
      <w:pPr>
        <w:pageBreakBefore w:val="0"/>
        <w:widowControl/>
        <w:wordWrap/>
        <w:topLinePunct w:val="0"/>
        <w:bidi w:val="0"/>
        <w:spacing w:line="360" w:lineRule="auto"/>
        <w:jc w:val="left"/>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 xml:space="preserve"> 合同条款偏离表</w:t>
      </w:r>
      <w:bookmarkEnd w:id="850"/>
      <w:bookmarkEnd w:id="851"/>
      <w:bookmarkEnd w:id="852"/>
      <w:bookmarkEnd w:id="853"/>
      <w:bookmarkEnd w:id="854"/>
      <w:bookmarkEnd w:id="855"/>
      <w:bookmarkEnd w:id="856"/>
      <w:bookmarkEnd w:id="857"/>
      <w:bookmarkEnd w:id="858"/>
      <w:bookmarkEnd w:id="859"/>
      <w:bookmarkEnd w:id="860"/>
      <w:bookmarkEnd w:id="861"/>
      <w:bookmarkEnd w:id="862"/>
    </w:p>
    <w:p w14:paraId="2E509C4A">
      <w:pPr>
        <w:pageBreakBefore w:val="0"/>
        <w:wordWrap/>
        <w:topLinePunct w:val="0"/>
        <w:bidi w:val="0"/>
        <w:spacing w:line="360" w:lineRule="auto"/>
        <w:rPr>
          <w:rFonts w:hint="eastAsia" w:ascii="宋体" w:hAnsi="宋体" w:eastAsia="宋体" w:cs="宋体"/>
          <w:color w:val="auto"/>
          <w:sz w:val="24"/>
          <w:szCs w:val="20"/>
          <w:highlight w:val="none"/>
        </w:rPr>
      </w:pPr>
    </w:p>
    <w:p w14:paraId="7E6B8532">
      <w:pPr>
        <w:pageBreakBefore w:val="0"/>
        <w:tabs>
          <w:tab w:val="left" w:pos="2775"/>
          <w:tab w:val="center" w:pos="4153"/>
        </w:tabs>
        <w:wordWrap/>
        <w:topLinePunct w:val="0"/>
        <w:autoSpaceDE w:val="0"/>
        <w:autoSpaceDN w:val="0"/>
        <w:bidi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合同条款偏离表</w:t>
      </w:r>
    </w:p>
    <w:p w14:paraId="184CC0B7">
      <w:pPr>
        <w:pageBreakBefore w:val="0"/>
        <w:wordWrap/>
        <w:topLinePunct w:val="0"/>
        <w:bidi w:val="0"/>
        <w:spacing w:line="360" w:lineRule="auto"/>
        <w:rPr>
          <w:rFonts w:hint="eastAsia" w:ascii="宋体" w:hAnsi="宋体" w:eastAsia="宋体" w:cs="宋体"/>
          <w:color w:val="auto"/>
          <w:sz w:val="24"/>
          <w:szCs w:val="20"/>
          <w:highlight w:val="none"/>
        </w:rPr>
      </w:pPr>
    </w:p>
    <w:p w14:paraId="652A1CCE">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项目编号：_____________________     </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名称：_____________________</w:t>
      </w:r>
    </w:p>
    <w:tbl>
      <w:tblPr>
        <w:tblStyle w:val="47"/>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01"/>
        <w:gridCol w:w="2007"/>
        <w:gridCol w:w="2008"/>
        <w:gridCol w:w="2458"/>
        <w:gridCol w:w="788"/>
      </w:tblGrid>
      <w:tr w14:paraId="29B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96" w:type="dxa"/>
            <w:gridSpan w:val="6"/>
            <w:vAlign w:val="center"/>
          </w:tcPr>
          <w:p w14:paraId="2ACBEB3C">
            <w:pPr>
              <w:pageBreakBefore w:val="0"/>
              <w:wordWrap/>
              <w:topLinePunct w:val="0"/>
              <w:bidi w:val="0"/>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对本项目合同条款的偏离情况（请进行勾选）：</w:t>
            </w:r>
          </w:p>
          <w:p w14:paraId="16FFA3B3">
            <w:pPr>
              <w:pageBreakBefore w:val="0"/>
              <w:wordWrap/>
              <w:topLinePunct w:val="0"/>
              <w:bidi w:val="0"/>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如无偏离，仅勾选无偏离即可</w:t>
            </w:r>
            <w:r>
              <w:rPr>
                <w:rFonts w:hint="eastAsia" w:ascii="宋体" w:hAnsi="宋体" w:eastAsia="宋体" w:cs="宋体"/>
                <w:color w:val="auto"/>
                <w:sz w:val="24"/>
                <w:highlight w:val="none"/>
              </w:rPr>
              <w:t>）</w:t>
            </w:r>
          </w:p>
          <w:p w14:paraId="125F27AC">
            <w:pPr>
              <w:pageBreakBefore w:val="0"/>
              <w:wordWrap/>
              <w:topLinePunct w:val="0"/>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□有偏离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如有偏离，</w:t>
            </w:r>
            <w:r>
              <w:rPr>
                <w:rFonts w:hint="eastAsia" w:ascii="宋体" w:hAnsi="宋体" w:eastAsia="宋体" w:cs="宋体"/>
                <w:color w:val="auto"/>
                <w:sz w:val="24"/>
                <w:highlight w:val="none"/>
              </w:rPr>
              <w:t>则应在本表中对偏离项逐一列明）</w:t>
            </w:r>
          </w:p>
        </w:tc>
      </w:tr>
      <w:tr w14:paraId="5A99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599503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01" w:type="dxa"/>
            <w:vAlign w:val="center"/>
          </w:tcPr>
          <w:p w14:paraId="0677D005">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招标文件</w:t>
            </w:r>
            <w:r>
              <w:rPr>
                <w:rFonts w:hint="eastAsia" w:ascii="宋体" w:hAnsi="宋体" w:eastAsia="宋体" w:cs="宋体"/>
                <w:color w:val="auto"/>
                <w:sz w:val="24"/>
                <w:highlight w:val="none"/>
              </w:rPr>
              <w:t>条目号</w:t>
            </w:r>
            <w:r>
              <w:rPr>
                <w:rFonts w:hint="eastAsia" w:ascii="宋体" w:hAnsi="宋体" w:eastAsia="宋体" w:cs="宋体"/>
                <w:color w:val="auto"/>
                <w:sz w:val="24"/>
                <w:highlight w:val="none"/>
                <w:lang w:val="en-US" w:eastAsia="zh-CN"/>
              </w:rPr>
              <w:t>和页码</w:t>
            </w:r>
          </w:p>
        </w:tc>
        <w:tc>
          <w:tcPr>
            <w:tcW w:w="2007" w:type="dxa"/>
            <w:vAlign w:val="center"/>
          </w:tcPr>
          <w:p w14:paraId="71021860">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招标文件</w:t>
            </w:r>
            <w:r>
              <w:rPr>
                <w:rFonts w:hint="eastAsia" w:ascii="宋体" w:hAnsi="宋体" w:eastAsia="宋体" w:cs="宋体"/>
                <w:color w:val="auto"/>
                <w:sz w:val="24"/>
                <w:highlight w:val="none"/>
              </w:rPr>
              <w:t>要求</w:t>
            </w:r>
          </w:p>
        </w:tc>
        <w:tc>
          <w:tcPr>
            <w:tcW w:w="2008" w:type="dxa"/>
            <w:vAlign w:val="center"/>
          </w:tcPr>
          <w:p w14:paraId="7541AEAF">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投标文件内容</w:t>
            </w:r>
          </w:p>
        </w:tc>
        <w:tc>
          <w:tcPr>
            <w:tcW w:w="2458" w:type="dxa"/>
            <w:vAlign w:val="center"/>
          </w:tcPr>
          <w:p w14:paraId="4DE7EED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788" w:type="dxa"/>
            <w:vAlign w:val="center"/>
          </w:tcPr>
          <w:p w14:paraId="217B7AD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7E8A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B9538D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1596036A">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363ED670">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2D6EDDF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3430D9FB">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0E75E30A">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r w14:paraId="6226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5AA7FBC">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51DC4FEB">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7EEF6A44">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1EFCE965">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616CD89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168B2D50">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r w14:paraId="11BF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1A0181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7A32B861">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4212046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2F9E6723">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67A71906">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3AFB8BEF">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r w14:paraId="2055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41158E1">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42E823A4">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724FD63E">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7DE473B6">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1A83C586">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7261446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bl>
    <w:p w14:paraId="2D8AFD2B">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rPr>
      </w:pPr>
    </w:p>
    <w:p w14:paraId="170C9537">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98F641F">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对合同条款中的所有要求，除本表所列明的所有偏离外，均视作</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已对之理解和响应。</w:t>
      </w:r>
    </w:p>
    <w:p w14:paraId="724084FA">
      <w:pPr>
        <w:pageBreakBefore w:val="0"/>
        <w:tabs>
          <w:tab w:val="left" w:pos="1800"/>
          <w:tab w:val="left" w:pos="5580"/>
        </w:tabs>
        <w:wordWrap/>
        <w:topLinePunct w:val="0"/>
        <w:bidi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2. “偏离情况”列应据实填写“正偏离”或“负偏离”。</w:t>
      </w:r>
    </w:p>
    <w:p w14:paraId="4C72CAB3">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2F4F5526">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7A359D29">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日期：_____年______月______日   </w:t>
      </w:r>
    </w:p>
    <w:p w14:paraId="25382338">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r>
        <w:rPr>
          <w:rFonts w:hint="eastAsia" w:ascii="宋体" w:hAnsi="宋体" w:cs="宋体"/>
          <w:b/>
          <w:bCs/>
          <w:color w:val="auto"/>
          <w:sz w:val="24"/>
          <w:szCs w:val="20"/>
          <w:highlight w:val="none"/>
          <w:lang w:val="en-US" w:eastAsia="zh-CN"/>
        </w:rPr>
        <w:t>6</w:t>
      </w:r>
      <w:r>
        <w:rPr>
          <w:rFonts w:hint="eastAsia" w:ascii="宋体" w:hAnsi="宋体" w:eastAsia="宋体" w:cs="宋体"/>
          <w:b/>
          <w:bCs/>
          <w:color w:val="auto"/>
          <w:sz w:val="24"/>
          <w:szCs w:val="20"/>
          <w:highlight w:val="none"/>
        </w:rPr>
        <w:t xml:space="preserve">  </w:t>
      </w:r>
      <w:bookmarkEnd w:id="863"/>
      <w:bookmarkEnd w:id="864"/>
      <w:bookmarkEnd w:id="865"/>
      <w:bookmarkEnd w:id="866"/>
      <w:bookmarkEnd w:id="867"/>
      <w:bookmarkEnd w:id="868"/>
      <w:bookmarkEnd w:id="869"/>
      <w:bookmarkEnd w:id="870"/>
      <w:bookmarkEnd w:id="871"/>
      <w:bookmarkEnd w:id="872"/>
      <w:bookmarkEnd w:id="873"/>
      <w:bookmarkEnd w:id="874"/>
      <w:bookmarkEnd w:id="875"/>
      <w:r>
        <w:rPr>
          <w:rFonts w:hint="eastAsia" w:ascii="宋体" w:hAnsi="宋体" w:eastAsia="宋体" w:cs="宋体"/>
          <w:b/>
          <w:bCs/>
          <w:color w:val="auto"/>
          <w:sz w:val="24"/>
          <w:szCs w:val="20"/>
          <w:highlight w:val="none"/>
        </w:rPr>
        <w:t>采购需求偏离表</w:t>
      </w:r>
    </w:p>
    <w:p w14:paraId="051F1577">
      <w:pPr>
        <w:pageBreakBefore w:val="0"/>
        <w:wordWrap/>
        <w:topLinePunct w:val="0"/>
        <w:autoSpaceDE w:val="0"/>
        <w:autoSpaceDN w:val="0"/>
        <w:bidi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采购需求偏离表</w:t>
      </w:r>
    </w:p>
    <w:p w14:paraId="5548CAC3">
      <w:pPr>
        <w:pStyle w:val="17"/>
        <w:spacing w:before="251" w:line="200" w:lineRule="auto"/>
        <w:rPr>
          <w:sz w:val="24"/>
          <w:szCs w:val="24"/>
        </w:rPr>
      </w:pPr>
      <w:r>
        <w:rPr>
          <w:sz w:val="24"/>
          <w:szCs w:val="24"/>
        </w:rPr>
        <w:t>项目编号</w:t>
      </w:r>
      <w:r>
        <w:rPr>
          <w:rFonts w:ascii="Arial" w:hAnsi="Arial" w:eastAsia="Arial" w:cs="Arial"/>
          <w:sz w:val="24"/>
          <w:szCs w:val="24"/>
        </w:rPr>
        <w:t>/</w:t>
      </w:r>
      <w:r>
        <w:rPr>
          <w:sz w:val="24"/>
          <w:szCs w:val="24"/>
        </w:rPr>
        <w:t>包号：</w:t>
      </w:r>
      <w:r>
        <w:rPr>
          <w:sz w:val="24"/>
          <w:szCs w:val="24"/>
          <w:u w:val="single" w:color="auto"/>
        </w:rPr>
        <w:t xml:space="preserve">          </w:t>
      </w:r>
      <w:r>
        <w:rPr>
          <w:spacing w:val="-1"/>
          <w:sz w:val="24"/>
          <w:szCs w:val="24"/>
        </w:rPr>
        <w:t xml:space="preserve">      项目名称：</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p>
    <w:p w14:paraId="438DD4B8">
      <w:pPr>
        <w:spacing w:line="137" w:lineRule="exact"/>
      </w:pPr>
    </w:p>
    <w:tbl>
      <w:tblPr>
        <w:tblStyle w:val="273"/>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4095B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69776314">
            <w:pPr>
              <w:pStyle w:val="270"/>
              <w:spacing w:line="292" w:lineRule="auto"/>
            </w:pPr>
          </w:p>
          <w:p w14:paraId="5397D82A">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vAlign w:val="top"/>
          </w:tcPr>
          <w:p w14:paraId="72D5EF60">
            <w:pPr>
              <w:pStyle w:val="270"/>
              <w:spacing w:before="221" w:line="19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vAlign w:val="top"/>
          </w:tcPr>
          <w:p w14:paraId="29FBB662">
            <w:pPr>
              <w:pStyle w:val="270"/>
              <w:spacing w:line="292" w:lineRule="auto"/>
            </w:pPr>
          </w:p>
          <w:p w14:paraId="72BD8B49">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vAlign w:val="top"/>
          </w:tcPr>
          <w:p w14:paraId="5DE4EB82">
            <w:pPr>
              <w:pStyle w:val="270"/>
              <w:spacing w:line="292" w:lineRule="auto"/>
            </w:pPr>
          </w:p>
          <w:p w14:paraId="7292E304">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vAlign w:val="top"/>
          </w:tcPr>
          <w:p w14:paraId="0124B410">
            <w:pPr>
              <w:pStyle w:val="270"/>
              <w:spacing w:line="292" w:lineRule="auto"/>
            </w:pPr>
          </w:p>
          <w:p w14:paraId="3F2428CD">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vAlign w:val="top"/>
          </w:tcPr>
          <w:p w14:paraId="655CB3EC">
            <w:pPr>
              <w:pStyle w:val="270"/>
              <w:spacing w:line="292" w:lineRule="auto"/>
            </w:pPr>
          </w:p>
          <w:p w14:paraId="2137EC61">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27F7E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58C6045">
            <w:pPr>
              <w:pStyle w:val="270"/>
            </w:pPr>
          </w:p>
        </w:tc>
        <w:tc>
          <w:tcPr>
            <w:tcW w:w="1481" w:type="dxa"/>
            <w:vAlign w:val="top"/>
          </w:tcPr>
          <w:p w14:paraId="4F02134A">
            <w:pPr>
              <w:pStyle w:val="270"/>
            </w:pPr>
          </w:p>
        </w:tc>
        <w:tc>
          <w:tcPr>
            <w:tcW w:w="2383" w:type="dxa"/>
            <w:vAlign w:val="top"/>
          </w:tcPr>
          <w:p w14:paraId="0C9AD736">
            <w:pPr>
              <w:pStyle w:val="270"/>
            </w:pPr>
          </w:p>
        </w:tc>
        <w:tc>
          <w:tcPr>
            <w:tcW w:w="2125" w:type="dxa"/>
            <w:vAlign w:val="top"/>
          </w:tcPr>
          <w:p w14:paraId="7671C10C">
            <w:pPr>
              <w:pStyle w:val="270"/>
            </w:pPr>
          </w:p>
        </w:tc>
        <w:tc>
          <w:tcPr>
            <w:tcW w:w="1874" w:type="dxa"/>
            <w:vAlign w:val="top"/>
          </w:tcPr>
          <w:p w14:paraId="098CC4A5">
            <w:pPr>
              <w:pStyle w:val="270"/>
            </w:pPr>
          </w:p>
        </w:tc>
        <w:tc>
          <w:tcPr>
            <w:tcW w:w="1013" w:type="dxa"/>
            <w:vAlign w:val="top"/>
          </w:tcPr>
          <w:p w14:paraId="733C5EFE">
            <w:pPr>
              <w:pStyle w:val="270"/>
            </w:pPr>
          </w:p>
        </w:tc>
      </w:tr>
      <w:tr w14:paraId="2A094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E5E7C7F">
            <w:pPr>
              <w:pStyle w:val="270"/>
            </w:pPr>
          </w:p>
        </w:tc>
        <w:tc>
          <w:tcPr>
            <w:tcW w:w="1481" w:type="dxa"/>
            <w:vAlign w:val="top"/>
          </w:tcPr>
          <w:p w14:paraId="7DD4723A">
            <w:pPr>
              <w:pStyle w:val="270"/>
            </w:pPr>
          </w:p>
        </w:tc>
        <w:tc>
          <w:tcPr>
            <w:tcW w:w="2383" w:type="dxa"/>
            <w:vAlign w:val="top"/>
          </w:tcPr>
          <w:p w14:paraId="283BE9DD">
            <w:pPr>
              <w:pStyle w:val="270"/>
            </w:pPr>
          </w:p>
        </w:tc>
        <w:tc>
          <w:tcPr>
            <w:tcW w:w="2125" w:type="dxa"/>
            <w:vAlign w:val="top"/>
          </w:tcPr>
          <w:p w14:paraId="2D97A3D0">
            <w:pPr>
              <w:pStyle w:val="270"/>
            </w:pPr>
          </w:p>
        </w:tc>
        <w:tc>
          <w:tcPr>
            <w:tcW w:w="1874" w:type="dxa"/>
            <w:vAlign w:val="top"/>
          </w:tcPr>
          <w:p w14:paraId="5A2BEA79">
            <w:pPr>
              <w:pStyle w:val="270"/>
            </w:pPr>
          </w:p>
        </w:tc>
        <w:tc>
          <w:tcPr>
            <w:tcW w:w="1013" w:type="dxa"/>
            <w:vAlign w:val="top"/>
          </w:tcPr>
          <w:p w14:paraId="2D69937D">
            <w:pPr>
              <w:pStyle w:val="270"/>
            </w:pPr>
          </w:p>
        </w:tc>
      </w:tr>
      <w:tr w14:paraId="3A0C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1FE4D6A5">
            <w:pPr>
              <w:pStyle w:val="270"/>
            </w:pPr>
          </w:p>
        </w:tc>
        <w:tc>
          <w:tcPr>
            <w:tcW w:w="1481" w:type="dxa"/>
            <w:vAlign w:val="top"/>
          </w:tcPr>
          <w:p w14:paraId="2F4BD10D">
            <w:pPr>
              <w:pStyle w:val="270"/>
            </w:pPr>
          </w:p>
        </w:tc>
        <w:tc>
          <w:tcPr>
            <w:tcW w:w="2383" w:type="dxa"/>
            <w:vAlign w:val="top"/>
          </w:tcPr>
          <w:p w14:paraId="78D5561B">
            <w:pPr>
              <w:pStyle w:val="270"/>
            </w:pPr>
          </w:p>
        </w:tc>
        <w:tc>
          <w:tcPr>
            <w:tcW w:w="2125" w:type="dxa"/>
            <w:vAlign w:val="top"/>
          </w:tcPr>
          <w:p w14:paraId="6EEE016A">
            <w:pPr>
              <w:pStyle w:val="270"/>
            </w:pPr>
          </w:p>
        </w:tc>
        <w:tc>
          <w:tcPr>
            <w:tcW w:w="1874" w:type="dxa"/>
            <w:vAlign w:val="top"/>
          </w:tcPr>
          <w:p w14:paraId="2B2FBD24">
            <w:pPr>
              <w:pStyle w:val="270"/>
            </w:pPr>
          </w:p>
        </w:tc>
        <w:tc>
          <w:tcPr>
            <w:tcW w:w="1013" w:type="dxa"/>
            <w:vAlign w:val="top"/>
          </w:tcPr>
          <w:p w14:paraId="5208D8F8">
            <w:pPr>
              <w:pStyle w:val="270"/>
            </w:pPr>
          </w:p>
        </w:tc>
      </w:tr>
      <w:tr w14:paraId="6C4C7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387B8B2">
            <w:pPr>
              <w:pStyle w:val="270"/>
            </w:pPr>
          </w:p>
        </w:tc>
        <w:tc>
          <w:tcPr>
            <w:tcW w:w="1481" w:type="dxa"/>
            <w:vAlign w:val="top"/>
          </w:tcPr>
          <w:p w14:paraId="1DE7CFDC">
            <w:pPr>
              <w:pStyle w:val="270"/>
            </w:pPr>
          </w:p>
        </w:tc>
        <w:tc>
          <w:tcPr>
            <w:tcW w:w="2383" w:type="dxa"/>
            <w:vAlign w:val="top"/>
          </w:tcPr>
          <w:p w14:paraId="564C26AA">
            <w:pPr>
              <w:pStyle w:val="270"/>
            </w:pPr>
          </w:p>
        </w:tc>
        <w:tc>
          <w:tcPr>
            <w:tcW w:w="2125" w:type="dxa"/>
            <w:vAlign w:val="top"/>
          </w:tcPr>
          <w:p w14:paraId="412438C5">
            <w:pPr>
              <w:pStyle w:val="270"/>
            </w:pPr>
          </w:p>
        </w:tc>
        <w:tc>
          <w:tcPr>
            <w:tcW w:w="1874" w:type="dxa"/>
            <w:vAlign w:val="top"/>
          </w:tcPr>
          <w:p w14:paraId="5E862C16">
            <w:pPr>
              <w:pStyle w:val="270"/>
            </w:pPr>
          </w:p>
        </w:tc>
        <w:tc>
          <w:tcPr>
            <w:tcW w:w="1013" w:type="dxa"/>
            <w:vAlign w:val="top"/>
          </w:tcPr>
          <w:p w14:paraId="16500B10">
            <w:pPr>
              <w:pStyle w:val="270"/>
            </w:pPr>
          </w:p>
        </w:tc>
      </w:tr>
      <w:tr w14:paraId="53BF1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84809F0">
            <w:pPr>
              <w:pStyle w:val="270"/>
            </w:pPr>
          </w:p>
        </w:tc>
        <w:tc>
          <w:tcPr>
            <w:tcW w:w="1481" w:type="dxa"/>
            <w:vAlign w:val="top"/>
          </w:tcPr>
          <w:p w14:paraId="584D0826">
            <w:pPr>
              <w:pStyle w:val="270"/>
            </w:pPr>
          </w:p>
        </w:tc>
        <w:tc>
          <w:tcPr>
            <w:tcW w:w="2383" w:type="dxa"/>
            <w:vAlign w:val="top"/>
          </w:tcPr>
          <w:p w14:paraId="0BA0240B">
            <w:pPr>
              <w:pStyle w:val="270"/>
            </w:pPr>
          </w:p>
        </w:tc>
        <w:tc>
          <w:tcPr>
            <w:tcW w:w="2125" w:type="dxa"/>
            <w:vAlign w:val="top"/>
          </w:tcPr>
          <w:p w14:paraId="48FB4F26">
            <w:pPr>
              <w:pStyle w:val="270"/>
            </w:pPr>
          </w:p>
        </w:tc>
        <w:tc>
          <w:tcPr>
            <w:tcW w:w="1874" w:type="dxa"/>
            <w:vAlign w:val="top"/>
          </w:tcPr>
          <w:p w14:paraId="5DFDDED9">
            <w:pPr>
              <w:pStyle w:val="270"/>
            </w:pPr>
          </w:p>
        </w:tc>
        <w:tc>
          <w:tcPr>
            <w:tcW w:w="1013" w:type="dxa"/>
            <w:vAlign w:val="top"/>
          </w:tcPr>
          <w:p w14:paraId="6A967A86">
            <w:pPr>
              <w:pStyle w:val="270"/>
            </w:pPr>
          </w:p>
        </w:tc>
      </w:tr>
      <w:tr w14:paraId="4F82D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33956F2">
            <w:pPr>
              <w:pStyle w:val="270"/>
            </w:pPr>
          </w:p>
        </w:tc>
        <w:tc>
          <w:tcPr>
            <w:tcW w:w="1481" w:type="dxa"/>
            <w:vAlign w:val="top"/>
          </w:tcPr>
          <w:p w14:paraId="6C26DC34">
            <w:pPr>
              <w:pStyle w:val="270"/>
            </w:pPr>
          </w:p>
        </w:tc>
        <w:tc>
          <w:tcPr>
            <w:tcW w:w="2383" w:type="dxa"/>
            <w:vAlign w:val="top"/>
          </w:tcPr>
          <w:p w14:paraId="7E6369D7">
            <w:pPr>
              <w:pStyle w:val="270"/>
            </w:pPr>
          </w:p>
        </w:tc>
        <w:tc>
          <w:tcPr>
            <w:tcW w:w="2125" w:type="dxa"/>
            <w:vAlign w:val="top"/>
          </w:tcPr>
          <w:p w14:paraId="08D92C85">
            <w:pPr>
              <w:pStyle w:val="270"/>
            </w:pPr>
          </w:p>
        </w:tc>
        <w:tc>
          <w:tcPr>
            <w:tcW w:w="1874" w:type="dxa"/>
            <w:vAlign w:val="top"/>
          </w:tcPr>
          <w:p w14:paraId="13F7B925">
            <w:pPr>
              <w:pStyle w:val="270"/>
            </w:pPr>
          </w:p>
        </w:tc>
        <w:tc>
          <w:tcPr>
            <w:tcW w:w="1013" w:type="dxa"/>
            <w:vAlign w:val="top"/>
          </w:tcPr>
          <w:p w14:paraId="77162658">
            <w:pPr>
              <w:pStyle w:val="270"/>
            </w:pPr>
          </w:p>
        </w:tc>
      </w:tr>
    </w:tbl>
    <w:p w14:paraId="7693CCD7">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73929B1">
      <w:pPr>
        <w:pageBreakBefore w:val="0"/>
        <w:numPr>
          <w:ilvl w:val="0"/>
          <w:numId w:val="30"/>
        </w:numPr>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对招标文件中的所有商务、技术要求，除本表所列明的所有偏离外，均视作供应商已对之理解和响应。此表中若无任何文字说明，内容为空白的，投标无效。 </w:t>
      </w:r>
    </w:p>
    <w:p w14:paraId="6E1D662F">
      <w:pPr>
        <w:pageBreakBefore w:val="0"/>
        <w:numPr>
          <w:ilvl w:val="0"/>
          <w:numId w:val="30"/>
        </w:numPr>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 ”列应据实填写“无偏离”、“正偏离”或“负偏离”。</w:t>
      </w:r>
    </w:p>
    <w:p w14:paraId="278F0357">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p>
    <w:p w14:paraId="7E6C4866">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39F9D6C0">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日期：_____年______月______日</w:t>
      </w:r>
    </w:p>
    <w:p w14:paraId="6F243685">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br w:type="page"/>
      </w:r>
      <w:r>
        <w:rPr>
          <w:rFonts w:hint="eastAsia" w:ascii="宋体" w:hAnsi="宋体" w:cs="宋体"/>
          <w:b/>
          <w:bCs/>
          <w:color w:val="auto"/>
          <w:sz w:val="24"/>
          <w:szCs w:val="20"/>
          <w:highlight w:val="none"/>
          <w:lang w:val="en-US" w:eastAsia="zh-CN"/>
        </w:rPr>
        <w:t>7</w:t>
      </w:r>
      <w:r>
        <w:rPr>
          <w:rFonts w:hint="eastAsia" w:ascii="宋体" w:hAnsi="宋体" w:eastAsia="宋体" w:cs="宋体"/>
          <w:b/>
          <w:bCs/>
          <w:color w:val="auto"/>
          <w:sz w:val="24"/>
          <w:szCs w:val="20"/>
          <w:highlight w:val="none"/>
        </w:rPr>
        <w:t xml:space="preserve">  类似项目业绩</w:t>
      </w:r>
    </w:p>
    <w:p w14:paraId="32E023A9">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highlight w:val="none"/>
        </w:rPr>
      </w:pPr>
    </w:p>
    <w:p w14:paraId="67365AB4">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rPr>
        <w:t xml:space="preserve">项目编号：_____________________     </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 xml:space="preserve">名称：_____________________ </w:t>
      </w:r>
    </w:p>
    <w:p w14:paraId="31FDA1FA">
      <w:pPr>
        <w:pStyle w:val="26"/>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tbl>
      <w:tblPr>
        <w:tblStyle w:val="259"/>
        <w:tblW w:w="9626"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38"/>
        <w:gridCol w:w="1611"/>
        <w:gridCol w:w="1904"/>
        <w:gridCol w:w="1935"/>
        <w:gridCol w:w="1587"/>
      </w:tblGrid>
      <w:tr w14:paraId="178D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51" w:type="dxa"/>
            <w:tcBorders>
              <w:top w:val="single" w:color="auto" w:sz="4" w:space="0"/>
              <w:left w:val="single" w:color="auto" w:sz="4" w:space="0"/>
              <w:bottom w:val="single" w:color="auto" w:sz="4" w:space="0"/>
              <w:right w:val="single" w:color="auto" w:sz="4" w:space="0"/>
            </w:tcBorders>
            <w:vAlign w:val="top"/>
          </w:tcPr>
          <w:p w14:paraId="0D47409A">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1838" w:type="dxa"/>
            <w:tcBorders>
              <w:top w:val="single" w:color="auto" w:sz="4" w:space="0"/>
              <w:left w:val="single" w:color="auto" w:sz="4" w:space="0"/>
              <w:bottom w:val="single" w:color="auto" w:sz="4" w:space="0"/>
              <w:right w:val="single" w:color="auto" w:sz="4" w:space="0"/>
            </w:tcBorders>
            <w:vAlign w:val="top"/>
          </w:tcPr>
          <w:p w14:paraId="19E23F29">
            <w:pPr>
              <w:pageBreakBefore w:val="0"/>
              <w:wordWrap/>
              <w:topLinePunct w:val="0"/>
              <w:autoSpaceDE w:val="0"/>
              <w:autoSpaceDN w:val="0"/>
              <w:bidi w:val="0"/>
              <w:spacing w:before="215" w:line="360" w:lineRule="auto"/>
              <w:jc w:val="center"/>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采购人名称</w:t>
            </w:r>
          </w:p>
        </w:tc>
        <w:tc>
          <w:tcPr>
            <w:tcW w:w="1611" w:type="dxa"/>
            <w:tcBorders>
              <w:top w:val="single" w:color="auto" w:sz="4" w:space="0"/>
              <w:left w:val="single" w:color="auto" w:sz="4" w:space="0"/>
              <w:bottom w:val="single" w:color="auto" w:sz="4" w:space="0"/>
              <w:right w:val="single" w:color="auto" w:sz="4" w:space="0"/>
            </w:tcBorders>
            <w:vAlign w:val="top"/>
          </w:tcPr>
          <w:p w14:paraId="425D6703">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项目名称</w:t>
            </w:r>
          </w:p>
        </w:tc>
        <w:tc>
          <w:tcPr>
            <w:tcW w:w="1904" w:type="dxa"/>
            <w:tcBorders>
              <w:top w:val="single" w:color="auto" w:sz="4" w:space="0"/>
              <w:left w:val="single" w:color="auto" w:sz="4" w:space="0"/>
              <w:bottom w:val="single" w:color="auto" w:sz="4" w:space="0"/>
              <w:right w:val="single" w:color="auto" w:sz="4" w:space="0"/>
            </w:tcBorders>
            <w:vAlign w:val="top"/>
          </w:tcPr>
          <w:p w14:paraId="62115947">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合同签订时间</w:t>
            </w:r>
          </w:p>
        </w:tc>
        <w:tc>
          <w:tcPr>
            <w:tcW w:w="1935" w:type="dxa"/>
            <w:tcBorders>
              <w:top w:val="single" w:color="auto" w:sz="4" w:space="0"/>
              <w:left w:val="single" w:color="auto" w:sz="4" w:space="0"/>
              <w:bottom w:val="single" w:color="auto" w:sz="4" w:space="0"/>
              <w:right w:val="single" w:color="auto" w:sz="4" w:space="0"/>
            </w:tcBorders>
            <w:vAlign w:val="top"/>
          </w:tcPr>
          <w:p w14:paraId="158D5457">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合同金额（万元）</w:t>
            </w:r>
          </w:p>
        </w:tc>
        <w:tc>
          <w:tcPr>
            <w:tcW w:w="1587" w:type="dxa"/>
            <w:tcBorders>
              <w:top w:val="single" w:color="auto" w:sz="4" w:space="0"/>
              <w:left w:val="single" w:color="auto" w:sz="4" w:space="0"/>
              <w:bottom w:val="single" w:color="auto" w:sz="4" w:space="0"/>
              <w:right w:val="single" w:color="auto" w:sz="4" w:space="0"/>
            </w:tcBorders>
            <w:vAlign w:val="top"/>
          </w:tcPr>
          <w:p w14:paraId="76BCE369">
            <w:pPr>
              <w:pageBreakBefore w:val="0"/>
              <w:wordWrap/>
              <w:topLinePunct w:val="0"/>
              <w:autoSpaceDE w:val="0"/>
              <w:autoSpaceDN w:val="0"/>
              <w:bidi w:val="0"/>
              <w:spacing w:before="215" w:line="360"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联系方式</w:t>
            </w:r>
          </w:p>
        </w:tc>
      </w:tr>
      <w:tr w14:paraId="2EE31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51" w:type="dxa"/>
            <w:tcBorders>
              <w:top w:val="single" w:color="auto" w:sz="4" w:space="0"/>
              <w:left w:val="single" w:color="auto" w:sz="4" w:space="0"/>
              <w:bottom w:val="single" w:color="auto" w:sz="4" w:space="0"/>
              <w:right w:val="single" w:color="auto" w:sz="4" w:space="0"/>
            </w:tcBorders>
            <w:vAlign w:val="top"/>
          </w:tcPr>
          <w:p w14:paraId="7C972C4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559A1B9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1BD40060">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4F7265E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19400E4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235F175A">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63911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706B7FCB">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248E40D1">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0D0CE7F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2D95F21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44CA496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13E6B63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77C3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7E417BA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0A43443E">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36EE694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439D10A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7508B80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5B4F3FF8">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623A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vAlign w:val="top"/>
          </w:tcPr>
          <w:p w14:paraId="7AE8E2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1697B0D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2C071F28">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52358C4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6661B0C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6D7C0FB0">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5DAAB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5A51FF3C">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2901702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11E5DDAE">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02DF3C9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674266EC">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7EB9BF7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5DB5B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vAlign w:val="top"/>
          </w:tcPr>
          <w:p w14:paraId="29B2A4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76105FD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09F9CC5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2564C28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5005A65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2E6820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4B5C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51" w:type="dxa"/>
            <w:tcBorders>
              <w:top w:val="single" w:color="auto" w:sz="4" w:space="0"/>
              <w:left w:val="single" w:color="auto" w:sz="4" w:space="0"/>
              <w:bottom w:val="single" w:color="auto" w:sz="4" w:space="0"/>
              <w:right w:val="single" w:color="auto" w:sz="4" w:space="0"/>
            </w:tcBorders>
            <w:vAlign w:val="top"/>
          </w:tcPr>
          <w:p w14:paraId="32B665E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121A4C7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65B408B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5C09F32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26CFF56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0FC519C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bl>
    <w:p w14:paraId="10BF31BA">
      <w:pPr>
        <w:pageBreakBefore w:val="0"/>
        <w:wordWrap/>
        <w:topLinePunct w:val="0"/>
        <w:bidi w:val="0"/>
        <w:spacing w:line="360" w:lineRule="auto"/>
        <w:outlineLvl w:val="2"/>
        <w:rPr>
          <w:rFonts w:hint="eastAsia" w:ascii="宋体" w:hAnsi="宋体" w:eastAsia="宋体" w:cs="宋体"/>
          <w:color w:val="auto"/>
          <w:spacing w:val="22"/>
          <w:sz w:val="24"/>
          <w:szCs w:val="24"/>
          <w:highlight w:val="none"/>
        </w:rPr>
      </w:pPr>
    </w:p>
    <w:p w14:paraId="48E9102C">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pacing w:val="22"/>
          <w:sz w:val="24"/>
          <w:szCs w:val="24"/>
          <w:highlight w:val="none"/>
        </w:rPr>
        <w:t>应</w:t>
      </w:r>
      <w:r>
        <w:rPr>
          <w:rFonts w:hint="eastAsia" w:ascii="宋体" w:hAnsi="宋体" w:eastAsia="宋体" w:cs="宋体"/>
          <w:color w:val="auto"/>
          <w:spacing w:val="12"/>
          <w:sz w:val="24"/>
          <w:szCs w:val="24"/>
          <w:highlight w:val="none"/>
        </w:rPr>
        <w:t>附：</w:t>
      </w:r>
    </w:p>
    <w:p w14:paraId="7A35D0CF">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有效证明材料：业绩合同关键页（含：首页、服务内容信息页、合同金额页、签字盖章页）。复印件加盖公章，时间以合同签订日期为准。合同签订方必须是投标人自身，存在控股、管理关系投标人之间签订的合同无效，不符合上述要求或未按要求提供有效证明文件的业绩在评审时将不予承认。</w:t>
      </w:r>
    </w:p>
    <w:p w14:paraId="4EED8AA5">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2.项目业绩以合同为准，同一项目不同年限不重复计算。</w:t>
      </w:r>
    </w:p>
    <w:p w14:paraId="27D5E4CD">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3.投标人提供虚假信息、虚假合同的，按</w:t>
      </w:r>
      <w:r>
        <w:rPr>
          <w:rFonts w:hint="eastAsia" w:ascii="宋体" w:hAnsi="宋体" w:eastAsia="宋体" w:cs="宋体"/>
          <w:b/>
          <w:bCs/>
          <w:color w:val="auto"/>
          <w:sz w:val="24"/>
          <w:szCs w:val="20"/>
          <w:highlight w:val="none"/>
          <w:lang w:val="en-US" w:eastAsia="zh-CN"/>
        </w:rPr>
        <w:t>虚假投标处理</w:t>
      </w:r>
      <w:r>
        <w:rPr>
          <w:rFonts w:hint="eastAsia" w:ascii="宋体" w:hAnsi="宋体" w:eastAsia="宋体" w:cs="宋体"/>
          <w:color w:val="auto"/>
          <w:sz w:val="24"/>
          <w:szCs w:val="20"/>
          <w:highlight w:val="none"/>
          <w:lang w:val="en-US" w:eastAsia="zh-CN"/>
        </w:rPr>
        <w:t>。</w:t>
      </w:r>
    </w:p>
    <w:p w14:paraId="6BC2A3D1">
      <w:pPr>
        <w:pStyle w:val="26"/>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p w14:paraId="682EC5D8">
      <w:pPr>
        <w:pStyle w:val="26"/>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lang w:val="en-US" w:eastAsia="zh-CN"/>
        </w:rPr>
      </w:pPr>
    </w:p>
    <w:p w14:paraId="74C23F7E">
      <w:pPr>
        <w:pStyle w:val="26"/>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p w14:paraId="0618EA5A">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69AB899D">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 xml:space="preserve">日期：_____年______月______日   </w:t>
      </w:r>
    </w:p>
    <w:p w14:paraId="147BC18C">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p>
    <w:p w14:paraId="467AA866">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p>
    <w:p w14:paraId="181ED9E3">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color w:val="auto"/>
          <w:sz w:val="24"/>
          <w:szCs w:val="20"/>
          <w:highlight w:val="none"/>
          <w:lang w:val="en-US" w:eastAsia="zh-CN"/>
        </w:rPr>
        <w:br w:type="page"/>
      </w:r>
      <w:r>
        <w:rPr>
          <w:rFonts w:hint="eastAsia" w:ascii="宋体" w:hAnsi="宋体" w:cs="宋体"/>
          <w:b/>
          <w:bCs/>
          <w:color w:val="auto"/>
          <w:sz w:val="24"/>
          <w:szCs w:val="20"/>
          <w:highlight w:val="none"/>
          <w:lang w:val="en-US" w:eastAsia="zh-CN"/>
        </w:rPr>
        <w:t>8</w:t>
      </w:r>
      <w:r>
        <w:rPr>
          <w:rFonts w:hint="eastAsia" w:ascii="宋体" w:hAnsi="宋体" w:eastAsia="宋体" w:cs="宋体"/>
          <w:b/>
          <w:bCs/>
          <w:color w:val="auto"/>
          <w:sz w:val="24"/>
          <w:szCs w:val="20"/>
          <w:highlight w:val="none"/>
        </w:rPr>
        <w:t xml:space="preserve">  招标文件要求提供或投标人认为应附的其他材料</w:t>
      </w:r>
    </w:p>
    <w:p w14:paraId="2887022E">
      <w:pPr>
        <w:pageBreakBefore w:val="0"/>
        <w:widowControl/>
        <w:wordWrap/>
        <w:topLinePunct w:val="0"/>
        <w:bidi w:val="0"/>
        <w:spacing w:line="360" w:lineRule="auto"/>
        <w:jc w:val="left"/>
        <w:rPr>
          <w:rFonts w:hint="eastAsia" w:ascii="宋体" w:hAnsi="宋体" w:eastAsia="宋体" w:cs="宋体"/>
          <w:b/>
          <w:color w:val="auto"/>
          <w:sz w:val="36"/>
          <w:szCs w:val="36"/>
          <w:highlight w:val="none"/>
        </w:rPr>
      </w:pPr>
    </w:p>
    <w:p w14:paraId="0FBD1384">
      <w:pPr>
        <w:pageBreakBefore w:val="0"/>
        <w:widowControl/>
        <w:wordWrap/>
        <w:topLinePunct w:val="0"/>
        <w:bidi w:val="0"/>
        <w:spacing w:line="360" w:lineRule="auto"/>
        <w:jc w:val="left"/>
        <w:rPr>
          <w:rFonts w:hint="eastAsia" w:ascii="宋体" w:hAnsi="宋体" w:eastAsia="宋体" w:cs="宋体"/>
          <w:b/>
          <w:color w:val="auto"/>
          <w:sz w:val="36"/>
          <w:szCs w:val="36"/>
          <w:highlight w:val="none"/>
        </w:rPr>
      </w:pPr>
    </w:p>
    <w:p w14:paraId="48959715"/>
    <w:p w14:paraId="11D4DF17">
      <w:pPr>
        <w:pStyle w:val="3"/>
      </w:pPr>
    </w:p>
    <w:p w14:paraId="4245FFC4"/>
    <w:p w14:paraId="44A1D171">
      <w:pPr>
        <w:pStyle w:val="3"/>
      </w:pPr>
    </w:p>
    <w:p w14:paraId="4E8EB35B"/>
    <w:p w14:paraId="70DA29D3">
      <w:pPr>
        <w:pStyle w:val="3"/>
      </w:pPr>
    </w:p>
    <w:p w14:paraId="1225156B"/>
    <w:p w14:paraId="7586E59F">
      <w:pPr>
        <w:pStyle w:val="3"/>
        <w:rPr>
          <w:rFonts w:hint="eastAsia"/>
        </w:rPr>
      </w:pPr>
    </w:p>
    <w:sectPr>
      <w:footerReference r:id="rId24" w:type="default"/>
      <w:pgSz w:w="11907" w:h="16840"/>
      <w:pgMar w:top="1134" w:right="1134" w:bottom="1134" w:left="113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E84">
    <w:pPr>
      <w:pStyle w:val="28"/>
      <w:framePr w:wrap="around" w:vAnchor="text" w:hAnchor="margin" w:y="1"/>
      <w:ind w:right="360"/>
      <w:rPr>
        <w:rStyle w:val="52"/>
      </w:rPr>
    </w:pPr>
  </w:p>
  <w:p w14:paraId="59B10451">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50ED">
    <w:pPr>
      <w:pStyle w:val="28"/>
      <w:framePr w:wrap="around" w:vAnchor="text" w:hAnchor="margin" w:xAlign="right" w:y="1"/>
      <w:rPr>
        <w:rStyle w:val="52"/>
      </w:rPr>
    </w:pPr>
    <w:r>
      <w:fldChar w:fldCharType="begin"/>
    </w:r>
    <w:r>
      <w:rPr>
        <w:rStyle w:val="52"/>
      </w:rPr>
      <w:instrText xml:space="preserve">PAGE  </w:instrText>
    </w:r>
    <w:r>
      <w:fldChar w:fldCharType="end"/>
    </w:r>
  </w:p>
  <w:p w14:paraId="6FA52B27">
    <w:pPr>
      <w:pStyle w:val="28"/>
      <w:ind w:right="360"/>
    </w:pPr>
  </w:p>
  <w:p w14:paraId="039CE30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F95B">
    <w:pPr>
      <w:pStyle w:val="2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73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61A2B2">
                          <w:pPr>
                            <w:pStyle w:val="2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961A2B2">
                    <w:pPr>
                      <w:pStyle w:val="28"/>
                    </w:pPr>
                    <w:r>
                      <w:fldChar w:fldCharType="begin"/>
                    </w:r>
                    <w:r>
                      <w:instrText xml:space="preserve"> PAGE  \* MERGEFORMAT </w:instrText>
                    </w:r>
                    <w:r>
                      <w:fldChar w:fldCharType="separate"/>
                    </w:r>
                    <w:r>
                      <w:t>40</w:t>
                    </w:r>
                    <w:r>
                      <w:fldChar w:fldCharType="end"/>
                    </w:r>
                  </w:p>
                </w:txbxContent>
              </v:textbox>
            </v:shape>
          </w:pict>
        </mc:Fallback>
      </mc:AlternateContent>
    </w:r>
    <w:r>
      <w:rPr>
        <w:rFonts w:ascii="Arial" w:hAnsi="Arial" w:eastAsia="Arial" w:cs="Arial"/>
        <w:spacing w:val="6"/>
        <w:sz w:val="18"/>
        <w:szCs w:val="18"/>
      </w:rPr>
      <w:t>56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2FF9">
    <w:pPr>
      <w:pStyle w:val="28"/>
      <w:wordWrap w:val="0"/>
      <w:ind w:right="54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9CCF9">
                          <w:pPr>
                            <w:pStyle w:val="28"/>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W77J3gEAAMADAAAOAAAAAAAA&#10;AAEAIAAAAB4BAABkcnMvZTJvRG9jLnhtbFBLBQYAAAAABgAGAFkBAABuBQAAAAA=&#10;">
              <v:fill on="f" focussize="0,0"/>
              <v:stroke on="f"/>
              <v:imagedata o:title=""/>
              <o:lock v:ext="edit" aspectratio="f"/>
              <v:textbox inset="0mm,0mm,0mm,0mm" style="mso-fit-shape-to-text:t;">
                <w:txbxContent>
                  <w:p w14:paraId="6039CCF9">
                    <w:pPr>
                      <w:pStyle w:val="2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05F2">
    <w:pPr>
      <w:pStyle w:val="28"/>
      <w:framePr w:wrap="around" w:vAnchor="text" w:hAnchor="margin" w:xAlign="center" w:y="1"/>
      <w:rPr>
        <w:rStyle w:val="52"/>
      </w:rPr>
    </w:pPr>
    <w:r>
      <w:fldChar w:fldCharType="begin"/>
    </w:r>
    <w:r>
      <w:rPr>
        <w:rStyle w:val="52"/>
      </w:rPr>
      <w:instrText xml:space="preserve">PAGE  </w:instrText>
    </w:r>
    <w:r>
      <w:fldChar w:fldCharType="end"/>
    </w:r>
  </w:p>
  <w:p w14:paraId="0A063391">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1CDF">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27D4">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4B1ED8">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1pUC83gEAAL8DAAAOAAAAAAAA&#10;AAEAIAAAAB4BAABkcnMvZTJvRG9jLnhtbFBLBQYAAAAABgAGAFkBAABuBQAAAAA=&#10;">
              <v:fill on="f" focussize="0,0"/>
              <v:stroke on="f"/>
              <v:imagedata o:title=""/>
              <o:lock v:ext="edit" aspectratio="f"/>
              <v:textbox inset="0mm,0mm,0mm,0mm" style="mso-fit-shape-to-text:t;">
                <w:txbxContent>
                  <w:p w14:paraId="5B4B1ED8">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3640">
    <w:pPr>
      <w:pStyle w:val="28"/>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5EE14">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kDXd8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nHPmhKWJn3/9PP/+e/7z&#10;g71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HkDXd8BAAC/AwAADgAAAAAA&#10;AAABACAAAAAeAQAAZHJzL2Uyb0RvYy54bWxQSwUGAAAAAAYABgBZAQAAbwUAAAAA&#10;">
              <v:fill on="f" focussize="0,0"/>
              <v:stroke on="f"/>
              <v:imagedata o:title=""/>
              <o:lock v:ext="edit" aspectratio="f"/>
              <v:textbox inset="0mm,0mm,0mm,0mm" style="mso-fit-shape-to-text:t;">
                <w:txbxContent>
                  <w:p w14:paraId="5AC5EE14">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84AF">
    <w:pPr>
      <w:pStyle w:val="28"/>
      <w:framePr w:wrap="around" w:vAnchor="text" w:hAnchor="margin" w:xAlign="right" w:y="1"/>
      <w:rPr>
        <w:rStyle w:val="52"/>
      </w:rPr>
    </w:pPr>
    <w:r>
      <w:fldChar w:fldCharType="begin"/>
    </w:r>
    <w:r>
      <w:rPr>
        <w:rStyle w:val="52"/>
      </w:rPr>
      <w:instrText xml:space="preserve">PAGE  </w:instrText>
    </w:r>
    <w:r>
      <w:fldChar w:fldCharType="end"/>
    </w:r>
  </w:p>
  <w:p w14:paraId="56CE5399">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9AD4">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9E38">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756100">
                          <w:pPr>
                            <w:pStyle w:val="2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7756100">
                    <w:pPr>
                      <w:pStyle w:val="2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8A32">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EC541">
                          <w:pPr>
                            <w:pStyle w:val="28"/>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8q898BAAC/AwAADgAAAGRycy9lMm9Eb2MueG1srVPBjtMwEL0j8Q+W&#10;7zTZSqAS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PnS86csDTx84/v55+/z7++&#10;sZ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8q898BAAC/AwAADgAAAAAA&#10;AAABACAAAAAeAQAAZHJzL2Uyb0RvYy54bWxQSwUGAAAAAAYABgBZAQAAbwUAAAAA&#10;">
              <v:fill on="f" focussize="0,0"/>
              <v:stroke on="f"/>
              <v:imagedata o:title=""/>
              <o:lock v:ext="edit" aspectratio="f"/>
              <v:textbox inset="0mm,0mm,0mm,0mm" style="mso-fit-shape-to-text:t;">
                <w:txbxContent>
                  <w:p w14:paraId="316EC541">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727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E7EB">
    <w:pPr>
      <w:pStyle w:val="30"/>
      <w:pBdr>
        <w:bottom w:val="none" w:color="auto" w:sz="0" w:space="1"/>
      </w:pBdr>
      <w:ind w:firstLine="7920" w:firstLineChars="4400"/>
      <w:jc w:val="both"/>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F458">
    <w:pPr>
      <w:pStyle w:val="17"/>
      <w:spacing w:before="3" w:line="200" w:lineRule="auto"/>
      <w:ind w:right="2"/>
      <w:jc w:val="right"/>
      <w:rPr>
        <w:sz w:val="18"/>
        <w:szCs w:val="18"/>
      </w:rPr>
    </w:pPr>
    <w: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afo/YAAAADAEAAA8AAAAAAAAA&#10;AQAgAAAAIgAAAGRycy9kb3ducmV2LnhtbFBLAQIUABQAAAAIAIdO4kC1CCE2EQIAAHsEAAAOAAAA&#10;AAAAAAEAIAAAACcBAABkcnMvZTJvRG9jLnhtbFBLBQYAAAAABgAGAFkBAACqBQAAAAA=&#10;" path="m0,0l9072,0,9072,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B433">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A3F7">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2BDD">
    <w:pPr>
      <w:pStyle w:val="17"/>
      <w:spacing w:before="3" w:line="200" w:lineRule="auto"/>
      <w:jc w:val="right"/>
      <w:rPr>
        <w:sz w:val="18"/>
        <w:szCs w:val="18"/>
      </w:rPr>
    </w:pPr>
    <w: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Jp+j9gAAAAMAQAADwAAAAAAAAABACAA&#10;AAAiAAAAZHJzL2Rvd25yZXYueG1sUEsBAhQAFAAAAAgAh07iQGlP5+wNAgAAewQAAA4AAAAAAAAA&#10;AQAgAAAAJwEAAGRycy9lMm9Eb2MueG1sUEsFBgAAAAAGAAYAWQEAAKYFAAAAAA==&#10;" path="m0,0l9072,0,9072,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DBF6">
    <w:pPr>
      <w:pStyle w:val="3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D7E6">
    <w:pPr>
      <w:pStyle w:val="30"/>
    </w:pPr>
  </w:p>
  <w:p w14:paraId="2F160B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CA1B2">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06ABB"/>
    <w:multiLevelType w:val="singleLevel"/>
    <w:tmpl w:val="88C06ABB"/>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24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3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20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5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6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9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9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5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23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C3078C"/>
    <w:multiLevelType w:val="multilevel"/>
    <w:tmpl w:val="06C307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265"/>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11">
    <w:nsid w:val="0E230849"/>
    <w:multiLevelType w:val="multilevel"/>
    <w:tmpl w:val="0E230849"/>
    <w:lvl w:ilvl="0" w:tentative="0">
      <w:start w:val="1"/>
      <w:numFmt w:val="decimal"/>
      <w:pStyle w:val="244"/>
      <w:lvlText w:val="%1"/>
      <w:lvlJc w:val="left"/>
      <w:pPr>
        <w:ind w:left="680" w:hanging="680"/>
      </w:pPr>
      <w:rPr>
        <w:rFonts w:hint="eastAsia" w:ascii="宋体" w:hAnsi="宋体" w:eastAsia="宋体"/>
      </w:rPr>
    </w:lvl>
    <w:lvl w:ilvl="1" w:tentative="0">
      <w:start w:val="1"/>
      <w:numFmt w:val="decimal"/>
      <w:pStyle w:val="188"/>
      <w:lvlText w:val="%1.%2"/>
      <w:lvlJc w:val="left"/>
      <w:pPr>
        <w:ind w:left="851" w:hanging="851"/>
      </w:pPr>
      <w:rPr>
        <w:rFonts w:hint="eastAsia" w:ascii="宋体" w:hAnsi="宋体" w:eastAsia="宋体"/>
        <w:color w:val="auto"/>
      </w:rPr>
    </w:lvl>
    <w:lvl w:ilvl="2" w:tentative="0">
      <w:start w:val="1"/>
      <w:numFmt w:val="decimal"/>
      <w:pStyle w:val="15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default" w:ascii="宋体" w:hAnsi="宋体" w:eastAsia="宋体" w:cs="宋体"/>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E7CEE18"/>
    <w:multiLevelType w:val="singleLevel"/>
    <w:tmpl w:val="1E7CEE18"/>
    <w:lvl w:ilvl="0" w:tentative="0">
      <w:start w:val="1"/>
      <w:numFmt w:val="chineseCounting"/>
      <w:suff w:val="nothing"/>
      <w:lvlText w:val="%1、"/>
      <w:lvlJc w:val="left"/>
      <w:rPr>
        <w:rFonts w:hint="eastAsia"/>
      </w:rPr>
    </w:lvl>
  </w:abstractNum>
  <w:abstractNum w:abstractNumId="15">
    <w:nsid w:val="1F64797E"/>
    <w:multiLevelType w:val="multilevel"/>
    <w:tmpl w:val="1F6479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1B84B39"/>
    <w:multiLevelType w:val="multilevel"/>
    <w:tmpl w:val="21B84B39"/>
    <w:lvl w:ilvl="0" w:tentative="0">
      <w:start w:val="1"/>
      <w:numFmt w:val="decimal"/>
      <w:lvlText w:val="%1)"/>
      <w:lvlJc w:val="left"/>
      <w:pPr>
        <w:ind w:left="420" w:hanging="420"/>
      </w:pPr>
    </w:lvl>
    <w:lvl w:ilvl="1" w:tentative="0">
      <w:start w:val="1"/>
      <w:numFmt w:val="decimal"/>
      <w:lvlText w:val="%2)"/>
      <w:lvlJc w:val="left"/>
      <w:pPr>
        <w:ind w:left="1665" w:hanging="12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C35F26"/>
    <w:multiLevelType w:val="multilevel"/>
    <w:tmpl w:val="21C35F26"/>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91B0468"/>
    <w:multiLevelType w:val="multilevel"/>
    <w:tmpl w:val="391B04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8420EF"/>
    <w:multiLevelType w:val="multilevel"/>
    <w:tmpl w:val="3D8420E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42A618F9"/>
    <w:multiLevelType w:val="multilevel"/>
    <w:tmpl w:val="42A618F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4">
    <w:nsid w:val="4CBF12FB"/>
    <w:multiLevelType w:val="multilevel"/>
    <w:tmpl w:val="4CBF12FB"/>
    <w:lvl w:ilvl="0" w:tentative="0">
      <w:start w:val="1"/>
      <w:numFmt w:val="decimal"/>
      <w:lvlText w:val="%1)"/>
      <w:lvlJc w:val="left"/>
      <w:pPr>
        <w:ind w:left="1060" w:hanging="420"/>
      </w:pPr>
    </w:lvl>
    <w:lvl w:ilvl="1" w:tentative="0">
      <w:start w:val="1"/>
      <w:numFmt w:val="decimal"/>
      <w:lvlText w:val="%2)"/>
      <w:lvlJc w:val="left"/>
      <w:pPr>
        <w:ind w:left="1480" w:hanging="420"/>
      </w:pPr>
    </w:lvl>
    <w:lvl w:ilvl="2" w:tentative="0">
      <w:start w:val="5"/>
      <w:numFmt w:val="decimal"/>
      <w:lvlText w:val="%3、"/>
      <w:lvlJc w:val="left"/>
      <w:pPr>
        <w:ind w:left="390" w:hanging="390"/>
      </w:pPr>
      <w:rPr>
        <w:rFonts w:hint="default"/>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5">
    <w:nsid w:val="52043980"/>
    <w:multiLevelType w:val="multilevel"/>
    <w:tmpl w:val="520439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9B9544E"/>
    <w:multiLevelType w:val="multilevel"/>
    <w:tmpl w:val="59B9544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A3205EB"/>
    <w:multiLevelType w:val="singleLevel"/>
    <w:tmpl w:val="5A3205EB"/>
    <w:lvl w:ilvl="0" w:tentative="0">
      <w:start w:val="6"/>
      <w:numFmt w:val="chineseCounting"/>
      <w:suff w:val="nothing"/>
      <w:lvlText w:val="%1、"/>
      <w:lvlJc w:val="left"/>
      <w:rPr>
        <w:rFonts w:hint="eastAsia"/>
      </w:rPr>
    </w:lvl>
  </w:abstractNum>
  <w:abstractNum w:abstractNumId="28">
    <w:nsid w:val="5EA1171C"/>
    <w:multiLevelType w:val="multilevel"/>
    <w:tmpl w:val="5EA117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3CC3B7F"/>
    <w:multiLevelType w:val="multilevel"/>
    <w:tmpl w:val="73CC3B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1"/>
  </w:num>
  <w:num w:numId="3">
    <w:abstractNumId w:val="4"/>
  </w:num>
  <w:num w:numId="4">
    <w:abstractNumId w:val="3"/>
  </w:num>
  <w:num w:numId="5">
    <w:abstractNumId w:val="8"/>
  </w:num>
  <w:num w:numId="6">
    <w:abstractNumId w:val="2"/>
  </w:num>
  <w:num w:numId="7">
    <w:abstractNumId w:val="6"/>
  </w:num>
  <w:num w:numId="8">
    <w:abstractNumId w:val="10"/>
  </w:num>
  <w:num w:numId="9">
    <w:abstractNumId w:val="14"/>
  </w:num>
  <w:num w:numId="10">
    <w:abstractNumId w:val="27"/>
  </w:num>
  <w:num w:numId="11">
    <w:abstractNumId w:val="7"/>
  </w:num>
  <w:num w:numId="12">
    <w:abstractNumId w:val="13"/>
  </w:num>
  <w:num w:numId="13">
    <w:abstractNumId w:val="1"/>
  </w:num>
  <w:num w:numId="14">
    <w:abstractNumId w:val="21"/>
  </w:num>
  <w:num w:numId="15">
    <w:abstractNumId w:val="12"/>
  </w:num>
  <w:num w:numId="16">
    <w:abstractNumId w:val="26"/>
  </w:num>
  <w:num w:numId="17">
    <w:abstractNumId w:val="15"/>
  </w:num>
  <w:num w:numId="18">
    <w:abstractNumId w:val="29"/>
  </w:num>
  <w:num w:numId="19">
    <w:abstractNumId w:val="17"/>
  </w:num>
  <w:num w:numId="20">
    <w:abstractNumId w:val="19"/>
  </w:num>
  <w:num w:numId="21">
    <w:abstractNumId w:val="9"/>
  </w:num>
  <w:num w:numId="22">
    <w:abstractNumId w:val="24"/>
  </w:num>
  <w:num w:numId="23">
    <w:abstractNumId w:val="22"/>
  </w:num>
  <w:num w:numId="24">
    <w:abstractNumId w:val="28"/>
  </w:num>
  <w:num w:numId="25">
    <w:abstractNumId w:val="25"/>
  </w:num>
  <w:num w:numId="26">
    <w:abstractNumId w:val="16"/>
  </w:num>
  <w:num w:numId="27">
    <w:abstractNumId w:val="20"/>
  </w:num>
  <w:num w:numId="28">
    <w:abstractNumId w:val="18"/>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JhOGFiOWE2YTlhZTAxYzY1NjdjYmFmNzQ5ZDQ1Z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7B4"/>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77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11D17"/>
    <w:rsid w:val="02740A19"/>
    <w:rsid w:val="02863634"/>
    <w:rsid w:val="03407516"/>
    <w:rsid w:val="03E84207"/>
    <w:rsid w:val="03F46FAF"/>
    <w:rsid w:val="041D0944"/>
    <w:rsid w:val="04370089"/>
    <w:rsid w:val="04464ED2"/>
    <w:rsid w:val="058A3F75"/>
    <w:rsid w:val="05A908E2"/>
    <w:rsid w:val="05F73164"/>
    <w:rsid w:val="062476AF"/>
    <w:rsid w:val="064F5EB1"/>
    <w:rsid w:val="06A53C01"/>
    <w:rsid w:val="06DC6022"/>
    <w:rsid w:val="07411E15"/>
    <w:rsid w:val="07610759"/>
    <w:rsid w:val="076A258E"/>
    <w:rsid w:val="07AA3DC5"/>
    <w:rsid w:val="08171DE7"/>
    <w:rsid w:val="08454196"/>
    <w:rsid w:val="08502F14"/>
    <w:rsid w:val="091F0FEF"/>
    <w:rsid w:val="09A0432D"/>
    <w:rsid w:val="0A1C277D"/>
    <w:rsid w:val="0AA54782"/>
    <w:rsid w:val="0AD33ADB"/>
    <w:rsid w:val="0B096EB1"/>
    <w:rsid w:val="0B660C1A"/>
    <w:rsid w:val="0B880D39"/>
    <w:rsid w:val="0C030754"/>
    <w:rsid w:val="0C435907"/>
    <w:rsid w:val="0C8B31B4"/>
    <w:rsid w:val="0D237FA4"/>
    <w:rsid w:val="0D3916F6"/>
    <w:rsid w:val="0D531267"/>
    <w:rsid w:val="0D8D2CC7"/>
    <w:rsid w:val="0DBC0BB1"/>
    <w:rsid w:val="0E3E6A45"/>
    <w:rsid w:val="0EA209A9"/>
    <w:rsid w:val="0F621C35"/>
    <w:rsid w:val="0F706100"/>
    <w:rsid w:val="10274B9B"/>
    <w:rsid w:val="10563541"/>
    <w:rsid w:val="1074351C"/>
    <w:rsid w:val="11036B00"/>
    <w:rsid w:val="110F324B"/>
    <w:rsid w:val="11245D40"/>
    <w:rsid w:val="11C42733"/>
    <w:rsid w:val="11E46932"/>
    <w:rsid w:val="130F681D"/>
    <w:rsid w:val="13103353"/>
    <w:rsid w:val="131D4A3C"/>
    <w:rsid w:val="14406D7A"/>
    <w:rsid w:val="146624C5"/>
    <w:rsid w:val="15677BA8"/>
    <w:rsid w:val="15F747AE"/>
    <w:rsid w:val="16034413"/>
    <w:rsid w:val="17062D54"/>
    <w:rsid w:val="175E666B"/>
    <w:rsid w:val="179F304A"/>
    <w:rsid w:val="17F93E0B"/>
    <w:rsid w:val="181B2C28"/>
    <w:rsid w:val="18D70A31"/>
    <w:rsid w:val="190C23A4"/>
    <w:rsid w:val="195904D9"/>
    <w:rsid w:val="19F27872"/>
    <w:rsid w:val="1A284751"/>
    <w:rsid w:val="1A3903B5"/>
    <w:rsid w:val="1C455CA5"/>
    <w:rsid w:val="1C5D2A55"/>
    <w:rsid w:val="1C960F80"/>
    <w:rsid w:val="1CA41395"/>
    <w:rsid w:val="1D2C69D2"/>
    <w:rsid w:val="1D324C40"/>
    <w:rsid w:val="1D623C6A"/>
    <w:rsid w:val="1DBF6E55"/>
    <w:rsid w:val="1E341898"/>
    <w:rsid w:val="1E431734"/>
    <w:rsid w:val="1E957AE1"/>
    <w:rsid w:val="1EB76CF9"/>
    <w:rsid w:val="1FC514D7"/>
    <w:rsid w:val="1FFC7EF8"/>
    <w:rsid w:val="211818F8"/>
    <w:rsid w:val="21221BFA"/>
    <w:rsid w:val="21756D84"/>
    <w:rsid w:val="21BD3943"/>
    <w:rsid w:val="21BD6297"/>
    <w:rsid w:val="21F2713B"/>
    <w:rsid w:val="21F8038F"/>
    <w:rsid w:val="221F57BC"/>
    <w:rsid w:val="226A31B4"/>
    <w:rsid w:val="22827A24"/>
    <w:rsid w:val="229B5A8C"/>
    <w:rsid w:val="22AA3280"/>
    <w:rsid w:val="232A1452"/>
    <w:rsid w:val="23360763"/>
    <w:rsid w:val="235E44B5"/>
    <w:rsid w:val="239E00B4"/>
    <w:rsid w:val="2421367E"/>
    <w:rsid w:val="242B2FD0"/>
    <w:rsid w:val="2495740B"/>
    <w:rsid w:val="24CA5A2B"/>
    <w:rsid w:val="250C39CD"/>
    <w:rsid w:val="251E74A4"/>
    <w:rsid w:val="25650A66"/>
    <w:rsid w:val="257802B8"/>
    <w:rsid w:val="25B01DBA"/>
    <w:rsid w:val="26D16A1D"/>
    <w:rsid w:val="26FF1C58"/>
    <w:rsid w:val="27684362"/>
    <w:rsid w:val="277D5657"/>
    <w:rsid w:val="27843CE5"/>
    <w:rsid w:val="27C06CB7"/>
    <w:rsid w:val="280454BA"/>
    <w:rsid w:val="283B4A5A"/>
    <w:rsid w:val="285F68BA"/>
    <w:rsid w:val="287A1264"/>
    <w:rsid w:val="28E50CD6"/>
    <w:rsid w:val="28ED2234"/>
    <w:rsid w:val="29B82726"/>
    <w:rsid w:val="2A2275DC"/>
    <w:rsid w:val="2AC71594"/>
    <w:rsid w:val="2B23267A"/>
    <w:rsid w:val="2B5365CD"/>
    <w:rsid w:val="2B563421"/>
    <w:rsid w:val="2B725585"/>
    <w:rsid w:val="2B766C85"/>
    <w:rsid w:val="2B8233AC"/>
    <w:rsid w:val="2B93205E"/>
    <w:rsid w:val="2BB12407"/>
    <w:rsid w:val="2BB70874"/>
    <w:rsid w:val="2BD30011"/>
    <w:rsid w:val="2BE5046F"/>
    <w:rsid w:val="2C3F00AB"/>
    <w:rsid w:val="2C923D58"/>
    <w:rsid w:val="2D275325"/>
    <w:rsid w:val="2D30070D"/>
    <w:rsid w:val="2D4A50EC"/>
    <w:rsid w:val="2D7147F0"/>
    <w:rsid w:val="2DF02E23"/>
    <w:rsid w:val="2E8B598C"/>
    <w:rsid w:val="2EB42DC5"/>
    <w:rsid w:val="2ED8301A"/>
    <w:rsid w:val="2F3976ED"/>
    <w:rsid w:val="2FE46D88"/>
    <w:rsid w:val="2FF63413"/>
    <w:rsid w:val="309612E7"/>
    <w:rsid w:val="31755ABE"/>
    <w:rsid w:val="31D61A62"/>
    <w:rsid w:val="32494FF4"/>
    <w:rsid w:val="32EB653A"/>
    <w:rsid w:val="332365C8"/>
    <w:rsid w:val="33C2044F"/>
    <w:rsid w:val="33E67ADF"/>
    <w:rsid w:val="349E6F26"/>
    <w:rsid w:val="349F689A"/>
    <w:rsid w:val="34DF3A21"/>
    <w:rsid w:val="35474341"/>
    <w:rsid w:val="35CB1A33"/>
    <w:rsid w:val="35F21D57"/>
    <w:rsid w:val="368822FC"/>
    <w:rsid w:val="36986FD4"/>
    <w:rsid w:val="37040407"/>
    <w:rsid w:val="37133CEB"/>
    <w:rsid w:val="37E63AA4"/>
    <w:rsid w:val="3803041B"/>
    <w:rsid w:val="383B433B"/>
    <w:rsid w:val="386A4B8D"/>
    <w:rsid w:val="38953CE0"/>
    <w:rsid w:val="389A3789"/>
    <w:rsid w:val="38F03F0D"/>
    <w:rsid w:val="392B10FC"/>
    <w:rsid w:val="3972643A"/>
    <w:rsid w:val="39BE7FCA"/>
    <w:rsid w:val="3A7B3A28"/>
    <w:rsid w:val="3A7C0E91"/>
    <w:rsid w:val="3AC86DC6"/>
    <w:rsid w:val="3AD87F89"/>
    <w:rsid w:val="3AF21EA5"/>
    <w:rsid w:val="3B4D1BC2"/>
    <w:rsid w:val="3B5A21A1"/>
    <w:rsid w:val="3BCB6780"/>
    <w:rsid w:val="3C0735DF"/>
    <w:rsid w:val="3C2D7498"/>
    <w:rsid w:val="3C3A5E97"/>
    <w:rsid w:val="3C633BE4"/>
    <w:rsid w:val="3CC7638F"/>
    <w:rsid w:val="3CCD3F19"/>
    <w:rsid w:val="3CFA5C85"/>
    <w:rsid w:val="3D3B09BA"/>
    <w:rsid w:val="3D593EFF"/>
    <w:rsid w:val="3D883C6D"/>
    <w:rsid w:val="3E5A6C85"/>
    <w:rsid w:val="3E6A682D"/>
    <w:rsid w:val="40291959"/>
    <w:rsid w:val="40732ABF"/>
    <w:rsid w:val="409622AA"/>
    <w:rsid w:val="40BE03B8"/>
    <w:rsid w:val="41E17A25"/>
    <w:rsid w:val="41EE729A"/>
    <w:rsid w:val="42011F52"/>
    <w:rsid w:val="42156FF4"/>
    <w:rsid w:val="42CD0A98"/>
    <w:rsid w:val="42CE5DAA"/>
    <w:rsid w:val="431A0C09"/>
    <w:rsid w:val="438D7E16"/>
    <w:rsid w:val="43AF029E"/>
    <w:rsid w:val="440E68FF"/>
    <w:rsid w:val="446015B9"/>
    <w:rsid w:val="4488746D"/>
    <w:rsid w:val="449F30B0"/>
    <w:rsid w:val="450D6C2B"/>
    <w:rsid w:val="45150DD9"/>
    <w:rsid w:val="45435AD5"/>
    <w:rsid w:val="45901115"/>
    <w:rsid w:val="45934738"/>
    <w:rsid w:val="459829B5"/>
    <w:rsid w:val="46003033"/>
    <w:rsid w:val="464168ED"/>
    <w:rsid w:val="4663731F"/>
    <w:rsid w:val="467B4534"/>
    <w:rsid w:val="46BA5E1A"/>
    <w:rsid w:val="46DB13AA"/>
    <w:rsid w:val="47251370"/>
    <w:rsid w:val="479C4FDD"/>
    <w:rsid w:val="47AD0145"/>
    <w:rsid w:val="47E35A7F"/>
    <w:rsid w:val="480E2158"/>
    <w:rsid w:val="48A30A8E"/>
    <w:rsid w:val="48B44BF1"/>
    <w:rsid w:val="491958AC"/>
    <w:rsid w:val="49352EAA"/>
    <w:rsid w:val="497C6E74"/>
    <w:rsid w:val="49F00188"/>
    <w:rsid w:val="4AC705C3"/>
    <w:rsid w:val="4AD47AF4"/>
    <w:rsid w:val="4AEB0D39"/>
    <w:rsid w:val="4B2315D5"/>
    <w:rsid w:val="4B65373A"/>
    <w:rsid w:val="4B7708AA"/>
    <w:rsid w:val="4B775B45"/>
    <w:rsid w:val="4C9E241A"/>
    <w:rsid w:val="4D00163A"/>
    <w:rsid w:val="4D0048CD"/>
    <w:rsid w:val="4D265A75"/>
    <w:rsid w:val="4D4F7708"/>
    <w:rsid w:val="4E0D12D9"/>
    <w:rsid w:val="4E291A3C"/>
    <w:rsid w:val="4E2D04CA"/>
    <w:rsid w:val="4E421425"/>
    <w:rsid w:val="4EA1369B"/>
    <w:rsid w:val="4EC2437E"/>
    <w:rsid w:val="4EEF2E0C"/>
    <w:rsid w:val="4F067C6B"/>
    <w:rsid w:val="4F0F5BE3"/>
    <w:rsid w:val="4F3B5F58"/>
    <w:rsid w:val="4F5C474C"/>
    <w:rsid w:val="4F8D256E"/>
    <w:rsid w:val="505033F3"/>
    <w:rsid w:val="50575142"/>
    <w:rsid w:val="50EC2C8D"/>
    <w:rsid w:val="510B5593"/>
    <w:rsid w:val="51404953"/>
    <w:rsid w:val="51C07B1A"/>
    <w:rsid w:val="51E24880"/>
    <w:rsid w:val="52422029"/>
    <w:rsid w:val="5267101A"/>
    <w:rsid w:val="54204A8B"/>
    <w:rsid w:val="5482566A"/>
    <w:rsid w:val="54C86654"/>
    <w:rsid w:val="54FE4BE1"/>
    <w:rsid w:val="55040901"/>
    <w:rsid w:val="556E152C"/>
    <w:rsid w:val="55C758EB"/>
    <w:rsid w:val="55FE3C63"/>
    <w:rsid w:val="565D00F2"/>
    <w:rsid w:val="56DE6DA0"/>
    <w:rsid w:val="56DF05DE"/>
    <w:rsid w:val="56F70118"/>
    <w:rsid w:val="57866C1D"/>
    <w:rsid w:val="57EA3B43"/>
    <w:rsid w:val="57FC6189"/>
    <w:rsid w:val="59E262DE"/>
    <w:rsid w:val="5BAB7FEA"/>
    <w:rsid w:val="5BD31144"/>
    <w:rsid w:val="5C7673CE"/>
    <w:rsid w:val="5D0D29F2"/>
    <w:rsid w:val="5D296EBB"/>
    <w:rsid w:val="5E566A8F"/>
    <w:rsid w:val="5E607025"/>
    <w:rsid w:val="5E6C0A33"/>
    <w:rsid w:val="5EEF1264"/>
    <w:rsid w:val="5F073306"/>
    <w:rsid w:val="5F5F73B9"/>
    <w:rsid w:val="5F6179BB"/>
    <w:rsid w:val="5FBC5A2C"/>
    <w:rsid w:val="5FDA063B"/>
    <w:rsid w:val="604C112C"/>
    <w:rsid w:val="60FB33C1"/>
    <w:rsid w:val="61D84FDF"/>
    <w:rsid w:val="61EF59E9"/>
    <w:rsid w:val="62033A66"/>
    <w:rsid w:val="621A4D9D"/>
    <w:rsid w:val="622734AA"/>
    <w:rsid w:val="627F69B6"/>
    <w:rsid w:val="62823F61"/>
    <w:rsid w:val="62E844C4"/>
    <w:rsid w:val="62FE2CCB"/>
    <w:rsid w:val="63A0629E"/>
    <w:rsid w:val="63A60FC6"/>
    <w:rsid w:val="63A7722A"/>
    <w:rsid w:val="647476E8"/>
    <w:rsid w:val="64862C0E"/>
    <w:rsid w:val="64BD52D1"/>
    <w:rsid w:val="64FF0F50"/>
    <w:rsid w:val="650C334B"/>
    <w:rsid w:val="650D75C2"/>
    <w:rsid w:val="65123B77"/>
    <w:rsid w:val="66247312"/>
    <w:rsid w:val="66483197"/>
    <w:rsid w:val="667E42FE"/>
    <w:rsid w:val="66E22141"/>
    <w:rsid w:val="66EC6987"/>
    <w:rsid w:val="66FE41EC"/>
    <w:rsid w:val="674129D8"/>
    <w:rsid w:val="678C42CF"/>
    <w:rsid w:val="67DB469D"/>
    <w:rsid w:val="67FA29A2"/>
    <w:rsid w:val="682A1B50"/>
    <w:rsid w:val="6838144E"/>
    <w:rsid w:val="683C1E84"/>
    <w:rsid w:val="688551A3"/>
    <w:rsid w:val="68AA7398"/>
    <w:rsid w:val="6910406A"/>
    <w:rsid w:val="698F2F63"/>
    <w:rsid w:val="69C73026"/>
    <w:rsid w:val="69FB3193"/>
    <w:rsid w:val="6A4315BC"/>
    <w:rsid w:val="6B6920A6"/>
    <w:rsid w:val="6B803EB8"/>
    <w:rsid w:val="6B812964"/>
    <w:rsid w:val="6B91570F"/>
    <w:rsid w:val="6C005EAC"/>
    <w:rsid w:val="6CFB5A38"/>
    <w:rsid w:val="6D1D5749"/>
    <w:rsid w:val="6D384B4B"/>
    <w:rsid w:val="6D396921"/>
    <w:rsid w:val="6DCD0444"/>
    <w:rsid w:val="6E264AB5"/>
    <w:rsid w:val="6EA53323"/>
    <w:rsid w:val="6ECE14B9"/>
    <w:rsid w:val="6F97D24A"/>
    <w:rsid w:val="6FF77E81"/>
    <w:rsid w:val="700C4D87"/>
    <w:rsid w:val="703244AE"/>
    <w:rsid w:val="70331A9C"/>
    <w:rsid w:val="707E63BD"/>
    <w:rsid w:val="708873C2"/>
    <w:rsid w:val="70E635E8"/>
    <w:rsid w:val="714D0163"/>
    <w:rsid w:val="71E909FE"/>
    <w:rsid w:val="7213002B"/>
    <w:rsid w:val="723E120A"/>
    <w:rsid w:val="724A505B"/>
    <w:rsid w:val="72E11419"/>
    <w:rsid w:val="7325620D"/>
    <w:rsid w:val="73FD4B35"/>
    <w:rsid w:val="742C597A"/>
    <w:rsid w:val="742D1D9A"/>
    <w:rsid w:val="744B7F0D"/>
    <w:rsid w:val="749A3939"/>
    <w:rsid w:val="74DD3237"/>
    <w:rsid w:val="756706E9"/>
    <w:rsid w:val="75794C8D"/>
    <w:rsid w:val="75AA20D9"/>
    <w:rsid w:val="75D634C1"/>
    <w:rsid w:val="75EF51EB"/>
    <w:rsid w:val="762945EB"/>
    <w:rsid w:val="76857EB9"/>
    <w:rsid w:val="771866B0"/>
    <w:rsid w:val="775E2302"/>
    <w:rsid w:val="78064FBB"/>
    <w:rsid w:val="78C66612"/>
    <w:rsid w:val="78DA51F9"/>
    <w:rsid w:val="79430AC7"/>
    <w:rsid w:val="798E3ED6"/>
    <w:rsid w:val="7A006FAF"/>
    <w:rsid w:val="7A4A4FAE"/>
    <w:rsid w:val="7A7901DC"/>
    <w:rsid w:val="7B0963E7"/>
    <w:rsid w:val="7B0E77B1"/>
    <w:rsid w:val="7B23689B"/>
    <w:rsid w:val="7B4B27CC"/>
    <w:rsid w:val="7BC506FF"/>
    <w:rsid w:val="7BDA30A7"/>
    <w:rsid w:val="7C240683"/>
    <w:rsid w:val="7C2B42CB"/>
    <w:rsid w:val="7C502DAB"/>
    <w:rsid w:val="7C5F4801"/>
    <w:rsid w:val="7C8A3D10"/>
    <w:rsid w:val="7D3A2E6D"/>
    <w:rsid w:val="7D9C6984"/>
    <w:rsid w:val="7DC17036"/>
    <w:rsid w:val="7E340F84"/>
    <w:rsid w:val="7E827CDF"/>
    <w:rsid w:val="7EFE00B4"/>
    <w:rsid w:val="7F97D7F2"/>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1"/>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9"/>
    <w:qFormat/>
    <w:uiPriority w:val="0"/>
    <w:pPr>
      <w:shd w:val="clear" w:color="auto" w:fill="000080"/>
    </w:pPr>
  </w:style>
  <w:style w:type="paragraph" w:styleId="15">
    <w:name w:val="annotation text"/>
    <w:basedOn w:val="1"/>
    <w:link w:val="70"/>
    <w:qFormat/>
    <w:uiPriority w:val="99"/>
    <w:pPr>
      <w:jc w:val="left"/>
    </w:pPr>
  </w:style>
  <w:style w:type="paragraph" w:styleId="16">
    <w:name w:val="Body Text 3"/>
    <w:basedOn w:val="1"/>
    <w:link w:val="71"/>
    <w:qFormat/>
    <w:uiPriority w:val="0"/>
    <w:pPr>
      <w:spacing w:after="120"/>
    </w:pPr>
    <w:rPr>
      <w:sz w:val="16"/>
      <w:szCs w:val="16"/>
    </w:rPr>
  </w:style>
  <w:style w:type="paragraph" w:styleId="17">
    <w:name w:val="Body Text"/>
    <w:basedOn w:val="1"/>
    <w:link w:val="72"/>
    <w:qFormat/>
    <w:uiPriority w:val="0"/>
    <w:pPr>
      <w:tabs>
        <w:tab w:val="left" w:pos="567"/>
      </w:tabs>
      <w:spacing w:before="120" w:line="22" w:lineRule="atLeast"/>
    </w:pPr>
    <w:rPr>
      <w:rFonts w:ascii="宋体" w:hAnsi="宋体"/>
      <w:sz w:val="24"/>
    </w:rPr>
  </w:style>
  <w:style w:type="paragraph" w:styleId="18">
    <w:name w:val="Body Text Indent"/>
    <w:basedOn w:val="1"/>
    <w:next w:val="1"/>
    <w:link w:val="73"/>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4"/>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5"/>
    <w:qFormat/>
    <w:uiPriority w:val="0"/>
    <w:pPr>
      <w:ind w:left="100" w:leftChars="2500"/>
    </w:pPr>
    <w:rPr>
      <w:rFonts w:ascii="仿宋_GB2312" w:hAnsi="宋体" w:eastAsia="仿宋_GB2312"/>
      <w:color w:val="000000"/>
      <w:sz w:val="24"/>
    </w:rPr>
  </w:style>
  <w:style w:type="paragraph" w:styleId="26">
    <w:name w:val="Body Text Indent 2"/>
    <w:basedOn w:val="1"/>
    <w:link w:val="58"/>
    <w:qFormat/>
    <w:uiPriority w:val="0"/>
    <w:pPr>
      <w:ind w:firstLine="480" w:firstLineChars="200"/>
    </w:pPr>
    <w:rPr>
      <w:rFonts w:ascii="仿宋_GB2312" w:eastAsia="仿宋_GB2312"/>
      <w:sz w:val="24"/>
    </w:rPr>
  </w:style>
  <w:style w:type="paragraph" w:styleId="27">
    <w:name w:val="Balloon Text"/>
    <w:basedOn w:val="1"/>
    <w:link w:val="76"/>
    <w:qFormat/>
    <w:uiPriority w:val="0"/>
    <w:rPr>
      <w:sz w:val="18"/>
      <w:szCs w:val="18"/>
    </w:rPr>
  </w:style>
  <w:style w:type="paragraph" w:styleId="28">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footnote text"/>
    <w:basedOn w:val="1"/>
    <w:next w:val="30"/>
    <w:unhideWhenUsed/>
    <w:qFormat/>
    <w:uiPriority w:val="0"/>
    <w:pPr>
      <w:snapToGrid w:val="0"/>
      <w:jc w:val="left"/>
    </w:pPr>
  </w:style>
  <w:style w:type="paragraph" w:styleId="34">
    <w:name w:val="toc 6"/>
    <w:basedOn w:val="1"/>
    <w:next w:val="1"/>
    <w:qFormat/>
    <w:uiPriority w:val="0"/>
    <w:pPr>
      <w:ind w:left="2100" w:leftChars="1000"/>
    </w:pPr>
  </w:style>
  <w:style w:type="paragraph" w:styleId="35">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qFormat/>
    <w:uiPriority w:val="0"/>
    <w:pPr>
      <w:spacing w:after="120" w:line="480" w:lineRule="auto"/>
    </w:pPr>
  </w:style>
  <w:style w:type="paragraph" w:styleId="4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1"/>
    <w:qFormat/>
    <w:uiPriority w:val="0"/>
    <w:pPr>
      <w:jc w:val="center"/>
      <w:outlineLvl w:val="0"/>
    </w:pPr>
    <w:rPr>
      <w:b/>
      <w:sz w:val="32"/>
      <w:szCs w:val="20"/>
    </w:rPr>
  </w:style>
  <w:style w:type="paragraph" w:styleId="44">
    <w:name w:val="annotation subject"/>
    <w:basedOn w:val="15"/>
    <w:next w:val="15"/>
    <w:link w:val="82"/>
    <w:qFormat/>
    <w:uiPriority w:val="0"/>
    <w:rPr>
      <w:b/>
      <w:bCs/>
    </w:rPr>
  </w:style>
  <w:style w:type="paragraph" w:styleId="45">
    <w:name w:val="Body Text First Indent"/>
    <w:basedOn w:val="17"/>
    <w:qFormat/>
    <w:uiPriority w:val="0"/>
    <w:pPr>
      <w:widowControl w:val="0"/>
      <w:ind w:firstLine="420"/>
      <w:jc w:val="both"/>
    </w:pPr>
    <w:rPr>
      <w:kern w:val="2"/>
      <w:sz w:val="21"/>
    </w:rPr>
  </w:style>
  <w:style w:type="paragraph" w:styleId="46">
    <w:name w:val="Body Text First Indent 2"/>
    <w:basedOn w:val="18"/>
    <w:link w:val="84"/>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basedOn w:val="50"/>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正文文本缩进 2 字符"/>
    <w:basedOn w:val="50"/>
    <w:link w:val="26"/>
    <w:qFormat/>
    <w:uiPriority w:val="0"/>
    <w:rPr>
      <w:rFonts w:ascii="仿宋_GB2312" w:eastAsia="仿宋_GB2312"/>
      <w:kern w:val="2"/>
      <w:sz w:val="24"/>
      <w:szCs w:val="24"/>
    </w:rPr>
  </w:style>
  <w:style w:type="character" w:customStyle="1" w:styleId="59">
    <w:name w:val="标题 1 字符"/>
    <w:basedOn w:val="50"/>
    <w:link w:val="2"/>
    <w:qFormat/>
    <w:uiPriority w:val="0"/>
    <w:rPr>
      <w:rFonts w:ascii="宋体"/>
      <w:b/>
      <w:kern w:val="44"/>
      <w:sz w:val="32"/>
    </w:rPr>
  </w:style>
  <w:style w:type="character" w:customStyle="1" w:styleId="60">
    <w:name w:val="标题 2 字符"/>
    <w:link w:val="3"/>
    <w:qFormat/>
    <w:uiPriority w:val="0"/>
    <w:rPr>
      <w:rFonts w:ascii="Arial" w:hAnsi="Arial" w:eastAsia="黑体"/>
      <w:b/>
      <w:sz w:val="30"/>
      <w:lang w:val="en-US" w:eastAsia="zh-CN" w:bidi="ar-SA"/>
    </w:rPr>
  </w:style>
  <w:style w:type="character" w:customStyle="1" w:styleId="61">
    <w:name w:val="正文缩进 字符"/>
    <w:link w:val="12"/>
    <w:qFormat/>
    <w:uiPriority w:val="0"/>
    <w:rPr>
      <w:rFonts w:ascii="宋体" w:eastAsia="宋体"/>
      <w:kern w:val="2"/>
      <w:sz w:val="24"/>
      <w:szCs w:val="24"/>
      <w:lang w:val="en-US" w:eastAsia="zh-CN" w:bidi="ar-SA"/>
    </w:rPr>
  </w:style>
  <w:style w:type="character" w:customStyle="1" w:styleId="62">
    <w:name w:val="标题 3 字符"/>
    <w:link w:val="4"/>
    <w:qFormat/>
    <w:uiPriority w:val="0"/>
    <w:rPr>
      <w:rFonts w:ascii="宋体" w:eastAsia="宋体"/>
      <w:b/>
      <w:sz w:val="24"/>
      <w:u w:val="single"/>
      <w:lang w:val="en-US" w:eastAsia="zh-CN" w:bidi="ar-SA"/>
    </w:rPr>
  </w:style>
  <w:style w:type="character" w:customStyle="1" w:styleId="63">
    <w:name w:val="标题 4 字符"/>
    <w:basedOn w:val="50"/>
    <w:link w:val="5"/>
    <w:qFormat/>
    <w:uiPriority w:val="0"/>
    <w:rPr>
      <w:rFonts w:ascii="Arial" w:hAnsi="Arial" w:eastAsia="黑体"/>
      <w:b/>
      <w:sz w:val="28"/>
    </w:rPr>
  </w:style>
  <w:style w:type="character" w:customStyle="1" w:styleId="64">
    <w:name w:val="标题 5 字符"/>
    <w:basedOn w:val="50"/>
    <w:link w:val="6"/>
    <w:qFormat/>
    <w:uiPriority w:val="0"/>
    <w:rPr>
      <w:b/>
      <w:sz w:val="28"/>
    </w:rPr>
  </w:style>
  <w:style w:type="character" w:customStyle="1" w:styleId="65">
    <w:name w:val="标题 6 字符"/>
    <w:basedOn w:val="50"/>
    <w:link w:val="7"/>
    <w:qFormat/>
    <w:uiPriority w:val="0"/>
    <w:rPr>
      <w:rFonts w:ascii="Arial" w:hAnsi="Arial" w:eastAsia="黑体"/>
      <w:b/>
      <w:sz w:val="24"/>
    </w:rPr>
  </w:style>
  <w:style w:type="character" w:customStyle="1" w:styleId="66">
    <w:name w:val="标题 7 字符"/>
    <w:basedOn w:val="50"/>
    <w:link w:val="8"/>
    <w:qFormat/>
    <w:uiPriority w:val="0"/>
    <w:rPr>
      <w:b/>
      <w:sz w:val="24"/>
    </w:rPr>
  </w:style>
  <w:style w:type="character" w:customStyle="1" w:styleId="67">
    <w:name w:val="标题 8 字符"/>
    <w:basedOn w:val="50"/>
    <w:link w:val="9"/>
    <w:qFormat/>
    <w:uiPriority w:val="0"/>
    <w:rPr>
      <w:rFonts w:ascii="Arial" w:hAnsi="Arial" w:eastAsia="黑体"/>
      <w:sz w:val="24"/>
    </w:rPr>
  </w:style>
  <w:style w:type="character" w:customStyle="1" w:styleId="68">
    <w:name w:val="标题 9 字符"/>
    <w:basedOn w:val="50"/>
    <w:link w:val="10"/>
    <w:qFormat/>
    <w:uiPriority w:val="0"/>
    <w:rPr>
      <w:rFonts w:ascii="Arial" w:hAnsi="Arial" w:eastAsia="黑体"/>
      <w:sz w:val="21"/>
    </w:rPr>
  </w:style>
  <w:style w:type="character" w:customStyle="1" w:styleId="69">
    <w:name w:val="文档结构图 字符"/>
    <w:basedOn w:val="50"/>
    <w:link w:val="14"/>
    <w:qFormat/>
    <w:uiPriority w:val="0"/>
    <w:rPr>
      <w:kern w:val="2"/>
      <w:sz w:val="21"/>
      <w:szCs w:val="24"/>
      <w:shd w:val="clear" w:color="auto" w:fill="000080"/>
    </w:rPr>
  </w:style>
  <w:style w:type="character" w:customStyle="1" w:styleId="70">
    <w:name w:val="批注文字 字符1"/>
    <w:link w:val="15"/>
    <w:qFormat/>
    <w:uiPriority w:val="99"/>
    <w:rPr>
      <w:kern w:val="2"/>
      <w:sz w:val="21"/>
      <w:szCs w:val="24"/>
    </w:rPr>
  </w:style>
  <w:style w:type="character" w:customStyle="1" w:styleId="71">
    <w:name w:val="正文文本 3 字符"/>
    <w:basedOn w:val="50"/>
    <w:link w:val="16"/>
    <w:qFormat/>
    <w:uiPriority w:val="0"/>
    <w:rPr>
      <w:kern w:val="2"/>
      <w:sz w:val="16"/>
      <w:szCs w:val="16"/>
    </w:rPr>
  </w:style>
  <w:style w:type="character" w:customStyle="1" w:styleId="72">
    <w:name w:val="正文文本 字符"/>
    <w:basedOn w:val="50"/>
    <w:link w:val="17"/>
    <w:qFormat/>
    <w:uiPriority w:val="0"/>
    <w:rPr>
      <w:rFonts w:ascii="宋体" w:hAnsi="宋体"/>
      <w:kern w:val="2"/>
      <w:sz w:val="24"/>
      <w:szCs w:val="24"/>
    </w:rPr>
  </w:style>
  <w:style w:type="character" w:customStyle="1" w:styleId="73">
    <w:name w:val="正文文本缩进 字符"/>
    <w:link w:val="18"/>
    <w:qFormat/>
    <w:uiPriority w:val="0"/>
    <w:rPr>
      <w:rFonts w:eastAsia="宋体"/>
      <w:kern w:val="2"/>
      <w:sz w:val="24"/>
      <w:szCs w:val="24"/>
      <w:lang w:val="en-US" w:eastAsia="zh-CN" w:bidi="ar-SA"/>
    </w:rPr>
  </w:style>
  <w:style w:type="character" w:customStyle="1" w:styleId="74">
    <w:name w:val="纯文本 字符2"/>
    <w:basedOn w:val="50"/>
    <w:link w:val="23"/>
    <w:qFormat/>
    <w:uiPriority w:val="0"/>
    <w:rPr>
      <w:rFonts w:hint="eastAsia" w:ascii="宋体" w:hAnsi="Courier New" w:eastAsia="宋体" w:cs="宋体"/>
      <w:kern w:val="2"/>
      <w:sz w:val="21"/>
    </w:rPr>
  </w:style>
  <w:style w:type="character" w:customStyle="1" w:styleId="75">
    <w:name w:val="日期 字符"/>
    <w:basedOn w:val="50"/>
    <w:link w:val="25"/>
    <w:qFormat/>
    <w:uiPriority w:val="0"/>
    <w:rPr>
      <w:rFonts w:ascii="仿宋_GB2312" w:hAnsi="宋体" w:eastAsia="仿宋_GB2312"/>
      <w:color w:val="000000"/>
      <w:kern w:val="2"/>
      <w:sz w:val="24"/>
      <w:szCs w:val="24"/>
    </w:rPr>
  </w:style>
  <w:style w:type="character" w:customStyle="1" w:styleId="76">
    <w:name w:val="批注框文本 字符"/>
    <w:basedOn w:val="50"/>
    <w:link w:val="27"/>
    <w:qFormat/>
    <w:uiPriority w:val="0"/>
    <w:rPr>
      <w:kern w:val="2"/>
      <w:sz w:val="18"/>
      <w:szCs w:val="18"/>
    </w:rPr>
  </w:style>
  <w:style w:type="character" w:customStyle="1" w:styleId="77">
    <w:name w:val="页脚 字符"/>
    <w:link w:val="28"/>
    <w:qFormat/>
    <w:uiPriority w:val="99"/>
    <w:rPr>
      <w:rFonts w:ascii="宋体" w:eastAsia="宋体"/>
      <w:sz w:val="18"/>
      <w:lang w:val="en-US" w:eastAsia="zh-CN" w:bidi="ar-SA"/>
    </w:rPr>
  </w:style>
  <w:style w:type="character" w:customStyle="1" w:styleId="78">
    <w:name w:val="页眉 字符"/>
    <w:link w:val="30"/>
    <w:qFormat/>
    <w:uiPriority w:val="0"/>
    <w:rPr>
      <w:rFonts w:eastAsia="宋体"/>
      <w:kern w:val="2"/>
      <w:sz w:val="18"/>
      <w:szCs w:val="18"/>
      <w:lang w:val="en-US" w:eastAsia="zh-CN" w:bidi="ar-SA"/>
    </w:rPr>
  </w:style>
  <w:style w:type="character" w:customStyle="1" w:styleId="79">
    <w:name w:val="正文文本缩进 3 字符"/>
    <w:basedOn w:val="50"/>
    <w:link w:val="35"/>
    <w:qFormat/>
    <w:uiPriority w:val="0"/>
    <w:rPr>
      <w:rFonts w:ascii="宋体"/>
      <w:sz w:val="24"/>
    </w:rPr>
  </w:style>
  <w:style w:type="character" w:customStyle="1" w:styleId="80">
    <w:name w:val="HTML 预设格式 字符"/>
    <w:basedOn w:val="50"/>
    <w:link w:val="40"/>
    <w:qFormat/>
    <w:uiPriority w:val="0"/>
    <w:rPr>
      <w:rFonts w:ascii="宋体" w:hAnsi="宋体" w:cs="宋体"/>
      <w:sz w:val="24"/>
      <w:szCs w:val="24"/>
    </w:rPr>
  </w:style>
  <w:style w:type="character" w:customStyle="1" w:styleId="81">
    <w:name w:val="标题 字符"/>
    <w:link w:val="43"/>
    <w:qFormat/>
    <w:uiPriority w:val="0"/>
    <w:rPr>
      <w:b/>
      <w:kern w:val="2"/>
      <w:sz w:val="32"/>
    </w:rPr>
  </w:style>
  <w:style w:type="character" w:customStyle="1" w:styleId="82">
    <w:name w:val="批注主题 字符"/>
    <w:basedOn w:val="83"/>
    <w:link w:val="44"/>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首行缩进 2 字符"/>
    <w:basedOn w:val="73"/>
    <w:link w:val="46"/>
    <w:qFormat/>
    <w:uiPriority w:val="0"/>
    <w:rPr>
      <w:rFonts w:eastAsia="宋体"/>
      <w:kern w:val="2"/>
      <w:sz w:val="24"/>
      <w:szCs w:val="24"/>
      <w:lang w:val="en-US" w:eastAsia="zh-CN" w:bidi="ar-SA"/>
    </w:rPr>
  </w:style>
  <w:style w:type="character" w:customStyle="1" w:styleId="85">
    <w:name w:val="页脚 Char"/>
    <w:qFormat/>
    <w:uiPriority w:val="0"/>
    <w:rPr>
      <w:rFonts w:ascii="宋体" w:eastAsia="宋体"/>
      <w:sz w:val="18"/>
      <w:lang w:val="en-US" w:eastAsia="zh-CN" w:bidi="ar-SA"/>
    </w:rPr>
  </w:style>
  <w:style w:type="character" w:customStyle="1" w:styleId="86">
    <w:name w:val="正文大标题 Char"/>
    <w:link w:val="87"/>
    <w:qFormat/>
    <w:uiPriority w:val="0"/>
    <w:rPr>
      <w:rFonts w:ascii="宋体" w:hAnsi="宋体"/>
      <w:b/>
      <w:color w:val="000000"/>
      <w:kern w:val="2"/>
      <w:sz w:val="28"/>
      <w:szCs w:val="21"/>
    </w:rPr>
  </w:style>
  <w:style w:type="paragraph" w:customStyle="1" w:styleId="87">
    <w:name w:val="正文大标题"/>
    <w:basedOn w:val="88"/>
    <w:next w:val="12"/>
    <w:link w:val="86"/>
    <w:qFormat/>
    <w:uiPriority w:val="0"/>
    <w:pPr>
      <w:jc w:val="center"/>
    </w:pPr>
    <w:rPr>
      <w:i w:val="0"/>
      <w:color w:val="000000"/>
      <w:sz w:val="28"/>
      <w:szCs w:val="21"/>
    </w:rPr>
  </w:style>
  <w:style w:type="paragraph" w:customStyle="1" w:styleId="88">
    <w:name w:val="正文小标题"/>
    <w:basedOn w:val="1"/>
    <w:next w:val="12"/>
    <w:link w:val="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9">
    <w:name w:val="正文小标题 Char"/>
    <w:link w:val="88"/>
    <w:qFormat/>
    <w:uiPriority w:val="0"/>
    <w:rPr>
      <w:rFonts w:ascii="宋体" w:hAnsi="宋体"/>
      <w:b/>
      <w:i/>
      <w:color w:val="FF0000"/>
      <w:kern w:val="2"/>
      <w:sz w:val="24"/>
    </w:rPr>
  </w:style>
  <w:style w:type="character" w:customStyle="1" w:styleId="90">
    <w:name w:val="正文重点 Char"/>
    <w:link w:val="91"/>
    <w:qFormat/>
    <w:uiPriority w:val="0"/>
    <w:rPr>
      <w:b/>
      <w:sz w:val="24"/>
    </w:rPr>
  </w:style>
  <w:style w:type="paragraph" w:customStyle="1" w:styleId="91">
    <w:name w:val="正文重点"/>
    <w:basedOn w:val="1"/>
    <w:link w:val="90"/>
    <w:qFormat/>
    <w:uiPriority w:val="0"/>
    <w:pPr>
      <w:adjustRightInd w:val="0"/>
      <w:spacing w:line="360" w:lineRule="auto"/>
      <w:ind w:firstLine="482" w:firstLineChars="200"/>
      <w:jc w:val="left"/>
      <w:textAlignment w:val="baseline"/>
    </w:pPr>
    <w:rPr>
      <w:b/>
      <w:kern w:val="0"/>
      <w:sz w:val="24"/>
      <w:szCs w:val="20"/>
    </w:rPr>
  </w:style>
  <w:style w:type="character" w:customStyle="1" w:styleId="92">
    <w:name w:val="段1 Char"/>
    <w:qFormat/>
    <w:uiPriority w:val="0"/>
    <w:rPr>
      <w:rFonts w:ascii="宋体" w:eastAsia="宋体"/>
      <w:sz w:val="24"/>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标题 2 Char"/>
    <w:qFormat/>
    <w:uiPriority w:val="0"/>
    <w:rPr>
      <w:rFonts w:ascii="Arial" w:hAnsi="Arial" w:eastAsia="黑体"/>
      <w:b/>
      <w:sz w:val="30"/>
      <w:lang w:val="en-US" w:eastAsia="zh-CN" w:bidi="ar-SA"/>
    </w:rPr>
  </w:style>
  <w:style w:type="character" w:customStyle="1" w:styleId="95">
    <w:name w:val="标题 3 Char"/>
    <w:qFormat/>
    <w:uiPriority w:val="0"/>
    <w:rPr>
      <w:rFonts w:ascii="宋体" w:eastAsia="宋体"/>
      <w:b/>
      <w:sz w:val="24"/>
      <w:u w:val="single"/>
      <w:lang w:val="en-US" w:eastAsia="zh-CN" w:bidi="ar-SA"/>
    </w:rPr>
  </w:style>
  <w:style w:type="character" w:customStyle="1" w:styleId="96">
    <w:name w:val="apple-style-span"/>
    <w:qFormat/>
    <w:uiPriority w:val="0"/>
    <w:rPr>
      <w:rFonts w:cs="Times New Roman"/>
    </w:rPr>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txt"/>
    <w:basedOn w:val="50"/>
    <w:qFormat/>
    <w:uiPriority w:val="0"/>
  </w:style>
  <w:style w:type="character" w:customStyle="1" w:styleId="100">
    <w:name w:val="font151"/>
    <w:basedOn w:val="50"/>
    <w:qFormat/>
    <w:uiPriority w:val="0"/>
    <w:rPr>
      <w:rFonts w:hint="eastAsia" w:ascii="宋体" w:hAnsi="宋体" w:eastAsia="宋体" w:cs="宋体"/>
      <w:color w:val="000000"/>
      <w:sz w:val="18"/>
      <w:szCs w:val="18"/>
      <w:u w:val="none"/>
    </w:rPr>
  </w:style>
  <w:style w:type="character" w:customStyle="1" w:styleId="101">
    <w:name w:val="列出段落 Char"/>
    <w:qFormat/>
    <w:uiPriority w:val="0"/>
    <w:rPr>
      <w:rFonts w:ascii="Calibri" w:hAnsi="Calibri" w:eastAsia="宋体"/>
      <w:kern w:val="2"/>
      <w:sz w:val="21"/>
      <w:szCs w:val="22"/>
      <w:lang w:val="en-US" w:eastAsia="zh-CN" w:bidi="ar-SA"/>
    </w:rPr>
  </w:style>
  <w:style w:type="character" w:customStyle="1" w:styleId="102">
    <w:name w:val="正文文本缩进 Char"/>
    <w:qFormat/>
    <w:uiPriority w:val="0"/>
    <w:rPr>
      <w:rFonts w:eastAsia="宋体"/>
      <w:kern w:val="2"/>
      <w:sz w:val="24"/>
      <w:szCs w:val="24"/>
      <w:lang w:val="en-US" w:eastAsia="zh-CN" w:bidi="ar-SA"/>
    </w:rPr>
  </w:style>
  <w:style w:type="character" w:customStyle="1" w:styleId="103">
    <w:name w:val="纯文本 字符1"/>
    <w:qFormat/>
    <w:uiPriority w:val="0"/>
    <w:rPr>
      <w:rFonts w:ascii="宋体" w:hAnsi="Courier New"/>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Char Char11"/>
    <w:qFormat/>
    <w:uiPriority w:val="0"/>
    <w:rPr>
      <w:rFonts w:ascii="宋体" w:eastAsia="宋体"/>
      <w:b/>
      <w:sz w:val="24"/>
      <w:u w:val="single"/>
      <w:lang w:val="en-US" w:eastAsia="zh-CN" w:bidi="ar-SA"/>
    </w:rPr>
  </w:style>
  <w:style w:type="character" w:customStyle="1" w:styleId="106">
    <w:name w:val="c21"/>
    <w:qFormat/>
    <w:uiPriority w:val="0"/>
    <w:rPr>
      <w:rFonts w:hint="default" w:ascii="ˎ̥" w:hAnsi="ˎ̥"/>
      <w:color w:val="000000"/>
      <w:sz w:val="20"/>
      <w:szCs w:val="20"/>
      <w:u w:val="none"/>
    </w:rPr>
  </w:style>
  <w:style w:type="character" w:customStyle="1" w:styleId="107">
    <w:name w:val="font41"/>
    <w:basedOn w:val="50"/>
    <w:qFormat/>
    <w:uiPriority w:val="0"/>
    <w:rPr>
      <w:rFonts w:hint="eastAsia" w:ascii="宋体" w:hAnsi="宋体" w:eastAsia="宋体" w:cs="宋体"/>
      <w:color w:val="000000"/>
      <w:sz w:val="18"/>
      <w:szCs w:val="18"/>
      <w:u w:val="none"/>
    </w:rPr>
  </w:style>
  <w:style w:type="character" w:customStyle="1" w:styleId="108">
    <w:name w:val="页眉 Char"/>
    <w:qFormat/>
    <w:uiPriority w:val="0"/>
    <w:rPr>
      <w:rFonts w:eastAsia="宋体"/>
      <w:kern w:val="2"/>
      <w:sz w:val="18"/>
      <w:szCs w:val="18"/>
      <w:lang w:val="en-US" w:eastAsia="zh-CN" w:bidi="ar-SA"/>
    </w:rPr>
  </w:style>
  <w:style w:type="character" w:customStyle="1" w:styleId="109">
    <w:name w:val="纯文本 字符"/>
    <w:qFormat/>
    <w:uiPriority w:val="99"/>
    <w:rPr>
      <w:rFonts w:ascii="宋体" w:hAnsi="Courier New" w:eastAsia="宋体" w:cs="Times New Roman"/>
      <w:kern w:val="2"/>
      <w:sz w:val="21"/>
      <w:szCs w:val="21"/>
      <w:lang w:val="en-US" w:eastAsia="zh-CN" w:bidi="ar-SA"/>
    </w:rPr>
  </w:style>
  <w:style w:type="character" w:customStyle="1" w:styleId="110">
    <w:name w:val="列出段落 字符"/>
    <w:link w:val="111"/>
    <w:qFormat/>
    <w:uiPriority w:val="34"/>
    <w:rPr>
      <w:rFonts w:ascii="Calibri" w:hAnsi="Calibri" w:eastAsia="宋体"/>
      <w:kern w:val="2"/>
      <w:sz w:val="21"/>
      <w:szCs w:val="22"/>
      <w:lang w:val="en-US" w:eastAsia="zh-CN" w:bidi="ar-SA"/>
    </w:rPr>
  </w:style>
  <w:style w:type="paragraph" w:styleId="111">
    <w:name w:val="List Paragraph"/>
    <w:basedOn w:val="1"/>
    <w:link w:val="110"/>
    <w:qFormat/>
    <w:uiPriority w:val="34"/>
    <w:pPr>
      <w:ind w:firstLine="420" w:firstLineChars="200"/>
    </w:pPr>
    <w:rPr>
      <w:rFonts w:ascii="Calibri" w:hAnsi="Calibri"/>
      <w:szCs w:val="22"/>
    </w:rPr>
  </w:style>
  <w:style w:type="character" w:customStyle="1" w:styleId="112">
    <w:name w:val="locality"/>
    <w:basedOn w:val="50"/>
    <w:qFormat/>
    <w:uiPriority w:val="0"/>
  </w:style>
  <w:style w:type="character" w:customStyle="1" w:styleId="113">
    <w:name w:val="font11"/>
    <w:basedOn w:val="50"/>
    <w:qFormat/>
    <w:uiPriority w:val="0"/>
    <w:rPr>
      <w:rFonts w:hint="eastAsia" w:ascii="宋体" w:hAnsi="宋体" w:eastAsia="宋体" w:cs="宋体"/>
      <w:color w:val="000000"/>
      <w:sz w:val="20"/>
      <w:szCs w:val="20"/>
      <w:u w:val="none"/>
    </w:rPr>
  </w:style>
  <w:style w:type="character" w:customStyle="1" w:styleId="114">
    <w:name w:val="标题 Char"/>
    <w:qFormat/>
    <w:uiPriority w:val="0"/>
    <w:rPr>
      <w:b/>
      <w:kern w:val="2"/>
      <w:sz w:val="32"/>
    </w:rPr>
  </w:style>
  <w:style w:type="character" w:customStyle="1" w:styleId="115">
    <w:name w:val="Char Char111"/>
    <w:qFormat/>
    <w:uiPriority w:val="0"/>
    <w:rPr>
      <w:rFonts w:ascii="宋体" w:eastAsia="宋体"/>
      <w:b/>
      <w:sz w:val="24"/>
      <w:u w:val="single"/>
      <w:lang w:val="en-US" w:eastAsia="zh-CN" w:bidi="ar-SA"/>
    </w:rPr>
  </w:style>
  <w:style w:type="character" w:customStyle="1" w:styleId="116">
    <w:name w:val="bjh-p"/>
    <w:qFormat/>
    <w:uiPriority w:val="0"/>
  </w:style>
  <w:style w:type="character" w:customStyle="1" w:styleId="117">
    <w:name w:val="纯文本 Char1"/>
    <w:qFormat/>
    <w:uiPriority w:val="0"/>
    <w:rPr>
      <w:rFonts w:ascii="宋体" w:hAnsi="Courier New" w:eastAsia="宋体"/>
      <w:kern w:val="2"/>
      <w:sz w:val="21"/>
      <w:lang w:val="en-US" w:eastAsia="zh-CN" w:bidi="ar-SA"/>
    </w:rPr>
  </w:style>
  <w:style w:type="character" w:customStyle="1" w:styleId="118">
    <w:name w:val="普通文字1 Char1"/>
    <w:qFormat/>
    <w:uiPriority w:val="0"/>
    <w:rPr>
      <w:rFonts w:ascii="宋体" w:hAnsi="Courier New" w:eastAsia="宋体"/>
      <w:kern w:val="2"/>
      <w:sz w:val="21"/>
      <w:lang w:val="en-US" w:eastAsia="zh-CN" w:bidi="ar-SA"/>
    </w:rPr>
  </w:style>
  <w:style w:type="character" w:customStyle="1" w:styleId="119">
    <w:name w:val="正文表格 Char"/>
    <w:link w:val="120"/>
    <w:qFormat/>
    <w:uiPriority w:val="0"/>
    <w:rPr>
      <w:rFonts w:ascii="宋体" w:hAnsi="宋体"/>
      <w:color w:val="000000"/>
      <w:kern w:val="2"/>
      <w:sz w:val="21"/>
      <w:szCs w:val="21"/>
    </w:rPr>
  </w:style>
  <w:style w:type="paragraph" w:customStyle="1" w:styleId="120">
    <w:name w:val="正文表格"/>
    <w:basedOn w:val="1"/>
    <w:link w:val="119"/>
    <w:qFormat/>
    <w:uiPriority w:val="0"/>
    <w:pPr>
      <w:adjustRightInd w:val="0"/>
      <w:snapToGrid w:val="0"/>
      <w:jc w:val="left"/>
    </w:pPr>
    <w:rPr>
      <w:rFonts w:ascii="宋体" w:hAnsi="宋体"/>
      <w:color w:val="000000"/>
      <w:szCs w:val="21"/>
    </w:rPr>
  </w:style>
  <w:style w:type="character" w:customStyle="1" w:styleId="121">
    <w:name w:val="中等深浅网格 1 - 强调文字颜色 2 Char"/>
    <w:link w:val="122"/>
    <w:qFormat/>
    <w:uiPriority w:val="0"/>
    <w:rPr>
      <w:kern w:val="2"/>
      <w:sz w:val="21"/>
      <w:szCs w:val="24"/>
      <w:lang w:val="zh-CN" w:eastAsia="zh-CN"/>
    </w:rPr>
  </w:style>
  <w:style w:type="paragraph" w:customStyle="1" w:styleId="122">
    <w:name w:val="1"/>
    <w:link w:val="121"/>
    <w:qFormat/>
    <w:uiPriority w:val="0"/>
    <w:rPr>
      <w:rFonts w:ascii="Times New Roman" w:hAnsi="Times New Roman" w:eastAsia="宋体" w:cs="Times New Roman"/>
      <w:kern w:val="2"/>
      <w:sz w:val="21"/>
      <w:szCs w:val="24"/>
      <w:lang w:val="zh-CN" w:eastAsia="zh-CN" w:bidi="ar-SA"/>
    </w:rPr>
  </w:style>
  <w:style w:type="character" w:customStyle="1" w:styleId="123">
    <w:name w:val="chanpin拷贝"/>
    <w:basedOn w:val="50"/>
    <w:qFormat/>
    <w:uiPriority w:val="0"/>
  </w:style>
  <w:style w:type="character" w:customStyle="1" w:styleId="124">
    <w:name w:val="标题 2 Char Char"/>
    <w:qFormat/>
    <w:uiPriority w:val="0"/>
    <w:rPr>
      <w:rFonts w:ascii="Arial" w:hAnsi="Arial" w:eastAsia="黑体"/>
      <w:b/>
      <w:bCs/>
      <w:kern w:val="2"/>
      <w:sz w:val="32"/>
      <w:szCs w:val="32"/>
      <w:lang w:val="en-US" w:eastAsia="zh-CN" w:bidi="ar-SA"/>
    </w:rPr>
  </w:style>
  <w:style w:type="character" w:customStyle="1" w:styleId="125">
    <w:name w:val="批注文字 Char"/>
    <w:qFormat/>
    <w:uiPriority w:val="99"/>
    <w:rPr>
      <w:kern w:val="2"/>
      <w:sz w:val="21"/>
      <w:szCs w:val="24"/>
    </w:rPr>
  </w:style>
  <w:style w:type="character" w:customStyle="1" w:styleId="126">
    <w:name w:val="正文格式 Char"/>
    <w:link w:val="127"/>
    <w:qFormat/>
    <w:locked/>
    <w:uiPriority w:val="0"/>
    <w:rPr>
      <w:rFonts w:ascii="宋体" w:hAnsi="宋体"/>
      <w:sz w:val="24"/>
      <w:szCs w:val="24"/>
      <w:lang w:val="en-GB"/>
    </w:rPr>
  </w:style>
  <w:style w:type="paragraph" w:customStyle="1" w:styleId="127">
    <w:name w:val="正文格式"/>
    <w:basedOn w:val="1"/>
    <w:link w:val="126"/>
    <w:qFormat/>
    <w:uiPriority w:val="0"/>
    <w:pPr>
      <w:spacing w:beforeLines="50" w:line="360" w:lineRule="auto"/>
      <w:ind w:firstLine="480" w:firstLineChars="200"/>
    </w:pPr>
    <w:rPr>
      <w:rFonts w:ascii="宋体" w:hAnsi="宋体"/>
      <w:kern w:val="0"/>
      <w:sz w:val="24"/>
      <w:lang w:val="en-GB"/>
    </w:rPr>
  </w:style>
  <w:style w:type="character" w:customStyle="1" w:styleId="128">
    <w:name w:val="street-address"/>
    <w:basedOn w:val="50"/>
    <w:qFormat/>
    <w:uiPriority w:val="0"/>
  </w:style>
  <w:style w:type="character" w:customStyle="1" w:styleId="129">
    <w:name w:val="title4"/>
    <w:qFormat/>
    <w:uiPriority w:val="0"/>
    <w:rPr>
      <w:b/>
      <w:bCs/>
      <w:color w:val="1D87B3"/>
      <w:sz w:val="15"/>
      <w:szCs w:val="15"/>
    </w:rPr>
  </w:style>
  <w:style w:type="character" w:customStyle="1" w:styleId="130">
    <w:name w:val="正文缩进 Char"/>
    <w:qFormat/>
    <w:uiPriority w:val="0"/>
    <w:rPr>
      <w:rFonts w:ascii="宋体" w:eastAsia="宋体"/>
      <w:kern w:val="2"/>
      <w:sz w:val="24"/>
      <w:szCs w:val="24"/>
      <w:lang w:val="en-US" w:eastAsia="zh-CN" w:bidi="ar-SA"/>
    </w:rPr>
  </w:style>
  <w:style w:type="character" w:customStyle="1" w:styleId="131">
    <w:name w:val="注释 Char"/>
    <w:link w:val="132"/>
    <w:qFormat/>
    <w:uiPriority w:val="0"/>
    <w:rPr>
      <w:rFonts w:ascii="宋体" w:hAnsi="宋体"/>
      <w:kern w:val="2"/>
      <w:sz w:val="21"/>
      <w:szCs w:val="21"/>
    </w:rPr>
  </w:style>
  <w:style w:type="paragraph" w:customStyle="1" w:styleId="132">
    <w:name w:val="注释"/>
    <w:basedOn w:val="1"/>
    <w:link w:val="131"/>
    <w:qFormat/>
    <w:uiPriority w:val="0"/>
    <w:pPr>
      <w:adjustRightInd w:val="0"/>
      <w:snapToGrid w:val="0"/>
      <w:ind w:left="420" w:hanging="420" w:hangingChars="200"/>
      <w:jc w:val="left"/>
    </w:pPr>
    <w:rPr>
      <w:rFonts w:ascii="宋体" w:hAnsi="宋体"/>
      <w:szCs w:val="21"/>
    </w:rPr>
  </w:style>
  <w:style w:type="character" w:customStyle="1" w:styleId="133">
    <w:name w:val="正文文本缩进 Char1"/>
    <w:link w:val="134"/>
    <w:qFormat/>
    <w:uiPriority w:val="0"/>
    <w:rPr>
      <w:rFonts w:ascii="宋体" w:hAnsi="宋体" w:eastAsia="宋体"/>
      <w:sz w:val="24"/>
      <w:szCs w:val="24"/>
      <w:lang w:bidi="ar-SA"/>
    </w:rPr>
  </w:style>
  <w:style w:type="paragraph" w:customStyle="1" w:styleId="134">
    <w:name w:val="正文文本缩进1"/>
    <w:basedOn w:val="1"/>
    <w:link w:val="133"/>
    <w:qFormat/>
    <w:uiPriority w:val="0"/>
    <w:pPr>
      <w:spacing w:line="480" w:lineRule="exact"/>
      <w:ind w:firstLine="480" w:firstLineChars="200"/>
    </w:pPr>
    <w:rPr>
      <w:rFonts w:ascii="宋体" w:hAnsi="宋体"/>
      <w:kern w:val="0"/>
      <w:sz w:val="24"/>
    </w:rPr>
  </w:style>
  <w:style w:type="character" w:customStyle="1" w:styleId="135">
    <w:name w:val="black1"/>
    <w:qFormat/>
    <w:uiPriority w:val="0"/>
    <w:rPr>
      <w:color w:val="000000"/>
    </w:rPr>
  </w:style>
  <w:style w:type="paragraph" w:customStyle="1" w:styleId="136">
    <w:name w:val="图例"/>
    <w:basedOn w:val="1"/>
    <w:qFormat/>
    <w:uiPriority w:val="0"/>
    <w:pPr>
      <w:spacing w:before="120" w:after="120" w:line="360" w:lineRule="auto"/>
      <w:jc w:val="center"/>
    </w:pPr>
    <w:rPr>
      <w:rFonts w:eastAsia="仿宋_GB2312"/>
      <w:b/>
      <w:sz w:val="24"/>
      <w:szCs w:val="20"/>
    </w:rPr>
  </w:style>
  <w:style w:type="paragraph" w:customStyle="1" w:styleId="137">
    <w:name w:val="Char3 Char Char Char2"/>
    <w:basedOn w:val="1"/>
    <w:qFormat/>
    <w:uiPriority w:val="0"/>
    <w:rPr>
      <w:rFonts w:ascii="Tahoma" w:hAnsi="Tahoma"/>
      <w:sz w:val="24"/>
      <w:szCs w:val="20"/>
    </w:rPr>
  </w:style>
  <w:style w:type="paragraph" w:customStyle="1" w:styleId="138">
    <w:name w:val="表格1"/>
    <w:basedOn w:val="1"/>
    <w:qFormat/>
    <w:uiPriority w:val="0"/>
    <w:pPr>
      <w:ind w:firstLine="480" w:firstLineChars="200"/>
      <w:jc w:val="center"/>
    </w:pPr>
    <w:rPr>
      <w:sz w:val="24"/>
      <w:szCs w:val="20"/>
    </w:rPr>
  </w:style>
  <w:style w:type="paragraph" w:customStyle="1" w:styleId="139">
    <w:name w:val="标题1-附件"/>
    <w:basedOn w:val="2"/>
    <w:qFormat/>
    <w:uiPriority w:val="0"/>
    <w:pPr>
      <w:jc w:val="left"/>
    </w:pPr>
    <w:rPr>
      <w:sz w:val="24"/>
      <w:szCs w:val="24"/>
    </w:rPr>
  </w:style>
  <w:style w:type="paragraph" w:customStyle="1" w:styleId="14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41">
    <w:name w:val="字元 字元1"/>
    <w:basedOn w:val="1"/>
    <w:qFormat/>
    <w:uiPriority w:val="0"/>
    <w:rPr>
      <w:rFonts w:ascii="Tahoma" w:hAnsi="Tahoma"/>
      <w:sz w:val="24"/>
      <w:szCs w:val="20"/>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样式2"/>
    <w:basedOn w:val="42"/>
    <w:qFormat/>
    <w:uiPriority w:val="0"/>
    <w:pPr>
      <w:spacing w:line="360" w:lineRule="auto"/>
      <w:jc w:val="center"/>
    </w:pPr>
    <w:rPr>
      <w:sz w:val="24"/>
    </w:rPr>
  </w:style>
  <w:style w:type="paragraph" w:customStyle="1" w:styleId="14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8">
    <w:name w:val="Char Char Char1 Char"/>
    <w:basedOn w:val="1"/>
    <w:qFormat/>
    <w:uiPriority w:val="0"/>
    <w:rPr>
      <w:rFonts w:ascii="Tahoma" w:hAnsi="Tahoma"/>
      <w:sz w:val="24"/>
      <w:szCs w:val="20"/>
    </w:rPr>
  </w:style>
  <w:style w:type="paragraph" w:customStyle="1" w:styleId="1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5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图中文字"/>
    <w:basedOn w:val="1"/>
    <w:qFormat/>
    <w:uiPriority w:val="0"/>
    <w:pPr>
      <w:adjustRightInd w:val="0"/>
      <w:snapToGrid w:val="0"/>
      <w:spacing w:line="0" w:lineRule="atLeast"/>
      <w:jc w:val="center"/>
    </w:pPr>
    <w:rPr>
      <w:sz w:val="24"/>
      <w:szCs w:val="20"/>
    </w:rPr>
  </w:style>
  <w:style w:type="paragraph" w:customStyle="1" w:styleId="15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5">
    <w:name w:val="Char Char41"/>
    <w:basedOn w:val="1"/>
    <w:qFormat/>
    <w:uiPriority w:val="0"/>
    <w:pPr>
      <w:widowControl/>
      <w:spacing w:line="400" w:lineRule="exact"/>
      <w:jc w:val="center"/>
    </w:pPr>
  </w:style>
  <w:style w:type="paragraph" w:customStyle="1" w:styleId="156">
    <w:name w:val="Char Char Char1 Char2"/>
    <w:basedOn w:val="1"/>
    <w:qFormat/>
    <w:uiPriority w:val="0"/>
    <w:rPr>
      <w:rFonts w:ascii="Tahoma" w:hAnsi="Tahoma"/>
      <w:sz w:val="24"/>
      <w:szCs w:val="20"/>
    </w:rPr>
  </w:style>
  <w:style w:type="paragraph" w:customStyle="1" w:styleId="15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8">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159">
    <w:name w:val="Char Char4"/>
    <w:basedOn w:val="1"/>
    <w:qFormat/>
    <w:uiPriority w:val="0"/>
    <w:pPr>
      <w:widowControl/>
      <w:spacing w:line="400" w:lineRule="exact"/>
      <w:jc w:val="center"/>
    </w:pPr>
  </w:style>
  <w:style w:type="paragraph" w:customStyle="1" w:styleId="160">
    <w:name w:val="Char21"/>
    <w:basedOn w:val="1"/>
    <w:qFormat/>
    <w:uiPriority w:val="0"/>
    <w:rPr>
      <w:rFonts w:ascii="Tahoma" w:hAnsi="Tahoma"/>
      <w:sz w:val="24"/>
      <w:szCs w:val="20"/>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三级条标题"/>
    <w:basedOn w:val="165"/>
    <w:next w:val="1"/>
    <w:qFormat/>
    <w:uiPriority w:val="0"/>
    <w:pPr>
      <w:numPr>
        <w:ilvl w:val="3"/>
        <w:numId w:val="1"/>
      </w:numPr>
      <w:tabs>
        <w:tab w:val="left" w:pos="360"/>
        <w:tab w:val="left" w:pos="840"/>
      </w:tabs>
      <w:ind w:left="0" w:hanging="840"/>
      <w:outlineLvl w:val="3"/>
    </w:pPr>
  </w:style>
  <w:style w:type="paragraph" w:customStyle="1" w:styleId="165">
    <w:name w:val="二级条标题"/>
    <w:basedOn w:val="16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66">
    <w:name w:val="一级条标题"/>
    <w:basedOn w:val="154"/>
    <w:next w:val="1"/>
    <w:qFormat/>
    <w:uiPriority w:val="0"/>
    <w:pPr>
      <w:numPr>
        <w:ilvl w:val="1"/>
      </w:numPr>
      <w:tabs>
        <w:tab w:val="left" w:pos="360"/>
        <w:tab w:val="left" w:pos="840"/>
      </w:tabs>
      <w:ind w:left="0" w:hanging="840"/>
      <w:outlineLvl w:val="1"/>
    </w:pPr>
  </w:style>
  <w:style w:type="paragraph" w:customStyle="1" w:styleId="16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8">
    <w:name w:val="Char2 Char Char Char Char Char Char1"/>
    <w:basedOn w:val="1"/>
    <w:qFormat/>
    <w:uiPriority w:val="0"/>
    <w:pPr>
      <w:widowControl/>
      <w:spacing w:line="400" w:lineRule="exact"/>
      <w:jc w:val="center"/>
    </w:pPr>
  </w:style>
  <w:style w:type="paragraph" w:customStyle="1" w:styleId="169">
    <w:name w:val="Char Char Char Char Char Char Char Char Char Char2"/>
    <w:basedOn w:val="1"/>
    <w:qFormat/>
    <w:uiPriority w:val="0"/>
    <w:rPr>
      <w:rFonts w:ascii="宋体" w:hAnsi="宋体" w:cs="Courier New"/>
      <w:sz w:val="32"/>
      <w:szCs w:val="32"/>
    </w:rPr>
  </w:style>
  <w:style w:type="paragraph" w:customStyle="1" w:styleId="170">
    <w:name w:val="Revision"/>
    <w:qFormat/>
    <w:uiPriority w:val="0"/>
    <w:rPr>
      <w:rFonts w:ascii="Times New Roman" w:hAnsi="Times New Roman" w:eastAsia="宋体" w:cs="Times New Roman"/>
      <w:kern w:val="2"/>
      <w:sz w:val="21"/>
      <w:szCs w:val="24"/>
      <w:lang w:val="en-US" w:eastAsia="zh-CN" w:bidi="ar-SA"/>
    </w:rPr>
  </w:style>
  <w:style w:type="paragraph" w:customStyle="1" w:styleId="17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1 Char Char Char Char"/>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8">
    <w:name w:val="文档正文"/>
    <w:basedOn w:val="1"/>
    <w:qFormat/>
    <w:uiPriority w:val="0"/>
    <w:pPr>
      <w:snapToGrid w:val="0"/>
      <w:spacing w:before="120" w:after="120" w:line="180" w:lineRule="auto"/>
    </w:pPr>
    <w:rPr>
      <w:rFonts w:ascii="Arial" w:hAnsi="Arial"/>
      <w:szCs w:val="20"/>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0">
    <w:name w:val="正文文本样式"/>
    <w:basedOn w:val="1"/>
    <w:qFormat/>
    <w:uiPriority w:val="0"/>
    <w:pPr>
      <w:spacing w:line="360" w:lineRule="auto"/>
      <w:ind w:firstLine="482"/>
    </w:pPr>
    <w:rPr>
      <w:rFonts w:cs="宋体"/>
      <w:sz w:val="24"/>
      <w:szCs w:val="20"/>
    </w:rPr>
  </w:style>
  <w:style w:type="paragraph" w:customStyle="1" w:styleId="1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2"/>
    <w:basedOn w:val="1"/>
    <w:qFormat/>
    <w:uiPriority w:val="0"/>
    <w:rPr>
      <w:rFonts w:ascii="Tahoma" w:hAnsi="Tahoma"/>
      <w:sz w:val="24"/>
      <w:szCs w:val="20"/>
    </w:rPr>
  </w:style>
  <w:style w:type="paragraph" w:customStyle="1" w:styleId="185">
    <w:name w:val="Char22"/>
    <w:basedOn w:val="1"/>
    <w:qFormat/>
    <w:uiPriority w:val="0"/>
    <w:rPr>
      <w:rFonts w:ascii="Tahoma" w:hAnsi="Tahoma"/>
      <w:sz w:val="24"/>
      <w:szCs w:val="20"/>
    </w:rPr>
  </w:style>
  <w:style w:type="paragraph" w:customStyle="1" w:styleId="186">
    <w:name w:val="列出段落2"/>
    <w:basedOn w:val="1"/>
    <w:qFormat/>
    <w:uiPriority w:val="0"/>
    <w:pPr>
      <w:ind w:firstLine="420" w:firstLineChars="200"/>
    </w:pPr>
    <w:rPr>
      <w:rFonts w:ascii="Calibri" w:hAnsi="Calibri"/>
      <w:szCs w:val="22"/>
    </w:rPr>
  </w:style>
  <w:style w:type="paragraph" w:customStyle="1" w:styleId="187">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88">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18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Char Char Char Char Char Char Char Char Char Char"/>
    <w:basedOn w:val="1"/>
    <w:qFormat/>
    <w:uiPriority w:val="0"/>
  </w:style>
  <w:style w:type="paragraph" w:customStyle="1" w:styleId="192">
    <w:name w:val="五级条标题"/>
    <w:basedOn w:val="193"/>
    <w:next w:val="1"/>
    <w:qFormat/>
    <w:uiPriority w:val="0"/>
    <w:pPr>
      <w:numPr>
        <w:ilvl w:val="5"/>
      </w:numPr>
      <w:tabs>
        <w:tab w:val="left" w:pos="360"/>
        <w:tab w:val="left" w:pos="840"/>
      </w:tabs>
      <w:ind w:left="0" w:hanging="840"/>
      <w:outlineLvl w:val="5"/>
    </w:pPr>
  </w:style>
  <w:style w:type="paragraph" w:customStyle="1" w:styleId="193">
    <w:name w:val="四级条标题"/>
    <w:basedOn w:val="164"/>
    <w:next w:val="1"/>
    <w:qFormat/>
    <w:uiPriority w:val="0"/>
    <w:pPr>
      <w:numPr>
        <w:ilvl w:val="4"/>
      </w:numPr>
      <w:ind w:left="0" w:hanging="840"/>
      <w:outlineLvl w:val="4"/>
    </w:pPr>
  </w:style>
  <w:style w:type="paragraph" w:customStyle="1" w:styleId="19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9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00">
    <w:name w:val="字元 字元"/>
    <w:basedOn w:val="1"/>
    <w:qFormat/>
    <w:uiPriority w:val="0"/>
    <w:rPr>
      <w:rFonts w:ascii="Tahoma" w:hAnsi="Tahoma"/>
      <w:sz w:val="24"/>
      <w:szCs w:val="20"/>
    </w:rPr>
  </w:style>
  <w:style w:type="paragraph" w:customStyle="1" w:styleId="20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02">
    <w:name w:val="Char3 Char Char Char1"/>
    <w:basedOn w:val="1"/>
    <w:qFormat/>
    <w:uiPriority w:val="0"/>
    <w:rPr>
      <w:rFonts w:ascii="Tahoma" w:hAnsi="Tahoma"/>
      <w:sz w:val="24"/>
      <w:szCs w:val="20"/>
    </w:rPr>
  </w:style>
  <w:style w:type="paragraph" w:customStyle="1" w:styleId="203">
    <w:name w:val="正文文本样式 加粗"/>
    <w:basedOn w:val="180"/>
    <w:qFormat/>
    <w:uiPriority w:val="0"/>
    <w:rPr>
      <w:b/>
    </w:rPr>
  </w:style>
  <w:style w:type="paragraph" w:customStyle="1" w:styleId="204">
    <w:name w:val="_Style 160"/>
    <w:qFormat/>
    <w:uiPriority w:val="0"/>
    <w:rPr>
      <w:rFonts w:ascii="Times New Roman" w:hAnsi="Times New Roman" w:eastAsia="宋体" w:cs="Times New Roman"/>
      <w:kern w:val="2"/>
      <w:sz w:val="21"/>
      <w:szCs w:val="24"/>
      <w:lang w:val="en-US" w:eastAsia="zh-CN" w:bidi="ar-SA"/>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1名"/>
    <w:basedOn w:val="1"/>
    <w:qFormat/>
    <w:uiPriority w:val="0"/>
    <w:pPr>
      <w:numPr>
        <w:ilvl w:val="0"/>
        <w:numId w:val="3"/>
      </w:numPr>
      <w:spacing w:before="120"/>
    </w:pPr>
    <w:rPr>
      <w:rFonts w:ascii="宋体"/>
      <w:sz w:val="28"/>
      <w:szCs w:val="20"/>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10">
    <w:name w:val="项目符号1"/>
    <w:basedOn w:val="180"/>
    <w:qFormat/>
    <w:uiPriority w:val="0"/>
    <w:pPr>
      <w:ind w:left="-25" w:firstLine="0"/>
    </w:pPr>
  </w:style>
  <w:style w:type="paragraph" w:customStyle="1" w:styleId="211">
    <w:name w:val="List Paragraph1"/>
    <w:basedOn w:val="1"/>
    <w:qFormat/>
    <w:uiPriority w:val="0"/>
    <w:pPr>
      <w:ind w:firstLine="420" w:firstLineChars="200"/>
    </w:pPr>
    <w:rPr>
      <w:rFonts w:ascii="Calibri" w:hAnsi="Calibri"/>
      <w:szCs w:val="22"/>
    </w:rPr>
  </w:style>
  <w:style w:type="paragraph" w:customStyle="1" w:styleId="212">
    <w:name w:val="Char1 Char Char Char1"/>
    <w:basedOn w:val="1"/>
    <w:qFormat/>
    <w:uiPriority w:val="0"/>
    <w:rPr>
      <w:rFonts w:ascii="Tahoma" w:hAnsi="Tahoma" w:cs="仿宋_GB2312"/>
      <w:sz w:val="24"/>
      <w:szCs w:val="28"/>
    </w:rPr>
  </w:style>
  <w:style w:type="paragraph" w:customStyle="1" w:styleId="213">
    <w:name w:val="font8"/>
    <w:basedOn w:val="1"/>
    <w:qFormat/>
    <w:uiPriority w:val="0"/>
    <w:pPr>
      <w:widowControl/>
      <w:spacing w:before="100" w:beforeAutospacing="1" w:after="100" w:afterAutospacing="1"/>
      <w:jc w:val="left"/>
    </w:pPr>
    <w:rPr>
      <w:kern w:val="0"/>
      <w:sz w:val="36"/>
      <w:szCs w:val="36"/>
    </w:rPr>
  </w:style>
  <w:style w:type="paragraph" w:customStyle="1" w:styleId="21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5">
    <w:name w:val="Char3 Char Char Char"/>
    <w:basedOn w:val="1"/>
    <w:qFormat/>
    <w:uiPriority w:val="0"/>
    <w:rPr>
      <w:rFonts w:ascii="Tahoma" w:hAnsi="Tahoma"/>
      <w:sz w:val="24"/>
      <w:szCs w:val="20"/>
    </w:rPr>
  </w:style>
  <w:style w:type="paragraph" w:customStyle="1" w:styleId="216">
    <w:name w:val="Char3"/>
    <w:basedOn w:val="1"/>
    <w:qFormat/>
    <w:uiPriority w:val="0"/>
    <w:pPr>
      <w:tabs>
        <w:tab w:val="left" w:pos="360"/>
      </w:tabs>
    </w:pPr>
    <w:rPr>
      <w:sz w:val="24"/>
    </w:rPr>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18">
    <w:name w:val="图文"/>
    <w:basedOn w:val="1"/>
    <w:qFormat/>
    <w:uiPriority w:val="0"/>
    <w:pPr>
      <w:adjustRightInd w:val="0"/>
      <w:snapToGrid w:val="0"/>
      <w:spacing w:after="50" w:line="360" w:lineRule="auto"/>
    </w:pPr>
    <w:rPr>
      <w:sz w:val="24"/>
    </w:rPr>
  </w:style>
  <w:style w:type="paragraph" w:customStyle="1" w:styleId="219">
    <w:name w:val="缺省文本"/>
    <w:basedOn w:val="1"/>
    <w:qFormat/>
    <w:uiPriority w:val="0"/>
    <w:pPr>
      <w:autoSpaceDE w:val="0"/>
      <w:autoSpaceDN w:val="0"/>
      <w:adjustRightInd w:val="0"/>
      <w:jc w:val="left"/>
    </w:pPr>
    <w:rPr>
      <w:kern w:val="0"/>
      <w:sz w:val="24"/>
    </w:rPr>
  </w:style>
  <w:style w:type="paragraph" w:customStyle="1" w:styleId="220">
    <w:name w:val="Char Char Char"/>
    <w:basedOn w:val="1"/>
    <w:qFormat/>
    <w:uiPriority w:val="0"/>
    <w:rPr>
      <w:rFonts w:ascii="Tahoma" w:hAnsi="Tahoma"/>
      <w:sz w:val="24"/>
      <w:szCs w:val="20"/>
    </w:rPr>
  </w:style>
  <w:style w:type="paragraph" w:customStyle="1" w:styleId="22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22">
    <w:name w:val="默认段落字体 Para Char Char Char Char"/>
    <w:basedOn w:val="1"/>
    <w:qFormat/>
    <w:uiPriority w:val="0"/>
    <w:rPr>
      <w:rFonts w:ascii="Arial" w:hAnsi="Arial" w:cs="Arial"/>
      <w:szCs w:val="21"/>
    </w:rPr>
  </w:style>
  <w:style w:type="paragraph" w:customStyle="1" w:styleId="2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6">
    <w:name w:val="Body text|1"/>
    <w:basedOn w:val="1"/>
    <w:qFormat/>
    <w:uiPriority w:val="0"/>
    <w:pPr>
      <w:spacing w:line="408" w:lineRule="auto"/>
      <w:ind w:firstLine="400"/>
    </w:pPr>
    <w:rPr>
      <w:rFonts w:ascii="宋体" w:hAnsi="宋体" w:cs="宋体"/>
      <w:szCs w:val="24"/>
      <w:lang w:val="zh-TW" w:eastAsia="zh-TW" w:bidi="zh-TW"/>
    </w:rPr>
  </w:style>
  <w:style w:type="paragraph" w:customStyle="1" w:styleId="227">
    <w:name w:val="正文文本缩进 31"/>
    <w:basedOn w:val="1"/>
    <w:qFormat/>
    <w:uiPriority w:val="0"/>
    <w:pPr>
      <w:autoSpaceDE w:val="0"/>
      <w:autoSpaceDN w:val="0"/>
      <w:adjustRightInd w:val="0"/>
      <w:spacing w:before="120" w:line="22" w:lineRule="atLeast"/>
      <w:ind w:left="720" w:firstLine="480"/>
      <w:jc w:val="left"/>
    </w:pPr>
    <w:rPr>
      <w:rFonts w:ascii="Times New Roman" w:hAnsi="Times New Roman" w:eastAsia="宋体" w:cs="Times New Roman"/>
      <w:sz w:val="16"/>
      <w:szCs w:val="16"/>
    </w:rPr>
  </w:style>
  <w:style w:type="paragraph" w:customStyle="1" w:styleId="22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29">
    <w:name w:val="字元 字元2"/>
    <w:basedOn w:val="1"/>
    <w:qFormat/>
    <w:uiPriority w:val="0"/>
    <w:rPr>
      <w:rFonts w:ascii="Tahoma" w:hAnsi="Tahoma"/>
      <w:sz w:val="24"/>
      <w:szCs w:val="20"/>
    </w:rPr>
  </w:style>
  <w:style w:type="paragraph" w:customStyle="1" w:styleId="230">
    <w:name w:val="Char2 Char Char Char Char Char Char"/>
    <w:basedOn w:val="1"/>
    <w:qFormat/>
    <w:uiPriority w:val="0"/>
    <w:pPr>
      <w:widowControl/>
      <w:spacing w:line="400" w:lineRule="exact"/>
      <w:jc w:val="center"/>
    </w:pPr>
  </w:style>
  <w:style w:type="paragraph" w:customStyle="1" w:styleId="231">
    <w:name w:val="项目编号3"/>
    <w:basedOn w:val="180"/>
    <w:qFormat/>
    <w:uiPriority w:val="0"/>
    <w:pPr>
      <w:numPr>
        <w:ilvl w:val="0"/>
        <w:numId w:val="4"/>
      </w:numPr>
    </w:pPr>
  </w:style>
  <w:style w:type="paragraph" w:customStyle="1" w:styleId="232">
    <w:name w:val="列出段落1"/>
    <w:basedOn w:val="1"/>
    <w:qFormat/>
    <w:uiPriority w:val="0"/>
    <w:pPr>
      <w:ind w:firstLine="420" w:firstLineChars="200"/>
    </w:pPr>
    <w:rPr>
      <w:rFonts w:ascii="Calibri" w:hAnsi="Calibri"/>
      <w:szCs w:val="22"/>
    </w:rPr>
  </w:style>
  <w:style w:type="paragraph" w:customStyle="1" w:styleId="23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6">
    <w:name w:val="Char Char1"/>
    <w:basedOn w:val="14"/>
    <w:qFormat/>
    <w:uiPriority w:val="0"/>
    <w:rPr>
      <w:rFonts w:ascii="Tahoma" w:hAnsi="Tahoma"/>
      <w:sz w:val="24"/>
    </w:rPr>
  </w:style>
  <w:style w:type="paragraph" w:customStyle="1" w:styleId="23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39">
    <w:name w:val="项目编号2"/>
    <w:basedOn w:val="240"/>
    <w:qFormat/>
    <w:uiPriority w:val="0"/>
    <w:pPr>
      <w:numPr>
        <w:numId w:val="5"/>
      </w:numPr>
    </w:pPr>
  </w:style>
  <w:style w:type="paragraph" w:customStyle="1" w:styleId="240">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41">
    <w:name w:val="Heading #3|1"/>
    <w:basedOn w:val="1"/>
    <w:qFormat/>
    <w:uiPriority w:val="0"/>
    <w:pPr>
      <w:spacing w:line="469" w:lineRule="exact"/>
      <w:ind w:firstLine="500"/>
      <w:outlineLvl w:val="2"/>
    </w:pPr>
    <w:rPr>
      <w:rFonts w:ascii="宋体" w:hAnsi="宋体" w:cs="宋体"/>
      <w:b/>
      <w:bCs/>
      <w:szCs w:val="24"/>
      <w:lang w:val="zh-TW" w:eastAsia="zh-TW" w:bidi="zh-TW"/>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3">
    <w:name w:val="Char Char Char2"/>
    <w:basedOn w:val="1"/>
    <w:qFormat/>
    <w:uiPriority w:val="0"/>
    <w:rPr>
      <w:rFonts w:ascii="Tahoma" w:hAnsi="Tahoma"/>
      <w:sz w:val="24"/>
      <w:szCs w:val="20"/>
    </w:rPr>
  </w:style>
  <w:style w:type="paragraph" w:customStyle="1" w:styleId="244">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6">
    <w:name w:val="正文 + 楷体_GB2312"/>
    <w:basedOn w:val="1"/>
    <w:qFormat/>
    <w:uiPriority w:val="0"/>
    <w:pPr>
      <w:widowControl/>
      <w:jc w:val="left"/>
    </w:pPr>
    <w:rPr>
      <w:rFonts w:ascii="楷体_GB2312" w:eastAsia="楷体_GB2312" w:cs="Arial"/>
      <w:kern w:val="0"/>
      <w:sz w:val="24"/>
    </w:rPr>
  </w:style>
  <w:style w:type="paragraph" w:customStyle="1" w:styleId="247">
    <w:name w:val="Char1"/>
    <w:basedOn w:val="1"/>
    <w:qFormat/>
    <w:uiPriority w:val="0"/>
    <w:pPr>
      <w:tabs>
        <w:tab w:val="left" w:pos="360"/>
      </w:tabs>
    </w:pPr>
    <w:rPr>
      <w:sz w:val="24"/>
    </w:rPr>
  </w:style>
  <w:style w:type="paragraph" w:customStyle="1" w:styleId="248">
    <w:name w:val="Char Char Char1 Char1"/>
    <w:basedOn w:val="1"/>
    <w:qFormat/>
    <w:uiPriority w:val="0"/>
    <w:rPr>
      <w:rFonts w:ascii="Tahoma" w:hAnsi="Tahoma"/>
      <w:sz w:val="24"/>
      <w:szCs w:val="20"/>
    </w:rPr>
  </w:style>
  <w:style w:type="paragraph" w:customStyle="1" w:styleId="2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样式 标题 2 + 宋体 五号 行距: 单倍行距"/>
    <w:basedOn w:val="3"/>
    <w:qFormat/>
    <w:uiPriority w:val="0"/>
    <w:pPr>
      <w:numPr>
        <w:ilvl w:val="1"/>
        <w:numId w:val="7"/>
      </w:numPr>
      <w:autoSpaceDE/>
      <w:autoSpaceDN/>
      <w:spacing w:before="260" w:after="260" w:line="240" w:lineRule="auto"/>
      <w:jc w:val="left"/>
      <w:textAlignment w:val="baseline"/>
    </w:pPr>
    <w:rPr>
      <w:rFonts w:ascii="宋体" w:hAnsi="宋体" w:eastAsia="宋体"/>
      <w:bCs/>
      <w:sz w:val="21"/>
    </w:rPr>
  </w:style>
  <w:style w:type="paragraph" w:customStyle="1" w:styleId="25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53">
    <w:name w:val="Char"/>
    <w:basedOn w:val="1"/>
    <w:qFormat/>
    <w:uiPriority w:val="0"/>
    <w:pPr>
      <w:tabs>
        <w:tab w:val="left" w:pos="360"/>
      </w:tabs>
    </w:pPr>
    <w:rPr>
      <w:sz w:val="24"/>
    </w:rPr>
  </w:style>
  <w:style w:type="paragraph" w:customStyle="1" w:styleId="25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5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5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8">
    <w:name w:val="正文+缩进"/>
    <w:basedOn w:val="1"/>
    <w:qFormat/>
    <w:uiPriority w:val="0"/>
    <w:pPr>
      <w:autoSpaceDE w:val="0"/>
      <w:autoSpaceDN w:val="0"/>
      <w:jc w:val="left"/>
    </w:pPr>
    <w:rPr>
      <w:rFonts w:ascii="仿宋_GB2312" w:hAnsi="仿宋_GB2312" w:eastAsia="仿宋_GB2312" w:cs="仿宋_GB2312"/>
      <w:kern w:val="0"/>
      <w:sz w:val="22"/>
      <w:szCs w:val="22"/>
      <w:lang w:val="zh-CN" w:bidi="zh-CN"/>
    </w:rPr>
  </w:style>
  <w:style w:type="table" w:customStyle="1" w:styleId="259">
    <w:name w:val="Table Normal1"/>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60">
    <w:name w:val="Font Style12"/>
    <w:qFormat/>
    <w:uiPriority w:val="0"/>
    <w:rPr>
      <w:rFonts w:ascii="宋体" w:eastAsia="宋体"/>
      <w:b/>
      <w:spacing w:val="-10"/>
      <w:sz w:val="22"/>
    </w:rPr>
  </w:style>
  <w:style w:type="character" w:customStyle="1" w:styleId="261">
    <w:name w:val="font121"/>
    <w:basedOn w:val="50"/>
    <w:qFormat/>
    <w:uiPriority w:val="0"/>
    <w:rPr>
      <w:rFonts w:hint="eastAsia" w:ascii="宋体" w:hAnsi="宋体" w:eastAsia="宋体" w:cs="宋体"/>
      <w:color w:val="000000"/>
      <w:sz w:val="20"/>
      <w:szCs w:val="20"/>
      <w:u w:val="none"/>
    </w:rPr>
  </w:style>
  <w:style w:type="character" w:customStyle="1" w:styleId="262">
    <w:name w:val="font21"/>
    <w:basedOn w:val="50"/>
    <w:qFormat/>
    <w:uiPriority w:val="0"/>
    <w:rPr>
      <w:rFonts w:hint="eastAsia" w:ascii="宋体" w:hAnsi="宋体" w:eastAsia="宋体" w:cs="宋体"/>
      <w:color w:val="000000"/>
      <w:sz w:val="21"/>
      <w:szCs w:val="21"/>
      <w:u w:val="none"/>
    </w:rPr>
  </w:style>
  <w:style w:type="character" w:customStyle="1" w:styleId="263">
    <w:name w:val="font131"/>
    <w:basedOn w:val="50"/>
    <w:qFormat/>
    <w:uiPriority w:val="0"/>
    <w:rPr>
      <w:rFonts w:hint="default" w:ascii="Calibri" w:hAnsi="Calibri" w:cs="Calibri"/>
      <w:color w:val="000000"/>
      <w:sz w:val="20"/>
      <w:szCs w:val="20"/>
      <w:u w:val="none"/>
    </w:rPr>
  </w:style>
  <w:style w:type="character" w:customStyle="1" w:styleId="264">
    <w:name w:val="font141"/>
    <w:basedOn w:val="50"/>
    <w:qFormat/>
    <w:uiPriority w:val="0"/>
    <w:rPr>
      <w:rFonts w:hint="eastAsia" w:ascii="宋体" w:hAnsi="宋体" w:eastAsia="宋体" w:cs="宋体"/>
      <w:color w:val="000000"/>
      <w:sz w:val="24"/>
      <w:szCs w:val="24"/>
      <w:u w:val="none"/>
    </w:rPr>
  </w:style>
  <w:style w:type="paragraph" w:customStyle="1" w:styleId="265">
    <w:name w:val="1.正文"/>
    <w:basedOn w:val="1"/>
    <w:qFormat/>
    <w:uiPriority w:val="0"/>
    <w:pPr>
      <w:numPr>
        <w:ilvl w:val="2"/>
        <w:numId w:val="8"/>
      </w:numPr>
      <w:tabs>
        <w:tab w:val="clear" w:pos="2848"/>
      </w:tabs>
      <w:spacing w:line="360" w:lineRule="auto"/>
      <w:ind w:left="540" w:leftChars="225" w:firstLine="540" w:firstLineChars="225"/>
    </w:pPr>
    <w:rPr>
      <w:sz w:val="24"/>
      <w:szCs w:val="24"/>
    </w:rPr>
  </w:style>
  <w:style w:type="paragraph" w:customStyle="1" w:styleId="266">
    <w:name w:val="00正文"/>
    <w:basedOn w:val="1"/>
    <w:qFormat/>
    <w:uiPriority w:val="0"/>
    <w:pPr>
      <w:spacing w:line="360" w:lineRule="auto"/>
      <w:ind w:firstLine="200" w:firstLineChars="200"/>
    </w:pPr>
    <w:rPr>
      <w:rFonts w:ascii="Times New Roman" w:hAnsi="Times New Roman" w:eastAsia="仿宋" w:cs="Times New Roman"/>
      <w:sz w:val="24"/>
      <w:szCs w:val="28"/>
    </w:rPr>
  </w:style>
  <w:style w:type="paragraph" w:customStyle="1" w:styleId="267">
    <w:name w:val="正文1"/>
    <w:basedOn w:val="1"/>
    <w:qFormat/>
    <w:uiPriority w:val="0"/>
    <w:pPr>
      <w:spacing w:line="360" w:lineRule="auto"/>
      <w:ind w:firstLine="200" w:firstLineChars="200"/>
    </w:pPr>
  </w:style>
  <w:style w:type="paragraph" w:customStyle="1" w:styleId="268">
    <w:name w:val="*正文"/>
    <w:basedOn w:val="1"/>
    <w:qFormat/>
    <w:uiPriority w:val="0"/>
    <w:pPr>
      <w:spacing w:line="360" w:lineRule="auto"/>
      <w:ind w:firstLine="560" w:firstLineChars="200"/>
    </w:pPr>
  </w:style>
  <w:style w:type="paragraph" w:customStyle="1" w:styleId="26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Table Text"/>
    <w:basedOn w:val="1"/>
    <w:semiHidden/>
    <w:qFormat/>
    <w:uiPriority w:val="0"/>
    <w:rPr>
      <w:rFonts w:ascii="宋体" w:hAnsi="宋体" w:cs="宋体"/>
      <w:sz w:val="24"/>
      <w:lang w:eastAsia="en-US"/>
    </w:rPr>
  </w:style>
  <w:style w:type="table" w:customStyle="1" w:styleId="271">
    <w:name w:val="Table Normal2"/>
    <w:semiHidden/>
    <w:unhideWhenUsed/>
    <w:qFormat/>
    <w:uiPriority w:val="0"/>
    <w:tblPr>
      <w:tblCellMar>
        <w:top w:w="0" w:type="dxa"/>
        <w:left w:w="0" w:type="dxa"/>
        <w:bottom w:w="0" w:type="dxa"/>
        <w:right w:w="0" w:type="dxa"/>
      </w:tblCellMar>
    </w:tblPr>
  </w:style>
  <w:style w:type="table" w:customStyle="1" w:styleId="272">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273">
    <w:name w:val="Table Normal3"/>
    <w:semiHidden/>
    <w:unhideWhenUsed/>
    <w:qFormat/>
    <w:uiPriority w:val="0"/>
    <w:tblPr>
      <w:tblCellMar>
        <w:top w:w="0" w:type="dxa"/>
        <w:left w:w="0" w:type="dxa"/>
        <w:bottom w:w="0" w:type="dxa"/>
        <w:right w:w="0" w:type="dxa"/>
      </w:tblCellMar>
    </w:tblPr>
  </w:style>
  <w:style w:type="character" w:customStyle="1" w:styleId="274">
    <w:name w:val="font31"/>
    <w:basedOn w:val="50"/>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37562</Words>
  <Characters>39637</Characters>
  <Lines>217</Lines>
  <Paragraphs>61</Paragraphs>
  <TotalTime>61</TotalTime>
  <ScaleCrop>false</ScaleCrop>
  <LinksUpToDate>false</LinksUpToDate>
  <CharactersWithSpaces>40742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萌萌哒(๑´ㅂ`๑)</cp:lastModifiedBy>
  <cp:lastPrinted>2024-08-15T08:06:00Z</cp:lastPrinted>
  <dcterms:modified xsi:type="dcterms:W3CDTF">2025-04-29T01:42:33Z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D0CBA83762224BD78BC85A4039875F8C_13</vt:lpwstr>
  </property>
  <property fmtid="{D5CDD505-2E9C-101B-9397-08002B2CF9AE}" pid="4" name="KSOTemplateDocerSaveRecord">
    <vt:lpwstr>eyJoZGlkIjoiYzZmNWU2MDk0NmIwMTY5N2Y2OTFkYjU2Y2UzNzdmZjMiLCJ1c2VySWQiOiIyNDY5OTYxMDMifQ==</vt:lpwstr>
  </property>
</Properties>
</file>