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5A23">
      <w:pPr>
        <w:pStyle w:val="2"/>
        <w:tabs>
          <w:tab w:val="left" w:pos="0"/>
        </w:tabs>
        <w:autoSpaceDE w:val="0"/>
        <w:autoSpaceDN w:val="0"/>
        <w:adjustRightInd w:val="0"/>
        <w:spacing w:before="0" w:after="0" w:line="360" w:lineRule="auto"/>
        <w:jc w:val="center"/>
        <w:rPr>
          <w:rFonts w:hint="eastAsia" w:ascii="华文中宋" w:hAnsi="华文中宋" w:eastAsia="华文中宋"/>
          <w:sz w:val="32"/>
          <w:szCs w:val="32"/>
          <w:lang w:val="en-US" w:eastAsia="zh-CN"/>
        </w:rPr>
      </w:pPr>
      <w:bookmarkStart w:id="0" w:name="_Toc35393809"/>
      <w:bookmarkStart w:id="1" w:name="_Toc28359022"/>
      <w:r>
        <w:rPr>
          <w:rFonts w:hint="eastAsia" w:ascii="华文中宋" w:hAnsi="华文中宋" w:eastAsia="华文中宋"/>
          <w:sz w:val="32"/>
          <w:szCs w:val="32"/>
          <w:lang w:val="en-US" w:eastAsia="zh-CN"/>
        </w:rPr>
        <w:t>灾害综合风险与减灾能力调查评估服务</w:t>
      </w:r>
    </w:p>
    <w:p w14:paraId="42E590A8">
      <w:pPr>
        <w:pStyle w:val="2"/>
        <w:tabs>
          <w:tab w:val="left" w:pos="0"/>
        </w:tabs>
        <w:autoSpaceDE w:val="0"/>
        <w:autoSpaceDN w:val="0"/>
        <w:adjustRightInd w:val="0"/>
        <w:spacing w:before="0" w:after="0" w:line="360" w:lineRule="auto"/>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其他灾害防治和应急管理服务采购项目（第一包、第二包）</w:t>
      </w:r>
    </w:p>
    <w:p w14:paraId="6299E343">
      <w:pPr>
        <w:pStyle w:val="2"/>
        <w:tabs>
          <w:tab w:val="left" w:pos="0"/>
        </w:tabs>
        <w:autoSpaceDE w:val="0"/>
        <w:autoSpaceDN w:val="0"/>
        <w:adjustRightInd w:val="0"/>
        <w:spacing w:before="0" w:after="0" w:line="360" w:lineRule="auto"/>
        <w:jc w:val="center"/>
        <w:rPr>
          <w:rFonts w:ascii="华文中宋" w:hAnsi="华文中宋" w:eastAsia="华文中宋"/>
          <w:sz w:val="32"/>
          <w:szCs w:val="32"/>
        </w:rPr>
      </w:pPr>
      <w:r>
        <w:rPr>
          <w:rFonts w:hint="eastAsia" w:ascii="华文中宋" w:hAnsi="华文中宋" w:eastAsia="华文中宋"/>
          <w:sz w:val="32"/>
          <w:szCs w:val="32"/>
        </w:rPr>
        <w:t>中标结果公告</w:t>
      </w:r>
      <w:bookmarkEnd w:id="0"/>
      <w:bookmarkEnd w:id="1"/>
    </w:p>
    <w:p w14:paraId="7910B65B">
      <w:pPr>
        <w:spacing w:line="360" w:lineRule="auto"/>
        <w:rPr>
          <w:rFonts w:ascii="黑体" w:hAnsi="黑体" w:eastAsia="黑体"/>
          <w:sz w:val="24"/>
          <w:szCs w:val="24"/>
        </w:rPr>
      </w:pPr>
      <w:r>
        <w:rPr>
          <w:rFonts w:hint="eastAsia" w:ascii="黑体" w:hAnsi="黑体" w:eastAsia="黑体"/>
          <w:sz w:val="24"/>
          <w:szCs w:val="24"/>
        </w:rPr>
        <w:t>一</w:t>
      </w:r>
      <w:r>
        <w:rPr>
          <w:rFonts w:ascii="黑体" w:hAnsi="黑体" w:eastAsia="黑体"/>
          <w:sz w:val="24"/>
          <w:szCs w:val="24"/>
        </w:rPr>
        <w:t>、</w:t>
      </w:r>
      <w:r>
        <w:rPr>
          <w:rFonts w:hint="eastAsia" w:ascii="黑体" w:hAnsi="黑体" w:eastAsia="黑体"/>
          <w:sz w:val="24"/>
          <w:szCs w:val="24"/>
        </w:rPr>
        <w:t>项目编号：</w:t>
      </w:r>
      <w:r>
        <w:rPr>
          <w:rFonts w:hint="eastAsia" w:ascii="黑体" w:hAnsi="黑体" w:eastAsia="黑体"/>
          <w:sz w:val="24"/>
          <w:szCs w:val="24"/>
          <w:lang w:val="en-US" w:eastAsia="zh-CN"/>
        </w:rPr>
        <w:fldChar w:fldCharType="begin"/>
      </w:r>
      <w:r>
        <w:rPr>
          <w:rFonts w:hint="eastAsia" w:ascii="黑体" w:hAnsi="黑体" w:eastAsia="黑体"/>
          <w:sz w:val="24"/>
          <w:szCs w:val="24"/>
          <w:lang w:val="en-US" w:eastAsia="zh-CN"/>
        </w:rPr>
        <w:instrText xml:space="preserve"> HYPERLINK "http://219.232.204.193:8080/frontend/plan/project_detail.html?projectUuid=f1130da9-66ec-4240-8020-4419da842d23&amp;viewMode=placard" </w:instrText>
      </w:r>
      <w:r>
        <w:rPr>
          <w:rFonts w:hint="eastAsia" w:ascii="黑体" w:hAnsi="黑体" w:eastAsia="黑体"/>
          <w:sz w:val="24"/>
          <w:szCs w:val="24"/>
          <w:lang w:val="en-US" w:eastAsia="zh-CN"/>
        </w:rPr>
        <w:fldChar w:fldCharType="separate"/>
      </w:r>
      <w:r>
        <w:rPr>
          <w:rFonts w:hint="eastAsia" w:ascii="黑体" w:hAnsi="黑体" w:eastAsia="黑体"/>
          <w:sz w:val="24"/>
          <w:szCs w:val="24"/>
          <w:lang w:val="en-US" w:eastAsia="zh-CN"/>
        </w:rPr>
        <w:t>11000025210200135783-XM001</w:t>
      </w:r>
      <w:r>
        <w:rPr>
          <w:rFonts w:hint="eastAsia" w:ascii="黑体" w:hAnsi="黑体" w:eastAsia="黑体"/>
          <w:sz w:val="24"/>
          <w:szCs w:val="24"/>
          <w:lang w:val="en-US" w:eastAsia="zh-CN"/>
        </w:rPr>
        <w:fldChar w:fldCharType="end"/>
      </w:r>
    </w:p>
    <w:p w14:paraId="503E2634">
      <w:pPr>
        <w:spacing w:line="360" w:lineRule="auto"/>
        <w:rPr>
          <w:rFonts w:hint="eastAsia" w:ascii="黑体" w:hAnsi="黑体" w:eastAsia="黑体"/>
          <w:sz w:val="24"/>
          <w:szCs w:val="24"/>
        </w:rPr>
      </w:pPr>
      <w:r>
        <w:rPr>
          <w:rFonts w:hint="eastAsia" w:ascii="黑体" w:hAnsi="黑体" w:eastAsia="黑体"/>
          <w:sz w:val="24"/>
          <w:szCs w:val="24"/>
        </w:rPr>
        <w:t>二</w:t>
      </w:r>
      <w:r>
        <w:rPr>
          <w:rFonts w:ascii="黑体" w:hAnsi="黑体" w:eastAsia="黑体"/>
          <w:sz w:val="24"/>
          <w:szCs w:val="24"/>
        </w:rPr>
        <w:t>、</w:t>
      </w:r>
      <w:r>
        <w:rPr>
          <w:rFonts w:hint="eastAsia" w:ascii="黑体" w:hAnsi="黑体" w:eastAsia="黑体"/>
          <w:sz w:val="24"/>
          <w:szCs w:val="24"/>
        </w:rPr>
        <w:t>项目名称：</w:t>
      </w:r>
      <w:r>
        <w:rPr>
          <w:rFonts w:hint="eastAsia" w:ascii="黑体" w:hAnsi="黑体" w:eastAsia="黑体"/>
          <w:sz w:val="24"/>
          <w:szCs w:val="24"/>
          <w:lang w:val="en-US" w:eastAsia="zh-CN"/>
        </w:rPr>
        <w:t>灾害综合风险与减灾能力调查评估服务其他灾害防治和应急管理服务采购项目</w:t>
      </w:r>
    </w:p>
    <w:p w14:paraId="260017C6">
      <w:pPr>
        <w:spacing w:line="360" w:lineRule="auto"/>
        <w:rPr>
          <w:rFonts w:hint="eastAsia" w:ascii="黑体" w:hAnsi="黑体" w:eastAsia="黑体"/>
          <w:sz w:val="24"/>
          <w:szCs w:val="24"/>
        </w:rPr>
      </w:pPr>
      <w:r>
        <w:rPr>
          <w:rFonts w:hint="eastAsia" w:ascii="黑体" w:hAnsi="黑体" w:eastAsia="黑体"/>
          <w:sz w:val="24"/>
          <w:szCs w:val="24"/>
        </w:rPr>
        <w:t>三、中标信息</w:t>
      </w:r>
    </w:p>
    <w:p w14:paraId="31B6DD4C">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第一包</w:t>
      </w:r>
      <w:r>
        <w:rPr>
          <w:rFonts w:hint="eastAsia" w:ascii="仿宋" w:hAnsi="仿宋" w:eastAsia="仿宋"/>
          <w:sz w:val="24"/>
          <w:szCs w:val="24"/>
        </w:rPr>
        <w:t>供应商名称：</w:t>
      </w:r>
      <w:r>
        <w:rPr>
          <w:rFonts w:hint="eastAsia" w:ascii="仿宋" w:hAnsi="仿宋" w:eastAsia="仿宋"/>
          <w:sz w:val="24"/>
          <w:szCs w:val="24"/>
          <w:lang w:val="en-US" w:eastAsia="zh-CN"/>
        </w:rPr>
        <w:t>中景瑞晟（北京）管理咨询有限公司</w:t>
      </w:r>
    </w:p>
    <w:p w14:paraId="3258B555">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供应商地址：</w:t>
      </w:r>
      <w:r>
        <w:rPr>
          <w:rFonts w:hint="eastAsia" w:ascii="仿宋" w:hAnsi="仿宋" w:eastAsia="仿宋"/>
          <w:sz w:val="24"/>
          <w:szCs w:val="24"/>
          <w:lang w:val="en-US" w:eastAsia="zh-CN"/>
        </w:rPr>
        <w:t>北京市海淀区文慧园北路8号南北楼713-714</w:t>
      </w:r>
    </w:p>
    <w:p w14:paraId="6FFBA2FE">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中标金额：</w:t>
      </w:r>
      <w:r>
        <w:rPr>
          <w:rFonts w:hint="eastAsia" w:ascii="仿宋" w:hAnsi="仿宋" w:eastAsia="仿宋"/>
          <w:sz w:val="24"/>
          <w:szCs w:val="24"/>
          <w:lang w:val="en-US" w:eastAsia="zh-CN"/>
        </w:rPr>
        <w:t>2517800.00元</w:t>
      </w:r>
    </w:p>
    <w:p w14:paraId="65A9A124">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第二包供应商名称：北京隆安鸿业科技有限责任公司</w:t>
      </w:r>
    </w:p>
    <w:p w14:paraId="127F57BC">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供应商地址：北京市海淀区温泉镇白家瞳村西河滩村口临7号109号</w:t>
      </w:r>
    </w:p>
    <w:p w14:paraId="6C0D5925">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中标金额：1150000.00元</w:t>
      </w:r>
    </w:p>
    <w:p w14:paraId="048ED782">
      <w:pPr>
        <w:numPr>
          <w:ilvl w:val="0"/>
          <w:numId w:val="1"/>
        </w:numPr>
        <w:spacing w:line="360" w:lineRule="auto"/>
        <w:rPr>
          <w:rFonts w:hint="eastAsia" w:ascii="黑体" w:hAnsi="黑体" w:eastAsia="黑体"/>
          <w:sz w:val="24"/>
          <w:szCs w:val="24"/>
        </w:rPr>
      </w:pPr>
      <w:r>
        <w:rPr>
          <w:rFonts w:hint="eastAsia" w:ascii="黑体" w:hAnsi="黑体" w:eastAsia="黑体"/>
          <w:sz w:val="24"/>
          <w:szCs w:val="24"/>
        </w:rPr>
        <w:t>主要标的信息</w:t>
      </w:r>
    </w:p>
    <w:tbl>
      <w:tblPr>
        <w:tblStyle w:val="5"/>
        <w:tblW w:w="5623" w:type="pct"/>
        <w:tblInd w:w="-332" w:type="dxa"/>
        <w:tblBorders>
          <w:top w:val="outset" w:color="auto" w:sz="18" w:space="0"/>
          <w:left w:val="outset" w:color="auto" w:sz="18" w:space="0"/>
          <w:bottom w:val="outset" w:color="auto" w:sz="18" w:space="0"/>
          <w:right w:val="outset" w:color="auto" w:sz="1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5"/>
        <w:gridCol w:w="1334"/>
        <w:gridCol w:w="1182"/>
        <w:gridCol w:w="1226"/>
        <w:gridCol w:w="2547"/>
        <w:gridCol w:w="1278"/>
        <w:gridCol w:w="1121"/>
      </w:tblGrid>
      <w:tr w14:paraId="4A597B7F">
        <w:tblPrEx>
          <w:tblBorders>
            <w:top w:val="outset" w:color="auto" w:sz="18" w:space="0"/>
            <w:left w:val="outset" w:color="auto" w:sz="18" w:space="0"/>
            <w:bottom w:val="outset" w:color="auto" w:sz="18" w:space="0"/>
            <w:right w:val="outset" w:color="auto" w:sz="18" w:space="0"/>
            <w:insideH w:val="none" w:color="auto" w:sz="0" w:space="0"/>
            <w:insideV w:val="none" w:color="auto" w:sz="0" w:space="0"/>
          </w:tblBorders>
          <w:shd w:val="clear" w:color="auto" w:fill="FFFFFF"/>
        </w:tblPrEx>
        <w:trPr>
          <w:trHeight w:val="542" w:hRule="atLeast"/>
        </w:trPr>
        <w:tc>
          <w:tcPr>
            <w:tcW w:w="360" w:type="pct"/>
            <w:tcBorders>
              <w:top w:val="inset" w:color="auto" w:sz="6" w:space="0"/>
              <w:left w:val="inset" w:color="auto" w:sz="8" w:space="0"/>
              <w:bottom w:val="inset" w:color="auto" w:sz="8" w:space="0"/>
              <w:right w:val="inset" w:color="auto" w:sz="8" w:space="0"/>
            </w:tcBorders>
            <w:shd w:val="clear" w:color="auto" w:fill="FFFFFF"/>
            <w:vAlign w:val="center"/>
          </w:tcPr>
          <w:p w14:paraId="7CF57C74">
            <w:pPr>
              <w:numPr>
                <w:ilvl w:val="0"/>
                <w:numId w:val="0"/>
              </w:num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包号</w:t>
            </w:r>
          </w:p>
        </w:tc>
        <w:tc>
          <w:tcPr>
            <w:tcW w:w="712" w:type="pct"/>
            <w:tcBorders>
              <w:top w:val="inset" w:color="auto" w:sz="6" w:space="0"/>
              <w:left w:val="inset" w:color="auto" w:sz="8" w:space="0"/>
              <w:bottom w:val="inset" w:color="auto" w:sz="8" w:space="0"/>
              <w:right w:val="inset" w:color="auto" w:sz="8" w:space="0"/>
            </w:tcBorders>
            <w:shd w:val="clear" w:color="auto" w:fill="FFFFFF"/>
            <w:vAlign w:val="center"/>
          </w:tcPr>
          <w:p w14:paraId="37F2EA57">
            <w:pPr>
              <w:numPr>
                <w:ilvl w:val="0"/>
                <w:numId w:val="0"/>
              </w:numPr>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631" w:type="pct"/>
            <w:tcBorders>
              <w:top w:val="inset" w:color="auto" w:sz="6" w:space="0"/>
              <w:left w:val="inset" w:color="auto" w:sz="8" w:space="0"/>
              <w:bottom w:val="inset" w:color="auto" w:sz="8" w:space="0"/>
              <w:right w:val="inset" w:color="auto" w:sz="8" w:space="0"/>
            </w:tcBorders>
            <w:shd w:val="clear" w:color="auto" w:fill="FFFFFF"/>
            <w:vAlign w:val="center"/>
          </w:tcPr>
          <w:p w14:paraId="5F05B3AA">
            <w:pPr>
              <w:numPr>
                <w:ilvl w:val="0"/>
                <w:numId w:val="0"/>
              </w:num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服务名称</w:t>
            </w:r>
          </w:p>
        </w:tc>
        <w:tc>
          <w:tcPr>
            <w:tcW w:w="654" w:type="pct"/>
            <w:tcBorders>
              <w:top w:val="inset" w:color="auto" w:sz="6" w:space="0"/>
              <w:left w:val="inset" w:color="auto" w:sz="8" w:space="0"/>
              <w:bottom w:val="inset" w:color="auto" w:sz="8" w:space="0"/>
              <w:right w:val="inset" w:color="auto" w:sz="8" w:space="0"/>
            </w:tcBorders>
            <w:shd w:val="clear" w:color="auto" w:fill="FFFFFF"/>
            <w:vAlign w:val="center"/>
          </w:tcPr>
          <w:p w14:paraId="7BFB6EC3">
            <w:pPr>
              <w:numPr>
                <w:ilvl w:val="0"/>
                <w:numId w:val="0"/>
              </w:num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服务范围</w:t>
            </w:r>
          </w:p>
        </w:tc>
        <w:tc>
          <w:tcPr>
            <w:tcW w:w="1359" w:type="pct"/>
            <w:tcBorders>
              <w:top w:val="inset" w:color="auto" w:sz="6" w:space="0"/>
              <w:left w:val="inset" w:color="auto" w:sz="8" w:space="0"/>
              <w:bottom w:val="inset" w:color="auto" w:sz="8" w:space="0"/>
              <w:right w:val="inset" w:color="auto" w:sz="8" w:space="0"/>
            </w:tcBorders>
            <w:shd w:val="clear" w:color="auto" w:fill="FFFFFF"/>
            <w:vAlign w:val="center"/>
          </w:tcPr>
          <w:p w14:paraId="4A7E8E80">
            <w:pPr>
              <w:numPr>
                <w:ilvl w:val="0"/>
                <w:numId w:val="0"/>
              </w:num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服务要求</w:t>
            </w:r>
          </w:p>
        </w:tc>
        <w:tc>
          <w:tcPr>
            <w:tcW w:w="682" w:type="pct"/>
            <w:tcBorders>
              <w:top w:val="inset" w:color="auto" w:sz="6" w:space="0"/>
              <w:left w:val="inset" w:color="auto" w:sz="8" w:space="0"/>
              <w:bottom w:val="inset" w:color="auto" w:sz="8" w:space="0"/>
              <w:right w:val="inset" w:color="auto" w:sz="8" w:space="0"/>
            </w:tcBorders>
            <w:shd w:val="clear" w:color="auto" w:fill="FFFFFF"/>
            <w:vAlign w:val="center"/>
          </w:tcPr>
          <w:p w14:paraId="41F2A551">
            <w:pPr>
              <w:numPr>
                <w:ilvl w:val="0"/>
                <w:numId w:val="0"/>
              </w:num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598" w:type="pct"/>
            <w:tcBorders>
              <w:top w:val="inset" w:color="auto" w:sz="6" w:space="0"/>
              <w:left w:val="inset" w:color="auto" w:sz="8" w:space="0"/>
              <w:bottom w:val="inset" w:color="auto" w:sz="8" w:space="0"/>
              <w:right w:val="inset" w:color="auto" w:sz="8" w:space="0"/>
            </w:tcBorders>
            <w:shd w:val="clear" w:color="auto" w:fill="FFFFFF"/>
            <w:vAlign w:val="center"/>
          </w:tcPr>
          <w:p w14:paraId="5F2A9A3C">
            <w:pPr>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服务标准</w:t>
            </w:r>
          </w:p>
        </w:tc>
      </w:tr>
      <w:tr w14:paraId="6D41D355">
        <w:tblPrEx>
          <w:tblBorders>
            <w:top w:val="outset" w:color="auto" w:sz="18" w:space="0"/>
            <w:left w:val="outset" w:color="auto" w:sz="18" w:space="0"/>
            <w:bottom w:val="outset" w:color="auto" w:sz="18" w:space="0"/>
            <w:right w:val="outset" w:color="auto" w:sz="18" w:space="0"/>
            <w:insideH w:val="none" w:color="auto" w:sz="0" w:space="0"/>
            <w:insideV w:val="none" w:color="auto" w:sz="0" w:space="0"/>
          </w:tblBorders>
          <w:shd w:val="clear" w:color="auto" w:fill="FFFFFF"/>
          <w:tblCellMar>
            <w:top w:w="0" w:type="dxa"/>
            <w:left w:w="0" w:type="dxa"/>
            <w:bottom w:w="0" w:type="dxa"/>
            <w:right w:w="0" w:type="dxa"/>
          </w:tblCellMar>
        </w:tblPrEx>
        <w:trPr>
          <w:trHeight w:val="1063" w:hRule="atLeast"/>
        </w:trPr>
        <w:tc>
          <w:tcPr>
            <w:tcW w:w="360" w:type="pct"/>
            <w:tcBorders>
              <w:top w:val="inset" w:color="auto" w:sz="6" w:space="0"/>
              <w:left w:val="inset" w:color="auto" w:sz="8" w:space="0"/>
              <w:bottom w:val="inset" w:color="auto" w:sz="6" w:space="0"/>
              <w:right w:val="inset" w:color="auto" w:sz="8" w:space="0"/>
            </w:tcBorders>
            <w:shd w:val="clear" w:color="auto" w:fill="FFFFFF"/>
            <w:vAlign w:val="center"/>
          </w:tcPr>
          <w:p w14:paraId="2B620991">
            <w:pPr>
              <w:numPr>
                <w:ilvl w:val="0"/>
                <w:numId w:val="0"/>
              </w:num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c>
          <w:tcPr>
            <w:tcW w:w="712" w:type="pct"/>
            <w:tcBorders>
              <w:top w:val="inset" w:color="auto" w:sz="6" w:space="0"/>
              <w:left w:val="inset" w:color="auto" w:sz="8" w:space="0"/>
              <w:bottom w:val="inset" w:color="auto" w:sz="6" w:space="0"/>
              <w:right w:val="inset" w:color="auto" w:sz="8" w:space="0"/>
            </w:tcBorders>
            <w:shd w:val="clear" w:color="auto" w:fill="FFFFFF"/>
            <w:vAlign w:val="center"/>
          </w:tcPr>
          <w:p w14:paraId="6C5EBBDC">
            <w:pPr>
              <w:numPr>
                <w:ilvl w:val="0"/>
                <w:numId w:val="0"/>
              </w:num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中景瑞晟（北京）管理咨询有限公司</w:t>
            </w:r>
          </w:p>
        </w:tc>
        <w:tc>
          <w:tcPr>
            <w:tcW w:w="631" w:type="pct"/>
            <w:tcBorders>
              <w:top w:val="inset" w:color="auto" w:sz="6" w:space="0"/>
              <w:left w:val="inset" w:color="auto" w:sz="8" w:space="0"/>
              <w:bottom w:val="inset" w:color="auto" w:sz="6" w:space="0"/>
              <w:right w:val="inset" w:color="auto" w:sz="8" w:space="0"/>
            </w:tcBorders>
            <w:shd w:val="clear" w:color="auto" w:fill="FFFFFF"/>
            <w:vAlign w:val="center"/>
          </w:tcPr>
          <w:p w14:paraId="32C4038A">
            <w:pPr>
              <w:numPr>
                <w:ilvl w:val="0"/>
                <w:numId w:val="0"/>
              </w:num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灾害综合风险与减灾能力调查评估服务</w:t>
            </w:r>
          </w:p>
        </w:tc>
        <w:tc>
          <w:tcPr>
            <w:tcW w:w="654" w:type="pct"/>
            <w:tcBorders>
              <w:top w:val="inset" w:color="auto" w:sz="6" w:space="0"/>
              <w:left w:val="inset" w:color="auto" w:sz="8" w:space="0"/>
              <w:bottom w:val="inset" w:color="auto" w:sz="6" w:space="0"/>
              <w:right w:val="inset" w:color="auto" w:sz="8" w:space="0"/>
            </w:tcBorders>
            <w:shd w:val="clear" w:color="auto" w:fill="FFFFFF"/>
            <w:vAlign w:val="center"/>
          </w:tcPr>
          <w:p w14:paraId="01A03ED8">
            <w:pPr>
              <w:numPr>
                <w:ilvl w:val="0"/>
                <w:numId w:val="0"/>
              </w:num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详见招标</w:t>
            </w:r>
          </w:p>
          <w:p w14:paraId="68354311">
            <w:pPr>
              <w:numPr>
                <w:ilvl w:val="0"/>
                <w:numId w:val="0"/>
              </w:num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文件</w:t>
            </w:r>
          </w:p>
        </w:tc>
        <w:tc>
          <w:tcPr>
            <w:tcW w:w="1359" w:type="pct"/>
            <w:tcBorders>
              <w:top w:val="inset" w:color="auto" w:sz="6" w:space="0"/>
              <w:left w:val="inset" w:color="auto" w:sz="8" w:space="0"/>
              <w:bottom w:val="inset" w:color="auto" w:sz="6" w:space="0"/>
              <w:right w:val="inset" w:color="auto" w:sz="8" w:space="0"/>
            </w:tcBorders>
            <w:shd w:val="clear" w:color="auto" w:fill="FFFFFF"/>
            <w:vAlign w:val="center"/>
          </w:tcPr>
          <w:p w14:paraId="7B741E8B">
            <w:pPr>
              <w:bidi w:val="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p>
          <w:p w14:paraId="6C3DC9B2">
            <w:pPr>
              <w:bidi w:val="0"/>
              <w:rPr>
                <w:rFonts w:hint="eastAsia" w:ascii="仿宋" w:hAnsi="仿宋" w:eastAsia="仿宋" w:cs="仿宋"/>
                <w:sz w:val="24"/>
                <w:szCs w:val="24"/>
              </w:rPr>
            </w:pPr>
            <w:r>
              <w:rPr>
                <w:rFonts w:hint="eastAsia" w:ascii="仿宋" w:hAnsi="仿宋" w:eastAsia="仿宋" w:cs="仿宋"/>
                <w:sz w:val="24"/>
                <w:szCs w:val="24"/>
                <w:lang w:val="en-US" w:eastAsia="zh-CN"/>
              </w:rPr>
              <w:t>为贯彻落实国家防灾减灾救灾委员会印发的《自然灾害综合风险基础数据更新应用实施办法（试行）》（国防减救发〔2024〕2号）要求，深化本地化评估技术体系研究，构建北京市灾害风险调查与应用技术体系框架，编制相关技术文件；指导朝阳区、海淀区、丰台区、石景山区、房山区、顺义区开展补充调查与成果验证，提升数据质量及模型适用性；总结试点区经验，为本市普查常态化体系建设提供技术支撑，推动普查成果在城市规划、应急预案编制及灾害预警系统的应用。具体详见第五章采购需求。具体服务内容详见第五章采购需求。</w:t>
            </w:r>
          </w:p>
        </w:tc>
        <w:tc>
          <w:tcPr>
            <w:tcW w:w="682" w:type="pct"/>
            <w:tcBorders>
              <w:top w:val="inset" w:color="auto" w:sz="6" w:space="0"/>
              <w:left w:val="inset" w:color="auto" w:sz="8" w:space="0"/>
              <w:bottom w:val="inset" w:color="auto" w:sz="6" w:space="0"/>
              <w:right w:val="inset" w:color="auto" w:sz="8" w:space="0"/>
            </w:tcBorders>
            <w:shd w:val="clear" w:color="auto" w:fill="FFFFFF"/>
            <w:vAlign w:val="center"/>
          </w:tcPr>
          <w:p w14:paraId="1E9C2CFA">
            <w:pPr>
              <w:keepNext w:val="0"/>
              <w:keepLines w:val="0"/>
              <w:widowControl/>
              <w:suppressLineNumbers w:val="0"/>
              <w:jc w:val="left"/>
              <w:rPr>
                <w:rFonts w:hint="eastAsia" w:ascii="仿宋" w:hAnsi="仿宋" w:eastAsia="仿宋" w:cs="仿宋"/>
                <w:sz w:val="24"/>
                <w:szCs w:val="24"/>
              </w:rPr>
            </w:pPr>
            <w:bookmarkStart w:id="2" w:name="_Hlk96358015"/>
            <w:r>
              <w:rPr>
                <w:rFonts w:hint="eastAsia" w:ascii="仿宋" w:hAnsi="仿宋" w:eastAsia="仿宋" w:cs="仿宋"/>
                <w:sz w:val="24"/>
                <w:szCs w:val="24"/>
              </w:rPr>
              <w:t>自合同签订之日至2025年11月30日前完成全部工作内容。</w:t>
            </w:r>
            <w:bookmarkEnd w:id="2"/>
            <w:r>
              <w:rPr>
                <w:rFonts w:hint="eastAsia" w:ascii="仿宋" w:hAnsi="仿宋" w:eastAsia="仿宋" w:cs="仿宋"/>
                <w:sz w:val="24"/>
                <w:szCs w:val="24"/>
              </w:rPr>
              <w:t>具体时间安排根据采购人要求进行调整。</w:t>
            </w:r>
          </w:p>
        </w:tc>
        <w:tc>
          <w:tcPr>
            <w:tcW w:w="598" w:type="pct"/>
            <w:tcBorders>
              <w:top w:val="inset" w:color="auto" w:sz="6" w:space="0"/>
              <w:left w:val="inset" w:color="auto" w:sz="8" w:space="0"/>
              <w:bottom w:val="inset" w:color="auto" w:sz="6" w:space="0"/>
              <w:right w:val="inset" w:color="auto" w:sz="8" w:space="0"/>
            </w:tcBorders>
            <w:shd w:val="clear" w:color="auto" w:fill="FFFFFF"/>
            <w:vAlign w:val="center"/>
          </w:tcPr>
          <w:p w14:paraId="0C7495B0">
            <w:pPr>
              <w:numPr>
                <w:ilvl w:val="0"/>
                <w:numId w:val="0"/>
              </w:numPr>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详见招标文件</w:t>
            </w:r>
          </w:p>
        </w:tc>
      </w:tr>
      <w:tr w14:paraId="306F95E0">
        <w:tblPrEx>
          <w:tblBorders>
            <w:top w:val="outset" w:color="auto" w:sz="18" w:space="0"/>
            <w:left w:val="outset" w:color="auto" w:sz="18" w:space="0"/>
            <w:bottom w:val="outset" w:color="auto" w:sz="18" w:space="0"/>
            <w:right w:val="outset" w:color="auto" w:sz="18" w:space="0"/>
            <w:insideH w:val="none" w:color="auto" w:sz="0" w:space="0"/>
            <w:insideV w:val="none" w:color="auto" w:sz="0" w:space="0"/>
          </w:tblBorders>
          <w:shd w:val="clear" w:color="auto" w:fill="FFFFFF"/>
          <w:tblCellMar>
            <w:top w:w="0" w:type="dxa"/>
            <w:left w:w="0" w:type="dxa"/>
            <w:bottom w:w="0" w:type="dxa"/>
            <w:right w:w="0" w:type="dxa"/>
          </w:tblCellMar>
        </w:tblPrEx>
        <w:trPr>
          <w:trHeight w:val="1063" w:hRule="atLeast"/>
        </w:trPr>
        <w:tc>
          <w:tcPr>
            <w:tcW w:w="360" w:type="pct"/>
            <w:tcBorders>
              <w:top w:val="inset" w:color="auto" w:sz="6" w:space="0"/>
              <w:left w:val="inset" w:color="auto" w:sz="8" w:space="0"/>
              <w:bottom w:val="inset" w:color="auto" w:sz="6" w:space="0"/>
              <w:right w:val="inset" w:color="auto" w:sz="8" w:space="0"/>
            </w:tcBorders>
            <w:shd w:val="clear" w:color="auto" w:fill="FFFFFF"/>
            <w:vAlign w:val="center"/>
          </w:tcPr>
          <w:p w14:paraId="3D13D7CA">
            <w:pPr>
              <w:numPr>
                <w:ilvl w:val="0"/>
                <w:numId w:val="0"/>
              </w:num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c>
          <w:tcPr>
            <w:tcW w:w="712" w:type="pct"/>
            <w:tcBorders>
              <w:top w:val="inset" w:color="auto" w:sz="6" w:space="0"/>
              <w:left w:val="inset" w:color="auto" w:sz="8" w:space="0"/>
              <w:bottom w:val="inset" w:color="auto" w:sz="6" w:space="0"/>
              <w:right w:val="inset" w:color="auto" w:sz="8" w:space="0"/>
            </w:tcBorders>
            <w:shd w:val="clear" w:color="auto" w:fill="FFFFFF"/>
            <w:vAlign w:val="center"/>
          </w:tcPr>
          <w:p w14:paraId="135FB429">
            <w:pPr>
              <w:numPr>
                <w:ilvl w:val="0"/>
                <w:numId w:val="0"/>
              </w:num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北京隆安鸿业科技有限责任公司</w:t>
            </w:r>
          </w:p>
        </w:tc>
        <w:tc>
          <w:tcPr>
            <w:tcW w:w="631" w:type="pct"/>
            <w:tcBorders>
              <w:top w:val="inset" w:color="auto" w:sz="6" w:space="0"/>
              <w:left w:val="inset" w:color="auto" w:sz="8" w:space="0"/>
              <w:bottom w:val="inset" w:color="auto" w:sz="6" w:space="0"/>
              <w:right w:val="inset" w:color="auto" w:sz="8" w:space="0"/>
            </w:tcBorders>
            <w:shd w:val="clear" w:color="auto" w:fill="FFFFFF"/>
            <w:vAlign w:val="center"/>
          </w:tcPr>
          <w:p w14:paraId="7DAC5FAA">
            <w:pPr>
              <w:numPr>
                <w:ilvl w:val="0"/>
                <w:numId w:val="0"/>
              </w:num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灾害综合风险与减灾能力调查评估服务</w:t>
            </w:r>
          </w:p>
        </w:tc>
        <w:tc>
          <w:tcPr>
            <w:tcW w:w="654" w:type="pct"/>
            <w:tcBorders>
              <w:top w:val="inset" w:color="auto" w:sz="6" w:space="0"/>
              <w:left w:val="inset" w:color="auto" w:sz="8" w:space="0"/>
              <w:bottom w:val="inset" w:color="auto" w:sz="6" w:space="0"/>
              <w:right w:val="inset" w:color="auto" w:sz="8" w:space="0"/>
            </w:tcBorders>
            <w:shd w:val="clear" w:color="auto" w:fill="FFFFFF"/>
            <w:vAlign w:val="center"/>
          </w:tcPr>
          <w:p w14:paraId="368064A7">
            <w:pPr>
              <w:numPr>
                <w:ilvl w:val="0"/>
                <w:numId w:val="0"/>
              </w:num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详见招标</w:t>
            </w:r>
          </w:p>
          <w:p w14:paraId="1A7FA680">
            <w:pPr>
              <w:numPr>
                <w:ilvl w:val="0"/>
                <w:numId w:val="0"/>
              </w:num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文件</w:t>
            </w:r>
          </w:p>
        </w:tc>
        <w:tc>
          <w:tcPr>
            <w:tcW w:w="1359" w:type="pct"/>
            <w:tcBorders>
              <w:top w:val="inset" w:color="auto" w:sz="6" w:space="0"/>
              <w:left w:val="inset" w:color="auto" w:sz="8" w:space="0"/>
              <w:bottom w:val="inset" w:color="auto" w:sz="6" w:space="0"/>
              <w:right w:val="inset" w:color="auto" w:sz="8" w:space="0"/>
            </w:tcBorders>
            <w:shd w:val="clear" w:color="auto" w:fill="FFFFFF"/>
            <w:vAlign w:val="center"/>
          </w:tcPr>
          <w:p w14:paraId="08B7314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贯彻落实国家防灾减灾救灾委员会印发的《自然灾害综合风险基础数据更新应用实施办法（试行）》（国防减救发〔2024〕2号）和应急管理部办公厅《关于做好2025年自然灾害综合风险应急管理系统调查数据更新工作的通知》要求，指导各区开展北京市自然灾害综合风险普查应急管理系统数据更新调查、开展怀柔区相关补充调查、开展更新及补充调查数据质检核查。具体服务内容详见第五章采购需求。</w:t>
            </w:r>
          </w:p>
        </w:tc>
        <w:tc>
          <w:tcPr>
            <w:tcW w:w="682" w:type="pct"/>
            <w:tcBorders>
              <w:top w:val="inset" w:color="auto" w:sz="6" w:space="0"/>
              <w:left w:val="inset" w:color="auto" w:sz="8" w:space="0"/>
              <w:bottom w:val="inset" w:color="auto" w:sz="6" w:space="0"/>
              <w:right w:val="inset" w:color="auto" w:sz="8" w:space="0"/>
            </w:tcBorders>
            <w:shd w:val="clear" w:color="auto" w:fill="FFFFFF"/>
            <w:vAlign w:val="center"/>
          </w:tcPr>
          <w:p w14:paraId="7339068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自合同签订之日至2025年11月30日前完成全部工作内容。具体时间安排根据采购人要求进行调整。</w:t>
            </w:r>
          </w:p>
        </w:tc>
        <w:tc>
          <w:tcPr>
            <w:tcW w:w="598" w:type="pct"/>
            <w:tcBorders>
              <w:top w:val="inset" w:color="auto" w:sz="6" w:space="0"/>
              <w:left w:val="inset" w:color="auto" w:sz="8" w:space="0"/>
              <w:bottom w:val="inset" w:color="auto" w:sz="6" w:space="0"/>
              <w:right w:val="inset" w:color="auto" w:sz="8" w:space="0"/>
            </w:tcBorders>
            <w:shd w:val="clear" w:color="auto" w:fill="FFFFFF"/>
            <w:vAlign w:val="center"/>
          </w:tcPr>
          <w:p w14:paraId="0F70EDCB">
            <w:pPr>
              <w:numPr>
                <w:ilvl w:val="0"/>
                <w:numId w:val="0"/>
              </w:numPr>
              <w:spacing w:line="240" w:lineRule="auto"/>
              <w:jc w:val="center"/>
              <w:rPr>
                <w:rFonts w:hint="eastAsia" w:ascii="仿宋" w:hAnsi="仿宋" w:eastAsia="仿宋" w:cs="仿宋"/>
                <w:sz w:val="24"/>
                <w:szCs w:val="24"/>
                <w:lang w:eastAsia="zh-CN"/>
              </w:rPr>
            </w:pPr>
          </w:p>
        </w:tc>
      </w:tr>
    </w:tbl>
    <w:p w14:paraId="09061523">
      <w:pPr>
        <w:spacing w:line="360" w:lineRule="auto"/>
        <w:rPr>
          <w:rFonts w:hint="default" w:ascii="黑体" w:hAnsi="黑体" w:eastAsia="黑体"/>
          <w:sz w:val="24"/>
          <w:szCs w:val="24"/>
          <w:lang w:val="en-US" w:eastAsia="zh-CN"/>
        </w:rPr>
      </w:pPr>
      <w:r>
        <w:rPr>
          <w:rFonts w:hint="eastAsia" w:ascii="黑体" w:hAnsi="黑体" w:eastAsia="黑体"/>
          <w:sz w:val="24"/>
          <w:szCs w:val="24"/>
        </w:rPr>
        <w:t>五、评审专家名单：</w:t>
      </w:r>
      <w:r>
        <w:rPr>
          <w:rFonts w:hint="eastAsia" w:ascii="黑体" w:hAnsi="黑体" w:eastAsia="黑体"/>
          <w:sz w:val="24"/>
          <w:szCs w:val="24"/>
          <w:lang w:eastAsia="zh-CN"/>
        </w:rPr>
        <w:t>赵雪、</w:t>
      </w:r>
      <w:r>
        <w:rPr>
          <w:rFonts w:hint="eastAsia" w:ascii="黑体" w:hAnsi="黑体" w:eastAsia="黑体"/>
          <w:sz w:val="24"/>
          <w:szCs w:val="24"/>
          <w:lang w:val="en-US" w:eastAsia="zh-CN"/>
        </w:rPr>
        <w:t>黄来源</w:t>
      </w:r>
      <w:r>
        <w:rPr>
          <w:rFonts w:hint="eastAsia" w:ascii="黑体" w:hAnsi="黑体" w:eastAsia="黑体"/>
          <w:sz w:val="24"/>
          <w:szCs w:val="24"/>
          <w:lang w:eastAsia="zh-CN"/>
        </w:rPr>
        <w:t>、</w:t>
      </w:r>
      <w:r>
        <w:rPr>
          <w:rFonts w:hint="eastAsia" w:ascii="黑体" w:hAnsi="黑体" w:eastAsia="黑体"/>
          <w:sz w:val="24"/>
          <w:szCs w:val="24"/>
          <w:lang w:val="en-US" w:eastAsia="zh-CN"/>
        </w:rPr>
        <w:t>付宁宁</w:t>
      </w:r>
      <w:r>
        <w:rPr>
          <w:rFonts w:hint="eastAsia" w:ascii="黑体" w:hAnsi="黑体" w:eastAsia="黑体"/>
          <w:sz w:val="24"/>
          <w:szCs w:val="24"/>
          <w:lang w:eastAsia="zh-CN"/>
        </w:rPr>
        <w:t>、</w:t>
      </w:r>
      <w:r>
        <w:rPr>
          <w:rFonts w:hint="eastAsia" w:ascii="黑体" w:hAnsi="黑体" w:eastAsia="黑体"/>
          <w:sz w:val="24"/>
          <w:szCs w:val="24"/>
          <w:lang w:val="en-US" w:eastAsia="zh-CN"/>
        </w:rPr>
        <w:t>袁峰</w:t>
      </w:r>
      <w:r>
        <w:rPr>
          <w:rFonts w:hint="eastAsia" w:ascii="黑体" w:hAnsi="黑体" w:eastAsia="黑体"/>
          <w:sz w:val="24"/>
          <w:szCs w:val="24"/>
          <w:lang w:eastAsia="zh-CN"/>
        </w:rPr>
        <w:t>、</w:t>
      </w:r>
      <w:r>
        <w:rPr>
          <w:rFonts w:hint="eastAsia" w:ascii="黑体" w:hAnsi="黑体" w:eastAsia="黑体"/>
          <w:sz w:val="24"/>
          <w:szCs w:val="24"/>
          <w:lang w:val="en-US" w:eastAsia="zh-CN"/>
        </w:rPr>
        <w:t>黄一品</w:t>
      </w:r>
    </w:p>
    <w:p w14:paraId="6958E3C0">
      <w:pPr>
        <w:spacing w:line="360" w:lineRule="auto"/>
        <w:rPr>
          <w:rFonts w:hint="default" w:ascii="仿宋" w:hAnsi="仿宋" w:eastAsia="仿宋" w:cs="仿宋"/>
          <w:sz w:val="24"/>
          <w:szCs w:val="24"/>
          <w:lang w:val="en-US" w:eastAsia="zh-CN"/>
        </w:rPr>
      </w:pPr>
      <w:r>
        <w:rPr>
          <w:rFonts w:hint="eastAsia" w:ascii="黑体" w:hAnsi="黑体" w:eastAsia="黑体"/>
          <w:sz w:val="24"/>
          <w:szCs w:val="24"/>
        </w:rPr>
        <w:t>六、代理服务收费标准及金额：</w:t>
      </w:r>
      <w:r>
        <w:rPr>
          <w:rFonts w:hint="eastAsia" w:ascii="仿宋" w:hAnsi="仿宋" w:eastAsia="仿宋" w:cs="仿宋"/>
          <w:sz w:val="24"/>
          <w:szCs w:val="24"/>
        </w:rPr>
        <w:t>按照国家发展计划委员会颁发的《招标代理服务收费管理暂行办法》（计价格[2002]1980号）和国家发展改革委办公厅关于招标代理服务收费有关问题的通知（发改办价格[2003]857号）执行</w:t>
      </w:r>
      <w:r>
        <w:rPr>
          <w:rFonts w:hint="eastAsia" w:ascii="仿宋" w:hAnsi="仿宋" w:eastAsia="仿宋" w:cs="仿宋"/>
          <w:sz w:val="24"/>
          <w:szCs w:val="24"/>
          <w:lang w:eastAsia="zh-CN"/>
        </w:rPr>
        <w:t>，下浮</w:t>
      </w:r>
      <w:r>
        <w:rPr>
          <w:rFonts w:hint="eastAsia" w:ascii="仿宋" w:hAnsi="仿宋" w:eastAsia="仿宋" w:cs="仿宋"/>
          <w:sz w:val="24"/>
          <w:szCs w:val="24"/>
          <w:lang w:val="en-US" w:eastAsia="zh-CN"/>
        </w:rPr>
        <w:t>20%。</w:t>
      </w:r>
    </w:p>
    <w:p w14:paraId="07A0E0B6">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代理服务费：3.4674万元</w:t>
      </w:r>
      <w:bookmarkStart w:id="15" w:name="_GoBack"/>
      <w:bookmarkEnd w:id="15"/>
    </w:p>
    <w:p w14:paraId="5665708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第一包收费金额：2.1714万元</w:t>
      </w:r>
    </w:p>
    <w:p w14:paraId="659E0468">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第二包收费金额:1.296万元</w:t>
      </w:r>
    </w:p>
    <w:p w14:paraId="377D55AF">
      <w:pPr>
        <w:spacing w:line="360" w:lineRule="auto"/>
        <w:rPr>
          <w:rFonts w:ascii="黑体" w:hAnsi="黑体" w:eastAsia="黑体"/>
          <w:sz w:val="24"/>
          <w:szCs w:val="24"/>
        </w:rPr>
      </w:pPr>
      <w:r>
        <w:rPr>
          <w:rFonts w:hint="eastAsia" w:ascii="黑体" w:hAnsi="黑体" w:eastAsia="黑体"/>
          <w:sz w:val="24"/>
          <w:szCs w:val="24"/>
        </w:rPr>
        <w:t>七、公告期限</w:t>
      </w:r>
    </w:p>
    <w:p w14:paraId="5C5A5B4A">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自本公告发布之日起</w:t>
      </w:r>
      <w:r>
        <w:rPr>
          <w:rFonts w:ascii="仿宋" w:hAnsi="仿宋" w:eastAsia="仿宋" w:cs="宋体"/>
          <w:kern w:val="0"/>
          <w:sz w:val="24"/>
          <w:szCs w:val="24"/>
        </w:rPr>
        <w:t>1</w:t>
      </w:r>
      <w:r>
        <w:rPr>
          <w:rFonts w:hint="eastAsia" w:ascii="仿宋" w:hAnsi="仿宋" w:eastAsia="仿宋" w:cs="宋体"/>
          <w:kern w:val="0"/>
          <w:sz w:val="24"/>
          <w:szCs w:val="24"/>
        </w:rPr>
        <w:t>个工作日。</w:t>
      </w:r>
    </w:p>
    <w:p w14:paraId="0C236530">
      <w:pPr>
        <w:spacing w:line="360" w:lineRule="auto"/>
        <w:rPr>
          <w:rFonts w:ascii="黑体" w:hAnsi="黑体" w:eastAsia="黑体" w:cs="仿宋"/>
          <w:sz w:val="24"/>
          <w:szCs w:val="24"/>
        </w:rPr>
      </w:pPr>
      <w:r>
        <w:rPr>
          <w:rFonts w:hint="eastAsia" w:ascii="黑体" w:hAnsi="黑体" w:eastAsia="黑体" w:cs="仿宋"/>
          <w:sz w:val="24"/>
          <w:szCs w:val="24"/>
        </w:rPr>
        <w:t>八、其他补充事宜</w:t>
      </w:r>
    </w:p>
    <w:p w14:paraId="01539EDD">
      <w:pPr>
        <w:spacing w:line="360" w:lineRule="auto"/>
        <w:rPr>
          <w:rFonts w:ascii="仿宋" w:hAnsi="仿宋" w:eastAsia="仿宋" w:cs="宋体"/>
          <w:kern w:val="0"/>
          <w:sz w:val="24"/>
          <w:szCs w:val="24"/>
        </w:rPr>
      </w:pPr>
      <w:r>
        <w:rPr>
          <w:rFonts w:hint="eastAsia" w:ascii="仿宋" w:hAnsi="仿宋" w:eastAsia="仿宋" w:cs="宋体"/>
          <w:kern w:val="0"/>
          <w:sz w:val="24"/>
          <w:szCs w:val="24"/>
          <w:lang w:val="en-US" w:eastAsia="zh-CN"/>
        </w:rPr>
        <w:t>第一包</w:t>
      </w:r>
      <w:r>
        <w:rPr>
          <w:rFonts w:hint="eastAsia" w:ascii="仿宋" w:hAnsi="仿宋" w:eastAsia="仿宋" w:cs="宋体"/>
          <w:kern w:val="0"/>
          <w:sz w:val="24"/>
          <w:szCs w:val="24"/>
        </w:rPr>
        <w:t>中标供应商评审总得分：</w:t>
      </w:r>
      <w:r>
        <w:rPr>
          <w:rFonts w:hint="eastAsia" w:ascii="仿宋" w:hAnsi="仿宋" w:eastAsia="仿宋"/>
          <w:sz w:val="24"/>
          <w:szCs w:val="24"/>
          <w:lang w:val="en-US" w:eastAsia="zh-CN"/>
        </w:rPr>
        <w:t>中景瑞晟（北京）管理咨询有限公司</w:t>
      </w:r>
      <w:r>
        <w:rPr>
          <w:rFonts w:hint="eastAsia" w:ascii="仿宋" w:hAnsi="仿宋" w:eastAsia="仿宋" w:cs="仿宋"/>
          <w:sz w:val="24"/>
          <w:szCs w:val="24"/>
          <w:lang w:val="en-US" w:eastAsia="zh-CN"/>
        </w:rPr>
        <w:t xml:space="preserve">  </w:t>
      </w:r>
      <w:r>
        <w:rPr>
          <w:rFonts w:hint="eastAsia" w:ascii="仿宋" w:hAnsi="仿宋" w:eastAsia="仿宋" w:cs="宋体"/>
          <w:kern w:val="0"/>
          <w:sz w:val="24"/>
          <w:szCs w:val="24"/>
          <w:lang w:val="en-US" w:eastAsia="zh-CN"/>
        </w:rPr>
        <w:t>98.4</w:t>
      </w:r>
      <w:r>
        <w:rPr>
          <w:rFonts w:ascii="仿宋" w:hAnsi="仿宋" w:eastAsia="仿宋" w:cs="宋体"/>
          <w:kern w:val="0"/>
          <w:sz w:val="24"/>
          <w:szCs w:val="24"/>
        </w:rPr>
        <w:t>分</w:t>
      </w:r>
    </w:p>
    <w:p w14:paraId="6B84D5A3">
      <w:pPr>
        <w:spacing w:line="360" w:lineRule="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第二包中标供应商评审得分：</w:t>
      </w:r>
      <w:r>
        <w:rPr>
          <w:rFonts w:hint="eastAsia" w:ascii="仿宋" w:hAnsi="仿宋" w:eastAsia="仿宋" w:cs="仿宋"/>
          <w:sz w:val="24"/>
          <w:szCs w:val="24"/>
          <w:lang w:val="en-US" w:eastAsia="zh-CN"/>
        </w:rPr>
        <w:t>北京隆安鸿业科技有限责任公司 73.8分</w:t>
      </w:r>
    </w:p>
    <w:p w14:paraId="40BEC164">
      <w:pPr>
        <w:numPr>
          <w:ilvl w:val="0"/>
          <w:numId w:val="2"/>
        </w:numPr>
        <w:spacing w:line="360" w:lineRule="auto"/>
        <w:rPr>
          <w:rFonts w:ascii="仿宋" w:hAnsi="仿宋" w:eastAsia="仿宋" w:cs="宋体"/>
          <w:b w:val="0"/>
          <w:sz w:val="24"/>
          <w:szCs w:val="24"/>
        </w:rPr>
      </w:pPr>
      <w:r>
        <w:rPr>
          <w:rFonts w:hint="eastAsia" w:ascii="黑体" w:hAnsi="黑体" w:eastAsia="黑体" w:cs="宋体"/>
          <w:kern w:val="0"/>
          <w:sz w:val="24"/>
          <w:szCs w:val="24"/>
        </w:rPr>
        <w:t>凡对本次公告内容提出询问，请按以下方式联系。</w:t>
      </w:r>
      <w:bookmarkStart w:id="3" w:name="_Toc35393810"/>
      <w:bookmarkStart w:id="4" w:name="_Toc28359023"/>
      <w:bookmarkStart w:id="5" w:name="_Toc28359100"/>
      <w:bookmarkStart w:id="6" w:name="_Toc35393641"/>
    </w:p>
    <w:p w14:paraId="3CBD5A56">
      <w:pPr>
        <w:bidi w:val="0"/>
        <w:spacing w:line="360" w:lineRule="auto"/>
        <w:rPr>
          <w:rFonts w:hint="eastAsia" w:ascii="仿宋" w:hAnsi="仿宋" w:eastAsia="仿宋" w:cs="仿宋"/>
          <w:sz w:val="24"/>
          <w:szCs w:val="24"/>
        </w:rPr>
      </w:pPr>
      <w:r>
        <w:rPr>
          <w:rFonts w:hint="eastAsia" w:ascii="仿宋" w:hAnsi="仿宋" w:eastAsia="仿宋" w:cs="仿宋"/>
          <w:sz w:val="24"/>
          <w:szCs w:val="24"/>
        </w:rPr>
        <w:t>1.采购人信息</w:t>
      </w:r>
      <w:bookmarkEnd w:id="3"/>
      <w:bookmarkEnd w:id="4"/>
      <w:bookmarkEnd w:id="5"/>
      <w:bookmarkEnd w:id="6"/>
    </w:p>
    <w:p w14:paraId="51A7CDC2">
      <w:pPr>
        <w:bidi w:val="0"/>
        <w:spacing w:line="360" w:lineRule="auto"/>
        <w:rPr>
          <w:rFonts w:hint="eastAsia" w:ascii="仿宋" w:hAnsi="仿宋" w:eastAsia="仿宋" w:cs="仿宋"/>
          <w:sz w:val="24"/>
          <w:szCs w:val="24"/>
        </w:rPr>
      </w:pPr>
      <w:bookmarkStart w:id="7" w:name="_Toc35393642"/>
      <w:bookmarkStart w:id="8" w:name="_Toc35393811"/>
      <w:bookmarkStart w:id="9" w:name="_Toc28359024"/>
      <w:bookmarkStart w:id="10" w:name="_Toc28359101"/>
      <w:r>
        <w:rPr>
          <w:rFonts w:hint="eastAsia" w:ascii="仿宋" w:hAnsi="仿宋" w:eastAsia="仿宋" w:cs="仿宋"/>
          <w:sz w:val="24"/>
          <w:szCs w:val="24"/>
          <w:lang w:val="en-US" w:eastAsia="zh-CN"/>
        </w:rPr>
        <w:t xml:space="preserve">名 称：北京市应急管理局 </w:t>
      </w:r>
    </w:p>
    <w:p w14:paraId="17EFFEAF">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地 址：北京市通州区运河东大街 57 号院 4 号楼。 </w:t>
      </w:r>
    </w:p>
    <w:p w14:paraId="09B50C61">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联系方式：赵雪 010-55573738</w:t>
      </w:r>
    </w:p>
    <w:p w14:paraId="4293AB87">
      <w:pPr>
        <w:bidi w:val="0"/>
        <w:spacing w:line="360" w:lineRule="auto"/>
        <w:rPr>
          <w:rFonts w:hint="eastAsia" w:ascii="仿宋" w:hAnsi="仿宋" w:eastAsia="仿宋" w:cs="仿宋"/>
          <w:sz w:val="24"/>
          <w:szCs w:val="24"/>
        </w:rPr>
      </w:pPr>
      <w:r>
        <w:rPr>
          <w:rFonts w:hint="eastAsia" w:ascii="仿宋" w:hAnsi="仿宋" w:eastAsia="仿宋" w:cs="仿宋"/>
          <w:sz w:val="24"/>
          <w:szCs w:val="24"/>
        </w:rPr>
        <w:t>2.采购代理机构信息</w:t>
      </w:r>
      <w:bookmarkEnd w:id="7"/>
      <w:bookmarkEnd w:id="8"/>
      <w:bookmarkEnd w:id="9"/>
      <w:bookmarkEnd w:id="10"/>
    </w:p>
    <w:p w14:paraId="6D131287">
      <w:pPr>
        <w:bidi w:val="0"/>
        <w:spacing w:line="360" w:lineRule="auto"/>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lang w:eastAsia="zh-CN"/>
        </w:rPr>
        <w:t>北京海捷顺德咨询有限公司</w:t>
      </w:r>
    </w:p>
    <w:p w14:paraId="54B5264F">
      <w:pPr>
        <w:bidi w:val="0"/>
        <w:spacing w:line="360" w:lineRule="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lang w:eastAsia="zh-CN"/>
        </w:rPr>
        <w:t>北京市海淀区马甸东路</w:t>
      </w:r>
      <w:r>
        <w:rPr>
          <w:rFonts w:hint="eastAsia" w:ascii="仿宋" w:hAnsi="仿宋" w:eastAsia="仿宋" w:cs="仿宋"/>
          <w:sz w:val="24"/>
          <w:szCs w:val="24"/>
          <w:lang w:val="en-US" w:eastAsia="zh-CN"/>
        </w:rPr>
        <w:t>17号金澳国际写字楼3层303室</w:t>
      </w:r>
    </w:p>
    <w:p w14:paraId="3C51E73C">
      <w:pPr>
        <w:bidi w:val="0"/>
        <w:spacing w:line="360" w:lineRule="auto"/>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010-62006591</w:t>
      </w:r>
    </w:p>
    <w:p w14:paraId="5E4DCE17">
      <w:pPr>
        <w:bidi w:val="0"/>
        <w:spacing w:line="360" w:lineRule="auto"/>
        <w:rPr>
          <w:rFonts w:hint="eastAsia" w:ascii="仿宋" w:hAnsi="仿宋" w:eastAsia="仿宋" w:cs="仿宋"/>
          <w:sz w:val="24"/>
          <w:szCs w:val="24"/>
        </w:rPr>
      </w:pPr>
      <w:bookmarkStart w:id="11" w:name="_Toc28359102"/>
      <w:bookmarkStart w:id="12" w:name="_Toc35393812"/>
      <w:bookmarkStart w:id="13" w:name="_Toc28359025"/>
      <w:bookmarkStart w:id="14" w:name="_Toc35393643"/>
      <w:r>
        <w:rPr>
          <w:rFonts w:hint="eastAsia" w:ascii="仿宋" w:hAnsi="仿宋" w:eastAsia="仿宋" w:cs="仿宋"/>
          <w:sz w:val="24"/>
          <w:szCs w:val="24"/>
        </w:rPr>
        <w:t>3.项目联系方式</w:t>
      </w:r>
      <w:bookmarkEnd w:id="11"/>
      <w:bookmarkEnd w:id="12"/>
      <w:bookmarkEnd w:id="13"/>
      <w:bookmarkEnd w:id="14"/>
    </w:p>
    <w:p w14:paraId="641145F7">
      <w:pPr>
        <w:bidi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项目联系人：</w:t>
      </w:r>
      <w:r>
        <w:rPr>
          <w:rFonts w:hint="eastAsia" w:ascii="仿宋" w:hAnsi="仿宋" w:eastAsia="仿宋" w:cs="仿宋"/>
          <w:sz w:val="24"/>
          <w:szCs w:val="24"/>
          <w:lang w:eastAsia="zh-CN"/>
        </w:rPr>
        <w:t>雷琳、赵燕、</w:t>
      </w:r>
      <w:r>
        <w:rPr>
          <w:rFonts w:hint="eastAsia" w:ascii="仿宋" w:hAnsi="仿宋" w:eastAsia="仿宋" w:cs="仿宋"/>
          <w:sz w:val="24"/>
          <w:szCs w:val="24"/>
          <w:lang w:val="en-US" w:eastAsia="zh-CN"/>
        </w:rPr>
        <w:t>薛琴</w:t>
      </w:r>
    </w:p>
    <w:p w14:paraId="3288DE19">
      <w:pPr>
        <w:bidi w:val="0"/>
        <w:spacing w:line="360" w:lineRule="auto"/>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lang w:val="en-US" w:eastAsia="zh-CN"/>
        </w:rPr>
        <w:t>010-62006591</w:t>
      </w:r>
    </w:p>
    <w:p w14:paraId="0A489E1C">
      <w:pPr>
        <w:bidi w:val="0"/>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40133"/>
    <w:multiLevelType w:val="singleLevel"/>
    <w:tmpl w:val="53140133"/>
    <w:lvl w:ilvl="0" w:tentative="0">
      <w:start w:val="9"/>
      <w:numFmt w:val="chineseCounting"/>
      <w:suff w:val="nothing"/>
      <w:lvlText w:val="%1、"/>
      <w:lvlJc w:val="left"/>
      <w:rPr>
        <w:rFonts w:hint="eastAsia"/>
      </w:rPr>
    </w:lvl>
  </w:abstractNum>
  <w:abstractNum w:abstractNumId="1">
    <w:nsid w:val="5BAD33EB"/>
    <w:multiLevelType w:val="singleLevel"/>
    <w:tmpl w:val="5BAD33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M5Njg3NWQ0NDlhZDdkNDNlYmY1ODNlNWFmMzMifQ=="/>
  </w:docVars>
  <w:rsids>
    <w:rsidRoot w:val="00000000"/>
    <w:rsid w:val="022B3665"/>
    <w:rsid w:val="12404D43"/>
    <w:rsid w:val="1D04432C"/>
    <w:rsid w:val="3355181B"/>
    <w:rsid w:val="3FC43A51"/>
    <w:rsid w:val="46693927"/>
    <w:rsid w:val="49213524"/>
    <w:rsid w:val="573D6139"/>
    <w:rsid w:val="67E0170D"/>
    <w:rsid w:val="688F78CD"/>
    <w:rsid w:val="6B124127"/>
    <w:rsid w:val="779F7E25"/>
    <w:rsid w:val="7B242D44"/>
    <w:rsid w:val="7BF2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eastAsiaTheme="minorEastAsia" w:cstheme="minorBidi"/>
      <w:szCs w:val="22"/>
    </w:rPr>
  </w:style>
  <w:style w:type="table" w:styleId="6">
    <w:name w:val="Table Grid"/>
    <w:basedOn w:val="5"/>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
    <w:name w:val="正文-公1"/>
    <w:next w:val="1"/>
    <w:autoRedefine/>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1217</Words>
  <Characters>1364</Characters>
  <Lines>0</Lines>
  <Paragraphs>0</Paragraphs>
  <TotalTime>113</TotalTime>
  <ScaleCrop>false</ScaleCrop>
  <LinksUpToDate>false</LinksUpToDate>
  <CharactersWithSpaces>1387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元</cp:lastModifiedBy>
  <dcterms:modified xsi:type="dcterms:W3CDTF">2025-05-30T07:27:16Z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3B35544D91DF4FA497E1663FB1336574_12</vt:lpwstr>
  </property>
  <property fmtid="{D5CDD505-2E9C-101B-9397-08002B2CF9AE}" pid="4" name="KSOTemplateDocerSaveRecord">
    <vt:lpwstr>eyJoZGlkIjoiZWE1NWIxNzI2YThkNWU5NjkyNmI3OWE0MDNjODdiNGEiLCJ1c2VySWQiOiIyOTMxNzcyMTYifQ==</vt:lpwstr>
  </property>
</Properties>
</file>